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header81.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header90.xml" ContentType="application/vnd.openxmlformats-officedocument.wordprocessingml.header+xml"/>
  <Override PartName="/word/footer89.xml" ContentType="application/vnd.openxmlformats-officedocument.wordprocessingml.foot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header93.xml" ContentType="application/vnd.openxmlformats-officedocument.wordprocessingml.header+xml"/>
  <Override PartName="/word/footer92.xml" ContentType="application/vnd.openxmlformats-officedocument.wordprocessingml.foot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header96.xml" ContentType="application/vnd.openxmlformats-officedocument.wordprocessingml.header+xml"/>
  <Override PartName="/word/footer95.xml" ContentType="application/vnd.openxmlformats-officedocument.wordprocessingml.foot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header99.xml" ContentType="application/vnd.openxmlformats-officedocument.wordprocessingml.header+xml"/>
  <Override PartName="/word/footer98.xml" ContentType="application/vnd.openxmlformats-officedocument.wordprocessingml.foot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header102.xml" ContentType="application/vnd.openxmlformats-officedocument.wordprocessingml.header+xml"/>
  <Override PartName="/word/footer101.xml" ContentType="application/vnd.openxmlformats-officedocument.wordprocessingml.foot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header105.xml" ContentType="application/vnd.openxmlformats-officedocument.wordprocessingml.header+xml"/>
  <Override PartName="/word/footer104.xml" ContentType="application/vnd.openxmlformats-officedocument.wordprocessingml.foot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header108.xml" ContentType="application/vnd.openxmlformats-officedocument.wordprocessingml.header+xml"/>
  <Override PartName="/word/footer107.xml" ContentType="application/vnd.openxmlformats-officedocument.wordprocessingml.foot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header111.xml" ContentType="application/vnd.openxmlformats-officedocument.wordprocessingml.header+xml"/>
  <Override PartName="/word/footer110.xml" ContentType="application/vnd.openxmlformats-officedocument.wordprocessingml.foot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footer113.xml" ContentType="application/vnd.openxmlformats-officedocument.wordprocessingml.foot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header117.xml" ContentType="application/vnd.openxmlformats-officedocument.wordprocessingml.header+xml"/>
  <Override PartName="/word/footer116.xml" ContentType="application/vnd.openxmlformats-officedocument.wordprocessingml.foot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header120.xml" ContentType="application/vnd.openxmlformats-officedocument.wordprocessingml.header+xml"/>
  <Override PartName="/word/footer119.xml" ContentType="application/vnd.openxmlformats-officedocument.wordprocessingml.foot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header123.xml" ContentType="application/vnd.openxmlformats-officedocument.wordprocessingml.header+xml"/>
  <Override PartName="/word/footer122.xml" ContentType="application/vnd.openxmlformats-officedocument.wordprocessingml.foot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header126.xml" ContentType="application/vnd.openxmlformats-officedocument.wordprocessingml.header+xml"/>
  <Override PartName="/word/footer125.xml" ContentType="application/vnd.openxmlformats-officedocument.wordprocessingml.foot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header129.xml" ContentType="application/vnd.openxmlformats-officedocument.wordprocessingml.header+xml"/>
  <Override PartName="/word/footer128.xml" ContentType="application/vnd.openxmlformats-officedocument.wordprocessingml.foot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header132.xml" ContentType="application/vnd.openxmlformats-officedocument.wordprocessingml.header+xml"/>
  <Override PartName="/word/footer131.xml" ContentType="application/vnd.openxmlformats-officedocument.wordprocessingml.foot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header135.xml" ContentType="application/vnd.openxmlformats-officedocument.wordprocessingml.header+xml"/>
  <Override PartName="/word/footer134.xml" ContentType="application/vnd.openxmlformats-officedocument.wordprocessingml.foot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header138.xml" ContentType="application/vnd.openxmlformats-officedocument.wordprocessingml.header+xml"/>
  <Override PartName="/word/footer137.xml" ContentType="application/vnd.openxmlformats-officedocument.wordprocessingml.footer+xml"/>
  <Override PartName="/word/footer138.xml" ContentType="application/vnd.openxmlformats-officedocument.wordprocessingml.footer+xml"/>
  <Override PartName="/word/header139.xml" ContentType="application/vnd.openxmlformats-officedocument.wordprocessingml.header+xml"/>
  <Override PartName="/word/footer139.xml" ContentType="application/vnd.openxmlformats-officedocument.wordprocessingml.footer+xml"/>
  <Override PartName="/word/header140.xml" ContentType="application/vnd.openxmlformats-officedocument.wordprocessingml.header+xml"/>
  <Override PartName="/word/header141.xml" ContentType="application/vnd.openxmlformats-officedocument.wordprocessingml.header+xml"/>
  <Override PartName="/word/footer140.xml" ContentType="application/vnd.openxmlformats-officedocument.wordprocessingml.foot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FF48B8" w14:textId="3DA7ABAD" w:rsidR="003B6BD9" w:rsidRDefault="00064669" w:rsidP="00064669">
      <w:pPr>
        <w:pStyle w:val="Pagedecouverture"/>
        <w:rPr>
          <w:noProof/>
        </w:rPr>
      </w:pPr>
      <w:bookmarkStart w:id="0" w:name="LW_BM_COVERPAGE"/>
      <w:r>
        <w:rPr>
          <w:noProof/>
        </w:rPr>
        <w:pict w14:anchorId="437D8E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5063296-5612-4DF4-A986-E10CE388E370" style="width:455.25pt;height:372.75pt">
            <v:imagedata r:id="rId11" o:title=""/>
          </v:shape>
        </w:pict>
      </w:r>
    </w:p>
    <w:p w14:paraId="7B760B5F" w14:textId="77777777" w:rsidR="003B6BD9" w:rsidRDefault="003B6BD9">
      <w:pPr>
        <w:rPr>
          <w:noProof/>
        </w:rPr>
        <w:sectPr w:rsidR="003B6BD9" w:rsidSect="00064669">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bookmarkStart w:id="1" w:name="DWCons_LanguagesConcernedRange"/>
      <w:bookmarkEnd w:id="0"/>
    </w:p>
    <w:p w14:paraId="36882FCB" w14:textId="3C82707A" w:rsidR="003B6BD9" w:rsidRDefault="009E25E8">
      <w:pPr>
        <w:pStyle w:val="Annextitle"/>
        <w:jc w:val="center"/>
        <w:rPr>
          <w:noProof/>
        </w:rPr>
      </w:pPr>
      <w:bookmarkStart w:id="2" w:name="_GoBack"/>
      <w:bookmarkEnd w:id="1"/>
      <w:bookmarkEnd w:id="2"/>
      <w:r>
        <w:rPr>
          <w:noProof/>
        </w:rPr>
        <w:lastRenderedPageBreak/>
        <w:t>ANNEXE</w:t>
      </w:r>
    </w:p>
    <w:p w14:paraId="73514131" w14:textId="6BC0023B" w:rsidR="003B6BD9" w:rsidRDefault="009E25E8">
      <w:pPr>
        <w:rPr>
          <w:noProof/>
        </w:rPr>
      </w:pPr>
      <w:r>
        <w:rPr>
          <w:noProof/>
        </w:rPr>
        <w:t xml:space="preserve"> </w:t>
      </w:r>
    </w:p>
    <w:p w14:paraId="20594786" w14:textId="100A0D1A" w:rsidR="003B6BD9" w:rsidRDefault="009E25E8">
      <w:pPr>
        <w:pStyle w:val="P68B1DB1-TechnicalBlock1"/>
        <w:ind w:right="39"/>
        <w:jc w:val="left"/>
        <w:rPr>
          <w:noProof/>
        </w:rPr>
      </w:pPr>
      <w:r>
        <w:rPr>
          <w:noProof/>
        </w:rPr>
        <w:t>SECTION 1: RÉFORMES ET INVESTISSEMENTS AU TITRE DU PLAN POUR LA REPRISE ET LA RÉSILIENCE</w:t>
      </w:r>
    </w:p>
    <w:p w14:paraId="1C1994BB" w14:textId="77777777" w:rsidR="003B6BD9" w:rsidRDefault="003B6BD9">
      <w:pPr>
        <w:spacing w:before="0" w:after="200" w:line="276" w:lineRule="auto"/>
        <w:rPr>
          <w:rFonts w:ascii="Calibri" w:hAnsi="Calibri"/>
          <w:noProof/>
          <w:sz w:val="22"/>
        </w:rPr>
      </w:pPr>
    </w:p>
    <w:p w14:paraId="1C6B947D" w14:textId="09D147E3" w:rsidR="003B6BD9" w:rsidRDefault="009E25E8">
      <w:pPr>
        <w:pStyle w:val="P68B1DB1-Normal2"/>
        <w:tabs>
          <w:tab w:val="num" w:pos="850"/>
        </w:tabs>
        <w:spacing w:line="240" w:lineRule="auto"/>
        <w:ind w:left="850" w:hanging="850"/>
        <w:jc w:val="both"/>
        <w:rPr>
          <w:noProof/>
        </w:rPr>
      </w:pPr>
      <w:r>
        <w:rPr>
          <w:noProof/>
        </w:rPr>
        <w:t xml:space="preserve">Description des réformes et des investissements </w:t>
      </w:r>
    </w:p>
    <w:p w14:paraId="662C4EFB" w14:textId="62208367" w:rsidR="003B6BD9" w:rsidRDefault="009E25E8">
      <w:pPr>
        <w:pStyle w:val="P68B1DB1-Normal3"/>
        <w:keepNext/>
        <w:tabs>
          <w:tab w:val="left" w:pos="850"/>
        </w:tabs>
        <w:spacing w:line="240" w:lineRule="auto"/>
        <w:ind w:left="130" w:hanging="130"/>
        <w:jc w:val="both"/>
        <w:outlineLvl w:val="0"/>
        <w:rPr>
          <w:bCs/>
          <w:noProof/>
        </w:rPr>
      </w:pPr>
      <w:r>
        <w:rPr>
          <w:noProof/>
        </w:rPr>
        <w:t xml:space="preserve">A. VOLET 1: ÉNERGIES RENOUVELABLES ET EFFICACITÉ ÉNERGÉTIQUE </w:t>
      </w:r>
    </w:p>
    <w:p w14:paraId="4CDEEFA4" w14:textId="253770C0" w:rsidR="003B6BD9" w:rsidRDefault="009E25E8">
      <w:pPr>
        <w:spacing w:line="240" w:lineRule="auto"/>
        <w:jc w:val="both"/>
        <w:rPr>
          <w:noProof/>
        </w:rPr>
      </w:pPr>
      <w:r>
        <w:rPr>
          <w:noProof/>
        </w:rPr>
        <w:t xml:space="preserve">Ce volet du plan slovène pour la reprise et la résilience vise à relever plusieurs défis auxquels sont confrontés les producteurs et les consommateurs d’énergie renouvelable en Slovénie, ainsi que les systèmes de chauffage urbain anciens et inefficaces, les pertes dans le système de distribution d’électricité et l’utilisation limitée des systèmes de gestion de l’énergie. </w:t>
      </w:r>
    </w:p>
    <w:p w14:paraId="1F9C351B" w14:textId="1AD0C438" w:rsidR="003B6BD9" w:rsidRDefault="009E25E8">
      <w:pPr>
        <w:spacing w:line="240" w:lineRule="auto"/>
        <w:jc w:val="both"/>
        <w:rPr>
          <w:noProof/>
        </w:rPr>
      </w:pPr>
      <w:r>
        <w:rPr>
          <w:noProof/>
        </w:rPr>
        <w:t>Les objectifs de ce volet sont d’accroître l’utilisation des sources d’énergie renouvelables, d’améliorer l’efficacité énergétique et de réduire les émissions de gaz à effet de serre. Les réformes soutenant les investissements comprennent des modifications réglementaires visant à libérer le potentiel de production des énergies renouvelables, à renforcer le réseau électrique et à améliorer l’efficacité énergétique dans l’économie. Les investissements soutenus par ces réformes concernent l’augmentation de la part de l’électricité produite à partir de sources d’énergie renouvelables, la réduction des pertes sur le réseau électrique et la promotion de mesures d’efficacité énergétique dans l’industrie.</w:t>
      </w:r>
    </w:p>
    <w:p w14:paraId="46AE0E12" w14:textId="208BF292" w:rsidR="003B6BD9" w:rsidRDefault="009E25E8">
      <w:pPr>
        <w:spacing w:line="240" w:lineRule="auto"/>
        <w:jc w:val="both"/>
        <w:rPr>
          <w:noProof/>
        </w:rPr>
      </w:pPr>
      <w:r>
        <w:rPr>
          <w:noProof/>
        </w:rPr>
        <w:t>Ces investissements et réformes contribuent aux recommandations par pays adressées à la Slovénie au cours des deux dernières années visant à «axer la politique économique liée aux investissements sur [...] la transition énergétique et vers une économie à faible intensité de carbone (recommandations par pays no 3 et 2019) et à mettre l’accent sur les investissements en faveur de la transition écologique [...], en particulier en ce qui concerne la production et l’utilisation propres et efficaces de l’énergie et les infrastructures environnementales» (recommandations par pays no 3 et 2020).</w:t>
      </w:r>
    </w:p>
    <w:p w14:paraId="1E5EAA66" w14:textId="04201864" w:rsidR="003B6BD9" w:rsidRDefault="009E25E8">
      <w:pPr>
        <w:spacing w:line="240" w:lineRule="auto"/>
        <w:jc w:val="both"/>
        <w:rPr>
          <w:noProof/>
        </w:rPr>
      </w:pPr>
      <w:r>
        <w:rPr>
          <w:noProof/>
        </w:rPr>
        <w:t>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30BBC713" w14:textId="0C7EBD47" w:rsidR="003B6BD9" w:rsidRDefault="009E25E8">
      <w:pPr>
        <w:pStyle w:val="P68B1DB1-Normal4"/>
        <w:spacing w:line="240" w:lineRule="auto"/>
        <w:jc w:val="both"/>
        <w:rPr>
          <w:i/>
          <w:noProof/>
          <w:color w:val="4F81BD"/>
        </w:rPr>
      </w:pPr>
      <w:r>
        <w:rPr>
          <w:noProof/>
        </w:rPr>
        <w:t>A.1. Description des réformes et des investissements pour le soutien financier non remboursable</w:t>
      </w:r>
    </w:p>
    <w:p w14:paraId="2ED0EA56" w14:textId="77777777" w:rsidR="003B6BD9" w:rsidRDefault="009E25E8">
      <w:pPr>
        <w:pStyle w:val="P68B1DB1-Normal5"/>
        <w:spacing w:line="240" w:lineRule="auto"/>
        <w:jc w:val="both"/>
        <w:rPr>
          <w:noProof/>
        </w:rPr>
      </w:pPr>
      <w:r>
        <w:rPr>
          <w:noProof/>
        </w:rPr>
        <w:t>Réforme A: Réforme de la promotion des sources d’énergie renouvelables en Slovénie</w:t>
      </w:r>
    </w:p>
    <w:p w14:paraId="1FBAB531" w14:textId="2567672A" w:rsidR="003B6BD9" w:rsidRDefault="009E25E8">
      <w:pPr>
        <w:spacing w:line="240" w:lineRule="auto"/>
        <w:jc w:val="both"/>
        <w:rPr>
          <w:noProof/>
        </w:rPr>
      </w:pPr>
      <w:r>
        <w:rPr>
          <w:noProof/>
        </w:rPr>
        <w:t xml:space="preserve">L’objectif de la réforme est d’accélérer le déploiement des technologies renouvelables dans le secteur de l’électricité. </w:t>
      </w:r>
    </w:p>
    <w:p w14:paraId="58C5EB5F" w14:textId="71F4E0EC" w:rsidR="003B6BD9" w:rsidRDefault="009E25E8">
      <w:pPr>
        <w:spacing w:line="240" w:lineRule="auto"/>
        <w:jc w:val="both"/>
        <w:rPr>
          <w:noProof/>
        </w:rPr>
      </w:pPr>
      <w:r>
        <w:rPr>
          <w:noProof/>
        </w:rPr>
        <w:t xml:space="preserve">La réforme consiste en l’entrée en vigueur de la loi sur la promotion de l’utilisation de l’énergie produite à partir de sources renouvelables, en la création d’un point unique pour aider les investisseurs à obtenir des autorisations pour l’installation et le raccordement d’installations de production à des sources d’énergie renouvelables, et en l’entrée en vigueur d’un ou de plusieurs actes juridiques prévoyant une simple demande de raccordement au réseau de distribution. </w:t>
      </w:r>
    </w:p>
    <w:p w14:paraId="2111043F" w14:textId="6739BD53" w:rsidR="003B6BD9" w:rsidRDefault="009E25E8">
      <w:pPr>
        <w:pStyle w:val="P68B1DB1-Normal5"/>
        <w:spacing w:line="240" w:lineRule="auto"/>
        <w:jc w:val="both"/>
        <w:rPr>
          <w:noProof/>
        </w:rPr>
      </w:pPr>
      <w:r>
        <w:rPr>
          <w:noProof/>
        </w:rPr>
        <w:t>Réforme C: Efficacité énergétique dans l’économie</w:t>
      </w:r>
    </w:p>
    <w:p w14:paraId="24DCB523" w14:textId="0F90B96E" w:rsidR="003B6BD9" w:rsidRDefault="009E25E8">
      <w:pPr>
        <w:spacing w:line="240" w:lineRule="auto"/>
        <w:jc w:val="both"/>
        <w:rPr>
          <w:noProof/>
        </w:rPr>
      </w:pPr>
      <w:r>
        <w:rPr>
          <w:noProof/>
        </w:rPr>
        <w:t xml:space="preserve">L’objectif de la réforme est d’accroître le potentiel d’efficacité énergétique de l’industrie slovène. </w:t>
      </w:r>
    </w:p>
    <w:p w14:paraId="3139C2CE" w14:textId="5FCFB00C" w:rsidR="003B6BD9" w:rsidRDefault="009E25E8">
      <w:pPr>
        <w:spacing w:line="240" w:lineRule="auto"/>
        <w:jc w:val="both"/>
        <w:rPr>
          <w:noProof/>
        </w:rPr>
      </w:pPr>
      <w:bookmarkStart w:id="3" w:name="_Hlk142405023"/>
      <w:r>
        <w:rPr>
          <w:noProof/>
        </w:rPr>
        <w:t xml:space="preserve">La réforme promeut la numérisation de la communication d’informations et du suivi de l’efficacité énergétique. Un plan d’action pour la gestion de l’efficacité énergétique dans l’économie prévoit l’introduction d’une méthode numérisée de communication des données relatives aux audits énergétiques réalisés par les entreprises, ainsi que le suivi des économies d’énergie potentielles et réalisées. Tant les entreprises soumises à l’obligation d’effectuer des audits énergétiques en vertu de la loi sur l’efficacité énergétique que les entreprises qui ne sont pas actuellement soumises à la loi utilisent la méthode de déclaration numérisée. Le plan d’action prévoit également l’obligation pour les institutions concernées d’établir des rapports sur les audits énergétiques et leur mise en œuvre pour les entreprises bénéficiant d’un soutien en faveur de l’amélioration de l’efficacité énergétique. </w:t>
      </w:r>
    </w:p>
    <w:bookmarkEnd w:id="3"/>
    <w:p w14:paraId="0FF3354D" w14:textId="3AB8D92E" w:rsidR="003B6BD9" w:rsidRDefault="009E25E8">
      <w:pPr>
        <w:spacing w:line="240" w:lineRule="auto"/>
        <w:jc w:val="both"/>
        <w:rPr>
          <w:noProof/>
        </w:rPr>
      </w:pPr>
      <w:r>
        <w:rPr>
          <w:noProof/>
        </w:rPr>
        <w:t>La réforme vise à faciliter la communication de données par les entreprises grâce à la numérisation, ainsi qu’à améliorer et à harmoniser la communication et le suivi des données dans le domaine de l’efficacité énergétique, afin de permettre une meilleure évaluation de l’incidence des mesures d’efficacité énergétique.</w:t>
      </w:r>
    </w:p>
    <w:p w14:paraId="48A42B47" w14:textId="35C18A5A" w:rsidR="003B6BD9" w:rsidRDefault="009E25E8">
      <w:pPr>
        <w:spacing w:line="240" w:lineRule="auto"/>
        <w:jc w:val="both"/>
        <w:rPr>
          <w:noProof/>
        </w:rPr>
      </w:pPr>
      <w:r>
        <w:rPr>
          <w:noProof/>
        </w:rPr>
        <w:t>Les valeurs intermédiaires et les valeurs cibles liées à la mise en œuvre de la réforme sont atteintes au plus tard le 31 décembre 2023.</w:t>
      </w:r>
    </w:p>
    <w:p w14:paraId="5D1D2B51" w14:textId="77777777" w:rsidR="003B6BD9" w:rsidRDefault="009E25E8">
      <w:pPr>
        <w:pStyle w:val="P68B1DB1-Normal5"/>
        <w:spacing w:line="240" w:lineRule="auto"/>
        <w:jc w:val="both"/>
        <w:rPr>
          <w:noProof/>
        </w:rPr>
      </w:pPr>
      <w:r>
        <w:rPr>
          <w:noProof/>
        </w:rPr>
        <w:t>Investissement D: Restructuration efficace sur le plan énergétique de systèmes de chauffage urbain utilisant des sources d’énergie renouvelables</w:t>
      </w:r>
    </w:p>
    <w:p w14:paraId="4313AB2D" w14:textId="0697581A" w:rsidR="003B6BD9" w:rsidRDefault="009E25E8">
      <w:pPr>
        <w:spacing w:line="240" w:lineRule="auto"/>
        <w:jc w:val="both"/>
        <w:rPr>
          <w:noProof/>
        </w:rPr>
      </w:pPr>
      <w:r>
        <w:rPr>
          <w:noProof/>
        </w:rPr>
        <w:t xml:space="preserve">L’objectif de l’investissement est d’accroître l’efficacité énergétique des systèmes de chauffage urbain en augmentant la part de la capacité d’énergie renouvelable. </w:t>
      </w:r>
    </w:p>
    <w:p w14:paraId="649AB4A3" w14:textId="3DA19A2C" w:rsidR="003B6BD9" w:rsidRDefault="009E25E8">
      <w:pPr>
        <w:spacing w:line="240" w:lineRule="auto"/>
        <w:jc w:val="both"/>
        <w:rPr>
          <w:noProof/>
        </w:rPr>
      </w:pPr>
      <w:r>
        <w:rPr>
          <w:noProof/>
        </w:rPr>
        <w:t xml:space="preserve">Cet investissement consiste en une capacité installée d’énergie renouvelable de 6 MW dans les systèmes de chauffage urbain. </w:t>
      </w:r>
    </w:p>
    <w:p w14:paraId="78BDA8A4" w14:textId="38A84AA5" w:rsidR="003B6BD9" w:rsidRDefault="009E25E8">
      <w:pPr>
        <w:pStyle w:val="P68B1DB1-Normal5"/>
        <w:spacing w:line="240" w:lineRule="auto"/>
        <w:jc w:val="both"/>
        <w:rPr>
          <w:noProof/>
        </w:rPr>
      </w:pPr>
      <w:r>
        <w:rPr>
          <w:noProof/>
        </w:rPr>
        <w:t>Investissement F: Renforcement du réseau de distribution d’électricité (stations de transformation et réseau basse tension)</w:t>
      </w:r>
    </w:p>
    <w:p w14:paraId="1EFB9258" w14:textId="4C8C76F1" w:rsidR="003B6BD9" w:rsidRDefault="009E25E8">
      <w:pPr>
        <w:spacing w:line="240" w:lineRule="auto"/>
        <w:jc w:val="both"/>
        <w:rPr>
          <w:noProof/>
        </w:rPr>
      </w:pPr>
      <w:r>
        <w:rPr>
          <w:noProof/>
        </w:rPr>
        <w:t xml:space="preserve">L’objectif de l’investissement est de moderniser le réseau de distribution d’électricité. </w:t>
      </w:r>
    </w:p>
    <w:p w14:paraId="3429E9B3" w14:textId="725E134B" w:rsidR="003B6BD9" w:rsidRDefault="009E25E8">
      <w:pPr>
        <w:spacing w:line="240" w:lineRule="auto"/>
        <w:jc w:val="both"/>
        <w:rPr>
          <w:noProof/>
        </w:rPr>
      </w:pPr>
      <w:r>
        <w:rPr>
          <w:noProof/>
        </w:rPr>
        <w:t xml:space="preserve">L’investissement consiste en la construction de 838 nouvelles stations de transformation et en la construction d’un nouveau réseau de distribution basse tension d’au moins 260 kilomètres. </w:t>
      </w:r>
    </w:p>
    <w:p w14:paraId="63970F9A" w14:textId="35ABED43" w:rsidR="003B6BD9" w:rsidRDefault="003B6BD9">
      <w:pPr>
        <w:spacing w:line="240" w:lineRule="auto"/>
        <w:ind w:left="850"/>
        <w:jc w:val="both"/>
        <w:rPr>
          <w:noProof/>
        </w:rPr>
        <w:sectPr w:rsidR="003B6BD9" w:rsidSect="00842956">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p>
    <w:p w14:paraId="3610C550" w14:textId="77777777" w:rsidR="003B6BD9" w:rsidRDefault="009E25E8">
      <w:pPr>
        <w:pStyle w:val="P68B1DB1-Normal4"/>
        <w:spacing w:line="240" w:lineRule="auto"/>
        <w:ind w:left="850"/>
        <w:jc w:val="both"/>
        <w:rPr>
          <w:noProof/>
        </w:rPr>
      </w:pPr>
      <w:r>
        <w:rPr>
          <w:noProof/>
        </w:rPr>
        <w:t xml:space="preserve">A.2. </w:t>
      </w:r>
      <w:r>
        <w:rPr>
          <w:noProof/>
        </w:rPr>
        <w:tab/>
        <w:t>Jalons, cibles, indicateurs et calendrier de suivi et de mise en œuvre pour le soutien financier non remboursable</w:t>
      </w:r>
    </w:p>
    <w:tbl>
      <w:tblPr>
        <w:tblW w:w="15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5"/>
        <w:gridCol w:w="1905"/>
        <w:gridCol w:w="1095"/>
        <w:gridCol w:w="1693"/>
        <w:gridCol w:w="1661"/>
        <w:gridCol w:w="1258"/>
        <w:gridCol w:w="1095"/>
        <w:gridCol w:w="704"/>
        <w:gridCol w:w="1036"/>
        <w:gridCol w:w="740"/>
        <w:gridCol w:w="3402"/>
      </w:tblGrid>
      <w:tr w:rsidR="003B6BD9" w14:paraId="517CA3CD" w14:textId="77777777" w:rsidTr="009764B0">
        <w:trPr>
          <w:trHeight w:val="300"/>
          <w:tblHeader/>
          <w:jc w:val="center"/>
        </w:trPr>
        <w:tc>
          <w:tcPr>
            <w:tcW w:w="955" w:type="dxa"/>
            <w:vMerge w:val="restart"/>
            <w:shd w:val="clear" w:color="auto" w:fill="BDD7EE"/>
            <w:vAlign w:val="center"/>
            <w:hideMark/>
          </w:tcPr>
          <w:p w14:paraId="3C6E5612" w14:textId="452BF36A" w:rsidR="003B6BD9" w:rsidRDefault="009E25E8">
            <w:pPr>
              <w:pStyle w:val="P68B1DB1-Normal6"/>
              <w:spacing w:before="0" w:after="0" w:line="240" w:lineRule="auto"/>
              <w:jc w:val="center"/>
              <w:rPr>
                <w:rFonts w:eastAsia="Times New Roman"/>
                <w:noProof/>
              </w:rPr>
            </w:pPr>
            <w:r>
              <w:rPr>
                <w:noProof/>
              </w:rPr>
              <w:t>Et suivants Non.</w:t>
            </w:r>
          </w:p>
        </w:tc>
        <w:tc>
          <w:tcPr>
            <w:tcW w:w="1905" w:type="dxa"/>
            <w:vMerge w:val="restart"/>
            <w:shd w:val="clear" w:color="auto" w:fill="BDD7EE"/>
            <w:vAlign w:val="center"/>
            <w:hideMark/>
          </w:tcPr>
          <w:p w14:paraId="6FE8B95E" w14:textId="77777777" w:rsidR="003B6BD9" w:rsidRDefault="009E25E8">
            <w:pPr>
              <w:pStyle w:val="P68B1DB1-Normal6"/>
              <w:spacing w:before="0" w:after="0" w:line="240" w:lineRule="auto"/>
              <w:jc w:val="center"/>
              <w:rPr>
                <w:rFonts w:eastAsia="Times New Roman"/>
                <w:noProof/>
              </w:rPr>
            </w:pPr>
            <w:r>
              <w:rPr>
                <w:noProof/>
              </w:rPr>
              <w:t>Mesure connexe (réforme ou investissement)</w:t>
            </w:r>
          </w:p>
        </w:tc>
        <w:tc>
          <w:tcPr>
            <w:tcW w:w="1095" w:type="dxa"/>
            <w:vMerge w:val="restart"/>
            <w:shd w:val="clear" w:color="auto" w:fill="BDD7EE"/>
            <w:vAlign w:val="center"/>
            <w:hideMark/>
          </w:tcPr>
          <w:p w14:paraId="4E1C3A44" w14:textId="68D8E3CF" w:rsidR="003B6BD9" w:rsidRDefault="009E25E8">
            <w:pPr>
              <w:pStyle w:val="P68B1DB1-Normal6"/>
              <w:spacing w:before="0" w:after="0" w:line="240" w:lineRule="auto"/>
              <w:jc w:val="center"/>
              <w:rPr>
                <w:rFonts w:eastAsia="Times New Roman"/>
                <w:noProof/>
              </w:rPr>
            </w:pPr>
            <w:r>
              <w:rPr>
                <w:noProof/>
              </w:rPr>
              <w:t>Étape/</w:t>
            </w:r>
            <w:r w:rsidR="009764B0">
              <w:rPr>
                <w:noProof/>
              </w:rPr>
              <w:br/>
            </w:r>
            <w:r>
              <w:rPr>
                <w:noProof/>
              </w:rPr>
              <w:t>Objectif</w:t>
            </w:r>
          </w:p>
        </w:tc>
        <w:tc>
          <w:tcPr>
            <w:tcW w:w="1693" w:type="dxa"/>
            <w:vMerge w:val="restart"/>
            <w:shd w:val="clear" w:color="auto" w:fill="BDD7EE"/>
            <w:vAlign w:val="center"/>
            <w:hideMark/>
          </w:tcPr>
          <w:p w14:paraId="2BF42AEE" w14:textId="77777777" w:rsidR="003B6BD9" w:rsidRDefault="009E25E8">
            <w:pPr>
              <w:pStyle w:val="P68B1DB1-Normal6"/>
              <w:spacing w:before="0" w:after="0" w:line="240" w:lineRule="auto"/>
              <w:jc w:val="center"/>
              <w:rPr>
                <w:rFonts w:eastAsia="Times New Roman"/>
                <w:noProof/>
              </w:rPr>
            </w:pPr>
            <w:r>
              <w:rPr>
                <w:noProof/>
              </w:rPr>
              <w:t>Nom</w:t>
            </w:r>
          </w:p>
        </w:tc>
        <w:tc>
          <w:tcPr>
            <w:tcW w:w="1661" w:type="dxa"/>
            <w:vMerge w:val="restart"/>
            <w:shd w:val="clear" w:color="auto" w:fill="BDD7EE"/>
            <w:vAlign w:val="center"/>
            <w:hideMark/>
          </w:tcPr>
          <w:p w14:paraId="511FB956" w14:textId="478E5E24" w:rsidR="003B6BD9" w:rsidRDefault="009E25E8">
            <w:pPr>
              <w:pStyle w:val="P68B1DB1-Normal6"/>
              <w:spacing w:before="0" w:after="0" w:line="240" w:lineRule="auto"/>
              <w:jc w:val="center"/>
              <w:rPr>
                <w:rFonts w:eastAsia="Times New Roman"/>
                <w:noProof/>
              </w:rPr>
            </w:pPr>
            <w:r>
              <w:rPr>
                <w:noProof/>
              </w:rPr>
              <w:t>Indicateurs qualitatifs (pour les jalons)</w:t>
            </w:r>
          </w:p>
        </w:tc>
        <w:tc>
          <w:tcPr>
            <w:tcW w:w="3057" w:type="dxa"/>
            <w:gridSpan w:val="3"/>
            <w:shd w:val="clear" w:color="auto" w:fill="BDD7EE"/>
            <w:vAlign w:val="center"/>
            <w:hideMark/>
          </w:tcPr>
          <w:p w14:paraId="49160005" w14:textId="10B40E3F" w:rsidR="003B6BD9" w:rsidRDefault="009E25E8">
            <w:pPr>
              <w:pStyle w:val="P68B1DB1-Normal6"/>
              <w:spacing w:before="0" w:after="0" w:line="240" w:lineRule="auto"/>
              <w:jc w:val="center"/>
              <w:rPr>
                <w:rFonts w:eastAsia="Times New Roman"/>
                <w:noProof/>
              </w:rPr>
            </w:pPr>
            <w:r>
              <w:rPr>
                <w:noProof/>
              </w:rPr>
              <w:t>Indicateurs quantitatifs (pour les cibles)</w:t>
            </w:r>
          </w:p>
        </w:tc>
        <w:tc>
          <w:tcPr>
            <w:tcW w:w="1776" w:type="dxa"/>
            <w:gridSpan w:val="2"/>
            <w:shd w:val="clear" w:color="auto" w:fill="BDD7EE"/>
            <w:vAlign w:val="center"/>
            <w:hideMark/>
          </w:tcPr>
          <w:p w14:paraId="6C0B893E" w14:textId="77777777" w:rsidR="003B6BD9" w:rsidRDefault="009E25E8">
            <w:pPr>
              <w:pStyle w:val="P68B1DB1-Normal6"/>
              <w:spacing w:before="0" w:after="0" w:line="240" w:lineRule="auto"/>
              <w:jc w:val="center"/>
              <w:rPr>
                <w:rFonts w:eastAsia="Times New Roman"/>
                <w:noProof/>
              </w:rPr>
            </w:pPr>
            <w:r>
              <w:rPr>
                <w:noProof/>
              </w:rPr>
              <w:t xml:space="preserve">Calendrier indicatif pour l’achèvement </w:t>
            </w:r>
          </w:p>
        </w:tc>
        <w:tc>
          <w:tcPr>
            <w:tcW w:w="3402" w:type="dxa"/>
            <w:vMerge w:val="restart"/>
            <w:shd w:val="clear" w:color="auto" w:fill="BDD7EE"/>
            <w:vAlign w:val="center"/>
            <w:hideMark/>
          </w:tcPr>
          <w:p w14:paraId="119D1007" w14:textId="77777777" w:rsidR="003B6BD9" w:rsidRDefault="009E25E8">
            <w:pPr>
              <w:pStyle w:val="P68B1DB1-Normal6"/>
              <w:spacing w:before="0" w:after="0" w:line="240" w:lineRule="auto"/>
              <w:jc w:val="center"/>
              <w:rPr>
                <w:rFonts w:eastAsia="Times New Roman"/>
                <w:noProof/>
              </w:rPr>
            </w:pPr>
            <w:r>
              <w:rPr>
                <w:noProof/>
              </w:rPr>
              <w:t>Description de chaque jalon et cible</w:t>
            </w:r>
          </w:p>
        </w:tc>
      </w:tr>
      <w:tr w:rsidR="003B6BD9" w14:paraId="492B5CB7" w14:textId="77777777" w:rsidTr="009764B0">
        <w:trPr>
          <w:trHeight w:val="300"/>
          <w:tblHeader/>
          <w:jc w:val="center"/>
        </w:trPr>
        <w:tc>
          <w:tcPr>
            <w:tcW w:w="955" w:type="dxa"/>
            <w:vMerge/>
            <w:vAlign w:val="center"/>
            <w:hideMark/>
          </w:tcPr>
          <w:p w14:paraId="35A4BF59" w14:textId="77777777" w:rsidR="003B6BD9" w:rsidRDefault="003B6BD9">
            <w:pPr>
              <w:spacing w:before="0" w:after="0" w:line="240" w:lineRule="auto"/>
              <w:rPr>
                <w:rFonts w:eastAsia="Times New Roman"/>
                <w:b/>
                <w:noProof/>
                <w:sz w:val="18"/>
                <w:szCs w:val="18"/>
              </w:rPr>
            </w:pPr>
          </w:p>
        </w:tc>
        <w:tc>
          <w:tcPr>
            <w:tcW w:w="1905" w:type="dxa"/>
            <w:vMerge/>
            <w:vAlign w:val="center"/>
            <w:hideMark/>
          </w:tcPr>
          <w:p w14:paraId="0C4D84F0" w14:textId="77777777" w:rsidR="003B6BD9" w:rsidRDefault="003B6BD9">
            <w:pPr>
              <w:spacing w:before="0" w:after="0" w:line="240" w:lineRule="auto"/>
              <w:rPr>
                <w:rFonts w:eastAsia="Times New Roman"/>
                <w:b/>
                <w:noProof/>
                <w:sz w:val="18"/>
                <w:szCs w:val="18"/>
              </w:rPr>
            </w:pPr>
          </w:p>
        </w:tc>
        <w:tc>
          <w:tcPr>
            <w:tcW w:w="1095" w:type="dxa"/>
            <w:vMerge/>
            <w:vAlign w:val="center"/>
            <w:hideMark/>
          </w:tcPr>
          <w:p w14:paraId="14F1A93B" w14:textId="77777777" w:rsidR="003B6BD9" w:rsidRDefault="003B6BD9">
            <w:pPr>
              <w:spacing w:before="0" w:after="0" w:line="240" w:lineRule="auto"/>
              <w:rPr>
                <w:rFonts w:eastAsia="Times New Roman"/>
                <w:b/>
                <w:noProof/>
                <w:sz w:val="18"/>
                <w:szCs w:val="18"/>
              </w:rPr>
            </w:pPr>
          </w:p>
        </w:tc>
        <w:tc>
          <w:tcPr>
            <w:tcW w:w="1693" w:type="dxa"/>
            <w:vMerge/>
            <w:vAlign w:val="center"/>
            <w:hideMark/>
          </w:tcPr>
          <w:p w14:paraId="15F5FF33" w14:textId="77777777" w:rsidR="003B6BD9" w:rsidRDefault="003B6BD9">
            <w:pPr>
              <w:spacing w:before="0" w:after="0" w:line="240" w:lineRule="auto"/>
              <w:rPr>
                <w:rFonts w:eastAsia="Times New Roman"/>
                <w:b/>
                <w:noProof/>
                <w:sz w:val="18"/>
                <w:szCs w:val="18"/>
              </w:rPr>
            </w:pPr>
          </w:p>
        </w:tc>
        <w:tc>
          <w:tcPr>
            <w:tcW w:w="1661" w:type="dxa"/>
            <w:vMerge/>
            <w:vAlign w:val="center"/>
            <w:hideMark/>
          </w:tcPr>
          <w:p w14:paraId="194BF4F0" w14:textId="77777777" w:rsidR="003B6BD9" w:rsidRDefault="003B6BD9">
            <w:pPr>
              <w:spacing w:before="0" w:after="0" w:line="240" w:lineRule="auto"/>
              <w:rPr>
                <w:rFonts w:eastAsia="Times New Roman"/>
                <w:b/>
                <w:noProof/>
                <w:sz w:val="18"/>
                <w:szCs w:val="18"/>
              </w:rPr>
            </w:pPr>
          </w:p>
        </w:tc>
        <w:tc>
          <w:tcPr>
            <w:tcW w:w="1258" w:type="dxa"/>
            <w:shd w:val="clear" w:color="auto" w:fill="BDD7EE"/>
            <w:vAlign w:val="center"/>
            <w:hideMark/>
          </w:tcPr>
          <w:p w14:paraId="12005183" w14:textId="77777777" w:rsidR="003B6BD9" w:rsidRDefault="009E25E8">
            <w:pPr>
              <w:pStyle w:val="P68B1DB1-Normal6"/>
              <w:spacing w:before="0" w:after="0" w:line="240" w:lineRule="auto"/>
              <w:jc w:val="center"/>
              <w:rPr>
                <w:rFonts w:eastAsia="Times New Roman"/>
                <w:noProof/>
              </w:rPr>
            </w:pPr>
            <w:r>
              <w:rPr>
                <w:noProof/>
              </w:rPr>
              <w:t>Unité de mesure</w:t>
            </w:r>
          </w:p>
        </w:tc>
        <w:tc>
          <w:tcPr>
            <w:tcW w:w="1095" w:type="dxa"/>
            <w:shd w:val="clear" w:color="auto" w:fill="BDD7EE"/>
            <w:vAlign w:val="center"/>
            <w:hideMark/>
          </w:tcPr>
          <w:p w14:paraId="3143DC84" w14:textId="77777777" w:rsidR="003B6BD9" w:rsidRDefault="009E25E8">
            <w:pPr>
              <w:pStyle w:val="P68B1DB1-Normal6"/>
              <w:spacing w:before="0" w:after="0" w:line="240" w:lineRule="auto"/>
              <w:jc w:val="center"/>
              <w:rPr>
                <w:rFonts w:eastAsia="Times New Roman"/>
                <w:noProof/>
              </w:rPr>
            </w:pPr>
            <w:r>
              <w:rPr>
                <w:noProof/>
              </w:rPr>
              <w:t xml:space="preserve">Niveau de référence </w:t>
            </w:r>
          </w:p>
        </w:tc>
        <w:tc>
          <w:tcPr>
            <w:tcW w:w="704" w:type="dxa"/>
            <w:shd w:val="clear" w:color="auto" w:fill="BDD7EE"/>
            <w:vAlign w:val="center"/>
            <w:hideMark/>
          </w:tcPr>
          <w:p w14:paraId="136F8A33" w14:textId="77777777" w:rsidR="003B6BD9" w:rsidRDefault="009E25E8">
            <w:pPr>
              <w:pStyle w:val="P68B1DB1-Normal6"/>
              <w:spacing w:before="0" w:after="0" w:line="240" w:lineRule="auto"/>
              <w:jc w:val="center"/>
              <w:rPr>
                <w:rFonts w:eastAsia="Times New Roman"/>
                <w:noProof/>
              </w:rPr>
            </w:pPr>
            <w:r>
              <w:rPr>
                <w:noProof/>
              </w:rPr>
              <w:t xml:space="preserve">But </w:t>
            </w:r>
          </w:p>
        </w:tc>
        <w:tc>
          <w:tcPr>
            <w:tcW w:w="1036" w:type="dxa"/>
            <w:shd w:val="clear" w:color="auto" w:fill="BDD7EE"/>
            <w:vAlign w:val="center"/>
            <w:hideMark/>
          </w:tcPr>
          <w:p w14:paraId="39157CA0" w14:textId="77777777" w:rsidR="003B6BD9" w:rsidRDefault="009E25E8">
            <w:pPr>
              <w:pStyle w:val="P68B1DB1-Normal6"/>
              <w:spacing w:before="0" w:after="0" w:line="240" w:lineRule="auto"/>
              <w:jc w:val="center"/>
              <w:rPr>
                <w:rFonts w:eastAsia="Times New Roman"/>
                <w:noProof/>
              </w:rPr>
            </w:pPr>
            <w:r>
              <w:rPr>
                <w:noProof/>
              </w:rPr>
              <w:t>Trimestre</w:t>
            </w:r>
          </w:p>
        </w:tc>
        <w:tc>
          <w:tcPr>
            <w:tcW w:w="740" w:type="dxa"/>
            <w:shd w:val="clear" w:color="auto" w:fill="BDD7EE"/>
            <w:vAlign w:val="center"/>
            <w:hideMark/>
          </w:tcPr>
          <w:p w14:paraId="085AE583" w14:textId="77777777" w:rsidR="003B6BD9" w:rsidRDefault="009E25E8">
            <w:pPr>
              <w:pStyle w:val="P68B1DB1-Normal6"/>
              <w:spacing w:before="0" w:after="0" w:line="240" w:lineRule="auto"/>
              <w:jc w:val="center"/>
              <w:rPr>
                <w:rFonts w:eastAsia="Times New Roman"/>
                <w:noProof/>
              </w:rPr>
            </w:pPr>
            <w:r>
              <w:rPr>
                <w:noProof/>
              </w:rPr>
              <w:t>Année</w:t>
            </w:r>
          </w:p>
        </w:tc>
        <w:tc>
          <w:tcPr>
            <w:tcW w:w="3402" w:type="dxa"/>
            <w:vMerge/>
            <w:vAlign w:val="center"/>
            <w:hideMark/>
          </w:tcPr>
          <w:p w14:paraId="22238ED6" w14:textId="77777777" w:rsidR="003B6BD9" w:rsidRDefault="003B6BD9">
            <w:pPr>
              <w:spacing w:before="0" w:after="0" w:line="240" w:lineRule="auto"/>
              <w:rPr>
                <w:rFonts w:eastAsia="Times New Roman"/>
                <w:b/>
                <w:noProof/>
                <w:sz w:val="18"/>
                <w:szCs w:val="18"/>
              </w:rPr>
            </w:pPr>
          </w:p>
        </w:tc>
      </w:tr>
      <w:tr w:rsidR="003B6BD9" w14:paraId="2E8D575F" w14:textId="77777777" w:rsidTr="009764B0">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1F90C26E" w14:textId="77777777" w:rsidR="003B6BD9" w:rsidRDefault="009E25E8">
            <w:pPr>
              <w:pStyle w:val="P68B1DB1-Normal7"/>
              <w:spacing w:before="0" w:after="0" w:line="240" w:lineRule="auto"/>
              <w:rPr>
                <w:rFonts w:eastAsia="Times New Roman"/>
                <w:noProof/>
              </w:rPr>
            </w:pPr>
            <w:r>
              <w:rPr>
                <w:noProof/>
              </w:rPr>
              <w:t>1</w:t>
            </w:r>
          </w:p>
        </w:tc>
        <w:tc>
          <w:tcPr>
            <w:tcW w:w="1905" w:type="dxa"/>
            <w:tcBorders>
              <w:top w:val="single" w:sz="4" w:space="0" w:color="auto"/>
              <w:left w:val="single" w:sz="4" w:space="0" w:color="auto"/>
              <w:bottom w:val="single" w:sz="4" w:space="0" w:color="auto"/>
              <w:right w:val="single" w:sz="4" w:space="0" w:color="auto"/>
            </w:tcBorders>
            <w:shd w:val="clear" w:color="auto" w:fill="C6EFCE"/>
            <w:noWrap/>
          </w:tcPr>
          <w:p w14:paraId="0F7FC9A9" w14:textId="77777777" w:rsidR="003B6BD9" w:rsidRDefault="009E25E8">
            <w:pPr>
              <w:pStyle w:val="P68B1DB1-Normal7"/>
              <w:spacing w:before="0" w:after="0" w:line="240" w:lineRule="auto"/>
              <w:rPr>
                <w:rFonts w:eastAsia="Times New Roman"/>
                <w:noProof/>
              </w:rPr>
            </w:pPr>
            <w:r>
              <w:rPr>
                <w:noProof/>
              </w:rPr>
              <w:t>A: Réforme de la promotion des sources d’énergie renouvelables en Slovénie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346807C0" w14:textId="77777777" w:rsidR="003B6BD9" w:rsidRDefault="009E25E8">
            <w:pPr>
              <w:pStyle w:val="P68B1DB1-Normal7"/>
              <w:spacing w:before="0" w:after="0" w:line="240" w:lineRule="auto"/>
              <w:rPr>
                <w:rFonts w:eastAsia="Times New Roman"/>
                <w:noProof/>
              </w:rPr>
            </w:pPr>
            <w:r>
              <w:rPr>
                <w:noProof/>
              </w:rPr>
              <w:t>Jalon</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15FE22CD" w14:textId="77777777" w:rsidR="003B6BD9" w:rsidRDefault="009E25E8">
            <w:pPr>
              <w:pStyle w:val="P68B1DB1-Normal7"/>
              <w:spacing w:before="0" w:after="0" w:line="240" w:lineRule="auto"/>
              <w:rPr>
                <w:rFonts w:eastAsia="Times New Roman"/>
                <w:noProof/>
              </w:rPr>
            </w:pPr>
            <w:r>
              <w:rPr>
                <w:noProof/>
              </w:rPr>
              <w:t xml:space="preserve">Entrée en vigueur de la loi sur la promotion de l’utilisation de l’énergie produite à partir de sources renouvelables </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5189C1FA" w14:textId="77777777" w:rsidR="003B6BD9" w:rsidRDefault="009E25E8">
            <w:pPr>
              <w:pStyle w:val="P68B1DB1-Normal7"/>
              <w:spacing w:before="0" w:after="0" w:line="240" w:lineRule="auto"/>
              <w:rPr>
                <w:rFonts w:eastAsia="Times New Roman"/>
                <w:noProof/>
              </w:rPr>
            </w:pPr>
            <w:r>
              <w:rPr>
                <w:noProof/>
              </w:rPr>
              <w:t>Disposition de la loi indiquant l’entrée en vigueur de la loi sur la promotion de l’utilisation de l’énergie produite à partir de sources renouvelables</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2CE373CE" w14:textId="77777777" w:rsidR="003B6BD9" w:rsidRDefault="009E25E8">
            <w:pPr>
              <w:pStyle w:val="P68B1DB1-Normal7"/>
              <w:spacing w:before="0" w:after="0" w:line="240" w:lineRule="auto"/>
              <w:rPr>
                <w:rFonts w:eastAsia="Times New Roman"/>
                <w:noProof/>
              </w:rPr>
            </w:pPr>
            <w:r>
              <w:rPr>
                <w:noProof/>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CDE7377" w14:textId="77777777" w:rsidR="003B6BD9" w:rsidRDefault="009E25E8">
            <w:pPr>
              <w:pStyle w:val="P68B1DB1-Normal7"/>
              <w:spacing w:before="0" w:after="0" w:line="240" w:lineRule="auto"/>
              <w:rPr>
                <w:rFonts w:eastAsia="Times New Roman"/>
                <w:noProof/>
              </w:rPr>
            </w:pPr>
            <w:r>
              <w:rPr>
                <w:noProof/>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6D005699" w14:textId="77777777" w:rsidR="003B6BD9" w:rsidRDefault="009E25E8">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41071887" w14:textId="77777777" w:rsidR="003B6BD9" w:rsidRDefault="009E25E8">
            <w:pPr>
              <w:pStyle w:val="P68B1DB1-Normal7"/>
              <w:spacing w:before="0" w:after="0" w:line="240" w:lineRule="auto"/>
              <w:rPr>
                <w:rFonts w:eastAsia="Times New Roman"/>
                <w:noProof/>
              </w:rPr>
            </w:pPr>
            <w:r>
              <w:rPr>
                <w:noProof/>
              </w:rPr>
              <w:t>T2</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4844D114" w14:textId="77777777" w:rsidR="003B6BD9" w:rsidRDefault="009E25E8">
            <w:pPr>
              <w:pStyle w:val="P68B1DB1-Normal7"/>
              <w:spacing w:before="0" w:after="0" w:line="240" w:lineRule="auto"/>
              <w:rPr>
                <w:rFonts w:eastAsia="Times New Roman"/>
                <w:noProof/>
              </w:rPr>
            </w:pPr>
            <w:r>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315C489" w14:textId="77777777" w:rsidR="003B6BD9" w:rsidRDefault="009E25E8">
            <w:pPr>
              <w:pStyle w:val="P68B1DB1-Normal7"/>
              <w:spacing w:before="0" w:after="0" w:line="240" w:lineRule="auto"/>
              <w:rPr>
                <w:rFonts w:eastAsia="Times New Roman"/>
                <w:noProof/>
              </w:rPr>
            </w:pPr>
            <w:r>
              <w:rPr>
                <w:noProof/>
              </w:rPr>
              <w:t xml:space="preserve">La loi réglemente l’utilisation des sources d’énergie renouvelables par l’État et les municipalités et fixe un objectif contraignant pour la part d’énergie produite à partir de sources renouvelables dans la consommation finale brute de la République de Slovénie. </w:t>
            </w:r>
          </w:p>
          <w:p w14:paraId="45216E32" w14:textId="5A65ADAD" w:rsidR="003B6BD9" w:rsidRDefault="009E25E8">
            <w:pPr>
              <w:pStyle w:val="P68B1DB1-Normal7"/>
              <w:spacing w:before="0" w:after="0" w:line="240" w:lineRule="auto"/>
              <w:rPr>
                <w:rFonts w:eastAsia="Times New Roman"/>
                <w:noProof/>
              </w:rPr>
            </w:pPr>
            <w:r>
              <w:rPr>
                <w:noProof/>
              </w:rPr>
              <w:t>Elle précise les mesures à prendre pour atteindre cet objectif et les méthodes de financement, y compris le raccourcissement des procédures d’autorisation pour l’installation, le raccordement et l’exploitation d’installations de production d’énergie renouvelable (solaire et éolienne) de toutes tailles. En particulier, elle met en œuvre les recommandations résultant de l’assistance technique en cours sur la révision de la législation relative à l’aménagement du territoire des centrales éoliennes, financée au titre de l’instrument d’appui technique. Il comprend également des garanties d’origine pour l’énergie produite à partir de sources renouvelables dans le secteur du chauffage, du refroidissement et des transports, des procédures administratives ainsi que l’information et la formation des installateurs. Elle établit un point de contact unique pour les investisseurs dans les installations de production.</w:t>
            </w:r>
          </w:p>
        </w:tc>
      </w:tr>
      <w:tr w:rsidR="003B6BD9" w14:paraId="2AFE5D31" w14:textId="77777777" w:rsidTr="009764B0">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7F5D9DDE" w14:textId="77777777" w:rsidR="003B6BD9" w:rsidRDefault="009E25E8">
            <w:pPr>
              <w:pStyle w:val="P68B1DB1-Normal7"/>
              <w:spacing w:before="0" w:after="0" w:line="240" w:lineRule="auto"/>
              <w:rPr>
                <w:rFonts w:eastAsia="Times New Roman"/>
                <w:noProof/>
              </w:rPr>
            </w:pPr>
            <w:r>
              <w:rPr>
                <w:noProof/>
              </w:rPr>
              <w:t>2</w:t>
            </w:r>
          </w:p>
        </w:tc>
        <w:tc>
          <w:tcPr>
            <w:tcW w:w="1905" w:type="dxa"/>
            <w:tcBorders>
              <w:top w:val="single" w:sz="4" w:space="0" w:color="auto"/>
              <w:left w:val="single" w:sz="4" w:space="0" w:color="auto"/>
              <w:bottom w:val="single" w:sz="4" w:space="0" w:color="auto"/>
              <w:right w:val="single" w:sz="4" w:space="0" w:color="auto"/>
            </w:tcBorders>
            <w:shd w:val="clear" w:color="auto" w:fill="C6EFCE"/>
            <w:noWrap/>
          </w:tcPr>
          <w:p w14:paraId="457E3CFE" w14:textId="77777777" w:rsidR="003B6BD9" w:rsidRDefault="009E25E8">
            <w:pPr>
              <w:pStyle w:val="P68B1DB1-Normal7"/>
              <w:spacing w:before="0" w:after="0" w:line="240" w:lineRule="auto"/>
              <w:rPr>
                <w:rFonts w:eastAsia="Times New Roman"/>
                <w:noProof/>
              </w:rPr>
            </w:pPr>
            <w:r>
              <w:rPr>
                <w:noProof/>
              </w:rPr>
              <w:t>A: Réforme de la promotion des sources d’énergie renouvelables en Slovénie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16F6B31E" w14:textId="77777777" w:rsidR="003B6BD9" w:rsidRDefault="009E25E8">
            <w:pPr>
              <w:pStyle w:val="P68B1DB1-Normal7"/>
              <w:spacing w:before="0" w:after="0" w:line="240" w:lineRule="auto"/>
              <w:rPr>
                <w:rFonts w:eastAsia="Times New Roman"/>
                <w:noProof/>
              </w:rPr>
            </w:pPr>
            <w:r>
              <w:rPr>
                <w:noProof/>
              </w:rPr>
              <w:t>Jalon</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11424D62" w14:textId="77777777" w:rsidR="003B6BD9" w:rsidRDefault="009E25E8">
            <w:pPr>
              <w:pStyle w:val="P68B1DB1-Normal7"/>
              <w:spacing w:before="0" w:after="0" w:line="240" w:lineRule="auto"/>
              <w:rPr>
                <w:rFonts w:eastAsia="Times New Roman"/>
                <w:noProof/>
              </w:rPr>
            </w:pPr>
            <w:r>
              <w:rPr>
                <w:noProof/>
              </w:rPr>
              <w:t>Un point unique destiné à aider les investisseurs à obtenir des autorisations pour l’installation et le raccordement d’installations de production à des sources d’énergie renouvelables est opérationnel.</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379F6705" w14:textId="77777777" w:rsidR="003B6BD9" w:rsidRDefault="009E25E8">
            <w:pPr>
              <w:pStyle w:val="P68B1DB1-Normal7"/>
              <w:spacing w:before="0" w:after="0" w:line="240" w:lineRule="auto"/>
              <w:rPr>
                <w:rFonts w:eastAsia="Times New Roman"/>
                <w:noProof/>
              </w:rPr>
            </w:pPr>
            <w:r>
              <w:rPr>
                <w:noProof/>
              </w:rPr>
              <w:t xml:space="preserve">Le point de contact unique est opérationnel </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793FEA0D" w14:textId="77777777" w:rsidR="003B6BD9" w:rsidRDefault="009E25E8">
            <w:pPr>
              <w:pStyle w:val="P68B1DB1-Normal7"/>
              <w:spacing w:before="0" w:after="0" w:line="240" w:lineRule="auto"/>
              <w:rPr>
                <w:rFonts w:eastAsia="Times New Roman"/>
                <w:noProof/>
              </w:rPr>
            </w:pPr>
            <w:r>
              <w:rPr>
                <w:noProof/>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403009E" w14:textId="77777777" w:rsidR="003B6BD9" w:rsidRDefault="009E25E8">
            <w:pPr>
              <w:pStyle w:val="P68B1DB1-Normal7"/>
              <w:spacing w:before="0" w:after="0" w:line="240" w:lineRule="auto"/>
              <w:rPr>
                <w:rFonts w:eastAsia="Times New Roman"/>
                <w:noProof/>
              </w:rPr>
            </w:pPr>
            <w:r>
              <w:rPr>
                <w:noProof/>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223B65AC" w14:textId="77777777" w:rsidR="003B6BD9" w:rsidRDefault="009E25E8">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5BB83AC5" w14:textId="77777777" w:rsidR="003B6BD9" w:rsidRDefault="009E25E8">
            <w:pPr>
              <w:pStyle w:val="P68B1DB1-Normal7"/>
              <w:spacing w:before="0" w:after="0" w:line="240" w:lineRule="auto"/>
              <w:rPr>
                <w:rFonts w:eastAsia="Times New Roman"/>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45B375C0" w14:textId="77777777" w:rsidR="003B6BD9" w:rsidRDefault="009E25E8">
            <w:pPr>
              <w:pStyle w:val="P68B1DB1-Normal7"/>
              <w:spacing w:before="0" w:after="0" w:line="240" w:lineRule="auto"/>
              <w:rPr>
                <w:rFonts w:eastAsia="Times New Roman"/>
                <w:noProof/>
              </w:rPr>
            </w:pPr>
            <w:r>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0B92CF5" w14:textId="77777777" w:rsidR="003B6BD9" w:rsidRDefault="009E25E8">
            <w:pPr>
              <w:pStyle w:val="P68B1DB1-Normal7"/>
              <w:spacing w:before="0" w:after="0" w:line="240" w:lineRule="auto"/>
              <w:rPr>
                <w:rFonts w:eastAsia="Times New Roman"/>
                <w:noProof/>
              </w:rPr>
            </w:pPr>
            <w:r>
              <w:rPr>
                <w:noProof/>
              </w:rPr>
              <w:t>Le point de contact guide les investisseurs au moyen de demandes de licence et d’autres actes et assiste l’ensemble du processus administratif. À la demande du demandeur, le point de contact dirige les demandes d’autorisation et autres actes et assiste le demandeur tout au long de la procédure administrative.</w:t>
            </w:r>
          </w:p>
        </w:tc>
      </w:tr>
      <w:tr w:rsidR="003B6BD9" w14:paraId="2D15D547" w14:textId="77777777" w:rsidTr="009764B0">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7B49DE63" w14:textId="77777777" w:rsidR="003B6BD9" w:rsidRDefault="009E25E8">
            <w:pPr>
              <w:pStyle w:val="P68B1DB1-Normal7"/>
              <w:spacing w:before="0" w:after="0" w:line="240" w:lineRule="auto"/>
              <w:rPr>
                <w:rFonts w:eastAsia="Times New Roman"/>
                <w:noProof/>
              </w:rPr>
            </w:pPr>
            <w:r>
              <w:rPr>
                <w:noProof/>
              </w:rPr>
              <w:t>3</w:t>
            </w:r>
          </w:p>
        </w:tc>
        <w:tc>
          <w:tcPr>
            <w:tcW w:w="1905" w:type="dxa"/>
            <w:tcBorders>
              <w:top w:val="single" w:sz="4" w:space="0" w:color="auto"/>
              <w:left w:val="single" w:sz="4" w:space="0" w:color="auto"/>
              <w:bottom w:val="single" w:sz="4" w:space="0" w:color="auto"/>
              <w:right w:val="single" w:sz="4" w:space="0" w:color="auto"/>
            </w:tcBorders>
            <w:shd w:val="clear" w:color="auto" w:fill="C6EFCE"/>
            <w:noWrap/>
          </w:tcPr>
          <w:p w14:paraId="5BE58801" w14:textId="77777777" w:rsidR="003B6BD9" w:rsidRDefault="009E25E8">
            <w:pPr>
              <w:pStyle w:val="P68B1DB1-Normal7"/>
              <w:spacing w:before="0" w:after="0" w:line="240" w:lineRule="auto"/>
              <w:rPr>
                <w:rFonts w:eastAsia="Times New Roman"/>
                <w:noProof/>
              </w:rPr>
            </w:pPr>
            <w:r>
              <w:rPr>
                <w:noProof/>
              </w:rPr>
              <w:t>A: Réforme de la promotion des sources d’énergie renouvelables en Slovénie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0F9F7AF0" w14:textId="70389C42" w:rsidR="003B6BD9" w:rsidRDefault="009E25E8">
            <w:pPr>
              <w:pStyle w:val="P68B1DB1-Normal7"/>
              <w:spacing w:before="0" w:after="0" w:line="240" w:lineRule="auto"/>
              <w:rPr>
                <w:rFonts w:eastAsia="Times New Roman"/>
                <w:noProof/>
              </w:rPr>
            </w:pPr>
            <w:r>
              <w:rPr>
                <w:noProof/>
              </w:rPr>
              <w:t>Jalon</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743C043A" w14:textId="7627FAAB" w:rsidR="003B6BD9" w:rsidRDefault="009E25E8">
            <w:pPr>
              <w:pStyle w:val="P68B1DB1-Normal7"/>
              <w:spacing w:before="0" w:after="0" w:line="240" w:lineRule="auto"/>
              <w:rPr>
                <w:rFonts w:eastAsia="Times New Roman"/>
                <w:noProof/>
              </w:rPr>
            </w:pPr>
            <w:r>
              <w:rPr>
                <w:noProof/>
              </w:rPr>
              <w:t xml:space="preserve">Entrée en vigueur d’un ou de plusieurs actes juridiques </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3D7B2A5E" w14:textId="41E1F3BE" w:rsidR="003B6BD9" w:rsidRDefault="009E25E8">
            <w:pPr>
              <w:pStyle w:val="P68B1DB1-Normal7"/>
              <w:spacing w:before="0" w:after="0" w:line="240" w:lineRule="auto"/>
              <w:rPr>
                <w:rFonts w:eastAsia="Times New Roman"/>
                <w:noProof/>
              </w:rPr>
            </w:pPr>
            <w:r>
              <w:rPr>
                <w:noProof/>
              </w:rPr>
              <w:t xml:space="preserve">Disposition du ou des actes juridiques indiquant l’entrée en vigueur </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39153762" w14:textId="41024CCA" w:rsidR="003B6BD9" w:rsidRDefault="003B6BD9">
            <w:pPr>
              <w:spacing w:before="0" w:after="0" w:line="240" w:lineRule="auto"/>
              <w:rPr>
                <w:rFonts w:eastAsia="Times New Roman"/>
                <w:noProof/>
                <w:color w:val="006100"/>
                <w:sz w:val="18"/>
                <w:szCs w:val="18"/>
              </w:rPr>
            </w:pP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7DFA7F44" w14:textId="5280ED0D" w:rsidR="003B6BD9" w:rsidRDefault="003B6BD9">
            <w:pPr>
              <w:spacing w:before="0" w:after="0" w:line="240" w:lineRule="auto"/>
              <w:rPr>
                <w:rFonts w:eastAsia="Times New Roman"/>
                <w:noProof/>
                <w:color w:val="006100"/>
                <w:sz w:val="18"/>
                <w:szCs w:val="18"/>
              </w:rPr>
            </w:pP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0DF15DA6" w14:textId="3712E69D" w:rsidR="003B6BD9" w:rsidRDefault="003B6BD9">
            <w:pPr>
              <w:spacing w:before="0" w:after="0" w:line="240" w:lineRule="auto"/>
              <w:rPr>
                <w:rFonts w:eastAsia="Times New Roman"/>
                <w:noProof/>
                <w:color w:val="006100"/>
                <w:sz w:val="18"/>
                <w:szCs w:val="18"/>
              </w:rPr>
            </w:pP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7FA26C36" w14:textId="77777777" w:rsidR="003B6BD9" w:rsidRDefault="009E25E8">
            <w:pPr>
              <w:pStyle w:val="P68B1DB1-Normal7"/>
              <w:spacing w:before="0" w:after="0" w:line="240" w:lineRule="auto"/>
              <w:rPr>
                <w:rFonts w:eastAsia="Times New Roman"/>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151E5BB1" w14:textId="77777777" w:rsidR="003B6BD9" w:rsidRDefault="009E25E8">
            <w:pPr>
              <w:pStyle w:val="P68B1DB1-Normal7"/>
              <w:spacing w:before="0" w:after="0" w:line="240" w:lineRule="auto"/>
              <w:rPr>
                <w:rFonts w:eastAsia="Times New Roman"/>
                <w:noProof/>
              </w:rPr>
            </w:pPr>
            <w:r>
              <w:rPr>
                <w:noProof/>
              </w:rPr>
              <w:t>2024</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265517EA" w14:textId="26850FB7" w:rsidR="003B6BD9" w:rsidRDefault="009E25E8">
            <w:pPr>
              <w:pStyle w:val="P68B1DB1-Normal7"/>
              <w:spacing w:before="0" w:after="0" w:line="240" w:lineRule="auto"/>
              <w:rPr>
                <w:rFonts w:eastAsia="Times New Roman"/>
                <w:noProof/>
              </w:rPr>
            </w:pPr>
            <w:r>
              <w:rPr>
                <w:noProof/>
              </w:rPr>
              <w:t>Entrée en vigueur d’un ou de plusieurs actes juridiques prévoyant une simple demande de raccordement au réseau de distribution pour les installations d’autoapprovisionnement jusqu’à 50 kW.</w:t>
            </w:r>
          </w:p>
          <w:p w14:paraId="0252C020" w14:textId="38E0FCC5" w:rsidR="003B6BD9" w:rsidRDefault="003B6BD9">
            <w:pPr>
              <w:spacing w:before="0" w:after="0" w:line="240" w:lineRule="auto"/>
              <w:rPr>
                <w:noProof/>
                <w:color w:val="006100"/>
                <w:sz w:val="18"/>
                <w:szCs w:val="18"/>
              </w:rPr>
            </w:pPr>
          </w:p>
          <w:p w14:paraId="00240A8F" w14:textId="4DD55AC8" w:rsidR="003B6BD9" w:rsidRDefault="009E25E8">
            <w:pPr>
              <w:pStyle w:val="P68B1DB1-Normal7"/>
              <w:spacing w:before="0" w:after="0" w:line="240" w:lineRule="auto"/>
              <w:rPr>
                <w:noProof/>
              </w:rPr>
            </w:pPr>
            <w:r>
              <w:rPr>
                <w:rFonts w:eastAsia="Times New Roman"/>
                <w:noProof/>
              </w:rPr>
              <w:t>Les dispositions relatives à cette procédure prévoient notamment que:</w:t>
            </w:r>
            <w:r>
              <w:rPr>
                <w:rFonts w:eastAsia="Times New Roman"/>
                <w:noProof/>
              </w:rPr>
              <w:br/>
            </w:r>
            <w:r>
              <w:rPr>
                <w:noProof/>
              </w:rPr>
              <w:t xml:space="preserve">I) le gestionnaire de distribution peut prendre une décision de rejet ou proposer des conditions de raccordement différentes dans un délai d’un mois à compter de la réception d’une demande simple complète; </w:t>
            </w:r>
          </w:p>
          <w:p w14:paraId="48B04362" w14:textId="099E4813" w:rsidR="003B6BD9" w:rsidRDefault="009E25E8">
            <w:pPr>
              <w:pStyle w:val="P68B1DB1-Normal7"/>
              <w:spacing w:before="0" w:after="0" w:line="240" w:lineRule="auto"/>
              <w:rPr>
                <w:noProof/>
              </w:rPr>
            </w:pPr>
            <w:r>
              <w:rPr>
                <w:noProof/>
              </w:rPr>
              <w:t>II) si le distributeur ne rend pas une telle décision et ne la notifie pas au demandeur dans un délai d’un mois, le demandeur acquiert automatiquement le droit de connexion.</w:t>
            </w:r>
          </w:p>
        </w:tc>
      </w:tr>
      <w:tr w:rsidR="003B6BD9" w14:paraId="1C21ABDD" w14:textId="77777777" w:rsidTr="009764B0">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39A3D3FE" w14:textId="77777777" w:rsidR="003B6BD9" w:rsidRDefault="009E25E8">
            <w:pPr>
              <w:pStyle w:val="P68B1DB1-Normal7"/>
              <w:spacing w:before="0" w:after="0" w:line="240" w:lineRule="auto"/>
              <w:rPr>
                <w:rFonts w:eastAsia="Times New Roman"/>
                <w:noProof/>
              </w:rPr>
            </w:pPr>
            <w:r>
              <w:rPr>
                <w:noProof/>
              </w:rPr>
              <w:t>4</w:t>
            </w:r>
          </w:p>
        </w:tc>
        <w:tc>
          <w:tcPr>
            <w:tcW w:w="1905" w:type="dxa"/>
            <w:tcBorders>
              <w:top w:val="single" w:sz="4" w:space="0" w:color="auto"/>
              <w:left w:val="single" w:sz="4" w:space="0" w:color="auto"/>
              <w:bottom w:val="single" w:sz="4" w:space="0" w:color="auto"/>
              <w:right w:val="single" w:sz="4" w:space="0" w:color="auto"/>
            </w:tcBorders>
            <w:shd w:val="clear" w:color="auto" w:fill="C6EFCE"/>
            <w:noWrap/>
          </w:tcPr>
          <w:p w14:paraId="5D0890E3" w14:textId="77777777" w:rsidR="003B6BD9" w:rsidRDefault="009E25E8">
            <w:pPr>
              <w:pStyle w:val="P68B1DB1-Normal7"/>
              <w:spacing w:before="0" w:after="0" w:line="240" w:lineRule="auto"/>
              <w:rPr>
                <w:rFonts w:eastAsia="Times New Roman"/>
                <w:noProof/>
              </w:rPr>
            </w:pPr>
            <w:r>
              <w:rPr>
                <w:noProof/>
              </w:rPr>
              <w:t>D: Restructuration efficace sur le plan énergétique des systèmes de chauffage urbain utilisant des sources d’énergie renouvelables</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CAB3799" w14:textId="77777777" w:rsidR="003B6BD9" w:rsidRDefault="009E25E8">
            <w:pPr>
              <w:pStyle w:val="P68B1DB1-Normal7"/>
              <w:spacing w:before="0" w:after="0" w:line="240" w:lineRule="auto"/>
              <w:rPr>
                <w:rFonts w:eastAsia="Times New Roman"/>
                <w:noProof/>
              </w:rPr>
            </w:pPr>
            <w:r>
              <w:rPr>
                <w:noProof/>
              </w:rPr>
              <w:t>Jalon</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3F80A7F9" w14:textId="344E40D7" w:rsidR="003B6BD9" w:rsidRDefault="009E25E8">
            <w:pPr>
              <w:pStyle w:val="P68B1DB1-Normal7"/>
              <w:spacing w:before="0" w:after="0" w:line="240" w:lineRule="auto"/>
              <w:rPr>
                <w:rFonts w:eastAsia="Times New Roman"/>
                <w:noProof/>
              </w:rPr>
            </w:pPr>
            <w:r>
              <w:rPr>
                <w:noProof/>
              </w:rPr>
              <w:t>Lancement d’un appel à propositions pour les sources d’énergie renouvelables dans les systèmes de chauffage urbain</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45B8C88F" w14:textId="391A5026" w:rsidR="003B6BD9" w:rsidRDefault="009E25E8">
            <w:pPr>
              <w:pStyle w:val="P68B1DB1-Normal7"/>
              <w:spacing w:before="0" w:after="0" w:line="240" w:lineRule="auto"/>
              <w:rPr>
                <w:rFonts w:eastAsia="Times New Roman"/>
                <w:noProof/>
              </w:rPr>
            </w:pPr>
            <w:r>
              <w:rPr>
                <w:noProof/>
              </w:rPr>
              <w:t>Publication de l’appel à propositions</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5CF2EC44" w14:textId="77777777" w:rsidR="003B6BD9" w:rsidRDefault="009E25E8">
            <w:pPr>
              <w:pStyle w:val="P68B1DB1-Normal7"/>
              <w:spacing w:before="0" w:after="0" w:line="240" w:lineRule="auto"/>
              <w:rPr>
                <w:rFonts w:eastAsia="Times New Roman"/>
                <w:noProof/>
              </w:rPr>
            </w:pPr>
            <w:r>
              <w:rPr>
                <w:noProof/>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6E5ED021" w14:textId="77777777" w:rsidR="003B6BD9" w:rsidRDefault="009E25E8">
            <w:pPr>
              <w:pStyle w:val="P68B1DB1-Normal7"/>
              <w:spacing w:before="0" w:after="0" w:line="240" w:lineRule="auto"/>
              <w:rPr>
                <w:rFonts w:eastAsia="Times New Roman"/>
                <w:noProof/>
              </w:rPr>
            </w:pPr>
            <w:r>
              <w:rPr>
                <w:noProof/>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4663839D" w14:textId="77777777" w:rsidR="003B6BD9" w:rsidRDefault="009E25E8">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72BD012A" w14:textId="77777777" w:rsidR="003B6BD9" w:rsidRDefault="009E25E8">
            <w:pPr>
              <w:pStyle w:val="P68B1DB1-Normal7"/>
              <w:spacing w:before="0" w:after="0" w:line="240" w:lineRule="auto"/>
              <w:rPr>
                <w:rFonts w:eastAsia="Times New Roman"/>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57E28E02" w14:textId="77777777" w:rsidR="003B6BD9" w:rsidRDefault="009E25E8">
            <w:pPr>
              <w:pStyle w:val="P68B1DB1-Normal7"/>
              <w:spacing w:before="0" w:after="0" w:line="240" w:lineRule="auto"/>
              <w:rPr>
                <w:rFonts w:eastAsia="Times New Roman"/>
                <w:noProof/>
              </w:rPr>
            </w:pPr>
            <w:r>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296ED658" w14:textId="5DD43C1E" w:rsidR="003B6BD9" w:rsidRDefault="009E25E8">
            <w:pPr>
              <w:pStyle w:val="P68B1DB1-Normal7"/>
              <w:spacing w:before="0" w:after="0" w:line="240" w:lineRule="auto"/>
              <w:jc w:val="both"/>
              <w:rPr>
                <w:rFonts w:eastAsia="Times New Roman"/>
                <w:noProof/>
              </w:rPr>
            </w:pPr>
            <w:r>
              <w:rPr>
                <w:noProof/>
              </w:rPr>
              <w:t>Lancement d’un appel à propositions pour des investissements visant à accroître la part des sources d’énergie renouvelables dans les systèmes de chauffage urbain. L’appel est ouvert jusqu’à épuisement de l’enveloppe budgétaire.</w:t>
            </w:r>
          </w:p>
        </w:tc>
      </w:tr>
      <w:tr w:rsidR="003B6BD9" w14:paraId="4A00C0DB" w14:textId="77777777" w:rsidTr="009764B0">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52CAF21C" w14:textId="77777777" w:rsidR="003B6BD9" w:rsidRDefault="009E25E8">
            <w:pPr>
              <w:pStyle w:val="P68B1DB1-Normal7"/>
              <w:spacing w:before="0" w:after="0" w:line="240" w:lineRule="auto"/>
              <w:rPr>
                <w:rFonts w:eastAsia="Times New Roman"/>
                <w:noProof/>
              </w:rPr>
            </w:pPr>
            <w:r>
              <w:rPr>
                <w:noProof/>
              </w:rPr>
              <w:t>5</w:t>
            </w:r>
          </w:p>
        </w:tc>
        <w:tc>
          <w:tcPr>
            <w:tcW w:w="1905" w:type="dxa"/>
            <w:tcBorders>
              <w:top w:val="single" w:sz="4" w:space="0" w:color="auto"/>
              <w:left w:val="single" w:sz="4" w:space="0" w:color="auto"/>
              <w:bottom w:val="single" w:sz="4" w:space="0" w:color="auto"/>
              <w:right w:val="single" w:sz="4" w:space="0" w:color="auto"/>
            </w:tcBorders>
            <w:shd w:val="clear" w:color="auto" w:fill="C6EFCE"/>
            <w:noWrap/>
          </w:tcPr>
          <w:p w14:paraId="4EB6F82F" w14:textId="77777777" w:rsidR="003B6BD9" w:rsidRDefault="009E25E8">
            <w:pPr>
              <w:pStyle w:val="P68B1DB1-Normal7"/>
              <w:spacing w:before="0" w:after="0" w:line="240" w:lineRule="auto"/>
              <w:rPr>
                <w:rFonts w:eastAsia="Times New Roman"/>
                <w:noProof/>
              </w:rPr>
            </w:pPr>
            <w:r>
              <w:rPr>
                <w:noProof/>
              </w:rPr>
              <w:t>D: Restructuration efficace sur le plan énergétique des systèmes de chauffage urbain utilisant des sources d’énergie renouvelables</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5C5BFF03" w14:textId="77777777" w:rsidR="003B6BD9" w:rsidRDefault="009E25E8">
            <w:pPr>
              <w:pStyle w:val="P68B1DB1-Normal7"/>
              <w:spacing w:before="0" w:after="0" w:line="240" w:lineRule="auto"/>
              <w:rPr>
                <w:rFonts w:eastAsia="Times New Roman"/>
                <w:noProof/>
              </w:rPr>
            </w:pPr>
            <w:r>
              <w:rPr>
                <w:noProof/>
              </w:rPr>
              <w:t>Cible</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5052EB0F" w14:textId="309FD685" w:rsidR="003B6BD9" w:rsidRDefault="009E25E8">
            <w:pPr>
              <w:pStyle w:val="P68B1DB1-Normal7"/>
              <w:spacing w:before="0" w:after="0" w:line="240" w:lineRule="auto"/>
              <w:rPr>
                <w:rFonts w:eastAsia="Times New Roman"/>
                <w:noProof/>
              </w:rPr>
            </w:pPr>
            <w:r>
              <w:rPr>
                <w:noProof/>
              </w:rPr>
              <w:t xml:space="preserve">Capacité installée d’énergie renouvelable dans les systèmes de chauffage urbain </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1810778B" w14:textId="77777777" w:rsidR="003B6BD9" w:rsidRDefault="009E25E8">
            <w:pPr>
              <w:pStyle w:val="P68B1DB1-Normal7"/>
              <w:spacing w:before="0" w:after="0" w:line="240" w:lineRule="auto"/>
              <w:rPr>
                <w:rFonts w:eastAsia="Times New Roman"/>
                <w:noProof/>
              </w:rPr>
            </w:pPr>
            <w:r>
              <w:rPr>
                <w:noProof/>
              </w:rPr>
              <w:t> </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46077E12" w14:textId="2ECEA815" w:rsidR="003B6BD9" w:rsidRDefault="009E25E8">
            <w:pPr>
              <w:pStyle w:val="P68B1DB1-Normal7"/>
              <w:spacing w:before="0" w:after="0" w:line="240" w:lineRule="auto"/>
              <w:rPr>
                <w:rFonts w:eastAsia="Times New Roman"/>
                <w:noProof/>
              </w:rPr>
            </w:pPr>
            <w:r>
              <w:rPr>
                <w:noProof/>
              </w:rPr>
              <w:t>MW</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87C4305" w14:textId="77777777" w:rsidR="003B6BD9" w:rsidRDefault="009E25E8">
            <w:pPr>
              <w:pStyle w:val="P68B1DB1-Normal7"/>
              <w:spacing w:before="0" w:after="0" w:line="240" w:lineRule="auto"/>
              <w:rPr>
                <w:rFonts w:eastAsia="Times New Roman"/>
                <w:noProof/>
              </w:rPr>
            </w:pPr>
            <w:r>
              <w:rPr>
                <w:noProof/>
              </w:rPr>
              <w:t>0</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4223DF6C" w14:textId="23A5EFB2" w:rsidR="003B6BD9" w:rsidRDefault="009E25E8">
            <w:pPr>
              <w:pStyle w:val="P68B1DB1-Normal7"/>
              <w:spacing w:before="0" w:after="0" w:line="240" w:lineRule="auto"/>
              <w:rPr>
                <w:rFonts w:eastAsia="Times New Roman"/>
                <w:noProof/>
              </w:rPr>
            </w:pPr>
            <w:r>
              <w:rPr>
                <w:noProof/>
              </w:rPr>
              <w:t>6</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753F0C72" w14:textId="2973A185" w:rsidR="003B6BD9" w:rsidRDefault="009E25E8">
            <w:pPr>
              <w:pStyle w:val="P68B1DB1-Normal7"/>
              <w:spacing w:before="0" w:after="0" w:line="240" w:lineRule="auto"/>
              <w:rPr>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0ECD65EE" w14:textId="21F087A3" w:rsidR="003B6BD9" w:rsidRDefault="009E25E8">
            <w:pPr>
              <w:pStyle w:val="P68B1DB1-Normal7"/>
              <w:spacing w:before="0" w:after="0" w:line="240" w:lineRule="auto"/>
              <w:rPr>
                <w:rFonts w:eastAsia="Times New Roman"/>
                <w:noProof/>
              </w:rPr>
            </w:pPr>
            <w:r>
              <w:rPr>
                <w:noProof/>
              </w:rPr>
              <w:t>2025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78CC2051" w14:textId="28876B73" w:rsidR="003B6BD9" w:rsidRDefault="009E25E8">
            <w:pPr>
              <w:pStyle w:val="P68B1DB1-Normal7"/>
              <w:spacing w:before="0" w:after="0" w:line="240" w:lineRule="auto"/>
              <w:rPr>
                <w:rFonts w:eastAsia="Times New Roman"/>
                <w:noProof/>
              </w:rPr>
            </w:pPr>
            <w:r>
              <w:rPr>
                <w:noProof/>
              </w:rPr>
              <w:t>6 MW de capacité installée d’énergie renouvelable dans les systèmes de chauffage urbain.</w:t>
            </w:r>
          </w:p>
        </w:tc>
      </w:tr>
      <w:tr w:rsidR="003B6BD9" w14:paraId="79FFFA83" w14:textId="77777777" w:rsidTr="009764B0">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19F36E19" w14:textId="77777777" w:rsidR="003B6BD9" w:rsidRDefault="009E25E8">
            <w:pPr>
              <w:pStyle w:val="P68B1DB1-Normal7"/>
              <w:spacing w:before="0" w:after="0" w:line="240" w:lineRule="auto"/>
              <w:rPr>
                <w:rFonts w:eastAsia="Times New Roman"/>
                <w:noProof/>
              </w:rPr>
            </w:pPr>
            <w:r>
              <w:rPr>
                <w:noProof/>
              </w:rPr>
              <w:t>6</w:t>
            </w:r>
          </w:p>
        </w:tc>
        <w:tc>
          <w:tcPr>
            <w:tcW w:w="1905" w:type="dxa"/>
            <w:tcBorders>
              <w:top w:val="single" w:sz="4" w:space="0" w:color="auto"/>
              <w:left w:val="single" w:sz="4" w:space="0" w:color="auto"/>
              <w:bottom w:val="single" w:sz="4" w:space="0" w:color="auto"/>
              <w:right w:val="single" w:sz="4" w:space="0" w:color="auto"/>
            </w:tcBorders>
            <w:shd w:val="clear" w:color="auto" w:fill="C6EFCE"/>
            <w:noWrap/>
          </w:tcPr>
          <w:p w14:paraId="2AD37513" w14:textId="77777777" w:rsidR="003B6BD9" w:rsidRDefault="009E25E8">
            <w:pPr>
              <w:pStyle w:val="P68B1DB1-Normal7"/>
              <w:spacing w:before="0" w:after="0" w:line="240" w:lineRule="auto"/>
              <w:rPr>
                <w:rFonts w:eastAsia="Times New Roman"/>
                <w:noProof/>
              </w:rPr>
            </w:pPr>
            <w:r>
              <w:rPr>
                <w:noProof/>
              </w:rPr>
              <w:t>F: Renforcement du réseau de distribution d’électricité (stations de transformation)</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0D3F1207" w14:textId="77777777" w:rsidR="003B6BD9" w:rsidRDefault="009E25E8">
            <w:pPr>
              <w:pStyle w:val="P68B1DB1-Normal7"/>
              <w:spacing w:before="0" w:after="0" w:line="240" w:lineRule="auto"/>
              <w:rPr>
                <w:rFonts w:eastAsia="Times New Roman"/>
                <w:noProof/>
              </w:rPr>
            </w:pPr>
            <w:r>
              <w:rPr>
                <w:noProof/>
              </w:rPr>
              <w:t>Jalon</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47A34BE4" w14:textId="59960BFD" w:rsidR="003B6BD9" w:rsidRDefault="009E25E8">
            <w:pPr>
              <w:pStyle w:val="P68B1DB1-Normal7"/>
              <w:spacing w:before="0" w:after="0" w:line="240" w:lineRule="auto"/>
              <w:rPr>
                <w:rFonts w:eastAsia="Times New Roman"/>
                <w:noProof/>
              </w:rPr>
            </w:pPr>
            <w:r>
              <w:rPr>
                <w:noProof/>
              </w:rPr>
              <w:t>Ouverture d’un appel à propositions pour les stations de transformation de l’électricité</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5EA35041" w14:textId="5CC073C7" w:rsidR="003B6BD9" w:rsidRDefault="009E25E8">
            <w:pPr>
              <w:pStyle w:val="P68B1DB1-Normal7"/>
              <w:spacing w:before="0" w:after="0" w:line="240" w:lineRule="auto"/>
              <w:rPr>
                <w:rFonts w:eastAsia="Times New Roman"/>
                <w:noProof/>
              </w:rPr>
            </w:pPr>
            <w:r>
              <w:rPr>
                <w:noProof/>
              </w:rPr>
              <w:t>Publication de l’appel à propositions</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3A4AB311" w14:textId="77777777" w:rsidR="003B6BD9" w:rsidRDefault="009E25E8">
            <w:pPr>
              <w:pStyle w:val="P68B1DB1-Normal7"/>
              <w:spacing w:before="0" w:after="0" w:line="240" w:lineRule="auto"/>
              <w:rPr>
                <w:rFonts w:eastAsia="Times New Roman"/>
                <w:noProof/>
              </w:rPr>
            </w:pPr>
            <w:r>
              <w:rPr>
                <w:noProof/>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5EC46AC4" w14:textId="77777777" w:rsidR="003B6BD9" w:rsidRDefault="009E25E8">
            <w:pPr>
              <w:pStyle w:val="P68B1DB1-Normal7"/>
              <w:spacing w:before="0" w:after="0" w:line="240" w:lineRule="auto"/>
              <w:rPr>
                <w:rFonts w:eastAsia="Times New Roman"/>
                <w:noProof/>
              </w:rPr>
            </w:pPr>
            <w:r>
              <w:rPr>
                <w:noProof/>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3040C802" w14:textId="77777777" w:rsidR="003B6BD9" w:rsidRDefault="009E25E8">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4045B04B" w14:textId="77777777" w:rsidR="003B6BD9" w:rsidRDefault="009E25E8">
            <w:pPr>
              <w:pStyle w:val="P68B1DB1-Normal7"/>
              <w:spacing w:before="0" w:after="0" w:line="240" w:lineRule="auto"/>
              <w:rPr>
                <w:rFonts w:eastAsia="Times New Roman"/>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4C891698" w14:textId="77777777" w:rsidR="003B6BD9" w:rsidRDefault="009E25E8">
            <w:pPr>
              <w:pStyle w:val="P68B1DB1-Normal7"/>
              <w:spacing w:before="0" w:after="0" w:line="240" w:lineRule="auto"/>
              <w:rPr>
                <w:rFonts w:eastAsia="Times New Roman"/>
                <w:noProof/>
              </w:rPr>
            </w:pPr>
            <w:r>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4234ADE5" w14:textId="0F28F27A" w:rsidR="003B6BD9" w:rsidRDefault="009E25E8">
            <w:pPr>
              <w:pStyle w:val="P68B1DB1-Normal7"/>
              <w:spacing w:before="0" w:after="0" w:line="240" w:lineRule="auto"/>
              <w:rPr>
                <w:rFonts w:eastAsia="Times New Roman"/>
                <w:noProof/>
              </w:rPr>
            </w:pPr>
            <w:r>
              <w:rPr>
                <w:noProof/>
              </w:rPr>
              <w:t xml:space="preserve">Appel à propositions ouvert pour la construction de postes de transformation. L’appel est ouvert jusqu’à épuisement de l’enveloppe budgétaire. L’appel garantit en particulier des critères pour l’intégration effective des installations de production et de stockage d’énergie renouvelable, y compris des points de recharge pour les véhicules électriques. Outre toutes les règles nationales et européennes obligatoires fixant les exigences applicables aux interventions dans le domaine de la construction et de l’environnement, les critères de sélection/d’éligibilité garantissent le respect des orientations techniques «ne pas causer de préjudice important» (2021/C58/01). </w:t>
            </w:r>
          </w:p>
        </w:tc>
      </w:tr>
      <w:tr w:rsidR="003B6BD9" w14:paraId="0E3E511A" w14:textId="77777777" w:rsidTr="009764B0">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6C3A6900" w14:textId="77777777" w:rsidR="003B6BD9" w:rsidRDefault="009E25E8">
            <w:pPr>
              <w:pStyle w:val="P68B1DB1-Normal7"/>
              <w:spacing w:before="0" w:after="0" w:line="240" w:lineRule="auto"/>
              <w:rPr>
                <w:rFonts w:eastAsia="Times New Roman"/>
                <w:noProof/>
              </w:rPr>
            </w:pPr>
            <w:r>
              <w:rPr>
                <w:noProof/>
              </w:rPr>
              <w:t>7</w:t>
            </w:r>
          </w:p>
        </w:tc>
        <w:tc>
          <w:tcPr>
            <w:tcW w:w="1905" w:type="dxa"/>
            <w:tcBorders>
              <w:top w:val="single" w:sz="4" w:space="0" w:color="auto"/>
              <w:left w:val="single" w:sz="4" w:space="0" w:color="auto"/>
              <w:bottom w:val="single" w:sz="4" w:space="0" w:color="auto"/>
              <w:right w:val="single" w:sz="4" w:space="0" w:color="auto"/>
            </w:tcBorders>
            <w:shd w:val="clear" w:color="auto" w:fill="C6EFCE"/>
            <w:noWrap/>
          </w:tcPr>
          <w:p w14:paraId="17DB171E" w14:textId="5AB7BABA" w:rsidR="003B6BD9" w:rsidRDefault="009E25E8">
            <w:pPr>
              <w:pStyle w:val="P68B1DB1-Normal7"/>
              <w:spacing w:before="0" w:after="0" w:line="240" w:lineRule="auto"/>
              <w:rPr>
                <w:rFonts w:eastAsia="Times New Roman"/>
                <w:noProof/>
              </w:rPr>
            </w:pPr>
            <w:r>
              <w:rPr>
                <w:noProof/>
              </w:rPr>
              <w:t>F: Renforcement du réseau de distribution d’électricité (stations de transformation et réseau basse tension)</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4B12A5F3" w14:textId="77777777" w:rsidR="003B6BD9" w:rsidRDefault="009E25E8">
            <w:pPr>
              <w:pStyle w:val="P68B1DB1-Normal7"/>
              <w:spacing w:before="0" w:after="0" w:line="240" w:lineRule="auto"/>
              <w:rPr>
                <w:rFonts w:eastAsia="Times New Roman"/>
                <w:noProof/>
              </w:rPr>
            </w:pPr>
            <w:r>
              <w:rPr>
                <w:noProof/>
              </w:rPr>
              <w:t>Cible</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25754321" w14:textId="08969D6D" w:rsidR="003B6BD9" w:rsidRDefault="009E25E8">
            <w:pPr>
              <w:pStyle w:val="P68B1DB1-Normal7"/>
              <w:spacing w:before="0" w:after="0" w:line="240" w:lineRule="auto"/>
              <w:rPr>
                <w:rFonts w:eastAsia="Times New Roman"/>
                <w:noProof/>
              </w:rPr>
            </w:pPr>
            <w:r>
              <w:rPr>
                <w:noProof/>
              </w:rPr>
              <w:t>Nombre de nouvelles stations de transformation de l’électricité construites</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1E9D1964" w14:textId="77777777" w:rsidR="003B6BD9" w:rsidRDefault="009E25E8">
            <w:pPr>
              <w:pStyle w:val="P68B1DB1-Normal7"/>
              <w:spacing w:before="0" w:after="0" w:line="240" w:lineRule="auto"/>
              <w:rPr>
                <w:rFonts w:eastAsia="Times New Roman"/>
                <w:noProof/>
              </w:rPr>
            </w:pPr>
            <w:r>
              <w:rPr>
                <w:noProof/>
              </w:rPr>
              <w:t> </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0BE3C0FC" w14:textId="77777777" w:rsidR="003B6BD9" w:rsidRDefault="009E25E8">
            <w:pPr>
              <w:pStyle w:val="P68B1DB1-Normal7"/>
              <w:spacing w:before="0" w:after="0" w:line="240" w:lineRule="auto"/>
              <w:rPr>
                <w:rFonts w:eastAsia="Times New Roman"/>
                <w:noProof/>
              </w:rPr>
            </w:pPr>
            <w:r>
              <w:rPr>
                <w:noProof/>
              </w:rPr>
              <w:t>Nombre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3B6F4B1B" w14:textId="77777777" w:rsidR="003B6BD9" w:rsidRDefault="009E25E8">
            <w:pPr>
              <w:pStyle w:val="P68B1DB1-Normal7"/>
              <w:spacing w:before="0" w:after="0" w:line="240" w:lineRule="auto"/>
              <w:rPr>
                <w:rFonts w:eastAsia="Times New Roman"/>
                <w:noProof/>
              </w:rPr>
            </w:pPr>
            <w:r>
              <w:rPr>
                <w:noProof/>
              </w:rPr>
              <w:t>0</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37A11031" w14:textId="1699B42F" w:rsidR="003B6BD9" w:rsidRDefault="009E25E8">
            <w:pPr>
              <w:pStyle w:val="P68B1DB1-Normal7"/>
              <w:spacing w:before="0" w:after="0" w:line="240" w:lineRule="auto"/>
              <w:rPr>
                <w:rFonts w:eastAsia="Times New Roman"/>
                <w:noProof/>
              </w:rPr>
            </w:pPr>
            <w:r>
              <w:rPr>
                <w:noProof/>
              </w:rPr>
              <w:t>838</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38F70949" w14:textId="77777777" w:rsidR="003B6BD9" w:rsidRDefault="009E25E8">
            <w:pPr>
              <w:pStyle w:val="P68B1DB1-Normal7"/>
              <w:spacing w:before="0" w:after="0" w:line="240" w:lineRule="auto"/>
              <w:rPr>
                <w:rFonts w:eastAsia="Times New Roman"/>
                <w:noProof/>
              </w:rPr>
            </w:pPr>
            <w:r>
              <w:rPr>
                <w:noProof/>
              </w:rPr>
              <w:t>T2</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782BF50E" w14:textId="77777777" w:rsidR="003B6BD9" w:rsidRDefault="009E25E8">
            <w:pPr>
              <w:pStyle w:val="P68B1DB1-Normal7"/>
              <w:spacing w:before="0" w:after="0" w:line="240" w:lineRule="auto"/>
              <w:rPr>
                <w:rFonts w:eastAsia="Times New Roman"/>
                <w:noProof/>
              </w:rPr>
            </w:pPr>
            <w:r>
              <w:rPr>
                <w:noProof/>
              </w:rPr>
              <w:t>2026</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46DC588F" w14:textId="5C092923" w:rsidR="003B6BD9" w:rsidRDefault="009E25E8">
            <w:pPr>
              <w:pStyle w:val="P68B1DB1-Normal7"/>
              <w:spacing w:before="0" w:after="0" w:line="240" w:lineRule="auto"/>
              <w:rPr>
                <w:rFonts w:eastAsia="Times New Roman"/>
                <w:noProof/>
              </w:rPr>
            </w:pPr>
            <w:r>
              <w:rPr>
                <w:noProof/>
              </w:rPr>
              <w:t>838 nouvelles stations de transformation de l’électricité doivent être construites.</w:t>
            </w:r>
          </w:p>
        </w:tc>
      </w:tr>
      <w:tr w:rsidR="003B6BD9" w14:paraId="43A6385B" w14:textId="77777777" w:rsidTr="009764B0">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532802D2" w14:textId="5EEDB018" w:rsidR="003B6BD9" w:rsidRDefault="009E25E8">
            <w:pPr>
              <w:pStyle w:val="P68B1DB1-Normal7"/>
              <w:spacing w:before="0" w:after="0" w:line="240" w:lineRule="auto"/>
              <w:rPr>
                <w:noProof/>
              </w:rPr>
            </w:pPr>
            <w:r>
              <w:rPr>
                <w:noProof/>
              </w:rPr>
              <w:t>7 bis</w:t>
            </w:r>
          </w:p>
        </w:tc>
        <w:tc>
          <w:tcPr>
            <w:tcW w:w="1905" w:type="dxa"/>
            <w:tcBorders>
              <w:top w:val="single" w:sz="4" w:space="0" w:color="auto"/>
              <w:left w:val="single" w:sz="4" w:space="0" w:color="auto"/>
              <w:bottom w:val="single" w:sz="4" w:space="0" w:color="auto"/>
              <w:right w:val="single" w:sz="4" w:space="0" w:color="auto"/>
            </w:tcBorders>
            <w:shd w:val="clear" w:color="auto" w:fill="C6EFCE"/>
            <w:noWrap/>
          </w:tcPr>
          <w:p w14:paraId="41010263" w14:textId="26C37392" w:rsidR="003B6BD9" w:rsidRDefault="009E25E8">
            <w:pPr>
              <w:pStyle w:val="P68B1DB1-Normal7"/>
              <w:spacing w:before="0" w:after="0" w:line="240" w:lineRule="auto"/>
              <w:rPr>
                <w:noProof/>
              </w:rPr>
            </w:pPr>
            <w:r>
              <w:rPr>
                <w:noProof/>
              </w:rPr>
              <w:t>F: Renforcement du réseau de distribution d’électricité (stations de transformation et réseau basse tension)</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5EC57079" w14:textId="5459AB84" w:rsidR="003B6BD9" w:rsidRDefault="009E25E8">
            <w:pPr>
              <w:pStyle w:val="P68B1DB1-Normal7"/>
              <w:spacing w:before="0" w:after="0" w:line="240" w:lineRule="auto"/>
              <w:rPr>
                <w:noProof/>
              </w:rPr>
            </w:pPr>
            <w:r>
              <w:rPr>
                <w:noProof/>
              </w:rPr>
              <w:t>Cible</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5778A9FF" w14:textId="3DC681BE" w:rsidR="003B6BD9" w:rsidRDefault="009E25E8">
            <w:pPr>
              <w:pStyle w:val="P68B1DB1-Normal7"/>
              <w:spacing w:before="0" w:after="0" w:line="240" w:lineRule="auto"/>
              <w:rPr>
                <w:noProof/>
              </w:rPr>
            </w:pPr>
            <w:r>
              <w:rPr>
                <w:noProof/>
              </w:rPr>
              <w:t>Longueur du réseau de distribution (réseau basse tension) construit</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4B1E85E2" w14:textId="77777777" w:rsidR="003B6BD9" w:rsidRDefault="003B6BD9">
            <w:pPr>
              <w:spacing w:before="0" w:after="0" w:line="240" w:lineRule="auto"/>
              <w:rPr>
                <w:noProof/>
                <w:color w:val="006100"/>
                <w:sz w:val="18"/>
                <w:szCs w:val="18"/>
              </w:rPr>
            </w:pP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6D031EAB" w14:textId="11D5CF1B" w:rsidR="003B6BD9" w:rsidRDefault="009E25E8">
            <w:pPr>
              <w:pStyle w:val="P68B1DB1-Normal7"/>
              <w:spacing w:before="0" w:after="0" w:line="240" w:lineRule="auto"/>
              <w:rPr>
                <w:noProof/>
              </w:rPr>
            </w:pPr>
            <w:r>
              <w:rPr>
                <w:noProof/>
              </w:rPr>
              <w:t xml:space="preserve"> kilomètres</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BBC71B8" w14:textId="55784EF6" w:rsidR="003B6BD9" w:rsidRDefault="009E25E8">
            <w:pPr>
              <w:pStyle w:val="P68B1DB1-Normal7"/>
              <w:spacing w:before="0" w:after="0" w:line="240" w:lineRule="auto"/>
              <w:rPr>
                <w:noProof/>
              </w:rPr>
            </w:pPr>
            <w:r>
              <w:rPr>
                <w:noProof/>
              </w:rPr>
              <w:t>0</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7637363" w14:textId="5E336E9F" w:rsidR="003B6BD9" w:rsidRDefault="009E25E8">
            <w:pPr>
              <w:pStyle w:val="P68B1DB1-Normal7"/>
              <w:spacing w:before="0" w:after="0" w:line="240" w:lineRule="auto"/>
              <w:rPr>
                <w:noProof/>
              </w:rPr>
            </w:pPr>
            <w:r>
              <w:rPr>
                <w:noProof/>
              </w:rPr>
              <w:t>260</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3D4E8B1C" w14:textId="27E0D2A9" w:rsidR="003B6BD9" w:rsidRDefault="009E25E8">
            <w:pPr>
              <w:pStyle w:val="P68B1DB1-Normal7"/>
              <w:spacing w:before="0" w:after="0" w:line="240" w:lineRule="auto"/>
              <w:rPr>
                <w:noProof/>
              </w:rPr>
            </w:pPr>
            <w:r>
              <w:rPr>
                <w:noProof/>
              </w:rPr>
              <w:t>T2</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093B8B9D" w14:textId="631EA6AB" w:rsidR="003B6BD9" w:rsidRDefault="009E25E8">
            <w:pPr>
              <w:pStyle w:val="P68B1DB1-Normal7"/>
              <w:spacing w:before="0" w:after="0" w:line="240" w:lineRule="auto"/>
              <w:rPr>
                <w:noProof/>
              </w:rPr>
            </w:pPr>
            <w:r>
              <w:rPr>
                <w:noProof/>
              </w:rPr>
              <w:t>2026</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4C67C2BA" w14:textId="52770517" w:rsidR="003B6BD9" w:rsidRDefault="009E25E8">
            <w:pPr>
              <w:pStyle w:val="P68B1DB1-Normal7"/>
              <w:spacing w:before="0" w:after="0" w:line="240" w:lineRule="auto"/>
              <w:rPr>
                <w:noProof/>
              </w:rPr>
            </w:pPr>
            <w:r>
              <w:rPr>
                <w:noProof/>
              </w:rPr>
              <w:t>Au moins 260 km de nouveau réseau de distribution basse tension doivent être construits.</w:t>
            </w:r>
          </w:p>
        </w:tc>
      </w:tr>
      <w:tr w:rsidR="003B6BD9" w14:paraId="4903BE38" w14:textId="77777777" w:rsidTr="009764B0">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07B9FC2F" w14:textId="77777777" w:rsidR="003B6BD9" w:rsidRDefault="009E25E8">
            <w:pPr>
              <w:pStyle w:val="P68B1DB1-Normal7"/>
              <w:spacing w:before="0" w:after="0" w:line="240" w:lineRule="auto"/>
              <w:rPr>
                <w:rFonts w:eastAsia="Times New Roman"/>
                <w:noProof/>
              </w:rPr>
            </w:pPr>
            <w:r>
              <w:rPr>
                <w:noProof/>
              </w:rPr>
              <w:t>8</w:t>
            </w:r>
          </w:p>
        </w:tc>
        <w:tc>
          <w:tcPr>
            <w:tcW w:w="1905" w:type="dxa"/>
            <w:tcBorders>
              <w:top w:val="single" w:sz="4" w:space="0" w:color="auto"/>
              <w:left w:val="single" w:sz="4" w:space="0" w:color="auto"/>
              <w:bottom w:val="single" w:sz="4" w:space="0" w:color="auto"/>
              <w:right w:val="single" w:sz="4" w:space="0" w:color="auto"/>
            </w:tcBorders>
            <w:shd w:val="clear" w:color="auto" w:fill="C6EFCE"/>
            <w:noWrap/>
          </w:tcPr>
          <w:p w14:paraId="050C5139" w14:textId="77777777" w:rsidR="003B6BD9" w:rsidRDefault="009E25E8">
            <w:pPr>
              <w:pStyle w:val="P68B1DB1-Normal7"/>
              <w:spacing w:before="0" w:after="0" w:line="240" w:lineRule="auto"/>
              <w:rPr>
                <w:rFonts w:eastAsia="Times New Roman"/>
                <w:noProof/>
              </w:rPr>
            </w:pPr>
            <w:r>
              <w:rPr>
                <w:noProof/>
              </w:rPr>
              <w:t>C: Efficacité énergétique dans l’économie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4494A962" w14:textId="77777777" w:rsidR="003B6BD9" w:rsidRDefault="009E25E8">
            <w:pPr>
              <w:pStyle w:val="P68B1DB1-Normal7"/>
              <w:spacing w:before="0" w:after="0" w:line="240" w:lineRule="auto"/>
              <w:rPr>
                <w:rFonts w:eastAsia="Times New Roman"/>
                <w:noProof/>
              </w:rPr>
            </w:pPr>
            <w:r>
              <w:rPr>
                <w:noProof/>
              </w:rPr>
              <w:t>Jalon</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1632FEDA" w14:textId="5A22B6C1" w:rsidR="003B6BD9" w:rsidRDefault="009E25E8">
            <w:pPr>
              <w:pStyle w:val="P68B1DB1-Normal7"/>
              <w:spacing w:before="0" w:after="0" w:line="240" w:lineRule="auto"/>
              <w:rPr>
                <w:rFonts w:eastAsia="Times New Roman"/>
                <w:noProof/>
              </w:rPr>
            </w:pPr>
            <w:r>
              <w:rPr>
                <w:noProof/>
              </w:rPr>
              <w:t xml:space="preserve">Plan d’action pour la gestion de l’efficacité énergétique dans l’économie </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3CE66E9C" w14:textId="7696EDE0" w:rsidR="003B6BD9" w:rsidRDefault="009E25E8">
            <w:pPr>
              <w:pStyle w:val="P68B1DB1-Normal7"/>
              <w:spacing w:before="0" w:after="0" w:line="240" w:lineRule="auto"/>
              <w:rPr>
                <w:rFonts w:eastAsia="Times New Roman"/>
                <w:noProof/>
              </w:rPr>
            </w:pPr>
            <w:r>
              <w:rPr>
                <w:noProof/>
              </w:rPr>
              <w:t xml:space="preserve">Adoption d’un plan d’action pour la gestion de l’efficacité énergétique dans l’économie </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4F66C6A7" w14:textId="77777777" w:rsidR="003B6BD9" w:rsidRDefault="009E25E8">
            <w:pPr>
              <w:pStyle w:val="P68B1DB1-Normal7"/>
              <w:spacing w:before="0" w:after="0" w:line="240" w:lineRule="auto"/>
              <w:rPr>
                <w:rFonts w:eastAsia="Times New Roman"/>
                <w:noProof/>
              </w:rPr>
            </w:pPr>
            <w:r>
              <w:rPr>
                <w:noProof/>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34DFC837" w14:textId="77777777" w:rsidR="003B6BD9" w:rsidRDefault="009E25E8">
            <w:pPr>
              <w:pStyle w:val="P68B1DB1-Normal7"/>
              <w:spacing w:before="0" w:after="0" w:line="240" w:lineRule="auto"/>
              <w:rPr>
                <w:rFonts w:eastAsia="Times New Roman"/>
                <w:noProof/>
              </w:rPr>
            </w:pPr>
            <w:r>
              <w:rPr>
                <w:noProof/>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0810ADC4" w14:textId="77777777" w:rsidR="003B6BD9" w:rsidRDefault="009E25E8">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02E6EC22" w14:textId="683B79F3" w:rsidR="003B6BD9" w:rsidRDefault="009E25E8">
            <w:pPr>
              <w:pStyle w:val="P68B1DB1-Normal7"/>
              <w:spacing w:before="0" w:after="0" w:line="240" w:lineRule="auto"/>
              <w:rPr>
                <w:rFonts w:eastAsia="Times New Roman"/>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6FFD831B" w14:textId="4CC258E3" w:rsidR="003B6BD9" w:rsidRDefault="009E25E8">
            <w:pPr>
              <w:pStyle w:val="P68B1DB1-Normal7"/>
              <w:spacing w:before="0" w:after="0" w:line="240" w:lineRule="auto"/>
              <w:rPr>
                <w:rFonts w:eastAsia="Times New Roman"/>
                <w:noProof/>
              </w:rPr>
            </w:pPr>
            <w:r>
              <w:rPr>
                <w:noProof/>
              </w:rPr>
              <w:t>2023</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6B9B89D6" w14:textId="09C4B977" w:rsidR="003B6BD9" w:rsidRDefault="009E25E8">
            <w:pPr>
              <w:pStyle w:val="P68B1DB1-Normal7"/>
              <w:spacing w:before="0" w:after="0" w:line="240" w:lineRule="auto"/>
              <w:rPr>
                <w:rFonts w:eastAsia="Times New Roman"/>
                <w:noProof/>
              </w:rPr>
            </w:pPr>
            <w:r>
              <w:rPr>
                <w:noProof/>
              </w:rPr>
              <w:t xml:space="preserve">Le plan d’action pour la gestion de l’efficacité énergétique dans l’économie prévoit l’introduction d’une méthode numérisée de communication des données relatives aux audits énergétiques réalisés par les entreprises, ainsi que le suivi des économies d’énergie potentielles et réalisées. Le plan d’action prévoit également l’obligation pour les institutions concernées d’établir des rapports sur les audits énergétiques et leur mise en œuvre pour les entreprises bénéficiant d’un soutien en faveur de l’amélioration de l’efficacité énergétique. </w:t>
            </w:r>
          </w:p>
        </w:tc>
      </w:tr>
    </w:tbl>
    <w:p w14:paraId="470BE882" w14:textId="77777777" w:rsidR="003B6BD9" w:rsidRDefault="003B6BD9">
      <w:pPr>
        <w:spacing w:line="240" w:lineRule="auto"/>
        <w:jc w:val="both"/>
        <w:rPr>
          <w:noProof/>
        </w:rPr>
        <w:sectPr w:rsidR="003B6BD9" w:rsidSect="00073927">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2EE39A98" w14:textId="49C0CAFD" w:rsidR="003B6BD9" w:rsidRDefault="009E25E8">
      <w:pPr>
        <w:pStyle w:val="P68B1DB1-Normal2"/>
        <w:spacing w:line="240" w:lineRule="auto"/>
        <w:jc w:val="both"/>
        <w:rPr>
          <w:i/>
          <w:noProof/>
          <w:color w:val="4F81BD"/>
        </w:rPr>
      </w:pPr>
      <w:r>
        <w:rPr>
          <w:noProof/>
        </w:rPr>
        <w:t xml:space="preserve">A.3. Description des réformes et des investissements en vue du prêt </w:t>
      </w:r>
    </w:p>
    <w:p w14:paraId="6CAE8B1D" w14:textId="2A73FAF7" w:rsidR="003B6BD9" w:rsidRDefault="009E25E8">
      <w:pPr>
        <w:pStyle w:val="P68B1DB1-Normal5"/>
        <w:spacing w:line="240" w:lineRule="auto"/>
        <w:jc w:val="both"/>
        <w:rPr>
          <w:noProof/>
        </w:rPr>
      </w:pPr>
      <w:r>
        <w:rPr>
          <w:noProof/>
        </w:rPr>
        <w:t>Réforme B: Réforme de l’approvisionnement en électricité pour promouvoir les sources d’énergie renouvelables</w:t>
      </w:r>
    </w:p>
    <w:p w14:paraId="4243650D" w14:textId="7BA44D57" w:rsidR="003B6BD9" w:rsidRDefault="009E25E8">
      <w:pPr>
        <w:spacing w:line="240" w:lineRule="auto"/>
        <w:jc w:val="both"/>
        <w:rPr>
          <w:noProof/>
        </w:rPr>
      </w:pPr>
      <w:r>
        <w:rPr>
          <w:noProof/>
        </w:rPr>
        <w:t xml:space="preserve">L’objectif de la réforme est de faciliter l’intégration des installations d’énergie renouvelable. </w:t>
      </w:r>
    </w:p>
    <w:p w14:paraId="67813E3D" w14:textId="6A4A5FA0" w:rsidR="003B6BD9" w:rsidRDefault="009E25E8">
      <w:pPr>
        <w:spacing w:line="240" w:lineRule="auto"/>
        <w:jc w:val="both"/>
        <w:rPr>
          <w:noProof/>
        </w:rPr>
      </w:pPr>
      <w:r>
        <w:rPr>
          <w:noProof/>
        </w:rPr>
        <w:t>La réforme consiste en l’entrée en vigueur de la loi sur la fourniture d’électricité.</w:t>
      </w:r>
    </w:p>
    <w:p w14:paraId="2ACF19B4" w14:textId="77777777" w:rsidR="003B6BD9" w:rsidRDefault="009E25E8">
      <w:pPr>
        <w:pStyle w:val="P68B1DB1-Normal5"/>
        <w:spacing w:line="240" w:lineRule="auto"/>
        <w:jc w:val="both"/>
        <w:rPr>
          <w:noProof/>
        </w:rPr>
      </w:pPr>
      <w:r>
        <w:rPr>
          <w:noProof/>
        </w:rPr>
        <w:t xml:space="preserve">Investissement E: </w:t>
      </w:r>
      <w:bookmarkStart w:id="4" w:name="_Hlk143249054"/>
      <w:r>
        <w:rPr>
          <w:noProof/>
        </w:rPr>
        <w:t>Production d’électricité à partir de sources d’énergie renouvelables</w:t>
      </w:r>
      <w:bookmarkEnd w:id="4"/>
    </w:p>
    <w:p w14:paraId="2995F01A" w14:textId="77777777" w:rsidR="003B6BD9" w:rsidRDefault="009E25E8">
      <w:pPr>
        <w:spacing w:line="240" w:lineRule="auto"/>
        <w:jc w:val="both"/>
        <w:rPr>
          <w:noProof/>
        </w:rPr>
      </w:pPr>
      <w:r>
        <w:rPr>
          <w:noProof/>
        </w:rPr>
        <w:t xml:space="preserve">L’objectif de l’investissement est l’installation de capacités d’énergie renouvelable. </w:t>
      </w:r>
    </w:p>
    <w:p w14:paraId="07DB548B" w14:textId="61F46357" w:rsidR="003B6BD9" w:rsidRDefault="009E25E8">
      <w:pPr>
        <w:spacing w:line="240" w:lineRule="auto"/>
        <w:jc w:val="both"/>
        <w:rPr>
          <w:noProof/>
        </w:rPr>
      </w:pPr>
      <w:r>
        <w:rPr>
          <w:noProof/>
        </w:rPr>
        <w:t>L’investissement consiste en la construction de 30 MW de capacité d’énergie renouvelable.</w:t>
      </w:r>
    </w:p>
    <w:p w14:paraId="37100532" w14:textId="582A5167" w:rsidR="003B6BD9" w:rsidRDefault="009E25E8">
      <w:pPr>
        <w:pStyle w:val="P68B1DB1-Normal5"/>
        <w:spacing w:line="240" w:lineRule="auto"/>
        <w:jc w:val="both"/>
        <w:rPr>
          <w:noProof/>
        </w:rPr>
      </w:pPr>
      <w:r>
        <w:rPr>
          <w:noProof/>
        </w:rPr>
        <w:t>Investissement F: Renforcement du réseau de distribution d’électricité (réseau basse tension)</w:t>
      </w:r>
    </w:p>
    <w:p w14:paraId="3B920B48" w14:textId="6E092872" w:rsidR="003B6BD9" w:rsidRDefault="009E25E8">
      <w:pPr>
        <w:spacing w:line="240" w:lineRule="auto"/>
        <w:jc w:val="both"/>
        <w:rPr>
          <w:noProof/>
        </w:rPr>
      </w:pPr>
      <w:r>
        <w:rPr>
          <w:noProof/>
        </w:rPr>
        <w:t xml:space="preserve">L’objectif de l’investissement est de moderniser le réseau de distribution d’électricité. </w:t>
      </w:r>
    </w:p>
    <w:p w14:paraId="3F89AB43" w14:textId="29E01DE1" w:rsidR="003B6BD9" w:rsidRDefault="009E25E8">
      <w:pPr>
        <w:spacing w:line="240" w:lineRule="auto"/>
        <w:jc w:val="both"/>
        <w:rPr>
          <w:noProof/>
        </w:rPr>
      </w:pPr>
      <w:r>
        <w:rPr>
          <w:noProof/>
        </w:rPr>
        <w:t>L’investissement consiste en l’ouverture d’un appel à propositions pour la construction d’un nouveau réseau de distribution basse tension.</w:t>
      </w:r>
    </w:p>
    <w:p w14:paraId="348832AF" w14:textId="77777777" w:rsidR="003B6BD9" w:rsidRDefault="003B6BD9">
      <w:pPr>
        <w:spacing w:line="240" w:lineRule="auto"/>
        <w:ind w:left="850"/>
        <w:jc w:val="both"/>
        <w:rPr>
          <w:i/>
          <w:noProof/>
        </w:rPr>
      </w:pPr>
    </w:p>
    <w:p w14:paraId="72735A50" w14:textId="77777777" w:rsidR="003B6BD9" w:rsidRDefault="003B6BD9">
      <w:pPr>
        <w:spacing w:line="240" w:lineRule="auto"/>
        <w:ind w:left="850"/>
        <w:jc w:val="both"/>
        <w:rPr>
          <w:i/>
          <w:noProof/>
        </w:rPr>
        <w:sectPr w:rsidR="003B6BD9" w:rsidSect="00073927">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4E5CA4ED" w14:textId="0AA6F237" w:rsidR="003B6BD9" w:rsidRDefault="009E25E8">
      <w:pPr>
        <w:pStyle w:val="P68B1DB1-Normal4"/>
        <w:spacing w:line="240" w:lineRule="auto"/>
        <w:ind w:left="850"/>
        <w:jc w:val="both"/>
        <w:rPr>
          <w:noProof/>
        </w:rPr>
      </w:pPr>
      <w:r>
        <w:rPr>
          <w:noProof/>
        </w:rPr>
        <w:t xml:space="preserve">A.4. </w:t>
      </w:r>
      <w:r>
        <w:rPr>
          <w:noProof/>
        </w:rPr>
        <w:tab/>
        <w:t xml:space="preserve">Jalons, cibles, indicateurs et calendrier de suivi et de mise en œuvre en vue du prêt </w:t>
      </w:r>
    </w:p>
    <w:tbl>
      <w:tblPr>
        <w:tblW w:w="15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5"/>
        <w:gridCol w:w="1440"/>
        <w:gridCol w:w="1200"/>
        <w:gridCol w:w="2040"/>
        <w:gridCol w:w="1846"/>
        <w:gridCol w:w="1063"/>
        <w:gridCol w:w="1127"/>
        <w:gridCol w:w="1050"/>
        <w:gridCol w:w="1108"/>
        <w:gridCol w:w="766"/>
        <w:gridCol w:w="3225"/>
      </w:tblGrid>
      <w:tr w:rsidR="003B6BD9" w14:paraId="5F99EE4E" w14:textId="77777777" w:rsidTr="00AC1D11">
        <w:trPr>
          <w:trHeight w:val="740"/>
          <w:tblHeader/>
          <w:jc w:val="center"/>
        </w:trPr>
        <w:tc>
          <w:tcPr>
            <w:tcW w:w="955" w:type="dxa"/>
            <w:vMerge w:val="restart"/>
            <w:shd w:val="clear" w:color="auto" w:fill="BDD7EE"/>
            <w:vAlign w:val="center"/>
            <w:hideMark/>
          </w:tcPr>
          <w:p w14:paraId="538B0168" w14:textId="49A3D137" w:rsidR="003B6BD9" w:rsidRDefault="009E25E8">
            <w:pPr>
              <w:pStyle w:val="P68B1DB1-Normal6"/>
              <w:spacing w:before="0" w:after="0" w:line="240" w:lineRule="auto"/>
              <w:jc w:val="center"/>
              <w:rPr>
                <w:rFonts w:eastAsia="Times New Roman"/>
                <w:noProof/>
              </w:rPr>
            </w:pPr>
            <w:r>
              <w:rPr>
                <w:noProof/>
              </w:rPr>
              <w:t>Et suivants Non.</w:t>
            </w:r>
          </w:p>
        </w:tc>
        <w:tc>
          <w:tcPr>
            <w:tcW w:w="1440" w:type="dxa"/>
            <w:vMerge w:val="restart"/>
            <w:shd w:val="clear" w:color="auto" w:fill="BDD7EE"/>
            <w:vAlign w:val="center"/>
            <w:hideMark/>
          </w:tcPr>
          <w:p w14:paraId="16C1C4C1" w14:textId="77777777" w:rsidR="003B6BD9" w:rsidRDefault="009E25E8">
            <w:pPr>
              <w:pStyle w:val="P68B1DB1-Normal6"/>
              <w:spacing w:before="0" w:after="0" w:line="240" w:lineRule="auto"/>
              <w:jc w:val="center"/>
              <w:rPr>
                <w:rFonts w:eastAsia="Times New Roman"/>
                <w:noProof/>
              </w:rPr>
            </w:pPr>
            <w:r>
              <w:rPr>
                <w:noProof/>
              </w:rPr>
              <w:t>Mesure connexe (réforme ou investissement)</w:t>
            </w:r>
          </w:p>
        </w:tc>
        <w:tc>
          <w:tcPr>
            <w:tcW w:w="1200" w:type="dxa"/>
            <w:vMerge w:val="restart"/>
            <w:shd w:val="clear" w:color="auto" w:fill="BDD7EE"/>
            <w:vAlign w:val="center"/>
            <w:hideMark/>
          </w:tcPr>
          <w:p w14:paraId="22A5EF04" w14:textId="467760CD" w:rsidR="003B6BD9" w:rsidRDefault="009E25E8">
            <w:pPr>
              <w:pStyle w:val="P68B1DB1-Normal6"/>
              <w:spacing w:before="0" w:after="0" w:line="240" w:lineRule="auto"/>
              <w:jc w:val="center"/>
              <w:rPr>
                <w:rFonts w:eastAsia="Times New Roman"/>
                <w:noProof/>
              </w:rPr>
            </w:pPr>
            <w:r>
              <w:rPr>
                <w:noProof/>
              </w:rPr>
              <w:t>Étape/</w:t>
            </w:r>
            <w:r w:rsidR="00AC1D11">
              <w:rPr>
                <w:noProof/>
              </w:rPr>
              <w:br/>
            </w:r>
            <w:r>
              <w:rPr>
                <w:noProof/>
              </w:rPr>
              <w:t>Objectif</w:t>
            </w:r>
          </w:p>
        </w:tc>
        <w:tc>
          <w:tcPr>
            <w:tcW w:w="2040" w:type="dxa"/>
            <w:vMerge w:val="restart"/>
            <w:shd w:val="clear" w:color="auto" w:fill="BDD7EE"/>
            <w:vAlign w:val="center"/>
            <w:hideMark/>
          </w:tcPr>
          <w:p w14:paraId="52CF2A31" w14:textId="77777777" w:rsidR="003B6BD9" w:rsidRDefault="009E25E8">
            <w:pPr>
              <w:pStyle w:val="P68B1DB1-Normal6"/>
              <w:spacing w:before="0" w:after="0" w:line="240" w:lineRule="auto"/>
              <w:jc w:val="center"/>
              <w:rPr>
                <w:rFonts w:eastAsia="Times New Roman"/>
                <w:noProof/>
              </w:rPr>
            </w:pPr>
            <w:r>
              <w:rPr>
                <w:noProof/>
              </w:rPr>
              <w:t>Nom</w:t>
            </w:r>
          </w:p>
        </w:tc>
        <w:tc>
          <w:tcPr>
            <w:tcW w:w="1846" w:type="dxa"/>
            <w:vMerge w:val="restart"/>
            <w:shd w:val="clear" w:color="auto" w:fill="BDD7EE"/>
            <w:vAlign w:val="center"/>
            <w:hideMark/>
          </w:tcPr>
          <w:p w14:paraId="70928D6A" w14:textId="5CF97D87" w:rsidR="003B6BD9" w:rsidRDefault="009E25E8">
            <w:pPr>
              <w:pStyle w:val="P68B1DB1-Normal6"/>
              <w:spacing w:before="0" w:after="0" w:line="240" w:lineRule="auto"/>
              <w:jc w:val="center"/>
              <w:rPr>
                <w:rFonts w:eastAsia="Times New Roman"/>
                <w:noProof/>
              </w:rPr>
            </w:pPr>
            <w:r>
              <w:rPr>
                <w:noProof/>
              </w:rPr>
              <w:t>Indicateurs qualitatifs (pour les jalons)</w:t>
            </w:r>
          </w:p>
        </w:tc>
        <w:tc>
          <w:tcPr>
            <w:tcW w:w="3240" w:type="dxa"/>
            <w:gridSpan w:val="3"/>
            <w:shd w:val="clear" w:color="auto" w:fill="BDD7EE"/>
            <w:vAlign w:val="center"/>
            <w:hideMark/>
          </w:tcPr>
          <w:p w14:paraId="4147FFC3" w14:textId="55B59D7C" w:rsidR="003B6BD9" w:rsidRDefault="009E25E8">
            <w:pPr>
              <w:pStyle w:val="P68B1DB1-Normal6"/>
              <w:spacing w:before="0" w:after="0" w:line="240" w:lineRule="auto"/>
              <w:jc w:val="center"/>
              <w:rPr>
                <w:rFonts w:eastAsia="Times New Roman"/>
                <w:noProof/>
              </w:rPr>
            </w:pPr>
            <w:r>
              <w:rPr>
                <w:noProof/>
              </w:rPr>
              <w:t>Indicateurs quantitatifs (pour les cibles)</w:t>
            </w:r>
          </w:p>
        </w:tc>
        <w:tc>
          <w:tcPr>
            <w:tcW w:w="1874" w:type="dxa"/>
            <w:gridSpan w:val="2"/>
            <w:shd w:val="clear" w:color="auto" w:fill="BDD7EE"/>
            <w:vAlign w:val="center"/>
            <w:hideMark/>
          </w:tcPr>
          <w:p w14:paraId="022BB72E" w14:textId="77777777" w:rsidR="003B6BD9" w:rsidRDefault="009E25E8">
            <w:pPr>
              <w:pStyle w:val="P68B1DB1-Normal6"/>
              <w:spacing w:before="0" w:after="0" w:line="240" w:lineRule="auto"/>
              <w:jc w:val="center"/>
              <w:rPr>
                <w:rFonts w:eastAsia="Times New Roman"/>
                <w:noProof/>
              </w:rPr>
            </w:pPr>
            <w:r>
              <w:rPr>
                <w:noProof/>
              </w:rPr>
              <w:t xml:space="preserve">Calendrier indicatif pour l’achèvement </w:t>
            </w:r>
          </w:p>
        </w:tc>
        <w:tc>
          <w:tcPr>
            <w:tcW w:w="3225" w:type="dxa"/>
            <w:vMerge w:val="restart"/>
            <w:shd w:val="clear" w:color="auto" w:fill="BDD7EE"/>
            <w:vAlign w:val="center"/>
            <w:hideMark/>
          </w:tcPr>
          <w:p w14:paraId="621F234B" w14:textId="77777777" w:rsidR="003B6BD9" w:rsidRDefault="009E25E8">
            <w:pPr>
              <w:pStyle w:val="P68B1DB1-Normal6"/>
              <w:spacing w:before="0" w:after="0" w:line="240" w:lineRule="auto"/>
              <w:jc w:val="center"/>
              <w:rPr>
                <w:rFonts w:eastAsia="Times New Roman"/>
                <w:noProof/>
              </w:rPr>
            </w:pPr>
            <w:r>
              <w:rPr>
                <w:noProof/>
              </w:rPr>
              <w:t>Description de chaque jalon et cible</w:t>
            </w:r>
          </w:p>
        </w:tc>
      </w:tr>
      <w:tr w:rsidR="003B6BD9" w14:paraId="1F5BD38B" w14:textId="77777777" w:rsidTr="00AC1D11">
        <w:trPr>
          <w:trHeight w:val="751"/>
          <w:tblHeader/>
          <w:jc w:val="center"/>
        </w:trPr>
        <w:tc>
          <w:tcPr>
            <w:tcW w:w="955" w:type="dxa"/>
            <w:vMerge/>
            <w:vAlign w:val="center"/>
            <w:hideMark/>
          </w:tcPr>
          <w:p w14:paraId="2F58130F" w14:textId="77777777" w:rsidR="003B6BD9" w:rsidRDefault="003B6BD9">
            <w:pPr>
              <w:spacing w:before="0" w:after="0" w:line="240" w:lineRule="auto"/>
              <w:rPr>
                <w:rFonts w:eastAsia="Times New Roman"/>
                <w:b/>
                <w:noProof/>
                <w:sz w:val="18"/>
                <w:szCs w:val="18"/>
              </w:rPr>
            </w:pPr>
          </w:p>
        </w:tc>
        <w:tc>
          <w:tcPr>
            <w:tcW w:w="1440" w:type="dxa"/>
            <w:vMerge/>
            <w:vAlign w:val="center"/>
            <w:hideMark/>
          </w:tcPr>
          <w:p w14:paraId="60DFEF6D" w14:textId="77777777" w:rsidR="003B6BD9" w:rsidRDefault="003B6BD9">
            <w:pPr>
              <w:spacing w:before="0" w:after="0" w:line="240" w:lineRule="auto"/>
              <w:rPr>
                <w:rFonts w:eastAsia="Times New Roman"/>
                <w:b/>
                <w:noProof/>
                <w:sz w:val="18"/>
                <w:szCs w:val="18"/>
              </w:rPr>
            </w:pPr>
          </w:p>
        </w:tc>
        <w:tc>
          <w:tcPr>
            <w:tcW w:w="1200" w:type="dxa"/>
            <w:vMerge/>
            <w:vAlign w:val="center"/>
            <w:hideMark/>
          </w:tcPr>
          <w:p w14:paraId="09F125A8" w14:textId="77777777" w:rsidR="003B6BD9" w:rsidRDefault="003B6BD9">
            <w:pPr>
              <w:spacing w:before="0" w:after="0" w:line="240" w:lineRule="auto"/>
              <w:rPr>
                <w:rFonts w:eastAsia="Times New Roman"/>
                <w:b/>
                <w:noProof/>
                <w:sz w:val="18"/>
                <w:szCs w:val="18"/>
              </w:rPr>
            </w:pPr>
          </w:p>
        </w:tc>
        <w:tc>
          <w:tcPr>
            <w:tcW w:w="2040" w:type="dxa"/>
            <w:vMerge/>
            <w:vAlign w:val="center"/>
            <w:hideMark/>
          </w:tcPr>
          <w:p w14:paraId="033E5795" w14:textId="77777777" w:rsidR="003B6BD9" w:rsidRDefault="003B6BD9">
            <w:pPr>
              <w:spacing w:before="0" w:after="0" w:line="240" w:lineRule="auto"/>
              <w:rPr>
                <w:rFonts w:eastAsia="Times New Roman"/>
                <w:b/>
                <w:noProof/>
                <w:sz w:val="18"/>
                <w:szCs w:val="18"/>
              </w:rPr>
            </w:pPr>
          </w:p>
        </w:tc>
        <w:tc>
          <w:tcPr>
            <w:tcW w:w="1846" w:type="dxa"/>
            <w:vMerge/>
            <w:vAlign w:val="center"/>
            <w:hideMark/>
          </w:tcPr>
          <w:p w14:paraId="09B28F6D" w14:textId="77777777" w:rsidR="003B6BD9" w:rsidRDefault="003B6BD9">
            <w:pPr>
              <w:spacing w:before="0" w:after="0" w:line="240" w:lineRule="auto"/>
              <w:rPr>
                <w:rFonts w:eastAsia="Times New Roman"/>
                <w:b/>
                <w:noProof/>
                <w:sz w:val="18"/>
                <w:szCs w:val="18"/>
              </w:rPr>
            </w:pPr>
          </w:p>
        </w:tc>
        <w:tc>
          <w:tcPr>
            <w:tcW w:w="1063" w:type="dxa"/>
            <w:shd w:val="clear" w:color="auto" w:fill="BDD7EE"/>
            <w:vAlign w:val="center"/>
            <w:hideMark/>
          </w:tcPr>
          <w:p w14:paraId="22350718" w14:textId="77777777" w:rsidR="003B6BD9" w:rsidRDefault="009E25E8">
            <w:pPr>
              <w:pStyle w:val="P68B1DB1-Normal6"/>
              <w:spacing w:before="0" w:after="0" w:line="240" w:lineRule="auto"/>
              <w:jc w:val="center"/>
              <w:rPr>
                <w:rFonts w:eastAsia="Times New Roman"/>
                <w:noProof/>
              </w:rPr>
            </w:pPr>
            <w:r>
              <w:rPr>
                <w:noProof/>
              </w:rPr>
              <w:t>Unité de mesure</w:t>
            </w:r>
          </w:p>
        </w:tc>
        <w:tc>
          <w:tcPr>
            <w:tcW w:w="1127" w:type="dxa"/>
            <w:shd w:val="clear" w:color="auto" w:fill="BDD7EE"/>
            <w:vAlign w:val="center"/>
            <w:hideMark/>
          </w:tcPr>
          <w:p w14:paraId="675DDA8E" w14:textId="77777777" w:rsidR="003B6BD9" w:rsidRDefault="009E25E8">
            <w:pPr>
              <w:pStyle w:val="P68B1DB1-Normal6"/>
              <w:spacing w:before="0" w:after="0" w:line="240" w:lineRule="auto"/>
              <w:jc w:val="center"/>
              <w:rPr>
                <w:rFonts w:eastAsia="Times New Roman"/>
                <w:noProof/>
              </w:rPr>
            </w:pPr>
            <w:r>
              <w:rPr>
                <w:noProof/>
              </w:rPr>
              <w:t xml:space="preserve">Niveau de référence </w:t>
            </w:r>
          </w:p>
        </w:tc>
        <w:tc>
          <w:tcPr>
            <w:tcW w:w="1050" w:type="dxa"/>
            <w:shd w:val="clear" w:color="auto" w:fill="BDD7EE"/>
            <w:vAlign w:val="center"/>
            <w:hideMark/>
          </w:tcPr>
          <w:p w14:paraId="1696690B" w14:textId="77777777" w:rsidR="003B6BD9" w:rsidRDefault="009E25E8">
            <w:pPr>
              <w:pStyle w:val="P68B1DB1-Normal6"/>
              <w:spacing w:before="0" w:after="0" w:line="240" w:lineRule="auto"/>
              <w:jc w:val="center"/>
              <w:rPr>
                <w:rFonts w:eastAsia="Times New Roman"/>
                <w:noProof/>
              </w:rPr>
            </w:pPr>
            <w:r>
              <w:rPr>
                <w:noProof/>
              </w:rPr>
              <w:t xml:space="preserve">But </w:t>
            </w:r>
          </w:p>
        </w:tc>
        <w:tc>
          <w:tcPr>
            <w:tcW w:w="1108" w:type="dxa"/>
            <w:shd w:val="clear" w:color="auto" w:fill="BDD7EE"/>
            <w:vAlign w:val="center"/>
            <w:hideMark/>
          </w:tcPr>
          <w:p w14:paraId="234898EC" w14:textId="77777777" w:rsidR="003B6BD9" w:rsidRDefault="009E25E8">
            <w:pPr>
              <w:pStyle w:val="P68B1DB1-Normal6"/>
              <w:spacing w:before="0" w:after="0" w:line="240" w:lineRule="auto"/>
              <w:jc w:val="center"/>
              <w:rPr>
                <w:rFonts w:eastAsia="Times New Roman"/>
                <w:noProof/>
              </w:rPr>
            </w:pPr>
            <w:r>
              <w:rPr>
                <w:noProof/>
              </w:rPr>
              <w:t>Trimestre</w:t>
            </w:r>
          </w:p>
        </w:tc>
        <w:tc>
          <w:tcPr>
            <w:tcW w:w="766" w:type="dxa"/>
            <w:shd w:val="clear" w:color="auto" w:fill="BDD7EE"/>
            <w:vAlign w:val="center"/>
            <w:hideMark/>
          </w:tcPr>
          <w:p w14:paraId="331F6BFA" w14:textId="77777777" w:rsidR="003B6BD9" w:rsidRDefault="009E25E8">
            <w:pPr>
              <w:pStyle w:val="P68B1DB1-Normal6"/>
              <w:spacing w:before="0" w:after="0" w:line="240" w:lineRule="auto"/>
              <w:jc w:val="center"/>
              <w:rPr>
                <w:rFonts w:eastAsia="Times New Roman"/>
                <w:noProof/>
              </w:rPr>
            </w:pPr>
            <w:r>
              <w:rPr>
                <w:noProof/>
              </w:rPr>
              <w:t>Année</w:t>
            </w:r>
          </w:p>
        </w:tc>
        <w:tc>
          <w:tcPr>
            <w:tcW w:w="3225" w:type="dxa"/>
            <w:vMerge/>
            <w:vAlign w:val="center"/>
            <w:hideMark/>
          </w:tcPr>
          <w:p w14:paraId="577E3248" w14:textId="77777777" w:rsidR="003B6BD9" w:rsidRDefault="003B6BD9">
            <w:pPr>
              <w:spacing w:before="0" w:after="0" w:line="240" w:lineRule="auto"/>
              <w:rPr>
                <w:rFonts w:eastAsia="Times New Roman"/>
                <w:b/>
                <w:noProof/>
                <w:sz w:val="18"/>
                <w:szCs w:val="18"/>
              </w:rPr>
            </w:pPr>
          </w:p>
        </w:tc>
      </w:tr>
      <w:tr w:rsidR="003B6BD9" w14:paraId="36791D93" w14:textId="77777777" w:rsidTr="00AC1D11">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20CF37BE" w14:textId="0F5456CE" w:rsidR="003B6BD9" w:rsidRDefault="009E25E8">
            <w:pPr>
              <w:pStyle w:val="P68B1DB1-Normal7"/>
              <w:spacing w:before="0" w:after="0" w:line="240" w:lineRule="auto"/>
              <w:rPr>
                <w:rFonts w:eastAsia="Times New Roman"/>
                <w:noProof/>
              </w:rPr>
            </w:pPr>
            <w:r>
              <w:rPr>
                <w:noProof/>
              </w:rPr>
              <w:t>13</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489A28FF" w14:textId="3192D3FC" w:rsidR="003B6BD9" w:rsidRDefault="009E25E8">
            <w:pPr>
              <w:pStyle w:val="P68B1DB1-Normal7"/>
              <w:spacing w:before="0" w:after="0" w:line="240" w:lineRule="auto"/>
              <w:rPr>
                <w:rFonts w:eastAsia="Times New Roman"/>
                <w:noProof/>
              </w:rPr>
            </w:pPr>
            <w:r>
              <w:rPr>
                <w:noProof/>
              </w:rPr>
              <w:t>B: Réforme de l’approvisionnement en électricité pour promouvoir les sources d’énergie renouvelables</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5D23A895" w14:textId="68DB3865" w:rsidR="003B6BD9" w:rsidRDefault="009E25E8">
            <w:pPr>
              <w:pStyle w:val="P68B1DB1-Normal7"/>
              <w:spacing w:before="0" w:after="0" w:line="240" w:lineRule="auto"/>
              <w:rPr>
                <w:rFonts w:eastAsia="Times New Roman"/>
                <w:noProof/>
              </w:rPr>
            </w:pPr>
            <w:r>
              <w:rPr>
                <w:noProof/>
              </w:rPr>
              <w:t>Jalon</w:t>
            </w:r>
          </w:p>
        </w:tc>
        <w:tc>
          <w:tcPr>
            <w:tcW w:w="2040" w:type="dxa"/>
            <w:tcBorders>
              <w:top w:val="single" w:sz="4" w:space="0" w:color="auto"/>
              <w:left w:val="single" w:sz="4" w:space="0" w:color="auto"/>
              <w:bottom w:val="single" w:sz="4" w:space="0" w:color="auto"/>
              <w:right w:val="single" w:sz="4" w:space="0" w:color="auto"/>
            </w:tcBorders>
            <w:shd w:val="clear" w:color="auto" w:fill="C6EFCE"/>
            <w:noWrap/>
          </w:tcPr>
          <w:p w14:paraId="3C075630" w14:textId="3D0F7054" w:rsidR="003B6BD9" w:rsidRDefault="009E25E8">
            <w:pPr>
              <w:pStyle w:val="P68B1DB1-Normal7"/>
              <w:spacing w:before="0" w:after="0" w:line="240" w:lineRule="auto"/>
              <w:rPr>
                <w:rFonts w:eastAsia="Times New Roman"/>
                <w:noProof/>
              </w:rPr>
            </w:pPr>
            <w:r>
              <w:rPr>
                <w:noProof/>
              </w:rPr>
              <w:t xml:space="preserve">Entrée en vigueur de la loi sur la fourniture d’électricité </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00824529" w14:textId="1455271A" w:rsidR="003B6BD9" w:rsidRDefault="009E25E8">
            <w:pPr>
              <w:pStyle w:val="P68B1DB1-Normal7"/>
              <w:spacing w:before="0" w:after="0" w:line="240" w:lineRule="auto"/>
              <w:rPr>
                <w:rFonts w:eastAsia="Times New Roman"/>
                <w:noProof/>
              </w:rPr>
            </w:pPr>
            <w:r>
              <w:rPr>
                <w:noProof/>
              </w:rPr>
              <w:t xml:space="preserve">Disposition de la loi indiquant l’entrée en vigueur de la loi sur la fourniture d’électricité </w:t>
            </w:r>
          </w:p>
        </w:tc>
        <w:tc>
          <w:tcPr>
            <w:tcW w:w="1063" w:type="dxa"/>
            <w:tcBorders>
              <w:top w:val="single" w:sz="4" w:space="0" w:color="auto"/>
              <w:left w:val="single" w:sz="4" w:space="0" w:color="auto"/>
              <w:bottom w:val="single" w:sz="4" w:space="0" w:color="auto"/>
              <w:right w:val="single" w:sz="4" w:space="0" w:color="auto"/>
            </w:tcBorders>
            <w:shd w:val="clear" w:color="auto" w:fill="C6EFCE"/>
            <w:noWrap/>
          </w:tcPr>
          <w:p w14:paraId="20A3E194" w14:textId="55345D7B" w:rsidR="003B6BD9" w:rsidRDefault="009E25E8">
            <w:pPr>
              <w:pStyle w:val="P68B1DB1-Normal7"/>
              <w:spacing w:before="0" w:after="0" w:line="240" w:lineRule="auto"/>
              <w:rPr>
                <w:rFonts w:eastAsia="Times New Roman"/>
                <w:noProof/>
              </w:rPr>
            </w:pPr>
            <w:r>
              <w:rPr>
                <w:noProof/>
              </w:rPr>
              <w:t> </w:t>
            </w:r>
          </w:p>
        </w:tc>
        <w:tc>
          <w:tcPr>
            <w:tcW w:w="1127" w:type="dxa"/>
            <w:tcBorders>
              <w:top w:val="single" w:sz="4" w:space="0" w:color="auto"/>
              <w:left w:val="single" w:sz="4" w:space="0" w:color="auto"/>
              <w:bottom w:val="single" w:sz="4" w:space="0" w:color="auto"/>
              <w:right w:val="single" w:sz="4" w:space="0" w:color="auto"/>
            </w:tcBorders>
            <w:shd w:val="clear" w:color="auto" w:fill="C6EFCE"/>
            <w:noWrap/>
          </w:tcPr>
          <w:p w14:paraId="4A11C0A2" w14:textId="0F440D34" w:rsidR="003B6BD9" w:rsidRDefault="009E25E8">
            <w:pPr>
              <w:pStyle w:val="P68B1DB1-Normal7"/>
              <w:spacing w:before="0" w:after="0" w:line="240" w:lineRule="auto"/>
              <w:rPr>
                <w:rFonts w:eastAsia="Times New Roman"/>
                <w:noProof/>
              </w:rPr>
            </w:pPr>
            <w:r>
              <w:rPr>
                <w:noProof/>
              </w:rPr>
              <w:t> </w:t>
            </w:r>
          </w:p>
        </w:tc>
        <w:tc>
          <w:tcPr>
            <w:tcW w:w="1050" w:type="dxa"/>
            <w:tcBorders>
              <w:top w:val="single" w:sz="4" w:space="0" w:color="auto"/>
              <w:left w:val="single" w:sz="4" w:space="0" w:color="auto"/>
              <w:bottom w:val="single" w:sz="4" w:space="0" w:color="auto"/>
              <w:right w:val="single" w:sz="4" w:space="0" w:color="auto"/>
            </w:tcBorders>
            <w:shd w:val="clear" w:color="auto" w:fill="C6EFCE"/>
            <w:noWrap/>
          </w:tcPr>
          <w:p w14:paraId="2617F257" w14:textId="6AFFAF08" w:rsidR="003B6BD9" w:rsidRDefault="009E25E8">
            <w:pPr>
              <w:pStyle w:val="P68B1DB1-Normal7"/>
              <w:spacing w:before="0" w:after="0" w:line="240" w:lineRule="auto"/>
              <w:rPr>
                <w:rFonts w:eastAsia="Times New Roman"/>
                <w:noProof/>
              </w:rPr>
            </w:pPr>
            <w:r>
              <w:rPr>
                <w:noProof/>
              </w:rPr>
              <w:t> </w:t>
            </w:r>
          </w:p>
        </w:tc>
        <w:tc>
          <w:tcPr>
            <w:tcW w:w="1108" w:type="dxa"/>
            <w:tcBorders>
              <w:top w:val="single" w:sz="4" w:space="0" w:color="auto"/>
              <w:left w:val="single" w:sz="4" w:space="0" w:color="auto"/>
              <w:bottom w:val="single" w:sz="4" w:space="0" w:color="auto"/>
              <w:right w:val="single" w:sz="4" w:space="0" w:color="auto"/>
            </w:tcBorders>
            <w:shd w:val="clear" w:color="auto" w:fill="C6EFCE"/>
            <w:noWrap/>
          </w:tcPr>
          <w:p w14:paraId="7FB8A98D" w14:textId="6DEAB4F3" w:rsidR="003B6BD9" w:rsidRDefault="009E25E8">
            <w:pPr>
              <w:pStyle w:val="P68B1DB1-Normal7"/>
              <w:spacing w:before="0" w:after="0" w:line="240" w:lineRule="auto"/>
              <w:rPr>
                <w:rFonts w:eastAsia="Times New Roman"/>
                <w:noProof/>
              </w:rPr>
            </w:pPr>
            <w:r>
              <w:rPr>
                <w:noProof/>
              </w:rPr>
              <w:t>T2</w:t>
            </w:r>
          </w:p>
        </w:tc>
        <w:tc>
          <w:tcPr>
            <w:tcW w:w="766" w:type="dxa"/>
            <w:tcBorders>
              <w:top w:val="single" w:sz="4" w:space="0" w:color="auto"/>
              <w:left w:val="single" w:sz="4" w:space="0" w:color="auto"/>
              <w:bottom w:val="single" w:sz="4" w:space="0" w:color="auto"/>
              <w:right w:val="single" w:sz="4" w:space="0" w:color="auto"/>
            </w:tcBorders>
            <w:shd w:val="clear" w:color="auto" w:fill="C6EFCE"/>
            <w:noWrap/>
          </w:tcPr>
          <w:p w14:paraId="6A4D7E08" w14:textId="602CAF9C" w:rsidR="003B6BD9" w:rsidRDefault="009E25E8">
            <w:pPr>
              <w:pStyle w:val="P68B1DB1-Normal7"/>
              <w:spacing w:before="0" w:after="0" w:line="240" w:lineRule="auto"/>
              <w:rPr>
                <w:rFonts w:eastAsia="Times New Roman"/>
                <w:noProof/>
              </w:rPr>
            </w:pPr>
            <w:r>
              <w:rPr>
                <w:noProof/>
              </w:rPr>
              <w:t>2022</w:t>
            </w:r>
          </w:p>
        </w:tc>
        <w:tc>
          <w:tcPr>
            <w:tcW w:w="3225" w:type="dxa"/>
            <w:tcBorders>
              <w:top w:val="single" w:sz="4" w:space="0" w:color="auto"/>
              <w:left w:val="single" w:sz="4" w:space="0" w:color="auto"/>
              <w:bottom w:val="single" w:sz="4" w:space="0" w:color="auto"/>
              <w:right w:val="single" w:sz="4" w:space="0" w:color="auto"/>
            </w:tcBorders>
            <w:shd w:val="clear" w:color="auto" w:fill="C6EFCE"/>
            <w:noWrap/>
          </w:tcPr>
          <w:p w14:paraId="39E8E3D4" w14:textId="28121269" w:rsidR="003B6BD9" w:rsidRDefault="009E25E8">
            <w:pPr>
              <w:pStyle w:val="P68B1DB1-Normal7"/>
              <w:spacing w:before="0" w:after="0" w:line="240" w:lineRule="auto"/>
              <w:rPr>
                <w:noProof/>
              </w:rPr>
            </w:pPr>
            <w:r>
              <w:rPr>
                <w:noProof/>
              </w:rPr>
              <w:t>La nouvelle loi sur la fourniture d’électricité fixe les règles de fonctionnement du marché de l’électricité, de la production, du transport, de la distribution, du stockage et de la fourniture d’électricité, ainsi que les dispositions relatives à la protection des clients finals, les modalités et les formes de fourniture des services publics de transport et de distribution d’électricité et du marché de l’électricité, les principes et les mesures visant à assurer la sécurité de l’approvisionnement en électricité, les mesures de prévention de la précarité énergétique et d’autres questions relatives à l’approvisionnement en électricité.</w:t>
            </w:r>
          </w:p>
        </w:tc>
      </w:tr>
      <w:tr w:rsidR="003B6BD9" w14:paraId="67129AEC" w14:textId="77777777" w:rsidTr="00AC1D11">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1EDF9BF6" w14:textId="72E735F4" w:rsidR="003B6BD9" w:rsidRDefault="009E25E8">
            <w:pPr>
              <w:pStyle w:val="P68B1DB1-Normal7"/>
              <w:spacing w:before="0" w:after="0" w:line="240" w:lineRule="auto"/>
              <w:rPr>
                <w:rFonts w:eastAsia="Times New Roman"/>
                <w:noProof/>
              </w:rPr>
            </w:pPr>
            <w:r>
              <w:rPr>
                <w:noProof/>
              </w:rPr>
              <w:t>16</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036EE40B" w14:textId="2B0DC615" w:rsidR="003B6BD9" w:rsidRDefault="009E25E8">
            <w:pPr>
              <w:pStyle w:val="P68B1DB1-Normal7"/>
              <w:spacing w:before="0" w:after="0" w:line="240" w:lineRule="auto"/>
              <w:rPr>
                <w:rFonts w:eastAsia="Times New Roman"/>
                <w:noProof/>
              </w:rPr>
            </w:pPr>
            <w:r>
              <w:rPr>
                <w:noProof/>
              </w:rPr>
              <w:t>E: Production d’électricité à partir de sources d’énergie renouvelables</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502F2BE6" w14:textId="4A74D198" w:rsidR="003B6BD9" w:rsidRDefault="009E25E8">
            <w:pPr>
              <w:pStyle w:val="P68B1DB1-Normal7"/>
              <w:spacing w:before="0" w:after="0" w:line="240" w:lineRule="auto"/>
              <w:rPr>
                <w:rFonts w:eastAsia="Times New Roman"/>
                <w:noProof/>
              </w:rPr>
            </w:pPr>
            <w:r>
              <w:rPr>
                <w:noProof/>
              </w:rPr>
              <w:t>Cible</w:t>
            </w:r>
          </w:p>
        </w:tc>
        <w:tc>
          <w:tcPr>
            <w:tcW w:w="2040" w:type="dxa"/>
            <w:tcBorders>
              <w:top w:val="single" w:sz="4" w:space="0" w:color="auto"/>
              <w:left w:val="single" w:sz="4" w:space="0" w:color="auto"/>
              <w:bottom w:val="single" w:sz="4" w:space="0" w:color="auto"/>
              <w:right w:val="single" w:sz="4" w:space="0" w:color="auto"/>
            </w:tcBorders>
            <w:shd w:val="clear" w:color="auto" w:fill="C6EFCE"/>
            <w:noWrap/>
          </w:tcPr>
          <w:p w14:paraId="3CB3EF58" w14:textId="4309971D" w:rsidR="003B6BD9" w:rsidRDefault="009E25E8">
            <w:pPr>
              <w:pStyle w:val="P68B1DB1-Normal7"/>
              <w:spacing w:before="0" w:after="0" w:line="240" w:lineRule="auto"/>
              <w:rPr>
                <w:rFonts w:eastAsia="Times New Roman"/>
                <w:noProof/>
              </w:rPr>
            </w:pPr>
            <w:r>
              <w:rPr>
                <w:noProof/>
              </w:rPr>
              <w:t xml:space="preserve">Capacité installée en matière d’énergies renouvelables </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5DF1E62C" w14:textId="652AB8C4" w:rsidR="003B6BD9" w:rsidRDefault="009E25E8">
            <w:pPr>
              <w:pStyle w:val="P68B1DB1-Normal7"/>
              <w:spacing w:before="0" w:after="0" w:line="240" w:lineRule="auto"/>
              <w:rPr>
                <w:rFonts w:eastAsia="Times New Roman"/>
                <w:noProof/>
              </w:rPr>
            </w:pPr>
            <w:r>
              <w:rPr>
                <w:noProof/>
              </w:rPr>
              <w:t> </w:t>
            </w:r>
          </w:p>
        </w:tc>
        <w:tc>
          <w:tcPr>
            <w:tcW w:w="1063" w:type="dxa"/>
            <w:tcBorders>
              <w:top w:val="single" w:sz="4" w:space="0" w:color="auto"/>
              <w:left w:val="single" w:sz="4" w:space="0" w:color="auto"/>
              <w:bottom w:val="single" w:sz="4" w:space="0" w:color="auto"/>
              <w:right w:val="single" w:sz="4" w:space="0" w:color="auto"/>
            </w:tcBorders>
            <w:shd w:val="clear" w:color="auto" w:fill="C6EFCE"/>
            <w:noWrap/>
          </w:tcPr>
          <w:p w14:paraId="241812B5" w14:textId="3EFD23E6" w:rsidR="003B6BD9" w:rsidRDefault="009E25E8">
            <w:pPr>
              <w:pStyle w:val="P68B1DB1-Normal7"/>
              <w:spacing w:before="0" w:after="0" w:line="240" w:lineRule="auto"/>
              <w:rPr>
                <w:rFonts w:eastAsia="Times New Roman"/>
                <w:noProof/>
              </w:rPr>
            </w:pPr>
            <w:r>
              <w:rPr>
                <w:noProof/>
              </w:rPr>
              <w:t>MW</w:t>
            </w:r>
          </w:p>
        </w:tc>
        <w:tc>
          <w:tcPr>
            <w:tcW w:w="1127" w:type="dxa"/>
            <w:tcBorders>
              <w:top w:val="single" w:sz="4" w:space="0" w:color="auto"/>
              <w:left w:val="single" w:sz="4" w:space="0" w:color="auto"/>
              <w:bottom w:val="single" w:sz="4" w:space="0" w:color="auto"/>
              <w:right w:val="single" w:sz="4" w:space="0" w:color="auto"/>
            </w:tcBorders>
            <w:shd w:val="clear" w:color="auto" w:fill="C6EFCE"/>
            <w:noWrap/>
          </w:tcPr>
          <w:p w14:paraId="4A9272BC" w14:textId="433D1DCB" w:rsidR="003B6BD9" w:rsidRDefault="009E25E8">
            <w:pPr>
              <w:pStyle w:val="P68B1DB1-Normal7"/>
              <w:spacing w:before="0" w:after="0" w:line="240" w:lineRule="auto"/>
              <w:rPr>
                <w:rFonts w:eastAsia="Times New Roman"/>
                <w:noProof/>
              </w:rPr>
            </w:pPr>
            <w:r>
              <w:rPr>
                <w:noProof/>
              </w:rPr>
              <w:t>0</w:t>
            </w:r>
          </w:p>
        </w:tc>
        <w:tc>
          <w:tcPr>
            <w:tcW w:w="1050" w:type="dxa"/>
            <w:tcBorders>
              <w:top w:val="single" w:sz="4" w:space="0" w:color="auto"/>
              <w:left w:val="single" w:sz="4" w:space="0" w:color="auto"/>
              <w:bottom w:val="single" w:sz="4" w:space="0" w:color="auto"/>
              <w:right w:val="single" w:sz="4" w:space="0" w:color="auto"/>
            </w:tcBorders>
            <w:shd w:val="clear" w:color="auto" w:fill="C6EFCE"/>
            <w:noWrap/>
          </w:tcPr>
          <w:p w14:paraId="6F486CFD" w14:textId="74C3375E" w:rsidR="003B6BD9" w:rsidRDefault="009E25E8">
            <w:pPr>
              <w:pStyle w:val="P68B1DB1-Normal7"/>
              <w:spacing w:before="0" w:after="0" w:line="240" w:lineRule="auto"/>
              <w:rPr>
                <w:rFonts w:eastAsia="Times New Roman"/>
                <w:noProof/>
              </w:rPr>
            </w:pPr>
            <w:r>
              <w:rPr>
                <w:noProof/>
              </w:rPr>
              <w:t>30</w:t>
            </w:r>
          </w:p>
        </w:tc>
        <w:tc>
          <w:tcPr>
            <w:tcW w:w="1108" w:type="dxa"/>
            <w:tcBorders>
              <w:top w:val="single" w:sz="4" w:space="0" w:color="auto"/>
              <w:left w:val="single" w:sz="4" w:space="0" w:color="auto"/>
              <w:bottom w:val="single" w:sz="4" w:space="0" w:color="auto"/>
              <w:right w:val="single" w:sz="4" w:space="0" w:color="auto"/>
            </w:tcBorders>
            <w:shd w:val="clear" w:color="auto" w:fill="C6EFCE"/>
            <w:noWrap/>
          </w:tcPr>
          <w:p w14:paraId="488A05D1" w14:textId="50581CE6" w:rsidR="003B6BD9" w:rsidRDefault="009E25E8">
            <w:pPr>
              <w:pStyle w:val="P68B1DB1-Normal7"/>
              <w:spacing w:before="0" w:after="0" w:line="240" w:lineRule="auto"/>
              <w:rPr>
                <w:rFonts w:eastAsia="Times New Roman"/>
                <w:noProof/>
              </w:rPr>
            </w:pPr>
            <w:r>
              <w:rPr>
                <w:noProof/>
              </w:rPr>
              <w:t>T2</w:t>
            </w:r>
          </w:p>
        </w:tc>
        <w:tc>
          <w:tcPr>
            <w:tcW w:w="766" w:type="dxa"/>
            <w:tcBorders>
              <w:top w:val="single" w:sz="4" w:space="0" w:color="auto"/>
              <w:left w:val="single" w:sz="4" w:space="0" w:color="auto"/>
              <w:bottom w:val="single" w:sz="4" w:space="0" w:color="auto"/>
              <w:right w:val="single" w:sz="4" w:space="0" w:color="auto"/>
            </w:tcBorders>
            <w:shd w:val="clear" w:color="auto" w:fill="C6EFCE"/>
            <w:noWrap/>
          </w:tcPr>
          <w:p w14:paraId="720E0FF2" w14:textId="5F5977D9" w:rsidR="003B6BD9" w:rsidRDefault="009E25E8">
            <w:pPr>
              <w:pStyle w:val="P68B1DB1-Normal7"/>
              <w:spacing w:before="0" w:after="0" w:line="240" w:lineRule="auto"/>
              <w:rPr>
                <w:rFonts w:eastAsia="Times New Roman"/>
                <w:noProof/>
              </w:rPr>
            </w:pPr>
            <w:r>
              <w:rPr>
                <w:noProof/>
              </w:rPr>
              <w:t>2026</w:t>
            </w:r>
          </w:p>
        </w:tc>
        <w:tc>
          <w:tcPr>
            <w:tcW w:w="3225" w:type="dxa"/>
            <w:tcBorders>
              <w:top w:val="single" w:sz="4" w:space="0" w:color="auto"/>
              <w:left w:val="single" w:sz="4" w:space="0" w:color="auto"/>
              <w:bottom w:val="single" w:sz="4" w:space="0" w:color="auto"/>
              <w:right w:val="single" w:sz="4" w:space="0" w:color="auto"/>
            </w:tcBorders>
            <w:shd w:val="clear" w:color="auto" w:fill="C6EFCE"/>
            <w:noWrap/>
          </w:tcPr>
          <w:p w14:paraId="0657A6F0" w14:textId="70619FC9" w:rsidR="003B6BD9" w:rsidRDefault="009E25E8">
            <w:pPr>
              <w:pStyle w:val="P68B1DB1-Normal7"/>
              <w:spacing w:before="0" w:after="0" w:line="240" w:lineRule="auto"/>
              <w:rPr>
                <w:noProof/>
              </w:rPr>
            </w:pPr>
            <w:r>
              <w:rPr>
                <w:noProof/>
              </w:rPr>
              <w:t xml:space="preserve">30 MW de capacité installée d’énergie renouvelable. </w:t>
            </w:r>
          </w:p>
          <w:p w14:paraId="20869BC5" w14:textId="0BC3DD5C" w:rsidR="003B6BD9" w:rsidRDefault="009E25E8">
            <w:pPr>
              <w:pStyle w:val="P68B1DB1-Normal7"/>
              <w:spacing w:before="0" w:after="0" w:line="240" w:lineRule="auto"/>
              <w:rPr>
                <w:rFonts w:eastAsia="Times New Roman"/>
                <w:noProof/>
              </w:rPr>
            </w:pPr>
            <w:r>
              <w:rPr>
                <w:noProof/>
              </w:rPr>
              <w:t>Le ou les appels à propositions doivent être conformes au chapitre 4.5 «Production d’électricité à partir de l’hydroélectricité» du règlement délégué (UE) 2021/2139 de la Commission.</w:t>
            </w:r>
          </w:p>
        </w:tc>
      </w:tr>
      <w:tr w:rsidR="003B6BD9" w14:paraId="53B56731" w14:textId="77777777" w:rsidTr="00AC1D11">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400C259A" w14:textId="1B789F77" w:rsidR="003B6BD9" w:rsidRDefault="009E25E8">
            <w:pPr>
              <w:pStyle w:val="P68B1DB1-Normal7"/>
              <w:spacing w:before="0" w:after="0" w:line="240" w:lineRule="auto"/>
              <w:rPr>
                <w:rFonts w:eastAsia="Times New Roman"/>
                <w:noProof/>
              </w:rPr>
            </w:pPr>
            <w:r>
              <w:rPr>
                <w:noProof/>
              </w:rPr>
              <w:t>17</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2D0B4D07" w14:textId="7D8A45C9" w:rsidR="003B6BD9" w:rsidRDefault="009E25E8">
            <w:pPr>
              <w:pStyle w:val="P68B1DB1-Normal7"/>
              <w:spacing w:before="0" w:after="0" w:line="240" w:lineRule="auto"/>
              <w:rPr>
                <w:rFonts w:eastAsia="Times New Roman"/>
                <w:noProof/>
              </w:rPr>
            </w:pPr>
            <w:r>
              <w:rPr>
                <w:noProof/>
              </w:rPr>
              <w:t>F: Poursuite du renforcement du réseau de distribution d’électricité</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2596D558" w14:textId="3CA41AA5" w:rsidR="003B6BD9" w:rsidRDefault="009E25E8">
            <w:pPr>
              <w:pStyle w:val="P68B1DB1-Normal7"/>
              <w:spacing w:before="0" w:after="0" w:line="240" w:lineRule="auto"/>
              <w:rPr>
                <w:rFonts w:eastAsia="Times New Roman"/>
                <w:noProof/>
              </w:rPr>
            </w:pPr>
            <w:r>
              <w:rPr>
                <w:noProof/>
              </w:rPr>
              <w:t>Jalon</w:t>
            </w:r>
          </w:p>
        </w:tc>
        <w:tc>
          <w:tcPr>
            <w:tcW w:w="2040" w:type="dxa"/>
            <w:tcBorders>
              <w:top w:val="single" w:sz="4" w:space="0" w:color="auto"/>
              <w:left w:val="single" w:sz="4" w:space="0" w:color="auto"/>
              <w:bottom w:val="single" w:sz="4" w:space="0" w:color="auto"/>
              <w:right w:val="single" w:sz="4" w:space="0" w:color="auto"/>
            </w:tcBorders>
            <w:shd w:val="clear" w:color="auto" w:fill="C6EFCE"/>
            <w:noWrap/>
          </w:tcPr>
          <w:p w14:paraId="2683559B" w14:textId="7793F3EB" w:rsidR="003B6BD9" w:rsidRDefault="009E25E8">
            <w:pPr>
              <w:pStyle w:val="P68B1DB1-Normal7"/>
              <w:spacing w:before="0" w:after="0" w:line="240" w:lineRule="auto"/>
              <w:rPr>
                <w:rFonts w:eastAsia="Times New Roman"/>
                <w:noProof/>
              </w:rPr>
            </w:pPr>
            <w:r>
              <w:rPr>
                <w:noProof/>
              </w:rPr>
              <w:t>Ouverture d’un appel à propositions pour un nouveau réseau de distribution basse tension</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1777DD79" w14:textId="4FF8F137" w:rsidR="003B6BD9" w:rsidRDefault="009E25E8">
            <w:pPr>
              <w:pStyle w:val="P68B1DB1-Normal7"/>
              <w:spacing w:before="0" w:after="0" w:line="240" w:lineRule="auto"/>
              <w:rPr>
                <w:rFonts w:eastAsia="Times New Roman"/>
                <w:noProof/>
              </w:rPr>
            </w:pPr>
            <w:r>
              <w:rPr>
                <w:noProof/>
              </w:rPr>
              <w:t>Publication de l’appel à propositions</w:t>
            </w:r>
          </w:p>
        </w:tc>
        <w:tc>
          <w:tcPr>
            <w:tcW w:w="1063" w:type="dxa"/>
            <w:tcBorders>
              <w:top w:val="single" w:sz="4" w:space="0" w:color="auto"/>
              <w:left w:val="single" w:sz="4" w:space="0" w:color="auto"/>
              <w:bottom w:val="single" w:sz="4" w:space="0" w:color="auto"/>
              <w:right w:val="single" w:sz="4" w:space="0" w:color="auto"/>
            </w:tcBorders>
            <w:shd w:val="clear" w:color="auto" w:fill="C6EFCE"/>
            <w:noWrap/>
          </w:tcPr>
          <w:p w14:paraId="6C782D57" w14:textId="6E75E45B" w:rsidR="003B6BD9" w:rsidRDefault="009E25E8">
            <w:pPr>
              <w:pStyle w:val="P68B1DB1-Normal7"/>
              <w:spacing w:before="0" w:after="0" w:line="240" w:lineRule="auto"/>
              <w:rPr>
                <w:rFonts w:eastAsia="Times New Roman"/>
                <w:noProof/>
              </w:rPr>
            </w:pPr>
            <w:r>
              <w:rPr>
                <w:noProof/>
              </w:rPr>
              <w:t> </w:t>
            </w:r>
          </w:p>
        </w:tc>
        <w:tc>
          <w:tcPr>
            <w:tcW w:w="1127" w:type="dxa"/>
            <w:tcBorders>
              <w:top w:val="single" w:sz="4" w:space="0" w:color="auto"/>
              <w:left w:val="single" w:sz="4" w:space="0" w:color="auto"/>
              <w:bottom w:val="single" w:sz="4" w:space="0" w:color="auto"/>
              <w:right w:val="single" w:sz="4" w:space="0" w:color="auto"/>
            </w:tcBorders>
            <w:shd w:val="clear" w:color="auto" w:fill="C6EFCE"/>
            <w:noWrap/>
          </w:tcPr>
          <w:p w14:paraId="59706042" w14:textId="3BC661E8" w:rsidR="003B6BD9" w:rsidRDefault="009E25E8">
            <w:pPr>
              <w:pStyle w:val="P68B1DB1-Normal7"/>
              <w:spacing w:before="0" w:after="0" w:line="240" w:lineRule="auto"/>
              <w:rPr>
                <w:rFonts w:eastAsia="Times New Roman"/>
                <w:noProof/>
              </w:rPr>
            </w:pPr>
            <w:r>
              <w:rPr>
                <w:noProof/>
              </w:rPr>
              <w:t> </w:t>
            </w:r>
          </w:p>
        </w:tc>
        <w:tc>
          <w:tcPr>
            <w:tcW w:w="1050" w:type="dxa"/>
            <w:tcBorders>
              <w:top w:val="single" w:sz="4" w:space="0" w:color="auto"/>
              <w:left w:val="single" w:sz="4" w:space="0" w:color="auto"/>
              <w:bottom w:val="single" w:sz="4" w:space="0" w:color="auto"/>
              <w:right w:val="single" w:sz="4" w:space="0" w:color="auto"/>
            </w:tcBorders>
            <w:shd w:val="clear" w:color="auto" w:fill="C6EFCE"/>
            <w:noWrap/>
          </w:tcPr>
          <w:p w14:paraId="4729B558" w14:textId="44A6DC05" w:rsidR="003B6BD9" w:rsidRDefault="009E25E8">
            <w:pPr>
              <w:pStyle w:val="P68B1DB1-Normal7"/>
              <w:spacing w:before="0" w:after="0" w:line="240" w:lineRule="auto"/>
              <w:rPr>
                <w:rFonts w:eastAsia="Times New Roman"/>
                <w:noProof/>
              </w:rPr>
            </w:pPr>
            <w:r>
              <w:rPr>
                <w:noProof/>
              </w:rPr>
              <w:t> </w:t>
            </w:r>
          </w:p>
        </w:tc>
        <w:tc>
          <w:tcPr>
            <w:tcW w:w="1108" w:type="dxa"/>
            <w:tcBorders>
              <w:top w:val="single" w:sz="4" w:space="0" w:color="auto"/>
              <w:left w:val="single" w:sz="4" w:space="0" w:color="auto"/>
              <w:bottom w:val="single" w:sz="4" w:space="0" w:color="auto"/>
              <w:right w:val="single" w:sz="4" w:space="0" w:color="auto"/>
            </w:tcBorders>
            <w:shd w:val="clear" w:color="auto" w:fill="C6EFCE"/>
            <w:noWrap/>
          </w:tcPr>
          <w:p w14:paraId="261EC3FE" w14:textId="50538462" w:rsidR="003B6BD9" w:rsidRDefault="009E25E8">
            <w:pPr>
              <w:pStyle w:val="P68B1DB1-Normal7"/>
              <w:spacing w:before="0" w:after="0" w:line="240" w:lineRule="auto"/>
              <w:rPr>
                <w:rFonts w:eastAsia="Times New Roman"/>
                <w:noProof/>
              </w:rPr>
            </w:pPr>
            <w:r>
              <w:rPr>
                <w:noProof/>
              </w:rPr>
              <w:t>T4</w:t>
            </w:r>
          </w:p>
        </w:tc>
        <w:tc>
          <w:tcPr>
            <w:tcW w:w="766" w:type="dxa"/>
            <w:tcBorders>
              <w:top w:val="single" w:sz="4" w:space="0" w:color="auto"/>
              <w:left w:val="single" w:sz="4" w:space="0" w:color="auto"/>
              <w:bottom w:val="single" w:sz="4" w:space="0" w:color="auto"/>
              <w:right w:val="single" w:sz="4" w:space="0" w:color="auto"/>
            </w:tcBorders>
            <w:shd w:val="clear" w:color="auto" w:fill="C6EFCE"/>
            <w:noWrap/>
          </w:tcPr>
          <w:p w14:paraId="0551A4A5" w14:textId="2F0A71E7" w:rsidR="003B6BD9" w:rsidRDefault="009E25E8">
            <w:pPr>
              <w:pStyle w:val="P68B1DB1-Normal7"/>
              <w:spacing w:before="0" w:after="0" w:line="240" w:lineRule="auto"/>
              <w:rPr>
                <w:rFonts w:eastAsia="Times New Roman"/>
                <w:noProof/>
              </w:rPr>
            </w:pPr>
            <w:r>
              <w:rPr>
                <w:noProof/>
              </w:rPr>
              <w:t>2022</w:t>
            </w:r>
          </w:p>
        </w:tc>
        <w:tc>
          <w:tcPr>
            <w:tcW w:w="3225" w:type="dxa"/>
            <w:tcBorders>
              <w:top w:val="single" w:sz="4" w:space="0" w:color="auto"/>
              <w:left w:val="single" w:sz="4" w:space="0" w:color="auto"/>
              <w:bottom w:val="single" w:sz="4" w:space="0" w:color="auto"/>
              <w:right w:val="single" w:sz="4" w:space="0" w:color="auto"/>
            </w:tcBorders>
            <w:shd w:val="clear" w:color="auto" w:fill="C6EFCE"/>
            <w:noWrap/>
          </w:tcPr>
          <w:p w14:paraId="2825F85A" w14:textId="6B11220B" w:rsidR="003B6BD9" w:rsidRDefault="009E25E8">
            <w:pPr>
              <w:pStyle w:val="P68B1DB1-Normal7"/>
              <w:spacing w:before="0" w:after="0" w:line="240" w:lineRule="auto"/>
              <w:rPr>
                <w:rFonts w:eastAsia="Times New Roman"/>
                <w:noProof/>
              </w:rPr>
            </w:pPr>
            <w:r>
              <w:rPr>
                <w:noProof/>
              </w:rPr>
              <w:t>Appel à propositions ouvert pour la construction d’un nouveau réseau de distribution basse tension. L’appel est ouvert jusqu’à épuisement de l’enveloppe budgétaire. Les projets visent à intégrer efficacement les installations de production et de stockage d’énergie renouvelable dans le réseau de distribution d’électricité, y compris les points de recharge pour véhicules électriques. Outre toutes les règles nationales et européennes obligatoires fixant les exigences applicables aux interventions dans le domaine de la construction et de l’environnement, les critères de sélection/d’éligibilité garantissent le respect des orientations techniques «ne pas causer de préjudice important» (2021/C58/01). Les investissements renforcent le réseau de distribution, améliorent sa capacité et sa capacité d’adaptation, ainsi que l’intégration des bases de données et la surveillance en temps réel.</w:t>
            </w:r>
          </w:p>
        </w:tc>
      </w:tr>
    </w:tbl>
    <w:p w14:paraId="3C3B86D2" w14:textId="77777777" w:rsidR="003B6BD9" w:rsidRDefault="003B6BD9">
      <w:pPr>
        <w:spacing w:line="240" w:lineRule="auto"/>
        <w:jc w:val="both"/>
        <w:rPr>
          <w:b/>
          <w:noProof/>
        </w:rPr>
      </w:pPr>
    </w:p>
    <w:p w14:paraId="46AE5CB6" w14:textId="77777777" w:rsidR="003B6BD9" w:rsidRDefault="003B6BD9">
      <w:pPr>
        <w:spacing w:line="240" w:lineRule="auto"/>
        <w:ind w:left="850"/>
        <w:jc w:val="both"/>
        <w:rPr>
          <w:b/>
          <w:noProof/>
        </w:rPr>
      </w:pPr>
    </w:p>
    <w:p w14:paraId="593839FC" w14:textId="77777777" w:rsidR="003B6BD9" w:rsidRDefault="003B6BD9">
      <w:pPr>
        <w:spacing w:line="240" w:lineRule="auto"/>
        <w:jc w:val="both"/>
        <w:rPr>
          <w:noProof/>
        </w:rPr>
        <w:sectPr w:rsidR="003B6BD9" w:rsidSect="00073927">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5D15518F" w14:textId="77777777" w:rsidR="003B6BD9" w:rsidRDefault="009E25E8">
      <w:pPr>
        <w:pStyle w:val="ManualHeading1"/>
        <w:rPr>
          <w:noProof/>
        </w:rPr>
      </w:pPr>
      <w:r>
        <w:rPr>
          <w:noProof/>
        </w:rPr>
        <w:t>B: COMPOSANTE 2: RÉNOVATION DURABLE DES BÂTIMENTS</w:t>
      </w:r>
    </w:p>
    <w:p w14:paraId="15E6D310" w14:textId="2C1A57B4" w:rsidR="003B6BD9" w:rsidRDefault="009E25E8">
      <w:pPr>
        <w:spacing w:line="240" w:lineRule="auto"/>
        <w:jc w:val="both"/>
        <w:rPr>
          <w:noProof/>
        </w:rPr>
      </w:pPr>
      <w:r>
        <w:rPr>
          <w:noProof/>
        </w:rPr>
        <w:t>Dans son plan national en matière d’énergie et de climat, la Slovénie estime à environ 9 500 000 000 EUR les besoins d’investissement pour la rénovation des bâtiments au cours de la période 2021-2030 afin de réduire la consommation finale d’énergie dans les bâtiments de 20 % et les émissions de gaz à effet de serre provenant des bâtiments d’au moins 70 % d’ici à 2030 par rapport aux niveaux de 2005.</w:t>
      </w:r>
    </w:p>
    <w:p w14:paraId="533BC6CE" w14:textId="77777777" w:rsidR="003B6BD9" w:rsidRDefault="009E25E8">
      <w:pPr>
        <w:spacing w:line="240" w:lineRule="auto"/>
        <w:jc w:val="both"/>
        <w:rPr>
          <w:noProof/>
        </w:rPr>
      </w:pPr>
      <w:r>
        <w:rPr>
          <w:noProof/>
        </w:rPr>
        <w:t xml:space="preserve">L’objectif de ce volet du plan slovène pour la reprise et la résilience est de promouvoir la rénovation en profondeur des bâtiments, en mettant l’accent sur le parc immobilier public, afin d’obtenir une réduction de la consommation d’énergie d’au moins 30 % par rapport aux émissions ex ante. </w:t>
      </w:r>
    </w:p>
    <w:p w14:paraId="3746BD4E" w14:textId="77777777" w:rsidR="003B6BD9" w:rsidRDefault="009E25E8">
      <w:pPr>
        <w:spacing w:line="240" w:lineRule="auto"/>
        <w:jc w:val="both"/>
        <w:rPr>
          <w:noProof/>
        </w:rPr>
      </w:pPr>
      <w:r>
        <w:rPr>
          <w:noProof/>
        </w:rPr>
        <w:t>Ces investissements et réformes contribuent aux recommandations par pays adressées à la Slovénie au cours des deux dernières années pour «axer la politique économique liée aux investissements sur [...] la transition énergétique et vers une économie à faible intensité de carbone» (recommandations par pays no 3 et 2019) et pour «axer les investissements sur la transition écologique [...], en particulier sur la production et l’utilisation propres et efficaces de l’énergie, les infrastructures environnementales» (recommandations par pays no 3 et 2020).</w:t>
      </w:r>
    </w:p>
    <w:p w14:paraId="2FD92577" w14:textId="1C3935E0" w:rsidR="003B6BD9" w:rsidRDefault="009E25E8">
      <w:pPr>
        <w:spacing w:line="240" w:lineRule="auto"/>
        <w:jc w:val="both"/>
        <w:rPr>
          <w:noProof/>
        </w:rPr>
      </w:pPr>
      <w:r>
        <w:rPr>
          <w:noProof/>
        </w:rPr>
        <w:t xml:space="preserve">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 </w:t>
      </w:r>
    </w:p>
    <w:p w14:paraId="387F0EB0" w14:textId="3E6AD848" w:rsidR="003B6BD9" w:rsidRDefault="009E25E8">
      <w:pPr>
        <w:pStyle w:val="P68B1DB1-Normal4"/>
        <w:spacing w:line="240" w:lineRule="auto"/>
        <w:jc w:val="both"/>
        <w:rPr>
          <w:i/>
          <w:noProof/>
          <w:color w:val="4F81BD"/>
        </w:rPr>
      </w:pPr>
      <w:r>
        <w:rPr>
          <w:noProof/>
        </w:rPr>
        <w:t>B.1.  Description des réformes et des investissements pour le soutien financier non remboursable</w:t>
      </w:r>
    </w:p>
    <w:p w14:paraId="7D634236" w14:textId="17103B37" w:rsidR="003B6BD9" w:rsidRDefault="009E25E8">
      <w:pPr>
        <w:pStyle w:val="P68B1DB1-Normal5"/>
        <w:spacing w:line="240" w:lineRule="auto"/>
        <w:jc w:val="both"/>
        <w:rPr>
          <w:noProof/>
        </w:rPr>
      </w:pPr>
      <w:r>
        <w:rPr>
          <w:noProof/>
        </w:rPr>
        <w:t>Réforme A: Réforme de la planification et du financement de la rénovation énergétique des bâtiments dans le secteur public</w:t>
      </w:r>
    </w:p>
    <w:p w14:paraId="63F00E5F" w14:textId="33B7DD81" w:rsidR="003B6BD9" w:rsidRDefault="009E25E8">
      <w:pPr>
        <w:spacing w:line="240" w:lineRule="auto"/>
        <w:jc w:val="both"/>
        <w:rPr>
          <w:noProof/>
        </w:rPr>
      </w:pPr>
      <w:r>
        <w:rPr>
          <w:noProof/>
        </w:rPr>
        <w:t xml:space="preserve">La réforme définit des approches, des politiques et des mesures de rénovation rentables pour promouvoir les rénovations en profondeur des bâtiments, y compris des mesures visant à orienter les décisions d’investissement des particuliers, du secteur de la construction et des institutions financières, ainsi qu’une évaluation des économies d’énergie attendues et des avantages plus larges, comme le prévoit la nouvelle stratégie de rénovation à long terme. </w:t>
      </w:r>
    </w:p>
    <w:p w14:paraId="0B643CFD" w14:textId="301FC8B7" w:rsidR="003B6BD9" w:rsidRDefault="009E25E8">
      <w:pPr>
        <w:spacing w:line="240" w:lineRule="auto"/>
        <w:jc w:val="both"/>
        <w:rPr>
          <w:noProof/>
        </w:rPr>
      </w:pPr>
      <w:r>
        <w:rPr>
          <w:noProof/>
        </w:rPr>
        <w:t>En particulier, la réforme met en place une interdiction légale de la conception et de l’installation de chaudières au mazout, au mazut (fioul) et au charbon pour le chauffage dans les nouveaux bâtiments. Cette partie de la réforme est mise en œuvre par l’entrée en vigueur d’une loi au plus tard le 30 juin 2023.</w:t>
      </w:r>
    </w:p>
    <w:p w14:paraId="366FA544" w14:textId="5336D783" w:rsidR="003B6BD9" w:rsidRDefault="009E25E8">
      <w:pPr>
        <w:pStyle w:val="P68B1DB1-Normal5"/>
        <w:spacing w:line="240" w:lineRule="auto"/>
        <w:jc w:val="both"/>
        <w:rPr>
          <w:noProof/>
        </w:rPr>
      </w:pPr>
      <w:r>
        <w:rPr>
          <w:noProof/>
        </w:rPr>
        <w:t xml:space="preserve">Investissement B: </w:t>
      </w:r>
      <w:bookmarkStart w:id="5" w:name="_Hlk143100628"/>
      <w:r>
        <w:rPr>
          <w:noProof/>
        </w:rPr>
        <w:t>Rénovation durable des bâtiments</w:t>
      </w:r>
      <w:bookmarkEnd w:id="5"/>
    </w:p>
    <w:p w14:paraId="0007DD5E" w14:textId="45553EDD" w:rsidR="003B6BD9" w:rsidRDefault="009E25E8">
      <w:pPr>
        <w:spacing w:line="240" w:lineRule="auto"/>
        <w:jc w:val="both"/>
        <w:rPr>
          <w:noProof/>
        </w:rPr>
      </w:pPr>
      <w:r>
        <w:rPr>
          <w:noProof/>
        </w:rPr>
        <w:t xml:space="preserve">L’objectif de l’investissement est d’accroître l’efficacité énergétique des bâtiments. </w:t>
      </w:r>
    </w:p>
    <w:p w14:paraId="5C08159B" w14:textId="57D70C2B" w:rsidR="003B6BD9" w:rsidRDefault="009E25E8">
      <w:pPr>
        <w:spacing w:line="240" w:lineRule="auto"/>
        <w:jc w:val="both"/>
        <w:rPr>
          <w:noProof/>
        </w:rPr>
      </w:pPr>
      <w:r>
        <w:rPr>
          <w:noProof/>
        </w:rPr>
        <w:t xml:space="preserve">Les mesures consistent en la rénovation des bâtiments et la modernisation des systèmes techniques de bâtiment. </w:t>
      </w:r>
    </w:p>
    <w:p w14:paraId="196A7107" w14:textId="77777777" w:rsidR="003B6BD9" w:rsidRDefault="003B6BD9">
      <w:pPr>
        <w:spacing w:line="240" w:lineRule="auto"/>
        <w:ind w:left="850"/>
        <w:jc w:val="both"/>
        <w:rPr>
          <w:noProof/>
        </w:rPr>
      </w:pPr>
    </w:p>
    <w:p w14:paraId="237ED69D" w14:textId="77777777" w:rsidR="003B6BD9" w:rsidRDefault="003B6BD9">
      <w:pPr>
        <w:spacing w:line="240" w:lineRule="auto"/>
        <w:ind w:left="850"/>
        <w:jc w:val="both"/>
        <w:rPr>
          <w:noProof/>
        </w:rPr>
        <w:sectPr w:rsidR="003B6BD9" w:rsidSect="00073927">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26"/>
        </w:sectPr>
      </w:pPr>
    </w:p>
    <w:p w14:paraId="04B028CF" w14:textId="213669CC" w:rsidR="003B6BD9" w:rsidRDefault="009E25E8">
      <w:pPr>
        <w:pStyle w:val="P68B1DB1-Normal5"/>
        <w:spacing w:line="240" w:lineRule="auto"/>
        <w:ind w:left="850"/>
        <w:jc w:val="both"/>
        <w:rPr>
          <w:b/>
          <w:noProof/>
        </w:rPr>
      </w:pPr>
      <w:r>
        <w:rPr>
          <w:b/>
          <w:noProof/>
        </w:rPr>
        <w:t xml:space="preserve">B.2. </w:t>
      </w:r>
      <w:r>
        <w:rPr>
          <w:noProof/>
        </w:rPr>
        <w:t xml:space="preserve"> </w:t>
      </w:r>
      <w:r>
        <w:rPr>
          <w:b/>
          <w:noProof/>
        </w:rPr>
        <w:t>Jalons, cibles, indicateurs et calendrier de suivi et de mise en œuvre pour le soutien financier non remboursable</w:t>
      </w:r>
    </w:p>
    <w:tbl>
      <w:tblPr>
        <w:tblW w:w="15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5"/>
        <w:gridCol w:w="1680"/>
        <w:gridCol w:w="1080"/>
        <w:gridCol w:w="1987"/>
        <w:gridCol w:w="1602"/>
        <w:gridCol w:w="1592"/>
        <w:gridCol w:w="1091"/>
        <w:gridCol w:w="888"/>
        <w:gridCol w:w="992"/>
        <w:gridCol w:w="709"/>
        <w:gridCol w:w="3048"/>
      </w:tblGrid>
      <w:tr w:rsidR="003B6BD9" w14:paraId="186B4D7F" w14:textId="77777777" w:rsidTr="00AC1D11">
        <w:trPr>
          <w:trHeight w:val="740"/>
          <w:tblHeader/>
          <w:jc w:val="center"/>
        </w:trPr>
        <w:tc>
          <w:tcPr>
            <w:tcW w:w="955" w:type="dxa"/>
            <w:vMerge w:val="restart"/>
            <w:shd w:val="clear" w:color="auto" w:fill="BDD7EE"/>
            <w:vAlign w:val="center"/>
            <w:hideMark/>
          </w:tcPr>
          <w:p w14:paraId="3058EC38" w14:textId="6F65D40A" w:rsidR="003B6BD9" w:rsidRDefault="009E25E8">
            <w:pPr>
              <w:pStyle w:val="P68B1DB1-Normal6"/>
              <w:spacing w:before="0" w:after="0" w:line="240" w:lineRule="auto"/>
              <w:jc w:val="center"/>
              <w:rPr>
                <w:rFonts w:eastAsia="Times New Roman"/>
                <w:noProof/>
              </w:rPr>
            </w:pPr>
            <w:r>
              <w:rPr>
                <w:noProof/>
              </w:rPr>
              <w:t>Et suivants Non.</w:t>
            </w:r>
          </w:p>
        </w:tc>
        <w:tc>
          <w:tcPr>
            <w:tcW w:w="1680" w:type="dxa"/>
            <w:vMerge w:val="restart"/>
            <w:shd w:val="clear" w:color="auto" w:fill="BDD7EE"/>
            <w:vAlign w:val="center"/>
            <w:hideMark/>
          </w:tcPr>
          <w:p w14:paraId="5E6AFDDA" w14:textId="77777777" w:rsidR="003B6BD9" w:rsidRDefault="009E25E8">
            <w:pPr>
              <w:pStyle w:val="P68B1DB1-Normal6"/>
              <w:spacing w:before="0" w:after="0" w:line="240" w:lineRule="auto"/>
              <w:jc w:val="center"/>
              <w:rPr>
                <w:rFonts w:eastAsia="Times New Roman"/>
                <w:noProof/>
              </w:rPr>
            </w:pPr>
            <w:r>
              <w:rPr>
                <w:noProof/>
              </w:rPr>
              <w:t>Mesure connexe (réforme ou investissement)</w:t>
            </w:r>
          </w:p>
        </w:tc>
        <w:tc>
          <w:tcPr>
            <w:tcW w:w="1080" w:type="dxa"/>
            <w:vMerge w:val="restart"/>
            <w:shd w:val="clear" w:color="auto" w:fill="BDD7EE"/>
            <w:vAlign w:val="center"/>
            <w:hideMark/>
          </w:tcPr>
          <w:p w14:paraId="49998869" w14:textId="6FFB5E45" w:rsidR="003B6BD9" w:rsidRDefault="009E25E8">
            <w:pPr>
              <w:pStyle w:val="P68B1DB1-Normal6"/>
              <w:spacing w:before="0" w:after="0" w:line="240" w:lineRule="auto"/>
              <w:jc w:val="center"/>
              <w:rPr>
                <w:rFonts w:eastAsia="Times New Roman"/>
                <w:noProof/>
              </w:rPr>
            </w:pPr>
            <w:r>
              <w:rPr>
                <w:noProof/>
              </w:rPr>
              <w:t>Étape/</w:t>
            </w:r>
            <w:r w:rsidR="00AC1D11">
              <w:rPr>
                <w:noProof/>
              </w:rPr>
              <w:br/>
            </w:r>
            <w:r>
              <w:rPr>
                <w:noProof/>
              </w:rPr>
              <w:t>Objectif</w:t>
            </w:r>
          </w:p>
        </w:tc>
        <w:tc>
          <w:tcPr>
            <w:tcW w:w="1987" w:type="dxa"/>
            <w:vMerge w:val="restart"/>
            <w:shd w:val="clear" w:color="auto" w:fill="BDD7EE"/>
            <w:vAlign w:val="center"/>
            <w:hideMark/>
          </w:tcPr>
          <w:p w14:paraId="2212F36C" w14:textId="77777777" w:rsidR="003B6BD9" w:rsidRDefault="009E25E8">
            <w:pPr>
              <w:pStyle w:val="P68B1DB1-Normal6"/>
              <w:spacing w:before="0" w:after="0" w:line="240" w:lineRule="auto"/>
              <w:jc w:val="center"/>
              <w:rPr>
                <w:rFonts w:eastAsia="Times New Roman"/>
                <w:noProof/>
              </w:rPr>
            </w:pPr>
            <w:r>
              <w:rPr>
                <w:noProof/>
              </w:rPr>
              <w:t>Nom</w:t>
            </w:r>
          </w:p>
        </w:tc>
        <w:tc>
          <w:tcPr>
            <w:tcW w:w="1602" w:type="dxa"/>
            <w:vMerge w:val="restart"/>
            <w:shd w:val="clear" w:color="auto" w:fill="BDD7EE"/>
            <w:vAlign w:val="center"/>
            <w:hideMark/>
          </w:tcPr>
          <w:p w14:paraId="4C113074" w14:textId="16B39B60" w:rsidR="003B6BD9" w:rsidRDefault="009E25E8">
            <w:pPr>
              <w:pStyle w:val="P68B1DB1-Normal6"/>
              <w:spacing w:before="0" w:after="0" w:line="240" w:lineRule="auto"/>
              <w:jc w:val="center"/>
              <w:rPr>
                <w:rFonts w:eastAsia="Times New Roman"/>
                <w:noProof/>
              </w:rPr>
            </w:pPr>
            <w:r>
              <w:rPr>
                <w:noProof/>
              </w:rPr>
              <w:t>Indicateurs qualitatifs (pour les jalons)</w:t>
            </w:r>
          </w:p>
        </w:tc>
        <w:tc>
          <w:tcPr>
            <w:tcW w:w="3571" w:type="dxa"/>
            <w:gridSpan w:val="3"/>
            <w:shd w:val="clear" w:color="auto" w:fill="BDD7EE"/>
            <w:vAlign w:val="center"/>
            <w:hideMark/>
          </w:tcPr>
          <w:p w14:paraId="4A7CB126" w14:textId="0E99F1FA" w:rsidR="003B6BD9" w:rsidRDefault="009E25E8">
            <w:pPr>
              <w:pStyle w:val="P68B1DB1-Normal6"/>
              <w:spacing w:before="0" w:after="0" w:line="240" w:lineRule="auto"/>
              <w:jc w:val="center"/>
              <w:rPr>
                <w:rFonts w:eastAsia="Times New Roman"/>
                <w:noProof/>
              </w:rPr>
            </w:pPr>
            <w:r>
              <w:rPr>
                <w:noProof/>
              </w:rPr>
              <w:t>Indicateurs quantitatifs (pour les cibles)</w:t>
            </w:r>
          </w:p>
        </w:tc>
        <w:tc>
          <w:tcPr>
            <w:tcW w:w="1701" w:type="dxa"/>
            <w:gridSpan w:val="2"/>
            <w:shd w:val="clear" w:color="auto" w:fill="BDD7EE"/>
            <w:vAlign w:val="center"/>
            <w:hideMark/>
          </w:tcPr>
          <w:p w14:paraId="2CA4E4EF" w14:textId="77777777" w:rsidR="003B6BD9" w:rsidRDefault="009E25E8">
            <w:pPr>
              <w:pStyle w:val="P68B1DB1-Normal6"/>
              <w:spacing w:before="0" w:after="0" w:line="240" w:lineRule="auto"/>
              <w:jc w:val="center"/>
              <w:rPr>
                <w:rFonts w:eastAsia="Times New Roman"/>
                <w:noProof/>
              </w:rPr>
            </w:pPr>
            <w:r>
              <w:rPr>
                <w:noProof/>
              </w:rPr>
              <w:t xml:space="preserve">Calendrier indicatif pour l’achèvement </w:t>
            </w:r>
          </w:p>
        </w:tc>
        <w:tc>
          <w:tcPr>
            <w:tcW w:w="3048" w:type="dxa"/>
            <w:vMerge w:val="restart"/>
            <w:shd w:val="clear" w:color="auto" w:fill="BDD7EE"/>
            <w:vAlign w:val="center"/>
            <w:hideMark/>
          </w:tcPr>
          <w:p w14:paraId="4CEF6E67" w14:textId="77777777" w:rsidR="003B6BD9" w:rsidRDefault="009E25E8">
            <w:pPr>
              <w:pStyle w:val="P68B1DB1-Normal6"/>
              <w:spacing w:before="0" w:after="0" w:line="240" w:lineRule="auto"/>
              <w:jc w:val="center"/>
              <w:rPr>
                <w:rFonts w:eastAsia="Times New Roman"/>
                <w:noProof/>
              </w:rPr>
            </w:pPr>
            <w:r>
              <w:rPr>
                <w:noProof/>
              </w:rPr>
              <w:t>Description de chaque jalon et cible</w:t>
            </w:r>
          </w:p>
        </w:tc>
      </w:tr>
      <w:tr w:rsidR="003B6BD9" w14:paraId="2D2CC584" w14:textId="77777777" w:rsidTr="00AC1D11">
        <w:trPr>
          <w:trHeight w:val="751"/>
          <w:tblHeader/>
          <w:jc w:val="center"/>
        </w:trPr>
        <w:tc>
          <w:tcPr>
            <w:tcW w:w="955" w:type="dxa"/>
            <w:vMerge/>
            <w:vAlign w:val="center"/>
            <w:hideMark/>
          </w:tcPr>
          <w:p w14:paraId="6788C013" w14:textId="77777777" w:rsidR="003B6BD9" w:rsidRDefault="003B6BD9">
            <w:pPr>
              <w:spacing w:before="0" w:after="0" w:line="240" w:lineRule="auto"/>
              <w:rPr>
                <w:rFonts w:eastAsia="Times New Roman"/>
                <w:b/>
                <w:noProof/>
                <w:sz w:val="18"/>
                <w:szCs w:val="18"/>
              </w:rPr>
            </w:pPr>
          </w:p>
        </w:tc>
        <w:tc>
          <w:tcPr>
            <w:tcW w:w="1680" w:type="dxa"/>
            <w:vMerge/>
            <w:vAlign w:val="center"/>
            <w:hideMark/>
          </w:tcPr>
          <w:p w14:paraId="043D88ED" w14:textId="77777777" w:rsidR="003B6BD9" w:rsidRDefault="003B6BD9">
            <w:pPr>
              <w:spacing w:before="0" w:after="0" w:line="240" w:lineRule="auto"/>
              <w:rPr>
                <w:rFonts w:eastAsia="Times New Roman"/>
                <w:b/>
                <w:noProof/>
                <w:sz w:val="18"/>
                <w:szCs w:val="18"/>
              </w:rPr>
            </w:pPr>
          </w:p>
        </w:tc>
        <w:tc>
          <w:tcPr>
            <w:tcW w:w="1080" w:type="dxa"/>
            <w:vMerge/>
            <w:vAlign w:val="center"/>
            <w:hideMark/>
          </w:tcPr>
          <w:p w14:paraId="47BA8E6A" w14:textId="77777777" w:rsidR="003B6BD9" w:rsidRDefault="003B6BD9">
            <w:pPr>
              <w:spacing w:before="0" w:after="0" w:line="240" w:lineRule="auto"/>
              <w:rPr>
                <w:rFonts w:eastAsia="Times New Roman"/>
                <w:b/>
                <w:noProof/>
                <w:sz w:val="18"/>
                <w:szCs w:val="18"/>
              </w:rPr>
            </w:pPr>
          </w:p>
        </w:tc>
        <w:tc>
          <w:tcPr>
            <w:tcW w:w="1987" w:type="dxa"/>
            <w:vMerge/>
            <w:vAlign w:val="center"/>
            <w:hideMark/>
          </w:tcPr>
          <w:p w14:paraId="5AF659B0" w14:textId="77777777" w:rsidR="003B6BD9" w:rsidRDefault="003B6BD9">
            <w:pPr>
              <w:spacing w:before="0" w:after="0" w:line="240" w:lineRule="auto"/>
              <w:rPr>
                <w:rFonts w:eastAsia="Times New Roman"/>
                <w:b/>
                <w:noProof/>
                <w:sz w:val="18"/>
                <w:szCs w:val="18"/>
              </w:rPr>
            </w:pPr>
          </w:p>
        </w:tc>
        <w:tc>
          <w:tcPr>
            <w:tcW w:w="1602" w:type="dxa"/>
            <w:vMerge/>
            <w:vAlign w:val="center"/>
            <w:hideMark/>
          </w:tcPr>
          <w:p w14:paraId="37DBA555" w14:textId="77777777" w:rsidR="003B6BD9" w:rsidRDefault="003B6BD9">
            <w:pPr>
              <w:spacing w:before="0" w:after="0" w:line="240" w:lineRule="auto"/>
              <w:rPr>
                <w:rFonts w:eastAsia="Times New Roman"/>
                <w:b/>
                <w:noProof/>
                <w:sz w:val="18"/>
                <w:szCs w:val="18"/>
              </w:rPr>
            </w:pPr>
          </w:p>
        </w:tc>
        <w:tc>
          <w:tcPr>
            <w:tcW w:w="1592" w:type="dxa"/>
            <w:shd w:val="clear" w:color="auto" w:fill="BDD7EE"/>
            <w:vAlign w:val="center"/>
            <w:hideMark/>
          </w:tcPr>
          <w:p w14:paraId="0062730B" w14:textId="77777777" w:rsidR="003B6BD9" w:rsidRDefault="009E25E8">
            <w:pPr>
              <w:pStyle w:val="P68B1DB1-Normal6"/>
              <w:spacing w:before="0" w:after="0" w:line="240" w:lineRule="auto"/>
              <w:jc w:val="center"/>
              <w:rPr>
                <w:rFonts w:eastAsia="Times New Roman"/>
                <w:noProof/>
              </w:rPr>
            </w:pPr>
            <w:r>
              <w:rPr>
                <w:noProof/>
              </w:rPr>
              <w:t>Unité de mesure</w:t>
            </w:r>
          </w:p>
        </w:tc>
        <w:tc>
          <w:tcPr>
            <w:tcW w:w="1091" w:type="dxa"/>
            <w:shd w:val="clear" w:color="auto" w:fill="BDD7EE"/>
            <w:vAlign w:val="center"/>
            <w:hideMark/>
          </w:tcPr>
          <w:p w14:paraId="5BE41335" w14:textId="77777777" w:rsidR="003B6BD9" w:rsidRDefault="009E25E8">
            <w:pPr>
              <w:pStyle w:val="P68B1DB1-Normal6"/>
              <w:spacing w:before="0" w:after="0" w:line="240" w:lineRule="auto"/>
              <w:jc w:val="center"/>
              <w:rPr>
                <w:rFonts w:eastAsia="Times New Roman"/>
                <w:noProof/>
              </w:rPr>
            </w:pPr>
            <w:r>
              <w:rPr>
                <w:noProof/>
              </w:rPr>
              <w:t xml:space="preserve">Niveau de référence </w:t>
            </w:r>
          </w:p>
        </w:tc>
        <w:tc>
          <w:tcPr>
            <w:tcW w:w="888" w:type="dxa"/>
            <w:shd w:val="clear" w:color="auto" w:fill="BDD7EE"/>
            <w:vAlign w:val="center"/>
            <w:hideMark/>
          </w:tcPr>
          <w:p w14:paraId="57C1CA85" w14:textId="77777777" w:rsidR="003B6BD9" w:rsidRDefault="009E25E8">
            <w:pPr>
              <w:pStyle w:val="P68B1DB1-Normal6"/>
              <w:spacing w:before="0" w:after="0" w:line="240" w:lineRule="auto"/>
              <w:jc w:val="center"/>
              <w:rPr>
                <w:rFonts w:eastAsia="Times New Roman"/>
                <w:noProof/>
              </w:rPr>
            </w:pPr>
            <w:r>
              <w:rPr>
                <w:noProof/>
              </w:rPr>
              <w:t xml:space="preserve">But </w:t>
            </w:r>
          </w:p>
        </w:tc>
        <w:tc>
          <w:tcPr>
            <w:tcW w:w="992" w:type="dxa"/>
            <w:shd w:val="clear" w:color="auto" w:fill="BDD7EE"/>
            <w:vAlign w:val="center"/>
            <w:hideMark/>
          </w:tcPr>
          <w:p w14:paraId="4083389E" w14:textId="77777777" w:rsidR="003B6BD9" w:rsidRDefault="009E25E8">
            <w:pPr>
              <w:pStyle w:val="P68B1DB1-Normal6"/>
              <w:spacing w:before="0" w:after="0" w:line="240" w:lineRule="auto"/>
              <w:jc w:val="center"/>
              <w:rPr>
                <w:rFonts w:eastAsia="Times New Roman"/>
                <w:noProof/>
              </w:rPr>
            </w:pPr>
            <w:r>
              <w:rPr>
                <w:noProof/>
              </w:rPr>
              <w:t>Trimestre</w:t>
            </w:r>
          </w:p>
        </w:tc>
        <w:tc>
          <w:tcPr>
            <w:tcW w:w="709" w:type="dxa"/>
            <w:shd w:val="clear" w:color="auto" w:fill="BDD7EE"/>
            <w:vAlign w:val="center"/>
            <w:hideMark/>
          </w:tcPr>
          <w:p w14:paraId="051FD93F" w14:textId="77777777" w:rsidR="003B6BD9" w:rsidRDefault="009E25E8">
            <w:pPr>
              <w:pStyle w:val="P68B1DB1-Normal6"/>
              <w:spacing w:before="0" w:after="0" w:line="240" w:lineRule="auto"/>
              <w:jc w:val="center"/>
              <w:rPr>
                <w:rFonts w:eastAsia="Times New Roman"/>
                <w:noProof/>
              </w:rPr>
            </w:pPr>
            <w:r>
              <w:rPr>
                <w:noProof/>
              </w:rPr>
              <w:t>Année</w:t>
            </w:r>
          </w:p>
        </w:tc>
        <w:tc>
          <w:tcPr>
            <w:tcW w:w="3048" w:type="dxa"/>
            <w:vMerge/>
            <w:vAlign w:val="center"/>
            <w:hideMark/>
          </w:tcPr>
          <w:p w14:paraId="31DE032E" w14:textId="77777777" w:rsidR="003B6BD9" w:rsidRDefault="003B6BD9">
            <w:pPr>
              <w:spacing w:before="0" w:after="0" w:line="240" w:lineRule="auto"/>
              <w:rPr>
                <w:rFonts w:eastAsia="Times New Roman"/>
                <w:b/>
                <w:noProof/>
                <w:sz w:val="18"/>
                <w:szCs w:val="18"/>
              </w:rPr>
            </w:pPr>
          </w:p>
        </w:tc>
      </w:tr>
      <w:tr w:rsidR="003B6BD9" w14:paraId="30ED5001" w14:textId="77777777" w:rsidTr="00AC1D11">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29A22F92" w14:textId="649410C1" w:rsidR="003B6BD9" w:rsidRDefault="009E25E8">
            <w:pPr>
              <w:pStyle w:val="P68B1DB1-Normal7"/>
              <w:spacing w:before="0" w:after="0" w:line="240" w:lineRule="auto"/>
              <w:rPr>
                <w:rFonts w:eastAsia="Times New Roman"/>
                <w:noProof/>
              </w:rPr>
            </w:pPr>
            <w:r>
              <w:rPr>
                <w:noProof/>
              </w:rPr>
              <w:t>19</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4E07CCFA" w14:textId="1F53A22B" w:rsidR="003B6BD9" w:rsidRDefault="009E25E8">
            <w:pPr>
              <w:pStyle w:val="P68B1DB1-Normal7"/>
              <w:spacing w:before="0" w:after="0" w:line="240" w:lineRule="auto"/>
              <w:rPr>
                <w:rFonts w:eastAsia="Times New Roman"/>
                <w:noProof/>
              </w:rPr>
            </w:pPr>
            <w:r>
              <w:rPr>
                <w:noProof/>
              </w:rPr>
              <w:t>A: Réforme de la planification et du financement de la rénovation énergétique des bâtiments dans le secteur public</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1C4F83F7" w14:textId="66810E3B" w:rsidR="003B6BD9" w:rsidRDefault="009E25E8">
            <w:pPr>
              <w:pStyle w:val="P68B1DB1-Normal7"/>
              <w:spacing w:before="0" w:after="0" w:line="240" w:lineRule="auto"/>
              <w:rPr>
                <w:rFonts w:eastAsia="Times New Roman"/>
                <w:noProof/>
              </w:rPr>
            </w:pPr>
            <w:r>
              <w:rPr>
                <w:noProof/>
              </w:rPr>
              <w:t>Jalon</w:t>
            </w:r>
          </w:p>
        </w:tc>
        <w:tc>
          <w:tcPr>
            <w:tcW w:w="1987" w:type="dxa"/>
            <w:tcBorders>
              <w:top w:val="single" w:sz="4" w:space="0" w:color="auto"/>
              <w:left w:val="single" w:sz="4" w:space="0" w:color="auto"/>
              <w:bottom w:val="single" w:sz="4" w:space="0" w:color="auto"/>
              <w:right w:val="single" w:sz="4" w:space="0" w:color="auto"/>
            </w:tcBorders>
            <w:shd w:val="clear" w:color="auto" w:fill="C6EFCE"/>
            <w:noWrap/>
          </w:tcPr>
          <w:p w14:paraId="318658D9" w14:textId="000BD9A2" w:rsidR="003B6BD9" w:rsidRDefault="009E25E8">
            <w:pPr>
              <w:pStyle w:val="P68B1DB1-Normal7"/>
              <w:spacing w:before="0" w:after="0" w:line="240" w:lineRule="auto"/>
              <w:rPr>
                <w:rFonts w:eastAsia="Times New Roman"/>
                <w:noProof/>
              </w:rPr>
            </w:pPr>
            <w:r>
              <w:rPr>
                <w:noProof/>
              </w:rPr>
              <w:t>Entrée en vigueur d’une interdiction de l’utilisation de combustibles fossiles pour le chauffage des bâtiments neufs</w:t>
            </w:r>
          </w:p>
        </w:tc>
        <w:tc>
          <w:tcPr>
            <w:tcW w:w="1602" w:type="dxa"/>
            <w:tcBorders>
              <w:top w:val="single" w:sz="4" w:space="0" w:color="auto"/>
              <w:left w:val="single" w:sz="4" w:space="0" w:color="auto"/>
              <w:bottom w:val="single" w:sz="4" w:space="0" w:color="auto"/>
              <w:right w:val="single" w:sz="4" w:space="0" w:color="auto"/>
            </w:tcBorders>
            <w:shd w:val="clear" w:color="auto" w:fill="C6EFCE"/>
            <w:noWrap/>
          </w:tcPr>
          <w:p w14:paraId="0A0B4691" w14:textId="61A8DA6A" w:rsidR="003B6BD9" w:rsidRDefault="009E25E8">
            <w:pPr>
              <w:pStyle w:val="P68B1DB1-Normal7"/>
              <w:spacing w:before="0" w:after="0" w:line="240" w:lineRule="auto"/>
              <w:rPr>
                <w:rFonts w:eastAsia="Times New Roman"/>
                <w:noProof/>
              </w:rPr>
            </w:pPr>
            <w:r>
              <w:rPr>
                <w:noProof/>
              </w:rPr>
              <w:t xml:space="preserve">Disposition de la loi indiquant l’entrée en vigueur de la loi pertinente </w:t>
            </w:r>
          </w:p>
        </w:tc>
        <w:tc>
          <w:tcPr>
            <w:tcW w:w="1592" w:type="dxa"/>
            <w:tcBorders>
              <w:top w:val="single" w:sz="4" w:space="0" w:color="auto"/>
              <w:left w:val="single" w:sz="4" w:space="0" w:color="auto"/>
              <w:bottom w:val="single" w:sz="4" w:space="0" w:color="auto"/>
              <w:right w:val="single" w:sz="4" w:space="0" w:color="auto"/>
            </w:tcBorders>
            <w:shd w:val="clear" w:color="auto" w:fill="C6EFCE"/>
            <w:noWrap/>
          </w:tcPr>
          <w:p w14:paraId="6D9ED1F5" w14:textId="77777777" w:rsidR="003B6BD9" w:rsidRDefault="009E25E8">
            <w:pPr>
              <w:pStyle w:val="P68B1DB1-Normal7"/>
              <w:spacing w:before="0" w:after="0" w:line="240" w:lineRule="auto"/>
              <w:rPr>
                <w:rFonts w:eastAsia="Times New Roman"/>
                <w:noProof/>
              </w:rPr>
            </w:pPr>
            <w:r>
              <w:rPr>
                <w:noProof/>
              </w:rPr>
              <w:t> </w:t>
            </w:r>
          </w:p>
        </w:tc>
        <w:tc>
          <w:tcPr>
            <w:tcW w:w="1091" w:type="dxa"/>
            <w:tcBorders>
              <w:top w:val="single" w:sz="4" w:space="0" w:color="auto"/>
              <w:left w:val="single" w:sz="4" w:space="0" w:color="auto"/>
              <w:bottom w:val="single" w:sz="4" w:space="0" w:color="auto"/>
              <w:right w:val="single" w:sz="4" w:space="0" w:color="auto"/>
            </w:tcBorders>
            <w:shd w:val="clear" w:color="auto" w:fill="C6EFCE"/>
            <w:noWrap/>
          </w:tcPr>
          <w:p w14:paraId="00E9A76F" w14:textId="77777777" w:rsidR="003B6BD9" w:rsidRDefault="009E25E8">
            <w:pPr>
              <w:pStyle w:val="P68B1DB1-Normal7"/>
              <w:spacing w:before="0" w:after="0" w:line="240" w:lineRule="auto"/>
              <w:rPr>
                <w:rFonts w:eastAsia="Times New Roman"/>
                <w:noProof/>
              </w:rPr>
            </w:pPr>
            <w:r>
              <w:rPr>
                <w:noProof/>
              </w:rPr>
              <w:t> </w:t>
            </w:r>
          </w:p>
        </w:tc>
        <w:tc>
          <w:tcPr>
            <w:tcW w:w="888" w:type="dxa"/>
            <w:tcBorders>
              <w:top w:val="single" w:sz="4" w:space="0" w:color="auto"/>
              <w:left w:val="single" w:sz="4" w:space="0" w:color="auto"/>
              <w:bottom w:val="single" w:sz="4" w:space="0" w:color="auto"/>
              <w:right w:val="single" w:sz="4" w:space="0" w:color="auto"/>
            </w:tcBorders>
            <w:shd w:val="clear" w:color="auto" w:fill="C6EFCE"/>
            <w:noWrap/>
          </w:tcPr>
          <w:p w14:paraId="1EC8F184" w14:textId="77777777" w:rsidR="003B6BD9" w:rsidRDefault="009E25E8">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DE62488" w14:textId="7087A4E3" w:rsidR="003B6BD9" w:rsidRDefault="009E25E8">
            <w:pPr>
              <w:pStyle w:val="P68B1DB1-Normal7"/>
              <w:spacing w:before="0" w:after="0" w:line="240" w:lineRule="auto"/>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11430A4" w14:textId="1ECD7E72" w:rsidR="003B6BD9" w:rsidRDefault="009E25E8">
            <w:pPr>
              <w:pStyle w:val="P68B1DB1-Normal7"/>
              <w:spacing w:before="0" w:after="0" w:line="240" w:lineRule="auto"/>
              <w:rPr>
                <w:rFonts w:eastAsia="Times New Roman"/>
                <w:noProof/>
              </w:rPr>
            </w:pPr>
            <w:r>
              <w:rPr>
                <w:noProof/>
              </w:rPr>
              <w:t>2023</w:t>
            </w:r>
          </w:p>
        </w:tc>
        <w:tc>
          <w:tcPr>
            <w:tcW w:w="3048" w:type="dxa"/>
            <w:tcBorders>
              <w:top w:val="single" w:sz="4" w:space="0" w:color="auto"/>
              <w:left w:val="single" w:sz="4" w:space="0" w:color="auto"/>
              <w:bottom w:val="single" w:sz="4" w:space="0" w:color="auto"/>
              <w:right w:val="single" w:sz="4" w:space="0" w:color="auto"/>
            </w:tcBorders>
            <w:shd w:val="clear" w:color="auto" w:fill="C6EFCE"/>
            <w:noWrap/>
          </w:tcPr>
          <w:p w14:paraId="1E9ABA64" w14:textId="4C789722" w:rsidR="003B6BD9" w:rsidRDefault="009E25E8">
            <w:pPr>
              <w:pStyle w:val="P68B1DB1-Normal7"/>
              <w:spacing w:before="0" w:after="0" w:line="240" w:lineRule="auto"/>
              <w:rPr>
                <w:rFonts w:eastAsia="Times New Roman"/>
                <w:noProof/>
              </w:rPr>
            </w:pPr>
            <w:r>
              <w:rPr>
                <w:noProof/>
              </w:rPr>
              <w:t xml:space="preserve">Une loi prévoit l’interdiction de la conception et de l’installation de fioul domestique, de mazut (fioul) et de chaudières à charbon pour le chauffage des bâtiments, comme le prévoit la stratégie à long terme pour la rénovation énergétique des bâtiments 2050. </w:t>
            </w:r>
          </w:p>
        </w:tc>
      </w:tr>
      <w:tr w:rsidR="003B6BD9" w14:paraId="4A3D7CA5" w14:textId="77777777" w:rsidTr="00AC1D11">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78F419CC" w14:textId="7156EE3C" w:rsidR="003B6BD9" w:rsidRDefault="009E25E8">
            <w:pPr>
              <w:pStyle w:val="P68B1DB1-Normal7"/>
              <w:spacing w:before="0" w:after="0" w:line="240" w:lineRule="auto"/>
              <w:rPr>
                <w:rFonts w:eastAsia="Times New Roman"/>
                <w:noProof/>
              </w:rPr>
            </w:pPr>
            <w:r>
              <w:rPr>
                <w:noProof/>
              </w:rPr>
              <w:t>21</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478E8D03" w14:textId="2EFE6C6F" w:rsidR="003B6BD9" w:rsidRDefault="009E25E8">
            <w:pPr>
              <w:pStyle w:val="P68B1DB1-Normal7"/>
              <w:spacing w:before="0" w:after="0" w:line="240" w:lineRule="auto"/>
              <w:rPr>
                <w:rFonts w:eastAsia="Times New Roman"/>
                <w:noProof/>
              </w:rPr>
            </w:pPr>
            <w:r>
              <w:rPr>
                <w:noProof/>
              </w:rPr>
              <w:t>B: Rénovation durable des bâtiments</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42C48721" w14:textId="7192A2E2" w:rsidR="003B6BD9" w:rsidRDefault="009E25E8">
            <w:pPr>
              <w:pStyle w:val="P68B1DB1-Normal7"/>
              <w:spacing w:before="0" w:after="0" w:line="240" w:lineRule="auto"/>
              <w:rPr>
                <w:rFonts w:eastAsia="Times New Roman"/>
                <w:noProof/>
              </w:rPr>
            </w:pPr>
            <w:r>
              <w:rPr>
                <w:noProof/>
              </w:rPr>
              <w:t>Jalon</w:t>
            </w:r>
          </w:p>
        </w:tc>
        <w:tc>
          <w:tcPr>
            <w:tcW w:w="1987" w:type="dxa"/>
            <w:tcBorders>
              <w:top w:val="single" w:sz="4" w:space="0" w:color="auto"/>
              <w:left w:val="single" w:sz="4" w:space="0" w:color="auto"/>
              <w:bottom w:val="single" w:sz="4" w:space="0" w:color="auto"/>
              <w:right w:val="single" w:sz="4" w:space="0" w:color="auto"/>
            </w:tcBorders>
            <w:shd w:val="clear" w:color="auto" w:fill="C6EFCE"/>
            <w:noWrap/>
          </w:tcPr>
          <w:p w14:paraId="0880CB11" w14:textId="522B7C8F" w:rsidR="003B6BD9" w:rsidRDefault="009E25E8">
            <w:pPr>
              <w:pStyle w:val="P68B1DB1-Normal7"/>
              <w:spacing w:before="0" w:after="0" w:line="240" w:lineRule="auto"/>
              <w:rPr>
                <w:rFonts w:eastAsia="Times New Roman"/>
                <w:noProof/>
              </w:rPr>
            </w:pPr>
            <w:r>
              <w:rPr>
                <w:noProof/>
              </w:rPr>
              <w:t>Ouverture d’un appel à propositions pour la mise en œuvre de mises à niveau individuelles des systèmes techniques de bâtiment</w:t>
            </w:r>
          </w:p>
        </w:tc>
        <w:tc>
          <w:tcPr>
            <w:tcW w:w="1602" w:type="dxa"/>
            <w:tcBorders>
              <w:top w:val="single" w:sz="4" w:space="0" w:color="auto"/>
              <w:left w:val="single" w:sz="4" w:space="0" w:color="auto"/>
              <w:bottom w:val="single" w:sz="4" w:space="0" w:color="auto"/>
              <w:right w:val="single" w:sz="4" w:space="0" w:color="auto"/>
            </w:tcBorders>
            <w:shd w:val="clear" w:color="auto" w:fill="C6EFCE"/>
            <w:noWrap/>
          </w:tcPr>
          <w:p w14:paraId="4FFB08FE" w14:textId="695660E6" w:rsidR="003B6BD9" w:rsidRDefault="009E25E8">
            <w:pPr>
              <w:pStyle w:val="P68B1DB1-Normal7"/>
              <w:spacing w:before="0" w:after="0" w:line="240" w:lineRule="auto"/>
              <w:rPr>
                <w:rFonts w:eastAsia="Times New Roman"/>
                <w:noProof/>
              </w:rPr>
            </w:pPr>
            <w:r>
              <w:rPr>
                <w:noProof/>
              </w:rPr>
              <w:t>Publication de l’appel à propositions</w:t>
            </w:r>
          </w:p>
        </w:tc>
        <w:tc>
          <w:tcPr>
            <w:tcW w:w="1592" w:type="dxa"/>
            <w:tcBorders>
              <w:top w:val="single" w:sz="4" w:space="0" w:color="auto"/>
              <w:left w:val="single" w:sz="4" w:space="0" w:color="auto"/>
              <w:bottom w:val="single" w:sz="4" w:space="0" w:color="auto"/>
              <w:right w:val="single" w:sz="4" w:space="0" w:color="auto"/>
            </w:tcBorders>
            <w:shd w:val="clear" w:color="auto" w:fill="C6EFCE"/>
            <w:noWrap/>
          </w:tcPr>
          <w:p w14:paraId="6C94CC7E" w14:textId="47E66A93" w:rsidR="003B6BD9" w:rsidRDefault="009E25E8">
            <w:pPr>
              <w:pStyle w:val="P68B1DB1-Normal7"/>
              <w:spacing w:before="0" w:after="0" w:line="240" w:lineRule="auto"/>
              <w:rPr>
                <w:rFonts w:eastAsia="Times New Roman"/>
                <w:noProof/>
              </w:rPr>
            </w:pPr>
            <w:r>
              <w:rPr>
                <w:noProof/>
              </w:rPr>
              <w:t> </w:t>
            </w:r>
          </w:p>
        </w:tc>
        <w:tc>
          <w:tcPr>
            <w:tcW w:w="1091" w:type="dxa"/>
            <w:tcBorders>
              <w:top w:val="single" w:sz="4" w:space="0" w:color="auto"/>
              <w:left w:val="single" w:sz="4" w:space="0" w:color="auto"/>
              <w:bottom w:val="single" w:sz="4" w:space="0" w:color="auto"/>
              <w:right w:val="single" w:sz="4" w:space="0" w:color="auto"/>
            </w:tcBorders>
            <w:shd w:val="clear" w:color="auto" w:fill="C6EFCE"/>
            <w:noWrap/>
          </w:tcPr>
          <w:p w14:paraId="2375DDE9" w14:textId="6D9375F9" w:rsidR="003B6BD9" w:rsidRDefault="009E25E8">
            <w:pPr>
              <w:pStyle w:val="P68B1DB1-Normal7"/>
              <w:spacing w:before="0" w:after="0" w:line="240" w:lineRule="auto"/>
              <w:rPr>
                <w:rFonts w:eastAsia="Times New Roman"/>
                <w:noProof/>
              </w:rPr>
            </w:pPr>
            <w:r>
              <w:rPr>
                <w:noProof/>
              </w:rPr>
              <w:t> </w:t>
            </w:r>
          </w:p>
        </w:tc>
        <w:tc>
          <w:tcPr>
            <w:tcW w:w="888" w:type="dxa"/>
            <w:tcBorders>
              <w:top w:val="single" w:sz="4" w:space="0" w:color="auto"/>
              <w:left w:val="single" w:sz="4" w:space="0" w:color="auto"/>
              <w:bottom w:val="single" w:sz="4" w:space="0" w:color="auto"/>
              <w:right w:val="single" w:sz="4" w:space="0" w:color="auto"/>
            </w:tcBorders>
            <w:shd w:val="clear" w:color="auto" w:fill="C6EFCE"/>
            <w:noWrap/>
          </w:tcPr>
          <w:p w14:paraId="7BCEE8EA" w14:textId="4D21B2DD" w:rsidR="003B6BD9" w:rsidRDefault="009E25E8">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BCA5ED4" w14:textId="20D7A739" w:rsidR="003B6BD9" w:rsidRDefault="009E25E8">
            <w:pPr>
              <w:pStyle w:val="P68B1DB1-Normal7"/>
              <w:spacing w:before="0" w:after="0" w:line="240" w:lineRule="auto"/>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DA4D4BE" w14:textId="0C36EE82" w:rsidR="003B6BD9" w:rsidRDefault="009E25E8">
            <w:pPr>
              <w:pStyle w:val="P68B1DB1-Normal7"/>
              <w:spacing w:before="0" w:after="0" w:line="240" w:lineRule="auto"/>
              <w:rPr>
                <w:rFonts w:eastAsia="Times New Roman"/>
                <w:noProof/>
              </w:rPr>
            </w:pPr>
            <w:r>
              <w:rPr>
                <w:noProof/>
              </w:rPr>
              <w:t>2022</w:t>
            </w:r>
          </w:p>
        </w:tc>
        <w:tc>
          <w:tcPr>
            <w:tcW w:w="3048" w:type="dxa"/>
            <w:tcBorders>
              <w:top w:val="single" w:sz="4" w:space="0" w:color="auto"/>
              <w:left w:val="single" w:sz="4" w:space="0" w:color="auto"/>
              <w:bottom w:val="single" w:sz="4" w:space="0" w:color="auto"/>
              <w:right w:val="single" w:sz="4" w:space="0" w:color="auto"/>
            </w:tcBorders>
            <w:shd w:val="clear" w:color="auto" w:fill="C6EFCE"/>
            <w:noWrap/>
          </w:tcPr>
          <w:p w14:paraId="27823BD1" w14:textId="1B9AE5AF" w:rsidR="003B6BD9" w:rsidRDefault="009E25E8">
            <w:pPr>
              <w:pStyle w:val="P68B1DB1-Normal7"/>
              <w:spacing w:before="0" w:after="0" w:line="240" w:lineRule="auto"/>
              <w:rPr>
                <w:noProof/>
              </w:rPr>
            </w:pPr>
            <w:r>
              <w:rPr>
                <w:noProof/>
              </w:rPr>
              <w:t xml:space="preserve">Appel à propositions ouvert pour la mise en œuvre de mises à niveau individuelles des systèmes techniques de bâtiment, tels que les systèmes de climatisation et de ventilation. L’appel est ouvert jusqu’à épuisement de l’enveloppe budgétaire. Les critères de sélection/d’éligibilité garantissent le respect des orientations techniques «ne pas causer de préjudice important» (2021/C58/01). </w:t>
            </w:r>
          </w:p>
        </w:tc>
      </w:tr>
      <w:tr w:rsidR="003B6BD9" w14:paraId="69521438" w14:textId="77777777" w:rsidTr="00AC1D11">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1361636E" w14:textId="71B1B403" w:rsidR="003B6BD9" w:rsidRDefault="009E25E8">
            <w:pPr>
              <w:pStyle w:val="P68B1DB1-Normal7"/>
              <w:spacing w:before="0" w:after="0" w:line="240" w:lineRule="auto"/>
              <w:rPr>
                <w:rFonts w:eastAsia="Times New Roman"/>
                <w:noProof/>
              </w:rPr>
            </w:pPr>
            <w:r>
              <w:rPr>
                <w:noProof/>
              </w:rPr>
              <w:t>22</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1A301FB2" w14:textId="6C3BE451" w:rsidR="003B6BD9" w:rsidRDefault="009E25E8">
            <w:pPr>
              <w:pStyle w:val="P68B1DB1-Normal7"/>
              <w:spacing w:before="0" w:after="0" w:line="240" w:lineRule="auto"/>
              <w:rPr>
                <w:rFonts w:eastAsia="Times New Roman"/>
                <w:noProof/>
              </w:rPr>
            </w:pPr>
            <w:r>
              <w:rPr>
                <w:noProof/>
              </w:rPr>
              <w:t>B: Rénovation durable des bâtiments</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433CB400" w14:textId="2CF65258" w:rsidR="003B6BD9" w:rsidRDefault="009E25E8">
            <w:pPr>
              <w:pStyle w:val="P68B1DB1-Normal7"/>
              <w:spacing w:before="0" w:after="0" w:line="240" w:lineRule="auto"/>
              <w:rPr>
                <w:rFonts w:eastAsia="Times New Roman"/>
                <w:noProof/>
              </w:rPr>
            </w:pPr>
            <w:r>
              <w:rPr>
                <w:noProof/>
              </w:rPr>
              <w:t>Jalon</w:t>
            </w:r>
          </w:p>
        </w:tc>
        <w:tc>
          <w:tcPr>
            <w:tcW w:w="1987" w:type="dxa"/>
            <w:tcBorders>
              <w:top w:val="single" w:sz="4" w:space="0" w:color="auto"/>
              <w:left w:val="single" w:sz="4" w:space="0" w:color="auto"/>
              <w:bottom w:val="single" w:sz="4" w:space="0" w:color="auto"/>
              <w:right w:val="single" w:sz="4" w:space="0" w:color="auto"/>
            </w:tcBorders>
            <w:shd w:val="clear" w:color="auto" w:fill="C6EFCE"/>
            <w:noWrap/>
          </w:tcPr>
          <w:p w14:paraId="0AD230A8" w14:textId="1EFB8208" w:rsidR="003B6BD9" w:rsidRDefault="009E25E8">
            <w:pPr>
              <w:pStyle w:val="P68B1DB1-Normal7"/>
              <w:spacing w:before="0" w:after="0" w:line="240" w:lineRule="auto"/>
              <w:rPr>
                <w:rFonts w:eastAsia="Times New Roman"/>
                <w:noProof/>
              </w:rPr>
            </w:pPr>
            <w:r>
              <w:rPr>
                <w:noProof/>
              </w:rPr>
              <w:t>Ouverture d’une invitation publique pour la rénovation énergétique et durable des bâtiments publics de grande importance administrative et sociale</w:t>
            </w:r>
          </w:p>
        </w:tc>
        <w:tc>
          <w:tcPr>
            <w:tcW w:w="1602" w:type="dxa"/>
            <w:tcBorders>
              <w:top w:val="single" w:sz="4" w:space="0" w:color="auto"/>
              <w:left w:val="single" w:sz="4" w:space="0" w:color="auto"/>
              <w:bottom w:val="single" w:sz="4" w:space="0" w:color="auto"/>
              <w:right w:val="single" w:sz="4" w:space="0" w:color="auto"/>
            </w:tcBorders>
            <w:shd w:val="clear" w:color="auto" w:fill="C6EFCE"/>
            <w:noWrap/>
          </w:tcPr>
          <w:p w14:paraId="3CA1498A" w14:textId="0577BB9F" w:rsidR="003B6BD9" w:rsidRDefault="009E25E8">
            <w:pPr>
              <w:pStyle w:val="P68B1DB1-Normal7"/>
              <w:spacing w:before="0" w:after="0" w:line="240" w:lineRule="auto"/>
              <w:rPr>
                <w:rFonts w:eastAsia="Times New Roman"/>
                <w:noProof/>
              </w:rPr>
            </w:pPr>
            <w:r>
              <w:rPr>
                <w:noProof/>
              </w:rPr>
              <w:t>Publication d’une invitation publique</w:t>
            </w:r>
          </w:p>
        </w:tc>
        <w:tc>
          <w:tcPr>
            <w:tcW w:w="1592" w:type="dxa"/>
            <w:tcBorders>
              <w:top w:val="single" w:sz="4" w:space="0" w:color="auto"/>
              <w:left w:val="single" w:sz="4" w:space="0" w:color="auto"/>
              <w:bottom w:val="single" w:sz="4" w:space="0" w:color="auto"/>
              <w:right w:val="single" w:sz="4" w:space="0" w:color="auto"/>
            </w:tcBorders>
            <w:shd w:val="clear" w:color="auto" w:fill="C6EFCE"/>
            <w:noWrap/>
          </w:tcPr>
          <w:p w14:paraId="128F08EE" w14:textId="3F8C1502" w:rsidR="003B6BD9" w:rsidRDefault="009E25E8">
            <w:pPr>
              <w:pStyle w:val="P68B1DB1-Normal7"/>
              <w:spacing w:before="0" w:after="0" w:line="240" w:lineRule="auto"/>
              <w:rPr>
                <w:rFonts w:eastAsia="Times New Roman"/>
                <w:noProof/>
              </w:rPr>
            </w:pPr>
            <w:r>
              <w:rPr>
                <w:noProof/>
              </w:rPr>
              <w:t> </w:t>
            </w:r>
          </w:p>
        </w:tc>
        <w:tc>
          <w:tcPr>
            <w:tcW w:w="1091" w:type="dxa"/>
            <w:tcBorders>
              <w:top w:val="single" w:sz="4" w:space="0" w:color="auto"/>
              <w:left w:val="single" w:sz="4" w:space="0" w:color="auto"/>
              <w:bottom w:val="single" w:sz="4" w:space="0" w:color="auto"/>
              <w:right w:val="single" w:sz="4" w:space="0" w:color="auto"/>
            </w:tcBorders>
            <w:shd w:val="clear" w:color="auto" w:fill="C6EFCE"/>
            <w:noWrap/>
          </w:tcPr>
          <w:p w14:paraId="1456451E" w14:textId="7C0EB17F" w:rsidR="003B6BD9" w:rsidRDefault="009E25E8">
            <w:pPr>
              <w:pStyle w:val="P68B1DB1-Normal7"/>
              <w:spacing w:before="0" w:after="0" w:line="240" w:lineRule="auto"/>
              <w:rPr>
                <w:rFonts w:eastAsia="Times New Roman"/>
                <w:noProof/>
              </w:rPr>
            </w:pPr>
            <w:r>
              <w:rPr>
                <w:noProof/>
              </w:rPr>
              <w:t> </w:t>
            </w:r>
          </w:p>
        </w:tc>
        <w:tc>
          <w:tcPr>
            <w:tcW w:w="888" w:type="dxa"/>
            <w:tcBorders>
              <w:top w:val="single" w:sz="4" w:space="0" w:color="auto"/>
              <w:left w:val="single" w:sz="4" w:space="0" w:color="auto"/>
              <w:bottom w:val="single" w:sz="4" w:space="0" w:color="auto"/>
              <w:right w:val="single" w:sz="4" w:space="0" w:color="auto"/>
            </w:tcBorders>
            <w:shd w:val="clear" w:color="auto" w:fill="C6EFCE"/>
            <w:noWrap/>
          </w:tcPr>
          <w:p w14:paraId="4CA63B48" w14:textId="5ABC4D78" w:rsidR="003B6BD9" w:rsidRDefault="009E25E8">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03D1984" w14:textId="04F4EA03" w:rsidR="003B6BD9" w:rsidRDefault="009E25E8">
            <w:pPr>
              <w:pStyle w:val="P68B1DB1-Normal7"/>
              <w:spacing w:before="0" w:after="0" w:line="240" w:lineRule="auto"/>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308A70E" w14:textId="42C21A67" w:rsidR="003B6BD9" w:rsidRDefault="009E25E8">
            <w:pPr>
              <w:pStyle w:val="P68B1DB1-Normal7"/>
              <w:spacing w:before="0" w:after="0" w:line="240" w:lineRule="auto"/>
              <w:rPr>
                <w:rFonts w:eastAsia="Times New Roman"/>
                <w:noProof/>
              </w:rPr>
            </w:pPr>
            <w:r>
              <w:rPr>
                <w:noProof/>
              </w:rPr>
              <w:t>2022</w:t>
            </w:r>
          </w:p>
        </w:tc>
        <w:tc>
          <w:tcPr>
            <w:tcW w:w="3048" w:type="dxa"/>
            <w:tcBorders>
              <w:top w:val="single" w:sz="4" w:space="0" w:color="auto"/>
              <w:left w:val="single" w:sz="4" w:space="0" w:color="auto"/>
              <w:bottom w:val="single" w:sz="4" w:space="0" w:color="auto"/>
              <w:right w:val="single" w:sz="4" w:space="0" w:color="auto"/>
            </w:tcBorders>
            <w:shd w:val="clear" w:color="auto" w:fill="C6EFCE"/>
            <w:noWrap/>
          </w:tcPr>
          <w:p w14:paraId="3B36496F" w14:textId="77777777" w:rsidR="003B6BD9" w:rsidRDefault="009E25E8">
            <w:pPr>
              <w:pStyle w:val="P68B1DB1-Normal7"/>
              <w:spacing w:before="0" w:after="0" w:line="240" w:lineRule="auto"/>
              <w:rPr>
                <w:noProof/>
              </w:rPr>
            </w:pPr>
            <w:r>
              <w:rPr>
                <w:noProof/>
              </w:rPr>
              <w:t xml:space="preserve">Une invitation publique a été lancée pour la rénovation énergétique et durable des bâtiments publics de grande importance administrative et sociale. L’invitation publique est ouverte jusqu’à épuisement de l’enveloppe budgétaire. Les critères de sélection/d’éligibilité garantissent: </w:t>
            </w:r>
          </w:p>
          <w:p w14:paraId="5DFDB693" w14:textId="740FD482" w:rsidR="003B6BD9" w:rsidRDefault="009E25E8">
            <w:pPr>
              <w:pStyle w:val="P68B1DB1-Normal7"/>
              <w:spacing w:before="0" w:after="0" w:line="240" w:lineRule="auto"/>
              <w:rPr>
                <w:rFonts w:eastAsia="Times New Roman"/>
                <w:noProof/>
              </w:rPr>
            </w:pPr>
            <w:r>
              <w:rPr>
                <w:noProof/>
              </w:rPr>
              <w:t xml:space="preserve">a) le respect des orientations techniques «ne pas causer de préjudice important» (2021/C58/01); et b) une réduction d’au moins 30 % des émissions directes et indirectes de gaz à effet de serre par rapport aux émissions ex ante. </w:t>
            </w:r>
          </w:p>
        </w:tc>
      </w:tr>
      <w:tr w:rsidR="003B6BD9" w14:paraId="7F71B649" w14:textId="77777777" w:rsidTr="00AC1D11">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10B95812" w14:textId="476C4663" w:rsidR="003B6BD9" w:rsidRDefault="009E25E8">
            <w:pPr>
              <w:pStyle w:val="P68B1DB1-Normal7"/>
              <w:spacing w:before="0" w:after="0" w:line="240" w:lineRule="auto"/>
              <w:rPr>
                <w:rFonts w:eastAsia="Times New Roman"/>
                <w:noProof/>
              </w:rPr>
            </w:pPr>
            <w:r>
              <w:rPr>
                <w:noProof/>
              </w:rPr>
              <w:t>23</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31745938" w14:textId="1FD5181D" w:rsidR="003B6BD9" w:rsidRDefault="009E25E8">
            <w:pPr>
              <w:pStyle w:val="P68B1DB1-Normal7"/>
              <w:spacing w:before="0" w:after="0" w:line="240" w:lineRule="auto"/>
              <w:rPr>
                <w:rFonts w:eastAsia="Times New Roman"/>
                <w:noProof/>
              </w:rPr>
            </w:pPr>
            <w:r>
              <w:rPr>
                <w:noProof/>
              </w:rPr>
              <w:t>B: Rénovation durable des bâtiments</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578F9967" w14:textId="4D0AC356" w:rsidR="003B6BD9" w:rsidRDefault="009E25E8">
            <w:pPr>
              <w:pStyle w:val="P68B1DB1-Normal7"/>
              <w:spacing w:before="0" w:after="0" w:line="240" w:lineRule="auto"/>
              <w:rPr>
                <w:rFonts w:eastAsia="Times New Roman"/>
                <w:noProof/>
              </w:rPr>
            </w:pPr>
            <w:r>
              <w:rPr>
                <w:noProof/>
              </w:rPr>
              <w:t>Jalon</w:t>
            </w:r>
          </w:p>
        </w:tc>
        <w:tc>
          <w:tcPr>
            <w:tcW w:w="1987" w:type="dxa"/>
            <w:tcBorders>
              <w:top w:val="single" w:sz="4" w:space="0" w:color="auto"/>
              <w:left w:val="single" w:sz="4" w:space="0" w:color="auto"/>
              <w:bottom w:val="single" w:sz="4" w:space="0" w:color="auto"/>
              <w:right w:val="single" w:sz="4" w:space="0" w:color="auto"/>
            </w:tcBorders>
            <w:shd w:val="clear" w:color="auto" w:fill="C6EFCE"/>
            <w:noWrap/>
          </w:tcPr>
          <w:p w14:paraId="3AFCD903" w14:textId="43008193" w:rsidR="003B6BD9" w:rsidRDefault="009E25E8">
            <w:pPr>
              <w:pStyle w:val="P68B1DB1-Normal7"/>
              <w:spacing w:before="0" w:after="0" w:line="240" w:lineRule="auto"/>
              <w:rPr>
                <w:rFonts w:eastAsia="Times New Roman"/>
                <w:noProof/>
              </w:rPr>
            </w:pPr>
            <w:r>
              <w:rPr>
                <w:noProof/>
              </w:rPr>
              <w:t xml:space="preserve">Ouverture d’un appel à propositions pour l’énergie et la rénovation durable des bâtiments résidentiels publics. </w:t>
            </w:r>
          </w:p>
        </w:tc>
        <w:tc>
          <w:tcPr>
            <w:tcW w:w="1602" w:type="dxa"/>
            <w:tcBorders>
              <w:top w:val="single" w:sz="4" w:space="0" w:color="auto"/>
              <w:left w:val="single" w:sz="4" w:space="0" w:color="auto"/>
              <w:bottom w:val="single" w:sz="4" w:space="0" w:color="auto"/>
              <w:right w:val="single" w:sz="4" w:space="0" w:color="auto"/>
            </w:tcBorders>
            <w:shd w:val="clear" w:color="auto" w:fill="C6EFCE"/>
            <w:noWrap/>
          </w:tcPr>
          <w:p w14:paraId="111E24B4" w14:textId="42C31416" w:rsidR="003B6BD9" w:rsidRDefault="009E25E8">
            <w:pPr>
              <w:pStyle w:val="P68B1DB1-Normal7"/>
              <w:spacing w:before="0" w:after="0" w:line="240" w:lineRule="auto"/>
              <w:rPr>
                <w:rFonts w:eastAsia="Times New Roman"/>
                <w:noProof/>
              </w:rPr>
            </w:pPr>
            <w:r>
              <w:rPr>
                <w:noProof/>
              </w:rPr>
              <w:t xml:space="preserve">Publication de l’appel à propositions </w:t>
            </w:r>
          </w:p>
        </w:tc>
        <w:tc>
          <w:tcPr>
            <w:tcW w:w="1592" w:type="dxa"/>
            <w:tcBorders>
              <w:top w:val="single" w:sz="4" w:space="0" w:color="auto"/>
              <w:left w:val="single" w:sz="4" w:space="0" w:color="auto"/>
              <w:bottom w:val="single" w:sz="4" w:space="0" w:color="auto"/>
              <w:right w:val="single" w:sz="4" w:space="0" w:color="auto"/>
            </w:tcBorders>
            <w:shd w:val="clear" w:color="auto" w:fill="C6EFCE"/>
            <w:noWrap/>
          </w:tcPr>
          <w:p w14:paraId="4C72D459" w14:textId="554F95D5" w:rsidR="003B6BD9" w:rsidRDefault="009E25E8">
            <w:pPr>
              <w:pStyle w:val="P68B1DB1-Normal7"/>
              <w:spacing w:before="0" w:after="0" w:line="240" w:lineRule="auto"/>
              <w:rPr>
                <w:rFonts w:eastAsia="Times New Roman"/>
                <w:noProof/>
              </w:rPr>
            </w:pPr>
            <w:r>
              <w:rPr>
                <w:noProof/>
              </w:rPr>
              <w:t> </w:t>
            </w:r>
          </w:p>
        </w:tc>
        <w:tc>
          <w:tcPr>
            <w:tcW w:w="1091" w:type="dxa"/>
            <w:tcBorders>
              <w:top w:val="single" w:sz="4" w:space="0" w:color="auto"/>
              <w:left w:val="single" w:sz="4" w:space="0" w:color="auto"/>
              <w:bottom w:val="single" w:sz="4" w:space="0" w:color="auto"/>
              <w:right w:val="single" w:sz="4" w:space="0" w:color="auto"/>
            </w:tcBorders>
            <w:shd w:val="clear" w:color="auto" w:fill="C6EFCE"/>
            <w:noWrap/>
          </w:tcPr>
          <w:p w14:paraId="6C4934B1" w14:textId="6933F7D3" w:rsidR="003B6BD9" w:rsidRDefault="009E25E8">
            <w:pPr>
              <w:pStyle w:val="P68B1DB1-Normal7"/>
              <w:spacing w:before="0" w:after="0" w:line="240" w:lineRule="auto"/>
              <w:rPr>
                <w:rFonts w:eastAsia="Times New Roman"/>
                <w:noProof/>
              </w:rPr>
            </w:pPr>
            <w:r>
              <w:rPr>
                <w:noProof/>
              </w:rPr>
              <w:t> </w:t>
            </w:r>
          </w:p>
        </w:tc>
        <w:tc>
          <w:tcPr>
            <w:tcW w:w="888" w:type="dxa"/>
            <w:tcBorders>
              <w:top w:val="single" w:sz="4" w:space="0" w:color="auto"/>
              <w:left w:val="single" w:sz="4" w:space="0" w:color="auto"/>
              <w:bottom w:val="single" w:sz="4" w:space="0" w:color="auto"/>
              <w:right w:val="single" w:sz="4" w:space="0" w:color="auto"/>
            </w:tcBorders>
            <w:shd w:val="clear" w:color="auto" w:fill="C6EFCE"/>
            <w:noWrap/>
          </w:tcPr>
          <w:p w14:paraId="4F776CC0" w14:textId="09B745A1" w:rsidR="003B6BD9" w:rsidRDefault="009E25E8">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393E4BB" w14:textId="56F6DB26" w:rsidR="003B6BD9" w:rsidRDefault="009E25E8">
            <w:pPr>
              <w:pStyle w:val="P68B1DB1-Normal7"/>
              <w:spacing w:before="0" w:after="0" w:line="240" w:lineRule="auto"/>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BBAB1C0" w14:textId="57421A58" w:rsidR="003B6BD9" w:rsidRDefault="009E25E8">
            <w:pPr>
              <w:pStyle w:val="P68B1DB1-Normal7"/>
              <w:spacing w:before="0" w:after="0" w:line="240" w:lineRule="auto"/>
              <w:rPr>
                <w:rFonts w:eastAsia="Times New Roman"/>
                <w:noProof/>
              </w:rPr>
            </w:pPr>
            <w:r>
              <w:rPr>
                <w:noProof/>
              </w:rPr>
              <w:t>2022</w:t>
            </w:r>
          </w:p>
        </w:tc>
        <w:tc>
          <w:tcPr>
            <w:tcW w:w="3048" w:type="dxa"/>
            <w:tcBorders>
              <w:top w:val="single" w:sz="4" w:space="0" w:color="auto"/>
              <w:left w:val="single" w:sz="4" w:space="0" w:color="auto"/>
              <w:bottom w:val="single" w:sz="4" w:space="0" w:color="auto"/>
              <w:right w:val="single" w:sz="4" w:space="0" w:color="auto"/>
            </w:tcBorders>
            <w:shd w:val="clear" w:color="auto" w:fill="C6EFCE"/>
            <w:noWrap/>
          </w:tcPr>
          <w:p w14:paraId="1DF97E22" w14:textId="1DCDA09F" w:rsidR="003B6BD9" w:rsidRDefault="009E25E8">
            <w:pPr>
              <w:pStyle w:val="P68B1DB1-Normal7"/>
              <w:spacing w:before="0" w:after="0" w:line="240" w:lineRule="auto"/>
              <w:rPr>
                <w:rFonts w:eastAsia="Times New Roman"/>
                <w:noProof/>
              </w:rPr>
            </w:pPr>
            <w:r>
              <w:rPr>
                <w:noProof/>
              </w:rPr>
              <w:t>Appel à propositions ouvert pour la rénovation énergétique et durable des bâtiments résidentiels publics. L’appel est ouvert jusqu’à épuisement de l’enveloppe budgétaire.</w:t>
            </w:r>
          </w:p>
          <w:p w14:paraId="5E50B2F2" w14:textId="77777777" w:rsidR="003B6BD9" w:rsidRDefault="009E25E8">
            <w:pPr>
              <w:pStyle w:val="P68B1DB1-Normal7"/>
              <w:spacing w:before="0" w:after="0" w:line="240" w:lineRule="auto"/>
              <w:rPr>
                <w:noProof/>
              </w:rPr>
            </w:pPr>
            <w:r>
              <w:rPr>
                <w:noProof/>
              </w:rPr>
              <w:t xml:space="preserve">Les critères de sélection/d’éligibilité garantissent: </w:t>
            </w:r>
          </w:p>
          <w:p w14:paraId="0768A1DE" w14:textId="2CAC0536" w:rsidR="003B6BD9" w:rsidRDefault="009E25E8">
            <w:pPr>
              <w:pStyle w:val="P68B1DB1-Normal7"/>
              <w:spacing w:before="0" w:after="0" w:line="240" w:lineRule="auto"/>
              <w:rPr>
                <w:rFonts w:eastAsia="Times New Roman"/>
                <w:noProof/>
              </w:rPr>
            </w:pPr>
            <w:r>
              <w:rPr>
                <w:noProof/>
              </w:rPr>
              <w:t>a) le respect des orientations techniques «ne pas causer de préjudice important» (2021/C58/01); et</w:t>
            </w:r>
          </w:p>
          <w:p w14:paraId="5441E818" w14:textId="7BAC8673" w:rsidR="003B6BD9" w:rsidRDefault="009E25E8">
            <w:pPr>
              <w:pStyle w:val="P68B1DB1-Normal7"/>
              <w:spacing w:before="0" w:after="0" w:line="240" w:lineRule="auto"/>
              <w:rPr>
                <w:noProof/>
              </w:rPr>
            </w:pPr>
            <w:r>
              <w:rPr>
                <w:noProof/>
              </w:rPr>
              <w:t xml:space="preserve">b) une réduction d’au moins 30 % des émissions directes et indirectes de gaz à effet de serre par rapport aux émissions ex ante. </w:t>
            </w:r>
          </w:p>
        </w:tc>
      </w:tr>
      <w:tr w:rsidR="003B6BD9" w14:paraId="60F3FB65" w14:textId="77777777" w:rsidTr="00AC1D11">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602853AA" w14:textId="68C99CD4" w:rsidR="003B6BD9" w:rsidRDefault="009E25E8">
            <w:pPr>
              <w:pStyle w:val="P68B1DB1-Normal7"/>
              <w:spacing w:before="0" w:after="0" w:line="240" w:lineRule="auto"/>
              <w:rPr>
                <w:rFonts w:eastAsia="Times New Roman"/>
                <w:noProof/>
              </w:rPr>
            </w:pPr>
            <w:r>
              <w:rPr>
                <w:noProof/>
              </w:rPr>
              <w:t>25</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061E7A87" w14:textId="199252CD" w:rsidR="003B6BD9" w:rsidRDefault="009E25E8">
            <w:pPr>
              <w:pStyle w:val="P68B1DB1-Normal7"/>
              <w:spacing w:before="0" w:after="0" w:line="240" w:lineRule="auto"/>
              <w:rPr>
                <w:rFonts w:eastAsia="Times New Roman"/>
                <w:noProof/>
              </w:rPr>
            </w:pPr>
            <w:r>
              <w:rPr>
                <w:noProof/>
              </w:rPr>
              <w:t>B: Rénovation durable des bâtiments</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5A4F3162" w14:textId="1D7F3786" w:rsidR="003B6BD9" w:rsidRDefault="009E25E8">
            <w:pPr>
              <w:pStyle w:val="P68B1DB1-Normal7"/>
              <w:spacing w:before="0" w:after="0" w:line="240" w:lineRule="auto"/>
              <w:rPr>
                <w:rFonts w:eastAsia="Times New Roman"/>
                <w:noProof/>
              </w:rPr>
            </w:pPr>
            <w:r>
              <w:rPr>
                <w:noProof/>
              </w:rPr>
              <w:t>Cible</w:t>
            </w:r>
          </w:p>
        </w:tc>
        <w:tc>
          <w:tcPr>
            <w:tcW w:w="1987" w:type="dxa"/>
            <w:tcBorders>
              <w:top w:val="single" w:sz="4" w:space="0" w:color="auto"/>
              <w:left w:val="single" w:sz="4" w:space="0" w:color="auto"/>
              <w:bottom w:val="single" w:sz="4" w:space="0" w:color="auto"/>
              <w:right w:val="single" w:sz="4" w:space="0" w:color="auto"/>
            </w:tcBorders>
            <w:shd w:val="clear" w:color="auto" w:fill="C6EFCE"/>
            <w:noWrap/>
          </w:tcPr>
          <w:p w14:paraId="2B265A1D" w14:textId="35B6527F" w:rsidR="003B6BD9" w:rsidRDefault="009E25E8">
            <w:pPr>
              <w:pStyle w:val="P68B1DB1-Normal7"/>
              <w:spacing w:before="0" w:after="0" w:line="240" w:lineRule="auto"/>
              <w:rPr>
                <w:rFonts w:eastAsia="Times New Roman"/>
                <w:noProof/>
              </w:rPr>
            </w:pPr>
            <w:r>
              <w:rPr>
                <w:noProof/>
              </w:rPr>
              <w:t xml:space="preserve">Rénovation de bâtiments </w:t>
            </w:r>
          </w:p>
        </w:tc>
        <w:tc>
          <w:tcPr>
            <w:tcW w:w="1602" w:type="dxa"/>
            <w:tcBorders>
              <w:top w:val="single" w:sz="4" w:space="0" w:color="auto"/>
              <w:left w:val="single" w:sz="4" w:space="0" w:color="auto"/>
              <w:bottom w:val="single" w:sz="4" w:space="0" w:color="auto"/>
              <w:right w:val="single" w:sz="4" w:space="0" w:color="auto"/>
            </w:tcBorders>
            <w:shd w:val="clear" w:color="auto" w:fill="C6EFCE"/>
            <w:noWrap/>
          </w:tcPr>
          <w:p w14:paraId="795BD862" w14:textId="749DFF5E" w:rsidR="003B6BD9" w:rsidRDefault="009E25E8">
            <w:pPr>
              <w:pStyle w:val="P68B1DB1-Normal7"/>
              <w:spacing w:before="0" w:after="0" w:line="240" w:lineRule="auto"/>
              <w:rPr>
                <w:rFonts w:eastAsia="Times New Roman"/>
                <w:noProof/>
              </w:rPr>
            </w:pPr>
            <w:r>
              <w:rPr>
                <w:noProof/>
              </w:rPr>
              <w:t> </w:t>
            </w:r>
          </w:p>
        </w:tc>
        <w:tc>
          <w:tcPr>
            <w:tcW w:w="1592" w:type="dxa"/>
            <w:tcBorders>
              <w:top w:val="single" w:sz="4" w:space="0" w:color="auto"/>
              <w:left w:val="single" w:sz="4" w:space="0" w:color="auto"/>
              <w:bottom w:val="single" w:sz="4" w:space="0" w:color="auto"/>
              <w:right w:val="single" w:sz="4" w:space="0" w:color="auto"/>
            </w:tcBorders>
            <w:shd w:val="clear" w:color="auto" w:fill="C6EFCE"/>
            <w:noWrap/>
          </w:tcPr>
          <w:p w14:paraId="6C5AB59A" w14:textId="77777777" w:rsidR="003B6BD9" w:rsidRDefault="009E25E8">
            <w:pPr>
              <w:pStyle w:val="P68B1DB1-Normal7"/>
              <w:spacing w:before="0" w:after="0" w:line="240" w:lineRule="auto"/>
              <w:rPr>
                <w:noProof/>
              </w:rPr>
            </w:pPr>
            <w:r>
              <w:rPr>
                <w:noProof/>
              </w:rPr>
              <w:t>Nombre</w:t>
            </w:r>
          </w:p>
          <w:p w14:paraId="53891D3D" w14:textId="6EF5C9E8" w:rsidR="003B6BD9" w:rsidRDefault="009E25E8">
            <w:pPr>
              <w:pStyle w:val="P68B1DB1-Normal7"/>
              <w:spacing w:before="0" w:after="0" w:line="240" w:lineRule="auto"/>
              <w:rPr>
                <w:noProof/>
              </w:rPr>
            </w:pPr>
            <w:r>
              <w:rPr>
                <w:noProof/>
              </w:rPr>
              <w:t>(m²)</w:t>
            </w:r>
          </w:p>
        </w:tc>
        <w:tc>
          <w:tcPr>
            <w:tcW w:w="1091" w:type="dxa"/>
            <w:tcBorders>
              <w:top w:val="single" w:sz="4" w:space="0" w:color="auto"/>
              <w:left w:val="single" w:sz="4" w:space="0" w:color="auto"/>
              <w:bottom w:val="single" w:sz="4" w:space="0" w:color="auto"/>
              <w:right w:val="single" w:sz="4" w:space="0" w:color="auto"/>
            </w:tcBorders>
            <w:shd w:val="clear" w:color="auto" w:fill="C6EFCE"/>
            <w:noWrap/>
          </w:tcPr>
          <w:p w14:paraId="4E338DE4" w14:textId="24450A6B" w:rsidR="003B6BD9" w:rsidRDefault="009E25E8">
            <w:pPr>
              <w:pStyle w:val="P68B1DB1-Normal7"/>
              <w:spacing w:before="0" w:after="0" w:line="240" w:lineRule="auto"/>
              <w:rPr>
                <w:rFonts w:eastAsia="Times New Roman"/>
                <w:noProof/>
              </w:rPr>
            </w:pPr>
            <w:r>
              <w:rPr>
                <w:noProof/>
              </w:rPr>
              <w:t>0</w:t>
            </w:r>
          </w:p>
        </w:tc>
        <w:tc>
          <w:tcPr>
            <w:tcW w:w="888" w:type="dxa"/>
            <w:tcBorders>
              <w:top w:val="single" w:sz="4" w:space="0" w:color="auto"/>
              <w:left w:val="single" w:sz="4" w:space="0" w:color="auto"/>
              <w:bottom w:val="single" w:sz="4" w:space="0" w:color="auto"/>
              <w:right w:val="single" w:sz="4" w:space="0" w:color="auto"/>
            </w:tcBorders>
            <w:shd w:val="clear" w:color="auto" w:fill="C6EFCE"/>
            <w:noWrap/>
          </w:tcPr>
          <w:p w14:paraId="2AD750C7" w14:textId="286C0158" w:rsidR="003B6BD9" w:rsidRDefault="009E25E8">
            <w:pPr>
              <w:pStyle w:val="P68B1DB1-Normal7"/>
              <w:spacing w:before="0" w:after="0" w:line="240" w:lineRule="auto"/>
              <w:rPr>
                <w:rFonts w:eastAsia="Times New Roman"/>
                <w:noProof/>
              </w:rPr>
            </w:pPr>
            <w:r>
              <w:rPr>
                <w:noProof/>
              </w:rPr>
              <w:t>59 574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14299D1" w14:textId="32F67CA9" w:rsidR="003B6BD9" w:rsidRDefault="009E25E8">
            <w:pPr>
              <w:pStyle w:val="P68B1DB1-Normal7"/>
              <w:spacing w:before="0" w:after="0" w:line="240" w:lineRule="auto"/>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313B142" w14:textId="35191BCA" w:rsidR="003B6BD9" w:rsidRDefault="009E25E8">
            <w:pPr>
              <w:pStyle w:val="P68B1DB1-Normal7"/>
              <w:spacing w:before="0" w:after="0" w:line="240" w:lineRule="auto"/>
              <w:rPr>
                <w:rFonts w:eastAsia="Times New Roman"/>
                <w:noProof/>
              </w:rPr>
            </w:pPr>
            <w:r>
              <w:rPr>
                <w:noProof/>
              </w:rPr>
              <w:t>2026</w:t>
            </w:r>
          </w:p>
        </w:tc>
        <w:tc>
          <w:tcPr>
            <w:tcW w:w="3048" w:type="dxa"/>
            <w:tcBorders>
              <w:top w:val="single" w:sz="4" w:space="0" w:color="auto"/>
              <w:left w:val="single" w:sz="4" w:space="0" w:color="auto"/>
              <w:bottom w:val="single" w:sz="4" w:space="0" w:color="auto"/>
              <w:right w:val="single" w:sz="4" w:space="0" w:color="auto"/>
            </w:tcBorders>
            <w:shd w:val="clear" w:color="auto" w:fill="C6EFCE"/>
            <w:noWrap/>
          </w:tcPr>
          <w:p w14:paraId="7583EBA4" w14:textId="50B2F2D5" w:rsidR="003B6BD9" w:rsidRDefault="009E25E8">
            <w:pPr>
              <w:pStyle w:val="P68B1DB1-Normal7"/>
              <w:spacing w:before="0" w:after="0" w:line="240" w:lineRule="auto"/>
              <w:rPr>
                <w:noProof/>
              </w:rPr>
            </w:pPr>
            <w:r>
              <w:rPr>
                <w:noProof/>
              </w:rPr>
              <w:t>Bâtiments rénovés.</w:t>
            </w:r>
          </w:p>
        </w:tc>
      </w:tr>
      <w:tr w:rsidR="003B6BD9" w14:paraId="759BB97E" w14:textId="77777777" w:rsidTr="00AC1D11">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43DA0092" w14:textId="3B8F39F4" w:rsidR="003B6BD9" w:rsidRDefault="009E25E8">
            <w:pPr>
              <w:pStyle w:val="P68B1DB1-Normal7"/>
              <w:spacing w:before="0" w:after="0" w:line="240" w:lineRule="auto"/>
              <w:rPr>
                <w:rFonts w:eastAsia="Times New Roman"/>
                <w:noProof/>
              </w:rPr>
            </w:pPr>
            <w:r>
              <w:rPr>
                <w:noProof/>
              </w:rPr>
              <w:t>26</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1D54BF73" w14:textId="00AF1A17" w:rsidR="003B6BD9" w:rsidRDefault="009E25E8">
            <w:pPr>
              <w:pStyle w:val="P68B1DB1-Normal7"/>
              <w:spacing w:before="0" w:after="0" w:line="240" w:lineRule="auto"/>
              <w:rPr>
                <w:rFonts w:eastAsia="Times New Roman"/>
                <w:noProof/>
              </w:rPr>
            </w:pPr>
            <w:r>
              <w:rPr>
                <w:noProof/>
              </w:rPr>
              <w:t>B: Rénovation durable des bâtiments</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57417385" w14:textId="58888CAA" w:rsidR="003B6BD9" w:rsidRDefault="009E25E8">
            <w:pPr>
              <w:pStyle w:val="P68B1DB1-Normal7"/>
              <w:spacing w:before="0" w:after="0" w:line="240" w:lineRule="auto"/>
              <w:rPr>
                <w:rFonts w:eastAsia="Times New Roman"/>
                <w:noProof/>
              </w:rPr>
            </w:pPr>
            <w:r>
              <w:rPr>
                <w:noProof/>
              </w:rPr>
              <w:t>Cible</w:t>
            </w:r>
          </w:p>
        </w:tc>
        <w:tc>
          <w:tcPr>
            <w:tcW w:w="1987" w:type="dxa"/>
            <w:tcBorders>
              <w:top w:val="single" w:sz="4" w:space="0" w:color="auto"/>
              <w:left w:val="single" w:sz="4" w:space="0" w:color="auto"/>
              <w:bottom w:val="single" w:sz="4" w:space="0" w:color="auto"/>
              <w:right w:val="single" w:sz="4" w:space="0" w:color="auto"/>
            </w:tcBorders>
            <w:shd w:val="clear" w:color="auto" w:fill="C6EFCE"/>
            <w:noWrap/>
          </w:tcPr>
          <w:p w14:paraId="04F99FDE" w14:textId="4CEF8A75" w:rsidR="003B6BD9" w:rsidRDefault="009E25E8">
            <w:pPr>
              <w:pStyle w:val="P68B1DB1-Normal7"/>
              <w:spacing w:before="0" w:after="0" w:line="240" w:lineRule="auto"/>
              <w:rPr>
                <w:rFonts w:eastAsia="Times New Roman"/>
                <w:noProof/>
              </w:rPr>
            </w:pPr>
            <w:r>
              <w:rPr>
                <w:noProof/>
              </w:rPr>
              <w:t xml:space="preserve">Mise à niveau des systèmes techniques de bâtiment </w:t>
            </w:r>
          </w:p>
        </w:tc>
        <w:tc>
          <w:tcPr>
            <w:tcW w:w="1602" w:type="dxa"/>
            <w:tcBorders>
              <w:top w:val="single" w:sz="4" w:space="0" w:color="auto"/>
              <w:left w:val="single" w:sz="4" w:space="0" w:color="auto"/>
              <w:bottom w:val="single" w:sz="4" w:space="0" w:color="auto"/>
              <w:right w:val="single" w:sz="4" w:space="0" w:color="auto"/>
            </w:tcBorders>
            <w:shd w:val="clear" w:color="auto" w:fill="C6EFCE"/>
            <w:noWrap/>
          </w:tcPr>
          <w:p w14:paraId="7776C65C" w14:textId="731B6DDD" w:rsidR="003B6BD9" w:rsidRDefault="009E25E8">
            <w:pPr>
              <w:pStyle w:val="P68B1DB1-Normal7"/>
              <w:spacing w:before="0" w:after="0" w:line="240" w:lineRule="auto"/>
              <w:rPr>
                <w:rFonts w:eastAsia="Times New Roman"/>
                <w:noProof/>
              </w:rPr>
            </w:pPr>
            <w:r>
              <w:rPr>
                <w:noProof/>
              </w:rPr>
              <w:t> </w:t>
            </w:r>
          </w:p>
        </w:tc>
        <w:tc>
          <w:tcPr>
            <w:tcW w:w="1592" w:type="dxa"/>
            <w:tcBorders>
              <w:top w:val="single" w:sz="4" w:space="0" w:color="auto"/>
              <w:left w:val="single" w:sz="4" w:space="0" w:color="auto"/>
              <w:bottom w:val="single" w:sz="4" w:space="0" w:color="auto"/>
              <w:right w:val="single" w:sz="4" w:space="0" w:color="auto"/>
            </w:tcBorders>
            <w:shd w:val="clear" w:color="auto" w:fill="C6EFCE"/>
            <w:noWrap/>
          </w:tcPr>
          <w:p w14:paraId="7E52B8C2" w14:textId="77777777" w:rsidR="003B6BD9" w:rsidRDefault="009E25E8">
            <w:pPr>
              <w:pStyle w:val="P68B1DB1-Normal7"/>
              <w:spacing w:before="0" w:after="0" w:line="240" w:lineRule="auto"/>
              <w:rPr>
                <w:noProof/>
              </w:rPr>
            </w:pPr>
            <w:r>
              <w:rPr>
                <w:noProof/>
              </w:rPr>
              <w:t>Nombre</w:t>
            </w:r>
          </w:p>
          <w:p w14:paraId="22A4B8E6" w14:textId="4686E5E2" w:rsidR="003B6BD9" w:rsidRDefault="009E25E8">
            <w:pPr>
              <w:pStyle w:val="P68B1DB1-Normal7"/>
              <w:spacing w:before="0" w:after="0" w:line="240" w:lineRule="auto"/>
              <w:rPr>
                <w:noProof/>
              </w:rPr>
            </w:pPr>
            <w:r>
              <w:rPr>
                <w:noProof/>
              </w:rPr>
              <w:t>(m²)</w:t>
            </w:r>
          </w:p>
        </w:tc>
        <w:tc>
          <w:tcPr>
            <w:tcW w:w="1091" w:type="dxa"/>
            <w:tcBorders>
              <w:top w:val="single" w:sz="4" w:space="0" w:color="auto"/>
              <w:left w:val="single" w:sz="4" w:space="0" w:color="auto"/>
              <w:bottom w:val="single" w:sz="4" w:space="0" w:color="auto"/>
              <w:right w:val="single" w:sz="4" w:space="0" w:color="auto"/>
            </w:tcBorders>
            <w:shd w:val="clear" w:color="auto" w:fill="C6EFCE"/>
            <w:noWrap/>
          </w:tcPr>
          <w:p w14:paraId="2456249A" w14:textId="402DEF3C" w:rsidR="003B6BD9" w:rsidRDefault="009E25E8">
            <w:pPr>
              <w:pStyle w:val="P68B1DB1-Normal7"/>
              <w:spacing w:before="0" w:after="0" w:line="240" w:lineRule="auto"/>
              <w:rPr>
                <w:rFonts w:eastAsia="Times New Roman"/>
                <w:noProof/>
              </w:rPr>
            </w:pPr>
            <w:r>
              <w:rPr>
                <w:noProof/>
              </w:rPr>
              <w:t>0</w:t>
            </w:r>
          </w:p>
        </w:tc>
        <w:tc>
          <w:tcPr>
            <w:tcW w:w="888" w:type="dxa"/>
            <w:tcBorders>
              <w:top w:val="single" w:sz="4" w:space="0" w:color="auto"/>
              <w:left w:val="single" w:sz="4" w:space="0" w:color="auto"/>
              <w:bottom w:val="single" w:sz="4" w:space="0" w:color="auto"/>
              <w:right w:val="single" w:sz="4" w:space="0" w:color="auto"/>
            </w:tcBorders>
            <w:shd w:val="clear" w:color="auto" w:fill="C6EFCE"/>
            <w:noWrap/>
          </w:tcPr>
          <w:p w14:paraId="17C6E1A5" w14:textId="2824DC0F" w:rsidR="003B6BD9" w:rsidRDefault="009E25E8">
            <w:pPr>
              <w:pStyle w:val="P68B1DB1-Normal7"/>
              <w:spacing w:before="0" w:after="0" w:line="240" w:lineRule="auto"/>
              <w:rPr>
                <w:rFonts w:eastAsia="Times New Roman"/>
                <w:noProof/>
              </w:rPr>
            </w:pPr>
            <w:r>
              <w:rPr>
                <w:noProof/>
              </w:rPr>
              <w:t>29 392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3CB252C" w14:textId="7B3B65B6" w:rsidR="003B6BD9" w:rsidRDefault="009E25E8">
            <w:pPr>
              <w:pStyle w:val="P68B1DB1-Normal7"/>
              <w:spacing w:before="0" w:after="0" w:line="240" w:lineRule="auto"/>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35DE598" w14:textId="30BA0302" w:rsidR="003B6BD9" w:rsidRDefault="009E25E8">
            <w:pPr>
              <w:pStyle w:val="P68B1DB1-Normal7"/>
              <w:spacing w:before="0" w:after="0" w:line="240" w:lineRule="auto"/>
              <w:rPr>
                <w:rFonts w:eastAsia="Times New Roman"/>
                <w:noProof/>
              </w:rPr>
            </w:pPr>
            <w:r>
              <w:rPr>
                <w:noProof/>
              </w:rPr>
              <w:t>2025</w:t>
            </w:r>
          </w:p>
        </w:tc>
        <w:tc>
          <w:tcPr>
            <w:tcW w:w="3048" w:type="dxa"/>
            <w:tcBorders>
              <w:top w:val="single" w:sz="4" w:space="0" w:color="auto"/>
              <w:left w:val="single" w:sz="4" w:space="0" w:color="auto"/>
              <w:bottom w:val="single" w:sz="4" w:space="0" w:color="auto"/>
              <w:right w:val="single" w:sz="4" w:space="0" w:color="auto"/>
            </w:tcBorders>
            <w:shd w:val="clear" w:color="auto" w:fill="C6EFCE"/>
            <w:noWrap/>
          </w:tcPr>
          <w:p w14:paraId="243DE58B" w14:textId="69C668F5" w:rsidR="003B6BD9" w:rsidRDefault="009E25E8">
            <w:pPr>
              <w:pStyle w:val="P68B1DB1-Normal7"/>
              <w:spacing w:before="0" w:after="0" w:line="240" w:lineRule="auto"/>
              <w:rPr>
                <w:noProof/>
              </w:rPr>
            </w:pPr>
            <w:r>
              <w:rPr>
                <w:noProof/>
              </w:rPr>
              <w:t xml:space="preserve">Les systèmes techniques de bâtiment, par exemple les systèmes de climatisation, de refroidissement et/ou de ventilation, ont été modernisés. </w:t>
            </w:r>
          </w:p>
        </w:tc>
      </w:tr>
    </w:tbl>
    <w:p w14:paraId="0EB55B6F" w14:textId="088FDF40" w:rsidR="003B6BD9" w:rsidRDefault="009E25E8">
      <w:pPr>
        <w:spacing w:before="0" w:after="200" w:line="276" w:lineRule="auto"/>
        <w:rPr>
          <w:noProof/>
        </w:rPr>
        <w:sectPr w:rsidR="003B6BD9" w:rsidSect="00073927">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26"/>
        </w:sectPr>
      </w:pPr>
      <w:r>
        <w:rPr>
          <w:noProof/>
        </w:rPr>
        <w:tab/>
      </w:r>
    </w:p>
    <w:p w14:paraId="5E2A24D7" w14:textId="091FC8FC" w:rsidR="003B6BD9" w:rsidRDefault="009E25E8">
      <w:pPr>
        <w:pStyle w:val="P68B1DB1-Normal4"/>
        <w:spacing w:line="240" w:lineRule="auto"/>
        <w:jc w:val="both"/>
        <w:rPr>
          <w:rFonts w:eastAsiaTheme="minorEastAsia"/>
          <w:noProof/>
          <w:szCs w:val="24"/>
        </w:rPr>
      </w:pPr>
      <w:r>
        <w:rPr>
          <w:noProof/>
        </w:rPr>
        <w:t>B.3. Description des réformes et des investissements en vue du prêt</w:t>
      </w:r>
    </w:p>
    <w:p w14:paraId="3A12991E" w14:textId="77777777" w:rsidR="003B6BD9" w:rsidRDefault="009E25E8">
      <w:pPr>
        <w:pStyle w:val="P68B1DB1-Normal5"/>
        <w:spacing w:line="240" w:lineRule="auto"/>
        <w:jc w:val="both"/>
        <w:rPr>
          <w:noProof/>
        </w:rPr>
      </w:pPr>
      <w:r>
        <w:rPr>
          <w:noProof/>
        </w:rPr>
        <w:t>Investissement B: Poursuite de la rénovation durable des bâtiments</w:t>
      </w:r>
    </w:p>
    <w:p w14:paraId="6AB4FDDF" w14:textId="77777777" w:rsidR="003B6BD9" w:rsidRDefault="009E25E8">
      <w:pPr>
        <w:spacing w:line="240" w:lineRule="auto"/>
        <w:jc w:val="both"/>
        <w:rPr>
          <w:noProof/>
        </w:rPr>
      </w:pPr>
      <w:r>
        <w:rPr>
          <w:noProof/>
        </w:rPr>
        <w:t xml:space="preserve">L’objectif de l’investissement est d’accroître l’efficacité énergétique des bâtiments. </w:t>
      </w:r>
    </w:p>
    <w:p w14:paraId="15E36D1B" w14:textId="5D6586B8" w:rsidR="003B6BD9" w:rsidRDefault="009E25E8">
      <w:pPr>
        <w:spacing w:line="240" w:lineRule="auto"/>
        <w:jc w:val="both"/>
        <w:rPr>
          <w:noProof/>
        </w:rPr>
      </w:pPr>
      <w:r>
        <w:rPr>
          <w:noProof/>
        </w:rPr>
        <w:t>Les mesures consistent en la rénovation des bâtiments et la modernisation des systèmes techniques de bâtiment.</w:t>
      </w:r>
    </w:p>
    <w:p w14:paraId="3CBC7BBF" w14:textId="11DFFB0C" w:rsidR="003B6BD9" w:rsidRDefault="003B6BD9">
      <w:pPr>
        <w:spacing w:line="240" w:lineRule="auto"/>
        <w:jc w:val="both"/>
        <w:rPr>
          <w:noProof/>
        </w:rPr>
      </w:pPr>
    </w:p>
    <w:p w14:paraId="0FD24CFB" w14:textId="2D000948" w:rsidR="003B6BD9" w:rsidRDefault="003B6BD9">
      <w:pPr>
        <w:spacing w:line="240" w:lineRule="auto"/>
        <w:jc w:val="both"/>
        <w:rPr>
          <w:noProof/>
        </w:rPr>
        <w:sectPr w:rsidR="003B6BD9" w:rsidSect="00F66D61">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26"/>
        </w:sectPr>
      </w:pPr>
    </w:p>
    <w:p w14:paraId="09D069D4" w14:textId="27D7F7AA" w:rsidR="003B6BD9" w:rsidRDefault="009E25E8">
      <w:pPr>
        <w:pStyle w:val="P68B1DB1-Normal5"/>
        <w:spacing w:line="240" w:lineRule="auto"/>
        <w:ind w:left="850"/>
        <w:jc w:val="both"/>
        <w:rPr>
          <w:b/>
          <w:noProof/>
        </w:rPr>
      </w:pPr>
      <w:r>
        <w:rPr>
          <w:b/>
          <w:noProof/>
        </w:rPr>
        <w:t xml:space="preserve">B.4. </w:t>
      </w:r>
      <w:r>
        <w:rPr>
          <w:noProof/>
        </w:rPr>
        <w:t xml:space="preserve"> </w:t>
      </w:r>
      <w:r>
        <w:rPr>
          <w:b/>
          <w:noProof/>
        </w:rPr>
        <w:t>Jalons, cibles, indicateurs et calendrier de suivi et de mise en œuvre en vue du prêt</w:t>
      </w:r>
    </w:p>
    <w:tbl>
      <w:tblPr>
        <w:tblW w:w="15568" w:type="dxa"/>
        <w:jc w:val="center"/>
        <w:tblLayout w:type="fixed"/>
        <w:tblLook w:val="04A0" w:firstRow="1" w:lastRow="0" w:firstColumn="1" w:lastColumn="0" w:noHBand="0" w:noVBand="1"/>
      </w:tblPr>
      <w:tblGrid>
        <w:gridCol w:w="955"/>
        <w:gridCol w:w="1847"/>
        <w:gridCol w:w="1033"/>
        <w:gridCol w:w="1638"/>
        <w:gridCol w:w="1479"/>
        <w:gridCol w:w="1479"/>
        <w:gridCol w:w="1026"/>
        <w:gridCol w:w="1026"/>
        <w:gridCol w:w="1027"/>
        <w:gridCol w:w="1033"/>
        <w:gridCol w:w="3025"/>
      </w:tblGrid>
      <w:tr w:rsidR="003B6BD9" w14:paraId="43FD401A" w14:textId="77777777" w:rsidTr="00AC1D11">
        <w:trPr>
          <w:trHeight w:val="740"/>
          <w:tblHeader/>
          <w:jc w:val="center"/>
        </w:trPr>
        <w:tc>
          <w:tcPr>
            <w:tcW w:w="95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789B52" w14:textId="4F931701" w:rsidR="003B6BD9" w:rsidRDefault="009E25E8">
            <w:pPr>
              <w:pStyle w:val="P68B1DB1-Normal6"/>
              <w:spacing w:before="0" w:after="0" w:line="240" w:lineRule="auto"/>
              <w:jc w:val="center"/>
              <w:rPr>
                <w:rFonts w:eastAsia="Times New Roman"/>
                <w:noProof/>
              </w:rPr>
            </w:pPr>
            <w:r>
              <w:rPr>
                <w:noProof/>
              </w:rPr>
              <w:t>Et suivants Non.</w:t>
            </w:r>
          </w:p>
        </w:tc>
        <w:tc>
          <w:tcPr>
            <w:tcW w:w="184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EB6031" w14:textId="77777777" w:rsidR="003B6BD9" w:rsidRDefault="009E25E8">
            <w:pPr>
              <w:pStyle w:val="P68B1DB1-Normal6"/>
              <w:spacing w:before="0" w:after="0" w:line="240" w:lineRule="auto"/>
              <w:jc w:val="center"/>
              <w:rPr>
                <w:rFonts w:eastAsia="Times New Roman"/>
                <w:noProof/>
              </w:rPr>
            </w:pPr>
            <w:r>
              <w:rPr>
                <w:noProof/>
              </w:rPr>
              <w:t>Mesure connexe (réforme ou investissement)</w:t>
            </w:r>
          </w:p>
        </w:tc>
        <w:tc>
          <w:tcPr>
            <w:tcW w:w="10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D63BF9" w14:textId="1D06EBF6" w:rsidR="003B6BD9" w:rsidRDefault="009E25E8">
            <w:pPr>
              <w:pStyle w:val="P68B1DB1-Normal6"/>
              <w:spacing w:before="0" w:after="0" w:line="240" w:lineRule="auto"/>
              <w:jc w:val="center"/>
              <w:rPr>
                <w:rFonts w:eastAsia="Times New Roman"/>
                <w:noProof/>
              </w:rPr>
            </w:pPr>
            <w:r>
              <w:rPr>
                <w:noProof/>
              </w:rPr>
              <w:t>Étape/</w:t>
            </w:r>
            <w:r w:rsidR="00AC1D11">
              <w:rPr>
                <w:noProof/>
              </w:rPr>
              <w:br/>
            </w:r>
            <w:r>
              <w:rPr>
                <w:noProof/>
              </w:rPr>
              <w:t>Objectif</w:t>
            </w:r>
          </w:p>
        </w:tc>
        <w:tc>
          <w:tcPr>
            <w:tcW w:w="16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C7A92E" w14:textId="77777777" w:rsidR="003B6BD9" w:rsidRDefault="009E25E8">
            <w:pPr>
              <w:pStyle w:val="P68B1DB1-Normal6"/>
              <w:spacing w:before="0" w:after="0" w:line="240" w:lineRule="auto"/>
              <w:jc w:val="center"/>
              <w:rPr>
                <w:rFonts w:eastAsia="Times New Roman"/>
                <w:noProof/>
              </w:rPr>
            </w:pPr>
            <w:r>
              <w:rPr>
                <w:noProof/>
              </w:rPr>
              <w:t>Nom</w:t>
            </w:r>
          </w:p>
        </w:tc>
        <w:tc>
          <w:tcPr>
            <w:tcW w:w="147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B22EF1" w14:textId="10A6EC4D" w:rsidR="003B6BD9" w:rsidRDefault="009E25E8">
            <w:pPr>
              <w:pStyle w:val="P68B1DB1-Normal6"/>
              <w:spacing w:before="0" w:after="0" w:line="240" w:lineRule="auto"/>
              <w:jc w:val="center"/>
              <w:rPr>
                <w:rFonts w:eastAsia="Times New Roman"/>
                <w:noProof/>
              </w:rPr>
            </w:pPr>
            <w:r>
              <w:rPr>
                <w:noProof/>
              </w:rPr>
              <w:t>Indicateurs qualitatifs (pour les jalons)</w:t>
            </w:r>
          </w:p>
        </w:tc>
        <w:tc>
          <w:tcPr>
            <w:tcW w:w="353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5BF9650" w14:textId="6B22A7DC" w:rsidR="003B6BD9" w:rsidRDefault="009E25E8">
            <w:pPr>
              <w:pStyle w:val="P68B1DB1-Normal6"/>
              <w:spacing w:before="0" w:after="0" w:line="240" w:lineRule="auto"/>
              <w:jc w:val="center"/>
              <w:rPr>
                <w:rFonts w:eastAsia="Times New Roman"/>
                <w:noProof/>
              </w:rPr>
            </w:pPr>
            <w:r>
              <w:rPr>
                <w:noProof/>
              </w:rPr>
              <w:t>Indicateurs quantitatifs (pour les cibles)</w:t>
            </w:r>
          </w:p>
        </w:tc>
        <w:tc>
          <w:tcPr>
            <w:tcW w:w="206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1F64ED6" w14:textId="77777777" w:rsidR="003B6BD9" w:rsidRDefault="009E25E8">
            <w:pPr>
              <w:pStyle w:val="P68B1DB1-Normal6"/>
              <w:spacing w:before="0" w:after="0" w:line="240" w:lineRule="auto"/>
              <w:jc w:val="center"/>
              <w:rPr>
                <w:rFonts w:eastAsia="Times New Roman"/>
                <w:noProof/>
              </w:rPr>
            </w:pPr>
            <w:r>
              <w:rPr>
                <w:noProof/>
              </w:rPr>
              <w:t xml:space="preserve">Calendrier indicatif pour l’achèvement </w:t>
            </w:r>
          </w:p>
        </w:tc>
        <w:tc>
          <w:tcPr>
            <w:tcW w:w="30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3B1E11" w14:textId="77777777" w:rsidR="003B6BD9" w:rsidRDefault="009E25E8">
            <w:pPr>
              <w:pStyle w:val="P68B1DB1-Normal6"/>
              <w:spacing w:before="0" w:after="0" w:line="240" w:lineRule="auto"/>
              <w:jc w:val="center"/>
              <w:rPr>
                <w:rFonts w:eastAsia="Times New Roman"/>
                <w:noProof/>
              </w:rPr>
            </w:pPr>
            <w:r>
              <w:rPr>
                <w:noProof/>
              </w:rPr>
              <w:t>Description de chaque jalon et cible</w:t>
            </w:r>
          </w:p>
        </w:tc>
      </w:tr>
      <w:tr w:rsidR="003B6BD9" w14:paraId="0DA454AD" w14:textId="77777777" w:rsidTr="00AC1D11">
        <w:trPr>
          <w:trHeight w:val="751"/>
          <w:tblHeader/>
          <w:jc w:val="center"/>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6590FBB0" w14:textId="77777777" w:rsidR="003B6BD9" w:rsidRDefault="003B6BD9">
            <w:pPr>
              <w:spacing w:before="0" w:after="0" w:line="240" w:lineRule="auto"/>
              <w:rPr>
                <w:rFonts w:eastAsia="Times New Roman"/>
                <w:b/>
                <w:noProof/>
                <w:sz w:val="18"/>
                <w:szCs w:val="18"/>
              </w:rPr>
            </w:pPr>
          </w:p>
        </w:tc>
        <w:tc>
          <w:tcPr>
            <w:tcW w:w="1847" w:type="dxa"/>
            <w:vMerge/>
            <w:tcBorders>
              <w:top w:val="single" w:sz="4" w:space="0" w:color="auto"/>
              <w:left w:val="single" w:sz="4" w:space="0" w:color="auto"/>
              <w:bottom w:val="single" w:sz="4" w:space="0" w:color="auto"/>
              <w:right w:val="single" w:sz="4" w:space="0" w:color="auto"/>
            </w:tcBorders>
            <w:vAlign w:val="center"/>
            <w:hideMark/>
          </w:tcPr>
          <w:p w14:paraId="06146B67" w14:textId="77777777" w:rsidR="003B6BD9" w:rsidRDefault="003B6BD9">
            <w:pPr>
              <w:spacing w:before="0" w:after="0" w:line="240" w:lineRule="auto"/>
              <w:rPr>
                <w:rFonts w:eastAsia="Times New Roman"/>
                <w:b/>
                <w:noProof/>
                <w:sz w:val="18"/>
                <w:szCs w:val="18"/>
              </w:rPr>
            </w:pPr>
          </w:p>
        </w:tc>
        <w:tc>
          <w:tcPr>
            <w:tcW w:w="1033" w:type="dxa"/>
            <w:vMerge/>
            <w:tcBorders>
              <w:top w:val="single" w:sz="4" w:space="0" w:color="auto"/>
              <w:left w:val="single" w:sz="4" w:space="0" w:color="auto"/>
              <w:bottom w:val="single" w:sz="4" w:space="0" w:color="auto"/>
              <w:right w:val="single" w:sz="4" w:space="0" w:color="auto"/>
            </w:tcBorders>
            <w:vAlign w:val="center"/>
            <w:hideMark/>
          </w:tcPr>
          <w:p w14:paraId="58690770" w14:textId="77777777" w:rsidR="003B6BD9" w:rsidRDefault="003B6BD9">
            <w:pPr>
              <w:spacing w:before="0" w:after="0" w:line="240" w:lineRule="auto"/>
              <w:rPr>
                <w:rFonts w:eastAsia="Times New Roman"/>
                <w:b/>
                <w:noProof/>
                <w:sz w:val="18"/>
                <w:szCs w:val="18"/>
              </w:rPr>
            </w:pPr>
          </w:p>
        </w:tc>
        <w:tc>
          <w:tcPr>
            <w:tcW w:w="1638" w:type="dxa"/>
            <w:vMerge/>
            <w:tcBorders>
              <w:top w:val="single" w:sz="4" w:space="0" w:color="auto"/>
              <w:left w:val="single" w:sz="4" w:space="0" w:color="auto"/>
              <w:bottom w:val="single" w:sz="4" w:space="0" w:color="auto"/>
              <w:right w:val="single" w:sz="4" w:space="0" w:color="auto"/>
            </w:tcBorders>
            <w:vAlign w:val="center"/>
            <w:hideMark/>
          </w:tcPr>
          <w:p w14:paraId="504F364B" w14:textId="77777777" w:rsidR="003B6BD9" w:rsidRDefault="003B6BD9">
            <w:pPr>
              <w:spacing w:before="0" w:after="0" w:line="240" w:lineRule="auto"/>
              <w:rPr>
                <w:rFonts w:eastAsia="Times New Roman"/>
                <w:b/>
                <w:noProof/>
                <w:sz w:val="18"/>
                <w:szCs w:val="18"/>
              </w:rPr>
            </w:pPr>
          </w:p>
        </w:tc>
        <w:tc>
          <w:tcPr>
            <w:tcW w:w="1479" w:type="dxa"/>
            <w:vMerge/>
            <w:tcBorders>
              <w:top w:val="single" w:sz="4" w:space="0" w:color="auto"/>
              <w:left w:val="single" w:sz="4" w:space="0" w:color="auto"/>
              <w:bottom w:val="single" w:sz="4" w:space="0" w:color="auto"/>
              <w:right w:val="single" w:sz="4" w:space="0" w:color="auto"/>
            </w:tcBorders>
            <w:vAlign w:val="center"/>
            <w:hideMark/>
          </w:tcPr>
          <w:p w14:paraId="09E2B696" w14:textId="77777777" w:rsidR="003B6BD9" w:rsidRDefault="003B6BD9">
            <w:pPr>
              <w:spacing w:before="0" w:after="0" w:line="240" w:lineRule="auto"/>
              <w:rPr>
                <w:rFonts w:eastAsia="Times New Roman"/>
                <w:b/>
                <w:noProof/>
                <w:sz w:val="18"/>
                <w:szCs w:val="18"/>
              </w:rPr>
            </w:pPr>
          </w:p>
        </w:tc>
        <w:tc>
          <w:tcPr>
            <w:tcW w:w="147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9835C14" w14:textId="77777777" w:rsidR="003B6BD9" w:rsidRDefault="009E25E8">
            <w:pPr>
              <w:pStyle w:val="P68B1DB1-Normal6"/>
              <w:spacing w:before="0" w:after="0" w:line="240" w:lineRule="auto"/>
              <w:jc w:val="center"/>
              <w:rPr>
                <w:rFonts w:eastAsia="Times New Roman"/>
                <w:noProof/>
              </w:rPr>
            </w:pPr>
            <w:r>
              <w:rPr>
                <w:noProof/>
              </w:rPr>
              <w:t>Unité de mesure</w:t>
            </w:r>
          </w:p>
        </w:tc>
        <w:tc>
          <w:tcPr>
            <w:tcW w:w="10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F703EF6" w14:textId="77777777" w:rsidR="003B6BD9" w:rsidRDefault="009E25E8">
            <w:pPr>
              <w:pStyle w:val="P68B1DB1-Normal6"/>
              <w:spacing w:before="0" w:after="0" w:line="240" w:lineRule="auto"/>
              <w:jc w:val="center"/>
              <w:rPr>
                <w:rFonts w:eastAsia="Times New Roman"/>
                <w:noProof/>
              </w:rPr>
            </w:pPr>
            <w:r>
              <w:rPr>
                <w:noProof/>
              </w:rPr>
              <w:t xml:space="preserve">Niveau de référence </w:t>
            </w:r>
          </w:p>
        </w:tc>
        <w:tc>
          <w:tcPr>
            <w:tcW w:w="10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02C3916" w14:textId="77777777" w:rsidR="003B6BD9" w:rsidRDefault="009E25E8">
            <w:pPr>
              <w:pStyle w:val="P68B1DB1-Normal6"/>
              <w:spacing w:before="0" w:after="0" w:line="240" w:lineRule="auto"/>
              <w:jc w:val="center"/>
              <w:rPr>
                <w:rFonts w:eastAsia="Times New Roman"/>
                <w:noProof/>
              </w:rPr>
            </w:pPr>
            <w:r>
              <w:rPr>
                <w:noProof/>
              </w:rPr>
              <w:t xml:space="preserve">But </w:t>
            </w:r>
          </w:p>
        </w:tc>
        <w:tc>
          <w:tcPr>
            <w:tcW w:w="102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B96D30A" w14:textId="77777777" w:rsidR="003B6BD9" w:rsidRDefault="009E25E8">
            <w:pPr>
              <w:pStyle w:val="P68B1DB1-Normal6"/>
              <w:spacing w:before="0" w:after="0" w:line="240" w:lineRule="auto"/>
              <w:jc w:val="center"/>
              <w:rPr>
                <w:rFonts w:eastAsia="Times New Roman"/>
                <w:noProof/>
              </w:rPr>
            </w:pPr>
            <w:r>
              <w:rPr>
                <w:noProof/>
              </w:rPr>
              <w:t>Trimestre</w:t>
            </w:r>
          </w:p>
        </w:tc>
        <w:tc>
          <w:tcPr>
            <w:tcW w:w="103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42AFC80" w14:textId="77777777" w:rsidR="003B6BD9" w:rsidRDefault="009E25E8">
            <w:pPr>
              <w:pStyle w:val="P68B1DB1-Normal6"/>
              <w:spacing w:before="0" w:after="0" w:line="240" w:lineRule="auto"/>
              <w:jc w:val="center"/>
              <w:rPr>
                <w:rFonts w:eastAsia="Times New Roman"/>
                <w:noProof/>
              </w:rPr>
            </w:pPr>
            <w:r>
              <w:rPr>
                <w:noProof/>
              </w:rPr>
              <w:t>Année</w:t>
            </w:r>
          </w:p>
        </w:tc>
        <w:tc>
          <w:tcPr>
            <w:tcW w:w="3025" w:type="dxa"/>
            <w:vMerge/>
            <w:tcBorders>
              <w:top w:val="single" w:sz="4" w:space="0" w:color="auto"/>
              <w:bottom w:val="single" w:sz="4" w:space="0" w:color="auto"/>
              <w:right w:val="single" w:sz="4" w:space="0" w:color="auto"/>
            </w:tcBorders>
            <w:vAlign w:val="center"/>
            <w:hideMark/>
          </w:tcPr>
          <w:p w14:paraId="10259A7D" w14:textId="77777777" w:rsidR="003B6BD9" w:rsidRDefault="003B6BD9">
            <w:pPr>
              <w:spacing w:before="0" w:after="0" w:line="240" w:lineRule="auto"/>
              <w:rPr>
                <w:rFonts w:eastAsia="Times New Roman"/>
                <w:b/>
                <w:noProof/>
                <w:sz w:val="18"/>
                <w:szCs w:val="18"/>
              </w:rPr>
            </w:pPr>
          </w:p>
        </w:tc>
      </w:tr>
      <w:tr w:rsidR="003B6BD9" w14:paraId="47C96972" w14:textId="77777777" w:rsidTr="00AC1D11">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74512B37" w14:textId="01865CC4" w:rsidR="003B6BD9" w:rsidRDefault="009E25E8">
            <w:pPr>
              <w:pStyle w:val="P68B1DB1-Normal7"/>
              <w:spacing w:before="0" w:after="0" w:line="240" w:lineRule="auto"/>
              <w:rPr>
                <w:rFonts w:eastAsia="Times New Roman"/>
                <w:noProof/>
              </w:rPr>
            </w:pPr>
            <w:r>
              <w:rPr>
                <w:noProof/>
              </w:rPr>
              <w:t>27 bis</w:t>
            </w:r>
          </w:p>
        </w:tc>
        <w:tc>
          <w:tcPr>
            <w:tcW w:w="1847" w:type="dxa"/>
            <w:tcBorders>
              <w:top w:val="single" w:sz="4" w:space="0" w:color="auto"/>
              <w:left w:val="nil"/>
              <w:bottom w:val="single" w:sz="4" w:space="0" w:color="auto"/>
              <w:right w:val="single" w:sz="4" w:space="0" w:color="auto"/>
            </w:tcBorders>
            <w:shd w:val="clear" w:color="auto" w:fill="C6EFCE"/>
            <w:noWrap/>
          </w:tcPr>
          <w:p w14:paraId="68F3C9ED" w14:textId="06346812" w:rsidR="003B6BD9" w:rsidRDefault="009E25E8">
            <w:pPr>
              <w:pStyle w:val="P68B1DB1-Normal7"/>
              <w:spacing w:before="0" w:after="0" w:line="240" w:lineRule="auto"/>
              <w:rPr>
                <w:rFonts w:eastAsia="Times New Roman"/>
                <w:noProof/>
              </w:rPr>
            </w:pPr>
            <w:r>
              <w:rPr>
                <w:noProof/>
              </w:rPr>
              <w:t>B: Poursuite de la rénovation durable des bâtiments</w:t>
            </w:r>
          </w:p>
        </w:tc>
        <w:tc>
          <w:tcPr>
            <w:tcW w:w="1033" w:type="dxa"/>
            <w:tcBorders>
              <w:top w:val="single" w:sz="4" w:space="0" w:color="auto"/>
              <w:left w:val="nil"/>
              <w:bottom w:val="single" w:sz="4" w:space="0" w:color="auto"/>
              <w:right w:val="single" w:sz="4" w:space="0" w:color="auto"/>
            </w:tcBorders>
            <w:shd w:val="clear" w:color="auto" w:fill="C6EFCE"/>
            <w:noWrap/>
          </w:tcPr>
          <w:p w14:paraId="6B966721" w14:textId="54E671E4" w:rsidR="003B6BD9" w:rsidRDefault="009E25E8">
            <w:pPr>
              <w:pStyle w:val="P68B1DB1-Normal7"/>
              <w:spacing w:before="0" w:after="0" w:line="240" w:lineRule="auto"/>
              <w:rPr>
                <w:rFonts w:eastAsia="Times New Roman"/>
                <w:noProof/>
              </w:rPr>
            </w:pPr>
            <w:r>
              <w:rPr>
                <w:noProof/>
              </w:rPr>
              <w:t>Cible</w:t>
            </w:r>
          </w:p>
        </w:tc>
        <w:tc>
          <w:tcPr>
            <w:tcW w:w="1638" w:type="dxa"/>
            <w:tcBorders>
              <w:top w:val="single" w:sz="4" w:space="0" w:color="auto"/>
              <w:left w:val="nil"/>
              <w:bottom w:val="single" w:sz="4" w:space="0" w:color="auto"/>
              <w:right w:val="single" w:sz="4" w:space="0" w:color="auto"/>
            </w:tcBorders>
            <w:shd w:val="clear" w:color="auto" w:fill="C6EFCE"/>
            <w:noWrap/>
          </w:tcPr>
          <w:p w14:paraId="03FF5B9F" w14:textId="20AD5754" w:rsidR="003B6BD9" w:rsidRDefault="009E25E8">
            <w:pPr>
              <w:pStyle w:val="P68B1DB1-Normal7"/>
              <w:spacing w:before="0" w:after="0" w:line="240" w:lineRule="auto"/>
              <w:rPr>
                <w:rFonts w:eastAsia="Times New Roman"/>
                <w:noProof/>
              </w:rPr>
            </w:pPr>
            <w:r>
              <w:rPr>
                <w:noProof/>
              </w:rPr>
              <w:t xml:space="preserve">Rénovation de bâtiments </w:t>
            </w:r>
          </w:p>
        </w:tc>
        <w:tc>
          <w:tcPr>
            <w:tcW w:w="1479" w:type="dxa"/>
            <w:tcBorders>
              <w:top w:val="single" w:sz="4" w:space="0" w:color="auto"/>
              <w:left w:val="nil"/>
              <w:bottom w:val="single" w:sz="4" w:space="0" w:color="auto"/>
              <w:right w:val="single" w:sz="4" w:space="0" w:color="auto"/>
            </w:tcBorders>
            <w:shd w:val="clear" w:color="auto" w:fill="C6EFCE"/>
            <w:noWrap/>
          </w:tcPr>
          <w:p w14:paraId="766A9556" w14:textId="46A398E4" w:rsidR="003B6BD9" w:rsidRDefault="009E25E8">
            <w:pPr>
              <w:pStyle w:val="P68B1DB1-Normal7"/>
              <w:spacing w:before="0" w:after="0" w:line="240" w:lineRule="auto"/>
              <w:rPr>
                <w:rFonts w:eastAsia="Times New Roman"/>
                <w:noProof/>
              </w:rPr>
            </w:pPr>
            <w:r>
              <w:rPr>
                <w:noProof/>
              </w:rPr>
              <w:t> </w:t>
            </w:r>
          </w:p>
        </w:tc>
        <w:tc>
          <w:tcPr>
            <w:tcW w:w="1479" w:type="dxa"/>
            <w:tcBorders>
              <w:top w:val="single" w:sz="4" w:space="0" w:color="auto"/>
              <w:left w:val="nil"/>
              <w:bottom w:val="single" w:sz="4" w:space="0" w:color="auto"/>
              <w:right w:val="single" w:sz="4" w:space="0" w:color="auto"/>
            </w:tcBorders>
            <w:shd w:val="clear" w:color="auto" w:fill="C6EFCE"/>
            <w:noWrap/>
          </w:tcPr>
          <w:p w14:paraId="71EFF562" w14:textId="0D5692B5" w:rsidR="003B6BD9" w:rsidRDefault="009E25E8">
            <w:pPr>
              <w:pStyle w:val="P68B1DB1-Normal7"/>
              <w:spacing w:before="0" w:after="0" w:line="240" w:lineRule="auto"/>
              <w:rPr>
                <w:rFonts w:eastAsia="Times New Roman"/>
                <w:noProof/>
              </w:rPr>
            </w:pPr>
            <w:r>
              <w:rPr>
                <w:noProof/>
              </w:rPr>
              <w:t>Nombre (m²)</w:t>
            </w:r>
          </w:p>
        </w:tc>
        <w:tc>
          <w:tcPr>
            <w:tcW w:w="1026" w:type="dxa"/>
            <w:tcBorders>
              <w:top w:val="single" w:sz="4" w:space="0" w:color="auto"/>
              <w:left w:val="nil"/>
              <w:bottom w:val="single" w:sz="4" w:space="0" w:color="auto"/>
              <w:right w:val="single" w:sz="4" w:space="0" w:color="auto"/>
            </w:tcBorders>
            <w:shd w:val="clear" w:color="auto" w:fill="C6EFCE"/>
            <w:noWrap/>
          </w:tcPr>
          <w:p w14:paraId="1DA5953C" w14:textId="70E4C26F" w:rsidR="003B6BD9" w:rsidRDefault="009E25E8">
            <w:pPr>
              <w:pStyle w:val="P68B1DB1-Normal7"/>
              <w:spacing w:before="0" w:after="0" w:line="240" w:lineRule="auto"/>
              <w:rPr>
                <w:rFonts w:eastAsia="Times New Roman"/>
                <w:noProof/>
              </w:rPr>
            </w:pPr>
            <w:r>
              <w:rPr>
                <w:noProof/>
              </w:rPr>
              <w:t>0</w:t>
            </w:r>
          </w:p>
        </w:tc>
        <w:tc>
          <w:tcPr>
            <w:tcW w:w="1026" w:type="dxa"/>
            <w:tcBorders>
              <w:top w:val="single" w:sz="4" w:space="0" w:color="auto"/>
              <w:left w:val="nil"/>
              <w:bottom w:val="single" w:sz="4" w:space="0" w:color="auto"/>
              <w:right w:val="single" w:sz="4" w:space="0" w:color="auto"/>
            </w:tcBorders>
            <w:shd w:val="clear" w:color="auto" w:fill="C6EFCE"/>
            <w:noWrap/>
          </w:tcPr>
          <w:p w14:paraId="745AD02C" w14:textId="085E212F" w:rsidR="003B6BD9" w:rsidRDefault="009E25E8">
            <w:pPr>
              <w:pStyle w:val="P68B1DB1-Normal7"/>
              <w:spacing w:before="0" w:after="0" w:line="240" w:lineRule="auto"/>
              <w:rPr>
                <w:rFonts w:eastAsia="Times New Roman"/>
                <w:noProof/>
              </w:rPr>
            </w:pPr>
            <w:r>
              <w:rPr>
                <w:noProof/>
              </w:rPr>
              <w:t>21 398</w:t>
            </w:r>
          </w:p>
        </w:tc>
        <w:tc>
          <w:tcPr>
            <w:tcW w:w="1027" w:type="dxa"/>
            <w:tcBorders>
              <w:top w:val="single" w:sz="4" w:space="0" w:color="auto"/>
              <w:left w:val="nil"/>
              <w:bottom w:val="single" w:sz="4" w:space="0" w:color="auto"/>
              <w:right w:val="single" w:sz="4" w:space="0" w:color="auto"/>
            </w:tcBorders>
            <w:shd w:val="clear" w:color="auto" w:fill="C6EFCE"/>
            <w:noWrap/>
          </w:tcPr>
          <w:p w14:paraId="5AF11CB9" w14:textId="0B190652" w:rsidR="003B6BD9" w:rsidRDefault="009E25E8">
            <w:pPr>
              <w:pStyle w:val="P68B1DB1-Normal7"/>
              <w:spacing w:before="0" w:after="0" w:line="240" w:lineRule="auto"/>
              <w:rPr>
                <w:rFonts w:eastAsia="Times New Roman"/>
                <w:noProof/>
              </w:rPr>
            </w:pPr>
            <w:r>
              <w:rPr>
                <w:noProof/>
              </w:rPr>
              <w:t>T2</w:t>
            </w:r>
          </w:p>
        </w:tc>
        <w:tc>
          <w:tcPr>
            <w:tcW w:w="1033" w:type="dxa"/>
            <w:tcBorders>
              <w:top w:val="single" w:sz="4" w:space="0" w:color="auto"/>
              <w:left w:val="nil"/>
              <w:bottom w:val="single" w:sz="4" w:space="0" w:color="auto"/>
              <w:right w:val="single" w:sz="4" w:space="0" w:color="auto"/>
            </w:tcBorders>
            <w:shd w:val="clear" w:color="auto" w:fill="C6EFCE"/>
            <w:noWrap/>
          </w:tcPr>
          <w:p w14:paraId="6EE7BF0B" w14:textId="2B9D9F87" w:rsidR="003B6BD9" w:rsidRDefault="009E25E8">
            <w:pPr>
              <w:pStyle w:val="P68B1DB1-Normal7"/>
              <w:spacing w:before="0" w:after="0" w:line="240" w:lineRule="auto"/>
              <w:rPr>
                <w:rFonts w:eastAsia="Times New Roman"/>
                <w:noProof/>
              </w:rPr>
            </w:pPr>
            <w:r>
              <w:rPr>
                <w:noProof/>
              </w:rPr>
              <w:t>2026</w:t>
            </w:r>
          </w:p>
        </w:tc>
        <w:tc>
          <w:tcPr>
            <w:tcW w:w="3025" w:type="dxa"/>
            <w:tcBorders>
              <w:top w:val="single" w:sz="4" w:space="0" w:color="auto"/>
              <w:left w:val="nil"/>
              <w:bottom w:val="single" w:sz="4" w:space="0" w:color="auto"/>
              <w:right w:val="single" w:sz="4" w:space="0" w:color="auto"/>
            </w:tcBorders>
            <w:shd w:val="clear" w:color="auto" w:fill="C6EFCE"/>
            <w:noWrap/>
          </w:tcPr>
          <w:p w14:paraId="4B990108" w14:textId="0B209834" w:rsidR="003B6BD9" w:rsidRDefault="009E25E8">
            <w:pPr>
              <w:pStyle w:val="P68B1DB1-Normal7"/>
              <w:spacing w:before="0" w:after="0" w:line="240" w:lineRule="auto"/>
              <w:rPr>
                <w:noProof/>
              </w:rPr>
            </w:pPr>
            <w:r>
              <w:rPr>
                <w:noProof/>
              </w:rPr>
              <w:t>Bâtiments rénovés.</w:t>
            </w:r>
          </w:p>
        </w:tc>
      </w:tr>
      <w:tr w:rsidR="003B6BD9" w14:paraId="3649E9D4" w14:textId="77777777" w:rsidTr="00AC1D11">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0963348B" w14:textId="5B75290E" w:rsidR="003B6BD9" w:rsidRDefault="009E25E8">
            <w:pPr>
              <w:pStyle w:val="P68B1DB1-Normal7"/>
              <w:spacing w:before="0" w:after="0" w:line="240" w:lineRule="auto"/>
              <w:rPr>
                <w:rFonts w:eastAsia="Times New Roman"/>
                <w:noProof/>
              </w:rPr>
            </w:pPr>
            <w:r>
              <w:rPr>
                <w:noProof/>
              </w:rPr>
              <w:t>27ter</w:t>
            </w:r>
          </w:p>
        </w:tc>
        <w:tc>
          <w:tcPr>
            <w:tcW w:w="1847" w:type="dxa"/>
            <w:tcBorders>
              <w:top w:val="single" w:sz="4" w:space="0" w:color="auto"/>
              <w:left w:val="nil"/>
              <w:bottom w:val="single" w:sz="4" w:space="0" w:color="auto"/>
              <w:right w:val="single" w:sz="4" w:space="0" w:color="auto"/>
            </w:tcBorders>
            <w:shd w:val="clear" w:color="auto" w:fill="C6EFCE"/>
            <w:noWrap/>
          </w:tcPr>
          <w:p w14:paraId="3DE3702B" w14:textId="38B4D2FB" w:rsidR="003B6BD9" w:rsidRDefault="009E25E8">
            <w:pPr>
              <w:pStyle w:val="P68B1DB1-Normal7"/>
              <w:spacing w:before="0" w:after="0" w:line="240" w:lineRule="auto"/>
              <w:rPr>
                <w:rFonts w:eastAsia="Times New Roman"/>
                <w:noProof/>
              </w:rPr>
            </w:pPr>
            <w:r>
              <w:rPr>
                <w:noProof/>
              </w:rPr>
              <w:t>B: Poursuite de la rénovation durable des bâtiments</w:t>
            </w:r>
          </w:p>
        </w:tc>
        <w:tc>
          <w:tcPr>
            <w:tcW w:w="1033" w:type="dxa"/>
            <w:tcBorders>
              <w:top w:val="single" w:sz="4" w:space="0" w:color="auto"/>
              <w:left w:val="nil"/>
              <w:bottom w:val="single" w:sz="4" w:space="0" w:color="auto"/>
              <w:right w:val="single" w:sz="4" w:space="0" w:color="auto"/>
            </w:tcBorders>
            <w:shd w:val="clear" w:color="auto" w:fill="C6EFCE"/>
            <w:noWrap/>
          </w:tcPr>
          <w:p w14:paraId="5952F9E3" w14:textId="0C0EB94F" w:rsidR="003B6BD9" w:rsidRDefault="009E25E8">
            <w:pPr>
              <w:pStyle w:val="P68B1DB1-Normal7"/>
              <w:spacing w:before="0" w:after="0" w:line="240" w:lineRule="auto"/>
              <w:rPr>
                <w:rFonts w:eastAsia="Times New Roman"/>
                <w:noProof/>
              </w:rPr>
            </w:pPr>
            <w:r>
              <w:rPr>
                <w:noProof/>
              </w:rPr>
              <w:t>Cible</w:t>
            </w:r>
          </w:p>
        </w:tc>
        <w:tc>
          <w:tcPr>
            <w:tcW w:w="1638" w:type="dxa"/>
            <w:tcBorders>
              <w:top w:val="single" w:sz="4" w:space="0" w:color="auto"/>
              <w:left w:val="nil"/>
              <w:bottom w:val="single" w:sz="4" w:space="0" w:color="auto"/>
              <w:right w:val="single" w:sz="4" w:space="0" w:color="auto"/>
            </w:tcBorders>
            <w:shd w:val="clear" w:color="auto" w:fill="C6EFCE"/>
            <w:noWrap/>
          </w:tcPr>
          <w:p w14:paraId="5F495241" w14:textId="7C1AB582" w:rsidR="003B6BD9" w:rsidRDefault="009E25E8">
            <w:pPr>
              <w:pStyle w:val="P68B1DB1-Normal7"/>
              <w:spacing w:before="0" w:after="0" w:line="240" w:lineRule="auto"/>
              <w:rPr>
                <w:rFonts w:eastAsia="Times New Roman"/>
                <w:noProof/>
              </w:rPr>
            </w:pPr>
            <w:r>
              <w:rPr>
                <w:noProof/>
              </w:rPr>
              <w:t xml:space="preserve">Mise à niveau des systèmes techniques de bâtiment </w:t>
            </w:r>
          </w:p>
        </w:tc>
        <w:tc>
          <w:tcPr>
            <w:tcW w:w="1479" w:type="dxa"/>
            <w:tcBorders>
              <w:top w:val="single" w:sz="4" w:space="0" w:color="auto"/>
              <w:left w:val="nil"/>
              <w:bottom w:val="single" w:sz="4" w:space="0" w:color="auto"/>
              <w:right w:val="single" w:sz="4" w:space="0" w:color="auto"/>
            </w:tcBorders>
            <w:shd w:val="clear" w:color="auto" w:fill="C6EFCE"/>
            <w:noWrap/>
          </w:tcPr>
          <w:p w14:paraId="1AE56AD2" w14:textId="7510EDD8" w:rsidR="003B6BD9" w:rsidRDefault="009E25E8">
            <w:pPr>
              <w:pStyle w:val="P68B1DB1-Normal7"/>
              <w:spacing w:before="0" w:after="0" w:line="240" w:lineRule="auto"/>
              <w:rPr>
                <w:rFonts w:eastAsia="Times New Roman"/>
                <w:noProof/>
              </w:rPr>
            </w:pPr>
            <w:r>
              <w:rPr>
                <w:noProof/>
              </w:rPr>
              <w:t> </w:t>
            </w:r>
          </w:p>
        </w:tc>
        <w:tc>
          <w:tcPr>
            <w:tcW w:w="1479" w:type="dxa"/>
            <w:tcBorders>
              <w:top w:val="single" w:sz="4" w:space="0" w:color="auto"/>
              <w:left w:val="nil"/>
              <w:bottom w:val="single" w:sz="4" w:space="0" w:color="auto"/>
              <w:right w:val="single" w:sz="4" w:space="0" w:color="auto"/>
            </w:tcBorders>
            <w:shd w:val="clear" w:color="auto" w:fill="C6EFCE"/>
            <w:noWrap/>
          </w:tcPr>
          <w:p w14:paraId="6E3FC0A5" w14:textId="7C7BB491" w:rsidR="003B6BD9" w:rsidRDefault="009E25E8">
            <w:pPr>
              <w:pStyle w:val="P68B1DB1-Normal7"/>
              <w:spacing w:before="0" w:after="0" w:line="240" w:lineRule="auto"/>
              <w:rPr>
                <w:rFonts w:eastAsia="Times New Roman"/>
                <w:noProof/>
              </w:rPr>
            </w:pPr>
            <w:r>
              <w:rPr>
                <w:noProof/>
              </w:rPr>
              <w:t>Nombre (m²)</w:t>
            </w:r>
          </w:p>
        </w:tc>
        <w:tc>
          <w:tcPr>
            <w:tcW w:w="1026" w:type="dxa"/>
            <w:tcBorders>
              <w:top w:val="single" w:sz="4" w:space="0" w:color="auto"/>
              <w:left w:val="nil"/>
              <w:bottom w:val="single" w:sz="4" w:space="0" w:color="auto"/>
              <w:right w:val="single" w:sz="4" w:space="0" w:color="auto"/>
            </w:tcBorders>
            <w:shd w:val="clear" w:color="auto" w:fill="C6EFCE"/>
            <w:noWrap/>
          </w:tcPr>
          <w:p w14:paraId="1ECE694A" w14:textId="73B70410" w:rsidR="003B6BD9" w:rsidRDefault="009E25E8">
            <w:pPr>
              <w:pStyle w:val="P68B1DB1-Normal7"/>
              <w:spacing w:before="0" w:after="0" w:line="240" w:lineRule="auto"/>
              <w:rPr>
                <w:rFonts w:eastAsia="Times New Roman"/>
                <w:noProof/>
              </w:rPr>
            </w:pPr>
            <w:r>
              <w:rPr>
                <w:noProof/>
              </w:rPr>
              <w:t>0</w:t>
            </w:r>
          </w:p>
        </w:tc>
        <w:tc>
          <w:tcPr>
            <w:tcW w:w="1026" w:type="dxa"/>
            <w:tcBorders>
              <w:top w:val="single" w:sz="4" w:space="0" w:color="auto"/>
              <w:left w:val="nil"/>
              <w:bottom w:val="single" w:sz="4" w:space="0" w:color="auto"/>
              <w:right w:val="single" w:sz="4" w:space="0" w:color="auto"/>
            </w:tcBorders>
            <w:shd w:val="clear" w:color="auto" w:fill="C6EFCE"/>
            <w:noWrap/>
          </w:tcPr>
          <w:p w14:paraId="6FA9EC5C" w14:textId="67B69C7D" w:rsidR="003B6BD9" w:rsidRDefault="009E25E8">
            <w:pPr>
              <w:pStyle w:val="P68B1DB1-Normal7"/>
              <w:spacing w:before="0" w:after="0" w:line="240" w:lineRule="auto"/>
              <w:rPr>
                <w:rFonts w:eastAsia="Times New Roman"/>
                <w:noProof/>
              </w:rPr>
            </w:pPr>
            <w:r>
              <w:rPr>
                <w:noProof/>
              </w:rPr>
              <w:t>8 965</w:t>
            </w:r>
          </w:p>
        </w:tc>
        <w:tc>
          <w:tcPr>
            <w:tcW w:w="1027" w:type="dxa"/>
            <w:tcBorders>
              <w:top w:val="single" w:sz="4" w:space="0" w:color="auto"/>
              <w:left w:val="nil"/>
              <w:bottom w:val="single" w:sz="4" w:space="0" w:color="auto"/>
              <w:right w:val="single" w:sz="4" w:space="0" w:color="auto"/>
            </w:tcBorders>
            <w:shd w:val="clear" w:color="auto" w:fill="C6EFCE"/>
            <w:noWrap/>
          </w:tcPr>
          <w:p w14:paraId="64DD7344" w14:textId="2DB49A19" w:rsidR="003B6BD9" w:rsidRDefault="009E25E8">
            <w:pPr>
              <w:pStyle w:val="P68B1DB1-Normal7"/>
              <w:spacing w:before="0" w:after="0" w:line="240" w:lineRule="auto"/>
              <w:rPr>
                <w:rFonts w:eastAsia="Times New Roman"/>
                <w:noProof/>
              </w:rPr>
            </w:pPr>
            <w:r>
              <w:rPr>
                <w:noProof/>
              </w:rPr>
              <w:t>T2</w:t>
            </w:r>
          </w:p>
        </w:tc>
        <w:tc>
          <w:tcPr>
            <w:tcW w:w="1033" w:type="dxa"/>
            <w:tcBorders>
              <w:top w:val="single" w:sz="4" w:space="0" w:color="auto"/>
              <w:left w:val="nil"/>
              <w:bottom w:val="single" w:sz="4" w:space="0" w:color="auto"/>
              <w:right w:val="single" w:sz="4" w:space="0" w:color="auto"/>
            </w:tcBorders>
            <w:shd w:val="clear" w:color="auto" w:fill="C6EFCE"/>
            <w:noWrap/>
          </w:tcPr>
          <w:p w14:paraId="1E9BDCA2" w14:textId="04887B44" w:rsidR="003B6BD9" w:rsidRDefault="009E25E8">
            <w:pPr>
              <w:pStyle w:val="P68B1DB1-Normal7"/>
              <w:spacing w:before="0" w:after="0" w:line="240" w:lineRule="auto"/>
              <w:rPr>
                <w:rFonts w:eastAsia="Times New Roman"/>
                <w:noProof/>
              </w:rPr>
            </w:pPr>
            <w:r>
              <w:rPr>
                <w:noProof/>
              </w:rPr>
              <w:t>2026</w:t>
            </w:r>
          </w:p>
        </w:tc>
        <w:tc>
          <w:tcPr>
            <w:tcW w:w="3025" w:type="dxa"/>
            <w:tcBorders>
              <w:top w:val="single" w:sz="4" w:space="0" w:color="auto"/>
              <w:left w:val="nil"/>
              <w:bottom w:val="single" w:sz="4" w:space="0" w:color="auto"/>
              <w:right w:val="single" w:sz="4" w:space="0" w:color="auto"/>
            </w:tcBorders>
            <w:shd w:val="clear" w:color="auto" w:fill="C6EFCE"/>
            <w:noWrap/>
          </w:tcPr>
          <w:p w14:paraId="5C6C0007" w14:textId="160B9A52" w:rsidR="003B6BD9" w:rsidRDefault="009E25E8">
            <w:pPr>
              <w:pStyle w:val="P68B1DB1-Normal7"/>
              <w:spacing w:before="0" w:after="0" w:line="240" w:lineRule="auto"/>
              <w:rPr>
                <w:rFonts w:eastAsia="Times New Roman"/>
                <w:noProof/>
              </w:rPr>
            </w:pPr>
            <w:r>
              <w:rPr>
                <w:noProof/>
              </w:rPr>
              <w:t>Les systèmes techniques de bâtiment, par exemple les systèmes de climatisation, de refroidissement et/ou de ventilation, ont été modernisés.</w:t>
            </w:r>
          </w:p>
        </w:tc>
      </w:tr>
    </w:tbl>
    <w:p w14:paraId="40DC7724" w14:textId="60A22CA9" w:rsidR="003B6BD9" w:rsidRDefault="003B6BD9">
      <w:pPr>
        <w:keepNext/>
        <w:tabs>
          <w:tab w:val="left" w:pos="850"/>
        </w:tabs>
        <w:spacing w:line="240" w:lineRule="auto"/>
        <w:ind w:left="850" w:hanging="850"/>
        <w:jc w:val="both"/>
        <w:outlineLvl w:val="0"/>
        <w:rPr>
          <w:b/>
          <w:smallCaps/>
          <w:noProof/>
        </w:rPr>
        <w:sectPr w:rsidR="003B6BD9" w:rsidSect="00660538">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26"/>
        </w:sectPr>
      </w:pPr>
    </w:p>
    <w:p w14:paraId="5E815776" w14:textId="16267554" w:rsidR="003B6BD9" w:rsidRDefault="009E25E8">
      <w:pPr>
        <w:pStyle w:val="P68B1DB1-Normal3"/>
        <w:keepNext/>
        <w:tabs>
          <w:tab w:val="left" w:pos="850"/>
        </w:tabs>
        <w:spacing w:line="240" w:lineRule="auto"/>
        <w:ind w:left="850" w:hanging="850"/>
        <w:jc w:val="both"/>
        <w:outlineLvl w:val="0"/>
        <w:rPr>
          <w:noProof/>
        </w:rPr>
      </w:pPr>
      <w:r>
        <w:rPr>
          <w:noProof/>
        </w:rPr>
        <w:t>C. VOLET 3: ENVIRONNEMENT PROPRE ET SÛR</w:t>
      </w:r>
    </w:p>
    <w:p w14:paraId="2305352B" w14:textId="77777777" w:rsidR="003B6BD9" w:rsidRDefault="009E25E8">
      <w:pPr>
        <w:spacing w:line="240" w:lineRule="auto"/>
        <w:jc w:val="both"/>
        <w:rPr>
          <w:noProof/>
        </w:rPr>
      </w:pPr>
      <w:r>
        <w:rPr>
          <w:noProof/>
        </w:rPr>
        <w:t xml:space="preserve">La Slovénie est confrontée à d’importants besoins d’investissement en matière de protection contre les catastrophes dues au changement climatique en raison de la tendance croissante aux phénomènes météorologiques extrêmes et en particulier aux inondations. Ces catastrophes liées au changement climatique mettent en péril la part importante de la population slovène vivant dans des zones exposées à d’importants risques d’inondation et causent des dommages économiques importants. </w:t>
      </w:r>
    </w:p>
    <w:p w14:paraId="19D56A4C" w14:textId="77777777" w:rsidR="003B6BD9" w:rsidRDefault="009E25E8">
      <w:pPr>
        <w:spacing w:line="240" w:lineRule="auto"/>
        <w:jc w:val="both"/>
        <w:rPr>
          <w:noProof/>
        </w:rPr>
      </w:pPr>
      <w:r>
        <w:rPr>
          <w:noProof/>
        </w:rPr>
        <w:t xml:space="preserve">En outre, les pertes d’eau restent supérieures à la moyenne de l’UE. Ces fuites constituent un gaspillage des eaux de surface et souterraines et entraînent une augmentation de la consommation d’énergie à des fins de traitement et de distribution de l’eau. Elles entraînent également des risques accrus de contamination de l’eau. </w:t>
      </w:r>
    </w:p>
    <w:p w14:paraId="2B5B9783" w14:textId="7DFFCB26" w:rsidR="003B6BD9" w:rsidRDefault="009E25E8">
      <w:pPr>
        <w:spacing w:line="240" w:lineRule="auto"/>
        <w:jc w:val="both"/>
        <w:rPr>
          <w:noProof/>
        </w:rPr>
      </w:pPr>
      <w:r>
        <w:rPr>
          <w:noProof/>
        </w:rPr>
        <w:t>L’objectif de ce volet du plan slovène pour la reprise et la résilience est de mettre en œuvre une approche coordonnée en matière de prévention, de préparation, de réaction et de rétablissement en cas de catastrophes naturelles liées au climat, notamment en améliorant les infrastructures et l’organisation, la recherche, la sensibilisation et les formations connexes. Ce volet vise également à améliorer la gestion de l’eau.</w:t>
      </w:r>
    </w:p>
    <w:p w14:paraId="73D05561" w14:textId="77777777" w:rsidR="003B6BD9" w:rsidRDefault="009E25E8">
      <w:pPr>
        <w:spacing w:line="240" w:lineRule="auto"/>
        <w:jc w:val="both"/>
        <w:rPr>
          <w:noProof/>
        </w:rPr>
      </w:pPr>
      <w:r>
        <w:rPr>
          <w:noProof/>
        </w:rPr>
        <w:t>Ces investissements et réformes contribuent aux recommandations par pays adressées à la Slovénie au cours des deux dernières années visant à «axer la politique économique liée aux investissements sur [...] la transition énergétique et vers une économie à faible intensité de carbone (recommandations par pays no 3 et 2019) et à mettre l’accent sur les investissements en faveur de la transition écologique [...], en particulier en ce qui concerne la production et l’utilisation propres et efficaces de l’énergie et les infrastructures environnementales» (recommandations par pays no 3 et 2020).</w:t>
      </w:r>
    </w:p>
    <w:p w14:paraId="1A684D72" w14:textId="77777777" w:rsidR="003B6BD9" w:rsidRDefault="009E25E8">
      <w:pPr>
        <w:spacing w:line="240" w:lineRule="auto"/>
        <w:jc w:val="both"/>
        <w:rPr>
          <w:noProof/>
        </w:rPr>
      </w:pPr>
      <w:r>
        <w:rPr>
          <w:noProof/>
        </w:rPr>
        <w:t>Cette composante contribue à la préservation de l’environnement et à l’adaptation au changement climatique, renforçant ainsi la résilience écologique, sociale et économique.</w:t>
      </w:r>
    </w:p>
    <w:p w14:paraId="2E6FD4C6" w14:textId="59216445" w:rsidR="003B6BD9" w:rsidRDefault="009E25E8">
      <w:pPr>
        <w:spacing w:line="240" w:lineRule="auto"/>
        <w:jc w:val="both"/>
        <w:rPr>
          <w:noProof/>
        </w:rPr>
      </w:pPr>
      <w:r>
        <w:rPr>
          <w:noProof/>
        </w:rPr>
        <w:t xml:space="preserve">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 </w:t>
      </w:r>
    </w:p>
    <w:p w14:paraId="134278EA" w14:textId="58E650B6" w:rsidR="003B6BD9" w:rsidRDefault="009E25E8">
      <w:pPr>
        <w:pStyle w:val="P68B1DB1-Normal4"/>
        <w:spacing w:line="240" w:lineRule="auto"/>
        <w:jc w:val="both"/>
        <w:rPr>
          <w:bCs/>
          <w:i/>
          <w:iCs/>
          <w:noProof/>
          <w:color w:val="4F81BD"/>
        </w:rPr>
      </w:pPr>
      <w:r>
        <w:rPr>
          <w:noProof/>
        </w:rPr>
        <w:t>C.1. Description des réformes et des investissements pour le soutien financier non remboursable</w:t>
      </w:r>
    </w:p>
    <w:p w14:paraId="78255955" w14:textId="77777777" w:rsidR="003B6BD9" w:rsidRDefault="009E25E8">
      <w:pPr>
        <w:pStyle w:val="P68B1DB1-Normal5"/>
        <w:spacing w:line="240" w:lineRule="auto"/>
        <w:jc w:val="both"/>
        <w:rPr>
          <w:noProof/>
        </w:rPr>
      </w:pPr>
      <w:r>
        <w:rPr>
          <w:noProof/>
        </w:rPr>
        <w:t>Réforme A. Renforcer la préparation et la réaction en cas de catastrophes climatiques</w:t>
      </w:r>
    </w:p>
    <w:p w14:paraId="4BE11826" w14:textId="318573E0" w:rsidR="003B6BD9" w:rsidRDefault="009E25E8">
      <w:pPr>
        <w:spacing w:line="240" w:lineRule="auto"/>
        <w:jc w:val="both"/>
        <w:rPr>
          <w:noProof/>
        </w:rPr>
      </w:pPr>
      <w:r>
        <w:rPr>
          <w:noProof/>
        </w:rPr>
        <w:t xml:space="preserve">La réforme définit l’organisation et la réaction aux catastrophes liées au climat par la création d’unités de réaction modulaires spécialisées et formées pour réagir aux catastrophes liées au climat aux niveaux national, régional et local, tout en redéfinissant le rôle des unités existantes. La structure s’attaque aux catastrophes liées au climat qui représentent le risque le plus élevé pour la Slovénie, telles que les inondations et les incendies de forêt de grande ampleur. </w:t>
      </w:r>
    </w:p>
    <w:p w14:paraId="156856D4" w14:textId="554F9C26" w:rsidR="003B6BD9" w:rsidRDefault="009E25E8">
      <w:pPr>
        <w:spacing w:line="240" w:lineRule="auto"/>
        <w:jc w:val="both"/>
        <w:rPr>
          <w:noProof/>
        </w:rPr>
      </w:pPr>
      <w:r>
        <w:rPr>
          <w:noProof/>
        </w:rPr>
        <w:t xml:space="preserve">La réforme est mise en œuvre par l’entrée en vigueur d’une nouvelle résolution sur le programme national de protection contre les catastrophes naturelles et autres au plus tard le 31 décembre 2023. D’ici au 30 juin 2026, l’ensemble du territoire de la Slovénie et l’ensemble de la population, en accordant une attention particulière aux groupes vulnérables, devraient être couverts par la nouvelle structure organisationnelle. </w:t>
      </w:r>
    </w:p>
    <w:p w14:paraId="5ED7C181" w14:textId="371C94C3" w:rsidR="003B6BD9" w:rsidRDefault="009E25E8">
      <w:pPr>
        <w:pStyle w:val="P68B1DB1-Normal5"/>
        <w:spacing w:line="240" w:lineRule="auto"/>
        <w:jc w:val="both"/>
        <w:rPr>
          <w:noProof/>
        </w:rPr>
      </w:pPr>
      <w:r>
        <w:rPr>
          <w:noProof/>
        </w:rPr>
        <w:t xml:space="preserve">Réforme C. </w:t>
      </w:r>
      <w:bookmarkStart w:id="6" w:name="_Hlk143249439"/>
      <w:r>
        <w:rPr>
          <w:noProof/>
        </w:rPr>
        <w:t xml:space="preserve">Restaurer et atténuer les effets du changement climatique et des catastrophes liées au climat sur la biodiversité </w:t>
      </w:r>
      <w:bookmarkEnd w:id="6"/>
      <w:r>
        <w:rPr>
          <w:noProof/>
        </w:rPr>
        <w:t>forestière résiliente</w:t>
      </w:r>
    </w:p>
    <w:p w14:paraId="6F7E70F5" w14:textId="5BE69D82" w:rsidR="003B6BD9" w:rsidRDefault="009E25E8">
      <w:pPr>
        <w:spacing w:line="240" w:lineRule="auto"/>
        <w:jc w:val="both"/>
        <w:rPr>
          <w:noProof/>
        </w:rPr>
      </w:pPr>
      <w:r>
        <w:rPr>
          <w:noProof/>
        </w:rPr>
        <w:t xml:space="preserve">La réforme relative à la protection et à la restauration des forêts répond aux recommandations de la Commission concernant le plan stratégique relevant de la politique agricole commune de la Slovénie [SWD (2020) 394] en réduisant le risque d’introduction et de propagation d’organismes nuisibles aux forêts pendant la restauration des forêts et en assurant une supervision par des experts grâce à un suivi transparent de l’origine et de la diversité génétique du matériel forestier de reproduction, qui permet aux futures forêts de s’adapter à l’évolution de l’environnement, notamment en préservant la santé et l’adaptabilité des forêts aux changements climatiques. </w:t>
      </w:r>
    </w:p>
    <w:p w14:paraId="7F5EA9BA" w14:textId="6E0FCED3" w:rsidR="003B6BD9" w:rsidRDefault="009E25E8">
      <w:pPr>
        <w:spacing w:line="240" w:lineRule="auto"/>
        <w:jc w:val="both"/>
        <w:rPr>
          <w:noProof/>
        </w:rPr>
      </w:pPr>
      <w:r>
        <w:rPr>
          <w:noProof/>
        </w:rPr>
        <w:t xml:space="preserve">La réforme contribue à la réalisation d’un bon état des habitats et des espèces liés aux forêts afin d’améliorer les services écologiques et la biodiversité et de renforcer la résilience face aux menaces telles que les effets du changement climatique sur les forêts. </w:t>
      </w:r>
    </w:p>
    <w:p w14:paraId="005083FF" w14:textId="77777777" w:rsidR="003B6BD9" w:rsidRDefault="009E25E8">
      <w:pPr>
        <w:spacing w:line="240" w:lineRule="auto"/>
        <w:jc w:val="both"/>
        <w:rPr>
          <w:noProof/>
        </w:rPr>
      </w:pPr>
      <w:r>
        <w:rPr>
          <w:noProof/>
        </w:rPr>
        <w:t>Les règles relatives aux conditions d’inscription au registre des fournisseurs et aux autres obligations pertinentes des fournisseurs ainsi qu’aux exigences applicables à la commercialisation des matériels forestiers de reproduction sont modifiées afin de garantir la qualité appropriée des matériels forestiers de reproduction. Les règles relatives aux certificats pour les matériels forestiers de reproduction sont modifiées afin d’améliorer le suivi et la surveillance par des experts.</w:t>
      </w:r>
    </w:p>
    <w:p w14:paraId="05F8A8E3" w14:textId="77777777" w:rsidR="003B6BD9" w:rsidRDefault="009E25E8">
      <w:pPr>
        <w:spacing w:line="240" w:lineRule="auto"/>
        <w:jc w:val="both"/>
        <w:rPr>
          <w:noProof/>
        </w:rPr>
      </w:pPr>
      <w:r>
        <w:rPr>
          <w:noProof/>
        </w:rPr>
        <w:t>La réforme est mise en œuvre par le ministère de l’agriculture, des forêts et de l’alimentation, au moyen de modifications des règles relatives aux conditions d’inscription au registre des fournisseurs et aux autres obligations des fournisseurs ainsi qu’aux exigences applicables à la commercialisation des matériels forestiers de reproduction, au plus tard le 31 décembre 2022.</w:t>
      </w:r>
    </w:p>
    <w:p w14:paraId="2F73BAD9" w14:textId="084061DD" w:rsidR="003B6BD9" w:rsidRDefault="009E25E8">
      <w:pPr>
        <w:pStyle w:val="P68B1DB1-Normal5"/>
        <w:spacing w:line="240" w:lineRule="auto"/>
        <w:jc w:val="both"/>
        <w:rPr>
          <w:noProof/>
        </w:rPr>
      </w:pPr>
      <w:r>
        <w:rPr>
          <w:noProof/>
        </w:rPr>
        <w:t xml:space="preserve">Investissement E. Résilience sociale et économique aux catastrophes liées au climat en République de Slovénie </w:t>
      </w:r>
    </w:p>
    <w:p w14:paraId="5BF2299F" w14:textId="67BB1E95" w:rsidR="003B6BD9" w:rsidRDefault="009E25E8">
      <w:pPr>
        <w:spacing w:line="240" w:lineRule="auto"/>
        <w:jc w:val="both"/>
        <w:rPr>
          <w:noProof/>
        </w:rPr>
      </w:pPr>
      <w:r>
        <w:rPr>
          <w:noProof/>
        </w:rPr>
        <w:t>L’objectif de l’investissement est de soutenir la résilience sociale et économique de la Slovénie face aux incendies de forêt.</w:t>
      </w:r>
    </w:p>
    <w:p w14:paraId="05D3DB05" w14:textId="6D88F33C" w:rsidR="003B6BD9" w:rsidRDefault="009E25E8">
      <w:pPr>
        <w:spacing w:line="240" w:lineRule="auto"/>
        <w:jc w:val="both"/>
        <w:rPr>
          <w:noProof/>
        </w:rPr>
      </w:pPr>
      <w:r>
        <w:rPr>
          <w:noProof/>
        </w:rPr>
        <w:t xml:space="preserve">L’investissement consiste en la construction d’un centre de formation des unités de protection civile et de secours en cas de catastrophe pour faire face aux incendies de forêt, et en la formation des participants pour faire face aux incendies de forêt. </w:t>
      </w:r>
    </w:p>
    <w:p w14:paraId="6CC68C46" w14:textId="42719A6E" w:rsidR="003B6BD9" w:rsidRDefault="009E25E8">
      <w:pPr>
        <w:pStyle w:val="P68B1DB1-Normal5"/>
        <w:spacing w:line="240" w:lineRule="auto"/>
        <w:jc w:val="both"/>
        <w:rPr>
          <w:noProof/>
        </w:rPr>
      </w:pPr>
      <w:r>
        <w:rPr>
          <w:noProof/>
        </w:rPr>
        <w:t xml:space="preserve">Investissement F. </w:t>
      </w:r>
      <w:bookmarkStart w:id="7" w:name="_Hlk143101554"/>
      <w:r>
        <w:rPr>
          <w:noProof/>
        </w:rPr>
        <w:t xml:space="preserve">Réduction des risques d’inondation </w:t>
      </w:r>
      <w:bookmarkEnd w:id="7"/>
    </w:p>
    <w:p w14:paraId="3EC3FAD1" w14:textId="10A6C817" w:rsidR="003B6BD9" w:rsidRDefault="009E25E8">
      <w:pPr>
        <w:spacing w:line="240" w:lineRule="auto"/>
        <w:jc w:val="both"/>
        <w:rPr>
          <w:noProof/>
        </w:rPr>
      </w:pPr>
      <w:r>
        <w:rPr>
          <w:noProof/>
        </w:rPr>
        <w:t xml:space="preserve">L’objectif de l’investissement est de réduire les risques d’inondation. </w:t>
      </w:r>
    </w:p>
    <w:p w14:paraId="18005C68" w14:textId="78EAB5A2" w:rsidR="003B6BD9" w:rsidRDefault="009E25E8">
      <w:pPr>
        <w:spacing w:line="240" w:lineRule="auto"/>
        <w:jc w:val="both"/>
        <w:rPr>
          <w:noProof/>
        </w:rPr>
      </w:pPr>
      <w:r>
        <w:rPr>
          <w:noProof/>
        </w:rPr>
        <w:t>L’investissement consiste en la construction d’infrastructures de protection contre les inondations et la mise en place d’un système central d’information pour la surveillance de l’eau.</w:t>
      </w:r>
    </w:p>
    <w:p w14:paraId="5C659385" w14:textId="60C04E07" w:rsidR="003B6BD9" w:rsidRDefault="009E25E8">
      <w:pPr>
        <w:pStyle w:val="P68B1DB1-Normal5"/>
        <w:spacing w:before="0" w:after="0" w:line="240" w:lineRule="auto"/>
        <w:rPr>
          <w:noProof/>
        </w:rPr>
      </w:pPr>
      <w:r>
        <w:rPr>
          <w:noProof/>
        </w:rPr>
        <w:t xml:space="preserve">Investissement G. Centre pour les semences, les pépinières et la protection des forêts </w:t>
      </w:r>
    </w:p>
    <w:p w14:paraId="3FD92EC8" w14:textId="2B07A563" w:rsidR="003B6BD9" w:rsidRDefault="009E25E8">
      <w:pPr>
        <w:spacing w:line="240" w:lineRule="auto"/>
        <w:jc w:val="both"/>
        <w:rPr>
          <w:noProof/>
        </w:rPr>
      </w:pPr>
      <w:r>
        <w:rPr>
          <w:noProof/>
        </w:rPr>
        <w:t>L’objectif de l’investissement est de contribuer à la quantité, à la qualité et à la résilience des forêts slovènes.</w:t>
      </w:r>
    </w:p>
    <w:p w14:paraId="09E483DA" w14:textId="4485B5B5" w:rsidR="003B6BD9" w:rsidRDefault="009E25E8">
      <w:pPr>
        <w:spacing w:line="240" w:lineRule="auto"/>
        <w:jc w:val="both"/>
        <w:rPr>
          <w:noProof/>
        </w:rPr>
      </w:pPr>
      <w:r>
        <w:rPr>
          <w:noProof/>
        </w:rPr>
        <w:t xml:space="preserve">L’investissement consiste en la construction d’un centre pour les semences, les pépinières et la protection des forêts. </w:t>
      </w:r>
    </w:p>
    <w:p w14:paraId="3A78B183" w14:textId="77777777" w:rsidR="003B6BD9" w:rsidRDefault="009E25E8">
      <w:pPr>
        <w:spacing w:line="240" w:lineRule="auto"/>
        <w:jc w:val="both"/>
        <w:rPr>
          <w:noProof/>
          <w:u w:val="single"/>
        </w:rPr>
      </w:pPr>
      <w:bookmarkStart w:id="8" w:name="_Hlk198303368"/>
      <w:r>
        <w:rPr>
          <w:noProof/>
          <w:u w:val="single"/>
        </w:rPr>
        <w:t>Investissement H. Projets de rejet et de traitement des eaux urbaines résiduaires</w:t>
      </w:r>
      <w:r>
        <w:rPr>
          <w:noProof/>
          <w:color w:val="006100"/>
          <w:sz w:val="22"/>
        </w:rPr>
        <w:t xml:space="preserve"> </w:t>
      </w:r>
    </w:p>
    <w:bookmarkEnd w:id="8"/>
    <w:p w14:paraId="38EBB903" w14:textId="05A53C9E" w:rsidR="003B6BD9" w:rsidRDefault="009E25E8">
      <w:pPr>
        <w:spacing w:line="240" w:lineRule="auto"/>
        <w:jc w:val="both"/>
        <w:rPr>
          <w:noProof/>
        </w:rPr>
      </w:pPr>
      <w:r>
        <w:rPr>
          <w:noProof/>
        </w:rPr>
        <w:t>L’objectif de l’investissement est de contribuer au bon état des masses d’eau.</w:t>
      </w:r>
    </w:p>
    <w:p w14:paraId="433EAEA7" w14:textId="122F0AF4" w:rsidR="003B6BD9" w:rsidRDefault="009E25E8">
      <w:pPr>
        <w:spacing w:line="240" w:lineRule="auto"/>
        <w:jc w:val="both"/>
        <w:rPr>
          <w:noProof/>
        </w:rPr>
      </w:pPr>
      <w:r>
        <w:rPr>
          <w:noProof/>
        </w:rPr>
        <w:t>L’investissement consiste en la construction de nouveaux systèmes de traitement des eaux usées ou en la reconstruction du système existant de traitement des eaux usées.</w:t>
      </w:r>
    </w:p>
    <w:p w14:paraId="1F1B5000" w14:textId="77777777" w:rsidR="003B6BD9" w:rsidRDefault="009E25E8">
      <w:pPr>
        <w:pStyle w:val="P68B1DB1-Normal5"/>
        <w:spacing w:line="240" w:lineRule="auto"/>
        <w:jc w:val="both"/>
        <w:rPr>
          <w:noProof/>
        </w:rPr>
      </w:pPr>
      <w:r>
        <w:rPr>
          <w:noProof/>
        </w:rPr>
        <w:t>Investissement I. Projets d’approvisionnement en eau potable et d’économies d’eau</w:t>
      </w:r>
    </w:p>
    <w:p w14:paraId="75D8CB91" w14:textId="1721CD02" w:rsidR="003B6BD9" w:rsidRDefault="009E25E8">
      <w:pPr>
        <w:spacing w:line="240" w:lineRule="auto"/>
        <w:jc w:val="both"/>
        <w:rPr>
          <w:noProof/>
        </w:rPr>
      </w:pPr>
      <w:r>
        <w:rPr>
          <w:noProof/>
        </w:rPr>
        <w:t>L’objectif de l’investissement est de remédier aux pertes d’eau en Slovénie.</w:t>
      </w:r>
    </w:p>
    <w:p w14:paraId="19066307" w14:textId="773F746E" w:rsidR="003B6BD9" w:rsidRDefault="009E25E8">
      <w:pPr>
        <w:spacing w:line="240" w:lineRule="auto"/>
        <w:jc w:val="both"/>
        <w:rPr>
          <w:noProof/>
        </w:rPr>
      </w:pPr>
      <w:r>
        <w:rPr>
          <w:noProof/>
        </w:rPr>
        <w:t xml:space="preserve">L’investissement consiste en la construction de nouveaux systèmes d’approvisionnement en eau potable ou en la reconstruction de systèmes d’approvisionnement en eau potable existants. </w:t>
      </w:r>
    </w:p>
    <w:p w14:paraId="5199AAEE" w14:textId="77777777" w:rsidR="003B6BD9" w:rsidRDefault="003B6BD9">
      <w:pPr>
        <w:spacing w:line="240" w:lineRule="auto"/>
        <w:ind w:left="850"/>
        <w:jc w:val="both"/>
        <w:rPr>
          <w:noProof/>
        </w:rPr>
        <w:sectPr w:rsidR="003B6BD9" w:rsidSect="007901EF">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26"/>
        </w:sectPr>
      </w:pPr>
    </w:p>
    <w:p w14:paraId="0D35FE95" w14:textId="77777777" w:rsidR="003B6BD9" w:rsidRDefault="009E25E8">
      <w:pPr>
        <w:pStyle w:val="P68B1DB1-Normal4"/>
        <w:spacing w:line="240" w:lineRule="auto"/>
        <w:ind w:left="850"/>
        <w:jc w:val="both"/>
        <w:rPr>
          <w:noProof/>
        </w:rPr>
      </w:pPr>
      <w:r>
        <w:rPr>
          <w:noProof/>
        </w:rPr>
        <w:t xml:space="preserve">C.2. </w:t>
      </w:r>
      <w:r>
        <w:rPr>
          <w:noProof/>
        </w:rPr>
        <w:tab/>
        <w:t>Jalons, cibles, indicateurs et calendrier de suivi et de mise en œuvre pour le soutien financier non remboursable</w:t>
      </w:r>
    </w:p>
    <w:tbl>
      <w:tblPr>
        <w:tblW w:w="15402" w:type="dxa"/>
        <w:jc w:val="center"/>
        <w:tblLayout w:type="fixed"/>
        <w:tblLook w:val="04A0" w:firstRow="1" w:lastRow="0" w:firstColumn="1" w:lastColumn="0" w:noHBand="0" w:noVBand="1"/>
      </w:tblPr>
      <w:tblGrid>
        <w:gridCol w:w="955"/>
        <w:gridCol w:w="1440"/>
        <w:gridCol w:w="1080"/>
        <w:gridCol w:w="2184"/>
        <w:gridCol w:w="1632"/>
        <w:gridCol w:w="1042"/>
        <w:gridCol w:w="1485"/>
        <w:gridCol w:w="711"/>
        <w:gridCol w:w="986"/>
        <w:gridCol w:w="838"/>
        <w:gridCol w:w="3049"/>
      </w:tblGrid>
      <w:tr w:rsidR="003B6BD9" w14:paraId="7C58F377" w14:textId="77777777" w:rsidTr="00AC1D11">
        <w:trPr>
          <w:trHeight w:val="740"/>
          <w:tblHeader/>
          <w:jc w:val="center"/>
        </w:trPr>
        <w:tc>
          <w:tcPr>
            <w:tcW w:w="95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65C633B" w14:textId="6B74FCD1" w:rsidR="003B6BD9" w:rsidRDefault="009E25E8">
            <w:pPr>
              <w:pStyle w:val="P68B1DB1-Normal6"/>
              <w:spacing w:before="0" w:after="0" w:line="240" w:lineRule="auto"/>
              <w:jc w:val="center"/>
              <w:rPr>
                <w:rFonts w:eastAsia="Times New Roman"/>
                <w:noProof/>
              </w:rPr>
            </w:pPr>
            <w:r>
              <w:rPr>
                <w:noProof/>
              </w:rPr>
              <w:t>Et suivants Non.</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57D5E7" w14:textId="77777777" w:rsidR="003B6BD9" w:rsidRDefault="009E25E8">
            <w:pPr>
              <w:pStyle w:val="P68B1DB1-Normal6"/>
              <w:spacing w:before="0" w:after="0" w:line="240" w:lineRule="auto"/>
              <w:jc w:val="center"/>
              <w:rPr>
                <w:rFonts w:eastAsia="Times New Roman"/>
                <w:noProof/>
              </w:rPr>
            </w:pPr>
            <w:r>
              <w:rPr>
                <w:noProof/>
              </w:rPr>
              <w:t>Mesure connexe (réforme ou investissement)</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B5E858" w14:textId="4D92441F" w:rsidR="003B6BD9" w:rsidRDefault="009E25E8">
            <w:pPr>
              <w:pStyle w:val="P68B1DB1-Normal6"/>
              <w:spacing w:before="0" w:after="0" w:line="240" w:lineRule="auto"/>
              <w:jc w:val="center"/>
              <w:rPr>
                <w:rFonts w:eastAsia="Times New Roman"/>
                <w:noProof/>
              </w:rPr>
            </w:pPr>
            <w:r>
              <w:rPr>
                <w:noProof/>
              </w:rPr>
              <w:t>Étape/</w:t>
            </w:r>
            <w:r w:rsidR="00AC1D11">
              <w:rPr>
                <w:noProof/>
              </w:rPr>
              <w:br/>
            </w:r>
            <w:r>
              <w:rPr>
                <w:noProof/>
              </w:rPr>
              <w:t>Objectif</w:t>
            </w:r>
          </w:p>
        </w:tc>
        <w:tc>
          <w:tcPr>
            <w:tcW w:w="21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9F4140" w14:textId="77777777" w:rsidR="003B6BD9" w:rsidRDefault="009E25E8">
            <w:pPr>
              <w:pStyle w:val="P68B1DB1-Normal6"/>
              <w:spacing w:before="0" w:after="0" w:line="240" w:lineRule="auto"/>
              <w:jc w:val="center"/>
              <w:rPr>
                <w:rFonts w:eastAsia="Times New Roman"/>
                <w:noProof/>
              </w:rPr>
            </w:pPr>
            <w:r>
              <w:rPr>
                <w:noProof/>
              </w:rPr>
              <w:t>Nom</w:t>
            </w:r>
          </w:p>
        </w:tc>
        <w:tc>
          <w:tcPr>
            <w:tcW w:w="163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A970074" w14:textId="3412D28B" w:rsidR="003B6BD9" w:rsidRDefault="009E25E8">
            <w:pPr>
              <w:pStyle w:val="P68B1DB1-Normal6"/>
              <w:spacing w:before="0" w:after="0" w:line="240" w:lineRule="auto"/>
              <w:jc w:val="center"/>
              <w:rPr>
                <w:rFonts w:eastAsia="Times New Roman"/>
                <w:noProof/>
              </w:rPr>
            </w:pPr>
            <w:r>
              <w:rPr>
                <w:noProof/>
              </w:rPr>
              <w:t>Indicateurs qualitatifs (pour les jalons)</w:t>
            </w:r>
          </w:p>
        </w:tc>
        <w:tc>
          <w:tcPr>
            <w:tcW w:w="323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DF93190" w14:textId="1A117D8F" w:rsidR="003B6BD9" w:rsidRDefault="009E25E8">
            <w:pPr>
              <w:pStyle w:val="P68B1DB1-Normal6"/>
              <w:spacing w:before="0" w:after="0" w:line="240" w:lineRule="auto"/>
              <w:jc w:val="center"/>
              <w:rPr>
                <w:rFonts w:eastAsia="Times New Roman"/>
                <w:noProof/>
              </w:rPr>
            </w:pPr>
            <w:r>
              <w:rPr>
                <w:noProof/>
              </w:rPr>
              <w:t>Indicateurs quantitatifs (pour les cibles)</w:t>
            </w:r>
          </w:p>
        </w:tc>
        <w:tc>
          <w:tcPr>
            <w:tcW w:w="182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BEF4FD4" w14:textId="77777777" w:rsidR="003B6BD9" w:rsidRDefault="009E25E8">
            <w:pPr>
              <w:pStyle w:val="P68B1DB1-Normal6"/>
              <w:spacing w:before="0" w:after="0" w:line="240" w:lineRule="auto"/>
              <w:jc w:val="center"/>
              <w:rPr>
                <w:rFonts w:eastAsia="Times New Roman"/>
                <w:noProof/>
              </w:rPr>
            </w:pPr>
            <w:r>
              <w:rPr>
                <w:noProof/>
              </w:rPr>
              <w:t xml:space="preserve">Calendrier indicatif pour l’achèvement </w:t>
            </w:r>
          </w:p>
        </w:tc>
        <w:tc>
          <w:tcPr>
            <w:tcW w:w="304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6D67525" w14:textId="77777777" w:rsidR="003B6BD9" w:rsidRDefault="009E25E8">
            <w:pPr>
              <w:pStyle w:val="P68B1DB1-Normal6"/>
              <w:spacing w:before="0" w:after="0" w:line="240" w:lineRule="auto"/>
              <w:jc w:val="center"/>
              <w:rPr>
                <w:rFonts w:eastAsia="Times New Roman"/>
                <w:noProof/>
              </w:rPr>
            </w:pPr>
            <w:r>
              <w:rPr>
                <w:noProof/>
              </w:rPr>
              <w:t>Description de chaque jalon et cible</w:t>
            </w:r>
          </w:p>
        </w:tc>
      </w:tr>
      <w:tr w:rsidR="003B6BD9" w14:paraId="485C0280" w14:textId="77777777" w:rsidTr="00AC1D11">
        <w:trPr>
          <w:trHeight w:val="751"/>
          <w:tblHeader/>
          <w:jc w:val="center"/>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7B811310" w14:textId="77777777" w:rsidR="003B6BD9" w:rsidRDefault="003B6BD9">
            <w:pPr>
              <w:spacing w:before="0" w:after="0" w:line="240" w:lineRule="auto"/>
              <w:rPr>
                <w:rFonts w:eastAsia="Times New Roman"/>
                <w:b/>
                <w:noProof/>
                <w:sz w:val="18"/>
                <w:szCs w:val="18"/>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21C55050" w14:textId="77777777" w:rsidR="003B6BD9" w:rsidRDefault="003B6BD9">
            <w:pPr>
              <w:spacing w:before="0" w:after="0" w:line="240" w:lineRule="auto"/>
              <w:rPr>
                <w:rFonts w:eastAsia="Times New Roman"/>
                <w:b/>
                <w:noProof/>
                <w:sz w:val="18"/>
                <w:szCs w:val="18"/>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29A6DE83" w14:textId="77777777" w:rsidR="003B6BD9" w:rsidRDefault="003B6BD9">
            <w:pPr>
              <w:spacing w:before="0" w:after="0" w:line="240" w:lineRule="auto"/>
              <w:rPr>
                <w:rFonts w:eastAsia="Times New Roman"/>
                <w:b/>
                <w:noProof/>
                <w:sz w:val="18"/>
                <w:szCs w:val="18"/>
              </w:rPr>
            </w:pPr>
          </w:p>
        </w:tc>
        <w:tc>
          <w:tcPr>
            <w:tcW w:w="2184" w:type="dxa"/>
            <w:vMerge/>
            <w:tcBorders>
              <w:top w:val="single" w:sz="4" w:space="0" w:color="auto"/>
              <w:left w:val="single" w:sz="4" w:space="0" w:color="auto"/>
              <w:bottom w:val="single" w:sz="4" w:space="0" w:color="auto"/>
              <w:right w:val="single" w:sz="4" w:space="0" w:color="auto"/>
            </w:tcBorders>
            <w:vAlign w:val="center"/>
            <w:hideMark/>
          </w:tcPr>
          <w:p w14:paraId="01B30C14" w14:textId="77777777" w:rsidR="003B6BD9" w:rsidRDefault="003B6BD9">
            <w:pPr>
              <w:spacing w:before="0" w:after="0" w:line="240" w:lineRule="auto"/>
              <w:rPr>
                <w:rFonts w:eastAsia="Times New Roman"/>
                <w:b/>
                <w:noProof/>
                <w:sz w:val="18"/>
                <w:szCs w:val="18"/>
              </w:rPr>
            </w:pPr>
          </w:p>
        </w:tc>
        <w:tc>
          <w:tcPr>
            <w:tcW w:w="1632" w:type="dxa"/>
            <w:vMerge/>
            <w:tcBorders>
              <w:top w:val="single" w:sz="4" w:space="0" w:color="auto"/>
              <w:left w:val="single" w:sz="4" w:space="0" w:color="auto"/>
              <w:bottom w:val="single" w:sz="4" w:space="0" w:color="auto"/>
              <w:right w:val="single" w:sz="4" w:space="0" w:color="auto"/>
            </w:tcBorders>
            <w:vAlign w:val="center"/>
            <w:hideMark/>
          </w:tcPr>
          <w:p w14:paraId="4CE30F7D" w14:textId="77777777" w:rsidR="003B6BD9" w:rsidRDefault="003B6BD9">
            <w:pPr>
              <w:spacing w:before="0" w:after="0" w:line="240" w:lineRule="auto"/>
              <w:rPr>
                <w:rFonts w:eastAsia="Times New Roman"/>
                <w:b/>
                <w:noProof/>
                <w:sz w:val="18"/>
                <w:szCs w:val="18"/>
              </w:rPr>
            </w:pPr>
          </w:p>
        </w:tc>
        <w:tc>
          <w:tcPr>
            <w:tcW w:w="104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D61F68" w14:textId="77777777" w:rsidR="003B6BD9" w:rsidRDefault="009E25E8">
            <w:pPr>
              <w:pStyle w:val="P68B1DB1-Normal6"/>
              <w:spacing w:before="0" w:after="0" w:line="240" w:lineRule="auto"/>
              <w:jc w:val="center"/>
              <w:rPr>
                <w:rFonts w:eastAsia="Times New Roman"/>
                <w:noProof/>
              </w:rPr>
            </w:pPr>
            <w:r>
              <w:rPr>
                <w:noProof/>
              </w:rPr>
              <w:t>Unité de mesure</w:t>
            </w:r>
          </w:p>
        </w:tc>
        <w:tc>
          <w:tcPr>
            <w:tcW w:w="14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A7F9FF6" w14:textId="77777777" w:rsidR="003B6BD9" w:rsidRDefault="009E25E8">
            <w:pPr>
              <w:pStyle w:val="P68B1DB1-Normal6"/>
              <w:spacing w:before="0" w:after="0" w:line="240" w:lineRule="auto"/>
              <w:jc w:val="center"/>
              <w:rPr>
                <w:rFonts w:eastAsia="Times New Roman"/>
                <w:noProof/>
              </w:rPr>
            </w:pPr>
            <w:r>
              <w:rPr>
                <w:noProof/>
              </w:rPr>
              <w:t xml:space="preserve">Niveau de référence </w:t>
            </w:r>
          </w:p>
        </w:tc>
        <w:tc>
          <w:tcPr>
            <w:tcW w:w="71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D288FA2" w14:textId="77777777" w:rsidR="003B6BD9" w:rsidRDefault="009E25E8">
            <w:pPr>
              <w:pStyle w:val="P68B1DB1-Normal6"/>
              <w:spacing w:before="0" w:after="0" w:line="240" w:lineRule="auto"/>
              <w:jc w:val="center"/>
              <w:rPr>
                <w:rFonts w:eastAsia="Times New Roman"/>
                <w:noProof/>
              </w:rPr>
            </w:pPr>
            <w:r>
              <w:rPr>
                <w:noProof/>
              </w:rPr>
              <w:t xml:space="preserve">But </w:t>
            </w:r>
          </w:p>
        </w:tc>
        <w:tc>
          <w:tcPr>
            <w:tcW w:w="98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81B2FF0" w14:textId="77777777" w:rsidR="003B6BD9" w:rsidRDefault="009E25E8">
            <w:pPr>
              <w:pStyle w:val="P68B1DB1-Normal6"/>
              <w:spacing w:before="0" w:after="0" w:line="240" w:lineRule="auto"/>
              <w:jc w:val="center"/>
              <w:rPr>
                <w:rFonts w:eastAsia="Times New Roman"/>
                <w:noProof/>
              </w:rPr>
            </w:pPr>
            <w:r>
              <w:rPr>
                <w:noProof/>
              </w:rPr>
              <w:t>Trimestre</w:t>
            </w:r>
          </w:p>
        </w:tc>
        <w:tc>
          <w:tcPr>
            <w:tcW w:w="83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60AEE37" w14:textId="77777777" w:rsidR="003B6BD9" w:rsidRDefault="009E25E8">
            <w:pPr>
              <w:pStyle w:val="P68B1DB1-Normal6"/>
              <w:spacing w:before="0" w:after="0" w:line="240" w:lineRule="auto"/>
              <w:jc w:val="center"/>
              <w:rPr>
                <w:rFonts w:eastAsia="Times New Roman"/>
                <w:noProof/>
              </w:rPr>
            </w:pPr>
            <w:r>
              <w:rPr>
                <w:noProof/>
              </w:rPr>
              <w:t>Année</w:t>
            </w:r>
          </w:p>
        </w:tc>
        <w:tc>
          <w:tcPr>
            <w:tcW w:w="3049" w:type="dxa"/>
            <w:vMerge/>
            <w:tcBorders>
              <w:top w:val="single" w:sz="4" w:space="0" w:color="auto"/>
              <w:bottom w:val="single" w:sz="4" w:space="0" w:color="auto"/>
              <w:right w:val="single" w:sz="4" w:space="0" w:color="auto"/>
            </w:tcBorders>
            <w:vAlign w:val="center"/>
            <w:hideMark/>
          </w:tcPr>
          <w:p w14:paraId="7C61A0A0" w14:textId="77777777" w:rsidR="003B6BD9" w:rsidRDefault="003B6BD9">
            <w:pPr>
              <w:spacing w:before="0" w:after="0" w:line="240" w:lineRule="auto"/>
              <w:rPr>
                <w:rFonts w:eastAsia="Times New Roman"/>
                <w:b/>
                <w:noProof/>
                <w:sz w:val="18"/>
                <w:szCs w:val="18"/>
              </w:rPr>
            </w:pPr>
          </w:p>
        </w:tc>
      </w:tr>
      <w:tr w:rsidR="003B6BD9" w14:paraId="5092F56A" w14:textId="77777777" w:rsidTr="00AC1D11">
        <w:trPr>
          <w:trHeight w:val="211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0CD8C364" w14:textId="1D70DCAC" w:rsidR="003B6BD9" w:rsidRDefault="009E25E8">
            <w:pPr>
              <w:pStyle w:val="P68B1DB1-Normal7"/>
              <w:spacing w:before="0" w:after="0" w:line="240" w:lineRule="auto"/>
              <w:rPr>
                <w:rFonts w:eastAsia="Times New Roman"/>
                <w:noProof/>
              </w:rPr>
            </w:pPr>
            <w:r>
              <w:rPr>
                <w:noProof/>
              </w:rPr>
              <w:t>29</w:t>
            </w:r>
          </w:p>
        </w:tc>
        <w:tc>
          <w:tcPr>
            <w:tcW w:w="1440" w:type="dxa"/>
            <w:tcBorders>
              <w:top w:val="single" w:sz="4" w:space="0" w:color="auto"/>
              <w:left w:val="nil"/>
              <w:bottom w:val="single" w:sz="4" w:space="0" w:color="auto"/>
              <w:right w:val="single" w:sz="4" w:space="0" w:color="auto"/>
            </w:tcBorders>
            <w:shd w:val="clear" w:color="auto" w:fill="C6EFCE"/>
            <w:noWrap/>
          </w:tcPr>
          <w:p w14:paraId="72CC9377" w14:textId="0DCE8715" w:rsidR="003B6BD9" w:rsidRDefault="009E25E8">
            <w:pPr>
              <w:pStyle w:val="P68B1DB1-Normal7"/>
              <w:spacing w:before="0" w:after="0" w:line="240" w:lineRule="auto"/>
              <w:rPr>
                <w:rFonts w:eastAsia="Times New Roman"/>
                <w:noProof/>
              </w:rPr>
            </w:pPr>
            <w:r>
              <w:rPr>
                <w:noProof/>
              </w:rPr>
              <w:t>A: Renforcer la préparation et la réaction en cas de catastrophes liées au climat</w:t>
            </w:r>
          </w:p>
        </w:tc>
        <w:tc>
          <w:tcPr>
            <w:tcW w:w="1080" w:type="dxa"/>
            <w:tcBorders>
              <w:top w:val="single" w:sz="4" w:space="0" w:color="auto"/>
              <w:left w:val="nil"/>
              <w:bottom w:val="single" w:sz="4" w:space="0" w:color="auto"/>
              <w:right w:val="single" w:sz="4" w:space="0" w:color="auto"/>
            </w:tcBorders>
            <w:shd w:val="clear" w:color="auto" w:fill="C6EFCE"/>
            <w:noWrap/>
          </w:tcPr>
          <w:p w14:paraId="2D4228A7" w14:textId="4720E6E0" w:rsidR="003B6BD9" w:rsidRDefault="009E25E8">
            <w:pPr>
              <w:pStyle w:val="P68B1DB1-Normal7"/>
              <w:spacing w:before="0" w:after="0" w:line="240" w:lineRule="auto"/>
              <w:rPr>
                <w:rFonts w:eastAsia="Times New Roman"/>
                <w:noProof/>
              </w:rPr>
            </w:pPr>
            <w:r>
              <w:rPr>
                <w:noProof/>
              </w:rPr>
              <w:t>Jalon</w:t>
            </w:r>
          </w:p>
        </w:tc>
        <w:tc>
          <w:tcPr>
            <w:tcW w:w="2184" w:type="dxa"/>
            <w:tcBorders>
              <w:top w:val="single" w:sz="4" w:space="0" w:color="auto"/>
              <w:left w:val="nil"/>
              <w:bottom w:val="single" w:sz="4" w:space="0" w:color="auto"/>
              <w:right w:val="single" w:sz="4" w:space="0" w:color="auto"/>
            </w:tcBorders>
            <w:shd w:val="clear" w:color="auto" w:fill="C6EFCE"/>
            <w:noWrap/>
          </w:tcPr>
          <w:p w14:paraId="5E1E6236" w14:textId="54460CB2" w:rsidR="003B6BD9" w:rsidRDefault="009E25E8">
            <w:pPr>
              <w:pStyle w:val="P68B1DB1-Normal7"/>
              <w:spacing w:before="0" w:after="0" w:line="240" w:lineRule="auto"/>
              <w:rPr>
                <w:rFonts w:eastAsia="Times New Roman"/>
                <w:noProof/>
              </w:rPr>
            </w:pPr>
            <w:r>
              <w:rPr>
                <w:noProof/>
              </w:rPr>
              <w:t xml:space="preserve">Entrée en vigueur d’une résolution sur le programme national de protection contre les catastrophes naturelles et autres </w:t>
            </w:r>
          </w:p>
        </w:tc>
        <w:tc>
          <w:tcPr>
            <w:tcW w:w="1632" w:type="dxa"/>
            <w:tcBorders>
              <w:top w:val="single" w:sz="4" w:space="0" w:color="auto"/>
              <w:left w:val="nil"/>
              <w:bottom w:val="single" w:sz="4" w:space="0" w:color="auto"/>
              <w:right w:val="single" w:sz="4" w:space="0" w:color="auto"/>
            </w:tcBorders>
            <w:shd w:val="clear" w:color="auto" w:fill="C6EFCE"/>
            <w:noWrap/>
          </w:tcPr>
          <w:p w14:paraId="4EAA9FC3" w14:textId="1E61E308" w:rsidR="003B6BD9" w:rsidRDefault="009E25E8">
            <w:pPr>
              <w:pStyle w:val="P68B1DB1-Normal7"/>
              <w:spacing w:before="0" w:after="0" w:line="240" w:lineRule="auto"/>
              <w:rPr>
                <w:rFonts w:eastAsia="Times New Roman"/>
                <w:noProof/>
              </w:rPr>
            </w:pPr>
            <w:r>
              <w:rPr>
                <w:noProof/>
              </w:rPr>
              <w:t>Disposition de la résolution indiquant l’entrée en vigueur d’un programme national de protection contre les catastrophes naturelles et autres</w:t>
            </w:r>
          </w:p>
        </w:tc>
        <w:tc>
          <w:tcPr>
            <w:tcW w:w="1042" w:type="dxa"/>
            <w:tcBorders>
              <w:top w:val="single" w:sz="4" w:space="0" w:color="auto"/>
              <w:left w:val="nil"/>
              <w:bottom w:val="single" w:sz="4" w:space="0" w:color="auto"/>
              <w:right w:val="single" w:sz="4" w:space="0" w:color="auto"/>
            </w:tcBorders>
            <w:shd w:val="clear" w:color="auto" w:fill="C6EFCE"/>
            <w:noWrap/>
          </w:tcPr>
          <w:p w14:paraId="02BFD622" w14:textId="7C148664" w:rsidR="003B6BD9" w:rsidRDefault="009E25E8">
            <w:pPr>
              <w:pStyle w:val="P68B1DB1-Normal7"/>
              <w:spacing w:before="0" w:after="0" w:line="240" w:lineRule="auto"/>
              <w:rPr>
                <w:rFonts w:eastAsia="Times New Roman"/>
                <w:noProof/>
              </w:rPr>
            </w:pPr>
            <w:r>
              <w:rPr>
                <w:noProof/>
              </w:rPr>
              <w:t> </w:t>
            </w:r>
          </w:p>
        </w:tc>
        <w:tc>
          <w:tcPr>
            <w:tcW w:w="1485" w:type="dxa"/>
            <w:tcBorders>
              <w:top w:val="single" w:sz="4" w:space="0" w:color="auto"/>
              <w:left w:val="nil"/>
              <w:bottom w:val="single" w:sz="4" w:space="0" w:color="auto"/>
              <w:right w:val="single" w:sz="4" w:space="0" w:color="auto"/>
            </w:tcBorders>
            <w:shd w:val="clear" w:color="auto" w:fill="C6EFCE"/>
            <w:noWrap/>
          </w:tcPr>
          <w:p w14:paraId="1486851C" w14:textId="276604AD" w:rsidR="003B6BD9" w:rsidRDefault="009E25E8">
            <w:pPr>
              <w:pStyle w:val="P68B1DB1-Normal7"/>
              <w:spacing w:before="0" w:after="0" w:line="240" w:lineRule="auto"/>
              <w:rPr>
                <w:rFonts w:eastAsia="Times New Roman"/>
                <w:noProof/>
              </w:rPr>
            </w:pPr>
            <w:r>
              <w:rPr>
                <w:noProof/>
              </w:rPr>
              <w:t> </w:t>
            </w:r>
          </w:p>
        </w:tc>
        <w:tc>
          <w:tcPr>
            <w:tcW w:w="711" w:type="dxa"/>
            <w:tcBorders>
              <w:top w:val="single" w:sz="4" w:space="0" w:color="auto"/>
              <w:left w:val="nil"/>
              <w:bottom w:val="single" w:sz="4" w:space="0" w:color="auto"/>
              <w:right w:val="single" w:sz="4" w:space="0" w:color="auto"/>
            </w:tcBorders>
            <w:shd w:val="clear" w:color="auto" w:fill="C6EFCE"/>
            <w:noWrap/>
          </w:tcPr>
          <w:p w14:paraId="07AD43D7" w14:textId="7047A1D0" w:rsidR="003B6BD9" w:rsidRDefault="009E25E8">
            <w:pPr>
              <w:pStyle w:val="P68B1DB1-Normal7"/>
              <w:spacing w:before="0" w:after="0" w:line="240" w:lineRule="auto"/>
              <w:rPr>
                <w:rFonts w:eastAsia="Times New Roman"/>
                <w:noProof/>
              </w:rPr>
            </w:pPr>
            <w:r>
              <w:rPr>
                <w:noProof/>
              </w:rPr>
              <w:t> </w:t>
            </w:r>
          </w:p>
        </w:tc>
        <w:tc>
          <w:tcPr>
            <w:tcW w:w="986" w:type="dxa"/>
            <w:tcBorders>
              <w:top w:val="single" w:sz="4" w:space="0" w:color="auto"/>
              <w:left w:val="nil"/>
              <w:bottom w:val="single" w:sz="4" w:space="0" w:color="auto"/>
              <w:right w:val="single" w:sz="4" w:space="0" w:color="auto"/>
            </w:tcBorders>
            <w:shd w:val="clear" w:color="auto" w:fill="C6EFCE"/>
            <w:noWrap/>
          </w:tcPr>
          <w:p w14:paraId="1D105038" w14:textId="07179BA8" w:rsidR="003B6BD9" w:rsidRDefault="009E25E8">
            <w:pPr>
              <w:pStyle w:val="P68B1DB1-Normal7"/>
              <w:spacing w:before="0" w:after="0" w:line="240" w:lineRule="auto"/>
              <w:rPr>
                <w:rFonts w:eastAsia="Times New Roman"/>
                <w:noProof/>
              </w:rPr>
            </w:pPr>
            <w:r>
              <w:rPr>
                <w:noProof/>
              </w:rPr>
              <w:t>T4</w:t>
            </w:r>
          </w:p>
        </w:tc>
        <w:tc>
          <w:tcPr>
            <w:tcW w:w="838" w:type="dxa"/>
            <w:tcBorders>
              <w:top w:val="single" w:sz="4" w:space="0" w:color="auto"/>
              <w:left w:val="nil"/>
              <w:bottom w:val="single" w:sz="4" w:space="0" w:color="auto"/>
              <w:right w:val="single" w:sz="4" w:space="0" w:color="auto"/>
            </w:tcBorders>
            <w:shd w:val="clear" w:color="auto" w:fill="C6EFCE"/>
            <w:noWrap/>
          </w:tcPr>
          <w:p w14:paraId="15E24844" w14:textId="2FBB2F82" w:rsidR="003B6BD9" w:rsidRDefault="009E25E8">
            <w:pPr>
              <w:pStyle w:val="P68B1DB1-Normal7"/>
              <w:spacing w:before="0" w:after="0" w:line="240" w:lineRule="auto"/>
              <w:rPr>
                <w:rFonts w:eastAsia="Times New Roman"/>
                <w:noProof/>
              </w:rPr>
            </w:pPr>
            <w:r>
              <w:rPr>
                <w:noProof/>
              </w:rPr>
              <w:t>2023</w:t>
            </w:r>
          </w:p>
        </w:tc>
        <w:tc>
          <w:tcPr>
            <w:tcW w:w="3049" w:type="dxa"/>
            <w:tcBorders>
              <w:top w:val="single" w:sz="4" w:space="0" w:color="auto"/>
              <w:left w:val="nil"/>
              <w:bottom w:val="single" w:sz="4" w:space="0" w:color="auto"/>
              <w:right w:val="single" w:sz="4" w:space="0" w:color="auto"/>
            </w:tcBorders>
            <w:shd w:val="clear" w:color="auto" w:fill="C6EFCE"/>
            <w:noWrap/>
          </w:tcPr>
          <w:p w14:paraId="24FB1CF7" w14:textId="593DF726" w:rsidR="003B6BD9" w:rsidRDefault="009E25E8">
            <w:pPr>
              <w:pStyle w:val="P68B1DB1-Normal7"/>
              <w:spacing w:before="0" w:after="0" w:line="240" w:lineRule="auto"/>
              <w:rPr>
                <w:rFonts w:eastAsia="Times New Roman"/>
                <w:noProof/>
              </w:rPr>
            </w:pPr>
            <w:r>
              <w:rPr>
                <w:noProof/>
              </w:rPr>
              <w:t xml:space="preserve">La résolution est adoptée par l’Assemblée nationale de la République de Slovénie. Il définit l’organisation et la réaction aux catastrophes liées au climat, le fonctionnement des unités modulaires de réaction aux catastrophes liées au climat nouvellement créées, leur formation, ainsi que le fonctionnement et le rôle des unités existantes dans la réaction aux catastrophes liées au climat. Elle vise à réagir plus rapidement, de manière plus coordonnée et plus efficace aux catastrophes liées au climat (inondations, incendies de forêt de grande ampleur et autres catastrophes liées au climat). </w:t>
            </w:r>
          </w:p>
        </w:tc>
      </w:tr>
      <w:tr w:rsidR="003B6BD9" w14:paraId="46B106F1" w14:textId="77777777" w:rsidTr="00AC1D11">
        <w:trPr>
          <w:trHeight w:val="1664"/>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2BB205D4" w14:textId="7DDDD3F1" w:rsidR="003B6BD9" w:rsidRDefault="009E25E8">
            <w:pPr>
              <w:pStyle w:val="P68B1DB1-Normal7"/>
              <w:spacing w:before="0" w:after="0" w:line="240" w:lineRule="auto"/>
              <w:rPr>
                <w:rFonts w:eastAsia="Times New Roman"/>
                <w:noProof/>
              </w:rPr>
            </w:pPr>
            <w:r>
              <w:rPr>
                <w:noProof/>
              </w:rPr>
              <w:t>30</w:t>
            </w:r>
          </w:p>
        </w:tc>
        <w:tc>
          <w:tcPr>
            <w:tcW w:w="1440" w:type="dxa"/>
            <w:tcBorders>
              <w:top w:val="single" w:sz="4" w:space="0" w:color="auto"/>
              <w:left w:val="nil"/>
              <w:bottom w:val="single" w:sz="4" w:space="0" w:color="auto"/>
              <w:right w:val="single" w:sz="4" w:space="0" w:color="auto"/>
            </w:tcBorders>
            <w:shd w:val="clear" w:color="auto" w:fill="C6EFCE"/>
            <w:noWrap/>
          </w:tcPr>
          <w:p w14:paraId="67964EA9" w14:textId="4218B924" w:rsidR="003B6BD9" w:rsidRDefault="009E25E8">
            <w:pPr>
              <w:pStyle w:val="P68B1DB1-Normal7"/>
              <w:spacing w:before="0" w:after="0" w:line="240" w:lineRule="auto"/>
              <w:rPr>
                <w:rFonts w:eastAsia="Times New Roman"/>
                <w:noProof/>
              </w:rPr>
            </w:pPr>
            <w:r>
              <w:rPr>
                <w:noProof/>
              </w:rPr>
              <w:t>E: Résilience sociale et économique aux catastrophes liées au climat en République de Slovénie</w:t>
            </w:r>
          </w:p>
        </w:tc>
        <w:tc>
          <w:tcPr>
            <w:tcW w:w="1080" w:type="dxa"/>
            <w:tcBorders>
              <w:top w:val="single" w:sz="4" w:space="0" w:color="auto"/>
              <w:left w:val="nil"/>
              <w:bottom w:val="single" w:sz="4" w:space="0" w:color="auto"/>
              <w:right w:val="single" w:sz="4" w:space="0" w:color="auto"/>
            </w:tcBorders>
            <w:shd w:val="clear" w:color="auto" w:fill="C6EFCE"/>
            <w:noWrap/>
          </w:tcPr>
          <w:p w14:paraId="0C548F86" w14:textId="498365D5" w:rsidR="003B6BD9" w:rsidRDefault="009E25E8">
            <w:pPr>
              <w:pStyle w:val="P68B1DB1-Normal7"/>
              <w:spacing w:before="0" w:after="0" w:line="240" w:lineRule="auto"/>
              <w:rPr>
                <w:rFonts w:eastAsia="Times New Roman"/>
                <w:noProof/>
              </w:rPr>
            </w:pPr>
            <w:r>
              <w:rPr>
                <w:noProof/>
              </w:rPr>
              <w:t>Cible</w:t>
            </w:r>
          </w:p>
        </w:tc>
        <w:tc>
          <w:tcPr>
            <w:tcW w:w="2184" w:type="dxa"/>
            <w:tcBorders>
              <w:top w:val="single" w:sz="4" w:space="0" w:color="auto"/>
              <w:left w:val="nil"/>
              <w:bottom w:val="single" w:sz="4" w:space="0" w:color="auto"/>
              <w:right w:val="single" w:sz="4" w:space="0" w:color="auto"/>
            </w:tcBorders>
            <w:shd w:val="clear" w:color="auto" w:fill="C6EFCE"/>
            <w:noWrap/>
          </w:tcPr>
          <w:p w14:paraId="2312D143" w14:textId="76C62AC5" w:rsidR="003B6BD9" w:rsidRDefault="009E25E8">
            <w:pPr>
              <w:pStyle w:val="P68B1DB1-Normal7"/>
              <w:spacing w:before="0" w:after="0" w:line="240" w:lineRule="auto"/>
              <w:rPr>
                <w:rFonts w:eastAsia="Times New Roman"/>
                <w:noProof/>
              </w:rPr>
            </w:pPr>
            <w:r>
              <w:rPr>
                <w:noProof/>
              </w:rPr>
              <w:t>Construction d’un centre de formation des unités de protection civile et de secours en cas de catastrophe pour faire face aux incendies de forêt</w:t>
            </w:r>
          </w:p>
        </w:tc>
        <w:tc>
          <w:tcPr>
            <w:tcW w:w="1632" w:type="dxa"/>
            <w:tcBorders>
              <w:top w:val="single" w:sz="4" w:space="0" w:color="auto"/>
              <w:left w:val="nil"/>
              <w:bottom w:val="single" w:sz="4" w:space="0" w:color="auto"/>
              <w:right w:val="single" w:sz="4" w:space="0" w:color="auto"/>
            </w:tcBorders>
            <w:shd w:val="clear" w:color="auto" w:fill="C6EFCE"/>
            <w:noWrap/>
          </w:tcPr>
          <w:p w14:paraId="23F2B90E" w14:textId="323E4BF1" w:rsidR="003B6BD9" w:rsidRDefault="009E25E8">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31B20D07" w14:textId="1AF43113" w:rsidR="003B6BD9" w:rsidRDefault="009E25E8">
            <w:pPr>
              <w:pStyle w:val="P68B1DB1-Normal7"/>
              <w:spacing w:before="0" w:after="0" w:line="240" w:lineRule="auto"/>
              <w:rPr>
                <w:rFonts w:eastAsia="Times New Roman"/>
                <w:noProof/>
              </w:rPr>
            </w:pPr>
            <w:r>
              <w:rPr>
                <w:noProof/>
              </w:rPr>
              <w:t>Nombre</w:t>
            </w:r>
          </w:p>
        </w:tc>
        <w:tc>
          <w:tcPr>
            <w:tcW w:w="1485" w:type="dxa"/>
            <w:tcBorders>
              <w:top w:val="single" w:sz="4" w:space="0" w:color="auto"/>
              <w:left w:val="nil"/>
              <w:bottom w:val="single" w:sz="4" w:space="0" w:color="auto"/>
              <w:right w:val="single" w:sz="4" w:space="0" w:color="auto"/>
            </w:tcBorders>
            <w:shd w:val="clear" w:color="auto" w:fill="C6EFCE"/>
            <w:noWrap/>
          </w:tcPr>
          <w:p w14:paraId="16AA8F33" w14:textId="250B552F" w:rsidR="003B6BD9" w:rsidRDefault="009E25E8">
            <w:pPr>
              <w:pStyle w:val="P68B1DB1-Normal7"/>
              <w:spacing w:before="0" w:after="0" w:line="240" w:lineRule="auto"/>
              <w:rPr>
                <w:rFonts w:eastAsia="Times New Roman"/>
                <w:noProof/>
              </w:rPr>
            </w:pPr>
            <w:r>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28446036" w14:textId="7DFFCA39" w:rsidR="003B6BD9" w:rsidRDefault="009E25E8">
            <w:pPr>
              <w:pStyle w:val="P68B1DB1-Normal7"/>
              <w:spacing w:before="0" w:after="0" w:line="240" w:lineRule="auto"/>
              <w:rPr>
                <w:rFonts w:eastAsia="Times New Roman"/>
                <w:noProof/>
              </w:rPr>
            </w:pPr>
            <w:r>
              <w:rPr>
                <w:noProof/>
              </w:rPr>
              <w:t>1</w:t>
            </w:r>
          </w:p>
        </w:tc>
        <w:tc>
          <w:tcPr>
            <w:tcW w:w="986" w:type="dxa"/>
            <w:tcBorders>
              <w:top w:val="single" w:sz="4" w:space="0" w:color="auto"/>
              <w:left w:val="nil"/>
              <w:bottom w:val="single" w:sz="4" w:space="0" w:color="auto"/>
              <w:right w:val="single" w:sz="4" w:space="0" w:color="auto"/>
            </w:tcBorders>
            <w:shd w:val="clear" w:color="auto" w:fill="C6EFCE"/>
            <w:noWrap/>
          </w:tcPr>
          <w:p w14:paraId="622BB26F" w14:textId="41B22D28" w:rsidR="003B6BD9" w:rsidRDefault="009E25E8">
            <w:pPr>
              <w:pStyle w:val="P68B1DB1-Normal7"/>
              <w:spacing w:before="0" w:after="0" w:line="240" w:lineRule="auto"/>
              <w:rPr>
                <w:rFonts w:eastAsia="Times New Roman"/>
                <w:noProof/>
              </w:rPr>
            </w:pPr>
            <w:r>
              <w:rPr>
                <w:noProof/>
              </w:rPr>
              <w:t>T4</w:t>
            </w:r>
          </w:p>
        </w:tc>
        <w:tc>
          <w:tcPr>
            <w:tcW w:w="838" w:type="dxa"/>
            <w:tcBorders>
              <w:top w:val="single" w:sz="4" w:space="0" w:color="auto"/>
              <w:left w:val="nil"/>
              <w:bottom w:val="single" w:sz="4" w:space="0" w:color="auto"/>
              <w:right w:val="single" w:sz="4" w:space="0" w:color="auto"/>
            </w:tcBorders>
            <w:shd w:val="clear" w:color="auto" w:fill="C6EFCE"/>
            <w:noWrap/>
          </w:tcPr>
          <w:p w14:paraId="41693CB8" w14:textId="6B7B3723" w:rsidR="003B6BD9" w:rsidRDefault="009E25E8">
            <w:pPr>
              <w:pStyle w:val="P68B1DB1-Normal7"/>
              <w:spacing w:before="0" w:after="0" w:line="240" w:lineRule="auto"/>
              <w:rPr>
                <w:rFonts w:eastAsia="Times New Roman"/>
                <w:noProof/>
              </w:rPr>
            </w:pPr>
            <w:r>
              <w:rPr>
                <w:noProof/>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7D4B2400" w14:textId="6976B6E4" w:rsidR="003B6BD9" w:rsidRDefault="009E25E8">
            <w:pPr>
              <w:pStyle w:val="P68B1DB1-Normal7"/>
              <w:spacing w:before="0" w:after="0" w:line="240" w:lineRule="auto"/>
              <w:jc w:val="both"/>
              <w:rPr>
                <w:rFonts w:eastAsia="Times New Roman"/>
                <w:noProof/>
              </w:rPr>
            </w:pPr>
            <w:r>
              <w:rPr>
                <w:noProof/>
              </w:rPr>
              <w:t>Construction d’un centre de formation des unités de protection civile et de secours en cas de catastrophe pour faire face aux</w:t>
            </w:r>
            <w:r>
              <w:rPr>
                <w:i/>
                <w:noProof/>
              </w:rPr>
              <w:t xml:space="preserve"> </w:t>
            </w:r>
            <w:r>
              <w:rPr>
                <w:noProof/>
              </w:rPr>
              <w:t>incendies de forêt. La demande d’énergie primaire du centre est inférieure d’au moins 20 % à celle requise pour un bâtiment dont la consommation d’énergie est quasi nulle en vertu des règles nationales relatives à la construction de bâtiments dont la consommation d’énergie est quasi nulle.</w:t>
            </w:r>
          </w:p>
        </w:tc>
      </w:tr>
      <w:tr w:rsidR="003B6BD9" w14:paraId="6CEEF18C" w14:textId="77777777" w:rsidTr="00AC1D11">
        <w:trPr>
          <w:trHeight w:val="1448"/>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3B08DA3A" w14:textId="20CEE76F" w:rsidR="003B6BD9" w:rsidRDefault="009E25E8">
            <w:pPr>
              <w:pStyle w:val="P68B1DB1-Normal7"/>
              <w:spacing w:before="0" w:after="0" w:line="240" w:lineRule="auto"/>
              <w:rPr>
                <w:rFonts w:eastAsia="Times New Roman"/>
                <w:noProof/>
              </w:rPr>
            </w:pPr>
            <w:r>
              <w:rPr>
                <w:noProof/>
              </w:rPr>
              <w:t>31</w:t>
            </w:r>
          </w:p>
        </w:tc>
        <w:tc>
          <w:tcPr>
            <w:tcW w:w="1440" w:type="dxa"/>
            <w:tcBorders>
              <w:top w:val="single" w:sz="4" w:space="0" w:color="auto"/>
              <w:left w:val="nil"/>
              <w:bottom w:val="single" w:sz="4" w:space="0" w:color="auto"/>
              <w:right w:val="single" w:sz="4" w:space="0" w:color="auto"/>
            </w:tcBorders>
            <w:shd w:val="clear" w:color="auto" w:fill="C6EFCE"/>
            <w:noWrap/>
          </w:tcPr>
          <w:p w14:paraId="5DA8A648" w14:textId="3C9147D8" w:rsidR="003B6BD9" w:rsidRDefault="009E25E8">
            <w:pPr>
              <w:pStyle w:val="P68B1DB1-Normal7"/>
              <w:spacing w:before="0" w:after="0" w:line="240" w:lineRule="auto"/>
              <w:rPr>
                <w:rFonts w:eastAsia="Times New Roman"/>
                <w:noProof/>
              </w:rPr>
            </w:pPr>
            <w:r>
              <w:rPr>
                <w:noProof/>
              </w:rPr>
              <w:t xml:space="preserve">E: Résilience sociale et économique aux catastrophes liées au climat en République de Slovénie </w:t>
            </w:r>
          </w:p>
        </w:tc>
        <w:tc>
          <w:tcPr>
            <w:tcW w:w="1080" w:type="dxa"/>
            <w:tcBorders>
              <w:top w:val="single" w:sz="4" w:space="0" w:color="auto"/>
              <w:left w:val="nil"/>
              <w:bottom w:val="single" w:sz="4" w:space="0" w:color="auto"/>
              <w:right w:val="single" w:sz="4" w:space="0" w:color="auto"/>
            </w:tcBorders>
            <w:shd w:val="clear" w:color="auto" w:fill="C6EFCE"/>
            <w:noWrap/>
          </w:tcPr>
          <w:p w14:paraId="29FFEF60" w14:textId="7DE1FD13" w:rsidR="003B6BD9" w:rsidRDefault="009E25E8">
            <w:pPr>
              <w:pStyle w:val="P68B1DB1-Normal7"/>
              <w:spacing w:before="0" w:after="0" w:line="240" w:lineRule="auto"/>
              <w:rPr>
                <w:rFonts w:eastAsia="Times New Roman"/>
                <w:noProof/>
              </w:rPr>
            </w:pPr>
            <w:r>
              <w:rPr>
                <w:noProof/>
              </w:rPr>
              <w:t>Cible</w:t>
            </w:r>
          </w:p>
        </w:tc>
        <w:tc>
          <w:tcPr>
            <w:tcW w:w="2184" w:type="dxa"/>
            <w:tcBorders>
              <w:top w:val="single" w:sz="4" w:space="0" w:color="auto"/>
              <w:left w:val="nil"/>
              <w:bottom w:val="single" w:sz="4" w:space="0" w:color="auto"/>
              <w:right w:val="single" w:sz="4" w:space="0" w:color="auto"/>
            </w:tcBorders>
            <w:shd w:val="clear" w:color="auto" w:fill="C6EFCE"/>
            <w:noWrap/>
          </w:tcPr>
          <w:p w14:paraId="5A8EF9D5" w14:textId="7B09AA11" w:rsidR="003B6BD9" w:rsidRDefault="009E25E8">
            <w:pPr>
              <w:pStyle w:val="P68B1DB1-Normal7"/>
              <w:spacing w:before="0" w:after="0" w:line="240" w:lineRule="auto"/>
              <w:rPr>
                <w:rFonts w:eastAsia="Times New Roman"/>
                <w:noProof/>
              </w:rPr>
            </w:pPr>
            <w:r>
              <w:rPr>
                <w:noProof/>
              </w:rPr>
              <w:t>Formation des participants à la lutte contre les incendies de forêt</w:t>
            </w:r>
          </w:p>
        </w:tc>
        <w:tc>
          <w:tcPr>
            <w:tcW w:w="1632" w:type="dxa"/>
            <w:tcBorders>
              <w:top w:val="single" w:sz="4" w:space="0" w:color="auto"/>
              <w:left w:val="nil"/>
              <w:bottom w:val="single" w:sz="4" w:space="0" w:color="auto"/>
              <w:right w:val="single" w:sz="4" w:space="0" w:color="auto"/>
            </w:tcBorders>
            <w:shd w:val="clear" w:color="auto" w:fill="C6EFCE"/>
            <w:noWrap/>
          </w:tcPr>
          <w:p w14:paraId="3A1356EB" w14:textId="3AA01AAA" w:rsidR="003B6BD9" w:rsidRDefault="009E25E8">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12FA367D" w14:textId="2B2BC5E6" w:rsidR="003B6BD9" w:rsidRDefault="009E25E8">
            <w:pPr>
              <w:pStyle w:val="P68B1DB1-Normal7"/>
              <w:spacing w:before="0" w:after="0" w:line="240" w:lineRule="auto"/>
              <w:rPr>
                <w:rFonts w:eastAsia="Times New Roman"/>
                <w:noProof/>
              </w:rPr>
            </w:pPr>
            <w:r>
              <w:rPr>
                <w:noProof/>
              </w:rPr>
              <w:t>Nombre</w:t>
            </w:r>
          </w:p>
        </w:tc>
        <w:tc>
          <w:tcPr>
            <w:tcW w:w="1485" w:type="dxa"/>
            <w:tcBorders>
              <w:top w:val="single" w:sz="4" w:space="0" w:color="auto"/>
              <w:left w:val="nil"/>
              <w:bottom w:val="single" w:sz="4" w:space="0" w:color="auto"/>
              <w:right w:val="single" w:sz="4" w:space="0" w:color="auto"/>
            </w:tcBorders>
            <w:shd w:val="clear" w:color="auto" w:fill="C6EFCE"/>
            <w:noWrap/>
          </w:tcPr>
          <w:p w14:paraId="240906F8" w14:textId="4953CFBC" w:rsidR="003B6BD9" w:rsidRDefault="009E25E8">
            <w:pPr>
              <w:pStyle w:val="P68B1DB1-Normal7"/>
              <w:spacing w:before="0" w:after="0" w:line="240" w:lineRule="auto"/>
              <w:rPr>
                <w:rFonts w:eastAsia="Times New Roman"/>
                <w:noProof/>
              </w:rPr>
            </w:pPr>
            <w:r>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095D1C5B" w14:textId="1A4298C5" w:rsidR="003B6BD9" w:rsidRDefault="009E25E8">
            <w:pPr>
              <w:pStyle w:val="P68B1DB1-Normal7"/>
              <w:spacing w:before="0" w:after="0" w:line="240" w:lineRule="auto"/>
              <w:rPr>
                <w:rFonts w:eastAsia="Times New Roman"/>
                <w:noProof/>
              </w:rPr>
            </w:pPr>
            <w:r>
              <w:rPr>
                <w:noProof/>
              </w:rPr>
              <w:t xml:space="preserve">1 000 </w:t>
            </w:r>
          </w:p>
        </w:tc>
        <w:tc>
          <w:tcPr>
            <w:tcW w:w="986" w:type="dxa"/>
            <w:tcBorders>
              <w:top w:val="single" w:sz="4" w:space="0" w:color="auto"/>
              <w:left w:val="nil"/>
              <w:bottom w:val="single" w:sz="4" w:space="0" w:color="auto"/>
              <w:right w:val="single" w:sz="4" w:space="0" w:color="auto"/>
            </w:tcBorders>
            <w:shd w:val="clear" w:color="auto" w:fill="C6EFCE"/>
            <w:noWrap/>
          </w:tcPr>
          <w:p w14:paraId="541594BE" w14:textId="5F470CFF" w:rsidR="003B6BD9" w:rsidRDefault="009E25E8">
            <w:pPr>
              <w:pStyle w:val="P68B1DB1-Normal7"/>
              <w:spacing w:before="0" w:after="0" w:line="240" w:lineRule="auto"/>
              <w:rPr>
                <w:rFonts w:eastAsia="Times New Roman"/>
                <w:noProof/>
              </w:rPr>
            </w:pPr>
            <w:r>
              <w:rPr>
                <w:noProof/>
              </w:rPr>
              <w:t>T2</w:t>
            </w:r>
          </w:p>
        </w:tc>
        <w:tc>
          <w:tcPr>
            <w:tcW w:w="838" w:type="dxa"/>
            <w:tcBorders>
              <w:top w:val="single" w:sz="4" w:space="0" w:color="auto"/>
              <w:left w:val="nil"/>
              <w:bottom w:val="single" w:sz="4" w:space="0" w:color="auto"/>
              <w:right w:val="single" w:sz="4" w:space="0" w:color="auto"/>
            </w:tcBorders>
            <w:shd w:val="clear" w:color="auto" w:fill="C6EFCE"/>
            <w:noWrap/>
          </w:tcPr>
          <w:p w14:paraId="5AF81404" w14:textId="43CA8A4C" w:rsidR="003B6BD9" w:rsidRDefault="009E25E8">
            <w:pPr>
              <w:pStyle w:val="P68B1DB1-Normal7"/>
              <w:spacing w:before="0" w:after="0" w:line="240" w:lineRule="auto"/>
              <w:rPr>
                <w:rFonts w:eastAsia="Times New Roman"/>
                <w:noProof/>
              </w:rPr>
            </w:pPr>
            <w:r>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A24B2DE" w14:textId="07EB6F2C" w:rsidR="003B6BD9" w:rsidRDefault="009E25E8">
            <w:pPr>
              <w:pStyle w:val="P68B1DB1-Normal7"/>
              <w:spacing w:before="0" w:after="0" w:line="240" w:lineRule="auto"/>
              <w:rPr>
                <w:rFonts w:eastAsia="Times New Roman"/>
                <w:noProof/>
              </w:rPr>
            </w:pPr>
            <w:r>
              <w:rPr>
                <w:noProof/>
              </w:rPr>
              <w:t>Au total, 1 000 participants ont été formés pour faire face aux incendies de forêt.</w:t>
            </w:r>
          </w:p>
        </w:tc>
      </w:tr>
      <w:tr w:rsidR="003B6BD9" w14:paraId="147FB8DE" w14:textId="77777777" w:rsidTr="00AC1D11">
        <w:trPr>
          <w:trHeight w:val="615"/>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6BE7C187" w14:textId="747884BF" w:rsidR="003B6BD9" w:rsidRDefault="009E25E8">
            <w:pPr>
              <w:pStyle w:val="P68B1DB1-Normal7"/>
              <w:spacing w:before="0" w:after="0" w:line="240" w:lineRule="auto"/>
              <w:rPr>
                <w:rFonts w:eastAsia="Times New Roman"/>
                <w:noProof/>
              </w:rPr>
            </w:pPr>
            <w:r>
              <w:rPr>
                <w:noProof/>
              </w:rPr>
              <w:t>32</w:t>
            </w:r>
          </w:p>
        </w:tc>
        <w:tc>
          <w:tcPr>
            <w:tcW w:w="1440" w:type="dxa"/>
            <w:tcBorders>
              <w:top w:val="single" w:sz="4" w:space="0" w:color="auto"/>
              <w:left w:val="nil"/>
              <w:bottom w:val="single" w:sz="4" w:space="0" w:color="auto"/>
              <w:right w:val="single" w:sz="4" w:space="0" w:color="auto"/>
            </w:tcBorders>
            <w:shd w:val="clear" w:color="auto" w:fill="C6EFCE"/>
            <w:noWrap/>
          </w:tcPr>
          <w:p w14:paraId="34F84224" w14:textId="4C286285" w:rsidR="003B6BD9" w:rsidRDefault="009E25E8">
            <w:pPr>
              <w:pStyle w:val="P68B1DB1-Normal7"/>
              <w:spacing w:before="0" w:after="0" w:line="240" w:lineRule="auto"/>
              <w:rPr>
                <w:rFonts w:eastAsia="Times New Roman"/>
                <w:noProof/>
              </w:rPr>
            </w:pPr>
            <w:r>
              <w:rPr>
                <w:noProof/>
              </w:rPr>
              <w:t>F: Réduction des risques d’inondation</w:t>
            </w:r>
          </w:p>
        </w:tc>
        <w:tc>
          <w:tcPr>
            <w:tcW w:w="1080" w:type="dxa"/>
            <w:tcBorders>
              <w:top w:val="single" w:sz="4" w:space="0" w:color="auto"/>
              <w:left w:val="nil"/>
              <w:bottom w:val="single" w:sz="4" w:space="0" w:color="auto"/>
              <w:right w:val="single" w:sz="4" w:space="0" w:color="auto"/>
            </w:tcBorders>
            <w:shd w:val="clear" w:color="auto" w:fill="C6EFCE"/>
            <w:noWrap/>
          </w:tcPr>
          <w:p w14:paraId="330E40B6" w14:textId="0F827316" w:rsidR="003B6BD9" w:rsidRDefault="009E25E8">
            <w:pPr>
              <w:pStyle w:val="P68B1DB1-Normal7"/>
              <w:spacing w:before="0" w:after="0" w:line="240" w:lineRule="auto"/>
              <w:rPr>
                <w:rFonts w:eastAsia="Times New Roman"/>
                <w:noProof/>
              </w:rPr>
            </w:pPr>
            <w:r>
              <w:rPr>
                <w:noProof/>
              </w:rPr>
              <w:t>Jalon</w:t>
            </w:r>
          </w:p>
        </w:tc>
        <w:tc>
          <w:tcPr>
            <w:tcW w:w="2184" w:type="dxa"/>
            <w:tcBorders>
              <w:top w:val="single" w:sz="4" w:space="0" w:color="auto"/>
              <w:left w:val="nil"/>
              <w:bottom w:val="single" w:sz="4" w:space="0" w:color="auto"/>
              <w:right w:val="single" w:sz="4" w:space="0" w:color="auto"/>
            </w:tcBorders>
            <w:shd w:val="clear" w:color="auto" w:fill="C6EFCE"/>
            <w:noWrap/>
          </w:tcPr>
          <w:p w14:paraId="44D55398" w14:textId="39E86963" w:rsidR="003B6BD9" w:rsidRDefault="009E25E8">
            <w:pPr>
              <w:pStyle w:val="P68B1DB1-Normal7"/>
              <w:spacing w:before="0" w:after="0" w:line="240" w:lineRule="auto"/>
              <w:rPr>
                <w:rFonts w:eastAsia="Times New Roman"/>
                <w:noProof/>
              </w:rPr>
            </w:pPr>
            <w:r>
              <w:rPr>
                <w:noProof/>
              </w:rPr>
              <w:t>Attribution de marchés pour des projets de protection contre les inondations</w:t>
            </w:r>
          </w:p>
        </w:tc>
        <w:tc>
          <w:tcPr>
            <w:tcW w:w="1632" w:type="dxa"/>
            <w:tcBorders>
              <w:top w:val="single" w:sz="4" w:space="0" w:color="auto"/>
              <w:left w:val="nil"/>
              <w:bottom w:val="single" w:sz="4" w:space="0" w:color="auto"/>
              <w:right w:val="single" w:sz="4" w:space="0" w:color="auto"/>
            </w:tcBorders>
            <w:shd w:val="clear" w:color="auto" w:fill="C6EFCE"/>
            <w:noWrap/>
          </w:tcPr>
          <w:p w14:paraId="46F4C104" w14:textId="24163D2A" w:rsidR="003B6BD9" w:rsidRDefault="009E25E8">
            <w:pPr>
              <w:pStyle w:val="P68B1DB1-Normal7"/>
              <w:spacing w:before="0" w:after="0" w:line="256" w:lineRule="auto"/>
              <w:rPr>
                <w:rFonts w:eastAsia="Times New Roman"/>
                <w:noProof/>
              </w:rPr>
            </w:pPr>
            <w:r>
              <w:rPr>
                <w:noProof/>
              </w:rPr>
              <w:t>Communication des prix</w:t>
            </w:r>
          </w:p>
        </w:tc>
        <w:tc>
          <w:tcPr>
            <w:tcW w:w="1042" w:type="dxa"/>
            <w:tcBorders>
              <w:top w:val="single" w:sz="4" w:space="0" w:color="auto"/>
              <w:left w:val="nil"/>
              <w:bottom w:val="single" w:sz="4" w:space="0" w:color="auto"/>
              <w:right w:val="single" w:sz="4" w:space="0" w:color="auto"/>
            </w:tcBorders>
            <w:shd w:val="clear" w:color="auto" w:fill="C6EFCE"/>
            <w:noWrap/>
          </w:tcPr>
          <w:p w14:paraId="369D8547" w14:textId="3C5F7EC4" w:rsidR="003B6BD9" w:rsidRDefault="009E25E8">
            <w:pPr>
              <w:pStyle w:val="P68B1DB1-Normal7"/>
              <w:spacing w:before="0" w:after="0" w:line="240" w:lineRule="auto"/>
              <w:rPr>
                <w:rFonts w:eastAsia="Times New Roman"/>
                <w:noProof/>
              </w:rPr>
            </w:pPr>
            <w:r>
              <w:rPr>
                <w:noProof/>
              </w:rPr>
              <w:t> </w:t>
            </w:r>
          </w:p>
        </w:tc>
        <w:tc>
          <w:tcPr>
            <w:tcW w:w="1485" w:type="dxa"/>
            <w:tcBorders>
              <w:top w:val="single" w:sz="4" w:space="0" w:color="auto"/>
              <w:left w:val="nil"/>
              <w:bottom w:val="single" w:sz="4" w:space="0" w:color="auto"/>
              <w:right w:val="single" w:sz="4" w:space="0" w:color="auto"/>
            </w:tcBorders>
            <w:shd w:val="clear" w:color="auto" w:fill="C6EFCE"/>
            <w:noWrap/>
          </w:tcPr>
          <w:p w14:paraId="540ED1EE" w14:textId="368EEFAF" w:rsidR="003B6BD9" w:rsidRDefault="009E25E8">
            <w:pPr>
              <w:pStyle w:val="P68B1DB1-Normal7"/>
              <w:spacing w:before="0" w:after="0" w:line="240" w:lineRule="auto"/>
              <w:rPr>
                <w:rFonts w:eastAsia="Times New Roman"/>
                <w:noProof/>
              </w:rPr>
            </w:pPr>
            <w:r>
              <w:rPr>
                <w:noProof/>
              </w:rPr>
              <w:t> </w:t>
            </w:r>
          </w:p>
        </w:tc>
        <w:tc>
          <w:tcPr>
            <w:tcW w:w="711" w:type="dxa"/>
            <w:tcBorders>
              <w:top w:val="single" w:sz="4" w:space="0" w:color="auto"/>
              <w:left w:val="nil"/>
              <w:bottom w:val="single" w:sz="4" w:space="0" w:color="auto"/>
              <w:right w:val="single" w:sz="4" w:space="0" w:color="auto"/>
            </w:tcBorders>
            <w:shd w:val="clear" w:color="auto" w:fill="C6EFCE"/>
            <w:noWrap/>
          </w:tcPr>
          <w:p w14:paraId="579868D5" w14:textId="248DD52F" w:rsidR="003B6BD9" w:rsidRDefault="009E25E8">
            <w:pPr>
              <w:pStyle w:val="P68B1DB1-Normal7"/>
              <w:spacing w:before="0" w:after="0" w:line="240" w:lineRule="auto"/>
              <w:rPr>
                <w:rFonts w:eastAsia="Times New Roman"/>
                <w:noProof/>
              </w:rPr>
            </w:pPr>
            <w:r>
              <w:rPr>
                <w:noProof/>
              </w:rPr>
              <w:t> </w:t>
            </w:r>
          </w:p>
        </w:tc>
        <w:tc>
          <w:tcPr>
            <w:tcW w:w="986" w:type="dxa"/>
            <w:tcBorders>
              <w:top w:val="single" w:sz="4" w:space="0" w:color="auto"/>
              <w:left w:val="nil"/>
              <w:bottom w:val="single" w:sz="4" w:space="0" w:color="auto"/>
              <w:right w:val="single" w:sz="4" w:space="0" w:color="auto"/>
            </w:tcBorders>
            <w:shd w:val="clear" w:color="auto" w:fill="C6EFCE"/>
            <w:noWrap/>
          </w:tcPr>
          <w:p w14:paraId="0CFA9743" w14:textId="4394B00E" w:rsidR="003B6BD9" w:rsidRDefault="009E25E8">
            <w:pPr>
              <w:pStyle w:val="P68B1DB1-Normal7"/>
              <w:spacing w:before="0" w:after="0" w:line="240" w:lineRule="auto"/>
              <w:rPr>
                <w:rFonts w:eastAsia="Times New Roman"/>
                <w:noProof/>
              </w:rPr>
            </w:pPr>
            <w:r>
              <w:rPr>
                <w:noProof/>
              </w:rPr>
              <w:t>T4</w:t>
            </w:r>
          </w:p>
        </w:tc>
        <w:tc>
          <w:tcPr>
            <w:tcW w:w="838" w:type="dxa"/>
            <w:tcBorders>
              <w:top w:val="single" w:sz="4" w:space="0" w:color="auto"/>
              <w:left w:val="nil"/>
              <w:bottom w:val="single" w:sz="4" w:space="0" w:color="auto"/>
              <w:right w:val="single" w:sz="4" w:space="0" w:color="auto"/>
            </w:tcBorders>
            <w:shd w:val="clear" w:color="auto" w:fill="C6EFCE"/>
            <w:noWrap/>
          </w:tcPr>
          <w:p w14:paraId="04899DB1" w14:textId="5FF5A683" w:rsidR="003B6BD9" w:rsidRDefault="009E25E8">
            <w:pPr>
              <w:pStyle w:val="P68B1DB1-Normal7"/>
              <w:spacing w:before="0" w:after="0" w:line="240" w:lineRule="auto"/>
              <w:rPr>
                <w:rFonts w:eastAsia="Times New Roman"/>
                <w:noProof/>
              </w:rPr>
            </w:pPr>
            <w:r>
              <w:rPr>
                <w:noProof/>
              </w:rPr>
              <w:t>2024</w:t>
            </w:r>
          </w:p>
        </w:tc>
        <w:tc>
          <w:tcPr>
            <w:tcW w:w="3049" w:type="dxa"/>
            <w:tcBorders>
              <w:top w:val="single" w:sz="4" w:space="0" w:color="auto"/>
              <w:left w:val="nil"/>
              <w:bottom w:val="single" w:sz="4" w:space="0" w:color="auto"/>
              <w:right w:val="single" w:sz="4" w:space="0" w:color="auto"/>
            </w:tcBorders>
            <w:shd w:val="clear" w:color="auto" w:fill="C6EFCE"/>
            <w:noWrap/>
          </w:tcPr>
          <w:p w14:paraId="0548CD8F" w14:textId="5D1509E8" w:rsidR="003B6BD9" w:rsidRDefault="009E25E8">
            <w:pPr>
              <w:pStyle w:val="P68B1DB1-Normal7"/>
              <w:spacing w:before="0" w:after="0" w:line="240" w:lineRule="auto"/>
              <w:rPr>
                <w:noProof/>
              </w:rPr>
            </w:pPr>
            <w:r>
              <w:rPr>
                <w:noProof/>
              </w:rPr>
              <w:t xml:space="preserve">Attribution de marchés pour 6 projets de protection contre les inondations. Les critères de sélection pour l’appel d’offres en vue de la préparation de la documentation relative au projet comprennent: </w:t>
            </w:r>
          </w:p>
          <w:p w14:paraId="653A03B1" w14:textId="37B8657F" w:rsidR="003B6BD9" w:rsidRDefault="009E25E8">
            <w:pPr>
              <w:pStyle w:val="P68B1DB1-Normal7"/>
              <w:spacing w:before="0" w:after="0" w:line="240" w:lineRule="auto"/>
              <w:rPr>
                <w:noProof/>
              </w:rPr>
            </w:pPr>
            <w:r>
              <w:rPr>
                <w:noProof/>
              </w:rPr>
              <w:t xml:space="preserve">a) l’exigence selon laquelle les mesures fondées sur la nature et l’infrastructure verte doivent être incluses dans les projets; </w:t>
            </w:r>
          </w:p>
          <w:p w14:paraId="2E733331" w14:textId="27B23E27" w:rsidR="003B6BD9" w:rsidRDefault="009E25E8">
            <w:pPr>
              <w:pStyle w:val="P68B1DB1-Normal7"/>
              <w:spacing w:before="0" w:after="0" w:line="240" w:lineRule="auto"/>
              <w:rPr>
                <w:noProof/>
              </w:rPr>
            </w:pPr>
            <w:r>
              <w:rPr>
                <w:noProof/>
              </w:rPr>
              <w:t xml:space="preserve">b) l’exigence selon laquelle les projets doivent être conformes aux orientations techniques «ne pas causer de préjudice important» (2021/C58/01). </w:t>
            </w:r>
          </w:p>
        </w:tc>
      </w:tr>
      <w:tr w:rsidR="003B6BD9" w14:paraId="6F4E30AA" w14:textId="77777777" w:rsidTr="00AC1D11">
        <w:trPr>
          <w:trHeight w:val="63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3CEDCCB0" w14:textId="66395DD9" w:rsidR="003B6BD9" w:rsidRDefault="009E25E8">
            <w:pPr>
              <w:pStyle w:val="P68B1DB1-Normal7"/>
              <w:spacing w:before="0" w:after="0" w:line="240" w:lineRule="auto"/>
              <w:rPr>
                <w:rFonts w:eastAsia="Times New Roman"/>
                <w:noProof/>
              </w:rPr>
            </w:pPr>
            <w:r>
              <w:rPr>
                <w:noProof/>
              </w:rPr>
              <w:t>35</w:t>
            </w:r>
          </w:p>
        </w:tc>
        <w:tc>
          <w:tcPr>
            <w:tcW w:w="1440" w:type="dxa"/>
            <w:tcBorders>
              <w:top w:val="single" w:sz="4" w:space="0" w:color="auto"/>
              <w:left w:val="nil"/>
              <w:bottom w:val="single" w:sz="4" w:space="0" w:color="auto"/>
              <w:right w:val="single" w:sz="4" w:space="0" w:color="auto"/>
            </w:tcBorders>
            <w:shd w:val="clear" w:color="auto" w:fill="C6EFCE"/>
            <w:noWrap/>
          </w:tcPr>
          <w:p w14:paraId="09D25854" w14:textId="44586B26" w:rsidR="003B6BD9" w:rsidRDefault="009E25E8">
            <w:pPr>
              <w:pStyle w:val="P68B1DB1-Normal7"/>
              <w:spacing w:before="0" w:after="0" w:line="240" w:lineRule="auto"/>
              <w:rPr>
                <w:rFonts w:eastAsia="Times New Roman"/>
                <w:noProof/>
              </w:rPr>
            </w:pPr>
            <w:r>
              <w:rPr>
                <w:noProof/>
              </w:rPr>
              <w:t>F: Réduction des risques d’inondation</w:t>
            </w:r>
          </w:p>
        </w:tc>
        <w:tc>
          <w:tcPr>
            <w:tcW w:w="1080" w:type="dxa"/>
            <w:tcBorders>
              <w:top w:val="single" w:sz="4" w:space="0" w:color="auto"/>
              <w:left w:val="nil"/>
              <w:bottom w:val="single" w:sz="4" w:space="0" w:color="auto"/>
              <w:right w:val="single" w:sz="4" w:space="0" w:color="auto"/>
            </w:tcBorders>
            <w:shd w:val="clear" w:color="auto" w:fill="C6EFCE"/>
            <w:noWrap/>
          </w:tcPr>
          <w:p w14:paraId="65934091" w14:textId="39DDB9E7" w:rsidR="003B6BD9" w:rsidRDefault="009E25E8">
            <w:pPr>
              <w:pStyle w:val="P68B1DB1-Normal7"/>
              <w:spacing w:before="0" w:after="0" w:line="240" w:lineRule="auto"/>
              <w:rPr>
                <w:rFonts w:eastAsia="Times New Roman"/>
                <w:noProof/>
              </w:rPr>
            </w:pPr>
            <w:r>
              <w:rPr>
                <w:noProof/>
              </w:rPr>
              <w:t>Cible</w:t>
            </w:r>
          </w:p>
        </w:tc>
        <w:tc>
          <w:tcPr>
            <w:tcW w:w="2184" w:type="dxa"/>
            <w:tcBorders>
              <w:top w:val="single" w:sz="4" w:space="0" w:color="auto"/>
              <w:left w:val="nil"/>
              <w:bottom w:val="single" w:sz="4" w:space="0" w:color="auto"/>
              <w:right w:val="single" w:sz="4" w:space="0" w:color="auto"/>
            </w:tcBorders>
            <w:shd w:val="clear" w:color="auto" w:fill="C6EFCE"/>
            <w:noWrap/>
          </w:tcPr>
          <w:p w14:paraId="5D20E167" w14:textId="3CF59934" w:rsidR="003B6BD9" w:rsidRDefault="009E25E8">
            <w:pPr>
              <w:pStyle w:val="P68B1DB1-Normal7"/>
              <w:spacing w:before="0" w:after="0" w:line="240" w:lineRule="auto"/>
              <w:rPr>
                <w:rFonts w:eastAsia="Times New Roman"/>
                <w:noProof/>
              </w:rPr>
            </w:pPr>
            <w:r>
              <w:rPr>
                <w:noProof/>
              </w:rPr>
              <w:t xml:space="preserve">Construction d’infrastructures de protection contre les inondations </w:t>
            </w:r>
          </w:p>
        </w:tc>
        <w:tc>
          <w:tcPr>
            <w:tcW w:w="1632" w:type="dxa"/>
            <w:tcBorders>
              <w:top w:val="single" w:sz="4" w:space="0" w:color="auto"/>
              <w:left w:val="nil"/>
              <w:bottom w:val="single" w:sz="4" w:space="0" w:color="auto"/>
              <w:right w:val="single" w:sz="4" w:space="0" w:color="auto"/>
            </w:tcBorders>
            <w:shd w:val="clear" w:color="auto" w:fill="C6EFCE"/>
            <w:noWrap/>
          </w:tcPr>
          <w:p w14:paraId="51740761" w14:textId="2D2252A5" w:rsidR="003B6BD9" w:rsidRDefault="009E25E8">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6B4C01B5" w14:textId="18C944D5" w:rsidR="003B6BD9" w:rsidRDefault="009E25E8">
            <w:pPr>
              <w:pStyle w:val="P68B1DB1-Normal7"/>
              <w:spacing w:before="0" w:after="0" w:line="240" w:lineRule="auto"/>
              <w:rPr>
                <w:rFonts w:eastAsia="Times New Roman"/>
                <w:noProof/>
              </w:rPr>
            </w:pPr>
            <w:r>
              <w:rPr>
                <w:noProof/>
              </w:rPr>
              <w:t>Nombre</w:t>
            </w:r>
          </w:p>
        </w:tc>
        <w:tc>
          <w:tcPr>
            <w:tcW w:w="1485" w:type="dxa"/>
            <w:tcBorders>
              <w:top w:val="single" w:sz="4" w:space="0" w:color="auto"/>
              <w:left w:val="nil"/>
              <w:bottom w:val="single" w:sz="4" w:space="0" w:color="auto"/>
              <w:right w:val="single" w:sz="4" w:space="0" w:color="auto"/>
            </w:tcBorders>
            <w:shd w:val="clear" w:color="auto" w:fill="C6EFCE"/>
            <w:noWrap/>
          </w:tcPr>
          <w:p w14:paraId="5DEA650D" w14:textId="7C625E64" w:rsidR="003B6BD9" w:rsidRDefault="009E25E8">
            <w:pPr>
              <w:pStyle w:val="P68B1DB1-Normal7"/>
              <w:spacing w:before="0" w:after="0" w:line="240" w:lineRule="auto"/>
              <w:rPr>
                <w:rFonts w:eastAsia="Times New Roman"/>
                <w:noProof/>
              </w:rPr>
            </w:pPr>
            <w:r>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04339DEF" w14:textId="0F135AB0" w:rsidR="003B6BD9" w:rsidRDefault="009E25E8">
            <w:pPr>
              <w:pStyle w:val="P68B1DB1-Normal7"/>
              <w:spacing w:before="0" w:after="0" w:line="240" w:lineRule="auto"/>
              <w:rPr>
                <w:rFonts w:eastAsia="Times New Roman"/>
                <w:noProof/>
              </w:rPr>
            </w:pPr>
            <w:r>
              <w:rPr>
                <w:noProof/>
              </w:rPr>
              <w:t>7</w:t>
            </w:r>
          </w:p>
        </w:tc>
        <w:tc>
          <w:tcPr>
            <w:tcW w:w="986" w:type="dxa"/>
            <w:tcBorders>
              <w:top w:val="single" w:sz="4" w:space="0" w:color="auto"/>
              <w:left w:val="nil"/>
              <w:bottom w:val="single" w:sz="4" w:space="0" w:color="auto"/>
              <w:right w:val="single" w:sz="4" w:space="0" w:color="auto"/>
            </w:tcBorders>
            <w:shd w:val="clear" w:color="auto" w:fill="C6EFCE"/>
            <w:noWrap/>
          </w:tcPr>
          <w:p w14:paraId="4B3E971D" w14:textId="125C4FC5" w:rsidR="003B6BD9" w:rsidRDefault="009E25E8">
            <w:pPr>
              <w:pStyle w:val="P68B1DB1-Normal7"/>
              <w:spacing w:before="0" w:after="0" w:line="240" w:lineRule="auto"/>
              <w:rPr>
                <w:rFonts w:eastAsia="Times New Roman"/>
                <w:noProof/>
              </w:rPr>
            </w:pPr>
            <w:r>
              <w:rPr>
                <w:noProof/>
              </w:rPr>
              <w:t>T2</w:t>
            </w:r>
          </w:p>
        </w:tc>
        <w:tc>
          <w:tcPr>
            <w:tcW w:w="838" w:type="dxa"/>
            <w:tcBorders>
              <w:top w:val="single" w:sz="4" w:space="0" w:color="auto"/>
              <w:left w:val="nil"/>
              <w:bottom w:val="single" w:sz="4" w:space="0" w:color="auto"/>
              <w:right w:val="single" w:sz="4" w:space="0" w:color="auto"/>
            </w:tcBorders>
            <w:shd w:val="clear" w:color="auto" w:fill="C6EFCE"/>
            <w:noWrap/>
          </w:tcPr>
          <w:p w14:paraId="3B3823B4" w14:textId="49DAB331" w:rsidR="003B6BD9" w:rsidRDefault="009E25E8">
            <w:pPr>
              <w:pStyle w:val="P68B1DB1-Normal7"/>
              <w:spacing w:before="0" w:after="0" w:line="240" w:lineRule="auto"/>
              <w:rPr>
                <w:rFonts w:eastAsia="Times New Roman"/>
                <w:noProof/>
              </w:rPr>
            </w:pPr>
            <w:r>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3BE8701" w14:textId="281D33F8" w:rsidR="003B6BD9" w:rsidRDefault="009E25E8">
            <w:pPr>
              <w:pStyle w:val="P68B1DB1-Normal7"/>
              <w:spacing w:before="0" w:after="0" w:line="240" w:lineRule="auto"/>
              <w:rPr>
                <w:rFonts w:eastAsia="Times New Roman"/>
                <w:noProof/>
              </w:rPr>
            </w:pPr>
            <w:r>
              <w:rPr>
                <w:noProof/>
              </w:rPr>
              <w:t>Construction d’infrastructures de protection contre les inondations.</w:t>
            </w:r>
          </w:p>
        </w:tc>
      </w:tr>
      <w:tr w:rsidR="003B6BD9" w14:paraId="5B3FA72A" w14:textId="77777777" w:rsidTr="00AC1D11">
        <w:trPr>
          <w:trHeight w:val="812"/>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4202AB5B" w14:textId="7DD136B4" w:rsidR="003B6BD9" w:rsidRDefault="009E25E8">
            <w:pPr>
              <w:pStyle w:val="P68B1DB1-Normal7"/>
              <w:spacing w:before="0" w:after="0" w:line="240" w:lineRule="auto"/>
              <w:rPr>
                <w:noProof/>
              </w:rPr>
            </w:pPr>
            <w:r>
              <w:rPr>
                <w:noProof/>
              </w:rPr>
              <w:t>35 bis</w:t>
            </w:r>
          </w:p>
        </w:tc>
        <w:tc>
          <w:tcPr>
            <w:tcW w:w="1440" w:type="dxa"/>
            <w:tcBorders>
              <w:top w:val="single" w:sz="4" w:space="0" w:color="auto"/>
              <w:left w:val="nil"/>
              <w:bottom w:val="single" w:sz="4" w:space="0" w:color="auto"/>
              <w:right w:val="single" w:sz="4" w:space="0" w:color="auto"/>
            </w:tcBorders>
            <w:shd w:val="clear" w:color="auto" w:fill="C6EFCE"/>
            <w:noWrap/>
          </w:tcPr>
          <w:p w14:paraId="7B748BDC" w14:textId="748AC928" w:rsidR="003B6BD9" w:rsidRDefault="009E25E8">
            <w:pPr>
              <w:pStyle w:val="P68B1DB1-Normal7"/>
              <w:spacing w:before="0" w:after="0" w:line="240" w:lineRule="auto"/>
              <w:rPr>
                <w:noProof/>
              </w:rPr>
            </w:pPr>
            <w:r>
              <w:rPr>
                <w:noProof/>
              </w:rPr>
              <w:t>F: Réduction des risques d’inondation</w:t>
            </w:r>
          </w:p>
        </w:tc>
        <w:tc>
          <w:tcPr>
            <w:tcW w:w="1080" w:type="dxa"/>
            <w:tcBorders>
              <w:top w:val="single" w:sz="4" w:space="0" w:color="auto"/>
              <w:left w:val="nil"/>
              <w:bottom w:val="single" w:sz="4" w:space="0" w:color="auto"/>
              <w:right w:val="single" w:sz="4" w:space="0" w:color="auto"/>
            </w:tcBorders>
            <w:shd w:val="clear" w:color="auto" w:fill="C6EFCE"/>
            <w:noWrap/>
          </w:tcPr>
          <w:p w14:paraId="412673E7" w14:textId="65F86392" w:rsidR="003B6BD9" w:rsidRDefault="009E25E8">
            <w:pPr>
              <w:pStyle w:val="P68B1DB1-Normal7"/>
              <w:spacing w:before="0" w:after="0" w:line="240" w:lineRule="auto"/>
              <w:rPr>
                <w:noProof/>
              </w:rPr>
            </w:pPr>
            <w:r>
              <w:rPr>
                <w:noProof/>
              </w:rPr>
              <w:t>Cible</w:t>
            </w:r>
          </w:p>
        </w:tc>
        <w:tc>
          <w:tcPr>
            <w:tcW w:w="2184" w:type="dxa"/>
            <w:tcBorders>
              <w:top w:val="single" w:sz="4" w:space="0" w:color="auto"/>
              <w:left w:val="nil"/>
              <w:bottom w:val="single" w:sz="4" w:space="0" w:color="auto"/>
              <w:right w:val="single" w:sz="4" w:space="0" w:color="auto"/>
            </w:tcBorders>
            <w:shd w:val="clear" w:color="auto" w:fill="C6EFCE"/>
            <w:noWrap/>
          </w:tcPr>
          <w:p w14:paraId="7B393DDB" w14:textId="305F7DA3" w:rsidR="003B6BD9" w:rsidRDefault="009E25E8">
            <w:pPr>
              <w:pStyle w:val="P68B1DB1-Normal7"/>
              <w:spacing w:before="0" w:after="0" w:line="240" w:lineRule="auto"/>
              <w:rPr>
                <w:noProof/>
              </w:rPr>
            </w:pPr>
            <w:r>
              <w:rPr>
                <w:noProof/>
              </w:rPr>
              <w:t>Mise en place d’un système central d’information pour la surveillance de l’eau.</w:t>
            </w:r>
          </w:p>
        </w:tc>
        <w:tc>
          <w:tcPr>
            <w:tcW w:w="1632" w:type="dxa"/>
            <w:tcBorders>
              <w:top w:val="single" w:sz="4" w:space="0" w:color="auto"/>
              <w:left w:val="nil"/>
              <w:bottom w:val="single" w:sz="4" w:space="0" w:color="auto"/>
              <w:right w:val="single" w:sz="4" w:space="0" w:color="auto"/>
            </w:tcBorders>
            <w:shd w:val="clear" w:color="auto" w:fill="C6EFCE"/>
            <w:noWrap/>
          </w:tcPr>
          <w:p w14:paraId="5E06EBB3" w14:textId="77777777" w:rsidR="003B6BD9" w:rsidRDefault="003B6BD9">
            <w:pPr>
              <w:spacing w:before="0" w:after="0" w:line="240" w:lineRule="auto"/>
              <w:rPr>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4A8D16A8" w14:textId="4A31FE25" w:rsidR="003B6BD9" w:rsidRDefault="009E25E8">
            <w:pPr>
              <w:pStyle w:val="P68B1DB1-Normal7"/>
              <w:spacing w:before="0" w:after="0" w:line="240" w:lineRule="auto"/>
              <w:rPr>
                <w:noProof/>
              </w:rPr>
            </w:pPr>
            <w:r>
              <w:rPr>
                <w:noProof/>
              </w:rPr>
              <w:t>Nombre</w:t>
            </w:r>
          </w:p>
        </w:tc>
        <w:tc>
          <w:tcPr>
            <w:tcW w:w="1485" w:type="dxa"/>
            <w:tcBorders>
              <w:top w:val="single" w:sz="4" w:space="0" w:color="auto"/>
              <w:left w:val="nil"/>
              <w:bottom w:val="single" w:sz="4" w:space="0" w:color="auto"/>
              <w:right w:val="single" w:sz="4" w:space="0" w:color="auto"/>
            </w:tcBorders>
            <w:shd w:val="clear" w:color="auto" w:fill="C6EFCE"/>
            <w:noWrap/>
          </w:tcPr>
          <w:p w14:paraId="21AB02B3" w14:textId="15EE326B" w:rsidR="003B6BD9" w:rsidRDefault="009E25E8">
            <w:pPr>
              <w:pStyle w:val="P68B1DB1-Normal7"/>
              <w:spacing w:before="0" w:after="0" w:line="240" w:lineRule="auto"/>
              <w:rPr>
                <w:noProof/>
              </w:rPr>
            </w:pPr>
            <w:r>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3893546F" w14:textId="61043ED8" w:rsidR="003B6BD9" w:rsidRDefault="009E25E8">
            <w:pPr>
              <w:pStyle w:val="P68B1DB1-Normal7"/>
              <w:spacing w:before="0" w:after="0" w:line="240" w:lineRule="auto"/>
              <w:rPr>
                <w:noProof/>
              </w:rPr>
            </w:pPr>
            <w:r>
              <w:rPr>
                <w:noProof/>
              </w:rPr>
              <w:t>1</w:t>
            </w:r>
          </w:p>
        </w:tc>
        <w:tc>
          <w:tcPr>
            <w:tcW w:w="986" w:type="dxa"/>
            <w:tcBorders>
              <w:top w:val="single" w:sz="4" w:space="0" w:color="auto"/>
              <w:left w:val="nil"/>
              <w:bottom w:val="single" w:sz="4" w:space="0" w:color="auto"/>
              <w:right w:val="single" w:sz="4" w:space="0" w:color="auto"/>
            </w:tcBorders>
            <w:shd w:val="clear" w:color="auto" w:fill="C6EFCE"/>
            <w:noWrap/>
          </w:tcPr>
          <w:p w14:paraId="071B0423" w14:textId="14C35B40" w:rsidR="003B6BD9" w:rsidRDefault="009E25E8">
            <w:pPr>
              <w:pStyle w:val="P68B1DB1-Normal7"/>
              <w:spacing w:before="0" w:after="0" w:line="240" w:lineRule="auto"/>
              <w:rPr>
                <w:noProof/>
              </w:rPr>
            </w:pPr>
            <w:r>
              <w:rPr>
                <w:noProof/>
              </w:rPr>
              <w:t>T2</w:t>
            </w:r>
          </w:p>
        </w:tc>
        <w:tc>
          <w:tcPr>
            <w:tcW w:w="838" w:type="dxa"/>
            <w:tcBorders>
              <w:top w:val="single" w:sz="4" w:space="0" w:color="auto"/>
              <w:left w:val="nil"/>
              <w:bottom w:val="single" w:sz="4" w:space="0" w:color="auto"/>
              <w:right w:val="single" w:sz="4" w:space="0" w:color="auto"/>
            </w:tcBorders>
            <w:shd w:val="clear" w:color="auto" w:fill="C6EFCE"/>
            <w:noWrap/>
          </w:tcPr>
          <w:p w14:paraId="327A7614" w14:textId="1EAE8C89" w:rsidR="003B6BD9" w:rsidRDefault="009E25E8">
            <w:pPr>
              <w:pStyle w:val="P68B1DB1-Normal7"/>
              <w:spacing w:before="0" w:after="0" w:line="240" w:lineRule="auto"/>
              <w:rPr>
                <w:noProof/>
              </w:rPr>
            </w:pPr>
            <w:r>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1F109C0F" w14:textId="38B730B0" w:rsidR="003B6BD9" w:rsidRDefault="009E25E8">
            <w:pPr>
              <w:pStyle w:val="P68B1DB1-Normal7"/>
              <w:spacing w:before="0" w:after="0" w:line="256" w:lineRule="auto"/>
              <w:rPr>
                <w:noProof/>
              </w:rPr>
            </w:pPr>
            <w:r>
              <w:rPr>
                <w:noProof/>
              </w:rPr>
              <w:t>Mise en place d’un système central d’information pour la surveillance de l’eau.</w:t>
            </w:r>
          </w:p>
        </w:tc>
      </w:tr>
      <w:tr w:rsidR="003B6BD9" w14:paraId="595D5242" w14:textId="77777777" w:rsidTr="00AC1D11">
        <w:trPr>
          <w:trHeight w:val="704"/>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0EE79A5E" w14:textId="5434D2D2" w:rsidR="003B6BD9" w:rsidRDefault="009E25E8">
            <w:pPr>
              <w:pStyle w:val="P68B1DB1-Normal7"/>
              <w:spacing w:before="0" w:after="0" w:line="240" w:lineRule="auto"/>
              <w:rPr>
                <w:rFonts w:eastAsia="Times New Roman"/>
                <w:noProof/>
              </w:rPr>
            </w:pPr>
            <w:r>
              <w:rPr>
                <w:noProof/>
              </w:rPr>
              <w:t>36</w:t>
            </w:r>
          </w:p>
        </w:tc>
        <w:tc>
          <w:tcPr>
            <w:tcW w:w="1440" w:type="dxa"/>
            <w:tcBorders>
              <w:top w:val="single" w:sz="4" w:space="0" w:color="auto"/>
              <w:left w:val="nil"/>
              <w:bottom w:val="single" w:sz="4" w:space="0" w:color="auto"/>
              <w:right w:val="single" w:sz="4" w:space="0" w:color="auto"/>
            </w:tcBorders>
            <w:shd w:val="clear" w:color="auto" w:fill="C6EFCE"/>
            <w:noWrap/>
          </w:tcPr>
          <w:p w14:paraId="6619C55D" w14:textId="0988B29C" w:rsidR="003B6BD9" w:rsidRDefault="009E25E8">
            <w:pPr>
              <w:pStyle w:val="P68B1DB1-Normal7"/>
              <w:spacing w:before="0" w:after="0" w:line="240" w:lineRule="auto"/>
              <w:rPr>
                <w:rFonts w:eastAsia="Times New Roman"/>
                <w:noProof/>
              </w:rPr>
            </w:pPr>
            <w:r>
              <w:rPr>
                <w:noProof/>
              </w:rPr>
              <w:t>C: Restaurer et atténuer les effets du changement climatique et des catastrophes liées au climat sur la biodiversité forestière résiliente</w:t>
            </w:r>
          </w:p>
        </w:tc>
        <w:tc>
          <w:tcPr>
            <w:tcW w:w="1080" w:type="dxa"/>
            <w:tcBorders>
              <w:top w:val="single" w:sz="4" w:space="0" w:color="auto"/>
              <w:left w:val="nil"/>
              <w:bottom w:val="single" w:sz="4" w:space="0" w:color="auto"/>
              <w:right w:val="single" w:sz="4" w:space="0" w:color="auto"/>
            </w:tcBorders>
            <w:shd w:val="clear" w:color="auto" w:fill="C6EFCE"/>
            <w:noWrap/>
          </w:tcPr>
          <w:p w14:paraId="05B569FD" w14:textId="5C38C8DC" w:rsidR="003B6BD9" w:rsidRDefault="009E25E8">
            <w:pPr>
              <w:pStyle w:val="P68B1DB1-Normal7"/>
              <w:spacing w:before="0" w:after="0" w:line="240" w:lineRule="auto"/>
              <w:rPr>
                <w:rFonts w:eastAsia="Times New Roman"/>
                <w:noProof/>
              </w:rPr>
            </w:pPr>
            <w:r>
              <w:rPr>
                <w:noProof/>
              </w:rPr>
              <w:t>Jalon</w:t>
            </w:r>
          </w:p>
        </w:tc>
        <w:tc>
          <w:tcPr>
            <w:tcW w:w="2184" w:type="dxa"/>
            <w:tcBorders>
              <w:top w:val="single" w:sz="4" w:space="0" w:color="auto"/>
              <w:left w:val="nil"/>
              <w:bottom w:val="single" w:sz="4" w:space="0" w:color="auto"/>
              <w:right w:val="single" w:sz="4" w:space="0" w:color="auto"/>
            </w:tcBorders>
            <w:shd w:val="clear" w:color="auto" w:fill="C6EFCE"/>
            <w:noWrap/>
          </w:tcPr>
          <w:p w14:paraId="1BAFC34A" w14:textId="097E96FD" w:rsidR="003B6BD9" w:rsidRDefault="009E25E8">
            <w:pPr>
              <w:pStyle w:val="P68B1DB1-Normal7"/>
              <w:spacing w:before="0" w:after="0" w:line="240" w:lineRule="auto"/>
              <w:rPr>
                <w:rFonts w:eastAsia="Times New Roman"/>
                <w:noProof/>
              </w:rPr>
            </w:pPr>
            <w:r>
              <w:rPr>
                <w:noProof/>
              </w:rPr>
              <w:t>Entrée en vigueur des modifications des règles relatives aux conditions d’inscription au registre des fournisseurs et aux autres obligations des fournisseurs, ainsi qu’aux exigences concernant la commercialisation des matériels forestiers de reproduction</w:t>
            </w:r>
          </w:p>
        </w:tc>
        <w:tc>
          <w:tcPr>
            <w:tcW w:w="1632" w:type="dxa"/>
            <w:tcBorders>
              <w:top w:val="single" w:sz="4" w:space="0" w:color="auto"/>
              <w:left w:val="nil"/>
              <w:bottom w:val="single" w:sz="4" w:space="0" w:color="auto"/>
              <w:right w:val="single" w:sz="4" w:space="0" w:color="auto"/>
            </w:tcBorders>
            <w:shd w:val="clear" w:color="auto" w:fill="C6EFCE"/>
            <w:noWrap/>
          </w:tcPr>
          <w:p w14:paraId="40E3A016" w14:textId="1F819F5B" w:rsidR="003B6BD9" w:rsidRDefault="009E25E8">
            <w:pPr>
              <w:pStyle w:val="P68B1DB1-Normal7"/>
              <w:spacing w:before="0" w:after="0" w:line="256" w:lineRule="auto"/>
              <w:rPr>
                <w:rFonts w:eastAsia="Times New Roman"/>
                <w:noProof/>
              </w:rPr>
            </w:pPr>
            <w:r>
              <w:rPr>
                <w:noProof/>
              </w:rPr>
              <w:t>Disposition des modifications indiquant l’entrée en vigueur des règles relatives aux conditions d’inscription au registre des fournisseurs et aux autres obligations des fournisseurs ainsi qu’aux exigences concernant la commercialisation des matériels forestiers de reproduction</w:t>
            </w:r>
          </w:p>
        </w:tc>
        <w:tc>
          <w:tcPr>
            <w:tcW w:w="1042" w:type="dxa"/>
            <w:tcBorders>
              <w:top w:val="single" w:sz="4" w:space="0" w:color="auto"/>
              <w:left w:val="nil"/>
              <w:bottom w:val="single" w:sz="4" w:space="0" w:color="auto"/>
              <w:right w:val="single" w:sz="4" w:space="0" w:color="auto"/>
            </w:tcBorders>
            <w:shd w:val="clear" w:color="auto" w:fill="C6EFCE"/>
            <w:noWrap/>
          </w:tcPr>
          <w:p w14:paraId="77813A4A" w14:textId="5AC1237C" w:rsidR="003B6BD9" w:rsidRDefault="009E25E8">
            <w:pPr>
              <w:pStyle w:val="P68B1DB1-Normal7"/>
              <w:spacing w:before="0" w:after="0" w:line="240" w:lineRule="auto"/>
              <w:rPr>
                <w:rFonts w:eastAsia="Times New Roman"/>
                <w:noProof/>
              </w:rPr>
            </w:pPr>
            <w:r>
              <w:rPr>
                <w:noProof/>
              </w:rPr>
              <w:t> </w:t>
            </w:r>
          </w:p>
        </w:tc>
        <w:tc>
          <w:tcPr>
            <w:tcW w:w="1485" w:type="dxa"/>
            <w:tcBorders>
              <w:top w:val="single" w:sz="4" w:space="0" w:color="auto"/>
              <w:left w:val="nil"/>
              <w:bottom w:val="single" w:sz="4" w:space="0" w:color="auto"/>
              <w:right w:val="single" w:sz="4" w:space="0" w:color="auto"/>
            </w:tcBorders>
            <w:shd w:val="clear" w:color="auto" w:fill="C6EFCE"/>
            <w:noWrap/>
          </w:tcPr>
          <w:p w14:paraId="33A621F8" w14:textId="3E7B45CE" w:rsidR="003B6BD9" w:rsidRDefault="009E25E8">
            <w:pPr>
              <w:pStyle w:val="P68B1DB1-Normal7"/>
              <w:spacing w:before="0" w:after="0" w:line="240" w:lineRule="auto"/>
              <w:rPr>
                <w:rFonts w:eastAsia="Times New Roman"/>
                <w:noProof/>
              </w:rPr>
            </w:pPr>
            <w:r>
              <w:rPr>
                <w:noProof/>
              </w:rPr>
              <w:t> </w:t>
            </w:r>
          </w:p>
        </w:tc>
        <w:tc>
          <w:tcPr>
            <w:tcW w:w="711" w:type="dxa"/>
            <w:tcBorders>
              <w:top w:val="single" w:sz="4" w:space="0" w:color="auto"/>
              <w:left w:val="nil"/>
              <w:bottom w:val="single" w:sz="4" w:space="0" w:color="auto"/>
              <w:right w:val="single" w:sz="4" w:space="0" w:color="auto"/>
            </w:tcBorders>
            <w:shd w:val="clear" w:color="auto" w:fill="C6EFCE"/>
            <w:noWrap/>
          </w:tcPr>
          <w:p w14:paraId="0771EEF4" w14:textId="1A31D00C" w:rsidR="003B6BD9" w:rsidRDefault="009E25E8">
            <w:pPr>
              <w:pStyle w:val="P68B1DB1-Normal7"/>
              <w:spacing w:before="0" w:after="0" w:line="240" w:lineRule="auto"/>
              <w:rPr>
                <w:rFonts w:eastAsia="Times New Roman"/>
                <w:noProof/>
              </w:rPr>
            </w:pPr>
            <w:r>
              <w:rPr>
                <w:noProof/>
              </w:rPr>
              <w:t> </w:t>
            </w:r>
          </w:p>
        </w:tc>
        <w:tc>
          <w:tcPr>
            <w:tcW w:w="986" w:type="dxa"/>
            <w:tcBorders>
              <w:top w:val="single" w:sz="4" w:space="0" w:color="auto"/>
              <w:left w:val="nil"/>
              <w:bottom w:val="single" w:sz="4" w:space="0" w:color="auto"/>
              <w:right w:val="single" w:sz="4" w:space="0" w:color="auto"/>
            </w:tcBorders>
            <w:shd w:val="clear" w:color="auto" w:fill="C6EFCE"/>
            <w:noWrap/>
          </w:tcPr>
          <w:p w14:paraId="38E8C189" w14:textId="04071888" w:rsidR="003B6BD9" w:rsidRDefault="009E25E8">
            <w:pPr>
              <w:pStyle w:val="P68B1DB1-Normal7"/>
              <w:spacing w:before="0" w:after="0" w:line="240" w:lineRule="auto"/>
              <w:rPr>
                <w:rFonts w:eastAsia="Times New Roman"/>
                <w:noProof/>
              </w:rPr>
            </w:pPr>
            <w:r>
              <w:rPr>
                <w:noProof/>
              </w:rPr>
              <w:t>T4</w:t>
            </w:r>
          </w:p>
        </w:tc>
        <w:tc>
          <w:tcPr>
            <w:tcW w:w="838" w:type="dxa"/>
            <w:tcBorders>
              <w:top w:val="single" w:sz="4" w:space="0" w:color="auto"/>
              <w:left w:val="nil"/>
              <w:bottom w:val="single" w:sz="4" w:space="0" w:color="auto"/>
              <w:right w:val="single" w:sz="4" w:space="0" w:color="auto"/>
            </w:tcBorders>
            <w:shd w:val="clear" w:color="auto" w:fill="C6EFCE"/>
            <w:noWrap/>
          </w:tcPr>
          <w:p w14:paraId="545575C4" w14:textId="1F44C76A" w:rsidR="003B6BD9" w:rsidRDefault="009E25E8">
            <w:pPr>
              <w:pStyle w:val="P68B1DB1-Normal7"/>
              <w:spacing w:before="0" w:after="0" w:line="240" w:lineRule="auto"/>
              <w:rPr>
                <w:rFonts w:eastAsia="Times New Roman"/>
                <w:noProof/>
              </w:rPr>
            </w:pPr>
            <w:r>
              <w:rPr>
                <w:noProof/>
              </w:rPr>
              <w:t>2022</w:t>
            </w:r>
          </w:p>
        </w:tc>
        <w:tc>
          <w:tcPr>
            <w:tcW w:w="3049" w:type="dxa"/>
            <w:tcBorders>
              <w:top w:val="single" w:sz="4" w:space="0" w:color="auto"/>
              <w:left w:val="nil"/>
              <w:bottom w:val="single" w:sz="4" w:space="0" w:color="auto"/>
              <w:right w:val="single" w:sz="4" w:space="0" w:color="auto"/>
            </w:tcBorders>
            <w:shd w:val="clear" w:color="auto" w:fill="C6EFCE"/>
            <w:noWrap/>
          </w:tcPr>
          <w:p w14:paraId="2CA2F537" w14:textId="77777777" w:rsidR="003B6BD9" w:rsidRDefault="009E25E8">
            <w:pPr>
              <w:pStyle w:val="P68B1DB1-Normal7"/>
              <w:spacing w:before="0" w:after="0" w:line="256" w:lineRule="auto"/>
              <w:rPr>
                <w:rFonts w:eastAsia="Times New Roman"/>
                <w:noProof/>
              </w:rPr>
            </w:pPr>
            <w:r>
              <w:rPr>
                <w:noProof/>
              </w:rPr>
              <w:t>Le ministère de l’agriculture, des forêts et de l’alimentation adopte les modifications suivantes:</w:t>
            </w:r>
          </w:p>
          <w:p w14:paraId="64435F95" w14:textId="2C1581F5" w:rsidR="003B6BD9" w:rsidRDefault="009E25E8">
            <w:pPr>
              <w:pStyle w:val="P68B1DB1-Normal7"/>
              <w:spacing w:before="0" w:after="0" w:line="240" w:lineRule="auto"/>
              <w:rPr>
                <w:rFonts w:eastAsia="Times New Roman"/>
                <w:noProof/>
              </w:rPr>
            </w:pPr>
            <w:r>
              <w:rPr>
                <w:noProof/>
              </w:rPr>
              <w:t>— Les conditions d’inscription au registre des fournisseurs et les autres obligations des fournisseurs ainsi que les exigences relatives à la commercialisation des matériels forestiers de reproduction garantissent la qualité des matériels forestiers de reproduction.</w:t>
            </w:r>
          </w:p>
          <w:p w14:paraId="6D93C79A" w14:textId="79E2874A" w:rsidR="003B6BD9" w:rsidRDefault="009E25E8">
            <w:pPr>
              <w:pStyle w:val="P68B1DB1-Normal7"/>
              <w:spacing w:before="0" w:after="0" w:line="240" w:lineRule="auto"/>
              <w:rPr>
                <w:rFonts w:eastAsia="Times New Roman"/>
                <w:noProof/>
              </w:rPr>
            </w:pPr>
            <w:r>
              <w:rPr>
                <w:noProof/>
              </w:rPr>
              <w:t xml:space="preserve">— Les certificats relatifs aux matériels forestiers de reproduction permettent le traçage des matériels forestiers de reproduction. </w:t>
            </w:r>
          </w:p>
        </w:tc>
      </w:tr>
      <w:tr w:rsidR="003B6BD9" w14:paraId="7D31A68F" w14:textId="77777777" w:rsidTr="00AC1D11">
        <w:trPr>
          <w:trHeight w:val="824"/>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4392CB31" w14:textId="3818ED37" w:rsidR="003B6BD9" w:rsidRDefault="009E25E8">
            <w:pPr>
              <w:pStyle w:val="P68B1DB1-Normal7"/>
              <w:spacing w:before="0" w:after="0" w:line="240" w:lineRule="auto"/>
              <w:rPr>
                <w:rFonts w:eastAsia="Times New Roman"/>
                <w:noProof/>
              </w:rPr>
            </w:pPr>
            <w:r>
              <w:rPr>
                <w:noProof/>
              </w:rPr>
              <w:t>37</w:t>
            </w:r>
          </w:p>
        </w:tc>
        <w:tc>
          <w:tcPr>
            <w:tcW w:w="1440" w:type="dxa"/>
            <w:tcBorders>
              <w:top w:val="single" w:sz="4" w:space="0" w:color="auto"/>
              <w:left w:val="nil"/>
              <w:bottom w:val="single" w:sz="4" w:space="0" w:color="auto"/>
              <w:right w:val="single" w:sz="4" w:space="0" w:color="auto"/>
            </w:tcBorders>
            <w:shd w:val="clear" w:color="auto" w:fill="C6EFCE"/>
            <w:noWrap/>
          </w:tcPr>
          <w:p w14:paraId="7189E1A7" w14:textId="7B9AA705" w:rsidR="003B6BD9" w:rsidRDefault="009E25E8">
            <w:pPr>
              <w:pStyle w:val="P68B1DB1-Normal7"/>
              <w:spacing w:before="0" w:after="0" w:line="240" w:lineRule="auto"/>
              <w:rPr>
                <w:rFonts w:eastAsia="Times New Roman"/>
                <w:noProof/>
              </w:rPr>
            </w:pPr>
            <w:r>
              <w:rPr>
                <w:noProof/>
              </w:rPr>
              <w:t xml:space="preserve">G: Centre pour les semences, les pépinières et la protection des forêts </w:t>
            </w:r>
          </w:p>
        </w:tc>
        <w:tc>
          <w:tcPr>
            <w:tcW w:w="1080" w:type="dxa"/>
            <w:tcBorders>
              <w:top w:val="single" w:sz="4" w:space="0" w:color="auto"/>
              <w:left w:val="nil"/>
              <w:bottom w:val="single" w:sz="4" w:space="0" w:color="auto"/>
              <w:right w:val="single" w:sz="4" w:space="0" w:color="auto"/>
            </w:tcBorders>
            <w:shd w:val="clear" w:color="auto" w:fill="C6EFCE"/>
            <w:noWrap/>
          </w:tcPr>
          <w:p w14:paraId="51A2AF1D" w14:textId="7706762E" w:rsidR="003B6BD9" w:rsidRDefault="009E25E8">
            <w:pPr>
              <w:pStyle w:val="P68B1DB1-Normal7"/>
              <w:spacing w:before="0" w:after="0" w:line="240" w:lineRule="auto"/>
              <w:rPr>
                <w:rFonts w:eastAsia="Times New Roman"/>
                <w:noProof/>
              </w:rPr>
            </w:pPr>
            <w:r>
              <w:rPr>
                <w:noProof/>
              </w:rPr>
              <w:t>Cible</w:t>
            </w:r>
          </w:p>
        </w:tc>
        <w:tc>
          <w:tcPr>
            <w:tcW w:w="2184" w:type="dxa"/>
            <w:tcBorders>
              <w:top w:val="single" w:sz="4" w:space="0" w:color="auto"/>
              <w:left w:val="nil"/>
              <w:bottom w:val="single" w:sz="4" w:space="0" w:color="auto"/>
              <w:right w:val="single" w:sz="4" w:space="0" w:color="auto"/>
            </w:tcBorders>
            <w:shd w:val="clear" w:color="auto" w:fill="C6EFCE"/>
            <w:noWrap/>
          </w:tcPr>
          <w:p w14:paraId="6924D7A8" w14:textId="3CCE3C65" w:rsidR="003B6BD9" w:rsidRDefault="009E25E8">
            <w:pPr>
              <w:pStyle w:val="P68B1DB1-Normal7"/>
              <w:spacing w:before="0" w:after="0" w:line="240" w:lineRule="auto"/>
              <w:rPr>
                <w:rFonts w:eastAsia="Times New Roman"/>
                <w:noProof/>
              </w:rPr>
            </w:pPr>
            <w:r>
              <w:rPr>
                <w:noProof/>
              </w:rPr>
              <w:t>Construction d’un centre pour les semences, les pépinières et la protection des forêts</w:t>
            </w:r>
          </w:p>
        </w:tc>
        <w:tc>
          <w:tcPr>
            <w:tcW w:w="1632" w:type="dxa"/>
            <w:tcBorders>
              <w:top w:val="single" w:sz="4" w:space="0" w:color="auto"/>
              <w:left w:val="nil"/>
              <w:bottom w:val="single" w:sz="4" w:space="0" w:color="auto"/>
              <w:right w:val="single" w:sz="4" w:space="0" w:color="auto"/>
            </w:tcBorders>
            <w:shd w:val="clear" w:color="auto" w:fill="C6EFCE"/>
            <w:noWrap/>
          </w:tcPr>
          <w:p w14:paraId="457225FE" w14:textId="41B53A1E" w:rsidR="003B6BD9" w:rsidRDefault="003B6BD9">
            <w:pPr>
              <w:spacing w:before="0" w:after="0" w:line="240" w:lineRule="auto"/>
              <w:rPr>
                <w:rFonts w:eastAsia="Times New Roman"/>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47285292" w14:textId="2359509F" w:rsidR="003B6BD9" w:rsidRDefault="009E25E8">
            <w:pPr>
              <w:pStyle w:val="P68B1DB1-Normal7"/>
              <w:spacing w:before="0" w:after="0" w:line="240" w:lineRule="auto"/>
              <w:rPr>
                <w:rFonts w:eastAsia="Times New Roman"/>
                <w:noProof/>
              </w:rPr>
            </w:pPr>
            <w:r>
              <w:rPr>
                <w:noProof/>
              </w:rPr>
              <w:t>Nombre</w:t>
            </w:r>
          </w:p>
        </w:tc>
        <w:tc>
          <w:tcPr>
            <w:tcW w:w="1485" w:type="dxa"/>
            <w:tcBorders>
              <w:top w:val="single" w:sz="4" w:space="0" w:color="auto"/>
              <w:left w:val="nil"/>
              <w:bottom w:val="single" w:sz="4" w:space="0" w:color="auto"/>
              <w:right w:val="single" w:sz="4" w:space="0" w:color="auto"/>
            </w:tcBorders>
            <w:shd w:val="clear" w:color="auto" w:fill="C6EFCE"/>
            <w:noWrap/>
          </w:tcPr>
          <w:p w14:paraId="70F487F3" w14:textId="390976D9" w:rsidR="003B6BD9" w:rsidRDefault="009E25E8">
            <w:pPr>
              <w:pStyle w:val="P68B1DB1-Normal7"/>
              <w:spacing w:before="0" w:after="0" w:line="240" w:lineRule="auto"/>
              <w:rPr>
                <w:rFonts w:eastAsia="Times New Roman"/>
                <w:noProof/>
              </w:rPr>
            </w:pPr>
            <w:r>
              <w:rPr>
                <w:noProof/>
              </w:rPr>
              <w:t> 0</w:t>
            </w:r>
          </w:p>
        </w:tc>
        <w:tc>
          <w:tcPr>
            <w:tcW w:w="711" w:type="dxa"/>
            <w:tcBorders>
              <w:top w:val="single" w:sz="4" w:space="0" w:color="auto"/>
              <w:left w:val="nil"/>
              <w:bottom w:val="single" w:sz="4" w:space="0" w:color="auto"/>
              <w:right w:val="single" w:sz="4" w:space="0" w:color="auto"/>
            </w:tcBorders>
            <w:shd w:val="clear" w:color="auto" w:fill="C6EFCE"/>
            <w:noWrap/>
          </w:tcPr>
          <w:p w14:paraId="7010581B" w14:textId="361D768A" w:rsidR="003B6BD9" w:rsidRDefault="009E25E8">
            <w:pPr>
              <w:pStyle w:val="P68B1DB1-Normal7"/>
              <w:spacing w:before="0" w:after="0" w:line="240" w:lineRule="auto"/>
              <w:rPr>
                <w:rFonts w:eastAsia="Times New Roman"/>
                <w:noProof/>
              </w:rPr>
            </w:pPr>
            <w:r>
              <w:rPr>
                <w:noProof/>
              </w:rPr>
              <w:t>1</w:t>
            </w:r>
          </w:p>
        </w:tc>
        <w:tc>
          <w:tcPr>
            <w:tcW w:w="986" w:type="dxa"/>
            <w:tcBorders>
              <w:top w:val="single" w:sz="4" w:space="0" w:color="auto"/>
              <w:left w:val="nil"/>
              <w:bottom w:val="single" w:sz="4" w:space="0" w:color="auto"/>
              <w:right w:val="single" w:sz="4" w:space="0" w:color="auto"/>
            </w:tcBorders>
            <w:shd w:val="clear" w:color="auto" w:fill="C6EFCE"/>
            <w:noWrap/>
          </w:tcPr>
          <w:p w14:paraId="3E10F420" w14:textId="72AB1545" w:rsidR="003B6BD9" w:rsidRDefault="009E25E8">
            <w:pPr>
              <w:pStyle w:val="P68B1DB1-Normal7"/>
              <w:spacing w:before="0" w:after="0" w:line="240" w:lineRule="auto"/>
              <w:rPr>
                <w:rFonts w:eastAsia="Times New Roman"/>
                <w:noProof/>
              </w:rPr>
            </w:pPr>
            <w:r>
              <w:rPr>
                <w:noProof/>
              </w:rPr>
              <w:t>T4</w:t>
            </w:r>
          </w:p>
        </w:tc>
        <w:tc>
          <w:tcPr>
            <w:tcW w:w="838" w:type="dxa"/>
            <w:tcBorders>
              <w:top w:val="single" w:sz="4" w:space="0" w:color="auto"/>
              <w:left w:val="nil"/>
              <w:bottom w:val="single" w:sz="4" w:space="0" w:color="auto"/>
              <w:right w:val="single" w:sz="4" w:space="0" w:color="auto"/>
            </w:tcBorders>
            <w:shd w:val="clear" w:color="auto" w:fill="C6EFCE"/>
            <w:noWrap/>
          </w:tcPr>
          <w:p w14:paraId="2B725441" w14:textId="6B7BB6C3" w:rsidR="003B6BD9" w:rsidRDefault="009E25E8">
            <w:pPr>
              <w:pStyle w:val="P68B1DB1-Normal7"/>
              <w:spacing w:before="0" w:after="0" w:line="240" w:lineRule="auto"/>
              <w:rPr>
                <w:rFonts w:eastAsia="Times New Roman"/>
                <w:noProof/>
              </w:rPr>
            </w:pPr>
            <w:r>
              <w:rPr>
                <w:noProof/>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779011BC" w14:textId="347697FD" w:rsidR="003B6BD9" w:rsidRDefault="009E25E8">
            <w:pPr>
              <w:pStyle w:val="P68B1DB1-Normal7"/>
              <w:spacing w:before="0" w:after="0" w:line="256" w:lineRule="auto"/>
              <w:rPr>
                <w:rFonts w:eastAsia="Times New Roman"/>
                <w:noProof/>
              </w:rPr>
            </w:pPr>
            <w:r>
              <w:rPr>
                <w:noProof/>
              </w:rPr>
              <w:t xml:space="preserve">Construction d’un centre de semences, de pépinières et de protection des forêts couvrant au moins 2 510 mètres carrés. </w:t>
            </w:r>
          </w:p>
          <w:p w14:paraId="5C171947" w14:textId="1432A460" w:rsidR="003B6BD9" w:rsidRDefault="009E25E8">
            <w:pPr>
              <w:pStyle w:val="P68B1DB1-Normal7"/>
              <w:spacing w:before="0" w:after="0" w:line="240" w:lineRule="auto"/>
              <w:rPr>
                <w:noProof/>
              </w:rPr>
            </w:pPr>
            <w:r>
              <w:rPr>
                <w:noProof/>
              </w:rPr>
              <w:t xml:space="preserve">La demande d’énergie primaire du centre est inférieure d’au moins 20 % à celle requise pour un bâtiment dont la consommation d’énergie est quasi nulle en vertu des règles nationales relatives à la construction de bâtiments dont la consommation d’énergie est quasi nulle. </w:t>
            </w:r>
          </w:p>
        </w:tc>
      </w:tr>
      <w:tr w:rsidR="003B6BD9" w14:paraId="4A078618" w14:textId="77777777" w:rsidTr="00AC1D11">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58408A50" w14:textId="1DE7995D" w:rsidR="003B6BD9" w:rsidRDefault="009E25E8">
            <w:pPr>
              <w:pStyle w:val="P68B1DB1-Normal7"/>
              <w:spacing w:before="0" w:after="0" w:line="240" w:lineRule="auto"/>
              <w:rPr>
                <w:rFonts w:eastAsia="Times New Roman"/>
                <w:noProof/>
              </w:rPr>
            </w:pPr>
            <w:r>
              <w:rPr>
                <w:noProof/>
              </w:rPr>
              <w:t>38</w:t>
            </w:r>
          </w:p>
        </w:tc>
        <w:tc>
          <w:tcPr>
            <w:tcW w:w="1440" w:type="dxa"/>
            <w:tcBorders>
              <w:top w:val="single" w:sz="4" w:space="0" w:color="auto"/>
              <w:left w:val="nil"/>
              <w:bottom w:val="single" w:sz="4" w:space="0" w:color="auto"/>
              <w:right w:val="single" w:sz="4" w:space="0" w:color="auto"/>
            </w:tcBorders>
            <w:shd w:val="clear" w:color="auto" w:fill="C6EFCE"/>
            <w:noWrap/>
          </w:tcPr>
          <w:p w14:paraId="3F070E08" w14:textId="58F33BB5" w:rsidR="003B6BD9" w:rsidRDefault="009E25E8">
            <w:pPr>
              <w:pStyle w:val="P68B1DB1-Normal7"/>
              <w:spacing w:before="0" w:after="0" w:line="240" w:lineRule="auto"/>
              <w:rPr>
                <w:rFonts w:eastAsia="Times New Roman"/>
                <w:noProof/>
              </w:rPr>
            </w:pPr>
            <w:r>
              <w:rPr>
                <w:noProof/>
              </w:rPr>
              <w:t>H: Projets de rejet et de traitement des eaux urbaines résiduaires</w:t>
            </w:r>
          </w:p>
        </w:tc>
        <w:tc>
          <w:tcPr>
            <w:tcW w:w="1080" w:type="dxa"/>
            <w:tcBorders>
              <w:top w:val="single" w:sz="4" w:space="0" w:color="auto"/>
              <w:left w:val="nil"/>
              <w:bottom w:val="single" w:sz="4" w:space="0" w:color="auto"/>
              <w:right w:val="single" w:sz="4" w:space="0" w:color="auto"/>
            </w:tcBorders>
            <w:shd w:val="clear" w:color="auto" w:fill="C6EFCE"/>
            <w:noWrap/>
          </w:tcPr>
          <w:p w14:paraId="0CB22320" w14:textId="06466E11" w:rsidR="003B6BD9" w:rsidRDefault="009E25E8">
            <w:pPr>
              <w:pStyle w:val="P68B1DB1-Normal7"/>
              <w:spacing w:before="0" w:after="0" w:line="240" w:lineRule="auto"/>
              <w:rPr>
                <w:rFonts w:eastAsia="Times New Roman"/>
                <w:noProof/>
              </w:rPr>
            </w:pPr>
            <w:r>
              <w:rPr>
                <w:noProof/>
              </w:rPr>
              <w:t>Jalon</w:t>
            </w:r>
          </w:p>
        </w:tc>
        <w:tc>
          <w:tcPr>
            <w:tcW w:w="2184" w:type="dxa"/>
            <w:tcBorders>
              <w:top w:val="single" w:sz="4" w:space="0" w:color="auto"/>
              <w:left w:val="nil"/>
              <w:bottom w:val="single" w:sz="4" w:space="0" w:color="auto"/>
              <w:right w:val="single" w:sz="4" w:space="0" w:color="auto"/>
            </w:tcBorders>
            <w:shd w:val="clear" w:color="auto" w:fill="C6EFCE"/>
            <w:noWrap/>
          </w:tcPr>
          <w:p w14:paraId="28FA2A6A" w14:textId="3EB4B144" w:rsidR="003B6BD9" w:rsidRDefault="009E25E8">
            <w:pPr>
              <w:pStyle w:val="P68B1DB1-Normal7"/>
              <w:spacing w:before="0" w:after="0" w:line="240" w:lineRule="auto"/>
              <w:rPr>
                <w:rFonts w:eastAsia="Times New Roman"/>
                <w:noProof/>
              </w:rPr>
            </w:pPr>
            <w:r>
              <w:rPr>
                <w:noProof/>
              </w:rPr>
              <w:t>Octroi de subventions pour des projets de rejet et de traitement des eaux urbaines résiduaires</w:t>
            </w:r>
          </w:p>
        </w:tc>
        <w:tc>
          <w:tcPr>
            <w:tcW w:w="1632" w:type="dxa"/>
            <w:tcBorders>
              <w:top w:val="single" w:sz="4" w:space="0" w:color="auto"/>
              <w:left w:val="nil"/>
              <w:bottom w:val="single" w:sz="4" w:space="0" w:color="auto"/>
              <w:right w:val="single" w:sz="4" w:space="0" w:color="auto"/>
            </w:tcBorders>
            <w:shd w:val="clear" w:color="auto" w:fill="C6EFCE"/>
            <w:noWrap/>
          </w:tcPr>
          <w:p w14:paraId="2039E94B" w14:textId="31D1163D" w:rsidR="003B6BD9" w:rsidRDefault="009E25E8">
            <w:pPr>
              <w:pStyle w:val="P68B1DB1-Normal7"/>
              <w:spacing w:before="0" w:after="0" w:line="240" w:lineRule="auto"/>
              <w:rPr>
                <w:rFonts w:eastAsia="Times New Roman"/>
                <w:noProof/>
              </w:rPr>
            </w:pPr>
            <w:r>
              <w:rPr>
                <w:noProof/>
              </w:rPr>
              <w:t>Communication des prix</w:t>
            </w:r>
          </w:p>
        </w:tc>
        <w:tc>
          <w:tcPr>
            <w:tcW w:w="1042" w:type="dxa"/>
            <w:tcBorders>
              <w:top w:val="single" w:sz="4" w:space="0" w:color="auto"/>
              <w:left w:val="nil"/>
              <w:bottom w:val="single" w:sz="4" w:space="0" w:color="auto"/>
              <w:right w:val="single" w:sz="4" w:space="0" w:color="auto"/>
            </w:tcBorders>
            <w:shd w:val="clear" w:color="auto" w:fill="C6EFCE"/>
            <w:noWrap/>
          </w:tcPr>
          <w:p w14:paraId="68B7B258" w14:textId="3D4EE55F" w:rsidR="003B6BD9" w:rsidRDefault="009E25E8">
            <w:pPr>
              <w:pStyle w:val="P68B1DB1-Normal7"/>
              <w:spacing w:before="0" w:after="0" w:line="240" w:lineRule="auto"/>
              <w:rPr>
                <w:rFonts w:eastAsia="Times New Roman"/>
                <w:noProof/>
              </w:rPr>
            </w:pPr>
            <w:r>
              <w:rPr>
                <w:noProof/>
              </w:rPr>
              <w:t> </w:t>
            </w:r>
          </w:p>
        </w:tc>
        <w:tc>
          <w:tcPr>
            <w:tcW w:w="1485" w:type="dxa"/>
            <w:tcBorders>
              <w:top w:val="single" w:sz="4" w:space="0" w:color="auto"/>
              <w:left w:val="nil"/>
              <w:bottom w:val="single" w:sz="4" w:space="0" w:color="auto"/>
              <w:right w:val="single" w:sz="4" w:space="0" w:color="auto"/>
            </w:tcBorders>
            <w:shd w:val="clear" w:color="auto" w:fill="C6EFCE"/>
            <w:noWrap/>
          </w:tcPr>
          <w:p w14:paraId="6A41BA79" w14:textId="16C244BB" w:rsidR="003B6BD9" w:rsidRDefault="009E25E8">
            <w:pPr>
              <w:pStyle w:val="P68B1DB1-Normal7"/>
              <w:spacing w:before="0" w:after="0" w:line="240" w:lineRule="auto"/>
              <w:rPr>
                <w:rFonts w:eastAsia="Times New Roman"/>
                <w:noProof/>
              </w:rPr>
            </w:pPr>
            <w:r>
              <w:rPr>
                <w:noProof/>
              </w:rPr>
              <w:t> </w:t>
            </w:r>
          </w:p>
        </w:tc>
        <w:tc>
          <w:tcPr>
            <w:tcW w:w="711" w:type="dxa"/>
            <w:tcBorders>
              <w:top w:val="single" w:sz="4" w:space="0" w:color="auto"/>
              <w:left w:val="nil"/>
              <w:bottom w:val="single" w:sz="4" w:space="0" w:color="auto"/>
              <w:right w:val="single" w:sz="4" w:space="0" w:color="auto"/>
            </w:tcBorders>
            <w:shd w:val="clear" w:color="auto" w:fill="C6EFCE"/>
            <w:noWrap/>
          </w:tcPr>
          <w:p w14:paraId="769BB25C" w14:textId="35D37DE5" w:rsidR="003B6BD9" w:rsidRDefault="009E25E8">
            <w:pPr>
              <w:pStyle w:val="P68B1DB1-Normal7"/>
              <w:spacing w:before="0" w:after="0" w:line="240" w:lineRule="auto"/>
              <w:rPr>
                <w:rFonts w:eastAsia="Times New Roman"/>
                <w:noProof/>
              </w:rPr>
            </w:pPr>
            <w:r>
              <w:rPr>
                <w:noProof/>
              </w:rPr>
              <w:t> </w:t>
            </w:r>
          </w:p>
        </w:tc>
        <w:tc>
          <w:tcPr>
            <w:tcW w:w="986" w:type="dxa"/>
            <w:tcBorders>
              <w:top w:val="single" w:sz="4" w:space="0" w:color="auto"/>
              <w:left w:val="nil"/>
              <w:bottom w:val="single" w:sz="4" w:space="0" w:color="auto"/>
              <w:right w:val="single" w:sz="4" w:space="0" w:color="auto"/>
            </w:tcBorders>
            <w:shd w:val="clear" w:color="auto" w:fill="C6EFCE"/>
            <w:noWrap/>
          </w:tcPr>
          <w:p w14:paraId="4E165DAB" w14:textId="0D918A5E" w:rsidR="003B6BD9" w:rsidRDefault="009E25E8">
            <w:pPr>
              <w:pStyle w:val="P68B1DB1-Normal7"/>
              <w:spacing w:before="0" w:after="0" w:line="240" w:lineRule="auto"/>
              <w:rPr>
                <w:rFonts w:eastAsia="Times New Roman"/>
                <w:noProof/>
              </w:rPr>
            </w:pPr>
            <w:r>
              <w:rPr>
                <w:noProof/>
              </w:rPr>
              <w:t>T4</w:t>
            </w:r>
          </w:p>
        </w:tc>
        <w:tc>
          <w:tcPr>
            <w:tcW w:w="838" w:type="dxa"/>
            <w:tcBorders>
              <w:top w:val="single" w:sz="4" w:space="0" w:color="auto"/>
              <w:left w:val="nil"/>
              <w:bottom w:val="single" w:sz="4" w:space="0" w:color="auto"/>
              <w:right w:val="single" w:sz="4" w:space="0" w:color="auto"/>
            </w:tcBorders>
            <w:shd w:val="clear" w:color="auto" w:fill="C6EFCE"/>
            <w:noWrap/>
          </w:tcPr>
          <w:p w14:paraId="4B1458D7" w14:textId="2375F943" w:rsidR="003B6BD9" w:rsidRDefault="009E25E8">
            <w:pPr>
              <w:pStyle w:val="P68B1DB1-Normal7"/>
              <w:spacing w:before="0" w:after="0" w:line="240" w:lineRule="auto"/>
              <w:rPr>
                <w:rFonts w:eastAsia="Times New Roman"/>
                <w:noProof/>
              </w:rPr>
            </w:pPr>
            <w:r>
              <w:rPr>
                <w:noProof/>
              </w:rPr>
              <w:t>2022</w:t>
            </w:r>
          </w:p>
        </w:tc>
        <w:tc>
          <w:tcPr>
            <w:tcW w:w="3049" w:type="dxa"/>
            <w:tcBorders>
              <w:top w:val="single" w:sz="4" w:space="0" w:color="auto"/>
              <w:left w:val="nil"/>
              <w:bottom w:val="single" w:sz="4" w:space="0" w:color="auto"/>
              <w:right w:val="single" w:sz="4" w:space="0" w:color="auto"/>
            </w:tcBorders>
            <w:shd w:val="clear" w:color="auto" w:fill="C6EFCE"/>
            <w:noWrap/>
          </w:tcPr>
          <w:p w14:paraId="7FE85342" w14:textId="35014530" w:rsidR="003B6BD9" w:rsidRDefault="009E25E8">
            <w:pPr>
              <w:pStyle w:val="P68B1DB1-Normal7"/>
              <w:spacing w:before="0" w:after="0" w:line="256" w:lineRule="auto"/>
              <w:rPr>
                <w:rFonts w:eastAsia="Times New Roman"/>
                <w:noProof/>
              </w:rPr>
            </w:pPr>
            <w:r>
              <w:rPr>
                <w:noProof/>
              </w:rPr>
              <w:t xml:space="preserve">Octroi de subventions pour 15 projets de rejet et de traitement des eaux urbaines résiduaires. Les projets portent sur la reconstruction des systèmes existants afin d’accroître l’efficacité énergétique et de réduire la consommation d’électricité d’au moins 10 %. Les systèmes nouvellement construits doivent avoir une consommation nette d’énergie nulle. </w:t>
            </w:r>
          </w:p>
          <w:p w14:paraId="66A10346" w14:textId="7DAC9568" w:rsidR="003B6BD9" w:rsidRDefault="009E25E8">
            <w:pPr>
              <w:pStyle w:val="P68B1DB1-Normal7"/>
              <w:spacing w:before="0" w:after="0" w:line="240" w:lineRule="auto"/>
              <w:rPr>
                <w:rFonts w:eastAsia="Times New Roman"/>
                <w:noProof/>
              </w:rPr>
            </w:pPr>
            <w:r>
              <w:rPr>
                <w:noProof/>
              </w:rPr>
              <w:t>Les projets se concentrent sur les zones de protection de la nature.</w:t>
            </w:r>
          </w:p>
        </w:tc>
      </w:tr>
      <w:tr w:rsidR="003B6BD9" w14:paraId="6ED882B8" w14:textId="77777777" w:rsidTr="00AC1D11">
        <w:trPr>
          <w:trHeight w:val="1184"/>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66F3B72B" w14:textId="34B0DAB4" w:rsidR="003B6BD9" w:rsidRDefault="009E25E8">
            <w:pPr>
              <w:pStyle w:val="P68B1DB1-Normal7"/>
              <w:spacing w:before="0" w:after="0" w:line="240" w:lineRule="auto"/>
              <w:rPr>
                <w:rFonts w:eastAsia="Times New Roman"/>
                <w:noProof/>
              </w:rPr>
            </w:pPr>
            <w:r>
              <w:rPr>
                <w:noProof/>
              </w:rPr>
              <w:t>39</w:t>
            </w:r>
          </w:p>
        </w:tc>
        <w:tc>
          <w:tcPr>
            <w:tcW w:w="1440" w:type="dxa"/>
            <w:tcBorders>
              <w:top w:val="single" w:sz="4" w:space="0" w:color="auto"/>
              <w:left w:val="nil"/>
              <w:bottom w:val="single" w:sz="4" w:space="0" w:color="auto"/>
              <w:right w:val="single" w:sz="4" w:space="0" w:color="auto"/>
            </w:tcBorders>
            <w:shd w:val="clear" w:color="auto" w:fill="C6EFCE"/>
            <w:noWrap/>
          </w:tcPr>
          <w:p w14:paraId="2EC6E4CF" w14:textId="7FC30959" w:rsidR="003B6BD9" w:rsidRDefault="009E25E8">
            <w:pPr>
              <w:pStyle w:val="P68B1DB1-Normal7"/>
              <w:spacing w:before="0" w:after="0" w:line="240" w:lineRule="auto"/>
              <w:rPr>
                <w:rFonts w:eastAsia="Times New Roman"/>
                <w:noProof/>
              </w:rPr>
            </w:pPr>
            <w:r>
              <w:rPr>
                <w:noProof/>
              </w:rPr>
              <w:t>H: Projets de rejet et de traitement des eaux urbaines résiduaires</w:t>
            </w:r>
          </w:p>
        </w:tc>
        <w:tc>
          <w:tcPr>
            <w:tcW w:w="1080" w:type="dxa"/>
            <w:tcBorders>
              <w:top w:val="single" w:sz="4" w:space="0" w:color="auto"/>
              <w:left w:val="nil"/>
              <w:bottom w:val="single" w:sz="4" w:space="0" w:color="auto"/>
              <w:right w:val="single" w:sz="4" w:space="0" w:color="auto"/>
            </w:tcBorders>
            <w:shd w:val="clear" w:color="auto" w:fill="C6EFCE"/>
            <w:noWrap/>
          </w:tcPr>
          <w:p w14:paraId="1F449A2A" w14:textId="784A92FD" w:rsidR="003B6BD9" w:rsidRDefault="009E25E8">
            <w:pPr>
              <w:pStyle w:val="P68B1DB1-Normal7"/>
              <w:spacing w:before="0" w:after="0" w:line="240" w:lineRule="auto"/>
              <w:rPr>
                <w:rFonts w:eastAsia="Times New Roman"/>
                <w:noProof/>
              </w:rPr>
            </w:pPr>
            <w:r>
              <w:rPr>
                <w:noProof/>
              </w:rPr>
              <w:t>Cible</w:t>
            </w:r>
          </w:p>
        </w:tc>
        <w:tc>
          <w:tcPr>
            <w:tcW w:w="2184" w:type="dxa"/>
            <w:tcBorders>
              <w:top w:val="single" w:sz="4" w:space="0" w:color="auto"/>
              <w:left w:val="nil"/>
              <w:bottom w:val="single" w:sz="4" w:space="0" w:color="auto"/>
              <w:right w:val="single" w:sz="4" w:space="0" w:color="auto"/>
            </w:tcBorders>
            <w:shd w:val="clear" w:color="auto" w:fill="C6EFCE"/>
            <w:noWrap/>
          </w:tcPr>
          <w:p w14:paraId="25DB033E" w14:textId="130F1BC0" w:rsidR="003B6BD9" w:rsidRDefault="009E25E8">
            <w:pPr>
              <w:pStyle w:val="P68B1DB1-Normal7"/>
              <w:spacing w:before="0" w:after="0" w:line="240" w:lineRule="auto"/>
              <w:rPr>
                <w:noProof/>
              </w:rPr>
            </w:pPr>
            <w:r>
              <w:rPr>
                <w:noProof/>
              </w:rPr>
              <w:t xml:space="preserve">Nombre de </w:t>
            </w:r>
            <w:r>
              <w:rPr>
                <w:rFonts w:eastAsia="Times New Roman"/>
                <w:noProof/>
              </w:rPr>
              <w:t xml:space="preserve">nouveaux systèmes de traitement des eaux usées </w:t>
            </w:r>
            <w:r>
              <w:rPr>
                <w:noProof/>
              </w:rPr>
              <w:t xml:space="preserve">construits ou de systèmes existants reconstruits </w:t>
            </w:r>
          </w:p>
        </w:tc>
        <w:tc>
          <w:tcPr>
            <w:tcW w:w="1632" w:type="dxa"/>
            <w:tcBorders>
              <w:top w:val="single" w:sz="4" w:space="0" w:color="auto"/>
              <w:left w:val="nil"/>
              <w:bottom w:val="single" w:sz="4" w:space="0" w:color="auto"/>
              <w:right w:val="single" w:sz="4" w:space="0" w:color="auto"/>
            </w:tcBorders>
            <w:shd w:val="clear" w:color="auto" w:fill="C6EFCE"/>
            <w:noWrap/>
          </w:tcPr>
          <w:p w14:paraId="5E182E06" w14:textId="77777777" w:rsidR="003B6BD9" w:rsidRDefault="003B6BD9">
            <w:pPr>
              <w:spacing w:before="0" w:after="0" w:line="240" w:lineRule="auto"/>
              <w:rPr>
                <w:rFonts w:eastAsia="Times New Roman"/>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60AA877A" w14:textId="7A1B88D9" w:rsidR="003B6BD9" w:rsidRDefault="009E25E8">
            <w:pPr>
              <w:pStyle w:val="P68B1DB1-Normal7"/>
              <w:spacing w:before="0" w:after="0" w:line="240" w:lineRule="auto"/>
              <w:rPr>
                <w:rFonts w:eastAsia="Times New Roman"/>
                <w:noProof/>
              </w:rPr>
            </w:pPr>
            <w:r>
              <w:rPr>
                <w:noProof/>
              </w:rPr>
              <w:t>Nombre</w:t>
            </w:r>
          </w:p>
        </w:tc>
        <w:tc>
          <w:tcPr>
            <w:tcW w:w="1485" w:type="dxa"/>
            <w:tcBorders>
              <w:top w:val="single" w:sz="4" w:space="0" w:color="auto"/>
              <w:left w:val="nil"/>
              <w:bottom w:val="single" w:sz="4" w:space="0" w:color="auto"/>
              <w:right w:val="single" w:sz="4" w:space="0" w:color="auto"/>
            </w:tcBorders>
            <w:shd w:val="clear" w:color="auto" w:fill="C6EFCE"/>
            <w:noWrap/>
          </w:tcPr>
          <w:p w14:paraId="091C315C" w14:textId="0D5DDFED" w:rsidR="003B6BD9" w:rsidRDefault="009E25E8">
            <w:pPr>
              <w:pStyle w:val="P68B1DB1-Normal7"/>
              <w:spacing w:before="0" w:after="0" w:line="240" w:lineRule="auto"/>
              <w:rPr>
                <w:rFonts w:eastAsia="Times New Roman"/>
                <w:noProof/>
              </w:rPr>
            </w:pPr>
            <w:r>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199E4854" w14:textId="3BBFB181" w:rsidR="003B6BD9" w:rsidRDefault="009E25E8">
            <w:pPr>
              <w:pStyle w:val="P68B1DB1-Normal7"/>
              <w:spacing w:before="0" w:after="0" w:line="240" w:lineRule="auto"/>
              <w:rPr>
                <w:rFonts w:eastAsia="Times New Roman"/>
                <w:noProof/>
              </w:rPr>
            </w:pPr>
            <w:r>
              <w:rPr>
                <w:noProof/>
              </w:rPr>
              <w:t>5</w:t>
            </w:r>
          </w:p>
        </w:tc>
        <w:tc>
          <w:tcPr>
            <w:tcW w:w="986" w:type="dxa"/>
            <w:tcBorders>
              <w:top w:val="single" w:sz="4" w:space="0" w:color="auto"/>
              <w:left w:val="nil"/>
              <w:bottom w:val="single" w:sz="4" w:space="0" w:color="auto"/>
              <w:right w:val="single" w:sz="4" w:space="0" w:color="auto"/>
            </w:tcBorders>
            <w:shd w:val="clear" w:color="auto" w:fill="C6EFCE"/>
            <w:noWrap/>
          </w:tcPr>
          <w:p w14:paraId="684970F1" w14:textId="5127EB13" w:rsidR="003B6BD9" w:rsidRDefault="009E25E8">
            <w:pPr>
              <w:pStyle w:val="P68B1DB1-Normal7"/>
              <w:spacing w:before="0" w:after="0" w:line="240" w:lineRule="auto"/>
              <w:rPr>
                <w:rFonts w:eastAsia="Times New Roman"/>
                <w:noProof/>
              </w:rPr>
            </w:pPr>
            <w:r>
              <w:rPr>
                <w:noProof/>
              </w:rPr>
              <w:t>T4</w:t>
            </w:r>
          </w:p>
        </w:tc>
        <w:tc>
          <w:tcPr>
            <w:tcW w:w="838" w:type="dxa"/>
            <w:tcBorders>
              <w:top w:val="single" w:sz="4" w:space="0" w:color="auto"/>
              <w:left w:val="nil"/>
              <w:bottom w:val="single" w:sz="4" w:space="0" w:color="auto"/>
              <w:right w:val="single" w:sz="4" w:space="0" w:color="auto"/>
            </w:tcBorders>
            <w:shd w:val="clear" w:color="auto" w:fill="C6EFCE"/>
            <w:noWrap/>
          </w:tcPr>
          <w:p w14:paraId="647EB0C1" w14:textId="0372114C" w:rsidR="003B6BD9" w:rsidRDefault="009E25E8">
            <w:pPr>
              <w:pStyle w:val="P68B1DB1-Normal7"/>
              <w:spacing w:before="0" w:after="0" w:line="240" w:lineRule="auto"/>
              <w:rPr>
                <w:rFonts w:eastAsia="Times New Roman"/>
                <w:noProof/>
              </w:rPr>
            </w:pPr>
            <w:r>
              <w:rPr>
                <w:noProof/>
              </w:rPr>
              <w:t>2024</w:t>
            </w:r>
          </w:p>
        </w:tc>
        <w:tc>
          <w:tcPr>
            <w:tcW w:w="3049" w:type="dxa"/>
            <w:tcBorders>
              <w:top w:val="single" w:sz="4" w:space="0" w:color="auto"/>
              <w:left w:val="nil"/>
              <w:bottom w:val="single" w:sz="4" w:space="0" w:color="auto"/>
              <w:right w:val="single" w:sz="4" w:space="0" w:color="auto"/>
            </w:tcBorders>
            <w:shd w:val="clear" w:color="auto" w:fill="C6EFCE"/>
            <w:noWrap/>
          </w:tcPr>
          <w:p w14:paraId="6B4FC8D5" w14:textId="74CD6DA3" w:rsidR="003B6BD9" w:rsidRDefault="009E25E8">
            <w:pPr>
              <w:pStyle w:val="P68B1DB1-Normal7"/>
              <w:spacing w:before="0" w:after="0" w:line="240" w:lineRule="auto"/>
              <w:rPr>
                <w:rFonts w:eastAsia="Times New Roman"/>
                <w:noProof/>
              </w:rPr>
            </w:pPr>
            <w:r>
              <w:rPr>
                <w:noProof/>
              </w:rPr>
              <w:t>Construction de nouveaux systèmes de traitement des eaux usées ou reconstruction des systèmes de traitement des eaux usées existants.</w:t>
            </w:r>
          </w:p>
        </w:tc>
      </w:tr>
      <w:tr w:rsidR="003B6BD9" w14:paraId="6EC5420D" w14:textId="77777777" w:rsidTr="00AC1D11">
        <w:trPr>
          <w:trHeight w:val="884"/>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7C3AD255" w14:textId="1E9945B6" w:rsidR="003B6BD9" w:rsidRDefault="009E25E8">
            <w:pPr>
              <w:pStyle w:val="P68B1DB1-Normal7"/>
              <w:spacing w:before="0" w:after="0" w:line="240" w:lineRule="auto"/>
              <w:rPr>
                <w:rFonts w:eastAsia="Times New Roman"/>
                <w:noProof/>
              </w:rPr>
            </w:pPr>
            <w:r>
              <w:rPr>
                <w:noProof/>
              </w:rPr>
              <w:t>40</w:t>
            </w:r>
          </w:p>
        </w:tc>
        <w:tc>
          <w:tcPr>
            <w:tcW w:w="1440" w:type="dxa"/>
            <w:tcBorders>
              <w:top w:val="single" w:sz="4" w:space="0" w:color="auto"/>
              <w:left w:val="nil"/>
              <w:bottom w:val="single" w:sz="4" w:space="0" w:color="auto"/>
              <w:right w:val="single" w:sz="4" w:space="0" w:color="auto"/>
            </w:tcBorders>
            <w:shd w:val="clear" w:color="auto" w:fill="C6EFCE"/>
            <w:noWrap/>
          </w:tcPr>
          <w:p w14:paraId="77A3F2B3" w14:textId="79142317" w:rsidR="003B6BD9" w:rsidRDefault="009E25E8">
            <w:pPr>
              <w:pStyle w:val="P68B1DB1-Normal7"/>
              <w:spacing w:before="0" w:after="0" w:line="240" w:lineRule="auto"/>
              <w:rPr>
                <w:rFonts w:eastAsia="Times New Roman"/>
                <w:noProof/>
              </w:rPr>
            </w:pPr>
            <w:r>
              <w:rPr>
                <w:noProof/>
              </w:rPr>
              <w:t>H: Projets de rejet et de traitement des eaux urbaines résiduaires</w:t>
            </w:r>
          </w:p>
        </w:tc>
        <w:tc>
          <w:tcPr>
            <w:tcW w:w="1080" w:type="dxa"/>
            <w:tcBorders>
              <w:top w:val="single" w:sz="4" w:space="0" w:color="auto"/>
              <w:left w:val="nil"/>
              <w:bottom w:val="single" w:sz="4" w:space="0" w:color="auto"/>
              <w:right w:val="single" w:sz="4" w:space="0" w:color="auto"/>
            </w:tcBorders>
            <w:shd w:val="clear" w:color="auto" w:fill="C6EFCE"/>
            <w:noWrap/>
          </w:tcPr>
          <w:p w14:paraId="67A2A58D" w14:textId="1493309B" w:rsidR="003B6BD9" w:rsidRDefault="009E25E8">
            <w:pPr>
              <w:pStyle w:val="P68B1DB1-Normal7"/>
              <w:spacing w:before="0" w:after="0" w:line="240" w:lineRule="auto"/>
              <w:rPr>
                <w:rFonts w:eastAsia="Times New Roman"/>
                <w:noProof/>
              </w:rPr>
            </w:pPr>
            <w:r>
              <w:rPr>
                <w:noProof/>
              </w:rPr>
              <w:t>Cible</w:t>
            </w:r>
          </w:p>
        </w:tc>
        <w:tc>
          <w:tcPr>
            <w:tcW w:w="2184" w:type="dxa"/>
            <w:tcBorders>
              <w:top w:val="single" w:sz="4" w:space="0" w:color="auto"/>
              <w:left w:val="nil"/>
              <w:bottom w:val="single" w:sz="4" w:space="0" w:color="auto"/>
              <w:right w:val="single" w:sz="4" w:space="0" w:color="auto"/>
            </w:tcBorders>
            <w:shd w:val="clear" w:color="auto" w:fill="C6EFCE"/>
            <w:noWrap/>
          </w:tcPr>
          <w:p w14:paraId="65B5FB0C" w14:textId="5125E59E" w:rsidR="003B6BD9" w:rsidRDefault="009E25E8">
            <w:pPr>
              <w:pStyle w:val="P68B1DB1-Normal8"/>
              <w:spacing w:before="0" w:after="0" w:line="240" w:lineRule="auto"/>
              <w:rPr>
                <w:noProof/>
              </w:rPr>
            </w:pPr>
            <w:r>
              <w:rPr>
                <w:noProof/>
              </w:rPr>
              <w:t>Nombre de nouveaux systèmes de traitement des eaux usées construits ou de systèmes existants reconstruits</w:t>
            </w:r>
          </w:p>
        </w:tc>
        <w:tc>
          <w:tcPr>
            <w:tcW w:w="1632" w:type="dxa"/>
            <w:tcBorders>
              <w:top w:val="single" w:sz="4" w:space="0" w:color="auto"/>
              <w:left w:val="nil"/>
              <w:bottom w:val="single" w:sz="4" w:space="0" w:color="auto"/>
              <w:right w:val="single" w:sz="4" w:space="0" w:color="auto"/>
            </w:tcBorders>
            <w:shd w:val="clear" w:color="auto" w:fill="C6EFCE"/>
            <w:noWrap/>
          </w:tcPr>
          <w:p w14:paraId="116CD99F" w14:textId="77777777" w:rsidR="003B6BD9" w:rsidRDefault="003B6BD9">
            <w:pPr>
              <w:spacing w:before="0" w:after="0" w:line="240" w:lineRule="auto"/>
              <w:rPr>
                <w:rFonts w:eastAsia="Times New Roman"/>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17E56F92" w14:textId="6D9D82BE" w:rsidR="003B6BD9" w:rsidRDefault="009E25E8">
            <w:pPr>
              <w:pStyle w:val="P68B1DB1-Normal7"/>
              <w:spacing w:before="0" w:after="0" w:line="240" w:lineRule="auto"/>
              <w:rPr>
                <w:rFonts w:eastAsia="Times New Roman"/>
                <w:noProof/>
              </w:rPr>
            </w:pPr>
            <w:r>
              <w:rPr>
                <w:noProof/>
              </w:rPr>
              <w:t>Nombre</w:t>
            </w:r>
          </w:p>
        </w:tc>
        <w:tc>
          <w:tcPr>
            <w:tcW w:w="1485" w:type="dxa"/>
            <w:tcBorders>
              <w:top w:val="single" w:sz="4" w:space="0" w:color="auto"/>
              <w:left w:val="nil"/>
              <w:bottom w:val="single" w:sz="4" w:space="0" w:color="auto"/>
              <w:right w:val="single" w:sz="4" w:space="0" w:color="auto"/>
            </w:tcBorders>
            <w:shd w:val="clear" w:color="auto" w:fill="C6EFCE"/>
            <w:noWrap/>
          </w:tcPr>
          <w:p w14:paraId="57F60077" w14:textId="4EADA058" w:rsidR="003B6BD9" w:rsidRDefault="009E25E8">
            <w:pPr>
              <w:pStyle w:val="P68B1DB1-Normal7"/>
              <w:spacing w:before="0" w:after="0" w:line="240" w:lineRule="auto"/>
              <w:rPr>
                <w:rFonts w:eastAsia="Times New Roman"/>
                <w:noProof/>
              </w:rPr>
            </w:pPr>
            <w:r>
              <w:rPr>
                <w:noProof/>
              </w:rPr>
              <w:t>5</w:t>
            </w:r>
          </w:p>
        </w:tc>
        <w:tc>
          <w:tcPr>
            <w:tcW w:w="711" w:type="dxa"/>
            <w:tcBorders>
              <w:top w:val="single" w:sz="4" w:space="0" w:color="auto"/>
              <w:left w:val="nil"/>
              <w:bottom w:val="single" w:sz="4" w:space="0" w:color="auto"/>
              <w:right w:val="single" w:sz="4" w:space="0" w:color="auto"/>
            </w:tcBorders>
            <w:shd w:val="clear" w:color="auto" w:fill="C6EFCE"/>
            <w:noWrap/>
          </w:tcPr>
          <w:p w14:paraId="137CB990" w14:textId="75ED2A67" w:rsidR="003B6BD9" w:rsidRDefault="009E25E8">
            <w:pPr>
              <w:pStyle w:val="P68B1DB1-Normal7"/>
              <w:spacing w:before="0" w:after="0" w:line="240" w:lineRule="auto"/>
              <w:rPr>
                <w:rFonts w:eastAsia="Times New Roman"/>
                <w:noProof/>
              </w:rPr>
            </w:pPr>
            <w:r>
              <w:rPr>
                <w:noProof/>
              </w:rPr>
              <w:t>12</w:t>
            </w:r>
          </w:p>
        </w:tc>
        <w:tc>
          <w:tcPr>
            <w:tcW w:w="986" w:type="dxa"/>
            <w:tcBorders>
              <w:top w:val="single" w:sz="4" w:space="0" w:color="auto"/>
              <w:left w:val="nil"/>
              <w:bottom w:val="single" w:sz="4" w:space="0" w:color="auto"/>
              <w:right w:val="single" w:sz="4" w:space="0" w:color="auto"/>
            </w:tcBorders>
            <w:shd w:val="clear" w:color="auto" w:fill="C6EFCE"/>
            <w:noWrap/>
          </w:tcPr>
          <w:p w14:paraId="32E7851B" w14:textId="2680BAD7" w:rsidR="003B6BD9" w:rsidRDefault="009E25E8">
            <w:pPr>
              <w:pStyle w:val="P68B1DB1-Normal7"/>
              <w:spacing w:before="0" w:after="0" w:line="240" w:lineRule="auto"/>
              <w:rPr>
                <w:rFonts w:eastAsia="Times New Roman"/>
                <w:noProof/>
              </w:rPr>
            </w:pPr>
            <w:r>
              <w:rPr>
                <w:noProof/>
              </w:rPr>
              <w:t>T4</w:t>
            </w:r>
          </w:p>
        </w:tc>
        <w:tc>
          <w:tcPr>
            <w:tcW w:w="838" w:type="dxa"/>
            <w:tcBorders>
              <w:top w:val="single" w:sz="4" w:space="0" w:color="auto"/>
              <w:left w:val="nil"/>
              <w:bottom w:val="single" w:sz="4" w:space="0" w:color="auto"/>
              <w:right w:val="single" w:sz="4" w:space="0" w:color="auto"/>
            </w:tcBorders>
            <w:shd w:val="clear" w:color="auto" w:fill="C6EFCE"/>
            <w:noWrap/>
          </w:tcPr>
          <w:p w14:paraId="76EA34B2" w14:textId="338C82AD" w:rsidR="003B6BD9" w:rsidRDefault="009E25E8">
            <w:pPr>
              <w:pStyle w:val="P68B1DB1-Normal7"/>
              <w:spacing w:before="0" w:after="0" w:line="240" w:lineRule="auto"/>
              <w:rPr>
                <w:rFonts w:eastAsia="Times New Roman"/>
                <w:noProof/>
              </w:rPr>
            </w:pPr>
            <w:r>
              <w:rPr>
                <w:noProof/>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11F49358" w14:textId="359E0AB6" w:rsidR="003B6BD9" w:rsidRDefault="009E25E8">
            <w:pPr>
              <w:pStyle w:val="P68B1DB1-Normal8"/>
              <w:spacing w:before="0" w:after="0" w:line="240" w:lineRule="auto"/>
              <w:rPr>
                <w:noProof/>
              </w:rPr>
            </w:pPr>
            <w:r>
              <w:rPr>
                <w:noProof/>
              </w:rPr>
              <w:t>Construction de nouveaux systèmes de traitement des eaux usées ou reconstruction des systèmes de traitement des eaux usées existants.</w:t>
            </w:r>
          </w:p>
        </w:tc>
      </w:tr>
      <w:tr w:rsidR="003B6BD9" w14:paraId="2399C6CF" w14:textId="77777777" w:rsidTr="00AC1D11">
        <w:trPr>
          <w:trHeight w:val="908"/>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05928ECC" w14:textId="6DB9486D" w:rsidR="003B6BD9" w:rsidRDefault="009E25E8">
            <w:pPr>
              <w:pStyle w:val="P68B1DB1-Normal7"/>
              <w:spacing w:before="0" w:after="0" w:line="240" w:lineRule="auto"/>
              <w:rPr>
                <w:rFonts w:eastAsia="Times New Roman"/>
                <w:noProof/>
              </w:rPr>
            </w:pPr>
            <w:r>
              <w:rPr>
                <w:noProof/>
              </w:rPr>
              <w:t>41</w:t>
            </w:r>
          </w:p>
        </w:tc>
        <w:tc>
          <w:tcPr>
            <w:tcW w:w="1440" w:type="dxa"/>
            <w:tcBorders>
              <w:top w:val="single" w:sz="4" w:space="0" w:color="auto"/>
              <w:left w:val="nil"/>
              <w:bottom w:val="single" w:sz="4" w:space="0" w:color="auto"/>
              <w:right w:val="single" w:sz="4" w:space="0" w:color="auto"/>
            </w:tcBorders>
            <w:shd w:val="clear" w:color="auto" w:fill="C6EFCE"/>
            <w:noWrap/>
          </w:tcPr>
          <w:p w14:paraId="627CC8A0" w14:textId="781C654C" w:rsidR="003B6BD9" w:rsidRDefault="009E25E8">
            <w:pPr>
              <w:pStyle w:val="P68B1DB1-Normal7"/>
              <w:spacing w:before="0" w:after="0" w:line="240" w:lineRule="auto"/>
              <w:rPr>
                <w:rFonts w:eastAsia="Times New Roman"/>
                <w:noProof/>
              </w:rPr>
            </w:pPr>
            <w:r>
              <w:rPr>
                <w:noProof/>
              </w:rPr>
              <w:t>H: Projets de rejet et de traitement des eaux urbaines résiduaires</w:t>
            </w:r>
          </w:p>
        </w:tc>
        <w:tc>
          <w:tcPr>
            <w:tcW w:w="1080" w:type="dxa"/>
            <w:tcBorders>
              <w:top w:val="single" w:sz="4" w:space="0" w:color="auto"/>
              <w:left w:val="nil"/>
              <w:bottom w:val="single" w:sz="4" w:space="0" w:color="auto"/>
              <w:right w:val="single" w:sz="4" w:space="0" w:color="auto"/>
            </w:tcBorders>
            <w:shd w:val="clear" w:color="auto" w:fill="C6EFCE"/>
            <w:noWrap/>
          </w:tcPr>
          <w:p w14:paraId="68299BE2" w14:textId="7466FD6E" w:rsidR="003B6BD9" w:rsidRDefault="009E25E8">
            <w:pPr>
              <w:pStyle w:val="P68B1DB1-Normal7"/>
              <w:spacing w:before="0" w:after="0" w:line="240" w:lineRule="auto"/>
              <w:rPr>
                <w:rFonts w:eastAsia="Times New Roman"/>
                <w:noProof/>
              </w:rPr>
            </w:pPr>
            <w:r>
              <w:rPr>
                <w:noProof/>
              </w:rPr>
              <w:t>Cible</w:t>
            </w:r>
          </w:p>
        </w:tc>
        <w:tc>
          <w:tcPr>
            <w:tcW w:w="2184" w:type="dxa"/>
            <w:tcBorders>
              <w:top w:val="single" w:sz="4" w:space="0" w:color="auto"/>
              <w:left w:val="nil"/>
              <w:bottom w:val="single" w:sz="4" w:space="0" w:color="auto"/>
              <w:right w:val="single" w:sz="4" w:space="0" w:color="auto"/>
            </w:tcBorders>
            <w:shd w:val="clear" w:color="auto" w:fill="C6EFCE"/>
            <w:noWrap/>
          </w:tcPr>
          <w:p w14:paraId="1F4E0D50" w14:textId="29DF454A" w:rsidR="003B6BD9" w:rsidRDefault="009E25E8">
            <w:pPr>
              <w:pStyle w:val="P68B1DB1-Normal7"/>
              <w:spacing w:before="0" w:after="0" w:line="240" w:lineRule="auto"/>
              <w:rPr>
                <w:noProof/>
              </w:rPr>
            </w:pPr>
            <w:r>
              <w:rPr>
                <w:noProof/>
              </w:rPr>
              <w:t xml:space="preserve">Nombre de </w:t>
            </w:r>
            <w:r>
              <w:rPr>
                <w:rFonts w:eastAsia="Times New Roman"/>
                <w:noProof/>
              </w:rPr>
              <w:t>nouveaux systèmes de traitement des eaux usées</w:t>
            </w:r>
            <w:r>
              <w:rPr>
                <w:noProof/>
              </w:rPr>
              <w:t xml:space="preserve"> construits ou de systèmes existants reconstruits </w:t>
            </w:r>
          </w:p>
        </w:tc>
        <w:tc>
          <w:tcPr>
            <w:tcW w:w="1632" w:type="dxa"/>
            <w:tcBorders>
              <w:top w:val="single" w:sz="4" w:space="0" w:color="auto"/>
              <w:left w:val="nil"/>
              <w:bottom w:val="single" w:sz="4" w:space="0" w:color="auto"/>
              <w:right w:val="single" w:sz="4" w:space="0" w:color="auto"/>
            </w:tcBorders>
            <w:shd w:val="clear" w:color="auto" w:fill="C6EFCE"/>
            <w:noWrap/>
          </w:tcPr>
          <w:p w14:paraId="1061723C" w14:textId="06834640" w:rsidR="003B6BD9" w:rsidRDefault="009E25E8">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056815CF" w14:textId="752AAE28" w:rsidR="003B6BD9" w:rsidRDefault="009E25E8">
            <w:pPr>
              <w:pStyle w:val="P68B1DB1-Normal7"/>
              <w:spacing w:before="0" w:after="0" w:line="240" w:lineRule="auto"/>
              <w:rPr>
                <w:rFonts w:eastAsia="Times New Roman"/>
                <w:noProof/>
              </w:rPr>
            </w:pPr>
            <w:r>
              <w:rPr>
                <w:noProof/>
              </w:rPr>
              <w:t>Nombre</w:t>
            </w:r>
          </w:p>
        </w:tc>
        <w:tc>
          <w:tcPr>
            <w:tcW w:w="1485" w:type="dxa"/>
            <w:tcBorders>
              <w:top w:val="single" w:sz="4" w:space="0" w:color="auto"/>
              <w:left w:val="nil"/>
              <w:bottom w:val="single" w:sz="4" w:space="0" w:color="auto"/>
              <w:right w:val="single" w:sz="4" w:space="0" w:color="auto"/>
            </w:tcBorders>
            <w:shd w:val="clear" w:color="auto" w:fill="C6EFCE"/>
            <w:noWrap/>
          </w:tcPr>
          <w:p w14:paraId="0519478C" w14:textId="0BB7E43F" w:rsidR="003B6BD9" w:rsidRDefault="009E25E8">
            <w:pPr>
              <w:pStyle w:val="P68B1DB1-Normal7"/>
              <w:spacing w:before="0" w:after="0" w:line="240" w:lineRule="auto"/>
              <w:rPr>
                <w:noProof/>
              </w:rPr>
            </w:pPr>
            <w:r>
              <w:rPr>
                <w:noProof/>
              </w:rPr>
              <w:t>12</w:t>
            </w:r>
          </w:p>
        </w:tc>
        <w:tc>
          <w:tcPr>
            <w:tcW w:w="711" w:type="dxa"/>
            <w:tcBorders>
              <w:top w:val="single" w:sz="4" w:space="0" w:color="auto"/>
              <w:left w:val="nil"/>
              <w:bottom w:val="single" w:sz="4" w:space="0" w:color="auto"/>
              <w:right w:val="single" w:sz="4" w:space="0" w:color="auto"/>
            </w:tcBorders>
            <w:shd w:val="clear" w:color="auto" w:fill="C6EFCE"/>
            <w:noWrap/>
          </w:tcPr>
          <w:p w14:paraId="35DA72D1" w14:textId="16BE9668" w:rsidR="003B6BD9" w:rsidRDefault="009E25E8">
            <w:pPr>
              <w:pStyle w:val="P68B1DB1-Normal7"/>
              <w:spacing w:before="0" w:after="0" w:line="240" w:lineRule="auto"/>
              <w:rPr>
                <w:rFonts w:eastAsia="Times New Roman"/>
                <w:noProof/>
              </w:rPr>
            </w:pPr>
            <w:r>
              <w:rPr>
                <w:noProof/>
              </w:rPr>
              <w:t>15</w:t>
            </w:r>
          </w:p>
        </w:tc>
        <w:tc>
          <w:tcPr>
            <w:tcW w:w="986" w:type="dxa"/>
            <w:tcBorders>
              <w:top w:val="single" w:sz="4" w:space="0" w:color="auto"/>
              <w:left w:val="nil"/>
              <w:bottom w:val="single" w:sz="4" w:space="0" w:color="auto"/>
              <w:right w:val="single" w:sz="4" w:space="0" w:color="auto"/>
            </w:tcBorders>
            <w:shd w:val="clear" w:color="auto" w:fill="C6EFCE"/>
            <w:noWrap/>
          </w:tcPr>
          <w:p w14:paraId="1873952B" w14:textId="289CDA84" w:rsidR="003B6BD9" w:rsidRDefault="009E25E8">
            <w:pPr>
              <w:pStyle w:val="P68B1DB1-Normal7"/>
              <w:spacing w:before="0" w:after="0" w:line="240" w:lineRule="auto"/>
              <w:rPr>
                <w:rFonts w:eastAsia="Times New Roman"/>
                <w:noProof/>
              </w:rPr>
            </w:pPr>
            <w:r>
              <w:rPr>
                <w:noProof/>
              </w:rPr>
              <w:t>T2</w:t>
            </w:r>
          </w:p>
        </w:tc>
        <w:tc>
          <w:tcPr>
            <w:tcW w:w="838" w:type="dxa"/>
            <w:tcBorders>
              <w:top w:val="single" w:sz="4" w:space="0" w:color="auto"/>
              <w:left w:val="nil"/>
              <w:bottom w:val="single" w:sz="4" w:space="0" w:color="auto"/>
              <w:right w:val="single" w:sz="4" w:space="0" w:color="auto"/>
            </w:tcBorders>
            <w:shd w:val="clear" w:color="auto" w:fill="C6EFCE"/>
            <w:noWrap/>
          </w:tcPr>
          <w:p w14:paraId="252E52E9" w14:textId="2477CAEA" w:rsidR="003B6BD9" w:rsidRDefault="009E25E8">
            <w:pPr>
              <w:pStyle w:val="P68B1DB1-Normal7"/>
              <w:spacing w:before="0" w:after="0" w:line="240" w:lineRule="auto"/>
              <w:rPr>
                <w:rFonts w:eastAsia="Times New Roman"/>
                <w:noProof/>
              </w:rPr>
            </w:pPr>
            <w:r>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D2F88A3" w14:textId="42C9D40D" w:rsidR="003B6BD9" w:rsidRDefault="009E25E8">
            <w:pPr>
              <w:pStyle w:val="P68B1DB1-Normal7"/>
              <w:spacing w:before="0" w:after="0" w:line="240" w:lineRule="auto"/>
              <w:rPr>
                <w:rFonts w:eastAsia="Times New Roman"/>
                <w:noProof/>
              </w:rPr>
            </w:pPr>
            <w:r>
              <w:rPr>
                <w:noProof/>
              </w:rPr>
              <w:t>Construction de nouveaux systèmes de traitement des eaux usées ou reconstruction des systèmes de traitement des eaux usées existants.</w:t>
            </w:r>
          </w:p>
        </w:tc>
      </w:tr>
      <w:tr w:rsidR="003B6BD9" w14:paraId="7D0BDDFD" w14:textId="77777777" w:rsidTr="00AC1D11">
        <w:trPr>
          <w:trHeight w:val="211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46386928" w14:textId="5F23B237" w:rsidR="003B6BD9" w:rsidRDefault="009E25E8">
            <w:pPr>
              <w:pStyle w:val="P68B1DB1-Normal7"/>
              <w:spacing w:before="0" w:after="0" w:line="240" w:lineRule="auto"/>
              <w:rPr>
                <w:rFonts w:eastAsia="Times New Roman"/>
                <w:noProof/>
              </w:rPr>
            </w:pPr>
            <w:r>
              <w:rPr>
                <w:noProof/>
              </w:rPr>
              <w:t>42</w:t>
            </w:r>
          </w:p>
        </w:tc>
        <w:tc>
          <w:tcPr>
            <w:tcW w:w="1440" w:type="dxa"/>
            <w:tcBorders>
              <w:top w:val="single" w:sz="4" w:space="0" w:color="auto"/>
              <w:left w:val="nil"/>
              <w:bottom w:val="single" w:sz="4" w:space="0" w:color="auto"/>
              <w:right w:val="single" w:sz="4" w:space="0" w:color="auto"/>
            </w:tcBorders>
            <w:shd w:val="clear" w:color="auto" w:fill="C6EFCE"/>
            <w:noWrap/>
          </w:tcPr>
          <w:p w14:paraId="7D26F5F3" w14:textId="7778D689" w:rsidR="003B6BD9" w:rsidRDefault="009E25E8">
            <w:pPr>
              <w:pStyle w:val="P68B1DB1-Normal7"/>
              <w:spacing w:before="0" w:after="0" w:line="240" w:lineRule="auto"/>
              <w:rPr>
                <w:rFonts w:eastAsia="Times New Roman"/>
                <w:noProof/>
              </w:rPr>
            </w:pPr>
            <w:r>
              <w:rPr>
                <w:noProof/>
              </w:rPr>
              <w:t>I: Projets d’approvisionnement en eau potable et d’économies d’eau</w:t>
            </w:r>
          </w:p>
        </w:tc>
        <w:tc>
          <w:tcPr>
            <w:tcW w:w="1080" w:type="dxa"/>
            <w:tcBorders>
              <w:top w:val="single" w:sz="4" w:space="0" w:color="auto"/>
              <w:left w:val="nil"/>
              <w:bottom w:val="single" w:sz="4" w:space="0" w:color="auto"/>
              <w:right w:val="single" w:sz="4" w:space="0" w:color="auto"/>
            </w:tcBorders>
            <w:shd w:val="clear" w:color="auto" w:fill="C6EFCE"/>
            <w:noWrap/>
          </w:tcPr>
          <w:p w14:paraId="5AB663FC" w14:textId="71CB332A" w:rsidR="003B6BD9" w:rsidRDefault="009E25E8">
            <w:pPr>
              <w:pStyle w:val="P68B1DB1-Normal7"/>
              <w:spacing w:before="0" w:after="0" w:line="240" w:lineRule="auto"/>
              <w:rPr>
                <w:rFonts w:eastAsia="Times New Roman"/>
                <w:noProof/>
              </w:rPr>
            </w:pPr>
            <w:r>
              <w:rPr>
                <w:noProof/>
              </w:rPr>
              <w:t>Jalon</w:t>
            </w:r>
          </w:p>
        </w:tc>
        <w:tc>
          <w:tcPr>
            <w:tcW w:w="2184" w:type="dxa"/>
            <w:tcBorders>
              <w:top w:val="single" w:sz="4" w:space="0" w:color="auto"/>
              <w:left w:val="nil"/>
              <w:bottom w:val="single" w:sz="4" w:space="0" w:color="auto"/>
              <w:right w:val="single" w:sz="4" w:space="0" w:color="auto"/>
            </w:tcBorders>
            <w:shd w:val="clear" w:color="auto" w:fill="C6EFCE"/>
            <w:noWrap/>
          </w:tcPr>
          <w:p w14:paraId="2226AC5D" w14:textId="0CC800DB" w:rsidR="003B6BD9" w:rsidRDefault="009E25E8">
            <w:pPr>
              <w:pStyle w:val="P68B1DB1-Normal7"/>
              <w:spacing w:before="0" w:after="0" w:line="240" w:lineRule="auto"/>
              <w:rPr>
                <w:rFonts w:eastAsia="Times New Roman"/>
                <w:noProof/>
              </w:rPr>
            </w:pPr>
            <w:r>
              <w:rPr>
                <w:noProof/>
              </w:rPr>
              <w:t>Octroi de subventions pour des projets d’approvisionnement en eau potable</w:t>
            </w:r>
          </w:p>
        </w:tc>
        <w:tc>
          <w:tcPr>
            <w:tcW w:w="1632" w:type="dxa"/>
            <w:tcBorders>
              <w:top w:val="single" w:sz="4" w:space="0" w:color="auto"/>
              <w:left w:val="nil"/>
              <w:bottom w:val="single" w:sz="4" w:space="0" w:color="auto"/>
              <w:right w:val="single" w:sz="4" w:space="0" w:color="auto"/>
            </w:tcBorders>
            <w:shd w:val="clear" w:color="auto" w:fill="C6EFCE"/>
            <w:noWrap/>
          </w:tcPr>
          <w:p w14:paraId="40AF4241" w14:textId="33D47FE6" w:rsidR="003B6BD9" w:rsidRDefault="009E25E8">
            <w:pPr>
              <w:pStyle w:val="P68B1DB1-Normal7"/>
              <w:spacing w:before="0" w:after="0" w:line="240" w:lineRule="auto"/>
              <w:rPr>
                <w:rFonts w:eastAsia="Times New Roman"/>
                <w:noProof/>
              </w:rPr>
            </w:pPr>
            <w:r>
              <w:rPr>
                <w:noProof/>
              </w:rPr>
              <w:t>Communication des prix</w:t>
            </w:r>
          </w:p>
        </w:tc>
        <w:tc>
          <w:tcPr>
            <w:tcW w:w="1042" w:type="dxa"/>
            <w:tcBorders>
              <w:top w:val="single" w:sz="4" w:space="0" w:color="auto"/>
              <w:left w:val="nil"/>
              <w:bottom w:val="single" w:sz="4" w:space="0" w:color="auto"/>
              <w:right w:val="single" w:sz="4" w:space="0" w:color="auto"/>
            </w:tcBorders>
            <w:shd w:val="clear" w:color="auto" w:fill="C6EFCE"/>
            <w:noWrap/>
          </w:tcPr>
          <w:p w14:paraId="1E8D829E" w14:textId="7A3B5E70" w:rsidR="003B6BD9" w:rsidRDefault="009E25E8">
            <w:pPr>
              <w:pStyle w:val="P68B1DB1-Normal7"/>
              <w:spacing w:before="0" w:after="0" w:line="240" w:lineRule="auto"/>
              <w:rPr>
                <w:rFonts w:eastAsia="Times New Roman"/>
                <w:noProof/>
              </w:rPr>
            </w:pPr>
            <w:r>
              <w:rPr>
                <w:noProof/>
              </w:rPr>
              <w:t> </w:t>
            </w:r>
          </w:p>
        </w:tc>
        <w:tc>
          <w:tcPr>
            <w:tcW w:w="1485" w:type="dxa"/>
            <w:tcBorders>
              <w:top w:val="single" w:sz="4" w:space="0" w:color="auto"/>
              <w:left w:val="nil"/>
              <w:bottom w:val="single" w:sz="4" w:space="0" w:color="auto"/>
              <w:right w:val="single" w:sz="4" w:space="0" w:color="auto"/>
            </w:tcBorders>
            <w:shd w:val="clear" w:color="auto" w:fill="C6EFCE"/>
            <w:noWrap/>
          </w:tcPr>
          <w:p w14:paraId="35D8BA6C" w14:textId="52A2DE41" w:rsidR="003B6BD9" w:rsidRDefault="009E25E8">
            <w:pPr>
              <w:pStyle w:val="P68B1DB1-Normal7"/>
              <w:spacing w:before="0" w:after="0" w:line="240" w:lineRule="auto"/>
              <w:rPr>
                <w:rFonts w:eastAsia="Times New Roman"/>
                <w:noProof/>
              </w:rPr>
            </w:pPr>
            <w:r>
              <w:rPr>
                <w:noProof/>
              </w:rPr>
              <w:t> </w:t>
            </w:r>
          </w:p>
        </w:tc>
        <w:tc>
          <w:tcPr>
            <w:tcW w:w="711" w:type="dxa"/>
            <w:tcBorders>
              <w:top w:val="single" w:sz="4" w:space="0" w:color="auto"/>
              <w:left w:val="nil"/>
              <w:bottom w:val="single" w:sz="4" w:space="0" w:color="auto"/>
              <w:right w:val="single" w:sz="4" w:space="0" w:color="auto"/>
            </w:tcBorders>
            <w:shd w:val="clear" w:color="auto" w:fill="C6EFCE"/>
            <w:noWrap/>
          </w:tcPr>
          <w:p w14:paraId="56747E99" w14:textId="4D354F49" w:rsidR="003B6BD9" w:rsidRDefault="009E25E8">
            <w:pPr>
              <w:pStyle w:val="P68B1DB1-Normal7"/>
              <w:spacing w:before="0" w:after="0" w:line="240" w:lineRule="auto"/>
              <w:rPr>
                <w:rFonts w:eastAsia="Times New Roman"/>
                <w:noProof/>
              </w:rPr>
            </w:pPr>
            <w:r>
              <w:rPr>
                <w:noProof/>
              </w:rPr>
              <w:t> </w:t>
            </w:r>
          </w:p>
        </w:tc>
        <w:tc>
          <w:tcPr>
            <w:tcW w:w="986" w:type="dxa"/>
            <w:tcBorders>
              <w:top w:val="single" w:sz="4" w:space="0" w:color="auto"/>
              <w:left w:val="nil"/>
              <w:bottom w:val="single" w:sz="4" w:space="0" w:color="auto"/>
              <w:right w:val="single" w:sz="4" w:space="0" w:color="auto"/>
            </w:tcBorders>
            <w:shd w:val="clear" w:color="auto" w:fill="C6EFCE"/>
            <w:noWrap/>
          </w:tcPr>
          <w:p w14:paraId="4E29AAB8" w14:textId="112F7E09" w:rsidR="003B6BD9" w:rsidRDefault="009E25E8">
            <w:pPr>
              <w:pStyle w:val="P68B1DB1-Normal7"/>
              <w:spacing w:before="0" w:after="0" w:line="240" w:lineRule="auto"/>
              <w:rPr>
                <w:rFonts w:eastAsia="Times New Roman"/>
                <w:noProof/>
              </w:rPr>
            </w:pPr>
            <w:r>
              <w:rPr>
                <w:noProof/>
              </w:rPr>
              <w:t>T4</w:t>
            </w:r>
          </w:p>
        </w:tc>
        <w:tc>
          <w:tcPr>
            <w:tcW w:w="838" w:type="dxa"/>
            <w:tcBorders>
              <w:top w:val="single" w:sz="4" w:space="0" w:color="auto"/>
              <w:left w:val="nil"/>
              <w:bottom w:val="single" w:sz="4" w:space="0" w:color="auto"/>
              <w:right w:val="single" w:sz="4" w:space="0" w:color="auto"/>
            </w:tcBorders>
            <w:shd w:val="clear" w:color="auto" w:fill="C6EFCE"/>
            <w:noWrap/>
          </w:tcPr>
          <w:p w14:paraId="2F872757" w14:textId="6602E2EE" w:rsidR="003B6BD9" w:rsidRDefault="009E25E8">
            <w:pPr>
              <w:pStyle w:val="P68B1DB1-Normal7"/>
              <w:spacing w:before="0" w:after="0" w:line="240" w:lineRule="auto"/>
              <w:rPr>
                <w:rFonts w:eastAsia="Times New Roman"/>
                <w:noProof/>
              </w:rPr>
            </w:pPr>
            <w:r>
              <w:rPr>
                <w:noProof/>
              </w:rPr>
              <w:t>2022</w:t>
            </w:r>
          </w:p>
        </w:tc>
        <w:tc>
          <w:tcPr>
            <w:tcW w:w="3049" w:type="dxa"/>
            <w:tcBorders>
              <w:top w:val="single" w:sz="4" w:space="0" w:color="auto"/>
              <w:left w:val="nil"/>
              <w:bottom w:val="single" w:sz="4" w:space="0" w:color="auto"/>
              <w:right w:val="single" w:sz="4" w:space="0" w:color="auto"/>
            </w:tcBorders>
            <w:shd w:val="clear" w:color="auto" w:fill="C6EFCE"/>
            <w:noWrap/>
          </w:tcPr>
          <w:p w14:paraId="6EFD0DEB" w14:textId="4522CA42" w:rsidR="003B6BD9" w:rsidRDefault="009E25E8">
            <w:pPr>
              <w:pStyle w:val="P68B1DB1-Normal7"/>
              <w:spacing w:before="0" w:after="0" w:line="240" w:lineRule="auto"/>
              <w:rPr>
                <w:rFonts w:eastAsia="Times New Roman"/>
                <w:noProof/>
              </w:rPr>
            </w:pPr>
            <w:r>
              <w:rPr>
                <w:noProof/>
              </w:rPr>
              <w:t xml:space="preserve">Octroi de subventions pour des projets d’approvisionnement en eau potable. Les projets portent sur la reconstruction des systèmes existants afin d’accroître l’efficacité énergétique et de réduire la consommation d’électricité d’au moins 10 %, et dans le but de faire en sorte qu’un système nouvellement construit ait une consommation d’énergie moyenne inférieure ou égale à 0,5 kWh ou un ILI de 1.5 ou moins. </w:t>
            </w:r>
          </w:p>
        </w:tc>
      </w:tr>
      <w:tr w:rsidR="003B6BD9" w14:paraId="6BD93091" w14:textId="77777777" w:rsidTr="00AC1D11">
        <w:trPr>
          <w:trHeight w:val="992"/>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139C0959" w14:textId="068D603A" w:rsidR="003B6BD9" w:rsidRDefault="009E25E8">
            <w:pPr>
              <w:pStyle w:val="P68B1DB1-Normal7"/>
              <w:spacing w:before="0" w:after="0" w:line="240" w:lineRule="auto"/>
              <w:rPr>
                <w:rFonts w:eastAsia="Times New Roman"/>
                <w:noProof/>
              </w:rPr>
            </w:pPr>
            <w:r>
              <w:rPr>
                <w:noProof/>
              </w:rPr>
              <w:t>43</w:t>
            </w:r>
          </w:p>
        </w:tc>
        <w:tc>
          <w:tcPr>
            <w:tcW w:w="1440" w:type="dxa"/>
            <w:tcBorders>
              <w:top w:val="single" w:sz="4" w:space="0" w:color="auto"/>
              <w:left w:val="nil"/>
              <w:bottom w:val="single" w:sz="4" w:space="0" w:color="auto"/>
              <w:right w:val="single" w:sz="4" w:space="0" w:color="auto"/>
            </w:tcBorders>
            <w:shd w:val="clear" w:color="auto" w:fill="C6EFCE"/>
            <w:noWrap/>
          </w:tcPr>
          <w:p w14:paraId="641F45BD" w14:textId="78B13D20" w:rsidR="003B6BD9" w:rsidRDefault="009E25E8">
            <w:pPr>
              <w:pStyle w:val="P68B1DB1-Normal7"/>
              <w:spacing w:before="0" w:after="0" w:line="240" w:lineRule="auto"/>
              <w:rPr>
                <w:rFonts w:eastAsia="Times New Roman"/>
                <w:noProof/>
              </w:rPr>
            </w:pPr>
            <w:r>
              <w:rPr>
                <w:noProof/>
              </w:rPr>
              <w:t>I: Projets d’approvisionnement en eau potable et d’économies d’eau</w:t>
            </w:r>
          </w:p>
        </w:tc>
        <w:tc>
          <w:tcPr>
            <w:tcW w:w="1080" w:type="dxa"/>
            <w:tcBorders>
              <w:top w:val="single" w:sz="4" w:space="0" w:color="auto"/>
              <w:left w:val="nil"/>
              <w:bottom w:val="single" w:sz="4" w:space="0" w:color="auto"/>
              <w:right w:val="single" w:sz="4" w:space="0" w:color="auto"/>
            </w:tcBorders>
            <w:shd w:val="clear" w:color="auto" w:fill="C6EFCE"/>
            <w:noWrap/>
          </w:tcPr>
          <w:p w14:paraId="1EC35C86" w14:textId="4282ED56" w:rsidR="003B6BD9" w:rsidRDefault="009E25E8">
            <w:pPr>
              <w:pStyle w:val="P68B1DB1-Normal7"/>
              <w:spacing w:before="0" w:after="0" w:line="240" w:lineRule="auto"/>
              <w:rPr>
                <w:rFonts w:eastAsia="Times New Roman"/>
                <w:noProof/>
              </w:rPr>
            </w:pPr>
            <w:r>
              <w:rPr>
                <w:noProof/>
              </w:rPr>
              <w:t>Cible</w:t>
            </w:r>
          </w:p>
        </w:tc>
        <w:tc>
          <w:tcPr>
            <w:tcW w:w="2184" w:type="dxa"/>
            <w:tcBorders>
              <w:top w:val="single" w:sz="4" w:space="0" w:color="auto"/>
              <w:left w:val="nil"/>
              <w:bottom w:val="single" w:sz="4" w:space="0" w:color="auto"/>
              <w:right w:val="single" w:sz="4" w:space="0" w:color="auto"/>
            </w:tcBorders>
            <w:shd w:val="clear" w:color="auto" w:fill="C6EFCE"/>
            <w:noWrap/>
          </w:tcPr>
          <w:p w14:paraId="47C133A1" w14:textId="3ECBE13C" w:rsidR="003B6BD9" w:rsidRDefault="009E25E8">
            <w:pPr>
              <w:pStyle w:val="P68B1DB1-Normal7"/>
              <w:spacing w:before="0" w:after="0" w:line="240" w:lineRule="auto"/>
              <w:rPr>
                <w:rFonts w:eastAsia="Times New Roman"/>
                <w:noProof/>
              </w:rPr>
            </w:pPr>
            <w:r>
              <w:rPr>
                <w:noProof/>
              </w:rPr>
              <w:t>Nombre de nouveaux systèmes d’approvisionnement en eau potable construits ou de systèmes d’approvisionnement en eau potable existants reconstruits</w:t>
            </w:r>
          </w:p>
        </w:tc>
        <w:tc>
          <w:tcPr>
            <w:tcW w:w="1632" w:type="dxa"/>
            <w:tcBorders>
              <w:top w:val="single" w:sz="4" w:space="0" w:color="auto"/>
              <w:left w:val="nil"/>
              <w:bottom w:val="single" w:sz="4" w:space="0" w:color="auto"/>
              <w:right w:val="single" w:sz="4" w:space="0" w:color="auto"/>
            </w:tcBorders>
            <w:shd w:val="clear" w:color="auto" w:fill="C6EFCE"/>
            <w:noWrap/>
          </w:tcPr>
          <w:p w14:paraId="59E6951B" w14:textId="7814CE21" w:rsidR="003B6BD9" w:rsidRDefault="009E25E8">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7DF3230B" w14:textId="5134B95B" w:rsidR="003B6BD9" w:rsidRDefault="009E25E8">
            <w:pPr>
              <w:pStyle w:val="P68B1DB1-Normal7"/>
              <w:spacing w:before="0" w:after="0" w:line="240" w:lineRule="auto"/>
              <w:rPr>
                <w:rFonts w:eastAsia="Times New Roman"/>
                <w:noProof/>
              </w:rPr>
            </w:pPr>
            <w:r>
              <w:rPr>
                <w:noProof/>
              </w:rPr>
              <w:t>Nombre</w:t>
            </w:r>
          </w:p>
        </w:tc>
        <w:tc>
          <w:tcPr>
            <w:tcW w:w="1485" w:type="dxa"/>
            <w:tcBorders>
              <w:top w:val="single" w:sz="4" w:space="0" w:color="auto"/>
              <w:left w:val="nil"/>
              <w:bottom w:val="single" w:sz="4" w:space="0" w:color="auto"/>
              <w:right w:val="single" w:sz="4" w:space="0" w:color="auto"/>
            </w:tcBorders>
            <w:shd w:val="clear" w:color="auto" w:fill="C6EFCE"/>
            <w:noWrap/>
          </w:tcPr>
          <w:p w14:paraId="73944EF6" w14:textId="6EB7AB27" w:rsidR="003B6BD9" w:rsidRDefault="009E25E8">
            <w:pPr>
              <w:pStyle w:val="P68B1DB1-Normal7"/>
              <w:spacing w:before="0" w:after="0" w:line="240" w:lineRule="auto"/>
              <w:rPr>
                <w:rFonts w:eastAsia="Times New Roman"/>
                <w:noProof/>
              </w:rPr>
            </w:pPr>
            <w:r>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1BA617D9" w14:textId="052DF334" w:rsidR="003B6BD9" w:rsidRDefault="009E25E8">
            <w:pPr>
              <w:pStyle w:val="P68B1DB1-Normal7"/>
              <w:spacing w:before="0" w:after="0" w:line="240" w:lineRule="auto"/>
              <w:rPr>
                <w:rFonts w:eastAsia="Times New Roman"/>
                <w:noProof/>
              </w:rPr>
            </w:pPr>
            <w:r>
              <w:rPr>
                <w:noProof/>
              </w:rPr>
              <w:t>5</w:t>
            </w:r>
          </w:p>
        </w:tc>
        <w:tc>
          <w:tcPr>
            <w:tcW w:w="986" w:type="dxa"/>
            <w:tcBorders>
              <w:top w:val="single" w:sz="4" w:space="0" w:color="auto"/>
              <w:left w:val="nil"/>
              <w:bottom w:val="single" w:sz="4" w:space="0" w:color="auto"/>
              <w:right w:val="single" w:sz="4" w:space="0" w:color="auto"/>
            </w:tcBorders>
            <w:shd w:val="clear" w:color="auto" w:fill="C6EFCE"/>
            <w:noWrap/>
          </w:tcPr>
          <w:p w14:paraId="4DEDA9A3" w14:textId="563ECE4D" w:rsidR="003B6BD9" w:rsidRDefault="009E25E8">
            <w:pPr>
              <w:pStyle w:val="P68B1DB1-Normal7"/>
              <w:spacing w:before="0" w:after="0" w:line="240" w:lineRule="auto"/>
              <w:rPr>
                <w:rFonts w:eastAsia="Times New Roman"/>
                <w:noProof/>
              </w:rPr>
            </w:pPr>
            <w:r>
              <w:rPr>
                <w:noProof/>
              </w:rPr>
              <w:t>T4</w:t>
            </w:r>
          </w:p>
        </w:tc>
        <w:tc>
          <w:tcPr>
            <w:tcW w:w="838" w:type="dxa"/>
            <w:tcBorders>
              <w:top w:val="single" w:sz="4" w:space="0" w:color="auto"/>
              <w:left w:val="nil"/>
              <w:bottom w:val="single" w:sz="4" w:space="0" w:color="auto"/>
              <w:right w:val="single" w:sz="4" w:space="0" w:color="auto"/>
            </w:tcBorders>
            <w:shd w:val="clear" w:color="auto" w:fill="C6EFCE"/>
            <w:noWrap/>
          </w:tcPr>
          <w:p w14:paraId="3191A8D5" w14:textId="427D32D8" w:rsidR="003B6BD9" w:rsidRDefault="009E25E8">
            <w:pPr>
              <w:pStyle w:val="P68B1DB1-Normal7"/>
              <w:spacing w:before="0" w:after="0" w:line="240" w:lineRule="auto"/>
              <w:rPr>
                <w:rFonts w:eastAsia="Times New Roman"/>
                <w:noProof/>
              </w:rPr>
            </w:pPr>
            <w:r>
              <w:rPr>
                <w:noProof/>
              </w:rPr>
              <w:t>2024</w:t>
            </w:r>
          </w:p>
        </w:tc>
        <w:tc>
          <w:tcPr>
            <w:tcW w:w="3049" w:type="dxa"/>
            <w:tcBorders>
              <w:top w:val="single" w:sz="4" w:space="0" w:color="auto"/>
              <w:left w:val="nil"/>
              <w:bottom w:val="single" w:sz="4" w:space="0" w:color="auto"/>
              <w:right w:val="single" w:sz="4" w:space="0" w:color="auto"/>
            </w:tcBorders>
            <w:shd w:val="clear" w:color="auto" w:fill="C6EFCE"/>
            <w:noWrap/>
          </w:tcPr>
          <w:p w14:paraId="3C06CC52" w14:textId="79DC018E" w:rsidR="003B6BD9" w:rsidRDefault="009E25E8">
            <w:pPr>
              <w:pStyle w:val="P68B1DB1-Normal7"/>
              <w:spacing w:before="0" w:after="0" w:line="240" w:lineRule="auto"/>
              <w:rPr>
                <w:rFonts w:eastAsia="Times New Roman"/>
                <w:noProof/>
              </w:rPr>
            </w:pPr>
            <w:r>
              <w:rPr>
                <w:noProof/>
              </w:rPr>
              <w:t>Construction de nouveaux systèmes d’approvisionnement en eau potable ou reconstruction des systèmes d’approvisionnement en eau potable existants.</w:t>
            </w:r>
          </w:p>
        </w:tc>
      </w:tr>
      <w:tr w:rsidR="003B6BD9" w14:paraId="4B6092CD" w14:textId="77777777" w:rsidTr="00AC1D11">
        <w:trPr>
          <w:trHeight w:val="1028"/>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4457FA7D" w14:textId="6085F856" w:rsidR="003B6BD9" w:rsidRDefault="009E25E8">
            <w:pPr>
              <w:pStyle w:val="P68B1DB1-Normal7"/>
              <w:spacing w:before="0" w:after="0" w:line="240" w:lineRule="auto"/>
              <w:rPr>
                <w:rFonts w:eastAsia="Times New Roman"/>
                <w:noProof/>
              </w:rPr>
            </w:pPr>
            <w:r>
              <w:rPr>
                <w:noProof/>
              </w:rPr>
              <w:t>44</w:t>
            </w:r>
          </w:p>
        </w:tc>
        <w:tc>
          <w:tcPr>
            <w:tcW w:w="1440" w:type="dxa"/>
            <w:tcBorders>
              <w:top w:val="single" w:sz="4" w:space="0" w:color="auto"/>
              <w:left w:val="nil"/>
              <w:bottom w:val="single" w:sz="4" w:space="0" w:color="auto"/>
              <w:right w:val="single" w:sz="4" w:space="0" w:color="auto"/>
            </w:tcBorders>
            <w:shd w:val="clear" w:color="auto" w:fill="C6EFCE"/>
            <w:noWrap/>
          </w:tcPr>
          <w:p w14:paraId="7E315B2F" w14:textId="2B80B9CF" w:rsidR="003B6BD9" w:rsidRDefault="009E25E8">
            <w:pPr>
              <w:pStyle w:val="P68B1DB1-Normal7"/>
              <w:spacing w:before="0" w:after="0" w:line="240" w:lineRule="auto"/>
              <w:rPr>
                <w:rFonts w:eastAsia="Times New Roman"/>
                <w:noProof/>
              </w:rPr>
            </w:pPr>
            <w:r>
              <w:rPr>
                <w:noProof/>
              </w:rPr>
              <w:t>I: Projets d’approvisionnement en eau potable et d’économies d’eau</w:t>
            </w:r>
          </w:p>
        </w:tc>
        <w:tc>
          <w:tcPr>
            <w:tcW w:w="1080" w:type="dxa"/>
            <w:tcBorders>
              <w:top w:val="single" w:sz="4" w:space="0" w:color="auto"/>
              <w:left w:val="nil"/>
              <w:bottom w:val="single" w:sz="4" w:space="0" w:color="auto"/>
              <w:right w:val="single" w:sz="4" w:space="0" w:color="auto"/>
            </w:tcBorders>
            <w:shd w:val="clear" w:color="auto" w:fill="C6EFCE"/>
            <w:noWrap/>
          </w:tcPr>
          <w:p w14:paraId="468408BE" w14:textId="0464F433" w:rsidR="003B6BD9" w:rsidRDefault="009E25E8">
            <w:pPr>
              <w:pStyle w:val="P68B1DB1-Normal7"/>
              <w:spacing w:before="0" w:after="0" w:line="240" w:lineRule="auto"/>
              <w:rPr>
                <w:rFonts w:eastAsia="Times New Roman"/>
                <w:noProof/>
              </w:rPr>
            </w:pPr>
            <w:r>
              <w:rPr>
                <w:noProof/>
              </w:rPr>
              <w:t>Cible</w:t>
            </w:r>
          </w:p>
        </w:tc>
        <w:tc>
          <w:tcPr>
            <w:tcW w:w="2184" w:type="dxa"/>
            <w:tcBorders>
              <w:top w:val="single" w:sz="4" w:space="0" w:color="auto"/>
              <w:left w:val="nil"/>
              <w:bottom w:val="single" w:sz="4" w:space="0" w:color="auto"/>
              <w:right w:val="single" w:sz="4" w:space="0" w:color="auto"/>
            </w:tcBorders>
            <w:shd w:val="clear" w:color="auto" w:fill="C6EFCE"/>
            <w:noWrap/>
          </w:tcPr>
          <w:p w14:paraId="525045CD" w14:textId="12D84BFE" w:rsidR="003B6BD9" w:rsidRDefault="009E25E8">
            <w:pPr>
              <w:pStyle w:val="P68B1DB1-Normal7"/>
              <w:spacing w:before="0" w:after="0" w:line="240" w:lineRule="auto"/>
              <w:rPr>
                <w:rFonts w:eastAsia="Times New Roman"/>
                <w:noProof/>
              </w:rPr>
            </w:pPr>
            <w:r>
              <w:rPr>
                <w:noProof/>
              </w:rPr>
              <w:t xml:space="preserve">Nombre de nouveaux systèmes d’approvisionnement en eau potable construits ou de systèmes d’approvisionnement en eau potable existants reconstruits </w:t>
            </w:r>
          </w:p>
        </w:tc>
        <w:tc>
          <w:tcPr>
            <w:tcW w:w="1632" w:type="dxa"/>
            <w:tcBorders>
              <w:top w:val="single" w:sz="4" w:space="0" w:color="auto"/>
              <w:left w:val="nil"/>
              <w:bottom w:val="single" w:sz="4" w:space="0" w:color="auto"/>
              <w:right w:val="single" w:sz="4" w:space="0" w:color="auto"/>
            </w:tcBorders>
            <w:shd w:val="clear" w:color="auto" w:fill="C6EFCE"/>
            <w:noWrap/>
          </w:tcPr>
          <w:p w14:paraId="6C92AF13" w14:textId="7B8CDF31" w:rsidR="003B6BD9" w:rsidRDefault="009E25E8">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5253516E" w14:textId="665B499E" w:rsidR="003B6BD9" w:rsidRDefault="009E25E8">
            <w:pPr>
              <w:pStyle w:val="P68B1DB1-Normal7"/>
              <w:spacing w:before="0" w:after="0" w:line="240" w:lineRule="auto"/>
              <w:rPr>
                <w:rFonts w:eastAsia="Times New Roman"/>
                <w:noProof/>
              </w:rPr>
            </w:pPr>
            <w:r>
              <w:rPr>
                <w:noProof/>
              </w:rPr>
              <w:t>Nombre</w:t>
            </w:r>
          </w:p>
        </w:tc>
        <w:tc>
          <w:tcPr>
            <w:tcW w:w="1485" w:type="dxa"/>
            <w:tcBorders>
              <w:top w:val="single" w:sz="4" w:space="0" w:color="auto"/>
              <w:left w:val="nil"/>
              <w:bottom w:val="single" w:sz="4" w:space="0" w:color="auto"/>
              <w:right w:val="single" w:sz="4" w:space="0" w:color="auto"/>
            </w:tcBorders>
            <w:shd w:val="clear" w:color="auto" w:fill="C6EFCE"/>
            <w:noWrap/>
          </w:tcPr>
          <w:p w14:paraId="6167C798" w14:textId="5724251D" w:rsidR="003B6BD9" w:rsidRDefault="009E25E8">
            <w:pPr>
              <w:pStyle w:val="P68B1DB1-Normal7"/>
              <w:spacing w:before="0" w:after="0" w:line="240" w:lineRule="auto"/>
              <w:rPr>
                <w:rFonts w:eastAsia="Times New Roman"/>
                <w:noProof/>
              </w:rPr>
            </w:pPr>
            <w:r>
              <w:rPr>
                <w:noProof/>
              </w:rPr>
              <w:t>5</w:t>
            </w:r>
          </w:p>
        </w:tc>
        <w:tc>
          <w:tcPr>
            <w:tcW w:w="711" w:type="dxa"/>
            <w:tcBorders>
              <w:top w:val="single" w:sz="4" w:space="0" w:color="auto"/>
              <w:left w:val="nil"/>
              <w:bottom w:val="single" w:sz="4" w:space="0" w:color="auto"/>
              <w:right w:val="single" w:sz="4" w:space="0" w:color="auto"/>
            </w:tcBorders>
            <w:shd w:val="clear" w:color="auto" w:fill="C6EFCE"/>
            <w:noWrap/>
          </w:tcPr>
          <w:p w14:paraId="6560FBDE" w14:textId="20B0A6E6" w:rsidR="003B6BD9" w:rsidRDefault="009E25E8">
            <w:pPr>
              <w:pStyle w:val="P68B1DB1-Normal7"/>
              <w:spacing w:before="0" w:after="0" w:line="240" w:lineRule="auto"/>
              <w:rPr>
                <w:rFonts w:eastAsia="Times New Roman"/>
                <w:noProof/>
              </w:rPr>
            </w:pPr>
            <w:r>
              <w:rPr>
                <w:noProof/>
              </w:rPr>
              <w:t>12</w:t>
            </w:r>
          </w:p>
        </w:tc>
        <w:tc>
          <w:tcPr>
            <w:tcW w:w="986" w:type="dxa"/>
            <w:tcBorders>
              <w:top w:val="single" w:sz="4" w:space="0" w:color="auto"/>
              <w:left w:val="nil"/>
              <w:bottom w:val="single" w:sz="4" w:space="0" w:color="auto"/>
              <w:right w:val="single" w:sz="4" w:space="0" w:color="auto"/>
            </w:tcBorders>
            <w:shd w:val="clear" w:color="auto" w:fill="C6EFCE"/>
            <w:noWrap/>
          </w:tcPr>
          <w:p w14:paraId="54AB51D5" w14:textId="33FF8578" w:rsidR="003B6BD9" w:rsidRDefault="009E25E8">
            <w:pPr>
              <w:pStyle w:val="P68B1DB1-Normal7"/>
              <w:spacing w:before="0" w:after="0" w:line="240" w:lineRule="auto"/>
              <w:rPr>
                <w:rFonts w:eastAsia="Times New Roman"/>
                <w:noProof/>
              </w:rPr>
            </w:pPr>
            <w:r>
              <w:rPr>
                <w:noProof/>
              </w:rPr>
              <w:t>T4</w:t>
            </w:r>
          </w:p>
        </w:tc>
        <w:tc>
          <w:tcPr>
            <w:tcW w:w="838" w:type="dxa"/>
            <w:tcBorders>
              <w:top w:val="single" w:sz="4" w:space="0" w:color="auto"/>
              <w:left w:val="nil"/>
              <w:bottom w:val="single" w:sz="4" w:space="0" w:color="auto"/>
              <w:right w:val="single" w:sz="4" w:space="0" w:color="auto"/>
            </w:tcBorders>
            <w:shd w:val="clear" w:color="auto" w:fill="C6EFCE"/>
            <w:noWrap/>
          </w:tcPr>
          <w:p w14:paraId="4B6F3E95" w14:textId="6CB0241C" w:rsidR="003B6BD9" w:rsidRDefault="009E25E8">
            <w:pPr>
              <w:pStyle w:val="P68B1DB1-Normal7"/>
              <w:spacing w:before="0" w:after="0" w:line="240" w:lineRule="auto"/>
              <w:rPr>
                <w:rFonts w:eastAsia="Times New Roman"/>
                <w:noProof/>
              </w:rPr>
            </w:pPr>
            <w:r>
              <w:rPr>
                <w:noProof/>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05C0AAAE" w14:textId="3BFA61CB" w:rsidR="003B6BD9" w:rsidRDefault="009E25E8">
            <w:pPr>
              <w:pStyle w:val="P68B1DB1-Normal7"/>
              <w:spacing w:before="0" w:after="0" w:line="240" w:lineRule="auto"/>
              <w:rPr>
                <w:rFonts w:eastAsia="Times New Roman"/>
                <w:noProof/>
              </w:rPr>
            </w:pPr>
            <w:r>
              <w:rPr>
                <w:noProof/>
              </w:rPr>
              <w:t>Construction de nouveaux systèmes d’approvisionnement en eau potable ou reconstruction des systèmes d’approvisionnement en eau potable existants.</w:t>
            </w:r>
          </w:p>
        </w:tc>
      </w:tr>
      <w:tr w:rsidR="003B6BD9" w14:paraId="2DE9910F" w14:textId="77777777" w:rsidTr="00AC1D11">
        <w:trPr>
          <w:trHeight w:val="944"/>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20431B67" w14:textId="35CCDA7E" w:rsidR="003B6BD9" w:rsidRDefault="009E25E8">
            <w:pPr>
              <w:pStyle w:val="P68B1DB1-Normal7"/>
              <w:spacing w:before="0" w:after="0" w:line="240" w:lineRule="auto"/>
              <w:rPr>
                <w:rFonts w:eastAsia="Times New Roman"/>
                <w:noProof/>
              </w:rPr>
            </w:pPr>
            <w:r>
              <w:rPr>
                <w:noProof/>
              </w:rPr>
              <w:t>45</w:t>
            </w:r>
          </w:p>
        </w:tc>
        <w:tc>
          <w:tcPr>
            <w:tcW w:w="1440" w:type="dxa"/>
            <w:tcBorders>
              <w:top w:val="single" w:sz="4" w:space="0" w:color="auto"/>
              <w:left w:val="nil"/>
              <w:bottom w:val="single" w:sz="4" w:space="0" w:color="auto"/>
              <w:right w:val="single" w:sz="4" w:space="0" w:color="auto"/>
            </w:tcBorders>
            <w:shd w:val="clear" w:color="auto" w:fill="C6EFCE"/>
            <w:noWrap/>
          </w:tcPr>
          <w:p w14:paraId="497EF57D" w14:textId="0EE6DD5B" w:rsidR="003B6BD9" w:rsidRDefault="009E25E8">
            <w:pPr>
              <w:pStyle w:val="P68B1DB1-Normal7"/>
              <w:spacing w:before="0" w:after="0" w:line="240" w:lineRule="auto"/>
              <w:rPr>
                <w:rFonts w:eastAsia="Times New Roman"/>
                <w:noProof/>
              </w:rPr>
            </w:pPr>
            <w:r>
              <w:rPr>
                <w:noProof/>
              </w:rPr>
              <w:t>I: Projets d’approvisionnement en eau potable et d’économies d’eau</w:t>
            </w:r>
          </w:p>
        </w:tc>
        <w:tc>
          <w:tcPr>
            <w:tcW w:w="1080" w:type="dxa"/>
            <w:tcBorders>
              <w:top w:val="single" w:sz="4" w:space="0" w:color="auto"/>
              <w:left w:val="nil"/>
              <w:bottom w:val="single" w:sz="4" w:space="0" w:color="auto"/>
              <w:right w:val="single" w:sz="4" w:space="0" w:color="auto"/>
            </w:tcBorders>
            <w:shd w:val="clear" w:color="auto" w:fill="C6EFCE"/>
            <w:noWrap/>
          </w:tcPr>
          <w:p w14:paraId="269CA9A8" w14:textId="49C6ADC5" w:rsidR="003B6BD9" w:rsidRDefault="009E25E8">
            <w:pPr>
              <w:pStyle w:val="P68B1DB1-Normal7"/>
              <w:spacing w:before="0" w:after="0" w:line="240" w:lineRule="auto"/>
              <w:rPr>
                <w:rFonts w:eastAsia="Times New Roman"/>
                <w:noProof/>
              </w:rPr>
            </w:pPr>
            <w:r>
              <w:rPr>
                <w:noProof/>
              </w:rPr>
              <w:t>Cible</w:t>
            </w:r>
          </w:p>
        </w:tc>
        <w:tc>
          <w:tcPr>
            <w:tcW w:w="2184" w:type="dxa"/>
            <w:tcBorders>
              <w:top w:val="single" w:sz="4" w:space="0" w:color="auto"/>
              <w:left w:val="nil"/>
              <w:bottom w:val="single" w:sz="4" w:space="0" w:color="auto"/>
              <w:right w:val="single" w:sz="4" w:space="0" w:color="auto"/>
            </w:tcBorders>
            <w:shd w:val="clear" w:color="auto" w:fill="C6EFCE"/>
            <w:noWrap/>
          </w:tcPr>
          <w:p w14:paraId="6325656D" w14:textId="3C4C4823" w:rsidR="003B6BD9" w:rsidRDefault="009E25E8">
            <w:pPr>
              <w:pStyle w:val="P68B1DB1-Normal7"/>
              <w:spacing w:before="0" w:after="0" w:line="240" w:lineRule="auto"/>
              <w:rPr>
                <w:rFonts w:eastAsia="Times New Roman"/>
                <w:noProof/>
              </w:rPr>
            </w:pPr>
            <w:r>
              <w:rPr>
                <w:noProof/>
              </w:rPr>
              <w:t xml:space="preserve">Nombre de nouveaux systèmes d’approvisionnement en eau potable construits ou de systèmes d’approvisionnement en eau potable existants reconstruits </w:t>
            </w:r>
          </w:p>
        </w:tc>
        <w:tc>
          <w:tcPr>
            <w:tcW w:w="1632" w:type="dxa"/>
            <w:tcBorders>
              <w:top w:val="single" w:sz="4" w:space="0" w:color="auto"/>
              <w:left w:val="nil"/>
              <w:bottom w:val="single" w:sz="4" w:space="0" w:color="auto"/>
              <w:right w:val="single" w:sz="4" w:space="0" w:color="auto"/>
            </w:tcBorders>
            <w:shd w:val="clear" w:color="auto" w:fill="C6EFCE"/>
            <w:noWrap/>
          </w:tcPr>
          <w:p w14:paraId="2CB0E6CF" w14:textId="73098BAA" w:rsidR="003B6BD9" w:rsidRDefault="009E25E8">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19934F5F" w14:textId="503FE7CD" w:rsidR="003B6BD9" w:rsidRDefault="009E25E8">
            <w:pPr>
              <w:pStyle w:val="P68B1DB1-Normal7"/>
              <w:spacing w:before="0" w:after="0" w:line="240" w:lineRule="auto"/>
              <w:rPr>
                <w:rFonts w:eastAsia="Times New Roman"/>
                <w:noProof/>
              </w:rPr>
            </w:pPr>
            <w:r>
              <w:rPr>
                <w:noProof/>
              </w:rPr>
              <w:t>Nombre</w:t>
            </w:r>
          </w:p>
        </w:tc>
        <w:tc>
          <w:tcPr>
            <w:tcW w:w="1485" w:type="dxa"/>
            <w:tcBorders>
              <w:top w:val="single" w:sz="4" w:space="0" w:color="auto"/>
              <w:left w:val="nil"/>
              <w:bottom w:val="single" w:sz="4" w:space="0" w:color="auto"/>
              <w:right w:val="single" w:sz="4" w:space="0" w:color="auto"/>
            </w:tcBorders>
            <w:shd w:val="clear" w:color="auto" w:fill="C6EFCE"/>
            <w:noWrap/>
          </w:tcPr>
          <w:p w14:paraId="43589D85" w14:textId="55D6AB09" w:rsidR="003B6BD9" w:rsidRDefault="009E25E8">
            <w:pPr>
              <w:pStyle w:val="P68B1DB1-Normal7"/>
              <w:spacing w:before="0" w:after="0" w:line="240" w:lineRule="auto"/>
              <w:rPr>
                <w:noProof/>
              </w:rPr>
            </w:pPr>
            <w:r>
              <w:rPr>
                <w:noProof/>
              </w:rPr>
              <w:t>12</w:t>
            </w:r>
          </w:p>
        </w:tc>
        <w:tc>
          <w:tcPr>
            <w:tcW w:w="711" w:type="dxa"/>
            <w:tcBorders>
              <w:top w:val="single" w:sz="4" w:space="0" w:color="auto"/>
              <w:left w:val="nil"/>
              <w:bottom w:val="single" w:sz="4" w:space="0" w:color="auto"/>
              <w:right w:val="single" w:sz="4" w:space="0" w:color="auto"/>
            </w:tcBorders>
            <w:shd w:val="clear" w:color="auto" w:fill="C6EFCE"/>
            <w:noWrap/>
          </w:tcPr>
          <w:p w14:paraId="399FBF06" w14:textId="7B6FAACC" w:rsidR="003B6BD9" w:rsidRDefault="009E25E8">
            <w:pPr>
              <w:pStyle w:val="P68B1DB1-Normal7"/>
              <w:spacing w:before="0" w:after="0" w:line="240" w:lineRule="auto"/>
              <w:rPr>
                <w:rFonts w:eastAsia="Times New Roman"/>
                <w:noProof/>
              </w:rPr>
            </w:pPr>
            <w:r>
              <w:rPr>
                <w:noProof/>
              </w:rPr>
              <w:t>15</w:t>
            </w:r>
          </w:p>
        </w:tc>
        <w:tc>
          <w:tcPr>
            <w:tcW w:w="986" w:type="dxa"/>
            <w:tcBorders>
              <w:top w:val="single" w:sz="4" w:space="0" w:color="auto"/>
              <w:left w:val="nil"/>
              <w:bottom w:val="single" w:sz="4" w:space="0" w:color="auto"/>
              <w:right w:val="single" w:sz="4" w:space="0" w:color="auto"/>
            </w:tcBorders>
            <w:shd w:val="clear" w:color="auto" w:fill="C6EFCE"/>
            <w:noWrap/>
          </w:tcPr>
          <w:p w14:paraId="40701C80" w14:textId="05F85DC2" w:rsidR="003B6BD9" w:rsidRDefault="009E25E8">
            <w:pPr>
              <w:pStyle w:val="P68B1DB1-Normal7"/>
              <w:spacing w:before="0" w:after="0" w:line="240" w:lineRule="auto"/>
              <w:rPr>
                <w:rFonts w:eastAsia="Times New Roman"/>
                <w:noProof/>
              </w:rPr>
            </w:pPr>
            <w:r>
              <w:rPr>
                <w:noProof/>
              </w:rPr>
              <w:t>T2</w:t>
            </w:r>
          </w:p>
        </w:tc>
        <w:tc>
          <w:tcPr>
            <w:tcW w:w="838" w:type="dxa"/>
            <w:tcBorders>
              <w:top w:val="single" w:sz="4" w:space="0" w:color="auto"/>
              <w:left w:val="nil"/>
              <w:bottom w:val="single" w:sz="4" w:space="0" w:color="auto"/>
              <w:right w:val="single" w:sz="4" w:space="0" w:color="auto"/>
            </w:tcBorders>
            <w:shd w:val="clear" w:color="auto" w:fill="C6EFCE"/>
            <w:noWrap/>
          </w:tcPr>
          <w:p w14:paraId="280233BE" w14:textId="24318284" w:rsidR="003B6BD9" w:rsidRDefault="009E25E8">
            <w:pPr>
              <w:pStyle w:val="P68B1DB1-Normal7"/>
              <w:spacing w:before="0" w:after="0" w:line="240" w:lineRule="auto"/>
              <w:rPr>
                <w:rFonts w:eastAsia="Times New Roman"/>
                <w:noProof/>
              </w:rPr>
            </w:pPr>
            <w:r>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787C04F" w14:textId="1C2DBE52" w:rsidR="003B6BD9" w:rsidRDefault="009E25E8">
            <w:pPr>
              <w:pStyle w:val="P68B1DB1-Normal7"/>
              <w:spacing w:before="0" w:after="0" w:line="240" w:lineRule="auto"/>
              <w:rPr>
                <w:rFonts w:eastAsia="Times New Roman"/>
                <w:noProof/>
              </w:rPr>
            </w:pPr>
            <w:r>
              <w:rPr>
                <w:noProof/>
              </w:rPr>
              <w:t>Construction de nouveaux systèmes d’approvisionnement en eau potable ou reconstruction des systèmes d’approvisionnement en eau potable existants.</w:t>
            </w:r>
          </w:p>
        </w:tc>
      </w:tr>
    </w:tbl>
    <w:p w14:paraId="522BBB97" w14:textId="77777777" w:rsidR="003B6BD9" w:rsidRDefault="003B6BD9">
      <w:pPr>
        <w:spacing w:before="0" w:after="0" w:line="240" w:lineRule="auto"/>
        <w:rPr>
          <w:noProof/>
        </w:rPr>
        <w:sectPr w:rsidR="003B6BD9" w:rsidSect="00073927">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26"/>
        </w:sectPr>
      </w:pPr>
    </w:p>
    <w:p w14:paraId="72C88052" w14:textId="44B18F8A" w:rsidR="003B6BD9" w:rsidRDefault="009E25E8">
      <w:pPr>
        <w:pStyle w:val="P68B1DB1-Normal2"/>
        <w:spacing w:line="240" w:lineRule="auto"/>
        <w:jc w:val="both"/>
        <w:rPr>
          <w:i/>
          <w:noProof/>
          <w:color w:val="4F81BD"/>
        </w:rPr>
      </w:pPr>
      <w:r>
        <w:rPr>
          <w:noProof/>
        </w:rPr>
        <w:t xml:space="preserve">C.3. Description des réformes et des investissements en vue du prêt </w:t>
      </w:r>
    </w:p>
    <w:p w14:paraId="10EFBC48" w14:textId="77777777" w:rsidR="003B6BD9" w:rsidRDefault="009E25E8">
      <w:pPr>
        <w:pStyle w:val="P68B1DB1-Normal5"/>
        <w:spacing w:line="240" w:lineRule="auto"/>
        <w:jc w:val="both"/>
        <w:rPr>
          <w:noProof/>
        </w:rPr>
      </w:pPr>
      <w:r>
        <w:rPr>
          <w:noProof/>
        </w:rPr>
        <w:t>Réforme B. Renforcer la prévention afin d’accroître la sécurité contre les inondations</w:t>
      </w:r>
    </w:p>
    <w:p w14:paraId="5816DE9C" w14:textId="77777777" w:rsidR="003B6BD9" w:rsidRDefault="009E25E8">
      <w:pPr>
        <w:spacing w:line="240" w:lineRule="auto"/>
        <w:jc w:val="both"/>
        <w:rPr>
          <w:noProof/>
        </w:rPr>
      </w:pPr>
      <w:r>
        <w:rPr>
          <w:noProof/>
        </w:rPr>
        <w:t xml:space="preserve">La réforme porte spécifiquement sur le risque d’inondation, qui figure parmi les risques liés au changement climatique les plus importants pour la Slovénie. </w:t>
      </w:r>
    </w:p>
    <w:p w14:paraId="0066F951" w14:textId="6F20C7A2" w:rsidR="003B6BD9" w:rsidRDefault="009E25E8">
      <w:pPr>
        <w:spacing w:line="240" w:lineRule="auto"/>
        <w:jc w:val="both"/>
        <w:rPr>
          <w:noProof/>
        </w:rPr>
      </w:pPr>
      <w:r>
        <w:rPr>
          <w:noProof/>
        </w:rPr>
        <w:t xml:space="preserve">L’entrée en vigueur d’un nouveau plan de gestion des risques d’inondation accélère la planification et la mise en œuvre de mesures et de projets qui contribuent à la prévention des conséquences des inondations. Les éléments clés de la réforme sont la mise en place d’un service de contrôle fluvial et l’introduction de solutions automatisées pour les systèmes de contrôle. La direction de l’eau de la République de Slovénie sera réorganisée pour parvenir à la décentralisation et à l’optimisation des processus. </w:t>
      </w:r>
    </w:p>
    <w:p w14:paraId="09774875" w14:textId="6D82EC8E" w:rsidR="003B6BD9" w:rsidRDefault="009E25E8">
      <w:pPr>
        <w:spacing w:line="240" w:lineRule="auto"/>
        <w:jc w:val="both"/>
        <w:rPr>
          <w:noProof/>
        </w:rPr>
      </w:pPr>
      <w:r>
        <w:rPr>
          <w:noProof/>
        </w:rPr>
        <w:t xml:space="preserve">Un plan de gestion des risques d’inondation pour la période 2022-2026 entre en vigueur au plus tard le 31 décembre 2022 et veille à ce que la gestion des risques d’inondation devienne une tâche permanente dotée de ressources spécifiques provenant du budget national. La réforme promeut les investissements futurs au moyen de solutions fondées sur la nature et d’infrastructures vertes. </w:t>
      </w:r>
    </w:p>
    <w:p w14:paraId="4023748A" w14:textId="77777777" w:rsidR="003B6BD9" w:rsidRDefault="009E25E8">
      <w:pPr>
        <w:pStyle w:val="P68B1DB1-Normal5"/>
        <w:spacing w:line="240" w:lineRule="auto"/>
        <w:jc w:val="both"/>
        <w:rPr>
          <w:noProof/>
        </w:rPr>
      </w:pPr>
      <w:r>
        <w:rPr>
          <w:noProof/>
        </w:rPr>
        <w:t>Réforme D. Accroître l’efficacité du fonctionnement des services publics de protection de l’environnement</w:t>
      </w:r>
    </w:p>
    <w:p w14:paraId="2B3AB7A7" w14:textId="77777777" w:rsidR="003B6BD9" w:rsidRDefault="009E25E8">
      <w:pPr>
        <w:spacing w:line="240" w:lineRule="auto"/>
        <w:jc w:val="both"/>
        <w:rPr>
          <w:noProof/>
        </w:rPr>
      </w:pPr>
      <w:r>
        <w:rPr>
          <w:noProof/>
        </w:rPr>
        <w:t xml:space="preserve">La réforme répond au défi majeur des pertes dans la gestion de l’eau en Slovénie, en améliorant l’organisation et le contrôle du service public et en garantissant la viabilité du financement de la modernisation des infrastructures. La réforme améliore la norme relative à la fourniture du service public afin d’accroître l’efficacité de la gestion de l’eau et de permettre la mise en place de systèmes de réutilisation. </w:t>
      </w:r>
    </w:p>
    <w:p w14:paraId="06A450F2" w14:textId="27A64925" w:rsidR="003B6BD9" w:rsidRDefault="009E25E8">
      <w:pPr>
        <w:spacing w:line="240" w:lineRule="auto"/>
        <w:jc w:val="both"/>
        <w:rPr>
          <w:noProof/>
        </w:rPr>
      </w:pPr>
      <w:r>
        <w:rPr>
          <w:noProof/>
        </w:rPr>
        <w:t>La réforme garantit la viabilité à long terme du financement des investissements dans les infrastructures en réexaminant le rapport coût-efficacité des redevances et des prélèvements sur l’utilisation de l’eau. Un autre objectif clé de la réforme est la mise à niveau du système d’information pour le suivi et l’établissement de rapports sur l’activité des prestataires de services publics.</w:t>
      </w:r>
    </w:p>
    <w:p w14:paraId="68C20E22" w14:textId="6ADC77AC" w:rsidR="003B6BD9" w:rsidRDefault="009E25E8">
      <w:pPr>
        <w:spacing w:line="240" w:lineRule="auto"/>
        <w:jc w:val="both"/>
        <w:rPr>
          <w:noProof/>
        </w:rPr>
      </w:pPr>
      <w:r>
        <w:rPr>
          <w:noProof/>
        </w:rPr>
        <w:t xml:space="preserve">La réforme est mise en œuvre avec l’entrée en vigueur du ou des actes législatifs et du ou des règlements relatifs à la mise en œuvre des services publics de protection de l’environnement. </w:t>
      </w:r>
    </w:p>
    <w:p w14:paraId="77A50D5C" w14:textId="3DB8D934" w:rsidR="003B6BD9" w:rsidRDefault="009E25E8">
      <w:pPr>
        <w:pStyle w:val="P68B1DB1-Normal5"/>
        <w:spacing w:line="240" w:lineRule="auto"/>
        <w:jc w:val="both"/>
        <w:rPr>
          <w:noProof/>
        </w:rPr>
      </w:pPr>
      <w:r>
        <w:rPr>
          <w:noProof/>
        </w:rPr>
        <w:t>Investissement F. Poursuivre la réduction des risques d’inondation et des risques liés à d’autres catastrophes liées au climat</w:t>
      </w:r>
    </w:p>
    <w:p w14:paraId="2C1F7D1E" w14:textId="792886BD" w:rsidR="003B6BD9" w:rsidRDefault="009E25E8">
      <w:pPr>
        <w:spacing w:line="240" w:lineRule="auto"/>
        <w:jc w:val="both"/>
        <w:rPr>
          <w:noProof/>
        </w:rPr>
      </w:pPr>
      <w:r>
        <w:rPr>
          <w:noProof/>
        </w:rPr>
        <w:t>L’objectif de l’investissement est de réduire les risques d’inondation et les risques de glissements de terrain.</w:t>
      </w:r>
    </w:p>
    <w:p w14:paraId="56036B07" w14:textId="753CC93F" w:rsidR="003B6BD9" w:rsidRDefault="009E25E8">
      <w:pPr>
        <w:spacing w:line="240" w:lineRule="auto"/>
        <w:jc w:val="both"/>
        <w:rPr>
          <w:noProof/>
        </w:rPr>
      </w:pPr>
      <w:r>
        <w:rPr>
          <w:noProof/>
        </w:rPr>
        <w:t>L’investissement consiste en la construction d’infrastructures de protection contre les inondations et l’évaluation des risques d’inondation dans les bassins hydrographiques de</w:t>
      </w:r>
      <w:r>
        <w:rPr>
          <w:rFonts w:eastAsia="Times New Roman"/>
          <w:noProof/>
        </w:rPr>
        <w:t xml:space="preserve"> la République de Slovénie, ainsi qu’en la mise en place ou en la construction d’infrastructures visant à réduire les menaces de glissements</w:t>
      </w:r>
      <w:r>
        <w:rPr>
          <w:noProof/>
        </w:rPr>
        <w:t xml:space="preserve"> de terrain.</w:t>
      </w:r>
    </w:p>
    <w:p w14:paraId="0D20D708" w14:textId="54FF8399" w:rsidR="003B6BD9" w:rsidRDefault="009E25E8">
      <w:pPr>
        <w:pStyle w:val="P68B1DB1-Normal5"/>
        <w:spacing w:line="240" w:lineRule="auto"/>
        <w:jc w:val="both"/>
        <w:rPr>
          <w:noProof/>
        </w:rPr>
      </w:pPr>
      <w:r>
        <w:rPr>
          <w:noProof/>
        </w:rPr>
        <w:t>Investissement H. Autres projets de rejet et de traitement des eaux urbaines résiduaires</w:t>
      </w:r>
    </w:p>
    <w:p w14:paraId="6ED36FF3" w14:textId="22F97324" w:rsidR="003B6BD9" w:rsidRDefault="009E25E8">
      <w:pPr>
        <w:spacing w:line="240" w:lineRule="auto"/>
        <w:jc w:val="both"/>
        <w:rPr>
          <w:noProof/>
        </w:rPr>
      </w:pPr>
      <w:r>
        <w:rPr>
          <w:noProof/>
        </w:rPr>
        <w:t>L’objectif de l’investissement est de contribuer à garantir le bon état des masses d’eau.</w:t>
      </w:r>
    </w:p>
    <w:p w14:paraId="3FE5F398" w14:textId="020E15A3" w:rsidR="003B6BD9" w:rsidRDefault="009E25E8">
      <w:pPr>
        <w:spacing w:line="240" w:lineRule="auto"/>
        <w:jc w:val="both"/>
        <w:rPr>
          <w:noProof/>
        </w:rPr>
      </w:pPr>
      <w:r>
        <w:rPr>
          <w:noProof/>
        </w:rPr>
        <w:t>L’investissement consiste en la construction de nouveaux systèmes de traitement des eaux usées ou en la reconstruction du système existant de traitement des eaux usées.</w:t>
      </w:r>
    </w:p>
    <w:p w14:paraId="23AC2D48" w14:textId="77777777" w:rsidR="003B6BD9" w:rsidRDefault="009E25E8">
      <w:pPr>
        <w:pStyle w:val="P68B1DB1-Normal5"/>
        <w:spacing w:line="240" w:lineRule="auto"/>
        <w:jc w:val="both"/>
        <w:rPr>
          <w:noProof/>
        </w:rPr>
      </w:pPr>
      <w:r>
        <w:rPr>
          <w:noProof/>
        </w:rPr>
        <w:t>Investissement I. Autres projets d’approvisionnement en eau potable et d’économies d’eau</w:t>
      </w:r>
    </w:p>
    <w:p w14:paraId="5FE7C53B" w14:textId="3C37A5E2" w:rsidR="003B6BD9" w:rsidRDefault="009E25E8">
      <w:pPr>
        <w:spacing w:line="240" w:lineRule="auto"/>
        <w:jc w:val="both"/>
        <w:rPr>
          <w:noProof/>
        </w:rPr>
      </w:pPr>
      <w:r>
        <w:rPr>
          <w:noProof/>
        </w:rPr>
        <w:t xml:space="preserve">L’objectif de l’investissement est de remédier aux pertes d’eau en Slovénie. </w:t>
      </w:r>
    </w:p>
    <w:p w14:paraId="2083A7B4" w14:textId="26E7F9D2" w:rsidR="003B6BD9" w:rsidRDefault="009E25E8">
      <w:pPr>
        <w:spacing w:line="240" w:lineRule="auto"/>
        <w:jc w:val="both"/>
        <w:rPr>
          <w:noProof/>
        </w:rPr>
      </w:pPr>
      <w:r>
        <w:rPr>
          <w:noProof/>
        </w:rPr>
        <w:t xml:space="preserve">L’investissement consiste en la construction de nouveaux systèmes d’approvisionnement en eau potable ou en la reconstruction de systèmes d’approvisionnement en eau potable existants. </w:t>
      </w:r>
    </w:p>
    <w:p w14:paraId="14FB687E" w14:textId="5AFDD4B5" w:rsidR="003B6BD9" w:rsidRDefault="003B6BD9">
      <w:pPr>
        <w:spacing w:line="240" w:lineRule="auto"/>
        <w:rPr>
          <w:noProof/>
        </w:rPr>
        <w:sectPr w:rsidR="003B6BD9" w:rsidSect="00073927">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26"/>
        </w:sectPr>
      </w:pPr>
    </w:p>
    <w:p w14:paraId="0BE4662B" w14:textId="2E21EAF1" w:rsidR="003B6BD9" w:rsidRDefault="009E25E8">
      <w:pPr>
        <w:pStyle w:val="P68B1DB1-Normal4"/>
        <w:spacing w:line="240" w:lineRule="auto"/>
        <w:ind w:left="850"/>
        <w:jc w:val="both"/>
        <w:rPr>
          <w:noProof/>
        </w:rPr>
      </w:pPr>
      <w:r>
        <w:rPr>
          <w:noProof/>
        </w:rPr>
        <w:t xml:space="preserve">C.4. </w:t>
      </w:r>
      <w:r>
        <w:rPr>
          <w:noProof/>
        </w:rPr>
        <w:tab/>
        <w:t xml:space="preserve">Jalons, cibles, indicateurs et calendrier de suivi et de mise en œuvre en vue du prêt  </w:t>
      </w:r>
    </w:p>
    <w:tbl>
      <w:tblPr>
        <w:tblW w:w="15685" w:type="dxa"/>
        <w:jc w:val="center"/>
        <w:tblLayout w:type="fixed"/>
        <w:tblLook w:val="04A0" w:firstRow="1" w:lastRow="0" w:firstColumn="1" w:lastColumn="0" w:noHBand="0" w:noVBand="1"/>
      </w:tblPr>
      <w:tblGrid>
        <w:gridCol w:w="955"/>
        <w:gridCol w:w="1734"/>
        <w:gridCol w:w="1146"/>
        <w:gridCol w:w="1830"/>
        <w:gridCol w:w="1701"/>
        <w:gridCol w:w="1134"/>
        <w:gridCol w:w="1002"/>
        <w:gridCol w:w="848"/>
        <w:gridCol w:w="1051"/>
        <w:gridCol w:w="714"/>
        <w:gridCol w:w="3570"/>
      </w:tblGrid>
      <w:tr w:rsidR="003B6BD9" w14:paraId="42E42313" w14:textId="77777777" w:rsidTr="00AC1D11">
        <w:trPr>
          <w:trHeight w:val="740"/>
          <w:tblHeader/>
          <w:jc w:val="center"/>
        </w:trPr>
        <w:tc>
          <w:tcPr>
            <w:tcW w:w="95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5287E2F" w14:textId="249911C6" w:rsidR="003B6BD9" w:rsidRDefault="009E25E8">
            <w:pPr>
              <w:pStyle w:val="P68B1DB1-Normal6"/>
              <w:spacing w:before="0" w:after="0" w:line="240" w:lineRule="auto"/>
              <w:rPr>
                <w:rFonts w:eastAsia="Times New Roman"/>
                <w:noProof/>
              </w:rPr>
            </w:pPr>
            <w:r>
              <w:rPr>
                <w:noProof/>
              </w:rPr>
              <w:t>Et suivants Non.</w:t>
            </w:r>
          </w:p>
        </w:tc>
        <w:tc>
          <w:tcPr>
            <w:tcW w:w="17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D7DCA9B" w14:textId="77777777" w:rsidR="003B6BD9" w:rsidRDefault="009E25E8">
            <w:pPr>
              <w:pStyle w:val="P68B1DB1-Normal6"/>
              <w:spacing w:before="0" w:after="0" w:line="240" w:lineRule="auto"/>
              <w:jc w:val="center"/>
              <w:rPr>
                <w:rFonts w:eastAsia="Times New Roman"/>
                <w:noProof/>
              </w:rPr>
            </w:pPr>
            <w:r>
              <w:rPr>
                <w:noProof/>
              </w:rPr>
              <w:t>Mesure connexe (réforme ou investissement)</w:t>
            </w:r>
          </w:p>
        </w:tc>
        <w:tc>
          <w:tcPr>
            <w:tcW w:w="11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D28DFA" w14:textId="36F10293" w:rsidR="003B6BD9" w:rsidRDefault="009E25E8">
            <w:pPr>
              <w:pStyle w:val="P68B1DB1-Normal6"/>
              <w:spacing w:before="0" w:after="0" w:line="240" w:lineRule="auto"/>
              <w:jc w:val="center"/>
              <w:rPr>
                <w:rFonts w:eastAsia="Times New Roman"/>
                <w:noProof/>
              </w:rPr>
            </w:pPr>
            <w:r>
              <w:rPr>
                <w:noProof/>
              </w:rPr>
              <w:t>Étape/</w:t>
            </w:r>
            <w:r w:rsidR="00AC1D11">
              <w:rPr>
                <w:noProof/>
              </w:rPr>
              <w:br/>
            </w:r>
            <w:r>
              <w:rPr>
                <w:noProof/>
              </w:rPr>
              <w:t>Objectif</w:t>
            </w:r>
          </w:p>
        </w:tc>
        <w:tc>
          <w:tcPr>
            <w:tcW w:w="18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9D785A" w14:textId="77777777" w:rsidR="003B6BD9" w:rsidRDefault="009E25E8">
            <w:pPr>
              <w:pStyle w:val="P68B1DB1-Normal6"/>
              <w:spacing w:before="0" w:after="0" w:line="240" w:lineRule="auto"/>
              <w:jc w:val="center"/>
              <w:rPr>
                <w:rFonts w:eastAsia="Times New Roman"/>
                <w:noProof/>
              </w:rPr>
            </w:pPr>
            <w:r>
              <w:rPr>
                <w:noProof/>
              </w:rPr>
              <w:t>Nom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1EE7F1" w14:textId="7235347F" w:rsidR="003B6BD9" w:rsidRDefault="009E25E8">
            <w:pPr>
              <w:pStyle w:val="P68B1DB1-Normal6"/>
              <w:spacing w:before="0" w:after="0" w:line="240" w:lineRule="auto"/>
              <w:jc w:val="center"/>
              <w:rPr>
                <w:rFonts w:eastAsia="Times New Roman"/>
                <w:noProof/>
              </w:rPr>
            </w:pPr>
            <w:r>
              <w:rPr>
                <w:noProof/>
              </w:rPr>
              <w:t>Indicateurs qualitatifs (pour les jalons)</w:t>
            </w:r>
          </w:p>
        </w:tc>
        <w:tc>
          <w:tcPr>
            <w:tcW w:w="298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9B4DAD3" w14:textId="354B6E00" w:rsidR="003B6BD9" w:rsidRDefault="009E25E8">
            <w:pPr>
              <w:pStyle w:val="P68B1DB1-Normal6"/>
              <w:spacing w:before="0" w:after="0" w:line="240" w:lineRule="auto"/>
              <w:jc w:val="center"/>
              <w:rPr>
                <w:rFonts w:eastAsia="Times New Roman"/>
                <w:noProof/>
              </w:rPr>
            </w:pPr>
            <w:r>
              <w:rPr>
                <w:noProof/>
              </w:rPr>
              <w:t>Indicateurs quantitatifs (pour les cibles)</w:t>
            </w:r>
          </w:p>
        </w:tc>
        <w:tc>
          <w:tcPr>
            <w:tcW w:w="1765" w:type="dxa"/>
            <w:gridSpan w:val="2"/>
            <w:tcBorders>
              <w:top w:val="single" w:sz="4" w:space="0" w:color="auto"/>
              <w:left w:val="nil"/>
              <w:bottom w:val="single" w:sz="4" w:space="0" w:color="auto"/>
              <w:right w:val="single" w:sz="4" w:space="0" w:color="auto"/>
            </w:tcBorders>
            <w:shd w:val="clear" w:color="auto" w:fill="BDD7EE"/>
            <w:vAlign w:val="center"/>
            <w:hideMark/>
          </w:tcPr>
          <w:p w14:paraId="6A3B950F" w14:textId="77777777" w:rsidR="003B6BD9" w:rsidRDefault="009E25E8">
            <w:pPr>
              <w:pStyle w:val="P68B1DB1-Normal6"/>
              <w:spacing w:before="0" w:after="0" w:line="240" w:lineRule="auto"/>
              <w:jc w:val="center"/>
              <w:rPr>
                <w:rFonts w:eastAsia="Times New Roman"/>
                <w:noProof/>
              </w:rPr>
            </w:pPr>
            <w:r>
              <w:rPr>
                <w:noProof/>
              </w:rPr>
              <w:t xml:space="preserve">Calendrier indicatif pour l’achèvement </w:t>
            </w:r>
          </w:p>
        </w:tc>
        <w:tc>
          <w:tcPr>
            <w:tcW w:w="35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AD25A70" w14:textId="77777777" w:rsidR="003B6BD9" w:rsidRDefault="009E25E8">
            <w:pPr>
              <w:pStyle w:val="P68B1DB1-Normal6"/>
              <w:spacing w:before="0" w:after="0" w:line="240" w:lineRule="auto"/>
              <w:jc w:val="center"/>
              <w:rPr>
                <w:rFonts w:eastAsia="Times New Roman"/>
                <w:noProof/>
              </w:rPr>
            </w:pPr>
            <w:r>
              <w:rPr>
                <w:noProof/>
              </w:rPr>
              <w:t>Description de chaque jalon et cible</w:t>
            </w:r>
          </w:p>
        </w:tc>
      </w:tr>
      <w:tr w:rsidR="003B6BD9" w14:paraId="3E6537B8" w14:textId="77777777" w:rsidTr="00AC1D11">
        <w:trPr>
          <w:trHeight w:val="751"/>
          <w:tblHeader/>
          <w:jc w:val="center"/>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45226612" w14:textId="77777777" w:rsidR="003B6BD9" w:rsidRDefault="003B6BD9">
            <w:pPr>
              <w:spacing w:before="0" w:after="0" w:line="240" w:lineRule="auto"/>
              <w:rPr>
                <w:rFonts w:eastAsia="Times New Roman"/>
                <w:b/>
                <w:noProof/>
                <w:sz w:val="18"/>
                <w:szCs w:val="18"/>
              </w:rPr>
            </w:pPr>
          </w:p>
        </w:tc>
        <w:tc>
          <w:tcPr>
            <w:tcW w:w="1734" w:type="dxa"/>
            <w:vMerge/>
            <w:tcBorders>
              <w:top w:val="single" w:sz="4" w:space="0" w:color="auto"/>
              <w:left w:val="single" w:sz="4" w:space="0" w:color="auto"/>
              <w:bottom w:val="single" w:sz="4" w:space="0" w:color="auto"/>
              <w:right w:val="single" w:sz="4" w:space="0" w:color="auto"/>
            </w:tcBorders>
            <w:vAlign w:val="center"/>
            <w:hideMark/>
          </w:tcPr>
          <w:p w14:paraId="53B29608" w14:textId="77777777" w:rsidR="003B6BD9" w:rsidRDefault="003B6BD9">
            <w:pPr>
              <w:spacing w:before="0" w:after="0" w:line="240" w:lineRule="auto"/>
              <w:rPr>
                <w:rFonts w:eastAsia="Times New Roman"/>
                <w:b/>
                <w:noProof/>
                <w:sz w:val="18"/>
                <w:szCs w:val="18"/>
              </w:rPr>
            </w:pPr>
          </w:p>
        </w:tc>
        <w:tc>
          <w:tcPr>
            <w:tcW w:w="1146" w:type="dxa"/>
            <w:vMerge/>
            <w:tcBorders>
              <w:top w:val="single" w:sz="4" w:space="0" w:color="auto"/>
              <w:left w:val="single" w:sz="4" w:space="0" w:color="auto"/>
              <w:bottom w:val="single" w:sz="4" w:space="0" w:color="auto"/>
              <w:right w:val="single" w:sz="4" w:space="0" w:color="auto"/>
            </w:tcBorders>
            <w:vAlign w:val="center"/>
            <w:hideMark/>
          </w:tcPr>
          <w:p w14:paraId="0532946A" w14:textId="77777777" w:rsidR="003B6BD9" w:rsidRDefault="003B6BD9">
            <w:pPr>
              <w:spacing w:before="0" w:after="0" w:line="240" w:lineRule="auto"/>
              <w:rPr>
                <w:rFonts w:eastAsia="Times New Roman"/>
                <w:b/>
                <w:noProof/>
                <w:sz w:val="18"/>
                <w:szCs w:val="18"/>
              </w:rPr>
            </w:pPr>
          </w:p>
        </w:tc>
        <w:tc>
          <w:tcPr>
            <w:tcW w:w="1830" w:type="dxa"/>
            <w:vMerge/>
            <w:tcBorders>
              <w:top w:val="single" w:sz="4" w:space="0" w:color="auto"/>
              <w:left w:val="single" w:sz="4" w:space="0" w:color="auto"/>
              <w:bottom w:val="single" w:sz="4" w:space="0" w:color="auto"/>
              <w:right w:val="single" w:sz="4" w:space="0" w:color="auto"/>
            </w:tcBorders>
            <w:vAlign w:val="center"/>
            <w:hideMark/>
          </w:tcPr>
          <w:p w14:paraId="00746261" w14:textId="77777777" w:rsidR="003B6BD9" w:rsidRDefault="003B6BD9">
            <w:pPr>
              <w:spacing w:before="0" w:after="0" w:line="240" w:lineRule="auto"/>
              <w:rPr>
                <w:rFonts w:eastAsia="Times New Roman"/>
                <w:b/>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BEEDBBD" w14:textId="77777777" w:rsidR="003B6BD9" w:rsidRDefault="003B6BD9">
            <w:pPr>
              <w:spacing w:before="0" w:after="0" w:line="240" w:lineRule="auto"/>
              <w:rPr>
                <w:rFonts w:eastAsia="Times New Roman"/>
                <w:b/>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570937D" w14:textId="77777777" w:rsidR="003B6BD9" w:rsidRDefault="009E25E8">
            <w:pPr>
              <w:pStyle w:val="P68B1DB1-Normal6"/>
              <w:spacing w:before="0" w:after="0" w:line="240" w:lineRule="auto"/>
              <w:jc w:val="center"/>
              <w:rPr>
                <w:rFonts w:eastAsia="Times New Roman"/>
                <w:noProof/>
              </w:rPr>
            </w:pPr>
            <w:r>
              <w:rPr>
                <w:noProof/>
              </w:rPr>
              <w:t>Unité de mesure</w:t>
            </w:r>
          </w:p>
        </w:tc>
        <w:tc>
          <w:tcPr>
            <w:tcW w:w="100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AD6FFBC" w14:textId="77777777" w:rsidR="003B6BD9" w:rsidRDefault="009E25E8">
            <w:pPr>
              <w:pStyle w:val="P68B1DB1-Normal6"/>
              <w:spacing w:before="0" w:after="0" w:line="240" w:lineRule="auto"/>
              <w:jc w:val="center"/>
              <w:rPr>
                <w:rFonts w:eastAsia="Times New Roman"/>
                <w:noProof/>
              </w:rPr>
            </w:pPr>
            <w:r>
              <w:rPr>
                <w:noProof/>
              </w:rPr>
              <w:t xml:space="preserve">Niveau de référence </w:t>
            </w:r>
          </w:p>
        </w:tc>
        <w:tc>
          <w:tcPr>
            <w:tcW w:w="84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51D9EE0" w14:textId="77777777" w:rsidR="003B6BD9" w:rsidRDefault="009E25E8">
            <w:pPr>
              <w:pStyle w:val="P68B1DB1-Normal6"/>
              <w:spacing w:before="0" w:after="0" w:line="240" w:lineRule="auto"/>
              <w:jc w:val="center"/>
              <w:rPr>
                <w:rFonts w:eastAsia="Times New Roman"/>
                <w:noProof/>
              </w:rPr>
            </w:pPr>
            <w:r>
              <w:rPr>
                <w:noProof/>
              </w:rPr>
              <w:t xml:space="preserve">But </w:t>
            </w:r>
          </w:p>
        </w:tc>
        <w:tc>
          <w:tcPr>
            <w:tcW w:w="10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C64A71B" w14:textId="77777777" w:rsidR="003B6BD9" w:rsidRDefault="009E25E8">
            <w:pPr>
              <w:pStyle w:val="P68B1DB1-Normal6"/>
              <w:spacing w:before="0" w:after="0" w:line="240" w:lineRule="auto"/>
              <w:jc w:val="center"/>
              <w:rPr>
                <w:rFonts w:eastAsia="Times New Roman"/>
                <w:noProof/>
              </w:rPr>
            </w:pPr>
            <w:r>
              <w:rPr>
                <w:noProof/>
              </w:rPr>
              <w:t>Trimestre</w:t>
            </w:r>
          </w:p>
        </w:tc>
        <w:tc>
          <w:tcPr>
            <w:tcW w:w="71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C6B8556" w14:textId="77777777" w:rsidR="003B6BD9" w:rsidRDefault="009E25E8">
            <w:pPr>
              <w:pStyle w:val="P68B1DB1-Normal6"/>
              <w:spacing w:before="0" w:after="0" w:line="240" w:lineRule="auto"/>
              <w:jc w:val="center"/>
              <w:rPr>
                <w:rFonts w:eastAsia="Times New Roman"/>
                <w:noProof/>
              </w:rPr>
            </w:pPr>
            <w:r>
              <w:rPr>
                <w:noProof/>
              </w:rPr>
              <w:t>Année</w:t>
            </w:r>
          </w:p>
        </w:tc>
        <w:tc>
          <w:tcPr>
            <w:tcW w:w="3570" w:type="dxa"/>
            <w:vMerge/>
            <w:tcBorders>
              <w:top w:val="single" w:sz="4" w:space="0" w:color="auto"/>
              <w:left w:val="single" w:sz="4" w:space="0" w:color="auto"/>
              <w:bottom w:val="single" w:sz="4" w:space="0" w:color="auto"/>
              <w:right w:val="single" w:sz="4" w:space="0" w:color="auto"/>
            </w:tcBorders>
            <w:vAlign w:val="center"/>
            <w:hideMark/>
          </w:tcPr>
          <w:p w14:paraId="33E6F581" w14:textId="77777777" w:rsidR="003B6BD9" w:rsidRDefault="003B6BD9">
            <w:pPr>
              <w:spacing w:before="0" w:after="0" w:line="240" w:lineRule="auto"/>
              <w:rPr>
                <w:rFonts w:eastAsia="Times New Roman"/>
                <w:b/>
                <w:noProof/>
                <w:sz w:val="18"/>
                <w:szCs w:val="18"/>
              </w:rPr>
            </w:pPr>
          </w:p>
        </w:tc>
      </w:tr>
      <w:tr w:rsidR="003B6BD9" w14:paraId="2ABBF713" w14:textId="77777777" w:rsidTr="00AC1D11">
        <w:trPr>
          <w:trHeight w:val="1232"/>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37DD9E0E" w14:textId="19795CED" w:rsidR="003B6BD9" w:rsidRDefault="009E25E8">
            <w:pPr>
              <w:pStyle w:val="P68B1DB1-Normal7"/>
              <w:spacing w:before="0" w:after="0" w:line="240" w:lineRule="auto"/>
              <w:rPr>
                <w:rFonts w:eastAsia="Times New Roman"/>
                <w:noProof/>
                <w:color w:val="000000" w:themeColor="text1"/>
              </w:rPr>
            </w:pPr>
            <w:r>
              <w:rPr>
                <w:noProof/>
              </w:rPr>
              <w:t xml:space="preserve">33  </w:t>
            </w:r>
          </w:p>
        </w:tc>
        <w:tc>
          <w:tcPr>
            <w:tcW w:w="1734" w:type="dxa"/>
            <w:tcBorders>
              <w:top w:val="single" w:sz="4" w:space="0" w:color="auto"/>
              <w:left w:val="nil"/>
              <w:bottom w:val="single" w:sz="4" w:space="0" w:color="auto"/>
              <w:right w:val="single" w:sz="4" w:space="0" w:color="auto"/>
            </w:tcBorders>
            <w:shd w:val="clear" w:color="auto" w:fill="C6EFCE"/>
            <w:noWrap/>
          </w:tcPr>
          <w:p w14:paraId="1E1B42F9" w14:textId="27BFB63C" w:rsidR="003B6BD9" w:rsidRDefault="009E25E8">
            <w:pPr>
              <w:pStyle w:val="P68B1DB1-Normal7"/>
              <w:spacing w:before="0" w:after="0" w:line="240" w:lineRule="auto"/>
              <w:rPr>
                <w:noProof/>
              </w:rPr>
            </w:pPr>
            <w:r>
              <w:rPr>
                <w:noProof/>
              </w:rPr>
              <w:t>F: Poursuivre la réduction des risques d’inondation et des risques liés à d’autres catastrophes liées au climat</w:t>
            </w:r>
          </w:p>
        </w:tc>
        <w:tc>
          <w:tcPr>
            <w:tcW w:w="1146" w:type="dxa"/>
            <w:tcBorders>
              <w:top w:val="single" w:sz="4" w:space="0" w:color="auto"/>
              <w:left w:val="nil"/>
              <w:bottom w:val="single" w:sz="4" w:space="0" w:color="auto"/>
              <w:right w:val="single" w:sz="4" w:space="0" w:color="auto"/>
            </w:tcBorders>
            <w:shd w:val="clear" w:color="auto" w:fill="C6EFCE"/>
            <w:noWrap/>
          </w:tcPr>
          <w:p w14:paraId="6AED8D7E" w14:textId="297A81DF" w:rsidR="003B6BD9" w:rsidRDefault="009E25E8">
            <w:pPr>
              <w:pStyle w:val="P68B1DB1-Normal7"/>
              <w:spacing w:before="0" w:after="0" w:line="240" w:lineRule="auto"/>
              <w:rPr>
                <w:noProof/>
              </w:rPr>
            </w:pPr>
            <w:r>
              <w:rPr>
                <w:noProof/>
              </w:rPr>
              <w:t>Cible</w:t>
            </w:r>
          </w:p>
        </w:tc>
        <w:tc>
          <w:tcPr>
            <w:tcW w:w="1830" w:type="dxa"/>
            <w:tcBorders>
              <w:top w:val="single" w:sz="4" w:space="0" w:color="auto"/>
              <w:left w:val="nil"/>
              <w:bottom w:val="single" w:sz="4" w:space="0" w:color="auto"/>
              <w:right w:val="single" w:sz="4" w:space="0" w:color="auto"/>
            </w:tcBorders>
            <w:shd w:val="clear" w:color="auto" w:fill="C6EFCE"/>
            <w:noWrap/>
          </w:tcPr>
          <w:p w14:paraId="3AA0C4AE" w14:textId="6B9D3A4A" w:rsidR="003B6BD9" w:rsidRDefault="009E25E8">
            <w:pPr>
              <w:pStyle w:val="P68B1DB1-Normal7"/>
              <w:spacing w:before="0" w:after="0" w:line="240" w:lineRule="auto"/>
              <w:rPr>
                <w:noProof/>
              </w:rPr>
            </w:pPr>
            <w:r>
              <w:rPr>
                <w:noProof/>
              </w:rPr>
              <w:t xml:space="preserve">Infrastructures construites ou établies pour réduire au minimum les menaces de glissements de terrain </w:t>
            </w:r>
          </w:p>
        </w:tc>
        <w:tc>
          <w:tcPr>
            <w:tcW w:w="1701" w:type="dxa"/>
            <w:tcBorders>
              <w:top w:val="single" w:sz="4" w:space="0" w:color="auto"/>
              <w:left w:val="nil"/>
              <w:bottom w:val="single" w:sz="4" w:space="0" w:color="auto"/>
              <w:right w:val="single" w:sz="4" w:space="0" w:color="auto"/>
            </w:tcBorders>
            <w:shd w:val="clear" w:color="auto" w:fill="C6EFCE"/>
            <w:noWrap/>
          </w:tcPr>
          <w:p w14:paraId="5603FC84" w14:textId="46CF9F02" w:rsidR="003B6BD9" w:rsidRDefault="009E25E8">
            <w:pPr>
              <w:pStyle w:val="P68B1DB1-Normal7"/>
              <w:spacing w:before="0" w:after="0" w:line="240"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2CB31218" w14:textId="4BBB2E3E" w:rsidR="003B6BD9" w:rsidRDefault="009E25E8">
            <w:pPr>
              <w:pStyle w:val="P68B1DB1-Normal7"/>
              <w:spacing w:before="0" w:after="0" w:line="240" w:lineRule="auto"/>
              <w:rPr>
                <w:noProof/>
              </w:rPr>
            </w:pPr>
            <w:r>
              <w:rPr>
                <w:noProof/>
              </w:rPr>
              <w:t>Nombre</w:t>
            </w:r>
          </w:p>
        </w:tc>
        <w:tc>
          <w:tcPr>
            <w:tcW w:w="1002" w:type="dxa"/>
            <w:tcBorders>
              <w:top w:val="single" w:sz="4" w:space="0" w:color="auto"/>
              <w:left w:val="nil"/>
              <w:bottom w:val="single" w:sz="4" w:space="0" w:color="auto"/>
              <w:right w:val="single" w:sz="4" w:space="0" w:color="auto"/>
            </w:tcBorders>
            <w:shd w:val="clear" w:color="auto" w:fill="C6EFCE"/>
            <w:noWrap/>
          </w:tcPr>
          <w:p w14:paraId="728B6926" w14:textId="57E73BD6" w:rsidR="003B6BD9" w:rsidRDefault="009E25E8">
            <w:pPr>
              <w:pStyle w:val="P68B1DB1-Normal7"/>
              <w:spacing w:before="0" w:after="0" w:line="240" w:lineRule="auto"/>
              <w:rPr>
                <w:noProof/>
              </w:rPr>
            </w:pPr>
            <w:r>
              <w:rPr>
                <w:noProof/>
              </w:rPr>
              <w:t>0</w:t>
            </w:r>
          </w:p>
        </w:tc>
        <w:tc>
          <w:tcPr>
            <w:tcW w:w="848" w:type="dxa"/>
            <w:tcBorders>
              <w:top w:val="single" w:sz="4" w:space="0" w:color="auto"/>
              <w:left w:val="nil"/>
              <w:bottom w:val="single" w:sz="4" w:space="0" w:color="auto"/>
              <w:right w:val="single" w:sz="4" w:space="0" w:color="auto"/>
            </w:tcBorders>
            <w:shd w:val="clear" w:color="auto" w:fill="C6EFCE"/>
            <w:noWrap/>
          </w:tcPr>
          <w:p w14:paraId="43782937" w14:textId="66D3A175" w:rsidR="003B6BD9" w:rsidRDefault="009E25E8">
            <w:pPr>
              <w:pStyle w:val="P68B1DB1-Normal7"/>
              <w:spacing w:before="0" w:after="0" w:line="240" w:lineRule="auto"/>
              <w:rPr>
                <w:noProof/>
              </w:rPr>
            </w:pPr>
            <w:r>
              <w:rPr>
                <w:noProof/>
              </w:rPr>
              <w:t>5</w:t>
            </w:r>
          </w:p>
        </w:tc>
        <w:tc>
          <w:tcPr>
            <w:tcW w:w="1051" w:type="dxa"/>
            <w:tcBorders>
              <w:top w:val="single" w:sz="4" w:space="0" w:color="auto"/>
              <w:left w:val="nil"/>
              <w:bottom w:val="single" w:sz="4" w:space="0" w:color="auto"/>
              <w:right w:val="single" w:sz="4" w:space="0" w:color="auto"/>
            </w:tcBorders>
            <w:shd w:val="clear" w:color="auto" w:fill="C6EFCE"/>
            <w:noWrap/>
          </w:tcPr>
          <w:p w14:paraId="3BD28924" w14:textId="5EF83741" w:rsidR="003B6BD9" w:rsidRDefault="009E25E8">
            <w:pPr>
              <w:pStyle w:val="P68B1DB1-Normal7"/>
              <w:spacing w:before="0" w:after="0" w:line="240" w:lineRule="auto"/>
              <w:rPr>
                <w:noProof/>
              </w:rPr>
            </w:pPr>
            <w:r>
              <w:rPr>
                <w:noProof/>
              </w:rPr>
              <w:t>T2</w:t>
            </w:r>
          </w:p>
        </w:tc>
        <w:tc>
          <w:tcPr>
            <w:tcW w:w="714" w:type="dxa"/>
            <w:tcBorders>
              <w:top w:val="single" w:sz="4" w:space="0" w:color="auto"/>
              <w:left w:val="nil"/>
              <w:bottom w:val="single" w:sz="4" w:space="0" w:color="auto"/>
              <w:right w:val="single" w:sz="4" w:space="0" w:color="auto"/>
            </w:tcBorders>
            <w:shd w:val="clear" w:color="auto" w:fill="C6EFCE"/>
            <w:noWrap/>
          </w:tcPr>
          <w:p w14:paraId="05C00F41" w14:textId="59D668F3" w:rsidR="003B6BD9" w:rsidRDefault="009E25E8">
            <w:pPr>
              <w:pStyle w:val="P68B1DB1-Normal7"/>
              <w:spacing w:before="0" w:after="0" w:line="240" w:lineRule="auto"/>
              <w:rPr>
                <w:noProof/>
              </w:rPr>
            </w:pPr>
            <w:r>
              <w:rPr>
                <w:noProof/>
              </w:rPr>
              <w:t>2026</w:t>
            </w:r>
          </w:p>
        </w:tc>
        <w:tc>
          <w:tcPr>
            <w:tcW w:w="3570" w:type="dxa"/>
            <w:tcBorders>
              <w:top w:val="single" w:sz="4" w:space="0" w:color="auto"/>
              <w:left w:val="nil"/>
              <w:bottom w:val="single" w:sz="4" w:space="0" w:color="auto"/>
              <w:right w:val="single" w:sz="4" w:space="0" w:color="auto"/>
            </w:tcBorders>
            <w:shd w:val="clear" w:color="auto" w:fill="C6EFCE"/>
            <w:noWrap/>
          </w:tcPr>
          <w:p w14:paraId="662C3C4B" w14:textId="201F2CA0" w:rsidR="003B6BD9" w:rsidRDefault="009E25E8">
            <w:pPr>
              <w:pStyle w:val="P68B1DB1-Normal7"/>
              <w:spacing w:before="0" w:after="0" w:line="240" w:lineRule="auto"/>
              <w:rPr>
                <w:noProof/>
              </w:rPr>
            </w:pPr>
            <w:r>
              <w:rPr>
                <w:noProof/>
              </w:rPr>
              <w:t>Des infrastructures construites ou établies pour réduire au minimum les menaces de glissements de terrain. Les critères de sélection de l’appel d’offres public pour la préparation de la documentation relative au projet garantissent la conformité avec les orientations techniques «Ne pas causer de préjudice important» (2021/C58/01).</w:t>
            </w:r>
          </w:p>
        </w:tc>
      </w:tr>
      <w:tr w:rsidR="003B6BD9" w14:paraId="716C92CF" w14:textId="77777777" w:rsidTr="00AC1D11">
        <w:trPr>
          <w:trHeight w:val="1184"/>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4C177039" w14:textId="65A95194" w:rsidR="003B6BD9" w:rsidRDefault="009E25E8">
            <w:pPr>
              <w:pStyle w:val="P68B1DB1-Normal7"/>
              <w:spacing w:before="0" w:after="0" w:line="240" w:lineRule="auto"/>
              <w:rPr>
                <w:rFonts w:eastAsia="Times New Roman"/>
                <w:noProof/>
              </w:rPr>
            </w:pPr>
            <w:r>
              <w:rPr>
                <w:noProof/>
              </w:rPr>
              <w:t>46</w:t>
            </w:r>
          </w:p>
        </w:tc>
        <w:tc>
          <w:tcPr>
            <w:tcW w:w="1734" w:type="dxa"/>
            <w:tcBorders>
              <w:top w:val="single" w:sz="4" w:space="0" w:color="auto"/>
              <w:left w:val="nil"/>
              <w:bottom w:val="single" w:sz="4" w:space="0" w:color="auto"/>
              <w:right w:val="single" w:sz="4" w:space="0" w:color="auto"/>
            </w:tcBorders>
            <w:shd w:val="clear" w:color="auto" w:fill="C6EFCE"/>
            <w:noWrap/>
          </w:tcPr>
          <w:p w14:paraId="3A392781" w14:textId="6D4E9CD6" w:rsidR="003B6BD9" w:rsidRDefault="009E25E8">
            <w:pPr>
              <w:pStyle w:val="P68B1DB1-Normal7"/>
              <w:spacing w:before="0" w:after="0" w:line="240" w:lineRule="auto"/>
              <w:rPr>
                <w:rFonts w:eastAsia="Times New Roman"/>
                <w:noProof/>
              </w:rPr>
            </w:pPr>
            <w:r>
              <w:rPr>
                <w:noProof/>
              </w:rPr>
              <w:t>B: Renforcer la prévention pour accroître la sécurité contre les inondations</w:t>
            </w:r>
          </w:p>
        </w:tc>
        <w:tc>
          <w:tcPr>
            <w:tcW w:w="1146" w:type="dxa"/>
            <w:tcBorders>
              <w:top w:val="single" w:sz="4" w:space="0" w:color="auto"/>
              <w:left w:val="nil"/>
              <w:bottom w:val="single" w:sz="4" w:space="0" w:color="auto"/>
              <w:right w:val="single" w:sz="4" w:space="0" w:color="auto"/>
            </w:tcBorders>
            <w:shd w:val="clear" w:color="auto" w:fill="C6EFCE"/>
            <w:noWrap/>
          </w:tcPr>
          <w:p w14:paraId="3DAD4FD0" w14:textId="6B7EF8B6" w:rsidR="003B6BD9" w:rsidRDefault="009E25E8">
            <w:pPr>
              <w:pStyle w:val="P68B1DB1-Normal7"/>
              <w:spacing w:before="0" w:after="0" w:line="240" w:lineRule="auto"/>
              <w:rPr>
                <w:rFonts w:eastAsia="Times New Roman"/>
                <w:noProof/>
              </w:rPr>
            </w:pPr>
            <w:r>
              <w:rPr>
                <w:noProof/>
              </w:rPr>
              <w:t>Jalon</w:t>
            </w:r>
          </w:p>
        </w:tc>
        <w:tc>
          <w:tcPr>
            <w:tcW w:w="1830" w:type="dxa"/>
            <w:tcBorders>
              <w:top w:val="single" w:sz="4" w:space="0" w:color="auto"/>
              <w:left w:val="nil"/>
              <w:bottom w:val="single" w:sz="4" w:space="0" w:color="auto"/>
              <w:right w:val="single" w:sz="4" w:space="0" w:color="auto"/>
            </w:tcBorders>
            <w:shd w:val="clear" w:color="auto" w:fill="C6EFCE"/>
            <w:noWrap/>
          </w:tcPr>
          <w:p w14:paraId="3CDBB122" w14:textId="1A7AB47E" w:rsidR="003B6BD9" w:rsidRDefault="009E25E8">
            <w:pPr>
              <w:pStyle w:val="P68B1DB1-Normal7"/>
              <w:spacing w:before="0" w:after="0" w:line="240" w:lineRule="auto"/>
              <w:rPr>
                <w:rFonts w:eastAsia="Times New Roman"/>
                <w:noProof/>
              </w:rPr>
            </w:pPr>
            <w:r>
              <w:rPr>
                <w:noProof/>
              </w:rPr>
              <w:t xml:space="preserve">Entrée en vigueur d’un nouveau plan de gestion des risques d’inondation </w:t>
            </w:r>
          </w:p>
        </w:tc>
        <w:tc>
          <w:tcPr>
            <w:tcW w:w="1701" w:type="dxa"/>
            <w:tcBorders>
              <w:top w:val="single" w:sz="4" w:space="0" w:color="auto"/>
              <w:left w:val="nil"/>
              <w:bottom w:val="single" w:sz="4" w:space="0" w:color="auto"/>
              <w:right w:val="single" w:sz="4" w:space="0" w:color="auto"/>
            </w:tcBorders>
            <w:shd w:val="clear" w:color="auto" w:fill="C6EFCE"/>
            <w:noWrap/>
          </w:tcPr>
          <w:p w14:paraId="532745A2" w14:textId="55C028B4" w:rsidR="003B6BD9" w:rsidRDefault="009E25E8">
            <w:pPr>
              <w:pStyle w:val="P68B1DB1-Normal7"/>
              <w:spacing w:before="0" w:after="0" w:line="240" w:lineRule="auto"/>
              <w:rPr>
                <w:rFonts w:eastAsia="Times New Roman"/>
                <w:noProof/>
              </w:rPr>
            </w:pPr>
            <w:r>
              <w:rPr>
                <w:noProof/>
              </w:rPr>
              <w:t>Disposition du plan indiquant l’entrée en vigueur du plan</w:t>
            </w:r>
          </w:p>
        </w:tc>
        <w:tc>
          <w:tcPr>
            <w:tcW w:w="1134" w:type="dxa"/>
            <w:tcBorders>
              <w:top w:val="single" w:sz="4" w:space="0" w:color="auto"/>
              <w:left w:val="nil"/>
              <w:bottom w:val="single" w:sz="4" w:space="0" w:color="auto"/>
              <w:right w:val="single" w:sz="4" w:space="0" w:color="auto"/>
            </w:tcBorders>
            <w:shd w:val="clear" w:color="auto" w:fill="C6EFCE"/>
            <w:noWrap/>
          </w:tcPr>
          <w:p w14:paraId="24A7415A" w14:textId="6C662B2C" w:rsidR="003B6BD9" w:rsidRDefault="009E25E8">
            <w:pPr>
              <w:pStyle w:val="P68B1DB1-Normal7"/>
              <w:spacing w:before="0" w:after="0" w:line="240" w:lineRule="auto"/>
              <w:rPr>
                <w:rFonts w:eastAsia="Times New Roman"/>
                <w:noProof/>
              </w:rPr>
            </w:pPr>
            <w:r>
              <w:rPr>
                <w:noProof/>
              </w:rPr>
              <w:t> </w:t>
            </w:r>
          </w:p>
        </w:tc>
        <w:tc>
          <w:tcPr>
            <w:tcW w:w="1002" w:type="dxa"/>
            <w:tcBorders>
              <w:top w:val="single" w:sz="4" w:space="0" w:color="auto"/>
              <w:left w:val="nil"/>
              <w:bottom w:val="single" w:sz="4" w:space="0" w:color="auto"/>
              <w:right w:val="single" w:sz="4" w:space="0" w:color="auto"/>
            </w:tcBorders>
            <w:shd w:val="clear" w:color="auto" w:fill="C6EFCE"/>
            <w:noWrap/>
          </w:tcPr>
          <w:p w14:paraId="3F82E9F2" w14:textId="7463701A" w:rsidR="003B6BD9" w:rsidRDefault="009E25E8">
            <w:pPr>
              <w:pStyle w:val="P68B1DB1-Normal7"/>
              <w:spacing w:before="0" w:after="0" w:line="240" w:lineRule="auto"/>
              <w:rPr>
                <w:rFonts w:eastAsia="Times New Roman"/>
                <w:noProof/>
              </w:rPr>
            </w:pPr>
            <w:r>
              <w:rPr>
                <w:noProof/>
              </w:rPr>
              <w:t> </w:t>
            </w:r>
          </w:p>
        </w:tc>
        <w:tc>
          <w:tcPr>
            <w:tcW w:w="848" w:type="dxa"/>
            <w:tcBorders>
              <w:top w:val="single" w:sz="4" w:space="0" w:color="auto"/>
              <w:left w:val="nil"/>
              <w:bottom w:val="single" w:sz="4" w:space="0" w:color="auto"/>
              <w:right w:val="single" w:sz="4" w:space="0" w:color="auto"/>
            </w:tcBorders>
            <w:shd w:val="clear" w:color="auto" w:fill="C6EFCE"/>
            <w:noWrap/>
          </w:tcPr>
          <w:p w14:paraId="1C55B0FF" w14:textId="4BF04B29" w:rsidR="003B6BD9" w:rsidRDefault="009E25E8">
            <w:pPr>
              <w:pStyle w:val="P68B1DB1-Normal7"/>
              <w:spacing w:before="0" w:after="0" w:line="240" w:lineRule="auto"/>
              <w:rPr>
                <w:rFonts w:eastAsia="Times New Roman"/>
                <w:noProof/>
              </w:rPr>
            </w:pPr>
            <w:r>
              <w:rPr>
                <w:noProof/>
              </w:rPr>
              <w:t> </w:t>
            </w:r>
          </w:p>
        </w:tc>
        <w:tc>
          <w:tcPr>
            <w:tcW w:w="1051" w:type="dxa"/>
            <w:tcBorders>
              <w:top w:val="single" w:sz="4" w:space="0" w:color="auto"/>
              <w:left w:val="nil"/>
              <w:bottom w:val="single" w:sz="4" w:space="0" w:color="auto"/>
              <w:right w:val="single" w:sz="4" w:space="0" w:color="auto"/>
            </w:tcBorders>
            <w:shd w:val="clear" w:color="auto" w:fill="C6EFCE"/>
            <w:noWrap/>
          </w:tcPr>
          <w:p w14:paraId="1E73F670" w14:textId="3F3D41ED" w:rsidR="003B6BD9" w:rsidRDefault="009E25E8">
            <w:pPr>
              <w:pStyle w:val="P68B1DB1-Normal7"/>
              <w:spacing w:before="0" w:after="0" w:line="240" w:lineRule="auto"/>
              <w:rPr>
                <w:rFonts w:eastAsia="Times New Roman"/>
                <w:noProof/>
              </w:rPr>
            </w:pPr>
            <w:r>
              <w:rPr>
                <w:noProof/>
              </w:rPr>
              <w:t>T4</w:t>
            </w:r>
          </w:p>
        </w:tc>
        <w:tc>
          <w:tcPr>
            <w:tcW w:w="714" w:type="dxa"/>
            <w:tcBorders>
              <w:top w:val="single" w:sz="4" w:space="0" w:color="auto"/>
              <w:left w:val="nil"/>
              <w:bottom w:val="single" w:sz="4" w:space="0" w:color="auto"/>
              <w:right w:val="single" w:sz="4" w:space="0" w:color="auto"/>
            </w:tcBorders>
            <w:shd w:val="clear" w:color="auto" w:fill="C6EFCE"/>
            <w:noWrap/>
          </w:tcPr>
          <w:p w14:paraId="61C1EB52" w14:textId="077D882F" w:rsidR="003B6BD9" w:rsidRDefault="009E25E8">
            <w:pPr>
              <w:pStyle w:val="P68B1DB1-Normal7"/>
              <w:spacing w:before="0" w:after="0" w:line="240" w:lineRule="auto"/>
              <w:rPr>
                <w:rFonts w:eastAsia="Times New Roman"/>
                <w:noProof/>
              </w:rPr>
            </w:pPr>
            <w:r>
              <w:rPr>
                <w:noProof/>
              </w:rPr>
              <w:t>2022</w:t>
            </w:r>
          </w:p>
        </w:tc>
        <w:tc>
          <w:tcPr>
            <w:tcW w:w="3570" w:type="dxa"/>
            <w:tcBorders>
              <w:top w:val="single" w:sz="4" w:space="0" w:color="auto"/>
              <w:left w:val="nil"/>
              <w:bottom w:val="single" w:sz="4" w:space="0" w:color="auto"/>
              <w:right w:val="single" w:sz="4" w:space="0" w:color="auto"/>
            </w:tcBorders>
            <w:shd w:val="clear" w:color="auto" w:fill="C6EFCE"/>
            <w:noWrap/>
          </w:tcPr>
          <w:p w14:paraId="676D9150" w14:textId="66C75D67" w:rsidR="003B6BD9" w:rsidRDefault="009E25E8">
            <w:pPr>
              <w:pStyle w:val="P68B1DB1-Normal7"/>
              <w:spacing w:before="0" w:after="0" w:line="240" w:lineRule="auto"/>
              <w:rPr>
                <w:rFonts w:eastAsia="Times New Roman"/>
                <w:noProof/>
              </w:rPr>
            </w:pPr>
            <w:r>
              <w:rPr>
                <w:noProof/>
              </w:rPr>
              <w:t>Le nouveau plan vise à accélérer la planification et la mise en œuvre de mesures qui contribuent à la prévention des conséquences des inondations aux niveaux local, régional et national, en promouvant en particulier des solutions fondées sur la nature.</w:t>
            </w:r>
          </w:p>
        </w:tc>
      </w:tr>
      <w:tr w:rsidR="003B6BD9" w14:paraId="6AF4A72B" w14:textId="77777777" w:rsidTr="00AC1D11">
        <w:trPr>
          <w:trHeight w:val="1613"/>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74D18CED" w14:textId="21435839" w:rsidR="003B6BD9" w:rsidRDefault="009E25E8">
            <w:pPr>
              <w:pStyle w:val="P68B1DB1-Normal7"/>
              <w:spacing w:before="0" w:after="0" w:line="240" w:lineRule="auto"/>
              <w:rPr>
                <w:rFonts w:eastAsia="Times New Roman"/>
                <w:noProof/>
              </w:rPr>
            </w:pPr>
            <w:r>
              <w:rPr>
                <w:noProof/>
              </w:rPr>
              <w:t>48</w:t>
            </w:r>
          </w:p>
        </w:tc>
        <w:tc>
          <w:tcPr>
            <w:tcW w:w="1734" w:type="dxa"/>
            <w:tcBorders>
              <w:top w:val="single" w:sz="4" w:space="0" w:color="auto"/>
              <w:left w:val="nil"/>
              <w:bottom w:val="single" w:sz="4" w:space="0" w:color="auto"/>
              <w:right w:val="single" w:sz="4" w:space="0" w:color="auto"/>
            </w:tcBorders>
            <w:shd w:val="clear" w:color="auto" w:fill="C6EFCE"/>
            <w:noWrap/>
          </w:tcPr>
          <w:p w14:paraId="26185776" w14:textId="2F9C4F0F" w:rsidR="003B6BD9" w:rsidRDefault="009E25E8">
            <w:pPr>
              <w:pStyle w:val="P68B1DB1-Normal7"/>
              <w:spacing w:before="0" w:after="0" w:line="240" w:lineRule="auto"/>
              <w:rPr>
                <w:rFonts w:eastAsia="Times New Roman"/>
                <w:noProof/>
              </w:rPr>
            </w:pPr>
            <w:r>
              <w:rPr>
                <w:noProof/>
              </w:rPr>
              <w:t xml:space="preserve">F: Poursuivre la réduction des risques d’inondation et des risques liés à d’autres catastrophes liées au climat </w:t>
            </w:r>
          </w:p>
        </w:tc>
        <w:tc>
          <w:tcPr>
            <w:tcW w:w="1146" w:type="dxa"/>
            <w:tcBorders>
              <w:top w:val="single" w:sz="4" w:space="0" w:color="auto"/>
              <w:left w:val="nil"/>
              <w:bottom w:val="single" w:sz="4" w:space="0" w:color="auto"/>
              <w:right w:val="single" w:sz="4" w:space="0" w:color="auto"/>
            </w:tcBorders>
            <w:shd w:val="clear" w:color="auto" w:fill="C6EFCE"/>
            <w:noWrap/>
          </w:tcPr>
          <w:p w14:paraId="0EE00AFC" w14:textId="1A91CFD0" w:rsidR="003B6BD9" w:rsidRDefault="009E25E8">
            <w:pPr>
              <w:pStyle w:val="P68B1DB1-Normal7"/>
              <w:spacing w:before="0" w:after="0" w:line="240" w:lineRule="auto"/>
              <w:rPr>
                <w:rFonts w:eastAsia="Times New Roman"/>
                <w:noProof/>
              </w:rPr>
            </w:pPr>
            <w:r>
              <w:rPr>
                <w:noProof/>
              </w:rPr>
              <w:t>Cible</w:t>
            </w:r>
          </w:p>
        </w:tc>
        <w:tc>
          <w:tcPr>
            <w:tcW w:w="1830" w:type="dxa"/>
            <w:tcBorders>
              <w:top w:val="single" w:sz="4" w:space="0" w:color="auto"/>
              <w:left w:val="nil"/>
              <w:bottom w:val="single" w:sz="4" w:space="0" w:color="auto"/>
              <w:right w:val="single" w:sz="4" w:space="0" w:color="auto"/>
            </w:tcBorders>
            <w:shd w:val="clear" w:color="auto" w:fill="C6EFCE"/>
            <w:noWrap/>
          </w:tcPr>
          <w:p w14:paraId="4412131A" w14:textId="1D26484E" w:rsidR="003B6BD9" w:rsidRDefault="009E25E8">
            <w:pPr>
              <w:pStyle w:val="P68B1DB1-Normal7"/>
              <w:spacing w:before="0" w:after="0" w:line="240" w:lineRule="auto"/>
              <w:rPr>
                <w:rFonts w:eastAsia="Times New Roman"/>
                <w:noProof/>
              </w:rPr>
            </w:pPr>
            <w:r>
              <w:rPr>
                <w:noProof/>
              </w:rPr>
              <w:t xml:space="preserve">Construction d’infrastructures de protection contre les inondations </w:t>
            </w:r>
          </w:p>
        </w:tc>
        <w:tc>
          <w:tcPr>
            <w:tcW w:w="1701" w:type="dxa"/>
            <w:tcBorders>
              <w:top w:val="single" w:sz="4" w:space="0" w:color="auto"/>
              <w:left w:val="nil"/>
              <w:bottom w:val="single" w:sz="4" w:space="0" w:color="auto"/>
              <w:right w:val="single" w:sz="4" w:space="0" w:color="auto"/>
            </w:tcBorders>
            <w:shd w:val="clear" w:color="auto" w:fill="C6EFCE"/>
            <w:noWrap/>
          </w:tcPr>
          <w:p w14:paraId="0473B712" w14:textId="724405D5" w:rsidR="003B6BD9" w:rsidRDefault="009E25E8">
            <w:pPr>
              <w:pStyle w:val="P68B1DB1-Normal7"/>
              <w:spacing w:before="0" w:after="0" w:line="240" w:lineRule="auto"/>
              <w:rPr>
                <w:rFonts w:eastAsia="Times New Roman"/>
                <w:noProof/>
              </w:rPr>
            </w:pPr>
            <w:r>
              <w:rPr>
                <w:noProof/>
              </w:rPr>
              <w:t> </w:t>
            </w:r>
          </w:p>
        </w:tc>
        <w:tc>
          <w:tcPr>
            <w:tcW w:w="1134" w:type="dxa"/>
            <w:tcBorders>
              <w:top w:val="single" w:sz="4" w:space="0" w:color="auto"/>
              <w:left w:val="nil"/>
              <w:bottom w:val="single" w:sz="4" w:space="0" w:color="auto"/>
              <w:right w:val="single" w:sz="4" w:space="0" w:color="auto"/>
            </w:tcBorders>
            <w:shd w:val="clear" w:color="auto" w:fill="C6EFCE"/>
            <w:noWrap/>
          </w:tcPr>
          <w:p w14:paraId="6642F338" w14:textId="36A0C294" w:rsidR="003B6BD9" w:rsidRDefault="009E25E8">
            <w:pPr>
              <w:pStyle w:val="P68B1DB1-Normal7"/>
              <w:spacing w:before="0" w:after="0" w:line="240" w:lineRule="auto"/>
              <w:rPr>
                <w:rFonts w:eastAsia="Times New Roman"/>
                <w:noProof/>
              </w:rPr>
            </w:pPr>
            <w:r>
              <w:rPr>
                <w:noProof/>
              </w:rPr>
              <w:t>Nombre</w:t>
            </w:r>
          </w:p>
        </w:tc>
        <w:tc>
          <w:tcPr>
            <w:tcW w:w="1002" w:type="dxa"/>
            <w:tcBorders>
              <w:top w:val="single" w:sz="4" w:space="0" w:color="auto"/>
              <w:left w:val="nil"/>
              <w:bottom w:val="single" w:sz="4" w:space="0" w:color="auto"/>
              <w:right w:val="single" w:sz="4" w:space="0" w:color="auto"/>
            </w:tcBorders>
            <w:shd w:val="clear" w:color="auto" w:fill="C6EFCE"/>
            <w:noWrap/>
          </w:tcPr>
          <w:p w14:paraId="3179A8B3" w14:textId="50556787" w:rsidR="003B6BD9" w:rsidRDefault="009E25E8">
            <w:pPr>
              <w:pStyle w:val="P68B1DB1-Normal7"/>
              <w:spacing w:before="0" w:after="0" w:line="240" w:lineRule="auto"/>
              <w:rPr>
                <w:rFonts w:eastAsia="Times New Roman"/>
                <w:noProof/>
              </w:rPr>
            </w:pPr>
            <w:r>
              <w:rPr>
                <w:noProof/>
              </w:rPr>
              <w:t>0</w:t>
            </w:r>
          </w:p>
        </w:tc>
        <w:tc>
          <w:tcPr>
            <w:tcW w:w="848" w:type="dxa"/>
            <w:tcBorders>
              <w:top w:val="single" w:sz="4" w:space="0" w:color="auto"/>
              <w:left w:val="nil"/>
              <w:bottom w:val="single" w:sz="4" w:space="0" w:color="auto"/>
              <w:right w:val="single" w:sz="4" w:space="0" w:color="auto"/>
            </w:tcBorders>
            <w:shd w:val="clear" w:color="auto" w:fill="C6EFCE"/>
            <w:noWrap/>
          </w:tcPr>
          <w:p w14:paraId="2349B073" w14:textId="5FE5F751" w:rsidR="003B6BD9" w:rsidRDefault="009E25E8">
            <w:pPr>
              <w:pStyle w:val="P68B1DB1-Normal7"/>
              <w:spacing w:before="0" w:after="0" w:line="240" w:lineRule="auto"/>
              <w:rPr>
                <w:rFonts w:eastAsia="Times New Roman"/>
                <w:noProof/>
              </w:rPr>
            </w:pPr>
            <w:r>
              <w:rPr>
                <w:noProof/>
              </w:rPr>
              <w:t>5</w:t>
            </w:r>
          </w:p>
        </w:tc>
        <w:tc>
          <w:tcPr>
            <w:tcW w:w="1051" w:type="dxa"/>
            <w:tcBorders>
              <w:top w:val="single" w:sz="4" w:space="0" w:color="auto"/>
              <w:left w:val="nil"/>
              <w:bottom w:val="single" w:sz="4" w:space="0" w:color="auto"/>
              <w:right w:val="single" w:sz="4" w:space="0" w:color="auto"/>
            </w:tcBorders>
            <w:shd w:val="clear" w:color="auto" w:fill="C6EFCE"/>
            <w:noWrap/>
          </w:tcPr>
          <w:p w14:paraId="5D02E1F3" w14:textId="4D7422C6" w:rsidR="003B6BD9" w:rsidRDefault="009E25E8">
            <w:pPr>
              <w:pStyle w:val="P68B1DB1-Normal7"/>
              <w:spacing w:before="0" w:after="0" w:line="240" w:lineRule="auto"/>
              <w:rPr>
                <w:rFonts w:eastAsia="Times New Roman"/>
                <w:noProof/>
              </w:rPr>
            </w:pPr>
            <w:r>
              <w:rPr>
                <w:noProof/>
              </w:rPr>
              <w:t>T2</w:t>
            </w:r>
          </w:p>
        </w:tc>
        <w:tc>
          <w:tcPr>
            <w:tcW w:w="714" w:type="dxa"/>
            <w:tcBorders>
              <w:top w:val="single" w:sz="4" w:space="0" w:color="auto"/>
              <w:left w:val="nil"/>
              <w:bottom w:val="single" w:sz="4" w:space="0" w:color="auto"/>
              <w:right w:val="single" w:sz="4" w:space="0" w:color="auto"/>
            </w:tcBorders>
            <w:shd w:val="clear" w:color="auto" w:fill="C6EFCE"/>
            <w:noWrap/>
          </w:tcPr>
          <w:p w14:paraId="52A30DA1" w14:textId="0A18BAD6" w:rsidR="003B6BD9" w:rsidRDefault="009E25E8">
            <w:pPr>
              <w:pStyle w:val="P68B1DB1-Normal7"/>
              <w:spacing w:before="0" w:after="0" w:line="240" w:lineRule="auto"/>
              <w:rPr>
                <w:rFonts w:eastAsia="Times New Roman"/>
                <w:noProof/>
              </w:rPr>
            </w:pPr>
            <w:r>
              <w:rPr>
                <w:noProof/>
              </w:rPr>
              <w:t>2026</w:t>
            </w:r>
          </w:p>
        </w:tc>
        <w:tc>
          <w:tcPr>
            <w:tcW w:w="3570" w:type="dxa"/>
            <w:tcBorders>
              <w:top w:val="single" w:sz="4" w:space="0" w:color="auto"/>
              <w:left w:val="nil"/>
              <w:bottom w:val="single" w:sz="4" w:space="0" w:color="auto"/>
              <w:right w:val="single" w:sz="4" w:space="0" w:color="auto"/>
            </w:tcBorders>
            <w:shd w:val="clear" w:color="auto" w:fill="C6EFCE"/>
            <w:noWrap/>
          </w:tcPr>
          <w:p w14:paraId="0B2C796F" w14:textId="09E13DFC" w:rsidR="003B6BD9" w:rsidRDefault="009E25E8">
            <w:pPr>
              <w:pStyle w:val="P68B1DB1-Normal7"/>
              <w:spacing w:before="0" w:after="0" w:line="240" w:lineRule="auto"/>
              <w:rPr>
                <w:noProof/>
              </w:rPr>
            </w:pPr>
            <w:r>
              <w:rPr>
                <w:noProof/>
              </w:rPr>
              <w:t xml:space="preserve">Construction d’infrastructures de protection contre les inondations. La documentation relative au projet comprend: </w:t>
            </w:r>
          </w:p>
          <w:p w14:paraId="713E6AED" w14:textId="3F4FCF05" w:rsidR="003B6BD9" w:rsidRDefault="009E25E8">
            <w:pPr>
              <w:pStyle w:val="P68B1DB1-Normal7"/>
              <w:spacing w:before="0" w:after="0" w:line="240" w:lineRule="auto"/>
              <w:rPr>
                <w:noProof/>
              </w:rPr>
            </w:pPr>
            <w:r>
              <w:rPr>
                <w:noProof/>
              </w:rPr>
              <w:t xml:space="preserve">a) les mesures fondées sur la nature et l’infrastructure verte; </w:t>
            </w:r>
          </w:p>
          <w:p w14:paraId="544EB7F9" w14:textId="1748DFD8" w:rsidR="003B6BD9" w:rsidRDefault="009E25E8">
            <w:pPr>
              <w:pStyle w:val="P68B1DB1-Normal7"/>
              <w:spacing w:before="0" w:after="0" w:line="240" w:lineRule="auto"/>
              <w:rPr>
                <w:noProof/>
              </w:rPr>
            </w:pPr>
            <w:r>
              <w:rPr>
                <w:noProof/>
              </w:rPr>
              <w:t>b) l’exigence selon laquelle les projets doivent être conformes aux orientations techniques «ne pas causer de préjudice important» (2021/C58/01).</w:t>
            </w:r>
          </w:p>
        </w:tc>
      </w:tr>
      <w:tr w:rsidR="003B6BD9" w14:paraId="5168D69F" w14:textId="77777777" w:rsidTr="00AC1D11">
        <w:trPr>
          <w:trHeight w:val="584"/>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41C3A6E3" w14:textId="47590156" w:rsidR="003B6BD9" w:rsidRDefault="009E25E8">
            <w:pPr>
              <w:pStyle w:val="P68B1DB1-Normal7"/>
              <w:spacing w:before="0" w:after="0" w:line="240" w:lineRule="auto"/>
              <w:rPr>
                <w:noProof/>
              </w:rPr>
            </w:pPr>
            <w:r>
              <w:rPr>
                <w:noProof/>
              </w:rPr>
              <w:t>48 bis</w:t>
            </w:r>
          </w:p>
        </w:tc>
        <w:tc>
          <w:tcPr>
            <w:tcW w:w="1734" w:type="dxa"/>
            <w:tcBorders>
              <w:top w:val="single" w:sz="4" w:space="0" w:color="auto"/>
              <w:left w:val="nil"/>
              <w:bottom w:val="single" w:sz="4" w:space="0" w:color="auto"/>
              <w:right w:val="single" w:sz="4" w:space="0" w:color="auto"/>
            </w:tcBorders>
            <w:shd w:val="clear" w:color="auto" w:fill="C6EFCE"/>
            <w:noWrap/>
          </w:tcPr>
          <w:p w14:paraId="09E626D6" w14:textId="0BDD6394" w:rsidR="003B6BD9" w:rsidRDefault="009E25E8">
            <w:pPr>
              <w:pStyle w:val="P68B1DB1-Normal7"/>
              <w:spacing w:before="0" w:after="0" w:line="240" w:lineRule="auto"/>
              <w:rPr>
                <w:noProof/>
              </w:rPr>
            </w:pPr>
            <w:r>
              <w:rPr>
                <w:noProof/>
              </w:rPr>
              <w:t xml:space="preserve">F: Poursuivre la réduction des risques d’inondation et des risques liés à d’autres catastrophes liées au climat </w:t>
            </w:r>
          </w:p>
        </w:tc>
        <w:tc>
          <w:tcPr>
            <w:tcW w:w="1146" w:type="dxa"/>
            <w:tcBorders>
              <w:top w:val="single" w:sz="4" w:space="0" w:color="auto"/>
              <w:left w:val="nil"/>
              <w:bottom w:val="single" w:sz="4" w:space="0" w:color="auto"/>
              <w:right w:val="single" w:sz="4" w:space="0" w:color="auto"/>
            </w:tcBorders>
            <w:shd w:val="clear" w:color="auto" w:fill="C6EFCE"/>
            <w:noWrap/>
          </w:tcPr>
          <w:p w14:paraId="5D6CA772" w14:textId="2E457AC4" w:rsidR="003B6BD9" w:rsidRDefault="009E25E8">
            <w:pPr>
              <w:pStyle w:val="P68B1DB1-Normal7"/>
              <w:spacing w:before="0" w:after="0" w:line="240" w:lineRule="auto"/>
              <w:rPr>
                <w:noProof/>
              </w:rPr>
            </w:pPr>
            <w:r>
              <w:rPr>
                <w:noProof/>
              </w:rPr>
              <w:t>Jalon</w:t>
            </w:r>
          </w:p>
        </w:tc>
        <w:tc>
          <w:tcPr>
            <w:tcW w:w="1830" w:type="dxa"/>
            <w:tcBorders>
              <w:top w:val="single" w:sz="4" w:space="0" w:color="auto"/>
              <w:left w:val="nil"/>
              <w:bottom w:val="single" w:sz="4" w:space="0" w:color="auto"/>
              <w:right w:val="single" w:sz="4" w:space="0" w:color="auto"/>
            </w:tcBorders>
            <w:shd w:val="clear" w:color="auto" w:fill="C6EFCE"/>
            <w:noWrap/>
          </w:tcPr>
          <w:p w14:paraId="2C60BA19" w14:textId="5F66B414" w:rsidR="003B6BD9" w:rsidRDefault="009E25E8">
            <w:pPr>
              <w:pStyle w:val="P68B1DB1-Normal7"/>
              <w:spacing w:before="0" w:after="0" w:line="240" w:lineRule="auto"/>
              <w:rPr>
                <w:noProof/>
              </w:rPr>
            </w:pPr>
            <w:r>
              <w:rPr>
                <w:noProof/>
              </w:rPr>
              <w:t>Évaluation des risques d’inondation dans les bassins hydrographiques de la République de Slovénie</w:t>
            </w:r>
          </w:p>
        </w:tc>
        <w:tc>
          <w:tcPr>
            <w:tcW w:w="1701" w:type="dxa"/>
            <w:tcBorders>
              <w:top w:val="single" w:sz="4" w:space="0" w:color="auto"/>
              <w:left w:val="nil"/>
              <w:bottom w:val="single" w:sz="4" w:space="0" w:color="auto"/>
              <w:right w:val="single" w:sz="4" w:space="0" w:color="auto"/>
            </w:tcBorders>
            <w:shd w:val="clear" w:color="auto" w:fill="C6EFCE"/>
            <w:noWrap/>
          </w:tcPr>
          <w:p w14:paraId="15D02A53" w14:textId="264A9270" w:rsidR="003B6BD9" w:rsidRDefault="009E25E8">
            <w:pPr>
              <w:pStyle w:val="P68B1DB1-Normal7"/>
              <w:spacing w:before="0" w:after="0" w:line="240" w:lineRule="auto"/>
              <w:rPr>
                <w:noProof/>
              </w:rPr>
            </w:pPr>
            <w:r>
              <w:rPr>
                <w:noProof/>
              </w:rPr>
              <w:t>Évaluation des risques d’inondation dans les bassins hydrographiques de la République de Slovénie</w:t>
            </w:r>
          </w:p>
        </w:tc>
        <w:tc>
          <w:tcPr>
            <w:tcW w:w="1134" w:type="dxa"/>
            <w:tcBorders>
              <w:top w:val="single" w:sz="4" w:space="0" w:color="auto"/>
              <w:left w:val="nil"/>
              <w:bottom w:val="single" w:sz="4" w:space="0" w:color="auto"/>
              <w:right w:val="single" w:sz="4" w:space="0" w:color="auto"/>
            </w:tcBorders>
            <w:shd w:val="clear" w:color="auto" w:fill="C6EFCE"/>
            <w:noWrap/>
          </w:tcPr>
          <w:p w14:paraId="6DF47270" w14:textId="73C5BA12" w:rsidR="003B6BD9" w:rsidRDefault="003B6BD9">
            <w:pPr>
              <w:spacing w:before="0" w:after="0" w:line="240" w:lineRule="auto"/>
              <w:rPr>
                <w:noProof/>
                <w:color w:val="006100"/>
                <w:sz w:val="18"/>
                <w:szCs w:val="18"/>
              </w:rPr>
            </w:pPr>
          </w:p>
        </w:tc>
        <w:tc>
          <w:tcPr>
            <w:tcW w:w="1002" w:type="dxa"/>
            <w:tcBorders>
              <w:top w:val="single" w:sz="4" w:space="0" w:color="auto"/>
              <w:left w:val="nil"/>
              <w:bottom w:val="single" w:sz="4" w:space="0" w:color="auto"/>
              <w:right w:val="single" w:sz="4" w:space="0" w:color="auto"/>
            </w:tcBorders>
            <w:shd w:val="clear" w:color="auto" w:fill="C6EFCE"/>
            <w:noWrap/>
          </w:tcPr>
          <w:p w14:paraId="55D72D0B" w14:textId="45BA217D" w:rsidR="003B6BD9" w:rsidRDefault="003B6BD9">
            <w:pPr>
              <w:spacing w:before="0" w:after="0" w:line="240" w:lineRule="auto"/>
              <w:rPr>
                <w:noProof/>
                <w:color w:val="006100"/>
                <w:sz w:val="18"/>
                <w:szCs w:val="18"/>
              </w:rPr>
            </w:pPr>
          </w:p>
        </w:tc>
        <w:tc>
          <w:tcPr>
            <w:tcW w:w="848" w:type="dxa"/>
            <w:tcBorders>
              <w:top w:val="single" w:sz="4" w:space="0" w:color="auto"/>
              <w:left w:val="nil"/>
              <w:bottom w:val="single" w:sz="4" w:space="0" w:color="auto"/>
              <w:right w:val="single" w:sz="4" w:space="0" w:color="auto"/>
            </w:tcBorders>
            <w:shd w:val="clear" w:color="auto" w:fill="C6EFCE"/>
            <w:noWrap/>
          </w:tcPr>
          <w:p w14:paraId="3AE7F0AA" w14:textId="10A38CB5" w:rsidR="003B6BD9" w:rsidRDefault="003B6BD9">
            <w:pPr>
              <w:spacing w:before="0" w:after="0" w:line="240" w:lineRule="auto"/>
              <w:rPr>
                <w:noProof/>
                <w:color w:val="006100"/>
                <w:sz w:val="18"/>
                <w:szCs w:val="18"/>
              </w:rPr>
            </w:pPr>
          </w:p>
        </w:tc>
        <w:tc>
          <w:tcPr>
            <w:tcW w:w="1051" w:type="dxa"/>
            <w:tcBorders>
              <w:top w:val="single" w:sz="4" w:space="0" w:color="auto"/>
              <w:left w:val="nil"/>
              <w:bottom w:val="single" w:sz="4" w:space="0" w:color="auto"/>
              <w:right w:val="single" w:sz="4" w:space="0" w:color="auto"/>
            </w:tcBorders>
            <w:shd w:val="clear" w:color="auto" w:fill="C6EFCE"/>
            <w:noWrap/>
          </w:tcPr>
          <w:p w14:paraId="6F087249" w14:textId="68EBC9DF" w:rsidR="003B6BD9" w:rsidRDefault="009E25E8">
            <w:pPr>
              <w:pStyle w:val="P68B1DB1-Normal7"/>
              <w:spacing w:before="0" w:after="0" w:line="240" w:lineRule="auto"/>
              <w:rPr>
                <w:noProof/>
              </w:rPr>
            </w:pPr>
            <w:r>
              <w:rPr>
                <w:noProof/>
              </w:rPr>
              <w:t>T2</w:t>
            </w:r>
          </w:p>
        </w:tc>
        <w:tc>
          <w:tcPr>
            <w:tcW w:w="714" w:type="dxa"/>
            <w:tcBorders>
              <w:top w:val="single" w:sz="4" w:space="0" w:color="auto"/>
              <w:left w:val="nil"/>
              <w:bottom w:val="single" w:sz="4" w:space="0" w:color="auto"/>
              <w:right w:val="single" w:sz="4" w:space="0" w:color="auto"/>
            </w:tcBorders>
            <w:shd w:val="clear" w:color="auto" w:fill="C6EFCE"/>
            <w:noWrap/>
          </w:tcPr>
          <w:p w14:paraId="32155421" w14:textId="1994A114" w:rsidR="003B6BD9" w:rsidRDefault="009E25E8">
            <w:pPr>
              <w:pStyle w:val="P68B1DB1-Normal7"/>
              <w:spacing w:before="0" w:after="0" w:line="240" w:lineRule="auto"/>
              <w:rPr>
                <w:noProof/>
              </w:rPr>
            </w:pPr>
            <w:r>
              <w:rPr>
                <w:noProof/>
              </w:rPr>
              <w:t>2026</w:t>
            </w:r>
          </w:p>
        </w:tc>
        <w:tc>
          <w:tcPr>
            <w:tcW w:w="3570" w:type="dxa"/>
            <w:tcBorders>
              <w:top w:val="single" w:sz="4" w:space="0" w:color="auto"/>
              <w:left w:val="nil"/>
              <w:bottom w:val="single" w:sz="4" w:space="0" w:color="auto"/>
              <w:right w:val="single" w:sz="4" w:space="0" w:color="auto"/>
            </w:tcBorders>
            <w:shd w:val="clear" w:color="auto" w:fill="C6EFCE"/>
            <w:noWrap/>
          </w:tcPr>
          <w:p w14:paraId="77494855" w14:textId="6320D9D1" w:rsidR="003B6BD9" w:rsidRDefault="009E25E8">
            <w:pPr>
              <w:pStyle w:val="P68B1DB1-Normal7"/>
              <w:spacing w:before="0" w:after="0" w:line="256" w:lineRule="auto"/>
              <w:rPr>
                <w:noProof/>
              </w:rPr>
            </w:pPr>
            <w:r>
              <w:rPr>
                <w:noProof/>
              </w:rPr>
              <w:t>L’évaluation des risques d’inondation dans 4 bassins hydrographiques de la République de Slovénie sera préparée par un contractant externe. Les documents d’investissement pour la planification et la construction d’infrastructures de protection contre les inondations sont préparés par une agence ou un contractant externe.</w:t>
            </w:r>
          </w:p>
        </w:tc>
      </w:tr>
      <w:tr w:rsidR="003B6BD9" w14:paraId="61EA23D6" w14:textId="77777777" w:rsidTr="00AC1D11">
        <w:trPr>
          <w:trHeight w:val="668"/>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3B9DF914" w14:textId="0E934401" w:rsidR="003B6BD9" w:rsidRDefault="009E25E8">
            <w:pPr>
              <w:pStyle w:val="P68B1DB1-Normal7"/>
              <w:spacing w:before="0" w:after="0" w:line="240" w:lineRule="auto"/>
              <w:rPr>
                <w:rFonts w:eastAsia="Times New Roman"/>
                <w:noProof/>
              </w:rPr>
            </w:pPr>
            <w:r>
              <w:rPr>
                <w:noProof/>
              </w:rPr>
              <w:t>49</w:t>
            </w:r>
          </w:p>
        </w:tc>
        <w:tc>
          <w:tcPr>
            <w:tcW w:w="1734" w:type="dxa"/>
            <w:tcBorders>
              <w:top w:val="single" w:sz="4" w:space="0" w:color="auto"/>
              <w:left w:val="nil"/>
              <w:bottom w:val="single" w:sz="4" w:space="0" w:color="auto"/>
              <w:right w:val="single" w:sz="4" w:space="0" w:color="auto"/>
            </w:tcBorders>
            <w:shd w:val="clear" w:color="auto" w:fill="C6EFCE"/>
            <w:noWrap/>
          </w:tcPr>
          <w:p w14:paraId="36695872" w14:textId="42A4A358" w:rsidR="003B6BD9" w:rsidRDefault="009E25E8">
            <w:pPr>
              <w:pStyle w:val="P68B1DB1-Normal7"/>
              <w:spacing w:before="0" w:after="0" w:line="240" w:lineRule="auto"/>
              <w:rPr>
                <w:rFonts w:eastAsia="Times New Roman"/>
                <w:noProof/>
              </w:rPr>
            </w:pPr>
            <w:r>
              <w:rPr>
                <w:noProof/>
              </w:rPr>
              <w:t>D: Améliorer l’efficacité du fonctionnement des services publics de protection de l’environnement</w:t>
            </w:r>
          </w:p>
        </w:tc>
        <w:tc>
          <w:tcPr>
            <w:tcW w:w="1146" w:type="dxa"/>
            <w:tcBorders>
              <w:top w:val="single" w:sz="4" w:space="0" w:color="auto"/>
              <w:left w:val="nil"/>
              <w:bottom w:val="single" w:sz="4" w:space="0" w:color="auto"/>
              <w:right w:val="single" w:sz="4" w:space="0" w:color="auto"/>
            </w:tcBorders>
            <w:shd w:val="clear" w:color="auto" w:fill="C6EFCE"/>
            <w:noWrap/>
          </w:tcPr>
          <w:p w14:paraId="0272E1A3" w14:textId="411B3DA9" w:rsidR="003B6BD9" w:rsidRDefault="009E25E8">
            <w:pPr>
              <w:pStyle w:val="P68B1DB1-Normal7"/>
              <w:spacing w:before="0" w:after="0" w:line="240" w:lineRule="auto"/>
              <w:rPr>
                <w:rFonts w:eastAsia="Times New Roman"/>
                <w:noProof/>
              </w:rPr>
            </w:pPr>
            <w:r>
              <w:rPr>
                <w:noProof/>
              </w:rPr>
              <w:t>Jalon</w:t>
            </w:r>
          </w:p>
        </w:tc>
        <w:tc>
          <w:tcPr>
            <w:tcW w:w="1830" w:type="dxa"/>
            <w:tcBorders>
              <w:top w:val="single" w:sz="4" w:space="0" w:color="auto"/>
              <w:left w:val="nil"/>
              <w:bottom w:val="single" w:sz="4" w:space="0" w:color="auto"/>
              <w:right w:val="single" w:sz="4" w:space="0" w:color="auto"/>
            </w:tcBorders>
            <w:shd w:val="clear" w:color="auto" w:fill="C6EFCE"/>
            <w:noWrap/>
          </w:tcPr>
          <w:p w14:paraId="0C46E3FD" w14:textId="56BF60CB" w:rsidR="003B6BD9" w:rsidRDefault="009E25E8">
            <w:pPr>
              <w:pStyle w:val="P68B1DB1-Normal7"/>
              <w:spacing w:before="0" w:after="0" w:line="240" w:lineRule="auto"/>
              <w:rPr>
                <w:rFonts w:eastAsia="Times New Roman"/>
                <w:noProof/>
              </w:rPr>
            </w:pPr>
            <w:r>
              <w:rPr>
                <w:noProof/>
              </w:rPr>
              <w:t>Entrée en vigueur du ou des actes législatifs et du ou des règlements relatifs à la mise en œuvre des services publics de protection de l’environnement</w:t>
            </w:r>
          </w:p>
        </w:tc>
        <w:tc>
          <w:tcPr>
            <w:tcW w:w="1701" w:type="dxa"/>
            <w:tcBorders>
              <w:top w:val="single" w:sz="4" w:space="0" w:color="auto"/>
              <w:left w:val="nil"/>
              <w:bottom w:val="single" w:sz="4" w:space="0" w:color="auto"/>
              <w:right w:val="single" w:sz="4" w:space="0" w:color="auto"/>
            </w:tcBorders>
            <w:shd w:val="clear" w:color="auto" w:fill="C6EFCE"/>
            <w:noWrap/>
          </w:tcPr>
          <w:p w14:paraId="16A5161D" w14:textId="57BDA27A" w:rsidR="003B6BD9" w:rsidRDefault="009E25E8">
            <w:pPr>
              <w:pStyle w:val="P68B1DB1-Normal7"/>
              <w:spacing w:before="0" w:after="0" w:line="240" w:lineRule="auto"/>
              <w:rPr>
                <w:rFonts w:eastAsia="Times New Roman"/>
                <w:noProof/>
              </w:rPr>
            </w:pPr>
            <w:r>
              <w:rPr>
                <w:noProof/>
              </w:rPr>
              <w:t>Disposition de la loi indiquant l’entrée en vigueur des dispositions légales pertinentes</w:t>
            </w:r>
          </w:p>
        </w:tc>
        <w:tc>
          <w:tcPr>
            <w:tcW w:w="1134" w:type="dxa"/>
            <w:tcBorders>
              <w:top w:val="single" w:sz="4" w:space="0" w:color="auto"/>
              <w:left w:val="nil"/>
              <w:bottom w:val="single" w:sz="4" w:space="0" w:color="auto"/>
              <w:right w:val="single" w:sz="4" w:space="0" w:color="auto"/>
            </w:tcBorders>
            <w:shd w:val="clear" w:color="auto" w:fill="C6EFCE"/>
            <w:noWrap/>
          </w:tcPr>
          <w:p w14:paraId="564E1FA8" w14:textId="7A6F0F20" w:rsidR="003B6BD9" w:rsidRDefault="009E25E8">
            <w:pPr>
              <w:pStyle w:val="P68B1DB1-Normal7"/>
              <w:spacing w:before="0" w:after="0" w:line="240" w:lineRule="auto"/>
              <w:rPr>
                <w:rFonts w:eastAsia="Times New Roman"/>
                <w:noProof/>
              </w:rPr>
            </w:pPr>
            <w:r>
              <w:rPr>
                <w:noProof/>
              </w:rPr>
              <w:t> </w:t>
            </w:r>
          </w:p>
        </w:tc>
        <w:tc>
          <w:tcPr>
            <w:tcW w:w="1002" w:type="dxa"/>
            <w:tcBorders>
              <w:top w:val="single" w:sz="4" w:space="0" w:color="auto"/>
              <w:left w:val="nil"/>
              <w:bottom w:val="single" w:sz="4" w:space="0" w:color="auto"/>
              <w:right w:val="single" w:sz="4" w:space="0" w:color="auto"/>
            </w:tcBorders>
            <w:shd w:val="clear" w:color="auto" w:fill="C6EFCE"/>
            <w:noWrap/>
          </w:tcPr>
          <w:p w14:paraId="0E21456A" w14:textId="11A42B33" w:rsidR="003B6BD9" w:rsidRDefault="009E25E8">
            <w:pPr>
              <w:pStyle w:val="P68B1DB1-Normal7"/>
              <w:spacing w:before="0" w:after="0" w:line="240" w:lineRule="auto"/>
              <w:rPr>
                <w:rFonts w:eastAsia="Times New Roman"/>
                <w:noProof/>
              </w:rPr>
            </w:pPr>
            <w:r>
              <w:rPr>
                <w:noProof/>
              </w:rPr>
              <w:t> </w:t>
            </w:r>
          </w:p>
        </w:tc>
        <w:tc>
          <w:tcPr>
            <w:tcW w:w="848" w:type="dxa"/>
            <w:tcBorders>
              <w:top w:val="single" w:sz="4" w:space="0" w:color="auto"/>
              <w:left w:val="nil"/>
              <w:bottom w:val="single" w:sz="4" w:space="0" w:color="auto"/>
              <w:right w:val="single" w:sz="4" w:space="0" w:color="auto"/>
            </w:tcBorders>
            <w:shd w:val="clear" w:color="auto" w:fill="C6EFCE"/>
            <w:noWrap/>
          </w:tcPr>
          <w:p w14:paraId="2D70B958" w14:textId="6219FEA5" w:rsidR="003B6BD9" w:rsidRDefault="009E25E8">
            <w:pPr>
              <w:pStyle w:val="P68B1DB1-Normal7"/>
              <w:spacing w:before="0" w:after="0" w:line="240" w:lineRule="auto"/>
              <w:rPr>
                <w:rFonts w:eastAsia="Times New Roman"/>
                <w:noProof/>
              </w:rPr>
            </w:pPr>
            <w:r>
              <w:rPr>
                <w:noProof/>
              </w:rPr>
              <w:t> </w:t>
            </w:r>
          </w:p>
        </w:tc>
        <w:tc>
          <w:tcPr>
            <w:tcW w:w="1051" w:type="dxa"/>
            <w:tcBorders>
              <w:top w:val="single" w:sz="4" w:space="0" w:color="auto"/>
              <w:left w:val="nil"/>
              <w:bottom w:val="single" w:sz="4" w:space="0" w:color="auto"/>
              <w:right w:val="single" w:sz="4" w:space="0" w:color="auto"/>
            </w:tcBorders>
            <w:shd w:val="clear" w:color="auto" w:fill="C6EFCE"/>
            <w:noWrap/>
          </w:tcPr>
          <w:p w14:paraId="58832388" w14:textId="1A4AE5D9" w:rsidR="003B6BD9" w:rsidRDefault="009E25E8">
            <w:pPr>
              <w:pStyle w:val="P68B1DB1-Normal7"/>
              <w:spacing w:before="0" w:after="0" w:line="240" w:lineRule="auto"/>
              <w:rPr>
                <w:rFonts w:eastAsia="Times New Roman"/>
                <w:noProof/>
              </w:rPr>
            </w:pPr>
            <w:r>
              <w:rPr>
                <w:noProof/>
              </w:rPr>
              <w:t>T4</w:t>
            </w:r>
          </w:p>
        </w:tc>
        <w:tc>
          <w:tcPr>
            <w:tcW w:w="714" w:type="dxa"/>
            <w:tcBorders>
              <w:top w:val="single" w:sz="4" w:space="0" w:color="auto"/>
              <w:left w:val="nil"/>
              <w:bottom w:val="single" w:sz="4" w:space="0" w:color="auto"/>
              <w:right w:val="single" w:sz="4" w:space="0" w:color="auto"/>
            </w:tcBorders>
            <w:shd w:val="clear" w:color="auto" w:fill="C6EFCE"/>
            <w:noWrap/>
          </w:tcPr>
          <w:p w14:paraId="39F70BF2" w14:textId="5D48F025" w:rsidR="003B6BD9" w:rsidRDefault="009E25E8">
            <w:pPr>
              <w:pStyle w:val="P68B1DB1-Normal7"/>
              <w:spacing w:before="0" w:after="0" w:line="240" w:lineRule="auto"/>
              <w:rPr>
                <w:rFonts w:eastAsia="Times New Roman"/>
                <w:noProof/>
              </w:rPr>
            </w:pPr>
            <w:r>
              <w:rPr>
                <w:noProof/>
              </w:rPr>
              <w:t>2023</w:t>
            </w:r>
          </w:p>
        </w:tc>
        <w:tc>
          <w:tcPr>
            <w:tcW w:w="3570" w:type="dxa"/>
            <w:tcBorders>
              <w:top w:val="single" w:sz="4" w:space="0" w:color="auto"/>
              <w:left w:val="nil"/>
              <w:bottom w:val="single" w:sz="4" w:space="0" w:color="auto"/>
              <w:right w:val="single" w:sz="4" w:space="0" w:color="auto"/>
            </w:tcBorders>
            <w:shd w:val="clear" w:color="auto" w:fill="C6EFCE"/>
            <w:noWrap/>
          </w:tcPr>
          <w:p w14:paraId="079CD1BF" w14:textId="2C67BC57" w:rsidR="003B6BD9" w:rsidRDefault="009E25E8">
            <w:pPr>
              <w:pStyle w:val="P68B1DB1-Normal7"/>
              <w:spacing w:before="0" w:after="0" w:line="256" w:lineRule="auto"/>
              <w:rPr>
                <w:noProof/>
              </w:rPr>
            </w:pPr>
            <w:r>
              <w:rPr>
                <w:noProof/>
              </w:rPr>
              <w:t xml:space="preserve">Les dispositions juridiques garantissent: </w:t>
            </w:r>
          </w:p>
          <w:p w14:paraId="02D966F9" w14:textId="638F32CD" w:rsidR="003B6BD9" w:rsidRDefault="009E25E8">
            <w:pPr>
              <w:pStyle w:val="P68B1DB1-Normal7"/>
              <w:spacing w:before="0" w:after="0" w:line="256" w:lineRule="auto"/>
              <w:rPr>
                <w:rFonts w:eastAsia="Times New Roman"/>
                <w:noProof/>
              </w:rPr>
            </w:pPr>
            <w:r>
              <w:rPr>
                <w:noProof/>
              </w:rPr>
              <w:t xml:space="preserve">— la viabilité à long terme du financement des investissements dans les infrastructures en examinant le rapport coût-efficacité des redevances et des prélèvements sur l’utilisation de l’eau. </w:t>
            </w:r>
          </w:p>
          <w:p w14:paraId="55922033" w14:textId="3DA92300" w:rsidR="003B6BD9" w:rsidRDefault="009E25E8">
            <w:pPr>
              <w:pStyle w:val="P68B1DB1-Normal7"/>
              <w:spacing w:before="0" w:after="0" w:line="240" w:lineRule="auto"/>
              <w:rPr>
                <w:rFonts w:eastAsia="Times New Roman"/>
                <w:noProof/>
              </w:rPr>
            </w:pPr>
            <w:r>
              <w:rPr>
                <w:noProof/>
              </w:rPr>
              <w:t>— la mise à niveau du système d’information pour le suivi et l’établissement de rapports sur l’activité des prestataires de services publics.</w:t>
            </w:r>
          </w:p>
        </w:tc>
      </w:tr>
      <w:tr w:rsidR="003B6BD9" w14:paraId="3F0D603E" w14:textId="77777777" w:rsidTr="00AC1D11">
        <w:trPr>
          <w:trHeight w:val="1424"/>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7B3EF376" w14:textId="3F70D3A3" w:rsidR="003B6BD9" w:rsidRDefault="009E25E8">
            <w:pPr>
              <w:pStyle w:val="P68B1DB1-Normal7"/>
              <w:spacing w:before="0" w:after="0" w:line="240" w:lineRule="auto"/>
              <w:rPr>
                <w:rFonts w:eastAsia="Times New Roman"/>
                <w:noProof/>
              </w:rPr>
            </w:pPr>
            <w:r>
              <w:rPr>
                <w:noProof/>
              </w:rPr>
              <w:t>50</w:t>
            </w:r>
          </w:p>
        </w:tc>
        <w:tc>
          <w:tcPr>
            <w:tcW w:w="1734" w:type="dxa"/>
            <w:tcBorders>
              <w:top w:val="single" w:sz="4" w:space="0" w:color="auto"/>
              <w:left w:val="nil"/>
              <w:bottom w:val="single" w:sz="4" w:space="0" w:color="auto"/>
              <w:right w:val="single" w:sz="4" w:space="0" w:color="auto"/>
            </w:tcBorders>
            <w:shd w:val="clear" w:color="auto" w:fill="C6EFCE"/>
            <w:noWrap/>
          </w:tcPr>
          <w:p w14:paraId="390EF087" w14:textId="2531DF5E" w:rsidR="003B6BD9" w:rsidRDefault="009E25E8">
            <w:pPr>
              <w:pStyle w:val="P68B1DB1-Normal7"/>
              <w:spacing w:before="0" w:after="0" w:line="240" w:lineRule="auto"/>
              <w:rPr>
                <w:rFonts w:eastAsia="Times New Roman"/>
                <w:noProof/>
              </w:rPr>
            </w:pPr>
            <w:r>
              <w:rPr>
                <w:noProof/>
              </w:rPr>
              <w:t>H: Autres projets de rejet et de traitement des eaux urbaines résiduaires</w:t>
            </w:r>
          </w:p>
        </w:tc>
        <w:tc>
          <w:tcPr>
            <w:tcW w:w="1146" w:type="dxa"/>
            <w:tcBorders>
              <w:top w:val="single" w:sz="4" w:space="0" w:color="auto"/>
              <w:left w:val="nil"/>
              <w:bottom w:val="single" w:sz="4" w:space="0" w:color="auto"/>
              <w:right w:val="single" w:sz="4" w:space="0" w:color="auto"/>
            </w:tcBorders>
            <w:shd w:val="clear" w:color="auto" w:fill="C6EFCE"/>
            <w:noWrap/>
          </w:tcPr>
          <w:p w14:paraId="0D2E2BDC" w14:textId="08A5BF15" w:rsidR="003B6BD9" w:rsidRDefault="009E25E8">
            <w:pPr>
              <w:pStyle w:val="P68B1DB1-Normal7"/>
              <w:spacing w:before="0" w:after="0" w:line="240" w:lineRule="auto"/>
              <w:rPr>
                <w:rFonts w:eastAsia="Times New Roman"/>
                <w:noProof/>
              </w:rPr>
            </w:pPr>
            <w:r>
              <w:rPr>
                <w:noProof/>
              </w:rPr>
              <w:t>Jalon</w:t>
            </w:r>
          </w:p>
        </w:tc>
        <w:tc>
          <w:tcPr>
            <w:tcW w:w="1830" w:type="dxa"/>
            <w:tcBorders>
              <w:top w:val="single" w:sz="4" w:space="0" w:color="auto"/>
              <w:left w:val="nil"/>
              <w:bottom w:val="single" w:sz="4" w:space="0" w:color="auto"/>
              <w:right w:val="single" w:sz="4" w:space="0" w:color="auto"/>
            </w:tcBorders>
            <w:shd w:val="clear" w:color="auto" w:fill="C6EFCE"/>
            <w:noWrap/>
          </w:tcPr>
          <w:p w14:paraId="3F554EF8" w14:textId="5231A923" w:rsidR="003B6BD9" w:rsidRDefault="009E25E8">
            <w:pPr>
              <w:pStyle w:val="P68B1DB1-Normal7"/>
              <w:spacing w:before="0" w:after="0" w:line="240" w:lineRule="auto"/>
              <w:rPr>
                <w:rFonts w:eastAsia="Times New Roman"/>
                <w:noProof/>
              </w:rPr>
            </w:pPr>
            <w:r>
              <w:rPr>
                <w:noProof/>
              </w:rPr>
              <w:t>Octroi de subventions pour des projets de rejet et de traitement des eaux urbaines résiduaires</w:t>
            </w:r>
          </w:p>
        </w:tc>
        <w:tc>
          <w:tcPr>
            <w:tcW w:w="1701" w:type="dxa"/>
            <w:tcBorders>
              <w:top w:val="single" w:sz="4" w:space="0" w:color="auto"/>
              <w:left w:val="nil"/>
              <w:bottom w:val="single" w:sz="4" w:space="0" w:color="auto"/>
              <w:right w:val="single" w:sz="4" w:space="0" w:color="auto"/>
            </w:tcBorders>
            <w:shd w:val="clear" w:color="auto" w:fill="C6EFCE"/>
            <w:noWrap/>
          </w:tcPr>
          <w:p w14:paraId="46C354D6" w14:textId="58AC39EC" w:rsidR="003B6BD9" w:rsidRDefault="009E25E8">
            <w:pPr>
              <w:pStyle w:val="P68B1DB1-Normal7"/>
              <w:spacing w:before="0" w:after="0" w:line="240" w:lineRule="auto"/>
              <w:rPr>
                <w:rFonts w:eastAsia="Times New Roman"/>
                <w:noProof/>
              </w:rPr>
            </w:pPr>
            <w:r>
              <w:rPr>
                <w:noProof/>
              </w:rPr>
              <w:t>Communication des prix</w:t>
            </w:r>
          </w:p>
        </w:tc>
        <w:tc>
          <w:tcPr>
            <w:tcW w:w="1134" w:type="dxa"/>
            <w:tcBorders>
              <w:top w:val="single" w:sz="4" w:space="0" w:color="auto"/>
              <w:left w:val="nil"/>
              <w:bottom w:val="single" w:sz="4" w:space="0" w:color="auto"/>
              <w:right w:val="single" w:sz="4" w:space="0" w:color="auto"/>
            </w:tcBorders>
            <w:shd w:val="clear" w:color="auto" w:fill="C6EFCE"/>
            <w:noWrap/>
          </w:tcPr>
          <w:p w14:paraId="4E9A804A" w14:textId="623705BF" w:rsidR="003B6BD9" w:rsidRDefault="009E25E8">
            <w:pPr>
              <w:pStyle w:val="P68B1DB1-Normal7"/>
              <w:spacing w:before="0" w:after="0" w:line="240" w:lineRule="auto"/>
              <w:rPr>
                <w:rFonts w:eastAsia="Times New Roman"/>
                <w:noProof/>
              </w:rPr>
            </w:pPr>
            <w:r>
              <w:rPr>
                <w:noProof/>
              </w:rPr>
              <w:t> </w:t>
            </w:r>
          </w:p>
        </w:tc>
        <w:tc>
          <w:tcPr>
            <w:tcW w:w="1002" w:type="dxa"/>
            <w:tcBorders>
              <w:top w:val="single" w:sz="4" w:space="0" w:color="auto"/>
              <w:left w:val="nil"/>
              <w:bottom w:val="single" w:sz="4" w:space="0" w:color="auto"/>
              <w:right w:val="single" w:sz="4" w:space="0" w:color="auto"/>
            </w:tcBorders>
            <w:shd w:val="clear" w:color="auto" w:fill="C6EFCE"/>
            <w:noWrap/>
          </w:tcPr>
          <w:p w14:paraId="18387BF7" w14:textId="73E4699E" w:rsidR="003B6BD9" w:rsidRDefault="009E25E8">
            <w:pPr>
              <w:pStyle w:val="P68B1DB1-Normal7"/>
              <w:spacing w:before="0" w:after="0" w:line="240" w:lineRule="auto"/>
              <w:rPr>
                <w:rFonts w:eastAsia="Times New Roman"/>
                <w:noProof/>
              </w:rPr>
            </w:pPr>
            <w:r>
              <w:rPr>
                <w:noProof/>
              </w:rPr>
              <w:t> </w:t>
            </w:r>
          </w:p>
        </w:tc>
        <w:tc>
          <w:tcPr>
            <w:tcW w:w="848" w:type="dxa"/>
            <w:tcBorders>
              <w:top w:val="single" w:sz="4" w:space="0" w:color="auto"/>
              <w:left w:val="nil"/>
              <w:bottom w:val="single" w:sz="4" w:space="0" w:color="auto"/>
              <w:right w:val="single" w:sz="4" w:space="0" w:color="auto"/>
            </w:tcBorders>
            <w:shd w:val="clear" w:color="auto" w:fill="C6EFCE"/>
            <w:noWrap/>
          </w:tcPr>
          <w:p w14:paraId="49F8677B" w14:textId="1CB4CE8F" w:rsidR="003B6BD9" w:rsidRDefault="009E25E8">
            <w:pPr>
              <w:pStyle w:val="P68B1DB1-Normal7"/>
              <w:spacing w:before="0" w:after="0" w:line="240" w:lineRule="auto"/>
              <w:rPr>
                <w:rFonts w:eastAsia="Times New Roman"/>
                <w:noProof/>
              </w:rPr>
            </w:pPr>
            <w:r>
              <w:rPr>
                <w:noProof/>
              </w:rPr>
              <w:t> </w:t>
            </w:r>
          </w:p>
        </w:tc>
        <w:tc>
          <w:tcPr>
            <w:tcW w:w="1051" w:type="dxa"/>
            <w:tcBorders>
              <w:top w:val="single" w:sz="4" w:space="0" w:color="auto"/>
              <w:left w:val="nil"/>
              <w:bottom w:val="single" w:sz="4" w:space="0" w:color="auto"/>
              <w:right w:val="single" w:sz="4" w:space="0" w:color="auto"/>
            </w:tcBorders>
            <w:shd w:val="clear" w:color="auto" w:fill="C6EFCE"/>
            <w:noWrap/>
          </w:tcPr>
          <w:p w14:paraId="59A6AEBA" w14:textId="5F64F6AD" w:rsidR="003B6BD9" w:rsidRDefault="009E25E8">
            <w:pPr>
              <w:pStyle w:val="P68B1DB1-Normal7"/>
              <w:spacing w:before="0" w:after="0" w:line="240" w:lineRule="auto"/>
              <w:rPr>
                <w:rFonts w:eastAsia="Times New Roman"/>
                <w:noProof/>
              </w:rPr>
            </w:pPr>
            <w:r>
              <w:rPr>
                <w:noProof/>
              </w:rPr>
              <w:t>T4</w:t>
            </w:r>
          </w:p>
        </w:tc>
        <w:tc>
          <w:tcPr>
            <w:tcW w:w="714" w:type="dxa"/>
            <w:tcBorders>
              <w:top w:val="single" w:sz="4" w:space="0" w:color="auto"/>
              <w:left w:val="nil"/>
              <w:bottom w:val="single" w:sz="4" w:space="0" w:color="auto"/>
              <w:right w:val="single" w:sz="4" w:space="0" w:color="auto"/>
            </w:tcBorders>
            <w:shd w:val="clear" w:color="auto" w:fill="C6EFCE"/>
            <w:noWrap/>
          </w:tcPr>
          <w:p w14:paraId="6A89F5A0" w14:textId="3F582390" w:rsidR="003B6BD9" w:rsidRDefault="009E25E8">
            <w:pPr>
              <w:pStyle w:val="P68B1DB1-Normal7"/>
              <w:spacing w:before="0" w:after="0" w:line="240" w:lineRule="auto"/>
              <w:rPr>
                <w:rFonts w:eastAsia="Times New Roman"/>
                <w:noProof/>
              </w:rPr>
            </w:pPr>
            <w:r>
              <w:rPr>
                <w:noProof/>
              </w:rPr>
              <w:t>2022</w:t>
            </w:r>
          </w:p>
        </w:tc>
        <w:tc>
          <w:tcPr>
            <w:tcW w:w="3570" w:type="dxa"/>
            <w:tcBorders>
              <w:top w:val="single" w:sz="4" w:space="0" w:color="auto"/>
              <w:left w:val="nil"/>
              <w:bottom w:val="single" w:sz="4" w:space="0" w:color="auto"/>
              <w:right w:val="single" w:sz="4" w:space="0" w:color="auto"/>
            </w:tcBorders>
            <w:shd w:val="clear" w:color="auto" w:fill="C6EFCE"/>
            <w:noWrap/>
          </w:tcPr>
          <w:p w14:paraId="3359278D" w14:textId="56327A8E" w:rsidR="003B6BD9" w:rsidRDefault="009E25E8">
            <w:pPr>
              <w:pStyle w:val="P68B1DB1-Normal7"/>
              <w:spacing w:before="0" w:after="0" w:line="256" w:lineRule="auto"/>
              <w:rPr>
                <w:rFonts w:eastAsia="Times New Roman"/>
                <w:noProof/>
              </w:rPr>
            </w:pPr>
            <w:r>
              <w:rPr>
                <w:noProof/>
              </w:rPr>
              <w:t>Octroi de subventions pour 10 projets de rejet et de traitement des eaux urbaines résiduaires. Les projets portent sur la reconstruction des systèmes existants afin d’accroître l’efficacité énergétique et de réduire la consommation d’électricité d’au moins 10 % et garantissent une consommation nette d’énergie nulle pour un système nouvellement construit.</w:t>
            </w:r>
          </w:p>
          <w:p w14:paraId="49A0F615" w14:textId="7E511DFC" w:rsidR="003B6BD9" w:rsidRDefault="009E25E8">
            <w:pPr>
              <w:pStyle w:val="P68B1DB1-Normal7"/>
              <w:spacing w:before="0" w:after="0" w:line="240" w:lineRule="auto"/>
              <w:rPr>
                <w:noProof/>
              </w:rPr>
            </w:pPr>
            <w:r>
              <w:rPr>
                <w:noProof/>
              </w:rPr>
              <w:t>Les projets se concentrent sur les zones de protection de la nature.</w:t>
            </w:r>
          </w:p>
        </w:tc>
      </w:tr>
      <w:tr w:rsidR="003B6BD9" w14:paraId="004E73F5" w14:textId="77777777" w:rsidTr="00AC1D11">
        <w:trPr>
          <w:trHeight w:val="1232"/>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0F1EEDB1" w14:textId="3B26BFFF" w:rsidR="003B6BD9" w:rsidRDefault="009E25E8">
            <w:pPr>
              <w:pStyle w:val="P68B1DB1-Normal7"/>
              <w:spacing w:before="0" w:after="0" w:line="240" w:lineRule="auto"/>
              <w:rPr>
                <w:rFonts w:eastAsia="Times New Roman"/>
                <w:noProof/>
              </w:rPr>
            </w:pPr>
            <w:r>
              <w:rPr>
                <w:noProof/>
              </w:rPr>
              <w:t>51</w:t>
            </w:r>
          </w:p>
        </w:tc>
        <w:tc>
          <w:tcPr>
            <w:tcW w:w="1734" w:type="dxa"/>
            <w:tcBorders>
              <w:top w:val="single" w:sz="4" w:space="0" w:color="auto"/>
              <w:left w:val="nil"/>
              <w:bottom w:val="single" w:sz="4" w:space="0" w:color="auto"/>
              <w:right w:val="single" w:sz="4" w:space="0" w:color="auto"/>
            </w:tcBorders>
            <w:shd w:val="clear" w:color="auto" w:fill="C6EFCE"/>
            <w:noWrap/>
          </w:tcPr>
          <w:p w14:paraId="30916416" w14:textId="62BC8F28" w:rsidR="003B6BD9" w:rsidRDefault="009E25E8">
            <w:pPr>
              <w:pStyle w:val="P68B1DB1-Normal7"/>
              <w:spacing w:before="0" w:after="0" w:line="240" w:lineRule="auto"/>
              <w:rPr>
                <w:rFonts w:eastAsia="Times New Roman"/>
                <w:noProof/>
              </w:rPr>
            </w:pPr>
            <w:r>
              <w:rPr>
                <w:noProof/>
              </w:rPr>
              <w:t>H: Autres projets de rejet et de traitement des eaux urbaines résiduaires</w:t>
            </w:r>
          </w:p>
        </w:tc>
        <w:tc>
          <w:tcPr>
            <w:tcW w:w="1146" w:type="dxa"/>
            <w:tcBorders>
              <w:top w:val="single" w:sz="4" w:space="0" w:color="auto"/>
              <w:left w:val="nil"/>
              <w:bottom w:val="single" w:sz="4" w:space="0" w:color="auto"/>
              <w:right w:val="single" w:sz="4" w:space="0" w:color="auto"/>
            </w:tcBorders>
            <w:shd w:val="clear" w:color="auto" w:fill="C6EFCE"/>
            <w:noWrap/>
          </w:tcPr>
          <w:p w14:paraId="54B97017" w14:textId="1E8C2038" w:rsidR="003B6BD9" w:rsidRDefault="009E25E8">
            <w:pPr>
              <w:pStyle w:val="P68B1DB1-Normal7"/>
              <w:spacing w:before="0" w:after="0" w:line="240" w:lineRule="auto"/>
              <w:rPr>
                <w:rFonts w:eastAsia="Times New Roman"/>
                <w:noProof/>
              </w:rPr>
            </w:pPr>
            <w:r>
              <w:rPr>
                <w:noProof/>
              </w:rPr>
              <w:t>Cible</w:t>
            </w:r>
          </w:p>
        </w:tc>
        <w:tc>
          <w:tcPr>
            <w:tcW w:w="1830" w:type="dxa"/>
            <w:tcBorders>
              <w:top w:val="single" w:sz="4" w:space="0" w:color="auto"/>
              <w:left w:val="nil"/>
              <w:bottom w:val="single" w:sz="4" w:space="0" w:color="auto"/>
              <w:right w:val="single" w:sz="4" w:space="0" w:color="auto"/>
            </w:tcBorders>
            <w:shd w:val="clear" w:color="auto" w:fill="C6EFCE"/>
            <w:noWrap/>
          </w:tcPr>
          <w:p w14:paraId="690E02DC" w14:textId="6E298E81" w:rsidR="003B6BD9" w:rsidRDefault="009E25E8">
            <w:pPr>
              <w:pStyle w:val="P68B1DB1-Normal7"/>
              <w:spacing w:before="0" w:after="0" w:line="240" w:lineRule="auto"/>
              <w:rPr>
                <w:rFonts w:eastAsia="Times New Roman"/>
                <w:noProof/>
              </w:rPr>
            </w:pPr>
            <w:r>
              <w:rPr>
                <w:noProof/>
              </w:rPr>
              <w:t>Nombre de nouveaux systèmes de traitement des eaux usées construits ou de systèmes existants reconstruits</w:t>
            </w:r>
          </w:p>
        </w:tc>
        <w:tc>
          <w:tcPr>
            <w:tcW w:w="1701" w:type="dxa"/>
            <w:tcBorders>
              <w:top w:val="single" w:sz="4" w:space="0" w:color="auto"/>
              <w:left w:val="nil"/>
              <w:bottom w:val="single" w:sz="4" w:space="0" w:color="auto"/>
              <w:right w:val="single" w:sz="4" w:space="0" w:color="auto"/>
            </w:tcBorders>
            <w:shd w:val="clear" w:color="auto" w:fill="C6EFCE"/>
            <w:noWrap/>
          </w:tcPr>
          <w:p w14:paraId="5990B053" w14:textId="64DEAE33" w:rsidR="003B6BD9" w:rsidRDefault="009E25E8">
            <w:pPr>
              <w:pStyle w:val="P68B1DB1-Normal7"/>
              <w:spacing w:before="0" w:after="0" w:line="240" w:lineRule="auto"/>
              <w:rPr>
                <w:rFonts w:eastAsia="Times New Roman"/>
                <w:noProof/>
              </w:rPr>
            </w:pPr>
            <w:r>
              <w:rPr>
                <w:noProof/>
              </w:rPr>
              <w:t> </w:t>
            </w:r>
          </w:p>
        </w:tc>
        <w:tc>
          <w:tcPr>
            <w:tcW w:w="1134" w:type="dxa"/>
            <w:tcBorders>
              <w:top w:val="single" w:sz="4" w:space="0" w:color="auto"/>
              <w:left w:val="nil"/>
              <w:bottom w:val="single" w:sz="4" w:space="0" w:color="auto"/>
              <w:right w:val="single" w:sz="4" w:space="0" w:color="auto"/>
            </w:tcBorders>
            <w:shd w:val="clear" w:color="auto" w:fill="C6EFCE"/>
            <w:noWrap/>
          </w:tcPr>
          <w:p w14:paraId="1EC94A67" w14:textId="4DCDB784" w:rsidR="003B6BD9" w:rsidRDefault="009E25E8">
            <w:pPr>
              <w:pStyle w:val="P68B1DB1-Normal7"/>
              <w:spacing w:before="0" w:after="0" w:line="240" w:lineRule="auto"/>
              <w:rPr>
                <w:rFonts w:eastAsia="Times New Roman"/>
                <w:noProof/>
              </w:rPr>
            </w:pPr>
            <w:r>
              <w:rPr>
                <w:noProof/>
              </w:rPr>
              <w:t>Nombre</w:t>
            </w:r>
          </w:p>
        </w:tc>
        <w:tc>
          <w:tcPr>
            <w:tcW w:w="1002" w:type="dxa"/>
            <w:tcBorders>
              <w:top w:val="single" w:sz="4" w:space="0" w:color="auto"/>
              <w:left w:val="nil"/>
              <w:bottom w:val="single" w:sz="4" w:space="0" w:color="auto"/>
              <w:right w:val="single" w:sz="4" w:space="0" w:color="auto"/>
            </w:tcBorders>
            <w:shd w:val="clear" w:color="auto" w:fill="C6EFCE"/>
            <w:noWrap/>
          </w:tcPr>
          <w:p w14:paraId="2B381AA0" w14:textId="680611DA" w:rsidR="003B6BD9" w:rsidRDefault="009E25E8">
            <w:pPr>
              <w:pStyle w:val="P68B1DB1-Normal7"/>
              <w:spacing w:before="0" w:after="0" w:line="240" w:lineRule="auto"/>
              <w:rPr>
                <w:rFonts w:eastAsia="Times New Roman"/>
                <w:noProof/>
              </w:rPr>
            </w:pPr>
            <w:r>
              <w:rPr>
                <w:noProof/>
              </w:rPr>
              <w:t>0</w:t>
            </w:r>
          </w:p>
        </w:tc>
        <w:tc>
          <w:tcPr>
            <w:tcW w:w="848" w:type="dxa"/>
            <w:tcBorders>
              <w:top w:val="single" w:sz="4" w:space="0" w:color="auto"/>
              <w:left w:val="nil"/>
              <w:bottom w:val="single" w:sz="4" w:space="0" w:color="auto"/>
              <w:right w:val="single" w:sz="4" w:space="0" w:color="auto"/>
            </w:tcBorders>
            <w:shd w:val="clear" w:color="auto" w:fill="C6EFCE"/>
            <w:noWrap/>
          </w:tcPr>
          <w:p w14:paraId="2262315C" w14:textId="4BE7BC4D" w:rsidR="003B6BD9" w:rsidRDefault="009E25E8">
            <w:pPr>
              <w:pStyle w:val="P68B1DB1-Normal7"/>
              <w:spacing w:before="0" w:after="0" w:line="240" w:lineRule="auto"/>
              <w:rPr>
                <w:rFonts w:eastAsia="Times New Roman"/>
                <w:noProof/>
              </w:rPr>
            </w:pPr>
            <w:r>
              <w:rPr>
                <w:noProof/>
              </w:rPr>
              <w:t>10</w:t>
            </w:r>
          </w:p>
        </w:tc>
        <w:tc>
          <w:tcPr>
            <w:tcW w:w="1051" w:type="dxa"/>
            <w:tcBorders>
              <w:top w:val="single" w:sz="4" w:space="0" w:color="auto"/>
              <w:left w:val="nil"/>
              <w:bottom w:val="single" w:sz="4" w:space="0" w:color="auto"/>
              <w:right w:val="single" w:sz="4" w:space="0" w:color="auto"/>
            </w:tcBorders>
            <w:shd w:val="clear" w:color="auto" w:fill="C6EFCE"/>
            <w:noWrap/>
          </w:tcPr>
          <w:p w14:paraId="2C0C69F8" w14:textId="142FA33A" w:rsidR="003B6BD9" w:rsidRDefault="009E25E8">
            <w:pPr>
              <w:pStyle w:val="P68B1DB1-Normal7"/>
              <w:spacing w:before="0" w:after="0" w:line="240" w:lineRule="auto"/>
              <w:rPr>
                <w:rFonts w:eastAsia="Times New Roman"/>
                <w:noProof/>
              </w:rPr>
            </w:pPr>
            <w:r>
              <w:rPr>
                <w:noProof/>
              </w:rPr>
              <w:t>T2</w:t>
            </w:r>
          </w:p>
        </w:tc>
        <w:tc>
          <w:tcPr>
            <w:tcW w:w="714" w:type="dxa"/>
            <w:tcBorders>
              <w:top w:val="single" w:sz="4" w:space="0" w:color="auto"/>
              <w:left w:val="nil"/>
              <w:bottom w:val="single" w:sz="4" w:space="0" w:color="auto"/>
              <w:right w:val="single" w:sz="4" w:space="0" w:color="auto"/>
            </w:tcBorders>
            <w:shd w:val="clear" w:color="auto" w:fill="C6EFCE"/>
            <w:noWrap/>
          </w:tcPr>
          <w:p w14:paraId="734A16DF" w14:textId="0295A5F7" w:rsidR="003B6BD9" w:rsidRDefault="009E25E8">
            <w:pPr>
              <w:pStyle w:val="P68B1DB1-Normal7"/>
              <w:spacing w:before="0" w:after="0" w:line="240" w:lineRule="auto"/>
              <w:rPr>
                <w:rFonts w:eastAsia="Times New Roman"/>
                <w:noProof/>
              </w:rPr>
            </w:pPr>
            <w:r>
              <w:rPr>
                <w:noProof/>
              </w:rPr>
              <w:t>2026</w:t>
            </w:r>
          </w:p>
        </w:tc>
        <w:tc>
          <w:tcPr>
            <w:tcW w:w="3570" w:type="dxa"/>
            <w:tcBorders>
              <w:top w:val="single" w:sz="4" w:space="0" w:color="auto"/>
              <w:left w:val="nil"/>
              <w:bottom w:val="single" w:sz="4" w:space="0" w:color="auto"/>
              <w:right w:val="single" w:sz="4" w:space="0" w:color="auto"/>
            </w:tcBorders>
            <w:shd w:val="clear" w:color="auto" w:fill="C6EFCE"/>
            <w:noWrap/>
          </w:tcPr>
          <w:p w14:paraId="7C5C69A9" w14:textId="5B066D28" w:rsidR="003B6BD9" w:rsidRDefault="009E25E8">
            <w:pPr>
              <w:pStyle w:val="P68B1DB1-Normal7"/>
              <w:spacing w:before="0" w:after="0" w:line="240" w:lineRule="auto"/>
              <w:rPr>
                <w:rFonts w:eastAsia="Times New Roman"/>
                <w:noProof/>
              </w:rPr>
            </w:pPr>
            <w:r>
              <w:rPr>
                <w:noProof/>
              </w:rPr>
              <w:t>Construction de nouveaux systèmes de traitement des eaux usées ou reconstruction des systèmes de traitement des eaux usées existants.</w:t>
            </w:r>
          </w:p>
        </w:tc>
      </w:tr>
      <w:tr w:rsidR="003B6BD9" w14:paraId="36B2F446" w14:textId="77777777" w:rsidTr="00AC1D11">
        <w:trPr>
          <w:trHeight w:val="1532"/>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195F12C8" w14:textId="7AD18899" w:rsidR="003B6BD9" w:rsidRDefault="009E25E8">
            <w:pPr>
              <w:pStyle w:val="P68B1DB1-Normal7"/>
              <w:spacing w:before="0" w:after="0" w:line="240" w:lineRule="auto"/>
              <w:rPr>
                <w:rFonts w:eastAsia="Times New Roman"/>
                <w:noProof/>
              </w:rPr>
            </w:pPr>
            <w:r>
              <w:rPr>
                <w:noProof/>
              </w:rPr>
              <w:t>52</w:t>
            </w:r>
          </w:p>
        </w:tc>
        <w:tc>
          <w:tcPr>
            <w:tcW w:w="1734" w:type="dxa"/>
            <w:tcBorders>
              <w:top w:val="single" w:sz="4" w:space="0" w:color="auto"/>
              <w:left w:val="nil"/>
              <w:bottom w:val="single" w:sz="4" w:space="0" w:color="auto"/>
              <w:right w:val="single" w:sz="4" w:space="0" w:color="auto"/>
            </w:tcBorders>
            <w:shd w:val="clear" w:color="auto" w:fill="C6EFCE"/>
            <w:noWrap/>
          </w:tcPr>
          <w:p w14:paraId="6F603E99" w14:textId="53724885" w:rsidR="003B6BD9" w:rsidRDefault="009E25E8">
            <w:pPr>
              <w:pStyle w:val="P68B1DB1-Normal7"/>
              <w:spacing w:before="0" w:after="0" w:line="240" w:lineRule="auto"/>
              <w:rPr>
                <w:rFonts w:eastAsia="Times New Roman"/>
                <w:noProof/>
              </w:rPr>
            </w:pPr>
            <w:r>
              <w:rPr>
                <w:noProof/>
              </w:rPr>
              <w:t>I: Autres projets d’approvisionnement en eau potable et d’économies d’eau</w:t>
            </w:r>
          </w:p>
        </w:tc>
        <w:tc>
          <w:tcPr>
            <w:tcW w:w="1146" w:type="dxa"/>
            <w:tcBorders>
              <w:top w:val="single" w:sz="4" w:space="0" w:color="auto"/>
              <w:left w:val="nil"/>
              <w:bottom w:val="single" w:sz="4" w:space="0" w:color="auto"/>
              <w:right w:val="single" w:sz="4" w:space="0" w:color="auto"/>
            </w:tcBorders>
            <w:shd w:val="clear" w:color="auto" w:fill="C6EFCE"/>
            <w:noWrap/>
          </w:tcPr>
          <w:p w14:paraId="5A4E5969" w14:textId="625508BB" w:rsidR="003B6BD9" w:rsidRDefault="009E25E8">
            <w:pPr>
              <w:pStyle w:val="P68B1DB1-Normal7"/>
              <w:spacing w:before="0" w:after="0" w:line="240" w:lineRule="auto"/>
              <w:rPr>
                <w:rFonts w:eastAsia="Times New Roman"/>
                <w:noProof/>
              </w:rPr>
            </w:pPr>
            <w:r>
              <w:rPr>
                <w:noProof/>
              </w:rPr>
              <w:t>Jalon</w:t>
            </w:r>
          </w:p>
        </w:tc>
        <w:tc>
          <w:tcPr>
            <w:tcW w:w="1830" w:type="dxa"/>
            <w:tcBorders>
              <w:top w:val="single" w:sz="4" w:space="0" w:color="auto"/>
              <w:left w:val="nil"/>
              <w:bottom w:val="single" w:sz="4" w:space="0" w:color="auto"/>
              <w:right w:val="single" w:sz="4" w:space="0" w:color="auto"/>
            </w:tcBorders>
            <w:shd w:val="clear" w:color="auto" w:fill="C6EFCE"/>
            <w:noWrap/>
          </w:tcPr>
          <w:p w14:paraId="0AC8E54B" w14:textId="6994876E" w:rsidR="003B6BD9" w:rsidRDefault="009E25E8">
            <w:pPr>
              <w:pStyle w:val="P68B1DB1-Normal7"/>
              <w:spacing w:before="0" w:after="0" w:line="240" w:lineRule="auto"/>
              <w:rPr>
                <w:rFonts w:eastAsia="Times New Roman"/>
                <w:noProof/>
              </w:rPr>
            </w:pPr>
            <w:r>
              <w:rPr>
                <w:noProof/>
              </w:rPr>
              <w:t>Octroi de subventions pour des projets d’approvisionnement en eau potable</w:t>
            </w:r>
          </w:p>
        </w:tc>
        <w:tc>
          <w:tcPr>
            <w:tcW w:w="1701" w:type="dxa"/>
            <w:tcBorders>
              <w:top w:val="single" w:sz="4" w:space="0" w:color="auto"/>
              <w:left w:val="nil"/>
              <w:bottom w:val="single" w:sz="4" w:space="0" w:color="auto"/>
              <w:right w:val="single" w:sz="4" w:space="0" w:color="auto"/>
            </w:tcBorders>
            <w:shd w:val="clear" w:color="auto" w:fill="C6EFCE"/>
            <w:noWrap/>
          </w:tcPr>
          <w:p w14:paraId="5811210C" w14:textId="2833EEF7" w:rsidR="003B6BD9" w:rsidRDefault="009E25E8">
            <w:pPr>
              <w:pStyle w:val="P68B1DB1-Normal7"/>
              <w:spacing w:before="0" w:after="0" w:line="240" w:lineRule="auto"/>
              <w:rPr>
                <w:rFonts w:eastAsia="Times New Roman"/>
                <w:noProof/>
              </w:rPr>
            </w:pPr>
            <w:r>
              <w:rPr>
                <w:noProof/>
              </w:rPr>
              <w:t>Communication des prix</w:t>
            </w:r>
          </w:p>
        </w:tc>
        <w:tc>
          <w:tcPr>
            <w:tcW w:w="1134" w:type="dxa"/>
            <w:tcBorders>
              <w:top w:val="single" w:sz="4" w:space="0" w:color="auto"/>
              <w:left w:val="nil"/>
              <w:bottom w:val="single" w:sz="4" w:space="0" w:color="auto"/>
              <w:right w:val="single" w:sz="4" w:space="0" w:color="auto"/>
            </w:tcBorders>
            <w:shd w:val="clear" w:color="auto" w:fill="C6EFCE"/>
            <w:noWrap/>
          </w:tcPr>
          <w:p w14:paraId="242DA90B" w14:textId="6B634854" w:rsidR="003B6BD9" w:rsidRDefault="009E25E8">
            <w:pPr>
              <w:pStyle w:val="P68B1DB1-Normal7"/>
              <w:spacing w:before="0" w:after="0" w:line="240" w:lineRule="auto"/>
              <w:rPr>
                <w:rFonts w:eastAsia="Times New Roman"/>
                <w:noProof/>
              </w:rPr>
            </w:pPr>
            <w:r>
              <w:rPr>
                <w:noProof/>
              </w:rPr>
              <w:t> </w:t>
            </w:r>
          </w:p>
        </w:tc>
        <w:tc>
          <w:tcPr>
            <w:tcW w:w="1002" w:type="dxa"/>
            <w:tcBorders>
              <w:top w:val="single" w:sz="4" w:space="0" w:color="auto"/>
              <w:left w:val="nil"/>
              <w:bottom w:val="single" w:sz="4" w:space="0" w:color="auto"/>
              <w:right w:val="single" w:sz="4" w:space="0" w:color="auto"/>
            </w:tcBorders>
            <w:shd w:val="clear" w:color="auto" w:fill="C6EFCE"/>
            <w:noWrap/>
          </w:tcPr>
          <w:p w14:paraId="06BAE31E" w14:textId="5ADAAD1C" w:rsidR="003B6BD9" w:rsidRDefault="009E25E8">
            <w:pPr>
              <w:pStyle w:val="P68B1DB1-Normal7"/>
              <w:spacing w:before="0" w:after="0" w:line="240" w:lineRule="auto"/>
              <w:rPr>
                <w:rFonts w:eastAsia="Times New Roman"/>
                <w:noProof/>
              </w:rPr>
            </w:pPr>
            <w:r>
              <w:rPr>
                <w:noProof/>
              </w:rPr>
              <w:t> </w:t>
            </w:r>
          </w:p>
        </w:tc>
        <w:tc>
          <w:tcPr>
            <w:tcW w:w="848" w:type="dxa"/>
            <w:tcBorders>
              <w:top w:val="single" w:sz="4" w:space="0" w:color="auto"/>
              <w:left w:val="nil"/>
              <w:bottom w:val="single" w:sz="4" w:space="0" w:color="auto"/>
              <w:right w:val="single" w:sz="4" w:space="0" w:color="auto"/>
            </w:tcBorders>
            <w:shd w:val="clear" w:color="auto" w:fill="C6EFCE"/>
            <w:noWrap/>
          </w:tcPr>
          <w:p w14:paraId="4AA79A63" w14:textId="122FE8E9" w:rsidR="003B6BD9" w:rsidRDefault="009E25E8">
            <w:pPr>
              <w:pStyle w:val="P68B1DB1-Normal7"/>
              <w:spacing w:before="0" w:after="0" w:line="240" w:lineRule="auto"/>
              <w:rPr>
                <w:rFonts w:eastAsia="Times New Roman"/>
                <w:noProof/>
              </w:rPr>
            </w:pPr>
            <w:r>
              <w:rPr>
                <w:noProof/>
              </w:rPr>
              <w:t> </w:t>
            </w:r>
          </w:p>
        </w:tc>
        <w:tc>
          <w:tcPr>
            <w:tcW w:w="1051" w:type="dxa"/>
            <w:tcBorders>
              <w:top w:val="single" w:sz="4" w:space="0" w:color="auto"/>
              <w:left w:val="nil"/>
              <w:bottom w:val="single" w:sz="4" w:space="0" w:color="auto"/>
              <w:right w:val="single" w:sz="4" w:space="0" w:color="auto"/>
            </w:tcBorders>
            <w:shd w:val="clear" w:color="auto" w:fill="C6EFCE"/>
            <w:noWrap/>
          </w:tcPr>
          <w:p w14:paraId="1ADAB36A" w14:textId="5306EF09" w:rsidR="003B6BD9" w:rsidRDefault="009E25E8">
            <w:pPr>
              <w:pStyle w:val="P68B1DB1-Normal7"/>
              <w:spacing w:before="0" w:after="0" w:line="240" w:lineRule="auto"/>
              <w:rPr>
                <w:rFonts w:eastAsia="Times New Roman"/>
                <w:noProof/>
              </w:rPr>
            </w:pPr>
            <w:r>
              <w:rPr>
                <w:noProof/>
              </w:rPr>
              <w:t>T4</w:t>
            </w:r>
          </w:p>
        </w:tc>
        <w:tc>
          <w:tcPr>
            <w:tcW w:w="714" w:type="dxa"/>
            <w:tcBorders>
              <w:top w:val="single" w:sz="4" w:space="0" w:color="auto"/>
              <w:left w:val="nil"/>
              <w:bottom w:val="single" w:sz="4" w:space="0" w:color="auto"/>
              <w:right w:val="single" w:sz="4" w:space="0" w:color="auto"/>
            </w:tcBorders>
            <w:shd w:val="clear" w:color="auto" w:fill="C6EFCE"/>
            <w:noWrap/>
          </w:tcPr>
          <w:p w14:paraId="5321AF1E" w14:textId="4C0D158B" w:rsidR="003B6BD9" w:rsidRDefault="009E25E8">
            <w:pPr>
              <w:pStyle w:val="P68B1DB1-Normal7"/>
              <w:spacing w:before="0" w:after="0" w:line="240" w:lineRule="auto"/>
              <w:rPr>
                <w:rFonts w:eastAsia="Times New Roman"/>
                <w:noProof/>
              </w:rPr>
            </w:pPr>
            <w:r>
              <w:rPr>
                <w:noProof/>
              </w:rPr>
              <w:t>2022</w:t>
            </w:r>
          </w:p>
        </w:tc>
        <w:tc>
          <w:tcPr>
            <w:tcW w:w="3570" w:type="dxa"/>
            <w:tcBorders>
              <w:top w:val="single" w:sz="4" w:space="0" w:color="auto"/>
              <w:left w:val="nil"/>
              <w:bottom w:val="single" w:sz="4" w:space="0" w:color="auto"/>
              <w:right w:val="single" w:sz="4" w:space="0" w:color="auto"/>
            </w:tcBorders>
            <w:shd w:val="clear" w:color="auto" w:fill="C6EFCE"/>
            <w:noWrap/>
          </w:tcPr>
          <w:p w14:paraId="4E47E1EC" w14:textId="71108175" w:rsidR="003B6BD9" w:rsidRDefault="009E25E8">
            <w:pPr>
              <w:pStyle w:val="P68B1DB1-Normal7"/>
              <w:spacing w:before="0" w:after="0" w:line="240" w:lineRule="auto"/>
              <w:rPr>
                <w:noProof/>
              </w:rPr>
            </w:pPr>
            <w:r>
              <w:rPr>
                <w:noProof/>
              </w:rPr>
              <w:t xml:space="preserve">Octroi de subventions pour des projets d’approvisionnement en eau potable. Les projets portent sur la reconstruction des systèmes existants afin d’accroître l’efficacité énergétique et de réduire la consommation d’électricité d’au moins 10 %, et garantissent qu’un système nouvellement construit a une consommation d’énergie moyenne inférieure ou égale à 0,5 kWh ou un ILI de 1.5 ou moins. </w:t>
            </w:r>
          </w:p>
        </w:tc>
      </w:tr>
      <w:tr w:rsidR="003B6BD9" w14:paraId="4D540818" w14:textId="77777777" w:rsidTr="00AC1D11">
        <w:trPr>
          <w:trHeight w:val="1424"/>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66148C28" w14:textId="011E3A57" w:rsidR="003B6BD9" w:rsidRDefault="009E25E8">
            <w:pPr>
              <w:pStyle w:val="P68B1DB1-Normal7"/>
              <w:spacing w:before="0" w:after="0" w:line="240" w:lineRule="auto"/>
              <w:rPr>
                <w:rFonts w:eastAsia="Times New Roman"/>
                <w:noProof/>
              </w:rPr>
            </w:pPr>
            <w:r>
              <w:rPr>
                <w:noProof/>
              </w:rPr>
              <w:t>53</w:t>
            </w:r>
          </w:p>
        </w:tc>
        <w:tc>
          <w:tcPr>
            <w:tcW w:w="1734" w:type="dxa"/>
            <w:tcBorders>
              <w:top w:val="single" w:sz="4" w:space="0" w:color="auto"/>
              <w:left w:val="nil"/>
              <w:bottom w:val="single" w:sz="4" w:space="0" w:color="auto"/>
              <w:right w:val="single" w:sz="4" w:space="0" w:color="auto"/>
            </w:tcBorders>
            <w:shd w:val="clear" w:color="auto" w:fill="C6EFCE"/>
            <w:noWrap/>
          </w:tcPr>
          <w:p w14:paraId="3D51CBF9" w14:textId="7FB0C3EA" w:rsidR="003B6BD9" w:rsidRDefault="009E25E8">
            <w:pPr>
              <w:pStyle w:val="P68B1DB1-Normal7"/>
              <w:spacing w:before="0" w:after="0" w:line="240" w:lineRule="auto"/>
              <w:rPr>
                <w:rFonts w:eastAsia="Times New Roman"/>
                <w:noProof/>
              </w:rPr>
            </w:pPr>
            <w:r>
              <w:rPr>
                <w:noProof/>
              </w:rPr>
              <w:t>I: Autres projets d’approvisionnement en eau potable et d’économies d’eau</w:t>
            </w:r>
          </w:p>
        </w:tc>
        <w:tc>
          <w:tcPr>
            <w:tcW w:w="1146" w:type="dxa"/>
            <w:tcBorders>
              <w:top w:val="single" w:sz="4" w:space="0" w:color="auto"/>
              <w:left w:val="nil"/>
              <w:bottom w:val="single" w:sz="4" w:space="0" w:color="auto"/>
              <w:right w:val="single" w:sz="4" w:space="0" w:color="auto"/>
            </w:tcBorders>
            <w:shd w:val="clear" w:color="auto" w:fill="C6EFCE"/>
            <w:noWrap/>
          </w:tcPr>
          <w:p w14:paraId="060AE973" w14:textId="3B58DD92" w:rsidR="003B6BD9" w:rsidRDefault="009E25E8">
            <w:pPr>
              <w:pStyle w:val="P68B1DB1-Normal7"/>
              <w:spacing w:before="0" w:after="0" w:line="240" w:lineRule="auto"/>
              <w:rPr>
                <w:rFonts w:eastAsia="Times New Roman"/>
                <w:noProof/>
              </w:rPr>
            </w:pPr>
            <w:r>
              <w:rPr>
                <w:noProof/>
              </w:rPr>
              <w:t>Cible</w:t>
            </w:r>
          </w:p>
        </w:tc>
        <w:tc>
          <w:tcPr>
            <w:tcW w:w="1830" w:type="dxa"/>
            <w:tcBorders>
              <w:top w:val="single" w:sz="4" w:space="0" w:color="auto"/>
              <w:left w:val="nil"/>
              <w:bottom w:val="single" w:sz="4" w:space="0" w:color="auto"/>
              <w:right w:val="single" w:sz="4" w:space="0" w:color="auto"/>
            </w:tcBorders>
            <w:shd w:val="clear" w:color="auto" w:fill="C6EFCE"/>
            <w:noWrap/>
          </w:tcPr>
          <w:p w14:paraId="6BAA9A05" w14:textId="491A5D91" w:rsidR="003B6BD9" w:rsidRDefault="009E25E8">
            <w:pPr>
              <w:pStyle w:val="P68B1DB1-Normal7"/>
              <w:spacing w:before="0" w:after="0" w:line="240" w:lineRule="auto"/>
              <w:rPr>
                <w:rFonts w:eastAsia="Times New Roman"/>
                <w:noProof/>
              </w:rPr>
            </w:pPr>
            <w:r>
              <w:rPr>
                <w:noProof/>
              </w:rPr>
              <w:t>Nombre de nouveaux systèmes d’approvisionnement en eau potable construits ou de systèmes d’approvisionnement en eau potable existants reconstruits</w:t>
            </w:r>
          </w:p>
        </w:tc>
        <w:tc>
          <w:tcPr>
            <w:tcW w:w="1701" w:type="dxa"/>
            <w:tcBorders>
              <w:top w:val="single" w:sz="4" w:space="0" w:color="auto"/>
              <w:left w:val="nil"/>
              <w:bottom w:val="single" w:sz="4" w:space="0" w:color="auto"/>
              <w:right w:val="single" w:sz="4" w:space="0" w:color="auto"/>
            </w:tcBorders>
            <w:shd w:val="clear" w:color="auto" w:fill="C6EFCE"/>
            <w:noWrap/>
          </w:tcPr>
          <w:p w14:paraId="0AE3A955" w14:textId="370B8CC1" w:rsidR="003B6BD9" w:rsidRDefault="009E25E8">
            <w:pPr>
              <w:pStyle w:val="P68B1DB1-Normal7"/>
              <w:spacing w:before="0" w:after="0" w:line="240" w:lineRule="auto"/>
              <w:rPr>
                <w:rFonts w:eastAsia="Times New Roman"/>
                <w:noProof/>
              </w:rPr>
            </w:pPr>
            <w:r>
              <w:rPr>
                <w:noProof/>
              </w:rPr>
              <w:t> </w:t>
            </w:r>
          </w:p>
        </w:tc>
        <w:tc>
          <w:tcPr>
            <w:tcW w:w="1134" w:type="dxa"/>
            <w:tcBorders>
              <w:top w:val="single" w:sz="4" w:space="0" w:color="auto"/>
              <w:left w:val="nil"/>
              <w:bottom w:val="single" w:sz="4" w:space="0" w:color="auto"/>
              <w:right w:val="single" w:sz="4" w:space="0" w:color="auto"/>
            </w:tcBorders>
            <w:shd w:val="clear" w:color="auto" w:fill="C6EFCE"/>
            <w:noWrap/>
          </w:tcPr>
          <w:p w14:paraId="5AE3CA90" w14:textId="512394EA" w:rsidR="003B6BD9" w:rsidRDefault="009E25E8">
            <w:pPr>
              <w:pStyle w:val="P68B1DB1-Normal7"/>
              <w:spacing w:before="0" w:after="0" w:line="240" w:lineRule="auto"/>
              <w:rPr>
                <w:rFonts w:eastAsia="Times New Roman"/>
                <w:noProof/>
              </w:rPr>
            </w:pPr>
            <w:r>
              <w:rPr>
                <w:noProof/>
              </w:rPr>
              <w:t>Nombre</w:t>
            </w:r>
          </w:p>
        </w:tc>
        <w:tc>
          <w:tcPr>
            <w:tcW w:w="1002" w:type="dxa"/>
            <w:tcBorders>
              <w:top w:val="single" w:sz="4" w:space="0" w:color="auto"/>
              <w:left w:val="nil"/>
              <w:bottom w:val="single" w:sz="4" w:space="0" w:color="auto"/>
              <w:right w:val="single" w:sz="4" w:space="0" w:color="auto"/>
            </w:tcBorders>
            <w:shd w:val="clear" w:color="auto" w:fill="C6EFCE"/>
            <w:noWrap/>
          </w:tcPr>
          <w:p w14:paraId="6FDEE85A" w14:textId="5D14B5D0" w:rsidR="003B6BD9" w:rsidRDefault="009E25E8">
            <w:pPr>
              <w:pStyle w:val="P68B1DB1-Normal7"/>
              <w:spacing w:before="0" w:after="0" w:line="240" w:lineRule="auto"/>
              <w:rPr>
                <w:rFonts w:eastAsia="Times New Roman"/>
                <w:noProof/>
              </w:rPr>
            </w:pPr>
            <w:r>
              <w:rPr>
                <w:noProof/>
              </w:rPr>
              <w:t>0</w:t>
            </w:r>
          </w:p>
        </w:tc>
        <w:tc>
          <w:tcPr>
            <w:tcW w:w="848" w:type="dxa"/>
            <w:tcBorders>
              <w:top w:val="single" w:sz="4" w:space="0" w:color="auto"/>
              <w:left w:val="nil"/>
              <w:bottom w:val="single" w:sz="4" w:space="0" w:color="auto"/>
              <w:right w:val="single" w:sz="4" w:space="0" w:color="auto"/>
            </w:tcBorders>
            <w:shd w:val="clear" w:color="auto" w:fill="C6EFCE"/>
            <w:noWrap/>
          </w:tcPr>
          <w:p w14:paraId="5584B011" w14:textId="7E8FE079" w:rsidR="003B6BD9" w:rsidRDefault="009E25E8">
            <w:pPr>
              <w:pStyle w:val="P68B1DB1-Normal7"/>
              <w:spacing w:before="0" w:after="0" w:line="240" w:lineRule="auto"/>
              <w:rPr>
                <w:rFonts w:eastAsia="Times New Roman"/>
                <w:noProof/>
              </w:rPr>
            </w:pPr>
            <w:r>
              <w:rPr>
                <w:noProof/>
              </w:rPr>
              <w:t>10</w:t>
            </w:r>
          </w:p>
        </w:tc>
        <w:tc>
          <w:tcPr>
            <w:tcW w:w="1051" w:type="dxa"/>
            <w:tcBorders>
              <w:top w:val="single" w:sz="4" w:space="0" w:color="auto"/>
              <w:left w:val="nil"/>
              <w:bottom w:val="single" w:sz="4" w:space="0" w:color="auto"/>
              <w:right w:val="single" w:sz="4" w:space="0" w:color="auto"/>
            </w:tcBorders>
            <w:shd w:val="clear" w:color="auto" w:fill="C6EFCE"/>
            <w:noWrap/>
          </w:tcPr>
          <w:p w14:paraId="5E636141" w14:textId="70A38215" w:rsidR="003B6BD9" w:rsidRDefault="009E25E8">
            <w:pPr>
              <w:pStyle w:val="P68B1DB1-Normal7"/>
              <w:spacing w:before="0" w:after="0" w:line="240" w:lineRule="auto"/>
              <w:rPr>
                <w:rFonts w:eastAsia="Times New Roman"/>
                <w:noProof/>
              </w:rPr>
            </w:pPr>
            <w:r>
              <w:rPr>
                <w:noProof/>
              </w:rPr>
              <w:t>T2</w:t>
            </w:r>
          </w:p>
        </w:tc>
        <w:tc>
          <w:tcPr>
            <w:tcW w:w="714" w:type="dxa"/>
            <w:tcBorders>
              <w:top w:val="single" w:sz="4" w:space="0" w:color="auto"/>
              <w:left w:val="nil"/>
              <w:bottom w:val="single" w:sz="4" w:space="0" w:color="auto"/>
              <w:right w:val="single" w:sz="4" w:space="0" w:color="auto"/>
            </w:tcBorders>
            <w:shd w:val="clear" w:color="auto" w:fill="C6EFCE"/>
            <w:noWrap/>
          </w:tcPr>
          <w:p w14:paraId="2596D5BA" w14:textId="4BC250D8" w:rsidR="003B6BD9" w:rsidRDefault="009E25E8">
            <w:pPr>
              <w:pStyle w:val="P68B1DB1-Normal7"/>
              <w:spacing w:before="0" w:after="0" w:line="240" w:lineRule="auto"/>
              <w:rPr>
                <w:rFonts w:eastAsia="Times New Roman"/>
                <w:noProof/>
              </w:rPr>
            </w:pPr>
            <w:r>
              <w:rPr>
                <w:noProof/>
              </w:rPr>
              <w:t>2026</w:t>
            </w:r>
          </w:p>
        </w:tc>
        <w:tc>
          <w:tcPr>
            <w:tcW w:w="3570" w:type="dxa"/>
            <w:tcBorders>
              <w:top w:val="single" w:sz="4" w:space="0" w:color="auto"/>
              <w:left w:val="nil"/>
              <w:bottom w:val="single" w:sz="4" w:space="0" w:color="auto"/>
              <w:right w:val="single" w:sz="4" w:space="0" w:color="auto"/>
            </w:tcBorders>
            <w:shd w:val="clear" w:color="auto" w:fill="C6EFCE"/>
            <w:noWrap/>
          </w:tcPr>
          <w:p w14:paraId="2692159E" w14:textId="7D69BB2C" w:rsidR="003B6BD9" w:rsidRDefault="009E25E8">
            <w:pPr>
              <w:pStyle w:val="P68B1DB1-Normal7"/>
              <w:spacing w:before="0" w:after="0" w:line="240" w:lineRule="auto"/>
              <w:rPr>
                <w:rFonts w:eastAsia="Times New Roman"/>
                <w:noProof/>
              </w:rPr>
            </w:pPr>
            <w:r>
              <w:rPr>
                <w:noProof/>
              </w:rPr>
              <w:t>Construction de nouveaux systèmes d’approvisionnement en eau potable ou reconstruction des systèmes d’approvisionnement en eau potable existants.</w:t>
            </w:r>
          </w:p>
        </w:tc>
      </w:tr>
    </w:tbl>
    <w:p w14:paraId="35808FE8" w14:textId="201D7EC4" w:rsidR="003B6BD9" w:rsidRDefault="003B6BD9">
      <w:pPr>
        <w:spacing w:line="240" w:lineRule="auto"/>
        <w:jc w:val="both"/>
        <w:rPr>
          <w:b/>
          <w:noProof/>
        </w:rPr>
      </w:pPr>
    </w:p>
    <w:p w14:paraId="2694E39F" w14:textId="77777777" w:rsidR="003B6BD9" w:rsidRDefault="003B6BD9">
      <w:pPr>
        <w:spacing w:line="240" w:lineRule="auto"/>
        <w:ind w:left="850"/>
        <w:jc w:val="both"/>
        <w:rPr>
          <w:b/>
          <w:noProof/>
        </w:rPr>
      </w:pPr>
    </w:p>
    <w:p w14:paraId="5A380F63" w14:textId="77777777" w:rsidR="003B6BD9" w:rsidRDefault="003B6BD9">
      <w:pPr>
        <w:spacing w:line="240" w:lineRule="auto"/>
        <w:ind w:left="709"/>
        <w:jc w:val="both"/>
        <w:rPr>
          <w:noProof/>
          <w:szCs w:val="24"/>
        </w:rPr>
        <w:sectPr w:rsidR="003B6BD9" w:rsidSect="00073927">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26"/>
        </w:sectPr>
      </w:pPr>
    </w:p>
    <w:p w14:paraId="33B34233" w14:textId="77777777" w:rsidR="003B6BD9" w:rsidRDefault="009E25E8">
      <w:pPr>
        <w:pStyle w:val="P68B1DB1-Normal3"/>
        <w:keepNext/>
        <w:tabs>
          <w:tab w:val="left" w:pos="850"/>
        </w:tabs>
        <w:spacing w:line="240" w:lineRule="auto"/>
        <w:ind w:left="850" w:hanging="850"/>
        <w:jc w:val="both"/>
        <w:outlineLvl w:val="0"/>
        <w:rPr>
          <w:noProof/>
        </w:rPr>
      </w:pPr>
      <w:r>
        <w:rPr>
          <w:noProof/>
        </w:rPr>
        <w:t>D. VOLET 4: TRANSPORTS DURABLES</w:t>
      </w:r>
    </w:p>
    <w:p w14:paraId="7EFF7451" w14:textId="77777777" w:rsidR="003B6BD9" w:rsidRDefault="009E25E8">
      <w:pPr>
        <w:spacing w:line="240" w:lineRule="auto"/>
        <w:jc w:val="both"/>
        <w:rPr>
          <w:noProof/>
        </w:rPr>
      </w:pPr>
      <w:r>
        <w:rPr>
          <w:noProof/>
        </w:rPr>
        <w:t>La forte dépendance à l’égard du transport routier et de la voiture et la faible utilisation des transports publics contribuent de manière significative aux émissions de carbone de la Slovénie. Les émissions dues aux transports sont responsables de 42,7 % des émissions totales de CO</w:t>
      </w:r>
      <w:r>
        <w:rPr>
          <w:noProof/>
          <w:vertAlign w:val="subscript"/>
        </w:rPr>
        <w:t xml:space="preserve"> 2</w:t>
      </w:r>
      <w:r>
        <w:rPr>
          <w:noProof/>
        </w:rPr>
        <w:t xml:space="preserve"> de la Slovénie en 2018, ce qui est nettement supérieur à la moyenne de l’UE (32,6 %), et elles continuent d’augmenter en termes absolus.</w:t>
      </w:r>
    </w:p>
    <w:p w14:paraId="291E46CE" w14:textId="77777777" w:rsidR="003B6BD9" w:rsidRDefault="009E25E8">
      <w:pPr>
        <w:spacing w:line="240" w:lineRule="auto"/>
        <w:jc w:val="both"/>
        <w:rPr>
          <w:noProof/>
        </w:rPr>
      </w:pPr>
      <w:r>
        <w:rPr>
          <w:noProof/>
        </w:rPr>
        <w:t>L’objectif de ce volet du plan slovène pour la reprise et la résilience est de promouvoir l’utilisation des transports publics, du transport ferroviaire de voyageurs et de marchandises, l’utilisation de carburants alternatifs dans les transports, ainsi que la transformation numérique du transport ferroviaire et routier.</w:t>
      </w:r>
    </w:p>
    <w:p w14:paraId="098F1E96" w14:textId="77777777" w:rsidR="003B6BD9" w:rsidRDefault="009E25E8">
      <w:pPr>
        <w:spacing w:line="240" w:lineRule="auto"/>
        <w:jc w:val="both"/>
        <w:rPr>
          <w:noProof/>
        </w:rPr>
      </w:pPr>
      <w:r>
        <w:rPr>
          <w:noProof/>
        </w:rPr>
        <w:t>Ces investissements et réformes contribuent aux recommandations par pays adressées à la Slovénie au cours des deux dernières années pour «axer la politique économique liée aux investissements sur [...] la transition énergétique et vers une économie à faible intensité de carbone, les transports durables, en particulier le rail» (recommandations par pays 3 et 2019) et pour «axer les investissements sur [...] les transports durables» (recommandations par pays 3 et 2020).</w:t>
      </w:r>
    </w:p>
    <w:p w14:paraId="52951A7C" w14:textId="74530281" w:rsidR="003B6BD9" w:rsidRDefault="009E25E8">
      <w:pPr>
        <w:spacing w:line="240" w:lineRule="auto"/>
        <w:jc w:val="both"/>
        <w:rPr>
          <w:noProof/>
        </w:rPr>
      </w:pPr>
      <w:r>
        <w:rPr>
          <w:noProof/>
        </w:rPr>
        <w:t>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74954F14" w14:textId="1A9804DA" w:rsidR="003B6BD9" w:rsidRDefault="009E25E8">
      <w:pPr>
        <w:pStyle w:val="P68B1DB1-Normal4"/>
        <w:spacing w:line="240" w:lineRule="auto"/>
        <w:jc w:val="both"/>
        <w:rPr>
          <w:i/>
          <w:noProof/>
          <w:color w:val="4F81BD"/>
        </w:rPr>
      </w:pPr>
      <w:r>
        <w:rPr>
          <w:noProof/>
        </w:rPr>
        <w:t>D.1.  Description des réformes et des investissements pour le soutien financier non remboursable</w:t>
      </w:r>
    </w:p>
    <w:p w14:paraId="1F07A116" w14:textId="77777777" w:rsidR="003B6BD9" w:rsidRDefault="009E25E8">
      <w:pPr>
        <w:pStyle w:val="P68B1DB1-Normal5"/>
        <w:spacing w:line="240" w:lineRule="auto"/>
        <w:jc w:val="both"/>
        <w:rPr>
          <w:noProof/>
        </w:rPr>
      </w:pPr>
      <w:r>
        <w:rPr>
          <w:noProof/>
        </w:rPr>
        <w:t>Réforme A. Réforme de l’organisation des transports publics de voyageurs</w:t>
      </w:r>
    </w:p>
    <w:p w14:paraId="02BB9559" w14:textId="38531772" w:rsidR="003B6BD9" w:rsidRDefault="009E25E8">
      <w:pPr>
        <w:spacing w:line="240" w:lineRule="auto"/>
        <w:jc w:val="both"/>
        <w:rPr>
          <w:noProof/>
        </w:rPr>
      </w:pPr>
      <w:r>
        <w:rPr>
          <w:noProof/>
        </w:rPr>
        <w:t xml:space="preserve">Les transports publics en Slovénie ont été durement touchés pendant la pandémie de COVID-19, avec une baisse de 75 % du nombre de passagers en 2020. </w:t>
      </w:r>
    </w:p>
    <w:p w14:paraId="715D2E54" w14:textId="0AEE6ED7" w:rsidR="003B6BD9" w:rsidRDefault="009E25E8">
      <w:pPr>
        <w:spacing w:line="240" w:lineRule="auto"/>
        <w:jc w:val="both"/>
        <w:rPr>
          <w:noProof/>
        </w:rPr>
      </w:pPr>
      <w:r>
        <w:rPr>
          <w:noProof/>
        </w:rPr>
        <w:t xml:space="preserve">Cette réforme vise à promouvoir et à améliorer l’accessibilité et la compétitivité des transports publics en vue de la reprise après la pandémie. La réforme établit un opérateur public intégré de transport de voyageurs au niveau national, qui soutient l’intégration des transports publics par chemin de fer et par autobus avec les transports interurbains, urbains, scolaires et professionnels. La réforme vise à améliorer sensiblement la norme d’accessibilité pour les transports publics. </w:t>
      </w:r>
    </w:p>
    <w:p w14:paraId="1EC732CC" w14:textId="567AA88B" w:rsidR="003B6BD9" w:rsidRDefault="009E25E8">
      <w:pPr>
        <w:spacing w:line="240" w:lineRule="auto"/>
        <w:jc w:val="both"/>
        <w:rPr>
          <w:noProof/>
        </w:rPr>
      </w:pPr>
      <w:r>
        <w:rPr>
          <w:noProof/>
        </w:rPr>
        <w:t>La réforme sera mise en œuvre avec l’entrée en vigueur d’une nouvelle loi sur le transport public de voyageurs et la mise en place et l’entrée en service d’un nouvel opérateur de transport public intégré par le ministère de l’environnement, du climat et de l’énergie.</w:t>
      </w:r>
    </w:p>
    <w:p w14:paraId="5AF48444" w14:textId="3B74AC7A" w:rsidR="003B6BD9" w:rsidRDefault="009E25E8">
      <w:pPr>
        <w:pStyle w:val="P68B1DB1-Normal5"/>
        <w:spacing w:line="240" w:lineRule="auto"/>
        <w:jc w:val="both"/>
        <w:rPr>
          <w:noProof/>
        </w:rPr>
      </w:pPr>
      <w:bookmarkStart w:id="9" w:name="_Hlk142662175"/>
      <w:r>
        <w:rPr>
          <w:noProof/>
        </w:rPr>
        <w:t>Réforme B. Réforme sur le déploiement d’une infrastructure pour carburants alternatifs</w:t>
      </w:r>
    </w:p>
    <w:p w14:paraId="7182FB78" w14:textId="64573B26" w:rsidR="003B6BD9" w:rsidRDefault="009E25E8">
      <w:pPr>
        <w:spacing w:line="240" w:lineRule="auto"/>
        <w:jc w:val="both"/>
        <w:rPr>
          <w:noProof/>
        </w:rPr>
      </w:pPr>
      <w:r>
        <w:rPr>
          <w:noProof/>
        </w:rPr>
        <w:t>L’objectif de la réforme est d’accroître l’utilisation de carburants alternatifs dans les transports nationaux et transfrontières et de réduire la part des émissions de gaz à effet de serre et de polluants provenant des transports. En particulier, la réforme désigne une entité chargée de coordonner les besoins des secteurs des transports et de l’énergie, qui assure et coordonne le déploiement d’une infrastructure pour carburants alternatifs et rend ainsi la transition vers une mobilité à émissions nulles ou faibles plus résiliente.</w:t>
      </w:r>
    </w:p>
    <w:p w14:paraId="48F61178" w14:textId="5A9D3F88" w:rsidR="003B6BD9" w:rsidRDefault="009E25E8">
      <w:pPr>
        <w:spacing w:line="240" w:lineRule="auto"/>
        <w:jc w:val="both"/>
        <w:rPr>
          <w:noProof/>
        </w:rPr>
      </w:pPr>
      <w:r>
        <w:rPr>
          <w:noProof/>
        </w:rPr>
        <w:t xml:space="preserve">La réforme est mise en œuvre avec l’entrée en vigueur d’une loi sur les carburants alternatifs dans les transports et les infrastructures pour carburants alternatifs au plus tard le 30 juin 2022, qui établit également un cadre réglementaire national dans le domaine des carburants alternatifs dans les transports. </w:t>
      </w:r>
    </w:p>
    <w:bookmarkEnd w:id="9"/>
    <w:p w14:paraId="2DF3D3E0" w14:textId="017CDE41" w:rsidR="003B6BD9" w:rsidRDefault="009E25E8">
      <w:pPr>
        <w:pStyle w:val="P68B1DB1-Normal5"/>
        <w:spacing w:line="240" w:lineRule="auto"/>
        <w:jc w:val="both"/>
        <w:rPr>
          <w:noProof/>
        </w:rPr>
      </w:pPr>
      <w:r>
        <w:rPr>
          <w:noProof/>
        </w:rPr>
        <w:t>Investissement C. Augmentation des capacités de l’infrastructure ferroviaire</w:t>
      </w:r>
    </w:p>
    <w:p w14:paraId="2776D69E" w14:textId="547E8AD5" w:rsidR="003B6BD9" w:rsidRDefault="009E25E8">
      <w:pPr>
        <w:spacing w:before="0" w:after="200" w:line="240" w:lineRule="auto"/>
        <w:jc w:val="both"/>
        <w:rPr>
          <w:noProof/>
        </w:rPr>
      </w:pPr>
      <w:r>
        <w:rPr>
          <w:noProof/>
        </w:rPr>
        <w:t xml:space="preserve">L’objectif de cette mesure est d’accroître la capacité de l’infrastructure ferroviaire. </w:t>
      </w:r>
    </w:p>
    <w:p w14:paraId="61A5449B" w14:textId="5AD93CE1" w:rsidR="003B6BD9" w:rsidRDefault="009E25E8">
      <w:pPr>
        <w:spacing w:before="0" w:line="240" w:lineRule="auto"/>
        <w:jc w:val="both"/>
        <w:rPr>
          <w:noProof/>
        </w:rPr>
      </w:pPr>
      <w:r>
        <w:rPr>
          <w:noProof/>
        </w:rPr>
        <w:t xml:space="preserve">La mesure consiste à </w:t>
      </w:r>
      <w:r>
        <w:rPr>
          <w:noProof/>
          <w:szCs w:val="24"/>
        </w:rPr>
        <w:t xml:space="preserve">moderniser les gares de Grosuplje et de Domžale et à reconstruire 49 kilomètres de lignes ferroviaires </w:t>
      </w:r>
      <w:r>
        <w:rPr>
          <w:rFonts w:eastAsia="Times New Roman"/>
          <w:noProof/>
          <w:szCs w:val="24"/>
        </w:rPr>
        <w:t>Kranj-Jesenice et Ljubljana-Brezovica-Borovnica</w:t>
      </w:r>
      <w:r>
        <w:rPr>
          <w:noProof/>
          <w:szCs w:val="24"/>
        </w:rPr>
        <w:t xml:space="preserve">. </w:t>
      </w:r>
    </w:p>
    <w:p w14:paraId="40E4CB63" w14:textId="760AFFB8" w:rsidR="003B6BD9" w:rsidRDefault="009E25E8">
      <w:pPr>
        <w:pStyle w:val="P68B1DB1-Normal5"/>
        <w:spacing w:line="240" w:lineRule="auto"/>
        <w:jc w:val="both"/>
        <w:rPr>
          <w:noProof/>
        </w:rPr>
      </w:pPr>
      <w:r>
        <w:rPr>
          <w:noProof/>
        </w:rPr>
        <w:t>Investissement D. Numérisation des infrastructures routières</w:t>
      </w:r>
    </w:p>
    <w:p w14:paraId="75F888EB" w14:textId="17857393" w:rsidR="003B6BD9" w:rsidRDefault="009E25E8">
      <w:pPr>
        <w:spacing w:line="247" w:lineRule="auto"/>
        <w:jc w:val="both"/>
        <w:rPr>
          <w:rFonts w:eastAsia="Arial"/>
          <w:noProof/>
        </w:rPr>
      </w:pPr>
      <w:r>
        <w:rPr>
          <w:noProof/>
        </w:rPr>
        <w:t>L’objectif de cette mesure est de</w:t>
      </w:r>
      <w:r>
        <w:rPr>
          <w:rFonts w:eastAsia="Arial"/>
          <w:noProof/>
        </w:rPr>
        <w:t xml:space="preserve"> mettre en place un système de coordination et d’amélioration des flux de trafic.</w:t>
      </w:r>
    </w:p>
    <w:p w14:paraId="03808BD4" w14:textId="218E9833" w:rsidR="003B6BD9" w:rsidRDefault="009E25E8">
      <w:pPr>
        <w:pStyle w:val="P68B1DB1-Normal9"/>
        <w:spacing w:line="247" w:lineRule="auto"/>
        <w:jc w:val="both"/>
        <w:rPr>
          <w:noProof/>
          <w:color w:val="006100"/>
          <w:sz w:val="22"/>
        </w:rPr>
      </w:pPr>
      <w:r>
        <w:rPr>
          <w:noProof/>
        </w:rPr>
        <w:t>Cette mesure comprend 70 km de routes</w:t>
      </w:r>
      <w:r>
        <w:rPr>
          <w:strike/>
          <w:noProof/>
        </w:rPr>
        <w:t xml:space="preserve"> </w:t>
      </w:r>
      <w:r>
        <w:rPr>
          <w:noProof/>
        </w:rPr>
        <w:t xml:space="preserve">couvertes par un système de contrôle et de gestion du trafic et de nouveaux équipements pour le centre de contrôle national centralisé des routes et autoroutes. </w:t>
      </w:r>
    </w:p>
    <w:p w14:paraId="082A721C" w14:textId="2DDFBE19" w:rsidR="003B6BD9" w:rsidRDefault="009E25E8">
      <w:pPr>
        <w:pStyle w:val="P68B1DB1-Normal5"/>
        <w:spacing w:line="240" w:lineRule="auto"/>
        <w:jc w:val="both"/>
        <w:rPr>
          <w:noProof/>
        </w:rPr>
      </w:pPr>
      <w:r>
        <w:rPr>
          <w:noProof/>
        </w:rPr>
        <w:t>Investissement E. Promouvoir le déploiement d’infrastructures pour carburants alternatifs dans les transports</w:t>
      </w:r>
    </w:p>
    <w:p w14:paraId="283A1340" w14:textId="112FB20F" w:rsidR="003B6BD9" w:rsidRDefault="009E25E8">
      <w:pPr>
        <w:spacing w:line="240" w:lineRule="auto"/>
        <w:jc w:val="both"/>
        <w:rPr>
          <w:noProof/>
        </w:rPr>
      </w:pPr>
      <w:r>
        <w:rPr>
          <w:noProof/>
        </w:rPr>
        <w:t xml:space="preserve">L’objectif de cette mesure est de promouvoir l’utilisation de carburants alternatifs dans les transports. </w:t>
      </w:r>
    </w:p>
    <w:p w14:paraId="75779E5B" w14:textId="6C93C62B" w:rsidR="003B6BD9" w:rsidRDefault="009E25E8">
      <w:pPr>
        <w:spacing w:line="240" w:lineRule="auto"/>
        <w:jc w:val="both"/>
        <w:rPr>
          <w:noProof/>
          <w:u w:val="single"/>
        </w:rPr>
        <w:sectPr w:rsidR="003B6BD9" w:rsidSect="00073927">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26"/>
        </w:sectPr>
      </w:pPr>
      <w:r>
        <w:rPr>
          <w:noProof/>
        </w:rPr>
        <w:t>Cette mesure consiste en l’enregistrement de points de recharge pour véhicules à émissions nulles dans le registre national des points de recharge.</w:t>
      </w:r>
    </w:p>
    <w:p w14:paraId="53B82A66" w14:textId="3ECF4B14" w:rsidR="003B6BD9" w:rsidRDefault="009E25E8">
      <w:pPr>
        <w:pStyle w:val="P68B1DB1-Normal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4571"/>
        </w:tabs>
        <w:spacing w:line="240" w:lineRule="auto"/>
        <w:ind w:left="850"/>
        <w:jc w:val="both"/>
        <w:rPr>
          <w:noProof/>
        </w:rPr>
      </w:pPr>
      <w:r>
        <w:rPr>
          <w:noProof/>
        </w:rPr>
        <w:t xml:space="preserve">D.2. </w:t>
      </w:r>
      <w:r>
        <w:rPr>
          <w:noProof/>
        </w:rPr>
        <w:tab/>
        <w:t>Jalons, cibles, indicateurs et calendrier de suivi et de mise en œuvre pour le soutien financier non remboursable</w:t>
      </w:r>
    </w:p>
    <w:tbl>
      <w:tblPr>
        <w:tblW w:w="15322" w:type="dxa"/>
        <w:jc w:val="center"/>
        <w:tblLayout w:type="fixed"/>
        <w:tblLook w:val="04A0" w:firstRow="1" w:lastRow="0" w:firstColumn="1" w:lastColumn="0" w:noHBand="0" w:noVBand="1"/>
      </w:tblPr>
      <w:tblGrid>
        <w:gridCol w:w="955"/>
        <w:gridCol w:w="1440"/>
        <w:gridCol w:w="1080"/>
        <w:gridCol w:w="2190"/>
        <w:gridCol w:w="1770"/>
        <w:gridCol w:w="1094"/>
        <w:gridCol w:w="1080"/>
        <w:gridCol w:w="734"/>
        <w:gridCol w:w="992"/>
        <w:gridCol w:w="855"/>
        <w:gridCol w:w="3132"/>
      </w:tblGrid>
      <w:tr w:rsidR="003B6BD9" w14:paraId="602E30EC" w14:textId="77777777" w:rsidTr="00AC1D11">
        <w:trPr>
          <w:trHeight w:val="740"/>
          <w:tblHeader/>
          <w:jc w:val="center"/>
        </w:trPr>
        <w:tc>
          <w:tcPr>
            <w:tcW w:w="95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33B457" w14:textId="159C4F62" w:rsidR="003B6BD9" w:rsidRDefault="009E25E8">
            <w:pPr>
              <w:pStyle w:val="P68B1DB1-Normal6"/>
              <w:spacing w:before="0" w:after="0" w:line="240" w:lineRule="auto"/>
              <w:jc w:val="center"/>
              <w:rPr>
                <w:rFonts w:eastAsia="Times New Roman"/>
                <w:noProof/>
              </w:rPr>
            </w:pPr>
            <w:r>
              <w:rPr>
                <w:noProof/>
              </w:rPr>
              <w:t>Et suivants Non.</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9A2BF3" w14:textId="77777777" w:rsidR="003B6BD9" w:rsidRDefault="009E25E8">
            <w:pPr>
              <w:pStyle w:val="P68B1DB1-Normal6"/>
              <w:spacing w:before="0" w:after="0" w:line="240" w:lineRule="auto"/>
              <w:jc w:val="center"/>
              <w:rPr>
                <w:rFonts w:eastAsia="Times New Roman"/>
                <w:noProof/>
              </w:rPr>
            </w:pPr>
            <w:r>
              <w:rPr>
                <w:noProof/>
              </w:rPr>
              <w:t>Mesure connexe (réforme ou investissement)</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94C18C" w14:textId="500DB809" w:rsidR="003B6BD9" w:rsidRDefault="009E25E8">
            <w:pPr>
              <w:pStyle w:val="P68B1DB1-Normal6"/>
              <w:spacing w:before="0" w:after="0" w:line="240" w:lineRule="auto"/>
              <w:jc w:val="center"/>
              <w:rPr>
                <w:rFonts w:eastAsia="Times New Roman"/>
                <w:noProof/>
              </w:rPr>
            </w:pPr>
            <w:r>
              <w:rPr>
                <w:noProof/>
              </w:rPr>
              <w:t>Étape/</w:t>
            </w:r>
            <w:r w:rsidR="00AC1D11">
              <w:rPr>
                <w:noProof/>
              </w:rPr>
              <w:br/>
            </w:r>
            <w:r>
              <w:rPr>
                <w:noProof/>
              </w:rPr>
              <w:t>Objectif</w:t>
            </w:r>
          </w:p>
        </w:tc>
        <w:tc>
          <w:tcPr>
            <w:tcW w:w="21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D20182" w14:textId="77777777" w:rsidR="003B6BD9" w:rsidRDefault="009E25E8">
            <w:pPr>
              <w:pStyle w:val="P68B1DB1-Normal6"/>
              <w:spacing w:before="0" w:after="0" w:line="240" w:lineRule="auto"/>
              <w:jc w:val="center"/>
              <w:rPr>
                <w:rFonts w:eastAsia="Times New Roman"/>
                <w:noProof/>
              </w:rPr>
            </w:pPr>
            <w:r>
              <w:rPr>
                <w:noProof/>
              </w:rPr>
              <w:t>Nom</w:t>
            </w:r>
          </w:p>
        </w:tc>
        <w:tc>
          <w:tcPr>
            <w:tcW w:w="17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90B668" w14:textId="0E97BABB" w:rsidR="003B6BD9" w:rsidRDefault="009E25E8">
            <w:pPr>
              <w:pStyle w:val="P68B1DB1-Normal6"/>
              <w:spacing w:before="0" w:after="0" w:line="240" w:lineRule="auto"/>
              <w:jc w:val="center"/>
              <w:rPr>
                <w:rFonts w:eastAsia="Times New Roman"/>
                <w:noProof/>
              </w:rPr>
            </w:pPr>
            <w:r>
              <w:rPr>
                <w:noProof/>
              </w:rPr>
              <w:t>Indicateurs qualitatifs (pour les jalons)</w:t>
            </w:r>
          </w:p>
        </w:tc>
        <w:tc>
          <w:tcPr>
            <w:tcW w:w="290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DB2C058" w14:textId="2DEA74D9" w:rsidR="003B6BD9" w:rsidRDefault="009E25E8">
            <w:pPr>
              <w:pStyle w:val="P68B1DB1-Normal6"/>
              <w:spacing w:before="0" w:after="0" w:line="240" w:lineRule="auto"/>
              <w:jc w:val="center"/>
              <w:rPr>
                <w:rFonts w:eastAsia="Times New Roman"/>
                <w:noProof/>
              </w:rPr>
            </w:pPr>
            <w:r>
              <w:rPr>
                <w:noProof/>
              </w:rPr>
              <w:t>Indicateurs quantitatifs (pour les cibles)</w:t>
            </w:r>
          </w:p>
        </w:tc>
        <w:tc>
          <w:tcPr>
            <w:tcW w:w="1847" w:type="dxa"/>
            <w:gridSpan w:val="2"/>
            <w:tcBorders>
              <w:top w:val="single" w:sz="4" w:space="0" w:color="auto"/>
              <w:left w:val="nil"/>
              <w:bottom w:val="single" w:sz="4" w:space="0" w:color="auto"/>
              <w:right w:val="single" w:sz="4" w:space="0" w:color="auto"/>
            </w:tcBorders>
            <w:shd w:val="clear" w:color="auto" w:fill="BDD7EE"/>
            <w:vAlign w:val="center"/>
            <w:hideMark/>
          </w:tcPr>
          <w:p w14:paraId="7D89E6E0" w14:textId="77777777" w:rsidR="003B6BD9" w:rsidRDefault="009E25E8">
            <w:pPr>
              <w:pStyle w:val="P68B1DB1-Normal6"/>
              <w:spacing w:before="0" w:after="0" w:line="240" w:lineRule="auto"/>
              <w:jc w:val="center"/>
              <w:rPr>
                <w:rFonts w:eastAsia="Times New Roman"/>
                <w:noProof/>
              </w:rPr>
            </w:pPr>
            <w:r>
              <w:rPr>
                <w:noProof/>
              </w:rPr>
              <w:t xml:space="preserve">Calendrier indicatif pour l’achèvement </w:t>
            </w:r>
          </w:p>
        </w:tc>
        <w:tc>
          <w:tcPr>
            <w:tcW w:w="313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6B29C5" w14:textId="77777777" w:rsidR="003B6BD9" w:rsidRDefault="009E25E8">
            <w:pPr>
              <w:pStyle w:val="P68B1DB1-Normal6"/>
              <w:spacing w:before="0" w:after="0" w:line="240" w:lineRule="auto"/>
              <w:jc w:val="center"/>
              <w:rPr>
                <w:rFonts w:eastAsia="Times New Roman"/>
                <w:noProof/>
              </w:rPr>
            </w:pPr>
            <w:r>
              <w:rPr>
                <w:noProof/>
              </w:rPr>
              <w:t>Description de chaque jalon et cible</w:t>
            </w:r>
          </w:p>
        </w:tc>
      </w:tr>
      <w:tr w:rsidR="003B6BD9" w14:paraId="5F78AEA7" w14:textId="77777777" w:rsidTr="00AC1D11">
        <w:trPr>
          <w:trHeight w:val="300"/>
          <w:tblHeader/>
          <w:jc w:val="center"/>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6717BD13" w14:textId="77777777" w:rsidR="003B6BD9" w:rsidRDefault="003B6BD9">
            <w:pPr>
              <w:spacing w:before="0" w:after="0" w:line="240" w:lineRule="auto"/>
              <w:rPr>
                <w:rFonts w:eastAsia="Times New Roman"/>
                <w:b/>
                <w:noProof/>
                <w:sz w:val="18"/>
                <w:szCs w:val="18"/>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14BD7EF6" w14:textId="77777777" w:rsidR="003B6BD9" w:rsidRDefault="003B6BD9">
            <w:pPr>
              <w:spacing w:before="0" w:after="0" w:line="240" w:lineRule="auto"/>
              <w:rPr>
                <w:rFonts w:eastAsia="Times New Roman"/>
                <w:b/>
                <w:noProof/>
                <w:sz w:val="18"/>
                <w:szCs w:val="18"/>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44BC5CEA" w14:textId="77777777" w:rsidR="003B6BD9" w:rsidRDefault="003B6BD9">
            <w:pPr>
              <w:spacing w:before="0" w:after="0" w:line="240" w:lineRule="auto"/>
              <w:rPr>
                <w:rFonts w:eastAsia="Times New Roman"/>
                <w:b/>
                <w:noProof/>
                <w:sz w:val="18"/>
                <w:szCs w:val="18"/>
              </w:rPr>
            </w:pPr>
          </w:p>
        </w:tc>
        <w:tc>
          <w:tcPr>
            <w:tcW w:w="2190" w:type="dxa"/>
            <w:vMerge/>
            <w:tcBorders>
              <w:top w:val="single" w:sz="4" w:space="0" w:color="auto"/>
              <w:left w:val="single" w:sz="4" w:space="0" w:color="auto"/>
              <w:bottom w:val="single" w:sz="4" w:space="0" w:color="auto"/>
              <w:right w:val="single" w:sz="4" w:space="0" w:color="auto"/>
            </w:tcBorders>
            <w:vAlign w:val="center"/>
            <w:hideMark/>
          </w:tcPr>
          <w:p w14:paraId="094543AB" w14:textId="77777777" w:rsidR="003B6BD9" w:rsidRDefault="003B6BD9">
            <w:pPr>
              <w:spacing w:before="0" w:after="0" w:line="240" w:lineRule="auto"/>
              <w:rPr>
                <w:rFonts w:eastAsia="Times New Roman"/>
                <w:b/>
                <w:noProof/>
                <w:sz w:val="18"/>
                <w:szCs w:val="18"/>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14:paraId="4141B59D" w14:textId="77777777" w:rsidR="003B6BD9" w:rsidRDefault="003B6BD9">
            <w:pPr>
              <w:spacing w:before="0" w:after="0" w:line="240" w:lineRule="auto"/>
              <w:rPr>
                <w:rFonts w:eastAsia="Times New Roman"/>
                <w:b/>
                <w:noProof/>
                <w:sz w:val="18"/>
                <w:szCs w:val="18"/>
              </w:rPr>
            </w:pPr>
          </w:p>
        </w:tc>
        <w:tc>
          <w:tcPr>
            <w:tcW w:w="109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0E10E3F" w14:textId="77777777" w:rsidR="003B6BD9" w:rsidRDefault="009E25E8">
            <w:pPr>
              <w:pStyle w:val="P68B1DB1-Normal6"/>
              <w:spacing w:before="0" w:after="0" w:line="240" w:lineRule="auto"/>
              <w:jc w:val="center"/>
              <w:rPr>
                <w:rFonts w:eastAsia="Times New Roman"/>
                <w:noProof/>
              </w:rPr>
            </w:pPr>
            <w:r>
              <w:rPr>
                <w:noProof/>
              </w:rPr>
              <w:t>Unité de mesure</w:t>
            </w:r>
          </w:p>
        </w:tc>
        <w:tc>
          <w:tcPr>
            <w:tcW w:w="10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4EC41EF" w14:textId="193D895E" w:rsidR="003B6BD9" w:rsidRDefault="009E25E8">
            <w:pPr>
              <w:pStyle w:val="P68B1DB1-Normal6"/>
              <w:spacing w:before="0" w:after="0" w:line="240" w:lineRule="auto"/>
              <w:rPr>
                <w:rFonts w:eastAsia="Times New Roman"/>
                <w:noProof/>
              </w:rPr>
            </w:pPr>
            <w:r>
              <w:rPr>
                <w:noProof/>
              </w:rPr>
              <w:t>Niveau de référence</w:t>
            </w:r>
          </w:p>
        </w:tc>
        <w:tc>
          <w:tcPr>
            <w:tcW w:w="7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6AA2666" w14:textId="77777777" w:rsidR="003B6BD9" w:rsidRDefault="009E25E8">
            <w:pPr>
              <w:pStyle w:val="P68B1DB1-Normal6"/>
              <w:spacing w:before="0" w:after="0" w:line="240" w:lineRule="auto"/>
              <w:jc w:val="center"/>
              <w:rPr>
                <w:rFonts w:eastAsia="Times New Roman"/>
                <w:noProof/>
              </w:rPr>
            </w:pPr>
            <w:r>
              <w:rPr>
                <w:noProof/>
              </w:rPr>
              <w:t xml:space="preserve">But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FCFDA" w14:textId="77777777" w:rsidR="003B6BD9" w:rsidRDefault="009E25E8">
            <w:pPr>
              <w:pStyle w:val="P68B1DB1-Normal6"/>
              <w:spacing w:before="0" w:after="0" w:line="240" w:lineRule="auto"/>
              <w:jc w:val="center"/>
              <w:rPr>
                <w:rFonts w:eastAsia="Times New Roman"/>
                <w:noProof/>
              </w:rPr>
            </w:pPr>
            <w:r>
              <w:rPr>
                <w:noProof/>
              </w:rPr>
              <w:t>Trimestre</w:t>
            </w:r>
          </w:p>
        </w:tc>
        <w:tc>
          <w:tcPr>
            <w:tcW w:w="85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025ABE5" w14:textId="77777777" w:rsidR="003B6BD9" w:rsidRDefault="009E25E8">
            <w:pPr>
              <w:pStyle w:val="P68B1DB1-Normal6"/>
              <w:spacing w:before="0" w:after="0" w:line="240" w:lineRule="auto"/>
              <w:jc w:val="center"/>
              <w:rPr>
                <w:rFonts w:eastAsia="Times New Roman"/>
                <w:noProof/>
              </w:rPr>
            </w:pPr>
            <w:r>
              <w:rPr>
                <w:noProof/>
              </w:rPr>
              <w:t>Année</w:t>
            </w:r>
          </w:p>
        </w:tc>
        <w:tc>
          <w:tcPr>
            <w:tcW w:w="3132" w:type="dxa"/>
            <w:vMerge/>
            <w:tcBorders>
              <w:top w:val="single" w:sz="4" w:space="0" w:color="auto"/>
              <w:left w:val="single" w:sz="4" w:space="0" w:color="auto"/>
              <w:bottom w:val="single" w:sz="4" w:space="0" w:color="auto"/>
              <w:right w:val="single" w:sz="4" w:space="0" w:color="auto"/>
            </w:tcBorders>
            <w:vAlign w:val="center"/>
            <w:hideMark/>
          </w:tcPr>
          <w:p w14:paraId="204057E5" w14:textId="77777777" w:rsidR="003B6BD9" w:rsidRDefault="003B6BD9">
            <w:pPr>
              <w:spacing w:before="0" w:after="0" w:line="240" w:lineRule="auto"/>
              <w:rPr>
                <w:rFonts w:eastAsia="Times New Roman"/>
                <w:b/>
                <w:noProof/>
                <w:sz w:val="18"/>
                <w:szCs w:val="18"/>
              </w:rPr>
            </w:pPr>
          </w:p>
        </w:tc>
      </w:tr>
      <w:tr w:rsidR="003B6BD9" w14:paraId="25F7EBA4" w14:textId="77777777" w:rsidTr="00AC1D11">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33D11AEE" w14:textId="6BA8AF1C" w:rsidR="003B6BD9" w:rsidRDefault="009E25E8">
            <w:pPr>
              <w:pStyle w:val="P68B1DB1-Normal7"/>
              <w:spacing w:before="0" w:after="0" w:line="240" w:lineRule="auto"/>
              <w:rPr>
                <w:rFonts w:eastAsia="Times New Roman"/>
                <w:noProof/>
              </w:rPr>
            </w:pPr>
            <w:r>
              <w:rPr>
                <w:noProof/>
              </w:rPr>
              <w:t>54</w:t>
            </w:r>
          </w:p>
        </w:tc>
        <w:tc>
          <w:tcPr>
            <w:tcW w:w="1440" w:type="dxa"/>
            <w:tcBorders>
              <w:top w:val="single" w:sz="4" w:space="0" w:color="auto"/>
              <w:left w:val="nil"/>
              <w:bottom w:val="single" w:sz="4" w:space="0" w:color="auto"/>
              <w:right w:val="single" w:sz="4" w:space="0" w:color="auto"/>
            </w:tcBorders>
            <w:shd w:val="clear" w:color="auto" w:fill="C6EFCE"/>
            <w:noWrap/>
          </w:tcPr>
          <w:p w14:paraId="7802E344" w14:textId="4152B1BE" w:rsidR="003B6BD9" w:rsidRDefault="009E25E8">
            <w:pPr>
              <w:pStyle w:val="P68B1DB1-Normal7"/>
              <w:spacing w:before="0" w:after="0" w:line="240" w:lineRule="auto"/>
              <w:rPr>
                <w:rFonts w:eastAsia="Times New Roman"/>
                <w:noProof/>
              </w:rPr>
            </w:pPr>
            <w:r>
              <w:rPr>
                <w:noProof/>
              </w:rPr>
              <w:t>A: Réforme de l’organisation des transports publics de voyageurs</w:t>
            </w:r>
          </w:p>
        </w:tc>
        <w:tc>
          <w:tcPr>
            <w:tcW w:w="1080" w:type="dxa"/>
            <w:tcBorders>
              <w:top w:val="single" w:sz="4" w:space="0" w:color="auto"/>
              <w:left w:val="nil"/>
              <w:bottom w:val="single" w:sz="4" w:space="0" w:color="auto"/>
              <w:right w:val="single" w:sz="4" w:space="0" w:color="auto"/>
            </w:tcBorders>
            <w:shd w:val="clear" w:color="auto" w:fill="C6EFCE"/>
            <w:noWrap/>
          </w:tcPr>
          <w:p w14:paraId="21D59A7F" w14:textId="1C79A782" w:rsidR="003B6BD9" w:rsidRDefault="009E25E8">
            <w:pPr>
              <w:pStyle w:val="P68B1DB1-Normal7"/>
              <w:spacing w:before="0" w:after="0" w:line="240" w:lineRule="auto"/>
              <w:rPr>
                <w:rFonts w:eastAsia="Times New Roman"/>
                <w:noProof/>
              </w:rPr>
            </w:pPr>
            <w:r>
              <w:rPr>
                <w:noProof/>
              </w:rPr>
              <w:t>Jalon</w:t>
            </w:r>
          </w:p>
        </w:tc>
        <w:tc>
          <w:tcPr>
            <w:tcW w:w="2190" w:type="dxa"/>
            <w:tcBorders>
              <w:top w:val="single" w:sz="4" w:space="0" w:color="auto"/>
              <w:left w:val="nil"/>
              <w:bottom w:val="single" w:sz="4" w:space="0" w:color="auto"/>
              <w:right w:val="single" w:sz="4" w:space="0" w:color="auto"/>
            </w:tcBorders>
            <w:shd w:val="clear" w:color="auto" w:fill="C6EFCE"/>
            <w:noWrap/>
          </w:tcPr>
          <w:p w14:paraId="1A94B81B" w14:textId="021BE5C5" w:rsidR="003B6BD9" w:rsidRDefault="009E25E8">
            <w:pPr>
              <w:pStyle w:val="P68B1DB1-Normal7"/>
              <w:spacing w:before="0" w:after="0" w:line="240" w:lineRule="auto"/>
              <w:rPr>
                <w:rFonts w:eastAsia="Times New Roman"/>
                <w:noProof/>
              </w:rPr>
            </w:pPr>
            <w:r>
              <w:rPr>
                <w:noProof/>
              </w:rPr>
              <w:t>Entrée en vigueur de la loi établissant un opérateur intégré de transport public de voyageurs</w:t>
            </w:r>
          </w:p>
        </w:tc>
        <w:tc>
          <w:tcPr>
            <w:tcW w:w="1770" w:type="dxa"/>
            <w:tcBorders>
              <w:top w:val="single" w:sz="4" w:space="0" w:color="auto"/>
              <w:left w:val="nil"/>
              <w:bottom w:val="single" w:sz="4" w:space="0" w:color="auto"/>
              <w:right w:val="single" w:sz="4" w:space="0" w:color="auto"/>
            </w:tcBorders>
            <w:shd w:val="clear" w:color="auto" w:fill="C6EFCE"/>
            <w:noWrap/>
          </w:tcPr>
          <w:p w14:paraId="56679F9A" w14:textId="034A6B3F" w:rsidR="003B6BD9" w:rsidRDefault="009E25E8">
            <w:pPr>
              <w:pStyle w:val="P68B1DB1-Normal7"/>
              <w:spacing w:before="0" w:after="0" w:line="240" w:lineRule="auto"/>
              <w:rPr>
                <w:rFonts w:eastAsia="Times New Roman"/>
                <w:noProof/>
              </w:rPr>
            </w:pPr>
            <w:r>
              <w:rPr>
                <w:noProof/>
              </w:rPr>
              <w:t xml:space="preserve">Disposition de la loi indiquant l’entrée en vigueur de la loi </w:t>
            </w:r>
          </w:p>
        </w:tc>
        <w:tc>
          <w:tcPr>
            <w:tcW w:w="1094" w:type="dxa"/>
            <w:tcBorders>
              <w:top w:val="single" w:sz="4" w:space="0" w:color="auto"/>
              <w:left w:val="nil"/>
              <w:bottom w:val="single" w:sz="4" w:space="0" w:color="auto"/>
              <w:right w:val="single" w:sz="4" w:space="0" w:color="auto"/>
            </w:tcBorders>
            <w:shd w:val="clear" w:color="auto" w:fill="C6EFCE"/>
            <w:noWrap/>
          </w:tcPr>
          <w:p w14:paraId="6062AED6" w14:textId="1527A3C3" w:rsidR="003B6BD9" w:rsidRDefault="009E25E8">
            <w:pPr>
              <w:pStyle w:val="P68B1DB1-Normal7"/>
              <w:spacing w:before="0" w:after="0" w:line="240" w:lineRule="auto"/>
              <w:rPr>
                <w:rFonts w:eastAsia="Times New Roman"/>
                <w:noProof/>
              </w:rPr>
            </w:pPr>
            <w:r>
              <w:rPr>
                <w:noProof/>
              </w:rPr>
              <w:t> </w:t>
            </w:r>
          </w:p>
        </w:tc>
        <w:tc>
          <w:tcPr>
            <w:tcW w:w="1080" w:type="dxa"/>
            <w:tcBorders>
              <w:top w:val="single" w:sz="4" w:space="0" w:color="auto"/>
              <w:left w:val="nil"/>
              <w:bottom w:val="single" w:sz="4" w:space="0" w:color="auto"/>
              <w:right w:val="single" w:sz="4" w:space="0" w:color="auto"/>
            </w:tcBorders>
            <w:shd w:val="clear" w:color="auto" w:fill="C6EFCE"/>
            <w:noWrap/>
          </w:tcPr>
          <w:p w14:paraId="44DA240E" w14:textId="3138D06C" w:rsidR="003B6BD9" w:rsidRDefault="009E25E8">
            <w:pPr>
              <w:pStyle w:val="P68B1DB1-Normal7"/>
              <w:spacing w:before="0" w:after="0" w:line="240" w:lineRule="auto"/>
              <w:rPr>
                <w:rFonts w:eastAsia="Times New Roman"/>
                <w:noProof/>
              </w:rPr>
            </w:pPr>
            <w:r>
              <w:rPr>
                <w:noProof/>
              </w:rPr>
              <w:t> </w:t>
            </w:r>
          </w:p>
        </w:tc>
        <w:tc>
          <w:tcPr>
            <w:tcW w:w="734" w:type="dxa"/>
            <w:tcBorders>
              <w:top w:val="single" w:sz="4" w:space="0" w:color="auto"/>
              <w:left w:val="nil"/>
              <w:bottom w:val="single" w:sz="4" w:space="0" w:color="auto"/>
              <w:right w:val="single" w:sz="4" w:space="0" w:color="auto"/>
            </w:tcBorders>
            <w:shd w:val="clear" w:color="auto" w:fill="C6EFCE"/>
            <w:noWrap/>
          </w:tcPr>
          <w:p w14:paraId="7FA5FE88" w14:textId="0B1D3F94" w:rsidR="003B6BD9" w:rsidRDefault="009E25E8">
            <w:pPr>
              <w:pStyle w:val="P68B1DB1-Normal7"/>
              <w:spacing w:before="0" w:after="0" w:line="240" w:lineRule="auto"/>
              <w:rPr>
                <w:rFonts w:eastAsia="Times New Roman"/>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1E229242" w14:textId="7C1CC3F0" w:rsidR="003B6BD9" w:rsidRDefault="009E25E8">
            <w:pPr>
              <w:pStyle w:val="P68B1DB1-Normal7"/>
              <w:spacing w:before="0" w:after="0" w:line="240" w:lineRule="auto"/>
              <w:rPr>
                <w:rFonts w:eastAsia="Times New Roman"/>
                <w:noProof/>
              </w:rPr>
            </w:pPr>
            <w:r>
              <w:rPr>
                <w:noProof/>
              </w:rPr>
              <w:t>T2</w:t>
            </w:r>
          </w:p>
        </w:tc>
        <w:tc>
          <w:tcPr>
            <w:tcW w:w="855" w:type="dxa"/>
            <w:tcBorders>
              <w:top w:val="single" w:sz="4" w:space="0" w:color="auto"/>
              <w:left w:val="nil"/>
              <w:bottom w:val="single" w:sz="4" w:space="0" w:color="auto"/>
              <w:right w:val="single" w:sz="4" w:space="0" w:color="auto"/>
            </w:tcBorders>
            <w:shd w:val="clear" w:color="auto" w:fill="C6EFCE"/>
            <w:noWrap/>
          </w:tcPr>
          <w:p w14:paraId="2F51A25A" w14:textId="7695D0B6" w:rsidR="003B6BD9" w:rsidRDefault="009E25E8">
            <w:pPr>
              <w:pStyle w:val="P68B1DB1-Normal7"/>
              <w:spacing w:before="0" w:after="0" w:line="240" w:lineRule="auto"/>
              <w:rPr>
                <w:rFonts w:eastAsia="Times New Roman"/>
                <w:noProof/>
              </w:rPr>
            </w:pPr>
            <w:r>
              <w:rPr>
                <w:noProof/>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69CE2F42" w14:textId="6D3D88A5" w:rsidR="003B6BD9" w:rsidRDefault="009E25E8">
            <w:pPr>
              <w:pStyle w:val="P68B1DB1-Normal7"/>
              <w:spacing w:before="0" w:after="0" w:line="240" w:lineRule="auto"/>
              <w:rPr>
                <w:rFonts w:eastAsia="Times New Roman"/>
                <w:noProof/>
              </w:rPr>
            </w:pPr>
            <w:r>
              <w:rPr>
                <w:noProof/>
              </w:rPr>
              <w:t>La loi confie des tâches actuellement exercées par le ministère des infrastructures, les municipalités et les chemins de fer slovènes à une société intégrée de gestion du transport public de voyageurs. La compagnie promeut, entre autres, le développement du transport public de voyageurs, propose des modifications de la législation et d’autres actes, assure la planification des besoins, mène des procédures de passation de marchés publics, gère le système de billetterie, assure une surveillance appropriée et fournit des informations aux passagers.</w:t>
            </w:r>
          </w:p>
        </w:tc>
      </w:tr>
      <w:tr w:rsidR="003B6BD9" w14:paraId="4BD27F4A" w14:textId="77777777" w:rsidTr="00AC1D11">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11614B6B" w14:textId="610182CF" w:rsidR="003B6BD9" w:rsidRDefault="009E25E8">
            <w:pPr>
              <w:pStyle w:val="P68B1DB1-Normal7"/>
              <w:spacing w:before="0" w:after="0" w:line="240" w:lineRule="auto"/>
              <w:rPr>
                <w:rFonts w:eastAsia="Times New Roman"/>
                <w:noProof/>
              </w:rPr>
            </w:pPr>
            <w:r>
              <w:rPr>
                <w:noProof/>
              </w:rPr>
              <w:t>55</w:t>
            </w:r>
          </w:p>
        </w:tc>
        <w:tc>
          <w:tcPr>
            <w:tcW w:w="1440" w:type="dxa"/>
            <w:tcBorders>
              <w:top w:val="single" w:sz="4" w:space="0" w:color="auto"/>
              <w:left w:val="nil"/>
              <w:bottom w:val="single" w:sz="4" w:space="0" w:color="auto"/>
              <w:right w:val="single" w:sz="4" w:space="0" w:color="auto"/>
            </w:tcBorders>
            <w:shd w:val="clear" w:color="auto" w:fill="C6EFCE"/>
            <w:noWrap/>
          </w:tcPr>
          <w:p w14:paraId="5C96FA72" w14:textId="120421F5" w:rsidR="003B6BD9" w:rsidRDefault="009E25E8">
            <w:pPr>
              <w:pStyle w:val="P68B1DB1-Normal7"/>
              <w:spacing w:before="0" w:after="0" w:line="240" w:lineRule="auto"/>
              <w:rPr>
                <w:rFonts w:eastAsia="Times New Roman"/>
                <w:noProof/>
              </w:rPr>
            </w:pPr>
            <w:r>
              <w:rPr>
                <w:noProof/>
              </w:rPr>
              <w:t>A: Réforme de l’organisation des transports publics de voyageurs</w:t>
            </w:r>
          </w:p>
        </w:tc>
        <w:tc>
          <w:tcPr>
            <w:tcW w:w="1080" w:type="dxa"/>
            <w:tcBorders>
              <w:top w:val="single" w:sz="4" w:space="0" w:color="auto"/>
              <w:left w:val="nil"/>
              <w:bottom w:val="single" w:sz="4" w:space="0" w:color="auto"/>
              <w:right w:val="single" w:sz="4" w:space="0" w:color="auto"/>
            </w:tcBorders>
            <w:shd w:val="clear" w:color="auto" w:fill="C6EFCE"/>
            <w:noWrap/>
          </w:tcPr>
          <w:p w14:paraId="2712D88F" w14:textId="439776EA" w:rsidR="003B6BD9" w:rsidRDefault="009E25E8">
            <w:pPr>
              <w:pStyle w:val="P68B1DB1-Normal7"/>
              <w:spacing w:before="0" w:after="0" w:line="240" w:lineRule="auto"/>
              <w:rPr>
                <w:rFonts w:eastAsia="Times New Roman"/>
                <w:noProof/>
              </w:rPr>
            </w:pPr>
            <w:r>
              <w:rPr>
                <w:noProof/>
              </w:rPr>
              <w:t>Jalon</w:t>
            </w:r>
          </w:p>
        </w:tc>
        <w:tc>
          <w:tcPr>
            <w:tcW w:w="2190" w:type="dxa"/>
            <w:tcBorders>
              <w:top w:val="single" w:sz="4" w:space="0" w:color="auto"/>
              <w:left w:val="nil"/>
              <w:bottom w:val="single" w:sz="4" w:space="0" w:color="auto"/>
              <w:right w:val="single" w:sz="4" w:space="0" w:color="auto"/>
            </w:tcBorders>
            <w:shd w:val="clear" w:color="auto" w:fill="C6EFCE"/>
            <w:noWrap/>
          </w:tcPr>
          <w:p w14:paraId="190AA411" w14:textId="24B9D0B7" w:rsidR="003B6BD9" w:rsidRDefault="009E25E8">
            <w:pPr>
              <w:pStyle w:val="P68B1DB1-Normal7"/>
              <w:spacing w:before="0" w:after="0" w:line="240" w:lineRule="auto"/>
              <w:rPr>
                <w:noProof/>
              </w:rPr>
            </w:pPr>
            <w:r>
              <w:rPr>
                <w:noProof/>
              </w:rPr>
              <w:t>Une société de gestion des transports publics de voyageurs est opérationnelle</w:t>
            </w:r>
          </w:p>
        </w:tc>
        <w:tc>
          <w:tcPr>
            <w:tcW w:w="1770" w:type="dxa"/>
            <w:tcBorders>
              <w:top w:val="single" w:sz="4" w:space="0" w:color="auto"/>
              <w:left w:val="nil"/>
              <w:bottom w:val="single" w:sz="4" w:space="0" w:color="auto"/>
              <w:right w:val="single" w:sz="4" w:space="0" w:color="auto"/>
            </w:tcBorders>
            <w:shd w:val="clear" w:color="auto" w:fill="C6EFCE"/>
            <w:noWrap/>
          </w:tcPr>
          <w:p w14:paraId="4844E9E8" w14:textId="5A606385" w:rsidR="003B6BD9" w:rsidRDefault="009E25E8">
            <w:pPr>
              <w:pStyle w:val="P68B1DB1-Normal7"/>
              <w:spacing w:before="0" w:after="0" w:line="240" w:lineRule="auto"/>
              <w:rPr>
                <w:noProof/>
              </w:rPr>
            </w:pPr>
            <w:r>
              <w:rPr>
                <w:noProof/>
              </w:rPr>
              <w:t>L’acte juridique établissant la société de gestion du transport public de voyageurs</w:t>
            </w:r>
          </w:p>
        </w:tc>
        <w:tc>
          <w:tcPr>
            <w:tcW w:w="1094" w:type="dxa"/>
            <w:tcBorders>
              <w:top w:val="single" w:sz="4" w:space="0" w:color="auto"/>
              <w:left w:val="nil"/>
              <w:bottom w:val="single" w:sz="4" w:space="0" w:color="auto"/>
              <w:right w:val="single" w:sz="4" w:space="0" w:color="auto"/>
            </w:tcBorders>
            <w:shd w:val="clear" w:color="auto" w:fill="C6EFCE"/>
            <w:noWrap/>
          </w:tcPr>
          <w:p w14:paraId="16CE38EF" w14:textId="77777777" w:rsidR="003B6BD9" w:rsidRDefault="003B6BD9">
            <w:pPr>
              <w:spacing w:before="0" w:after="0" w:line="240" w:lineRule="auto"/>
              <w:rPr>
                <w:rFonts w:eastAsia="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006ADF87" w14:textId="77777777" w:rsidR="003B6BD9" w:rsidRDefault="003B6BD9">
            <w:pPr>
              <w:spacing w:before="0" w:after="0" w:line="240" w:lineRule="auto"/>
              <w:rPr>
                <w:rFonts w:eastAsia="Times New Roman"/>
                <w:noProof/>
                <w:color w:val="006100"/>
                <w:sz w:val="18"/>
                <w:szCs w:val="18"/>
              </w:rPr>
            </w:pPr>
          </w:p>
        </w:tc>
        <w:tc>
          <w:tcPr>
            <w:tcW w:w="734" w:type="dxa"/>
            <w:tcBorders>
              <w:top w:val="single" w:sz="4" w:space="0" w:color="auto"/>
              <w:left w:val="nil"/>
              <w:bottom w:val="single" w:sz="4" w:space="0" w:color="auto"/>
              <w:right w:val="single" w:sz="4" w:space="0" w:color="auto"/>
            </w:tcBorders>
            <w:shd w:val="clear" w:color="auto" w:fill="C6EFCE"/>
            <w:noWrap/>
          </w:tcPr>
          <w:p w14:paraId="1F0DE216" w14:textId="77777777" w:rsidR="003B6BD9" w:rsidRDefault="003B6BD9">
            <w:pPr>
              <w:spacing w:before="0" w:after="0" w:line="240" w:lineRule="auto"/>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72A727A1" w14:textId="26C3E2C6" w:rsidR="003B6BD9" w:rsidRDefault="009E25E8">
            <w:pPr>
              <w:pStyle w:val="P68B1DB1-Normal7"/>
              <w:spacing w:before="0" w:after="0" w:line="240" w:lineRule="auto"/>
              <w:rPr>
                <w:rFonts w:eastAsia="Times New Roman"/>
                <w:noProof/>
              </w:rPr>
            </w:pPr>
            <w:r>
              <w:rPr>
                <w:noProof/>
              </w:rPr>
              <w:t>T4</w:t>
            </w:r>
          </w:p>
        </w:tc>
        <w:tc>
          <w:tcPr>
            <w:tcW w:w="855" w:type="dxa"/>
            <w:tcBorders>
              <w:top w:val="single" w:sz="4" w:space="0" w:color="auto"/>
              <w:left w:val="nil"/>
              <w:bottom w:val="single" w:sz="4" w:space="0" w:color="auto"/>
              <w:right w:val="single" w:sz="4" w:space="0" w:color="auto"/>
            </w:tcBorders>
            <w:shd w:val="clear" w:color="auto" w:fill="C6EFCE"/>
            <w:noWrap/>
          </w:tcPr>
          <w:p w14:paraId="11A83554" w14:textId="6CB018C6" w:rsidR="003B6BD9" w:rsidRDefault="009E25E8">
            <w:pPr>
              <w:pStyle w:val="P68B1DB1-Normal7"/>
              <w:spacing w:before="0" w:after="0" w:line="240" w:lineRule="auto"/>
              <w:rPr>
                <w:rFonts w:eastAsia="Times New Roman"/>
                <w:noProof/>
              </w:rPr>
            </w:pPr>
            <w:r>
              <w:rPr>
                <w:noProof/>
              </w:rPr>
              <w:t>2023</w:t>
            </w:r>
          </w:p>
        </w:tc>
        <w:tc>
          <w:tcPr>
            <w:tcW w:w="3132" w:type="dxa"/>
            <w:tcBorders>
              <w:top w:val="single" w:sz="4" w:space="0" w:color="auto"/>
              <w:left w:val="nil"/>
              <w:bottom w:val="single" w:sz="4" w:space="0" w:color="auto"/>
              <w:right w:val="single" w:sz="4" w:space="0" w:color="auto"/>
            </w:tcBorders>
            <w:shd w:val="clear" w:color="auto" w:fill="C6EFCE"/>
            <w:noWrap/>
          </w:tcPr>
          <w:p w14:paraId="7D128DAF" w14:textId="1DCFE403" w:rsidR="003B6BD9" w:rsidRDefault="009E25E8">
            <w:pPr>
              <w:pStyle w:val="P68B1DB1-Normal7"/>
              <w:spacing w:before="0" w:after="0" w:line="240" w:lineRule="auto"/>
              <w:rPr>
                <w:noProof/>
              </w:rPr>
            </w:pPr>
            <w:r>
              <w:rPr>
                <w:noProof/>
              </w:rPr>
              <w:t>Mise en service de la société de gestion des transports publics de passagers dotée de ressources humaines et financières.</w:t>
            </w:r>
          </w:p>
        </w:tc>
      </w:tr>
      <w:tr w:rsidR="003B6BD9" w14:paraId="4AEFE0B5" w14:textId="77777777" w:rsidTr="00AC1D11">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572E0F93" w14:textId="324EB175" w:rsidR="003B6BD9" w:rsidRDefault="009E25E8">
            <w:pPr>
              <w:pStyle w:val="P68B1DB1-Normal7"/>
              <w:spacing w:before="0" w:after="0" w:line="240" w:lineRule="auto"/>
              <w:rPr>
                <w:rFonts w:eastAsia="Times New Roman"/>
                <w:noProof/>
              </w:rPr>
            </w:pPr>
            <w:r>
              <w:rPr>
                <w:noProof/>
              </w:rPr>
              <w:t>57</w:t>
            </w:r>
          </w:p>
        </w:tc>
        <w:tc>
          <w:tcPr>
            <w:tcW w:w="1440" w:type="dxa"/>
            <w:tcBorders>
              <w:top w:val="single" w:sz="4" w:space="0" w:color="auto"/>
              <w:left w:val="nil"/>
              <w:bottom w:val="single" w:sz="4" w:space="0" w:color="auto"/>
              <w:right w:val="single" w:sz="4" w:space="0" w:color="auto"/>
            </w:tcBorders>
            <w:shd w:val="clear" w:color="auto" w:fill="C6EFCE"/>
            <w:noWrap/>
          </w:tcPr>
          <w:p w14:paraId="1D1866FA" w14:textId="0FFAAE4C" w:rsidR="003B6BD9" w:rsidRDefault="009E25E8">
            <w:pPr>
              <w:pStyle w:val="P68B1DB1-Normal7"/>
              <w:spacing w:before="0" w:after="0" w:line="240" w:lineRule="auto"/>
              <w:rPr>
                <w:rFonts w:eastAsia="Times New Roman"/>
                <w:noProof/>
              </w:rPr>
            </w:pPr>
            <w:r>
              <w:rPr>
                <w:noProof/>
              </w:rPr>
              <w:t>C: Augmenter les capacités de l’infrastructure ferroviaire</w:t>
            </w:r>
          </w:p>
        </w:tc>
        <w:tc>
          <w:tcPr>
            <w:tcW w:w="1080" w:type="dxa"/>
            <w:tcBorders>
              <w:top w:val="single" w:sz="4" w:space="0" w:color="auto"/>
              <w:left w:val="nil"/>
              <w:bottom w:val="single" w:sz="4" w:space="0" w:color="auto"/>
              <w:right w:val="single" w:sz="4" w:space="0" w:color="auto"/>
            </w:tcBorders>
            <w:shd w:val="clear" w:color="auto" w:fill="C6EFCE"/>
            <w:noWrap/>
          </w:tcPr>
          <w:p w14:paraId="4C333FDD" w14:textId="1EFD5674" w:rsidR="003B6BD9" w:rsidRDefault="009E25E8">
            <w:pPr>
              <w:pStyle w:val="P68B1DB1-Normal7"/>
              <w:spacing w:before="0" w:after="0" w:line="240" w:lineRule="auto"/>
              <w:rPr>
                <w:rFonts w:eastAsia="Times New Roman"/>
                <w:noProof/>
              </w:rPr>
            </w:pPr>
            <w:r>
              <w:rPr>
                <w:noProof/>
              </w:rPr>
              <w:t>Jalon</w:t>
            </w:r>
          </w:p>
        </w:tc>
        <w:tc>
          <w:tcPr>
            <w:tcW w:w="2190" w:type="dxa"/>
            <w:tcBorders>
              <w:top w:val="single" w:sz="4" w:space="0" w:color="auto"/>
              <w:left w:val="nil"/>
              <w:bottom w:val="single" w:sz="4" w:space="0" w:color="auto"/>
              <w:right w:val="single" w:sz="4" w:space="0" w:color="auto"/>
            </w:tcBorders>
            <w:shd w:val="clear" w:color="auto" w:fill="C6EFCE"/>
            <w:noWrap/>
          </w:tcPr>
          <w:p w14:paraId="6525E038" w14:textId="52CBAC89" w:rsidR="003B6BD9" w:rsidRDefault="009E25E8">
            <w:pPr>
              <w:pStyle w:val="P68B1DB1-Normal7"/>
              <w:spacing w:before="0" w:after="0" w:line="240" w:lineRule="auto"/>
              <w:rPr>
                <w:rFonts w:eastAsia="Times New Roman"/>
                <w:noProof/>
              </w:rPr>
            </w:pPr>
            <w:r>
              <w:rPr>
                <w:noProof/>
              </w:rPr>
              <w:t>Attribution de marchés pour la modernisation de tronçons ferroviaires</w:t>
            </w:r>
          </w:p>
        </w:tc>
        <w:tc>
          <w:tcPr>
            <w:tcW w:w="1770" w:type="dxa"/>
            <w:tcBorders>
              <w:top w:val="single" w:sz="4" w:space="0" w:color="auto"/>
              <w:left w:val="nil"/>
              <w:bottom w:val="single" w:sz="4" w:space="0" w:color="auto"/>
              <w:right w:val="single" w:sz="4" w:space="0" w:color="auto"/>
            </w:tcBorders>
            <w:shd w:val="clear" w:color="auto" w:fill="C6EFCE"/>
            <w:noWrap/>
          </w:tcPr>
          <w:p w14:paraId="7917A380" w14:textId="46D6AACE" w:rsidR="003B6BD9" w:rsidRDefault="009E25E8">
            <w:pPr>
              <w:pStyle w:val="P68B1DB1-Normal7"/>
              <w:spacing w:before="0" w:after="0" w:line="240" w:lineRule="auto"/>
              <w:rPr>
                <w:rFonts w:eastAsia="Times New Roman"/>
                <w:noProof/>
              </w:rPr>
            </w:pPr>
            <w:r>
              <w:rPr>
                <w:noProof/>
              </w:rPr>
              <w:t xml:space="preserve">Communication des prix pour la modernisation des voies ferrées sur les tronçons Kranj — Jesenice Ljubljana — Brezovica et Brezovica — Preserje et Preserje — Borovnica </w:t>
            </w:r>
          </w:p>
        </w:tc>
        <w:tc>
          <w:tcPr>
            <w:tcW w:w="1094" w:type="dxa"/>
            <w:tcBorders>
              <w:top w:val="single" w:sz="4" w:space="0" w:color="auto"/>
              <w:left w:val="nil"/>
              <w:bottom w:val="single" w:sz="4" w:space="0" w:color="auto"/>
              <w:right w:val="single" w:sz="4" w:space="0" w:color="auto"/>
            </w:tcBorders>
            <w:shd w:val="clear" w:color="auto" w:fill="C6EFCE"/>
            <w:noWrap/>
          </w:tcPr>
          <w:p w14:paraId="1AE85991" w14:textId="51730099" w:rsidR="003B6BD9" w:rsidRDefault="009E25E8">
            <w:pPr>
              <w:pStyle w:val="P68B1DB1-Normal7"/>
              <w:spacing w:before="0" w:after="0" w:line="240" w:lineRule="auto"/>
              <w:rPr>
                <w:rFonts w:eastAsia="Times New Roman"/>
                <w:noProof/>
              </w:rPr>
            </w:pPr>
            <w:r>
              <w:rPr>
                <w:noProof/>
              </w:rPr>
              <w:t> </w:t>
            </w:r>
          </w:p>
        </w:tc>
        <w:tc>
          <w:tcPr>
            <w:tcW w:w="1080" w:type="dxa"/>
            <w:tcBorders>
              <w:top w:val="single" w:sz="4" w:space="0" w:color="auto"/>
              <w:left w:val="nil"/>
              <w:bottom w:val="single" w:sz="4" w:space="0" w:color="auto"/>
              <w:right w:val="single" w:sz="4" w:space="0" w:color="auto"/>
            </w:tcBorders>
            <w:shd w:val="clear" w:color="auto" w:fill="C6EFCE"/>
            <w:noWrap/>
          </w:tcPr>
          <w:p w14:paraId="5EC0D116" w14:textId="43EAD955" w:rsidR="003B6BD9" w:rsidRDefault="009E25E8">
            <w:pPr>
              <w:pStyle w:val="P68B1DB1-Normal7"/>
              <w:spacing w:before="0" w:after="0" w:line="240" w:lineRule="auto"/>
              <w:rPr>
                <w:rFonts w:eastAsia="Times New Roman"/>
                <w:noProof/>
              </w:rPr>
            </w:pPr>
            <w:r>
              <w:rPr>
                <w:noProof/>
              </w:rPr>
              <w:t> </w:t>
            </w:r>
          </w:p>
        </w:tc>
        <w:tc>
          <w:tcPr>
            <w:tcW w:w="734" w:type="dxa"/>
            <w:tcBorders>
              <w:top w:val="single" w:sz="4" w:space="0" w:color="auto"/>
              <w:left w:val="nil"/>
              <w:bottom w:val="single" w:sz="4" w:space="0" w:color="auto"/>
              <w:right w:val="single" w:sz="4" w:space="0" w:color="auto"/>
            </w:tcBorders>
            <w:shd w:val="clear" w:color="auto" w:fill="C6EFCE"/>
            <w:noWrap/>
          </w:tcPr>
          <w:p w14:paraId="262228C9" w14:textId="23A06401" w:rsidR="003B6BD9" w:rsidRDefault="009E25E8">
            <w:pPr>
              <w:pStyle w:val="P68B1DB1-Normal7"/>
              <w:spacing w:before="0" w:after="0" w:line="240" w:lineRule="auto"/>
              <w:rPr>
                <w:rFonts w:eastAsia="Times New Roman"/>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07838129" w14:textId="5B2930D6" w:rsidR="003B6BD9" w:rsidRDefault="009E25E8">
            <w:pPr>
              <w:pStyle w:val="P68B1DB1-Normal7"/>
              <w:spacing w:before="0" w:after="0" w:line="240" w:lineRule="auto"/>
              <w:rPr>
                <w:rFonts w:eastAsia="Times New Roman"/>
                <w:noProof/>
              </w:rPr>
            </w:pPr>
            <w:r>
              <w:rPr>
                <w:noProof/>
              </w:rPr>
              <w:t>T4</w:t>
            </w:r>
          </w:p>
        </w:tc>
        <w:tc>
          <w:tcPr>
            <w:tcW w:w="855" w:type="dxa"/>
            <w:tcBorders>
              <w:top w:val="single" w:sz="4" w:space="0" w:color="auto"/>
              <w:left w:val="nil"/>
              <w:bottom w:val="single" w:sz="4" w:space="0" w:color="auto"/>
              <w:right w:val="single" w:sz="4" w:space="0" w:color="auto"/>
            </w:tcBorders>
            <w:shd w:val="clear" w:color="auto" w:fill="C6EFCE"/>
            <w:noWrap/>
          </w:tcPr>
          <w:p w14:paraId="5AFEC913" w14:textId="56435D9A" w:rsidR="003B6BD9" w:rsidRDefault="009E25E8">
            <w:pPr>
              <w:pStyle w:val="P68B1DB1-Normal7"/>
              <w:spacing w:before="0" w:after="0" w:line="240" w:lineRule="auto"/>
              <w:rPr>
                <w:rFonts w:eastAsia="Times New Roman"/>
                <w:noProof/>
              </w:rPr>
            </w:pPr>
            <w:r>
              <w:rPr>
                <w:noProof/>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7B74CD2B" w14:textId="320C6269" w:rsidR="003B6BD9" w:rsidRDefault="009E25E8">
            <w:pPr>
              <w:pStyle w:val="P68B1DB1-Normal7"/>
              <w:spacing w:before="0" w:after="0" w:line="240" w:lineRule="auto"/>
              <w:rPr>
                <w:rFonts w:eastAsia="Times New Roman"/>
                <w:noProof/>
              </w:rPr>
            </w:pPr>
            <w:r>
              <w:rPr>
                <w:noProof/>
              </w:rPr>
              <w:t>Attribution de marchés pour la modernisation des voies ferrées sur les tronçons Kranj — Jesenice Ljubljana — Brezovica et Brezovica — Preserje et Preserje — Borovnica. Le cahier des charges garantit la conformité avec les orientations techniques «Ne pas causer de préjudice important» (2021/C58/01) et les exigences suivantes: — Augmenter la fluidité du rail en supprimant les goulets d’étranglement sur les lignes no 50 Ljubljana — Sežana — d.m. et no 20 Ljubljana — Jesenice — d.m.; — Améliorer les lignes et les gares conformément aux spécifications techniques d’interopérabilité; — Orienter une capacité de charge de la catégorie correspondante D4 de 22,5 t/essieu 8 t/m; — Augmenter la vitesse des trains pour atteindre de nouvelles vitesses de conception.</w:t>
            </w:r>
          </w:p>
        </w:tc>
      </w:tr>
      <w:tr w:rsidR="003B6BD9" w14:paraId="55E2176B" w14:textId="77777777" w:rsidTr="00AC1D11">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0EA05709" w14:textId="29ECA0E9" w:rsidR="003B6BD9" w:rsidRDefault="009E25E8">
            <w:pPr>
              <w:pStyle w:val="P68B1DB1-Normal7"/>
              <w:spacing w:before="0" w:after="0" w:line="240" w:lineRule="auto"/>
              <w:rPr>
                <w:rFonts w:eastAsia="Times New Roman"/>
                <w:noProof/>
              </w:rPr>
            </w:pPr>
            <w:r>
              <w:rPr>
                <w:noProof/>
              </w:rPr>
              <w:t>58</w:t>
            </w:r>
          </w:p>
        </w:tc>
        <w:tc>
          <w:tcPr>
            <w:tcW w:w="1440" w:type="dxa"/>
            <w:tcBorders>
              <w:top w:val="single" w:sz="4" w:space="0" w:color="auto"/>
              <w:left w:val="nil"/>
              <w:bottom w:val="single" w:sz="4" w:space="0" w:color="auto"/>
              <w:right w:val="single" w:sz="4" w:space="0" w:color="auto"/>
            </w:tcBorders>
            <w:shd w:val="clear" w:color="auto" w:fill="C6EFCE"/>
            <w:noWrap/>
          </w:tcPr>
          <w:p w14:paraId="38379EE8" w14:textId="75E5E2FB" w:rsidR="003B6BD9" w:rsidRDefault="009E25E8">
            <w:pPr>
              <w:pStyle w:val="P68B1DB1-Normal7"/>
              <w:spacing w:before="0" w:after="0" w:line="240" w:lineRule="auto"/>
              <w:rPr>
                <w:rFonts w:eastAsia="Times New Roman"/>
                <w:noProof/>
              </w:rPr>
            </w:pPr>
            <w:r>
              <w:rPr>
                <w:noProof/>
              </w:rPr>
              <w:t>C: Augmenter les capacités de l’infrastructure ferroviaire</w:t>
            </w:r>
          </w:p>
        </w:tc>
        <w:tc>
          <w:tcPr>
            <w:tcW w:w="1080" w:type="dxa"/>
            <w:tcBorders>
              <w:top w:val="single" w:sz="4" w:space="0" w:color="auto"/>
              <w:left w:val="nil"/>
              <w:bottom w:val="single" w:sz="4" w:space="0" w:color="auto"/>
              <w:right w:val="single" w:sz="4" w:space="0" w:color="auto"/>
            </w:tcBorders>
            <w:shd w:val="clear" w:color="auto" w:fill="C6EFCE"/>
            <w:noWrap/>
          </w:tcPr>
          <w:p w14:paraId="48D7EB52" w14:textId="0F41BD4F" w:rsidR="003B6BD9" w:rsidRDefault="009E25E8">
            <w:pPr>
              <w:pStyle w:val="P68B1DB1-Normal7"/>
              <w:spacing w:before="0" w:after="0" w:line="240" w:lineRule="auto"/>
              <w:rPr>
                <w:rFonts w:eastAsia="Times New Roman"/>
                <w:noProof/>
              </w:rPr>
            </w:pPr>
            <w:r>
              <w:rPr>
                <w:noProof/>
              </w:rPr>
              <w:t>Jalon</w:t>
            </w:r>
          </w:p>
        </w:tc>
        <w:tc>
          <w:tcPr>
            <w:tcW w:w="2190" w:type="dxa"/>
            <w:tcBorders>
              <w:top w:val="single" w:sz="4" w:space="0" w:color="auto"/>
              <w:left w:val="nil"/>
              <w:bottom w:val="single" w:sz="4" w:space="0" w:color="auto"/>
              <w:right w:val="single" w:sz="4" w:space="0" w:color="auto"/>
            </w:tcBorders>
            <w:shd w:val="clear" w:color="auto" w:fill="C6EFCE"/>
            <w:noWrap/>
          </w:tcPr>
          <w:p w14:paraId="1E6B75BE" w14:textId="68083891" w:rsidR="003B6BD9" w:rsidRDefault="009E25E8">
            <w:pPr>
              <w:pStyle w:val="P68B1DB1-Normal7"/>
              <w:spacing w:before="0" w:after="0" w:line="240" w:lineRule="auto"/>
              <w:rPr>
                <w:rFonts w:eastAsia="Times New Roman"/>
                <w:noProof/>
              </w:rPr>
            </w:pPr>
            <w:r>
              <w:rPr>
                <w:noProof/>
              </w:rPr>
              <w:t xml:space="preserve">Attribution de marchés pour la modernisation des gares de Grosuplje et de Domžale </w:t>
            </w:r>
          </w:p>
        </w:tc>
        <w:tc>
          <w:tcPr>
            <w:tcW w:w="1770" w:type="dxa"/>
            <w:tcBorders>
              <w:top w:val="single" w:sz="4" w:space="0" w:color="auto"/>
              <w:left w:val="nil"/>
              <w:bottom w:val="single" w:sz="4" w:space="0" w:color="auto"/>
              <w:right w:val="single" w:sz="4" w:space="0" w:color="auto"/>
            </w:tcBorders>
            <w:shd w:val="clear" w:color="auto" w:fill="C6EFCE"/>
            <w:noWrap/>
          </w:tcPr>
          <w:p w14:paraId="1B90C268" w14:textId="1E6F0DB6" w:rsidR="003B6BD9" w:rsidRDefault="009E25E8">
            <w:pPr>
              <w:pStyle w:val="P68B1DB1-Normal7"/>
              <w:spacing w:before="0" w:after="0" w:line="240" w:lineRule="auto"/>
              <w:rPr>
                <w:rFonts w:eastAsia="Times New Roman"/>
                <w:noProof/>
              </w:rPr>
            </w:pPr>
            <w:r>
              <w:rPr>
                <w:noProof/>
              </w:rPr>
              <w:t>Communication des prix pour la modernisation des stations Grosuplje et Domžale</w:t>
            </w:r>
          </w:p>
        </w:tc>
        <w:tc>
          <w:tcPr>
            <w:tcW w:w="1094" w:type="dxa"/>
            <w:tcBorders>
              <w:top w:val="single" w:sz="4" w:space="0" w:color="auto"/>
              <w:left w:val="nil"/>
              <w:bottom w:val="single" w:sz="4" w:space="0" w:color="auto"/>
              <w:right w:val="single" w:sz="4" w:space="0" w:color="auto"/>
            </w:tcBorders>
            <w:shd w:val="clear" w:color="auto" w:fill="C6EFCE"/>
            <w:noWrap/>
          </w:tcPr>
          <w:p w14:paraId="1B7ED518" w14:textId="256DBC56" w:rsidR="003B6BD9" w:rsidRDefault="009E25E8">
            <w:pPr>
              <w:pStyle w:val="P68B1DB1-Normal7"/>
              <w:spacing w:before="0" w:after="0" w:line="240" w:lineRule="auto"/>
              <w:rPr>
                <w:rFonts w:eastAsia="Times New Roman"/>
                <w:noProof/>
              </w:rPr>
            </w:pPr>
            <w:r>
              <w:rPr>
                <w:noProof/>
              </w:rPr>
              <w:t> </w:t>
            </w:r>
          </w:p>
        </w:tc>
        <w:tc>
          <w:tcPr>
            <w:tcW w:w="1080" w:type="dxa"/>
            <w:tcBorders>
              <w:top w:val="single" w:sz="4" w:space="0" w:color="auto"/>
              <w:left w:val="nil"/>
              <w:bottom w:val="single" w:sz="4" w:space="0" w:color="auto"/>
              <w:right w:val="single" w:sz="4" w:space="0" w:color="auto"/>
            </w:tcBorders>
            <w:shd w:val="clear" w:color="auto" w:fill="C6EFCE"/>
            <w:noWrap/>
          </w:tcPr>
          <w:p w14:paraId="6BC1ADDE" w14:textId="7DDEF213" w:rsidR="003B6BD9" w:rsidRDefault="009E25E8">
            <w:pPr>
              <w:pStyle w:val="P68B1DB1-Normal7"/>
              <w:spacing w:before="0" w:after="0" w:line="240" w:lineRule="auto"/>
              <w:rPr>
                <w:rFonts w:eastAsia="Times New Roman"/>
                <w:noProof/>
              </w:rPr>
            </w:pPr>
            <w:r>
              <w:rPr>
                <w:noProof/>
              </w:rPr>
              <w:t> </w:t>
            </w:r>
          </w:p>
        </w:tc>
        <w:tc>
          <w:tcPr>
            <w:tcW w:w="734" w:type="dxa"/>
            <w:tcBorders>
              <w:top w:val="single" w:sz="4" w:space="0" w:color="auto"/>
              <w:left w:val="nil"/>
              <w:bottom w:val="single" w:sz="4" w:space="0" w:color="auto"/>
              <w:right w:val="single" w:sz="4" w:space="0" w:color="auto"/>
            </w:tcBorders>
            <w:shd w:val="clear" w:color="auto" w:fill="C6EFCE"/>
            <w:noWrap/>
          </w:tcPr>
          <w:p w14:paraId="003807AD" w14:textId="6CF9C400" w:rsidR="003B6BD9" w:rsidRDefault="009E25E8">
            <w:pPr>
              <w:pStyle w:val="P68B1DB1-Normal7"/>
              <w:spacing w:before="0" w:after="0" w:line="240" w:lineRule="auto"/>
              <w:rPr>
                <w:rFonts w:eastAsia="Times New Roman"/>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008B2C3A" w14:textId="44E13301" w:rsidR="003B6BD9" w:rsidRDefault="009E25E8">
            <w:pPr>
              <w:pStyle w:val="P68B1DB1-Normal7"/>
              <w:spacing w:before="0" w:after="0" w:line="240" w:lineRule="auto"/>
              <w:rPr>
                <w:rFonts w:eastAsia="Times New Roman"/>
                <w:noProof/>
              </w:rPr>
            </w:pPr>
            <w:r>
              <w:rPr>
                <w:noProof/>
              </w:rPr>
              <w:t>T4</w:t>
            </w:r>
          </w:p>
        </w:tc>
        <w:tc>
          <w:tcPr>
            <w:tcW w:w="855" w:type="dxa"/>
            <w:tcBorders>
              <w:top w:val="single" w:sz="4" w:space="0" w:color="auto"/>
              <w:left w:val="nil"/>
              <w:bottom w:val="single" w:sz="4" w:space="0" w:color="auto"/>
              <w:right w:val="single" w:sz="4" w:space="0" w:color="auto"/>
            </w:tcBorders>
            <w:shd w:val="clear" w:color="auto" w:fill="C6EFCE"/>
            <w:noWrap/>
          </w:tcPr>
          <w:p w14:paraId="762C5F45" w14:textId="0E6E82B6" w:rsidR="003B6BD9" w:rsidRDefault="009E25E8">
            <w:pPr>
              <w:pStyle w:val="P68B1DB1-Normal7"/>
              <w:spacing w:before="0" w:after="0" w:line="240" w:lineRule="auto"/>
              <w:rPr>
                <w:rFonts w:eastAsia="Times New Roman"/>
                <w:noProof/>
              </w:rPr>
            </w:pPr>
            <w:r>
              <w:rPr>
                <w:noProof/>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1F4FDD1B" w14:textId="40992F53" w:rsidR="003B6BD9" w:rsidRDefault="009E25E8">
            <w:pPr>
              <w:pStyle w:val="P68B1DB1-Normal7"/>
              <w:spacing w:before="0" w:after="0" w:line="240" w:lineRule="auto"/>
              <w:rPr>
                <w:rFonts w:eastAsia="Times New Roman"/>
                <w:noProof/>
              </w:rPr>
            </w:pPr>
            <w:r>
              <w:rPr>
                <w:noProof/>
              </w:rPr>
              <w:t>Attribution de marchés pour la modernisation des gares de Grosuplje et de Domžale. Le cahier des charges garantit la conformité avec les orientations techniques «Ne pas causer de préjudice important» (2021/C58/01) et comprend des améliorations de l’accessibilité actuelle pour les passagers et de la capacité des voies des lignes.</w:t>
            </w:r>
          </w:p>
        </w:tc>
      </w:tr>
      <w:tr w:rsidR="003B6BD9" w14:paraId="7873A07E" w14:textId="77777777" w:rsidTr="00AC1D11">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17694069" w14:textId="4FB94743" w:rsidR="003B6BD9" w:rsidRDefault="009E25E8">
            <w:pPr>
              <w:pStyle w:val="P68B1DB1-Normal7"/>
              <w:spacing w:before="0" w:after="0" w:line="240" w:lineRule="auto"/>
              <w:rPr>
                <w:rFonts w:eastAsia="Times New Roman"/>
                <w:noProof/>
              </w:rPr>
            </w:pPr>
            <w:r>
              <w:rPr>
                <w:noProof/>
              </w:rPr>
              <w:t>59</w:t>
            </w:r>
          </w:p>
        </w:tc>
        <w:tc>
          <w:tcPr>
            <w:tcW w:w="1440" w:type="dxa"/>
            <w:tcBorders>
              <w:top w:val="single" w:sz="4" w:space="0" w:color="auto"/>
              <w:left w:val="nil"/>
              <w:bottom w:val="single" w:sz="4" w:space="0" w:color="auto"/>
              <w:right w:val="single" w:sz="4" w:space="0" w:color="auto"/>
            </w:tcBorders>
            <w:shd w:val="clear" w:color="auto" w:fill="C6EFCE"/>
            <w:noWrap/>
          </w:tcPr>
          <w:p w14:paraId="3BD8CD71" w14:textId="11EFB374" w:rsidR="003B6BD9" w:rsidRDefault="009E25E8">
            <w:pPr>
              <w:pStyle w:val="P68B1DB1-Normal7"/>
              <w:spacing w:before="0" w:after="0" w:line="240" w:lineRule="auto"/>
              <w:rPr>
                <w:rFonts w:eastAsia="Times New Roman"/>
                <w:noProof/>
              </w:rPr>
            </w:pPr>
            <w:r>
              <w:rPr>
                <w:noProof/>
              </w:rPr>
              <w:t>C: Augmenter les capacités de l’infrastructure ferroviaire</w:t>
            </w:r>
          </w:p>
        </w:tc>
        <w:tc>
          <w:tcPr>
            <w:tcW w:w="1080" w:type="dxa"/>
            <w:tcBorders>
              <w:top w:val="single" w:sz="4" w:space="0" w:color="auto"/>
              <w:left w:val="nil"/>
              <w:bottom w:val="single" w:sz="4" w:space="0" w:color="auto"/>
              <w:right w:val="single" w:sz="4" w:space="0" w:color="auto"/>
            </w:tcBorders>
            <w:shd w:val="clear" w:color="auto" w:fill="C6EFCE"/>
            <w:noWrap/>
          </w:tcPr>
          <w:p w14:paraId="074E44F7" w14:textId="33C42203" w:rsidR="003B6BD9" w:rsidRDefault="009E25E8">
            <w:pPr>
              <w:pStyle w:val="P68B1DB1-Normal7"/>
              <w:spacing w:before="0" w:after="0" w:line="240" w:lineRule="auto"/>
              <w:rPr>
                <w:rFonts w:eastAsia="Times New Roman"/>
                <w:noProof/>
              </w:rPr>
            </w:pPr>
            <w:r>
              <w:rPr>
                <w:noProof/>
              </w:rPr>
              <w:t>Cible</w:t>
            </w:r>
          </w:p>
        </w:tc>
        <w:tc>
          <w:tcPr>
            <w:tcW w:w="2190" w:type="dxa"/>
            <w:tcBorders>
              <w:top w:val="single" w:sz="4" w:space="0" w:color="auto"/>
              <w:left w:val="nil"/>
              <w:bottom w:val="single" w:sz="4" w:space="0" w:color="auto"/>
              <w:right w:val="single" w:sz="4" w:space="0" w:color="auto"/>
            </w:tcBorders>
            <w:shd w:val="clear" w:color="auto" w:fill="C6EFCE"/>
            <w:noWrap/>
          </w:tcPr>
          <w:p w14:paraId="60B87432" w14:textId="379F730F" w:rsidR="003B6BD9" w:rsidRDefault="009E25E8">
            <w:pPr>
              <w:pStyle w:val="P68B1DB1-Normal7"/>
              <w:spacing w:before="0" w:after="0" w:line="240" w:lineRule="auto"/>
              <w:rPr>
                <w:rFonts w:eastAsia="Times New Roman"/>
                <w:noProof/>
              </w:rPr>
            </w:pPr>
            <w:r>
              <w:rPr>
                <w:noProof/>
              </w:rPr>
              <w:t xml:space="preserve">Gares ferroviaires modernisées </w:t>
            </w:r>
          </w:p>
        </w:tc>
        <w:tc>
          <w:tcPr>
            <w:tcW w:w="1770" w:type="dxa"/>
            <w:tcBorders>
              <w:top w:val="single" w:sz="4" w:space="0" w:color="auto"/>
              <w:left w:val="nil"/>
              <w:bottom w:val="single" w:sz="4" w:space="0" w:color="auto"/>
              <w:right w:val="single" w:sz="4" w:space="0" w:color="auto"/>
            </w:tcBorders>
            <w:shd w:val="clear" w:color="auto" w:fill="C6EFCE"/>
            <w:noWrap/>
          </w:tcPr>
          <w:p w14:paraId="1F4E9269" w14:textId="7B0DC948" w:rsidR="003B6BD9" w:rsidRDefault="009E25E8">
            <w:pPr>
              <w:pStyle w:val="P68B1DB1-Normal7"/>
              <w:spacing w:before="0" w:after="0" w:line="240" w:lineRule="auto"/>
              <w:rPr>
                <w:rFonts w:eastAsia="Times New Roman"/>
                <w:noProof/>
              </w:rPr>
            </w:pPr>
            <w:r>
              <w:rPr>
                <w:noProof/>
              </w:rPr>
              <w:t> </w:t>
            </w:r>
          </w:p>
        </w:tc>
        <w:tc>
          <w:tcPr>
            <w:tcW w:w="1094" w:type="dxa"/>
            <w:tcBorders>
              <w:top w:val="single" w:sz="4" w:space="0" w:color="auto"/>
              <w:left w:val="nil"/>
              <w:bottom w:val="single" w:sz="4" w:space="0" w:color="auto"/>
              <w:right w:val="single" w:sz="4" w:space="0" w:color="auto"/>
            </w:tcBorders>
            <w:shd w:val="clear" w:color="auto" w:fill="C6EFCE"/>
            <w:noWrap/>
          </w:tcPr>
          <w:p w14:paraId="5AEFD042" w14:textId="77777777" w:rsidR="003B6BD9" w:rsidRDefault="009E25E8">
            <w:pPr>
              <w:pStyle w:val="P68B1DB1-Normal7"/>
              <w:spacing w:before="0" w:after="0" w:line="256" w:lineRule="auto"/>
              <w:rPr>
                <w:rFonts w:eastAsia="Times New Roman"/>
                <w:noProof/>
              </w:rPr>
            </w:pPr>
            <w:r>
              <w:rPr>
                <w:noProof/>
              </w:rPr>
              <w:t>Nombre</w:t>
            </w:r>
          </w:p>
          <w:p w14:paraId="24537D5E" w14:textId="3D154C9E" w:rsidR="003B6BD9" w:rsidRDefault="009E25E8">
            <w:pPr>
              <w:pStyle w:val="P68B1DB1-Normal7"/>
              <w:spacing w:before="0" w:after="0" w:line="240" w:lineRule="auto"/>
              <w:rPr>
                <w:rFonts w:eastAsia="Times New Roman"/>
                <w:noProof/>
              </w:rPr>
            </w:pPr>
            <w:r>
              <w:rPr>
                <w:noProof/>
              </w:rPr>
              <w:t>(gares)</w:t>
            </w:r>
          </w:p>
        </w:tc>
        <w:tc>
          <w:tcPr>
            <w:tcW w:w="1080" w:type="dxa"/>
            <w:tcBorders>
              <w:top w:val="single" w:sz="4" w:space="0" w:color="auto"/>
              <w:left w:val="nil"/>
              <w:bottom w:val="single" w:sz="4" w:space="0" w:color="auto"/>
              <w:right w:val="single" w:sz="4" w:space="0" w:color="auto"/>
            </w:tcBorders>
            <w:shd w:val="clear" w:color="auto" w:fill="C6EFCE"/>
            <w:noWrap/>
          </w:tcPr>
          <w:p w14:paraId="31FD53F8" w14:textId="75291EAA" w:rsidR="003B6BD9" w:rsidRDefault="009E25E8">
            <w:pPr>
              <w:pStyle w:val="P68B1DB1-Normal7"/>
              <w:spacing w:before="0" w:after="0" w:line="240" w:lineRule="auto"/>
              <w:rPr>
                <w:rFonts w:eastAsia="Times New Roman"/>
                <w:noProof/>
              </w:rPr>
            </w:pPr>
            <w:r>
              <w:rPr>
                <w:noProof/>
              </w:rPr>
              <w:t>0</w:t>
            </w:r>
          </w:p>
        </w:tc>
        <w:tc>
          <w:tcPr>
            <w:tcW w:w="734" w:type="dxa"/>
            <w:tcBorders>
              <w:top w:val="single" w:sz="4" w:space="0" w:color="auto"/>
              <w:left w:val="nil"/>
              <w:bottom w:val="single" w:sz="4" w:space="0" w:color="auto"/>
              <w:right w:val="single" w:sz="4" w:space="0" w:color="auto"/>
            </w:tcBorders>
            <w:shd w:val="clear" w:color="auto" w:fill="C6EFCE"/>
            <w:noWrap/>
          </w:tcPr>
          <w:p w14:paraId="5E8B1C3F" w14:textId="458A54B9" w:rsidR="003B6BD9" w:rsidRDefault="009E25E8">
            <w:pPr>
              <w:pStyle w:val="P68B1DB1-Normal7"/>
              <w:spacing w:before="0" w:after="0" w:line="240" w:lineRule="auto"/>
              <w:rPr>
                <w:rFonts w:eastAsia="Times New Roman"/>
                <w:noProof/>
              </w:rPr>
            </w:pPr>
            <w:r>
              <w:rPr>
                <w:noProof/>
              </w:rPr>
              <w:t>2</w:t>
            </w:r>
          </w:p>
        </w:tc>
        <w:tc>
          <w:tcPr>
            <w:tcW w:w="992" w:type="dxa"/>
            <w:tcBorders>
              <w:top w:val="single" w:sz="4" w:space="0" w:color="auto"/>
              <w:left w:val="nil"/>
              <w:bottom w:val="single" w:sz="4" w:space="0" w:color="auto"/>
              <w:right w:val="single" w:sz="4" w:space="0" w:color="auto"/>
            </w:tcBorders>
            <w:shd w:val="clear" w:color="auto" w:fill="C6EFCE"/>
            <w:noWrap/>
          </w:tcPr>
          <w:p w14:paraId="19C77DD9" w14:textId="66E10583" w:rsidR="003B6BD9" w:rsidRDefault="009E25E8">
            <w:pPr>
              <w:pStyle w:val="P68B1DB1-Normal7"/>
              <w:spacing w:before="0" w:after="0" w:line="240" w:lineRule="auto"/>
              <w:rPr>
                <w:rFonts w:eastAsia="Times New Roman"/>
                <w:noProof/>
              </w:rPr>
            </w:pPr>
            <w:r>
              <w:rPr>
                <w:noProof/>
              </w:rPr>
              <w:t>T2</w:t>
            </w:r>
          </w:p>
        </w:tc>
        <w:tc>
          <w:tcPr>
            <w:tcW w:w="855" w:type="dxa"/>
            <w:tcBorders>
              <w:top w:val="single" w:sz="4" w:space="0" w:color="auto"/>
              <w:left w:val="nil"/>
              <w:bottom w:val="single" w:sz="4" w:space="0" w:color="auto"/>
              <w:right w:val="single" w:sz="4" w:space="0" w:color="auto"/>
            </w:tcBorders>
            <w:shd w:val="clear" w:color="auto" w:fill="C6EFCE"/>
            <w:noWrap/>
          </w:tcPr>
          <w:p w14:paraId="1533A2F6" w14:textId="619D574B" w:rsidR="003B6BD9" w:rsidRDefault="009E25E8">
            <w:pPr>
              <w:pStyle w:val="P68B1DB1-Normal7"/>
              <w:spacing w:before="0" w:after="0" w:line="240" w:lineRule="auto"/>
              <w:rPr>
                <w:rFonts w:eastAsia="Times New Roman"/>
                <w:noProof/>
              </w:rPr>
            </w:pPr>
            <w:r>
              <w:rPr>
                <w:noProof/>
              </w:rPr>
              <w:t>2024</w:t>
            </w:r>
          </w:p>
        </w:tc>
        <w:tc>
          <w:tcPr>
            <w:tcW w:w="3132" w:type="dxa"/>
            <w:tcBorders>
              <w:top w:val="single" w:sz="4" w:space="0" w:color="auto"/>
              <w:left w:val="nil"/>
              <w:bottom w:val="single" w:sz="4" w:space="0" w:color="auto"/>
              <w:right w:val="single" w:sz="4" w:space="0" w:color="auto"/>
            </w:tcBorders>
            <w:shd w:val="clear" w:color="auto" w:fill="C6EFCE"/>
            <w:noWrap/>
          </w:tcPr>
          <w:p w14:paraId="78FF6286" w14:textId="6C2AB6E1" w:rsidR="003B6BD9" w:rsidRDefault="009E25E8">
            <w:pPr>
              <w:pStyle w:val="P68B1DB1-Normal7"/>
              <w:spacing w:before="0" w:after="0" w:line="240" w:lineRule="auto"/>
              <w:rPr>
                <w:rFonts w:eastAsia="Times New Roman"/>
                <w:noProof/>
              </w:rPr>
            </w:pPr>
            <w:r>
              <w:rPr>
                <w:noProof/>
              </w:rPr>
              <w:t>Achèvement des travaux de rénovation à Grosuplje et Domžale conformément aux exigences du jalon 58.</w:t>
            </w:r>
          </w:p>
        </w:tc>
      </w:tr>
      <w:tr w:rsidR="003B6BD9" w14:paraId="21921836" w14:textId="77777777" w:rsidTr="00AC1D11">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28B7D320" w14:textId="3DB6BF63" w:rsidR="003B6BD9" w:rsidRDefault="009E25E8">
            <w:pPr>
              <w:pStyle w:val="P68B1DB1-Normal7"/>
              <w:spacing w:before="0" w:after="0" w:line="240" w:lineRule="auto"/>
              <w:rPr>
                <w:rFonts w:eastAsia="Times New Roman"/>
                <w:noProof/>
              </w:rPr>
            </w:pPr>
            <w:r>
              <w:rPr>
                <w:noProof/>
              </w:rPr>
              <w:t>60</w:t>
            </w:r>
          </w:p>
        </w:tc>
        <w:tc>
          <w:tcPr>
            <w:tcW w:w="1440" w:type="dxa"/>
            <w:tcBorders>
              <w:top w:val="single" w:sz="4" w:space="0" w:color="auto"/>
              <w:left w:val="nil"/>
              <w:bottom w:val="single" w:sz="4" w:space="0" w:color="auto"/>
              <w:right w:val="single" w:sz="4" w:space="0" w:color="auto"/>
            </w:tcBorders>
            <w:shd w:val="clear" w:color="auto" w:fill="C6EFCE"/>
            <w:noWrap/>
          </w:tcPr>
          <w:p w14:paraId="2F2B2D98" w14:textId="26D9174D" w:rsidR="003B6BD9" w:rsidRDefault="009E25E8">
            <w:pPr>
              <w:pStyle w:val="P68B1DB1-Normal7"/>
              <w:spacing w:before="0" w:after="0" w:line="240" w:lineRule="auto"/>
              <w:rPr>
                <w:rFonts w:eastAsia="Times New Roman"/>
                <w:noProof/>
              </w:rPr>
            </w:pPr>
            <w:r>
              <w:rPr>
                <w:noProof/>
              </w:rPr>
              <w:t>C: Augmenter les capacités de l’infrastructure ferroviaire</w:t>
            </w:r>
          </w:p>
        </w:tc>
        <w:tc>
          <w:tcPr>
            <w:tcW w:w="1080" w:type="dxa"/>
            <w:tcBorders>
              <w:top w:val="single" w:sz="4" w:space="0" w:color="auto"/>
              <w:left w:val="nil"/>
              <w:bottom w:val="single" w:sz="4" w:space="0" w:color="auto"/>
              <w:right w:val="single" w:sz="4" w:space="0" w:color="auto"/>
            </w:tcBorders>
            <w:shd w:val="clear" w:color="auto" w:fill="C6EFCE"/>
            <w:noWrap/>
          </w:tcPr>
          <w:p w14:paraId="2680F830" w14:textId="715FB2BF" w:rsidR="003B6BD9" w:rsidRDefault="009E25E8">
            <w:pPr>
              <w:pStyle w:val="P68B1DB1-Normal7"/>
              <w:spacing w:before="0" w:after="0" w:line="240" w:lineRule="auto"/>
              <w:rPr>
                <w:rFonts w:eastAsia="Times New Roman"/>
                <w:noProof/>
              </w:rPr>
            </w:pPr>
            <w:r>
              <w:rPr>
                <w:noProof/>
              </w:rPr>
              <w:t>Cible</w:t>
            </w:r>
          </w:p>
        </w:tc>
        <w:tc>
          <w:tcPr>
            <w:tcW w:w="2190" w:type="dxa"/>
            <w:tcBorders>
              <w:top w:val="single" w:sz="4" w:space="0" w:color="auto"/>
              <w:left w:val="nil"/>
              <w:bottom w:val="single" w:sz="4" w:space="0" w:color="auto"/>
              <w:right w:val="single" w:sz="4" w:space="0" w:color="auto"/>
            </w:tcBorders>
            <w:shd w:val="clear" w:color="auto" w:fill="C6EFCE"/>
            <w:noWrap/>
          </w:tcPr>
          <w:p w14:paraId="3CBE065B" w14:textId="1B95476C" w:rsidR="003B6BD9" w:rsidRDefault="009E25E8">
            <w:pPr>
              <w:pStyle w:val="P68B1DB1-Normal7"/>
              <w:spacing w:before="0" w:after="0" w:line="240" w:lineRule="auto"/>
              <w:rPr>
                <w:rFonts w:eastAsia="Times New Roman"/>
                <w:noProof/>
              </w:rPr>
            </w:pPr>
            <w:r>
              <w:rPr>
                <w:noProof/>
              </w:rPr>
              <w:t xml:space="preserve">Longueur des lignes ferroviaires reconstruites </w:t>
            </w:r>
          </w:p>
        </w:tc>
        <w:tc>
          <w:tcPr>
            <w:tcW w:w="1770" w:type="dxa"/>
            <w:tcBorders>
              <w:top w:val="single" w:sz="4" w:space="0" w:color="auto"/>
              <w:left w:val="nil"/>
              <w:bottom w:val="single" w:sz="4" w:space="0" w:color="auto"/>
              <w:right w:val="single" w:sz="4" w:space="0" w:color="auto"/>
            </w:tcBorders>
            <w:shd w:val="clear" w:color="auto" w:fill="C6EFCE"/>
            <w:noWrap/>
          </w:tcPr>
          <w:p w14:paraId="61069E62" w14:textId="1CC855DE" w:rsidR="003B6BD9" w:rsidRDefault="009E25E8">
            <w:pPr>
              <w:pStyle w:val="P68B1DB1-Normal7"/>
              <w:spacing w:before="0" w:after="0" w:line="240" w:lineRule="auto"/>
              <w:rPr>
                <w:rFonts w:eastAsia="Times New Roman"/>
                <w:noProof/>
              </w:rPr>
            </w:pPr>
            <w:r>
              <w:rPr>
                <w:noProof/>
              </w:rPr>
              <w:t> </w:t>
            </w:r>
          </w:p>
        </w:tc>
        <w:tc>
          <w:tcPr>
            <w:tcW w:w="1094" w:type="dxa"/>
            <w:tcBorders>
              <w:top w:val="single" w:sz="4" w:space="0" w:color="auto"/>
              <w:left w:val="nil"/>
              <w:bottom w:val="single" w:sz="4" w:space="0" w:color="auto"/>
              <w:right w:val="single" w:sz="4" w:space="0" w:color="auto"/>
            </w:tcBorders>
            <w:shd w:val="clear" w:color="auto" w:fill="C6EFCE"/>
            <w:noWrap/>
          </w:tcPr>
          <w:p w14:paraId="4C92E4F6" w14:textId="77777777" w:rsidR="003B6BD9" w:rsidRDefault="009E25E8">
            <w:pPr>
              <w:pStyle w:val="P68B1DB1-Normal7"/>
              <w:spacing w:before="0" w:after="0" w:line="256" w:lineRule="auto"/>
              <w:rPr>
                <w:rFonts w:eastAsia="Times New Roman"/>
                <w:noProof/>
              </w:rPr>
            </w:pPr>
            <w:r>
              <w:rPr>
                <w:noProof/>
              </w:rPr>
              <w:t>Nombre</w:t>
            </w:r>
          </w:p>
          <w:p w14:paraId="55F700D3" w14:textId="3A669DDD" w:rsidR="003B6BD9" w:rsidRDefault="009E25E8">
            <w:pPr>
              <w:pStyle w:val="P68B1DB1-Normal7"/>
              <w:spacing w:before="0" w:after="0" w:line="240" w:lineRule="auto"/>
              <w:rPr>
                <w:rFonts w:eastAsia="Times New Roman"/>
                <w:noProof/>
              </w:rPr>
            </w:pPr>
            <w:r>
              <w:rPr>
                <w:noProof/>
              </w:rPr>
              <w:t>(km)</w:t>
            </w:r>
          </w:p>
        </w:tc>
        <w:tc>
          <w:tcPr>
            <w:tcW w:w="1080" w:type="dxa"/>
            <w:tcBorders>
              <w:top w:val="single" w:sz="4" w:space="0" w:color="auto"/>
              <w:left w:val="nil"/>
              <w:bottom w:val="single" w:sz="4" w:space="0" w:color="auto"/>
              <w:right w:val="single" w:sz="4" w:space="0" w:color="auto"/>
            </w:tcBorders>
            <w:shd w:val="clear" w:color="auto" w:fill="C6EFCE"/>
            <w:noWrap/>
          </w:tcPr>
          <w:p w14:paraId="7FE775B7" w14:textId="0DC301BA" w:rsidR="003B6BD9" w:rsidRDefault="009E25E8">
            <w:pPr>
              <w:pStyle w:val="P68B1DB1-Normal7"/>
              <w:spacing w:before="0" w:after="0" w:line="240" w:lineRule="auto"/>
              <w:rPr>
                <w:rFonts w:eastAsia="Times New Roman"/>
                <w:noProof/>
              </w:rPr>
            </w:pPr>
            <w:r>
              <w:rPr>
                <w:noProof/>
              </w:rPr>
              <w:t>0</w:t>
            </w:r>
          </w:p>
        </w:tc>
        <w:tc>
          <w:tcPr>
            <w:tcW w:w="734" w:type="dxa"/>
            <w:tcBorders>
              <w:top w:val="single" w:sz="4" w:space="0" w:color="auto"/>
              <w:left w:val="nil"/>
              <w:bottom w:val="single" w:sz="4" w:space="0" w:color="auto"/>
              <w:right w:val="single" w:sz="4" w:space="0" w:color="auto"/>
            </w:tcBorders>
            <w:shd w:val="clear" w:color="auto" w:fill="C6EFCE"/>
            <w:noWrap/>
          </w:tcPr>
          <w:p w14:paraId="6D9BF03A" w14:textId="1899FEA3" w:rsidR="003B6BD9" w:rsidRDefault="009E25E8">
            <w:pPr>
              <w:pStyle w:val="P68B1DB1-Normal7"/>
              <w:spacing w:before="0" w:after="0" w:line="240" w:lineRule="auto"/>
              <w:rPr>
                <w:rFonts w:eastAsia="Times New Roman"/>
                <w:noProof/>
              </w:rPr>
            </w:pPr>
            <w:r>
              <w:rPr>
                <w:noProof/>
              </w:rPr>
              <w:t>49</w:t>
            </w:r>
          </w:p>
        </w:tc>
        <w:tc>
          <w:tcPr>
            <w:tcW w:w="992" w:type="dxa"/>
            <w:tcBorders>
              <w:top w:val="single" w:sz="4" w:space="0" w:color="auto"/>
              <w:left w:val="nil"/>
              <w:bottom w:val="single" w:sz="4" w:space="0" w:color="auto"/>
              <w:right w:val="single" w:sz="4" w:space="0" w:color="auto"/>
            </w:tcBorders>
            <w:shd w:val="clear" w:color="auto" w:fill="C6EFCE"/>
            <w:noWrap/>
          </w:tcPr>
          <w:p w14:paraId="125BDFED" w14:textId="04D85E21" w:rsidR="003B6BD9" w:rsidRDefault="009E25E8">
            <w:pPr>
              <w:pStyle w:val="P68B1DB1-Normal7"/>
              <w:spacing w:before="0" w:after="0" w:line="240" w:lineRule="auto"/>
              <w:rPr>
                <w:rFonts w:eastAsia="Times New Roman"/>
                <w:noProof/>
              </w:rPr>
            </w:pPr>
            <w:r>
              <w:rPr>
                <w:noProof/>
              </w:rPr>
              <w:t>T2</w:t>
            </w:r>
          </w:p>
        </w:tc>
        <w:tc>
          <w:tcPr>
            <w:tcW w:w="855" w:type="dxa"/>
            <w:tcBorders>
              <w:top w:val="single" w:sz="4" w:space="0" w:color="auto"/>
              <w:left w:val="nil"/>
              <w:bottom w:val="single" w:sz="4" w:space="0" w:color="auto"/>
              <w:right w:val="single" w:sz="4" w:space="0" w:color="auto"/>
            </w:tcBorders>
            <w:shd w:val="clear" w:color="auto" w:fill="C6EFCE"/>
            <w:noWrap/>
          </w:tcPr>
          <w:p w14:paraId="69AA4E81" w14:textId="4B9FFD36" w:rsidR="003B6BD9" w:rsidRDefault="009E25E8">
            <w:pPr>
              <w:pStyle w:val="P68B1DB1-Normal7"/>
              <w:spacing w:before="0" w:after="0" w:line="240" w:lineRule="auto"/>
              <w:rPr>
                <w:noProof/>
              </w:rPr>
            </w:pPr>
            <w:r>
              <w:rPr>
                <w:noProof/>
              </w:rPr>
              <w:t>2025</w:t>
            </w:r>
          </w:p>
        </w:tc>
        <w:tc>
          <w:tcPr>
            <w:tcW w:w="3132" w:type="dxa"/>
            <w:tcBorders>
              <w:top w:val="single" w:sz="4" w:space="0" w:color="auto"/>
              <w:left w:val="nil"/>
              <w:bottom w:val="single" w:sz="4" w:space="0" w:color="auto"/>
              <w:right w:val="single" w:sz="4" w:space="0" w:color="auto"/>
            </w:tcBorders>
            <w:shd w:val="clear" w:color="auto" w:fill="C6EFCE"/>
            <w:noWrap/>
          </w:tcPr>
          <w:p w14:paraId="459288AC" w14:textId="6588CFC7" w:rsidR="003B6BD9" w:rsidRDefault="009E25E8">
            <w:pPr>
              <w:pStyle w:val="P68B1DB1-Normal7"/>
              <w:spacing w:before="0" w:after="0" w:line="240" w:lineRule="auto"/>
              <w:rPr>
                <w:noProof/>
              </w:rPr>
            </w:pPr>
            <w:r>
              <w:rPr>
                <w:noProof/>
              </w:rPr>
              <w:t>Réfection des lignes ferroviaires Kranj-Jesenice et Ljubljana-Brezovica-Borovnica, pour un total de 49 kilomètres.</w:t>
            </w:r>
          </w:p>
        </w:tc>
      </w:tr>
      <w:tr w:rsidR="003B6BD9" w14:paraId="72B35202" w14:textId="77777777" w:rsidTr="00AC1D11">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31C6DE47" w14:textId="1AF63A5C" w:rsidR="003B6BD9" w:rsidRDefault="009E25E8">
            <w:pPr>
              <w:pStyle w:val="P68B1DB1-Normal7"/>
              <w:spacing w:before="0" w:after="0" w:line="240" w:lineRule="auto"/>
              <w:rPr>
                <w:rFonts w:eastAsia="Times New Roman"/>
                <w:noProof/>
              </w:rPr>
            </w:pPr>
            <w:r>
              <w:rPr>
                <w:noProof/>
              </w:rPr>
              <w:t>62</w:t>
            </w:r>
          </w:p>
        </w:tc>
        <w:tc>
          <w:tcPr>
            <w:tcW w:w="1440" w:type="dxa"/>
            <w:tcBorders>
              <w:top w:val="single" w:sz="4" w:space="0" w:color="auto"/>
              <w:left w:val="nil"/>
              <w:bottom w:val="single" w:sz="4" w:space="0" w:color="auto"/>
              <w:right w:val="single" w:sz="4" w:space="0" w:color="auto"/>
            </w:tcBorders>
            <w:shd w:val="clear" w:color="auto" w:fill="C6EFCE"/>
            <w:noWrap/>
          </w:tcPr>
          <w:p w14:paraId="354A213C" w14:textId="413546FF" w:rsidR="003B6BD9" w:rsidRDefault="009E25E8">
            <w:pPr>
              <w:pStyle w:val="P68B1DB1-Normal7"/>
              <w:spacing w:before="0" w:after="0" w:line="240" w:lineRule="auto"/>
              <w:rPr>
                <w:rFonts w:eastAsia="Times New Roman"/>
                <w:noProof/>
              </w:rPr>
            </w:pPr>
            <w:r>
              <w:rPr>
                <w:noProof/>
              </w:rPr>
              <w:t xml:space="preserve">D: Numérisation des infrastructures routières </w:t>
            </w:r>
          </w:p>
        </w:tc>
        <w:tc>
          <w:tcPr>
            <w:tcW w:w="1080" w:type="dxa"/>
            <w:tcBorders>
              <w:top w:val="single" w:sz="4" w:space="0" w:color="auto"/>
              <w:left w:val="nil"/>
              <w:bottom w:val="single" w:sz="4" w:space="0" w:color="auto"/>
              <w:right w:val="single" w:sz="4" w:space="0" w:color="auto"/>
            </w:tcBorders>
            <w:shd w:val="clear" w:color="auto" w:fill="C6EFCE"/>
            <w:noWrap/>
          </w:tcPr>
          <w:p w14:paraId="77E9D3A9" w14:textId="1E3EC981" w:rsidR="003B6BD9" w:rsidRDefault="009E25E8">
            <w:pPr>
              <w:pStyle w:val="P68B1DB1-Normal7"/>
              <w:spacing w:before="0" w:after="0" w:line="240" w:lineRule="auto"/>
              <w:rPr>
                <w:rFonts w:eastAsia="Times New Roman"/>
                <w:noProof/>
              </w:rPr>
            </w:pPr>
            <w:r>
              <w:rPr>
                <w:noProof/>
              </w:rPr>
              <w:t>Cible</w:t>
            </w:r>
          </w:p>
        </w:tc>
        <w:tc>
          <w:tcPr>
            <w:tcW w:w="2190" w:type="dxa"/>
            <w:tcBorders>
              <w:top w:val="single" w:sz="4" w:space="0" w:color="auto"/>
              <w:left w:val="nil"/>
              <w:bottom w:val="single" w:sz="4" w:space="0" w:color="auto"/>
              <w:right w:val="single" w:sz="4" w:space="0" w:color="auto"/>
            </w:tcBorders>
            <w:shd w:val="clear" w:color="auto" w:fill="C6EFCE"/>
            <w:noWrap/>
          </w:tcPr>
          <w:p w14:paraId="6069E491" w14:textId="69C50B3D" w:rsidR="003B6BD9" w:rsidRDefault="009E25E8">
            <w:pPr>
              <w:pStyle w:val="P68B1DB1-Normal7"/>
              <w:spacing w:before="0" w:after="0" w:line="240" w:lineRule="auto"/>
              <w:rPr>
                <w:rFonts w:eastAsia="Times New Roman"/>
                <w:noProof/>
              </w:rPr>
            </w:pPr>
            <w:r>
              <w:rPr>
                <w:noProof/>
              </w:rPr>
              <w:t xml:space="preserve">Routes couvertes par un système de contrôle et de gestion du trafic </w:t>
            </w:r>
          </w:p>
        </w:tc>
        <w:tc>
          <w:tcPr>
            <w:tcW w:w="1770" w:type="dxa"/>
            <w:tcBorders>
              <w:top w:val="single" w:sz="4" w:space="0" w:color="auto"/>
              <w:left w:val="nil"/>
              <w:bottom w:val="single" w:sz="4" w:space="0" w:color="auto"/>
              <w:right w:val="single" w:sz="4" w:space="0" w:color="auto"/>
            </w:tcBorders>
            <w:shd w:val="clear" w:color="auto" w:fill="C6EFCE"/>
            <w:noWrap/>
          </w:tcPr>
          <w:p w14:paraId="59727759" w14:textId="474D17E6" w:rsidR="003B6BD9" w:rsidRDefault="009E25E8">
            <w:pPr>
              <w:pStyle w:val="P68B1DB1-Normal7"/>
              <w:spacing w:before="0" w:after="0" w:line="240" w:lineRule="auto"/>
              <w:rPr>
                <w:rFonts w:eastAsia="Times New Roman"/>
                <w:noProof/>
              </w:rPr>
            </w:pPr>
            <w:r>
              <w:rPr>
                <w:noProof/>
              </w:rPr>
              <w:t> </w:t>
            </w:r>
          </w:p>
        </w:tc>
        <w:tc>
          <w:tcPr>
            <w:tcW w:w="1094" w:type="dxa"/>
            <w:tcBorders>
              <w:top w:val="single" w:sz="4" w:space="0" w:color="auto"/>
              <w:left w:val="nil"/>
              <w:bottom w:val="single" w:sz="4" w:space="0" w:color="auto"/>
              <w:right w:val="single" w:sz="4" w:space="0" w:color="auto"/>
            </w:tcBorders>
            <w:shd w:val="clear" w:color="auto" w:fill="C6EFCE"/>
            <w:noWrap/>
          </w:tcPr>
          <w:p w14:paraId="739AAC3E" w14:textId="77777777" w:rsidR="003B6BD9" w:rsidRDefault="009E25E8">
            <w:pPr>
              <w:pStyle w:val="P68B1DB1-Normal7"/>
              <w:spacing w:before="0" w:after="0" w:line="256" w:lineRule="auto"/>
              <w:rPr>
                <w:rFonts w:eastAsia="Times New Roman"/>
                <w:noProof/>
              </w:rPr>
            </w:pPr>
            <w:r>
              <w:rPr>
                <w:noProof/>
              </w:rPr>
              <w:t>Nombre</w:t>
            </w:r>
          </w:p>
          <w:p w14:paraId="17598805" w14:textId="0FCEB0A0" w:rsidR="003B6BD9" w:rsidRDefault="009E25E8">
            <w:pPr>
              <w:pStyle w:val="P68B1DB1-Normal7"/>
              <w:spacing w:before="0" w:after="0" w:line="240" w:lineRule="auto"/>
              <w:rPr>
                <w:rFonts w:eastAsia="Times New Roman"/>
                <w:noProof/>
              </w:rPr>
            </w:pPr>
            <w:r>
              <w:rPr>
                <w:noProof/>
              </w:rPr>
              <w:t>(km)</w:t>
            </w:r>
          </w:p>
        </w:tc>
        <w:tc>
          <w:tcPr>
            <w:tcW w:w="1080" w:type="dxa"/>
            <w:tcBorders>
              <w:top w:val="single" w:sz="4" w:space="0" w:color="auto"/>
              <w:left w:val="nil"/>
              <w:bottom w:val="single" w:sz="4" w:space="0" w:color="auto"/>
              <w:right w:val="single" w:sz="4" w:space="0" w:color="auto"/>
            </w:tcBorders>
            <w:shd w:val="clear" w:color="auto" w:fill="C6EFCE"/>
            <w:noWrap/>
          </w:tcPr>
          <w:p w14:paraId="60C3F6DD" w14:textId="075AA566" w:rsidR="003B6BD9" w:rsidRDefault="009E25E8">
            <w:pPr>
              <w:pStyle w:val="P68B1DB1-Normal7"/>
              <w:spacing w:before="0" w:after="0" w:line="240" w:lineRule="auto"/>
              <w:rPr>
                <w:rFonts w:eastAsia="Times New Roman"/>
                <w:noProof/>
              </w:rPr>
            </w:pPr>
            <w:r>
              <w:rPr>
                <w:noProof/>
              </w:rPr>
              <w:t>0</w:t>
            </w:r>
          </w:p>
        </w:tc>
        <w:tc>
          <w:tcPr>
            <w:tcW w:w="734" w:type="dxa"/>
            <w:tcBorders>
              <w:top w:val="single" w:sz="4" w:space="0" w:color="auto"/>
              <w:left w:val="nil"/>
              <w:bottom w:val="single" w:sz="4" w:space="0" w:color="auto"/>
              <w:right w:val="single" w:sz="4" w:space="0" w:color="auto"/>
            </w:tcBorders>
            <w:shd w:val="clear" w:color="auto" w:fill="C6EFCE"/>
            <w:noWrap/>
          </w:tcPr>
          <w:p w14:paraId="58E26E53" w14:textId="3B87E12B" w:rsidR="003B6BD9" w:rsidRDefault="009E25E8">
            <w:pPr>
              <w:pStyle w:val="P68B1DB1-Normal7"/>
              <w:spacing w:before="0" w:after="0" w:line="240" w:lineRule="auto"/>
              <w:rPr>
                <w:rFonts w:eastAsia="Times New Roman"/>
                <w:noProof/>
              </w:rPr>
            </w:pPr>
            <w:r>
              <w:rPr>
                <w:noProof/>
              </w:rPr>
              <w:t>70</w:t>
            </w:r>
          </w:p>
        </w:tc>
        <w:tc>
          <w:tcPr>
            <w:tcW w:w="992" w:type="dxa"/>
            <w:tcBorders>
              <w:top w:val="single" w:sz="4" w:space="0" w:color="auto"/>
              <w:left w:val="nil"/>
              <w:bottom w:val="single" w:sz="4" w:space="0" w:color="auto"/>
              <w:right w:val="single" w:sz="4" w:space="0" w:color="auto"/>
            </w:tcBorders>
            <w:shd w:val="clear" w:color="auto" w:fill="C6EFCE"/>
            <w:noWrap/>
          </w:tcPr>
          <w:p w14:paraId="01AF5187" w14:textId="71CD400D" w:rsidR="003B6BD9" w:rsidRDefault="009E25E8">
            <w:pPr>
              <w:pStyle w:val="P68B1DB1-Normal7"/>
              <w:spacing w:before="0" w:after="0" w:line="240" w:lineRule="auto"/>
              <w:rPr>
                <w:rFonts w:eastAsia="Times New Roman"/>
                <w:noProof/>
              </w:rPr>
            </w:pPr>
            <w:r>
              <w:rPr>
                <w:noProof/>
              </w:rPr>
              <w:t>T2</w:t>
            </w:r>
          </w:p>
        </w:tc>
        <w:tc>
          <w:tcPr>
            <w:tcW w:w="855" w:type="dxa"/>
            <w:tcBorders>
              <w:top w:val="single" w:sz="4" w:space="0" w:color="auto"/>
              <w:left w:val="nil"/>
              <w:bottom w:val="single" w:sz="4" w:space="0" w:color="auto"/>
              <w:right w:val="single" w:sz="4" w:space="0" w:color="auto"/>
            </w:tcBorders>
            <w:shd w:val="clear" w:color="auto" w:fill="C6EFCE"/>
            <w:noWrap/>
          </w:tcPr>
          <w:p w14:paraId="3DD766AF" w14:textId="6A1F2CEE" w:rsidR="003B6BD9" w:rsidRDefault="009E25E8">
            <w:pPr>
              <w:pStyle w:val="P68B1DB1-Normal7"/>
              <w:spacing w:before="0" w:after="0" w:line="240" w:lineRule="auto"/>
              <w:rPr>
                <w:rFonts w:eastAsia="Times New Roman"/>
                <w:noProof/>
              </w:rPr>
            </w:pPr>
            <w:r>
              <w:rPr>
                <w:noProof/>
              </w:rPr>
              <w:t>2026</w:t>
            </w:r>
          </w:p>
        </w:tc>
        <w:tc>
          <w:tcPr>
            <w:tcW w:w="3132" w:type="dxa"/>
            <w:tcBorders>
              <w:top w:val="single" w:sz="4" w:space="0" w:color="auto"/>
              <w:left w:val="nil"/>
              <w:bottom w:val="single" w:sz="4" w:space="0" w:color="auto"/>
              <w:right w:val="single" w:sz="4" w:space="0" w:color="auto"/>
            </w:tcBorders>
            <w:shd w:val="clear" w:color="auto" w:fill="C6EFCE"/>
            <w:noWrap/>
          </w:tcPr>
          <w:p w14:paraId="0B8B1BB9" w14:textId="2C1FEFFA" w:rsidR="003B6BD9" w:rsidRDefault="009E25E8">
            <w:pPr>
              <w:pStyle w:val="P68B1DB1-Normal7"/>
              <w:spacing w:before="0" w:after="0" w:line="240" w:lineRule="auto"/>
              <w:rPr>
                <w:noProof/>
              </w:rPr>
            </w:pPr>
            <w:r>
              <w:rPr>
                <w:noProof/>
              </w:rPr>
              <w:t xml:space="preserve">Couverture de 70 km de routes par un système de contrôle et de gestion du trafic et de nouveaux équipements pour les routes nationales centralisées et le centre de contrôle des autoroutes. </w:t>
            </w:r>
          </w:p>
        </w:tc>
      </w:tr>
      <w:tr w:rsidR="003B6BD9" w14:paraId="11C3BC2F" w14:textId="77777777" w:rsidTr="00AC1D11">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1003C804" w14:textId="5A3422D8" w:rsidR="003B6BD9" w:rsidRDefault="009E25E8">
            <w:pPr>
              <w:pStyle w:val="P68B1DB1-Normal7"/>
              <w:spacing w:before="0" w:after="0" w:line="240" w:lineRule="auto"/>
              <w:rPr>
                <w:rFonts w:eastAsia="Times New Roman"/>
                <w:noProof/>
              </w:rPr>
            </w:pPr>
            <w:bookmarkStart w:id="10" w:name="_Hlk142662238"/>
            <w:r>
              <w:rPr>
                <w:noProof/>
              </w:rPr>
              <w:t>63</w:t>
            </w:r>
          </w:p>
        </w:tc>
        <w:tc>
          <w:tcPr>
            <w:tcW w:w="1440" w:type="dxa"/>
            <w:tcBorders>
              <w:top w:val="single" w:sz="4" w:space="0" w:color="auto"/>
              <w:left w:val="nil"/>
              <w:bottom w:val="single" w:sz="4" w:space="0" w:color="auto"/>
              <w:right w:val="single" w:sz="4" w:space="0" w:color="auto"/>
            </w:tcBorders>
            <w:shd w:val="clear" w:color="auto" w:fill="C6EFCE"/>
            <w:noWrap/>
          </w:tcPr>
          <w:p w14:paraId="7C1D01AA" w14:textId="1D299C5A" w:rsidR="003B6BD9" w:rsidRDefault="009E25E8">
            <w:pPr>
              <w:pStyle w:val="P68B1DB1-Normal7"/>
              <w:spacing w:before="0" w:after="0" w:line="240" w:lineRule="auto"/>
              <w:rPr>
                <w:rFonts w:eastAsia="Times New Roman"/>
                <w:noProof/>
              </w:rPr>
            </w:pPr>
            <w:r>
              <w:rPr>
                <w:noProof/>
              </w:rPr>
              <w:t>B: Réforme du déploiement d’une infrastructure pour carburants alternatifs</w:t>
            </w:r>
          </w:p>
        </w:tc>
        <w:tc>
          <w:tcPr>
            <w:tcW w:w="1080" w:type="dxa"/>
            <w:tcBorders>
              <w:top w:val="single" w:sz="4" w:space="0" w:color="auto"/>
              <w:left w:val="nil"/>
              <w:bottom w:val="single" w:sz="4" w:space="0" w:color="auto"/>
              <w:right w:val="single" w:sz="4" w:space="0" w:color="auto"/>
            </w:tcBorders>
            <w:shd w:val="clear" w:color="auto" w:fill="C6EFCE"/>
            <w:noWrap/>
          </w:tcPr>
          <w:p w14:paraId="7FD5CA25" w14:textId="605FE10A" w:rsidR="003B6BD9" w:rsidRDefault="009E25E8">
            <w:pPr>
              <w:pStyle w:val="P68B1DB1-Normal7"/>
              <w:spacing w:before="0" w:after="0" w:line="240" w:lineRule="auto"/>
              <w:rPr>
                <w:rFonts w:eastAsia="Times New Roman"/>
                <w:noProof/>
              </w:rPr>
            </w:pPr>
            <w:r>
              <w:rPr>
                <w:noProof/>
              </w:rPr>
              <w:t>Jalon</w:t>
            </w:r>
          </w:p>
        </w:tc>
        <w:tc>
          <w:tcPr>
            <w:tcW w:w="2190" w:type="dxa"/>
            <w:tcBorders>
              <w:top w:val="single" w:sz="4" w:space="0" w:color="auto"/>
              <w:left w:val="nil"/>
              <w:bottom w:val="single" w:sz="4" w:space="0" w:color="auto"/>
              <w:right w:val="single" w:sz="4" w:space="0" w:color="auto"/>
            </w:tcBorders>
            <w:shd w:val="clear" w:color="auto" w:fill="C6EFCE"/>
            <w:noWrap/>
          </w:tcPr>
          <w:p w14:paraId="47B8E327" w14:textId="59492D40" w:rsidR="003B6BD9" w:rsidRDefault="009E25E8">
            <w:pPr>
              <w:pStyle w:val="P68B1DB1-Normal7"/>
              <w:spacing w:before="0" w:after="0" w:line="240" w:lineRule="auto"/>
              <w:rPr>
                <w:rFonts w:eastAsia="Times New Roman"/>
                <w:noProof/>
              </w:rPr>
            </w:pPr>
            <w:r>
              <w:rPr>
                <w:noProof/>
              </w:rPr>
              <w:t>Entrée en vigueur d’une loi sur les carburants alternatifs dans les transports</w:t>
            </w:r>
          </w:p>
        </w:tc>
        <w:tc>
          <w:tcPr>
            <w:tcW w:w="1770" w:type="dxa"/>
            <w:tcBorders>
              <w:top w:val="single" w:sz="4" w:space="0" w:color="auto"/>
              <w:left w:val="nil"/>
              <w:bottom w:val="single" w:sz="4" w:space="0" w:color="auto"/>
              <w:right w:val="single" w:sz="4" w:space="0" w:color="auto"/>
            </w:tcBorders>
            <w:shd w:val="clear" w:color="auto" w:fill="C6EFCE"/>
            <w:noWrap/>
          </w:tcPr>
          <w:p w14:paraId="1AEF36CC" w14:textId="6759CA50" w:rsidR="003B6BD9" w:rsidRDefault="009E25E8">
            <w:pPr>
              <w:pStyle w:val="P68B1DB1-Normal7"/>
              <w:spacing w:before="0" w:after="0" w:line="240" w:lineRule="auto"/>
              <w:rPr>
                <w:rFonts w:eastAsia="Times New Roman"/>
                <w:noProof/>
              </w:rPr>
            </w:pPr>
            <w:r>
              <w:rPr>
                <w:noProof/>
              </w:rPr>
              <w:t xml:space="preserve">L’entrée en vigueur d’une loi établissant un cadre réglementaire national dans le domaine des carburants de substitution pour les transports. </w:t>
            </w:r>
          </w:p>
        </w:tc>
        <w:tc>
          <w:tcPr>
            <w:tcW w:w="1094" w:type="dxa"/>
            <w:tcBorders>
              <w:top w:val="single" w:sz="4" w:space="0" w:color="auto"/>
              <w:left w:val="nil"/>
              <w:bottom w:val="single" w:sz="4" w:space="0" w:color="auto"/>
              <w:right w:val="single" w:sz="4" w:space="0" w:color="auto"/>
            </w:tcBorders>
            <w:shd w:val="clear" w:color="auto" w:fill="C6EFCE"/>
            <w:noWrap/>
          </w:tcPr>
          <w:p w14:paraId="6615EB9A" w14:textId="7AB345A3" w:rsidR="003B6BD9" w:rsidRDefault="009E25E8">
            <w:pPr>
              <w:pStyle w:val="P68B1DB1-Normal7"/>
              <w:spacing w:before="0" w:after="0" w:line="240" w:lineRule="auto"/>
              <w:rPr>
                <w:rFonts w:eastAsia="Times New Roman"/>
                <w:noProof/>
              </w:rPr>
            </w:pPr>
            <w:r>
              <w:rPr>
                <w:noProof/>
              </w:rPr>
              <w:t> </w:t>
            </w:r>
          </w:p>
        </w:tc>
        <w:tc>
          <w:tcPr>
            <w:tcW w:w="1080" w:type="dxa"/>
            <w:tcBorders>
              <w:top w:val="single" w:sz="4" w:space="0" w:color="auto"/>
              <w:left w:val="nil"/>
              <w:bottom w:val="single" w:sz="4" w:space="0" w:color="auto"/>
              <w:right w:val="single" w:sz="4" w:space="0" w:color="auto"/>
            </w:tcBorders>
            <w:shd w:val="clear" w:color="auto" w:fill="C6EFCE"/>
            <w:noWrap/>
          </w:tcPr>
          <w:p w14:paraId="71FC5553" w14:textId="4A83719B" w:rsidR="003B6BD9" w:rsidRDefault="009E25E8">
            <w:pPr>
              <w:pStyle w:val="P68B1DB1-Normal7"/>
              <w:spacing w:before="0" w:after="0" w:line="240" w:lineRule="auto"/>
              <w:rPr>
                <w:rFonts w:eastAsia="Times New Roman"/>
                <w:noProof/>
              </w:rPr>
            </w:pPr>
            <w:r>
              <w:rPr>
                <w:noProof/>
              </w:rPr>
              <w:t> </w:t>
            </w:r>
          </w:p>
        </w:tc>
        <w:tc>
          <w:tcPr>
            <w:tcW w:w="734" w:type="dxa"/>
            <w:tcBorders>
              <w:top w:val="single" w:sz="4" w:space="0" w:color="auto"/>
              <w:left w:val="nil"/>
              <w:bottom w:val="single" w:sz="4" w:space="0" w:color="auto"/>
              <w:right w:val="single" w:sz="4" w:space="0" w:color="auto"/>
            </w:tcBorders>
            <w:shd w:val="clear" w:color="auto" w:fill="C6EFCE"/>
            <w:noWrap/>
          </w:tcPr>
          <w:p w14:paraId="78623DF2" w14:textId="2FAA16A9" w:rsidR="003B6BD9" w:rsidRDefault="009E25E8">
            <w:pPr>
              <w:pStyle w:val="P68B1DB1-Normal7"/>
              <w:spacing w:before="0" w:after="0" w:line="240" w:lineRule="auto"/>
              <w:rPr>
                <w:rFonts w:eastAsia="Times New Roman"/>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6BEF6339" w14:textId="2B341295" w:rsidR="003B6BD9" w:rsidRDefault="009E25E8">
            <w:pPr>
              <w:pStyle w:val="P68B1DB1-Normal7"/>
              <w:spacing w:before="0" w:after="0" w:line="240" w:lineRule="auto"/>
              <w:rPr>
                <w:rFonts w:eastAsia="Times New Roman"/>
                <w:noProof/>
              </w:rPr>
            </w:pPr>
            <w:r>
              <w:rPr>
                <w:noProof/>
              </w:rPr>
              <w:t>T2</w:t>
            </w:r>
          </w:p>
        </w:tc>
        <w:tc>
          <w:tcPr>
            <w:tcW w:w="855" w:type="dxa"/>
            <w:tcBorders>
              <w:top w:val="single" w:sz="4" w:space="0" w:color="auto"/>
              <w:left w:val="nil"/>
              <w:bottom w:val="single" w:sz="4" w:space="0" w:color="auto"/>
              <w:right w:val="single" w:sz="4" w:space="0" w:color="auto"/>
            </w:tcBorders>
            <w:shd w:val="clear" w:color="auto" w:fill="C6EFCE"/>
            <w:noWrap/>
          </w:tcPr>
          <w:p w14:paraId="59BE7AB7" w14:textId="07B9B905" w:rsidR="003B6BD9" w:rsidRDefault="009E25E8">
            <w:pPr>
              <w:pStyle w:val="P68B1DB1-Normal7"/>
              <w:spacing w:before="0" w:after="0" w:line="240" w:lineRule="auto"/>
              <w:rPr>
                <w:rFonts w:eastAsia="Times New Roman"/>
                <w:noProof/>
              </w:rPr>
            </w:pPr>
            <w:r>
              <w:rPr>
                <w:noProof/>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7B76A5CE" w14:textId="06D9614E" w:rsidR="003B6BD9" w:rsidRDefault="009E25E8">
            <w:pPr>
              <w:pStyle w:val="P68B1DB1-Normal7"/>
              <w:spacing w:before="0" w:after="0" w:line="240" w:lineRule="auto"/>
              <w:rPr>
                <w:rFonts w:eastAsia="Times New Roman"/>
                <w:noProof/>
              </w:rPr>
            </w:pPr>
            <w:r>
              <w:rPr>
                <w:noProof/>
              </w:rPr>
              <w:t>La loi établit un cadre juridique complet pour l’utilisation de carburants alternatifs dans les transports, en établissant des règles juridiquement contraignantes pour toutes les parties prenantes au sein d’un guichet unique afin de faciliter la diversification des transports principalement personnels vers des transports à faibles émissions et à émissions nulles. La loi couvre la création, l’enregistrement et l’exploitation des infrastructures de recharge/d’approvisionnement.</w:t>
            </w:r>
          </w:p>
        </w:tc>
      </w:tr>
      <w:bookmarkEnd w:id="10"/>
      <w:tr w:rsidR="003B6BD9" w14:paraId="71E9E368" w14:textId="77777777" w:rsidTr="00AC1D11">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0D1D79C3" w14:textId="243F3BD2" w:rsidR="003B6BD9" w:rsidRDefault="009E25E8">
            <w:pPr>
              <w:pStyle w:val="P68B1DB1-Normal7"/>
              <w:spacing w:before="0" w:after="0" w:line="240" w:lineRule="auto"/>
              <w:rPr>
                <w:rFonts w:eastAsia="Times New Roman"/>
                <w:noProof/>
              </w:rPr>
            </w:pPr>
            <w:r>
              <w:rPr>
                <w:noProof/>
              </w:rPr>
              <w:t>65</w:t>
            </w:r>
          </w:p>
        </w:tc>
        <w:tc>
          <w:tcPr>
            <w:tcW w:w="1440" w:type="dxa"/>
            <w:tcBorders>
              <w:top w:val="single" w:sz="4" w:space="0" w:color="auto"/>
              <w:left w:val="nil"/>
              <w:bottom w:val="single" w:sz="4" w:space="0" w:color="auto"/>
              <w:right w:val="single" w:sz="4" w:space="0" w:color="auto"/>
            </w:tcBorders>
            <w:shd w:val="clear" w:color="auto" w:fill="C6EFCE"/>
            <w:noWrap/>
          </w:tcPr>
          <w:p w14:paraId="3ED4E300" w14:textId="342D33E3" w:rsidR="003B6BD9" w:rsidRDefault="009E25E8">
            <w:pPr>
              <w:pStyle w:val="P68B1DB1-Normal7"/>
              <w:spacing w:before="0" w:after="0" w:line="240" w:lineRule="auto"/>
              <w:rPr>
                <w:rFonts w:eastAsia="Times New Roman"/>
                <w:noProof/>
              </w:rPr>
            </w:pPr>
            <w:r>
              <w:rPr>
                <w:noProof/>
              </w:rPr>
              <w:t>E: Promouvoir les infrastructures pour carburants alternatifs dans les transports</w:t>
            </w:r>
          </w:p>
        </w:tc>
        <w:tc>
          <w:tcPr>
            <w:tcW w:w="1080" w:type="dxa"/>
            <w:tcBorders>
              <w:top w:val="single" w:sz="4" w:space="0" w:color="auto"/>
              <w:left w:val="nil"/>
              <w:bottom w:val="single" w:sz="4" w:space="0" w:color="auto"/>
              <w:right w:val="single" w:sz="4" w:space="0" w:color="auto"/>
            </w:tcBorders>
            <w:shd w:val="clear" w:color="auto" w:fill="C6EFCE"/>
            <w:noWrap/>
          </w:tcPr>
          <w:p w14:paraId="08155F31" w14:textId="3241FD93" w:rsidR="003B6BD9" w:rsidRDefault="009E25E8">
            <w:pPr>
              <w:pStyle w:val="P68B1DB1-Normal7"/>
              <w:spacing w:before="0" w:after="0" w:line="240" w:lineRule="auto"/>
              <w:rPr>
                <w:rFonts w:eastAsia="Times New Roman"/>
                <w:noProof/>
              </w:rPr>
            </w:pPr>
            <w:r>
              <w:rPr>
                <w:noProof/>
              </w:rPr>
              <w:t>Cible</w:t>
            </w:r>
          </w:p>
        </w:tc>
        <w:tc>
          <w:tcPr>
            <w:tcW w:w="2190" w:type="dxa"/>
            <w:tcBorders>
              <w:top w:val="single" w:sz="4" w:space="0" w:color="auto"/>
              <w:left w:val="nil"/>
              <w:bottom w:val="single" w:sz="4" w:space="0" w:color="auto"/>
              <w:right w:val="single" w:sz="4" w:space="0" w:color="auto"/>
            </w:tcBorders>
            <w:shd w:val="clear" w:color="auto" w:fill="C6EFCE"/>
            <w:noWrap/>
          </w:tcPr>
          <w:p w14:paraId="36F1910D" w14:textId="35B30E5D" w:rsidR="003B6BD9" w:rsidRDefault="009E25E8">
            <w:pPr>
              <w:pStyle w:val="P68B1DB1-Normal7"/>
              <w:spacing w:before="0" w:after="0" w:line="240" w:lineRule="auto"/>
              <w:rPr>
                <w:rFonts w:eastAsia="Times New Roman"/>
                <w:noProof/>
              </w:rPr>
            </w:pPr>
            <w:r>
              <w:rPr>
                <w:noProof/>
              </w:rPr>
              <w:t>Enregistrement des points de recharge pour véhicules à émission nulle dans le registre national des points de recharge</w:t>
            </w:r>
          </w:p>
        </w:tc>
        <w:tc>
          <w:tcPr>
            <w:tcW w:w="1770" w:type="dxa"/>
            <w:tcBorders>
              <w:top w:val="single" w:sz="4" w:space="0" w:color="auto"/>
              <w:left w:val="nil"/>
              <w:bottom w:val="single" w:sz="4" w:space="0" w:color="auto"/>
              <w:right w:val="single" w:sz="4" w:space="0" w:color="auto"/>
            </w:tcBorders>
            <w:shd w:val="clear" w:color="auto" w:fill="C6EFCE"/>
            <w:noWrap/>
          </w:tcPr>
          <w:p w14:paraId="6C5666AD" w14:textId="125C39BF" w:rsidR="003B6BD9" w:rsidRDefault="009E25E8">
            <w:pPr>
              <w:pStyle w:val="P68B1DB1-Normal7"/>
              <w:spacing w:before="0" w:after="0" w:line="240" w:lineRule="auto"/>
              <w:rPr>
                <w:rFonts w:eastAsia="Times New Roman"/>
                <w:noProof/>
              </w:rPr>
            </w:pPr>
            <w:r>
              <w:rPr>
                <w:noProof/>
              </w:rPr>
              <w:t> </w:t>
            </w:r>
          </w:p>
        </w:tc>
        <w:tc>
          <w:tcPr>
            <w:tcW w:w="1094" w:type="dxa"/>
            <w:tcBorders>
              <w:top w:val="single" w:sz="4" w:space="0" w:color="auto"/>
              <w:left w:val="nil"/>
              <w:bottom w:val="single" w:sz="4" w:space="0" w:color="auto"/>
              <w:right w:val="single" w:sz="4" w:space="0" w:color="auto"/>
            </w:tcBorders>
            <w:shd w:val="clear" w:color="auto" w:fill="C6EFCE"/>
            <w:noWrap/>
          </w:tcPr>
          <w:p w14:paraId="49ADFB93" w14:textId="772002D7" w:rsidR="003B6BD9" w:rsidRDefault="009E25E8">
            <w:pPr>
              <w:pStyle w:val="P68B1DB1-Normal7"/>
              <w:spacing w:before="0" w:after="0" w:line="240" w:lineRule="auto"/>
              <w:rPr>
                <w:rFonts w:eastAsia="Times New Roman"/>
                <w:noProof/>
              </w:rPr>
            </w:pPr>
            <w:r>
              <w:rPr>
                <w:noProof/>
              </w:rPr>
              <w:t>Nombre</w:t>
            </w:r>
          </w:p>
        </w:tc>
        <w:tc>
          <w:tcPr>
            <w:tcW w:w="1080" w:type="dxa"/>
            <w:tcBorders>
              <w:top w:val="single" w:sz="4" w:space="0" w:color="auto"/>
              <w:left w:val="nil"/>
              <w:bottom w:val="single" w:sz="4" w:space="0" w:color="auto"/>
              <w:right w:val="single" w:sz="4" w:space="0" w:color="auto"/>
            </w:tcBorders>
            <w:shd w:val="clear" w:color="auto" w:fill="C6EFCE"/>
            <w:noWrap/>
          </w:tcPr>
          <w:p w14:paraId="329912A4" w14:textId="2219E3A0" w:rsidR="003B6BD9" w:rsidRDefault="009E25E8">
            <w:pPr>
              <w:pStyle w:val="P68B1DB1-Normal7"/>
              <w:spacing w:before="0" w:after="0" w:line="240" w:lineRule="auto"/>
              <w:rPr>
                <w:rFonts w:eastAsia="Times New Roman"/>
                <w:noProof/>
              </w:rPr>
            </w:pPr>
            <w:r>
              <w:rPr>
                <w:noProof/>
              </w:rPr>
              <w:t>0</w:t>
            </w:r>
          </w:p>
        </w:tc>
        <w:tc>
          <w:tcPr>
            <w:tcW w:w="734" w:type="dxa"/>
            <w:tcBorders>
              <w:top w:val="single" w:sz="4" w:space="0" w:color="auto"/>
              <w:left w:val="nil"/>
              <w:bottom w:val="single" w:sz="4" w:space="0" w:color="auto"/>
              <w:right w:val="single" w:sz="4" w:space="0" w:color="auto"/>
            </w:tcBorders>
            <w:shd w:val="clear" w:color="auto" w:fill="C6EFCE"/>
            <w:noWrap/>
          </w:tcPr>
          <w:p w14:paraId="356CE80F" w14:textId="5352603B" w:rsidR="003B6BD9" w:rsidRDefault="009E25E8">
            <w:pPr>
              <w:pStyle w:val="P68B1DB1-Normal7"/>
              <w:spacing w:before="0" w:after="0" w:line="240" w:lineRule="auto"/>
              <w:rPr>
                <w:rFonts w:eastAsia="Times New Roman"/>
                <w:noProof/>
              </w:rPr>
            </w:pPr>
            <w:r>
              <w:rPr>
                <w:noProof/>
              </w:rPr>
              <w:t>448</w:t>
            </w:r>
          </w:p>
        </w:tc>
        <w:tc>
          <w:tcPr>
            <w:tcW w:w="992" w:type="dxa"/>
            <w:tcBorders>
              <w:top w:val="single" w:sz="4" w:space="0" w:color="auto"/>
              <w:left w:val="nil"/>
              <w:bottom w:val="single" w:sz="4" w:space="0" w:color="auto"/>
              <w:right w:val="single" w:sz="4" w:space="0" w:color="auto"/>
            </w:tcBorders>
            <w:shd w:val="clear" w:color="auto" w:fill="C6EFCE"/>
            <w:noWrap/>
          </w:tcPr>
          <w:p w14:paraId="2E0F500E" w14:textId="7FFD6CBA" w:rsidR="003B6BD9" w:rsidRDefault="009E25E8">
            <w:pPr>
              <w:pStyle w:val="P68B1DB1-Normal7"/>
              <w:spacing w:before="0" w:after="0" w:line="240" w:lineRule="auto"/>
              <w:rPr>
                <w:rFonts w:eastAsia="Times New Roman"/>
                <w:noProof/>
              </w:rPr>
            </w:pPr>
            <w:r>
              <w:rPr>
                <w:noProof/>
              </w:rPr>
              <w:t>T2</w:t>
            </w:r>
          </w:p>
        </w:tc>
        <w:tc>
          <w:tcPr>
            <w:tcW w:w="855" w:type="dxa"/>
            <w:tcBorders>
              <w:top w:val="single" w:sz="4" w:space="0" w:color="auto"/>
              <w:left w:val="nil"/>
              <w:bottom w:val="single" w:sz="4" w:space="0" w:color="auto"/>
              <w:right w:val="single" w:sz="4" w:space="0" w:color="auto"/>
            </w:tcBorders>
            <w:shd w:val="clear" w:color="auto" w:fill="C6EFCE"/>
            <w:noWrap/>
          </w:tcPr>
          <w:p w14:paraId="1C7F034D" w14:textId="38411E05" w:rsidR="003B6BD9" w:rsidRDefault="009E25E8">
            <w:pPr>
              <w:pStyle w:val="P68B1DB1-Normal7"/>
              <w:spacing w:before="0" w:after="0" w:line="240" w:lineRule="auto"/>
              <w:rPr>
                <w:rFonts w:eastAsia="Times New Roman"/>
                <w:noProof/>
              </w:rPr>
            </w:pPr>
            <w:r>
              <w:rPr>
                <w:noProof/>
              </w:rPr>
              <w:t>2026</w:t>
            </w:r>
          </w:p>
        </w:tc>
        <w:tc>
          <w:tcPr>
            <w:tcW w:w="3132" w:type="dxa"/>
            <w:tcBorders>
              <w:top w:val="single" w:sz="4" w:space="0" w:color="auto"/>
              <w:left w:val="nil"/>
              <w:bottom w:val="single" w:sz="4" w:space="0" w:color="auto"/>
              <w:right w:val="single" w:sz="4" w:space="0" w:color="auto"/>
            </w:tcBorders>
            <w:shd w:val="clear" w:color="auto" w:fill="C6EFCE"/>
            <w:noWrap/>
          </w:tcPr>
          <w:p w14:paraId="4FAE6F1F" w14:textId="7BB30918" w:rsidR="003B6BD9" w:rsidRDefault="009E25E8">
            <w:pPr>
              <w:pStyle w:val="P68B1DB1-Normal7"/>
              <w:spacing w:before="0" w:after="0" w:line="256" w:lineRule="auto"/>
              <w:rPr>
                <w:rFonts w:eastAsia="Times New Roman"/>
                <w:noProof/>
              </w:rPr>
            </w:pPr>
            <w:r>
              <w:rPr>
                <w:noProof/>
              </w:rPr>
              <w:t xml:space="preserve">448 points de recharge pour véhicules à émission nulle enregistrés dans le registre national des points de recharge. </w:t>
            </w:r>
          </w:p>
        </w:tc>
      </w:tr>
    </w:tbl>
    <w:p w14:paraId="18314CA9" w14:textId="77777777" w:rsidR="003B6BD9" w:rsidRDefault="003B6BD9">
      <w:pPr>
        <w:spacing w:before="0" w:after="0" w:line="240" w:lineRule="auto"/>
        <w:rPr>
          <w:noProof/>
        </w:rPr>
        <w:sectPr w:rsidR="003B6BD9" w:rsidSect="00073927">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26"/>
        </w:sectPr>
      </w:pPr>
    </w:p>
    <w:p w14:paraId="3656BA79" w14:textId="632C720F" w:rsidR="003B6BD9" w:rsidRDefault="009E25E8">
      <w:pPr>
        <w:pStyle w:val="P68B1DB1-Normal2"/>
        <w:spacing w:line="240" w:lineRule="auto"/>
        <w:jc w:val="both"/>
        <w:rPr>
          <w:i/>
          <w:noProof/>
          <w:color w:val="4F81BD"/>
        </w:rPr>
      </w:pPr>
      <w:r>
        <w:rPr>
          <w:noProof/>
        </w:rPr>
        <w:t xml:space="preserve">D.3. Description des réformes et des investissements en vue du prêt </w:t>
      </w:r>
    </w:p>
    <w:p w14:paraId="0F7B0D96" w14:textId="1C493674" w:rsidR="003B6BD9" w:rsidRDefault="009E25E8">
      <w:pPr>
        <w:pStyle w:val="P68B1DB1-Normal5"/>
        <w:spacing w:line="240" w:lineRule="auto"/>
        <w:jc w:val="both"/>
        <w:rPr>
          <w:rFonts w:eastAsia="Times New Roman"/>
          <w:noProof/>
        </w:rPr>
      </w:pPr>
      <w:r>
        <w:rPr>
          <w:noProof/>
        </w:rPr>
        <w:t xml:space="preserve">Réforme F: poursuite du déploiement de l’infrastructure pour carburants alternatifs </w:t>
      </w:r>
    </w:p>
    <w:p w14:paraId="7EC4F6D9" w14:textId="23824178" w:rsidR="003B6BD9" w:rsidRDefault="009E25E8">
      <w:pPr>
        <w:spacing w:line="240" w:lineRule="auto"/>
        <w:jc w:val="both"/>
        <w:rPr>
          <w:rFonts w:eastAsia="Times New Roman"/>
          <w:noProof/>
        </w:rPr>
      </w:pPr>
      <w:r>
        <w:rPr>
          <w:noProof/>
        </w:rPr>
        <w:t xml:space="preserve">L’objectif de cette réforme est de faciliter le déploiement d’infrastructures pour carburants alternatifs dans le secteur des transports. La réforme vise à établir un système de planification stratégique et de déploiement d’infrastructures pour carburants alternatifs, d’intégration dans le système électrique et de financement des transports à émissions nulles. </w:t>
      </w:r>
    </w:p>
    <w:p w14:paraId="653EEE59" w14:textId="535C4BF3" w:rsidR="003B6BD9" w:rsidRDefault="009E25E8">
      <w:pPr>
        <w:spacing w:line="240" w:lineRule="auto"/>
        <w:jc w:val="both"/>
        <w:rPr>
          <w:rFonts w:eastAsia="Times New Roman"/>
          <w:noProof/>
        </w:rPr>
      </w:pPr>
      <w:r>
        <w:rPr>
          <w:noProof/>
        </w:rPr>
        <w:t>La réforme établit un mécanisme national d’incitation au déploiement d’infrastructures pour carburants alternatifs dans les transports par i) l’introduction d’un nouveau cadre d’action consistant en une planification et une gestion stratégiques des infrastructures pour carburants alternatifs (mise en place et exploitation d’un service d’utilité publique), ii) l’élaboration de plans nationaux et locaux pour les infrastructures de recharge et la mise en place d’une plateforme numérique nationale pour stimuler les investissements, et iii) le déploiement d’une source systémique de financement pour le déploiement d’infrastructures pour carburants alternatifs planifiées de manière stratégique et la transition vers des véhicules propres.</w:t>
      </w:r>
    </w:p>
    <w:p w14:paraId="3A4AAE90" w14:textId="77777777" w:rsidR="003B6BD9" w:rsidRDefault="009E25E8">
      <w:pPr>
        <w:spacing w:line="240" w:lineRule="auto"/>
        <w:jc w:val="both"/>
        <w:rPr>
          <w:rFonts w:eastAsia="Times New Roman"/>
          <w:noProof/>
          <w:color w:val="000000" w:themeColor="text1"/>
        </w:rPr>
      </w:pPr>
      <w:r>
        <w:rPr>
          <w:noProof/>
        </w:rPr>
        <w:t xml:space="preserve">La réforme est mise en œuvre avec l’entrée en vigueur de la </w:t>
      </w:r>
      <w:r>
        <w:rPr>
          <w:noProof/>
          <w:color w:val="000000" w:themeColor="text1"/>
        </w:rPr>
        <w:t>loi sur les infrastructures pour carburants alternatifs et la promotion de la transition vers des carburants alternatifs dans les transports.</w:t>
      </w:r>
    </w:p>
    <w:p w14:paraId="383C8DF2" w14:textId="1D14640F" w:rsidR="003B6BD9" w:rsidRDefault="009E25E8">
      <w:pPr>
        <w:pStyle w:val="P68B1DB1-Normal5"/>
        <w:spacing w:line="240" w:lineRule="auto"/>
        <w:jc w:val="both"/>
        <w:rPr>
          <w:noProof/>
        </w:rPr>
      </w:pPr>
      <w:r>
        <w:rPr>
          <w:noProof/>
        </w:rPr>
        <w:t>Investissement C: Poursuivre l’augmentation des capacités de l’infrastructure ferroviaire</w:t>
      </w:r>
    </w:p>
    <w:p w14:paraId="541A3CC3" w14:textId="16403119" w:rsidR="003B6BD9" w:rsidRDefault="009E25E8">
      <w:pPr>
        <w:spacing w:line="240" w:lineRule="auto"/>
        <w:jc w:val="both"/>
        <w:rPr>
          <w:noProof/>
        </w:rPr>
      </w:pPr>
      <w:r>
        <w:rPr>
          <w:noProof/>
        </w:rPr>
        <w:t>L’objectif de cette mesure est d’accroître la capacité de l’infrastructure ferroviaire et l’accessibilité des gares ferroviaires.</w:t>
      </w:r>
    </w:p>
    <w:p w14:paraId="4BD4F97B" w14:textId="1571D1EE" w:rsidR="003B6BD9" w:rsidRDefault="009E25E8">
      <w:pPr>
        <w:spacing w:line="240" w:lineRule="auto"/>
        <w:jc w:val="both"/>
        <w:rPr>
          <w:rFonts w:eastAsia="Times New Roman"/>
          <w:noProof/>
          <w:szCs w:val="24"/>
        </w:rPr>
        <w:sectPr w:rsidR="003B6BD9" w:rsidSect="00073927">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26"/>
        </w:sectPr>
      </w:pPr>
      <w:r>
        <w:rPr>
          <w:noProof/>
        </w:rPr>
        <w:t>Cette mesure consiste à rénover les gares ferroviaires de Ljubljana (phase A, traversée de Dunajska) et de Nova Gorica.</w:t>
      </w:r>
    </w:p>
    <w:p w14:paraId="054AB1A0" w14:textId="47F4661B" w:rsidR="003B6BD9" w:rsidRDefault="009E25E8">
      <w:pPr>
        <w:pStyle w:val="P68B1DB1-Normal4"/>
        <w:spacing w:line="240" w:lineRule="auto"/>
        <w:ind w:left="850"/>
        <w:jc w:val="both"/>
        <w:rPr>
          <w:noProof/>
        </w:rPr>
      </w:pPr>
      <w:r>
        <w:rPr>
          <w:noProof/>
        </w:rPr>
        <w:t xml:space="preserve">D.4. Jalons, cibles, indicateurs et calendrier de suivi et de mise en œuvre en vue du prêt </w:t>
      </w:r>
    </w:p>
    <w:tbl>
      <w:tblPr>
        <w:tblW w:w="15322" w:type="dxa"/>
        <w:jc w:val="center"/>
        <w:tblLayout w:type="fixed"/>
        <w:tblLook w:val="04A0" w:firstRow="1" w:lastRow="0" w:firstColumn="1" w:lastColumn="0" w:noHBand="0" w:noVBand="1"/>
      </w:tblPr>
      <w:tblGrid>
        <w:gridCol w:w="955"/>
        <w:gridCol w:w="1560"/>
        <w:gridCol w:w="1200"/>
        <w:gridCol w:w="2022"/>
        <w:gridCol w:w="1689"/>
        <w:gridCol w:w="1103"/>
        <w:gridCol w:w="1000"/>
        <w:gridCol w:w="707"/>
        <w:gridCol w:w="1018"/>
        <w:gridCol w:w="707"/>
        <w:gridCol w:w="3361"/>
      </w:tblGrid>
      <w:tr w:rsidR="003B6BD9" w14:paraId="3F4074F6" w14:textId="77777777" w:rsidTr="00AC1D11">
        <w:trPr>
          <w:trHeight w:val="740"/>
          <w:tblHeader/>
          <w:jc w:val="center"/>
        </w:trPr>
        <w:tc>
          <w:tcPr>
            <w:tcW w:w="95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55E5DB" w14:textId="7C75D50C" w:rsidR="003B6BD9" w:rsidRDefault="009E25E8">
            <w:pPr>
              <w:pStyle w:val="P68B1DB1-Normal6"/>
              <w:spacing w:before="0" w:after="0" w:line="240" w:lineRule="auto"/>
              <w:jc w:val="center"/>
              <w:rPr>
                <w:rFonts w:eastAsia="Times New Roman"/>
                <w:bCs/>
                <w:noProof/>
              </w:rPr>
            </w:pPr>
            <w:r>
              <w:rPr>
                <w:noProof/>
              </w:rPr>
              <w:t>Et suivants Non.</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5FB7E8" w14:textId="77777777" w:rsidR="003B6BD9" w:rsidRDefault="009E25E8">
            <w:pPr>
              <w:pStyle w:val="P68B1DB1-Normal6"/>
              <w:spacing w:before="0" w:after="0" w:line="240" w:lineRule="auto"/>
              <w:jc w:val="center"/>
              <w:rPr>
                <w:rFonts w:eastAsia="Times New Roman"/>
                <w:bCs/>
                <w:noProof/>
              </w:rPr>
            </w:pPr>
            <w:r>
              <w:rPr>
                <w:noProof/>
              </w:rPr>
              <w:t>Mesure connexe (réforme ou investissement)</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81F25B5" w14:textId="7E881090" w:rsidR="003B6BD9" w:rsidRDefault="009E25E8">
            <w:pPr>
              <w:pStyle w:val="P68B1DB1-Normal6"/>
              <w:spacing w:before="0" w:after="0" w:line="240" w:lineRule="auto"/>
              <w:jc w:val="center"/>
              <w:rPr>
                <w:rFonts w:eastAsia="Times New Roman"/>
                <w:bCs/>
                <w:noProof/>
              </w:rPr>
            </w:pPr>
            <w:r>
              <w:rPr>
                <w:noProof/>
              </w:rPr>
              <w:t>Étape/</w:t>
            </w:r>
            <w:r w:rsidR="00AC1D11">
              <w:rPr>
                <w:noProof/>
              </w:rPr>
              <w:br/>
            </w:r>
            <w:r>
              <w:rPr>
                <w:noProof/>
              </w:rPr>
              <w:t>Objectif</w:t>
            </w:r>
          </w:p>
        </w:tc>
        <w:tc>
          <w:tcPr>
            <w:tcW w:w="20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DF67635" w14:textId="77777777" w:rsidR="003B6BD9" w:rsidRDefault="009E25E8">
            <w:pPr>
              <w:pStyle w:val="P68B1DB1-Normal6"/>
              <w:spacing w:before="0" w:after="0" w:line="240" w:lineRule="auto"/>
              <w:jc w:val="center"/>
              <w:rPr>
                <w:rFonts w:eastAsia="Times New Roman"/>
                <w:bCs/>
                <w:noProof/>
              </w:rPr>
            </w:pPr>
            <w:r>
              <w:rPr>
                <w:noProof/>
              </w:rPr>
              <w:t>Nom</w:t>
            </w:r>
          </w:p>
        </w:tc>
        <w:tc>
          <w:tcPr>
            <w:tcW w:w="16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21A6FE" w14:textId="5EFFB66C" w:rsidR="003B6BD9" w:rsidRDefault="009E25E8">
            <w:pPr>
              <w:pStyle w:val="P68B1DB1-Normal6"/>
              <w:spacing w:before="0" w:after="0" w:line="240" w:lineRule="auto"/>
              <w:jc w:val="center"/>
              <w:rPr>
                <w:rFonts w:eastAsia="Times New Roman"/>
                <w:bCs/>
                <w:noProof/>
              </w:rPr>
            </w:pPr>
            <w:r>
              <w:rPr>
                <w:noProof/>
              </w:rPr>
              <w:t>Indicateurs qualitatifs (pour les jalons)</w:t>
            </w:r>
          </w:p>
        </w:tc>
        <w:tc>
          <w:tcPr>
            <w:tcW w:w="281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D105303" w14:textId="6F97043E" w:rsidR="003B6BD9" w:rsidRDefault="009E25E8">
            <w:pPr>
              <w:pStyle w:val="P68B1DB1-Normal6"/>
              <w:spacing w:before="0" w:after="0" w:line="240" w:lineRule="auto"/>
              <w:jc w:val="center"/>
              <w:rPr>
                <w:rFonts w:eastAsia="Times New Roman"/>
                <w:bCs/>
                <w:noProof/>
              </w:rPr>
            </w:pPr>
            <w:r>
              <w:rPr>
                <w:noProof/>
              </w:rPr>
              <w:t>Indicateurs quantitatifs (pour les cibles)</w:t>
            </w:r>
          </w:p>
        </w:tc>
        <w:tc>
          <w:tcPr>
            <w:tcW w:w="1725" w:type="dxa"/>
            <w:gridSpan w:val="2"/>
            <w:tcBorders>
              <w:top w:val="single" w:sz="4" w:space="0" w:color="auto"/>
              <w:left w:val="nil"/>
              <w:bottom w:val="single" w:sz="4" w:space="0" w:color="auto"/>
              <w:right w:val="single" w:sz="4" w:space="0" w:color="auto"/>
            </w:tcBorders>
            <w:shd w:val="clear" w:color="auto" w:fill="BDD7EE"/>
            <w:vAlign w:val="center"/>
            <w:hideMark/>
          </w:tcPr>
          <w:p w14:paraId="064D73C8" w14:textId="77777777" w:rsidR="003B6BD9" w:rsidRDefault="009E25E8">
            <w:pPr>
              <w:pStyle w:val="P68B1DB1-Normal6"/>
              <w:spacing w:before="0" w:after="0" w:line="240" w:lineRule="auto"/>
              <w:jc w:val="center"/>
              <w:rPr>
                <w:rFonts w:eastAsia="Times New Roman"/>
                <w:bCs/>
                <w:noProof/>
              </w:rPr>
            </w:pPr>
            <w:r>
              <w:rPr>
                <w:noProof/>
              </w:rPr>
              <w:t xml:space="preserve">Calendrier indicatif pour l’achèvement </w:t>
            </w:r>
          </w:p>
        </w:tc>
        <w:tc>
          <w:tcPr>
            <w:tcW w:w="336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5F8364" w14:textId="77777777" w:rsidR="003B6BD9" w:rsidRDefault="009E25E8">
            <w:pPr>
              <w:pStyle w:val="P68B1DB1-Normal6"/>
              <w:spacing w:before="0" w:after="0" w:line="240" w:lineRule="auto"/>
              <w:jc w:val="center"/>
              <w:rPr>
                <w:rFonts w:eastAsia="Times New Roman"/>
                <w:bCs/>
                <w:noProof/>
              </w:rPr>
            </w:pPr>
            <w:r>
              <w:rPr>
                <w:noProof/>
              </w:rPr>
              <w:t>Description de chaque jalon et cible</w:t>
            </w:r>
          </w:p>
        </w:tc>
      </w:tr>
      <w:tr w:rsidR="003B6BD9" w14:paraId="45B677A9" w14:textId="77777777" w:rsidTr="00AC1D11">
        <w:trPr>
          <w:trHeight w:val="751"/>
          <w:tblHeader/>
          <w:jc w:val="center"/>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26D3CED8" w14:textId="77777777" w:rsidR="003B6BD9" w:rsidRDefault="003B6BD9">
            <w:pPr>
              <w:spacing w:before="0" w:after="0" w:line="240" w:lineRule="auto"/>
              <w:rPr>
                <w:rFonts w:eastAsia="Times New Roman"/>
                <w:b/>
                <w:noProof/>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6B30744" w14:textId="77777777" w:rsidR="003B6BD9" w:rsidRDefault="003B6BD9">
            <w:pPr>
              <w:spacing w:before="0" w:after="0" w:line="240" w:lineRule="auto"/>
              <w:rPr>
                <w:rFonts w:eastAsia="Times New Roman"/>
                <w:b/>
                <w:noProof/>
                <w:sz w:val="18"/>
                <w:szCs w:val="18"/>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3D2A8A87" w14:textId="77777777" w:rsidR="003B6BD9" w:rsidRDefault="003B6BD9">
            <w:pPr>
              <w:spacing w:before="0" w:after="0" w:line="240" w:lineRule="auto"/>
              <w:rPr>
                <w:rFonts w:eastAsia="Times New Roman"/>
                <w:b/>
                <w:noProof/>
                <w:sz w:val="18"/>
                <w:szCs w:val="18"/>
              </w:rPr>
            </w:pPr>
          </w:p>
        </w:tc>
        <w:tc>
          <w:tcPr>
            <w:tcW w:w="2022" w:type="dxa"/>
            <w:vMerge/>
            <w:tcBorders>
              <w:top w:val="single" w:sz="4" w:space="0" w:color="auto"/>
              <w:left w:val="single" w:sz="4" w:space="0" w:color="auto"/>
              <w:bottom w:val="single" w:sz="4" w:space="0" w:color="auto"/>
              <w:right w:val="single" w:sz="4" w:space="0" w:color="auto"/>
            </w:tcBorders>
            <w:vAlign w:val="center"/>
            <w:hideMark/>
          </w:tcPr>
          <w:p w14:paraId="24113A2E" w14:textId="77777777" w:rsidR="003B6BD9" w:rsidRDefault="003B6BD9">
            <w:pPr>
              <w:spacing w:before="0" w:after="0" w:line="240" w:lineRule="auto"/>
              <w:rPr>
                <w:rFonts w:eastAsia="Times New Roman"/>
                <w:b/>
                <w:noProof/>
                <w:sz w:val="18"/>
                <w:szCs w:val="18"/>
              </w:rPr>
            </w:pPr>
          </w:p>
        </w:tc>
        <w:tc>
          <w:tcPr>
            <w:tcW w:w="1689" w:type="dxa"/>
            <w:vMerge/>
            <w:tcBorders>
              <w:top w:val="single" w:sz="4" w:space="0" w:color="auto"/>
              <w:left w:val="single" w:sz="4" w:space="0" w:color="auto"/>
              <w:bottom w:val="single" w:sz="4" w:space="0" w:color="auto"/>
              <w:right w:val="single" w:sz="4" w:space="0" w:color="auto"/>
            </w:tcBorders>
            <w:vAlign w:val="center"/>
            <w:hideMark/>
          </w:tcPr>
          <w:p w14:paraId="43F1C815" w14:textId="77777777" w:rsidR="003B6BD9" w:rsidRDefault="003B6BD9">
            <w:pPr>
              <w:spacing w:before="0" w:after="0" w:line="240" w:lineRule="auto"/>
              <w:rPr>
                <w:rFonts w:eastAsia="Times New Roman"/>
                <w:b/>
                <w:noProof/>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D95B183" w14:textId="77777777" w:rsidR="003B6BD9" w:rsidRDefault="009E25E8">
            <w:pPr>
              <w:pStyle w:val="P68B1DB1-Normal6"/>
              <w:spacing w:before="0" w:after="0" w:line="240" w:lineRule="auto"/>
              <w:jc w:val="center"/>
              <w:rPr>
                <w:rFonts w:eastAsia="Times New Roman"/>
                <w:bCs/>
                <w:noProof/>
              </w:rPr>
            </w:pPr>
            <w:r>
              <w:rPr>
                <w:noProof/>
              </w:rPr>
              <w:t>Unité de mesure</w:t>
            </w:r>
          </w:p>
        </w:tc>
        <w:tc>
          <w:tcPr>
            <w:tcW w:w="10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2C7A6EF" w14:textId="77777777" w:rsidR="003B6BD9" w:rsidRDefault="009E25E8">
            <w:pPr>
              <w:pStyle w:val="P68B1DB1-Normal6"/>
              <w:spacing w:before="0" w:after="0" w:line="240" w:lineRule="auto"/>
              <w:jc w:val="center"/>
              <w:rPr>
                <w:rFonts w:eastAsia="Times New Roman"/>
                <w:bCs/>
                <w:noProof/>
              </w:rPr>
            </w:pPr>
            <w:r>
              <w:rPr>
                <w:noProof/>
              </w:rPr>
              <w:t xml:space="preserve">Niveau de référence </w:t>
            </w:r>
          </w:p>
        </w:tc>
        <w:tc>
          <w:tcPr>
            <w:tcW w:w="70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05C0F72" w14:textId="77777777" w:rsidR="003B6BD9" w:rsidRDefault="009E25E8">
            <w:pPr>
              <w:pStyle w:val="P68B1DB1-Normal6"/>
              <w:spacing w:before="0" w:after="0" w:line="240" w:lineRule="auto"/>
              <w:jc w:val="center"/>
              <w:rPr>
                <w:rFonts w:eastAsia="Times New Roman"/>
                <w:bCs/>
                <w:noProof/>
              </w:rPr>
            </w:pPr>
            <w:r>
              <w:rPr>
                <w:noProof/>
              </w:rPr>
              <w:t xml:space="preserve">But </w:t>
            </w:r>
          </w:p>
        </w:tc>
        <w:tc>
          <w:tcPr>
            <w:tcW w:w="101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6C93C1E" w14:textId="77777777" w:rsidR="003B6BD9" w:rsidRDefault="009E25E8">
            <w:pPr>
              <w:pStyle w:val="P68B1DB1-Normal6"/>
              <w:spacing w:before="0" w:after="0" w:line="240" w:lineRule="auto"/>
              <w:jc w:val="center"/>
              <w:rPr>
                <w:rFonts w:eastAsia="Times New Roman"/>
                <w:bCs/>
                <w:noProof/>
              </w:rPr>
            </w:pPr>
            <w:r>
              <w:rPr>
                <w:noProof/>
              </w:rPr>
              <w:t>Trimestre</w:t>
            </w:r>
          </w:p>
        </w:tc>
        <w:tc>
          <w:tcPr>
            <w:tcW w:w="70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40B1C" w14:textId="77777777" w:rsidR="003B6BD9" w:rsidRDefault="009E25E8">
            <w:pPr>
              <w:pStyle w:val="P68B1DB1-Normal6"/>
              <w:spacing w:before="0" w:after="0" w:line="240" w:lineRule="auto"/>
              <w:jc w:val="center"/>
              <w:rPr>
                <w:rFonts w:eastAsia="Times New Roman"/>
                <w:bCs/>
                <w:noProof/>
              </w:rPr>
            </w:pPr>
            <w:r>
              <w:rPr>
                <w:noProof/>
              </w:rPr>
              <w:t>Année</w:t>
            </w:r>
          </w:p>
        </w:tc>
        <w:tc>
          <w:tcPr>
            <w:tcW w:w="3361" w:type="dxa"/>
            <w:vMerge/>
            <w:tcBorders>
              <w:top w:val="single" w:sz="4" w:space="0" w:color="auto"/>
              <w:bottom w:val="single" w:sz="4" w:space="0" w:color="auto"/>
              <w:right w:val="single" w:sz="4" w:space="0" w:color="auto"/>
            </w:tcBorders>
            <w:vAlign w:val="center"/>
            <w:hideMark/>
          </w:tcPr>
          <w:p w14:paraId="28FB2490" w14:textId="77777777" w:rsidR="003B6BD9" w:rsidRDefault="003B6BD9">
            <w:pPr>
              <w:spacing w:before="0" w:after="0" w:line="240" w:lineRule="auto"/>
              <w:rPr>
                <w:rFonts w:eastAsia="Times New Roman"/>
                <w:b/>
                <w:noProof/>
                <w:sz w:val="18"/>
                <w:szCs w:val="18"/>
              </w:rPr>
            </w:pPr>
          </w:p>
        </w:tc>
      </w:tr>
      <w:tr w:rsidR="003B6BD9" w14:paraId="502771DE" w14:textId="77777777" w:rsidTr="00AC1D11">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552F3A96" w14:textId="629DEB3A" w:rsidR="003B6BD9" w:rsidRDefault="009E25E8">
            <w:pPr>
              <w:pStyle w:val="P68B1DB1-Normal7"/>
              <w:spacing w:before="0" w:after="0" w:line="240" w:lineRule="auto"/>
              <w:rPr>
                <w:noProof/>
              </w:rPr>
            </w:pPr>
            <w:r>
              <w:rPr>
                <w:noProof/>
              </w:rPr>
              <w:t>67ter</w:t>
            </w:r>
          </w:p>
        </w:tc>
        <w:tc>
          <w:tcPr>
            <w:tcW w:w="1560" w:type="dxa"/>
            <w:tcBorders>
              <w:top w:val="single" w:sz="4" w:space="0" w:color="auto"/>
              <w:left w:val="nil"/>
              <w:bottom w:val="single" w:sz="4" w:space="0" w:color="auto"/>
              <w:right w:val="single" w:sz="4" w:space="0" w:color="auto"/>
            </w:tcBorders>
            <w:shd w:val="clear" w:color="auto" w:fill="C6EFCE"/>
            <w:noWrap/>
          </w:tcPr>
          <w:p w14:paraId="0FE76789" w14:textId="7B937178" w:rsidR="003B6BD9" w:rsidRDefault="009E25E8">
            <w:pPr>
              <w:pStyle w:val="P68B1DB1-Normal7"/>
              <w:spacing w:before="0" w:after="0" w:line="240" w:lineRule="auto"/>
              <w:rPr>
                <w:noProof/>
              </w:rPr>
            </w:pPr>
            <w:r>
              <w:rPr>
                <w:noProof/>
              </w:rPr>
              <w:t xml:space="preserve">F: Réforme sur la poursuite du déploiement d’une infrastructure pour carburants alternatifs </w:t>
            </w:r>
          </w:p>
        </w:tc>
        <w:tc>
          <w:tcPr>
            <w:tcW w:w="1200" w:type="dxa"/>
            <w:tcBorders>
              <w:top w:val="single" w:sz="4" w:space="0" w:color="auto"/>
              <w:left w:val="nil"/>
              <w:bottom w:val="single" w:sz="4" w:space="0" w:color="auto"/>
              <w:right w:val="single" w:sz="4" w:space="0" w:color="auto"/>
            </w:tcBorders>
            <w:shd w:val="clear" w:color="auto" w:fill="C6EFCE"/>
            <w:noWrap/>
          </w:tcPr>
          <w:p w14:paraId="3B7B9A7B" w14:textId="77777777" w:rsidR="003B6BD9" w:rsidRDefault="009E25E8">
            <w:pPr>
              <w:pStyle w:val="P68B1DB1-Normal7"/>
              <w:spacing w:before="0" w:after="0" w:line="240" w:lineRule="auto"/>
              <w:rPr>
                <w:noProof/>
              </w:rPr>
            </w:pPr>
            <w:r>
              <w:rPr>
                <w:noProof/>
              </w:rPr>
              <w:t>Jalon</w:t>
            </w:r>
          </w:p>
        </w:tc>
        <w:tc>
          <w:tcPr>
            <w:tcW w:w="2022" w:type="dxa"/>
            <w:tcBorders>
              <w:top w:val="single" w:sz="4" w:space="0" w:color="auto"/>
              <w:left w:val="nil"/>
              <w:bottom w:val="single" w:sz="4" w:space="0" w:color="auto"/>
              <w:right w:val="single" w:sz="4" w:space="0" w:color="auto"/>
            </w:tcBorders>
            <w:shd w:val="clear" w:color="auto" w:fill="C6EFCE"/>
            <w:noWrap/>
          </w:tcPr>
          <w:p w14:paraId="7678A680" w14:textId="6DDA2BB1" w:rsidR="003B6BD9" w:rsidRDefault="009E25E8">
            <w:pPr>
              <w:pStyle w:val="P68B1DB1-Normal7"/>
              <w:spacing w:before="0" w:after="0" w:line="240" w:lineRule="auto"/>
              <w:rPr>
                <w:noProof/>
              </w:rPr>
            </w:pPr>
            <w:r>
              <w:rPr>
                <w:noProof/>
              </w:rPr>
              <w:t>Entrée en vigueur de la loi sur les infrastructures pour carburants alternatifs et promotion de la transition vers des carburants alternatifs dans les transports</w:t>
            </w:r>
          </w:p>
        </w:tc>
        <w:tc>
          <w:tcPr>
            <w:tcW w:w="1689" w:type="dxa"/>
            <w:tcBorders>
              <w:top w:val="single" w:sz="4" w:space="0" w:color="auto"/>
              <w:left w:val="nil"/>
              <w:bottom w:val="single" w:sz="4" w:space="0" w:color="auto"/>
              <w:right w:val="single" w:sz="4" w:space="0" w:color="auto"/>
            </w:tcBorders>
            <w:shd w:val="clear" w:color="auto" w:fill="C6EFCE"/>
            <w:noWrap/>
          </w:tcPr>
          <w:p w14:paraId="0D988300" w14:textId="77777777" w:rsidR="003B6BD9" w:rsidRDefault="009E25E8">
            <w:pPr>
              <w:pStyle w:val="P68B1DB1-Normal7"/>
              <w:spacing w:before="0" w:after="0" w:line="240" w:lineRule="auto"/>
              <w:rPr>
                <w:noProof/>
              </w:rPr>
            </w:pPr>
            <w:r>
              <w:rPr>
                <w:noProof/>
              </w:rPr>
              <w:t>Dispositions de la loi indiquant l’entrée en vigueur de la loi</w:t>
            </w:r>
          </w:p>
        </w:tc>
        <w:tc>
          <w:tcPr>
            <w:tcW w:w="1103" w:type="dxa"/>
            <w:tcBorders>
              <w:top w:val="single" w:sz="4" w:space="0" w:color="auto"/>
              <w:left w:val="nil"/>
              <w:bottom w:val="single" w:sz="4" w:space="0" w:color="auto"/>
              <w:right w:val="single" w:sz="4" w:space="0" w:color="auto"/>
            </w:tcBorders>
            <w:shd w:val="clear" w:color="auto" w:fill="C6EFCE"/>
            <w:noWrap/>
          </w:tcPr>
          <w:p w14:paraId="2EE64C46" w14:textId="77777777" w:rsidR="003B6BD9" w:rsidRDefault="003B6BD9">
            <w:pPr>
              <w:spacing w:before="0" w:after="0" w:line="240" w:lineRule="auto"/>
              <w:rPr>
                <w:rFonts w:eastAsia="Times New Roman"/>
                <w:noProof/>
                <w:color w:val="006100"/>
                <w:sz w:val="18"/>
                <w:szCs w:val="18"/>
              </w:rPr>
            </w:pPr>
          </w:p>
        </w:tc>
        <w:tc>
          <w:tcPr>
            <w:tcW w:w="1000" w:type="dxa"/>
            <w:tcBorders>
              <w:top w:val="single" w:sz="4" w:space="0" w:color="auto"/>
              <w:left w:val="nil"/>
              <w:bottom w:val="single" w:sz="4" w:space="0" w:color="auto"/>
              <w:right w:val="single" w:sz="4" w:space="0" w:color="auto"/>
            </w:tcBorders>
            <w:shd w:val="clear" w:color="auto" w:fill="C6EFCE"/>
            <w:noWrap/>
          </w:tcPr>
          <w:p w14:paraId="5408F8E3" w14:textId="77777777" w:rsidR="003B6BD9" w:rsidRDefault="003B6BD9">
            <w:pPr>
              <w:spacing w:before="0" w:after="0" w:line="240" w:lineRule="auto"/>
              <w:rPr>
                <w:rFonts w:eastAsia="Times New Roman"/>
                <w:noProof/>
                <w:color w:val="006100"/>
                <w:sz w:val="18"/>
                <w:szCs w:val="18"/>
              </w:rPr>
            </w:pPr>
          </w:p>
        </w:tc>
        <w:tc>
          <w:tcPr>
            <w:tcW w:w="707" w:type="dxa"/>
            <w:tcBorders>
              <w:top w:val="single" w:sz="4" w:space="0" w:color="auto"/>
              <w:left w:val="nil"/>
              <w:bottom w:val="single" w:sz="4" w:space="0" w:color="auto"/>
              <w:right w:val="single" w:sz="4" w:space="0" w:color="auto"/>
            </w:tcBorders>
            <w:shd w:val="clear" w:color="auto" w:fill="C6EFCE"/>
            <w:noWrap/>
          </w:tcPr>
          <w:p w14:paraId="77410609" w14:textId="77777777" w:rsidR="003B6BD9" w:rsidRDefault="003B6BD9">
            <w:pPr>
              <w:spacing w:before="0" w:after="0" w:line="240" w:lineRule="auto"/>
              <w:rPr>
                <w:rFonts w:eastAsia="Times New Roman"/>
                <w:noProof/>
                <w:color w:val="006100"/>
                <w:sz w:val="18"/>
                <w:szCs w:val="18"/>
              </w:rPr>
            </w:pPr>
          </w:p>
        </w:tc>
        <w:tc>
          <w:tcPr>
            <w:tcW w:w="1018" w:type="dxa"/>
            <w:tcBorders>
              <w:top w:val="single" w:sz="4" w:space="0" w:color="auto"/>
              <w:left w:val="nil"/>
              <w:bottom w:val="single" w:sz="4" w:space="0" w:color="auto"/>
              <w:right w:val="single" w:sz="4" w:space="0" w:color="auto"/>
            </w:tcBorders>
            <w:shd w:val="clear" w:color="auto" w:fill="C6EFCE"/>
            <w:noWrap/>
          </w:tcPr>
          <w:p w14:paraId="149184DA" w14:textId="77777777" w:rsidR="003B6BD9" w:rsidRDefault="009E25E8">
            <w:pPr>
              <w:pStyle w:val="P68B1DB1-Normal7"/>
              <w:spacing w:before="0" w:after="0" w:line="240" w:lineRule="auto"/>
              <w:rPr>
                <w:noProof/>
              </w:rPr>
            </w:pPr>
            <w:r>
              <w:rPr>
                <w:noProof/>
              </w:rPr>
              <w:t>T2</w:t>
            </w:r>
          </w:p>
        </w:tc>
        <w:tc>
          <w:tcPr>
            <w:tcW w:w="707" w:type="dxa"/>
            <w:tcBorders>
              <w:top w:val="single" w:sz="4" w:space="0" w:color="auto"/>
              <w:left w:val="nil"/>
              <w:bottom w:val="single" w:sz="4" w:space="0" w:color="auto"/>
              <w:right w:val="single" w:sz="4" w:space="0" w:color="auto"/>
            </w:tcBorders>
            <w:shd w:val="clear" w:color="auto" w:fill="C6EFCE"/>
            <w:noWrap/>
          </w:tcPr>
          <w:p w14:paraId="2DA26328" w14:textId="77777777" w:rsidR="003B6BD9" w:rsidRDefault="009E25E8">
            <w:pPr>
              <w:pStyle w:val="P68B1DB1-Normal7"/>
              <w:spacing w:before="0" w:after="0" w:line="240" w:lineRule="auto"/>
              <w:rPr>
                <w:noProof/>
              </w:rPr>
            </w:pPr>
            <w:r>
              <w:rPr>
                <w:noProof/>
              </w:rPr>
              <w:t>2023</w:t>
            </w:r>
          </w:p>
        </w:tc>
        <w:tc>
          <w:tcPr>
            <w:tcW w:w="3361" w:type="dxa"/>
            <w:tcBorders>
              <w:top w:val="single" w:sz="4" w:space="0" w:color="auto"/>
              <w:left w:val="nil"/>
              <w:bottom w:val="single" w:sz="4" w:space="0" w:color="auto"/>
              <w:right w:val="single" w:sz="4" w:space="0" w:color="auto"/>
            </w:tcBorders>
            <w:shd w:val="clear" w:color="auto" w:fill="C6EFCE"/>
            <w:noWrap/>
          </w:tcPr>
          <w:p w14:paraId="49C2C5B4" w14:textId="77777777" w:rsidR="003B6BD9" w:rsidRDefault="009E25E8">
            <w:pPr>
              <w:pStyle w:val="P68B1DB1-Normal7"/>
              <w:spacing w:before="0" w:after="0" w:line="240" w:lineRule="auto"/>
              <w:rPr>
                <w:noProof/>
              </w:rPr>
            </w:pPr>
            <w:r>
              <w:rPr>
                <w:noProof/>
              </w:rPr>
              <w:t>La loi prévoit i) l’introduction d’un nouveau cadre d’action consistant en une planification stratégique et une gestion des infrastructures pour carburants alternatifs (mise en place et exploitation d’un service public); ii) l’élaboration de plans nationaux et locaux pour les infrastructures de recharge et la mise en place d’une plateforme numérique nationale pour stimuler les investissements; iii) le déploiement d’une source systémique de financement pour le déploiement d’infrastructures pour carburants alternatifs planifiées de manière stratégique et la transition vers des véhicules propres.</w:t>
            </w:r>
          </w:p>
        </w:tc>
      </w:tr>
      <w:tr w:rsidR="003B6BD9" w14:paraId="1FF21EB5" w14:textId="77777777" w:rsidTr="00AC1D11">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589D4CE2" w14:textId="00E73730" w:rsidR="003B6BD9" w:rsidRDefault="009E25E8">
            <w:pPr>
              <w:pStyle w:val="P68B1DB1-Normal7"/>
              <w:spacing w:before="0" w:after="0" w:line="240" w:lineRule="auto"/>
              <w:rPr>
                <w:rFonts w:eastAsia="Times New Roman"/>
                <w:noProof/>
              </w:rPr>
            </w:pPr>
            <w:r>
              <w:rPr>
                <w:noProof/>
              </w:rPr>
              <w:t>68</w:t>
            </w:r>
          </w:p>
        </w:tc>
        <w:tc>
          <w:tcPr>
            <w:tcW w:w="1560" w:type="dxa"/>
            <w:tcBorders>
              <w:top w:val="single" w:sz="4" w:space="0" w:color="auto"/>
              <w:left w:val="nil"/>
              <w:bottom w:val="single" w:sz="4" w:space="0" w:color="auto"/>
              <w:right w:val="single" w:sz="4" w:space="0" w:color="auto"/>
            </w:tcBorders>
            <w:shd w:val="clear" w:color="auto" w:fill="C6EFCE"/>
            <w:noWrap/>
          </w:tcPr>
          <w:p w14:paraId="259B610E" w14:textId="77777777" w:rsidR="003B6BD9" w:rsidRDefault="009E25E8">
            <w:pPr>
              <w:pStyle w:val="P68B1DB1-Normal7"/>
              <w:spacing w:before="0" w:after="0" w:line="240" w:lineRule="auto"/>
              <w:rPr>
                <w:rFonts w:eastAsia="Times New Roman"/>
                <w:noProof/>
              </w:rPr>
            </w:pPr>
            <w:r>
              <w:rPr>
                <w:noProof/>
              </w:rPr>
              <w:t>C: Poursuivre l’augmentation des capacités de l’infrastructure ferroviaire</w:t>
            </w:r>
          </w:p>
        </w:tc>
        <w:tc>
          <w:tcPr>
            <w:tcW w:w="1200" w:type="dxa"/>
            <w:tcBorders>
              <w:top w:val="single" w:sz="4" w:space="0" w:color="auto"/>
              <w:left w:val="nil"/>
              <w:bottom w:val="single" w:sz="4" w:space="0" w:color="auto"/>
              <w:right w:val="single" w:sz="4" w:space="0" w:color="auto"/>
            </w:tcBorders>
            <w:shd w:val="clear" w:color="auto" w:fill="C6EFCE"/>
            <w:noWrap/>
          </w:tcPr>
          <w:p w14:paraId="41B3C4F6" w14:textId="29C02411" w:rsidR="003B6BD9" w:rsidRDefault="009E25E8">
            <w:pPr>
              <w:pStyle w:val="P68B1DB1-Normal7"/>
              <w:spacing w:before="0" w:after="0" w:line="240" w:lineRule="auto"/>
              <w:rPr>
                <w:rFonts w:eastAsia="Times New Roman"/>
                <w:noProof/>
              </w:rPr>
            </w:pPr>
            <w:r>
              <w:rPr>
                <w:noProof/>
              </w:rPr>
              <w:t>Cible</w:t>
            </w:r>
          </w:p>
        </w:tc>
        <w:tc>
          <w:tcPr>
            <w:tcW w:w="2022" w:type="dxa"/>
            <w:tcBorders>
              <w:top w:val="single" w:sz="4" w:space="0" w:color="auto"/>
              <w:left w:val="nil"/>
              <w:bottom w:val="single" w:sz="4" w:space="0" w:color="auto"/>
              <w:right w:val="single" w:sz="4" w:space="0" w:color="auto"/>
            </w:tcBorders>
            <w:shd w:val="clear" w:color="auto" w:fill="C6EFCE"/>
            <w:noWrap/>
          </w:tcPr>
          <w:p w14:paraId="2897FACB" w14:textId="2BA7D0D3" w:rsidR="003B6BD9" w:rsidRDefault="009E25E8">
            <w:pPr>
              <w:pStyle w:val="P68B1DB1-Normal7"/>
              <w:spacing w:before="0" w:after="0" w:line="240" w:lineRule="auto"/>
              <w:rPr>
                <w:rFonts w:eastAsia="Times New Roman"/>
                <w:noProof/>
              </w:rPr>
            </w:pPr>
            <w:r>
              <w:rPr>
                <w:noProof/>
              </w:rPr>
              <w:t>Stations ferroviaires rénovées Ljubljana (franchissement de la phase A de Dunajska) et Nova Gorica</w:t>
            </w:r>
          </w:p>
        </w:tc>
        <w:tc>
          <w:tcPr>
            <w:tcW w:w="1689" w:type="dxa"/>
            <w:tcBorders>
              <w:top w:val="single" w:sz="4" w:space="0" w:color="auto"/>
              <w:left w:val="nil"/>
              <w:bottom w:val="single" w:sz="4" w:space="0" w:color="auto"/>
              <w:right w:val="single" w:sz="4" w:space="0" w:color="auto"/>
            </w:tcBorders>
            <w:shd w:val="clear" w:color="auto" w:fill="C6EFCE"/>
            <w:noWrap/>
          </w:tcPr>
          <w:p w14:paraId="697D0706" w14:textId="4A8F4671" w:rsidR="003B6BD9" w:rsidRDefault="003B6BD9">
            <w:pPr>
              <w:spacing w:before="0" w:after="0" w:line="240" w:lineRule="auto"/>
              <w:rPr>
                <w:rFonts w:eastAsia="Times New Roman"/>
                <w:noProof/>
                <w:color w:val="006100"/>
                <w:sz w:val="18"/>
                <w:szCs w:val="18"/>
              </w:rPr>
            </w:pPr>
          </w:p>
        </w:tc>
        <w:tc>
          <w:tcPr>
            <w:tcW w:w="1103" w:type="dxa"/>
            <w:tcBorders>
              <w:top w:val="single" w:sz="4" w:space="0" w:color="auto"/>
              <w:left w:val="nil"/>
              <w:bottom w:val="single" w:sz="4" w:space="0" w:color="auto"/>
              <w:right w:val="single" w:sz="4" w:space="0" w:color="auto"/>
            </w:tcBorders>
            <w:shd w:val="clear" w:color="auto" w:fill="C6EFCE"/>
            <w:noWrap/>
          </w:tcPr>
          <w:p w14:paraId="7C8363BE" w14:textId="60AEEC1D" w:rsidR="003B6BD9" w:rsidRDefault="009E25E8">
            <w:pPr>
              <w:pStyle w:val="P68B1DB1-Normal8"/>
              <w:spacing w:before="0" w:after="0" w:line="240" w:lineRule="auto"/>
              <w:rPr>
                <w:noProof/>
              </w:rPr>
            </w:pPr>
            <w:r>
              <w:rPr>
                <w:noProof/>
              </w:rPr>
              <w:t>Nombre</w:t>
            </w:r>
          </w:p>
        </w:tc>
        <w:tc>
          <w:tcPr>
            <w:tcW w:w="1000" w:type="dxa"/>
            <w:tcBorders>
              <w:top w:val="single" w:sz="4" w:space="0" w:color="auto"/>
              <w:left w:val="nil"/>
              <w:bottom w:val="single" w:sz="4" w:space="0" w:color="auto"/>
              <w:right w:val="single" w:sz="4" w:space="0" w:color="auto"/>
            </w:tcBorders>
            <w:shd w:val="clear" w:color="auto" w:fill="C6EFCE"/>
            <w:noWrap/>
          </w:tcPr>
          <w:p w14:paraId="579665CF" w14:textId="0452903C" w:rsidR="003B6BD9" w:rsidRDefault="009E25E8">
            <w:pPr>
              <w:pStyle w:val="P68B1DB1-Normal8"/>
              <w:spacing w:before="0" w:after="0" w:line="240" w:lineRule="auto"/>
              <w:rPr>
                <w:noProof/>
              </w:rPr>
            </w:pPr>
            <w:r>
              <w:rPr>
                <w:noProof/>
              </w:rPr>
              <w:t>0</w:t>
            </w:r>
          </w:p>
        </w:tc>
        <w:tc>
          <w:tcPr>
            <w:tcW w:w="707" w:type="dxa"/>
            <w:tcBorders>
              <w:top w:val="single" w:sz="4" w:space="0" w:color="auto"/>
              <w:left w:val="nil"/>
              <w:bottom w:val="single" w:sz="4" w:space="0" w:color="auto"/>
              <w:right w:val="single" w:sz="4" w:space="0" w:color="auto"/>
            </w:tcBorders>
            <w:shd w:val="clear" w:color="auto" w:fill="C6EFCE"/>
            <w:noWrap/>
          </w:tcPr>
          <w:p w14:paraId="3FCCA4B8" w14:textId="3ECB1DF4" w:rsidR="003B6BD9" w:rsidRDefault="009E25E8">
            <w:pPr>
              <w:pStyle w:val="P68B1DB1-Normal8"/>
              <w:spacing w:before="0" w:after="0" w:line="240" w:lineRule="auto"/>
              <w:rPr>
                <w:noProof/>
              </w:rPr>
            </w:pPr>
            <w:r>
              <w:rPr>
                <w:noProof/>
              </w:rPr>
              <w:t>2</w:t>
            </w:r>
          </w:p>
        </w:tc>
        <w:tc>
          <w:tcPr>
            <w:tcW w:w="1018" w:type="dxa"/>
            <w:tcBorders>
              <w:top w:val="single" w:sz="4" w:space="0" w:color="auto"/>
              <w:left w:val="nil"/>
              <w:bottom w:val="single" w:sz="4" w:space="0" w:color="auto"/>
              <w:right w:val="single" w:sz="4" w:space="0" w:color="auto"/>
            </w:tcBorders>
            <w:shd w:val="clear" w:color="auto" w:fill="C6EFCE"/>
            <w:noWrap/>
          </w:tcPr>
          <w:p w14:paraId="28D7FD9D" w14:textId="77777777" w:rsidR="003B6BD9" w:rsidRDefault="009E25E8">
            <w:pPr>
              <w:pStyle w:val="P68B1DB1-Normal7"/>
              <w:spacing w:before="0" w:after="0" w:line="240" w:lineRule="auto"/>
              <w:rPr>
                <w:rFonts w:eastAsia="Times New Roman"/>
                <w:noProof/>
              </w:rPr>
            </w:pPr>
            <w:r>
              <w:rPr>
                <w:noProof/>
              </w:rPr>
              <w:t>T2</w:t>
            </w:r>
          </w:p>
        </w:tc>
        <w:tc>
          <w:tcPr>
            <w:tcW w:w="707" w:type="dxa"/>
            <w:tcBorders>
              <w:top w:val="single" w:sz="4" w:space="0" w:color="auto"/>
              <w:left w:val="nil"/>
              <w:bottom w:val="single" w:sz="4" w:space="0" w:color="auto"/>
              <w:right w:val="single" w:sz="4" w:space="0" w:color="auto"/>
            </w:tcBorders>
            <w:shd w:val="clear" w:color="auto" w:fill="C6EFCE"/>
            <w:noWrap/>
          </w:tcPr>
          <w:p w14:paraId="0129308D" w14:textId="77777777" w:rsidR="003B6BD9" w:rsidRDefault="009E25E8">
            <w:pPr>
              <w:pStyle w:val="P68B1DB1-Normal7"/>
              <w:spacing w:before="0" w:after="0" w:line="240" w:lineRule="auto"/>
              <w:rPr>
                <w:rFonts w:eastAsia="Times New Roman"/>
                <w:noProof/>
              </w:rPr>
            </w:pPr>
            <w:r>
              <w:rPr>
                <w:noProof/>
              </w:rPr>
              <w:t>2026</w:t>
            </w:r>
          </w:p>
        </w:tc>
        <w:tc>
          <w:tcPr>
            <w:tcW w:w="3361" w:type="dxa"/>
            <w:tcBorders>
              <w:top w:val="single" w:sz="4" w:space="0" w:color="auto"/>
              <w:left w:val="nil"/>
              <w:bottom w:val="single" w:sz="4" w:space="0" w:color="auto"/>
              <w:right w:val="single" w:sz="4" w:space="0" w:color="auto"/>
            </w:tcBorders>
            <w:shd w:val="clear" w:color="auto" w:fill="C6EFCE"/>
            <w:noWrap/>
          </w:tcPr>
          <w:p w14:paraId="243853C3" w14:textId="5AE95ED2" w:rsidR="003B6BD9" w:rsidRDefault="009E25E8">
            <w:pPr>
              <w:pStyle w:val="P68B1DB1-Normal7"/>
              <w:spacing w:before="0" w:after="0" w:line="240" w:lineRule="auto"/>
              <w:rPr>
                <w:noProof/>
              </w:rPr>
            </w:pPr>
            <w:r>
              <w:rPr>
                <w:noProof/>
              </w:rPr>
              <w:t>Rénovation des gares ferroviaires de Ljubljana (franchissement de la phase A de Dunajska) et de Nova Gorica. Le cahier des charges précise que i) le projet de gare ferroviaire de Nova Gorica comprend des mesures d’accessibilité pour ses usagers, ii) que la gare ferroviaire de Nova Gorica comprend 6 voies ferrées, et iii) que les voies ferrées de la gare ferroviaire de Ljubljana, phase A, traversent les trains de marchandises avec une charge à l’essieu de la catégorie D4 (22,5 t/essieu) et une longueur de train de 740 m.</w:t>
            </w:r>
          </w:p>
        </w:tc>
      </w:tr>
    </w:tbl>
    <w:p w14:paraId="2D756C9B" w14:textId="7A00A1C3" w:rsidR="003B6BD9" w:rsidRDefault="003B6BD9">
      <w:pPr>
        <w:spacing w:line="240" w:lineRule="auto"/>
        <w:ind w:left="709"/>
        <w:jc w:val="both"/>
        <w:rPr>
          <w:noProof/>
          <w:szCs w:val="24"/>
        </w:rPr>
        <w:sectPr w:rsidR="003B6BD9" w:rsidSect="00073927">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26"/>
        </w:sectPr>
      </w:pPr>
    </w:p>
    <w:p w14:paraId="0CD44F7A" w14:textId="77777777" w:rsidR="003B6BD9" w:rsidRDefault="009E25E8">
      <w:pPr>
        <w:pStyle w:val="P68B1DB1-Normal3"/>
        <w:keepNext/>
        <w:tabs>
          <w:tab w:val="left" w:pos="850"/>
        </w:tabs>
        <w:spacing w:line="240" w:lineRule="auto"/>
        <w:jc w:val="both"/>
        <w:outlineLvl w:val="0"/>
        <w:rPr>
          <w:noProof/>
        </w:rPr>
      </w:pPr>
      <w:r>
        <w:rPr>
          <w:noProof/>
        </w:rPr>
        <w:t>E. VOLET 5: ÉCONOMIE CIRCULAIRE — UTILISATION EFFICACE DES RESSOURCES</w:t>
      </w:r>
    </w:p>
    <w:p w14:paraId="47F9B4A4" w14:textId="77777777" w:rsidR="003B6BD9" w:rsidRDefault="009E25E8">
      <w:pPr>
        <w:spacing w:line="240" w:lineRule="auto"/>
        <w:jc w:val="both"/>
        <w:rPr>
          <w:noProof/>
        </w:rPr>
      </w:pPr>
      <w:r>
        <w:rPr>
          <w:noProof/>
        </w:rPr>
        <w:t>Ce volet du plan slovène pour la reprise et la résilience répond aux défis liés à la réalisation de la neutralité climatique d’ici à 2050, à l’augmentation de la productivité des matériaux, à la promotion de l’efficacité énergétique et de l’éco-innovation, à l’amélioration du système de gestion des déchets et au renforcement de la chaîne de transformation du bois. Ce volet introduit également une planification budgétaire verte.</w:t>
      </w:r>
    </w:p>
    <w:p w14:paraId="5193CFB1" w14:textId="2303AB92" w:rsidR="003B6BD9" w:rsidRDefault="009E25E8">
      <w:pPr>
        <w:spacing w:line="240" w:lineRule="auto"/>
        <w:jc w:val="both"/>
        <w:rPr>
          <w:noProof/>
        </w:rPr>
      </w:pPr>
      <w:r>
        <w:rPr>
          <w:noProof/>
        </w:rPr>
        <w:t xml:space="preserve">L’objectif de ce volet est de soutenir la transition de l’économie linéaire slovène vers une économie circulaire à faible intensité de carbone, conformément à la stratégie de développement 2030 de la Slovénie et au nouveau plan d’action de l’UE en faveur de l’économie circulaire intitulé «Vers une Europe plus propre et plus compétitive». </w:t>
      </w:r>
    </w:p>
    <w:p w14:paraId="79CDA364" w14:textId="77777777" w:rsidR="003B6BD9" w:rsidRDefault="009E25E8">
      <w:pPr>
        <w:spacing w:line="240" w:lineRule="auto"/>
        <w:jc w:val="both"/>
        <w:rPr>
          <w:noProof/>
        </w:rPr>
      </w:pPr>
      <w:r>
        <w:rPr>
          <w:noProof/>
        </w:rPr>
        <w:t>Ces investissements et réformes contribuent aux recommandations par pays adressées à la Slovénie au cours des deux dernières années visant à «axer la politique économique liée aux investissements sur [...] la transition énergétique et vers une économie à faible intensité de carbone (recommandations par pays no 3 et 2019) et à mettre l’accent sur les investissements en faveur de la transition écologique [...], en particulier en ce qui concerne la production et l’utilisation propres et efficaces de l’énergie et les infrastructures environnementales» (recommandations par pays no 3 et 2020).</w:t>
      </w:r>
    </w:p>
    <w:p w14:paraId="72017566" w14:textId="45E779C7" w:rsidR="003B6BD9" w:rsidRDefault="009E25E8">
      <w:pPr>
        <w:spacing w:line="240" w:lineRule="auto"/>
        <w:jc w:val="both"/>
        <w:rPr>
          <w:noProof/>
        </w:rPr>
      </w:pPr>
      <w:r>
        <w:rPr>
          <w:noProof/>
        </w:rPr>
        <w:t xml:space="preserve">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 </w:t>
      </w:r>
    </w:p>
    <w:p w14:paraId="05B0FAA5" w14:textId="5C3798D0" w:rsidR="003B6BD9" w:rsidRDefault="009E25E8">
      <w:pPr>
        <w:pStyle w:val="P68B1DB1-Normal4"/>
        <w:spacing w:line="240" w:lineRule="auto"/>
        <w:jc w:val="both"/>
        <w:rPr>
          <w:i/>
          <w:noProof/>
          <w:color w:val="4F81BD"/>
        </w:rPr>
      </w:pPr>
      <w:r>
        <w:rPr>
          <w:noProof/>
        </w:rPr>
        <w:t>E.1. Description des réformes et des investissements pour le soutien financier non remboursable</w:t>
      </w:r>
    </w:p>
    <w:p w14:paraId="718C4615" w14:textId="77777777" w:rsidR="003B6BD9" w:rsidRDefault="009E25E8">
      <w:pPr>
        <w:pStyle w:val="P68B1DB1-Normal5"/>
        <w:spacing w:line="240" w:lineRule="auto"/>
        <w:jc w:val="both"/>
        <w:rPr>
          <w:noProof/>
        </w:rPr>
      </w:pPr>
      <w:r>
        <w:rPr>
          <w:noProof/>
        </w:rPr>
        <w:t>Réforme A: Établir un cadre pour une transformation durable et écologique</w:t>
      </w:r>
    </w:p>
    <w:p w14:paraId="2D699209" w14:textId="77777777" w:rsidR="003B6BD9" w:rsidRDefault="009E25E8">
      <w:pPr>
        <w:spacing w:line="240" w:lineRule="auto"/>
        <w:jc w:val="both"/>
        <w:rPr>
          <w:noProof/>
        </w:rPr>
      </w:pPr>
      <w:r>
        <w:rPr>
          <w:noProof/>
        </w:rPr>
        <w:t xml:space="preserve">L’objectif de la réforme est d’accélérer la transition vers une économie circulaire pour une utilisation efficace des ressources. </w:t>
      </w:r>
    </w:p>
    <w:p w14:paraId="4614273B" w14:textId="77777777" w:rsidR="003B6BD9" w:rsidRDefault="009E25E8">
      <w:pPr>
        <w:spacing w:line="240" w:lineRule="auto"/>
        <w:jc w:val="both"/>
        <w:rPr>
          <w:noProof/>
        </w:rPr>
      </w:pPr>
      <w:r>
        <w:rPr>
          <w:noProof/>
        </w:rPr>
        <w:t xml:space="preserve">Un cadre stratégique et juridique pour la transition vers une économie circulaire est établi afin d’améliorer la responsabilité élargie des producteurs et de promouvoir l’intégration de matériaux recyclés dans de nouveaux produits. La réforme établit une planification budgétaire verte en introduisant une méthode visant à recenser et à évaluer les éléments du budget public qui ont une incidence sur les politiques environnementales. La réforme facilite le pilotage budgétaire et soutient la cohérence des politiques budgétaires et budgétaires avec les objectifs climatiques. La réforme renforce également le système existant de marchés publics écologiques en intégrant les principes de l’économie circulaire. Elle met en place un guichet unique pour soutenir les entreprises, en particulier les petites et moyennes entreprises (PME), dans leur transition vers une économie circulaire. </w:t>
      </w:r>
    </w:p>
    <w:p w14:paraId="0E31D29C" w14:textId="77777777" w:rsidR="003B6BD9" w:rsidRDefault="009E25E8">
      <w:pPr>
        <w:spacing w:line="240" w:lineRule="auto"/>
        <w:jc w:val="both"/>
        <w:rPr>
          <w:noProof/>
        </w:rPr>
      </w:pPr>
      <w:r>
        <w:rPr>
          <w:noProof/>
        </w:rPr>
        <w:t>Les étapes liées à la mise en œuvre de la réforme sont achevées au plus tard le 31 décembre 2023.</w:t>
      </w:r>
    </w:p>
    <w:p w14:paraId="28696BC9" w14:textId="77777777" w:rsidR="003B6BD9" w:rsidRDefault="009E25E8">
      <w:pPr>
        <w:pStyle w:val="P68B1DB1-Normal5"/>
        <w:spacing w:line="240" w:lineRule="auto"/>
        <w:jc w:val="both"/>
        <w:rPr>
          <w:noProof/>
        </w:rPr>
      </w:pPr>
      <w:r>
        <w:rPr>
          <w:noProof/>
        </w:rPr>
        <w:t>Investissement B: Projet stratégique intégré pour la décarbonation de la Slovénie grâce à la transition vers une économie circulaire</w:t>
      </w:r>
    </w:p>
    <w:p w14:paraId="426D3743" w14:textId="65153CB0" w:rsidR="003B6BD9" w:rsidRDefault="009E25E8">
      <w:pPr>
        <w:spacing w:line="240" w:lineRule="auto"/>
        <w:jc w:val="both"/>
        <w:rPr>
          <w:noProof/>
        </w:rPr>
      </w:pPr>
      <w:r>
        <w:rPr>
          <w:noProof/>
        </w:rPr>
        <w:t xml:space="preserve">L’objectif de l’investissement est de soutenir la transition des entreprises vers une économie circulaire par l’octroi de subventions. </w:t>
      </w:r>
    </w:p>
    <w:p w14:paraId="6F58D1F0" w14:textId="2E911769" w:rsidR="003B6BD9" w:rsidRDefault="009E25E8">
      <w:pPr>
        <w:spacing w:line="240" w:lineRule="auto"/>
        <w:jc w:val="both"/>
        <w:rPr>
          <w:noProof/>
        </w:rPr>
      </w:pPr>
      <w:r>
        <w:rPr>
          <w:noProof/>
        </w:rPr>
        <w:t>La mesure consiste en des projets ou des activités soutenant la transition vers une économie circulaire.</w:t>
      </w:r>
    </w:p>
    <w:p w14:paraId="215772C0" w14:textId="77777777" w:rsidR="003B6BD9" w:rsidRDefault="009E25E8">
      <w:pPr>
        <w:pStyle w:val="P68B1DB1-Normal5"/>
        <w:spacing w:line="240" w:lineRule="auto"/>
        <w:jc w:val="both"/>
        <w:rPr>
          <w:noProof/>
        </w:rPr>
      </w:pPr>
      <w:r>
        <w:rPr>
          <w:noProof/>
        </w:rPr>
        <w:t>Investissement C: Augmentation de la transformation du bois pour accélérer la transition vers une société neutre pour le climat</w:t>
      </w:r>
    </w:p>
    <w:p w14:paraId="0284379B" w14:textId="6D8D2B8E" w:rsidR="003B6BD9" w:rsidRDefault="009E25E8">
      <w:pPr>
        <w:spacing w:line="240" w:lineRule="auto"/>
        <w:jc w:val="both"/>
        <w:rPr>
          <w:noProof/>
        </w:rPr>
      </w:pPr>
      <w:r>
        <w:rPr>
          <w:noProof/>
        </w:rPr>
        <w:t>L’objectif de cet investissement est de renforcer la capacité de transformation du bois en Slovénie.</w:t>
      </w:r>
    </w:p>
    <w:p w14:paraId="66322E76" w14:textId="51353D79" w:rsidR="003B6BD9" w:rsidRDefault="009E25E8">
      <w:pPr>
        <w:spacing w:line="240" w:lineRule="auto"/>
        <w:jc w:val="both"/>
        <w:rPr>
          <w:noProof/>
        </w:rPr>
      </w:pPr>
      <w:r>
        <w:rPr>
          <w:noProof/>
        </w:rPr>
        <w:t>Cet investissement consiste en des projets soutenant la transformation du bois par l’octroi de subventions.</w:t>
      </w:r>
    </w:p>
    <w:p w14:paraId="10F4DBC9" w14:textId="77777777" w:rsidR="003B6BD9" w:rsidRDefault="003B6BD9">
      <w:pPr>
        <w:spacing w:line="240" w:lineRule="auto"/>
        <w:ind w:left="850"/>
        <w:jc w:val="both"/>
        <w:rPr>
          <w:noProof/>
          <w:u w:val="single"/>
        </w:rPr>
        <w:sectPr w:rsidR="003B6BD9" w:rsidSect="00073927">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26"/>
        </w:sectPr>
      </w:pPr>
    </w:p>
    <w:p w14:paraId="1CA0585B" w14:textId="49640525" w:rsidR="003B6BD9" w:rsidRDefault="009E25E8">
      <w:pPr>
        <w:pStyle w:val="P68B1DB1-Normal4"/>
        <w:spacing w:line="240" w:lineRule="auto"/>
        <w:ind w:left="850"/>
        <w:jc w:val="both"/>
        <w:rPr>
          <w:noProof/>
        </w:rPr>
      </w:pPr>
      <w:r>
        <w:rPr>
          <w:noProof/>
        </w:rPr>
        <w:t>E.2. Jalons, cibles, indicateurs et calendrier de suivi et de mise en œuvre pour le soutien financier non remboursable</w:t>
      </w:r>
    </w:p>
    <w:tbl>
      <w:tblPr>
        <w:tblpPr w:leftFromText="180" w:rightFromText="180" w:vertAnchor="text" w:tblpXSpec="center" w:tblpY="1"/>
        <w:tblOverlap w:val="never"/>
        <w:tblW w:w="15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5"/>
        <w:gridCol w:w="2160"/>
        <w:gridCol w:w="1320"/>
        <w:gridCol w:w="2040"/>
        <w:gridCol w:w="2160"/>
        <w:gridCol w:w="1080"/>
        <w:gridCol w:w="1080"/>
        <w:gridCol w:w="691"/>
        <w:gridCol w:w="989"/>
        <w:gridCol w:w="720"/>
        <w:gridCol w:w="2680"/>
      </w:tblGrid>
      <w:tr w:rsidR="003B6BD9" w14:paraId="68EA9D00" w14:textId="77777777" w:rsidTr="00AC1D11">
        <w:trPr>
          <w:trHeight w:val="927"/>
          <w:tblHeader/>
        </w:trPr>
        <w:tc>
          <w:tcPr>
            <w:tcW w:w="955" w:type="dxa"/>
            <w:vMerge w:val="restart"/>
            <w:shd w:val="clear" w:color="auto" w:fill="BDD7EE"/>
            <w:vAlign w:val="center"/>
            <w:hideMark/>
          </w:tcPr>
          <w:p w14:paraId="4E6A6696" w14:textId="3DA23592" w:rsidR="003B6BD9" w:rsidRDefault="009E25E8">
            <w:pPr>
              <w:pStyle w:val="P68B1DB1-Normal6"/>
              <w:spacing w:before="0" w:after="0" w:line="256" w:lineRule="auto"/>
              <w:jc w:val="center"/>
              <w:rPr>
                <w:rFonts w:eastAsia="Times New Roman"/>
                <w:noProof/>
              </w:rPr>
            </w:pPr>
            <w:r>
              <w:rPr>
                <w:noProof/>
              </w:rPr>
              <w:t xml:space="preserve">Et suivants Non. </w:t>
            </w:r>
          </w:p>
        </w:tc>
        <w:tc>
          <w:tcPr>
            <w:tcW w:w="2160" w:type="dxa"/>
            <w:vMerge w:val="restart"/>
            <w:shd w:val="clear" w:color="auto" w:fill="BDD7EE"/>
            <w:vAlign w:val="center"/>
            <w:hideMark/>
          </w:tcPr>
          <w:p w14:paraId="62EE65ED" w14:textId="77777777" w:rsidR="003B6BD9" w:rsidRDefault="009E25E8">
            <w:pPr>
              <w:pStyle w:val="P68B1DB1-Normal6"/>
              <w:spacing w:before="0" w:after="0" w:line="256" w:lineRule="auto"/>
              <w:jc w:val="center"/>
              <w:rPr>
                <w:rFonts w:eastAsia="Times New Roman"/>
                <w:noProof/>
              </w:rPr>
            </w:pPr>
            <w:r>
              <w:rPr>
                <w:noProof/>
              </w:rPr>
              <w:t>Mesure connexe (réforme ou investissement)</w:t>
            </w:r>
          </w:p>
        </w:tc>
        <w:tc>
          <w:tcPr>
            <w:tcW w:w="1320" w:type="dxa"/>
            <w:vMerge w:val="restart"/>
            <w:shd w:val="clear" w:color="auto" w:fill="BDD7EE"/>
            <w:vAlign w:val="center"/>
            <w:hideMark/>
          </w:tcPr>
          <w:p w14:paraId="6EC92257" w14:textId="58D0C690" w:rsidR="003B6BD9" w:rsidRDefault="009E25E8">
            <w:pPr>
              <w:pStyle w:val="P68B1DB1-Normal6"/>
              <w:spacing w:before="0" w:after="0" w:line="256" w:lineRule="auto"/>
              <w:jc w:val="center"/>
              <w:rPr>
                <w:rFonts w:eastAsia="Times New Roman"/>
                <w:noProof/>
              </w:rPr>
            </w:pPr>
            <w:r>
              <w:rPr>
                <w:noProof/>
              </w:rPr>
              <w:t>Étape/</w:t>
            </w:r>
            <w:r w:rsidR="00AC1D11">
              <w:rPr>
                <w:noProof/>
              </w:rPr>
              <w:br/>
            </w:r>
            <w:r>
              <w:rPr>
                <w:noProof/>
              </w:rPr>
              <w:t>Objectif</w:t>
            </w:r>
          </w:p>
        </w:tc>
        <w:tc>
          <w:tcPr>
            <w:tcW w:w="2040" w:type="dxa"/>
            <w:vMerge w:val="restart"/>
            <w:shd w:val="clear" w:color="auto" w:fill="BDD7EE"/>
            <w:vAlign w:val="center"/>
            <w:hideMark/>
          </w:tcPr>
          <w:p w14:paraId="35375D5D" w14:textId="77777777" w:rsidR="003B6BD9" w:rsidRDefault="009E25E8">
            <w:pPr>
              <w:pStyle w:val="P68B1DB1-Normal6"/>
              <w:spacing w:before="0" w:after="0" w:line="256" w:lineRule="auto"/>
              <w:jc w:val="center"/>
              <w:rPr>
                <w:rFonts w:eastAsia="Times New Roman"/>
                <w:noProof/>
              </w:rPr>
            </w:pPr>
            <w:r>
              <w:rPr>
                <w:noProof/>
              </w:rPr>
              <w:t>Nom</w:t>
            </w:r>
          </w:p>
        </w:tc>
        <w:tc>
          <w:tcPr>
            <w:tcW w:w="2160" w:type="dxa"/>
            <w:vMerge w:val="restart"/>
            <w:shd w:val="clear" w:color="auto" w:fill="BDD7EE"/>
            <w:vAlign w:val="center"/>
            <w:hideMark/>
          </w:tcPr>
          <w:p w14:paraId="28059912" w14:textId="77777777" w:rsidR="003B6BD9" w:rsidRDefault="009E25E8">
            <w:pPr>
              <w:pStyle w:val="P68B1DB1-Normal10"/>
              <w:spacing w:before="0" w:after="0" w:line="256" w:lineRule="auto"/>
              <w:jc w:val="center"/>
              <w:rPr>
                <w:rFonts w:eastAsia="Times New Roman"/>
                <w:b/>
                <w:noProof/>
              </w:rPr>
            </w:pPr>
            <w:r>
              <w:rPr>
                <w:b/>
                <w:noProof/>
              </w:rPr>
              <w:t>Indicateurs qualitatifs</w:t>
            </w:r>
            <w:r>
              <w:rPr>
                <w:noProof/>
              </w:rPr>
              <w:t xml:space="preserve"> </w:t>
            </w:r>
            <w:r>
              <w:rPr>
                <w:b/>
                <w:noProof/>
              </w:rPr>
              <w:t>(pour les jalons)</w:t>
            </w:r>
          </w:p>
        </w:tc>
        <w:tc>
          <w:tcPr>
            <w:tcW w:w="2851" w:type="dxa"/>
            <w:gridSpan w:val="3"/>
            <w:shd w:val="clear" w:color="auto" w:fill="BDD7EE"/>
            <w:vAlign w:val="center"/>
            <w:hideMark/>
          </w:tcPr>
          <w:p w14:paraId="79CE0AAC" w14:textId="566DD237" w:rsidR="003B6BD9" w:rsidRDefault="009E25E8">
            <w:pPr>
              <w:pStyle w:val="P68B1DB1-Normal6"/>
              <w:spacing w:before="0" w:after="0" w:line="256" w:lineRule="auto"/>
              <w:jc w:val="center"/>
              <w:rPr>
                <w:rFonts w:eastAsia="Times New Roman"/>
                <w:noProof/>
              </w:rPr>
            </w:pPr>
            <w:r>
              <w:rPr>
                <w:noProof/>
              </w:rPr>
              <w:t>Indicateurs quantitatifs (pour les cibles)</w:t>
            </w:r>
          </w:p>
        </w:tc>
        <w:tc>
          <w:tcPr>
            <w:tcW w:w="1709" w:type="dxa"/>
            <w:gridSpan w:val="2"/>
            <w:shd w:val="clear" w:color="auto" w:fill="BDD7EE"/>
            <w:vAlign w:val="center"/>
            <w:hideMark/>
          </w:tcPr>
          <w:p w14:paraId="707C5F18" w14:textId="77777777" w:rsidR="003B6BD9" w:rsidRDefault="009E25E8">
            <w:pPr>
              <w:pStyle w:val="P68B1DB1-Normal6"/>
              <w:spacing w:before="0" w:after="0" w:line="256" w:lineRule="auto"/>
              <w:jc w:val="center"/>
              <w:rPr>
                <w:rFonts w:eastAsia="Times New Roman"/>
                <w:noProof/>
              </w:rPr>
            </w:pPr>
            <w:r>
              <w:rPr>
                <w:noProof/>
              </w:rPr>
              <w:t xml:space="preserve">Calendrier indicatif pour l’achèvement </w:t>
            </w:r>
          </w:p>
        </w:tc>
        <w:tc>
          <w:tcPr>
            <w:tcW w:w="2680" w:type="dxa"/>
            <w:vMerge w:val="restart"/>
            <w:shd w:val="clear" w:color="auto" w:fill="BDD7EE"/>
            <w:vAlign w:val="center"/>
            <w:hideMark/>
          </w:tcPr>
          <w:p w14:paraId="6E590A3C" w14:textId="77777777" w:rsidR="003B6BD9" w:rsidRDefault="009E25E8">
            <w:pPr>
              <w:pStyle w:val="P68B1DB1-Normal6"/>
              <w:spacing w:before="0" w:after="0" w:line="256" w:lineRule="auto"/>
              <w:jc w:val="center"/>
              <w:rPr>
                <w:rFonts w:eastAsia="Times New Roman"/>
                <w:noProof/>
              </w:rPr>
            </w:pPr>
            <w:r>
              <w:rPr>
                <w:noProof/>
              </w:rPr>
              <w:t>Description de chaque jalon et cible</w:t>
            </w:r>
          </w:p>
        </w:tc>
      </w:tr>
      <w:tr w:rsidR="003B6BD9" w14:paraId="7785AC57" w14:textId="77777777" w:rsidTr="00AC1D11">
        <w:trPr>
          <w:trHeight w:val="615"/>
          <w:tblHeader/>
        </w:trPr>
        <w:tc>
          <w:tcPr>
            <w:tcW w:w="955" w:type="dxa"/>
            <w:vMerge/>
            <w:vAlign w:val="center"/>
            <w:hideMark/>
          </w:tcPr>
          <w:p w14:paraId="0B95F6EC" w14:textId="77777777" w:rsidR="003B6BD9" w:rsidRDefault="003B6BD9">
            <w:pPr>
              <w:spacing w:before="0" w:after="0" w:line="256" w:lineRule="auto"/>
              <w:rPr>
                <w:rFonts w:eastAsia="Times New Roman"/>
                <w:b/>
                <w:noProof/>
                <w:sz w:val="18"/>
                <w:szCs w:val="18"/>
              </w:rPr>
            </w:pPr>
          </w:p>
        </w:tc>
        <w:tc>
          <w:tcPr>
            <w:tcW w:w="2160" w:type="dxa"/>
            <w:vMerge/>
            <w:vAlign w:val="center"/>
            <w:hideMark/>
          </w:tcPr>
          <w:p w14:paraId="132E811F" w14:textId="77777777" w:rsidR="003B6BD9" w:rsidRDefault="003B6BD9">
            <w:pPr>
              <w:spacing w:before="0" w:after="0" w:line="256" w:lineRule="auto"/>
              <w:rPr>
                <w:rFonts w:eastAsia="Times New Roman"/>
                <w:b/>
                <w:noProof/>
                <w:sz w:val="18"/>
                <w:szCs w:val="18"/>
              </w:rPr>
            </w:pPr>
          </w:p>
        </w:tc>
        <w:tc>
          <w:tcPr>
            <w:tcW w:w="1320" w:type="dxa"/>
            <w:vMerge/>
            <w:vAlign w:val="center"/>
            <w:hideMark/>
          </w:tcPr>
          <w:p w14:paraId="7A1C3D60" w14:textId="77777777" w:rsidR="003B6BD9" w:rsidRDefault="003B6BD9">
            <w:pPr>
              <w:spacing w:before="0" w:after="0" w:line="256" w:lineRule="auto"/>
              <w:rPr>
                <w:rFonts w:eastAsia="Times New Roman"/>
                <w:b/>
                <w:noProof/>
                <w:sz w:val="18"/>
                <w:szCs w:val="18"/>
              </w:rPr>
            </w:pPr>
          </w:p>
        </w:tc>
        <w:tc>
          <w:tcPr>
            <w:tcW w:w="2040" w:type="dxa"/>
            <w:vMerge/>
            <w:vAlign w:val="center"/>
            <w:hideMark/>
          </w:tcPr>
          <w:p w14:paraId="286B9824" w14:textId="77777777" w:rsidR="003B6BD9" w:rsidRDefault="003B6BD9">
            <w:pPr>
              <w:spacing w:before="0" w:after="0" w:line="256" w:lineRule="auto"/>
              <w:rPr>
                <w:rFonts w:eastAsia="Times New Roman"/>
                <w:b/>
                <w:noProof/>
                <w:sz w:val="18"/>
                <w:szCs w:val="18"/>
              </w:rPr>
            </w:pPr>
          </w:p>
        </w:tc>
        <w:tc>
          <w:tcPr>
            <w:tcW w:w="2160" w:type="dxa"/>
            <w:vMerge/>
            <w:vAlign w:val="center"/>
            <w:hideMark/>
          </w:tcPr>
          <w:p w14:paraId="42B8781E" w14:textId="77777777" w:rsidR="003B6BD9" w:rsidRDefault="003B6BD9">
            <w:pPr>
              <w:spacing w:before="0" w:after="0" w:line="256" w:lineRule="auto"/>
              <w:rPr>
                <w:rFonts w:eastAsia="Times New Roman"/>
                <w:b/>
                <w:noProof/>
                <w:sz w:val="18"/>
                <w:szCs w:val="18"/>
              </w:rPr>
            </w:pPr>
          </w:p>
        </w:tc>
        <w:tc>
          <w:tcPr>
            <w:tcW w:w="1080" w:type="dxa"/>
            <w:shd w:val="clear" w:color="auto" w:fill="BDD7EE"/>
            <w:vAlign w:val="center"/>
            <w:hideMark/>
          </w:tcPr>
          <w:p w14:paraId="39E4E4F9" w14:textId="77777777" w:rsidR="003B6BD9" w:rsidRDefault="009E25E8">
            <w:pPr>
              <w:pStyle w:val="P68B1DB1-Normal6"/>
              <w:spacing w:before="0" w:after="0" w:line="256" w:lineRule="auto"/>
              <w:jc w:val="center"/>
              <w:rPr>
                <w:rFonts w:eastAsia="Times New Roman"/>
                <w:noProof/>
              </w:rPr>
            </w:pPr>
            <w:r>
              <w:rPr>
                <w:noProof/>
              </w:rPr>
              <w:t>Unité de mesure</w:t>
            </w:r>
          </w:p>
        </w:tc>
        <w:tc>
          <w:tcPr>
            <w:tcW w:w="1080" w:type="dxa"/>
            <w:shd w:val="clear" w:color="auto" w:fill="BDD7EE"/>
            <w:vAlign w:val="center"/>
            <w:hideMark/>
          </w:tcPr>
          <w:p w14:paraId="1D3108A3" w14:textId="77777777" w:rsidR="003B6BD9" w:rsidRDefault="009E25E8">
            <w:pPr>
              <w:pStyle w:val="P68B1DB1-Normal6"/>
              <w:spacing w:before="0" w:after="0" w:line="256" w:lineRule="auto"/>
              <w:jc w:val="center"/>
              <w:rPr>
                <w:rFonts w:eastAsia="Times New Roman"/>
                <w:noProof/>
              </w:rPr>
            </w:pPr>
            <w:r>
              <w:rPr>
                <w:noProof/>
              </w:rPr>
              <w:t xml:space="preserve">Niveau de référence </w:t>
            </w:r>
          </w:p>
        </w:tc>
        <w:tc>
          <w:tcPr>
            <w:tcW w:w="691" w:type="dxa"/>
            <w:shd w:val="clear" w:color="auto" w:fill="BDD7EE"/>
            <w:vAlign w:val="center"/>
            <w:hideMark/>
          </w:tcPr>
          <w:p w14:paraId="7D25296E" w14:textId="77777777" w:rsidR="003B6BD9" w:rsidRDefault="009E25E8">
            <w:pPr>
              <w:pStyle w:val="P68B1DB1-Normal6"/>
              <w:spacing w:before="0" w:after="0" w:line="256" w:lineRule="auto"/>
              <w:jc w:val="center"/>
              <w:rPr>
                <w:rFonts w:eastAsia="Times New Roman"/>
                <w:noProof/>
              </w:rPr>
            </w:pPr>
            <w:r>
              <w:rPr>
                <w:noProof/>
              </w:rPr>
              <w:t xml:space="preserve">But </w:t>
            </w:r>
          </w:p>
        </w:tc>
        <w:tc>
          <w:tcPr>
            <w:tcW w:w="989" w:type="dxa"/>
            <w:shd w:val="clear" w:color="auto" w:fill="BDD7EE"/>
            <w:vAlign w:val="center"/>
            <w:hideMark/>
          </w:tcPr>
          <w:p w14:paraId="15B36776" w14:textId="77777777" w:rsidR="003B6BD9" w:rsidRDefault="009E25E8">
            <w:pPr>
              <w:pStyle w:val="P68B1DB1-Normal6"/>
              <w:spacing w:before="0" w:after="0" w:line="256" w:lineRule="auto"/>
              <w:jc w:val="center"/>
              <w:rPr>
                <w:rFonts w:eastAsia="Times New Roman"/>
                <w:noProof/>
              </w:rPr>
            </w:pPr>
            <w:r>
              <w:rPr>
                <w:noProof/>
              </w:rPr>
              <w:t>Trimestre</w:t>
            </w:r>
          </w:p>
        </w:tc>
        <w:tc>
          <w:tcPr>
            <w:tcW w:w="720" w:type="dxa"/>
            <w:shd w:val="clear" w:color="auto" w:fill="BDD7EE"/>
            <w:vAlign w:val="center"/>
            <w:hideMark/>
          </w:tcPr>
          <w:p w14:paraId="1E94CF25" w14:textId="77777777" w:rsidR="003B6BD9" w:rsidRDefault="009E25E8">
            <w:pPr>
              <w:pStyle w:val="P68B1DB1-Normal6"/>
              <w:spacing w:before="0" w:after="0" w:line="256" w:lineRule="auto"/>
              <w:jc w:val="center"/>
              <w:rPr>
                <w:rFonts w:eastAsia="Times New Roman"/>
                <w:noProof/>
              </w:rPr>
            </w:pPr>
            <w:r>
              <w:rPr>
                <w:noProof/>
              </w:rPr>
              <w:t>Année</w:t>
            </w:r>
          </w:p>
        </w:tc>
        <w:tc>
          <w:tcPr>
            <w:tcW w:w="2680" w:type="dxa"/>
            <w:vMerge/>
            <w:vAlign w:val="center"/>
            <w:hideMark/>
          </w:tcPr>
          <w:p w14:paraId="4DDB7789" w14:textId="77777777" w:rsidR="003B6BD9" w:rsidRDefault="003B6BD9">
            <w:pPr>
              <w:spacing w:before="0" w:after="0" w:line="256" w:lineRule="auto"/>
              <w:rPr>
                <w:rFonts w:eastAsia="Times New Roman"/>
                <w:b/>
                <w:noProof/>
                <w:sz w:val="18"/>
                <w:szCs w:val="18"/>
              </w:rPr>
            </w:pPr>
          </w:p>
        </w:tc>
      </w:tr>
      <w:tr w:rsidR="003B6BD9" w14:paraId="02D7B92B" w14:textId="77777777" w:rsidTr="00AC1D11">
        <w:trPr>
          <w:trHeight w:val="309"/>
        </w:trPr>
        <w:tc>
          <w:tcPr>
            <w:tcW w:w="955" w:type="dxa"/>
            <w:tcBorders>
              <w:top w:val="single" w:sz="4" w:space="0" w:color="auto"/>
              <w:left w:val="single" w:sz="4" w:space="0" w:color="auto"/>
              <w:bottom w:val="single" w:sz="4" w:space="0" w:color="auto"/>
              <w:right w:val="single" w:sz="4" w:space="0" w:color="auto"/>
            </w:tcBorders>
            <w:shd w:val="clear" w:color="auto" w:fill="C6EFCE"/>
            <w:noWrap/>
            <w:hideMark/>
          </w:tcPr>
          <w:p w14:paraId="5E31832F" w14:textId="77777777" w:rsidR="003B6BD9" w:rsidRDefault="009E25E8">
            <w:pPr>
              <w:pStyle w:val="P68B1DB1-Normal7"/>
              <w:spacing w:before="0" w:after="0" w:line="256" w:lineRule="auto"/>
              <w:rPr>
                <w:rFonts w:eastAsia="Times New Roman"/>
                <w:noProof/>
              </w:rPr>
            </w:pPr>
            <w:r>
              <w:rPr>
                <w:noProof/>
              </w:rPr>
              <w:t>69</w:t>
            </w:r>
          </w:p>
        </w:tc>
        <w:tc>
          <w:tcPr>
            <w:tcW w:w="2160" w:type="dxa"/>
            <w:tcBorders>
              <w:top w:val="single" w:sz="4" w:space="0" w:color="auto"/>
              <w:left w:val="single" w:sz="4" w:space="0" w:color="auto"/>
              <w:bottom w:val="single" w:sz="4" w:space="0" w:color="auto"/>
              <w:right w:val="single" w:sz="4" w:space="0" w:color="auto"/>
            </w:tcBorders>
            <w:shd w:val="clear" w:color="auto" w:fill="C6EFCE"/>
            <w:noWrap/>
            <w:hideMark/>
          </w:tcPr>
          <w:p w14:paraId="2C828C66" w14:textId="77777777" w:rsidR="003B6BD9" w:rsidRDefault="009E25E8">
            <w:pPr>
              <w:pStyle w:val="P68B1DB1-Normal7"/>
              <w:spacing w:before="0" w:after="0" w:line="256" w:lineRule="auto"/>
              <w:rPr>
                <w:rFonts w:eastAsia="Times New Roman"/>
                <w:noProof/>
              </w:rPr>
            </w:pPr>
            <w:r>
              <w:rPr>
                <w:noProof/>
              </w:rPr>
              <w:t>A: Établir un cadre pour une transformation durable et écologique</w:t>
            </w:r>
          </w:p>
        </w:tc>
        <w:tc>
          <w:tcPr>
            <w:tcW w:w="1320" w:type="dxa"/>
            <w:tcBorders>
              <w:top w:val="single" w:sz="4" w:space="0" w:color="auto"/>
              <w:left w:val="single" w:sz="4" w:space="0" w:color="auto"/>
              <w:bottom w:val="single" w:sz="4" w:space="0" w:color="auto"/>
              <w:right w:val="single" w:sz="4" w:space="0" w:color="auto"/>
            </w:tcBorders>
            <w:shd w:val="clear" w:color="auto" w:fill="C6EFCE"/>
            <w:noWrap/>
            <w:hideMark/>
          </w:tcPr>
          <w:p w14:paraId="2750F53B" w14:textId="77777777" w:rsidR="003B6BD9" w:rsidRDefault="009E25E8">
            <w:pPr>
              <w:pStyle w:val="P68B1DB1-Normal7"/>
              <w:spacing w:before="0" w:after="0" w:line="256" w:lineRule="auto"/>
              <w:rPr>
                <w:rFonts w:eastAsia="Times New Roman"/>
                <w:noProof/>
              </w:rPr>
            </w:pPr>
            <w:r>
              <w:rPr>
                <w:noProof/>
              </w:rPr>
              <w:t>Jalon</w:t>
            </w:r>
          </w:p>
        </w:tc>
        <w:tc>
          <w:tcPr>
            <w:tcW w:w="2040" w:type="dxa"/>
            <w:tcBorders>
              <w:top w:val="single" w:sz="4" w:space="0" w:color="auto"/>
              <w:left w:val="single" w:sz="4" w:space="0" w:color="auto"/>
              <w:bottom w:val="single" w:sz="4" w:space="0" w:color="auto"/>
              <w:right w:val="single" w:sz="4" w:space="0" w:color="auto"/>
            </w:tcBorders>
            <w:shd w:val="clear" w:color="auto" w:fill="C6EFCE"/>
            <w:noWrap/>
            <w:hideMark/>
          </w:tcPr>
          <w:p w14:paraId="67DC998B" w14:textId="77777777" w:rsidR="003B6BD9" w:rsidRDefault="009E25E8">
            <w:pPr>
              <w:pStyle w:val="P68B1DB1-Normal7"/>
              <w:spacing w:before="0" w:after="0" w:line="256" w:lineRule="auto"/>
              <w:rPr>
                <w:rFonts w:eastAsia="Times New Roman"/>
                <w:noProof/>
              </w:rPr>
            </w:pPr>
            <w:r>
              <w:rPr>
                <w:noProof/>
              </w:rPr>
              <w:t xml:space="preserve">Entrée en vigueur des modifications relatives à la responsabilité élargie des producteurs et à la valorisation des déchets </w:t>
            </w:r>
          </w:p>
        </w:tc>
        <w:tc>
          <w:tcPr>
            <w:tcW w:w="2160" w:type="dxa"/>
            <w:tcBorders>
              <w:top w:val="single" w:sz="4" w:space="0" w:color="auto"/>
              <w:left w:val="single" w:sz="4" w:space="0" w:color="auto"/>
              <w:bottom w:val="single" w:sz="4" w:space="0" w:color="auto"/>
              <w:right w:val="single" w:sz="4" w:space="0" w:color="auto"/>
            </w:tcBorders>
            <w:shd w:val="clear" w:color="auto" w:fill="C6EFCE"/>
            <w:noWrap/>
            <w:hideMark/>
          </w:tcPr>
          <w:p w14:paraId="14FB63C8" w14:textId="77777777" w:rsidR="003B6BD9" w:rsidRDefault="009E25E8">
            <w:pPr>
              <w:pStyle w:val="P68B1DB1-Normal7"/>
              <w:spacing w:before="0" w:after="0" w:line="256" w:lineRule="auto"/>
              <w:rPr>
                <w:rFonts w:eastAsia="Times New Roman"/>
                <w:noProof/>
              </w:rPr>
            </w:pPr>
            <w:r>
              <w:rPr>
                <w:noProof/>
              </w:rPr>
              <w:t>Disposition de la loi indiquant l’entrée en vigueur des modifications du décret relatif à la gestion des emballages et des déchets d’emballages et du règlement relatif aux déchets</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0B2FB3EB" w14:textId="77777777" w:rsidR="003B6BD9" w:rsidRDefault="009E25E8">
            <w:pPr>
              <w:pStyle w:val="P68B1DB1-Normal7"/>
              <w:spacing w:before="0" w:after="0" w:line="256" w:lineRule="auto"/>
              <w:rPr>
                <w:rFonts w:eastAsia="Times New Roman"/>
                <w:noProof/>
              </w:rPr>
            </w:pPr>
            <w:r>
              <w:rPr>
                <w:noProof/>
              </w:rPr>
              <w:t> </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4016040E" w14:textId="77777777" w:rsidR="003B6BD9" w:rsidRDefault="009E25E8">
            <w:pPr>
              <w:pStyle w:val="P68B1DB1-Normal7"/>
              <w:spacing w:before="0" w:after="0" w:line="256" w:lineRule="auto"/>
              <w:rPr>
                <w:rFonts w:eastAsia="Times New Roman"/>
                <w:noProof/>
              </w:rPr>
            </w:pPr>
            <w:r>
              <w:rPr>
                <w:noProof/>
              </w:rPr>
              <w:t> </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27A66414" w14:textId="77777777" w:rsidR="003B6BD9" w:rsidRDefault="009E25E8">
            <w:pPr>
              <w:pStyle w:val="P68B1DB1-Normal7"/>
              <w:spacing w:before="0" w:after="0" w:line="256" w:lineRule="auto"/>
              <w:rPr>
                <w:rFonts w:eastAsia="Times New Roman"/>
                <w:noProof/>
              </w:rPr>
            </w:pPr>
            <w:r>
              <w:rPr>
                <w:noProof/>
              </w:rPr>
              <w:t> </w:t>
            </w:r>
          </w:p>
        </w:tc>
        <w:tc>
          <w:tcPr>
            <w:tcW w:w="989" w:type="dxa"/>
            <w:tcBorders>
              <w:top w:val="single" w:sz="4" w:space="0" w:color="auto"/>
              <w:left w:val="single" w:sz="4" w:space="0" w:color="auto"/>
              <w:bottom w:val="single" w:sz="4" w:space="0" w:color="auto"/>
              <w:right w:val="single" w:sz="4" w:space="0" w:color="auto"/>
            </w:tcBorders>
            <w:shd w:val="clear" w:color="auto" w:fill="C6EFCE"/>
            <w:noWrap/>
            <w:hideMark/>
          </w:tcPr>
          <w:p w14:paraId="355A28AF" w14:textId="77777777" w:rsidR="003B6BD9" w:rsidRDefault="009E25E8">
            <w:pPr>
              <w:pStyle w:val="P68B1DB1-Normal7"/>
              <w:spacing w:before="0" w:after="0" w:line="256" w:lineRule="auto"/>
              <w:rPr>
                <w:rFonts w:eastAsia="Times New Roman"/>
                <w:noProof/>
              </w:rPr>
            </w:pPr>
            <w:r>
              <w:rPr>
                <w:noProof/>
              </w:rPr>
              <w:t>T4</w:t>
            </w:r>
          </w:p>
        </w:tc>
        <w:tc>
          <w:tcPr>
            <w:tcW w:w="720" w:type="dxa"/>
            <w:tcBorders>
              <w:top w:val="single" w:sz="4" w:space="0" w:color="auto"/>
              <w:left w:val="single" w:sz="4" w:space="0" w:color="auto"/>
              <w:bottom w:val="single" w:sz="4" w:space="0" w:color="auto"/>
              <w:right w:val="single" w:sz="4" w:space="0" w:color="auto"/>
            </w:tcBorders>
            <w:shd w:val="clear" w:color="auto" w:fill="C6EFCE"/>
            <w:noWrap/>
            <w:hideMark/>
          </w:tcPr>
          <w:p w14:paraId="5ED79E1C" w14:textId="77777777" w:rsidR="003B6BD9" w:rsidRDefault="009E25E8">
            <w:pPr>
              <w:pStyle w:val="P68B1DB1-Normal7"/>
              <w:spacing w:before="0" w:after="0" w:line="256" w:lineRule="auto"/>
              <w:rPr>
                <w:rFonts w:eastAsia="Times New Roman"/>
                <w:noProof/>
              </w:rPr>
            </w:pPr>
            <w:r>
              <w:rPr>
                <w:noProof/>
              </w:rPr>
              <w:t>2022</w:t>
            </w:r>
          </w:p>
        </w:tc>
        <w:tc>
          <w:tcPr>
            <w:tcW w:w="2680" w:type="dxa"/>
            <w:tcBorders>
              <w:top w:val="single" w:sz="4" w:space="0" w:color="auto"/>
              <w:left w:val="single" w:sz="4" w:space="0" w:color="auto"/>
              <w:bottom w:val="single" w:sz="4" w:space="0" w:color="auto"/>
              <w:right w:val="single" w:sz="4" w:space="0" w:color="auto"/>
            </w:tcBorders>
            <w:shd w:val="clear" w:color="auto" w:fill="C6EFCE"/>
            <w:noWrap/>
            <w:hideMark/>
          </w:tcPr>
          <w:p w14:paraId="10D97E87" w14:textId="77777777" w:rsidR="003B6BD9" w:rsidRDefault="009E25E8">
            <w:pPr>
              <w:pStyle w:val="P68B1DB1-Normal7"/>
              <w:spacing w:before="0" w:after="0" w:line="256" w:lineRule="auto"/>
              <w:rPr>
                <w:rFonts w:eastAsia="Times New Roman"/>
                <w:noProof/>
              </w:rPr>
            </w:pPr>
            <w:r>
              <w:rPr>
                <w:noProof/>
              </w:rPr>
              <w:t xml:space="preserve">Les modifications apportées au décret sur la gestion des emballages et des déchets d’emballages et au règlement relatif aux déchets accroissent la responsabilité organisationnelle et financière des fabricants et favorisent l’intégration de matériaux recyclés dans de nouveaux produits. </w:t>
            </w:r>
          </w:p>
        </w:tc>
      </w:tr>
      <w:tr w:rsidR="003B6BD9" w14:paraId="4C948AD9" w14:textId="77777777" w:rsidTr="00AC1D11">
        <w:trPr>
          <w:trHeight w:val="309"/>
        </w:trPr>
        <w:tc>
          <w:tcPr>
            <w:tcW w:w="955" w:type="dxa"/>
            <w:tcBorders>
              <w:top w:val="single" w:sz="4" w:space="0" w:color="auto"/>
              <w:left w:val="single" w:sz="4" w:space="0" w:color="auto"/>
              <w:bottom w:val="single" w:sz="4" w:space="0" w:color="auto"/>
              <w:right w:val="single" w:sz="4" w:space="0" w:color="auto"/>
            </w:tcBorders>
            <w:shd w:val="clear" w:color="auto" w:fill="C6EFCE"/>
            <w:noWrap/>
            <w:hideMark/>
          </w:tcPr>
          <w:p w14:paraId="28E75BF9" w14:textId="77777777" w:rsidR="003B6BD9" w:rsidRDefault="009E25E8">
            <w:pPr>
              <w:pStyle w:val="P68B1DB1-Normal7"/>
              <w:spacing w:before="0" w:after="0" w:line="256" w:lineRule="auto"/>
              <w:rPr>
                <w:rFonts w:eastAsia="Times New Roman"/>
                <w:noProof/>
              </w:rPr>
            </w:pPr>
            <w:r>
              <w:rPr>
                <w:noProof/>
              </w:rPr>
              <w:t>70</w:t>
            </w:r>
          </w:p>
        </w:tc>
        <w:tc>
          <w:tcPr>
            <w:tcW w:w="2160" w:type="dxa"/>
            <w:tcBorders>
              <w:top w:val="single" w:sz="4" w:space="0" w:color="auto"/>
              <w:left w:val="single" w:sz="4" w:space="0" w:color="auto"/>
              <w:bottom w:val="single" w:sz="4" w:space="0" w:color="auto"/>
              <w:right w:val="single" w:sz="4" w:space="0" w:color="auto"/>
            </w:tcBorders>
            <w:shd w:val="clear" w:color="auto" w:fill="C6EFCE"/>
            <w:noWrap/>
            <w:hideMark/>
          </w:tcPr>
          <w:p w14:paraId="4EC01F86" w14:textId="77777777" w:rsidR="003B6BD9" w:rsidRDefault="009E25E8">
            <w:pPr>
              <w:pStyle w:val="P68B1DB1-Normal7"/>
              <w:spacing w:before="0" w:after="0" w:line="256" w:lineRule="auto"/>
              <w:rPr>
                <w:rFonts w:eastAsia="Times New Roman"/>
                <w:noProof/>
              </w:rPr>
            </w:pPr>
            <w:r>
              <w:rPr>
                <w:noProof/>
              </w:rPr>
              <w:t>A: Établir un cadre pour une transformation durable et écologique</w:t>
            </w:r>
          </w:p>
        </w:tc>
        <w:tc>
          <w:tcPr>
            <w:tcW w:w="1320" w:type="dxa"/>
            <w:tcBorders>
              <w:top w:val="single" w:sz="4" w:space="0" w:color="auto"/>
              <w:left w:val="single" w:sz="4" w:space="0" w:color="auto"/>
              <w:bottom w:val="single" w:sz="4" w:space="0" w:color="auto"/>
              <w:right w:val="single" w:sz="4" w:space="0" w:color="auto"/>
            </w:tcBorders>
            <w:shd w:val="clear" w:color="auto" w:fill="C6EFCE"/>
            <w:noWrap/>
            <w:hideMark/>
          </w:tcPr>
          <w:p w14:paraId="3B862DC6" w14:textId="77777777" w:rsidR="003B6BD9" w:rsidRDefault="009E25E8">
            <w:pPr>
              <w:pStyle w:val="P68B1DB1-Normal7"/>
              <w:spacing w:before="0" w:after="0" w:line="256" w:lineRule="auto"/>
              <w:rPr>
                <w:rFonts w:eastAsia="Times New Roman"/>
                <w:noProof/>
              </w:rPr>
            </w:pPr>
            <w:r>
              <w:rPr>
                <w:noProof/>
              </w:rPr>
              <w:t>Jalon</w:t>
            </w:r>
          </w:p>
        </w:tc>
        <w:tc>
          <w:tcPr>
            <w:tcW w:w="2040" w:type="dxa"/>
            <w:tcBorders>
              <w:top w:val="single" w:sz="4" w:space="0" w:color="auto"/>
              <w:left w:val="single" w:sz="4" w:space="0" w:color="auto"/>
              <w:bottom w:val="single" w:sz="4" w:space="0" w:color="auto"/>
              <w:right w:val="single" w:sz="4" w:space="0" w:color="auto"/>
            </w:tcBorders>
            <w:shd w:val="clear" w:color="auto" w:fill="C6EFCE"/>
            <w:noWrap/>
            <w:hideMark/>
          </w:tcPr>
          <w:p w14:paraId="2596D375" w14:textId="77777777" w:rsidR="003B6BD9" w:rsidRDefault="009E25E8">
            <w:pPr>
              <w:pStyle w:val="P68B1DB1-Normal7"/>
              <w:spacing w:before="0" w:after="0" w:line="256" w:lineRule="auto"/>
              <w:rPr>
                <w:rFonts w:eastAsia="Times New Roman"/>
                <w:noProof/>
              </w:rPr>
            </w:pPr>
            <w:r>
              <w:rPr>
                <w:noProof/>
              </w:rPr>
              <w:t>Élaboration et application d’une méthode de planification budgétaire verte</w:t>
            </w:r>
          </w:p>
        </w:tc>
        <w:tc>
          <w:tcPr>
            <w:tcW w:w="2160" w:type="dxa"/>
            <w:tcBorders>
              <w:top w:val="single" w:sz="4" w:space="0" w:color="auto"/>
              <w:left w:val="single" w:sz="4" w:space="0" w:color="auto"/>
              <w:bottom w:val="single" w:sz="4" w:space="0" w:color="auto"/>
              <w:right w:val="single" w:sz="4" w:space="0" w:color="auto"/>
            </w:tcBorders>
            <w:shd w:val="clear" w:color="auto" w:fill="C6EFCE"/>
            <w:noWrap/>
            <w:hideMark/>
          </w:tcPr>
          <w:p w14:paraId="263AF0C5" w14:textId="77777777" w:rsidR="003B6BD9" w:rsidRDefault="009E25E8">
            <w:pPr>
              <w:pStyle w:val="P68B1DB1-Normal7"/>
              <w:spacing w:before="0" w:after="0" w:line="256" w:lineRule="auto"/>
              <w:rPr>
                <w:rFonts w:eastAsia="Times New Roman"/>
                <w:noProof/>
              </w:rPr>
            </w:pPr>
            <w:r>
              <w:rPr>
                <w:noProof/>
              </w:rPr>
              <w:t xml:space="preserve">Élaboration et début de l’application d’une méthode de planification budgétaire verte </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3E33710F" w14:textId="77777777" w:rsidR="003B6BD9" w:rsidRDefault="009E25E8">
            <w:pPr>
              <w:pStyle w:val="P68B1DB1-Normal7"/>
              <w:spacing w:before="0" w:after="0" w:line="256" w:lineRule="auto"/>
              <w:rPr>
                <w:rFonts w:eastAsia="Times New Roman"/>
                <w:noProof/>
              </w:rPr>
            </w:pPr>
            <w:r>
              <w:rPr>
                <w:noProof/>
              </w:rPr>
              <w:t> </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56852ED4" w14:textId="77777777" w:rsidR="003B6BD9" w:rsidRDefault="009E25E8">
            <w:pPr>
              <w:pStyle w:val="P68B1DB1-Normal7"/>
              <w:spacing w:before="0" w:after="0" w:line="256" w:lineRule="auto"/>
              <w:rPr>
                <w:rFonts w:eastAsia="Times New Roman"/>
                <w:noProof/>
              </w:rPr>
            </w:pPr>
            <w:r>
              <w:rPr>
                <w:noProof/>
              </w:rPr>
              <w:t> </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E6267D0" w14:textId="77777777" w:rsidR="003B6BD9" w:rsidRDefault="009E25E8">
            <w:pPr>
              <w:pStyle w:val="P68B1DB1-Normal7"/>
              <w:spacing w:before="0" w:after="0" w:line="256" w:lineRule="auto"/>
              <w:rPr>
                <w:rFonts w:eastAsia="Times New Roman"/>
                <w:noProof/>
              </w:rPr>
            </w:pPr>
            <w:r>
              <w:rPr>
                <w:noProof/>
              </w:rPr>
              <w:t> </w:t>
            </w:r>
          </w:p>
        </w:tc>
        <w:tc>
          <w:tcPr>
            <w:tcW w:w="989" w:type="dxa"/>
            <w:tcBorders>
              <w:top w:val="single" w:sz="4" w:space="0" w:color="auto"/>
              <w:left w:val="single" w:sz="4" w:space="0" w:color="auto"/>
              <w:bottom w:val="single" w:sz="4" w:space="0" w:color="auto"/>
              <w:right w:val="single" w:sz="4" w:space="0" w:color="auto"/>
            </w:tcBorders>
            <w:shd w:val="clear" w:color="auto" w:fill="C6EFCE"/>
            <w:noWrap/>
            <w:hideMark/>
          </w:tcPr>
          <w:p w14:paraId="30356683" w14:textId="77777777" w:rsidR="003B6BD9" w:rsidRDefault="009E25E8">
            <w:pPr>
              <w:pStyle w:val="P68B1DB1-Normal7"/>
              <w:spacing w:before="0" w:after="0" w:line="256" w:lineRule="auto"/>
              <w:rPr>
                <w:rFonts w:eastAsia="Times New Roman"/>
                <w:noProof/>
              </w:rPr>
            </w:pPr>
            <w:r>
              <w:rPr>
                <w:noProof/>
              </w:rPr>
              <w:t>T4</w:t>
            </w:r>
          </w:p>
        </w:tc>
        <w:tc>
          <w:tcPr>
            <w:tcW w:w="720" w:type="dxa"/>
            <w:tcBorders>
              <w:top w:val="single" w:sz="4" w:space="0" w:color="auto"/>
              <w:left w:val="single" w:sz="4" w:space="0" w:color="auto"/>
              <w:bottom w:val="single" w:sz="4" w:space="0" w:color="auto"/>
              <w:right w:val="single" w:sz="4" w:space="0" w:color="auto"/>
            </w:tcBorders>
            <w:shd w:val="clear" w:color="auto" w:fill="C6EFCE"/>
            <w:noWrap/>
            <w:hideMark/>
          </w:tcPr>
          <w:p w14:paraId="0BAA822A" w14:textId="77777777" w:rsidR="003B6BD9" w:rsidRDefault="009E25E8">
            <w:pPr>
              <w:pStyle w:val="P68B1DB1-Normal7"/>
              <w:spacing w:before="0" w:after="0" w:line="256" w:lineRule="auto"/>
              <w:rPr>
                <w:rFonts w:eastAsia="Times New Roman"/>
                <w:noProof/>
              </w:rPr>
            </w:pPr>
            <w:r>
              <w:rPr>
                <w:noProof/>
              </w:rPr>
              <w:t>2023</w:t>
            </w:r>
          </w:p>
        </w:tc>
        <w:tc>
          <w:tcPr>
            <w:tcW w:w="2680" w:type="dxa"/>
            <w:tcBorders>
              <w:top w:val="single" w:sz="4" w:space="0" w:color="auto"/>
              <w:left w:val="single" w:sz="4" w:space="0" w:color="auto"/>
              <w:bottom w:val="single" w:sz="4" w:space="0" w:color="auto"/>
              <w:right w:val="single" w:sz="4" w:space="0" w:color="auto"/>
            </w:tcBorders>
            <w:shd w:val="clear" w:color="auto" w:fill="C6EFCE"/>
            <w:noWrap/>
            <w:hideMark/>
          </w:tcPr>
          <w:p w14:paraId="27503F2E" w14:textId="388544B2" w:rsidR="003B6BD9" w:rsidRDefault="009E25E8">
            <w:pPr>
              <w:pStyle w:val="P68B1DB1-Normal7"/>
              <w:spacing w:before="0" w:after="0" w:line="256" w:lineRule="auto"/>
              <w:rPr>
                <w:rFonts w:eastAsia="Times New Roman"/>
                <w:noProof/>
              </w:rPr>
            </w:pPr>
            <w:r>
              <w:rPr>
                <w:noProof/>
              </w:rPr>
              <w:t xml:space="preserve">Le ministère des finances élabore et applique une méthode d’évaluation de l’incidence des différentes lignes budgétaires sur les objectifs environnementaux (étiquetage climatique) conformément à la taxinomie et au principe consistant à «ne pas causer de préjudice important» figurant dans les orientations techniques (2021/C58/01). La méthode est adoptée, publiée, entre en application et permet le suivi des dépenses budgétaires vertes et l’évaluation de l’incidence de la politique budgétaire sur l’environnement et le climat. </w:t>
            </w:r>
          </w:p>
        </w:tc>
      </w:tr>
      <w:tr w:rsidR="003B6BD9" w14:paraId="3F7B1A21" w14:textId="77777777" w:rsidTr="00AC1D11">
        <w:trPr>
          <w:trHeight w:val="309"/>
        </w:trPr>
        <w:tc>
          <w:tcPr>
            <w:tcW w:w="955" w:type="dxa"/>
            <w:tcBorders>
              <w:top w:val="single" w:sz="4" w:space="0" w:color="auto"/>
              <w:left w:val="single" w:sz="4" w:space="0" w:color="auto"/>
              <w:bottom w:val="single" w:sz="4" w:space="0" w:color="auto"/>
              <w:right w:val="single" w:sz="4" w:space="0" w:color="auto"/>
            </w:tcBorders>
            <w:shd w:val="clear" w:color="auto" w:fill="C6EFCE"/>
            <w:noWrap/>
            <w:hideMark/>
          </w:tcPr>
          <w:p w14:paraId="799F7714" w14:textId="77777777" w:rsidR="003B6BD9" w:rsidRDefault="009E25E8">
            <w:pPr>
              <w:pStyle w:val="P68B1DB1-Normal7"/>
              <w:spacing w:before="0" w:after="0" w:line="256" w:lineRule="auto"/>
              <w:rPr>
                <w:rFonts w:eastAsia="Times New Roman"/>
                <w:noProof/>
              </w:rPr>
            </w:pPr>
            <w:r>
              <w:rPr>
                <w:noProof/>
              </w:rPr>
              <w:t>71</w:t>
            </w:r>
          </w:p>
        </w:tc>
        <w:tc>
          <w:tcPr>
            <w:tcW w:w="2160" w:type="dxa"/>
            <w:tcBorders>
              <w:top w:val="single" w:sz="4" w:space="0" w:color="auto"/>
              <w:left w:val="single" w:sz="4" w:space="0" w:color="auto"/>
              <w:bottom w:val="single" w:sz="4" w:space="0" w:color="auto"/>
              <w:right w:val="single" w:sz="4" w:space="0" w:color="auto"/>
            </w:tcBorders>
            <w:shd w:val="clear" w:color="auto" w:fill="C6EFCE"/>
            <w:noWrap/>
            <w:hideMark/>
          </w:tcPr>
          <w:p w14:paraId="75A828B5" w14:textId="77777777" w:rsidR="003B6BD9" w:rsidRDefault="009E25E8">
            <w:pPr>
              <w:pStyle w:val="P68B1DB1-Normal7"/>
              <w:spacing w:before="0" w:after="0" w:line="256" w:lineRule="auto"/>
              <w:rPr>
                <w:rFonts w:eastAsia="Times New Roman"/>
                <w:noProof/>
              </w:rPr>
            </w:pPr>
            <w:r>
              <w:rPr>
                <w:noProof/>
              </w:rPr>
              <w:t>A: Établir un cadre pour une transformation durable et écologique</w:t>
            </w:r>
          </w:p>
        </w:tc>
        <w:tc>
          <w:tcPr>
            <w:tcW w:w="1320" w:type="dxa"/>
            <w:tcBorders>
              <w:top w:val="single" w:sz="4" w:space="0" w:color="auto"/>
              <w:left w:val="single" w:sz="4" w:space="0" w:color="auto"/>
              <w:bottom w:val="single" w:sz="4" w:space="0" w:color="auto"/>
              <w:right w:val="single" w:sz="4" w:space="0" w:color="auto"/>
            </w:tcBorders>
            <w:shd w:val="clear" w:color="auto" w:fill="C6EFCE"/>
            <w:noWrap/>
            <w:hideMark/>
          </w:tcPr>
          <w:p w14:paraId="4F2E9E11" w14:textId="77777777" w:rsidR="003B6BD9" w:rsidRDefault="009E25E8">
            <w:pPr>
              <w:pStyle w:val="P68B1DB1-Normal7"/>
              <w:spacing w:before="0" w:after="0" w:line="256" w:lineRule="auto"/>
              <w:rPr>
                <w:rFonts w:eastAsia="Times New Roman"/>
                <w:noProof/>
              </w:rPr>
            </w:pPr>
            <w:r>
              <w:rPr>
                <w:noProof/>
              </w:rPr>
              <w:t>Jalon</w:t>
            </w:r>
          </w:p>
        </w:tc>
        <w:tc>
          <w:tcPr>
            <w:tcW w:w="2040" w:type="dxa"/>
            <w:tcBorders>
              <w:top w:val="single" w:sz="4" w:space="0" w:color="auto"/>
              <w:left w:val="single" w:sz="4" w:space="0" w:color="auto"/>
              <w:bottom w:val="single" w:sz="4" w:space="0" w:color="auto"/>
              <w:right w:val="single" w:sz="4" w:space="0" w:color="auto"/>
            </w:tcBorders>
            <w:shd w:val="clear" w:color="auto" w:fill="C6EFCE"/>
            <w:noWrap/>
            <w:hideMark/>
          </w:tcPr>
          <w:p w14:paraId="4A72C4D2" w14:textId="77777777" w:rsidR="003B6BD9" w:rsidRDefault="009E25E8">
            <w:pPr>
              <w:pStyle w:val="P68B1DB1-Normal7"/>
              <w:spacing w:before="0" w:after="0" w:line="256" w:lineRule="auto"/>
              <w:rPr>
                <w:rFonts w:eastAsia="Times New Roman"/>
                <w:noProof/>
              </w:rPr>
            </w:pPr>
            <w:r>
              <w:rPr>
                <w:noProof/>
              </w:rPr>
              <w:t>Le guichet unique pour l’économie circulaire est opérationnel</w:t>
            </w:r>
          </w:p>
        </w:tc>
        <w:tc>
          <w:tcPr>
            <w:tcW w:w="2160" w:type="dxa"/>
            <w:tcBorders>
              <w:top w:val="single" w:sz="4" w:space="0" w:color="auto"/>
              <w:left w:val="single" w:sz="4" w:space="0" w:color="auto"/>
              <w:bottom w:val="single" w:sz="4" w:space="0" w:color="auto"/>
              <w:right w:val="single" w:sz="4" w:space="0" w:color="auto"/>
            </w:tcBorders>
            <w:shd w:val="clear" w:color="auto" w:fill="C6EFCE"/>
            <w:noWrap/>
            <w:hideMark/>
          </w:tcPr>
          <w:p w14:paraId="2FF5938B" w14:textId="77777777" w:rsidR="003B6BD9" w:rsidRDefault="009E25E8">
            <w:pPr>
              <w:pStyle w:val="P68B1DB1-Normal7"/>
              <w:spacing w:before="0" w:after="0" w:line="256" w:lineRule="auto"/>
              <w:rPr>
                <w:rFonts w:eastAsia="Times New Roman"/>
                <w:noProof/>
              </w:rPr>
            </w:pPr>
            <w:r>
              <w:rPr>
                <w:noProof/>
              </w:rPr>
              <w:t>Le guichet unique pour l’économie circulaire est opérationnel</w:t>
            </w:r>
          </w:p>
        </w:tc>
        <w:tc>
          <w:tcPr>
            <w:tcW w:w="1080" w:type="dxa"/>
            <w:tcBorders>
              <w:top w:val="single" w:sz="4" w:space="0" w:color="auto"/>
              <w:left w:val="single" w:sz="4" w:space="0" w:color="auto"/>
              <w:bottom w:val="single" w:sz="4" w:space="0" w:color="auto"/>
              <w:right w:val="single" w:sz="4" w:space="0" w:color="auto"/>
            </w:tcBorders>
            <w:shd w:val="clear" w:color="auto" w:fill="C6EFCE"/>
            <w:noWrap/>
            <w:hideMark/>
          </w:tcPr>
          <w:p w14:paraId="7B29FA82" w14:textId="77777777" w:rsidR="003B6BD9" w:rsidRDefault="009E25E8">
            <w:pPr>
              <w:pStyle w:val="P68B1DB1-Normal7"/>
              <w:spacing w:before="0" w:after="0" w:line="256" w:lineRule="auto"/>
              <w:rPr>
                <w:rFonts w:eastAsia="Times New Roman"/>
                <w:noProof/>
              </w:rPr>
            </w:pPr>
            <w:r>
              <w:rPr>
                <w:noProof/>
              </w:rPr>
              <w:t> </w:t>
            </w:r>
          </w:p>
        </w:tc>
        <w:tc>
          <w:tcPr>
            <w:tcW w:w="1080" w:type="dxa"/>
            <w:tcBorders>
              <w:top w:val="single" w:sz="4" w:space="0" w:color="auto"/>
              <w:left w:val="single" w:sz="4" w:space="0" w:color="auto"/>
              <w:bottom w:val="single" w:sz="4" w:space="0" w:color="auto"/>
              <w:right w:val="single" w:sz="4" w:space="0" w:color="auto"/>
            </w:tcBorders>
            <w:shd w:val="clear" w:color="auto" w:fill="C6EFCE"/>
            <w:noWrap/>
            <w:hideMark/>
          </w:tcPr>
          <w:p w14:paraId="147C4437" w14:textId="77777777" w:rsidR="003B6BD9" w:rsidRDefault="009E25E8">
            <w:pPr>
              <w:pStyle w:val="P68B1DB1-Normal7"/>
              <w:spacing w:before="0" w:after="0" w:line="256" w:lineRule="auto"/>
              <w:rPr>
                <w:rFonts w:eastAsia="Times New Roman"/>
                <w:noProof/>
              </w:rPr>
            </w:pPr>
            <w:r>
              <w:rPr>
                <w:noProof/>
              </w:rPr>
              <w:t> </w:t>
            </w:r>
          </w:p>
        </w:tc>
        <w:tc>
          <w:tcPr>
            <w:tcW w:w="691" w:type="dxa"/>
            <w:tcBorders>
              <w:top w:val="single" w:sz="4" w:space="0" w:color="auto"/>
              <w:left w:val="single" w:sz="4" w:space="0" w:color="auto"/>
              <w:bottom w:val="single" w:sz="4" w:space="0" w:color="auto"/>
              <w:right w:val="single" w:sz="4" w:space="0" w:color="auto"/>
            </w:tcBorders>
            <w:shd w:val="clear" w:color="auto" w:fill="C6EFCE"/>
            <w:noWrap/>
            <w:hideMark/>
          </w:tcPr>
          <w:p w14:paraId="7E51B689" w14:textId="77777777" w:rsidR="003B6BD9" w:rsidRDefault="009E25E8">
            <w:pPr>
              <w:pStyle w:val="P68B1DB1-Normal7"/>
              <w:spacing w:before="0" w:after="0" w:line="256" w:lineRule="auto"/>
              <w:rPr>
                <w:rFonts w:eastAsia="Times New Roman"/>
                <w:noProof/>
              </w:rPr>
            </w:pPr>
            <w:r>
              <w:rPr>
                <w:noProof/>
              </w:rPr>
              <w:t> </w:t>
            </w:r>
          </w:p>
        </w:tc>
        <w:tc>
          <w:tcPr>
            <w:tcW w:w="989" w:type="dxa"/>
            <w:tcBorders>
              <w:top w:val="single" w:sz="4" w:space="0" w:color="auto"/>
              <w:left w:val="single" w:sz="4" w:space="0" w:color="auto"/>
              <w:bottom w:val="single" w:sz="4" w:space="0" w:color="auto"/>
              <w:right w:val="single" w:sz="4" w:space="0" w:color="auto"/>
            </w:tcBorders>
            <w:shd w:val="clear" w:color="auto" w:fill="C6EFCE"/>
            <w:noWrap/>
            <w:hideMark/>
          </w:tcPr>
          <w:p w14:paraId="1FD4ADB1" w14:textId="77777777" w:rsidR="003B6BD9" w:rsidRDefault="009E25E8">
            <w:pPr>
              <w:pStyle w:val="P68B1DB1-Normal7"/>
              <w:spacing w:before="0" w:after="0" w:line="256" w:lineRule="auto"/>
              <w:rPr>
                <w:rFonts w:eastAsia="Times New Roman"/>
                <w:noProof/>
              </w:rPr>
            </w:pPr>
            <w:r>
              <w:rPr>
                <w:noProof/>
              </w:rPr>
              <w:t>T2</w:t>
            </w:r>
          </w:p>
        </w:tc>
        <w:tc>
          <w:tcPr>
            <w:tcW w:w="720" w:type="dxa"/>
            <w:tcBorders>
              <w:top w:val="single" w:sz="4" w:space="0" w:color="auto"/>
              <w:left w:val="single" w:sz="4" w:space="0" w:color="auto"/>
              <w:bottom w:val="single" w:sz="4" w:space="0" w:color="auto"/>
              <w:right w:val="single" w:sz="4" w:space="0" w:color="auto"/>
            </w:tcBorders>
            <w:shd w:val="clear" w:color="auto" w:fill="C6EFCE"/>
            <w:noWrap/>
            <w:hideMark/>
          </w:tcPr>
          <w:p w14:paraId="3D1825F5" w14:textId="77777777" w:rsidR="003B6BD9" w:rsidRDefault="009E25E8">
            <w:pPr>
              <w:pStyle w:val="P68B1DB1-Normal7"/>
              <w:spacing w:before="0" w:after="0" w:line="256" w:lineRule="auto"/>
              <w:rPr>
                <w:rFonts w:eastAsia="Times New Roman"/>
                <w:noProof/>
              </w:rPr>
            </w:pPr>
            <w:r>
              <w:rPr>
                <w:noProof/>
              </w:rPr>
              <w:t>2022</w:t>
            </w:r>
          </w:p>
        </w:tc>
        <w:tc>
          <w:tcPr>
            <w:tcW w:w="2680" w:type="dxa"/>
            <w:tcBorders>
              <w:top w:val="single" w:sz="4" w:space="0" w:color="auto"/>
              <w:left w:val="single" w:sz="4" w:space="0" w:color="auto"/>
              <w:bottom w:val="single" w:sz="4" w:space="0" w:color="auto"/>
              <w:right w:val="single" w:sz="4" w:space="0" w:color="auto"/>
            </w:tcBorders>
            <w:shd w:val="clear" w:color="auto" w:fill="C6EFCE"/>
            <w:noWrap/>
            <w:hideMark/>
          </w:tcPr>
          <w:p w14:paraId="62750CDB" w14:textId="77777777" w:rsidR="003B6BD9" w:rsidRDefault="009E25E8">
            <w:pPr>
              <w:pStyle w:val="P68B1DB1-Normal7"/>
              <w:spacing w:before="0" w:after="0" w:line="256" w:lineRule="auto"/>
              <w:rPr>
                <w:rFonts w:eastAsia="Times New Roman"/>
                <w:noProof/>
              </w:rPr>
            </w:pPr>
            <w:r>
              <w:rPr>
                <w:noProof/>
              </w:rPr>
              <w:t xml:space="preserve">Le guichet unique soutient les entreprises, en particulier les petites et moyennes entreprises (PME), dans leur transition vers une économie circulaire. Elle intègre et coordonne systématiquement la mise en œuvre des six programmes du projet stratégique intégré de décarbonation de la Slovénie par la transition vers une économie circulaire. </w:t>
            </w:r>
          </w:p>
        </w:tc>
      </w:tr>
      <w:tr w:rsidR="003B6BD9" w14:paraId="72285296" w14:textId="77777777" w:rsidTr="00AC1D11">
        <w:trPr>
          <w:trHeight w:val="309"/>
        </w:trPr>
        <w:tc>
          <w:tcPr>
            <w:tcW w:w="955" w:type="dxa"/>
            <w:tcBorders>
              <w:top w:val="single" w:sz="4" w:space="0" w:color="auto"/>
              <w:left w:val="single" w:sz="4" w:space="0" w:color="auto"/>
              <w:bottom w:val="single" w:sz="4" w:space="0" w:color="auto"/>
              <w:right w:val="single" w:sz="4" w:space="0" w:color="auto"/>
            </w:tcBorders>
            <w:shd w:val="clear" w:color="auto" w:fill="C6EFCE"/>
            <w:noWrap/>
            <w:hideMark/>
          </w:tcPr>
          <w:p w14:paraId="70A64564" w14:textId="77777777" w:rsidR="003B6BD9" w:rsidRDefault="009E25E8">
            <w:pPr>
              <w:pStyle w:val="P68B1DB1-Normal7"/>
              <w:spacing w:before="0" w:after="0" w:line="256" w:lineRule="auto"/>
              <w:rPr>
                <w:rFonts w:eastAsia="Times New Roman"/>
                <w:noProof/>
              </w:rPr>
            </w:pPr>
            <w:r>
              <w:rPr>
                <w:noProof/>
              </w:rPr>
              <w:t>72</w:t>
            </w:r>
          </w:p>
        </w:tc>
        <w:tc>
          <w:tcPr>
            <w:tcW w:w="2160" w:type="dxa"/>
            <w:tcBorders>
              <w:top w:val="single" w:sz="4" w:space="0" w:color="auto"/>
              <w:left w:val="single" w:sz="4" w:space="0" w:color="auto"/>
              <w:bottom w:val="single" w:sz="4" w:space="0" w:color="auto"/>
              <w:right w:val="single" w:sz="4" w:space="0" w:color="auto"/>
            </w:tcBorders>
            <w:shd w:val="clear" w:color="auto" w:fill="C6EFCE"/>
            <w:noWrap/>
            <w:hideMark/>
          </w:tcPr>
          <w:p w14:paraId="35C112A0" w14:textId="77777777" w:rsidR="003B6BD9" w:rsidRDefault="009E25E8">
            <w:pPr>
              <w:pStyle w:val="P68B1DB1-Normal7"/>
              <w:spacing w:before="0" w:after="0" w:line="256" w:lineRule="auto"/>
              <w:rPr>
                <w:rFonts w:eastAsia="Times New Roman"/>
                <w:noProof/>
              </w:rPr>
            </w:pPr>
            <w:r>
              <w:rPr>
                <w:noProof/>
              </w:rPr>
              <w:t>B: Projet stratégique intégré visant à décarboner la Slovénie grâce à la transition vers une économie circulaire</w:t>
            </w:r>
          </w:p>
        </w:tc>
        <w:tc>
          <w:tcPr>
            <w:tcW w:w="1320" w:type="dxa"/>
            <w:tcBorders>
              <w:top w:val="single" w:sz="4" w:space="0" w:color="auto"/>
              <w:left w:val="single" w:sz="4" w:space="0" w:color="auto"/>
              <w:bottom w:val="single" w:sz="4" w:space="0" w:color="auto"/>
              <w:right w:val="single" w:sz="4" w:space="0" w:color="auto"/>
            </w:tcBorders>
            <w:shd w:val="clear" w:color="auto" w:fill="C6EFCE"/>
            <w:noWrap/>
            <w:hideMark/>
          </w:tcPr>
          <w:p w14:paraId="4AF4635C" w14:textId="77777777" w:rsidR="003B6BD9" w:rsidRDefault="009E25E8">
            <w:pPr>
              <w:pStyle w:val="P68B1DB1-Normal7"/>
              <w:spacing w:before="0" w:after="0" w:line="256" w:lineRule="auto"/>
              <w:rPr>
                <w:rFonts w:eastAsia="Times New Roman"/>
                <w:noProof/>
              </w:rPr>
            </w:pPr>
            <w:r>
              <w:rPr>
                <w:noProof/>
              </w:rPr>
              <w:t>Jalon</w:t>
            </w:r>
          </w:p>
        </w:tc>
        <w:tc>
          <w:tcPr>
            <w:tcW w:w="2040" w:type="dxa"/>
            <w:tcBorders>
              <w:top w:val="single" w:sz="4" w:space="0" w:color="auto"/>
              <w:left w:val="single" w:sz="4" w:space="0" w:color="auto"/>
              <w:bottom w:val="single" w:sz="4" w:space="0" w:color="auto"/>
              <w:right w:val="single" w:sz="4" w:space="0" w:color="auto"/>
            </w:tcBorders>
            <w:shd w:val="clear" w:color="auto" w:fill="C6EFCE"/>
            <w:noWrap/>
            <w:hideMark/>
          </w:tcPr>
          <w:p w14:paraId="1C949518" w14:textId="546C0D56" w:rsidR="003B6BD9" w:rsidRDefault="009E25E8">
            <w:pPr>
              <w:pStyle w:val="P68B1DB1-Normal7"/>
              <w:spacing w:before="0" w:after="0" w:line="256" w:lineRule="auto"/>
              <w:rPr>
                <w:rFonts w:eastAsia="Times New Roman"/>
                <w:noProof/>
              </w:rPr>
            </w:pPr>
            <w:r>
              <w:rPr>
                <w:noProof/>
              </w:rPr>
              <w:t>Octroi de subventions pour soutenir les entreprises dans la transition vers une économie circulaire</w:t>
            </w:r>
          </w:p>
        </w:tc>
        <w:tc>
          <w:tcPr>
            <w:tcW w:w="2160" w:type="dxa"/>
            <w:tcBorders>
              <w:top w:val="single" w:sz="4" w:space="0" w:color="auto"/>
              <w:left w:val="single" w:sz="4" w:space="0" w:color="auto"/>
              <w:bottom w:val="single" w:sz="4" w:space="0" w:color="auto"/>
              <w:right w:val="single" w:sz="4" w:space="0" w:color="auto"/>
            </w:tcBorders>
            <w:shd w:val="clear" w:color="auto" w:fill="C6EFCE"/>
            <w:noWrap/>
            <w:hideMark/>
          </w:tcPr>
          <w:p w14:paraId="0B2876F0" w14:textId="77777777" w:rsidR="003B6BD9" w:rsidRDefault="009E25E8">
            <w:pPr>
              <w:pStyle w:val="P68B1DB1-Normal7"/>
              <w:spacing w:before="0" w:after="0" w:line="256" w:lineRule="auto"/>
              <w:rPr>
                <w:rFonts w:eastAsia="Times New Roman"/>
                <w:noProof/>
              </w:rPr>
            </w:pPr>
            <w:r>
              <w:rPr>
                <w:noProof/>
              </w:rPr>
              <w:t>Communication des prix</w:t>
            </w:r>
          </w:p>
        </w:tc>
        <w:tc>
          <w:tcPr>
            <w:tcW w:w="1080" w:type="dxa"/>
            <w:tcBorders>
              <w:top w:val="single" w:sz="4" w:space="0" w:color="auto"/>
              <w:left w:val="single" w:sz="4" w:space="0" w:color="auto"/>
              <w:bottom w:val="single" w:sz="4" w:space="0" w:color="auto"/>
              <w:right w:val="single" w:sz="4" w:space="0" w:color="auto"/>
            </w:tcBorders>
            <w:shd w:val="clear" w:color="auto" w:fill="C6EFCE"/>
            <w:noWrap/>
            <w:hideMark/>
          </w:tcPr>
          <w:p w14:paraId="2A679806" w14:textId="77777777" w:rsidR="003B6BD9" w:rsidRDefault="009E25E8">
            <w:pPr>
              <w:pStyle w:val="P68B1DB1-Normal7"/>
              <w:spacing w:before="0" w:after="0" w:line="256" w:lineRule="auto"/>
              <w:rPr>
                <w:rFonts w:eastAsia="Times New Roman"/>
                <w:noProof/>
              </w:rPr>
            </w:pPr>
            <w:r>
              <w:rPr>
                <w:noProof/>
              </w:rPr>
              <w:t> </w:t>
            </w:r>
          </w:p>
        </w:tc>
        <w:tc>
          <w:tcPr>
            <w:tcW w:w="1080" w:type="dxa"/>
            <w:tcBorders>
              <w:top w:val="single" w:sz="4" w:space="0" w:color="auto"/>
              <w:left w:val="single" w:sz="4" w:space="0" w:color="auto"/>
              <w:bottom w:val="single" w:sz="4" w:space="0" w:color="auto"/>
              <w:right w:val="single" w:sz="4" w:space="0" w:color="auto"/>
            </w:tcBorders>
            <w:shd w:val="clear" w:color="auto" w:fill="C6EFCE"/>
            <w:noWrap/>
            <w:hideMark/>
          </w:tcPr>
          <w:p w14:paraId="633FF8EB" w14:textId="77777777" w:rsidR="003B6BD9" w:rsidRDefault="009E25E8">
            <w:pPr>
              <w:pStyle w:val="P68B1DB1-Normal7"/>
              <w:spacing w:before="0" w:after="0" w:line="256" w:lineRule="auto"/>
              <w:rPr>
                <w:rFonts w:eastAsia="Times New Roman"/>
                <w:noProof/>
              </w:rPr>
            </w:pPr>
            <w:r>
              <w:rPr>
                <w:noProof/>
              </w:rPr>
              <w:t> </w:t>
            </w:r>
          </w:p>
        </w:tc>
        <w:tc>
          <w:tcPr>
            <w:tcW w:w="691" w:type="dxa"/>
            <w:tcBorders>
              <w:top w:val="single" w:sz="4" w:space="0" w:color="auto"/>
              <w:left w:val="single" w:sz="4" w:space="0" w:color="auto"/>
              <w:bottom w:val="single" w:sz="4" w:space="0" w:color="auto"/>
              <w:right w:val="single" w:sz="4" w:space="0" w:color="auto"/>
            </w:tcBorders>
            <w:shd w:val="clear" w:color="auto" w:fill="C6EFCE"/>
            <w:noWrap/>
            <w:hideMark/>
          </w:tcPr>
          <w:p w14:paraId="283D27F0" w14:textId="77777777" w:rsidR="003B6BD9" w:rsidRDefault="009E25E8">
            <w:pPr>
              <w:pStyle w:val="P68B1DB1-Normal7"/>
              <w:spacing w:before="0" w:after="0" w:line="256" w:lineRule="auto"/>
              <w:rPr>
                <w:rFonts w:eastAsia="Times New Roman"/>
                <w:noProof/>
              </w:rPr>
            </w:pPr>
            <w:r>
              <w:rPr>
                <w:noProof/>
              </w:rPr>
              <w:t> </w:t>
            </w:r>
          </w:p>
        </w:tc>
        <w:tc>
          <w:tcPr>
            <w:tcW w:w="989" w:type="dxa"/>
            <w:tcBorders>
              <w:top w:val="single" w:sz="4" w:space="0" w:color="auto"/>
              <w:left w:val="single" w:sz="4" w:space="0" w:color="auto"/>
              <w:bottom w:val="single" w:sz="4" w:space="0" w:color="auto"/>
              <w:right w:val="single" w:sz="4" w:space="0" w:color="auto"/>
            </w:tcBorders>
            <w:shd w:val="clear" w:color="auto" w:fill="C6EFCE"/>
            <w:noWrap/>
            <w:hideMark/>
          </w:tcPr>
          <w:p w14:paraId="4D31F07D" w14:textId="77777777" w:rsidR="003B6BD9" w:rsidRDefault="009E25E8">
            <w:pPr>
              <w:pStyle w:val="P68B1DB1-Normal7"/>
              <w:spacing w:before="0" w:after="0" w:line="256" w:lineRule="auto"/>
              <w:rPr>
                <w:rFonts w:eastAsia="Times New Roman"/>
                <w:noProof/>
              </w:rPr>
            </w:pPr>
            <w:r>
              <w:rPr>
                <w:noProof/>
              </w:rPr>
              <w:t>T2</w:t>
            </w:r>
          </w:p>
        </w:tc>
        <w:tc>
          <w:tcPr>
            <w:tcW w:w="720" w:type="dxa"/>
            <w:tcBorders>
              <w:top w:val="single" w:sz="4" w:space="0" w:color="auto"/>
              <w:left w:val="single" w:sz="4" w:space="0" w:color="auto"/>
              <w:bottom w:val="single" w:sz="4" w:space="0" w:color="auto"/>
              <w:right w:val="single" w:sz="4" w:space="0" w:color="auto"/>
            </w:tcBorders>
            <w:shd w:val="clear" w:color="auto" w:fill="C6EFCE"/>
            <w:noWrap/>
            <w:hideMark/>
          </w:tcPr>
          <w:p w14:paraId="0FE3BE22" w14:textId="77777777" w:rsidR="003B6BD9" w:rsidRDefault="009E25E8">
            <w:pPr>
              <w:pStyle w:val="P68B1DB1-Normal7"/>
              <w:spacing w:before="0" w:after="0" w:line="256" w:lineRule="auto"/>
              <w:rPr>
                <w:rFonts w:eastAsia="Times New Roman"/>
                <w:noProof/>
              </w:rPr>
            </w:pPr>
            <w:r>
              <w:rPr>
                <w:noProof/>
              </w:rPr>
              <w:t>2024</w:t>
            </w:r>
          </w:p>
        </w:tc>
        <w:tc>
          <w:tcPr>
            <w:tcW w:w="2680" w:type="dxa"/>
            <w:tcBorders>
              <w:top w:val="single" w:sz="4" w:space="0" w:color="auto"/>
              <w:left w:val="single" w:sz="4" w:space="0" w:color="auto"/>
              <w:bottom w:val="single" w:sz="4" w:space="0" w:color="auto"/>
              <w:right w:val="single" w:sz="4" w:space="0" w:color="auto"/>
            </w:tcBorders>
            <w:shd w:val="clear" w:color="auto" w:fill="C6EFCE"/>
            <w:noWrap/>
            <w:hideMark/>
          </w:tcPr>
          <w:p w14:paraId="2F01E636" w14:textId="77777777" w:rsidR="003B6BD9" w:rsidRDefault="009E25E8">
            <w:pPr>
              <w:pStyle w:val="P68B1DB1-Normal7"/>
              <w:spacing w:before="0" w:after="0" w:line="256" w:lineRule="auto"/>
              <w:rPr>
                <w:rFonts w:eastAsia="Times New Roman"/>
                <w:noProof/>
              </w:rPr>
            </w:pPr>
            <w:r>
              <w:rPr>
                <w:noProof/>
              </w:rPr>
              <w:t>Les projets améliorent l’utilisation efficace des ressources par les entreprises sélectionnées.</w:t>
            </w:r>
          </w:p>
          <w:p w14:paraId="76E96082" w14:textId="77777777" w:rsidR="003B6BD9" w:rsidRDefault="009E25E8">
            <w:pPr>
              <w:pStyle w:val="P68B1DB1-Normal11"/>
              <w:spacing w:before="0" w:after="0" w:line="256" w:lineRule="auto"/>
              <w:rPr>
                <w:rFonts w:eastAsia="Times New Roman"/>
                <w:noProof/>
              </w:rPr>
            </w:pPr>
            <w:r>
              <w:rPr>
                <w:noProof/>
              </w:rPr>
              <w:t>Les critères de sélection garantissent le respect du guide technique «ne pas causer de préjudice important» (2021/C58/01). Pour tous les projets liés aux installations couvertes par le système d’échange de quotas d’émission de l’UE, il convient de veiller à ce que les installations bénéficiant d’un soutien atteignent leurs émissions de gaz à effet de serre prévues nettement en dessous de la limite fixée pour l’allocation de quotas à titre gratuit conformément au règlement d’exécution (UE) 2021/447 de la Commission.</w:t>
            </w:r>
            <w:r>
              <w:rPr>
                <w:noProof/>
              </w:rPr>
              <w:footnoteReference w:id="2"/>
            </w:r>
            <w:r>
              <w:rPr>
                <w:noProof/>
              </w:rPr>
              <w:t xml:space="preserve"> </w:t>
            </w:r>
          </w:p>
        </w:tc>
      </w:tr>
      <w:tr w:rsidR="003B6BD9" w14:paraId="7E6C8D00" w14:textId="77777777" w:rsidTr="00AC1D11">
        <w:trPr>
          <w:trHeight w:val="309"/>
        </w:trPr>
        <w:tc>
          <w:tcPr>
            <w:tcW w:w="955" w:type="dxa"/>
            <w:tcBorders>
              <w:top w:val="single" w:sz="4" w:space="0" w:color="auto"/>
              <w:left w:val="single" w:sz="4" w:space="0" w:color="auto"/>
              <w:bottom w:val="single" w:sz="4" w:space="0" w:color="auto"/>
              <w:right w:val="single" w:sz="4" w:space="0" w:color="auto"/>
            </w:tcBorders>
            <w:shd w:val="clear" w:color="auto" w:fill="C6EFCE"/>
            <w:noWrap/>
            <w:hideMark/>
          </w:tcPr>
          <w:p w14:paraId="0FF52BF9" w14:textId="77777777" w:rsidR="003B6BD9" w:rsidRDefault="009E25E8">
            <w:pPr>
              <w:pStyle w:val="P68B1DB1-Normal7"/>
              <w:spacing w:before="0" w:after="0" w:line="256" w:lineRule="auto"/>
              <w:rPr>
                <w:rFonts w:eastAsia="Times New Roman"/>
                <w:noProof/>
              </w:rPr>
            </w:pPr>
            <w:r>
              <w:rPr>
                <w:noProof/>
              </w:rPr>
              <w:t>73</w:t>
            </w:r>
          </w:p>
        </w:tc>
        <w:tc>
          <w:tcPr>
            <w:tcW w:w="2160" w:type="dxa"/>
            <w:tcBorders>
              <w:top w:val="single" w:sz="4" w:space="0" w:color="auto"/>
              <w:left w:val="single" w:sz="4" w:space="0" w:color="auto"/>
              <w:bottom w:val="single" w:sz="4" w:space="0" w:color="auto"/>
              <w:right w:val="single" w:sz="4" w:space="0" w:color="auto"/>
            </w:tcBorders>
            <w:shd w:val="clear" w:color="auto" w:fill="C6EFCE"/>
            <w:noWrap/>
            <w:hideMark/>
          </w:tcPr>
          <w:p w14:paraId="4BA49D17" w14:textId="77777777" w:rsidR="003B6BD9" w:rsidRDefault="009E25E8">
            <w:pPr>
              <w:pStyle w:val="P68B1DB1-Normal7"/>
              <w:spacing w:before="0" w:after="0" w:line="256" w:lineRule="auto"/>
              <w:rPr>
                <w:rFonts w:eastAsia="Times New Roman"/>
                <w:noProof/>
              </w:rPr>
            </w:pPr>
            <w:r>
              <w:rPr>
                <w:noProof/>
              </w:rPr>
              <w:t xml:space="preserve">B: Projet stratégique intégré visant à décarboner la Slovénie grâce à la transition vers une économie circulaire </w:t>
            </w:r>
          </w:p>
        </w:tc>
        <w:tc>
          <w:tcPr>
            <w:tcW w:w="1320" w:type="dxa"/>
            <w:tcBorders>
              <w:top w:val="single" w:sz="4" w:space="0" w:color="auto"/>
              <w:left w:val="single" w:sz="4" w:space="0" w:color="auto"/>
              <w:bottom w:val="single" w:sz="4" w:space="0" w:color="auto"/>
              <w:right w:val="single" w:sz="4" w:space="0" w:color="auto"/>
            </w:tcBorders>
            <w:shd w:val="clear" w:color="auto" w:fill="C6EFCE"/>
            <w:noWrap/>
            <w:hideMark/>
          </w:tcPr>
          <w:p w14:paraId="052B4696" w14:textId="77777777" w:rsidR="003B6BD9" w:rsidRDefault="009E25E8">
            <w:pPr>
              <w:pStyle w:val="P68B1DB1-Normal7"/>
              <w:spacing w:before="0" w:after="0" w:line="256" w:lineRule="auto"/>
              <w:rPr>
                <w:rFonts w:eastAsia="Times New Roman"/>
                <w:noProof/>
              </w:rPr>
            </w:pPr>
            <w:r>
              <w:rPr>
                <w:noProof/>
              </w:rPr>
              <w:t>Cible</w:t>
            </w:r>
          </w:p>
        </w:tc>
        <w:tc>
          <w:tcPr>
            <w:tcW w:w="2040" w:type="dxa"/>
            <w:tcBorders>
              <w:top w:val="single" w:sz="4" w:space="0" w:color="auto"/>
              <w:left w:val="single" w:sz="4" w:space="0" w:color="auto"/>
              <w:bottom w:val="single" w:sz="4" w:space="0" w:color="auto"/>
              <w:right w:val="single" w:sz="4" w:space="0" w:color="auto"/>
            </w:tcBorders>
            <w:shd w:val="clear" w:color="auto" w:fill="C6EFCE"/>
            <w:noWrap/>
            <w:hideMark/>
          </w:tcPr>
          <w:p w14:paraId="683FAA0D" w14:textId="67C7D585" w:rsidR="003B6BD9" w:rsidRDefault="009E25E8">
            <w:pPr>
              <w:pStyle w:val="P68B1DB1-Normal7"/>
              <w:spacing w:before="0" w:after="0" w:line="256" w:lineRule="auto"/>
              <w:rPr>
                <w:rFonts w:eastAsia="Times New Roman"/>
                <w:noProof/>
              </w:rPr>
            </w:pPr>
            <w:r>
              <w:rPr>
                <w:noProof/>
              </w:rPr>
              <w:t>Nombre de projets ou d’activités visant à soutenir les entreprises dans la transition vers une économie circulaire</w:t>
            </w:r>
          </w:p>
        </w:tc>
        <w:tc>
          <w:tcPr>
            <w:tcW w:w="2160" w:type="dxa"/>
            <w:tcBorders>
              <w:top w:val="single" w:sz="4" w:space="0" w:color="auto"/>
              <w:left w:val="single" w:sz="4" w:space="0" w:color="auto"/>
              <w:bottom w:val="single" w:sz="4" w:space="0" w:color="auto"/>
              <w:right w:val="single" w:sz="4" w:space="0" w:color="auto"/>
            </w:tcBorders>
            <w:shd w:val="clear" w:color="auto" w:fill="C6EFCE"/>
            <w:noWrap/>
          </w:tcPr>
          <w:p w14:paraId="6D6BB273" w14:textId="77777777" w:rsidR="003B6BD9" w:rsidRDefault="009E25E8">
            <w:pPr>
              <w:pStyle w:val="P68B1DB1-Normal7"/>
              <w:spacing w:before="0" w:after="0" w:line="256" w:lineRule="auto"/>
              <w:rPr>
                <w:rFonts w:eastAsia="Times New Roman"/>
                <w:noProof/>
              </w:rPr>
            </w:pPr>
            <w:r>
              <w:rPr>
                <w:noProof/>
              </w:rPr>
              <w:t> </w:t>
            </w:r>
          </w:p>
        </w:tc>
        <w:tc>
          <w:tcPr>
            <w:tcW w:w="1080" w:type="dxa"/>
            <w:tcBorders>
              <w:top w:val="single" w:sz="4" w:space="0" w:color="auto"/>
              <w:left w:val="single" w:sz="4" w:space="0" w:color="auto"/>
              <w:bottom w:val="single" w:sz="4" w:space="0" w:color="auto"/>
              <w:right w:val="single" w:sz="4" w:space="0" w:color="auto"/>
            </w:tcBorders>
            <w:shd w:val="clear" w:color="auto" w:fill="C6EFCE"/>
            <w:noWrap/>
            <w:hideMark/>
          </w:tcPr>
          <w:p w14:paraId="57A9DE09" w14:textId="77777777" w:rsidR="003B6BD9" w:rsidRDefault="009E25E8">
            <w:pPr>
              <w:pStyle w:val="P68B1DB1-Normal7"/>
              <w:spacing w:before="0" w:after="0" w:line="256" w:lineRule="auto"/>
              <w:rPr>
                <w:noProof/>
              </w:rPr>
            </w:pPr>
            <w:r>
              <w:rPr>
                <w:noProof/>
              </w:rPr>
              <w:t>Nombre</w:t>
            </w:r>
          </w:p>
        </w:tc>
        <w:tc>
          <w:tcPr>
            <w:tcW w:w="1080" w:type="dxa"/>
            <w:tcBorders>
              <w:top w:val="single" w:sz="4" w:space="0" w:color="auto"/>
              <w:left w:val="single" w:sz="4" w:space="0" w:color="auto"/>
              <w:bottom w:val="single" w:sz="4" w:space="0" w:color="auto"/>
              <w:right w:val="single" w:sz="4" w:space="0" w:color="auto"/>
            </w:tcBorders>
            <w:shd w:val="clear" w:color="auto" w:fill="C6EFCE"/>
            <w:noWrap/>
            <w:hideMark/>
          </w:tcPr>
          <w:p w14:paraId="2AB7EDA4" w14:textId="77777777" w:rsidR="003B6BD9" w:rsidRDefault="009E25E8">
            <w:pPr>
              <w:pStyle w:val="P68B1DB1-Normal7"/>
              <w:spacing w:before="0" w:after="0" w:line="256" w:lineRule="auto"/>
              <w:rPr>
                <w:rFonts w:eastAsia="Times New Roman"/>
                <w:noProof/>
              </w:rPr>
            </w:pPr>
            <w:r>
              <w:rPr>
                <w:noProof/>
              </w:rPr>
              <w:t>0</w:t>
            </w:r>
          </w:p>
        </w:tc>
        <w:tc>
          <w:tcPr>
            <w:tcW w:w="691" w:type="dxa"/>
            <w:tcBorders>
              <w:top w:val="single" w:sz="4" w:space="0" w:color="auto"/>
              <w:left w:val="single" w:sz="4" w:space="0" w:color="auto"/>
              <w:bottom w:val="single" w:sz="4" w:space="0" w:color="auto"/>
              <w:right w:val="single" w:sz="4" w:space="0" w:color="auto"/>
            </w:tcBorders>
            <w:shd w:val="clear" w:color="auto" w:fill="C6EFCE"/>
            <w:noWrap/>
            <w:hideMark/>
          </w:tcPr>
          <w:p w14:paraId="6D247568" w14:textId="50487C3A" w:rsidR="003B6BD9" w:rsidRDefault="009E25E8">
            <w:pPr>
              <w:pStyle w:val="P68B1DB1-Normal7"/>
              <w:spacing w:before="0" w:after="0" w:line="256" w:lineRule="auto"/>
              <w:rPr>
                <w:rFonts w:eastAsia="Times New Roman"/>
                <w:noProof/>
              </w:rPr>
            </w:pPr>
            <w:r>
              <w:rPr>
                <w:noProof/>
              </w:rPr>
              <w:t>150</w:t>
            </w:r>
          </w:p>
        </w:tc>
        <w:tc>
          <w:tcPr>
            <w:tcW w:w="989" w:type="dxa"/>
            <w:tcBorders>
              <w:top w:val="single" w:sz="4" w:space="0" w:color="auto"/>
              <w:left w:val="single" w:sz="4" w:space="0" w:color="auto"/>
              <w:bottom w:val="single" w:sz="4" w:space="0" w:color="auto"/>
              <w:right w:val="single" w:sz="4" w:space="0" w:color="auto"/>
            </w:tcBorders>
            <w:shd w:val="clear" w:color="auto" w:fill="C6EFCE"/>
            <w:noWrap/>
            <w:hideMark/>
          </w:tcPr>
          <w:p w14:paraId="2AB905E7" w14:textId="77777777" w:rsidR="003B6BD9" w:rsidRDefault="009E25E8">
            <w:pPr>
              <w:pStyle w:val="P68B1DB1-Normal7"/>
              <w:spacing w:before="0" w:after="0" w:line="256" w:lineRule="auto"/>
              <w:rPr>
                <w:rFonts w:eastAsia="Times New Roman"/>
                <w:noProof/>
              </w:rPr>
            </w:pPr>
            <w:r>
              <w:rPr>
                <w:noProof/>
              </w:rPr>
              <w:t>T4</w:t>
            </w:r>
          </w:p>
        </w:tc>
        <w:tc>
          <w:tcPr>
            <w:tcW w:w="720" w:type="dxa"/>
            <w:tcBorders>
              <w:top w:val="single" w:sz="4" w:space="0" w:color="auto"/>
              <w:left w:val="single" w:sz="4" w:space="0" w:color="auto"/>
              <w:bottom w:val="single" w:sz="4" w:space="0" w:color="auto"/>
              <w:right w:val="single" w:sz="4" w:space="0" w:color="auto"/>
            </w:tcBorders>
            <w:shd w:val="clear" w:color="auto" w:fill="C6EFCE"/>
            <w:noWrap/>
            <w:hideMark/>
          </w:tcPr>
          <w:p w14:paraId="172430C8" w14:textId="77777777" w:rsidR="003B6BD9" w:rsidRDefault="009E25E8">
            <w:pPr>
              <w:pStyle w:val="P68B1DB1-Normal7"/>
              <w:spacing w:before="0" w:after="0" w:line="256" w:lineRule="auto"/>
              <w:rPr>
                <w:rFonts w:eastAsia="Times New Roman"/>
                <w:noProof/>
              </w:rPr>
            </w:pPr>
            <w:r>
              <w:rPr>
                <w:noProof/>
              </w:rPr>
              <w:t>2025</w:t>
            </w:r>
          </w:p>
        </w:tc>
        <w:tc>
          <w:tcPr>
            <w:tcW w:w="2680" w:type="dxa"/>
            <w:tcBorders>
              <w:top w:val="single" w:sz="4" w:space="0" w:color="auto"/>
              <w:left w:val="single" w:sz="4" w:space="0" w:color="auto"/>
              <w:bottom w:val="single" w:sz="4" w:space="0" w:color="auto"/>
              <w:right w:val="single" w:sz="4" w:space="0" w:color="auto"/>
            </w:tcBorders>
            <w:shd w:val="clear" w:color="auto" w:fill="C6EFCE"/>
            <w:noWrap/>
            <w:hideMark/>
          </w:tcPr>
          <w:p w14:paraId="133BF682" w14:textId="62D56365" w:rsidR="003B6BD9" w:rsidRDefault="009E25E8">
            <w:pPr>
              <w:pStyle w:val="P68B1DB1-Normal8"/>
              <w:spacing w:before="0" w:after="0" w:line="256" w:lineRule="auto"/>
              <w:rPr>
                <w:noProof/>
              </w:rPr>
            </w:pPr>
            <w:r>
              <w:rPr>
                <w:noProof/>
              </w:rPr>
              <w:t>Réalisation d’au moins 150 projets ou activités visant à soutenir la transition vers une économie circulaire.</w:t>
            </w:r>
          </w:p>
        </w:tc>
      </w:tr>
      <w:tr w:rsidR="003B6BD9" w14:paraId="5046D979" w14:textId="77777777" w:rsidTr="00AC1D11">
        <w:trPr>
          <w:trHeight w:val="309"/>
        </w:trPr>
        <w:tc>
          <w:tcPr>
            <w:tcW w:w="955" w:type="dxa"/>
            <w:tcBorders>
              <w:top w:val="single" w:sz="4" w:space="0" w:color="auto"/>
              <w:left w:val="single" w:sz="4" w:space="0" w:color="auto"/>
              <w:bottom w:val="single" w:sz="4" w:space="0" w:color="auto"/>
              <w:right w:val="single" w:sz="4" w:space="0" w:color="auto"/>
            </w:tcBorders>
            <w:shd w:val="clear" w:color="auto" w:fill="C6EFCE"/>
            <w:noWrap/>
            <w:hideMark/>
          </w:tcPr>
          <w:p w14:paraId="256A268C" w14:textId="77777777" w:rsidR="003B6BD9" w:rsidRDefault="009E25E8">
            <w:pPr>
              <w:pStyle w:val="P68B1DB1-Normal7"/>
              <w:spacing w:before="0" w:after="0" w:line="256" w:lineRule="auto"/>
              <w:rPr>
                <w:rFonts w:eastAsia="Times New Roman"/>
                <w:noProof/>
              </w:rPr>
            </w:pPr>
            <w:r>
              <w:rPr>
                <w:noProof/>
              </w:rPr>
              <w:t>74</w:t>
            </w:r>
          </w:p>
        </w:tc>
        <w:tc>
          <w:tcPr>
            <w:tcW w:w="2160" w:type="dxa"/>
            <w:tcBorders>
              <w:top w:val="single" w:sz="4" w:space="0" w:color="auto"/>
              <w:left w:val="single" w:sz="4" w:space="0" w:color="auto"/>
              <w:bottom w:val="single" w:sz="4" w:space="0" w:color="auto"/>
              <w:right w:val="single" w:sz="4" w:space="0" w:color="auto"/>
            </w:tcBorders>
            <w:shd w:val="clear" w:color="auto" w:fill="C6EFCE"/>
            <w:noWrap/>
            <w:hideMark/>
          </w:tcPr>
          <w:p w14:paraId="745591E9" w14:textId="77777777" w:rsidR="003B6BD9" w:rsidRDefault="009E25E8">
            <w:pPr>
              <w:pStyle w:val="P68B1DB1-Normal7"/>
              <w:spacing w:before="0" w:after="0" w:line="256" w:lineRule="auto"/>
              <w:rPr>
                <w:rFonts w:eastAsia="Times New Roman"/>
                <w:noProof/>
              </w:rPr>
            </w:pPr>
            <w:r>
              <w:rPr>
                <w:noProof/>
              </w:rPr>
              <w:t>C: Accroître la transformation du bois pour accélérer la transition vers une société neutre pour le climat</w:t>
            </w:r>
          </w:p>
        </w:tc>
        <w:tc>
          <w:tcPr>
            <w:tcW w:w="1320" w:type="dxa"/>
            <w:tcBorders>
              <w:top w:val="single" w:sz="4" w:space="0" w:color="auto"/>
              <w:left w:val="single" w:sz="4" w:space="0" w:color="auto"/>
              <w:bottom w:val="single" w:sz="4" w:space="0" w:color="auto"/>
              <w:right w:val="single" w:sz="4" w:space="0" w:color="auto"/>
            </w:tcBorders>
            <w:shd w:val="clear" w:color="auto" w:fill="C6EFCE"/>
            <w:noWrap/>
            <w:hideMark/>
          </w:tcPr>
          <w:p w14:paraId="11CB9BAC" w14:textId="77777777" w:rsidR="003B6BD9" w:rsidRDefault="009E25E8">
            <w:pPr>
              <w:pStyle w:val="P68B1DB1-Normal7"/>
              <w:spacing w:before="0" w:after="0" w:line="256" w:lineRule="auto"/>
              <w:rPr>
                <w:rFonts w:eastAsia="Times New Roman"/>
                <w:noProof/>
              </w:rPr>
            </w:pPr>
            <w:r>
              <w:rPr>
                <w:noProof/>
              </w:rPr>
              <w:t>Jalon</w:t>
            </w:r>
          </w:p>
        </w:tc>
        <w:tc>
          <w:tcPr>
            <w:tcW w:w="2040" w:type="dxa"/>
            <w:tcBorders>
              <w:top w:val="single" w:sz="4" w:space="0" w:color="auto"/>
              <w:left w:val="single" w:sz="4" w:space="0" w:color="auto"/>
              <w:bottom w:val="single" w:sz="4" w:space="0" w:color="auto"/>
              <w:right w:val="single" w:sz="4" w:space="0" w:color="auto"/>
            </w:tcBorders>
            <w:shd w:val="clear" w:color="auto" w:fill="C6EFCE"/>
            <w:noWrap/>
            <w:hideMark/>
          </w:tcPr>
          <w:p w14:paraId="4B1FCB0F" w14:textId="14C539E3" w:rsidR="003B6BD9" w:rsidRDefault="009E25E8">
            <w:pPr>
              <w:pStyle w:val="P68B1DB1-Normal7"/>
              <w:spacing w:before="0" w:after="0" w:line="256" w:lineRule="auto"/>
              <w:rPr>
                <w:rFonts w:eastAsia="Times New Roman"/>
                <w:noProof/>
              </w:rPr>
            </w:pPr>
            <w:r>
              <w:rPr>
                <w:noProof/>
              </w:rPr>
              <w:t>Décisions de subvention pour des projets en faveur de la transformation du bois</w:t>
            </w:r>
          </w:p>
        </w:tc>
        <w:tc>
          <w:tcPr>
            <w:tcW w:w="2160" w:type="dxa"/>
            <w:tcBorders>
              <w:top w:val="single" w:sz="4" w:space="0" w:color="auto"/>
              <w:left w:val="single" w:sz="4" w:space="0" w:color="auto"/>
              <w:bottom w:val="single" w:sz="4" w:space="0" w:color="auto"/>
              <w:right w:val="single" w:sz="4" w:space="0" w:color="auto"/>
            </w:tcBorders>
            <w:shd w:val="clear" w:color="auto" w:fill="C6EFCE"/>
            <w:noWrap/>
            <w:hideMark/>
          </w:tcPr>
          <w:p w14:paraId="1DBDD36C" w14:textId="6D4A7B53" w:rsidR="003B6BD9" w:rsidRDefault="009E25E8">
            <w:pPr>
              <w:pStyle w:val="P68B1DB1-Normal7"/>
              <w:spacing w:before="0" w:after="0" w:line="256" w:lineRule="auto"/>
              <w:rPr>
                <w:rFonts w:eastAsia="Times New Roman"/>
                <w:noProof/>
              </w:rPr>
            </w:pPr>
            <w:r>
              <w:rPr>
                <w:noProof/>
              </w:rPr>
              <w:t>Décision (s) de subvention émise (s)</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166488F7" w14:textId="5A583C73" w:rsidR="003B6BD9" w:rsidRDefault="009E25E8">
            <w:pPr>
              <w:pStyle w:val="P68B1DB1-Normal7"/>
              <w:spacing w:before="0" w:after="0" w:line="256" w:lineRule="auto"/>
              <w:rPr>
                <w:rFonts w:eastAsia="Times New Roman"/>
                <w:noProof/>
              </w:rPr>
            </w:pPr>
            <w:r>
              <w:rPr>
                <w:noProof/>
              </w:rPr>
              <w:t> </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29E71E15" w14:textId="77777777" w:rsidR="003B6BD9" w:rsidRDefault="009E25E8">
            <w:pPr>
              <w:pStyle w:val="P68B1DB1-Normal7"/>
              <w:spacing w:before="0" w:after="0" w:line="256" w:lineRule="auto"/>
              <w:rPr>
                <w:rFonts w:eastAsia="Times New Roman"/>
                <w:noProof/>
              </w:rPr>
            </w:pPr>
            <w:r>
              <w:rPr>
                <w:noProof/>
              </w:rPr>
              <w:t> </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2279E7DE" w14:textId="77777777" w:rsidR="003B6BD9" w:rsidRDefault="009E25E8">
            <w:pPr>
              <w:pStyle w:val="P68B1DB1-Normal7"/>
              <w:spacing w:before="0" w:after="0" w:line="256" w:lineRule="auto"/>
              <w:rPr>
                <w:rFonts w:eastAsia="Times New Roman"/>
                <w:noProof/>
              </w:rPr>
            </w:pPr>
            <w:r>
              <w:rPr>
                <w:noProof/>
              </w:rPr>
              <w:t> </w:t>
            </w:r>
          </w:p>
        </w:tc>
        <w:tc>
          <w:tcPr>
            <w:tcW w:w="989" w:type="dxa"/>
            <w:tcBorders>
              <w:top w:val="single" w:sz="4" w:space="0" w:color="auto"/>
              <w:left w:val="single" w:sz="4" w:space="0" w:color="auto"/>
              <w:bottom w:val="single" w:sz="4" w:space="0" w:color="auto"/>
              <w:right w:val="single" w:sz="4" w:space="0" w:color="auto"/>
            </w:tcBorders>
            <w:shd w:val="clear" w:color="auto" w:fill="C6EFCE"/>
            <w:noWrap/>
            <w:hideMark/>
          </w:tcPr>
          <w:p w14:paraId="39C0FA21" w14:textId="77777777" w:rsidR="003B6BD9" w:rsidRDefault="009E25E8">
            <w:pPr>
              <w:pStyle w:val="P68B1DB1-Normal7"/>
              <w:spacing w:before="0" w:after="0" w:line="256" w:lineRule="auto"/>
              <w:rPr>
                <w:rFonts w:eastAsia="Times New Roman"/>
                <w:noProof/>
              </w:rPr>
            </w:pPr>
            <w:r>
              <w:rPr>
                <w:noProof/>
              </w:rPr>
              <w:t>T4</w:t>
            </w:r>
          </w:p>
        </w:tc>
        <w:tc>
          <w:tcPr>
            <w:tcW w:w="720" w:type="dxa"/>
            <w:tcBorders>
              <w:top w:val="single" w:sz="4" w:space="0" w:color="auto"/>
              <w:left w:val="single" w:sz="4" w:space="0" w:color="auto"/>
              <w:bottom w:val="single" w:sz="4" w:space="0" w:color="auto"/>
              <w:right w:val="single" w:sz="4" w:space="0" w:color="auto"/>
            </w:tcBorders>
            <w:shd w:val="clear" w:color="auto" w:fill="C6EFCE"/>
            <w:noWrap/>
            <w:hideMark/>
          </w:tcPr>
          <w:p w14:paraId="3B488C98" w14:textId="77777777" w:rsidR="003B6BD9" w:rsidRDefault="009E25E8">
            <w:pPr>
              <w:pStyle w:val="P68B1DB1-Normal7"/>
              <w:spacing w:before="0" w:after="0" w:line="256" w:lineRule="auto"/>
              <w:rPr>
                <w:rFonts w:eastAsia="Times New Roman"/>
                <w:noProof/>
              </w:rPr>
            </w:pPr>
            <w:r>
              <w:rPr>
                <w:noProof/>
              </w:rPr>
              <w:t>2024</w:t>
            </w:r>
          </w:p>
        </w:tc>
        <w:tc>
          <w:tcPr>
            <w:tcW w:w="2680" w:type="dxa"/>
            <w:tcBorders>
              <w:top w:val="single" w:sz="4" w:space="0" w:color="auto"/>
              <w:left w:val="single" w:sz="4" w:space="0" w:color="auto"/>
              <w:bottom w:val="single" w:sz="4" w:space="0" w:color="auto"/>
              <w:right w:val="single" w:sz="4" w:space="0" w:color="auto"/>
            </w:tcBorders>
            <w:shd w:val="clear" w:color="auto" w:fill="C6EFCE"/>
            <w:noWrap/>
            <w:hideMark/>
          </w:tcPr>
          <w:p w14:paraId="69467D6E" w14:textId="75D11118" w:rsidR="003B6BD9" w:rsidRDefault="009E25E8">
            <w:pPr>
              <w:pStyle w:val="P68B1DB1-Normal7"/>
              <w:spacing w:before="0" w:after="0" w:line="256" w:lineRule="auto"/>
              <w:rPr>
                <w:rFonts w:eastAsia="Times New Roman"/>
                <w:noProof/>
              </w:rPr>
            </w:pPr>
            <w:r>
              <w:rPr>
                <w:noProof/>
              </w:rPr>
              <w:t>Décision (s) de subvention délivrée (s) pour des projets en faveur de la transformation du bois. Les critères de sélection des projets de l’appel comprennent une exigence de conformité avec les orientations techniques «ne pas causer de préjudice important» (2021/C58/01).</w:t>
            </w:r>
          </w:p>
        </w:tc>
      </w:tr>
      <w:tr w:rsidR="003B6BD9" w14:paraId="70C6D865" w14:textId="77777777" w:rsidTr="00AC1D11">
        <w:trPr>
          <w:trHeight w:val="309"/>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4E4410F2" w14:textId="79871E13" w:rsidR="003B6BD9" w:rsidRDefault="009E25E8">
            <w:pPr>
              <w:pStyle w:val="P68B1DB1-Normal7"/>
              <w:spacing w:line="256" w:lineRule="auto"/>
              <w:rPr>
                <w:noProof/>
              </w:rPr>
            </w:pPr>
            <w:r>
              <w:rPr>
                <w:noProof/>
              </w:rPr>
              <w:t>75</w:t>
            </w:r>
          </w:p>
        </w:tc>
        <w:tc>
          <w:tcPr>
            <w:tcW w:w="2160" w:type="dxa"/>
            <w:tcBorders>
              <w:top w:val="single" w:sz="4" w:space="0" w:color="auto"/>
              <w:left w:val="single" w:sz="4" w:space="0" w:color="auto"/>
              <w:bottom w:val="single" w:sz="4" w:space="0" w:color="auto"/>
              <w:right w:val="single" w:sz="4" w:space="0" w:color="auto"/>
            </w:tcBorders>
            <w:shd w:val="clear" w:color="auto" w:fill="C6EFCE"/>
            <w:noWrap/>
          </w:tcPr>
          <w:p w14:paraId="09F16D47" w14:textId="18DC962A" w:rsidR="003B6BD9" w:rsidRDefault="009E25E8">
            <w:pPr>
              <w:pStyle w:val="P68B1DB1-Normal8"/>
              <w:spacing w:line="256" w:lineRule="auto"/>
              <w:rPr>
                <w:noProof/>
              </w:rPr>
            </w:pPr>
            <w:r>
              <w:rPr>
                <w:noProof/>
              </w:rPr>
              <w:t>C: Accroître la transformation du bois pour accélérer la transition vers une société neutre pour le climat</w:t>
            </w:r>
          </w:p>
        </w:tc>
        <w:tc>
          <w:tcPr>
            <w:tcW w:w="1320" w:type="dxa"/>
            <w:tcBorders>
              <w:top w:val="single" w:sz="4" w:space="0" w:color="auto"/>
              <w:left w:val="single" w:sz="4" w:space="0" w:color="auto"/>
              <w:bottom w:val="single" w:sz="4" w:space="0" w:color="auto"/>
              <w:right w:val="single" w:sz="4" w:space="0" w:color="auto"/>
            </w:tcBorders>
            <w:shd w:val="clear" w:color="auto" w:fill="C6EFCE"/>
            <w:noWrap/>
          </w:tcPr>
          <w:p w14:paraId="1F2F0D36" w14:textId="11606F7C" w:rsidR="003B6BD9" w:rsidRDefault="009E25E8">
            <w:pPr>
              <w:pStyle w:val="P68B1DB1-Normal7"/>
              <w:spacing w:line="256" w:lineRule="auto"/>
              <w:rPr>
                <w:noProof/>
              </w:rPr>
            </w:pPr>
            <w:r>
              <w:rPr>
                <w:noProof/>
              </w:rPr>
              <w:t>Cible</w:t>
            </w:r>
          </w:p>
        </w:tc>
        <w:tc>
          <w:tcPr>
            <w:tcW w:w="2040" w:type="dxa"/>
            <w:tcBorders>
              <w:top w:val="single" w:sz="4" w:space="0" w:color="auto"/>
              <w:left w:val="single" w:sz="4" w:space="0" w:color="auto"/>
              <w:bottom w:val="single" w:sz="4" w:space="0" w:color="auto"/>
              <w:right w:val="single" w:sz="4" w:space="0" w:color="auto"/>
            </w:tcBorders>
            <w:shd w:val="clear" w:color="auto" w:fill="C6EFCE"/>
          </w:tcPr>
          <w:p w14:paraId="44F3B8A1" w14:textId="6F86001F" w:rsidR="003B6BD9" w:rsidRDefault="009E25E8">
            <w:pPr>
              <w:pStyle w:val="P68B1DB1-Normal7"/>
              <w:spacing w:before="0" w:after="0" w:line="256" w:lineRule="auto"/>
              <w:rPr>
                <w:noProof/>
              </w:rPr>
            </w:pPr>
            <w:r>
              <w:rPr>
                <w:noProof/>
              </w:rPr>
              <w:t xml:space="preserve">Nombre de projets soutenant la transformation du bois  </w:t>
            </w:r>
          </w:p>
          <w:p w14:paraId="39165311" w14:textId="206C2EAF" w:rsidR="003B6BD9" w:rsidRDefault="003B6BD9">
            <w:pPr>
              <w:spacing w:line="256" w:lineRule="auto"/>
              <w:rPr>
                <w:noProof/>
                <w:color w:val="006100"/>
                <w:sz w:val="18"/>
                <w:szCs w:val="18"/>
              </w:rPr>
            </w:pPr>
          </w:p>
        </w:tc>
        <w:tc>
          <w:tcPr>
            <w:tcW w:w="2160" w:type="dxa"/>
            <w:tcBorders>
              <w:top w:val="single" w:sz="4" w:space="0" w:color="auto"/>
              <w:left w:val="single" w:sz="4" w:space="0" w:color="auto"/>
              <w:bottom w:val="single" w:sz="4" w:space="0" w:color="auto"/>
              <w:right w:val="single" w:sz="4" w:space="0" w:color="auto"/>
            </w:tcBorders>
            <w:shd w:val="clear" w:color="auto" w:fill="C6EFCE"/>
          </w:tcPr>
          <w:p w14:paraId="0FB72B6B" w14:textId="51C60703" w:rsidR="003B6BD9" w:rsidRDefault="003B6BD9">
            <w:pPr>
              <w:spacing w:line="256" w:lineRule="auto"/>
              <w:rPr>
                <w:noProof/>
                <w:color w:val="006100"/>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0551A053" w14:textId="794D1388" w:rsidR="003B6BD9" w:rsidRDefault="009E25E8">
            <w:pPr>
              <w:pStyle w:val="P68B1DB1-Normal8"/>
              <w:spacing w:before="0" w:after="0" w:line="256" w:lineRule="auto"/>
              <w:rPr>
                <w:noProof/>
              </w:rPr>
            </w:pPr>
            <w:r>
              <w:rPr>
                <w:noProof/>
              </w:rPr>
              <w:t>Nombre</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2B80A100" w14:textId="40DBBB06" w:rsidR="003B6BD9" w:rsidRDefault="009E25E8">
            <w:pPr>
              <w:pStyle w:val="P68B1DB1-Normal8"/>
              <w:spacing w:before="0" w:after="0" w:line="256" w:lineRule="auto"/>
              <w:rPr>
                <w:noProof/>
              </w:rPr>
            </w:pPr>
            <w:r>
              <w:rPr>
                <w:noProof/>
              </w:rPr>
              <w:t>0</w:t>
            </w:r>
          </w:p>
        </w:tc>
        <w:tc>
          <w:tcPr>
            <w:tcW w:w="691" w:type="dxa"/>
            <w:tcBorders>
              <w:top w:val="single" w:sz="4" w:space="0" w:color="auto"/>
              <w:left w:val="single" w:sz="4" w:space="0" w:color="auto"/>
              <w:bottom w:val="single" w:sz="4" w:space="0" w:color="auto"/>
              <w:right w:val="single" w:sz="4" w:space="0" w:color="auto"/>
            </w:tcBorders>
            <w:shd w:val="clear" w:color="auto" w:fill="C6EFCE"/>
          </w:tcPr>
          <w:p w14:paraId="2A0B29E1" w14:textId="19E74391" w:rsidR="003B6BD9" w:rsidRDefault="009E25E8">
            <w:pPr>
              <w:pStyle w:val="P68B1DB1-Normal8"/>
              <w:spacing w:before="0" w:after="0" w:line="256" w:lineRule="auto"/>
              <w:rPr>
                <w:noProof/>
              </w:rPr>
            </w:pPr>
            <w:r>
              <w:rPr>
                <w:noProof/>
              </w:rPr>
              <w:t>8</w:t>
            </w:r>
          </w:p>
        </w:tc>
        <w:tc>
          <w:tcPr>
            <w:tcW w:w="989" w:type="dxa"/>
            <w:tcBorders>
              <w:top w:val="single" w:sz="4" w:space="0" w:color="auto"/>
              <w:left w:val="single" w:sz="4" w:space="0" w:color="auto"/>
              <w:bottom w:val="single" w:sz="4" w:space="0" w:color="auto"/>
              <w:right w:val="single" w:sz="4" w:space="0" w:color="auto"/>
            </w:tcBorders>
            <w:shd w:val="clear" w:color="auto" w:fill="C6EFCE"/>
            <w:noWrap/>
          </w:tcPr>
          <w:p w14:paraId="36DCFD04" w14:textId="3944256A" w:rsidR="003B6BD9" w:rsidRDefault="009E25E8">
            <w:pPr>
              <w:pStyle w:val="P68B1DB1-Normal8"/>
              <w:spacing w:before="0" w:after="0" w:line="256" w:lineRule="auto"/>
              <w:rPr>
                <w:noProof/>
              </w:rPr>
            </w:pPr>
            <w:r>
              <w:rPr>
                <w:noProof/>
              </w:rPr>
              <w:t>T2</w:t>
            </w:r>
          </w:p>
        </w:tc>
        <w:tc>
          <w:tcPr>
            <w:tcW w:w="720" w:type="dxa"/>
            <w:tcBorders>
              <w:top w:val="single" w:sz="4" w:space="0" w:color="auto"/>
              <w:left w:val="single" w:sz="4" w:space="0" w:color="auto"/>
              <w:bottom w:val="single" w:sz="4" w:space="0" w:color="auto"/>
              <w:right w:val="single" w:sz="4" w:space="0" w:color="auto"/>
            </w:tcBorders>
            <w:shd w:val="clear" w:color="auto" w:fill="C6EFCE"/>
            <w:noWrap/>
          </w:tcPr>
          <w:p w14:paraId="0966C0F2" w14:textId="36FAB5B6" w:rsidR="003B6BD9" w:rsidRDefault="009E25E8">
            <w:pPr>
              <w:pStyle w:val="P68B1DB1-Normal8"/>
              <w:spacing w:before="0" w:after="0" w:line="256" w:lineRule="auto"/>
              <w:rPr>
                <w:noProof/>
              </w:rPr>
            </w:pPr>
            <w:r>
              <w:rPr>
                <w:noProof/>
              </w:rPr>
              <w:t>2025</w:t>
            </w:r>
          </w:p>
        </w:tc>
        <w:tc>
          <w:tcPr>
            <w:tcW w:w="2680" w:type="dxa"/>
            <w:tcBorders>
              <w:top w:val="single" w:sz="4" w:space="0" w:color="auto"/>
              <w:left w:val="single" w:sz="4" w:space="0" w:color="auto"/>
              <w:bottom w:val="single" w:sz="4" w:space="0" w:color="auto"/>
              <w:right w:val="single" w:sz="4" w:space="0" w:color="auto"/>
            </w:tcBorders>
            <w:shd w:val="clear" w:color="auto" w:fill="C6EFCE"/>
            <w:noWrap/>
          </w:tcPr>
          <w:p w14:paraId="74EE48D7" w14:textId="1A5B365D" w:rsidR="003B6BD9" w:rsidRDefault="009E25E8">
            <w:pPr>
              <w:pStyle w:val="P68B1DB1-Normal7"/>
              <w:spacing w:before="0" w:after="0" w:line="256" w:lineRule="auto"/>
              <w:rPr>
                <w:noProof/>
              </w:rPr>
            </w:pPr>
            <w:r>
              <w:rPr>
                <w:noProof/>
              </w:rPr>
              <w:t>Confirmations par l’administration contractante de l’acceptation du procès-verbal de remise ou du bon de livraison ou permis d’utilisation confirmant l’acceptation des projets dans le domaine de la transformation du bois soumis par les bénéficiaires à l’administration contractante.</w:t>
            </w:r>
          </w:p>
        </w:tc>
      </w:tr>
      <w:tr w:rsidR="003B6BD9" w14:paraId="52BF6B82" w14:textId="77777777" w:rsidTr="00AC1D11">
        <w:trPr>
          <w:trHeight w:val="309"/>
        </w:trPr>
        <w:tc>
          <w:tcPr>
            <w:tcW w:w="955" w:type="dxa"/>
            <w:tcBorders>
              <w:top w:val="single" w:sz="4" w:space="0" w:color="auto"/>
              <w:left w:val="single" w:sz="4" w:space="0" w:color="auto"/>
              <w:bottom w:val="single" w:sz="4" w:space="0" w:color="auto"/>
              <w:right w:val="single" w:sz="4" w:space="0" w:color="auto"/>
            </w:tcBorders>
            <w:shd w:val="clear" w:color="auto" w:fill="C6EFCE"/>
            <w:noWrap/>
            <w:hideMark/>
          </w:tcPr>
          <w:p w14:paraId="5A6DED19" w14:textId="77777777" w:rsidR="003B6BD9" w:rsidRDefault="009E25E8">
            <w:pPr>
              <w:pStyle w:val="P68B1DB1-Normal7"/>
              <w:spacing w:before="0" w:after="0" w:line="256" w:lineRule="auto"/>
              <w:rPr>
                <w:rFonts w:eastAsia="Times New Roman"/>
                <w:noProof/>
              </w:rPr>
            </w:pPr>
            <w:r>
              <w:rPr>
                <w:noProof/>
              </w:rPr>
              <w:t>76</w:t>
            </w:r>
          </w:p>
        </w:tc>
        <w:tc>
          <w:tcPr>
            <w:tcW w:w="2160" w:type="dxa"/>
            <w:tcBorders>
              <w:top w:val="single" w:sz="4" w:space="0" w:color="auto"/>
              <w:left w:val="single" w:sz="4" w:space="0" w:color="auto"/>
              <w:bottom w:val="single" w:sz="4" w:space="0" w:color="auto"/>
              <w:right w:val="single" w:sz="4" w:space="0" w:color="auto"/>
            </w:tcBorders>
            <w:shd w:val="clear" w:color="auto" w:fill="C6EFCE"/>
            <w:noWrap/>
            <w:hideMark/>
          </w:tcPr>
          <w:p w14:paraId="462DB511" w14:textId="77777777" w:rsidR="003B6BD9" w:rsidRDefault="009E25E8">
            <w:pPr>
              <w:pStyle w:val="P68B1DB1-Normal7"/>
              <w:spacing w:before="0" w:after="0" w:line="256" w:lineRule="auto"/>
              <w:rPr>
                <w:rFonts w:eastAsia="Times New Roman"/>
                <w:noProof/>
              </w:rPr>
            </w:pPr>
            <w:r>
              <w:rPr>
                <w:noProof/>
              </w:rPr>
              <w:t>C: Accroître la transformation du bois pour accélérer la transition vers une société neutre pour le climat</w:t>
            </w:r>
          </w:p>
        </w:tc>
        <w:tc>
          <w:tcPr>
            <w:tcW w:w="1320" w:type="dxa"/>
            <w:tcBorders>
              <w:top w:val="single" w:sz="4" w:space="0" w:color="auto"/>
              <w:left w:val="single" w:sz="4" w:space="0" w:color="auto"/>
              <w:bottom w:val="single" w:sz="4" w:space="0" w:color="auto"/>
              <w:right w:val="single" w:sz="4" w:space="0" w:color="auto"/>
            </w:tcBorders>
            <w:shd w:val="clear" w:color="auto" w:fill="C6EFCE"/>
            <w:noWrap/>
            <w:hideMark/>
          </w:tcPr>
          <w:p w14:paraId="628836F9" w14:textId="77777777" w:rsidR="003B6BD9" w:rsidRDefault="009E25E8">
            <w:pPr>
              <w:pStyle w:val="P68B1DB1-Normal7"/>
              <w:spacing w:before="0" w:after="0" w:line="256" w:lineRule="auto"/>
              <w:rPr>
                <w:rFonts w:eastAsia="Times New Roman"/>
                <w:noProof/>
              </w:rPr>
            </w:pPr>
            <w:r>
              <w:rPr>
                <w:noProof/>
              </w:rPr>
              <w:t>Cible</w:t>
            </w:r>
          </w:p>
        </w:tc>
        <w:tc>
          <w:tcPr>
            <w:tcW w:w="2040" w:type="dxa"/>
            <w:tcBorders>
              <w:top w:val="single" w:sz="4" w:space="0" w:color="auto"/>
              <w:left w:val="single" w:sz="4" w:space="0" w:color="auto"/>
              <w:bottom w:val="single" w:sz="4" w:space="0" w:color="auto"/>
              <w:right w:val="single" w:sz="4" w:space="0" w:color="auto"/>
            </w:tcBorders>
            <w:shd w:val="clear" w:color="auto" w:fill="C6EFCE"/>
            <w:noWrap/>
            <w:hideMark/>
          </w:tcPr>
          <w:p w14:paraId="1EB1DA95" w14:textId="7089C4F2" w:rsidR="003B6BD9" w:rsidRDefault="009E25E8">
            <w:pPr>
              <w:pStyle w:val="P68B1DB1-Normal7"/>
              <w:spacing w:before="0" w:after="0" w:line="256" w:lineRule="auto"/>
              <w:rPr>
                <w:rFonts w:eastAsia="Times New Roman"/>
                <w:noProof/>
              </w:rPr>
            </w:pPr>
            <w:r>
              <w:rPr>
                <w:noProof/>
              </w:rPr>
              <w:t xml:space="preserve">Nombre de projets soutenant la transformation du bois </w:t>
            </w:r>
          </w:p>
        </w:tc>
        <w:tc>
          <w:tcPr>
            <w:tcW w:w="2160" w:type="dxa"/>
            <w:tcBorders>
              <w:top w:val="single" w:sz="4" w:space="0" w:color="auto"/>
              <w:left w:val="single" w:sz="4" w:space="0" w:color="auto"/>
              <w:bottom w:val="single" w:sz="4" w:space="0" w:color="auto"/>
              <w:right w:val="single" w:sz="4" w:space="0" w:color="auto"/>
            </w:tcBorders>
            <w:shd w:val="clear" w:color="auto" w:fill="C6EFCE"/>
            <w:noWrap/>
          </w:tcPr>
          <w:p w14:paraId="281B3DBA" w14:textId="77777777" w:rsidR="003B6BD9" w:rsidRDefault="009E25E8">
            <w:pPr>
              <w:pStyle w:val="P68B1DB1-Normal7"/>
              <w:spacing w:before="0" w:after="0" w:line="256" w:lineRule="auto"/>
              <w:rPr>
                <w:rFonts w:eastAsia="Times New Roman"/>
                <w:noProof/>
              </w:rPr>
            </w:pPr>
            <w:r>
              <w:rPr>
                <w:noProof/>
              </w:rPr>
              <w:t> </w:t>
            </w:r>
          </w:p>
        </w:tc>
        <w:tc>
          <w:tcPr>
            <w:tcW w:w="1080" w:type="dxa"/>
            <w:tcBorders>
              <w:top w:val="single" w:sz="4" w:space="0" w:color="auto"/>
              <w:left w:val="single" w:sz="4" w:space="0" w:color="auto"/>
              <w:bottom w:val="single" w:sz="4" w:space="0" w:color="auto"/>
              <w:right w:val="single" w:sz="4" w:space="0" w:color="auto"/>
            </w:tcBorders>
            <w:shd w:val="clear" w:color="auto" w:fill="C6EFCE"/>
            <w:noWrap/>
            <w:hideMark/>
          </w:tcPr>
          <w:p w14:paraId="381BD9DE" w14:textId="77777777" w:rsidR="003B6BD9" w:rsidRDefault="009E25E8">
            <w:pPr>
              <w:pStyle w:val="P68B1DB1-Normal7"/>
              <w:spacing w:before="0" w:after="0" w:line="256" w:lineRule="auto"/>
              <w:rPr>
                <w:rFonts w:eastAsia="Times New Roman"/>
                <w:noProof/>
              </w:rPr>
            </w:pPr>
            <w:r>
              <w:rPr>
                <w:noProof/>
              </w:rPr>
              <w:t>Nombre</w:t>
            </w:r>
          </w:p>
        </w:tc>
        <w:tc>
          <w:tcPr>
            <w:tcW w:w="1080" w:type="dxa"/>
            <w:tcBorders>
              <w:top w:val="single" w:sz="4" w:space="0" w:color="auto"/>
              <w:left w:val="single" w:sz="4" w:space="0" w:color="auto"/>
              <w:bottom w:val="single" w:sz="4" w:space="0" w:color="auto"/>
              <w:right w:val="single" w:sz="4" w:space="0" w:color="auto"/>
            </w:tcBorders>
            <w:shd w:val="clear" w:color="auto" w:fill="C6EFCE"/>
            <w:noWrap/>
            <w:hideMark/>
          </w:tcPr>
          <w:p w14:paraId="1F81F690" w14:textId="7A756E6F" w:rsidR="003B6BD9" w:rsidRDefault="009E25E8">
            <w:pPr>
              <w:pStyle w:val="P68B1DB1-Normal8"/>
              <w:spacing w:before="0" w:after="0" w:line="256" w:lineRule="auto"/>
              <w:rPr>
                <w:noProof/>
              </w:rPr>
            </w:pPr>
            <w:r>
              <w:rPr>
                <w:noProof/>
              </w:rPr>
              <w:t>8</w:t>
            </w:r>
          </w:p>
        </w:tc>
        <w:tc>
          <w:tcPr>
            <w:tcW w:w="691" w:type="dxa"/>
            <w:tcBorders>
              <w:top w:val="single" w:sz="4" w:space="0" w:color="auto"/>
              <w:left w:val="single" w:sz="4" w:space="0" w:color="auto"/>
              <w:bottom w:val="single" w:sz="4" w:space="0" w:color="auto"/>
              <w:right w:val="single" w:sz="4" w:space="0" w:color="auto"/>
            </w:tcBorders>
            <w:shd w:val="clear" w:color="auto" w:fill="C6EFCE"/>
            <w:noWrap/>
            <w:hideMark/>
          </w:tcPr>
          <w:p w14:paraId="57DCAEC7" w14:textId="77777777" w:rsidR="003B6BD9" w:rsidRDefault="009E25E8">
            <w:pPr>
              <w:pStyle w:val="P68B1DB1-Normal7"/>
              <w:spacing w:before="0" w:after="0" w:line="256" w:lineRule="auto"/>
              <w:rPr>
                <w:rFonts w:eastAsia="Times New Roman"/>
                <w:noProof/>
              </w:rPr>
            </w:pPr>
            <w:r>
              <w:rPr>
                <w:noProof/>
              </w:rPr>
              <w:t>28</w:t>
            </w:r>
          </w:p>
        </w:tc>
        <w:tc>
          <w:tcPr>
            <w:tcW w:w="989" w:type="dxa"/>
            <w:tcBorders>
              <w:top w:val="single" w:sz="4" w:space="0" w:color="auto"/>
              <w:left w:val="single" w:sz="4" w:space="0" w:color="auto"/>
              <w:bottom w:val="single" w:sz="4" w:space="0" w:color="auto"/>
              <w:right w:val="single" w:sz="4" w:space="0" w:color="auto"/>
            </w:tcBorders>
            <w:shd w:val="clear" w:color="auto" w:fill="C6EFCE"/>
            <w:noWrap/>
            <w:hideMark/>
          </w:tcPr>
          <w:p w14:paraId="4829F889" w14:textId="77777777" w:rsidR="003B6BD9" w:rsidRDefault="009E25E8">
            <w:pPr>
              <w:pStyle w:val="P68B1DB1-Normal7"/>
              <w:spacing w:before="0" w:after="0" w:line="256" w:lineRule="auto"/>
              <w:rPr>
                <w:rFonts w:eastAsia="Times New Roman"/>
                <w:noProof/>
              </w:rPr>
            </w:pPr>
            <w:r>
              <w:rPr>
                <w:noProof/>
              </w:rPr>
              <w:t>T2</w:t>
            </w:r>
          </w:p>
        </w:tc>
        <w:tc>
          <w:tcPr>
            <w:tcW w:w="720" w:type="dxa"/>
            <w:tcBorders>
              <w:top w:val="single" w:sz="4" w:space="0" w:color="auto"/>
              <w:left w:val="single" w:sz="4" w:space="0" w:color="auto"/>
              <w:bottom w:val="single" w:sz="4" w:space="0" w:color="auto"/>
              <w:right w:val="single" w:sz="4" w:space="0" w:color="auto"/>
            </w:tcBorders>
            <w:shd w:val="clear" w:color="auto" w:fill="C6EFCE"/>
            <w:noWrap/>
            <w:hideMark/>
          </w:tcPr>
          <w:p w14:paraId="0D307D5C" w14:textId="2DB8488B" w:rsidR="003B6BD9" w:rsidRDefault="009E25E8">
            <w:pPr>
              <w:pStyle w:val="P68B1DB1-Normal7"/>
              <w:spacing w:before="0" w:after="0" w:line="256" w:lineRule="auto"/>
              <w:rPr>
                <w:rFonts w:eastAsia="Times New Roman"/>
                <w:noProof/>
              </w:rPr>
            </w:pPr>
            <w:r>
              <w:rPr>
                <w:noProof/>
              </w:rPr>
              <w:t>2026</w:t>
            </w:r>
          </w:p>
        </w:tc>
        <w:tc>
          <w:tcPr>
            <w:tcW w:w="2680" w:type="dxa"/>
            <w:tcBorders>
              <w:top w:val="single" w:sz="4" w:space="0" w:color="auto"/>
              <w:left w:val="single" w:sz="4" w:space="0" w:color="auto"/>
              <w:bottom w:val="single" w:sz="4" w:space="0" w:color="auto"/>
              <w:right w:val="single" w:sz="4" w:space="0" w:color="auto"/>
            </w:tcBorders>
            <w:shd w:val="clear" w:color="auto" w:fill="C6EFCE"/>
            <w:noWrap/>
            <w:hideMark/>
          </w:tcPr>
          <w:p w14:paraId="279D25CA" w14:textId="3841606F" w:rsidR="003B6BD9" w:rsidRDefault="009E25E8">
            <w:pPr>
              <w:pStyle w:val="P68B1DB1-Normal7"/>
              <w:spacing w:before="0" w:after="0" w:line="256" w:lineRule="auto"/>
              <w:rPr>
                <w:rFonts w:eastAsia="Segoe UI"/>
                <w:noProof/>
              </w:rPr>
            </w:pPr>
            <w:r>
              <w:rPr>
                <w:noProof/>
              </w:rPr>
              <w:t xml:space="preserve">Confirmations par l’administration contractante de l’acceptation du procès-verbal de remise ou du bon de livraison ou permis d’utilisation confirmant l’acceptation des projets dans le domaine de la transformation du bois soumis par les bénéficiaires à l’administration contractante. </w:t>
            </w:r>
          </w:p>
        </w:tc>
      </w:tr>
    </w:tbl>
    <w:p w14:paraId="148C2BC0" w14:textId="7C44B20F" w:rsidR="003B6BD9" w:rsidRDefault="009E25E8">
      <w:pPr>
        <w:pStyle w:val="P68B1DB1-Normal12"/>
        <w:spacing w:line="240" w:lineRule="auto"/>
        <w:ind w:left="709"/>
        <w:jc w:val="both"/>
        <w:rPr>
          <w:noProof/>
        </w:rPr>
        <w:sectPr w:rsidR="003B6BD9" w:rsidSect="00073927">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26"/>
        </w:sectPr>
      </w:pPr>
      <w:r>
        <w:rPr>
          <w:noProof/>
        </w:rPr>
        <w:br/>
      </w:r>
    </w:p>
    <w:p w14:paraId="60773033" w14:textId="77777777" w:rsidR="003B6BD9" w:rsidRDefault="009E25E8">
      <w:pPr>
        <w:pStyle w:val="P68B1DB1-Normal3"/>
        <w:keepNext/>
        <w:tabs>
          <w:tab w:val="left" w:pos="850"/>
        </w:tabs>
        <w:spacing w:line="240" w:lineRule="auto"/>
        <w:jc w:val="both"/>
        <w:outlineLvl w:val="0"/>
        <w:rPr>
          <w:noProof/>
        </w:rPr>
      </w:pPr>
      <w:r>
        <w:rPr>
          <w:noProof/>
        </w:rPr>
        <w:t>F. VOLET 6: TRANSFORMATION NUMÉRIQUE DE L’ÉCONOMIE</w:t>
      </w:r>
    </w:p>
    <w:p w14:paraId="5781115B" w14:textId="77777777" w:rsidR="003B6BD9" w:rsidRDefault="009E25E8">
      <w:pPr>
        <w:pStyle w:val="P68B1DB1-Normal13"/>
        <w:spacing w:line="240" w:lineRule="auto"/>
        <w:jc w:val="both"/>
        <w:rPr>
          <w:rFonts w:eastAsia="Times New Roman"/>
          <w:noProof/>
          <w:szCs w:val="24"/>
        </w:rPr>
      </w:pPr>
      <w:r>
        <w:rPr>
          <w:noProof/>
        </w:rPr>
        <w:t>Les entreprises slovènes accusent un retard dans le rythme d’adaptation aux changements induits par la numérisation en raison du manque de compétences et d’aptitudes des salariés et des ressources limitées pour les investissements dans les équipements et les technologies numériques avancées.</w:t>
      </w:r>
    </w:p>
    <w:p w14:paraId="0D83C16E" w14:textId="77777777" w:rsidR="003B6BD9" w:rsidRDefault="009E25E8">
      <w:pPr>
        <w:pStyle w:val="P68B1DB1-Normal13"/>
        <w:spacing w:line="240" w:lineRule="auto"/>
        <w:jc w:val="both"/>
        <w:rPr>
          <w:rFonts w:eastAsia="Times New Roman"/>
          <w:noProof/>
          <w:szCs w:val="24"/>
        </w:rPr>
      </w:pPr>
      <w:r>
        <w:rPr>
          <w:noProof/>
        </w:rPr>
        <w:t>Dans ce contexte, les objectifs de ce volet du plan slovène pour la reprise et la résilience sont d’accroître l’efficacité et la croissance des entreprises, de soutenir leur transformation au moyen des technologies numériques et d’accélérer une utilisation accrue des technologies de pointe, tout en adaptant le cadre réglementaire et en améliorant l’accès au marché, la transparence et la sécurité, ce qui devrait, à long terme, accroître la compétitivité du pays. La poursuite de l’intégration des entreprises slovènes dans les chaînes de valeur mondiales est soutenue par la participation à des projets multinationaux.</w:t>
      </w:r>
    </w:p>
    <w:p w14:paraId="12A0459F" w14:textId="6198A2A3" w:rsidR="003B6BD9" w:rsidRDefault="009E25E8">
      <w:pPr>
        <w:spacing w:line="240" w:lineRule="auto"/>
        <w:jc w:val="both"/>
        <w:rPr>
          <w:noProof/>
        </w:rPr>
      </w:pPr>
      <w:r>
        <w:rPr>
          <w:noProof/>
        </w:rPr>
        <w:t>Ces investissements et réformes contribuent aux recommandations par pays adressées à la Slovénie en 2019 pour «améliorer l’environnement des entreprises en réduisant les restrictions réglementaires et la charge administrative» (recommandations par pays 2 et 2019) et en 2020 pour «concentrer les investissements sur [...] la transition numérique [...] et sur le déploiement du réseau 5G. Promouvoir les capacités numériques des entreprises et renforcer les compétences numériques, le commerce électronique [...]» (recommandations par pays 3 et 2020).</w:t>
      </w:r>
    </w:p>
    <w:p w14:paraId="299BA221" w14:textId="0C66E18D" w:rsidR="003B6BD9" w:rsidRDefault="009E25E8">
      <w:pPr>
        <w:spacing w:line="240" w:lineRule="auto"/>
        <w:jc w:val="both"/>
        <w:rPr>
          <w:noProof/>
        </w:rPr>
      </w:pPr>
      <w:r>
        <w:rPr>
          <w:noProof/>
        </w:rPr>
        <w:t xml:space="preserve">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  </w:t>
      </w:r>
    </w:p>
    <w:p w14:paraId="0335B757" w14:textId="6B4A7562" w:rsidR="003B6BD9" w:rsidRDefault="009E25E8">
      <w:pPr>
        <w:pStyle w:val="P68B1DB1-Normal4"/>
        <w:spacing w:line="240" w:lineRule="auto"/>
        <w:jc w:val="both"/>
        <w:rPr>
          <w:i/>
          <w:noProof/>
          <w:color w:val="4F81BD"/>
        </w:rPr>
      </w:pPr>
      <w:r>
        <w:rPr>
          <w:noProof/>
        </w:rPr>
        <w:t>F.1. Description des réformes et des investissements pour le soutien financier non remboursable</w:t>
      </w:r>
    </w:p>
    <w:p w14:paraId="3EC7378F" w14:textId="77777777" w:rsidR="003B6BD9" w:rsidRDefault="009E25E8">
      <w:pPr>
        <w:pStyle w:val="P68B1DB1-Normal14"/>
        <w:spacing w:line="240" w:lineRule="auto"/>
        <w:jc w:val="both"/>
        <w:rPr>
          <w:rFonts w:eastAsia="Times New Roman"/>
          <w:noProof/>
          <w:szCs w:val="24"/>
        </w:rPr>
      </w:pPr>
      <w:r>
        <w:rPr>
          <w:noProof/>
        </w:rPr>
        <w:t>Réforme A: Transformation numérique de l’économie (entreprises et industrie)</w:t>
      </w:r>
    </w:p>
    <w:p w14:paraId="7BAB3034" w14:textId="0393DC6C" w:rsidR="003B6BD9" w:rsidRDefault="009E25E8">
      <w:pPr>
        <w:pStyle w:val="P68B1DB1-Normal13"/>
        <w:spacing w:line="240" w:lineRule="auto"/>
        <w:jc w:val="both"/>
        <w:rPr>
          <w:rFonts w:eastAsia="Times New Roman"/>
          <w:noProof/>
        </w:rPr>
      </w:pPr>
      <w:r>
        <w:rPr>
          <w:noProof/>
        </w:rPr>
        <w:t xml:space="preserve">La transformation numérique de l’économie est soutenue par l’entrée en vigueur d’une stratégie pour la transformation numérique des entreprises et des lignes directrices pour les marchés publics innovants. La stratégie prévoit le transfert des registres vers un registre unique des entreprises. </w:t>
      </w:r>
    </w:p>
    <w:p w14:paraId="71654821" w14:textId="5A7BCC29" w:rsidR="003B6BD9" w:rsidRDefault="009E25E8">
      <w:pPr>
        <w:pStyle w:val="P68B1DB1-Normal13"/>
        <w:spacing w:line="240" w:lineRule="auto"/>
        <w:jc w:val="both"/>
        <w:rPr>
          <w:rFonts w:eastAsia="Times New Roman"/>
          <w:noProof/>
          <w:szCs w:val="24"/>
        </w:rPr>
      </w:pPr>
      <w:r>
        <w:rPr>
          <w:noProof/>
        </w:rPr>
        <w:t>La stratégie comprend également une feuille de route pour la mise en œuvre de la boîte à outils commune de l’Union pour la connectivité</w:t>
      </w:r>
      <w:r>
        <w:rPr>
          <w:rFonts w:eastAsia="Times New Roman"/>
          <w:noProof/>
          <w:szCs w:val="24"/>
        </w:rPr>
        <w:footnoteReference w:id="3"/>
      </w:r>
      <w:r>
        <w:rPr>
          <w:noProof/>
        </w:rPr>
        <w:t xml:space="preserve">, qui se concentre sur les activités relatives à un point d’information unique. </w:t>
      </w:r>
    </w:p>
    <w:p w14:paraId="558D02F6" w14:textId="37A4251A" w:rsidR="003B6BD9" w:rsidRDefault="009E25E8">
      <w:pPr>
        <w:spacing w:line="240" w:lineRule="auto"/>
        <w:jc w:val="both"/>
        <w:rPr>
          <w:rFonts w:eastAsia="Times New Roman"/>
          <w:noProof/>
          <w:color w:val="000000"/>
          <w:szCs w:val="24"/>
        </w:rPr>
      </w:pPr>
      <w:r>
        <w:rPr>
          <w:noProof/>
          <w:color w:val="000000"/>
        </w:rPr>
        <w:t xml:space="preserve">Les </w:t>
      </w:r>
      <w:r>
        <w:rPr>
          <w:noProof/>
        </w:rPr>
        <w:t>valeurs intermédiaires et les valeurs cibles liées à la mise en œuvre de la</w:t>
      </w:r>
      <w:r>
        <w:rPr>
          <w:noProof/>
          <w:color w:val="000000"/>
        </w:rPr>
        <w:t xml:space="preserve"> réforme sont atteintes au plus tard le 31 décembre 2024. </w:t>
      </w:r>
    </w:p>
    <w:p w14:paraId="1DB783A4" w14:textId="1DBC6F4D" w:rsidR="003B6BD9" w:rsidRDefault="009E25E8">
      <w:pPr>
        <w:pStyle w:val="P68B1DB1-Normal14"/>
        <w:spacing w:line="240" w:lineRule="auto"/>
        <w:jc w:val="both"/>
        <w:rPr>
          <w:rFonts w:eastAsia="Times New Roman"/>
          <w:noProof/>
          <w:szCs w:val="24"/>
        </w:rPr>
      </w:pPr>
      <w:r>
        <w:rPr>
          <w:noProof/>
        </w:rPr>
        <w:t>Investissement B: Programme de transformation numérique industrielle/commerciale</w:t>
      </w:r>
    </w:p>
    <w:p w14:paraId="2441F01D" w14:textId="77777777" w:rsidR="003B6BD9" w:rsidRDefault="009E25E8">
      <w:pPr>
        <w:pStyle w:val="P68B1DB1-Normal13"/>
        <w:spacing w:line="240" w:lineRule="auto"/>
        <w:jc w:val="both"/>
        <w:rPr>
          <w:rFonts w:eastAsia="Times New Roman"/>
          <w:noProof/>
          <w:szCs w:val="24"/>
        </w:rPr>
      </w:pPr>
      <w:r>
        <w:rPr>
          <w:noProof/>
        </w:rPr>
        <w:t>L’investissement devrait accroître la productivité et la croissance grâce à l’optimisation des processus et à la mise en œuvre de technologies numériques avancées, développer les compétences numériques des salariés et stimuler la compétitivité et l’innovation en facilitant l’entrée de nouveaux acteurs sur le marché.</w:t>
      </w:r>
    </w:p>
    <w:p w14:paraId="347784F3" w14:textId="68342E00" w:rsidR="003B6BD9" w:rsidRDefault="009E25E8">
      <w:pPr>
        <w:pStyle w:val="P68B1DB1-Normal13"/>
        <w:spacing w:line="240" w:lineRule="auto"/>
        <w:jc w:val="both"/>
        <w:rPr>
          <w:noProof/>
        </w:rPr>
      </w:pPr>
      <w:r>
        <w:rPr>
          <w:noProof/>
        </w:rPr>
        <w:t>Un appel à propositions concurrentiel recense des projets spécifiques visant à étendre l’utilisation de technologies avancées afin d’accroître l’efficacité, la productivité et la compétitivité, et d’accélérer l’adoption de l’innovation numérique et le transfert de compétences numériques.</w:t>
      </w:r>
    </w:p>
    <w:p w14:paraId="10A55198" w14:textId="0EB21A4E" w:rsidR="003B6BD9" w:rsidRDefault="009E25E8">
      <w:pPr>
        <w:pStyle w:val="P68B1DB1-Normal13"/>
        <w:spacing w:line="240" w:lineRule="auto"/>
        <w:jc w:val="both"/>
        <w:rPr>
          <w:rFonts w:eastAsia="Times New Roman"/>
          <w:noProof/>
          <w:szCs w:val="24"/>
        </w:rPr>
      </w:pPr>
      <w:r>
        <w:rPr>
          <w:noProof/>
        </w:rPr>
        <w:t>Les bénéficiaires sont des consortiums comprenant de grandes entreprises et des PME. Les entreprises élaborent et mettent en œuvre une stratégie globale de transformation numérique pour atteindre les objectifs de l’appel à propositions.</w:t>
      </w:r>
    </w:p>
    <w:p w14:paraId="3137EB84" w14:textId="754D5B0D" w:rsidR="003B6BD9" w:rsidRDefault="009E25E8">
      <w:pPr>
        <w:spacing w:line="240" w:lineRule="auto"/>
        <w:jc w:val="both"/>
        <w:rPr>
          <w:rFonts w:eastAsia="Times New Roman"/>
          <w:noProof/>
          <w:color w:val="000000"/>
          <w:szCs w:val="24"/>
        </w:rPr>
      </w:pPr>
      <w:r>
        <w:rPr>
          <w:noProof/>
          <w:color w:val="000000"/>
        </w:rPr>
        <w:t xml:space="preserve">Les </w:t>
      </w:r>
      <w:r>
        <w:rPr>
          <w:noProof/>
        </w:rPr>
        <w:t>jalons et cibles liés à la mise en œuvre de l’</w:t>
      </w:r>
      <w:r>
        <w:rPr>
          <w:noProof/>
          <w:color w:val="000000"/>
        </w:rPr>
        <w:t xml:space="preserve"> investissement sont atteints au plus tard le 30 juin 2024.</w:t>
      </w:r>
    </w:p>
    <w:p w14:paraId="159F812D" w14:textId="77777777" w:rsidR="003B6BD9" w:rsidRDefault="009E25E8">
      <w:pPr>
        <w:pStyle w:val="P68B1DB1-Normal14"/>
        <w:spacing w:line="240" w:lineRule="auto"/>
        <w:jc w:val="both"/>
        <w:rPr>
          <w:rFonts w:eastAsia="Times New Roman"/>
          <w:noProof/>
          <w:szCs w:val="24"/>
        </w:rPr>
      </w:pPr>
      <w:r>
        <w:rPr>
          <w:noProof/>
        </w:rPr>
        <w:t>Investissement D: Projets transfrontaliers et plurinationaux — Infrastructures et services européens communs de données</w:t>
      </w:r>
    </w:p>
    <w:p w14:paraId="55392B0E" w14:textId="1DE623B7" w:rsidR="003B6BD9" w:rsidRDefault="009E25E8">
      <w:pPr>
        <w:pStyle w:val="P68B1DB1-Normal13"/>
        <w:spacing w:beforeLines="60" w:before="144" w:afterLines="60" w:after="144" w:line="240" w:lineRule="auto"/>
        <w:jc w:val="both"/>
        <w:rPr>
          <w:noProof/>
          <w:color w:val="000000" w:themeColor="text1"/>
        </w:rPr>
      </w:pPr>
      <w:r>
        <w:rPr>
          <w:noProof/>
        </w:rPr>
        <w:t xml:space="preserve">L’objectif de l’investissement est de soutenir des projets d’entreprises slovènes, qui sont des partenaires indirects dans le projet important d’intérêt européen commun «Infrastructure et services en nuage de nouvelle génération» (CEI).  </w:t>
      </w:r>
    </w:p>
    <w:p w14:paraId="232B5040" w14:textId="6D7FB801" w:rsidR="003B6BD9" w:rsidRDefault="009E25E8">
      <w:pPr>
        <w:pStyle w:val="P68B1DB1-Normal13"/>
        <w:spacing w:beforeLines="60" w:before="144" w:afterLines="60" w:after="144" w:line="240" w:lineRule="auto"/>
        <w:jc w:val="both"/>
        <w:rPr>
          <w:rFonts w:eastAsia="Times New Roman"/>
          <w:noProof/>
        </w:rPr>
      </w:pPr>
      <w:r>
        <w:rPr>
          <w:noProof/>
        </w:rPr>
        <w:t>L’investissement consiste à contribuer à la mise en place de solutions de traitement des données dans le cadre du PIIEC intégré CIS en ce qui concerne l’infrastructure et les services de données européens communs.</w:t>
      </w:r>
    </w:p>
    <w:p w14:paraId="09AE1378" w14:textId="77777777" w:rsidR="003B6BD9" w:rsidRDefault="009E25E8">
      <w:pPr>
        <w:pStyle w:val="P68B1DB1-Normal14"/>
        <w:spacing w:line="240" w:lineRule="auto"/>
        <w:jc w:val="both"/>
        <w:rPr>
          <w:rFonts w:eastAsia="Times New Roman"/>
          <w:noProof/>
          <w:szCs w:val="24"/>
        </w:rPr>
      </w:pPr>
      <w:r>
        <w:rPr>
          <w:noProof/>
        </w:rPr>
        <w:t>Investissement E: Projets transfrontières et multinationaux — Processeurs de faible puissance et semi-conducteurs</w:t>
      </w:r>
    </w:p>
    <w:p w14:paraId="762D9192" w14:textId="77777777" w:rsidR="003B6BD9" w:rsidRDefault="009E25E8">
      <w:pPr>
        <w:spacing w:line="240" w:lineRule="auto"/>
        <w:jc w:val="both"/>
        <w:rPr>
          <w:noProof/>
        </w:rPr>
      </w:pPr>
      <w:r>
        <w:rPr>
          <w:noProof/>
        </w:rPr>
        <w:t>Les objectifs du projet plurinational sur les processeurs de faible puissance et les semi-conducteurs sont de renforcer les capacités de conception et d’accroître la résilience des chaînes de valeur des semi-conducteurs de l’UE et de la Slovénie, de relier les processus nationaux et de l’UE afin de chevaucher les cercles de travail, et de renforcer la chaîne de valeur de la microélectronique au moyen (1) d’une approche modulaire (outils et équipements, matériaux, conception, fabrication, conditionnement et essais), guidée par les besoins de l’industrie, (2) d’une définition du nouveau développement par la définition de l’écosystème de la microélectronique, (3) d’une intégration de l’ensemble de l’écosystème de la microélectronique en Europe.</w:t>
      </w:r>
    </w:p>
    <w:p w14:paraId="4D3689F8" w14:textId="77777777" w:rsidR="003B6BD9" w:rsidRDefault="009E25E8">
      <w:pPr>
        <w:pStyle w:val="P68B1DB1-Normal13"/>
        <w:spacing w:beforeLines="60" w:before="144" w:afterLines="60" w:after="144" w:line="240" w:lineRule="auto"/>
        <w:jc w:val="both"/>
        <w:rPr>
          <w:noProof/>
        </w:rPr>
      </w:pPr>
      <w:r>
        <w:rPr>
          <w:noProof/>
        </w:rPr>
        <w:t>Ce projet peut prendre la forme d’un projet important d’intérêt européen commun (PIIEC) planifié.</w:t>
      </w:r>
    </w:p>
    <w:p w14:paraId="4057D9B8" w14:textId="61ADF9E5" w:rsidR="003B6BD9" w:rsidRDefault="009E25E8">
      <w:pPr>
        <w:spacing w:beforeLines="60" w:before="144" w:afterLines="60" w:after="144" w:line="240" w:lineRule="auto"/>
        <w:jc w:val="both"/>
        <w:rPr>
          <w:noProof/>
          <w:color w:val="000000"/>
        </w:rPr>
      </w:pPr>
      <w:r>
        <w:rPr>
          <w:noProof/>
          <w:color w:val="000000" w:themeColor="text1"/>
        </w:rPr>
        <w:t xml:space="preserve">Les </w:t>
      </w:r>
      <w:r>
        <w:rPr>
          <w:noProof/>
        </w:rPr>
        <w:t xml:space="preserve">jalons et cibles liés à la mise en œuvre du </w:t>
      </w:r>
      <w:r>
        <w:rPr>
          <w:noProof/>
          <w:color w:val="000000" w:themeColor="text1"/>
        </w:rPr>
        <w:t>projet sont atteints au plus tard le 30</w:t>
      </w:r>
      <w:r>
        <w:rPr>
          <w:noProof/>
        </w:rPr>
        <w:t xml:space="preserve"> </w:t>
      </w:r>
      <w:r>
        <w:rPr>
          <w:noProof/>
          <w:color w:val="000000" w:themeColor="text1"/>
        </w:rPr>
        <w:t>juin</w:t>
      </w:r>
      <w:r>
        <w:rPr>
          <w:noProof/>
        </w:rPr>
        <w:t xml:space="preserve"> </w:t>
      </w:r>
      <w:r>
        <w:rPr>
          <w:noProof/>
          <w:color w:val="000000" w:themeColor="text1"/>
        </w:rPr>
        <w:t>2024.</w:t>
      </w:r>
    </w:p>
    <w:p w14:paraId="011D0950" w14:textId="5FF64AEE" w:rsidR="003B6BD9" w:rsidRDefault="003B6BD9">
      <w:pPr>
        <w:tabs>
          <w:tab w:val="left" w:pos="8640"/>
        </w:tabs>
        <w:rPr>
          <w:noProof/>
        </w:rPr>
        <w:sectPr w:rsidR="003B6BD9" w:rsidSect="00073927">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26"/>
        </w:sectPr>
      </w:pPr>
    </w:p>
    <w:p w14:paraId="51FAFA2F" w14:textId="77777777" w:rsidR="003B6BD9" w:rsidRDefault="009E25E8">
      <w:pPr>
        <w:pStyle w:val="P68B1DB1-Normal4"/>
        <w:spacing w:line="240" w:lineRule="auto"/>
        <w:ind w:left="850"/>
        <w:jc w:val="both"/>
        <w:rPr>
          <w:noProof/>
        </w:rPr>
      </w:pPr>
      <w:r>
        <w:rPr>
          <w:noProof/>
        </w:rPr>
        <w:t xml:space="preserve">F.2. </w:t>
      </w:r>
      <w:r>
        <w:rPr>
          <w:noProof/>
        </w:rPr>
        <w:tab/>
        <w:t>Jalons, cibles, indicateurs et calendrier de suivi et de mise en œuvre pour le soutien financier non remboursable</w:t>
      </w:r>
    </w:p>
    <w:tbl>
      <w:tblPr>
        <w:tblW w:w="15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5"/>
        <w:gridCol w:w="1560"/>
        <w:gridCol w:w="1200"/>
        <w:gridCol w:w="2280"/>
        <w:gridCol w:w="1722"/>
        <w:gridCol w:w="1134"/>
        <w:gridCol w:w="1134"/>
        <w:gridCol w:w="708"/>
        <w:gridCol w:w="993"/>
        <w:gridCol w:w="708"/>
        <w:gridCol w:w="3150"/>
      </w:tblGrid>
      <w:tr w:rsidR="003B6BD9" w14:paraId="102AA9D4" w14:textId="77777777" w:rsidTr="00AC1D11">
        <w:trPr>
          <w:trHeight w:val="740"/>
          <w:tblHeader/>
          <w:jc w:val="center"/>
        </w:trPr>
        <w:tc>
          <w:tcPr>
            <w:tcW w:w="955" w:type="dxa"/>
            <w:vMerge w:val="restart"/>
            <w:shd w:val="clear" w:color="auto" w:fill="BDD7EE"/>
            <w:vAlign w:val="center"/>
            <w:hideMark/>
          </w:tcPr>
          <w:p w14:paraId="59FEE161" w14:textId="4A4D9A49" w:rsidR="003B6BD9" w:rsidRDefault="009E25E8">
            <w:pPr>
              <w:pStyle w:val="P68B1DB1-Normal6"/>
              <w:spacing w:before="0" w:after="0" w:line="240" w:lineRule="auto"/>
              <w:jc w:val="center"/>
              <w:rPr>
                <w:rFonts w:eastAsia="Times New Roman"/>
                <w:noProof/>
              </w:rPr>
            </w:pPr>
            <w:r>
              <w:rPr>
                <w:noProof/>
              </w:rPr>
              <w:t>Et suivants Non.</w:t>
            </w:r>
          </w:p>
        </w:tc>
        <w:tc>
          <w:tcPr>
            <w:tcW w:w="1560" w:type="dxa"/>
            <w:vMerge w:val="restart"/>
            <w:shd w:val="clear" w:color="auto" w:fill="BDD7EE"/>
            <w:vAlign w:val="center"/>
            <w:hideMark/>
          </w:tcPr>
          <w:p w14:paraId="22193C8D" w14:textId="77777777" w:rsidR="003B6BD9" w:rsidRDefault="009E25E8">
            <w:pPr>
              <w:pStyle w:val="P68B1DB1-Normal6"/>
              <w:spacing w:before="0" w:after="0" w:line="240" w:lineRule="auto"/>
              <w:jc w:val="center"/>
              <w:rPr>
                <w:rFonts w:eastAsia="Times New Roman"/>
                <w:noProof/>
              </w:rPr>
            </w:pPr>
            <w:r>
              <w:rPr>
                <w:noProof/>
              </w:rPr>
              <w:t>Mesure connexe (réforme ou investissement)</w:t>
            </w:r>
          </w:p>
        </w:tc>
        <w:tc>
          <w:tcPr>
            <w:tcW w:w="1200" w:type="dxa"/>
            <w:vMerge w:val="restart"/>
            <w:shd w:val="clear" w:color="auto" w:fill="BDD7EE"/>
            <w:vAlign w:val="center"/>
            <w:hideMark/>
          </w:tcPr>
          <w:p w14:paraId="3D34BFCB" w14:textId="32D37726" w:rsidR="003B6BD9" w:rsidRDefault="009E25E8">
            <w:pPr>
              <w:pStyle w:val="P68B1DB1-Normal6"/>
              <w:spacing w:before="0" w:after="0" w:line="240" w:lineRule="auto"/>
              <w:jc w:val="center"/>
              <w:rPr>
                <w:rFonts w:eastAsia="Times New Roman"/>
                <w:noProof/>
              </w:rPr>
            </w:pPr>
            <w:r>
              <w:rPr>
                <w:noProof/>
              </w:rPr>
              <w:t>Étape/</w:t>
            </w:r>
            <w:r w:rsidR="00AC1D11">
              <w:rPr>
                <w:noProof/>
              </w:rPr>
              <w:br/>
            </w:r>
            <w:r>
              <w:rPr>
                <w:noProof/>
              </w:rPr>
              <w:t>Objectif</w:t>
            </w:r>
          </w:p>
        </w:tc>
        <w:tc>
          <w:tcPr>
            <w:tcW w:w="2280" w:type="dxa"/>
            <w:vMerge w:val="restart"/>
            <w:shd w:val="clear" w:color="auto" w:fill="BDD7EE"/>
            <w:vAlign w:val="center"/>
            <w:hideMark/>
          </w:tcPr>
          <w:p w14:paraId="2BAEAF08" w14:textId="77777777" w:rsidR="003B6BD9" w:rsidRDefault="009E25E8">
            <w:pPr>
              <w:pStyle w:val="P68B1DB1-Normal6"/>
              <w:spacing w:before="0" w:after="0" w:line="240" w:lineRule="auto"/>
              <w:jc w:val="center"/>
              <w:rPr>
                <w:rFonts w:eastAsia="Times New Roman"/>
                <w:noProof/>
              </w:rPr>
            </w:pPr>
            <w:r>
              <w:rPr>
                <w:noProof/>
              </w:rPr>
              <w:t>Nom</w:t>
            </w:r>
          </w:p>
        </w:tc>
        <w:tc>
          <w:tcPr>
            <w:tcW w:w="1722" w:type="dxa"/>
            <w:vMerge w:val="restart"/>
            <w:shd w:val="clear" w:color="auto" w:fill="BDD7EE"/>
            <w:vAlign w:val="center"/>
            <w:hideMark/>
          </w:tcPr>
          <w:p w14:paraId="677D890A" w14:textId="633696E8" w:rsidR="003B6BD9" w:rsidRDefault="009E25E8">
            <w:pPr>
              <w:pStyle w:val="P68B1DB1-Normal6"/>
              <w:spacing w:before="0" w:after="0" w:line="240" w:lineRule="auto"/>
              <w:jc w:val="center"/>
              <w:rPr>
                <w:rFonts w:eastAsia="Times New Roman"/>
                <w:noProof/>
              </w:rPr>
            </w:pPr>
            <w:r>
              <w:rPr>
                <w:noProof/>
              </w:rPr>
              <w:t>Indicateurs qualitatifs (pour les jalons)</w:t>
            </w:r>
          </w:p>
        </w:tc>
        <w:tc>
          <w:tcPr>
            <w:tcW w:w="2976" w:type="dxa"/>
            <w:gridSpan w:val="3"/>
            <w:shd w:val="clear" w:color="auto" w:fill="BDD7EE"/>
            <w:vAlign w:val="center"/>
            <w:hideMark/>
          </w:tcPr>
          <w:p w14:paraId="55FF3B3E" w14:textId="2C0964CD" w:rsidR="003B6BD9" w:rsidRDefault="009E25E8">
            <w:pPr>
              <w:pStyle w:val="P68B1DB1-Normal6"/>
              <w:spacing w:before="0" w:after="0" w:line="240" w:lineRule="auto"/>
              <w:jc w:val="center"/>
              <w:rPr>
                <w:rFonts w:eastAsia="Times New Roman"/>
                <w:noProof/>
              </w:rPr>
            </w:pPr>
            <w:r>
              <w:rPr>
                <w:noProof/>
              </w:rPr>
              <w:t>Indicateurs quantitatifs (pour les cibles)</w:t>
            </w:r>
          </w:p>
        </w:tc>
        <w:tc>
          <w:tcPr>
            <w:tcW w:w="1701" w:type="dxa"/>
            <w:gridSpan w:val="2"/>
            <w:shd w:val="clear" w:color="auto" w:fill="BDD7EE"/>
            <w:vAlign w:val="center"/>
            <w:hideMark/>
          </w:tcPr>
          <w:p w14:paraId="3B90A7F8" w14:textId="77777777" w:rsidR="003B6BD9" w:rsidRDefault="009E25E8">
            <w:pPr>
              <w:pStyle w:val="P68B1DB1-Normal6"/>
              <w:spacing w:before="0" w:after="0" w:line="240" w:lineRule="auto"/>
              <w:jc w:val="center"/>
              <w:rPr>
                <w:rFonts w:eastAsia="Times New Roman"/>
                <w:noProof/>
              </w:rPr>
            </w:pPr>
            <w:r>
              <w:rPr>
                <w:noProof/>
              </w:rPr>
              <w:t xml:space="preserve">Calendrier indicatif pour l’achèvement </w:t>
            </w:r>
          </w:p>
        </w:tc>
        <w:tc>
          <w:tcPr>
            <w:tcW w:w="3150" w:type="dxa"/>
            <w:vMerge w:val="restart"/>
            <w:shd w:val="clear" w:color="auto" w:fill="BDD7EE"/>
            <w:vAlign w:val="center"/>
            <w:hideMark/>
          </w:tcPr>
          <w:p w14:paraId="3788A4E5" w14:textId="77777777" w:rsidR="003B6BD9" w:rsidRDefault="009E25E8">
            <w:pPr>
              <w:pStyle w:val="P68B1DB1-Normal6"/>
              <w:spacing w:before="0" w:after="0" w:line="240" w:lineRule="auto"/>
              <w:jc w:val="center"/>
              <w:rPr>
                <w:rFonts w:eastAsia="Times New Roman"/>
                <w:noProof/>
              </w:rPr>
            </w:pPr>
            <w:r>
              <w:rPr>
                <w:noProof/>
              </w:rPr>
              <w:t>Description de chaque jalon et cible</w:t>
            </w:r>
          </w:p>
        </w:tc>
      </w:tr>
      <w:tr w:rsidR="003B6BD9" w14:paraId="1B5792C0" w14:textId="77777777" w:rsidTr="00AC1D11">
        <w:trPr>
          <w:trHeight w:val="751"/>
          <w:tblHeader/>
          <w:jc w:val="center"/>
        </w:trPr>
        <w:tc>
          <w:tcPr>
            <w:tcW w:w="955" w:type="dxa"/>
            <w:vMerge/>
            <w:vAlign w:val="center"/>
            <w:hideMark/>
          </w:tcPr>
          <w:p w14:paraId="4FC1EC2D" w14:textId="77777777" w:rsidR="003B6BD9" w:rsidRDefault="003B6BD9">
            <w:pPr>
              <w:spacing w:before="0" w:after="0" w:line="240" w:lineRule="auto"/>
              <w:rPr>
                <w:rFonts w:eastAsia="Times New Roman"/>
                <w:b/>
                <w:noProof/>
                <w:sz w:val="18"/>
                <w:szCs w:val="18"/>
              </w:rPr>
            </w:pPr>
          </w:p>
        </w:tc>
        <w:tc>
          <w:tcPr>
            <w:tcW w:w="1560" w:type="dxa"/>
            <w:vMerge/>
            <w:vAlign w:val="center"/>
            <w:hideMark/>
          </w:tcPr>
          <w:p w14:paraId="5D8E6319" w14:textId="77777777" w:rsidR="003B6BD9" w:rsidRDefault="003B6BD9">
            <w:pPr>
              <w:spacing w:before="0" w:after="0" w:line="240" w:lineRule="auto"/>
              <w:rPr>
                <w:rFonts w:eastAsia="Times New Roman"/>
                <w:b/>
                <w:noProof/>
                <w:sz w:val="18"/>
                <w:szCs w:val="18"/>
              </w:rPr>
            </w:pPr>
          </w:p>
        </w:tc>
        <w:tc>
          <w:tcPr>
            <w:tcW w:w="1200" w:type="dxa"/>
            <w:vMerge/>
            <w:vAlign w:val="center"/>
            <w:hideMark/>
          </w:tcPr>
          <w:p w14:paraId="3A7C8D60" w14:textId="77777777" w:rsidR="003B6BD9" w:rsidRDefault="003B6BD9">
            <w:pPr>
              <w:spacing w:before="0" w:after="0" w:line="240" w:lineRule="auto"/>
              <w:rPr>
                <w:rFonts w:eastAsia="Times New Roman"/>
                <w:b/>
                <w:noProof/>
                <w:sz w:val="18"/>
                <w:szCs w:val="18"/>
              </w:rPr>
            </w:pPr>
          </w:p>
        </w:tc>
        <w:tc>
          <w:tcPr>
            <w:tcW w:w="2280" w:type="dxa"/>
            <w:vMerge/>
            <w:vAlign w:val="center"/>
            <w:hideMark/>
          </w:tcPr>
          <w:p w14:paraId="574866CD" w14:textId="77777777" w:rsidR="003B6BD9" w:rsidRDefault="003B6BD9">
            <w:pPr>
              <w:spacing w:before="0" w:after="0" w:line="240" w:lineRule="auto"/>
              <w:rPr>
                <w:rFonts w:eastAsia="Times New Roman"/>
                <w:b/>
                <w:noProof/>
                <w:sz w:val="18"/>
                <w:szCs w:val="18"/>
              </w:rPr>
            </w:pPr>
          </w:p>
        </w:tc>
        <w:tc>
          <w:tcPr>
            <w:tcW w:w="1722" w:type="dxa"/>
            <w:vMerge/>
            <w:vAlign w:val="center"/>
            <w:hideMark/>
          </w:tcPr>
          <w:p w14:paraId="0F9CB8E4" w14:textId="77777777" w:rsidR="003B6BD9" w:rsidRDefault="003B6BD9">
            <w:pPr>
              <w:spacing w:before="0" w:after="0" w:line="240" w:lineRule="auto"/>
              <w:rPr>
                <w:rFonts w:eastAsia="Times New Roman"/>
                <w:b/>
                <w:noProof/>
                <w:sz w:val="18"/>
                <w:szCs w:val="18"/>
              </w:rPr>
            </w:pPr>
          </w:p>
        </w:tc>
        <w:tc>
          <w:tcPr>
            <w:tcW w:w="1134" w:type="dxa"/>
            <w:shd w:val="clear" w:color="auto" w:fill="BDD7EE"/>
            <w:vAlign w:val="center"/>
            <w:hideMark/>
          </w:tcPr>
          <w:p w14:paraId="0A6DC452" w14:textId="77777777" w:rsidR="003B6BD9" w:rsidRDefault="009E25E8">
            <w:pPr>
              <w:pStyle w:val="P68B1DB1-Normal6"/>
              <w:spacing w:before="0" w:after="0" w:line="240" w:lineRule="auto"/>
              <w:jc w:val="center"/>
              <w:rPr>
                <w:rFonts w:eastAsia="Times New Roman"/>
                <w:noProof/>
              </w:rPr>
            </w:pPr>
            <w:r>
              <w:rPr>
                <w:noProof/>
              </w:rPr>
              <w:t>Unité de mesure</w:t>
            </w:r>
          </w:p>
        </w:tc>
        <w:tc>
          <w:tcPr>
            <w:tcW w:w="1134" w:type="dxa"/>
            <w:shd w:val="clear" w:color="auto" w:fill="BDD7EE"/>
            <w:vAlign w:val="center"/>
            <w:hideMark/>
          </w:tcPr>
          <w:p w14:paraId="301127D3" w14:textId="77777777" w:rsidR="003B6BD9" w:rsidRDefault="009E25E8">
            <w:pPr>
              <w:pStyle w:val="P68B1DB1-Normal6"/>
              <w:spacing w:before="0" w:after="0" w:line="240" w:lineRule="auto"/>
              <w:jc w:val="center"/>
              <w:rPr>
                <w:rFonts w:eastAsia="Times New Roman"/>
                <w:noProof/>
              </w:rPr>
            </w:pPr>
            <w:r>
              <w:rPr>
                <w:noProof/>
              </w:rPr>
              <w:t xml:space="preserve">Niveau de référence </w:t>
            </w:r>
          </w:p>
        </w:tc>
        <w:tc>
          <w:tcPr>
            <w:tcW w:w="708" w:type="dxa"/>
            <w:shd w:val="clear" w:color="auto" w:fill="BDD7EE"/>
            <w:vAlign w:val="center"/>
            <w:hideMark/>
          </w:tcPr>
          <w:p w14:paraId="1D319FAC" w14:textId="77777777" w:rsidR="003B6BD9" w:rsidRDefault="009E25E8">
            <w:pPr>
              <w:pStyle w:val="P68B1DB1-Normal6"/>
              <w:spacing w:before="0" w:after="0" w:line="240" w:lineRule="auto"/>
              <w:jc w:val="center"/>
              <w:rPr>
                <w:rFonts w:eastAsia="Times New Roman"/>
                <w:noProof/>
              </w:rPr>
            </w:pPr>
            <w:r>
              <w:rPr>
                <w:noProof/>
              </w:rPr>
              <w:t xml:space="preserve">But </w:t>
            </w:r>
          </w:p>
        </w:tc>
        <w:tc>
          <w:tcPr>
            <w:tcW w:w="993" w:type="dxa"/>
            <w:shd w:val="clear" w:color="auto" w:fill="BDD7EE"/>
            <w:vAlign w:val="center"/>
            <w:hideMark/>
          </w:tcPr>
          <w:p w14:paraId="13C7510B" w14:textId="77777777" w:rsidR="003B6BD9" w:rsidRDefault="009E25E8">
            <w:pPr>
              <w:pStyle w:val="P68B1DB1-Normal6"/>
              <w:spacing w:before="0" w:after="0" w:line="240" w:lineRule="auto"/>
              <w:jc w:val="center"/>
              <w:rPr>
                <w:rFonts w:eastAsia="Times New Roman"/>
                <w:noProof/>
              </w:rPr>
            </w:pPr>
            <w:r>
              <w:rPr>
                <w:noProof/>
              </w:rPr>
              <w:t>Trimestre</w:t>
            </w:r>
          </w:p>
        </w:tc>
        <w:tc>
          <w:tcPr>
            <w:tcW w:w="708" w:type="dxa"/>
            <w:shd w:val="clear" w:color="auto" w:fill="BDD7EE"/>
            <w:vAlign w:val="center"/>
            <w:hideMark/>
          </w:tcPr>
          <w:p w14:paraId="607CD861" w14:textId="77777777" w:rsidR="003B6BD9" w:rsidRDefault="009E25E8">
            <w:pPr>
              <w:pStyle w:val="P68B1DB1-Normal6"/>
              <w:spacing w:before="0" w:after="0" w:line="240" w:lineRule="auto"/>
              <w:jc w:val="center"/>
              <w:rPr>
                <w:rFonts w:eastAsia="Times New Roman"/>
                <w:noProof/>
              </w:rPr>
            </w:pPr>
            <w:r>
              <w:rPr>
                <w:noProof/>
              </w:rPr>
              <w:t>Année</w:t>
            </w:r>
          </w:p>
        </w:tc>
        <w:tc>
          <w:tcPr>
            <w:tcW w:w="3150" w:type="dxa"/>
            <w:vMerge/>
            <w:vAlign w:val="center"/>
            <w:hideMark/>
          </w:tcPr>
          <w:p w14:paraId="3085E2B9" w14:textId="77777777" w:rsidR="003B6BD9" w:rsidRDefault="003B6BD9">
            <w:pPr>
              <w:spacing w:before="0" w:after="0" w:line="240" w:lineRule="auto"/>
              <w:rPr>
                <w:rFonts w:eastAsia="Times New Roman"/>
                <w:b/>
                <w:noProof/>
                <w:sz w:val="18"/>
                <w:szCs w:val="18"/>
              </w:rPr>
            </w:pPr>
          </w:p>
        </w:tc>
      </w:tr>
      <w:tr w:rsidR="003B6BD9" w14:paraId="0DEA13A0" w14:textId="77777777" w:rsidTr="00AC1D11">
        <w:trPr>
          <w:trHeight w:val="309"/>
          <w:jc w:val="center"/>
        </w:trPr>
        <w:tc>
          <w:tcPr>
            <w:tcW w:w="955" w:type="dxa"/>
            <w:shd w:val="clear" w:color="auto" w:fill="C6EFCE"/>
            <w:noWrap/>
          </w:tcPr>
          <w:p w14:paraId="09A5846E" w14:textId="4E9EB797" w:rsidR="003B6BD9" w:rsidRDefault="009E25E8">
            <w:pPr>
              <w:pStyle w:val="P68B1DB1-Normal7"/>
              <w:spacing w:before="0" w:after="0" w:line="240" w:lineRule="auto"/>
              <w:rPr>
                <w:rFonts w:eastAsia="Times New Roman"/>
                <w:noProof/>
              </w:rPr>
            </w:pPr>
            <w:r>
              <w:rPr>
                <w:noProof/>
              </w:rPr>
              <w:t>77</w:t>
            </w:r>
          </w:p>
        </w:tc>
        <w:tc>
          <w:tcPr>
            <w:tcW w:w="1560" w:type="dxa"/>
            <w:shd w:val="clear" w:color="auto" w:fill="C6EFCE"/>
            <w:noWrap/>
          </w:tcPr>
          <w:p w14:paraId="2DD617AD" w14:textId="2A4751B4" w:rsidR="003B6BD9" w:rsidRDefault="009E25E8">
            <w:pPr>
              <w:pStyle w:val="P68B1DB1-Normal7"/>
              <w:spacing w:before="0" w:after="0" w:line="240" w:lineRule="auto"/>
              <w:rPr>
                <w:rFonts w:eastAsia="Times New Roman"/>
                <w:noProof/>
              </w:rPr>
            </w:pPr>
            <w:r>
              <w:rPr>
                <w:noProof/>
              </w:rPr>
              <w:t>A: Transformation numérique de l’économie (entreprises et industrie)</w:t>
            </w:r>
          </w:p>
        </w:tc>
        <w:tc>
          <w:tcPr>
            <w:tcW w:w="1200" w:type="dxa"/>
            <w:shd w:val="clear" w:color="auto" w:fill="C6EFCE"/>
            <w:noWrap/>
          </w:tcPr>
          <w:p w14:paraId="095705AB" w14:textId="254F9B49" w:rsidR="003B6BD9" w:rsidRDefault="009E25E8">
            <w:pPr>
              <w:pStyle w:val="P68B1DB1-Normal7"/>
              <w:spacing w:before="0" w:after="0" w:line="240" w:lineRule="auto"/>
              <w:rPr>
                <w:rFonts w:eastAsia="Times New Roman"/>
                <w:noProof/>
              </w:rPr>
            </w:pPr>
            <w:r>
              <w:rPr>
                <w:noProof/>
              </w:rPr>
              <w:t>Jalon</w:t>
            </w:r>
          </w:p>
        </w:tc>
        <w:tc>
          <w:tcPr>
            <w:tcW w:w="2280" w:type="dxa"/>
            <w:shd w:val="clear" w:color="auto" w:fill="C6EFCE"/>
            <w:noWrap/>
          </w:tcPr>
          <w:p w14:paraId="6A811EFA" w14:textId="2EC20615" w:rsidR="003B6BD9" w:rsidRDefault="009E25E8">
            <w:pPr>
              <w:pStyle w:val="P68B1DB1-Normal7"/>
              <w:spacing w:before="0" w:after="0" w:line="240" w:lineRule="auto"/>
              <w:rPr>
                <w:rFonts w:eastAsia="Times New Roman"/>
                <w:noProof/>
              </w:rPr>
            </w:pPr>
            <w:r>
              <w:rPr>
                <w:noProof/>
              </w:rPr>
              <w:t>Adoption d’une stratégie pour la transformation numérique des entreprises</w:t>
            </w:r>
          </w:p>
        </w:tc>
        <w:tc>
          <w:tcPr>
            <w:tcW w:w="1722" w:type="dxa"/>
            <w:shd w:val="clear" w:color="auto" w:fill="C6EFCE"/>
            <w:noWrap/>
          </w:tcPr>
          <w:p w14:paraId="768E3CF3" w14:textId="3A3D57ED" w:rsidR="003B6BD9" w:rsidRDefault="009E25E8">
            <w:pPr>
              <w:pStyle w:val="P68B1DB1-Normal7"/>
              <w:spacing w:before="0" w:after="0" w:line="240" w:lineRule="auto"/>
              <w:rPr>
                <w:rFonts w:eastAsia="Times New Roman"/>
                <w:noProof/>
              </w:rPr>
            </w:pPr>
            <w:r>
              <w:rPr>
                <w:noProof/>
              </w:rPr>
              <w:t xml:space="preserve">Adoption de la stratégie de transformation numérique des entreprises par le gouvernement </w:t>
            </w:r>
          </w:p>
        </w:tc>
        <w:tc>
          <w:tcPr>
            <w:tcW w:w="1134" w:type="dxa"/>
            <w:shd w:val="clear" w:color="auto" w:fill="C6EFCE"/>
            <w:noWrap/>
          </w:tcPr>
          <w:p w14:paraId="49C53834" w14:textId="17539116" w:rsidR="003B6BD9" w:rsidRDefault="009E25E8">
            <w:pPr>
              <w:pStyle w:val="P68B1DB1-Normal7"/>
              <w:spacing w:before="0" w:after="0" w:line="240" w:lineRule="auto"/>
              <w:rPr>
                <w:rFonts w:eastAsia="Times New Roman"/>
                <w:noProof/>
              </w:rPr>
            </w:pPr>
            <w:r>
              <w:rPr>
                <w:noProof/>
              </w:rPr>
              <w:t> </w:t>
            </w:r>
          </w:p>
        </w:tc>
        <w:tc>
          <w:tcPr>
            <w:tcW w:w="1134" w:type="dxa"/>
            <w:shd w:val="clear" w:color="auto" w:fill="C6EFCE"/>
            <w:noWrap/>
          </w:tcPr>
          <w:p w14:paraId="2E09FB88" w14:textId="00C5D108" w:rsidR="003B6BD9" w:rsidRDefault="009E25E8">
            <w:pPr>
              <w:pStyle w:val="P68B1DB1-Normal7"/>
              <w:spacing w:before="0" w:after="0" w:line="240" w:lineRule="auto"/>
              <w:rPr>
                <w:rFonts w:eastAsia="Times New Roman"/>
                <w:noProof/>
              </w:rPr>
            </w:pPr>
            <w:r>
              <w:rPr>
                <w:noProof/>
              </w:rPr>
              <w:t> </w:t>
            </w:r>
          </w:p>
        </w:tc>
        <w:tc>
          <w:tcPr>
            <w:tcW w:w="708" w:type="dxa"/>
            <w:shd w:val="clear" w:color="auto" w:fill="C6EFCE"/>
            <w:noWrap/>
          </w:tcPr>
          <w:p w14:paraId="500365AD" w14:textId="11AE4D86" w:rsidR="003B6BD9" w:rsidRDefault="009E25E8">
            <w:pPr>
              <w:pStyle w:val="P68B1DB1-Normal7"/>
              <w:spacing w:before="0" w:after="0" w:line="240" w:lineRule="auto"/>
              <w:rPr>
                <w:rFonts w:eastAsia="Times New Roman"/>
                <w:noProof/>
              </w:rPr>
            </w:pPr>
            <w:r>
              <w:rPr>
                <w:noProof/>
              </w:rPr>
              <w:t> </w:t>
            </w:r>
          </w:p>
        </w:tc>
        <w:tc>
          <w:tcPr>
            <w:tcW w:w="993" w:type="dxa"/>
            <w:shd w:val="clear" w:color="auto" w:fill="C6EFCE"/>
            <w:noWrap/>
          </w:tcPr>
          <w:p w14:paraId="2D606C73" w14:textId="58A97E54" w:rsidR="003B6BD9" w:rsidRDefault="009E25E8">
            <w:pPr>
              <w:pStyle w:val="P68B1DB1-Normal7"/>
              <w:spacing w:before="0" w:after="0" w:line="240" w:lineRule="auto"/>
              <w:rPr>
                <w:rFonts w:eastAsia="Times New Roman"/>
                <w:noProof/>
              </w:rPr>
            </w:pPr>
            <w:r>
              <w:rPr>
                <w:noProof/>
              </w:rPr>
              <w:t>T4</w:t>
            </w:r>
          </w:p>
        </w:tc>
        <w:tc>
          <w:tcPr>
            <w:tcW w:w="708" w:type="dxa"/>
            <w:shd w:val="clear" w:color="auto" w:fill="C6EFCE"/>
            <w:noWrap/>
          </w:tcPr>
          <w:p w14:paraId="672D4002" w14:textId="7EB848B2" w:rsidR="003B6BD9" w:rsidRDefault="009E25E8">
            <w:pPr>
              <w:pStyle w:val="P68B1DB1-Normal7"/>
              <w:spacing w:before="0" w:after="0" w:line="240" w:lineRule="auto"/>
              <w:rPr>
                <w:rFonts w:eastAsia="Times New Roman"/>
                <w:noProof/>
              </w:rPr>
            </w:pPr>
            <w:r>
              <w:rPr>
                <w:noProof/>
              </w:rPr>
              <w:t>2021</w:t>
            </w:r>
          </w:p>
        </w:tc>
        <w:tc>
          <w:tcPr>
            <w:tcW w:w="3150" w:type="dxa"/>
            <w:shd w:val="clear" w:color="auto" w:fill="C6EFCE"/>
            <w:noWrap/>
          </w:tcPr>
          <w:p w14:paraId="5E26A835" w14:textId="219FEFFB" w:rsidR="003B6BD9" w:rsidRDefault="009E25E8">
            <w:pPr>
              <w:pStyle w:val="P68B1DB1-Normal7"/>
              <w:spacing w:before="0" w:after="0" w:line="256" w:lineRule="auto"/>
              <w:rPr>
                <w:rFonts w:eastAsia="Times New Roman"/>
                <w:noProof/>
              </w:rPr>
            </w:pPr>
            <w:r>
              <w:rPr>
                <w:noProof/>
              </w:rPr>
              <w:t>Une stratégie de transformation numérique des entreprises est élaborée et adoptée par le gouvernement, qui définit les étapes de base de la transformation numérique. La stratégie garantit que tous les opérateurs économiques en Slovénie sont enregistrés dans un seul registre, conformément au principe «une fois pour toutes» inscrit dans le règlement (UE) 2018/1724 sur le portail numérique unique.</w:t>
            </w:r>
          </w:p>
          <w:p w14:paraId="0C0FDB7D" w14:textId="77777777" w:rsidR="003B6BD9" w:rsidRDefault="003B6BD9">
            <w:pPr>
              <w:spacing w:before="0" w:after="0" w:line="256" w:lineRule="auto"/>
              <w:rPr>
                <w:rFonts w:eastAsia="Times New Roman"/>
                <w:noProof/>
                <w:color w:val="006100"/>
                <w:sz w:val="18"/>
                <w:szCs w:val="18"/>
              </w:rPr>
            </w:pPr>
          </w:p>
          <w:p w14:paraId="4DFD6A76" w14:textId="576402E8" w:rsidR="003B6BD9" w:rsidRDefault="009E25E8">
            <w:pPr>
              <w:pStyle w:val="P68B1DB1-Normal10"/>
              <w:spacing w:before="0" w:after="0" w:line="240" w:lineRule="auto"/>
              <w:rPr>
                <w:rFonts w:eastAsia="Times New Roman"/>
                <w:noProof/>
                <w:color w:val="006100"/>
              </w:rPr>
            </w:pPr>
            <w:r>
              <w:rPr>
                <w:noProof/>
                <w:color w:val="006100"/>
              </w:rPr>
              <w:t>La stratégie comprend une feuille de route pour la mise en œuvre de la boîte à outils commune de l’Union pour la connectivité</w:t>
            </w:r>
            <w:r>
              <w:rPr>
                <w:noProof/>
                <w:color w:val="000000"/>
              </w:rPr>
              <w:footnoteReference w:id="4"/>
            </w:r>
            <w:r>
              <w:rPr>
                <w:noProof/>
                <w:color w:val="006100"/>
              </w:rPr>
              <w:t>, y compris des activités relatives à un point d’information unique et un calendrier spécifique pour l’achèvement de chaque action.</w:t>
            </w:r>
          </w:p>
        </w:tc>
      </w:tr>
      <w:tr w:rsidR="003B6BD9" w14:paraId="535FFB5D" w14:textId="77777777" w:rsidTr="00AC1D11">
        <w:trPr>
          <w:trHeight w:val="309"/>
          <w:jc w:val="center"/>
        </w:trPr>
        <w:tc>
          <w:tcPr>
            <w:tcW w:w="955" w:type="dxa"/>
            <w:shd w:val="clear" w:color="auto" w:fill="C6EFCE"/>
            <w:noWrap/>
          </w:tcPr>
          <w:p w14:paraId="3CAC7CCA" w14:textId="7D9231C6" w:rsidR="003B6BD9" w:rsidRDefault="009E25E8">
            <w:pPr>
              <w:pStyle w:val="P68B1DB1-Normal7"/>
              <w:spacing w:before="0" w:after="0" w:line="240" w:lineRule="auto"/>
              <w:rPr>
                <w:rFonts w:eastAsia="Times New Roman"/>
                <w:noProof/>
              </w:rPr>
            </w:pPr>
            <w:r>
              <w:rPr>
                <w:noProof/>
              </w:rPr>
              <w:t>78</w:t>
            </w:r>
          </w:p>
        </w:tc>
        <w:tc>
          <w:tcPr>
            <w:tcW w:w="1560" w:type="dxa"/>
            <w:shd w:val="clear" w:color="auto" w:fill="C6EFCE"/>
            <w:noWrap/>
          </w:tcPr>
          <w:p w14:paraId="403C36C3" w14:textId="6C8C869E" w:rsidR="003B6BD9" w:rsidRDefault="009E25E8">
            <w:pPr>
              <w:pStyle w:val="P68B1DB1-Normal7"/>
              <w:spacing w:before="0" w:after="0" w:line="240" w:lineRule="auto"/>
              <w:rPr>
                <w:rFonts w:eastAsia="Times New Roman"/>
                <w:noProof/>
              </w:rPr>
            </w:pPr>
            <w:r>
              <w:rPr>
                <w:noProof/>
              </w:rPr>
              <w:t>A: Transformation numérique de l’économie (entreprises et industrie)</w:t>
            </w:r>
          </w:p>
        </w:tc>
        <w:tc>
          <w:tcPr>
            <w:tcW w:w="1200" w:type="dxa"/>
            <w:shd w:val="clear" w:color="auto" w:fill="C6EFCE"/>
            <w:noWrap/>
          </w:tcPr>
          <w:p w14:paraId="610DA776" w14:textId="661547D1" w:rsidR="003B6BD9" w:rsidRDefault="009E25E8">
            <w:pPr>
              <w:pStyle w:val="P68B1DB1-Normal7"/>
              <w:spacing w:before="0" w:after="0" w:line="240" w:lineRule="auto"/>
              <w:rPr>
                <w:rFonts w:eastAsia="Times New Roman"/>
                <w:noProof/>
              </w:rPr>
            </w:pPr>
            <w:r>
              <w:rPr>
                <w:noProof/>
              </w:rPr>
              <w:t>Jalon</w:t>
            </w:r>
          </w:p>
        </w:tc>
        <w:tc>
          <w:tcPr>
            <w:tcW w:w="2280" w:type="dxa"/>
            <w:shd w:val="clear" w:color="auto" w:fill="C6EFCE"/>
            <w:noWrap/>
          </w:tcPr>
          <w:p w14:paraId="63DE44CA" w14:textId="597116D5" w:rsidR="003B6BD9" w:rsidRDefault="009E25E8">
            <w:pPr>
              <w:pStyle w:val="P68B1DB1-Normal7"/>
              <w:spacing w:before="0" w:after="0" w:line="240" w:lineRule="auto"/>
              <w:rPr>
                <w:rFonts w:eastAsia="Times New Roman"/>
                <w:noProof/>
              </w:rPr>
            </w:pPr>
            <w:r>
              <w:rPr>
                <w:noProof/>
              </w:rPr>
              <w:t xml:space="preserve">Lignes directrices pour les marchés publics innovants </w:t>
            </w:r>
          </w:p>
        </w:tc>
        <w:tc>
          <w:tcPr>
            <w:tcW w:w="1722" w:type="dxa"/>
            <w:shd w:val="clear" w:color="auto" w:fill="C6EFCE"/>
            <w:noWrap/>
          </w:tcPr>
          <w:p w14:paraId="6101DAF0" w14:textId="6285D786" w:rsidR="003B6BD9" w:rsidRDefault="009E25E8">
            <w:pPr>
              <w:pStyle w:val="P68B1DB1-Normal7"/>
              <w:spacing w:before="0" w:after="0" w:line="240" w:lineRule="auto"/>
              <w:rPr>
                <w:rFonts w:eastAsia="Times New Roman"/>
                <w:noProof/>
              </w:rPr>
            </w:pPr>
            <w:r>
              <w:rPr>
                <w:noProof/>
              </w:rPr>
              <w:t>Lignes directrices pour les marchés publics innovants adoptées par le gouvernement de la République de Slovénie</w:t>
            </w:r>
          </w:p>
        </w:tc>
        <w:tc>
          <w:tcPr>
            <w:tcW w:w="1134" w:type="dxa"/>
            <w:shd w:val="clear" w:color="auto" w:fill="C6EFCE"/>
            <w:noWrap/>
          </w:tcPr>
          <w:p w14:paraId="1F391610" w14:textId="43AA09F8" w:rsidR="003B6BD9" w:rsidRDefault="009E25E8">
            <w:pPr>
              <w:pStyle w:val="P68B1DB1-Normal7"/>
              <w:spacing w:before="0" w:after="0" w:line="240" w:lineRule="auto"/>
              <w:rPr>
                <w:rFonts w:eastAsia="Times New Roman"/>
                <w:noProof/>
              </w:rPr>
            </w:pPr>
            <w:r>
              <w:rPr>
                <w:noProof/>
              </w:rPr>
              <w:t> </w:t>
            </w:r>
          </w:p>
        </w:tc>
        <w:tc>
          <w:tcPr>
            <w:tcW w:w="1134" w:type="dxa"/>
            <w:shd w:val="clear" w:color="auto" w:fill="C6EFCE"/>
            <w:noWrap/>
          </w:tcPr>
          <w:p w14:paraId="6C10145D" w14:textId="6D4D4436" w:rsidR="003B6BD9" w:rsidRDefault="009E25E8">
            <w:pPr>
              <w:pStyle w:val="P68B1DB1-Normal7"/>
              <w:spacing w:before="0" w:after="0" w:line="240" w:lineRule="auto"/>
              <w:rPr>
                <w:rFonts w:eastAsia="Times New Roman"/>
                <w:noProof/>
              </w:rPr>
            </w:pPr>
            <w:r>
              <w:rPr>
                <w:noProof/>
              </w:rPr>
              <w:t> </w:t>
            </w:r>
          </w:p>
        </w:tc>
        <w:tc>
          <w:tcPr>
            <w:tcW w:w="708" w:type="dxa"/>
            <w:shd w:val="clear" w:color="auto" w:fill="C6EFCE"/>
            <w:noWrap/>
          </w:tcPr>
          <w:p w14:paraId="3FEA2899" w14:textId="483EB2A5" w:rsidR="003B6BD9" w:rsidRDefault="009E25E8">
            <w:pPr>
              <w:pStyle w:val="P68B1DB1-Normal7"/>
              <w:spacing w:before="0" w:after="0" w:line="240" w:lineRule="auto"/>
              <w:rPr>
                <w:rFonts w:eastAsia="Times New Roman"/>
                <w:noProof/>
              </w:rPr>
            </w:pPr>
            <w:r>
              <w:rPr>
                <w:noProof/>
              </w:rPr>
              <w:t> </w:t>
            </w:r>
          </w:p>
        </w:tc>
        <w:tc>
          <w:tcPr>
            <w:tcW w:w="993" w:type="dxa"/>
            <w:shd w:val="clear" w:color="auto" w:fill="C6EFCE"/>
            <w:noWrap/>
          </w:tcPr>
          <w:p w14:paraId="15245651" w14:textId="2858347E" w:rsidR="003B6BD9" w:rsidRDefault="009E25E8">
            <w:pPr>
              <w:pStyle w:val="P68B1DB1-Normal7"/>
              <w:spacing w:before="0" w:after="0" w:line="240" w:lineRule="auto"/>
              <w:rPr>
                <w:rFonts w:eastAsia="Times New Roman"/>
                <w:noProof/>
              </w:rPr>
            </w:pPr>
            <w:r>
              <w:rPr>
                <w:noProof/>
              </w:rPr>
              <w:t>T2</w:t>
            </w:r>
          </w:p>
        </w:tc>
        <w:tc>
          <w:tcPr>
            <w:tcW w:w="708" w:type="dxa"/>
            <w:shd w:val="clear" w:color="auto" w:fill="C6EFCE"/>
            <w:noWrap/>
          </w:tcPr>
          <w:p w14:paraId="2E102802" w14:textId="5AE2835D" w:rsidR="003B6BD9" w:rsidRDefault="009E25E8">
            <w:pPr>
              <w:pStyle w:val="P68B1DB1-Normal7"/>
              <w:spacing w:before="0" w:after="0" w:line="240" w:lineRule="auto"/>
              <w:rPr>
                <w:rFonts w:eastAsia="Times New Roman"/>
                <w:noProof/>
              </w:rPr>
            </w:pPr>
            <w:r>
              <w:rPr>
                <w:noProof/>
              </w:rPr>
              <w:t>2022</w:t>
            </w:r>
          </w:p>
        </w:tc>
        <w:tc>
          <w:tcPr>
            <w:tcW w:w="3150" w:type="dxa"/>
            <w:shd w:val="clear" w:color="auto" w:fill="C6EFCE"/>
            <w:noWrap/>
          </w:tcPr>
          <w:p w14:paraId="3CDBB29D" w14:textId="3ED66C77" w:rsidR="003B6BD9" w:rsidRDefault="009E25E8">
            <w:pPr>
              <w:pStyle w:val="P68B1DB1-Normal7"/>
              <w:spacing w:before="0" w:after="0" w:line="240" w:lineRule="auto"/>
              <w:rPr>
                <w:rFonts w:eastAsia="Times New Roman"/>
                <w:noProof/>
              </w:rPr>
            </w:pPr>
            <w:r>
              <w:rPr>
                <w:noProof/>
              </w:rPr>
              <w:t>Les lignes directrices pour les marchés publics innovants définissent les procédures de sélection et les critères de participation des candidats aux procédures de passation de marchés publics innovants.</w:t>
            </w:r>
          </w:p>
        </w:tc>
      </w:tr>
      <w:tr w:rsidR="003B6BD9" w14:paraId="73B30F3E" w14:textId="77777777" w:rsidTr="00AC1D11">
        <w:trPr>
          <w:trHeight w:val="309"/>
          <w:jc w:val="center"/>
        </w:trPr>
        <w:tc>
          <w:tcPr>
            <w:tcW w:w="955" w:type="dxa"/>
            <w:shd w:val="clear" w:color="auto" w:fill="C6EFCE"/>
            <w:noWrap/>
          </w:tcPr>
          <w:p w14:paraId="66276597" w14:textId="2F35ECC6" w:rsidR="003B6BD9" w:rsidRDefault="009E25E8">
            <w:pPr>
              <w:pStyle w:val="P68B1DB1-Normal7"/>
              <w:spacing w:before="0" w:after="0" w:line="240" w:lineRule="auto"/>
              <w:rPr>
                <w:rFonts w:eastAsia="Times New Roman"/>
                <w:noProof/>
              </w:rPr>
            </w:pPr>
            <w:r>
              <w:rPr>
                <w:noProof/>
              </w:rPr>
              <w:t>80</w:t>
            </w:r>
          </w:p>
        </w:tc>
        <w:tc>
          <w:tcPr>
            <w:tcW w:w="1560" w:type="dxa"/>
            <w:shd w:val="clear" w:color="auto" w:fill="C6EFCE"/>
            <w:noWrap/>
          </w:tcPr>
          <w:p w14:paraId="107148C5" w14:textId="42C941FE" w:rsidR="003B6BD9" w:rsidRDefault="009E25E8">
            <w:pPr>
              <w:pStyle w:val="P68B1DB1-Normal7"/>
              <w:spacing w:before="0" w:after="0" w:line="240" w:lineRule="auto"/>
              <w:rPr>
                <w:rFonts w:eastAsia="Times New Roman"/>
                <w:noProof/>
              </w:rPr>
            </w:pPr>
            <w:r>
              <w:rPr>
                <w:noProof/>
              </w:rPr>
              <w:t xml:space="preserve">B: Programme de transformation numérique de l’industrie/des entreprises </w:t>
            </w:r>
          </w:p>
        </w:tc>
        <w:tc>
          <w:tcPr>
            <w:tcW w:w="1200" w:type="dxa"/>
            <w:shd w:val="clear" w:color="auto" w:fill="C6EFCE"/>
            <w:noWrap/>
          </w:tcPr>
          <w:p w14:paraId="65016B28" w14:textId="3DF593DA" w:rsidR="003B6BD9" w:rsidRDefault="009E25E8">
            <w:pPr>
              <w:pStyle w:val="P68B1DB1-Normal7"/>
              <w:spacing w:before="0" w:after="0" w:line="240" w:lineRule="auto"/>
              <w:rPr>
                <w:rFonts w:eastAsia="Times New Roman"/>
                <w:noProof/>
              </w:rPr>
            </w:pPr>
            <w:r>
              <w:rPr>
                <w:noProof/>
              </w:rPr>
              <w:t>Jalon</w:t>
            </w:r>
          </w:p>
        </w:tc>
        <w:tc>
          <w:tcPr>
            <w:tcW w:w="2280" w:type="dxa"/>
            <w:shd w:val="clear" w:color="auto" w:fill="C6EFCE"/>
            <w:noWrap/>
          </w:tcPr>
          <w:p w14:paraId="0278C337" w14:textId="1135DF3A" w:rsidR="003B6BD9" w:rsidRDefault="009E25E8">
            <w:pPr>
              <w:pStyle w:val="P68B1DB1-Normal7"/>
              <w:spacing w:before="0" w:after="0" w:line="240" w:lineRule="auto"/>
              <w:rPr>
                <w:rFonts w:eastAsia="Times New Roman"/>
                <w:noProof/>
              </w:rPr>
            </w:pPr>
            <w:r>
              <w:rPr>
                <w:noProof/>
              </w:rPr>
              <w:t>Attribution de marchés pour des projets de transformation numérique des entreprises</w:t>
            </w:r>
          </w:p>
        </w:tc>
        <w:tc>
          <w:tcPr>
            <w:tcW w:w="1722" w:type="dxa"/>
            <w:shd w:val="clear" w:color="auto" w:fill="C6EFCE"/>
            <w:noWrap/>
          </w:tcPr>
          <w:p w14:paraId="6DE5B4BF" w14:textId="5AC15D0E" w:rsidR="003B6BD9" w:rsidRDefault="009E25E8">
            <w:pPr>
              <w:pStyle w:val="P68B1DB1-Normal7"/>
              <w:spacing w:before="0" w:after="0" w:line="240" w:lineRule="auto"/>
              <w:rPr>
                <w:rFonts w:eastAsia="Times New Roman"/>
                <w:noProof/>
              </w:rPr>
            </w:pPr>
            <w:r>
              <w:rPr>
                <w:noProof/>
              </w:rPr>
              <w:t>Communication des prix</w:t>
            </w:r>
          </w:p>
        </w:tc>
        <w:tc>
          <w:tcPr>
            <w:tcW w:w="1134" w:type="dxa"/>
            <w:shd w:val="clear" w:color="auto" w:fill="C6EFCE"/>
            <w:noWrap/>
          </w:tcPr>
          <w:p w14:paraId="20540431" w14:textId="471BC9A3" w:rsidR="003B6BD9" w:rsidRDefault="009E25E8">
            <w:pPr>
              <w:pStyle w:val="P68B1DB1-Normal7"/>
              <w:spacing w:before="0" w:after="0" w:line="240" w:lineRule="auto"/>
              <w:rPr>
                <w:rFonts w:eastAsia="Times New Roman"/>
                <w:noProof/>
              </w:rPr>
            </w:pPr>
            <w:r>
              <w:rPr>
                <w:noProof/>
              </w:rPr>
              <w:t> </w:t>
            </w:r>
          </w:p>
        </w:tc>
        <w:tc>
          <w:tcPr>
            <w:tcW w:w="1134" w:type="dxa"/>
            <w:shd w:val="clear" w:color="auto" w:fill="C6EFCE"/>
            <w:noWrap/>
          </w:tcPr>
          <w:p w14:paraId="52319F7F" w14:textId="10134D1B" w:rsidR="003B6BD9" w:rsidRDefault="009E25E8">
            <w:pPr>
              <w:pStyle w:val="P68B1DB1-Normal7"/>
              <w:spacing w:before="0" w:after="0" w:line="240" w:lineRule="auto"/>
              <w:rPr>
                <w:rFonts w:eastAsia="Times New Roman"/>
                <w:noProof/>
              </w:rPr>
            </w:pPr>
            <w:r>
              <w:rPr>
                <w:noProof/>
              </w:rPr>
              <w:t> </w:t>
            </w:r>
          </w:p>
        </w:tc>
        <w:tc>
          <w:tcPr>
            <w:tcW w:w="708" w:type="dxa"/>
            <w:shd w:val="clear" w:color="auto" w:fill="C6EFCE"/>
            <w:noWrap/>
          </w:tcPr>
          <w:p w14:paraId="54C0A0DB" w14:textId="4F81C4F2" w:rsidR="003B6BD9" w:rsidRDefault="009E25E8">
            <w:pPr>
              <w:pStyle w:val="P68B1DB1-Normal7"/>
              <w:spacing w:before="0" w:after="0" w:line="240" w:lineRule="auto"/>
              <w:rPr>
                <w:rFonts w:eastAsia="Times New Roman"/>
                <w:noProof/>
              </w:rPr>
            </w:pPr>
            <w:r>
              <w:rPr>
                <w:noProof/>
              </w:rPr>
              <w:t> </w:t>
            </w:r>
          </w:p>
        </w:tc>
        <w:tc>
          <w:tcPr>
            <w:tcW w:w="993" w:type="dxa"/>
            <w:shd w:val="clear" w:color="auto" w:fill="C6EFCE"/>
            <w:noWrap/>
          </w:tcPr>
          <w:p w14:paraId="7CE7C39A" w14:textId="406D6456" w:rsidR="003B6BD9" w:rsidRDefault="009E25E8">
            <w:pPr>
              <w:pStyle w:val="P68B1DB1-Normal7"/>
              <w:spacing w:before="0" w:after="0" w:line="240" w:lineRule="auto"/>
              <w:rPr>
                <w:rFonts w:eastAsia="Times New Roman"/>
                <w:noProof/>
              </w:rPr>
            </w:pPr>
            <w:r>
              <w:rPr>
                <w:noProof/>
              </w:rPr>
              <w:t>T2</w:t>
            </w:r>
          </w:p>
        </w:tc>
        <w:tc>
          <w:tcPr>
            <w:tcW w:w="708" w:type="dxa"/>
            <w:shd w:val="clear" w:color="auto" w:fill="C6EFCE"/>
            <w:noWrap/>
          </w:tcPr>
          <w:p w14:paraId="6247E72D" w14:textId="3FAF0AB6" w:rsidR="003B6BD9" w:rsidRDefault="009E25E8">
            <w:pPr>
              <w:pStyle w:val="P68B1DB1-Normal7"/>
              <w:spacing w:before="0" w:after="0" w:line="240" w:lineRule="auto"/>
              <w:rPr>
                <w:rFonts w:eastAsia="Times New Roman"/>
                <w:noProof/>
              </w:rPr>
            </w:pPr>
            <w:r>
              <w:rPr>
                <w:noProof/>
              </w:rPr>
              <w:t>2022</w:t>
            </w:r>
          </w:p>
        </w:tc>
        <w:tc>
          <w:tcPr>
            <w:tcW w:w="3150" w:type="dxa"/>
            <w:shd w:val="clear" w:color="auto" w:fill="C6EFCE"/>
            <w:noWrap/>
          </w:tcPr>
          <w:p w14:paraId="202F4EA8" w14:textId="3F780D7B" w:rsidR="003B6BD9" w:rsidRDefault="009E25E8">
            <w:pPr>
              <w:pStyle w:val="P68B1DB1-Normal7"/>
              <w:spacing w:before="0" w:after="0" w:line="256" w:lineRule="auto"/>
              <w:rPr>
                <w:rFonts w:eastAsia="Times New Roman"/>
                <w:noProof/>
              </w:rPr>
            </w:pPr>
            <w:r>
              <w:rPr>
                <w:noProof/>
              </w:rPr>
              <w:t>Les candidats doivent être des consortiums ou d’autres formes d’intégration de sociétés comprenant au moins une grande société et plusieurs petites et moyennes entreprises.</w:t>
            </w:r>
          </w:p>
          <w:p w14:paraId="7B7C897A" w14:textId="17F80EEE" w:rsidR="003B6BD9" w:rsidRDefault="009E25E8">
            <w:pPr>
              <w:pStyle w:val="P68B1DB1-Normal7"/>
              <w:spacing w:before="0" w:after="0" w:line="240" w:lineRule="auto"/>
              <w:rPr>
                <w:rFonts w:eastAsia="Times New Roman"/>
                <w:noProof/>
              </w:rPr>
            </w:pPr>
            <w:r>
              <w:rPr>
                <w:noProof/>
              </w:rPr>
              <w:t>Les critères de sélection comprennent, entre autres, le renforcement des compétences numériques des employés et l’introduction de l’identité électronique et de la carte de visite numérique.</w:t>
            </w:r>
          </w:p>
        </w:tc>
      </w:tr>
      <w:tr w:rsidR="003B6BD9" w14:paraId="655375EA" w14:textId="77777777" w:rsidTr="00AC1D11">
        <w:trPr>
          <w:trHeight w:val="309"/>
          <w:jc w:val="center"/>
        </w:trPr>
        <w:tc>
          <w:tcPr>
            <w:tcW w:w="955" w:type="dxa"/>
            <w:shd w:val="clear" w:color="auto" w:fill="C6EFCE"/>
            <w:noWrap/>
          </w:tcPr>
          <w:p w14:paraId="293B490C" w14:textId="14E0848A" w:rsidR="003B6BD9" w:rsidRDefault="009E25E8">
            <w:pPr>
              <w:pStyle w:val="P68B1DB1-Normal7"/>
              <w:spacing w:before="0" w:after="0" w:line="240" w:lineRule="auto"/>
              <w:rPr>
                <w:rFonts w:eastAsia="Times New Roman"/>
                <w:noProof/>
              </w:rPr>
            </w:pPr>
            <w:r>
              <w:rPr>
                <w:noProof/>
              </w:rPr>
              <w:t>81</w:t>
            </w:r>
          </w:p>
        </w:tc>
        <w:tc>
          <w:tcPr>
            <w:tcW w:w="1560" w:type="dxa"/>
            <w:shd w:val="clear" w:color="auto" w:fill="C6EFCE"/>
            <w:noWrap/>
          </w:tcPr>
          <w:p w14:paraId="626E2D25" w14:textId="044957B6" w:rsidR="003B6BD9" w:rsidRDefault="009E25E8">
            <w:pPr>
              <w:pStyle w:val="P68B1DB1-Normal7"/>
              <w:spacing w:before="0" w:after="0" w:line="240" w:lineRule="auto"/>
              <w:rPr>
                <w:rFonts w:eastAsia="Times New Roman"/>
                <w:noProof/>
              </w:rPr>
            </w:pPr>
            <w:r>
              <w:rPr>
                <w:noProof/>
              </w:rPr>
              <w:t xml:space="preserve">B: Stratégie de transformation numérique de l’industrie/des entreprises </w:t>
            </w:r>
          </w:p>
        </w:tc>
        <w:tc>
          <w:tcPr>
            <w:tcW w:w="1200" w:type="dxa"/>
            <w:shd w:val="clear" w:color="auto" w:fill="C6EFCE"/>
            <w:noWrap/>
          </w:tcPr>
          <w:p w14:paraId="37C6D1D6" w14:textId="0CB68FBA" w:rsidR="003B6BD9" w:rsidRDefault="009E25E8">
            <w:pPr>
              <w:pStyle w:val="P68B1DB1-Normal7"/>
              <w:spacing w:before="0" w:after="0" w:line="240" w:lineRule="auto"/>
              <w:rPr>
                <w:rFonts w:eastAsia="Times New Roman"/>
                <w:noProof/>
              </w:rPr>
            </w:pPr>
            <w:r>
              <w:rPr>
                <w:noProof/>
              </w:rPr>
              <w:t>Cible</w:t>
            </w:r>
          </w:p>
        </w:tc>
        <w:tc>
          <w:tcPr>
            <w:tcW w:w="2280" w:type="dxa"/>
            <w:shd w:val="clear" w:color="auto" w:fill="C6EFCE"/>
            <w:noWrap/>
          </w:tcPr>
          <w:p w14:paraId="616CE013" w14:textId="52B4854C" w:rsidR="003B6BD9" w:rsidRDefault="009E25E8">
            <w:pPr>
              <w:pStyle w:val="P68B1DB1-Normal7"/>
              <w:spacing w:before="0" w:after="0" w:line="240" w:lineRule="auto"/>
              <w:rPr>
                <w:rFonts w:eastAsia="Times New Roman"/>
                <w:noProof/>
              </w:rPr>
            </w:pPr>
            <w:r>
              <w:rPr>
                <w:noProof/>
              </w:rPr>
              <w:t>Consortiums d’entreprises ayant élaboré une stratégie numérique</w:t>
            </w:r>
          </w:p>
        </w:tc>
        <w:tc>
          <w:tcPr>
            <w:tcW w:w="1722" w:type="dxa"/>
            <w:shd w:val="clear" w:color="auto" w:fill="C6EFCE"/>
            <w:noWrap/>
          </w:tcPr>
          <w:p w14:paraId="28DD10DF" w14:textId="726A8D52" w:rsidR="003B6BD9" w:rsidRDefault="009E25E8">
            <w:pPr>
              <w:pStyle w:val="P68B1DB1-Normal7"/>
              <w:spacing w:before="0" w:after="0" w:line="240" w:lineRule="auto"/>
              <w:rPr>
                <w:rFonts w:eastAsia="Times New Roman"/>
                <w:noProof/>
              </w:rPr>
            </w:pPr>
            <w:r>
              <w:rPr>
                <w:noProof/>
              </w:rPr>
              <w:t> </w:t>
            </w:r>
          </w:p>
        </w:tc>
        <w:tc>
          <w:tcPr>
            <w:tcW w:w="1134" w:type="dxa"/>
            <w:shd w:val="clear" w:color="auto" w:fill="C6EFCE"/>
            <w:noWrap/>
          </w:tcPr>
          <w:p w14:paraId="43DCF7EE" w14:textId="7CBC8563" w:rsidR="003B6BD9" w:rsidRDefault="009E25E8">
            <w:pPr>
              <w:pStyle w:val="P68B1DB1-Normal7"/>
              <w:spacing w:before="0" w:after="0" w:line="240" w:lineRule="auto"/>
              <w:rPr>
                <w:rFonts w:eastAsia="Times New Roman"/>
                <w:noProof/>
              </w:rPr>
            </w:pPr>
            <w:r>
              <w:rPr>
                <w:noProof/>
              </w:rPr>
              <w:t>Nombre</w:t>
            </w:r>
          </w:p>
        </w:tc>
        <w:tc>
          <w:tcPr>
            <w:tcW w:w="1134" w:type="dxa"/>
            <w:shd w:val="clear" w:color="auto" w:fill="C6EFCE"/>
            <w:noWrap/>
          </w:tcPr>
          <w:p w14:paraId="0F2032CA" w14:textId="675617E1" w:rsidR="003B6BD9" w:rsidRDefault="009E25E8">
            <w:pPr>
              <w:pStyle w:val="P68B1DB1-Normal7"/>
              <w:spacing w:before="0" w:after="0" w:line="240" w:lineRule="auto"/>
              <w:rPr>
                <w:rFonts w:eastAsia="Times New Roman"/>
                <w:noProof/>
              </w:rPr>
            </w:pPr>
            <w:r>
              <w:rPr>
                <w:noProof/>
              </w:rPr>
              <w:t>0</w:t>
            </w:r>
          </w:p>
        </w:tc>
        <w:tc>
          <w:tcPr>
            <w:tcW w:w="708" w:type="dxa"/>
            <w:shd w:val="clear" w:color="auto" w:fill="C6EFCE"/>
            <w:noWrap/>
          </w:tcPr>
          <w:p w14:paraId="6149343D" w14:textId="6CDF08BF" w:rsidR="003B6BD9" w:rsidRDefault="009E25E8">
            <w:pPr>
              <w:pStyle w:val="P68B1DB1-Normal7"/>
              <w:spacing w:before="0" w:after="0" w:line="240" w:lineRule="auto"/>
              <w:rPr>
                <w:rFonts w:eastAsia="Times New Roman"/>
                <w:noProof/>
              </w:rPr>
            </w:pPr>
            <w:r>
              <w:rPr>
                <w:noProof/>
              </w:rPr>
              <w:t>20</w:t>
            </w:r>
          </w:p>
        </w:tc>
        <w:tc>
          <w:tcPr>
            <w:tcW w:w="993" w:type="dxa"/>
            <w:shd w:val="clear" w:color="auto" w:fill="C6EFCE"/>
            <w:noWrap/>
          </w:tcPr>
          <w:p w14:paraId="50660597" w14:textId="435F8AD0" w:rsidR="003B6BD9" w:rsidRDefault="009E25E8">
            <w:pPr>
              <w:pStyle w:val="P68B1DB1-Normal7"/>
              <w:spacing w:before="0" w:after="0" w:line="240" w:lineRule="auto"/>
              <w:rPr>
                <w:rFonts w:eastAsia="Times New Roman"/>
                <w:noProof/>
              </w:rPr>
            </w:pPr>
            <w:r>
              <w:rPr>
                <w:noProof/>
              </w:rPr>
              <w:t>T2</w:t>
            </w:r>
          </w:p>
        </w:tc>
        <w:tc>
          <w:tcPr>
            <w:tcW w:w="708" w:type="dxa"/>
            <w:shd w:val="clear" w:color="auto" w:fill="C6EFCE"/>
            <w:noWrap/>
          </w:tcPr>
          <w:p w14:paraId="74F14E3D" w14:textId="435D181E" w:rsidR="003B6BD9" w:rsidRDefault="009E25E8">
            <w:pPr>
              <w:pStyle w:val="P68B1DB1-Normal7"/>
              <w:spacing w:before="0" w:after="0" w:line="240" w:lineRule="auto"/>
              <w:rPr>
                <w:rFonts w:eastAsia="Times New Roman"/>
                <w:noProof/>
              </w:rPr>
            </w:pPr>
            <w:r>
              <w:rPr>
                <w:noProof/>
              </w:rPr>
              <w:t>2022</w:t>
            </w:r>
          </w:p>
        </w:tc>
        <w:tc>
          <w:tcPr>
            <w:tcW w:w="3150" w:type="dxa"/>
            <w:shd w:val="clear" w:color="auto" w:fill="C6EFCE"/>
            <w:noWrap/>
          </w:tcPr>
          <w:p w14:paraId="685378F0" w14:textId="7F6CE4BC" w:rsidR="003B6BD9" w:rsidRDefault="009E25E8">
            <w:pPr>
              <w:pStyle w:val="P68B1DB1-Normal7"/>
              <w:spacing w:before="0" w:after="0" w:line="256" w:lineRule="auto"/>
              <w:rPr>
                <w:rFonts w:eastAsia="Times New Roman"/>
                <w:noProof/>
              </w:rPr>
            </w:pPr>
            <w:r>
              <w:rPr>
                <w:noProof/>
              </w:rPr>
              <w:t>Les consortiums auxquels des marchés ont été attribués au titre du jalon 80 élaborent des stratégies numériques sur mesure pour la transformation des entreprises, de la technologie, de l’organisation et de la culture. Il s’agit, entre autres, d’une évaluation de la préparation au numérique, du recensement des domaines pertinents pour la numérisation, des données et sources pertinentes, de l’intégration des données et des besoins d’apprentissage.</w:t>
            </w:r>
          </w:p>
        </w:tc>
      </w:tr>
      <w:tr w:rsidR="003B6BD9" w14:paraId="47883CDF" w14:textId="77777777" w:rsidTr="00AC1D11">
        <w:trPr>
          <w:trHeight w:val="309"/>
          <w:jc w:val="center"/>
        </w:trPr>
        <w:tc>
          <w:tcPr>
            <w:tcW w:w="955" w:type="dxa"/>
            <w:shd w:val="clear" w:color="auto" w:fill="C6EFCE"/>
            <w:noWrap/>
          </w:tcPr>
          <w:p w14:paraId="4632C8AD" w14:textId="08CC260E" w:rsidR="003B6BD9" w:rsidRDefault="009E25E8">
            <w:pPr>
              <w:pStyle w:val="P68B1DB1-Normal7"/>
              <w:spacing w:before="0" w:after="0" w:line="240" w:lineRule="auto"/>
              <w:rPr>
                <w:rFonts w:eastAsia="Times New Roman"/>
                <w:noProof/>
              </w:rPr>
            </w:pPr>
            <w:r>
              <w:rPr>
                <w:noProof/>
              </w:rPr>
              <w:t>82</w:t>
            </w:r>
          </w:p>
        </w:tc>
        <w:tc>
          <w:tcPr>
            <w:tcW w:w="1560" w:type="dxa"/>
            <w:shd w:val="clear" w:color="auto" w:fill="C6EFCE"/>
            <w:noWrap/>
          </w:tcPr>
          <w:p w14:paraId="25496E64" w14:textId="1ADC8F40" w:rsidR="003B6BD9" w:rsidRDefault="009E25E8">
            <w:pPr>
              <w:pStyle w:val="P68B1DB1-Normal7"/>
              <w:spacing w:before="0" w:after="0" w:line="240" w:lineRule="auto"/>
              <w:rPr>
                <w:rFonts w:eastAsia="Times New Roman"/>
                <w:noProof/>
              </w:rPr>
            </w:pPr>
            <w:r>
              <w:rPr>
                <w:noProof/>
              </w:rPr>
              <w:t xml:space="preserve">B: Stratégie de transformation numérique de l’industrie/des entreprises </w:t>
            </w:r>
          </w:p>
        </w:tc>
        <w:tc>
          <w:tcPr>
            <w:tcW w:w="1200" w:type="dxa"/>
            <w:shd w:val="clear" w:color="auto" w:fill="C6EFCE"/>
            <w:noWrap/>
          </w:tcPr>
          <w:p w14:paraId="0D1CA821" w14:textId="1A704B84" w:rsidR="003B6BD9" w:rsidRDefault="009E25E8">
            <w:pPr>
              <w:pStyle w:val="P68B1DB1-Normal7"/>
              <w:spacing w:before="0" w:after="0" w:line="240" w:lineRule="auto"/>
              <w:rPr>
                <w:rFonts w:eastAsia="Times New Roman"/>
                <w:noProof/>
              </w:rPr>
            </w:pPr>
            <w:r>
              <w:rPr>
                <w:noProof/>
              </w:rPr>
              <w:t>Cible</w:t>
            </w:r>
          </w:p>
        </w:tc>
        <w:tc>
          <w:tcPr>
            <w:tcW w:w="2280" w:type="dxa"/>
            <w:shd w:val="clear" w:color="auto" w:fill="C6EFCE"/>
            <w:noWrap/>
          </w:tcPr>
          <w:p w14:paraId="1F6ABD80" w14:textId="610DC272" w:rsidR="003B6BD9" w:rsidRDefault="009E25E8">
            <w:pPr>
              <w:pStyle w:val="P68B1DB1-Normal7"/>
              <w:spacing w:before="0" w:after="0" w:line="240" w:lineRule="auto"/>
              <w:rPr>
                <w:rFonts w:eastAsia="Times New Roman"/>
                <w:noProof/>
              </w:rPr>
            </w:pPr>
            <w:r>
              <w:rPr>
                <w:noProof/>
              </w:rPr>
              <w:t>Consortiums bénéficiant d’un soutien pour l’achèvement d’une transformation numérique complète</w:t>
            </w:r>
          </w:p>
        </w:tc>
        <w:tc>
          <w:tcPr>
            <w:tcW w:w="1722" w:type="dxa"/>
            <w:shd w:val="clear" w:color="auto" w:fill="C6EFCE"/>
            <w:noWrap/>
          </w:tcPr>
          <w:p w14:paraId="5CF4A43A" w14:textId="67E971CB" w:rsidR="003B6BD9" w:rsidRDefault="009E25E8">
            <w:pPr>
              <w:pStyle w:val="P68B1DB1-Normal7"/>
              <w:spacing w:before="0" w:after="0" w:line="240" w:lineRule="auto"/>
              <w:rPr>
                <w:rFonts w:eastAsia="Times New Roman"/>
                <w:noProof/>
              </w:rPr>
            </w:pPr>
            <w:r>
              <w:rPr>
                <w:noProof/>
              </w:rPr>
              <w:t> </w:t>
            </w:r>
          </w:p>
        </w:tc>
        <w:tc>
          <w:tcPr>
            <w:tcW w:w="1134" w:type="dxa"/>
            <w:shd w:val="clear" w:color="auto" w:fill="C6EFCE"/>
            <w:noWrap/>
          </w:tcPr>
          <w:p w14:paraId="304D1EE9" w14:textId="01BF658C" w:rsidR="003B6BD9" w:rsidRDefault="009E25E8">
            <w:pPr>
              <w:pStyle w:val="P68B1DB1-Normal7"/>
              <w:spacing w:before="0" w:after="0" w:line="240" w:lineRule="auto"/>
              <w:rPr>
                <w:rFonts w:eastAsia="Times New Roman"/>
                <w:noProof/>
              </w:rPr>
            </w:pPr>
            <w:r>
              <w:rPr>
                <w:noProof/>
              </w:rPr>
              <w:t>Nombre</w:t>
            </w:r>
          </w:p>
        </w:tc>
        <w:tc>
          <w:tcPr>
            <w:tcW w:w="1134" w:type="dxa"/>
            <w:shd w:val="clear" w:color="auto" w:fill="C6EFCE"/>
            <w:noWrap/>
          </w:tcPr>
          <w:p w14:paraId="19A7A252" w14:textId="26A75572" w:rsidR="003B6BD9" w:rsidRDefault="009E25E8">
            <w:pPr>
              <w:pStyle w:val="P68B1DB1-Normal7"/>
              <w:spacing w:before="0" w:after="0" w:line="240" w:lineRule="auto"/>
              <w:rPr>
                <w:rFonts w:eastAsia="Times New Roman"/>
                <w:noProof/>
              </w:rPr>
            </w:pPr>
            <w:r>
              <w:rPr>
                <w:noProof/>
              </w:rPr>
              <w:t>0</w:t>
            </w:r>
          </w:p>
        </w:tc>
        <w:tc>
          <w:tcPr>
            <w:tcW w:w="708" w:type="dxa"/>
            <w:shd w:val="clear" w:color="auto" w:fill="C6EFCE"/>
            <w:noWrap/>
          </w:tcPr>
          <w:p w14:paraId="4F0AD6D1" w14:textId="7C85C8FC" w:rsidR="003B6BD9" w:rsidRDefault="009E25E8">
            <w:pPr>
              <w:pStyle w:val="P68B1DB1-Normal7"/>
              <w:spacing w:before="0" w:after="0" w:line="240" w:lineRule="auto"/>
              <w:rPr>
                <w:rFonts w:eastAsia="Times New Roman"/>
                <w:noProof/>
              </w:rPr>
            </w:pPr>
            <w:r>
              <w:rPr>
                <w:noProof/>
              </w:rPr>
              <w:t>20</w:t>
            </w:r>
          </w:p>
        </w:tc>
        <w:tc>
          <w:tcPr>
            <w:tcW w:w="993" w:type="dxa"/>
            <w:shd w:val="clear" w:color="auto" w:fill="C6EFCE"/>
            <w:noWrap/>
          </w:tcPr>
          <w:p w14:paraId="6DDFDE26" w14:textId="337C62D5" w:rsidR="003B6BD9" w:rsidRDefault="009E25E8">
            <w:pPr>
              <w:pStyle w:val="P68B1DB1-Normal7"/>
              <w:spacing w:before="0" w:after="0" w:line="240" w:lineRule="auto"/>
              <w:rPr>
                <w:rFonts w:eastAsia="Times New Roman"/>
                <w:noProof/>
              </w:rPr>
            </w:pPr>
            <w:r>
              <w:rPr>
                <w:noProof/>
              </w:rPr>
              <w:t>T2</w:t>
            </w:r>
          </w:p>
        </w:tc>
        <w:tc>
          <w:tcPr>
            <w:tcW w:w="708" w:type="dxa"/>
            <w:shd w:val="clear" w:color="auto" w:fill="C6EFCE"/>
            <w:noWrap/>
          </w:tcPr>
          <w:p w14:paraId="405A49EC" w14:textId="22617BCE" w:rsidR="003B6BD9" w:rsidRDefault="009E25E8">
            <w:pPr>
              <w:pStyle w:val="P68B1DB1-Normal7"/>
              <w:spacing w:before="0" w:after="0" w:line="240" w:lineRule="auto"/>
              <w:rPr>
                <w:rFonts w:eastAsia="Times New Roman"/>
                <w:noProof/>
              </w:rPr>
            </w:pPr>
            <w:r>
              <w:rPr>
                <w:noProof/>
              </w:rPr>
              <w:t>2024</w:t>
            </w:r>
          </w:p>
        </w:tc>
        <w:tc>
          <w:tcPr>
            <w:tcW w:w="3150" w:type="dxa"/>
            <w:shd w:val="clear" w:color="auto" w:fill="C6EFCE"/>
            <w:noWrap/>
          </w:tcPr>
          <w:p w14:paraId="3BA67BC2" w14:textId="77777777" w:rsidR="003B6BD9" w:rsidRDefault="009E25E8">
            <w:pPr>
              <w:pStyle w:val="P68B1DB1-Normal7"/>
              <w:spacing w:before="0" w:after="0" w:line="256" w:lineRule="auto"/>
              <w:rPr>
                <w:rFonts w:eastAsia="Times New Roman"/>
                <w:noProof/>
              </w:rPr>
            </w:pPr>
            <w:r>
              <w:rPr>
                <w:noProof/>
              </w:rPr>
              <w:t xml:space="preserve">Projets achevés conformément aux stratégies numériques produites au titre du jalon 81. </w:t>
            </w:r>
          </w:p>
          <w:p w14:paraId="62D2AEC9" w14:textId="577B6CD3" w:rsidR="003B6BD9" w:rsidRDefault="009E25E8">
            <w:pPr>
              <w:pStyle w:val="P68B1DB1-Normal7"/>
              <w:spacing w:before="0" w:after="0" w:line="240" w:lineRule="auto"/>
              <w:rPr>
                <w:rFonts w:eastAsia="Times New Roman"/>
                <w:noProof/>
              </w:rPr>
            </w:pPr>
            <w:r>
              <w:rPr>
                <w:noProof/>
              </w:rPr>
              <w:t>Le montant total du financement est d’au moins 43 808 855 EUR, dont au moins 10 000 000 EUR sont consacrés aux petites et moyennes entreprises.</w:t>
            </w:r>
          </w:p>
        </w:tc>
      </w:tr>
      <w:tr w:rsidR="003B6BD9" w14:paraId="03F666CA" w14:textId="77777777" w:rsidTr="00AC1D11">
        <w:trPr>
          <w:trHeight w:val="309"/>
          <w:jc w:val="center"/>
        </w:trPr>
        <w:tc>
          <w:tcPr>
            <w:tcW w:w="955" w:type="dxa"/>
            <w:shd w:val="clear" w:color="auto" w:fill="C6EFCE"/>
            <w:noWrap/>
          </w:tcPr>
          <w:p w14:paraId="55B9A4BA" w14:textId="6DB5F0CA" w:rsidR="003B6BD9" w:rsidRDefault="009E25E8">
            <w:pPr>
              <w:pStyle w:val="P68B1DB1-Normal7"/>
              <w:spacing w:before="0" w:after="0" w:line="240" w:lineRule="auto"/>
              <w:rPr>
                <w:rFonts w:eastAsia="Times New Roman"/>
                <w:noProof/>
              </w:rPr>
            </w:pPr>
            <w:r>
              <w:rPr>
                <w:noProof/>
              </w:rPr>
              <w:t>83</w:t>
            </w:r>
          </w:p>
        </w:tc>
        <w:tc>
          <w:tcPr>
            <w:tcW w:w="1560" w:type="dxa"/>
            <w:shd w:val="clear" w:color="auto" w:fill="C6EFCE"/>
            <w:noWrap/>
          </w:tcPr>
          <w:p w14:paraId="4DF16430" w14:textId="77E366AC" w:rsidR="003B6BD9" w:rsidRDefault="009E25E8">
            <w:pPr>
              <w:pStyle w:val="P68B1DB1-Normal7"/>
              <w:spacing w:before="0" w:after="0" w:line="240" w:lineRule="auto"/>
              <w:rPr>
                <w:rFonts w:eastAsia="Times New Roman"/>
                <w:noProof/>
              </w:rPr>
            </w:pPr>
            <w:r>
              <w:rPr>
                <w:noProof/>
              </w:rPr>
              <w:t>D: Projets transfrontaliers et plurinationaux — Infrastructure et services européens communs de données</w:t>
            </w:r>
          </w:p>
        </w:tc>
        <w:tc>
          <w:tcPr>
            <w:tcW w:w="1200" w:type="dxa"/>
            <w:shd w:val="clear" w:color="auto" w:fill="C6EFCE"/>
            <w:noWrap/>
          </w:tcPr>
          <w:p w14:paraId="409D5F80" w14:textId="69E6D549" w:rsidR="003B6BD9" w:rsidRDefault="009E25E8">
            <w:pPr>
              <w:pStyle w:val="P68B1DB1-Normal7"/>
              <w:spacing w:before="0" w:after="0" w:line="240" w:lineRule="auto"/>
              <w:rPr>
                <w:rFonts w:eastAsia="Times New Roman"/>
                <w:noProof/>
              </w:rPr>
            </w:pPr>
            <w:r>
              <w:rPr>
                <w:noProof/>
              </w:rPr>
              <w:t>Jalon</w:t>
            </w:r>
          </w:p>
        </w:tc>
        <w:tc>
          <w:tcPr>
            <w:tcW w:w="2280" w:type="dxa"/>
            <w:shd w:val="clear" w:color="auto" w:fill="C6EFCE"/>
            <w:noWrap/>
          </w:tcPr>
          <w:p w14:paraId="70659813" w14:textId="579134A6" w:rsidR="003B6BD9" w:rsidRDefault="009E25E8">
            <w:pPr>
              <w:pStyle w:val="P68B1DB1-Normal7"/>
              <w:spacing w:before="0" w:after="0" w:line="240" w:lineRule="auto"/>
              <w:rPr>
                <w:rFonts w:eastAsia="Times New Roman"/>
                <w:noProof/>
              </w:rPr>
            </w:pPr>
            <w:r>
              <w:rPr>
                <w:noProof/>
              </w:rPr>
              <w:t>Lancement de l’appel à manifestation d’intérêt pour un nouveau projet sur l’informatique en nuage de nouvelle génération.</w:t>
            </w:r>
          </w:p>
        </w:tc>
        <w:tc>
          <w:tcPr>
            <w:tcW w:w="1722" w:type="dxa"/>
            <w:shd w:val="clear" w:color="auto" w:fill="C6EFCE"/>
            <w:noWrap/>
          </w:tcPr>
          <w:p w14:paraId="0488044C" w14:textId="789DAA0E" w:rsidR="003B6BD9" w:rsidRDefault="009E25E8">
            <w:pPr>
              <w:pStyle w:val="P68B1DB1-Normal7"/>
              <w:spacing w:before="0" w:after="0" w:line="240" w:lineRule="auto"/>
              <w:rPr>
                <w:rFonts w:eastAsia="Times New Roman"/>
                <w:noProof/>
              </w:rPr>
            </w:pPr>
            <w:r>
              <w:rPr>
                <w:noProof/>
              </w:rPr>
              <w:t>Publication d’un appel à manifestation d’intérêt</w:t>
            </w:r>
          </w:p>
        </w:tc>
        <w:tc>
          <w:tcPr>
            <w:tcW w:w="1134" w:type="dxa"/>
            <w:shd w:val="clear" w:color="auto" w:fill="C6EFCE"/>
            <w:noWrap/>
          </w:tcPr>
          <w:p w14:paraId="71198098" w14:textId="5391CE8D" w:rsidR="003B6BD9" w:rsidRDefault="009E25E8">
            <w:pPr>
              <w:pStyle w:val="P68B1DB1-Normal7"/>
              <w:spacing w:before="0" w:after="0" w:line="240" w:lineRule="auto"/>
              <w:rPr>
                <w:rFonts w:eastAsia="Times New Roman"/>
                <w:noProof/>
              </w:rPr>
            </w:pPr>
            <w:r>
              <w:rPr>
                <w:noProof/>
              </w:rPr>
              <w:t> </w:t>
            </w:r>
          </w:p>
        </w:tc>
        <w:tc>
          <w:tcPr>
            <w:tcW w:w="1134" w:type="dxa"/>
            <w:shd w:val="clear" w:color="auto" w:fill="C6EFCE"/>
            <w:noWrap/>
          </w:tcPr>
          <w:p w14:paraId="7A672EC4" w14:textId="1BADCD9E" w:rsidR="003B6BD9" w:rsidRDefault="009E25E8">
            <w:pPr>
              <w:pStyle w:val="P68B1DB1-Normal7"/>
              <w:spacing w:before="0" w:after="0" w:line="240" w:lineRule="auto"/>
              <w:rPr>
                <w:rFonts w:eastAsia="Times New Roman"/>
                <w:noProof/>
              </w:rPr>
            </w:pPr>
            <w:r>
              <w:rPr>
                <w:noProof/>
              </w:rPr>
              <w:t> </w:t>
            </w:r>
          </w:p>
        </w:tc>
        <w:tc>
          <w:tcPr>
            <w:tcW w:w="708" w:type="dxa"/>
            <w:shd w:val="clear" w:color="auto" w:fill="C6EFCE"/>
            <w:noWrap/>
          </w:tcPr>
          <w:p w14:paraId="637A169A" w14:textId="75B5EA6E" w:rsidR="003B6BD9" w:rsidRDefault="009E25E8">
            <w:pPr>
              <w:pStyle w:val="P68B1DB1-Normal7"/>
              <w:spacing w:before="0" w:after="0" w:line="240" w:lineRule="auto"/>
              <w:rPr>
                <w:rFonts w:eastAsia="Times New Roman"/>
                <w:noProof/>
              </w:rPr>
            </w:pPr>
            <w:r>
              <w:rPr>
                <w:noProof/>
              </w:rPr>
              <w:t> </w:t>
            </w:r>
          </w:p>
        </w:tc>
        <w:tc>
          <w:tcPr>
            <w:tcW w:w="993" w:type="dxa"/>
            <w:shd w:val="clear" w:color="auto" w:fill="C6EFCE"/>
            <w:noWrap/>
          </w:tcPr>
          <w:p w14:paraId="5DC20675" w14:textId="5EEF7B77" w:rsidR="003B6BD9" w:rsidRDefault="009E25E8">
            <w:pPr>
              <w:pStyle w:val="P68B1DB1-Normal7"/>
              <w:spacing w:before="0" w:after="0" w:line="240" w:lineRule="auto"/>
              <w:rPr>
                <w:rFonts w:eastAsia="Times New Roman"/>
                <w:noProof/>
              </w:rPr>
            </w:pPr>
            <w:r>
              <w:rPr>
                <w:noProof/>
              </w:rPr>
              <w:t>T2</w:t>
            </w:r>
          </w:p>
        </w:tc>
        <w:tc>
          <w:tcPr>
            <w:tcW w:w="708" w:type="dxa"/>
            <w:shd w:val="clear" w:color="auto" w:fill="C6EFCE"/>
            <w:noWrap/>
          </w:tcPr>
          <w:p w14:paraId="777EA1A6" w14:textId="246067AA" w:rsidR="003B6BD9" w:rsidRDefault="009E25E8">
            <w:pPr>
              <w:pStyle w:val="P68B1DB1-Normal7"/>
              <w:spacing w:before="0" w:after="0" w:line="240" w:lineRule="auto"/>
              <w:rPr>
                <w:rFonts w:eastAsia="Times New Roman"/>
                <w:noProof/>
              </w:rPr>
            </w:pPr>
            <w:r>
              <w:rPr>
                <w:noProof/>
              </w:rPr>
              <w:t>2021</w:t>
            </w:r>
          </w:p>
        </w:tc>
        <w:tc>
          <w:tcPr>
            <w:tcW w:w="3150" w:type="dxa"/>
            <w:shd w:val="clear" w:color="auto" w:fill="C6EFCE"/>
            <w:noWrap/>
          </w:tcPr>
          <w:p w14:paraId="500C53C4" w14:textId="217599A9" w:rsidR="003B6BD9" w:rsidRDefault="009E25E8">
            <w:pPr>
              <w:pStyle w:val="P68B1DB1-Normal7"/>
              <w:spacing w:before="0" w:after="0" w:line="240" w:lineRule="auto"/>
              <w:rPr>
                <w:rFonts w:eastAsia="Times New Roman"/>
                <w:noProof/>
              </w:rPr>
            </w:pPr>
            <w:r>
              <w:rPr>
                <w:noProof/>
              </w:rPr>
              <w:t>Appel à manifestation d’intérêt pour la participation à un projet transfrontière plurinational d’infrastructures et de services de données européens communs, dont la mise en œuvre est prévue en tant que projet important d’intérêt européen commun (PIIEC) sur les infrastructures et services d’informatique en nuage de nouvelle génération.</w:t>
            </w:r>
          </w:p>
        </w:tc>
      </w:tr>
      <w:tr w:rsidR="003B6BD9" w14:paraId="6AC26B95" w14:textId="77777777" w:rsidTr="00AC1D11">
        <w:trPr>
          <w:trHeight w:val="309"/>
          <w:jc w:val="center"/>
        </w:trPr>
        <w:tc>
          <w:tcPr>
            <w:tcW w:w="955" w:type="dxa"/>
            <w:shd w:val="clear" w:color="auto" w:fill="C6EFCE"/>
            <w:noWrap/>
          </w:tcPr>
          <w:p w14:paraId="57BA9E9D" w14:textId="3794A503" w:rsidR="003B6BD9" w:rsidRDefault="009E25E8">
            <w:pPr>
              <w:pStyle w:val="P68B1DB1-Normal7"/>
              <w:spacing w:before="0" w:after="0" w:line="240" w:lineRule="auto"/>
              <w:rPr>
                <w:rFonts w:eastAsia="Times New Roman"/>
                <w:noProof/>
              </w:rPr>
            </w:pPr>
            <w:r>
              <w:rPr>
                <w:noProof/>
              </w:rPr>
              <w:t>84</w:t>
            </w:r>
          </w:p>
        </w:tc>
        <w:tc>
          <w:tcPr>
            <w:tcW w:w="1560" w:type="dxa"/>
            <w:shd w:val="clear" w:color="auto" w:fill="C6EFCE"/>
            <w:noWrap/>
          </w:tcPr>
          <w:p w14:paraId="2D63E286" w14:textId="5C8B3BE8" w:rsidR="003B6BD9" w:rsidRDefault="009E25E8">
            <w:pPr>
              <w:pStyle w:val="P68B1DB1-Normal7"/>
              <w:spacing w:before="0" w:after="0" w:line="240" w:lineRule="auto"/>
              <w:rPr>
                <w:rFonts w:eastAsia="Times New Roman"/>
                <w:noProof/>
              </w:rPr>
            </w:pPr>
            <w:r>
              <w:rPr>
                <w:noProof/>
              </w:rPr>
              <w:t>D: Projets transfrontaliers et plurinationaux — Infrastructure et services européens communs de données</w:t>
            </w:r>
          </w:p>
        </w:tc>
        <w:tc>
          <w:tcPr>
            <w:tcW w:w="1200" w:type="dxa"/>
            <w:shd w:val="clear" w:color="auto" w:fill="C6EFCE"/>
            <w:noWrap/>
          </w:tcPr>
          <w:p w14:paraId="6BF60153" w14:textId="6486089F" w:rsidR="003B6BD9" w:rsidRDefault="009E25E8">
            <w:pPr>
              <w:pStyle w:val="P68B1DB1-Normal7"/>
              <w:spacing w:before="0" w:after="0" w:line="240" w:lineRule="auto"/>
              <w:rPr>
                <w:rFonts w:eastAsia="Times New Roman"/>
                <w:noProof/>
              </w:rPr>
            </w:pPr>
            <w:r>
              <w:rPr>
                <w:noProof/>
              </w:rPr>
              <w:t>Cible</w:t>
            </w:r>
          </w:p>
        </w:tc>
        <w:tc>
          <w:tcPr>
            <w:tcW w:w="2280" w:type="dxa"/>
            <w:shd w:val="clear" w:color="auto" w:fill="C6EFCE"/>
            <w:noWrap/>
          </w:tcPr>
          <w:p w14:paraId="579DB467" w14:textId="066AE1AB" w:rsidR="003B6BD9" w:rsidRDefault="009E25E8">
            <w:pPr>
              <w:pStyle w:val="P68B1DB1-Normal7"/>
              <w:spacing w:before="0" w:after="0" w:line="240" w:lineRule="auto"/>
              <w:rPr>
                <w:rFonts w:eastAsia="Times New Roman"/>
                <w:noProof/>
              </w:rPr>
            </w:pPr>
            <w:r>
              <w:rPr>
                <w:noProof/>
              </w:rPr>
              <w:t>Rapports sur les solutions de traitement des données</w:t>
            </w:r>
          </w:p>
        </w:tc>
        <w:tc>
          <w:tcPr>
            <w:tcW w:w="1722" w:type="dxa"/>
            <w:shd w:val="clear" w:color="auto" w:fill="C6EFCE"/>
            <w:noWrap/>
          </w:tcPr>
          <w:p w14:paraId="581EB8F2" w14:textId="4764EBC6" w:rsidR="003B6BD9" w:rsidRDefault="009E25E8">
            <w:pPr>
              <w:pStyle w:val="P68B1DB1-Normal7"/>
              <w:spacing w:before="0" w:after="0" w:line="240" w:lineRule="auto"/>
              <w:rPr>
                <w:rFonts w:eastAsia="Times New Roman"/>
                <w:noProof/>
              </w:rPr>
            </w:pPr>
            <w:r>
              <w:rPr>
                <w:noProof/>
              </w:rPr>
              <w:t> </w:t>
            </w:r>
          </w:p>
        </w:tc>
        <w:tc>
          <w:tcPr>
            <w:tcW w:w="1134" w:type="dxa"/>
            <w:shd w:val="clear" w:color="auto" w:fill="C6EFCE"/>
            <w:noWrap/>
          </w:tcPr>
          <w:p w14:paraId="2DA9FA7A" w14:textId="05B5E90B" w:rsidR="003B6BD9" w:rsidRDefault="009E25E8">
            <w:pPr>
              <w:pStyle w:val="P68B1DB1-Normal7"/>
              <w:spacing w:before="0" w:after="0" w:line="240" w:lineRule="auto"/>
              <w:rPr>
                <w:rFonts w:eastAsia="Times New Roman"/>
                <w:noProof/>
              </w:rPr>
            </w:pPr>
            <w:r>
              <w:rPr>
                <w:noProof/>
              </w:rPr>
              <w:t>Nombre</w:t>
            </w:r>
          </w:p>
        </w:tc>
        <w:tc>
          <w:tcPr>
            <w:tcW w:w="1134" w:type="dxa"/>
            <w:shd w:val="clear" w:color="auto" w:fill="C6EFCE"/>
            <w:noWrap/>
          </w:tcPr>
          <w:p w14:paraId="6CFAD6A3" w14:textId="2EBA03DE" w:rsidR="003B6BD9" w:rsidRDefault="009E25E8">
            <w:pPr>
              <w:pStyle w:val="P68B1DB1-Normal7"/>
              <w:spacing w:before="0" w:after="0" w:line="240" w:lineRule="auto"/>
              <w:rPr>
                <w:rFonts w:eastAsia="Times New Roman"/>
                <w:noProof/>
              </w:rPr>
            </w:pPr>
            <w:r>
              <w:rPr>
                <w:noProof/>
              </w:rPr>
              <w:t>0</w:t>
            </w:r>
          </w:p>
        </w:tc>
        <w:tc>
          <w:tcPr>
            <w:tcW w:w="708" w:type="dxa"/>
            <w:shd w:val="clear" w:color="auto" w:fill="C6EFCE"/>
            <w:noWrap/>
          </w:tcPr>
          <w:p w14:paraId="6E090D85" w14:textId="31333052" w:rsidR="003B6BD9" w:rsidRDefault="009E25E8">
            <w:pPr>
              <w:pStyle w:val="P68B1DB1-Normal7"/>
              <w:spacing w:before="0" w:after="0" w:line="240" w:lineRule="auto"/>
              <w:rPr>
                <w:rFonts w:eastAsia="Times New Roman"/>
                <w:noProof/>
              </w:rPr>
            </w:pPr>
            <w:r>
              <w:rPr>
                <w:noProof/>
              </w:rPr>
              <w:t>7</w:t>
            </w:r>
          </w:p>
        </w:tc>
        <w:tc>
          <w:tcPr>
            <w:tcW w:w="993" w:type="dxa"/>
            <w:shd w:val="clear" w:color="auto" w:fill="C6EFCE"/>
            <w:noWrap/>
          </w:tcPr>
          <w:p w14:paraId="6C588D24" w14:textId="13D17702" w:rsidR="003B6BD9" w:rsidRDefault="009E25E8">
            <w:pPr>
              <w:pStyle w:val="P68B1DB1-Normal7"/>
              <w:spacing w:before="0" w:after="0" w:line="240" w:lineRule="auto"/>
              <w:rPr>
                <w:rFonts w:eastAsia="Times New Roman"/>
                <w:noProof/>
              </w:rPr>
            </w:pPr>
            <w:r>
              <w:rPr>
                <w:noProof/>
              </w:rPr>
              <w:t>T2</w:t>
            </w:r>
          </w:p>
        </w:tc>
        <w:tc>
          <w:tcPr>
            <w:tcW w:w="708" w:type="dxa"/>
            <w:shd w:val="clear" w:color="auto" w:fill="C6EFCE"/>
            <w:noWrap/>
          </w:tcPr>
          <w:p w14:paraId="1C2B9897" w14:textId="31E232D5" w:rsidR="003B6BD9" w:rsidRDefault="009E25E8">
            <w:pPr>
              <w:pStyle w:val="P68B1DB1-Normal7"/>
              <w:spacing w:before="0" w:after="0" w:line="240" w:lineRule="auto"/>
              <w:rPr>
                <w:rFonts w:eastAsia="Times New Roman"/>
                <w:noProof/>
              </w:rPr>
            </w:pPr>
            <w:r>
              <w:rPr>
                <w:noProof/>
              </w:rPr>
              <w:t>2026</w:t>
            </w:r>
          </w:p>
        </w:tc>
        <w:tc>
          <w:tcPr>
            <w:tcW w:w="3150" w:type="dxa"/>
            <w:shd w:val="clear" w:color="auto" w:fill="C6EFCE"/>
            <w:noWrap/>
          </w:tcPr>
          <w:p w14:paraId="4F898BBB" w14:textId="2C634ECE" w:rsidR="003B6BD9" w:rsidRDefault="009E25E8">
            <w:pPr>
              <w:pStyle w:val="P68B1DB1-Normal7"/>
              <w:spacing w:before="0" w:after="0" w:line="240" w:lineRule="auto"/>
              <w:rPr>
                <w:rFonts w:eastAsia="Times New Roman"/>
                <w:noProof/>
              </w:rPr>
            </w:pPr>
            <w:r>
              <w:rPr>
                <w:noProof/>
              </w:rPr>
              <w:t>Les bénéficiaires présentent des rapports sur les solutions de traitement des données. Les solutions de traitement des données présentées dans les rapports sont au moins en phase pilote.</w:t>
            </w:r>
          </w:p>
        </w:tc>
      </w:tr>
      <w:tr w:rsidR="003B6BD9" w14:paraId="4F288096" w14:textId="77777777" w:rsidTr="00AC1D11">
        <w:trPr>
          <w:trHeight w:val="309"/>
          <w:jc w:val="center"/>
        </w:trPr>
        <w:tc>
          <w:tcPr>
            <w:tcW w:w="955" w:type="dxa"/>
            <w:shd w:val="clear" w:color="auto" w:fill="C6EFCE"/>
            <w:noWrap/>
          </w:tcPr>
          <w:p w14:paraId="68B1F6E3" w14:textId="4EA206CB" w:rsidR="003B6BD9" w:rsidRDefault="009E25E8">
            <w:pPr>
              <w:pStyle w:val="P68B1DB1-Normal7"/>
              <w:spacing w:before="0" w:after="0" w:line="240" w:lineRule="auto"/>
              <w:rPr>
                <w:rFonts w:eastAsia="Times New Roman"/>
                <w:noProof/>
              </w:rPr>
            </w:pPr>
            <w:r>
              <w:rPr>
                <w:noProof/>
              </w:rPr>
              <w:t>85</w:t>
            </w:r>
          </w:p>
        </w:tc>
        <w:tc>
          <w:tcPr>
            <w:tcW w:w="1560" w:type="dxa"/>
            <w:shd w:val="clear" w:color="auto" w:fill="C6EFCE"/>
            <w:noWrap/>
          </w:tcPr>
          <w:p w14:paraId="0E5951BD" w14:textId="38EB87F7" w:rsidR="003B6BD9" w:rsidRDefault="009E25E8">
            <w:pPr>
              <w:pStyle w:val="P68B1DB1-Normal7"/>
              <w:spacing w:before="0" w:after="0" w:line="240" w:lineRule="auto"/>
              <w:rPr>
                <w:rFonts w:eastAsia="Times New Roman"/>
                <w:noProof/>
              </w:rPr>
            </w:pPr>
            <w:r>
              <w:rPr>
                <w:noProof/>
              </w:rPr>
              <w:t>E: Projets transfrontaliers et multinationaux — Processeurs de faible puissance et semi-conducteurs</w:t>
            </w:r>
          </w:p>
        </w:tc>
        <w:tc>
          <w:tcPr>
            <w:tcW w:w="1200" w:type="dxa"/>
            <w:shd w:val="clear" w:color="auto" w:fill="C6EFCE"/>
            <w:noWrap/>
          </w:tcPr>
          <w:p w14:paraId="13A16906" w14:textId="3ECBEFFD" w:rsidR="003B6BD9" w:rsidRDefault="009E25E8">
            <w:pPr>
              <w:pStyle w:val="P68B1DB1-Normal7"/>
              <w:spacing w:before="0" w:after="0" w:line="240" w:lineRule="auto"/>
              <w:rPr>
                <w:rFonts w:eastAsia="Times New Roman"/>
                <w:noProof/>
              </w:rPr>
            </w:pPr>
            <w:r>
              <w:rPr>
                <w:noProof/>
              </w:rPr>
              <w:t>Jalon</w:t>
            </w:r>
          </w:p>
        </w:tc>
        <w:tc>
          <w:tcPr>
            <w:tcW w:w="2280" w:type="dxa"/>
            <w:shd w:val="clear" w:color="auto" w:fill="C6EFCE"/>
            <w:noWrap/>
          </w:tcPr>
          <w:p w14:paraId="3246C8D9" w14:textId="30C28DE9" w:rsidR="003B6BD9" w:rsidRDefault="009E25E8">
            <w:pPr>
              <w:pStyle w:val="P68B1DB1-Normal7"/>
              <w:spacing w:before="0" w:after="0" w:line="240" w:lineRule="auto"/>
              <w:rPr>
                <w:rFonts w:eastAsia="Times New Roman"/>
                <w:noProof/>
              </w:rPr>
            </w:pPr>
            <w:r>
              <w:rPr>
                <w:noProof/>
              </w:rPr>
              <w:t>Finalisation de la liste des participants potentiels au projet commun.</w:t>
            </w:r>
          </w:p>
        </w:tc>
        <w:tc>
          <w:tcPr>
            <w:tcW w:w="1722" w:type="dxa"/>
            <w:shd w:val="clear" w:color="auto" w:fill="C6EFCE"/>
            <w:noWrap/>
          </w:tcPr>
          <w:p w14:paraId="6093F31D" w14:textId="32CAE4AF" w:rsidR="003B6BD9" w:rsidRDefault="009E25E8">
            <w:pPr>
              <w:pStyle w:val="P68B1DB1-Normal7"/>
              <w:spacing w:before="0" w:after="0" w:line="240" w:lineRule="auto"/>
              <w:rPr>
                <w:rFonts w:eastAsia="Times New Roman"/>
                <w:noProof/>
              </w:rPr>
            </w:pPr>
            <w:r>
              <w:rPr>
                <w:noProof/>
              </w:rPr>
              <w:t>Finalisation de la liste</w:t>
            </w:r>
          </w:p>
        </w:tc>
        <w:tc>
          <w:tcPr>
            <w:tcW w:w="1134" w:type="dxa"/>
            <w:shd w:val="clear" w:color="auto" w:fill="C6EFCE"/>
            <w:noWrap/>
          </w:tcPr>
          <w:p w14:paraId="26E287EA" w14:textId="2CB3DA87" w:rsidR="003B6BD9" w:rsidRDefault="009E25E8">
            <w:pPr>
              <w:pStyle w:val="P68B1DB1-Normal7"/>
              <w:spacing w:before="0" w:after="0" w:line="240" w:lineRule="auto"/>
              <w:rPr>
                <w:rFonts w:eastAsia="Times New Roman"/>
                <w:noProof/>
              </w:rPr>
            </w:pPr>
            <w:r>
              <w:rPr>
                <w:noProof/>
              </w:rPr>
              <w:t> </w:t>
            </w:r>
          </w:p>
        </w:tc>
        <w:tc>
          <w:tcPr>
            <w:tcW w:w="1134" w:type="dxa"/>
            <w:shd w:val="clear" w:color="auto" w:fill="C6EFCE"/>
            <w:noWrap/>
          </w:tcPr>
          <w:p w14:paraId="5B84D075" w14:textId="0AD3356D" w:rsidR="003B6BD9" w:rsidRDefault="009E25E8">
            <w:pPr>
              <w:pStyle w:val="P68B1DB1-Normal7"/>
              <w:spacing w:before="0" w:after="0" w:line="240" w:lineRule="auto"/>
              <w:rPr>
                <w:rFonts w:eastAsia="Times New Roman"/>
                <w:noProof/>
              </w:rPr>
            </w:pPr>
            <w:r>
              <w:rPr>
                <w:noProof/>
              </w:rPr>
              <w:t> </w:t>
            </w:r>
          </w:p>
        </w:tc>
        <w:tc>
          <w:tcPr>
            <w:tcW w:w="708" w:type="dxa"/>
            <w:shd w:val="clear" w:color="auto" w:fill="C6EFCE"/>
            <w:noWrap/>
          </w:tcPr>
          <w:p w14:paraId="113DF80A" w14:textId="63B55BE8" w:rsidR="003B6BD9" w:rsidRDefault="009E25E8">
            <w:pPr>
              <w:pStyle w:val="P68B1DB1-Normal7"/>
              <w:spacing w:before="0" w:after="0" w:line="240" w:lineRule="auto"/>
              <w:rPr>
                <w:rFonts w:eastAsia="Times New Roman"/>
                <w:noProof/>
              </w:rPr>
            </w:pPr>
            <w:r>
              <w:rPr>
                <w:noProof/>
              </w:rPr>
              <w:t> </w:t>
            </w:r>
          </w:p>
        </w:tc>
        <w:tc>
          <w:tcPr>
            <w:tcW w:w="993" w:type="dxa"/>
            <w:shd w:val="clear" w:color="auto" w:fill="C6EFCE"/>
            <w:noWrap/>
          </w:tcPr>
          <w:p w14:paraId="116161D1" w14:textId="3F93ADCC" w:rsidR="003B6BD9" w:rsidRDefault="009E25E8">
            <w:pPr>
              <w:pStyle w:val="P68B1DB1-Normal7"/>
              <w:spacing w:before="0" w:after="0" w:line="240" w:lineRule="auto"/>
              <w:rPr>
                <w:rFonts w:eastAsia="Times New Roman"/>
                <w:noProof/>
              </w:rPr>
            </w:pPr>
            <w:r>
              <w:rPr>
                <w:noProof/>
              </w:rPr>
              <w:t>T2</w:t>
            </w:r>
          </w:p>
        </w:tc>
        <w:tc>
          <w:tcPr>
            <w:tcW w:w="708" w:type="dxa"/>
            <w:shd w:val="clear" w:color="auto" w:fill="C6EFCE"/>
            <w:noWrap/>
          </w:tcPr>
          <w:p w14:paraId="5FF23BA8" w14:textId="1F7F2EC6" w:rsidR="003B6BD9" w:rsidRDefault="009E25E8">
            <w:pPr>
              <w:pStyle w:val="P68B1DB1-Normal7"/>
              <w:spacing w:before="0" w:after="0" w:line="240" w:lineRule="auto"/>
              <w:rPr>
                <w:rFonts w:eastAsia="Times New Roman"/>
                <w:noProof/>
              </w:rPr>
            </w:pPr>
            <w:r>
              <w:rPr>
                <w:noProof/>
              </w:rPr>
              <w:t>2021</w:t>
            </w:r>
          </w:p>
        </w:tc>
        <w:tc>
          <w:tcPr>
            <w:tcW w:w="3150" w:type="dxa"/>
            <w:shd w:val="clear" w:color="auto" w:fill="C6EFCE"/>
            <w:noWrap/>
          </w:tcPr>
          <w:p w14:paraId="6AE786BA" w14:textId="34D59A08" w:rsidR="003B6BD9" w:rsidRDefault="009E25E8">
            <w:pPr>
              <w:pStyle w:val="P68B1DB1-Normal7"/>
              <w:spacing w:before="0" w:after="0" w:line="256" w:lineRule="auto"/>
              <w:rPr>
                <w:rFonts w:eastAsia="Times New Roman"/>
                <w:noProof/>
              </w:rPr>
            </w:pPr>
            <w:r>
              <w:rPr>
                <w:noProof/>
              </w:rPr>
              <w:t>Finalisation de la liste des participants à un projet plurinational dans le domaine de la microélectronique, dont la mise en œuvre est prévue en tant que projet important d’intérêt européen commun (PIIEC).</w:t>
            </w:r>
          </w:p>
        </w:tc>
      </w:tr>
      <w:tr w:rsidR="003B6BD9" w14:paraId="589F3CEF" w14:textId="77777777" w:rsidTr="00AC1D11">
        <w:trPr>
          <w:trHeight w:val="309"/>
          <w:jc w:val="center"/>
        </w:trPr>
        <w:tc>
          <w:tcPr>
            <w:tcW w:w="955" w:type="dxa"/>
            <w:shd w:val="clear" w:color="auto" w:fill="C6EFCE"/>
            <w:noWrap/>
          </w:tcPr>
          <w:p w14:paraId="47FA28BE" w14:textId="358BA708" w:rsidR="003B6BD9" w:rsidRDefault="009E25E8">
            <w:pPr>
              <w:pStyle w:val="P68B1DB1-Normal7"/>
              <w:spacing w:before="0" w:after="0" w:line="240" w:lineRule="auto"/>
              <w:rPr>
                <w:rFonts w:eastAsia="Times New Roman"/>
                <w:noProof/>
              </w:rPr>
            </w:pPr>
            <w:r>
              <w:rPr>
                <w:noProof/>
              </w:rPr>
              <w:t>86</w:t>
            </w:r>
          </w:p>
        </w:tc>
        <w:tc>
          <w:tcPr>
            <w:tcW w:w="1560" w:type="dxa"/>
            <w:shd w:val="clear" w:color="auto" w:fill="C6EFCE"/>
            <w:noWrap/>
          </w:tcPr>
          <w:p w14:paraId="62F9EC9E" w14:textId="4993B067" w:rsidR="003B6BD9" w:rsidRDefault="009E25E8">
            <w:pPr>
              <w:pStyle w:val="P68B1DB1-Normal7"/>
              <w:spacing w:before="0" w:after="0" w:line="240" w:lineRule="auto"/>
              <w:rPr>
                <w:rFonts w:eastAsia="Times New Roman"/>
                <w:noProof/>
              </w:rPr>
            </w:pPr>
            <w:r>
              <w:rPr>
                <w:noProof/>
              </w:rPr>
              <w:t>E: Projets transfrontaliers et multinationaux — Processeurs de faible puissance et semi-conducteurs</w:t>
            </w:r>
          </w:p>
        </w:tc>
        <w:tc>
          <w:tcPr>
            <w:tcW w:w="1200" w:type="dxa"/>
            <w:shd w:val="clear" w:color="auto" w:fill="C6EFCE"/>
            <w:noWrap/>
          </w:tcPr>
          <w:p w14:paraId="28F7634F" w14:textId="41E338BC" w:rsidR="003B6BD9" w:rsidRDefault="009E25E8">
            <w:pPr>
              <w:pStyle w:val="P68B1DB1-Normal7"/>
              <w:spacing w:before="0" w:after="0" w:line="240" w:lineRule="auto"/>
              <w:rPr>
                <w:rFonts w:eastAsia="Times New Roman"/>
                <w:noProof/>
              </w:rPr>
            </w:pPr>
            <w:r>
              <w:rPr>
                <w:noProof/>
              </w:rPr>
              <w:t>Cible</w:t>
            </w:r>
          </w:p>
        </w:tc>
        <w:tc>
          <w:tcPr>
            <w:tcW w:w="2280" w:type="dxa"/>
            <w:shd w:val="clear" w:color="auto" w:fill="C6EFCE"/>
            <w:noWrap/>
          </w:tcPr>
          <w:p w14:paraId="35A9957B" w14:textId="45044B8E" w:rsidR="003B6BD9" w:rsidRDefault="009E25E8">
            <w:pPr>
              <w:pStyle w:val="P68B1DB1-Normal7"/>
              <w:spacing w:before="0" w:after="0" w:line="240" w:lineRule="auto"/>
              <w:rPr>
                <w:rFonts w:eastAsia="Times New Roman"/>
                <w:noProof/>
              </w:rPr>
            </w:pPr>
            <w:r>
              <w:rPr>
                <w:noProof/>
              </w:rPr>
              <w:t>Nombre de projets lancés</w:t>
            </w:r>
          </w:p>
        </w:tc>
        <w:tc>
          <w:tcPr>
            <w:tcW w:w="1722" w:type="dxa"/>
            <w:shd w:val="clear" w:color="auto" w:fill="C6EFCE"/>
            <w:noWrap/>
          </w:tcPr>
          <w:p w14:paraId="45D869F9" w14:textId="50D35675" w:rsidR="003B6BD9" w:rsidRDefault="009E25E8">
            <w:pPr>
              <w:pStyle w:val="P68B1DB1-Normal7"/>
              <w:spacing w:before="0" w:after="0" w:line="240" w:lineRule="auto"/>
              <w:rPr>
                <w:rFonts w:eastAsia="Times New Roman"/>
                <w:noProof/>
              </w:rPr>
            </w:pPr>
            <w:r>
              <w:rPr>
                <w:noProof/>
              </w:rPr>
              <w:t> </w:t>
            </w:r>
          </w:p>
        </w:tc>
        <w:tc>
          <w:tcPr>
            <w:tcW w:w="1134" w:type="dxa"/>
            <w:shd w:val="clear" w:color="auto" w:fill="C6EFCE"/>
            <w:noWrap/>
          </w:tcPr>
          <w:p w14:paraId="1A664A94" w14:textId="56A8B878" w:rsidR="003B6BD9" w:rsidRDefault="009E25E8">
            <w:pPr>
              <w:pStyle w:val="P68B1DB1-Normal7"/>
              <w:spacing w:before="0" w:after="0" w:line="240" w:lineRule="auto"/>
              <w:rPr>
                <w:rFonts w:eastAsia="Times New Roman"/>
                <w:noProof/>
              </w:rPr>
            </w:pPr>
            <w:r>
              <w:rPr>
                <w:noProof/>
              </w:rPr>
              <w:t>Nombre</w:t>
            </w:r>
          </w:p>
        </w:tc>
        <w:tc>
          <w:tcPr>
            <w:tcW w:w="1134" w:type="dxa"/>
            <w:shd w:val="clear" w:color="auto" w:fill="C6EFCE"/>
            <w:noWrap/>
          </w:tcPr>
          <w:p w14:paraId="6147D06D" w14:textId="21B9B800" w:rsidR="003B6BD9" w:rsidRDefault="009E25E8">
            <w:pPr>
              <w:pStyle w:val="P68B1DB1-Normal7"/>
              <w:spacing w:before="0" w:after="0" w:line="240" w:lineRule="auto"/>
              <w:rPr>
                <w:rFonts w:eastAsia="Times New Roman"/>
                <w:noProof/>
              </w:rPr>
            </w:pPr>
            <w:r>
              <w:rPr>
                <w:noProof/>
              </w:rPr>
              <w:t>0</w:t>
            </w:r>
          </w:p>
        </w:tc>
        <w:tc>
          <w:tcPr>
            <w:tcW w:w="708" w:type="dxa"/>
            <w:shd w:val="clear" w:color="auto" w:fill="C6EFCE"/>
            <w:noWrap/>
          </w:tcPr>
          <w:p w14:paraId="1B13DC70" w14:textId="4DC4E494" w:rsidR="003B6BD9" w:rsidRDefault="009E25E8">
            <w:pPr>
              <w:pStyle w:val="P68B1DB1-Normal7"/>
              <w:spacing w:before="0" w:after="0" w:line="240" w:lineRule="auto"/>
              <w:rPr>
                <w:rFonts w:eastAsia="Times New Roman"/>
                <w:noProof/>
              </w:rPr>
            </w:pPr>
            <w:r>
              <w:rPr>
                <w:noProof/>
              </w:rPr>
              <w:t>2</w:t>
            </w:r>
          </w:p>
        </w:tc>
        <w:tc>
          <w:tcPr>
            <w:tcW w:w="993" w:type="dxa"/>
            <w:shd w:val="clear" w:color="auto" w:fill="C6EFCE"/>
            <w:noWrap/>
          </w:tcPr>
          <w:p w14:paraId="63FC6B4F" w14:textId="51AEEE17" w:rsidR="003B6BD9" w:rsidRDefault="009E25E8">
            <w:pPr>
              <w:pStyle w:val="P68B1DB1-Normal7"/>
              <w:spacing w:before="0" w:after="0" w:line="240" w:lineRule="auto"/>
              <w:rPr>
                <w:rFonts w:eastAsia="Times New Roman"/>
                <w:noProof/>
              </w:rPr>
            </w:pPr>
            <w:r>
              <w:rPr>
                <w:noProof/>
              </w:rPr>
              <w:t>T2</w:t>
            </w:r>
          </w:p>
        </w:tc>
        <w:tc>
          <w:tcPr>
            <w:tcW w:w="708" w:type="dxa"/>
            <w:shd w:val="clear" w:color="auto" w:fill="C6EFCE"/>
            <w:noWrap/>
          </w:tcPr>
          <w:p w14:paraId="65AD9F7F" w14:textId="1581DB62" w:rsidR="003B6BD9" w:rsidRDefault="009E25E8">
            <w:pPr>
              <w:pStyle w:val="P68B1DB1-Normal7"/>
              <w:spacing w:before="0" w:after="0" w:line="240" w:lineRule="auto"/>
              <w:rPr>
                <w:rFonts w:eastAsia="Times New Roman"/>
                <w:noProof/>
              </w:rPr>
            </w:pPr>
            <w:r>
              <w:rPr>
                <w:noProof/>
              </w:rPr>
              <w:t>2024</w:t>
            </w:r>
          </w:p>
        </w:tc>
        <w:tc>
          <w:tcPr>
            <w:tcW w:w="3150" w:type="dxa"/>
            <w:shd w:val="clear" w:color="auto" w:fill="C6EFCE"/>
            <w:noWrap/>
          </w:tcPr>
          <w:p w14:paraId="50CCB742" w14:textId="33909E45" w:rsidR="003B6BD9" w:rsidRDefault="009E25E8">
            <w:pPr>
              <w:pStyle w:val="P68B1DB1-Normal7"/>
              <w:spacing w:before="0" w:after="0" w:line="240" w:lineRule="auto"/>
              <w:rPr>
                <w:rFonts w:eastAsia="Times New Roman"/>
                <w:noProof/>
              </w:rPr>
            </w:pPr>
            <w:r>
              <w:rPr>
                <w:noProof/>
              </w:rPr>
              <w:t>Lancement de projets dans des domaines spécifiques (tels que la conception de puces de communication, le développement de procédés avancés de semi-conducteurs, l’intégration des systèmes et les noyaux destinés à être utilisés dans différentes applications de mobilité intelligente, les villes et communautés intelligentes, les usines intelligentes) dans la chaîne de valeur du projet commun au titre du jalon 85.</w:t>
            </w:r>
          </w:p>
        </w:tc>
      </w:tr>
    </w:tbl>
    <w:p w14:paraId="09482DF1" w14:textId="77777777" w:rsidR="003B6BD9" w:rsidRDefault="003B6BD9">
      <w:pPr>
        <w:spacing w:line="240" w:lineRule="auto"/>
        <w:ind w:left="850"/>
        <w:jc w:val="both"/>
        <w:rPr>
          <w:b/>
          <w:noProof/>
          <w:u w:val="single"/>
        </w:rPr>
      </w:pPr>
    </w:p>
    <w:p w14:paraId="2B3B68E9" w14:textId="77777777" w:rsidR="003B6BD9" w:rsidRDefault="003B6BD9">
      <w:pPr>
        <w:spacing w:before="0" w:after="0" w:line="240" w:lineRule="auto"/>
        <w:rPr>
          <w:noProof/>
        </w:rPr>
        <w:sectPr w:rsidR="003B6BD9" w:rsidSect="00073927">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26"/>
        </w:sectPr>
      </w:pPr>
    </w:p>
    <w:p w14:paraId="21347662" w14:textId="77777777" w:rsidR="003B6BD9" w:rsidRDefault="009E25E8">
      <w:pPr>
        <w:pStyle w:val="P68B1DB1-Normal3"/>
        <w:keepNext/>
        <w:tabs>
          <w:tab w:val="left" w:pos="850"/>
        </w:tabs>
        <w:spacing w:line="240" w:lineRule="auto"/>
        <w:jc w:val="both"/>
        <w:outlineLvl w:val="0"/>
        <w:rPr>
          <w:noProof/>
        </w:rPr>
      </w:pPr>
      <w:r>
        <w:rPr>
          <w:noProof/>
        </w:rPr>
        <w:t>G. VOLET 7: TRANSFORMATION NUMÉRIQUE DU SECTEUR PUBLIC ET DE L’ADMINISTRATION PUBLIQUE</w:t>
      </w:r>
    </w:p>
    <w:p w14:paraId="74AE48DE" w14:textId="74C07784" w:rsidR="003B6BD9" w:rsidRDefault="009E25E8">
      <w:pPr>
        <w:spacing w:line="240" w:lineRule="auto"/>
        <w:jc w:val="both"/>
        <w:rPr>
          <w:rFonts w:eastAsia="Times New Roman"/>
          <w:noProof/>
        </w:rPr>
      </w:pPr>
      <w:r>
        <w:rPr>
          <w:noProof/>
        </w:rPr>
        <w:t xml:space="preserve">Ce volet du plan slovène pour la reprise et la résilience répond aux défis en matière de numérisation liés à l’administration publique, tels que la garantie d’une couverture en haut débit sur l’ensemble du territoire slovène, l’adoption des services en ligne du secteur public, l’interopérabilité entre les systèmes de gestion des données, les compétences et équipements numériques des fonctionnaires, la cybersécurité et la coordination de la gestion des investissements dans les TIC. </w:t>
      </w:r>
    </w:p>
    <w:p w14:paraId="5D2E607C" w14:textId="77777777" w:rsidR="003B6BD9" w:rsidRDefault="009E25E8">
      <w:pPr>
        <w:spacing w:line="240" w:lineRule="auto"/>
        <w:jc w:val="both"/>
        <w:rPr>
          <w:noProof/>
        </w:rPr>
      </w:pPr>
      <w:r>
        <w:rPr>
          <w:noProof/>
        </w:rPr>
        <w:t>L’objectif de ce volet est de remédier aux lacunes critiques recensées dans la numérisation du secteur public pendant la pandémie de COVID-19. En particulier, ce volet vise à créer un environnement propice à une transformation numérique réussie, à renforcer l’administration en ligne, à accroître les compétences numériques et à améliorer la cybersécurité.</w:t>
      </w:r>
    </w:p>
    <w:p w14:paraId="57386E5B" w14:textId="77777777" w:rsidR="003B6BD9" w:rsidRDefault="009E25E8">
      <w:pPr>
        <w:spacing w:line="240" w:lineRule="auto"/>
        <w:jc w:val="both"/>
        <w:rPr>
          <w:noProof/>
        </w:rPr>
      </w:pPr>
      <w:r>
        <w:rPr>
          <w:noProof/>
        </w:rPr>
        <w:t xml:space="preserve">Le volet porte également sur la transition vers une société du gigabit en améliorant l’environnement réglementaire et en renforçant la connectivité numérique grâce à des investissements dans les infrastructures à haut débit dans les zones difficiles d’accès. </w:t>
      </w:r>
    </w:p>
    <w:p w14:paraId="2AEE75D2" w14:textId="77777777" w:rsidR="003B6BD9" w:rsidRDefault="009E25E8">
      <w:pPr>
        <w:spacing w:line="240" w:lineRule="auto"/>
        <w:jc w:val="both"/>
        <w:rPr>
          <w:noProof/>
        </w:rPr>
      </w:pPr>
      <w:r>
        <w:rPr>
          <w:noProof/>
        </w:rPr>
        <w:t>Ces investissements et réformes contribuent aux recommandations par pays adressées à la Slovénie en 2020 afin de «concentrer les investissements sur [...] la transition numérique [...] et sur le déploiement du réseau 5G. Promouvoir les capacités numériques des entreprises et renforcer les compétences numériques, le commerce électronique [...]» (recommandations par pays 3 et 2020).</w:t>
      </w:r>
    </w:p>
    <w:p w14:paraId="192ACE2F" w14:textId="7E4C8389" w:rsidR="003B6BD9" w:rsidRDefault="009E25E8">
      <w:pPr>
        <w:spacing w:line="240" w:lineRule="auto"/>
        <w:jc w:val="both"/>
        <w:rPr>
          <w:noProof/>
        </w:rPr>
      </w:pPr>
      <w:r>
        <w:rPr>
          <w:noProof/>
        </w:rPr>
        <w:t>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72CB61FF" w14:textId="1E24AE20" w:rsidR="003B6BD9" w:rsidRDefault="009E25E8">
      <w:pPr>
        <w:pStyle w:val="P68B1DB1-Normal4"/>
        <w:spacing w:line="240" w:lineRule="auto"/>
        <w:jc w:val="both"/>
        <w:rPr>
          <w:i/>
          <w:noProof/>
          <w:color w:val="4F81BD"/>
        </w:rPr>
      </w:pPr>
      <w:r>
        <w:rPr>
          <w:noProof/>
        </w:rPr>
        <w:t>G.1. Description des réformes et des investissements pour le soutien financier non remboursable</w:t>
      </w:r>
    </w:p>
    <w:p w14:paraId="7F7B75DC" w14:textId="77777777" w:rsidR="003B6BD9" w:rsidRDefault="009E25E8">
      <w:pPr>
        <w:pStyle w:val="P68B1DB1-Normal5"/>
        <w:spacing w:line="240" w:lineRule="auto"/>
        <w:jc w:val="both"/>
        <w:rPr>
          <w:rFonts w:eastAsia="Times New Roman"/>
          <w:noProof/>
        </w:rPr>
      </w:pPr>
      <w:r>
        <w:rPr>
          <w:noProof/>
        </w:rPr>
        <w:t>Réforme A: Renforcer la gouvernance de la transformation numérique de l’administration publique</w:t>
      </w:r>
    </w:p>
    <w:p w14:paraId="3E656D70" w14:textId="77777777" w:rsidR="003B6BD9" w:rsidRDefault="009E25E8">
      <w:pPr>
        <w:pStyle w:val="P68B1DB1-Normal13"/>
        <w:spacing w:line="240" w:lineRule="auto"/>
        <w:jc w:val="both"/>
        <w:rPr>
          <w:rFonts w:eastAsia="Times New Roman"/>
          <w:noProof/>
          <w:szCs w:val="24"/>
        </w:rPr>
      </w:pPr>
      <w:r>
        <w:rPr>
          <w:noProof/>
        </w:rPr>
        <w:t xml:space="preserve">Les objectifs de la réforme sont d’améliorer la gouvernance de la transformation numérique dans l’administration publique. Cet objectif devrait être atteint grâce à l’adoption d’une stratégie en matière de services publics numériques pour la période 2021-2030 et à la mise en place d’un conseil pour le développement informatique en tant qu’organe de coordination des solutions numériques. </w:t>
      </w:r>
    </w:p>
    <w:p w14:paraId="5424268C" w14:textId="77777777" w:rsidR="003B6BD9" w:rsidRDefault="009E25E8">
      <w:pPr>
        <w:pStyle w:val="P68B1DB1-Normal13"/>
        <w:spacing w:line="240" w:lineRule="auto"/>
        <w:jc w:val="both"/>
        <w:rPr>
          <w:rFonts w:eastAsia="Times New Roman"/>
          <w:noProof/>
          <w:szCs w:val="24"/>
        </w:rPr>
      </w:pPr>
      <w:r>
        <w:rPr>
          <w:noProof/>
        </w:rPr>
        <w:t xml:space="preserve">La stratégie en matière de services publics numériques 2021-2030 est adoptée par le gouvernement et vise à mettre en place des services numériques simples et conviviaux, à garantir des données permettant d’améliorer les services et la prise de décision et à fournir un environnement numérique sûr, fiable et inclusif. </w:t>
      </w:r>
    </w:p>
    <w:p w14:paraId="09E79FEE" w14:textId="77777777" w:rsidR="003B6BD9" w:rsidRDefault="009E25E8">
      <w:pPr>
        <w:pStyle w:val="P68B1DB1-Normal13"/>
        <w:spacing w:line="240" w:lineRule="auto"/>
        <w:jc w:val="both"/>
        <w:rPr>
          <w:rFonts w:eastAsia="Times New Roman"/>
          <w:noProof/>
          <w:szCs w:val="24"/>
        </w:rPr>
      </w:pPr>
      <w:r>
        <w:rPr>
          <w:noProof/>
        </w:rPr>
        <w:t xml:space="preserve">Le Conseil de développement informatique fait office d’organe de gestion pour la coordination des opérations dans le secteur public liées aux investissements informatiques, aux normes, aux systèmes de back-office et à d’autres développements technologiques lorsque la compatibilité des systèmes est essentielle pour leur fonctionnement et leur maintenance. </w:t>
      </w:r>
    </w:p>
    <w:p w14:paraId="15EF237D" w14:textId="77777777" w:rsidR="003B6BD9" w:rsidRDefault="009E25E8">
      <w:pPr>
        <w:spacing w:line="240" w:lineRule="auto"/>
        <w:jc w:val="both"/>
        <w:rPr>
          <w:rFonts w:eastAsia="Times New Roman"/>
          <w:noProof/>
          <w:color w:val="000000"/>
          <w:szCs w:val="24"/>
        </w:rPr>
      </w:pPr>
      <w:r>
        <w:rPr>
          <w:noProof/>
          <w:color w:val="000000"/>
        </w:rPr>
        <w:t xml:space="preserve">Le </w:t>
      </w:r>
      <w:r>
        <w:rPr>
          <w:noProof/>
        </w:rPr>
        <w:t>jalon lié à la mise en œuvre de la</w:t>
      </w:r>
      <w:r>
        <w:rPr>
          <w:noProof/>
          <w:color w:val="000000"/>
        </w:rPr>
        <w:t xml:space="preserve"> réforme est achevé au plus tard le 31 décembre 2021.</w:t>
      </w:r>
    </w:p>
    <w:p w14:paraId="12312477" w14:textId="72E9364A" w:rsidR="003B6BD9" w:rsidRDefault="009E25E8">
      <w:pPr>
        <w:pStyle w:val="P68B1DB1-Normal14"/>
        <w:tabs>
          <w:tab w:val="right" w:pos="9639"/>
        </w:tabs>
        <w:spacing w:line="240" w:lineRule="auto"/>
        <w:jc w:val="both"/>
        <w:rPr>
          <w:rFonts w:eastAsia="Times New Roman"/>
          <w:noProof/>
          <w:szCs w:val="24"/>
        </w:rPr>
      </w:pPr>
      <w:r>
        <w:rPr>
          <w:noProof/>
        </w:rPr>
        <w:t>Réforme B: Créer un environnement propice à l’utilisation des services en ligne par l’administration publique</w:t>
      </w:r>
    </w:p>
    <w:p w14:paraId="0250A999" w14:textId="77777777" w:rsidR="003B6BD9" w:rsidRDefault="009E25E8">
      <w:pPr>
        <w:pStyle w:val="P68B1DB1-Normal13"/>
        <w:spacing w:line="240" w:lineRule="auto"/>
        <w:jc w:val="both"/>
        <w:rPr>
          <w:rFonts w:eastAsia="Times New Roman"/>
          <w:noProof/>
          <w:szCs w:val="24"/>
        </w:rPr>
      </w:pPr>
      <w:r>
        <w:rPr>
          <w:noProof/>
        </w:rPr>
        <w:t>Les objectifs de la réforme sont de fournir la base juridique adéquate pour les services en ligne fournis par l’administration publique, en particulier l’introduction de services d’identification électronique.</w:t>
      </w:r>
    </w:p>
    <w:p w14:paraId="6B87072E" w14:textId="585F07AB" w:rsidR="003B6BD9" w:rsidRDefault="009E25E8">
      <w:pPr>
        <w:spacing w:line="240" w:lineRule="auto"/>
        <w:jc w:val="both"/>
        <w:rPr>
          <w:rFonts w:eastAsia="Times New Roman"/>
          <w:noProof/>
          <w:color w:val="000000"/>
          <w:szCs w:val="24"/>
        </w:rPr>
      </w:pPr>
      <w:r>
        <w:rPr>
          <w:noProof/>
          <w:color w:val="000000"/>
        </w:rPr>
        <w:t xml:space="preserve">L’entrée en vigueur de </w:t>
      </w:r>
      <w:r>
        <w:rPr>
          <w:noProof/>
        </w:rPr>
        <w:t>la loi sur l’identité électronique et les services de confiance et de la loi modifiée sur les cartes d’identité rend opérationnelle l’utilisation de l’identité électronique nationale pour l’utilisation des services publics et fournit des conditions de base pour le commerce électronique. L’identification électronique est reconnue par-delà les frontières et notifiée au titre du règlement eIDAS.</w:t>
      </w:r>
    </w:p>
    <w:p w14:paraId="362B5D2F" w14:textId="77777777" w:rsidR="003B6BD9" w:rsidRDefault="009E25E8">
      <w:pPr>
        <w:spacing w:line="240" w:lineRule="auto"/>
        <w:jc w:val="both"/>
        <w:rPr>
          <w:rFonts w:eastAsia="Times New Roman"/>
          <w:noProof/>
          <w:szCs w:val="24"/>
        </w:rPr>
      </w:pPr>
      <w:r>
        <w:rPr>
          <w:noProof/>
        </w:rPr>
        <w:t>Le jalon lié à la mise en œuvre de la réforme est achevé et la délivrance des documents d’identification électronique commence au plus tard le 30 juin 2022.</w:t>
      </w:r>
    </w:p>
    <w:p w14:paraId="38A2AD04" w14:textId="77777777" w:rsidR="003B6BD9" w:rsidRDefault="009E25E8">
      <w:pPr>
        <w:pStyle w:val="P68B1DB1-Normal5"/>
        <w:spacing w:line="240" w:lineRule="auto"/>
        <w:jc w:val="both"/>
        <w:rPr>
          <w:rFonts w:eastAsia="Times New Roman"/>
          <w:noProof/>
          <w:szCs w:val="24"/>
        </w:rPr>
      </w:pPr>
      <w:r>
        <w:rPr>
          <w:noProof/>
        </w:rPr>
        <w:t>Réforme C: Moderniser les processus administratifs pour réussir la transformation numérique</w:t>
      </w:r>
    </w:p>
    <w:p w14:paraId="53D43D3B" w14:textId="77777777" w:rsidR="003B6BD9" w:rsidRDefault="009E25E8">
      <w:pPr>
        <w:pStyle w:val="P68B1DB1-Normal13"/>
        <w:spacing w:line="240" w:lineRule="auto"/>
        <w:jc w:val="both"/>
        <w:rPr>
          <w:rFonts w:eastAsia="Times New Roman"/>
          <w:noProof/>
          <w:szCs w:val="24"/>
        </w:rPr>
      </w:pPr>
      <w:r>
        <w:rPr>
          <w:noProof/>
        </w:rPr>
        <w:t xml:space="preserve">Les objectifs de la réforme sont de fournir la base juridique nécessaire à la poursuite de la numérisation des services publics. </w:t>
      </w:r>
    </w:p>
    <w:p w14:paraId="103DE4EA" w14:textId="11C0EF68" w:rsidR="003B6BD9" w:rsidRDefault="009E25E8">
      <w:pPr>
        <w:pStyle w:val="P68B1DB1-Normal13"/>
        <w:spacing w:line="240" w:lineRule="auto"/>
        <w:jc w:val="both"/>
        <w:rPr>
          <w:rFonts w:eastAsia="Times New Roman"/>
          <w:noProof/>
          <w:szCs w:val="24"/>
        </w:rPr>
      </w:pPr>
      <w:r>
        <w:rPr>
          <w:noProof/>
        </w:rPr>
        <w:t>La loi générale sur la procédure administrative et le décret sur le commerce administratif sont modifiés afin d’élargir le champ d’application des procédures électroniques dans les processus administratifs.</w:t>
      </w:r>
    </w:p>
    <w:p w14:paraId="3183AEBD" w14:textId="31AD234D" w:rsidR="003B6BD9" w:rsidRDefault="009E25E8">
      <w:pPr>
        <w:spacing w:line="240" w:lineRule="auto"/>
        <w:jc w:val="both"/>
        <w:rPr>
          <w:rFonts w:eastAsia="Times New Roman"/>
          <w:noProof/>
          <w:szCs w:val="24"/>
        </w:rPr>
      </w:pPr>
      <w:r>
        <w:rPr>
          <w:noProof/>
        </w:rPr>
        <w:t>Le jalon lié à la mise en œuvre de la réforme est achevé au plus tard le 31 décembre 2022.</w:t>
      </w:r>
    </w:p>
    <w:p w14:paraId="23D35850" w14:textId="1CBD0B82" w:rsidR="003B6BD9" w:rsidRDefault="009E25E8">
      <w:pPr>
        <w:pStyle w:val="P68B1DB1-Normal5"/>
        <w:spacing w:line="240" w:lineRule="auto"/>
        <w:jc w:val="both"/>
        <w:rPr>
          <w:rFonts w:eastAsia="Times New Roman"/>
          <w:noProof/>
        </w:rPr>
      </w:pPr>
      <w:r>
        <w:rPr>
          <w:noProof/>
        </w:rPr>
        <w:t>Réforme D: Création d’un centre de compétences — Centre de ressources humaines et renforcement des compétences du personnel de l’administration publique</w:t>
      </w:r>
    </w:p>
    <w:p w14:paraId="7DEFABC2" w14:textId="045CE95D" w:rsidR="003B6BD9" w:rsidRDefault="009E25E8">
      <w:pPr>
        <w:spacing w:line="240" w:lineRule="auto"/>
        <w:jc w:val="both"/>
        <w:rPr>
          <w:rFonts w:eastAsia="Times New Roman"/>
          <w:noProof/>
        </w:rPr>
      </w:pPr>
      <w:r>
        <w:rPr>
          <w:noProof/>
        </w:rPr>
        <w:t>L’objectif de la réforme est d’améliorer la gestion des ressources humaines dans l’administration publique.</w:t>
      </w:r>
    </w:p>
    <w:p w14:paraId="6E9D223E" w14:textId="0A37668D" w:rsidR="003B6BD9" w:rsidRDefault="009E25E8">
      <w:pPr>
        <w:spacing w:line="240" w:lineRule="auto"/>
        <w:jc w:val="both"/>
        <w:rPr>
          <w:rFonts w:eastAsia="Times New Roman"/>
          <w:noProof/>
        </w:rPr>
      </w:pPr>
      <w:r>
        <w:rPr>
          <w:noProof/>
        </w:rPr>
        <w:t>Un Centre de compétences — Centre de ressources humaines est créé par modification de la loi sur la fonction publique et devient opérationnel. Le Centre vise à promouvoir une approche stratégique de la gestion des compétences. Le Centre évalue les compétences et les aptitudes dans les procédures de recrutement, contribue au développement des compétences et des aptitudes (y compris numériques) des fonctionnaires et met au point d’autres outils de gestion des ressources humaines dans les organes de l’administration publique. En outre, une stratégie de gestion de la fonction publique sur la gestion des talents, l’évolution de carrière, l’apprentissage tout au long de la vie et les nouvelles réalités induites par la pandémie de COVID-19 est adoptée.</w:t>
      </w:r>
    </w:p>
    <w:p w14:paraId="1D378C9A" w14:textId="5ACCF796" w:rsidR="003B6BD9" w:rsidRDefault="009E25E8">
      <w:pPr>
        <w:spacing w:line="240" w:lineRule="auto"/>
        <w:jc w:val="both"/>
        <w:rPr>
          <w:rFonts w:eastAsia="Times New Roman"/>
          <w:noProof/>
        </w:rPr>
      </w:pPr>
      <w:r>
        <w:rPr>
          <w:noProof/>
        </w:rPr>
        <w:t>Le jalon lié à la mise en œuvre de la réforme est achevé au plus tard le 30 juin 2024.</w:t>
      </w:r>
    </w:p>
    <w:p w14:paraId="7719AEF5" w14:textId="77777777" w:rsidR="003B6BD9" w:rsidRDefault="009E25E8">
      <w:pPr>
        <w:pStyle w:val="P68B1DB1-Normal5"/>
        <w:spacing w:line="240" w:lineRule="auto"/>
        <w:jc w:val="both"/>
        <w:rPr>
          <w:rFonts w:eastAsia="Times New Roman"/>
          <w:noProof/>
          <w:szCs w:val="24"/>
        </w:rPr>
      </w:pPr>
      <w:r>
        <w:rPr>
          <w:noProof/>
        </w:rPr>
        <w:t>Réforme E. Garantir la cybersécurité</w:t>
      </w:r>
    </w:p>
    <w:p w14:paraId="2F59E3FE" w14:textId="662F7F6A" w:rsidR="003B6BD9" w:rsidRDefault="009E25E8">
      <w:pPr>
        <w:spacing w:line="240" w:lineRule="auto"/>
        <w:jc w:val="both"/>
        <w:rPr>
          <w:rFonts w:eastAsia="Times New Roman"/>
          <w:noProof/>
        </w:rPr>
      </w:pPr>
      <w:r>
        <w:rPr>
          <w:noProof/>
        </w:rPr>
        <w:t xml:space="preserve">L’objectif de cette réforme est de renforcer la coopération des entités au sein du système national de cybersécurité. </w:t>
      </w:r>
    </w:p>
    <w:p w14:paraId="268C4BD6" w14:textId="0038BF71" w:rsidR="003B6BD9" w:rsidRDefault="009E25E8">
      <w:pPr>
        <w:spacing w:line="240" w:lineRule="auto"/>
        <w:jc w:val="both"/>
        <w:rPr>
          <w:rFonts w:eastAsia="Times New Roman"/>
          <w:noProof/>
        </w:rPr>
      </w:pPr>
      <w:r>
        <w:rPr>
          <w:noProof/>
        </w:rPr>
        <w:t>La réforme consiste à établir le cadre juridique national en matière de cybersécurité en définissant les rôles et les responsabilités des centres de réponse aux incidents de sécurité informatique (CSIRT) et du bureau gouvernemental de sécurité de l’information (GISO).</w:t>
      </w:r>
    </w:p>
    <w:p w14:paraId="6D44BCB1" w14:textId="2B340D49" w:rsidR="003B6BD9" w:rsidRDefault="009E25E8">
      <w:pPr>
        <w:pStyle w:val="P68B1DB1-Normal5"/>
        <w:spacing w:line="240" w:lineRule="auto"/>
        <w:jc w:val="both"/>
        <w:rPr>
          <w:rFonts w:eastAsia="Times New Roman"/>
          <w:noProof/>
          <w:szCs w:val="24"/>
        </w:rPr>
      </w:pPr>
      <w:r>
        <w:rPr>
          <w:noProof/>
        </w:rPr>
        <w:t>Réforme F. Transition vers une société du gigabit</w:t>
      </w:r>
    </w:p>
    <w:p w14:paraId="0107CFA9" w14:textId="77777777" w:rsidR="003B6BD9" w:rsidRDefault="009E25E8">
      <w:pPr>
        <w:spacing w:line="240" w:lineRule="auto"/>
        <w:jc w:val="both"/>
        <w:rPr>
          <w:rFonts w:eastAsia="Times New Roman"/>
          <w:noProof/>
          <w:szCs w:val="24"/>
        </w:rPr>
      </w:pPr>
      <w:r>
        <w:rPr>
          <w:noProof/>
        </w:rPr>
        <w:t>L’objectif de cette réforme est de contribuer à fournir une couverture en haut débit sur l’ensemble du territoire de la République de Slovénie.</w:t>
      </w:r>
    </w:p>
    <w:p w14:paraId="23B63587" w14:textId="77777777" w:rsidR="003B6BD9" w:rsidRDefault="009E25E8">
      <w:pPr>
        <w:spacing w:line="240" w:lineRule="auto"/>
        <w:jc w:val="both"/>
        <w:rPr>
          <w:rFonts w:eastAsia="Times New Roman"/>
          <w:noProof/>
          <w:szCs w:val="24"/>
        </w:rPr>
      </w:pPr>
      <w:r>
        <w:rPr>
          <w:noProof/>
        </w:rPr>
        <w:t xml:space="preserve">La loi sur les communications électroniques est modifiée afin d’optimiser les procédures de construction des réseaux de communications électroniques, d’accroître l’efficacité de la construction conjointe et la prévisibilité de l’environnement des entreprises. Un plan national en matière de haut débit est adopté par le gouvernement slovène et définit les besoins en vue de développer la couverture en haut débit dans l’ensemble de la Slovénie d’ici à 2025, ainsi que les mesures permettant d’atteindre cet objectif. </w:t>
      </w:r>
    </w:p>
    <w:p w14:paraId="20303930" w14:textId="77777777" w:rsidR="003B6BD9" w:rsidRDefault="009E25E8">
      <w:pPr>
        <w:spacing w:line="240" w:lineRule="auto"/>
        <w:jc w:val="both"/>
        <w:rPr>
          <w:rFonts w:eastAsia="Times New Roman"/>
          <w:noProof/>
          <w:szCs w:val="24"/>
        </w:rPr>
      </w:pPr>
      <w:r>
        <w:rPr>
          <w:noProof/>
        </w:rPr>
        <w:t>Le jalon lié à la mise en œuvre de la réforme est achevé au plus tard le 30 juin 2022.</w:t>
      </w:r>
    </w:p>
    <w:p w14:paraId="750EADCE" w14:textId="77777777" w:rsidR="003B6BD9" w:rsidRDefault="009E25E8">
      <w:pPr>
        <w:pStyle w:val="P68B1DB1-Normal5"/>
        <w:spacing w:line="240" w:lineRule="auto"/>
        <w:jc w:val="both"/>
        <w:rPr>
          <w:rFonts w:eastAsia="Times New Roman"/>
          <w:noProof/>
        </w:rPr>
      </w:pPr>
      <w:r>
        <w:rPr>
          <w:noProof/>
        </w:rPr>
        <w:t>Investissement G. Moderniser l’environnement numérique de l’administration publique</w:t>
      </w:r>
    </w:p>
    <w:p w14:paraId="4F2EA558" w14:textId="5FA5A302" w:rsidR="003B6BD9" w:rsidRDefault="009E25E8">
      <w:pPr>
        <w:pStyle w:val="P68B1DB1-Normal13"/>
        <w:spacing w:line="240" w:lineRule="auto"/>
        <w:jc w:val="both"/>
        <w:rPr>
          <w:rFonts w:eastAsia="Times New Roman"/>
          <w:noProof/>
        </w:rPr>
      </w:pPr>
      <w:r>
        <w:rPr>
          <w:noProof/>
        </w:rPr>
        <w:t>L’objectif de l’investissement est de renforcer les infrastructures numériques, les solutions numériques et les compétences numériques dans le secteur public.</w:t>
      </w:r>
    </w:p>
    <w:p w14:paraId="64B7CEAE" w14:textId="03223652" w:rsidR="003B6BD9" w:rsidRDefault="009E25E8">
      <w:pPr>
        <w:pStyle w:val="P68B1DB1-Normal13"/>
        <w:spacing w:line="240" w:lineRule="auto"/>
        <w:jc w:val="both"/>
        <w:rPr>
          <w:rFonts w:eastAsia="Times New Roman"/>
          <w:noProof/>
        </w:rPr>
      </w:pPr>
      <w:r>
        <w:rPr>
          <w:noProof/>
        </w:rPr>
        <w:t>L’investissement consiste en la participation à des formations aux compétences numériques, la mise en place d’une plateforme numérique de législation en ligne et un projet lié à la démonstration d’une infrastructure nationale de communication quantique. La FRR prend en charge une partie des coûts de l’investissement. Cet investissement peut également bénéficier d’un soutien d’autres programmes ou instruments de l’Union pour des coûts qui ne sont pas soutenus par la FRR.</w:t>
      </w:r>
    </w:p>
    <w:p w14:paraId="2196FC24" w14:textId="77777777" w:rsidR="003B6BD9" w:rsidRDefault="009E25E8">
      <w:pPr>
        <w:pStyle w:val="P68B1DB1-Normal5"/>
        <w:spacing w:line="240" w:lineRule="auto"/>
        <w:jc w:val="both"/>
        <w:rPr>
          <w:rFonts w:eastAsia="Times New Roman"/>
          <w:noProof/>
        </w:rPr>
      </w:pPr>
      <w:r>
        <w:rPr>
          <w:noProof/>
        </w:rPr>
        <w:t>Investissement H. Infrastructures gigabit</w:t>
      </w:r>
    </w:p>
    <w:p w14:paraId="3853B3FD" w14:textId="5D0D2B06" w:rsidR="003B6BD9" w:rsidRDefault="009E25E8">
      <w:pPr>
        <w:spacing w:line="240" w:lineRule="auto"/>
        <w:jc w:val="both"/>
        <w:rPr>
          <w:rFonts w:eastAsia="Times New Roman"/>
          <w:noProof/>
        </w:rPr>
      </w:pPr>
      <w:r>
        <w:rPr>
          <w:noProof/>
        </w:rPr>
        <w:t xml:space="preserve">L’objectif de l’investissement est de déployer l’infrastructure permettant l’accès au haut débit. </w:t>
      </w:r>
    </w:p>
    <w:p w14:paraId="7E2CD29D" w14:textId="5A30157E" w:rsidR="003B6BD9" w:rsidRDefault="009E25E8">
      <w:pPr>
        <w:spacing w:line="240" w:lineRule="auto"/>
        <w:jc w:val="both"/>
        <w:rPr>
          <w:rFonts w:eastAsia="Times New Roman"/>
          <w:noProof/>
        </w:rPr>
      </w:pPr>
      <w:r>
        <w:rPr>
          <w:noProof/>
        </w:rPr>
        <w:t>L’investissement consiste à permettre aux ménages d’accéder au haut débit dans les «zones blanches».</w:t>
      </w:r>
    </w:p>
    <w:p w14:paraId="4202F683" w14:textId="77777777" w:rsidR="003B6BD9" w:rsidRDefault="009E25E8">
      <w:pPr>
        <w:pStyle w:val="P68B1DB1-Normal5"/>
        <w:spacing w:line="240" w:lineRule="auto"/>
        <w:jc w:val="both"/>
        <w:rPr>
          <w:rFonts w:eastAsia="Times New Roman"/>
          <w:noProof/>
        </w:rPr>
      </w:pPr>
      <w:r>
        <w:rPr>
          <w:noProof/>
        </w:rPr>
        <w:t>Investissement I. Numérisation de la sécurité intérieure</w:t>
      </w:r>
    </w:p>
    <w:p w14:paraId="06B7D516" w14:textId="1ADFB143" w:rsidR="003B6BD9" w:rsidRDefault="009E25E8">
      <w:pPr>
        <w:spacing w:line="240" w:lineRule="auto"/>
        <w:jc w:val="both"/>
        <w:rPr>
          <w:noProof/>
        </w:rPr>
      </w:pPr>
      <w:r>
        <w:rPr>
          <w:noProof/>
        </w:rPr>
        <w:t>L’objectif de l’investissement est de moderniser la technologie disponible au niveau de la police slovène afin d’optimiser et de soutenir les processus de travail.</w:t>
      </w:r>
    </w:p>
    <w:p w14:paraId="4659495F" w14:textId="2667AF57" w:rsidR="003B6BD9" w:rsidRDefault="009E25E8">
      <w:pPr>
        <w:spacing w:line="240" w:lineRule="auto"/>
        <w:jc w:val="both"/>
        <w:rPr>
          <w:noProof/>
        </w:rPr>
      </w:pPr>
      <w:r>
        <w:rPr>
          <w:noProof/>
        </w:rPr>
        <w:t>L’investissement consiste à mettre en place des applications dans le nuage policier et</w:t>
      </w:r>
      <w:r>
        <w:rPr>
          <w:rFonts w:eastAsia="Times New Roman"/>
          <w:noProof/>
        </w:rPr>
        <w:t xml:space="preserve"> </w:t>
      </w:r>
      <w:r>
        <w:rPr>
          <w:noProof/>
        </w:rPr>
        <w:t>à moderniser le réseau radio numérique des autorités nationales.</w:t>
      </w:r>
    </w:p>
    <w:p w14:paraId="4937481A" w14:textId="2D143542" w:rsidR="003B6BD9" w:rsidRDefault="009E25E8">
      <w:pPr>
        <w:pStyle w:val="P68B1DB1-Normal5"/>
        <w:spacing w:line="240" w:lineRule="auto"/>
        <w:jc w:val="both"/>
        <w:rPr>
          <w:rFonts w:eastAsia="Times New Roman"/>
          <w:noProof/>
        </w:rPr>
      </w:pPr>
      <w:r>
        <w:rPr>
          <w:noProof/>
        </w:rPr>
        <w:t xml:space="preserve">Investissement J. Numérisation de l’éducation et des sciences </w:t>
      </w:r>
    </w:p>
    <w:p w14:paraId="68D5DF44" w14:textId="475954BB" w:rsidR="003B6BD9" w:rsidRDefault="009E25E8">
      <w:pPr>
        <w:spacing w:line="240" w:lineRule="auto"/>
        <w:jc w:val="both"/>
        <w:rPr>
          <w:rFonts w:eastAsia="Times New Roman"/>
          <w:noProof/>
        </w:rPr>
      </w:pPr>
      <w:r>
        <w:rPr>
          <w:noProof/>
        </w:rPr>
        <w:t>L’objectif de l’investissement est de numériser les établissements d’enseignement en améliorant l’infrastructure d’information et de communication et en fournissant des applications ou des solutions en ligne qui soutiennent les processus de travail et fournissent des analyses de données. La connectivité à haut débit, le stockage des données et le renforcement des compétences en matière de données ouvertes et de science ouverte au sein des organismes de recherche sont assurés.</w:t>
      </w:r>
    </w:p>
    <w:p w14:paraId="2F4074C5" w14:textId="548C50D5" w:rsidR="003B6BD9" w:rsidRDefault="009E25E8">
      <w:pPr>
        <w:spacing w:line="240" w:lineRule="auto"/>
        <w:jc w:val="both"/>
        <w:rPr>
          <w:noProof/>
        </w:rPr>
      </w:pPr>
      <w:r>
        <w:rPr>
          <w:noProof/>
        </w:rPr>
        <w:t>L’investissement consiste en la mise en place de solutions ou d’applications informatiques pour soutenir la numérisation de l’éducation, le déploiement de la connectivité pour les établissements primaires et secondaires, les établissements d’enseignement professionnel supérieur, ainsi que les organisations d’éducation des adultes, et le déploiement d’un réseau dorsal de fibre optique à haut débit entre les points de présence du réseau universitaire et de recherche slovène (Arnes) et les référentiels de données pour la préservation des résultats de la recherche ouverte.</w:t>
      </w:r>
    </w:p>
    <w:p w14:paraId="7C5C658F" w14:textId="77777777" w:rsidR="003B6BD9" w:rsidRDefault="009E25E8">
      <w:pPr>
        <w:pStyle w:val="P68B1DB1-Normal5"/>
        <w:spacing w:line="240" w:lineRule="auto"/>
        <w:jc w:val="both"/>
        <w:rPr>
          <w:rFonts w:eastAsia="Times New Roman"/>
          <w:noProof/>
        </w:rPr>
      </w:pPr>
      <w:r>
        <w:rPr>
          <w:noProof/>
        </w:rPr>
        <w:t>Investissement K. Cadre d’implantation écologique slovène</w:t>
      </w:r>
    </w:p>
    <w:p w14:paraId="2266A779" w14:textId="5582D72E" w:rsidR="003B6BD9" w:rsidRDefault="009E25E8">
      <w:pPr>
        <w:pStyle w:val="P68B1DB1-Normal15"/>
        <w:spacing w:line="240" w:lineRule="auto"/>
        <w:jc w:val="both"/>
        <w:rPr>
          <w:noProof/>
        </w:rPr>
      </w:pPr>
      <w:r>
        <w:rPr>
          <w:noProof/>
        </w:rPr>
        <w:t>L’objectif de l’investissement est de renforcer la gestion des données spatiales et environnementales.</w:t>
      </w:r>
    </w:p>
    <w:p w14:paraId="7A9408C4" w14:textId="2CE99FC9" w:rsidR="003B6BD9" w:rsidRDefault="009E25E8">
      <w:pPr>
        <w:pStyle w:val="P68B1DB1-Normal15"/>
        <w:spacing w:line="240" w:lineRule="auto"/>
        <w:jc w:val="both"/>
        <w:rPr>
          <w:noProof/>
        </w:rPr>
      </w:pPr>
      <w:r>
        <w:rPr>
          <w:noProof/>
        </w:rPr>
        <w:t>L’investissement consiste à moderniser la gestion de l’espace et de l’environnement en Slovénie en développant des solutions numériques pour soutenir l’interopérabilité des données.</w:t>
      </w:r>
    </w:p>
    <w:p w14:paraId="2854213C" w14:textId="3F1D4336" w:rsidR="003B6BD9" w:rsidRDefault="009E25E8">
      <w:pPr>
        <w:pStyle w:val="P68B1DB1-Normal5"/>
        <w:spacing w:line="240" w:lineRule="auto"/>
        <w:jc w:val="both"/>
        <w:rPr>
          <w:rFonts w:eastAsia="Times New Roman"/>
          <w:noProof/>
        </w:rPr>
      </w:pPr>
      <w:r>
        <w:rPr>
          <w:noProof/>
        </w:rPr>
        <w:t>Investissement L. La transition numérique dans l’agriculture, l’alimentation ou la sylviculture</w:t>
      </w:r>
    </w:p>
    <w:p w14:paraId="3E8BCF64" w14:textId="62694D1C" w:rsidR="003B6BD9" w:rsidRDefault="009E25E8">
      <w:pPr>
        <w:spacing w:line="240" w:lineRule="auto"/>
        <w:jc w:val="both"/>
        <w:rPr>
          <w:rFonts w:eastAsia="Times New Roman"/>
          <w:noProof/>
        </w:rPr>
      </w:pPr>
      <w:r>
        <w:rPr>
          <w:noProof/>
        </w:rPr>
        <w:t>L’objectif de l’investissement est d’améliorer les infrastructures numériques et les services numériques dans le domaine de l’agriculture, de l’alimentation ou de la foresterie.</w:t>
      </w:r>
    </w:p>
    <w:p w14:paraId="168578D1" w14:textId="0CA5D4E2" w:rsidR="003B6BD9" w:rsidRDefault="009E25E8">
      <w:pPr>
        <w:spacing w:before="0" w:after="0" w:line="240" w:lineRule="auto"/>
        <w:rPr>
          <w:noProof/>
          <w:u w:val="single"/>
        </w:rPr>
      </w:pPr>
      <w:r>
        <w:rPr>
          <w:noProof/>
        </w:rPr>
        <w:t>L’investissement consiste à mettre en place des services en ligne dans le domaine de l’agriculture, de l’alimentation ou de la sylviculture.</w:t>
      </w:r>
    </w:p>
    <w:p w14:paraId="50EF98F1" w14:textId="0182EB31" w:rsidR="003B6BD9" w:rsidRDefault="009E25E8">
      <w:pPr>
        <w:pStyle w:val="P68B1DB1-Normal5"/>
        <w:spacing w:line="240" w:lineRule="auto"/>
        <w:jc w:val="both"/>
        <w:rPr>
          <w:rFonts w:eastAsia="Times New Roman"/>
          <w:noProof/>
        </w:rPr>
      </w:pPr>
      <w:r>
        <w:rPr>
          <w:noProof/>
        </w:rPr>
        <w:t>Investissement M. Numérisation dans le domaine de la culture</w:t>
      </w:r>
    </w:p>
    <w:p w14:paraId="12CB3876" w14:textId="2614547B" w:rsidR="003B6BD9" w:rsidRDefault="009E25E8">
      <w:pPr>
        <w:spacing w:line="240" w:lineRule="auto"/>
        <w:jc w:val="both"/>
        <w:rPr>
          <w:noProof/>
        </w:rPr>
      </w:pPr>
      <w:r>
        <w:rPr>
          <w:noProof/>
        </w:rPr>
        <w:t>L’objectif de l’investissement est d’améliorer l’infrastructure numérique dans le domaine de la culture.</w:t>
      </w:r>
    </w:p>
    <w:p w14:paraId="1941B15B" w14:textId="23C82470" w:rsidR="003B6BD9" w:rsidRDefault="009E25E8">
      <w:pPr>
        <w:spacing w:line="240" w:lineRule="auto"/>
        <w:jc w:val="both"/>
        <w:rPr>
          <w:rFonts w:eastAsia="Times New Roman"/>
          <w:noProof/>
        </w:rPr>
      </w:pPr>
      <w:r>
        <w:rPr>
          <w:noProof/>
        </w:rPr>
        <w:t>L’investissement consiste en la mise en place de services en ligne dans le domaine de la culture.</w:t>
      </w:r>
    </w:p>
    <w:p w14:paraId="58CD06FC" w14:textId="77777777" w:rsidR="003B6BD9" w:rsidRDefault="009E25E8">
      <w:pPr>
        <w:pStyle w:val="P68B1DB1-Normal5"/>
        <w:spacing w:line="240" w:lineRule="auto"/>
        <w:jc w:val="both"/>
        <w:rPr>
          <w:rFonts w:eastAsia="Times New Roman"/>
          <w:noProof/>
        </w:rPr>
      </w:pPr>
      <w:r>
        <w:rPr>
          <w:noProof/>
        </w:rPr>
        <w:t>Investissement N. Numérisation dans le domaine de la justice</w:t>
      </w:r>
    </w:p>
    <w:p w14:paraId="4C91E443" w14:textId="6AC58143" w:rsidR="003B6BD9" w:rsidRDefault="009E25E8">
      <w:pPr>
        <w:spacing w:line="240" w:lineRule="auto"/>
        <w:jc w:val="both"/>
        <w:rPr>
          <w:rFonts w:eastAsia="Times New Roman"/>
          <w:noProof/>
        </w:rPr>
      </w:pPr>
      <w:r>
        <w:rPr>
          <w:noProof/>
        </w:rPr>
        <w:t xml:space="preserve">L’objectif de l’investissement est d’accroître l’accessibilité des services liés au domaine de la justice en Slovénie. </w:t>
      </w:r>
    </w:p>
    <w:p w14:paraId="13EEBBB4" w14:textId="350AB444" w:rsidR="003B6BD9" w:rsidRDefault="009E25E8">
      <w:pPr>
        <w:spacing w:line="240" w:lineRule="auto"/>
        <w:jc w:val="both"/>
        <w:rPr>
          <w:rFonts w:eastAsia="Times New Roman"/>
          <w:noProof/>
        </w:rPr>
      </w:pPr>
      <w:r>
        <w:rPr>
          <w:noProof/>
        </w:rPr>
        <w:t xml:space="preserve">L’investissement consiste à soutenir la numérisation des services dans le système judiciaire et la mise en place de solutions informatiques concernant l’échange d’informations, la visioconférence ou la formation. </w:t>
      </w:r>
    </w:p>
    <w:p w14:paraId="48A3A84E" w14:textId="4EE34F63" w:rsidR="003B6BD9" w:rsidRDefault="003B6BD9">
      <w:pPr>
        <w:spacing w:line="240" w:lineRule="auto"/>
        <w:rPr>
          <w:rFonts w:eastAsia="Times New Roman"/>
          <w:noProof/>
        </w:rPr>
        <w:sectPr w:rsidR="003B6BD9" w:rsidSect="00073927">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26"/>
        </w:sectPr>
      </w:pPr>
    </w:p>
    <w:p w14:paraId="2FA5DA59" w14:textId="46C1360A" w:rsidR="003B6BD9" w:rsidRDefault="009E25E8">
      <w:pPr>
        <w:pStyle w:val="P68B1DB1-Normal4"/>
        <w:spacing w:before="0" w:line="240" w:lineRule="auto"/>
        <w:ind w:left="850"/>
        <w:jc w:val="both"/>
        <w:rPr>
          <w:noProof/>
        </w:rPr>
      </w:pPr>
      <w:r>
        <w:rPr>
          <w:noProof/>
        </w:rPr>
        <w:t xml:space="preserve">G.2. </w:t>
      </w:r>
      <w:r>
        <w:rPr>
          <w:noProof/>
        </w:rPr>
        <w:tab/>
        <w:t>Jalons, cibles, indicateurs et calendrier de suivi et de mise en œuvre pour le soutien financier non remboursable</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5"/>
        <w:gridCol w:w="1800"/>
        <w:gridCol w:w="1080"/>
        <w:gridCol w:w="1560"/>
        <w:gridCol w:w="1440"/>
        <w:gridCol w:w="1200"/>
        <w:gridCol w:w="960"/>
        <w:gridCol w:w="960"/>
        <w:gridCol w:w="1080"/>
        <w:gridCol w:w="720"/>
        <w:gridCol w:w="3567"/>
      </w:tblGrid>
      <w:tr w:rsidR="003B6BD9" w14:paraId="2E91FFEF" w14:textId="77777777" w:rsidTr="00AC1D11">
        <w:trPr>
          <w:trHeight w:val="740"/>
          <w:tblHeader/>
          <w:jc w:val="center"/>
        </w:trPr>
        <w:tc>
          <w:tcPr>
            <w:tcW w:w="955" w:type="dxa"/>
            <w:vMerge w:val="restart"/>
            <w:shd w:val="clear" w:color="auto" w:fill="BDD7EE"/>
            <w:vAlign w:val="center"/>
            <w:hideMark/>
          </w:tcPr>
          <w:p w14:paraId="2334C62C" w14:textId="65BDD3B1" w:rsidR="003B6BD9" w:rsidRDefault="009E25E8">
            <w:pPr>
              <w:pStyle w:val="P68B1DB1-Normal6"/>
              <w:spacing w:before="0" w:after="0" w:line="240" w:lineRule="auto"/>
              <w:jc w:val="center"/>
              <w:rPr>
                <w:rFonts w:eastAsia="Times New Roman"/>
                <w:noProof/>
              </w:rPr>
            </w:pPr>
            <w:r>
              <w:rPr>
                <w:noProof/>
              </w:rPr>
              <w:t>Et suivants Non.</w:t>
            </w:r>
          </w:p>
        </w:tc>
        <w:tc>
          <w:tcPr>
            <w:tcW w:w="1800" w:type="dxa"/>
            <w:vMerge w:val="restart"/>
            <w:shd w:val="clear" w:color="auto" w:fill="BDD7EE"/>
            <w:vAlign w:val="center"/>
            <w:hideMark/>
          </w:tcPr>
          <w:p w14:paraId="3AA33C88" w14:textId="77777777" w:rsidR="003B6BD9" w:rsidRDefault="009E25E8">
            <w:pPr>
              <w:pStyle w:val="P68B1DB1-Normal6"/>
              <w:spacing w:before="0" w:after="0" w:line="240" w:lineRule="auto"/>
              <w:jc w:val="center"/>
              <w:rPr>
                <w:rFonts w:eastAsia="Times New Roman"/>
                <w:noProof/>
              </w:rPr>
            </w:pPr>
            <w:r>
              <w:rPr>
                <w:noProof/>
              </w:rPr>
              <w:t>Mesure connexe (réforme ou investissement)</w:t>
            </w:r>
          </w:p>
        </w:tc>
        <w:tc>
          <w:tcPr>
            <w:tcW w:w="1080" w:type="dxa"/>
            <w:vMerge w:val="restart"/>
            <w:shd w:val="clear" w:color="auto" w:fill="BDD7EE"/>
            <w:vAlign w:val="center"/>
            <w:hideMark/>
          </w:tcPr>
          <w:p w14:paraId="2356103D" w14:textId="25660FD7" w:rsidR="003B6BD9" w:rsidRDefault="009E25E8">
            <w:pPr>
              <w:pStyle w:val="P68B1DB1-Normal6"/>
              <w:spacing w:before="0" w:after="0" w:line="240" w:lineRule="auto"/>
              <w:jc w:val="center"/>
              <w:rPr>
                <w:rFonts w:eastAsia="Times New Roman"/>
                <w:noProof/>
              </w:rPr>
            </w:pPr>
            <w:r>
              <w:rPr>
                <w:noProof/>
              </w:rPr>
              <w:t>Étape/</w:t>
            </w:r>
            <w:r w:rsidR="00AC1D11">
              <w:rPr>
                <w:noProof/>
              </w:rPr>
              <w:br/>
            </w:r>
            <w:r>
              <w:rPr>
                <w:noProof/>
              </w:rPr>
              <w:t>Objectif</w:t>
            </w:r>
          </w:p>
        </w:tc>
        <w:tc>
          <w:tcPr>
            <w:tcW w:w="1560" w:type="dxa"/>
            <w:vMerge w:val="restart"/>
            <w:shd w:val="clear" w:color="auto" w:fill="BDD7EE"/>
            <w:vAlign w:val="center"/>
            <w:hideMark/>
          </w:tcPr>
          <w:p w14:paraId="37B9BE0A" w14:textId="77777777" w:rsidR="003B6BD9" w:rsidRDefault="009E25E8">
            <w:pPr>
              <w:pStyle w:val="P68B1DB1-Normal6"/>
              <w:spacing w:before="0" w:after="0" w:line="240" w:lineRule="auto"/>
              <w:jc w:val="center"/>
              <w:rPr>
                <w:rFonts w:eastAsia="Times New Roman"/>
                <w:noProof/>
              </w:rPr>
            </w:pPr>
            <w:r>
              <w:rPr>
                <w:noProof/>
              </w:rPr>
              <w:t>Nom</w:t>
            </w:r>
          </w:p>
        </w:tc>
        <w:tc>
          <w:tcPr>
            <w:tcW w:w="1440" w:type="dxa"/>
            <w:vMerge w:val="restart"/>
            <w:shd w:val="clear" w:color="auto" w:fill="BDD7EE"/>
            <w:vAlign w:val="center"/>
            <w:hideMark/>
          </w:tcPr>
          <w:p w14:paraId="6BBC6337" w14:textId="4CEC4A4E" w:rsidR="003B6BD9" w:rsidRDefault="009E25E8">
            <w:pPr>
              <w:pStyle w:val="P68B1DB1-Normal6"/>
              <w:spacing w:before="0" w:after="0" w:line="240" w:lineRule="auto"/>
              <w:jc w:val="center"/>
              <w:rPr>
                <w:rFonts w:eastAsia="Times New Roman"/>
                <w:noProof/>
              </w:rPr>
            </w:pPr>
            <w:r>
              <w:rPr>
                <w:noProof/>
              </w:rPr>
              <w:t>Indicateurs qualitatifs (pour les jalons)</w:t>
            </w:r>
          </w:p>
        </w:tc>
        <w:tc>
          <w:tcPr>
            <w:tcW w:w="3120" w:type="dxa"/>
            <w:gridSpan w:val="3"/>
            <w:shd w:val="clear" w:color="auto" w:fill="BDD7EE"/>
            <w:vAlign w:val="center"/>
            <w:hideMark/>
          </w:tcPr>
          <w:p w14:paraId="3537302A" w14:textId="27D252CE" w:rsidR="003B6BD9" w:rsidRDefault="009E25E8">
            <w:pPr>
              <w:pStyle w:val="P68B1DB1-Normal6"/>
              <w:spacing w:before="0" w:after="0" w:line="240" w:lineRule="auto"/>
              <w:jc w:val="center"/>
              <w:rPr>
                <w:rFonts w:eastAsia="Times New Roman"/>
                <w:noProof/>
              </w:rPr>
            </w:pPr>
            <w:r>
              <w:rPr>
                <w:noProof/>
              </w:rPr>
              <w:t>Indicateurs quantitatifs (pour les cibles)</w:t>
            </w:r>
          </w:p>
        </w:tc>
        <w:tc>
          <w:tcPr>
            <w:tcW w:w="1800" w:type="dxa"/>
            <w:gridSpan w:val="2"/>
            <w:shd w:val="clear" w:color="auto" w:fill="BDD7EE"/>
            <w:vAlign w:val="center"/>
            <w:hideMark/>
          </w:tcPr>
          <w:p w14:paraId="213F866A" w14:textId="77777777" w:rsidR="003B6BD9" w:rsidRDefault="009E25E8">
            <w:pPr>
              <w:pStyle w:val="P68B1DB1-Normal6"/>
              <w:spacing w:before="0" w:after="0" w:line="240" w:lineRule="auto"/>
              <w:jc w:val="center"/>
              <w:rPr>
                <w:rFonts w:eastAsia="Times New Roman"/>
                <w:noProof/>
              </w:rPr>
            </w:pPr>
            <w:r>
              <w:rPr>
                <w:noProof/>
              </w:rPr>
              <w:t xml:space="preserve">Calendrier indicatif pour l’achèvement </w:t>
            </w:r>
          </w:p>
        </w:tc>
        <w:tc>
          <w:tcPr>
            <w:tcW w:w="3567" w:type="dxa"/>
            <w:vMerge w:val="restart"/>
            <w:shd w:val="clear" w:color="auto" w:fill="BDD7EE"/>
            <w:vAlign w:val="center"/>
            <w:hideMark/>
          </w:tcPr>
          <w:p w14:paraId="1D144B1B" w14:textId="77777777" w:rsidR="003B6BD9" w:rsidRDefault="009E25E8">
            <w:pPr>
              <w:pStyle w:val="P68B1DB1-Normal6"/>
              <w:spacing w:before="0" w:after="0" w:line="240" w:lineRule="auto"/>
              <w:jc w:val="center"/>
              <w:rPr>
                <w:rFonts w:eastAsia="Times New Roman"/>
                <w:noProof/>
              </w:rPr>
            </w:pPr>
            <w:r>
              <w:rPr>
                <w:noProof/>
              </w:rPr>
              <w:t>Description de chaque jalon et cible</w:t>
            </w:r>
          </w:p>
        </w:tc>
      </w:tr>
      <w:tr w:rsidR="003B6BD9" w14:paraId="2FE60524" w14:textId="77777777" w:rsidTr="00AC1D11">
        <w:trPr>
          <w:trHeight w:val="751"/>
          <w:tblHeader/>
          <w:jc w:val="center"/>
        </w:trPr>
        <w:tc>
          <w:tcPr>
            <w:tcW w:w="955" w:type="dxa"/>
            <w:vMerge/>
            <w:vAlign w:val="center"/>
            <w:hideMark/>
          </w:tcPr>
          <w:p w14:paraId="32144559" w14:textId="77777777" w:rsidR="003B6BD9" w:rsidRDefault="003B6BD9">
            <w:pPr>
              <w:spacing w:before="0" w:after="0" w:line="240" w:lineRule="auto"/>
              <w:rPr>
                <w:rFonts w:eastAsia="Times New Roman"/>
                <w:b/>
                <w:noProof/>
                <w:sz w:val="18"/>
                <w:szCs w:val="18"/>
              </w:rPr>
            </w:pPr>
          </w:p>
        </w:tc>
        <w:tc>
          <w:tcPr>
            <w:tcW w:w="1800" w:type="dxa"/>
            <w:vMerge/>
            <w:vAlign w:val="center"/>
            <w:hideMark/>
          </w:tcPr>
          <w:p w14:paraId="4EB532C9" w14:textId="77777777" w:rsidR="003B6BD9" w:rsidRDefault="003B6BD9">
            <w:pPr>
              <w:spacing w:before="0" w:after="0" w:line="240" w:lineRule="auto"/>
              <w:rPr>
                <w:rFonts w:eastAsia="Times New Roman"/>
                <w:b/>
                <w:noProof/>
                <w:sz w:val="18"/>
                <w:szCs w:val="18"/>
              </w:rPr>
            </w:pPr>
          </w:p>
        </w:tc>
        <w:tc>
          <w:tcPr>
            <w:tcW w:w="1080" w:type="dxa"/>
            <w:vMerge/>
            <w:vAlign w:val="center"/>
            <w:hideMark/>
          </w:tcPr>
          <w:p w14:paraId="186A1F7D" w14:textId="77777777" w:rsidR="003B6BD9" w:rsidRDefault="003B6BD9">
            <w:pPr>
              <w:spacing w:before="0" w:after="0" w:line="240" w:lineRule="auto"/>
              <w:rPr>
                <w:rFonts w:eastAsia="Times New Roman"/>
                <w:b/>
                <w:noProof/>
                <w:sz w:val="18"/>
                <w:szCs w:val="18"/>
              </w:rPr>
            </w:pPr>
          </w:p>
        </w:tc>
        <w:tc>
          <w:tcPr>
            <w:tcW w:w="1560" w:type="dxa"/>
            <w:vMerge/>
            <w:vAlign w:val="center"/>
            <w:hideMark/>
          </w:tcPr>
          <w:p w14:paraId="3A46C96A" w14:textId="77777777" w:rsidR="003B6BD9" w:rsidRDefault="003B6BD9">
            <w:pPr>
              <w:spacing w:before="0" w:after="0" w:line="240" w:lineRule="auto"/>
              <w:rPr>
                <w:rFonts w:eastAsia="Times New Roman"/>
                <w:b/>
                <w:noProof/>
                <w:sz w:val="18"/>
                <w:szCs w:val="18"/>
              </w:rPr>
            </w:pPr>
          </w:p>
        </w:tc>
        <w:tc>
          <w:tcPr>
            <w:tcW w:w="1440" w:type="dxa"/>
            <w:vMerge/>
            <w:vAlign w:val="center"/>
            <w:hideMark/>
          </w:tcPr>
          <w:p w14:paraId="48A9BA87" w14:textId="77777777" w:rsidR="003B6BD9" w:rsidRDefault="003B6BD9">
            <w:pPr>
              <w:spacing w:before="0" w:after="0" w:line="240" w:lineRule="auto"/>
              <w:rPr>
                <w:rFonts w:eastAsia="Times New Roman"/>
                <w:b/>
                <w:noProof/>
                <w:sz w:val="18"/>
                <w:szCs w:val="18"/>
              </w:rPr>
            </w:pPr>
          </w:p>
        </w:tc>
        <w:tc>
          <w:tcPr>
            <w:tcW w:w="1200" w:type="dxa"/>
            <w:shd w:val="clear" w:color="auto" w:fill="BDD7EE"/>
            <w:vAlign w:val="center"/>
            <w:hideMark/>
          </w:tcPr>
          <w:p w14:paraId="3265B0C6" w14:textId="77777777" w:rsidR="003B6BD9" w:rsidRDefault="009E25E8">
            <w:pPr>
              <w:pStyle w:val="P68B1DB1-Normal6"/>
              <w:spacing w:before="0" w:after="0" w:line="240" w:lineRule="auto"/>
              <w:jc w:val="center"/>
              <w:rPr>
                <w:rFonts w:eastAsia="Times New Roman"/>
                <w:noProof/>
              </w:rPr>
            </w:pPr>
            <w:r>
              <w:rPr>
                <w:noProof/>
              </w:rPr>
              <w:t>Unité de mesure</w:t>
            </w:r>
          </w:p>
        </w:tc>
        <w:tc>
          <w:tcPr>
            <w:tcW w:w="960" w:type="dxa"/>
            <w:shd w:val="clear" w:color="auto" w:fill="BDD7EE"/>
            <w:vAlign w:val="center"/>
            <w:hideMark/>
          </w:tcPr>
          <w:p w14:paraId="023B6CB5" w14:textId="77777777" w:rsidR="003B6BD9" w:rsidRDefault="009E25E8">
            <w:pPr>
              <w:pStyle w:val="P68B1DB1-Normal6"/>
              <w:spacing w:before="0" w:after="0" w:line="240" w:lineRule="auto"/>
              <w:jc w:val="center"/>
              <w:rPr>
                <w:rFonts w:eastAsia="Times New Roman"/>
                <w:noProof/>
              </w:rPr>
            </w:pPr>
            <w:r>
              <w:rPr>
                <w:noProof/>
              </w:rPr>
              <w:t xml:space="preserve">Niveau de référence </w:t>
            </w:r>
          </w:p>
        </w:tc>
        <w:tc>
          <w:tcPr>
            <w:tcW w:w="960" w:type="dxa"/>
            <w:shd w:val="clear" w:color="auto" w:fill="BDD7EE"/>
            <w:vAlign w:val="center"/>
            <w:hideMark/>
          </w:tcPr>
          <w:p w14:paraId="3CC607E3" w14:textId="77777777" w:rsidR="003B6BD9" w:rsidRDefault="009E25E8">
            <w:pPr>
              <w:pStyle w:val="P68B1DB1-Normal6"/>
              <w:spacing w:before="0" w:after="0" w:line="240" w:lineRule="auto"/>
              <w:jc w:val="center"/>
              <w:rPr>
                <w:rFonts w:eastAsia="Times New Roman"/>
                <w:noProof/>
              </w:rPr>
            </w:pPr>
            <w:r>
              <w:rPr>
                <w:noProof/>
              </w:rPr>
              <w:t xml:space="preserve">But </w:t>
            </w:r>
          </w:p>
        </w:tc>
        <w:tc>
          <w:tcPr>
            <w:tcW w:w="1080" w:type="dxa"/>
            <w:shd w:val="clear" w:color="auto" w:fill="BDD7EE"/>
            <w:vAlign w:val="center"/>
            <w:hideMark/>
          </w:tcPr>
          <w:p w14:paraId="142968C9" w14:textId="77777777" w:rsidR="003B6BD9" w:rsidRDefault="009E25E8">
            <w:pPr>
              <w:pStyle w:val="P68B1DB1-Normal6"/>
              <w:spacing w:before="0" w:after="0" w:line="240" w:lineRule="auto"/>
              <w:rPr>
                <w:rFonts w:eastAsia="Times New Roman"/>
                <w:noProof/>
              </w:rPr>
            </w:pPr>
            <w:r>
              <w:rPr>
                <w:noProof/>
              </w:rPr>
              <w:t>Trimestre</w:t>
            </w:r>
          </w:p>
        </w:tc>
        <w:tc>
          <w:tcPr>
            <w:tcW w:w="720" w:type="dxa"/>
            <w:shd w:val="clear" w:color="auto" w:fill="BDD7EE"/>
            <w:vAlign w:val="center"/>
            <w:hideMark/>
          </w:tcPr>
          <w:p w14:paraId="13A59EEB" w14:textId="77777777" w:rsidR="003B6BD9" w:rsidRDefault="009E25E8">
            <w:pPr>
              <w:pStyle w:val="P68B1DB1-Normal6"/>
              <w:spacing w:before="0" w:after="0" w:line="240" w:lineRule="auto"/>
              <w:jc w:val="center"/>
              <w:rPr>
                <w:rFonts w:eastAsia="Times New Roman"/>
                <w:noProof/>
              </w:rPr>
            </w:pPr>
            <w:r>
              <w:rPr>
                <w:noProof/>
              </w:rPr>
              <w:t>Année</w:t>
            </w:r>
          </w:p>
        </w:tc>
        <w:tc>
          <w:tcPr>
            <w:tcW w:w="3567" w:type="dxa"/>
            <w:vMerge/>
            <w:vAlign w:val="center"/>
            <w:hideMark/>
          </w:tcPr>
          <w:p w14:paraId="53CE642D" w14:textId="77777777" w:rsidR="003B6BD9" w:rsidRDefault="003B6BD9">
            <w:pPr>
              <w:spacing w:before="0" w:after="0" w:line="240" w:lineRule="auto"/>
              <w:rPr>
                <w:rFonts w:eastAsia="Times New Roman"/>
                <w:b/>
                <w:noProof/>
                <w:sz w:val="18"/>
                <w:szCs w:val="18"/>
              </w:rPr>
            </w:pPr>
          </w:p>
        </w:tc>
      </w:tr>
      <w:tr w:rsidR="003B6BD9" w14:paraId="55D7F293" w14:textId="77777777" w:rsidTr="00AC1D11">
        <w:trPr>
          <w:trHeight w:val="309"/>
          <w:jc w:val="center"/>
        </w:trPr>
        <w:tc>
          <w:tcPr>
            <w:tcW w:w="955" w:type="dxa"/>
            <w:shd w:val="clear" w:color="auto" w:fill="C6EFCE"/>
            <w:noWrap/>
          </w:tcPr>
          <w:p w14:paraId="265FF40C" w14:textId="3F6E150E" w:rsidR="003B6BD9" w:rsidRDefault="009E25E8">
            <w:pPr>
              <w:pStyle w:val="P68B1DB1-Normal7"/>
              <w:spacing w:before="0" w:after="0" w:line="240" w:lineRule="auto"/>
              <w:rPr>
                <w:rFonts w:eastAsia="Times New Roman"/>
                <w:noProof/>
              </w:rPr>
            </w:pPr>
            <w:r>
              <w:rPr>
                <w:noProof/>
              </w:rPr>
              <w:t>90</w:t>
            </w:r>
          </w:p>
        </w:tc>
        <w:tc>
          <w:tcPr>
            <w:tcW w:w="1800" w:type="dxa"/>
            <w:shd w:val="clear" w:color="auto" w:fill="C6EFCE"/>
            <w:noWrap/>
          </w:tcPr>
          <w:p w14:paraId="4A222C27" w14:textId="7D2A7D71" w:rsidR="003B6BD9" w:rsidRDefault="009E25E8">
            <w:pPr>
              <w:pStyle w:val="P68B1DB1-Normal7"/>
              <w:spacing w:before="0" w:after="0" w:line="240" w:lineRule="auto"/>
              <w:rPr>
                <w:rFonts w:eastAsia="Times New Roman"/>
                <w:noProof/>
              </w:rPr>
            </w:pPr>
            <w:r>
              <w:rPr>
                <w:noProof/>
              </w:rPr>
              <w:t>A: Renforcer la gouvernance de la transformation numérique de l’administration publique</w:t>
            </w:r>
          </w:p>
        </w:tc>
        <w:tc>
          <w:tcPr>
            <w:tcW w:w="1080" w:type="dxa"/>
            <w:shd w:val="clear" w:color="auto" w:fill="C6EFCE"/>
            <w:noWrap/>
          </w:tcPr>
          <w:p w14:paraId="1C04AC10" w14:textId="621B6391" w:rsidR="003B6BD9" w:rsidRDefault="009E25E8">
            <w:pPr>
              <w:pStyle w:val="P68B1DB1-Normal7"/>
              <w:spacing w:before="0" w:after="0" w:line="240" w:lineRule="auto"/>
              <w:rPr>
                <w:rFonts w:eastAsia="Times New Roman"/>
                <w:noProof/>
              </w:rPr>
            </w:pPr>
            <w:r>
              <w:rPr>
                <w:noProof/>
              </w:rPr>
              <w:t>Jalon</w:t>
            </w:r>
          </w:p>
        </w:tc>
        <w:tc>
          <w:tcPr>
            <w:tcW w:w="1560" w:type="dxa"/>
            <w:shd w:val="clear" w:color="auto" w:fill="C6EFCE"/>
            <w:noWrap/>
          </w:tcPr>
          <w:p w14:paraId="7A4997C2" w14:textId="4FC793E8" w:rsidR="003B6BD9" w:rsidRDefault="009E25E8">
            <w:pPr>
              <w:pStyle w:val="P68B1DB1-Normal7"/>
              <w:spacing w:before="0" w:after="0" w:line="240" w:lineRule="auto"/>
              <w:rPr>
                <w:rFonts w:eastAsia="Times New Roman"/>
                <w:noProof/>
              </w:rPr>
            </w:pPr>
            <w:r>
              <w:rPr>
                <w:noProof/>
              </w:rPr>
              <w:t>Création et fonctionnement du Conseil de développement informatique de l’administration de l’État</w:t>
            </w:r>
          </w:p>
        </w:tc>
        <w:tc>
          <w:tcPr>
            <w:tcW w:w="1440" w:type="dxa"/>
            <w:shd w:val="clear" w:color="auto" w:fill="C6EFCE"/>
            <w:noWrap/>
          </w:tcPr>
          <w:p w14:paraId="744FE549" w14:textId="36820A24" w:rsidR="003B6BD9" w:rsidRDefault="009E25E8">
            <w:pPr>
              <w:pStyle w:val="P68B1DB1-Normal7"/>
              <w:spacing w:before="0" w:after="0" w:line="240" w:lineRule="auto"/>
              <w:rPr>
                <w:rFonts w:eastAsia="Times New Roman"/>
                <w:noProof/>
              </w:rPr>
            </w:pPr>
            <w:r>
              <w:rPr>
                <w:noProof/>
              </w:rPr>
              <w:t>Adoption de la décision relative à la création du Conseil par le gouvernement et à la nomination de ses membres par le ministère de l’administration publique</w:t>
            </w:r>
          </w:p>
        </w:tc>
        <w:tc>
          <w:tcPr>
            <w:tcW w:w="1200" w:type="dxa"/>
            <w:shd w:val="clear" w:color="auto" w:fill="C6EFCE"/>
            <w:noWrap/>
          </w:tcPr>
          <w:p w14:paraId="381C0C71" w14:textId="69412BE3"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27162CAF" w14:textId="480253BB"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18BD030E" w14:textId="3638029F" w:rsidR="003B6BD9" w:rsidRDefault="009E25E8">
            <w:pPr>
              <w:pStyle w:val="P68B1DB1-Normal7"/>
              <w:spacing w:before="0" w:after="0" w:line="240" w:lineRule="auto"/>
              <w:rPr>
                <w:rFonts w:eastAsia="Times New Roman"/>
                <w:noProof/>
              </w:rPr>
            </w:pPr>
            <w:r>
              <w:rPr>
                <w:noProof/>
              </w:rPr>
              <w:t> </w:t>
            </w:r>
          </w:p>
        </w:tc>
        <w:tc>
          <w:tcPr>
            <w:tcW w:w="1080" w:type="dxa"/>
            <w:shd w:val="clear" w:color="auto" w:fill="C6EFCE"/>
            <w:noWrap/>
          </w:tcPr>
          <w:p w14:paraId="262ADC85" w14:textId="1DC96BCD" w:rsidR="003B6BD9" w:rsidRDefault="009E25E8">
            <w:pPr>
              <w:pStyle w:val="P68B1DB1-Normal7"/>
              <w:spacing w:before="0" w:after="0" w:line="240" w:lineRule="auto"/>
              <w:rPr>
                <w:rFonts w:eastAsia="Times New Roman"/>
                <w:noProof/>
              </w:rPr>
            </w:pPr>
            <w:r>
              <w:rPr>
                <w:noProof/>
              </w:rPr>
              <w:t>T4</w:t>
            </w:r>
          </w:p>
        </w:tc>
        <w:tc>
          <w:tcPr>
            <w:tcW w:w="720" w:type="dxa"/>
            <w:shd w:val="clear" w:color="auto" w:fill="C6EFCE"/>
            <w:noWrap/>
          </w:tcPr>
          <w:p w14:paraId="555AA924" w14:textId="53394960" w:rsidR="003B6BD9" w:rsidRDefault="009E25E8">
            <w:pPr>
              <w:pStyle w:val="P68B1DB1-Normal7"/>
              <w:spacing w:before="0" w:after="0" w:line="240" w:lineRule="auto"/>
              <w:rPr>
                <w:rFonts w:eastAsia="Times New Roman"/>
                <w:noProof/>
              </w:rPr>
            </w:pPr>
            <w:r>
              <w:rPr>
                <w:noProof/>
              </w:rPr>
              <w:t>2021</w:t>
            </w:r>
          </w:p>
        </w:tc>
        <w:tc>
          <w:tcPr>
            <w:tcW w:w="3567" w:type="dxa"/>
            <w:shd w:val="clear" w:color="auto" w:fill="C6EFCE"/>
            <w:noWrap/>
          </w:tcPr>
          <w:p w14:paraId="3076BA5B" w14:textId="18AC1CF7" w:rsidR="003B6BD9" w:rsidRDefault="009E25E8">
            <w:pPr>
              <w:pStyle w:val="P68B1DB1-Normal7"/>
              <w:spacing w:before="0" w:after="0" w:line="240" w:lineRule="auto"/>
              <w:rPr>
                <w:rFonts w:eastAsia="Times New Roman"/>
                <w:noProof/>
              </w:rPr>
            </w:pPr>
            <w:r>
              <w:rPr>
                <w:noProof/>
              </w:rPr>
              <w:t>Le Conseil fournit un point central à l’administration publique pour la coordination des opérations au niveau opérationnel liées aux investissements informatiques, aux normes, aux systèmes de back-office et à d’autres évolutions technologiques lorsque la compatibilité des systèmes est essentielle pour leur exploitation et leur maintenance efficaces.</w:t>
            </w:r>
          </w:p>
        </w:tc>
      </w:tr>
      <w:tr w:rsidR="003B6BD9" w14:paraId="0319B7E1" w14:textId="77777777" w:rsidTr="00AC1D11">
        <w:trPr>
          <w:trHeight w:val="309"/>
          <w:jc w:val="center"/>
        </w:trPr>
        <w:tc>
          <w:tcPr>
            <w:tcW w:w="955" w:type="dxa"/>
            <w:shd w:val="clear" w:color="auto" w:fill="C6EFCE"/>
            <w:noWrap/>
          </w:tcPr>
          <w:p w14:paraId="4B0CFA1E" w14:textId="1DDFF617" w:rsidR="003B6BD9" w:rsidRDefault="009E25E8">
            <w:pPr>
              <w:pStyle w:val="P68B1DB1-Normal7"/>
              <w:spacing w:before="0" w:after="0" w:line="240" w:lineRule="auto"/>
              <w:rPr>
                <w:rFonts w:eastAsia="Times New Roman"/>
                <w:noProof/>
              </w:rPr>
            </w:pPr>
            <w:r>
              <w:rPr>
                <w:noProof/>
              </w:rPr>
              <w:t>91</w:t>
            </w:r>
          </w:p>
        </w:tc>
        <w:tc>
          <w:tcPr>
            <w:tcW w:w="1800" w:type="dxa"/>
            <w:shd w:val="clear" w:color="auto" w:fill="C6EFCE"/>
            <w:noWrap/>
          </w:tcPr>
          <w:p w14:paraId="4BE43574" w14:textId="33F09956" w:rsidR="003B6BD9" w:rsidRDefault="009E25E8">
            <w:pPr>
              <w:pStyle w:val="P68B1DB1-Normal7"/>
              <w:spacing w:before="0" w:after="0" w:line="240" w:lineRule="auto"/>
              <w:rPr>
                <w:rFonts w:eastAsia="Times New Roman"/>
                <w:noProof/>
              </w:rPr>
            </w:pPr>
            <w:r>
              <w:rPr>
                <w:noProof/>
              </w:rPr>
              <w:t xml:space="preserve">B: Créer un environnement pour l’utilisation des services en ligne par l’administration publique </w:t>
            </w:r>
          </w:p>
        </w:tc>
        <w:tc>
          <w:tcPr>
            <w:tcW w:w="1080" w:type="dxa"/>
            <w:shd w:val="clear" w:color="auto" w:fill="C6EFCE"/>
            <w:noWrap/>
          </w:tcPr>
          <w:p w14:paraId="0CE373D8" w14:textId="30374EEF" w:rsidR="003B6BD9" w:rsidRDefault="009E25E8">
            <w:pPr>
              <w:pStyle w:val="P68B1DB1-Normal7"/>
              <w:spacing w:before="0" w:after="0" w:line="240" w:lineRule="auto"/>
              <w:rPr>
                <w:rFonts w:eastAsia="Times New Roman"/>
                <w:noProof/>
              </w:rPr>
            </w:pPr>
            <w:r>
              <w:rPr>
                <w:noProof/>
              </w:rPr>
              <w:t>Jalon</w:t>
            </w:r>
          </w:p>
        </w:tc>
        <w:tc>
          <w:tcPr>
            <w:tcW w:w="1560" w:type="dxa"/>
            <w:shd w:val="clear" w:color="auto" w:fill="C6EFCE"/>
            <w:noWrap/>
          </w:tcPr>
          <w:p w14:paraId="0CDFCAA3" w14:textId="54DC06BB" w:rsidR="003B6BD9" w:rsidRDefault="009E25E8">
            <w:pPr>
              <w:pStyle w:val="P68B1DB1-Normal7"/>
              <w:spacing w:before="0" w:after="0" w:line="240" w:lineRule="auto"/>
              <w:rPr>
                <w:rFonts w:eastAsia="Times New Roman"/>
                <w:noProof/>
              </w:rPr>
            </w:pPr>
            <w:r>
              <w:rPr>
                <w:noProof/>
              </w:rPr>
              <w:t>Documents d’identité électroniques nationaux sécurisés</w:t>
            </w:r>
          </w:p>
        </w:tc>
        <w:tc>
          <w:tcPr>
            <w:tcW w:w="1440" w:type="dxa"/>
            <w:shd w:val="clear" w:color="auto" w:fill="C6EFCE"/>
            <w:noWrap/>
          </w:tcPr>
          <w:p w14:paraId="006D864B" w14:textId="17FB20F5" w:rsidR="003B6BD9" w:rsidRDefault="009E25E8">
            <w:pPr>
              <w:pStyle w:val="P68B1DB1-Normal7"/>
              <w:spacing w:before="0" w:after="0" w:line="240" w:lineRule="auto"/>
              <w:rPr>
                <w:rFonts w:eastAsia="Times New Roman"/>
                <w:noProof/>
              </w:rPr>
            </w:pPr>
            <w:r>
              <w:rPr>
                <w:noProof/>
              </w:rPr>
              <w:t>Début de la délivrance des nouvelles cartes nationales d’identité électroniques</w:t>
            </w:r>
          </w:p>
        </w:tc>
        <w:tc>
          <w:tcPr>
            <w:tcW w:w="1200" w:type="dxa"/>
            <w:shd w:val="clear" w:color="auto" w:fill="C6EFCE"/>
            <w:noWrap/>
          </w:tcPr>
          <w:p w14:paraId="04C58BC5" w14:textId="182C157F"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298FB19A" w14:textId="6E416F58"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089D264A" w14:textId="5F596460" w:rsidR="003B6BD9" w:rsidRDefault="009E25E8">
            <w:pPr>
              <w:pStyle w:val="P68B1DB1-Normal7"/>
              <w:spacing w:before="0" w:after="0" w:line="240" w:lineRule="auto"/>
              <w:rPr>
                <w:rFonts w:eastAsia="Times New Roman"/>
                <w:noProof/>
              </w:rPr>
            </w:pPr>
            <w:r>
              <w:rPr>
                <w:noProof/>
              </w:rPr>
              <w:t> </w:t>
            </w:r>
          </w:p>
        </w:tc>
        <w:tc>
          <w:tcPr>
            <w:tcW w:w="1080" w:type="dxa"/>
            <w:shd w:val="clear" w:color="auto" w:fill="C6EFCE"/>
            <w:noWrap/>
          </w:tcPr>
          <w:p w14:paraId="0FD2A80F" w14:textId="036C95D0" w:rsidR="003B6BD9" w:rsidRDefault="009E25E8">
            <w:pPr>
              <w:pStyle w:val="P68B1DB1-Normal7"/>
              <w:spacing w:before="0" w:after="0" w:line="240" w:lineRule="auto"/>
              <w:rPr>
                <w:rFonts w:eastAsia="Times New Roman"/>
                <w:noProof/>
              </w:rPr>
            </w:pPr>
            <w:r>
              <w:rPr>
                <w:noProof/>
              </w:rPr>
              <w:t>T2</w:t>
            </w:r>
          </w:p>
        </w:tc>
        <w:tc>
          <w:tcPr>
            <w:tcW w:w="720" w:type="dxa"/>
            <w:shd w:val="clear" w:color="auto" w:fill="C6EFCE"/>
            <w:noWrap/>
          </w:tcPr>
          <w:p w14:paraId="1F860801" w14:textId="77BC055B" w:rsidR="003B6BD9" w:rsidRDefault="009E25E8">
            <w:pPr>
              <w:pStyle w:val="P68B1DB1-Normal7"/>
              <w:spacing w:before="0" w:after="0" w:line="240" w:lineRule="auto"/>
              <w:rPr>
                <w:rFonts w:eastAsia="Times New Roman"/>
                <w:noProof/>
              </w:rPr>
            </w:pPr>
            <w:r>
              <w:rPr>
                <w:noProof/>
              </w:rPr>
              <w:t>2022</w:t>
            </w:r>
          </w:p>
        </w:tc>
        <w:tc>
          <w:tcPr>
            <w:tcW w:w="3567" w:type="dxa"/>
            <w:shd w:val="clear" w:color="auto" w:fill="C6EFCE"/>
            <w:noWrap/>
          </w:tcPr>
          <w:p w14:paraId="03266820" w14:textId="0A87A87E" w:rsidR="003B6BD9" w:rsidRDefault="009E25E8">
            <w:pPr>
              <w:pStyle w:val="P68B1DB1-Normal7"/>
              <w:spacing w:before="0" w:after="0" w:line="256" w:lineRule="auto"/>
              <w:rPr>
                <w:rFonts w:eastAsia="Times New Roman"/>
                <w:noProof/>
              </w:rPr>
            </w:pPr>
            <w:r>
              <w:rPr>
                <w:noProof/>
              </w:rPr>
              <w:t xml:space="preserve">Les premières nouvelles cartes d’identité électroniques sont délivrées. Il est utilisé au niveau national et transfrontalier dans </w:t>
            </w:r>
            <w:r>
              <w:rPr>
                <w:noProof/>
              </w:rPr>
              <w:br/>
              <w:t xml:space="preserve">commerce électronique. </w:t>
            </w:r>
          </w:p>
          <w:p w14:paraId="73755509" w14:textId="0169571F" w:rsidR="003B6BD9" w:rsidRDefault="009E25E8">
            <w:pPr>
              <w:pStyle w:val="P68B1DB1-Normal7"/>
              <w:spacing w:before="0" w:after="0" w:line="256" w:lineRule="auto"/>
              <w:rPr>
                <w:rFonts w:eastAsia="Times New Roman"/>
                <w:noProof/>
              </w:rPr>
            </w:pPr>
            <w:r>
              <w:rPr>
                <w:noProof/>
              </w:rPr>
              <w:t>La nouvelle carte d’identité permet au citoyen de s’identifier et de s’authentifier par voie électronique afin d’accéder à des services électroniques et de signer électroniquement. La base juridique de la délivrance de l’identité électronique est la loi sur l’identité électronique et les services de confiance et la loi modifiée sur les cartes d’identité (loi modifiant la loi sur les cartes d’identité).</w:t>
            </w:r>
          </w:p>
          <w:p w14:paraId="73EDC133" w14:textId="774C2A10" w:rsidR="003B6BD9" w:rsidRDefault="009E25E8">
            <w:pPr>
              <w:pStyle w:val="P68B1DB1-Normal7"/>
              <w:spacing w:before="0" w:after="0" w:line="240" w:lineRule="auto"/>
              <w:rPr>
                <w:rFonts w:eastAsia="Times New Roman"/>
                <w:noProof/>
              </w:rPr>
            </w:pPr>
            <w:r>
              <w:rPr>
                <w:noProof/>
              </w:rPr>
              <w:t>Le système doit être notifié, dans le cadre d’eIDAS, comme étant conforme aux exigences transfrontalières.</w:t>
            </w:r>
          </w:p>
        </w:tc>
      </w:tr>
      <w:tr w:rsidR="003B6BD9" w14:paraId="4D141537" w14:textId="77777777" w:rsidTr="00AC1D11">
        <w:trPr>
          <w:trHeight w:val="309"/>
          <w:jc w:val="center"/>
        </w:trPr>
        <w:tc>
          <w:tcPr>
            <w:tcW w:w="955" w:type="dxa"/>
            <w:shd w:val="clear" w:color="auto" w:fill="C6EFCE"/>
            <w:noWrap/>
          </w:tcPr>
          <w:p w14:paraId="6E94E186" w14:textId="3FF69908" w:rsidR="003B6BD9" w:rsidRDefault="009E25E8">
            <w:pPr>
              <w:pStyle w:val="P68B1DB1-Normal7"/>
              <w:spacing w:before="0" w:after="0" w:line="240" w:lineRule="auto"/>
              <w:rPr>
                <w:rFonts w:eastAsia="Times New Roman"/>
                <w:noProof/>
              </w:rPr>
            </w:pPr>
            <w:r>
              <w:rPr>
                <w:noProof/>
              </w:rPr>
              <w:t>92</w:t>
            </w:r>
          </w:p>
        </w:tc>
        <w:tc>
          <w:tcPr>
            <w:tcW w:w="1800" w:type="dxa"/>
            <w:shd w:val="clear" w:color="auto" w:fill="C6EFCE"/>
            <w:noWrap/>
          </w:tcPr>
          <w:p w14:paraId="609CB841" w14:textId="50808F7F" w:rsidR="003B6BD9" w:rsidRDefault="009E25E8">
            <w:pPr>
              <w:pStyle w:val="P68B1DB1-Normal7"/>
              <w:spacing w:before="0" w:after="0" w:line="240" w:lineRule="auto"/>
              <w:rPr>
                <w:rFonts w:eastAsia="Times New Roman"/>
                <w:noProof/>
              </w:rPr>
            </w:pPr>
            <w:r>
              <w:rPr>
                <w:noProof/>
              </w:rPr>
              <w:t>D: Création d’un centre de compétences — Centre de ressources humaines et renforcement des compétences du personnel de l’administration publique</w:t>
            </w:r>
          </w:p>
        </w:tc>
        <w:tc>
          <w:tcPr>
            <w:tcW w:w="1080" w:type="dxa"/>
            <w:shd w:val="clear" w:color="auto" w:fill="C6EFCE"/>
            <w:noWrap/>
          </w:tcPr>
          <w:p w14:paraId="77558913" w14:textId="708591C0" w:rsidR="003B6BD9" w:rsidRDefault="009E25E8">
            <w:pPr>
              <w:pStyle w:val="P68B1DB1-Normal7"/>
              <w:spacing w:before="0" w:after="0" w:line="240" w:lineRule="auto"/>
              <w:rPr>
                <w:rFonts w:eastAsia="Times New Roman"/>
                <w:noProof/>
              </w:rPr>
            </w:pPr>
            <w:r>
              <w:rPr>
                <w:noProof/>
              </w:rPr>
              <w:t>Jalon</w:t>
            </w:r>
          </w:p>
        </w:tc>
        <w:tc>
          <w:tcPr>
            <w:tcW w:w="1560" w:type="dxa"/>
            <w:shd w:val="clear" w:color="auto" w:fill="C6EFCE"/>
            <w:noWrap/>
          </w:tcPr>
          <w:p w14:paraId="27789A96" w14:textId="4E807846" w:rsidR="003B6BD9" w:rsidRDefault="009E25E8">
            <w:pPr>
              <w:pStyle w:val="P68B1DB1-Normal7"/>
              <w:spacing w:before="0" w:after="0" w:line="240" w:lineRule="auto"/>
              <w:rPr>
                <w:rFonts w:eastAsia="Times New Roman"/>
                <w:noProof/>
              </w:rPr>
            </w:pPr>
            <w:r>
              <w:rPr>
                <w:noProof/>
              </w:rPr>
              <w:t xml:space="preserve">Un centre de compétences — un centre de ressources humaines établi et opérationnel </w:t>
            </w:r>
          </w:p>
        </w:tc>
        <w:tc>
          <w:tcPr>
            <w:tcW w:w="1440" w:type="dxa"/>
            <w:shd w:val="clear" w:color="auto" w:fill="C6EFCE"/>
            <w:noWrap/>
          </w:tcPr>
          <w:p w14:paraId="58CF298F" w14:textId="6F8CDDBB" w:rsidR="003B6BD9" w:rsidRDefault="009E25E8">
            <w:pPr>
              <w:pStyle w:val="P68B1DB1-Normal7"/>
              <w:spacing w:before="0" w:after="0" w:line="240" w:lineRule="auto"/>
              <w:rPr>
                <w:rFonts w:eastAsia="Times New Roman"/>
                <w:noProof/>
              </w:rPr>
            </w:pPr>
            <w:r>
              <w:rPr>
                <w:noProof/>
              </w:rPr>
              <w:t xml:space="preserve">Le Centre de compétences — Centre de ressources humaines est opérationnel </w:t>
            </w:r>
          </w:p>
        </w:tc>
        <w:tc>
          <w:tcPr>
            <w:tcW w:w="1200" w:type="dxa"/>
            <w:shd w:val="clear" w:color="auto" w:fill="C6EFCE"/>
            <w:noWrap/>
          </w:tcPr>
          <w:p w14:paraId="1E7A2E37" w14:textId="421CB671"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504BB099" w14:textId="628FDEF2"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02C2B567" w14:textId="4468D835" w:rsidR="003B6BD9" w:rsidRDefault="009E25E8">
            <w:pPr>
              <w:pStyle w:val="P68B1DB1-Normal7"/>
              <w:spacing w:before="0" w:after="0" w:line="240" w:lineRule="auto"/>
              <w:rPr>
                <w:rFonts w:eastAsia="Times New Roman"/>
                <w:noProof/>
              </w:rPr>
            </w:pPr>
            <w:r>
              <w:rPr>
                <w:noProof/>
              </w:rPr>
              <w:t> </w:t>
            </w:r>
          </w:p>
        </w:tc>
        <w:tc>
          <w:tcPr>
            <w:tcW w:w="1080" w:type="dxa"/>
            <w:shd w:val="clear" w:color="auto" w:fill="C6EFCE"/>
            <w:noWrap/>
          </w:tcPr>
          <w:p w14:paraId="02B5DF67" w14:textId="0A79FD2F" w:rsidR="003B6BD9" w:rsidRDefault="009E25E8">
            <w:pPr>
              <w:pStyle w:val="P68B1DB1-Normal7"/>
              <w:spacing w:before="0" w:after="0" w:line="240" w:lineRule="auto"/>
              <w:rPr>
                <w:rFonts w:eastAsia="Times New Roman"/>
                <w:noProof/>
              </w:rPr>
            </w:pPr>
            <w:r>
              <w:rPr>
                <w:noProof/>
              </w:rPr>
              <w:t>T2</w:t>
            </w:r>
          </w:p>
        </w:tc>
        <w:tc>
          <w:tcPr>
            <w:tcW w:w="720" w:type="dxa"/>
            <w:shd w:val="clear" w:color="auto" w:fill="C6EFCE"/>
            <w:noWrap/>
          </w:tcPr>
          <w:p w14:paraId="164821A1" w14:textId="04F2A60E" w:rsidR="003B6BD9" w:rsidRDefault="009E25E8">
            <w:pPr>
              <w:pStyle w:val="P68B1DB1-Normal7"/>
              <w:spacing w:before="0" w:after="0" w:line="240" w:lineRule="auto"/>
              <w:rPr>
                <w:rFonts w:eastAsia="Times New Roman"/>
                <w:noProof/>
              </w:rPr>
            </w:pPr>
            <w:r>
              <w:rPr>
                <w:noProof/>
              </w:rPr>
              <w:t>2024</w:t>
            </w:r>
          </w:p>
        </w:tc>
        <w:tc>
          <w:tcPr>
            <w:tcW w:w="3567" w:type="dxa"/>
            <w:shd w:val="clear" w:color="auto" w:fill="C6EFCE"/>
            <w:noWrap/>
          </w:tcPr>
          <w:p w14:paraId="276458DC" w14:textId="442158A5" w:rsidR="003B6BD9" w:rsidRDefault="009E25E8">
            <w:pPr>
              <w:pStyle w:val="P68B1DB1-Normal7"/>
              <w:spacing w:before="0" w:after="0" w:line="256" w:lineRule="auto"/>
              <w:rPr>
                <w:rFonts w:eastAsia="Times New Roman"/>
                <w:noProof/>
              </w:rPr>
            </w:pPr>
            <w:r>
              <w:rPr>
                <w:noProof/>
              </w:rPr>
              <w:t xml:space="preserve">Les modifications de la loi sur la fonction publique prévoient la création du Centre de compétences — Centre de ressources humaines. </w:t>
            </w:r>
          </w:p>
          <w:p w14:paraId="5A50705A" w14:textId="35CBF06C" w:rsidR="003B6BD9" w:rsidRDefault="009E25E8">
            <w:pPr>
              <w:pStyle w:val="P68B1DB1-Normal10"/>
              <w:spacing w:before="0" w:after="0" w:line="240" w:lineRule="auto"/>
              <w:rPr>
                <w:noProof/>
                <w:color w:val="006100"/>
              </w:rPr>
            </w:pPr>
            <w:r>
              <w:rPr>
                <w:noProof/>
                <w:color w:val="006100"/>
              </w:rPr>
              <w:t>Le Centre est opérationnel et est chargé:</w:t>
            </w:r>
            <w:r>
              <w:rPr>
                <w:noProof/>
              </w:rPr>
              <w:br/>
            </w:r>
            <w:r>
              <w:rPr>
                <w:noProof/>
                <w:color w:val="006100"/>
              </w:rPr>
              <w:t xml:space="preserve">— organisation de concours publics pour les procédures de recrutement dans l’administration publique; </w:t>
            </w:r>
            <w:r>
              <w:rPr>
                <w:noProof/>
              </w:rPr>
              <w:br/>
              <w:t xml:space="preserve"> </w:t>
            </w:r>
            <w:r>
              <w:rPr>
                <w:noProof/>
                <w:color w:val="006100"/>
              </w:rPr>
              <w:t xml:space="preserve">— évaluer les compétences des candidats dans le cadre des procédures de recrutement; </w:t>
            </w:r>
            <w:r>
              <w:rPr>
                <w:noProof/>
              </w:rPr>
              <w:br/>
              <w:t xml:space="preserve"> </w:t>
            </w:r>
            <w:r>
              <w:rPr>
                <w:noProof/>
                <w:color w:val="006100"/>
              </w:rPr>
              <w:t>— développer un système de compétences et d’aptitudes personnelles dans l’administration publique (y compris les compétences de gestion); promouvoir des outils de gestion des ressources humaines dans l’administration publique; établir un cadre pour améliorer les compétences numériques dans l’administration publique.</w:t>
            </w:r>
          </w:p>
          <w:p w14:paraId="683ED23B" w14:textId="6BCE4162" w:rsidR="003B6BD9" w:rsidRDefault="009E25E8">
            <w:pPr>
              <w:pStyle w:val="P68B1DB1-Normal8"/>
              <w:spacing w:before="0" w:after="0" w:line="240" w:lineRule="auto"/>
              <w:rPr>
                <w:noProof/>
              </w:rPr>
            </w:pPr>
            <w:r>
              <w:rPr>
                <w:noProof/>
              </w:rPr>
              <w:t>La loi peut prévoir une période transitoire raisonnable pour l’application effective des responsabilités énumérées des centres de compétences et la pleine mise en œuvre des centres de compétences.</w:t>
            </w:r>
          </w:p>
        </w:tc>
      </w:tr>
      <w:tr w:rsidR="003B6BD9" w14:paraId="0AD078E5" w14:textId="77777777" w:rsidTr="00AC1D11">
        <w:trPr>
          <w:trHeight w:val="309"/>
          <w:jc w:val="center"/>
        </w:trPr>
        <w:tc>
          <w:tcPr>
            <w:tcW w:w="955" w:type="dxa"/>
            <w:shd w:val="clear" w:color="auto" w:fill="C6EFCE"/>
            <w:noWrap/>
          </w:tcPr>
          <w:p w14:paraId="3862E181" w14:textId="72BB6DD4" w:rsidR="003B6BD9" w:rsidRDefault="009E25E8">
            <w:pPr>
              <w:pStyle w:val="P68B1DB1-Normal7"/>
              <w:spacing w:before="0" w:after="0" w:line="240" w:lineRule="auto"/>
              <w:rPr>
                <w:rFonts w:eastAsia="Times New Roman"/>
                <w:noProof/>
              </w:rPr>
            </w:pPr>
            <w:r>
              <w:rPr>
                <w:noProof/>
              </w:rPr>
              <w:t>93</w:t>
            </w:r>
          </w:p>
        </w:tc>
        <w:tc>
          <w:tcPr>
            <w:tcW w:w="1800" w:type="dxa"/>
            <w:shd w:val="clear" w:color="auto" w:fill="C6EFCE"/>
            <w:noWrap/>
          </w:tcPr>
          <w:p w14:paraId="4471D1ED" w14:textId="1B714E8F" w:rsidR="003B6BD9" w:rsidRDefault="009E25E8">
            <w:pPr>
              <w:pStyle w:val="P68B1DB1-Normal7"/>
              <w:spacing w:before="0" w:after="0" w:line="240" w:lineRule="auto"/>
              <w:rPr>
                <w:rFonts w:eastAsia="Times New Roman"/>
                <w:noProof/>
              </w:rPr>
            </w:pPr>
            <w:r>
              <w:rPr>
                <w:noProof/>
              </w:rPr>
              <w:t>C: Moderniser les processus administratifs pour réussir la transformation numérique</w:t>
            </w:r>
          </w:p>
        </w:tc>
        <w:tc>
          <w:tcPr>
            <w:tcW w:w="1080" w:type="dxa"/>
            <w:shd w:val="clear" w:color="auto" w:fill="C6EFCE"/>
            <w:noWrap/>
          </w:tcPr>
          <w:p w14:paraId="5D8F568D" w14:textId="64DF9731" w:rsidR="003B6BD9" w:rsidRDefault="009E25E8">
            <w:pPr>
              <w:pStyle w:val="P68B1DB1-Normal7"/>
              <w:spacing w:before="0" w:after="0" w:line="240" w:lineRule="auto"/>
              <w:rPr>
                <w:rFonts w:eastAsia="Times New Roman"/>
                <w:noProof/>
              </w:rPr>
            </w:pPr>
            <w:r>
              <w:rPr>
                <w:noProof/>
              </w:rPr>
              <w:t>Jalon</w:t>
            </w:r>
          </w:p>
        </w:tc>
        <w:tc>
          <w:tcPr>
            <w:tcW w:w="1560" w:type="dxa"/>
            <w:shd w:val="clear" w:color="auto" w:fill="C6EFCE"/>
            <w:noWrap/>
          </w:tcPr>
          <w:p w14:paraId="5EF836D0" w14:textId="70B82B6F" w:rsidR="003B6BD9" w:rsidRDefault="009E25E8">
            <w:pPr>
              <w:pStyle w:val="P68B1DB1-Normal7"/>
              <w:spacing w:before="0" w:after="0" w:line="240" w:lineRule="auto"/>
              <w:rPr>
                <w:rFonts w:eastAsia="Times New Roman"/>
                <w:noProof/>
              </w:rPr>
            </w:pPr>
            <w:r>
              <w:rPr>
                <w:noProof/>
              </w:rPr>
              <w:t>Suppression des obstacles juridiques et administratifs à la fourniture de services en ligne</w:t>
            </w:r>
          </w:p>
        </w:tc>
        <w:tc>
          <w:tcPr>
            <w:tcW w:w="1440" w:type="dxa"/>
            <w:shd w:val="clear" w:color="auto" w:fill="C6EFCE"/>
            <w:noWrap/>
          </w:tcPr>
          <w:p w14:paraId="735BB05C" w14:textId="64672C18" w:rsidR="003B6BD9" w:rsidRDefault="009E25E8">
            <w:pPr>
              <w:pStyle w:val="P68B1DB1-Normal7"/>
              <w:spacing w:before="0" w:after="0" w:line="240" w:lineRule="auto"/>
              <w:rPr>
                <w:rFonts w:eastAsia="Times New Roman"/>
                <w:noProof/>
              </w:rPr>
            </w:pPr>
            <w:r>
              <w:rPr>
                <w:noProof/>
              </w:rPr>
              <w:t xml:space="preserve">Dispositions de la loi indiquant l’entrée en vigueur des modifications de la loi générale sur la procédure administrative et du décret sur le commerce administratif </w:t>
            </w:r>
          </w:p>
        </w:tc>
        <w:tc>
          <w:tcPr>
            <w:tcW w:w="1200" w:type="dxa"/>
            <w:shd w:val="clear" w:color="auto" w:fill="C6EFCE"/>
            <w:noWrap/>
          </w:tcPr>
          <w:p w14:paraId="1F89C1B8" w14:textId="65138EC6"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02D972E9" w14:textId="3A593E03"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6B19F78F" w14:textId="0CACCB24" w:rsidR="003B6BD9" w:rsidRDefault="009E25E8">
            <w:pPr>
              <w:pStyle w:val="P68B1DB1-Normal7"/>
              <w:spacing w:before="0" w:after="0" w:line="240" w:lineRule="auto"/>
              <w:rPr>
                <w:rFonts w:eastAsia="Times New Roman"/>
                <w:noProof/>
              </w:rPr>
            </w:pPr>
            <w:r>
              <w:rPr>
                <w:noProof/>
              </w:rPr>
              <w:t> </w:t>
            </w:r>
          </w:p>
        </w:tc>
        <w:tc>
          <w:tcPr>
            <w:tcW w:w="1080" w:type="dxa"/>
            <w:shd w:val="clear" w:color="auto" w:fill="C6EFCE"/>
            <w:noWrap/>
          </w:tcPr>
          <w:p w14:paraId="5E3B1B84" w14:textId="5BF9D395" w:rsidR="003B6BD9" w:rsidRDefault="009E25E8">
            <w:pPr>
              <w:pStyle w:val="P68B1DB1-Normal7"/>
              <w:spacing w:before="0" w:after="0" w:line="240" w:lineRule="auto"/>
              <w:rPr>
                <w:rFonts w:eastAsia="Times New Roman"/>
                <w:noProof/>
              </w:rPr>
            </w:pPr>
            <w:r>
              <w:rPr>
                <w:noProof/>
              </w:rPr>
              <w:t>T4</w:t>
            </w:r>
          </w:p>
        </w:tc>
        <w:tc>
          <w:tcPr>
            <w:tcW w:w="720" w:type="dxa"/>
            <w:shd w:val="clear" w:color="auto" w:fill="C6EFCE"/>
            <w:noWrap/>
          </w:tcPr>
          <w:p w14:paraId="1C9B7D62" w14:textId="1A36DB1D" w:rsidR="003B6BD9" w:rsidRDefault="009E25E8">
            <w:pPr>
              <w:pStyle w:val="P68B1DB1-Normal7"/>
              <w:spacing w:before="0" w:after="0" w:line="240" w:lineRule="auto"/>
              <w:rPr>
                <w:rFonts w:eastAsia="Times New Roman"/>
                <w:noProof/>
              </w:rPr>
            </w:pPr>
            <w:r>
              <w:rPr>
                <w:noProof/>
              </w:rPr>
              <w:t>2022</w:t>
            </w:r>
          </w:p>
        </w:tc>
        <w:tc>
          <w:tcPr>
            <w:tcW w:w="3567" w:type="dxa"/>
            <w:shd w:val="clear" w:color="auto" w:fill="C6EFCE"/>
            <w:noWrap/>
          </w:tcPr>
          <w:p w14:paraId="1425D7B2" w14:textId="7310DF51" w:rsidR="003B6BD9" w:rsidRDefault="009E25E8">
            <w:pPr>
              <w:pStyle w:val="P68B1DB1-Normal7"/>
              <w:spacing w:before="0" w:after="0" w:line="256" w:lineRule="auto"/>
              <w:rPr>
                <w:rFonts w:eastAsia="Times New Roman"/>
                <w:noProof/>
              </w:rPr>
            </w:pPr>
            <w:r>
              <w:rPr>
                <w:noProof/>
              </w:rPr>
              <w:t>Les modifications apportées à la loi générale sur la procédure administrative et au décret sur le commerce administratif visent à simplifier les exigences légales relatives à la fourniture de services électroniques d’administration publique et à poursuivre la numérisation des procédures administratives. Il s’agit, entre autres, des services de paiement, du soutien au développement d’applications électroniques et de la soumission électronique de documents.</w:t>
            </w:r>
          </w:p>
        </w:tc>
      </w:tr>
      <w:tr w:rsidR="003B6BD9" w14:paraId="30751380" w14:textId="77777777" w:rsidTr="00AC1D11">
        <w:trPr>
          <w:trHeight w:val="309"/>
          <w:jc w:val="center"/>
        </w:trPr>
        <w:tc>
          <w:tcPr>
            <w:tcW w:w="955" w:type="dxa"/>
            <w:shd w:val="clear" w:color="auto" w:fill="C6EFCE"/>
            <w:noWrap/>
          </w:tcPr>
          <w:p w14:paraId="62C6796D" w14:textId="75B2C6A0" w:rsidR="003B6BD9" w:rsidRDefault="009E25E8">
            <w:pPr>
              <w:pStyle w:val="P68B1DB1-Normal7"/>
              <w:spacing w:before="0" w:after="0" w:line="240" w:lineRule="auto"/>
              <w:rPr>
                <w:rFonts w:eastAsia="Times New Roman"/>
                <w:noProof/>
              </w:rPr>
            </w:pPr>
            <w:r>
              <w:rPr>
                <w:noProof/>
              </w:rPr>
              <w:t>94</w:t>
            </w:r>
          </w:p>
        </w:tc>
        <w:tc>
          <w:tcPr>
            <w:tcW w:w="1800" w:type="dxa"/>
            <w:shd w:val="clear" w:color="auto" w:fill="C6EFCE"/>
            <w:noWrap/>
          </w:tcPr>
          <w:p w14:paraId="732D3DC2" w14:textId="667AD512" w:rsidR="003B6BD9" w:rsidRDefault="009E25E8">
            <w:pPr>
              <w:pStyle w:val="P68B1DB1-Normal7"/>
              <w:spacing w:before="0" w:after="0" w:line="240" w:lineRule="auto"/>
              <w:rPr>
                <w:rFonts w:eastAsia="Times New Roman"/>
                <w:noProof/>
              </w:rPr>
            </w:pPr>
            <w:r>
              <w:rPr>
                <w:noProof/>
              </w:rPr>
              <w:t>F: Transition vers la société du gigabit</w:t>
            </w:r>
          </w:p>
        </w:tc>
        <w:tc>
          <w:tcPr>
            <w:tcW w:w="1080" w:type="dxa"/>
            <w:shd w:val="clear" w:color="auto" w:fill="C6EFCE"/>
            <w:noWrap/>
          </w:tcPr>
          <w:p w14:paraId="29A742A6" w14:textId="114CF194" w:rsidR="003B6BD9" w:rsidRDefault="009E25E8">
            <w:pPr>
              <w:pStyle w:val="P68B1DB1-Normal7"/>
              <w:spacing w:before="0" w:after="0" w:line="240" w:lineRule="auto"/>
              <w:rPr>
                <w:rFonts w:eastAsia="Times New Roman"/>
                <w:noProof/>
              </w:rPr>
            </w:pPr>
            <w:r>
              <w:rPr>
                <w:noProof/>
              </w:rPr>
              <w:t>Jalon</w:t>
            </w:r>
          </w:p>
        </w:tc>
        <w:tc>
          <w:tcPr>
            <w:tcW w:w="1560" w:type="dxa"/>
            <w:shd w:val="clear" w:color="auto" w:fill="C6EFCE"/>
            <w:noWrap/>
          </w:tcPr>
          <w:p w14:paraId="10B4A7DC" w14:textId="4FDC6CAB" w:rsidR="003B6BD9" w:rsidRDefault="009E25E8">
            <w:pPr>
              <w:pStyle w:val="P68B1DB1-Normal7"/>
              <w:spacing w:before="0" w:after="0" w:line="240" w:lineRule="auto"/>
              <w:rPr>
                <w:rFonts w:eastAsia="Times New Roman"/>
                <w:noProof/>
              </w:rPr>
            </w:pPr>
            <w:r>
              <w:rPr>
                <w:noProof/>
              </w:rPr>
              <w:t xml:space="preserve">Adoption d’un plan en faveur du haut débit pour la période 2021-2025 </w:t>
            </w:r>
          </w:p>
        </w:tc>
        <w:tc>
          <w:tcPr>
            <w:tcW w:w="1440" w:type="dxa"/>
            <w:shd w:val="clear" w:color="auto" w:fill="C6EFCE"/>
            <w:noWrap/>
          </w:tcPr>
          <w:p w14:paraId="7D985652" w14:textId="5641B4E9" w:rsidR="003B6BD9" w:rsidRDefault="009E25E8">
            <w:pPr>
              <w:pStyle w:val="P68B1DB1-Normal7"/>
              <w:spacing w:before="0" w:after="0" w:line="240" w:lineRule="auto"/>
              <w:rPr>
                <w:rFonts w:eastAsia="Times New Roman"/>
                <w:noProof/>
              </w:rPr>
            </w:pPr>
            <w:r>
              <w:rPr>
                <w:noProof/>
              </w:rPr>
              <w:t>Le plan pour le haut débit est adopté par le gouvernement.</w:t>
            </w:r>
          </w:p>
        </w:tc>
        <w:tc>
          <w:tcPr>
            <w:tcW w:w="1200" w:type="dxa"/>
            <w:shd w:val="clear" w:color="auto" w:fill="C6EFCE"/>
            <w:noWrap/>
          </w:tcPr>
          <w:p w14:paraId="583478DB" w14:textId="31C631DA"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700D4724" w14:textId="1B733E8E"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486F2B43" w14:textId="2F339691" w:rsidR="003B6BD9" w:rsidRDefault="009E25E8">
            <w:pPr>
              <w:pStyle w:val="P68B1DB1-Normal7"/>
              <w:spacing w:before="0" w:after="0" w:line="240" w:lineRule="auto"/>
              <w:rPr>
                <w:rFonts w:eastAsia="Times New Roman"/>
                <w:noProof/>
              </w:rPr>
            </w:pPr>
            <w:r>
              <w:rPr>
                <w:noProof/>
              </w:rPr>
              <w:t> </w:t>
            </w:r>
          </w:p>
        </w:tc>
        <w:tc>
          <w:tcPr>
            <w:tcW w:w="1080" w:type="dxa"/>
            <w:shd w:val="clear" w:color="auto" w:fill="C6EFCE"/>
            <w:noWrap/>
          </w:tcPr>
          <w:p w14:paraId="6BDB747E" w14:textId="69240F5E" w:rsidR="003B6BD9" w:rsidRDefault="009E25E8">
            <w:pPr>
              <w:pStyle w:val="P68B1DB1-Normal7"/>
              <w:spacing w:before="0" w:after="0" w:line="240" w:lineRule="auto"/>
              <w:rPr>
                <w:rFonts w:eastAsia="Times New Roman"/>
                <w:noProof/>
              </w:rPr>
            </w:pPr>
            <w:r>
              <w:rPr>
                <w:noProof/>
              </w:rPr>
              <w:t>T2</w:t>
            </w:r>
          </w:p>
        </w:tc>
        <w:tc>
          <w:tcPr>
            <w:tcW w:w="720" w:type="dxa"/>
            <w:shd w:val="clear" w:color="auto" w:fill="C6EFCE"/>
            <w:noWrap/>
          </w:tcPr>
          <w:p w14:paraId="5D10E6BB" w14:textId="276E690F" w:rsidR="003B6BD9" w:rsidRDefault="009E25E8">
            <w:pPr>
              <w:pStyle w:val="P68B1DB1-Normal7"/>
              <w:spacing w:before="0" w:after="0" w:line="240" w:lineRule="auto"/>
              <w:rPr>
                <w:rFonts w:eastAsia="Times New Roman"/>
                <w:noProof/>
              </w:rPr>
            </w:pPr>
            <w:r>
              <w:rPr>
                <w:noProof/>
              </w:rPr>
              <w:t>2022</w:t>
            </w:r>
          </w:p>
        </w:tc>
        <w:tc>
          <w:tcPr>
            <w:tcW w:w="3567" w:type="dxa"/>
            <w:shd w:val="clear" w:color="auto" w:fill="C6EFCE"/>
            <w:noWrap/>
          </w:tcPr>
          <w:p w14:paraId="6C706F92" w14:textId="69542115" w:rsidR="003B6BD9" w:rsidRDefault="009E25E8">
            <w:pPr>
              <w:pStyle w:val="P68B1DB1-Normal7"/>
              <w:spacing w:before="0" w:after="0" w:line="240" w:lineRule="auto"/>
              <w:rPr>
                <w:rFonts w:eastAsia="Times New Roman"/>
                <w:noProof/>
              </w:rPr>
            </w:pPr>
            <w:r>
              <w:rPr>
                <w:noProof/>
              </w:rPr>
              <w:t>Le plan adopté définit: 1. la nécessité de garantir des réseaux à haut débit adéquats en Slovénie d’ici à 2025, conformément aux objectifs de connectivité pour une société européenne du gigabit 2025; 2. Un plan national pour la construction de l’infrastructure 5G; 3. les modifications nécessaires des bases juridiques dans le domaine des communications électroniques; 4. des mesures visant à garantir une zone appropriée du spectre radioélectrique en Slovénie; 5. des mesures concrètes nécessaires pour atteindre les objectifs, 6. Indicateurs clés de performance (ICP) pour atteindre les objectifs fixés dans les délais fixés.</w:t>
            </w:r>
          </w:p>
        </w:tc>
      </w:tr>
      <w:tr w:rsidR="003B6BD9" w14:paraId="1CAD1499" w14:textId="77777777" w:rsidTr="00AC1D11">
        <w:trPr>
          <w:trHeight w:val="309"/>
          <w:jc w:val="center"/>
        </w:trPr>
        <w:tc>
          <w:tcPr>
            <w:tcW w:w="955" w:type="dxa"/>
            <w:shd w:val="clear" w:color="auto" w:fill="C6EFCE"/>
            <w:noWrap/>
          </w:tcPr>
          <w:p w14:paraId="3D2F3EF5" w14:textId="7A9F8FA9" w:rsidR="003B6BD9" w:rsidRDefault="009E25E8">
            <w:pPr>
              <w:pStyle w:val="P68B1DB1-Normal7"/>
              <w:spacing w:before="0" w:after="0" w:line="240" w:lineRule="auto"/>
              <w:rPr>
                <w:rFonts w:eastAsia="Times New Roman"/>
                <w:noProof/>
              </w:rPr>
            </w:pPr>
            <w:bookmarkStart w:id="11" w:name="_Hlk214352991"/>
            <w:r>
              <w:rPr>
                <w:noProof/>
              </w:rPr>
              <w:t>95</w:t>
            </w:r>
          </w:p>
        </w:tc>
        <w:tc>
          <w:tcPr>
            <w:tcW w:w="1800" w:type="dxa"/>
            <w:shd w:val="clear" w:color="auto" w:fill="C6EFCE"/>
            <w:noWrap/>
          </w:tcPr>
          <w:p w14:paraId="588F18DD" w14:textId="565732F7" w:rsidR="003B6BD9" w:rsidRDefault="009E25E8">
            <w:pPr>
              <w:pStyle w:val="P68B1DB1-Normal7"/>
              <w:spacing w:before="0" w:after="0" w:line="240" w:lineRule="auto"/>
              <w:rPr>
                <w:rFonts w:eastAsia="Times New Roman"/>
                <w:noProof/>
              </w:rPr>
            </w:pPr>
            <w:r>
              <w:rPr>
                <w:noProof/>
              </w:rPr>
              <w:t>E: Garantir la cybersécurité</w:t>
            </w:r>
          </w:p>
        </w:tc>
        <w:tc>
          <w:tcPr>
            <w:tcW w:w="1080" w:type="dxa"/>
            <w:shd w:val="clear" w:color="auto" w:fill="C6EFCE"/>
            <w:noWrap/>
          </w:tcPr>
          <w:p w14:paraId="04B9CAA7" w14:textId="6A4B0F36" w:rsidR="003B6BD9" w:rsidRDefault="009E25E8">
            <w:pPr>
              <w:pStyle w:val="P68B1DB1-Normal7"/>
              <w:spacing w:before="0" w:after="0" w:line="240" w:lineRule="auto"/>
              <w:rPr>
                <w:rFonts w:eastAsia="Times New Roman"/>
                <w:noProof/>
              </w:rPr>
            </w:pPr>
            <w:r>
              <w:rPr>
                <w:noProof/>
              </w:rPr>
              <w:t>Jalon</w:t>
            </w:r>
          </w:p>
        </w:tc>
        <w:tc>
          <w:tcPr>
            <w:tcW w:w="1560" w:type="dxa"/>
            <w:shd w:val="clear" w:color="auto" w:fill="C6EFCE"/>
            <w:noWrap/>
          </w:tcPr>
          <w:p w14:paraId="46CE95B9" w14:textId="6461E54A" w:rsidR="003B6BD9" w:rsidRDefault="009E25E8">
            <w:pPr>
              <w:pStyle w:val="P68B1DB1-Normal7"/>
              <w:spacing w:before="0" w:after="0" w:line="240" w:lineRule="auto"/>
              <w:rPr>
                <w:noProof/>
              </w:rPr>
            </w:pPr>
            <w:r>
              <w:rPr>
                <w:noProof/>
              </w:rPr>
              <w:t>Amélioration de la législation</w:t>
            </w:r>
          </w:p>
          <w:p w14:paraId="66A01F83" w14:textId="5B7C3372" w:rsidR="003B6BD9" w:rsidRDefault="009E25E8">
            <w:pPr>
              <w:pStyle w:val="P68B1DB1-Normal7"/>
              <w:spacing w:before="0" w:after="0" w:line="240" w:lineRule="auto"/>
              <w:rPr>
                <w:rFonts w:eastAsia="Times New Roman"/>
                <w:noProof/>
              </w:rPr>
            </w:pPr>
            <w:r>
              <w:rPr>
                <w:noProof/>
              </w:rPr>
              <w:t>coopération en matière de cybersécurité nationale</w:t>
            </w:r>
          </w:p>
        </w:tc>
        <w:tc>
          <w:tcPr>
            <w:tcW w:w="1440" w:type="dxa"/>
            <w:shd w:val="clear" w:color="auto" w:fill="C6EFCE"/>
            <w:noWrap/>
          </w:tcPr>
          <w:p w14:paraId="27E5E34C" w14:textId="2F258F4C" w:rsidR="003B6BD9" w:rsidRDefault="009E25E8">
            <w:pPr>
              <w:pStyle w:val="P68B1DB1-Normal7"/>
              <w:spacing w:before="0" w:after="0" w:line="240" w:lineRule="auto"/>
              <w:rPr>
                <w:noProof/>
              </w:rPr>
            </w:pPr>
            <w:r>
              <w:rPr>
                <w:noProof/>
              </w:rPr>
              <w:t>Disposition de la loi indiquant l’entrée en vigueur de la loi pertinente</w:t>
            </w:r>
          </w:p>
        </w:tc>
        <w:tc>
          <w:tcPr>
            <w:tcW w:w="1200" w:type="dxa"/>
            <w:shd w:val="clear" w:color="auto" w:fill="C6EFCE"/>
            <w:noWrap/>
          </w:tcPr>
          <w:p w14:paraId="394D9401" w14:textId="77777777" w:rsidR="003B6BD9" w:rsidRDefault="003B6BD9">
            <w:pPr>
              <w:spacing w:before="0" w:after="0" w:line="240" w:lineRule="auto"/>
              <w:rPr>
                <w:rFonts w:eastAsia="Times New Roman"/>
                <w:noProof/>
                <w:color w:val="006100"/>
                <w:sz w:val="18"/>
                <w:szCs w:val="18"/>
              </w:rPr>
            </w:pPr>
          </w:p>
        </w:tc>
        <w:tc>
          <w:tcPr>
            <w:tcW w:w="960" w:type="dxa"/>
            <w:shd w:val="clear" w:color="auto" w:fill="C6EFCE"/>
            <w:noWrap/>
          </w:tcPr>
          <w:p w14:paraId="7033C972" w14:textId="77777777" w:rsidR="003B6BD9" w:rsidRDefault="003B6BD9">
            <w:pPr>
              <w:spacing w:before="0" w:after="0" w:line="240" w:lineRule="auto"/>
              <w:rPr>
                <w:rFonts w:eastAsia="Times New Roman"/>
                <w:noProof/>
                <w:color w:val="006100"/>
                <w:sz w:val="18"/>
                <w:szCs w:val="18"/>
              </w:rPr>
            </w:pPr>
          </w:p>
        </w:tc>
        <w:tc>
          <w:tcPr>
            <w:tcW w:w="960" w:type="dxa"/>
            <w:shd w:val="clear" w:color="auto" w:fill="C6EFCE"/>
            <w:noWrap/>
          </w:tcPr>
          <w:p w14:paraId="0DC40783" w14:textId="77777777" w:rsidR="003B6BD9" w:rsidRDefault="003B6BD9">
            <w:pPr>
              <w:spacing w:before="0" w:after="0" w:line="240" w:lineRule="auto"/>
              <w:rPr>
                <w:rFonts w:eastAsia="Times New Roman"/>
                <w:noProof/>
                <w:color w:val="006100"/>
                <w:sz w:val="18"/>
                <w:szCs w:val="18"/>
              </w:rPr>
            </w:pPr>
          </w:p>
        </w:tc>
        <w:tc>
          <w:tcPr>
            <w:tcW w:w="1080" w:type="dxa"/>
            <w:shd w:val="clear" w:color="auto" w:fill="C6EFCE"/>
            <w:noWrap/>
          </w:tcPr>
          <w:p w14:paraId="3460F20D" w14:textId="6D4C6622" w:rsidR="003B6BD9" w:rsidRDefault="009E25E8">
            <w:pPr>
              <w:pStyle w:val="P68B1DB1-Normal7"/>
              <w:spacing w:before="0" w:after="0" w:line="240" w:lineRule="auto"/>
              <w:rPr>
                <w:rFonts w:eastAsia="Times New Roman"/>
                <w:noProof/>
              </w:rPr>
            </w:pPr>
            <w:r>
              <w:rPr>
                <w:noProof/>
              </w:rPr>
              <w:t>T2</w:t>
            </w:r>
          </w:p>
        </w:tc>
        <w:tc>
          <w:tcPr>
            <w:tcW w:w="720" w:type="dxa"/>
            <w:shd w:val="clear" w:color="auto" w:fill="C6EFCE"/>
            <w:noWrap/>
          </w:tcPr>
          <w:p w14:paraId="06329ED0" w14:textId="4EF72BA7" w:rsidR="003B6BD9" w:rsidRDefault="009E25E8">
            <w:pPr>
              <w:pStyle w:val="P68B1DB1-Normal7"/>
              <w:spacing w:before="0" w:after="0" w:line="240" w:lineRule="auto"/>
              <w:rPr>
                <w:rFonts w:eastAsia="Times New Roman"/>
                <w:noProof/>
              </w:rPr>
            </w:pPr>
            <w:r>
              <w:rPr>
                <w:noProof/>
              </w:rPr>
              <w:t>2025</w:t>
            </w:r>
          </w:p>
        </w:tc>
        <w:tc>
          <w:tcPr>
            <w:tcW w:w="3567" w:type="dxa"/>
            <w:shd w:val="clear" w:color="auto" w:fill="C6EFCE"/>
            <w:noWrap/>
          </w:tcPr>
          <w:p w14:paraId="5F034CFB" w14:textId="2FA3AD91" w:rsidR="003B6BD9" w:rsidRDefault="009E25E8">
            <w:pPr>
              <w:pStyle w:val="P68B1DB1-Normal7"/>
              <w:spacing w:before="0" w:after="0" w:line="240" w:lineRule="auto"/>
              <w:rPr>
                <w:noProof/>
              </w:rPr>
            </w:pPr>
            <w:r>
              <w:rPr>
                <w:noProof/>
              </w:rPr>
              <w:t>Une loi définit les rôles et les responsabilités des centres de réponse aux incidents de sécurité informatique (CSIRT) et du Bureau gouvernemental de sécurité de l’information (GISO) en ce qui concerne l’échange d’informations sur les incidents ou les cybermenaces ou d’autres informations dans le domaine de la sécurité de l’information.</w:t>
            </w:r>
          </w:p>
        </w:tc>
      </w:tr>
      <w:bookmarkEnd w:id="11"/>
      <w:tr w:rsidR="003B6BD9" w14:paraId="552EDD4D" w14:textId="77777777" w:rsidTr="00AC1D11">
        <w:trPr>
          <w:trHeight w:val="309"/>
          <w:jc w:val="center"/>
        </w:trPr>
        <w:tc>
          <w:tcPr>
            <w:tcW w:w="955" w:type="dxa"/>
            <w:shd w:val="clear" w:color="auto" w:fill="C6EFCE"/>
            <w:noWrap/>
          </w:tcPr>
          <w:p w14:paraId="76EFD708" w14:textId="546ED521" w:rsidR="003B6BD9" w:rsidRDefault="009E25E8">
            <w:pPr>
              <w:pStyle w:val="P68B1DB1-Normal7"/>
              <w:spacing w:before="0" w:after="0" w:line="240" w:lineRule="auto"/>
              <w:rPr>
                <w:rFonts w:eastAsia="Times New Roman"/>
                <w:noProof/>
              </w:rPr>
            </w:pPr>
            <w:r>
              <w:rPr>
                <w:noProof/>
              </w:rPr>
              <w:t>96</w:t>
            </w:r>
          </w:p>
        </w:tc>
        <w:tc>
          <w:tcPr>
            <w:tcW w:w="1800" w:type="dxa"/>
            <w:shd w:val="clear" w:color="auto" w:fill="C6EFCE"/>
            <w:noWrap/>
          </w:tcPr>
          <w:p w14:paraId="6A194DE2" w14:textId="3AF32A6E" w:rsidR="003B6BD9" w:rsidRDefault="009E25E8">
            <w:pPr>
              <w:pStyle w:val="P68B1DB1-Normal7"/>
              <w:spacing w:before="0" w:after="0" w:line="240" w:lineRule="auto"/>
              <w:rPr>
                <w:rFonts w:eastAsia="Times New Roman"/>
                <w:noProof/>
              </w:rPr>
            </w:pPr>
            <w:r>
              <w:rPr>
                <w:noProof/>
              </w:rPr>
              <w:t>G: Moderniser l’environnement numérique de l’administration publique</w:t>
            </w:r>
          </w:p>
        </w:tc>
        <w:tc>
          <w:tcPr>
            <w:tcW w:w="1080" w:type="dxa"/>
            <w:shd w:val="clear" w:color="auto" w:fill="C6EFCE"/>
            <w:noWrap/>
          </w:tcPr>
          <w:p w14:paraId="67CDBA3B" w14:textId="760EF929" w:rsidR="003B6BD9" w:rsidRDefault="009E25E8">
            <w:pPr>
              <w:pStyle w:val="P68B1DB1-Normal7"/>
              <w:spacing w:before="0" w:after="0" w:line="240" w:lineRule="auto"/>
              <w:rPr>
                <w:rFonts w:eastAsia="Times New Roman"/>
                <w:noProof/>
              </w:rPr>
            </w:pPr>
            <w:r>
              <w:rPr>
                <w:noProof/>
              </w:rPr>
              <w:t>Cible</w:t>
            </w:r>
          </w:p>
        </w:tc>
        <w:tc>
          <w:tcPr>
            <w:tcW w:w="1560" w:type="dxa"/>
            <w:shd w:val="clear" w:color="auto" w:fill="C6EFCE"/>
            <w:noWrap/>
          </w:tcPr>
          <w:p w14:paraId="5A6E4F2F" w14:textId="6A395013" w:rsidR="003B6BD9" w:rsidRDefault="009E25E8">
            <w:pPr>
              <w:pStyle w:val="P68B1DB1-Normal7"/>
              <w:spacing w:before="0" w:after="0" w:line="240" w:lineRule="auto"/>
              <w:rPr>
                <w:noProof/>
              </w:rPr>
            </w:pPr>
            <w:r>
              <w:rPr>
                <w:noProof/>
              </w:rPr>
              <w:t>Décaissement de 2 000 000 EUR</w:t>
            </w:r>
          </w:p>
        </w:tc>
        <w:tc>
          <w:tcPr>
            <w:tcW w:w="1440" w:type="dxa"/>
            <w:shd w:val="clear" w:color="auto" w:fill="C6EFCE"/>
            <w:noWrap/>
          </w:tcPr>
          <w:p w14:paraId="54E0B18A" w14:textId="44C9E2D1" w:rsidR="003B6BD9" w:rsidRDefault="003B6BD9">
            <w:pPr>
              <w:spacing w:before="0" w:after="0" w:line="240" w:lineRule="auto"/>
              <w:rPr>
                <w:rFonts w:eastAsia="Times New Roman"/>
                <w:noProof/>
                <w:sz w:val="18"/>
                <w:szCs w:val="18"/>
              </w:rPr>
            </w:pPr>
          </w:p>
        </w:tc>
        <w:tc>
          <w:tcPr>
            <w:tcW w:w="1200" w:type="dxa"/>
            <w:shd w:val="clear" w:color="auto" w:fill="C6EFCE"/>
            <w:noWrap/>
          </w:tcPr>
          <w:p w14:paraId="4CC14988" w14:textId="77777777" w:rsidR="003B6BD9" w:rsidRDefault="009E25E8">
            <w:pPr>
              <w:pStyle w:val="P68B1DB1-Normal8"/>
              <w:spacing w:before="0" w:after="0" w:line="240" w:lineRule="auto"/>
              <w:rPr>
                <w:noProof/>
              </w:rPr>
            </w:pPr>
            <w:r>
              <w:rPr>
                <w:noProof/>
              </w:rPr>
              <w:t xml:space="preserve">EUR </w:t>
            </w:r>
          </w:p>
          <w:p w14:paraId="4B07D173" w14:textId="1D76F7A1" w:rsidR="003B6BD9" w:rsidRDefault="009E25E8">
            <w:pPr>
              <w:pStyle w:val="P68B1DB1-Normal8"/>
              <w:spacing w:before="0" w:after="0" w:line="240" w:lineRule="auto"/>
              <w:rPr>
                <w:noProof/>
              </w:rPr>
            </w:pPr>
            <w:r>
              <w:rPr>
                <w:noProof/>
              </w:rPr>
              <w:t>millions</w:t>
            </w:r>
          </w:p>
        </w:tc>
        <w:tc>
          <w:tcPr>
            <w:tcW w:w="960" w:type="dxa"/>
            <w:shd w:val="clear" w:color="auto" w:fill="C6EFCE"/>
            <w:noWrap/>
          </w:tcPr>
          <w:p w14:paraId="05FB0C36" w14:textId="0C407D06" w:rsidR="003B6BD9" w:rsidRDefault="009E25E8">
            <w:pPr>
              <w:pStyle w:val="P68B1DB1-Normal8"/>
              <w:spacing w:before="0" w:after="0" w:line="240" w:lineRule="auto"/>
              <w:rPr>
                <w:noProof/>
              </w:rPr>
            </w:pPr>
            <w:r>
              <w:rPr>
                <w:noProof/>
              </w:rPr>
              <w:t>0</w:t>
            </w:r>
          </w:p>
        </w:tc>
        <w:tc>
          <w:tcPr>
            <w:tcW w:w="960" w:type="dxa"/>
            <w:shd w:val="clear" w:color="auto" w:fill="C6EFCE"/>
            <w:noWrap/>
          </w:tcPr>
          <w:p w14:paraId="0B102885" w14:textId="43E752EA" w:rsidR="003B6BD9" w:rsidRDefault="009E25E8">
            <w:pPr>
              <w:pStyle w:val="P68B1DB1-Normal8"/>
              <w:spacing w:before="0" w:after="0" w:line="240" w:lineRule="auto"/>
              <w:rPr>
                <w:noProof/>
              </w:rPr>
            </w:pPr>
            <w:r>
              <w:rPr>
                <w:noProof/>
              </w:rPr>
              <w:t>2</w:t>
            </w:r>
          </w:p>
        </w:tc>
        <w:tc>
          <w:tcPr>
            <w:tcW w:w="1080" w:type="dxa"/>
            <w:shd w:val="clear" w:color="auto" w:fill="C6EFCE"/>
            <w:noWrap/>
          </w:tcPr>
          <w:p w14:paraId="05EF32F0" w14:textId="44B7C857" w:rsidR="003B6BD9" w:rsidRDefault="009E25E8">
            <w:pPr>
              <w:pStyle w:val="P68B1DB1-Normal7"/>
              <w:spacing w:before="0" w:after="0" w:line="240" w:lineRule="auto"/>
              <w:rPr>
                <w:rFonts w:eastAsia="Times New Roman"/>
                <w:noProof/>
              </w:rPr>
            </w:pPr>
            <w:r>
              <w:rPr>
                <w:noProof/>
              </w:rPr>
              <w:t>T2</w:t>
            </w:r>
          </w:p>
        </w:tc>
        <w:tc>
          <w:tcPr>
            <w:tcW w:w="720" w:type="dxa"/>
            <w:shd w:val="clear" w:color="auto" w:fill="C6EFCE"/>
            <w:noWrap/>
          </w:tcPr>
          <w:p w14:paraId="4481D2A4" w14:textId="598D83E0" w:rsidR="003B6BD9" w:rsidRDefault="009E25E8">
            <w:pPr>
              <w:pStyle w:val="P68B1DB1-Normal7"/>
              <w:spacing w:before="0" w:after="0" w:line="240" w:lineRule="auto"/>
              <w:rPr>
                <w:rFonts w:eastAsia="Times New Roman"/>
                <w:noProof/>
              </w:rPr>
            </w:pPr>
            <w:r>
              <w:rPr>
                <w:noProof/>
              </w:rPr>
              <w:t>2026</w:t>
            </w:r>
          </w:p>
        </w:tc>
        <w:tc>
          <w:tcPr>
            <w:tcW w:w="3567" w:type="dxa"/>
            <w:shd w:val="clear" w:color="auto" w:fill="C6EFCE"/>
            <w:noWrap/>
          </w:tcPr>
          <w:p w14:paraId="437AB2EC" w14:textId="576C7A13" w:rsidR="003B6BD9" w:rsidRDefault="009E25E8">
            <w:pPr>
              <w:pStyle w:val="P68B1DB1-Normal7"/>
              <w:spacing w:before="0" w:after="0" w:line="240" w:lineRule="auto"/>
              <w:rPr>
                <w:rFonts w:eastAsia="Times New Roman"/>
                <w:noProof/>
              </w:rPr>
            </w:pPr>
            <w:r>
              <w:rPr>
                <w:noProof/>
              </w:rPr>
              <w:t>Au moins 2 000 000 EUR sont versés au projet SiQUID afin de soutenir l’infrastructure nationale de communication quantique. Les montants fournis au titre d’autres programmes ou instruments de l’Union ne sont pas pris en considération dans ce montant.</w:t>
            </w:r>
          </w:p>
        </w:tc>
      </w:tr>
      <w:tr w:rsidR="003B6BD9" w14:paraId="223B24D9" w14:textId="77777777" w:rsidTr="00AC1D11">
        <w:trPr>
          <w:trHeight w:val="309"/>
          <w:jc w:val="center"/>
        </w:trPr>
        <w:tc>
          <w:tcPr>
            <w:tcW w:w="955" w:type="dxa"/>
            <w:shd w:val="clear" w:color="auto" w:fill="C6EFCE"/>
            <w:noWrap/>
          </w:tcPr>
          <w:p w14:paraId="54E1D5C7" w14:textId="68306C6C" w:rsidR="003B6BD9" w:rsidRDefault="009E25E8">
            <w:pPr>
              <w:pStyle w:val="P68B1DB1-Normal7"/>
              <w:spacing w:before="0" w:after="0" w:line="240" w:lineRule="auto"/>
              <w:rPr>
                <w:rFonts w:eastAsia="Times New Roman"/>
                <w:noProof/>
              </w:rPr>
            </w:pPr>
            <w:r>
              <w:rPr>
                <w:noProof/>
              </w:rPr>
              <w:t>97</w:t>
            </w:r>
          </w:p>
        </w:tc>
        <w:tc>
          <w:tcPr>
            <w:tcW w:w="1800" w:type="dxa"/>
            <w:shd w:val="clear" w:color="auto" w:fill="C6EFCE"/>
            <w:noWrap/>
          </w:tcPr>
          <w:p w14:paraId="76D328C7" w14:textId="24BC6059" w:rsidR="003B6BD9" w:rsidRDefault="009E25E8">
            <w:pPr>
              <w:pStyle w:val="P68B1DB1-Normal7"/>
              <w:spacing w:before="0" w:after="0" w:line="240" w:lineRule="auto"/>
              <w:rPr>
                <w:rFonts w:eastAsia="Times New Roman"/>
                <w:noProof/>
              </w:rPr>
            </w:pPr>
            <w:r>
              <w:rPr>
                <w:noProof/>
              </w:rPr>
              <w:t>G: Moderniser l’environnement numérique de l’administration publique</w:t>
            </w:r>
          </w:p>
        </w:tc>
        <w:tc>
          <w:tcPr>
            <w:tcW w:w="1080" w:type="dxa"/>
            <w:shd w:val="clear" w:color="auto" w:fill="C6EFCE"/>
            <w:noWrap/>
          </w:tcPr>
          <w:p w14:paraId="1DD0534E" w14:textId="69C90C7F" w:rsidR="003B6BD9" w:rsidRDefault="009E25E8">
            <w:pPr>
              <w:pStyle w:val="P68B1DB1-Normal7"/>
              <w:spacing w:before="0" w:after="0" w:line="240" w:lineRule="auto"/>
              <w:rPr>
                <w:rFonts w:eastAsia="Times New Roman"/>
                <w:noProof/>
              </w:rPr>
            </w:pPr>
            <w:r>
              <w:rPr>
                <w:noProof/>
              </w:rPr>
              <w:t>Jalon</w:t>
            </w:r>
          </w:p>
        </w:tc>
        <w:tc>
          <w:tcPr>
            <w:tcW w:w="1560" w:type="dxa"/>
            <w:shd w:val="clear" w:color="auto" w:fill="C6EFCE"/>
            <w:noWrap/>
          </w:tcPr>
          <w:p w14:paraId="5C18984C" w14:textId="5134AF5D" w:rsidR="003B6BD9" w:rsidRDefault="009E25E8">
            <w:pPr>
              <w:pStyle w:val="P68B1DB1-Normal7"/>
              <w:spacing w:before="0" w:after="0" w:line="240" w:lineRule="auto"/>
              <w:rPr>
                <w:noProof/>
              </w:rPr>
            </w:pPr>
            <w:r>
              <w:rPr>
                <w:noProof/>
              </w:rPr>
              <w:t>Plateforme «Législation en ligne»</w:t>
            </w:r>
          </w:p>
        </w:tc>
        <w:tc>
          <w:tcPr>
            <w:tcW w:w="1440" w:type="dxa"/>
            <w:shd w:val="clear" w:color="auto" w:fill="C6EFCE"/>
            <w:noWrap/>
          </w:tcPr>
          <w:p w14:paraId="369787F5" w14:textId="4CCDA78F" w:rsidR="003B6BD9" w:rsidRDefault="009E25E8">
            <w:pPr>
              <w:pStyle w:val="P68B1DB1-Normal7"/>
              <w:spacing w:before="0" w:after="0" w:line="240" w:lineRule="auto"/>
              <w:rPr>
                <w:noProof/>
              </w:rPr>
            </w:pPr>
            <w:r>
              <w:rPr>
                <w:noProof/>
              </w:rPr>
              <w:t>Le rapport de transfert pour la plateforme e-Legislation est émis par le pouvoir adjudicateur</w:t>
            </w:r>
          </w:p>
        </w:tc>
        <w:tc>
          <w:tcPr>
            <w:tcW w:w="1200" w:type="dxa"/>
            <w:shd w:val="clear" w:color="auto" w:fill="C6EFCE"/>
            <w:noWrap/>
          </w:tcPr>
          <w:p w14:paraId="6E478E81" w14:textId="3E659286"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4A32D629" w14:textId="59B2FD8A"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1B4EC0EF" w14:textId="42B56F53" w:rsidR="003B6BD9" w:rsidRDefault="009E25E8">
            <w:pPr>
              <w:pStyle w:val="P68B1DB1-Normal7"/>
              <w:spacing w:before="0" w:after="0" w:line="240" w:lineRule="auto"/>
              <w:rPr>
                <w:rFonts w:eastAsia="Times New Roman"/>
                <w:noProof/>
              </w:rPr>
            </w:pPr>
            <w:r>
              <w:rPr>
                <w:noProof/>
              </w:rPr>
              <w:t> </w:t>
            </w:r>
          </w:p>
        </w:tc>
        <w:tc>
          <w:tcPr>
            <w:tcW w:w="1080" w:type="dxa"/>
            <w:shd w:val="clear" w:color="auto" w:fill="C6EFCE"/>
            <w:noWrap/>
          </w:tcPr>
          <w:p w14:paraId="374C42BA" w14:textId="457C94F9" w:rsidR="003B6BD9" w:rsidRDefault="009E25E8">
            <w:pPr>
              <w:pStyle w:val="P68B1DB1-Normal7"/>
              <w:spacing w:before="0" w:after="0" w:line="240" w:lineRule="auto"/>
              <w:rPr>
                <w:rFonts w:eastAsia="Times New Roman"/>
                <w:noProof/>
              </w:rPr>
            </w:pPr>
            <w:r>
              <w:rPr>
                <w:noProof/>
              </w:rPr>
              <w:t>T4</w:t>
            </w:r>
          </w:p>
        </w:tc>
        <w:tc>
          <w:tcPr>
            <w:tcW w:w="720" w:type="dxa"/>
            <w:shd w:val="clear" w:color="auto" w:fill="C6EFCE"/>
            <w:noWrap/>
          </w:tcPr>
          <w:p w14:paraId="03A8B25D" w14:textId="576BFBC8" w:rsidR="003B6BD9" w:rsidRDefault="009E25E8">
            <w:pPr>
              <w:pStyle w:val="P68B1DB1-Normal7"/>
              <w:spacing w:before="0" w:after="0" w:line="240" w:lineRule="auto"/>
              <w:rPr>
                <w:rFonts w:eastAsia="Times New Roman"/>
                <w:noProof/>
              </w:rPr>
            </w:pPr>
            <w:r>
              <w:rPr>
                <w:noProof/>
              </w:rPr>
              <w:t>2025</w:t>
            </w:r>
          </w:p>
        </w:tc>
        <w:tc>
          <w:tcPr>
            <w:tcW w:w="3567" w:type="dxa"/>
            <w:shd w:val="clear" w:color="auto" w:fill="C6EFCE"/>
            <w:noWrap/>
          </w:tcPr>
          <w:p w14:paraId="79CF56A0" w14:textId="0544762A" w:rsidR="003B6BD9" w:rsidRDefault="009E25E8">
            <w:pPr>
              <w:pStyle w:val="P68B1DB1-Normal7"/>
              <w:spacing w:before="0" w:after="0" w:line="256" w:lineRule="auto"/>
              <w:rPr>
                <w:noProof/>
              </w:rPr>
            </w:pPr>
            <w:r>
              <w:rPr>
                <w:noProof/>
              </w:rPr>
              <w:t>Rapport de transmission signé par le contractant et le pouvoir adjudicateur certifiant que la plateforme e-Legislation destinée à soutenir le processus législatif est accessible.</w:t>
            </w:r>
          </w:p>
        </w:tc>
      </w:tr>
      <w:tr w:rsidR="003B6BD9" w14:paraId="1B9A5130" w14:textId="77777777" w:rsidTr="00AC1D11">
        <w:trPr>
          <w:trHeight w:val="309"/>
          <w:jc w:val="center"/>
        </w:trPr>
        <w:tc>
          <w:tcPr>
            <w:tcW w:w="955" w:type="dxa"/>
            <w:shd w:val="clear" w:color="auto" w:fill="C6EFCE"/>
            <w:noWrap/>
          </w:tcPr>
          <w:p w14:paraId="5FC14337" w14:textId="27C0A796" w:rsidR="003B6BD9" w:rsidRDefault="009E25E8">
            <w:pPr>
              <w:pStyle w:val="P68B1DB1-Normal7"/>
              <w:spacing w:before="0" w:after="0" w:line="240" w:lineRule="auto"/>
              <w:rPr>
                <w:rFonts w:eastAsia="Times New Roman"/>
                <w:noProof/>
              </w:rPr>
            </w:pPr>
            <w:r>
              <w:rPr>
                <w:noProof/>
              </w:rPr>
              <w:t>98</w:t>
            </w:r>
          </w:p>
        </w:tc>
        <w:tc>
          <w:tcPr>
            <w:tcW w:w="1800" w:type="dxa"/>
            <w:shd w:val="clear" w:color="auto" w:fill="C6EFCE"/>
            <w:noWrap/>
          </w:tcPr>
          <w:p w14:paraId="143C82AE" w14:textId="24E9DD2A" w:rsidR="003B6BD9" w:rsidRDefault="009E25E8">
            <w:pPr>
              <w:pStyle w:val="P68B1DB1-Normal7"/>
              <w:spacing w:before="0" w:after="0" w:line="240" w:lineRule="auto"/>
              <w:rPr>
                <w:rFonts w:eastAsia="Times New Roman"/>
                <w:noProof/>
              </w:rPr>
            </w:pPr>
            <w:r>
              <w:rPr>
                <w:noProof/>
              </w:rPr>
              <w:t>G: Moderniser l’environnement numérique de l’administration publique</w:t>
            </w:r>
          </w:p>
        </w:tc>
        <w:tc>
          <w:tcPr>
            <w:tcW w:w="1080" w:type="dxa"/>
            <w:shd w:val="clear" w:color="auto" w:fill="C6EFCE"/>
            <w:noWrap/>
          </w:tcPr>
          <w:p w14:paraId="706DFDB0" w14:textId="3AD66C86" w:rsidR="003B6BD9" w:rsidRDefault="009E25E8">
            <w:pPr>
              <w:pStyle w:val="P68B1DB1-Normal7"/>
              <w:spacing w:before="0" w:after="0" w:line="240" w:lineRule="auto"/>
              <w:rPr>
                <w:rFonts w:eastAsia="Times New Roman"/>
                <w:noProof/>
              </w:rPr>
            </w:pPr>
            <w:r>
              <w:rPr>
                <w:noProof/>
              </w:rPr>
              <w:t>Cible</w:t>
            </w:r>
          </w:p>
        </w:tc>
        <w:tc>
          <w:tcPr>
            <w:tcW w:w="1560" w:type="dxa"/>
            <w:shd w:val="clear" w:color="auto" w:fill="C6EFCE"/>
            <w:noWrap/>
          </w:tcPr>
          <w:p w14:paraId="46AA36C8" w14:textId="2DBD0926" w:rsidR="003B6BD9" w:rsidRDefault="009E25E8">
            <w:pPr>
              <w:pStyle w:val="P68B1DB1-Normal7"/>
              <w:spacing w:before="0" w:after="0" w:line="240" w:lineRule="auto"/>
              <w:rPr>
                <w:rFonts w:eastAsia="Times New Roman"/>
                <w:noProof/>
              </w:rPr>
            </w:pPr>
            <w:r>
              <w:rPr>
                <w:noProof/>
              </w:rPr>
              <w:t>Nombre de certificats délivrés pour des formations aux compétences numériques dans le secteur public</w:t>
            </w:r>
          </w:p>
        </w:tc>
        <w:tc>
          <w:tcPr>
            <w:tcW w:w="1440" w:type="dxa"/>
            <w:shd w:val="clear" w:color="auto" w:fill="C6EFCE"/>
            <w:noWrap/>
          </w:tcPr>
          <w:p w14:paraId="0B047B97" w14:textId="6D59C3CC" w:rsidR="003B6BD9" w:rsidRDefault="009E25E8">
            <w:pPr>
              <w:pStyle w:val="P68B1DB1-Normal7"/>
              <w:spacing w:before="0" w:after="0" w:line="240" w:lineRule="auto"/>
              <w:rPr>
                <w:rFonts w:eastAsia="Times New Roman"/>
                <w:noProof/>
              </w:rPr>
            </w:pPr>
            <w:r>
              <w:rPr>
                <w:noProof/>
              </w:rPr>
              <w:t> </w:t>
            </w:r>
          </w:p>
        </w:tc>
        <w:tc>
          <w:tcPr>
            <w:tcW w:w="1200" w:type="dxa"/>
            <w:shd w:val="clear" w:color="auto" w:fill="C6EFCE"/>
            <w:noWrap/>
          </w:tcPr>
          <w:p w14:paraId="4605F6AB" w14:textId="27B955D5" w:rsidR="003B6BD9" w:rsidRDefault="009E25E8">
            <w:pPr>
              <w:pStyle w:val="P68B1DB1-Normal7"/>
              <w:spacing w:before="0" w:after="0" w:line="240" w:lineRule="auto"/>
              <w:rPr>
                <w:rFonts w:eastAsia="Times New Roman"/>
                <w:noProof/>
              </w:rPr>
            </w:pPr>
            <w:r>
              <w:rPr>
                <w:noProof/>
              </w:rPr>
              <w:t>Nombre</w:t>
            </w:r>
          </w:p>
        </w:tc>
        <w:tc>
          <w:tcPr>
            <w:tcW w:w="960" w:type="dxa"/>
            <w:shd w:val="clear" w:color="auto" w:fill="C6EFCE"/>
            <w:noWrap/>
          </w:tcPr>
          <w:p w14:paraId="6DD4DB68" w14:textId="0C1E9570" w:rsidR="003B6BD9" w:rsidRDefault="009E25E8">
            <w:pPr>
              <w:pStyle w:val="P68B1DB1-Normal7"/>
              <w:spacing w:before="0" w:after="0" w:line="240" w:lineRule="auto"/>
              <w:rPr>
                <w:rFonts w:eastAsia="Times New Roman"/>
                <w:noProof/>
              </w:rPr>
            </w:pPr>
            <w:r>
              <w:rPr>
                <w:noProof/>
              </w:rPr>
              <w:t>0</w:t>
            </w:r>
          </w:p>
        </w:tc>
        <w:tc>
          <w:tcPr>
            <w:tcW w:w="960" w:type="dxa"/>
            <w:shd w:val="clear" w:color="auto" w:fill="C6EFCE"/>
            <w:noWrap/>
          </w:tcPr>
          <w:p w14:paraId="19F20418" w14:textId="3872099A" w:rsidR="003B6BD9" w:rsidRDefault="009E25E8">
            <w:pPr>
              <w:pStyle w:val="P68B1DB1-Normal7"/>
              <w:spacing w:before="0" w:after="0" w:line="240" w:lineRule="auto"/>
              <w:rPr>
                <w:rFonts w:eastAsia="Times New Roman"/>
                <w:noProof/>
              </w:rPr>
            </w:pPr>
            <w:r>
              <w:rPr>
                <w:noProof/>
              </w:rPr>
              <w:t>40 000</w:t>
            </w:r>
          </w:p>
        </w:tc>
        <w:tc>
          <w:tcPr>
            <w:tcW w:w="1080" w:type="dxa"/>
            <w:shd w:val="clear" w:color="auto" w:fill="C6EFCE"/>
            <w:noWrap/>
          </w:tcPr>
          <w:p w14:paraId="7493C1FD" w14:textId="18C7BF56" w:rsidR="003B6BD9" w:rsidRDefault="009E25E8">
            <w:pPr>
              <w:pStyle w:val="P68B1DB1-Normal7"/>
              <w:spacing w:before="0" w:after="0" w:line="240" w:lineRule="auto"/>
              <w:rPr>
                <w:rFonts w:eastAsia="Times New Roman"/>
                <w:noProof/>
              </w:rPr>
            </w:pPr>
            <w:r>
              <w:rPr>
                <w:noProof/>
              </w:rPr>
              <w:t>T2</w:t>
            </w:r>
          </w:p>
        </w:tc>
        <w:tc>
          <w:tcPr>
            <w:tcW w:w="720" w:type="dxa"/>
            <w:shd w:val="clear" w:color="auto" w:fill="C6EFCE"/>
            <w:noWrap/>
          </w:tcPr>
          <w:p w14:paraId="63860CBB" w14:textId="42040D46" w:rsidR="003B6BD9" w:rsidRDefault="009E25E8">
            <w:pPr>
              <w:pStyle w:val="P68B1DB1-Normal7"/>
              <w:spacing w:before="0" w:after="0" w:line="240" w:lineRule="auto"/>
              <w:rPr>
                <w:rFonts w:eastAsia="Times New Roman"/>
                <w:noProof/>
              </w:rPr>
            </w:pPr>
            <w:r>
              <w:rPr>
                <w:noProof/>
              </w:rPr>
              <w:t>2026</w:t>
            </w:r>
          </w:p>
        </w:tc>
        <w:tc>
          <w:tcPr>
            <w:tcW w:w="3567" w:type="dxa"/>
            <w:shd w:val="clear" w:color="auto" w:fill="C6EFCE"/>
            <w:noWrap/>
          </w:tcPr>
          <w:p w14:paraId="28A34BA9" w14:textId="4A4C262B" w:rsidR="003B6BD9" w:rsidRDefault="009E25E8">
            <w:pPr>
              <w:pStyle w:val="P68B1DB1-Normal7"/>
              <w:spacing w:before="0" w:after="0" w:line="240" w:lineRule="auto"/>
              <w:rPr>
                <w:rFonts w:eastAsia="Times New Roman"/>
                <w:noProof/>
              </w:rPr>
            </w:pPr>
            <w:r>
              <w:rPr>
                <w:noProof/>
              </w:rPr>
              <w:t>Nombre de certificats de participation délivrés pour des activités de formation aux compétences numériques pour le secteur public.</w:t>
            </w:r>
          </w:p>
        </w:tc>
      </w:tr>
      <w:tr w:rsidR="003B6BD9" w14:paraId="359418A1" w14:textId="77777777" w:rsidTr="00AC1D11">
        <w:trPr>
          <w:trHeight w:val="309"/>
          <w:jc w:val="center"/>
        </w:trPr>
        <w:tc>
          <w:tcPr>
            <w:tcW w:w="955" w:type="dxa"/>
            <w:shd w:val="clear" w:color="auto" w:fill="C6EFCE"/>
            <w:noWrap/>
          </w:tcPr>
          <w:p w14:paraId="23AEBEDF" w14:textId="20223D6C" w:rsidR="003B6BD9" w:rsidRDefault="009E25E8">
            <w:pPr>
              <w:pStyle w:val="P68B1DB1-Normal7"/>
              <w:spacing w:before="0" w:after="0" w:line="240" w:lineRule="auto"/>
              <w:rPr>
                <w:rFonts w:eastAsia="Times New Roman"/>
                <w:noProof/>
              </w:rPr>
            </w:pPr>
            <w:r>
              <w:rPr>
                <w:noProof/>
              </w:rPr>
              <w:t>99</w:t>
            </w:r>
          </w:p>
        </w:tc>
        <w:tc>
          <w:tcPr>
            <w:tcW w:w="1800" w:type="dxa"/>
            <w:shd w:val="clear" w:color="auto" w:fill="C6EFCE"/>
            <w:noWrap/>
          </w:tcPr>
          <w:p w14:paraId="01DD2FCE" w14:textId="5C9B0EA2" w:rsidR="003B6BD9" w:rsidRDefault="009E25E8">
            <w:pPr>
              <w:pStyle w:val="P68B1DB1-Normal7"/>
              <w:spacing w:before="0" w:after="0" w:line="240" w:lineRule="auto"/>
              <w:rPr>
                <w:rFonts w:eastAsia="Times New Roman"/>
                <w:noProof/>
              </w:rPr>
            </w:pPr>
            <w:r>
              <w:rPr>
                <w:noProof/>
              </w:rPr>
              <w:t>H: Infrastructures gigabit</w:t>
            </w:r>
          </w:p>
        </w:tc>
        <w:tc>
          <w:tcPr>
            <w:tcW w:w="1080" w:type="dxa"/>
            <w:shd w:val="clear" w:color="auto" w:fill="C6EFCE"/>
            <w:noWrap/>
          </w:tcPr>
          <w:p w14:paraId="1D7FAD8E" w14:textId="438D31BF" w:rsidR="003B6BD9" w:rsidRDefault="009E25E8">
            <w:pPr>
              <w:pStyle w:val="P68B1DB1-Normal7"/>
              <w:spacing w:before="0" w:after="0" w:line="240" w:lineRule="auto"/>
              <w:rPr>
                <w:rFonts w:eastAsia="Times New Roman"/>
                <w:noProof/>
              </w:rPr>
            </w:pPr>
            <w:r>
              <w:rPr>
                <w:noProof/>
              </w:rPr>
              <w:t>Cible</w:t>
            </w:r>
          </w:p>
        </w:tc>
        <w:tc>
          <w:tcPr>
            <w:tcW w:w="1560" w:type="dxa"/>
            <w:shd w:val="clear" w:color="auto" w:fill="C6EFCE"/>
            <w:noWrap/>
          </w:tcPr>
          <w:p w14:paraId="4631F183" w14:textId="67B65D33" w:rsidR="003B6BD9" w:rsidRDefault="009E25E8">
            <w:pPr>
              <w:pStyle w:val="P68B1DB1-Normal7"/>
              <w:spacing w:before="0" w:after="0" w:line="240" w:lineRule="auto"/>
              <w:rPr>
                <w:noProof/>
              </w:rPr>
            </w:pPr>
            <w:r>
              <w:rPr>
                <w:noProof/>
              </w:rPr>
              <w:t>Ménages disposant d’un accès à large bande autorisé inclus dans les rapports de clôture des projets</w:t>
            </w:r>
          </w:p>
        </w:tc>
        <w:tc>
          <w:tcPr>
            <w:tcW w:w="1440" w:type="dxa"/>
            <w:shd w:val="clear" w:color="auto" w:fill="C6EFCE"/>
            <w:noWrap/>
          </w:tcPr>
          <w:p w14:paraId="050AFFAB" w14:textId="75FCDE0F" w:rsidR="003B6BD9" w:rsidRDefault="009E25E8">
            <w:pPr>
              <w:pStyle w:val="P68B1DB1-Normal7"/>
              <w:spacing w:before="0" w:after="0" w:line="240" w:lineRule="auto"/>
              <w:rPr>
                <w:rFonts w:eastAsia="Times New Roman"/>
                <w:noProof/>
              </w:rPr>
            </w:pPr>
            <w:r>
              <w:rPr>
                <w:noProof/>
              </w:rPr>
              <w:t> </w:t>
            </w:r>
          </w:p>
        </w:tc>
        <w:tc>
          <w:tcPr>
            <w:tcW w:w="1200" w:type="dxa"/>
            <w:shd w:val="clear" w:color="auto" w:fill="C6EFCE"/>
            <w:noWrap/>
          </w:tcPr>
          <w:p w14:paraId="11FEE4C4" w14:textId="00DFE7AE" w:rsidR="003B6BD9" w:rsidRDefault="009E25E8">
            <w:pPr>
              <w:pStyle w:val="P68B1DB1-Normal7"/>
              <w:spacing w:before="0" w:after="0" w:line="240" w:lineRule="auto"/>
              <w:rPr>
                <w:rFonts w:eastAsia="Times New Roman"/>
                <w:noProof/>
              </w:rPr>
            </w:pPr>
            <w:r>
              <w:rPr>
                <w:noProof/>
              </w:rPr>
              <w:t>Nombre</w:t>
            </w:r>
          </w:p>
        </w:tc>
        <w:tc>
          <w:tcPr>
            <w:tcW w:w="960" w:type="dxa"/>
            <w:shd w:val="clear" w:color="auto" w:fill="C6EFCE"/>
            <w:noWrap/>
          </w:tcPr>
          <w:p w14:paraId="7A9AFC08" w14:textId="28C7A600" w:rsidR="003B6BD9" w:rsidRDefault="009E25E8">
            <w:pPr>
              <w:pStyle w:val="P68B1DB1-Normal7"/>
              <w:spacing w:before="0" w:after="0" w:line="240" w:lineRule="auto"/>
              <w:rPr>
                <w:rFonts w:eastAsia="Times New Roman"/>
                <w:noProof/>
              </w:rPr>
            </w:pPr>
            <w:r>
              <w:rPr>
                <w:noProof/>
              </w:rPr>
              <w:t>0</w:t>
            </w:r>
          </w:p>
        </w:tc>
        <w:tc>
          <w:tcPr>
            <w:tcW w:w="960" w:type="dxa"/>
            <w:shd w:val="clear" w:color="auto" w:fill="C6EFCE"/>
            <w:noWrap/>
          </w:tcPr>
          <w:p w14:paraId="26C3AE07" w14:textId="6A18A7D5" w:rsidR="003B6BD9" w:rsidRDefault="009E25E8">
            <w:pPr>
              <w:pStyle w:val="P68B1DB1-Normal7"/>
              <w:spacing w:before="0" w:after="0" w:line="240" w:lineRule="auto"/>
              <w:rPr>
                <w:rFonts w:eastAsia="Times New Roman"/>
                <w:noProof/>
              </w:rPr>
            </w:pPr>
            <w:r>
              <w:rPr>
                <w:noProof/>
              </w:rPr>
              <w:t>6 838</w:t>
            </w:r>
          </w:p>
        </w:tc>
        <w:tc>
          <w:tcPr>
            <w:tcW w:w="1080" w:type="dxa"/>
            <w:shd w:val="clear" w:color="auto" w:fill="C6EFCE"/>
            <w:noWrap/>
          </w:tcPr>
          <w:p w14:paraId="3BF80468" w14:textId="5DB95B76" w:rsidR="003B6BD9" w:rsidRDefault="009E25E8">
            <w:pPr>
              <w:pStyle w:val="P68B1DB1-Normal7"/>
              <w:spacing w:before="0" w:after="0" w:line="240" w:lineRule="auto"/>
              <w:rPr>
                <w:rFonts w:eastAsia="Times New Roman"/>
                <w:noProof/>
              </w:rPr>
            </w:pPr>
            <w:r>
              <w:rPr>
                <w:noProof/>
              </w:rPr>
              <w:t>T2</w:t>
            </w:r>
          </w:p>
        </w:tc>
        <w:tc>
          <w:tcPr>
            <w:tcW w:w="720" w:type="dxa"/>
            <w:shd w:val="clear" w:color="auto" w:fill="C6EFCE"/>
            <w:noWrap/>
          </w:tcPr>
          <w:p w14:paraId="34CDD6A9" w14:textId="2AF698D5" w:rsidR="003B6BD9" w:rsidRDefault="009E25E8">
            <w:pPr>
              <w:pStyle w:val="P68B1DB1-Normal7"/>
              <w:spacing w:before="0" w:after="0" w:line="240" w:lineRule="auto"/>
              <w:rPr>
                <w:rFonts w:eastAsia="Times New Roman"/>
                <w:noProof/>
              </w:rPr>
            </w:pPr>
            <w:r>
              <w:rPr>
                <w:noProof/>
              </w:rPr>
              <w:t>2026</w:t>
            </w:r>
          </w:p>
        </w:tc>
        <w:tc>
          <w:tcPr>
            <w:tcW w:w="3567" w:type="dxa"/>
            <w:shd w:val="clear" w:color="auto" w:fill="C6EFCE"/>
            <w:noWrap/>
          </w:tcPr>
          <w:p w14:paraId="57B0D2CE" w14:textId="7CC0180A" w:rsidR="003B6BD9" w:rsidRDefault="009E25E8">
            <w:pPr>
              <w:pStyle w:val="P68B1DB1-Normal7"/>
              <w:spacing w:before="0" w:after="0" w:line="240" w:lineRule="auto"/>
              <w:rPr>
                <w:noProof/>
              </w:rPr>
            </w:pPr>
            <w:r>
              <w:rPr>
                <w:noProof/>
              </w:rPr>
              <w:t>Le rapport de clôture du projet est signé par le contractant et vérifié par le pouvoir adjudicateur. Le pouvoir adjudicateur vérifie que l’infrastructure a été mise en place, ce qui permet l’accès au réseau à haut débit dans des zones faiblement peuplées («zones blanches») telles que définies dans le dossier d’appel d’offres.</w:t>
            </w:r>
          </w:p>
        </w:tc>
      </w:tr>
      <w:tr w:rsidR="003B6BD9" w14:paraId="224A159F" w14:textId="77777777" w:rsidTr="00AC1D11">
        <w:trPr>
          <w:trHeight w:val="309"/>
          <w:jc w:val="center"/>
        </w:trPr>
        <w:tc>
          <w:tcPr>
            <w:tcW w:w="955" w:type="dxa"/>
            <w:shd w:val="clear" w:color="auto" w:fill="C6EFCE"/>
            <w:noWrap/>
          </w:tcPr>
          <w:p w14:paraId="2C7A6CD2" w14:textId="4E9D7F59" w:rsidR="003B6BD9" w:rsidRDefault="009E25E8">
            <w:pPr>
              <w:pStyle w:val="P68B1DB1-Normal7"/>
              <w:spacing w:before="0" w:after="0" w:line="240" w:lineRule="auto"/>
              <w:rPr>
                <w:rFonts w:eastAsia="Times New Roman"/>
                <w:noProof/>
              </w:rPr>
            </w:pPr>
            <w:r>
              <w:rPr>
                <w:noProof/>
              </w:rPr>
              <w:t>100</w:t>
            </w:r>
          </w:p>
        </w:tc>
        <w:tc>
          <w:tcPr>
            <w:tcW w:w="1800" w:type="dxa"/>
            <w:shd w:val="clear" w:color="auto" w:fill="C6EFCE"/>
            <w:noWrap/>
          </w:tcPr>
          <w:p w14:paraId="6FAD8AD4" w14:textId="0B2B4D2E" w:rsidR="003B6BD9" w:rsidRDefault="009E25E8">
            <w:pPr>
              <w:pStyle w:val="P68B1DB1-Normal7"/>
              <w:spacing w:before="0" w:after="0" w:line="240" w:lineRule="auto"/>
              <w:rPr>
                <w:rFonts w:eastAsia="Times New Roman"/>
                <w:noProof/>
              </w:rPr>
            </w:pPr>
            <w:r>
              <w:rPr>
                <w:noProof/>
              </w:rPr>
              <w:t>I. Numérisation de la sécurité intérieure</w:t>
            </w:r>
          </w:p>
        </w:tc>
        <w:tc>
          <w:tcPr>
            <w:tcW w:w="1080" w:type="dxa"/>
            <w:shd w:val="clear" w:color="auto" w:fill="C6EFCE"/>
            <w:noWrap/>
          </w:tcPr>
          <w:p w14:paraId="6FB3DF59" w14:textId="173C9B01" w:rsidR="003B6BD9" w:rsidRDefault="009E25E8">
            <w:pPr>
              <w:pStyle w:val="P68B1DB1-Normal7"/>
              <w:spacing w:before="0" w:after="0" w:line="240" w:lineRule="auto"/>
              <w:rPr>
                <w:rFonts w:eastAsia="Times New Roman"/>
                <w:noProof/>
              </w:rPr>
            </w:pPr>
            <w:r>
              <w:rPr>
                <w:noProof/>
              </w:rPr>
              <w:t>Cible</w:t>
            </w:r>
          </w:p>
        </w:tc>
        <w:tc>
          <w:tcPr>
            <w:tcW w:w="1560" w:type="dxa"/>
            <w:shd w:val="clear" w:color="auto" w:fill="C6EFCE"/>
            <w:noWrap/>
          </w:tcPr>
          <w:p w14:paraId="628C4EBE" w14:textId="0B133F2C" w:rsidR="003B6BD9" w:rsidRDefault="009E25E8">
            <w:pPr>
              <w:pStyle w:val="P68B1DB1-Normal7"/>
              <w:spacing w:before="0" w:after="0" w:line="240" w:lineRule="auto"/>
              <w:rPr>
                <w:rFonts w:eastAsia="Times New Roman"/>
                <w:noProof/>
              </w:rPr>
            </w:pPr>
            <w:r>
              <w:rPr>
                <w:noProof/>
              </w:rPr>
              <w:t xml:space="preserve">Utilisateurs du nouveau réseau radio numérique de la police (TETRA) </w:t>
            </w:r>
          </w:p>
        </w:tc>
        <w:tc>
          <w:tcPr>
            <w:tcW w:w="1440" w:type="dxa"/>
            <w:shd w:val="clear" w:color="auto" w:fill="C6EFCE"/>
            <w:noWrap/>
          </w:tcPr>
          <w:p w14:paraId="3BB5C124" w14:textId="7C6B2B3C" w:rsidR="003B6BD9" w:rsidRDefault="009E25E8">
            <w:pPr>
              <w:pStyle w:val="P68B1DB1-Normal7"/>
              <w:spacing w:before="0" w:after="0" w:line="240" w:lineRule="auto"/>
              <w:rPr>
                <w:rFonts w:eastAsia="Times New Roman"/>
                <w:noProof/>
              </w:rPr>
            </w:pPr>
            <w:r>
              <w:rPr>
                <w:noProof/>
              </w:rPr>
              <w:t> </w:t>
            </w:r>
          </w:p>
        </w:tc>
        <w:tc>
          <w:tcPr>
            <w:tcW w:w="1200" w:type="dxa"/>
            <w:shd w:val="clear" w:color="auto" w:fill="C6EFCE"/>
            <w:noWrap/>
          </w:tcPr>
          <w:p w14:paraId="46BF4E0E" w14:textId="36669C1A" w:rsidR="003B6BD9" w:rsidRDefault="009E25E8">
            <w:pPr>
              <w:pStyle w:val="P68B1DB1-Normal7"/>
              <w:spacing w:before="0" w:after="0" w:line="240" w:lineRule="auto"/>
              <w:rPr>
                <w:rFonts w:eastAsia="Times New Roman"/>
                <w:noProof/>
              </w:rPr>
            </w:pPr>
            <w:r>
              <w:rPr>
                <w:noProof/>
              </w:rPr>
              <w:t>Nombre</w:t>
            </w:r>
          </w:p>
        </w:tc>
        <w:tc>
          <w:tcPr>
            <w:tcW w:w="960" w:type="dxa"/>
            <w:shd w:val="clear" w:color="auto" w:fill="C6EFCE"/>
            <w:noWrap/>
          </w:tcPr>
          <w:p w14:paraId="34224FF8" w14:textId="197F5C4D" w:rsidR="003B6BD9" w:rsidRDefault="009E25E8">
            <w:pPr>
              <w:pStyle w:val="P68B1DB1-Normal7"/>
              <w:spacing w:before="0" w:after="0" w:line="240" w:lineRule="auto"/>
              <w:rPr>
                <w:rFonts w:eastAsia="Times New Roman"/>
                <w:noProof/>
              </w:rPr>
            </w:pPr>
            <w:r>
              <w:rPr>
                <w:noProof/>
              </w:rPr>
              <w:t>0</w:t>
            </w:r>
          </w:p>
        </w:tc>
        <w:tc>
          <w:tcPr>
            <w:tcW w:w="960" w:type="dxa"/>
            <w:shd w:val="clear" w:color="auto" w:fill="C6EFCE"/>
            <w:noWrap/>
          </w:tcPr>
          <w:p w14:paraId="2362B19D" w14:textId="49A32C24" w:rsidR="003B6BD9" w:rsidRDefault="009E25E8">
            <w:pPr>
              <w:pStyle w:val="P68B1DB1-Normal7"/>
              <w:spacing w:before="0" w:after="0" w:line="240" w:lineRule="auto"/>
              <w:rPr>
                <w:rFonts w:eastAsia="Times New Roman"/>
                <w:noProof/>
              </w:rPr>
            </w:pPr>
            <w:r>
              <w:rPr>
                <w:noProof/>
              </w:rPr>
              <w:t>11 000</w:t>
            </w:r>
          </w:p>
        </w:tc>
        <w:tc>
          <w:tcPr>
            <w:tcW w:w="1080" w:type="dxa"/>
            <w:shd w:val="clear" w:color="auto" w:fill="C6EFCE"/>
            <w:noWrap/>
          </w:tcPr>
          <w:p w14:paraId="1C44A9AE" w14:textId="3E88F40F" w:rsidR="003B6BD9" w:rsidRDefault="009E25E8">
            <w:pPr>
              <w:pStyle w:val="P68B1DB1-Normal7"/>
              <w:spacing w:before="0" w:after="0" w:line="240" w:lineRule="auto"/>
              <w:rPr>
                <w:rFonts w:eastAsia="Times New Roman"/>
                <w:noProof/>
              </w:rPr>
            </w:pPr>
            <w:r>
              <w:rPr>
                <w:noProof/>
              </w:rPr>
              <w:t>T4</w:t>
            </w:r>
          </w:p>
        </w:tc>
        <w:tc>
          <w:tcPr>
            <w:tcW w:w="720" w:type="dxa"/>
            <w:shd w:val="clear" w:color="auto" w:fill="C6EFCE"/>
            <w:noWrap/>
          </w:tcPr>
          <w:p w14:paraId="112E434B" w14:textId="2707B379" w:rsidR="003B6BD9" w:rsidRDefault="009E25E8">
            <w:pPr>
              <w:pStyle w:val="P68B1DB1-Normal7"/>
              <w:spacing w:before="0" w:after="0" w:line="240" w:lineRule="auto"/>
              <w:rPr>
                <w:rFonts w:eastAsia="Times New Roman"/>
                <w:noProof/>
              </w:rPr>
            </w:pPr>
            <w:r>
              <w:rPr>
                <w:noProof/>
              </w:rPr>
              <w:t>2022</w:t>
            </w:r>
          </w:p>
        </w:tc>
        <w:tc>
          <w:tcPr>
            <w:tcW w:w="3567" w:type="dxa"/>
            <w:shd w:val="clear" w:color="auto" w:fill="C6EFCE"/>
            <w:noWrap/>
          </w:tcPr>
          <w:p w14:paraId="6D7D027E" w14:textId="49447C43" w:rsidR="003B6BD9" w:rsidRDefault="009E25E8">
            <w:pPr>
              <w:pStyle w:val="P68B1DB1-Normal7"/>
              <w:spacing w:before="0" w:after="0" w:line="256" w:lineRule="auto"/>
              <w:rPr>
                <w:rFonts w:eastAsia="Times New Roman"/>
                <w:noProof/>
              </w:rPr>
            </w:pPr>
            <w:r>
              <w:rPr>
                <w:noProof/>
              </w:rPr>
              <w:t xml:space="preserve">Le réseau radio numérique des autorités nationales de la République de Slovénie devrait compter 11 000 utilisateurs. </w:t>
            </w:r>
          </w:p>
          <w:p w14:paraId="36D847DF" w14:textId="6FD59E4C" w:rsidR="003B6BD9" w:rsidRDefault="009E25E8">
            <w:pPr>
              <w:pStyle w:val="P68B1DB1-Normal7"/>
              <w:spacing w:before="0" w:after="0" w:line="240" w:lineRule="auto"/>
              <w:rPr>
                <w:rFonts w:eastAsia="Times New Roman"/>
                <w:noProof/>
              </w:rPr>
            </w:pPr>
            <w:r>
              <w:rPr>
                <w:noProof/>
              </w:rPr>
              <w:t>Le réseau utilise des radiofréquences coordonnées au niveau de l’UE à des fins de sécurité publique et est compatible avec les systèmes radio nationaux des pays voisins.</w:t>
            </w:r>
          </w:p>
        </w:tc>
      </w:tr>
      <w:tr w:rsidR="003B6BD9" w14:paraId="0F9A0D57" w14:textId="77777777" w:rsidTr="00AC1D11">
        <w:trPr>
          <w:trHeight w:val="309"/>
          <w:jc w:val="center"/>
        </w:trPr>
        <w:tc>
          <w:tcPr>
            <w:tcW w:w="955" w:type="dxa"/>
            <w:shd w:val="clear" w:color="auto" w:fill="C6EFCE"/>
            <w:noWrap/>
          </w:tcPr>
          <w:p w14:paraId="247C24CF" w14:textId="7126B3A1" w:rsidR="003B6BD9" w:rsidRDefault="009E25E8">
            <w:pPr>
              <w:pStyle w:val="P68B1DB1-Normal7"/>
              <w:spacing w:before="0" w:after="0" w:line="240" w:lineRule="auto"/>
              <w:rPr>
                <w:rFonts w:eastAsia="Times New Roman"/>
                <w:noProof/>
              </w:rPr>
            </w:pPr>
            <w:r>
              <w:rPr>
                <w:noProof/>
              </w:rPr>
              <w:t>101</w:t>
            </w:r>
          </w:p>
        </w:tc>
        <w:tc>
          <w:tcPr>
            <w:tcW w:w="1800" w:type="dxa"/>
            <w:shd w:val="clear" w:color="auto" w:fill="C6EFCE"/>
            <w:noWrap/>
          </w:tcPr>
          <w:p w14:paraId="499CD345" w14:textId="74C62896" w:rsidR="003B6BD9" w:rsidRDefault="009E25E8">
            <w:pPr>
              <w:pStyle w:val="P68B1DB1-Normal7"/>
              <w:spacing w:before="0" w:after="0" w:line="240" w:lineRule="auto"/>
              <w:rPr>
                <w:rFonts w:eastAsia="Times New Roman"/>
                <w:noProof/>
              </w:rPr>
            </w:pPr>
            <w:r>
              <w:rPr>
                <w:noProof/>
              </w:rPr>
              <w:t>I. Numérisation de la sécurité intérieure</w:t>
            </w:r>
          </w:p>
        </w:tc>
        <w:tc>
          <w:tcPr>
            <w:tcW w:w="1080" w:type="dxa"/>
            <w:shd w:val="clear" w:color="auto" w:fill="C6EFCE"/>
            <w:noWrap/>
          </w:tcPr>
          <w:p w14:paraId="2061CF24" w14:textId="7110017E" w:rsidR="003B6BD9" w:rsidRDefault="009E25E8">
            <w:pPr>
              <w:pStyle w:val="P68B1DB1-Normal7"/>
              <w:spacing w:before="0" w:after="0" w:line="240" w:lineRule="auto"/>
              <w:rPr>
                <w:rFonts w:eastAsia="Times New Roman"/>
                <w:noProof/>
              </w:rPr>
            </w:pPr>
            <w:r>
              <w:rPr>
                <w:noProof/>
              </w:rPr>
              <w:t>Jalon</w:t>
            </w:r>
          </w:p>
        </w:tc>
        <w:tc>
          <w:tcPr>
            <w:tcW w:w="1560" w:type="dxa"/>
            <w:shd w:val="clear" w:color="auto" w:fill="C6EFCE"/>
            <w:noWrap/>
          </w:tcPr>
          <w:p w14:paraId="63546015" w14:textId="124726F8" w:rsidR="003B6BD9" w:rsidRDefault="009E25E8">
            <w:pPr>
              <w:pStyle w:val="P68B1DB1-Normal7"/>
              <w:spacing w:before="0" w:after="0" w:line="240" w:lineRule="auto"/>
              <w:rPr>
                <w:rFonts w:eastAsia="Times New Roman"/>
                <w:noProof/>
              </w:rPr>
            </w:pPr>
            <w:r>
              <w:rPr>
                <w:noProof/>
              </w:rPr>
              <w:t>Applications dans le nuage policier</w:t>
            </w:r>
          </w:p>
        </w:tc>
        <w:tc>
          <w:tcPr>
            <w:tcW w:w="1440" w:type="dxa"/>
            <w:shd w:val="clear" w:color="auto" w:fill="C6EFCE"/>
            <w:noWrap/>
          </w:tcPr>
          <w:p w14:paraId="36F6F4D3" w14:textId="2108A103" w:rsidR="003B6BD9" w:rsidRDefault="009E25E8">
            <w:pPr>
              <w:pStyle w:val="P68B1DB1-Normal7"/>
              <w:spacing w:before="0" w:after="0" w:line="240" w:lineRule="auto"/>
              <w:rPr>
                <w:rFonts w:eastAsia="Times New Roman"/>
                <w:noProof/>
              </w:rPr>
            </w:pPr>
            <w:r>
              <w:rPr>
                <w:noProof/>
              </w:rPr>
              <w:t xml:space="preserve">Les applications sont accessibles dans le nuage de la police </w:t>
            </w:r>
          </w:p>
        </w:tc>
        <w:tc>
          <w:tcPr>
            <w:tcW w:w="1200" w:type="dxa"/>
            <w:shd w:val="clear" w:color="auto" w:fill="C6EFCE"/>
            <w:noWrap/>
          </w:tcPr>
          <w:p w14:paraId="3B1B0B69" w14:textId="57D29F98"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17917CEF" w14:textId="46416435"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4372A2BC" w14:textId="55AE24DD" w:rsidR="003B6BD9" w:rsidRDefault="009E25E8">
            <w:pPr>
              <w:pStyle w:val="P68B1DB1-Normal7"/>
              <w:spacing w:before="0" w:after="0" w:line="240" w:lineRule="auto"/>
              <w:rPr>
                <w:rFonts w:eastAsia="Times New Roman"/>
                <w:noProof/>
              </w:rPr>
            </w:pPr>
            <w:r>
              <w:rPr>
                <w:noProof/>
              </w:rPr>
              <w:t> </w:t>
            </w:r>
          </w:p>
        </w:tc>
        <w:tc>
          <w:tcPr>
            <w:tcW w:w="1080" w:type="dxa"/>
            <w:shd w:val="clear" w:color="auto" w:fill="C6EFCE"/>
            <w:noWrap/>
          </w:tcPr>
          <w:p w14:paraId="1FD9CBD5" w14:textId="14C9036F" w:rsidR="003B6BD9" w:rsidRDefault="009E25E8">
            <w:pPr>
              <w:pStyle w:val="P68B1DB1-Normal7"/>
              <w:spacing w:before="0" w:after="0" w:line="240" w:lineRule="auto"/>
              <w:rPr>
                <w:rFonts w:eastAsia="Times New Roman"/>
                <w:noProof/>
              </w:rPr>
            </w:pPr>
            <w:r>
              <w:rPr>
                <w:noProof/>
              </w:rPr>
              <w:t>T4</w:t>
            </w:r>
          </w:p>
        </w:tc>
        <w:tc>
          <w:tcPr>
            <w:tcW w:w="720" w:type="dxa"/>
            <w:shd w:val="clear" w:color="auto" w:fill="C6EFCE"/>
            <w:noWrap/>
          </w:tcPr>
          <w:p w14:paraId="016D7370" w14:textId="7E95884C" w:rsidR="003B6BD9" w:rsidRDefault="009E25E8">
            <w:pPr>
              <w:pStyle w:val="P68B1DB1-Normal7"/>
              <w:spacing w:before="0" w:after="0" w:line="240" w:lineRule="auto"/>
              <w:rPr>
                <w:rFonts w:eastAsia="Times New Roman"/>
                <w:noProof/>
              </w:rPr>
            </w:pPr>
            <w:r>
              <w:rPr>
                <w:noProof/>
              </w:rPr>
              <w:t>2025</w:t>
            </w:r>
          </w:p>
        </w:tc>
        <w:tc>
          <w:tcPr>
            <w:tcW w:w="3567" w:type="dxa"/>
            <w:shd w:val="clear" w:color="auto" w:fill="C6EFCE"/>
            <w:noWrap/>
          </w:tcPr>
          <w:p w14:paraId="5EF246FC" w14:textId="706734E9" w:rsidR="003B6BD9" w:rsidRDefault="009E25E8">
            <w:pPr>
              <w:pStyle w:val="P68B1DB1-Normal7"/>
              <w:spacing w:before="0" w:after="0" w:line="240" w:lineRule="auto"/>
              <w:rPr>
                <w:rFonts w:eastAsia="Times New Roman"/>
                <w:noProof/>
              </w:rPr>
            </w:pPr>
            <w:r>
              <w:rPr>
                <w:noProof/>
              </w:rPr>
              <w:t>Les applications dans le nuage policier dans les domaines de la prévention de la criminalité, de la sécurité publique, des vérifications aux frontières ou des processus de travail sont accessibles à la police.</w:t>
            </w:r>
          </w:p>
        </w:tc>
      </w:tr>
      <w:tr w:rsidR="003B6BD9" w14:paraId="026397AA" w14:textId="77777777" w:rsidTr="00AC1D11">
        <w:trPr>
          <w:trHeight w:val="968"/>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32C96818" w14:textId="4F5F20C7" w:rsidR="003B6BD9" w:rsidRDefault="009E25E8">
            <w:pPr>
              <w:pStyle w:val="P68B1DB1-Normal7"/>
              <w:spacing w:before="0" w:after="0" w:line="240" w:lineRule="auto"/>
              <w:rPr>
                <w:rFonts w:eastAsia="Times New Roman"/>
                <w:noProof/>
              </w:rPr>
            </w:pPr>
            <w:r>
              <w:rPr>
                <w:noProof/>
              </w:rPr>
              <w:t>102</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73AB231A" w14:textId="0F795DE5" w:rsidR="003B6BD9" w:rsidRDefault="009E25E8">
            <w:pPr>
              <w:pStyle w:val="P68B1DB1-Normal7"/>
              <w:spacing w:before="0" w:after="0" w:line="240" w:lineRule="auto"/>
              <w:rPr>
                <w:rFonts w:eastAsia="Times New Roman"/>
                <w:noProof/>
              </w:rPr>
            </w:pPr>
            <w:r>
              <w:rPr>
                <w:noProof/>
              </w:rPr>
              <w:t>K: Cadre d’implantation de la Slovénie verte</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076E9A1B" w14:textId="3E13C760" w:rsidR="003B6BD9" w:rsidRDefault="009E25E8">
            <w:pPr>
              <w:pStyle w:val="P68B1DB1-Normal7"/>
              <w:spacing w:before="0" w:after="0" w:line="240" w:lineRule="auto"/>
              <w:rPr>
                <w:rFonts w:eastAsia="Times New Roman"/>
                <w:noProof/>
              </w:rPr>
            </w:pPr>
            <w:r>
              <w:rPr>
                <w:noProof/>
              </w:rPr>
              <w:t>Cible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91AA273" w14:textId="706D51AF" w:rsidR="003B6BD9" w:rsidRDefault="009E25E8">
            <w:pPr>
              <w:pStyle w:val="P68B1DB1-Normal7"/>
              <w:spacing w:before="0" w:after="0" w:line="240" w:lineRule="auto"/>
              <w:rPr>
                <w:noProof/>
              </w:rPr>
            </w:pPr>
            <w:r>
              <w:rPr>
                <w:noProof/>
              </w:rPr>
              <w:t>Solutions d’information spatiale et environnementale connectées</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4DD6E8CC" w14:textId="122ECB60" w:rsidR="003B6BD9" w:rsidRDefault="009E25E8">
            <w:pPr>
              <w:pStyle w:val="P68B1DB1-Normal7"/>
              <w:spacing w:before="0" w:after="0" w:line="240" w:lineRule="auto"/>
              <w:rPr>
                <w:rFonts w:eastAsia="Times New Roman"/>
                <w:noProof/>
              </w:rPr>
            </w:pPr>
            <w:r>
              <w:rPr>
                <w:noProof/>
              </w:rPr>
              <w:t> </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48ADBDD7" w14:textId="782486E8" w:rsidR="003B6BD9" w:rsidRDefault="009E25E8">
            <w:pPr>
              <w:pStyle w:val="P68B1DB1-Normal7"/>
              <w:spacing w:before="0" w:after="0" w:line="240" w:lineRule="auto"/>
              <w:rPr>
                <w:rFonts w:eastAsia="Times New Roman"/>
                <w:noProof/>
              </w:rPr>
            </w:pPr>
            <w:r>
              <w:rPr>
                <w:noProof/>
              </w:rPr>
              <w:t>Nombre</w:t>
            </w:r>
          </w:p>
        </w:tc>
        <w:tc>
          <w:tcPr>
            <w:tcW w:w="960" w:type="dxa"/>
            <w:tcBorders>
              <w:top w:val="single" w:sz="4" w:space="0" w:color="auto"/>
              <w:left w:val="single" w:sz="4" w:space="0" w:color="auto"/>
              <w:bottom w:val="single" w:sz="4" w:space="0" w:color="auto"/>
              <w:right w:val="single" w:sz="4" w:space="0" w:color="auto"/>
            </w:tcBorders>
            <w:shd w:val="clear" w:color="auto" w:fill="C6EFCE"/>
            <w:noWrap/>
          </w:tcPr>
          <w:p w14:paraId="4C58B1E1" w14:textId="2C58594F" w:rsidR="003B6BD9" w:rsidRDefault="009E25E8">
            <w:pPr>
              <w:pStyle w:val="P68B1DB1-Normal7"/>
              <w:spacing w:before="0" w:after="0" w:line="240" w:lineRule="auto"/>
              <w:rPr>
                <w:rFonts w:eastAsia="Times New Roman"/>
                <w:noProof/>
              </w:rPr>
            </w:pPr>
            <w:r>
              <w:rPr>
                <w:noProof/>
              </w:rPr>
              <w:t>0</w:t>
            </w:r>
          </w:p>
        </w:tc>
        <w:tc>
          <w:tcPr>
            <w:tcW w:w="960" w:type="dxa"/>
            <w:tcBorders>
              <w:top w:val="single" w:sz="4" w:space="0" w:color="auto"/>
              <w:left w:val="single" w:sz="4" w:space="0" w:color="auto"/>
              <w:bottom w:val="single" w:sz="4" w:space="0" w:color="auto"/>
              <w:right w:val="single" w:sz="4" w:space="0" w:color="auto"/>
            </w:tcBorders>
            <w:shd w:val="clear" w:color="auto" w:fill="C6EFCE"/>
            <w:noWrap/>
          </w:tcPr>
          <w:p w14:paraId="01ACD73D" w14:textId="5466FC3F" w:rsidR="003B6BD9" w:rsidRDefault="009E25E8">
            <w:pPr>
              <w:pStyle w:val="P68B1DB1-Normal7"/>
              <w:spacing w:before="0" w:after="0" w:line="240" w:lineRule="auto"/>
              <w:rPr>
                <w:rFonts w:eastAsia="Times New Roman"/>
                <w:noProof/>
              </w:rPr>
            </w:pPr>
            <w:r>
              <w:rPr>
                <w:noProof/>
              </w:rPr>
              <w:t>4</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5EC9F21C" w14:textId="0DE7E0D8" w:rsidR="003B6BD9" w:rsidRDefault="009E25E8">
            <w:pPr>
              <w:pStyle w:val="P68B1DB1-Normal7"/>
              <w:spacing w:before="0" w:after="0" w:line="240" w:lineRule="auto"/>
              <w:rPr>
                <w:rFonts w:eastAsia="Times New Roman"/>
                <w:noProof/>
              </w:rPr>
            </w:pPr>
            <w:r>
              <w:rPr>
                <w:noProof/>
              </w:rPr>
              <w:t>T4</w:t>
            </w:r>
          </w:p>
        </w:tc>
        <w:tc>
          <w:tcPr>
            <w:tcW w:w="720" w:type="dxa"/>
            <w:tcBorders>
              <w:top w:val="single" w:sz="4" w:space="0" w:color="auto"/>
              <w:left w:val="single" w:sz="4" w:space="0" w:color="auto"/>
              <w:bottom w:val="single" w:sz="4" w:space="0" w:color="auto"/>
              <w:right w:val="single" w:sz="4" w:space="0" w:color="auto"/>
            </w:tcBorders>
            <w:shd w:val="clear" w:color="auto" w:fill="C6EFCE"/>
            <w:noWrap/>
          </w:tcPr>
          <w:p w14:paraId="045A09CC" w14:textId="13A97DC9" w:rsidR="003B6BD9" w:rsidRDefault="009E25E8">
            <w:pPr>
              <w:pStyle w:val="P68B1DB1-Normal7"/>
              <w:spacing w:before="0" w:after="0" w:line="240" w:lineRule="auto"/>
              <w:rPr>
                <w:rFonts w:eastAsia="Times New Roman"/>
                <w:noProof/>
              </w:rPr>
            </w:pPr>
            <w:r>
              <w:rPr>
                <w:noProof/>
              </w:rPr>
              <w:t>2025</w:t>
            </w:r>
          </w:p>
        </w:tc>
        <w:tc>
          <w:tcPr>
            <w:tcW w:w="3567" w:type="dxa"/>
            <w:tcBorders>
              <w:top w:val="single" w:sz="4" w:space="0" w:color="auto"/>
              <w:left w:val="single" w:sz="4" w:space="0" w:color="auto"/>
              <w:bottom w:val="single" w:sz="4" w:space="0" w:color="auto"/>
              <w:right w:val="single" w:sz="4" w:space="0" w:color="auto"/>
            </w:tcBorders>
            <w:shd w:val="clear" w:color="auto" w:fill="C6EFCE"/>
            <w:noWrap/>
          </w:tcPr>
          <w:p w14:paraId="0D3697A0" w14:textId="4814D4C4" w:rsidR="003B6BD9" w:rsidRDefault="009E25E8">
            <w:pPr>
              <w:pStyle w:val="P68B1DB1-Normal7"/>
              <w:keepNext/>
              <w:spacing w:before="0" w:after="0" w:line="240" w:lineRule="auto"/>
              <w:rPr>
                <w:noProof/>
              </w:rPr>
            </w:pPr>
            <w:r>
              <w:rPr>
                <w:noProof/>
              </w:rPr>
              <w:t>Rapports de transfert signés par le contractant et le pouvoir adjudicateur pour les solutions d’information spatiale et environnementale conçues ou mises à jour pour permettre l’interopérabilité entre les séries de données spatiales et environnementales.</w:t>
            </w:r>
          </w:p>
        </w:tc>
      </w:tr>
      <w:tr w:rsidR="003B6BD9" w14:paraId="21228667" w14:textId="77777777" w:rsidTr="00AC1D11">
        <w:trPr>
          <w:trHeight w:val="309"/>
          <w:jc w:val="center"/>
        </w:trPr>
        <w:tc>
          <w:tcPr>
            <w:tcW w:w="955" w:type="dxa"/>
            <w:shd w:val="clear" w:color="auto" w:fill="C6EFCE"/>
            <w:noWrap/>
          </w:tcPr>
          <w:p w14:paraId="78D751A2" w14:textId="62C488DD" w:rsidR="003B6BD9" w:rsidRDefault="009E25E8">
            <w:pPr>
              <w:pStyle w:val="P68B1DB1-Normal7"/>
              <w:spacing w:before="0" w:after="0" w:line="240" w:lineRule="auto"/>
              <w:rPr>
                <w:rFonts w:eastAsia="Times New Roman"/>
                <w:noProof/>
              </w:rPr>
            </w:pPr>
            <w:r>
              <w:rPr>
                <w:noProof/>
              </w:rPr>
              <w:t>104</w:t>
            </w:r>
          </w:p>
        </w:tc>
        <w:tc>
          <w:tcPr>
            <w:tcW w:w="1800" w:type="dxa"/>
            <w:shd w:val="clear" w:color="auto" w:fill="C6EFCE"/>
            <w:noWrap/>
          </w:tcPr>
          <w:p w14:paraId="7763B94C" w14:textId="06682075" w:rsidR="003B6BD9" w:rsidRDefault="009E25E8">
            <w:pPr>
              <w:pStyle w:val="P68B1DB1-Normal7"/>
              <w:spacing w:before="0" w:after="0" w:line="240" w:lineRule="auto"/>
              <w:rPr>
                <w:rFonts w:eastAsia="Times New Roman"/>
                <w:noProof/>
              </w:rPr>
            </w:pPr>
            <w:r>
              <w:rPr>
                <w:noProof/>
              </w:rPr>
              <w:t>L: La transition numérique dans l’agriculture, l’alimentation ou la sylviculture</w:t>
            </w:r>
          </w:p>
        </w:tc>
        <w:tc>
          <w:tcPr>
            <w:tcW w:w="1080" w:type="dxa"/>
            <w:shd w:val="clear" w:color="auto" w:fill="C6EFCE"/>
            <w:noWrap/>
          </w:tcPr>
          <w:p w14:paraId="47C885C8" w14:textId="509F7880" w:rsidR="003B6BD9" w:rsidRDefault="009E25E8">
            <w:pPr>
              <w:pStyle w:val="P68B1DB1-Normal7"/>
              <w:spacing w:before="0" w:after="0" w:line="240" w:lineRule="auto"/>
              <w:rPr>
                <w:rFonts w:eastAsia="Times New Roman"/>
                <w:noProof/>
              </w:rPr>
            </w:pPr>
            <w:r>
              <w:rPr>
                <w:noProof/>
              </w:rPr>
              <w:t>Cible</w:t>
            </w:r>
          </w:p>
        </w:tc>
        <w:tc>
          <w:tcPr>
            <w:tcW w:w="1560" w:type="dxa"/>
            <w:shd w:val="clear" w:color="auto" w:fill="C6EFCE"/>
            <w:noWrap/>
          </w:tcPr>
          <w:p w14:paraId="72C11628" w14:textId="132BA321" w:rsidR="003B6BD9" w:rsidRDefault="009E25E8">
            <w:pPr>
              <w:pStyle w:val="P68B1DB1-Normal7"/>
              <w:spacing w:before="0" w:after="0" w:line="240" w:lineRule="auto"/>
              <w:rPr>
                <w:rFonts w:eastAsia="Times New Roman"/>
                <w:noProof/>
              </w:rPr>
            </w:pPr>
            <w:r>
              <w:rPr>
                <w:noProof/>
              </w:rPr>
              <w:t>Services en ligne dans l’agriculture, l’alimentation ou la sylviculture</w:t>
            </w:r>
          </w:p>
        </w:tc>
        <w:tc>
          <w:tcPr>
            <w:tcW w:w="1440" w:type="dxa"/>
            <w:shd w:val="clear" w:color="auto" w:fill="C6EFCE"/>
            <w:noWrap/>
          </w:tcPr>
          <w:p w14:paraId="747BE7D3" w14:textId="77777777" w:rsidR="003B6BD9" w:rsidRDefault="003B6BD9">
            <w:pPr>
              <w:spacing w:before="0" w:after="0" w:line="240" w:lineRule="auto"/>
              <w:rPr>
                <w:rFonts w:eastAsia="Times New Roman"/>
                <w:noProof/>
                <w:color w:val="006100"/>
                <w:sz w:val="18"/>
                <w:szCs w:val="18"/>
              </w:rPr>
            </w:pPr>
          </w:p>
        </w:tc>
        <w:tc>
          <w:tcPr>
            <w:tcW w:w="1200" w:type="dxa"/>
            <w:shd w:val="clear" w:color="auto" w:fill="C6EFCE"/>
            <w:noWrap/>
          </w:tcPr>
          <w:p w14:paraId="50798E0D" w14:textId="496EE79F" w:rsidR="003B6BD9" w:rsidRDefault="009E25E8">
            <w:pPr>
              <w:pStyle w:val="P68B1DB1-Normal7"/>
              <w:spacing w:before="0" w:after="0" w:line="240" w:lineRule="auto"/>
              <w:rPr>
                <w:rFonts w:eastAsia="Times New Roman"/>
                <w:noProof/>
              </w:rPr>
            </w:pPr>
            <w:r>
              <w:rPr>
                <w:noProof/>
              </w:rPr>
              <w:t>Nombre</w:t>
            </w:r>
          </w:p>
        </w:tc>
        <w:tc>
          <w:tcPr>
            <w:tcW w:w="960" w:type="dxa"/>
            <w:shd w:val="clear" w:color="auto" w:fill="C6EFCE"/>
            <w:noWrap/>
          </w:tcPr>
          <w:p w14:paraId="624B6110" w14:textId="0C1DDE7E" w:rsidR="003B6BD9" w:rsidRDefault="009E25E8">
            <w:pPr>
              <w:pStyle w:val="P68B1DB1-Normal7"/>
              <w:spacing w:before="0" w:after="0" w:line="240" w:lineRule="auto"/>
              <w:rPr>
                <w:rFonts w:eastAsia="Times New Roman"/>
                <w:noProof/>
              </w:rPr>
            </w:pPr>
            <w:r>
              <w:rPr>
                <w:noProof/>
              </w:rPr>
              <w:t>0</w:t>
            </w:r>
          </w:p>
        </w:tc>
        <w:tc>
          <w:tcPr>
            <w:tcW w:w="960" w:type="dxa"/>
            <w:shd w:val="clear" w:color="auto" w:fill="C6EFCE"/>
            <w:noWrap/>
          </w:tcPr>
          <w:p w14:paraId="00D78293" w14:textId="48CEF41F" w:rsidR="003B6BD9" w:rsidRDefault="009E25E8">
            <w:pPr>
              <w:pStyle w:val="P68B1DB1-Normal7"/>
              <w:spacing w:before="0" w:after="0" w:line="240" w:lineRule="auto"/>
              <w:rPr>
                <w:rFonts w:eastAsia="Times New Roman"/>
                <w:noProof/>
              </w:rPr>
            </w:pPr>
            <w:r>
              <w:rPr>
                <w:noProof/>
              </w:rPr>
              <w:t>32</w:t>
            </w:r>
          </w:p>
        </w:tc>
        <w:tc>
          <w:tcPr>
            <w:tcW w:w="1080" w:type="dxa"/>
            <w:shd w:val="clear" w:color="auto" w:fill="C6EFCE"/>
            <w:noWrap/>
          </w:tcPr>
          <w:p w14:paraId="66B8FA1F" w14:textId="467816D0" w:rsidR="003B6BD9" w:rsidRDefault="009E25E8">
            <w:pPr>
              <w:pStyle w:val="P68B1DB1-Normal7"/>
              <w:spacing w:before="0" w:after="0" w:line="240" w:lineRule="auto"/>
              <w:rPr>
                <w:rFonts w:eastAsia="Times New Roman"/>
                <w:noProof/>
              </w:rPr>
            </w:pPr>
            <w:r>
              <w:rPr>
                <w:noProof/>
              </w:rPr>
              <w:t>T2</w:t>
            </w:r>
          </w:p>
        </w:tc>
        <w:tc>
          <w:tcPr>
            <w:tcW w:w="720" w:type="dxa"/>
            <w:shd w:val="clear" w:color="auto" w:fill="C6EFCE"/>
            <w:noWrap/>
          </w:tcPr>
          <w:p w14:paraId="6160645B" w14:textId="08100355" w:rsidR="003B6BD9" w:rsidRDefault="009E25E8">
            <w:pPr>
              <w:pStyle w:val="P68B1DB1-Normal7"/>
              <w:spacing w:before="0" w:after="0" w:line="240" w:lineRule="auto"/>
              <w:rPr>
                <w:rFonts w:eastAsia="Times New Roman"/>
                <w:noProof/>
              </w:rPr>
            </w:pPr>
            <w:r>
              <w:rPr>
                <w:noProof/>
              </w:rPr>
              <w:t>2026</w:t>
            </w:r>
          </w:p>
        </w:tc>
        <w:tc>
          <w:tcPr>
            <w:tcW w:w="3567" w:type="dxa"/>
            <w:shd w:val="clear" w:color="auto" w:fill="C6EFCE"/>
            <w:noWrap/>
          </w:tcPr>
          <w:p w14:paraId="49F6EE58" w14:textId="62333480" w:rsidR="003B6BD9" w:rsidRDefault="009E25E8">
            <w:pPr>
              <w:pStyle w:val="P68B1DB1-Normal7"/>
              <w:spacing w:before="0" w:after="0" w:line="240" w:lineRule="auto"/>
              <w:rPr>
                <w:noProof/>
              </w:rPr>
            </w:pPr>
            <w:r>
              <w:rPr>
                <w:noProof/>
              </w:rPr>
              <w:t>Des rapports de remise ou d’autres documents de réception signés par le contractant et le pouvoir adjudicateur pour la réception de services électroniques, d’autres solutions électroniques, d’infrastructures informatiques ou d’équipements sont établis dans le domaine de l’agriculture, de l’alimentation ou de la sylviculture.</w:t>
            </w:r>
          </w:p>
        </w:tc>
      </w:tr>
      <w:tr w:rsidR="003B6BD9" w14:paraId="06926D2E" w14:textId="77777777" w:rsidTr="00AC1D11">
        <w:trPr>
          <w:trHeight w:val="309"/>
          <w:jc w:val="center"/>
        </w:trPr>
        <w:tc>
          <w:tcPr>
            <w:tcW w:w="955" w:type="dxa"/>
            <w:shd w:val="clear" w:color="auto" w:fill="C6EFCE"/>
            <w:noWrap/>
          </w:tcPr>
          <w:p w14:paraId="1C057240" w14:textId="13F52CFE" w:rsidR="003B6BD9" w:rsidRDefault="009E25E8">
            <w:pPr>
              <w:pStyle w:val="P68B1DB1-Normal7"/>
              <w:spacing w:before="0" w:after="0" w:line="240" w:lineRule="auto"/>
              <w:rPr>
                <w:noProof/>
              </w:rPr>
            </w:pPr>
            <w:r>
              <w:rPr>
                <w:noProof/>
              </w:rPr>
              <w:t>105</w:t>
            </w:r>
          </w:p>
        </w:tc>
        <w:tc>
          <w:tcPr>
            <w:tcW w:w="1800" w:type="dxa"/>
            <w:shd w:val="clear" w:color="auto" w:fill="C6EFCE"/>
            <w:noWrap/>
          </w:tcPr>
          <w:p w14:paraId="17FCC18B" w14:textId="3FCBC1C6" w:rsidR="003B6BD9" w:rsidRDefault="009E25E8">
            <w:pPr>
              <w:pStyle w:val="P68B1DB1-Normal7"/>
              <w:spacing w:before="0" w:after="0" w:line="240" w:lineRule="auto"/>
              <w:rPr>
                <w:noProof/>
              </w:rPr>
            </w:pPr>
            <w:r>
              <w:rPr>
                <w:noProof/>
              </w:rPr>
              <w:t>N: Numérisation dans le domaine de la justice</w:t>
            </w:r>
          </w:p>
        </w:tc>
        <w:tc>
          <w:tcPr>
            <w:tcW w:w="1080" w:type="dxa"/>
            <w:shd w:val="clear" w:color="auto" w:fill="C6EFCE"/>
            <w:noWrap/>
          </w:tcPr>
          <w:p w14:paraId="56999F20" w14:textId="06D596EF" w:rsidR="003B6BD9" w:rsidRDefault="009E25E8">
            <w:pPr>
              <w:pStyle w:val="P68B1DB1-Normal7"/>
              <w:spacing w:before="0" w:after="0" w:line="240" w:lineRule="auto"/>
              <w:rPr>
                <w:noProof/>
              </w:rPr>
            </w:pPr>
            <w:r>
              <w:rPr>
                <w:noProof/>
              </w:rPr>
              <w:t>Cible</w:t>
            </w:r>
          </w:p>
        </w:tc>
        <w:tc>
          <w:tcPr>
            <w:tcW w:w="1560" w:type="dxa"/>
            <w:shd w:val="clear" w:color="auto" w:fill="C6EFCE"/>
            <w:noWrap/>
          </w:tcPr>
          <w:p w14:paraId="5E7A8037" w14:textId="4B0C05AC" w:rsidR="003B6BD9" w:rsidRDefault="009E25E8">
            <w:pPr>
              <w:pStyle w:val="P68B1DB1-Normal7"/>
              <w:spacing w:before="0" w:after="0" w:line="240" w:lineRule="auto"/>
              <w:rPr>
                <w:noProof/>
              </w:rPr>
            </w:pPr>
            <w:r>
              <w:rPr>
                <w:noProof/>
              </w:rPr>
              <w:t>Systèmes informatiques dans le domaine de la justice</w:t>
            </w:r>
          </w:p>
        </w:tc>
        <w:tc>
          <w:tcPr>
            <w:tcW w:w="1440" w:type="dxa"/>
            <w:shd w:val="clear" w:color="auto" w:fill="C6EFCE"/>
            <w:noWrap/>
          </w:tcPr>
          <w:p w14:paraId="1C95A5E9" w14:textId="77777777" w:rsidR="003B6BD9" w:rsidRDefault="003B6BD9">
            <w:pPr>
              <w:spacing w:before="0" w:after="0" w:line="240" w:lineRule="auto"/>
              <w:rPr>
                <w:rFonts w:eastAsia="Times New Roman"/>
                <w:noProof/>
                <w:color w:val="006100"/>
                <w:sz w:val="18"/>
                <w:szCs w:val="18"/>
              </w:rPr>
            </w:pPr>
          </w:p>
        </w:tc>
        <w:tc>
          <w:tcPr>
            <w:tcW w:w="1200" w:type="dxa"/>
            <w:shd w:val="clear" w:color="auto" w:fill="C6EFCE"/>
            <w:noWrap/>
          </w:tcPr>
          <w:p w14:paraId="340A8CA6" w14:textId="3B8DAED5" w:rsidR="003B6BD9" w:rsidRDefault="009E25E8">
            <w:pPr>
              <w:pStyle w:val="P68B1DB1-Normal7"/>
              <w:spacing w:before="0" w:after="0" w:line="240" w:lineRule="auto"/>
              <w:rPr>
                <w:noProof/>
              </w:rPr>
            </w:pPr>
            <w:r>
              <w:rPr>
                <w:noProof/>
              </w:rPr>
              <w:t>Nombre</w:t>
            </w:r>
          </w:p>
        </w:tc>
        <w:tc>
          <w:tcPr>
            <w:tcW w:w="960" w:type="dxa"/>
            <w:shd w:val="clear" w:color="auto" w:fill="C6EFCE"/>
            <w:noWrap/>
          </w:tcPr>
          <w:p w14:paraId="13C28E34" w14:textId="4578FCF2" w:rsidR="003B6BD9" w:rsidRDefault="009E25E8">
            <w:pPr>
              <w:pStyle w:val="P68B1DB1-Normal7"/>
              <w:spacing w:before="0" w:after="0" w:line="240" w:lineRule="auto"/>
              <w:rPr>
                <w:noProof/>
              </w:rPr>
            </w:pPr>
            <w:r>
              <w:rPr>
                <w:noProof/>
              </w:rPr>
              <w:t>0</w:t>
            </w:r>
          </w:p>
        </w:tc>
        <w:tc>
          <w:tcPr>
            <w:tcW w:w="960" w:type="dxa"/>
            <w:shd w:val="clear" w:color="auto" w:fill="C6EFCE"/>
            <w:noWrap/>
          </w:tcPr>
          <w:p w14:paraId="29D628D3" w14:textId="4D8C990B" w:rsidR="003B6BD9" w:rsidRDefault="009E25E8">
            <w:pPr>
              <w:pStyle w:val="P68B1DB1-Normal7"/>
              <w:spacing w:before="0" w:after="0" w:line="240" w:lineRule="auto"/>
              <w:rPr>
                <w:noProof/>
              </w:rPr>
            </w:pPr>
            <w:r>
              <w:rPr>
                <w:noProof/>
              </w:rPr>
              <w:t>11</w:t>
            </w:r>
          </w:p>
        </w:tc>
        <w:tc>
          <w:tcPr>
            <w:tcW w:w="1080" w:type="dxa"/>
            <w:shd w:val="clear" w:color="auto" w:fill="C6EFCE"/>
            <w:noWrap/>
          </w:tcPr>
          <w:p w14:paraId="17E8E884" w14:textId="25D81FA0" w:rsidR="003B6BD9" w:rsidRDefault="009E25E8">
            <w:pPr>
              <w:pStyle w:val="P68B1DB1-Normal7"/>
              <w:spacing w:before="0" w:after="0" w:line="240" w:lineRule="auto"/>
              <w:rPr>
                <w:noProof/>
              </w:rPr>
            </w:pPr>
            <w:r>
              <w:rPr>
                <w:noProof/>
              </w:rPr>
              <w:t>T2</w:t>
            </w:r>
          </w:p>
        </w:tc>
        <w:tc>
          <w:tcPr>
            <w:tcW w:w="720" w:type="dxa"/>
            <w:shd w:val="clear" w:color="auto" w:fill="C6EFCE"/>
            <w:noWrap/>
          </w:tcPr>
          <w:p w14:paraId="5D2CDCD4" w14:textId="6F4214CA" w:rsidR="003B6BD9" w:rsidRDefault="009E25E8">
            <w:pPr>
              <w:pStyle w:val="P68B1DB1-Normal7"/>
              <w:spacing w:before="0" w:after="0" w:line="240" w:lineRule="auto"/>
              <w:rPr>
                <w:noProof/>
              </w:rPr>
            </w:pPr>
            <w:r>
              <w:rPr>
                <w:noProof/>
              </w:rPr>
              <w:t>2026</w:t>
            </w:r>
          </w:p>
        </w:tc>
        <w:tc>
          <w:tcPr>
            <w:tcW w:w="3567" w:type="dxa"/>
            <w:shd w:val="clear" w:color="auto" w:fill="C6EFCE"/>
            <w:noWrap/>
          </w:tcPr>
          <w:p w14:paraId="1D2098CB" w14:textId="253B73ED" w:rsidR="003B6BD9" w:rsidRDefault="009E25E8">
            <w:pPr>
              <w:pStyle w:val="P68B1DB1-Normal7"/>
              <w:spacing w:before="0" w:after="0" w:line="240" w:lineRule="auto"/>
              <w:rPr>
                <w:noProof/>
              </w:rPr>
            </w:pPr>
            <w:r>
              <w:rPr>
                <w:noProof/>
              </w:rPr>
              <w:t>Des rapports de remise signés par le contractant et le pouvoir adjudicateur pour les systèmes informatiques, ou pour d’autres solutions électroniques, ou pour l’infrastructure informatique, ou pour les équipements liés au système judiciaire sont établis.</w:t>
            </w:r>
          </w:p>
        </w:tc>
      </w:tr>
      <w:tr w:rsidR="003B6BD9" w14:paraId="2F0AC7B0" w14:textId="77777777" w:rsidTr="00AC1D11">
        <w:trPr>
          <w:trHeight w:val="309"/>
          <w:jc w:val="center"/>
        </w:trPr>
        <w:tc>
          <w:tcPr>
            <w:tcW w:w="955" w:type="dxa"/>
            <w:shd w:val="clear" w:color="auto" w:fill="C6EFCE"/>
            <w:noWrap/>
          </w:tcPr>
          <w:p w14:paraId="41CAF217" w14:textId="31F5C155" w:rsidR="003B6BD9" w:rsidRDefault="009E25E8">
            <w:pPr>
              <w:pStyle w:val="P68B1DB1-Normal7"/>
              <w:spacing w:before="0" w:after="0" w:line="240" w:lineRule="auto"/>
              <w:rPr>
                <w:rFonts w:eastAsia="Times New Roman"/>
                <w:noProof/>
              </w:rPr>
            </w:pPr>
            <w:r>
              <w:rPr>
                <w:noProof/>
              </w:rPr>
              <w:t>106</w:t>
            </w:r>
          </w:p>
        </w:tc>
        <w:tc>
          <w:tcPr>
            <w:tcW w:w="1800" w:type="dxa"/>
            <w:shd w:val="clear" w:color="auto" w:fill="C6EFCE"/>
            <w:noWrap/>
          </w:tcPr>
          <w:p w14:paraId="21B62E2E" w14:textId="15F9C8FD" w:rsidR="003B6BD9" w:rsidRDefault="009E25E8">
            <w:pPr>
              <w:pStyle w:val="P68B1DB1-Normal7"/>
              <w:spacing w:before="0" w:after="0" w:line="240" w:lineRule="auto"/>
              <w:rPr>
                <w:rFonts w:eastAsia="Times New Roman"/>
                <w:noProof/>
              </w:rPr>
            </w:pPr>
            <w:r>
              <w:rPr>
                <w:noProof/>
              </w:rPr>
              <w:t xml:space="preserve">J: Numérisation de l’éducation et des sciences </w:t>
            </w:r>
          </w:p>
        </w:tc>
        <w:tc>
          <w:tcPr>
            <w:tcW w:w="1080" w:type="dxa"/>
            <w:shd w:val="clear" w:color="auto" w:fill="C6EFCE"/>
            <w:noWrap/>
          </w:tcPr>
          <w:p w14:paraId="65165BAC" w14:textId="65100F35" w:rsidR="003B6BD9" w:rsidRDefault="009E25E8">
            <w:pPr>
              <w:pStyle w:val="P68B1DB1-Normal7"/>
              <w:spacing w:before="0" w:after="0" w:line="240" w:lineRule="auto"/>
              <w:rPr>
                <w:rFonts w:eastAsia="Times New Roman"/>
                <w:noProof/>
              </w:rPr>
            </w:pPr>
            <w:r>
              <w:rPr>
                <w:noProof/>
              </w:rPr>
              <w:t>Cible</w:t>
            </w:r>
          </w:p>
        </w:tc>
        <w:tc>
          <w:tcPr>
            <w:tcW w:w="1560" w:type="dxa"/>
            <w:shd w:val="clear" w:color="auto" w:fill="C6EFCE"/>
            <w:noWrap/>
          </w:tcPr>
          <w:p w14:paraId="25C7C1D5" w14:textId="34245685" w:rsidR="003B6BD9" w:rsidRDefault="009E25E8">
            <w:pPr>
              <w:pStyle w:val="P68B1DB1-Normal7"/>
              <w:spacing w:before="0" w:after="0" w:line="240" w:lineRule="auto"/>
              <w:rPr>
                <w:rFonts w:eastAsia="Times New Roman"/>
                <w:noProof/>
              </w:rPr>
            </w:pPr>
            <w:r>
              <w:rPr>
                <w:noProof/>
              </w:rPr>
              <w:t>Établissements d’enseignement supplémentaires ayant des connexions optiques supérieures à 1 Gbps</w:t>
            </w:r>
          </w:p>
        </w:tc>
        <w:tc>
          <w:tcPr>
            <w:tcW w:w="1440" w:type="dxa"/>
            <w:shd w:val="clear" w:color="auto" w:fill="C6EFCE"/>
            <w:noWrap/>
          </w:tcPr>
          <w:p w14:paraId="7B63D4E1" w14:textId="7118063A" w:rsidR="003B6BD9" w:rsidRDefault="009E25E8">
            <w:pPr>
              <w:pStyle w:val="P68B1DB1-Normal7"/>
              <w:spacing w:before="0" w:after="0" w:line="240" w:lineRule="auto"/>
              <w:rPr>
                <w:rFonts w:eastAsia="Times New Roman"/>
                <w:noProof/>
              </w:rPr>
            </w:pPr>
            <w:r>
              <w:rPr>
                <w:noProof/>
              </w:rPr>
              <w:t> </w:t>
            </w:r>
          </w:p>
        </w:tc>
        <w:tc>
          <w:tcPr>
            <w:tcW w:w="1200" w:type="dxa"/>
            <w:shd w:val="clear" w:color="auto" w:fill="C6EFCE"/>
            <w:noWrap/>
          </w:tcPr>
          <w:p w14:paraId="3FEAA709" w14:textId="41B3DE13" w:rsidR="003B6BD9" w:rsidRDefault="009E25E8">
            <w:pPr>
              <w:pStyle w:val="P68B1DB1-Normal7"/>
              <w:spacing w:before="0" w:after="0" w:line="240" w:lineRule="auto"/>
              <w:rPr>
                <w:rFonts w:eastAsia="Times New Roman"/>
                <w:noProof/>
              </w:rPr>
            </w:pPr>
            <w:r>
              <w:rPr>
                <w:noProof/>
              </w:rPr>
              <w:t>Nombre</w:t>
            </w:r>
          </w:p>
        </w:tc>
        <w:tc>
          <w:tcPr>
            <w:tcW w:w="960" w:type="dxa"/>
            <w:shd w:val="clear" w:color="auto" w:fill="C6EFCE"/>
            <w:noWrap/>
          </w:tcPr>
          <w:p w14:paraId="2816E24E" w14:textId="2C5B543F" w:rsidR="003B6BD9" w:rsidRDefault="009E25E8">
            <w:pPr>
              <w:pStyle w:val="P68B1DB1-Normal7"/>
              <w:spacing w:before="0" w:after="0" w:line="240" w:lineRule="auto"/>
              <w:rPr>
                <w:rFonts w:eastAsia="Times New Roman"/>
                <w:noProof/>
              </w:rPr>
            </w:pPr>
            <w:r>
              <w:rPr>
                <w:noProof/>
              </w:rPr>
              <w:t>0</w:t>
            </w:r>
          </w:p>
        </w:tc>
        <w:tc>
          <w:tcPr>
            <w:tcW w:w="960" w:type="dxa"/>
            <w:shd w:val="clear" w:color="auto" w:fill="C6EFCE"/>
            <w:noWrap/>
          </w:tcPr>
          <w:p w14:paraId="10F4A29B" w14:textId="2AA04D8E" w:rsidR="003B6BD9" w:rsidRDefault="009E25E8">
            <w:pPr>
              <w:pStyle w:val="P68B1DB1-Normal7"/>
              <w:spacing w:before="0" w:after="0" w:line="240" w:lineRule="auto"/>
              <w:rPr>
                <w:rFonts w:eastAsia="Times New Roman"/>
                <w:noProof/>
              </w:rPr>
            </w:pPr>
            <w:r>
              <w:rPr>
                <w:noProof/>
              </w:rPr>
              <w:t>204</w:t>
            </w:r>
          </w:p>
        </w:tc>
        <w:tc>
          <w:tcPr>
            <w:tcW w:w="1080" w:type="dxa"/>
            <w:shd w:val="clear" w:color="auto" w:fill="C6EFCE"/>
            <w:noWrap/>
          </w:tcPr>
          <w:p w14:paraId="140EC6BD" w14:textId="62CC0A8A" w:rsidR="003B6BD9" w:rsidRDefault="009E25E8">
            <w:pPr>
              <w:pStyle w:val="P68B1DB1-Normal7"/>
              <w:spacing w:before="0" w:after="0" w:line="240" w:lineRule="auto"/>
              <w:rPr>
                <w:rFonts w:eastAsia="Times New Roman"/>
                <w:noProof/>
              </w:rPr>
            </w:pPr>
            <w:r>
              <w:rPr>
                <w:noProof/>
              </w:rPr>
              <w:t>T2</w:t>
            </w:r>
          </w:p>
        </w:tc>
        <w:tc>
          <w:tcPr>
            <w:tcW w:w="720" w:type="dxa"/>
            <w:shd w:val="clear" w:color="auto" w:fill="C6EFCE"/>
            <w:noWrap/>
          </w:tcPr>
          <w:p w14:paraId="15EAFD81" w14:textId="48BD34B0" w:rsidR="003B6BD9" w:rsidRDefault="009E25E8">
            <w:pPr>
              <w:pStyle w:val="P68B1DB1-Normal7"/>
              <w:spacing w:before="0" w:after="0" w:line="240" w:lineRule="auto"/>
              <w:rPr>
                <w:rFonts w:eastAsia="Times New Roman"/>
                <w:noProof/>
              </w:rPr>
            </w:pPr>
            <w:r>
              <w:rPr>
                <w:noProof/>
              </w:rPr>
              <w:t>2024</w:t>
            </w:r>
          </w:p>
        </w:tc>
        <w:tc>
          <w:tcPr>
            <w:tcW w:w="3567" w:type="dxa"/>
            <w:shd w:val="clear" w:color="auto" w:fill="C6EFCE"/>
            <w:noWrap/>
          </w:tcPr>
          <w:p w14:paraId="730C0438" w14:textId="13B2B438" w:rsidR="003B6BD9" w:rsidRDefault="009E25E8">
            <w:pPr>
              <w:pStyle w:val="P68B1DB1-Normal7"/>
              <w:spacing w:before="0" w:after="0" w:line="240" w:lineRule="auto"/>
              <w:rPr>
                <w:rFonts w:eastAsia="Times New Roman"/>
                <w:noProof/>
              </w:rPr>
            </w:pPr>
            <w:r>
              <w:rPr>
                <w:noProof/>
              </w:rPr>
              <w:t>204 les établissements d’enseignement primaire et secondaire ainsi que les organisations d’éducation des adultes sont connectés à des connexions optiques supérieures à 1 Gbps. Cela devrait couvrir environ 18 % des établissements d’enseignement existants dans le pays, et environ 35 000 élèves. Les types d’établissements d’enseignement suivants sont couverts par l’investissement: écoles primaires, écoles secondaires, établissements pour enfants et jeunes ayant des besoins particuliers, dortoirs étudiants et organisations d’éducation des adultes.</w:t>
            </w:r>
          </w:p>
        </w:tc>
      </w:tr>
      <w:tr w:rsidR="003B6BD9" w14:paraId="50FEC290" w14:textId="77777777" w:rsidTr="00AC1D11">
        <w:trPr>
          <w:trHeight w:val="309"/>
          <w:jc w:val="center"/>
        </w:trPr>
        <w:tc>
          <w:tcPr>
            <w:tcW w:w="955" w:type="dxa"/>
            <w:shd w:val="clear" w:color="auto" w:fill="C6EFCE"/>
            <w:noWrap/>
          </w:tcPr>
          <w:p w14:paraId="5942A47F" w14:textId="62B20988" w:rsidR="003B6BD9" w:rsidRDefault="009E25E8">
            <w:pPr>
              <w:pStyle w:val="P68B1DB1-Normal7"/>
              <w:spacing w:before="0" w:after="0" w:line="240" w:lineRule="auto"/>
              <w:rPr>
                <w:rFonts w:eastAsia="Times New Roman"/>
                <w:noProof/>
              </w:rPr>
            </w:pPr>
            <w:r>
              <w:rPr>
                <w:noProof/>
              </w:rPr>
              <w:t>107</w:t>
            </w:r>
          </w:p>
        </w:tc>
        <w:tc>
          <w:tcPr>
            <w:tcW w:w="1800" w:type="dxa"/>
            <w:shd w:val="clear" w:color="auto" w:fill="C6EFCE"/>
            <w:noWrap/>
          </w:tcPr>
          <w:p w14:paraId="6CAD7AEB" w14:textId="22E19F30" w:rsidR="003B6BD9" w:rsidRDefault="009E25E8">
            <w:pPr>
              <w:pStyle w:val="P68B1DB1-Normal7"/>
              <w:spacing w:before="0" w:after="0" w:line="240" w:lineRule="auto"/>
              <w:rPr>
                <w:rFonts w:eastAsia="Times New Roman"/>
                <w:noProof/>
              </w:rPr>
            </w:pPr>
            <w:r>
              <w:rPr>
                <w:noProof/>
              </w:rPr>
              <w:t xml:space="preserve">J: Numérisation de l’éducation et des sciences </w:t>
            </w:r>
          </w:p>
        </w:tc>
        <w:tc>
          <w:tcPr>
            <w:tcW w:w="1080" w:type="dxa"/>
            <w:shd w:val="clear" w:color="auto" w:fill="C6EFCE"/>
            <w:noWrap/>
          </w:tcPr>
          <w:p w14:paraId="565180F5" w14:textId="0CA6080D" w:rsidR="003B6BD9" w:rsidRDefault="009E25E8">
            <w:pPr>
              <w:pStyle w:val="P68B1DB1-Normal7"/>
              <w:spacing w:before="0" w:after="0" w:line="240" w:lineRule="auto"/>
              <w:rPr>
                <w:rFonts w:eastAsia="Times New Roman"/>
                <w:noProof/>
              </w:rPr>
            </w:pPr>
            <w:r>
              <w:rPr>
                <w:noProof/>
              </w:rPr>
              <w:t>Cible</w:t>
            </w:r>
          </w:p>
        </w:tc>
        <w:tc>
          <w:tcPr>
            <w:tcW w:w="1560" w:type="dxa"/>
            <w:shd w:val="clear" w:color="auto" w:fill="C6EFCE"/>
            <w:noWrap/>
          </w:tcPr>
          <w:p w14:paraId="0FCD0CF3" w14:textId="588F8CEC" w:rsidR="003B6BD9" w:rsidRDefault="009E25E8">
            <w:pPr>
              <w:pStyle w:val="P68B1DB1-Normal7"/>
              <w:spacing w:before="0" w:after="0" w:line="240" w:lineRule="auto"/>
              <w:rPr>
                <w:rFonts w:eastAsia="Times New Roman"/>
                <w:noProof/>
              </w:rPr>
            </w:pPr>
            <w:r>
              <w:rPr>
                <w:noProof/>
              </w:rPr>
              <w:t>Connexions optiques dorsales supplémentaires de 100 Gbps</w:t>
            </w:r>
          </w:p>
        </w:tc>
        <w:tc>
          <w:tcPr>
            <w:tcW w:w="1440" w:type="dxa"/>
            <w:shd w:val="clear" w:color="auto" w:fill="C6EFCE"/>
            <w:noWrap/>
          </w:tcPr>
          <w:p w14:paraId="487686DE" w14:textId="161E2E67" w:rsidR="003B6BD9" w:rsidRDefault="009E25E8">
            <w:pPr>
              <w:pStyle w:val="P68B1DB1-Normal7"/>
              <w:spacing w:before="0" w:after="0" w:line="240" w:lineRule="auto"/>
              <w:rPr>
                <w:rFonts w:eastAsia="Times New Roman"/>
                <w:noProof/>
              </w:rPr>
            </w:pPr>
            <w:r>
              <w:rPr>
                <w:noProof/>
              </w:rPr>
              <w:t> </w:t>
            </w:r>
          </w:p>
        </w:tc>
        <w:tc>
          <w:tcPr>
            <w:tcW w:w="1200" w:type="dxa"/>
            <w:shd w:val="clear" w:color="auto" w:fill="C6EFCE"/>
            <w:noWrap/>
          </w:tcPr>
          <w:p w14:paraId="0620BC28" w14:textId="1EE6D1C7" w:rsidR="003B6BD9" w:rsidRDefault="009E25E8">
            <w:pPr>
              <w:pStyle w:val="P68B1DB1-Normal7"/>
              <w:spacing w:before="0" w:after="0" w:line="240" w:lineRule="auto"/>
              <w:rPr>
                <w:rFonts w:eastAsia="Times New Roman"/>
                <w:noProof/>
              </w:rPr>
            </w:pPr>
            <w:r>
              <w:rPr>
                <w:noProof/>
              </w:rPr>
              <w:t>Nombre</w:t>
            </w:r>
          </w:p>
        </w:tc>
        <w:tc>
          <w:tcPr>
            <w:tcW w:w="960" w:type="dxa"/>
            <w:shd w:val="clear" w:color="auto" w:fill="C6EFCE"/>
            <w:noWrap/>
          </w:tcPr>
          <w:p w14:paraId="30DF0547" w14:textId="180A8727" w:rsidR="003B6BD9" w:rsidRDefault="009E25E8">
            <w:pPr>
              <w:pStyle w:val="P68B1DB1-Normal7"/>
              <w:spacing w:before="0" w:after="0" w:line="240" w:lineRule="auto"/>
              <w:rPr>
                <w:rFonts w:eastAsia="Times New Roman"/>
                <w:noProof/>
              </w:rPr>
            </w:pPr>
            <w:r>
              <w:rPr>
                <w:noProof/>
              </w:rPr>
              <w:t>0</w:t>
            </w:r>
          </w:p>
        </w:tc>
        <w:tc>
          <w:tcPr>
            <w:tcW w:w="960" w:type="dxa"/>
            <w:shd w:val="clear" w:color="auto" w:fill="C6EFCE"/>
            <w:noWrap/>
          </w:tcPr>
          <w:p w14:paraId="76DA37DA" w14:textId="66EF9E0F" w:rsidR="003B6BD9" w:rsidRDefault="009E25E8">
            <w:pPr>
              <w:pStyle w:val="P68B1DB1-Normal7"/>
              <w:spacing w:before="0" w:after="0" w:line="240" w:lineRule="auto"/>
              <w:rPr>
                <w:rFonts w:eastAsia="Times New Roman"/>
                <w:noProof/>
              </w:rPr>
            </w:pPr>
            <w:r>
              <w:rPr>
                <w:noProof/>
              </w:rPr>
              <w:t>40</w:t>
            </w:r>
          </w:p>
        </w:tc>
        <w:tc>
          <w:tcPr>
            <w:tcW w:w="1080" w:type="dxa"/>
            <w:shd w:val="clear" w:color="auto" w:fill="C6EFCE"/>
            <w:noWrap/>
          </w:tcPr>
          <w:p w14:paraId="2C9D95D7" w14:textId="118F9CD0" w:rsidR="003B6BD9" w:rsidRDefault="009E25E8">
            <w:pPr>
              <w:pStyle w:val="P68B1DB1-Normal7"/>
              <w:spacing w:before="0" w:after="0" w:line="240" w:lineRule="auto"/>
              <w:rPr>
                <w:rFonts w:eastAsia="Times New Roman"/>
                <w:noProof/>
              </w:rPr>
            </w:pPr>
            <w:r>
              <w:rPr>
                <w:noProof/>
              </w:rPr>
              <w:t>T4</w:t>
            </w:r>
          </w:p>
        </w:tc>
        <w:tc>
          <w:tcPr>
            <w:tcW w:w="720" w:type="dxa"/>
            <w:shd w:val="clear" w:color="auto" w:fill="C6EFCE"/>
            <w:noWrap/>
          </w:tcPr>
          <w:p w14:paraId="348A2575" w14:textId="4D7F989A" w:rsidR="003B6BD9" w:rsidRDefault="009E25E8">
            <w:pPr>
              <w:pStyle w:val="P68B1DB1-Normal7"/>
              <w:spacing w:before="0" w:after="0" w:line="240" w:lineRule="auto"/>
              <w:rPr>
                <w:rFonts w:eastAsia="Times New Roman"/>
                <w:noProof/>
              </w:rPr>
            </w:pPr>
            <w:r>
              <w:rPr>
                <w:noProof/>
              </w:rPr>
              <w:t>2023</w:t>
            </w:r>
          </w:p>
        </w:tc>
        <w:tc>
          <w:tcPr>
            <w:tcW w:w="3567" w:type="dxa"/>
            <w:shd w:val="clear" w:color="auto" w:fill="C6EFCE"/>
            <w:noWrap/>
          </w:tcPr>
          <w:p w14:paraId="330E18E6" w14:textId="4F00AE09" w:rsidR="003B6BD9" w:rsidRDefault="009E25E8">
            <w:pPr>
              <w:pStyle w:val="P68B1DB1-Normal7"/>
              <w:spacing w:before="0" w:after="0" w:line="256" w:lineRule="auto"/>
              <w:rPr>
                <w:rFonts w:eastAsia="Times New Roman"/>
                <w:noProof/>
              </w:rPr>
            </w:pPr>
            <w:r>
              <w:rPr>
                <w:noProof/>
              </w:rPr>
              <w:t xml:space="preserve">Les connexions optiques dorsales relient les nœuds de données des instituts publics du réseau universitaire et de recherche de Slovénie. </w:t>
            </w:r>
          </w:p>
          <w:p w14:paraId="32CBD6DE" w14:textId="4A3C747D" w:rsidR="003B6BD9" w:rsidRDefault="009E25E8">
            <w:pPr>
              <w:pStyle w:val="P68B1DB1-Normal7"/>
              <w:keepNext/>
              <w:spacing w:before="0" w:after="0" w:line="240" w:lineRule="auto"/>
              <w:rPr>
                <w:rFonts w:eastAsia="Times New Roman"/>
                <w:noProof/>
              </w:rPr>
            </w:pPr>
            <w:r>
              <w:rPr>
                <w:noProof/>
              </w:rPr>
              <w:t>Au moins 40 connexions optiques longue distance de 100 Gbps doivent être déployées en permanence, ce qui devrait couvrir au moins 75 % de l’ensemble des connexions entre les instituts publics.</w:t>
            </w:r>
          </w:p>
        </w:tc>
      </w:tr>
      <w:tr w:rsidR="003B6BD9" w14:paraId="753CF072" w14:textId="77777777" w:rsidTr="00AC1D11">
        <w:trPr>
          <w:trHeight w:val="309"/>
          <w:jc w:val="center"/>
        </w:trPr>
        <w:tc>
          <w:tcPr>
            <w:tcW w:w="955" w:type="dxa"/>
            <w:shd w:val="clear" w:color="auto" w:fill="C6EFCE"/>
            <w:noWrap/>
          </w:tcPr>
          <w:p w14:paraId="244658F4" w14:textId="3C5E1DA7" w:rsidR="003B6BD9" w:rsidRDefault="009E25E8">
            <w:pPr>
              <w:pStyle w:val="P68B1DB1-Normal7"/>
              <w:spacing w:before="0" w:after="0" w:line="240" w:lineRule="auto"/>
              <w:rPr>
                <w:rFonts w:eastAsia="Times New Roman"/>
                <w:noProof/>
              </w:rPr>
            </w:pPr>
            <w:r>
              <w:rPr>
                <w:noProof/>
              </w:rPr>
              <w:t>108</w:t>
            </w:r>
          </w:p>
        </w:tc>
        <w:tc>
          <w:tcPr>
            <w:tcW w:w="1800" w:type="dxa"/>
            <w:shd w:val="clear" w:color="auto" w:fill="C6EFCE"/>
            <w:noWrap/>
          </w:tcPr>
          <w:p w14:paraId="39CF48B4" w14:textId="70C8B5CD" w:rsidR="003B6BD9" w:rsidRDefault="009E25E8">
            <w:pPr>
              <w:pStyle w:val="P68B1DB1-Normal7"/>
              <w:spacing w:before="0" w:after="0" w:line="240" w:lineRule="auto"/>
              <w:rPr>
                <w:rFonts w:eastAsia="Times New Roman"/>
                <w:noProof/>
              </w:rPr>
            </w:pPr>
            <w:r>
              <w:rPr>
                <w:noProof/>
              </w:rPr>
              <w:t xml:space="preserve">J: Numérisation de l’éducation et des sciences </w:t>
            </w:r>
          </w:p>
        </w:tc>
        <w:tc>
          <w:tcPr>
            <w:tcW w:w="1080" w:type="dxa"/>
            <w:shd w:val="clear" w:color="auto" w:fill="C6EFCE"/>
            <w:noWrap/>
          </w:tcPr>
          <w:p w14:paraId="602506D8" w14:textId="4263EE4F" w:rsidR="003B6BD9" w:rsidRDefault="009E25E8">
            <w:pPr>
              <w:pStyle w:val="P68B1DB1-Normal7"/>
              <w:spacing w:before="0" w:after="0" w:line="240" w:lineRule="auto"/>
              <w:rPr>
                <w:rFonts w:eastAsia="Times New Roman"/>
                <w:noProof/>
              </w:rPr>
            </w:pPr>
            <w:r>
              <w:rPr>
                <w:noProof/>
              </w:rPr>
              <w:t>Cible</w:t>
            </w:r>
          </w:p>
        </w:tc>
        <w:tc>
          <w:tcPr>
            <w:tcW w:w="1560" w:type="dxa"/>
            <w:shd w:val="clear" w:color="auto" w:fill="C6EFCE"/>
            <w:noWrap/>
          </w:tcPr>
          <w:p w14:paraId="07846410" w14:textId="2BF761CB" w:rsidR="003B6BD9" w:rsidRDefault="009E25E8">
            <w:pPr>
              <w:pStyle w:val="P68B1DB1-Normal7"/>
              <w:spacing w:before="0" w:after="0" w:line="240" w:lineRule="auto"/>
              <w:rPr>
                <w:noProof/>
              </w:rPr>
            </w:pPr>
            <w:r>
              <w:rPr>
                <w:noProof/>
              </w:rPr>
              <w:t>Demandes dans le domaine de l’éducation</w:t>
            </w:r>
          </w:p>
        </w:tc>
        <w:tc>
          <w:tcPr>
            <w:tcW w:w="1440" w:type="dxa"/>
            <w:shd w:val="clear" w:color="auto" w:fill="C6EFCE"/>
            <w:noWrap/>
          </w:tcPr>
          <w:p w14:paraId="7CFF7A3F" w14:textId="77777777" w:rsidR="003B6BD9" w:rsidRDefault="003B6BD9">
            <w:pPr>
              <w:spacing w:before="0" w:after="0" w:line="240" w:lineRule="auto"/>
              <w:rPr>
                <w:rFonts w:eastAsia="Times New Roman"/>
                <w:noProof/>
                <w:color w:val="006100"/>
                <w:sz w:val="18"/>
                <w:szCs w:val="18"/>
              </w:rPr>
            </w:pPr>
          </w:p>
        </w:tc>
        <w:tc>
          <w:tcPr>
            <w:tcW w:w="1200" w:type="dxa"/>
            <w:shd w:val="clear" w:color="auto" w:fill="C6EFCE"/>
            <w:noWrap/>
          </w:tcPr>
          <w:p w14:paraId="7001CB2E" w14:textId="1701F6B9" w:rsidR="003B6BD9" w:rsidRDefault="009E25E8">
            <w:pPr>
              <w:pStyle w:val="P68B1DB1-Normal7"/>
              <w:spacing w:before="0" w:after="0" w:line="240" w:lineRule="auto"/>
              <w:rPr>
                <w:rFonts w:eastAsia="Times New Roman"/>
                <w:noProof/>
              </w:rPr>
            </w:pPr>
            <w:r>
              <w:rPr>
                <w:noProof/>
              </w:rPr>
              <w:t>Nombre</w:t>
            </w:r>
          </w:p>
        </w:tc>
        <w:tc>
          <w:tcPr>
            <w:tcW w:w="960" w:type="dxa"/>
            <w:shd w:val="clear" w:color="auto" w:fill="C6EFCE"/>
            <w:noWrap/>
          </w:tcPr>
          <w:p w14:paraId="0FDC8D23" w14:textId="4162CC55" w:rsidR="003B6BD9" w:rsidRDefault="009E25E8">
            <w:pPr>
              <w:pStyle w:val="P68B1DB1-Normal7"/>
              <w:spacing w:before="0" w:after="0" w:line="240" w:lineRule="auto"/>
              <w:rPr>
                <w:rFonts w:eastAsia="Times New Roman"/>
                <w:noProof/>
              </w:rPr>
            </w:pPr>
            <w:r>
              <w:rPr>
                <w:noProof/>
              </w:rPr>
              <w:t>0</w:t>
            </w:r>
          </w:p>
        </w:tc>
        <w:tc>
          <w:tcPr>
            <w:tcW w:w="960" w:type="dxa"/>
            <w:shd w:val="clear" w:color="auto" w:fill="C6EFCE"/>
            <w:noWrap/>
          </w:tcPr>
          <w:p w14:paraId="1B1F4112" w14:textId="3945A4FF" w:rsidR="003B6BD9" w:rsidRDefault="009E25E8">
            <w:pPr>
              <w:pStyle w:val="P68B1DB1-Normal7"/>
              <w:spacing w:before="0" w:after="0" w:line="240" w:lineRule="auto"/>
              <w:rPr>
                <w:rFonts w:eastAsia="Times New Roman"/>
                <w:noProof/>
              </w:rPr>
            </w:pPr>
            <w:r>
              <w:rPr>
                <w:noProof/>
              </w:rPr>
              <w:t>11</w:t>
            </w:r>
          </w:p>
        </w:tc>
        <w:tc>
          <w:tcPr>
            <w:tcW w:w="1080" w:type="dxa"/>
            <w:shd w:val="clear" w:color="auto" w:fill="C6EFCE"/>
            <w:noWrap/>
          </w:tcPr>
          <w:p w14:paraId="191022B6" w14:textId="4C6F6609" w:rsidR="003B6BD9" w:rsidRDefault="009E25E8">
            <w:pPr>
              <w:pStyle w:val="P68B1DB1-Normal7"/>
              <w:spacing w:before="0" w:after="0" w:line="240" w:lineRule="auto"/>
              <w:rPr>
                <w:rFonts w:eastAsia="Times New Roman"/>
                <w:noProof/>
              </w:rPr>
            </w:pPr>
            <w:r>
              <w:rPr>
                <w:noProof/>
              </w:rPr>
              <w:t>T2</w:t>
            </w:r>
          </w:p>
        </w:tc>
        <w:tc>
          <w:tcPr>
            <w:tcW w:w="720" w:type="dxa"/>
            <w:shd w:val="clear" w:color="auto" w:fill="C6EFCE"/>
            <w:noWrap/>
          </w:tcPr>
          <w:p w14:paraId="1B106B6C" w14:textId="68AA576F" w:rsidR="003B6BD9" w:rsidRDefault="009E25E8">
            <w:pPr>
              <w:pStyle w:val="P68B1DB1-Normal7"/>
              <w:spacing w:before="0" w:after="0" w:line="240" w:lineRule="auto"/>
              <w:rPr>
                <w:rFonts w:eastAsia="Times New Roman"/>
                <w:noProof/>
              </w:rPr>
            </w:pPr>
            <w:r>
              <w:rPr>
                <w:noProof/>
              </w:rPr>
              <w:t>2026</w:t>
            </w:r>
          </w:p>
        </w:tc>
        <w:tc>
          <w:tcPr>
            <w:tcW w:w="3567" w:type="dxa"/>
            <w:shd w:val="clear" w:color="auto" w:fill="C6EFCE"/>
            <w:noWrap/>
          </w:tcPr>
          <w:p w14:paraId="5FF5D6C3" w14:textId="5F57ED1B" w:rsidR="003B6BD9" w:rsidRDefault="009E25E8">
            <w:pPr>
              <w:pStyle w:val="P68B1DB1-Normal7"/>
              <w:spacing w:before="0" w:after="0" w:line="256" w:lineRule="auto"/>
              <w:rPr>
                <w:rFonts w:eastAsia="Times New Roman"/>
                <w:noProof/>
              </w:rPr>
            </w:pPr>
            <w:r>
              <w:rPr>
                <w:noProof/>
              </w:rPr>
              <w:t>Des rapports de transfert signés par le contractant et le pouvoir adjudicateur pour les demandes ou pour d’autres services en ligne liés au système éducatif seront établis.</w:t>
            </w:r>
          </w:p>
        </w:tc>
      </w:tr>
      <w:tr w:rsidR="003B6BD9" w14:paraId="32DDC11F" w14:textId="77777777" w:rsidTr="00AC1D11">
        <w:trPr>
          <w:trHeight w:val="309"/>
          <w:jc w:val="center"/>
        </w:trPr>
        <w:tc>
          <w:tcPr>
            <w:tcW w:w="955" w:type="dxa"/>
            <w:shd w:val="clear" w:color="auto" w:fill="C6EFCE"/>
            <w:noWrap/>
          </w:tcPr>
          <w:p w14:paraId="10374868" w14:textId="085BC696" w:rsidR="003B6BD9" w:rsidRDefault="009E25E8">
            <w:pPr>
              <w:pStyle w:val="P68B1DB1-Normal7"/>
              <w:spacing w:before="0" w:after="0" w:line="240" w:lineRule="auto"/>
              <w:rPr>
                <w:rFonts w:eastAsia="Times New Roman"/>
                <w:noProof/>
              </w:rPr>
            </w:pPr>
            <w:r>
              <w:rPr>
                <w:noProof/>
              </w:rPr>
              <w:t>109</w:t>
            </w:r>
          </w:p>
        </w:tc>
        <w:tc>
          <w:tcPr>
            <w:tcW w:w="1800" w:type="dxa"/>
            <w:shd w:val="clear" w:color="auto" w:fill="C6EFCE"/>
            <w:noWrap/>
          </w:tcPr>
          <w:p w14:paraId="33E18257" w14:textId="7CD31C45" w:rsidR="003B6BD9" w:rsidRDefault="009E25E8">
            <w:pPr>
              <w:pStyle w:val="P68B1DB1-Normal7"/>
              <w:spacing w:before="0" w:after="0" w:line="240" w:lineRule="auto"/>
              <w:rPr>
                <w:rFonts w:eastAsia="Times New Roman"/>
                <w:noProof/>
              </w:rPr>
            </w:pPr>
            <w:r>
              <w:rPr>
                <w:noProof/>
              </w:rPr>
              <w:t>M: Numérisation dans le domaine de la culture</w:t>
            </w:r>
          </w:p>
        </w:tc>
        <w:tc>
          <w:tcPr>
            <w:tcW w:w="1080" w:type="dxa"/>
            <w:shd w:val="clear" w:color="auto" w:fill="C6EFCE"/>
            <w:noWrap/>
          </w:tcPr>
          <w:p w14:paraId="6D522529" w14:textId="3DDAA8A0" w:rsidR="003B6BD9" w:rsidRDefault="009E25E8">
            <w:pPr>
              <w:pStyle w:val="P68B1DB1-Normal7"/>
              <w:spacing w:before="0" w:after="0" w:line="240" w:lineRule="auto"/>
              <w:rPr>
                <w:rFonts w:eastAsia="Times New Roman"/>
                <w:noProof/>
              </w:rPr>
            </w:pPr>
            <w:r>
              <w:rPr>
                <w:noProof/>
              </w:rPr>
              <w:t>Cible</w:t>
            </w:r>
          </w:p>
        </w:tc>
        <w:tc>
          <w:tcPr>
            <w:tcW w:w="1560" w:type="dxa"/>
            <w:shd w:val="clear" w:color="auto" w:fill="C6EFCE"/>
            <w:noWrap/>
          </w:tcPr>
          <w:p w14:paraId="036882C5" w14:textId="7C56A8DC" w:rsidR="003B6BD9" w:rsidRDefault="009E25E8">
            <w:pPr>
              <w:pStyle w:val="P68B1DB1-Normal7"/>
              <w:spacing w:before="0" w:after="0" w:line="240" w:lineRule="auto"/>
              <w:rPr>
                <w:rFonts w:eastAsia="Times New Roman"/>
                <w:noProof/>
              </w:rPr>
            </w:pPr>
            <w:r>
              <w:rPr>
                <w:noProof/>
              </w:rPr>
              <w:t>Services en ligne dans le domaine de la culture</w:t>
            </w:r>
          </w:p>
        </w:tc>
        <w:tc>
          <w:tcPr>
            <w:tcW w:w="1440" w:type="dxa"/>
            <w:shd w:val="clear" w:color="auto" w:fill="C6EFCE"/>
            <w:noWrap/>
          </w:tcPr>
          <w:p w14:paraId="5B6D7032" w14:textId="43783CF9" w:rsidR="003B6BD9" w:rsidRDefault="009E25E8">
            <w:pPr>
              <w:pStyle w:val="P68B1DB1-Normal7"/>
              <w:spacing w:before="0" w:after="0" w:line="240" w:lineRule="auto"/>
              <w:rPr>
                <w:rFonts w:eastAsia="Times New Roman"/>
                <w:noProof/>
              </w:rPr>
            </w:pPr>
            <w:r>
              <w:rPr>
                <w:noProof/>
              </w:rPr>
              <w:t> </w:t>
            </w:r>
          </w:p>
        </w:tc>
        <w:tc>
          <w:tcPr>
            <w:tcW w:w="1200" w:type="dxa"/>
            <w:shd w:val="clear" w:color="auto" w:fill="C6EFCE"/>
            <w:noWrap/>
          </w:tcPr>
          <w:p w14:paraId="10760396" w14:textId="76C80594" w:rsidR="003B6BD9" w:rsidRDefault="009E25E8">
            <w:pPr>
              <w:pStyle w:val="P68B1DB1-Normal7"/>
              <w:spacing w:before="0" w:after="0" w:line="240" w:lineRule="auto"/>
              <w:rPr>
                <w:rFonts w:eastAsia="Times New Roman"/>
                <w:noProof/>
              </w:rPr>
            </w:pPr>
            <w:r>
              <w:rPr>
                <w:noProof/>
              </w:rPr>
              <w:t>Nombre</w:t>
            </w:r>
          </w:p>
        </w:tc>
        <w:tc>
          <w:tcPr>
            <w:tcW w:w="960" w:type="dxa"/>
            <w:shd w:val="clear" w:color="auto" w:fill="C6EFCE"/>
            <w:noWrap/>
          </w:tcPr>
          <w:p w14:paraId="1A7447AB" w14:textId="728AF8E5" w:rsidR="003B6BD9" w:rsidRDefault="009E25E8">
            <w:pPr>
              <w:pStyle w:val="P68B1DB1-Normal7"/>
              <w:spacing w:before="0" w:after="0" w:line="240" w:lineRule="auto"/>
              <w:rPr>
                <w:rFonts w:eastAsia="Times New Roman"/>
                <w:noProof/>
              </w:rPr>
            </w:pPr>
            <w:r>
              <w:rPr>
                <w:noProof/>
              </w:rPr>
              <w:t>0</w:t>
            </w:r>
          </w:p>
        </w:tc>
        <w:tc>
          <w:tcPr>
            <w:tcW w:w="960" w:type="dxa"/>
            <w:shd w:val="clear" w:color="auto" w:fill="C6EFCE"/>
            <w:noWrap/>
          </w:tcPr>
          <w:p w14:paraId="79EE2B1B" w14:textId="02EB2B83" w:rsidR="003B6BD9" w:rsidRDefault="009E25E8">
            <w:pPr>
              <w:pStyle w:val="P68B1DB1-Normal7"/>
              <w:spacing w:before="0" w:after="0" w:line="240" w:lineRule="auto"/>
              <w:rPr>
                <w:rFonts w:eastAsia="Times New Roman"/>
                <w:noProof/>
              </w:rPr>
            </w:pPr>
            <w:r>
              <w:rPr>
                <w:noProof/>
              </w:rPr>
              <w:t>6</w:t>
            </w:r>
          </w:p>
        </w:tc>
        <w:tc>
          <w:tcPr>
            <w:tcW w:w="1080" w:type="dxa"/>
            <w:shd w:val="clear" w:color="auto" w:fill="C6EFCE"/>
            <w:noWrap/>
          </w:tcPr>
          <w:p w14:paraId="40F8AFA8" w14:textId="76C7021E" w:rsidR="003B6BD9" w:rsidRDefault="009E25E8">
            <w:pPr>
              <w:pStyle w:val="P68B1DB1-Normal7"/>
              <w:spacing w:before="0" w:after="0" w:line="240" w:lineRule="auto"/>
              <w:rPr>
                <w:rFonts w:eastAsia="Times New Roman"/>
                <w:noProof/>
              </w:rPr>
            </w:pPr>
            <w:r>
              <w:rPr>
                <w:noProof/>
              </w:rPr>
              <w:t>T2</w:t>
            </w:r>
          </w:p>
        </w:tc>
        <w:tc>
          <w:tcPr>
            <w:tcW w:w="720" w:type="dxa"/>
            <w:shd w:val="clear" w:color="auto" w:fill="C6EFCE"/>
            <w:noWrap/>
          </w:tcPr>
          <w:p w14:paraId="1F779BD2" w14:textId="4BA922FF" w:rsidR="003B6BD9" w:rsidRDefault="009E25E8">
            <w:pPr>
              <w:pStyle w:val="P68B1DB1-Normal7"/>
              <w:spacing w:before="0" w:after="0" w:line="240" w:lineRule="auto"/>
              <w:rPr>
                <w:rFonts w:eastAsia="Times New Roman"/>
                <w:noProof/>
              </w:rPr>
            </w:pPr>
            <w:r>
              <w:rPr>
                <w:noProof/>
              </w:rPr>
              <w:t>2026</w:t>
            </w:r>
          </w:p>
        </w:tc>
        <w:tc>
          <w:tcPr>
            <w:tcW w:w="3567" w:type="dxa"/>
            <w:shd w:val="clear" w:color="auto" w:fill="C6EFCE"/>
            <w:noWrap/>
          </w:tcPr>
          <w:p w14:paraId="4AA18E52" w14:textId="49B88FFA" w:rsidR="003B6BD9" w:rsidRDefault="009E25E8">
            <w:pPr>
              <w:pStyle w:val="P68B1DB1-Normal7"/>
              <w:spacing w:before="0" w:after="0" w:line="240" w:lineRule="auto"/>
              <w:rPr>
                <w:rFonts w:eastAsia="Times New Roman"/>
                <w:noProof/>
              </w:rPr>
            </w:pPr>
            <w:r>
              <w:rPr>
                <w:noProof/>
              </w:rPr>
              <w:t xml:space="preserve">Des rapports de remise signés par le contractant et le pouvoir adjudicateur pour des services électroniques, d’autres solutions électroniques, des infrastructures informatiques ou des équipements dans le domaine de la culture seront établis. </w:t>
            </w:r>
          </w:p>
        </w:tc>
      </w:tr>
    </w:tbl>
    <w:p w14:paraId="3138A7A8" w14:textId="77777777" w:rsidR="003B6BD9" w:rsidRDefault="003B6BD9">
      <w:pPr>
        <w:spacing w:before="0" w:line="240" w:lineRule="auto"/>
        <w:ind w:left="850"/>
        <w:jc w:val="both"/>
        <w:rPr>
          <w:b/>
          <w:noProof/>
          <w:u w:val="single"/>
        </w:rPr>
      </w:pPr>
    </w:p>
    <w:p w14:paraId="28BE181D" w14:textId="77777777" w:rsidR="003B6BD9" w:rsidRDefault="003B6BD9">
      <w:pPr>
        <w:spacing w:before="0" w:line="240" w:lineRule="auto"/>
        <w:jc w:val="both"/>
        <w:rPr>
          <w:b/>
          <w:noProof/>
          <w:u w:val="single"/>
        </w:rPr>
      </w:pPr>
    </w:p>
    <w:p w14:paraId="5308E2C1" w14:textId="77777777" w:rsidR="003B6BD9" w:rsidRDefault="003B6BD9">
      <w:pPr>
        <w:spacing w:before="0" w:after="0" w:line="240" w:lineRule="auto"/>
        <w:rPr>
          <w:noProof/>
        </w:rPr>
        <w:sectPr w:rsidR="003B6BD9" w:rsidSect="00073927">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26"/>
        </w:sectPr>
      </w:pPr>
    </w:p>
    <w:p w14:paraId="16EFDB4F" w14:textId="77777777" w:rsidR="003B6BD9" w:rsidRDefault="009E25E8">
      <w:pPr>
        <w:pStyle w:val="P68B1DB1-Normal3"/>
        <w:keepNext/>
        <w:tabs>
          <w:tab w:val="left" w:pos="850"/>
        </w:tabs>
        <w:spacing w:line="240" w:lineRule="auto"/>
        <w:jc w:val="both"/>
        <w:outlineLvl w:val="0"/>
        <w:rPr>
          <w:noProof/>
        </w:rPr>
      </w:pPr>
      <w:r>
        <w:rPr>
          <w:noProof/>
        </w:rPr>
        <w:t xml:space="preserve">H. VOLET 8: RDI — RECHERCHE, DÉVELOPPEMENT ET INNOVATION </w:t>
      </w:r>
    </w:p>
    <w:p w14:paraId="0ABD2D56" w14:textId="77777777" w:rsidR="003B6BD9" w:rsidRDefault="009E25E8">
      <w:pPr>
        <w:spacing w:line="240" w:lineRule="auto"/>
        <w:jc w:val="both"/>
        <w:rPr>
          <w:noProof/>
        </w:rPr>
      </w:pPr>
      <w:r>
        <w:rPr>
          <w:noProof/>
        </w:rPr>
        <w:t xml:space="preserve">Les performances de la Slovénie en matière de recherche et d’innovation restent sous-optimales. Le niveau des dépenses de recherche et d’innovation et leur efficacité restent modestes, ce qui limite les performances scientifiques et technologiques du pays. La contribution de la recherche et de l’innovation à la croissance de la productivité et à la compétitivité est donc limitée, y compris en ce qui concerne la transition numérique et écologique. </w:t>
      </w:r>
    </w:p>
    <w:p w14:paraId="1680E23C" w14:textId="77777777" w:rsidR="003B6BD9" w:rsidRDefault="009E25E8">
      <w:pPr>
        <w:spacing w:line="240" w:lineRule="auto"/>
        <w:jc w:val="both"/>
        <w:rPr>
          <w:noProof/>
        </w:rPr>
      </w:pPr>
      <w:r>
        <w:rPr>
          <w:noProof/>
        </w:rPr>
        <w:t>Les objectifs de ce volet du plan slovène pour la reprise et la résilience sont d’améliorer la gouvernance et la coordination de la politique de recherche et d’innovation, d’accroître le niveau des investissements publics et privés dans la recherche et le développement, ainsi que leur efficience et leur efficacité. Cela garantirait que la recherche, le développement et l’innovation (RDI) constituent un moteur essentiel de la productivité et de la croissance économique. Les mesures proposées garantiraient également que la recherche et l’innovation constituent un catalyseur essentiel des transitions numérique et écologique.</w:t>
      </w:r>
    </w:p>
    <w:p w14:paraId="6973CECB" w14:textId="77777777" w:rsidR="003B6BD9" w:rsidRDefault="009E25E8">
      <w:pPr>
        <w:spacing w:line="240" w:lineRule="auto"/>
        <w:jc w:val="both"/>
        <w:rPr>
          <w:noProof/>
        </w:rPr>
      </w:pPr>
      <w:r>
        <w:rPr>
          <w:noProof/>
        </w:rPr>
        <w:t>Ces investissements et réformes répondent aux recommandations par pays adressées à la Slovénie en 2019 pour «axer la politique économique axée sur les investissements sur la recherche et l’innovation» (recommandations par pays 3 et 2019) et en 2020 pour «axer les investissements sur [...] la recherche et l’innovation» (recommandations par pays 3 et 2020).</w:t>
      </w:r>
    </w:p>
    <w:p w14:paraId="1AD12807" w14:textId="77777777" w:rsidR="003B6BD9" w:rsidRDefault="009E25E8">
      <w:pPr>
        <w:spacing w:line="240" w:lineRule="auto"/>
        <w:jc w:val="both"/>
        <w:rPr>
          <w:noProof/>
        </w:rPr>
      </w:pPr>
      <w:r>
        <w:rPr>
          <w:noProof/>
        </w:rPr>
        <w:t>Dans sa recommandation de 2020, le Conseil notait que le ralentissement économique mettait en péril la RDI des entreprises et que, par conséquent, des investissements étaient nécessaires pour aider les petites et moyennes entreprises innovantes à accroître leur production. En outre, il est essentiel de renforcer les liens entre le monde universitaire et les entreprises pour réussir à transformer les connaissances en innovation, améliorer les performances du pays en matière de RDI, stimuler la croissance économique et soutenir le déploiement d’innovations essentielles aux transitions écologique et numérique.</w:t>
      </w:r>
    </w:p>
    <w:p w14:paraId="64F945B2" w14:textId="007FFA56" w:rsidR="003B6BD9" w:rsidRDefault="009E25E8">
      <w:pPr>
        <w:spacing w:line="240" w:lineRule="auto"/>
        <w:jc w:val="both"/>
        <w:rPr>
          <w:noProof/>
        </w:rPr>
      </w:pPr>
      <w:r>
        <w:rPr>
          <w:noProof/>
        </w:rPr>
        <w:t xml:space="preserve">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  </w:t>
      </w:r>
    </w:p>
    <w:p w14:paraId="49F39D7F" w14:textId="02AD79EB" w:rsidR="003B6BD9" w:rsidRDefault="009E25E8">
      <w:pPr>
        <w:pStyle w:val="P68B1DB1-Normal4"/>
        <w:spacing w:line="240" w:lineRule="auto"/>
        <w:jc w:val="both"/>
        <w:rPr>
          <w:i/>
          <w:noProof/>
          <w:color w:val="4F81BD"/>
        </w:rPr>
      </w:pPr>
      <w:r>
        <w:rPr>
          <w:noProof/>
        </w:rPr>
        <w:t>H.1. Description des réformes et des investissements pour le soutien financier non remboursable</w:t>
      </w:r>
    </w:p>
    <w:p w14:paraId="21EDF731" w14:textId="77777777" w:rsidR="003B6BD9" w:rsidRDefault="009E25E8">
      <w:pPr>
        <w:pStyle w:val="P68B1DB1-Normal5"/>
        <w:spacing w:line="240" w:lineRule="auto"/>
        <w:jc w:val="both"/>
        <w:rPr>
          <w:noProof/>
        </w:rPr>
      </w:pPr>
      <w:r>
        <w:rPr>
          <w:noProof/>
        </w:rPr>
        <w:t>Réforme A: Fonctionnement et gestion du système de RDI</w:t>
      </w:r>
    </w:p>
    <w:p w14:paraId="4130D56A" w14:textId="77777777" w:rsidR="003B6BD9" w:rsidRDefault="009E25E8">
      <w:pPr>
        <w:spacing w:line="240" w:lineRule="auto"/>
        <w:jc w:val="both"/>
        <w:rPr>
          <w:noProof/>
        </w:rPr>
      </w:pPr>
      <w:r>
        <w:rPr>
          <w:noProof/>
        </w:rPr>
        <w:t>Les objectifs de la réforme sont d’accroître l’efficience et l’efficacité des investissements publics dans la RDI, de créer un environnement de recherche et d’innovation compétitif et efficace et de stimuler les efforts de RDI en matière de transition écologique et numérique.</w:t>
      </w:r>
    </w:p>
    <w:p w14:paraId="09780958" w14:textId="77777777" w:rsidR="003B6BD9" w:rsidRDefault="009E25E8">
      <w:pPr>
        <w:spacing w:line="240" w:lineRule="auto"/>
        <w:jc w:val="both"/>
        <w:rPr>
          <w:noProof/>
        </w:rPr>
      </w:pPr>
      <w:r>
        <w:rPr>
          <w:noProof/>
        </w:rPr>
        <w:t>La réforme consiste en l’entrée en vigueur d’une nouvelle loi sur les activités de recherche, de développement et d’innovation; l’introduction d’un nouveau modèle de gouvernance et d’intégration de l’écosystème de la recherche et de l’innovation (y compris la création d’un comité mixte du programme); la mise en place d’un système commun de suivi et d’évaluation des politiques de RDI; le renforcement et l’autonomisation des deux agences exécutives de recherche; et le renforcement de l’environnement de soutien des entités et réseaux déjà établis aux niveaux national et international afin de promouvoir les flux de connaissances et la coopération entre les universités et les entreprises.</w:t>
      </w:r>
    </w:p>
    <w:p w14:paraId="5D0B3388" w14:textId="67B7AA1C" w:rsidR="003B6BD9" w:rsidRDefault="009E25E8">
      <w:pPr>
        <w:spacing w:line="240" w:lineRule="auto"/>
        <w:jc w:val="both"/>
        <w:rPr>
          <w:noProof/>
        </w:rPr>
      </w:pPr>
      <w:r>
        <w:rPr>
          <w:noProof/>
        </w:rPr>
        <w:t>Les étapes liées à la mise en œuvre de la réforme sont achevées au plus tard le 30 juin 2022.</w:t>
      </w:r>
    </w:p>
    <w:p w14:paraId="11C4DBF3" w14:textId="77777777" w:rsidR="003B6BD9" w:rsidRDefault="009E25E8">
      <w:pPr>
        <w:pStyle w:val="P68B1DB1-Normal5"/>
        <w:spacing w:line="240" w:lineRule="auto"/>
        <w:jc w:val="both"/>
        <w:rPr>
          <w:noProof/>
        </w:rPr>
      </w:pPr>
      <w:r>
        <w:rPr>
          <w:noProof/>
        </w:rPr>
        <w:t>Investissement B: Cofinancement de projets de recherche et d’innovation à l’appui de la transition écologique et de la numérisation</w:t>
      </w:r>
    </w:p>
    <w:p w14:paraId="3C82CF54" w14:textId="6AFA71F9" w:rsidR="003B6BD9" w:rsidRDefault="009E25E8">
      <w:pPr>
        <w:spacing w:line="240" w:lineRule="auto"/>
        <w:jc w:val="both"/>
        <w:rPr>
          <w:noProof/>
        </w:rPr>
      </w:pPr>
      <w:r>
        <w:rPr>
          <w:noProof/>
        </w:rPr>
        <w:t>L’objectif de l’investissement est de promouvoir une collaboration à plus long terme dans les domaines des transitions écologique et numérique</w:t>
      </w:r>
      <w:r>
        <w:rPr>
          <w:rFonts w:ascii="Segoe UI" w:hAnsi="Segoe UI" w:cs="Segoe UI"/>
          <w:noProof/>
          <w:sz w:val="18"/>
          <w:szCs w:val="18"/>
        </w:rPr>
        <w:t xml:space="preserve"> </w:t>
      </w:r>
      <w:r>
        <w:rPr>
          <w:noProof/>
        </w:rPr>
        <w:t xml:space="preserve">entre les entreprises participant à des activités liées à la recherche et au développement ou entre les organismes de recherche, les grandes entreprises ou les PME. </w:t>
      </w:r>
    </w:p>
    <w:p w14:paraId="453AEE2A" w14:textId="0BBE2C36" w:rsidR="003B6BD9" w:rsidRDefault="009E25E8">
      <w:pPr>
        <w:spacing w:line="240" w:lineRule="auto"/>
        <w:jc w:val="both"/>
        <w:rPr>
          <w:noProof/>
        </w:rPr>
      </w:pPr>
      <w:r>
        <w:rPr>
          <w:noProof/>
        </w:rPr>
        <w:t xml:space="preserve">L’investissement consiste à cofinancer des projets collaboratifs à tous les niveaux de développement technologique entre des organismes de recherche et des entreprises ou entre des entreprises participant à des activités liées à la recherche et au développement. </w:t>
      </w:r>
    </w:p>
    <w:p w14:paraId="7CFECCC5" w14:textId="32B5F780" w:rsidR="003B6BD9" w:rsidRDefault="009E25E8">
      <w:pPr>
        <w:pStyle w:val="P68B1DB1-Normal5"/>
        <w:spacing w:line="240" w:lineRule="auto"/>
        <w:jc w:val="both"/>
        <w:rPr>
          <w:noProof/>
        </w:rPr>
      </w:pPr>
      <w:r>
        <w:rPr>
          <w:noProof/>
        </w:rPr>
        <w:t>Investissement C: Cofinancement de projets visant à renforcer la mobilité internationale des chercheurs et des organismes de recherche slovènes et à promouvoir la participation internationale des candidats slovènes</w:t>
      </w:r>
    </w:p>
    <w:p w14:paraId="5602921C" w14:textId="77777777" w:rsidR="003B6BD9" w:rsidRDefault="009E25E8">
      <w:pPr>
        <w:spacing w:line="240" w:lineRule="auto"/>
        <w:jc w:val="both"/>
        <w:rPr>
          <w:noProof/>
        </w:rPr>
      </w:pPr>
      <w:r>
        <w:rPr>
          <w:noProof/>
        </w:rPr>
        <w:t>Les objectifs de l’investissement sont d’améliorer l’excellence scientifique, les capacités de recherche, le transfert et la circulation des connaissances par la promotion de la mobilité internationale et intersectorielle et la réintégration des chercheurs dans le paysage slovène de la RDI.</w:t>
      </w:r>
    </w:p>
    <w:p w14:paraId="3BAC0F6B" w14:textId="0336B3D4" w:rsidR="003B6BD9" w:rsidRDefault="009E25E8">
      <w:pPr>
        <w:spacing w:line="240" w:lineRule="auto"/>
        <w:jc w:val="both"/>
        <w:rPr>
          <w:noProof/>
        </w:rPr>
      </w:pPr>
      <w:r>
        <w:rPr>
          <w:noProof/>
        </w:rPr>
        <w:t xml:space="preserve">L’investissement consiste en un appel public comportant plusieurs possibilités de sélection et de financement de projets de mobilité et/ou de réintégration et de financement des coûts de mise en œuvre des activités de RDI et de renforcement des capacités pour l’acquisition et le transfert de connaissances vers le secteur slovène de la recherche, conformément aux actions Marie Skłodowska-Curie d’Horizon Europe. </w:t>
      </w:r>
    </w:p>
    <w:p w14:paraId="4F3AA5DA" w14:textId="09E4B555" w:rsidR="003B6BD9" w:rsidRDefault="009E25E8">
      <w:pPr>
        <w:pStyle w:val="P68B1DB1-Normal5"/>
        <w:spacing w:line="240" w:lineRule="auto"/>
        <w:jc w:val="both"/>
        <w:rPr>
          <w:noProof/>
        </w:rPr>
      </w:pPr>
      <w:r>
        <w:rPr>
          <w:noProof/>
        </w:rPr>
        <w:t>Investissement D: Cofinancement d’investissements dans des projets pilotes et de démonstration de RDI</w:t>
      </w:r>
    </w:p>
    <w:p w14:paraId="17F96FD1" w14:textId="098CD250" w:rsidR="003B6BD9" w:rsidRDefault="009E25E8">
      <w:pPr>
        <w:spacing w:line="240" w:lineRule="auto"/>
        <w:jc w:val="both"/>
        <w:rPr>
          <w:noProof/>
        </w:rPr>
      </w:pPr>
      <w:r>
        <w:rPr>
          <w:noProof/>
        </w:rPr>
        <w:t>Les objectifs de l’investissement sont d’améliorer les performances de la Slovénie en matière d’innovation en augmentant les investissements dans la RDI, de promouvoir le transfert de technologies et, partant, de renforcer l’écosystème d’innovation, et de favoriser les investissements entrepreneuriaux en faveur de la transition écologique, en particulier en ce qui concerne l’économie circulaire.</w:t>
      </w:r>
    </w:p>
    <w:p w14:paraId="574373AD" w14:textId="70B38E8D" w:rsidR="003B6BD9" w:rsidRDefault="009E25E8">
      <w:pPr>
        <w:spacing w:line="240" w:lineRule="auto"/>
        <w:jc w:val="both"/>
        <w:rPr>
          <w:noProof/>
        </w:rPr>
      </w:pPr>
      <w:r>
        <w:rPr>
          <w:noProof/>
        </w:rPr>
        <w:t>L’investissement consiste en un soutien à des projets émanant de consortiums d’entreprises et d’organismes de recherche ou d’entreprises participant à des activités liées à la recherche et au développement.</w:t>
      </w:r>
    </w:p>
    <w:p w14:paraId="75F91BFC" w14:textId="77777777" w:rsidR="003B6BD9" w:rsidRDefault="003B6BD9">
      <w:pPr>
        <w:spacing w:line="240" w:lineRule="auto"/>
        <w:jc w:val="both"/>
        <w:rPr>
          <w:noProof/>
        </w:rPr>
      </w:pPr>
    </w:p>
    <w:p w14:paraId="6C3E9286" w14:textId="77777777" w:rsidR="003B6BD9" w:rsidRDefault="003B6BD9">
      <w:pPr>
        <w:spacing w:line="240" w:lineRule="auto"/>
        <w:ind w:left="850"/>
        <w:jc w:val="both"/>
        <w:rPr>
          <w:noProof/>
          <w:u w:val="single"/>
        </w:rPr>
        <w:sectPr w:rsidR="003B6BD9" w:rsidSect="00073927">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26"/>
        </w:sectPr>
      </w:pPr>
    </w:p>
    <w:p w14:paraId="3CBDBDAB" w14:textId="48F05387" w:rsidR="003B6BD9" w:rsidRDefault="009E25E8">
      <w:pPr>
        <w:pStyle w:val="P68B1DB1-Normal4"/>
        <w:spacing w:line="240" w:lineRule="auto"/>
        <w:ind w:left="850"/>
        <w:jc w:val="both"/>
        <w:rPr>
          <w:noProof/>
        </w:rPr>
      </w:pPr>
      <w:r>
        <w:rPr>
          <w:noProof/>
        </w:rPr>
        <w:t>H.2. Jalons, cibles, indicateurs et calendrier de suivi et de mise en œuvre pour le soutien financier non remboursable</w:t>
      </w:r>
    </w:p>
    <w:tbl>
      <w:tblPr>
        <w:tblW w:w="15439" w:type="dxa"/>
        <w:jc w:val="center"/>
        <w:tblLayout w:type="fixed"/>
        <w:tblCellMar>
          <w:left w:w="57" w:type="dxa"/>
          <w:right w:w="57" w:type="dxa"/>
        </w:tblCellMar>
        <w:tblLook w:val="04A0" w:firstRow="1" w:lastRow="0" w:firstColumn="1" w:lastColumn="0" w:noHBand="0" w:noVBand="1"/>
      </w:tblPr>
      <w:tblGrid>
        <w:gridCol w:w="835"/>
        <w:gridCol w:w="1800"/>
        <w:gridCol w:w="1200"/>
        <w:gridCol w:w="1799"/>
        <w:gridCol w:w="2168"/>
        <w:gridCol w:w="990"/>
        <w:gridCol w:w="990"/>
        <w:gridCol w:w="720"/>
        <w:gridCol w:w="990"/>
        <w:gridCol w:w="630"/>
        <w:gridCol w:w="3317"/>
      </w:tblGrid>
      <w:tr w:rsidR="003B6BD9" w14:paraId="76FAA168" w14:textId="77777777" w:rsidTr="006C1AFD">
        <w:trPr>
          <w:trHeight w:val="300"/>
          <w:tblHeader/>
          <w:jc w:val="center"/>
        </w:trPr>
        <w:tc>
          <w:tcPr>
            <w:tcW w:w="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AE2039C" w14:textId="62F44EFB" w:rsidR="003B6BD9" w:rsidRDefault="009E25E8">
            <w:pPr>
              <w:pStyle w:val="P68B1DB1-Normal6"/>
              <w:spacing w:before="0" w:after="0" w:line="256" w:lineRule="auto"/>
              <w:jc w:val="center"/>
              <w:rPr>
                <w:rFonts w:eastAsia="Times New Roman"/>
                <w:noProof/>
                <w:color w:val="006100"/>
              </w:rPr>
            </w:pPr>
            <w:r>
              <w:rPr>
                <w:noProof/>
              </w:rPr>
              <w:t xml:space="preserve">Et suivants Non. </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B16405" w14:textId="77777777" w:rsidR="003B6BD9" w:rsidRDefault="009E25E8">
            <w:pPr>
              <w:pStyle w:val="P68B1DB1-Normal6"/>
              <w:spacing w:before="0" w:after="0" w:line="256" w:lineRule="auto"/>
              <w:jc w:val="center"/>
              <w:rPr>
                <w:rFonts w:eastAsia="Times New Roman"/>
                <w:noProof/>
              </w:rPr>
            </w:pPr>
            <w:r>
              <w:rPr>
                <w:noProof/>
              </w:rPr>
              <w:t>Mesure connexe (réforme ou investissement)</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F56E077" w14:textId="087B9F96" w:rsidR="003B6BD9" w:rsidRDefault="009E25E8">
            <w:pPr>
              <w:pStyle w:val="P68B1DB1-Normal6"/>
              <w:spacing w:before="0" w:after="0" w:line="256" w:lineRule="auto"/>
              <w:jc w:val="center"/>
              <w:rPr>
                <w:rFonts w:eastAsia="Times New Roman"/>
                <w:noProof/>
              </w:rPr>
            </w:pPr>
            <w:r>
              <w:rPr>
                <w:noProof/>
              </w:rPr>
              <w:t>Étape/</w:t>
            </w:r>
            <w:r w:rsidR="006C1AFD">
              <w:rPr>
                <w:noProof/>
              </w:rPr>
              <w:br/>
            </w:r>
            <w:r>
              <w:rPr>
                <w:noProof/>
              </w:rPr>
              <w:t>Objectif</w:t>
            </w:r>
          </w:p>
        </w:tc>
        <w:tc>
          <w:tcPr>
            <w:tcW w:w="17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EE2E76" w14:textId="77777777" w:rsidR="003B6BD9" w:rsidRDefault="009E25E8">
            <w:pPr>
              <w:pStyle w:val="P68B1DB1-Normal6"/>
              <w:spacing w:before="0" w:after="0" w:line="256" w:lineRule="auto"/>
              <w:jc w:val="center"/>
              <w:rPr>
                <w:rFonts w:eastAsia="Times New Roman"/>
                <w:noProof/>
              </w:rPr>
            </w:pPr>
            <w:r>
              <w:rPr>
                <w:noProof/>
              </w:rPr>
              <w:t>Nom</w:t>
            </w:r>
          </w:p>
        </w:tc>
        <w:tc>
          <w:tcPr>
            <w:tcW w:w="21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79612D" w14:textId="373448DE" w:rsidR="003B6BD9" w:rsidRDefault="009E25E8">
            <w:pPr>
              <w:pStyle w:val="P68B1DB1-Normal6"/>
              <w:spacing w:before="0" w:after="0" w:line="256" w:lineRule="auto"/>
              <w:jc w:val="center"/>
              <w:rPr>
                <w:rFonts w:eastAsia="Times New Roman"/>
                <w:noProof/>
              </w:rPr>
            </w:pPr>
            <w:r>
              <w:rPr>
                <w:noProof/>
              </w:rPr>
              <w:t>Indicateurs qualitatifs (pour les jalons)</w:t>
            </w:r>
          </w:p>
        </w:tc>
        <w:tc>
          <w:tcPr>
            <w:tcW w:w="270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991BC02" w14:textId="46C10E81" w:rsidR="003B6BD9" w:rsidRDefault="009E25E8">
            <w:pPr>
              <w:pStyle w:val="P68B1DB1-Normal6"/>
              <w:spacing w:before="0" w:after="0" w:line="256" w:lineRule="auto"/>
              <w:jc w:val="center"/>
              <w:rPr>
                <w:rFonts w:eastAsia="Times New Roman"/>
                <w:noProof/>
              </w:rPr>
            </w:pPr>
            <w:r>
              <w:rPr>
                <w:noProof/>
              </w:rPr>
              <w:t>Indicateurs quantitatifs (pour les cibles)</w:t>
            </w:r>
          </w:p>
        </w:tc>
        <w:tc>
          <w:tcPr>
            <w:tcW w:w="1620" w:type="dxa"/>
            <w:gridSpan w:val="2"/>
            <w:tcBorders>
              <w:top w:val="single" w:sz="4" w:space="0" w:color="auto"/>
              <w:left w:val="nil"/>
              <w:bottom w:val="single" w:sz="4" w:space="0" w:color="auto"/>
              <w:right w:val="single" w:sz="4" w:space="0" w:color="auto"/>
            </w:tcBorders>
            <w:shd w:val="clear" w:color="auto" w:fill="BDD7EE"/>
            <w:vAlign w:val="center"/>
            <w:hideMark/>
          </w:tcPr>
          <w:p w14:paraId="16E68F91" w14:textId="77777777" w:rsidR="003B6BD9" w:rsidRDefault="009E25E8">
            <w:pPr>
              <w:pStyle w:val="P68B1DB1-Normal6"/>
              <w:spacing w:before="0" w:after="0" w:line="256" w:lineRule="auto"/>
              <w:jc w:val="center"/>
              <w:rPr>
                <w:rFonts w:eastAsia="Times New Roman"/>
                <w:noProof/>
              </w:rPr>
            </w:pPr>
            <w:r>
              <w:rPr>
                <w:noProof/>
              </w:rPr>
              <w:t xml:space="preserve">Calendrier indicatif pour l’achèvement </w:t>
            </w:r>
          </w:p>
        </w:tc>
        <w:tc>
          <w:tcPr>
            <w:tcW w:w="33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61E644D" w14:textId="77777777" w:rsidR="003B6BD9" w:rsidRDefault="009E25E8">
            <w:pPr>
              <w:pStyle w:val="P68B1DB1-Normal6"/>
              <w:spacing w:before="0" w:after="0" w:line="256" w:lineRule="auto"/>
              <w:jc w:val="center"/>
              <w:rPr>
                <w:rFonts w:eastAsia="Times New Roman"/>
                <w:noProof/>
              </w:rPr>
            </w:pPr>
            <w:r>
              <w:rPr>
                <w:noProof/>
              </w:rPr>
              <w:t>Description de chaque jalon et cible</w:t>
            </w:r>
          </w:p>
        </w:tc>
      </w:tr>
      <w:tr w:rsidR="003B6BD9" w14:paraId="1AAED491" w14:textId="77777777" w:rsidTr="006C1AFD">
        <w:trPr>
          <w:trHeight w:val="300"/>
          <w:tblHeader/>
          <w:jc w:val="center"/>
        </w:trPr>
        <w:tc>
          <w:tcPr>
            <w:tcW w:w="835" w:type="dxa"/>
            <w:vMerge/>
            <w:tcBorders>
              <w:top w:val="single" w:sz="4" w:space="0" w:color="auto"/>
              <w:left w:val="single" w:sz="4" w:space="0" w:color="auto"/>
              <w:bottom w:val="single" w:sz="4" w:space="0" w:color="auto"/>
              <w:right w:val="single" w:sz="4" w:space="0" w:color="auto"/>
            </w:tcBorders>
            <w:vAlign w:val="center"/>
            <w:hideMark/>
          </w:tcPr>
          <w:p w14:paraId="080EFEE8" w14:textId="77777777" w:rsidR="003B6BD9" w:rsidRDefault="003B6BD9">
            <w:pPr>
              <w:spacing w:before="0" w:after="0" w:line="256" w:lineRule="auto"/>
              <w:rPr>
                <w:rFonts w:eastAsia="Times New Roman"/>
                <w:noProof/>
                <w:color w:val="006100"/>
                <w:sz w:val="18"/>
                <w:szCs w:val="18"/>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4255C1F4" w14:textId="77777777" w:rsidR="003B6BD9" w:rsidRDefault="003B6BD9">
            <w:pPr>
              <w:spacing w:before="0" w:after="0" w:line="256" w:lineRule="auto"/>
              <w:rPr>
                <w:rFonts w:eastAsia="Times New Roman"/>
                <w:b/>
                <w:noProof/>
                <w:sz w:val="18"/>
                <w:szCs w:val="18"/>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6EFE85E7" w14:textId="77777777" w:rsidR="003B6BD9" w:rsidRDefault="003B6BD9">
            <w:pPr>
              <w:spacing w:before="0" w:after="0" w:line="256" w:lineRule="auto"/>
              <w:rPr>
                <w:rFonts w:eastAsia="Times New Roman"/>
                <w:b/>
                <w:noProof/>
                <w:sz w:val="18"/>
                <w:szCs w:val="18"/>
              </w:rPr>
            </w:pPr>
          </w:p>
        </w:tc>
        <w:tc>
          <w:tcPr>
            <w:tcW w:w="1799" w:type="dxa"/>
            <w:vMerge/>
            <w:tcBorders>
              <w:top w:val="single" w:sz="4" w:space="0" w:color="auto"/>
              <w:left w:val="single" w:sz="4" w:space="0" w:color="auto"/>
              <w:bottom w:val="single" w:sz="4" w:space="0" w:color="auto"/>
              <w:right w:val="single" w:sz="4" w:space="0" w:color="auto"/>
            </w:tcBorders>
            <w:vAlign w:val="center"/>
            <w:hideMark/>
          </w:tcPr>
          <w:p w14:paraId="3563EE12" w14:textId="77777777" w:rsidR="003B6BD9" w:rsidRDefault="003B6BD9">
            <w:pPr>
              <w:spacing w:before="0" w:after="0" w:line="256" w:lineRule="auto"/>
              <w:rPr>
                <w:rFonts w:eastAsia="Times New Roman"/>
                <w:b/>
                <w:noProof/>
                <w:sz w:val="18"/>
                <w:szCs w:val="18"/>
              </w:rPr>
            </w:pPr>
          </w:p>
        </w:tc>
        <w:tc>
          <w:tcPr>
            <w:tcW w:w="2168" w:type="dxa"/>
            <w:vMerge/>
            <w:tcBorders>
              <w:top w:val="single" w:sz="4" w:space="0" w:color="auto"/>
              <w:left w:val="single" w:sz="4" w:space="0" w:color="auto"/>
              <w:bottom w:val="single" w:sz="4" w:space="0" w:color="auto"/>
              <w:right w:val="single" w:sz="4" w:space="0" w:color="auto"/>
            </w:tcBorders>
            <w:vAlign w:val="center"/>
            <w:hideMark/>
          </w:tcPr>
          <w:p w14:paraId="55B10BD1" w14:textId="77777777" w:rsidR="003B6BD9" w:rsidRDefault="003B6BD9">
            <w:pPr>
              <w:spacing w:before="0" w:after="0" w:line="256" w:lineRule="auto"/>
              <w:rPr>
                <w:rFonts w:eastAsia="Times New Roman"/>
                <w:b/>
                <w:noProof/>
                <w:sz w:val="18"/>
                <w:szCs w:val="18"/>
              </w:rPr>
            </w:pPr>
          </w:p>
        </w:tc>
        <w:tc>
          <w:tcPr>
            <w:tcW w:w="99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41F449E" w14:textId="77777777" w:rsidR="003B6BD9" w:rsidRDefault="009E25E8">
            <w:pPr>
              <w:pStyle w:val="P68B1DB1-Normal6"/>
              <w:spacing w:before="0" w:after="0" w:line="256" w:lineRule="auto"/>
              <w:jc w:val="center"/>
              <w:rPr>
                <w:rFonts w:eastAsia="Times New Roman"/>
                <w:noProof/>
              </w:rPr>
            </w:pPr>
            <w:r>
              <w:rPr>
                <w:noProof/>
              </w:rPr>
              <w:t>Unité de mesure</w:t>
            </w:r>
          </w:p>
        </w:tc>
        <w:tc>
          <w:tcPr>
            <w:tcW w:w="99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982642" w14:textId="77777777" w:rsidR="003B6BD9" w:rsidRDefault="009E25E8">
            <w:pPr>
              <w:pStyle w:val="P68B1DB1-Normal6"/>
              <w:spacing w:before="0" w:after="0" w:line="256" w:lineRule="auto"/>
              <w:jc w:val="center"/>
              <w:rPr>
                <w:rFonts w:eastAsia="Times New Roman"/>
                <w:noProof/>
              </w:rPr>
            </w:pPr>
            <w:r>
              <w:rPr>
                <w:noProof/>
              </w:rPr>
              <w:t xml:space="preserve">Niveau de référence </w:t>
            </w:r>
          </w:p>
        </w:tc>
        <w:tc>
          <w:tcPr>
            <w:tcW w:w="72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E00890A" w14:textId="77777777" w:rsidR="003B6BD9" w:rsidRDefault="009E25E8">
            <w:pPr>
              <w:pStyle w:val="P68B1DB1-Normal6"/>
              <w:spacing w:before="0" w:after="0" w:line="256" w:lineRule="auto"/>
              <w:jc w:val="center"/>
              <w:rPr>
                <w:rFonts w:eastAsia="Times New Roman"/>
                <w:noProof/>
              </w:rPr>
            </w:pPr>
            <w:r>
              <w:rPr>
                <w:noProof/>
              </w:rPr>
              <w:t xml:space="preserve">But </w:t>
            </w:r>
          </w:p>
        </w:tc>
        <w:tc>
          <w:tcPr>
            <w:tcW w:w="99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5964762" w14:textId="77777777" w:rsidR="003B6BD9" w:rsidRDefault="009E25E8">
            <w:pPr>
              <w:pStyle w:val="P68B1DB1-Normal6"/>
              <w:spacing w:before="0" w:after="0" w:line="256" w:lineRule="auto"/>
              <w:jc w:val="center"/>
              <w:rPr>
                <w:rFonts w:eastAsia="Times New Roman"/>
                <w:noProof/>
              </w:rPr>
            </w:pPr>
            <w:r>
              <w:rPr>
                <w:noProof/>
              </w:rPr>
              <w:t>Trimestre</w:t>
            </w:r>
          </w:p>
        </w:tc>
        <w:tc>
          <w:tcPr>
            <w:tcW w:w="63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13D5318" w14:textId="77777777" w:rsidR="003B6BD9" w:rsidRDefault="009E25E8">
            <w:pPr>
              <w:pStyle w:val="P68B1DB1-Normal6"/>
              <w:spacing w:before="0" w:after="0" w:line="256" w:lineRule="auto"/>
              <w:jc w:val="center"/>
              <w:rPr>
                <w:rFonts w:eastAsia="Times New Roman"/>
                <w:noProof/>
              </w:rPr>
            </w:pPr>
            <w:r>
              <w:rPr>
                <w:noProof/>
              </w:rPr>
              <w:t>Année</w:t>
            </w:r>
          </w:p>
        </w:tc>
        <w:tc>
          <w:tcPr>
            <w:tcW w:w="3317" w:type="dxa"/>
            <w:vMerge/>
            <w:tcBorders>
              <w:top w:val="single" w:sz="4" w:space="0" w:color="auto"/>
              <w:bottom w:val="single" w:sz="4" w:space="0" w:color="auto"/>
              <w:right w:val="single" w:sz="4" w:space="0" w:color="auto"/>
            </w:tcBorders>
            <w:vAlign w:val="center"/>
            <w:hideMark/>
          </w:tcPr>
          <w:p w14:paraId="78A9870C" w14:textId="77777777" w:rsidR="003B6BD9" w:rsidRDefault="003B6BD9">
            <w:pPr>
              <w:spacing w:before="0" w:after="0" w:line="256" w:lineRule="auto"/>
              <w:rPr>
                <w:rFonts w:eastAsia="Times New Roman"/>
                <w:b/>
                <w:noProof/>
                <w:sz w:val="18"/>
                <w:szCs w:val="18"/>
              </w:rPr>
            </w:pPr>
          </w:p>
        </w:tc>
      </w:tr>
      <w:tr w:rsidR="003B6BD9" w14:paraId="1EF6B1E4" w14:textId="77777777" w:rsidTr="006C1AFD">
        <w:trPr>
          <w:trHeight w:val="300"/>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01D863C" w14:textId="77777777" w:rsidR="003B6BD9" w:rsidRDefault="009E25E8">
            <w:pPr>
              <w:pStyle w:val="P68B1DB1-Normal7"/>
              <w:spacing w:before="0" w:after="0" w:line="256" w:lineRule="auto"/>
              <w:jc w:val="center"/>
              <w:rPr>
                <w:rFonts w:eastAsia="Times New Roman"/>
                <w:noProof/>
              </w:rPr>
            </w:pPr>
            <w:r>
              <w:rPr>
                <w:noProof/>
              </w:rPr>
              <w:t>110</w:t>
            </w:r>
          </w:p>
        </w:tc>
        <w:tc>
          <w:tcPr>
            <w:tcW w:w="1800" w:type="dxa"/>
            <w:tcBorders>
              <w:top w:val="single" w:sz="4" w:space="0" w:color="auto"/>
              <w:left w:val="nil"/>
              <w:bottom w:val="single" w:sz="4" w:space="0" w:color="auto"/>
              <w:right w:val="single" w:sz="4" w:space="0" w:color="auto"/>
            </w:tcBorders>
            <w:shd w:val="clear" w:color="auto" w:fill="C6EFCE"/>
            <w:noWrap/>
          </w:tcPr>
          <w:p w14:paraId="47B3712E" w14:textId="77777777" w:rsidR="003B6BD9" w:rsidRDefault="009E25E8">
            <w:pPr>
              <w:pStyle w:val="P68B1DB1-Normal7"/>
              <w:spacing w:before="0" w:after="0" w:line="256" w:lineRule="auto"/>
              <w:rPr>
                <w:rFonts w:eastAsia="Times New Roman"/>
                <w:noProof/>
              </w:rPr>
            </w:pPr>
            <w:r>
              <w:rPr>
                <w:noProof/>
              </w:rPr>
              <w:t>A: Exploitation et gestion du système de RDI</w:t>
            </w:r>
          </w:p>
        </w:tc>
        <w:tc>
          <w:tcPr>
            <w:tcW w:w="1200" w:type="dxa"/>
            <w:tcBorders>
              <w:top w:val="single" w:sz="4" w:space="0" w:color="auto"/>
              <w:left w:val="nil"/>
              <w:bottom w:val="single" w:sz="4" w:space="0" w:color="auto"/>
              <w:right w:val="single" w:sz="4" w:space="0" w:color="auto"/>
            </w:tcBorders>
            <w:shd w:val="clear" w:color="auto" w:fill="C6EFCE"/>
            <w:noWrap/>
          </w:tcPr>
          <w:p w14:paraId="4A09D331" w14:textId="77777777" w:rsidR="003B6BD9" w:rsidRDefault="009E25E8">
            <w:pPr>
              <w:pStyle w:val="P68B1DB1-Normal7"/>
              <w:spacing w:before="0" w:after="0" w:line="256" w:lineRule="auto"/>
              <w:rPr>
                <w:rFonts w:eastAsia="Times New Roman"/>
                <w:noProof/>
              </w:rPr>
            </w:pPr>
            <w:r>
              <w:rPr>
                <w:noProof/>
              </w:rPr>
              <w:t>Jalon</w:t>
            </w:r>
          </w:p>
        </w:tc>
        <w:tc>
          <w:tcPr>
            <w:tcW w:w="1799" w:type="dxa"/>
            <w:tcBorders>
              <w:top w:val="single" w:sz="4" w:space="0" w:color="auto"/>
              <w:left w:val="nil"/>
              <w:bottom w:val="single" w:sz="4" w:space="0" w:color="auto"/>
              <w:right w:val="single" w:sz="4" w:space="0" w:color="auto"/>
            </w:tcBorders>
            <w:shd w:val="clear" w:color="auto" w:fill="C6EFCE"/>
            <w:noWrap/>
          </w:tcPr>
          <w:p w14:paraId="75F7E4B3" w14:textId="77777777" w:rsidR="003B6BD9" w:rsidRDefault="009E25E8">
            <w:pPr>
              <w:pStyle w:val="P68B1DB1-Normal7"/>
              <w:spacing w:before="0" w:after="0" w:line="256" w:lineRule="auto"/>
              <w:rPr>
                <w:rFonts w:eastAsia="Times New Roman"/>
                <w:noProof/>
              </w:rPr>
            </w:pPr>
            <w:r>
              <w:rPr>
                <w:noProof/>
              </w:rPr>
              <w:t xml:space="preserve">Entrée en vigueur de la loi sur les activités de recherche, de développement et d’innovation </w:t>
            </w:r>
          </w:p>
        </w:tc>
        <w:tc>
          <w:tcPr>
            <w:tcW w:w="2168" w:type="dxa"/>
            <w:tcBorders>
              <w:top w:val="single" w:sz="4" w:space="0" w:color="auto"/>
              <w:left w:val="nil"/>
              <w:bottom w:val="single" w:sz="4" w:space="0" w:color="auto"/>
              <w:right w:val="single" w:sz="4" w:space="0" w:color="auto"/>
            </w:tcBorders>
            <w:shd w:val="clear" w:color="auto" w:fill="C6EFCE"/>
            <w:noWrap/>
          </w:tcPr>
          <w:p w14:paraId="1771E752" w14:textId="24F34DB4" w:rsidR="003B6BD9" w:rsidRDefault="009E25E8">
            <w:pPr>
              <w:pStyle w:val="P68B1DB1-Normal7"/>
              <w:spacing w:before="0" w:after="0" w:line="256" w:lineRule="auto"/>
              <w:rPr>
                <w:rFonts w:eastAsia="Times New Roman"/>
                <w:noProof/>
              </w:rPr>
            </w:pPr>
            <w:r>
              <w:rPr>
                <w:noProof/>
              </w:rPr>
              <w:t>Disposition de la loi indiquant l’entrée en vigueur d’une loi sur les activités de recherche, de développement et d’innovation après adoption par le Parlement</w:t>
            </w:r>
          </w:p>
        </w:tc>
        <w:tc>
          <w:tcPr>
            <w:tcW w:w="990" w:type="dxa"/>
            <w:tcBorders>
              <w:top w:val="single" w:sz="4" w:space="0" w:color="auto"/>
              <w:left w:val="nil"/>
              <w:bottom w:val="single" w:sz="4" w:space="0" w:color="auto"/>
              <w:right w:val="single" w:sz="4" w:space="0" w:color="auto"/>
            </w:tcBorders>
            <w:shd w:val="clear" w:color="auto" w:fill="C6EFCE"/>
            <w:noWrap/>
          </w:tcPr>
          <w:p w14:paraId="07C404E4" w14:textId="77777777" w:rsidR="003B6BD9" w:rsidRDefault="009E25E8">
            <w:pPr>
              <w:pStyle w:val="P68B1DB1-Normal7"/>
              <w:spacing w:before="0" w:after="0" w:line="256" w:lineRule="auto"/>
              <w:rPr>
                <w:rFonts w:eastAsia="Times New Roman"/>
                <w:noProof/>
              </w:rPr>
            </w:pPr>
            <w:r>
              <w:rPr>
                <w:noProof/>
              </w:rPr>
              <w:t> </w:t>
            </w:r>
          </w:p>
        </w:tc>
        <w:tc>
          <w:tcPr>
            <w:tcW w:w="990" w:type="dxa"/>
            <w:tcBorders>
              <w:top w:val="single" w:sz="4" w:space="0" w:color="auto"/>
              <w:left w:val="nil"/>
              <w:bottom w:val="single" w:sz="4" w:space="0" w:color="auto"/>
              <w:right w:val="single" w:sz="4" w:space="0" w:color="auto"/>
            </w:tcBorders>
            <w:shd w:val="clear" w:color="auto" w:fill="C6EFCE"/>
            <w:noWrap/>
          </w:tcPr>
          <w:p w14:paraId="05FC58FA" w14:textId="77777777" w:rsidR="003B6BD9" w:rsidRDefault="009E25E8">
            <w:pPr>
              <w:pStyle w:val="P68B1DB1-Normal7"/>
              <w:spacing w:before="0" w:after="0" w:line="256" w:lineRule="auto"/>
              <w:jc w:val="right"/>
              <w:rPr>
                <w:rFonts w:eastAsia="Times New Roman"/>
                <w:noProof/>
              </w:rPr>
            </w:pPr>
            <w:r>
              <w:rPr>
                <w:noProof/>
              </w:rPr>
              <w:t> </w:t>
            </w:r>
          </w:p>
        </w:tc>
        <w:tc>
          <w:tcPr>
            <w:tcW w:w="720" w:type="dxa"/>
            <w:tcBorders>
              <w:top w:val="single" w:sz="4" w:space="0" w:color="auto"/>
              <w:left w:val="nil"/>
              <w:bottom w:val="single" w:sz="4" w:space="0" w:color="auto"/>
              <w:right w:val="single" w:sz="4" w:space="0" w:color="auto"/>
            </w:tcBorders>
            <w:shd w:val="clear" w:color="auto" w:fill="C6EFCE"/>
            <w:noWrap/>
          </w:tcPr>
          <w:p w14:paraId="3CEE2080" w14:textId="77777777" w:rsidR="003B6BD9" w:rsidRDefault="009E25E8">
            <w:pPr>
              <w:pStyle w:val="P68B1DB1-Normal7"/>
              <w:spacing w:before="0" w:after="0" w:line="256" w:lineRule="auto"/>
              <w:jc w:val="right"/>
              <w:rPr>
                <w:rFonts w:eastAsia="Times New Roman"/>
                <w:noProof/>
              </w:rPr>
            </w:pPr>
            <w:r>
              <w:rPr>
                <w:noProof/>
              </w:rPr>
              <w:t> </w:t>
            </w:r>
          </w:p>
        </w:tc>
        <w:tc>
          <w:tcPr>
            <w:tcW w:w="990" w:type="dxa"/>
            <w:tcBorders>
              <w:top w:val="single" w:sz="4" w:space="0" w:color="auto"/>
              <w:left w:val="nil"/>
              <w:bottom w:val="single" w:sz="4" w:space="0" w:color="auto"/>
              <w:right w:val="single" w:sz="4" w:space="0" w:color="auto"/>
            </w:tcBorders>
            <w:shd w:val="clear" w:color="auto" w:fill="C6EFCE"/>
            <w:noWrap/>
          </w:tcPr>
          <w:p w14:paraId="16619263" w14:textId="77777777" w:rsidR="003B6BD9" w:rsidRDefault="009E25E8">
            <w:pPr>
              <w:pStyle w:val="P68B1DB1-Normal7"/>
              <w:spacing w:before="0" w:after="0" w:line="256" w:lineRule="auto"/>
              <w:jc w:val="center"/>
              <w:rPr>
                <w:rFonts w:eastAsia="Times New Roman"/>
                <w:noProof/>
              </w:rPr>
            </w:pPr>
            <w:r>
              <w:rPr>
                <w:noProof/>
              </w:rPr>
              <w:t>T2</w:t>
            </w:r>
          </w:p>
        </w:tc>
        <w:tc>
          <w:tcPr>
            <w:tcW w:w="630" w:type="dxa"/>
            <w:tcBorders>
              <w:top w:val="single" w:sz="4" w:space="0" w:color="auto"/>
              <w:left w:val="nil"/>
              <w:bottom w:val="single" w:sz="4" w:space="0" w:color="auto"/>
              <w:right w:val="single" w:sz="4" w:space="0" w:color="auto"/>
            </w:tcBorders>
            <w:shd w:val="clear" w:color="auto" w:fill="C6EFCE"/>
            <w:noWrap/>
          </w:tcPr>
          <w:p w14:paraId="3839A92C" w14:textId="77777777" w:rsidR="003B6BD9" w:rsidRDefault="009E25E8">
            <w:pPr>
              <w:pStyle w:val="P68B1DB1-Normal7"/>
              <w:spacing w:before="0" w:after="0" w:line="256" w:lineRule="auto"/>
              <w:jc w:val="center"/>
              <w:rPr>
                <w:rFonts w:eastAsia="Times New Roman"/>
                <w:noProof/>
              </w:rPr>
            </w:pPr>
            <w:r>
              <w:rPr>
                <w:noProof/>
              </w:rPr>
              <w:t>2022</w:t>
            </w:r>
          </w:p>
        </w:tc>
        <w:tc>
          <w:tcPr>
            <w:tcW w:w="3317" w:type="dxa"/>
            <w:tcBorders>
              <w:top w:val="single" w:sz="4" w:space="0" w:color="auto"/>
              <w:left w:val="nil"/>
              <w:bottom w:val="single" w:sz="4" w:space="0" w:color="auto"/>
              <w:right w:val="single" w:sz="4" w:space="0" w:color="auto"/>
            </w:tcBorders>
            <w:shd w:val="clear" w:color="auto" w:fill="C6EFCE"/>
            <w:noWrap/>
          </w:tcPr>
          <w:p w14:paraId="171BC239" w14:textId="77777777" w:rsidR="003B6BD9" w:rsidRDefault="009E25E8">
            <w:pPr>
              <w:pStyle w:val="P68B1DB1-Normal7"/>
              <w:spacing w:before="0" w:after="0" w:line="256" w:lineRule="auto"/>
              <w:rPr>
                <w:rFonts w:eastAsia="Times New Roman"/>
                <w:noProof/>
              </w:rPr>
            </w:pPr>
            <w:r>
              <w:rPr>
                <w:noProof/>
              </w:rPr>
              <w:t>L’acte vise à accroître l’efficacité et la coordination de la gouvernance de la RDI. L’acte vise, entre autres, à accroître et à stabiliser le financement public des activités de RDI, à accroître l’autonomie des organismes de recherche publics, à mettre en place des éléments de financement fondés sur les résultats, à stimuler la coopération des chercheurs avec les projets de recherche et les entreprises de l’UE et à promouvoir l’internationalisation, la mobilité intersectorielle et le transfert de connaissances.</w:t>
            </w:r>
          </w:p>
        </w:tc>
      </w:tr>
      <w:tr w:rsidR="003B6BD9" w14:paraId="01BC69F3" w14:textId="77777777" w:rsidTr="006C1AFD">
        <w:trPr>
          <w:trHeight w:val="300"/>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9133F9B" w14:textId="77777777" w:rsidR="003B6BD9" w:rsidRDefault="009E25E8">
            <w:pPr>
              <w:pStyle w:val="P68B1DB1-Normal7"/>
              <w:spacing w:before="0" w:after="0" w:line="256" w:lineRule="auto"/>
              <w:jc w:val="center"/>
              <w:rPr>
                <w:rFonts w:eastAsia="Times New Roman"/>
                <w:noProof/>
              </w:rPr>
            </w:pPr>
            <w:r>
              <w:rPr>
                <w:noProof/>
              </w:rPr>
              <w:t>111</w:t>
            </w:r>
          </w:p>
        </w:tc>
        <w:tc>
          <w:tcPr>
            <w:tcW w:w="1800" w:type="dxa"/>
            <w:tcBorders>
              <w:top w:val="single" w:sz="4" w:space="0" w:color="auto"/>
              <w:left w:val="nil"/>
              <w:bottom w:val="single" w:sz="4" w:space="0" w:color="auto"/>
              <w:right w:val="single" w:sz="4" w:space="0" w:color="auto"/>
            </w:tcBorders>
            <w:shd w:val="clear" w:color="auto" w:fill="C6EFCE"/>
            <w:noWrap/>
          </w:tcPr>
          <w:p w14:paraId="727C1DF5" w14:textId="77777777" w:rsidR="003B6BD9" w:rsidRDefault="009E25E8">
            <w:pPr>
              <w:pStyle w:val="P68B1DB1-Normal7"/>
              <w:spacing w:before="0" w:after="0" w:line="256" w:lineRule="auto"/>
              <w:rPr>
                <w:rFonts w:eastAsia="Times New Roman"/>
                <w:noProof/>
              </w:rPr>
            </w:pPr>
            <w:r>
              <w:rPr>
                <w:noProof/>
              </w:rPr>
              <w:t>A: Exploitation et gestion du système de RDI</w:t>
            </w:r>
          </w:p>
        </w:tc>
        <w:tc>
          <w:tcPr>
            <w:tcW w:w="1200" w:type="dxa"/>
            <w:tcBorders>
              <w:top w:val="single" w:sz="4" w:space="0" w:color="auto"/>
              <w:left w:val="nil"/>
              <w:bottom w:val="single" w:sz="4" w:space="0" w:color="auto"/>
              <w:right w:val="single" w:sz="4" w:space="0" w:color="auto"/>
            </w:tcBorders>
            <w:shd w:val="clear" w:color="auto" w:fill="C6EFCE"/>
            <w:noWrap/>
          </w:tcPr>
          <w:p w14:paraId="1E963B90" w14:textId="77777777" w:rsidR="003B6BD9" w:rsidRDefault="009E25E8">
            <w:pPr>
              <w:pStyle w:val="P68B1DB1-Normal7"/>
              <w:spacing w:before="0" w:after="0" w:line="256" w:lineRule="auto"/>
              <w:rPr>
                <w:rFonts w:eastAsia="Times New Roman"/>
                <w:noProof/>
              </w:rPr>
            </w:pPr>
            <w:r>
              <w:rPr>
                <w:noProof/>
              </w:rPr>
              <w:t>Jalon</w:t>
            </w:r>
          </w:p>
        </w:tc>
        <w:tc>
          <w:tcPr>
            <w:tcW w:w="1799" w:type="dxa"/>
            <w:tcBorders>
              <w:top w:val="single" w:sz="4" w:space="0" w:color="auto"/>
              <w:left w:val="nil"/>
              <w:bottom w:val="single" w:sz="4" w:space="0" w:color="auto"/>
              <w:right w:val="single" w:sz="4" w:space="0" w:color="auto"/>
            </w:tcBorders>
            <w:shd w:val="clear" w:color="auto" w:fill="C6EFCE"/>
            <w:noWrap/>
          </w:tcPr>
          <w:p w14:paraId="0477CB06" w14:textId="77777777" w:rsidR="003B6BD9" w:rsidRDefault="009E25E8">
            <w:pPr>
              <w:pStyle w:val="P68B1DB1-Normal7"/>
              <w:spacing w:before="0" w:after="0" w:line="256" w:lineRule="auto"/>
              <w:rPr>
                <w:rFonts w:eastAsia="Times New Roman"/>
                <w:noProof/>
              </w:rPr>
            </w:pPr>
            <w:r>
              <w:rPr>
                <w:noProof/>
              </w:rPr>
              <w:t>Création et fonctionnement du comité mixte du programme</w:t>
            </w:r>
          </w:p>
        </w:tc>
        <w:tc>
          <w:tcPr>
            <w:tcW w:w="2168" w:type="dxa"/>
            <w:tcBorders>
              <w:top w:val="single" w:sz="4" w:space="0" w:color="auto"/>
              <w:left w:val="nil"/>
              <w:bottom w:val="single" w:sz="4" w:space="0" w:color="auto"/>
              <w:right w:val="single" w:sz="4" w:space="0" w:color="auto"/>
            </w:tcBorders>
            <w:shd w:val="clear" w:color="auto" w:fill="C6EFCE"/>
            <w:noWrap/>
          </w:tcPr>
          <w:p w14:paraId="02B45224" w14:textId="77777777" w:rsidR="003B6BD9" w:rsidRDefault="009E25E8">
            <w:pPr>
              <w:pStyle w:val="P68B1DB1-Normal7"/>
              <w:spacing w:before="0" w:after="0" w:line="256" w:lineRule="auto"/>
              <w:rPr>
                <w:rFonts w:eastAsia="Times New Roman"/>
                <w:noProof/>
              </w:rPr>
            </w:pPr>
            <w:r>
              <w:rPr>
                <w:noProof/>
              </w:rPr>
              <w:t>Comité mixte de programme institué et opérationnel par décision relative à la nomination et aux tâches du comité par le gouvernement de la République de Slovénie</w:t>
            </w:r>
          </w:p>
        </w:tc>
        <w:tc>
          <w:tcPr>
            <w:tcW w:w="990" w:type="dxa"/>
            <w:tcBorders>
              <w:top w:val="single" w:sz="4" w:space="0" w:color="auto"/>
              <w:left w:val="nil"/>
              <w:bottom w:val="single" w:sz="4" w:space="0" w:color="auto"/>
              <w:right w:val="single" w:sz="4" w:space="0" w:color="auto"/>
            </w:tcBorders>
            <w:shd w:val="clear" w:color="auto" w:fill="C6EFCE"/>
            <w:noWrap/>
          </w:tcPr>
          <w:p w14:paraId="5ABFE1F4" w14:textId="77777777" w:rsidR="003B6BD9" w:rsidRDefault="009E25E8">
            <w:pPr>
              <w:pStyle w:val="P68B1DB1-Normal7"/>
              <w:spacing w:before="0" w:after="0" w:line="256" w:lineRule="auto"/>
              <w:rPr>
                <w:rFonts w:eastAsia="Times New Roman"/>
                <w:noProof/>
              </w:rPr>
            </w:pPr>
            <w:r>
              <w:rPr>
                <w:noProof/>
              </w:rPr>
              <w:t> </w:t>
            </w:r>
          </w:p>
        </w:tc>
        <w:tc>
          <w:tcPr>
            <w:tcW w:w="990" w:type="dxa"/>
            <w:tcBorders>
              <w:top w:val="single" w:sz="4" w:space="0" w:color="auto"/>
              <w:left w:val="nil"/>
              <w:bottom w:val="single" w:sz="4" w:space="0" w:color="auto"/>
              <w:right w:val="single" w:sz="4" w:space="0" w:color="auto"/>
            </w:tcBorders>
            <w:shd w:val="clear" w:color="auto" w:fill="C6EFCE"/>
            <w:noWrap/>
          </w:tcPr>
          <w:p w14:paraId="0E4C344C" w14:textId="77777777" w:rsidR="003B6BD9" w:rsidRDefault="009E25E8">
            <w:pPr>
              <w:pStyle w:val="P68B1DB1-Normal7"/>
              <w:spacing w:before="0" w:after="0" w:line="256" w:lineRule="auto"/>
              <w:jc w:val="right"/>
              <w:rPr>
                <w:rFonts w:eastAsia="Times New Roman"/>
                <w:noProof/>
              </w:rPr>
            </w:pPr>
            <w:r>
              <w:rPr>
                <w:noProof/>
              </w:rPr>
              <w:t> </w:t>
            </w:r>
          </w:p>
        </w:tc>
        <w:tc>
          <w:tcPr>
            <w:tcW w:w="720" w:type="dxa"/>
            <w:tcBorders>
              <w:top w:val="single" w:sz="4" w:space="0" w:color="auto"/>
              <w:left w:val="nil"/>
              <w:bottom w:val="single" w:sz="4" w:space="0" w:color="auto"/>
              <w:right w:val="single" w:sz="4" w:space="0" w:color="auto"/>
            </w:tcBorders>
            <w:shd w:val="clear" w:color="auto" w:fill="C6EFCE"/>
            <w:noWrap/>
          </w:tcPr>
          <w:p w14:paraId="1C7F0C3F" w14:textId="77777777" w:rsidR="003B6BD9" w:rsidRDefault="009E25E8">
            <w:pPr>
              <w:pStyle w:val="P68B1DB1-Normal7"/>
              <w:spacing w:before="0" w:after="0" w:line="256" w:lineRule="auto"/>
              <w:jc w:val="right"/>
              <w:rPr>
                <w:rFonts w:eastAsia="Times New Roman"/>
                <w:noProof/>
              </w:rPr>
            </w:pPr>
            <w:r>
              <w:rPr>
                <w:noProof/>
              </w:rPr>
              <w:t> </w:t>
            </w:r>
          </w:p>
        </w:tc>
        <w:tc>
          <w:tcPr>
            <w:tcW w:w="990" w:type="dxa"/>
            <w:tcBorders>
              <w:top w:val="single" w:sz="4" w:space="0" w:color="auto"/>
              <w:left w:val="nil"/>
              <w:bottom w:val="single" w:sz="4" w:space="0" w:color="auto"/>
              <w:right w:val="single" w:sz="4" w:space="0" w:color="auto"/>
            </w:tcBorders>
            <w:shd w:val="clear" w:color="auto" w:fill="C6EFCE"/>
            <w:noWrap/>
          </w:tcPr>
          <w:p w14:paraId="51058F0C" w14:textId="77777777" w:rsidR="003B6BD9" w:rsidRDefault="009E25E8">
            <w:pPr>
              <w:pStyle w:val="P68B1DB1-Normal7"/>
              <w:spacing w:before="0" w:after="0" w:line="256" w:lineRule="auto"/>
              <w:jc w:val="center"/>
              <w:rPr>
                <w:rFonts w:eastAsia="Times New Roman"/>
                <w:noProof/>
              </w:rPr>
            </w:pPr>
            <w:r>
              <w:rPr>
                <w:noProof/>
              </w:rPr>
              <w:t>T2</w:t>
            </w:r>
          </w:p>
        </w:tc>
        <w:tc>
          <w:tcPr>
            <w:tcW w:w="630" w:type="dxa"/>
            <w:tcBorders>
              <w:top w:val="single" w:sz="4" w:space="0" w:color="auto"/>
              <w:left w:val="nil"/>
              <w:bottom w:val="single" w:sz="4" w:space="0" w:color="auto"/>
              <w:right w:val="single" w:sz="4" w:space="0" w:color="auto"/>
            </w:tcBorders>
            <w:shd w:val="clear" w:color="auto" w:fill="C6EFCE"/>
            <w:noWrap/>
          </w:tcPr>
          <w:p w14:paraId="5D4DA81C" w14:textId="77777777" w:rsidR="003B6BD9" w:rsidRDefault="009E25E8">
            <w:pPr>
              <w:pStyle w:val="P68B1DB1-Normal7"/>
              <w:spacing w:before="0" w:after="0" w:line="256" w:lineRule="auto"/>
              <w:jc w:val="center"/>
              <w:rPr>
                <w:rFonts w:eastAsia="Times New Roman"/>
                <w:noProof/>
              </w:rPr>
            </w:pPr>
            <w:r>
              <w:rPr>
                <w:noProof/>
              </w:rPr>
              <w:t>2022</w:t>
            </w:r>
          </w:p>
        </w:tc>
        <w:tc>
          <w:tcPr>
            <w:tcW w:w="3317" w:type="dxa"/>
            <w:tcBorders>
              <w:top w:val="single" w:sz="4" w:space="0" w:color="auto"/>
              <w:left w:val="nil"/>
              <w:bottom w:val="single" w:sz="4" w:space="0" w:color="auto"/>
              <w:right w:val="single" w:sz="4" w:space="0" w:color="auto"/>
            </w:tcBorders>
            <w:shd w:val="clear" w:color="auto" w:fill="C6EFCE"/>
            <w:noWrap/>
          </w:tcPr>
          <w:p w14:paraId="66A5CD28" w14:textId="77564AD8" w:rsidR="003B6BD9" w:rsidRDefault="009E25E8">
            <w:pPr>
              <w:pStyle w:val="P68B1DB1-Normal7"/>
              <w:spacing w:before="0" w:after="0" w:line="256" w:lineRule="auto"/>
              <w:rPr>
                <w:rFonts w:eastAsia="Times New Roman"/>
                <w:noProof/>
              </w:rPr>
            </w:pPr>
            <w:r>
              <w:rPr>
                <w:noProof/>
              </w:rPr>
              <w:t>Le comité mixte du programme permet une coordination stable et continue tant au niveau stratégique qu’au niveau opérationnel, y compris une coordination entre les instruments de mise en œuvre de la RDI, quelle que soit la source de financement.</w:t>
            </w:r>
          </w:p>
        </w:tc>
      </w:tr>
      <w:tr w:rsidR="003B6BD9" w14:paraId="7C4E2806" w14:textId="77777777" w:rsidTr="006C1AFD">
        <w:trPr>
          <w:trHeight w:val="300"/>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3CE38413" w14:textId="4C802C16" w:rsidR="003B6BD9" w:rsidRDefault="009E25E8">
            <w:pPr>
              <w:pStyle w:val="P68B1DB1-Normal7"/>
              <w:spacing w:before="0" w:after="0" w:line="256" w:lineRule="auto"/>
              <w:jc w:val="center"/>
              <w:rPr>
                <w:rFonts w:eastAsia="Times New Roman"/>
                <w:noProof/>
              </w:rPr>
            </w:pPr>
            <w:r>
              <w:rPr>
                <w:noProof/>
              </w:rPr>
              <w:t>115</w:t>
            </w:r>
          </w:p>
        </w:tc>
        <w:tc>
          <w:tcPr>
            <w:tcW w:w="1800" w:type="dxa"/>
            <w:tcBorders>
              <w:top w:val="single" w:sz="4" w:space="0" w:color="auto"/>
              <w:left w:val="nil"/>
              <w:bottom w:val="single" w:sz="4" w:space="0" w:color="auto"/>
              <w:right w:val="single" w:sz="4" w:space="0" w:color="auto"/>
            </w:tcBorders>
            <w:shd w:val="clear" w:color="auto" w:fill="C6EFCE"/>
            <w:noWrap/>
          </w:tcPr>
          <w:p w14:paraId="7F4EAED5" w14:textId="77777777" w:rsidR="003B6BD9" w:rsidRDefault="009E25E8">
            <w:pPr>
              <w:pStyle w:val="P68B1DB1-Normal7"/>
              <w:spacing w:before="0" w:after="0" w:line="256" w:lineRule="auto"/>
              <w:rPr>
                <w:rFonts w:eastAsia="Times New Roman"/>
                <w:noProof/>
              </w:rPr>
            </w:pPr>
            <w:r>
              <w:rPr>
                <w:noProof/>
              </w:rPr>
              <w:t>B: Cofinancement de projets de recherche et d’innovation à l’appui de la transition écologique et de la numérisation</w:t>
            </w:r>
          </w:p>
        </w:tc>
        <w:tc>
          <w:tcPr>
            <w:tcW w:w="1200" w:type="dxa"/>
            <w:tcBorders>
              <w:top w:val="single" w:sz="4" w:space="0" w:color="auto"/>
              <w:left w:val="nil"/>
              <w:bottom w:val="single" w:sz="4" w:space="0" w:color="auto"/>
              <w:right w:val="single" w:sz="4" w:space="0" w:color="auto"/>
            </w:tcBorders>
            <w:shd w:val="clear" w:color="auto" w:fill="C6EFCE"/>
            <w:noWrap/>
          </w:tcPr>
          <w:p w14:paraId="08960ABB" w14:textId="77777777" w:rsidR="003B6BD9" w:rsidRDefault="009E25E8">
            <w:pPr>
              <w:pStyle w:val="P68B1DB1-Normal7"/>
              <w:spacing w:before="0" w:after="0" w:line="256" w:lineRule="auto"/>
              <w:rPr>
                <w:rFonts w:eastAsia="Times New Roman"/>
                <w:noProof/>
              </w:rPr>
            </w:pPr>
            <w:r>
              <w:rPr>
                <w:noProof/>
              </w:rPr>
              <w:t>Cible</w:t>
            </w:r>
          </w:p>
        </w:tc>
        <w:tc>
          <w:tcPr>
            <w:tcW w:w="1799" w:type="dxa"/>
            <w:tcBorders>
              <w:top w:val="single" w:sz="4" w:space="0" w:color="auto"/>
              <w:left w:val="nil"/>
              <w:bottom w:val="single" w:sz="4" w:space="0" w:color="auto"/>
              <w:right w:val="single" w:sz="4" w:space="0" w:color="auto"/>
            </w:tcBorders>
            <w:shd w:val="clear" w:color="auto" w:fill="C6EFCE"/>
            <w:noWrap/>
          </w:tcPr>
          <w:p w14:paraId="7F266A64" w14:textId="1E347F87" w:rsidR="003B6BD9" w:rsidRDefault="009E25E8">
            <w:pPr>
              <w:pStyle w:val="P68B1DB1-Normal7"/>
              <w:spacing w:before="0" w:after="0" w:line="256" w:lineRule="auto"/>
              <w:rPr>
                <w:rFonts w:eastAsia="Times New Roman"/>
                <w:noProof/>
              </w:rPr>
            </w:pPr>
            <w:r>
              <w:rPr>
                <w:noProof/>
              </w:rPr>
              <w:t>Acceptation des rapports finaux du programme</w:t>
            </w:r>
          </w:p>
        </w:tc>
        <w:tc>
          <w:tcPr>
            <w:tcW w:w="2168" w:type="dxa"/>
            <w:tcBorders>
              <w:top w:val="single" w:sz="4" w:space="0" w:color="auto"/>
              <w:left w:val="nil"/>
              <w:bottom w:val="single" w:sz="4" w:space="0" w:color="auto"/>
              <w:right w:val="single" w:sz="4" w:space="0" w:color="auto"/>
            </w:tcBorders>
            <w:shd w:val="clear" w:color="auto" w:fill="C6EFCE"/>
            <w:noWrap/>
          </w:tcPr>
          <w:p w14:paraId="7FCC82F3" w14:textId="77777777" w:rsidR="003B6BD9" w:rsidRDefault="009E25E8">
            <w:pPr>
              <w:pStyle w:val="P68B1DB1-Normal7"/>
              <w:spacing w:before="0" w:after="0" w:line="256" w:lineRule="auto"/>
              <w:rPr>
                <w:rFonts w:eastAsia="Times New Roman"/>
                <w:noProof/>
              </w:rPr>
            </w:pPr>
            <w:r>
              <w:rPr>
                <w:noProof/>
              </w:rPr>
              <w:t> </w:t>
            </w:r>
          </w:p>
        </w:tc>
        <w:tc>
          <w:tcPr>
            <w:tcW w:w="990" w:type="dxa"/>
            <w:tcBorders>
              <w:top w:val="single" w:sz="4" w:space="0" w:color="auto"/>
              <w:left w:val="nil"/>
              <w:bottom w:val="single" w:sz="4" w:space="0" w:color="auto"/>
              <w:right w:val="single" w:sz="4" w:space="0" w:color="auto"/>
            </w:tcBorders>
            <w:shd w:val="clear" w:color="auto" w:fill="C6EFCE"/>
            <w:noWrap/>
          </w:tcPr>
          <w:p w14:paraId="63C89199" w14:textId="77777777" w:rsidR="003B6BD9" w:rsidRDefault="009E25E8">
            <w:pPr>
              <w:pStyle w:val="P68B1DB1-Normal7"/>
              <w:spacing w:before="0" w:after="0" w:line="256" w:lineRule="auto"/>
              <w:rPr>
                <w:rFonts w:eastAsia="Times New Roman"/>
                <w:noProof/>
              </w:rPr>
            </w:pPr>
            <w:r>
              <w:rPr>
                <w:noProof/>
              </w:rPr>
              <w:t>Nombre</w:t>
            </w:r>
          </w:p>
        </w:tc>
        <w:tc>
          <w:tcPr>
            <w:tcW w:w="990" w:type="dxa"/>
            <w:tcBorders>
              <w:top w:val="single" w:sz="4" w:space="0" w:color="auto"/>
              <w:left w:val="nil"/>
              <w:bottom w:val="single" w:sz="4" w:space="0" w:color="auto"/>
              <w:right w:val="single" w:sz="4" w:space="0" w:color="auto"/>
            </w:tcBorders>
            <w:shd w:val="clear" w:color="auto" w:fill="C6EFCE"/>
            <w:noWrap/>
          </w:tcPr>
          <w:p w14:paraId="20867506" w14:textId="77777777" w:rsidR="003B6BD9" w:rsidRDefault="009E25E8">
            <w:pPr>
              <w:pStyle w:val="P68B1DB1-Normal7"/>
              <w:spacing w:before="0" w:after="0" w:line="256" w:lineRule="auto"/>
              <w:jc w:val="right"/>
              <w:rPr>
                <w:rFonts w:eastAsia="Times New Roman"/>
                <w:noProof/>
              </w:rPr>
            </w:pPr>
            <w:r>
              <w:rPr>
                <w:noProof/>
              </w:rPr>
              <w:t>0</w:t>
            </w:r>
          </w:p>
        </w:tc>
        <w:tc>
          <w:tcPr>
            <w:tcW w:w="720" w:type="dxa"/>
            <w:tcBorders>
              <w:top w:val="single" w:sz="4" w:space="0" w:color="auto"/>
              <w:left w:val="nil"/>
              <w:bottom w:val="single" w:sz="4" w:space="0" w:color="auto"/>
              <w:right w:val="single" w:sz="4" w:space="0" w:color="auto"/>
            </w:tcBorders>
            <w:shd w:val="clear" w:color="auto" w:fill="C6EFCE"/>
            <w:noWrap/>
          </w:tcPr>
          <w:p w14:paraId="614423DF" w14:textId="5F0D1138" w:rsidR="003B6BD9" w:rsidRDefault="009E25E8">
            <w:pPr>
              <w:pStyle w:val="P68B1DB1-Normal7"/>
              <w:spacing w:before="0" w:after="0" w:line="256" w:lineRule="auto"/>
              <w:jc w:val="right"/>
              <w:rPr>
                <w:rFonts w:eastAsia="Times New Roman"/>
                <w:noProof/>
              </w:rPr>
            </w:pPr>
            <w:r>
              <w:rPr>
                <w:noProof/>
              </w:rPr>
              <w:t>4</w:t>
            </w:r>
          </w:p>
        </w:tc>
        <w:tc>
          <w:tcPr>
            <w:tcW w:w="990" w:type="dxa"/>
            <w:tcBorders>
              <w:top w:val="single" w:sz="4" w:space="0" w:color="auto"/>
              <w:left w:val="nil"/>
              <w:bottom w:val="single" w:sz="4" w:space="0" w:color="auto"/>
              <w:right w:val="single" w:sz="4" w:space="0" w:color="auto"/>
            </w:tcBorders>
            <w:shd w:val="clear" w:color="auto" w:fill="C6EFCE"/>
            <w:noWrap/>
          </w:tcPr>
          <w:p w14:paraId="0E2100CD" w14:textId="77777777" w:rsidR="003B6BD9" w:rsidRDefault="009E25E8">
            <w:pPr>
              <w:pStyle w:val="P68B1DB1-Normal7"/>
              <w:spacing w:before="0" w:after="0" w:line="256" w:lineRule="auto"/>
              <w:jc w:val="center"/>
              <w:rPr>
                <w:rFonts w:eastAsia="Times New Roman"/>
                <w:noProof/>
              </w:rPr>
            </w:pPr>
            <w:r>
              <w:rPr>
                <w:noProof/>
              </w:rPr>
              <w:t>T2</w:t>
            </w:r>
          </w:p>
        </w:tc>
        <w:tc>
          <w:tcPr>
            <w:tcW w:w="630" w:type="dxa"/>
            <w:tcBorders>
              <w:top w:val="single" w:sz="4" w:space="0" w:color="auto"/>
              <w:left w:val="nil"/>
              <w:bottom w:val="single" w:sz="4" w:space="0" w:color="auto"/>
              <w:right w:val="single" w:sz="4" w:space="0" w:color="auto"/>
            </w:tcBorders>
            <w:shd w:val="clear" w:color="auto" w:fill="C6EFCE"/>
            <w:noWrap/>
          </w:tcPr>
          <w:p w14:paraId="23286355" w14:textId="77777777" w:rsidR="003B6BD9" w:rsidRDefault="009E25E8">
            <w:pPr>
              <w:pStyle w:val="P68B1DB1-Normal7"/>
              <w:spacing w:before="0" w:after="0" w:line="256" w:lineRule="auto"/>
              <w:jc w:val="center"/>
              <w:rPr>
                <w:rFonts w:eastAsia="Times New Roman"/>
                <w:noProof/>
              </w:rPr>
            </w:pPr>
            <w:r>
              <w:rPr>
                <w:noProof/>
              </w:rPr>
              <w:t>2026</w:t>
            </w:r>
          </w:p>
        </w:tc>
        <w:tc>
          <w:tcPr>
            <w:tcW w:w="3317" w:type="dxa"/>
            <w:tcBorders>
              <w:top w:val="single" w:sz="4" w:space="0" w:color="auto"/>
              <w:left w:val="nil"/>
              <w:bottom w:val="single" w:sz="4" w:space="0" w:color="auto"/>
              <w:right w:val="single" w:sz="4" w:space="0" w:color="auto"/>
            </w:tcBorders>
            <w:shd w:val="clear" w:color="auto" w:fill="C6EFCE"/>
            <w:noWrap/>
          </w:tcPr>
          <w:p w14:paraId="07EF243F" w14:textId="7E2CD7C1" w:rsidR="003B6BD9" w:rsidRDefault="009E25E8">
            <w:pPr>
              <w:pStyle w:val="P68B1DB1-Normal7"/>
              <w:spacing w:before="0" w:after="0" w:line="256" w:lineRule="auto"/>
              <w:rPr>
                <w:rFonts w:eastAsia="Times New Roman"/>
                <w:noProof/>
              </w:rPr>
            </w:pPr>
            <w:r>
              <w:rPr>
                <w:noProof/>
              </w:rPr>
              <w:t xml:space="preserve">Au moins 4 confirmations du pouvoir adjudicateur acceptant les rapports finaux du programme par le contractant concernant des programmes dans le domaine de la transformation écologique ou numérique. </w:t>
            </w:r>
          </w:p>
        </w:tc>
      </w:tr>
      <w:tr w:rsidR="003B6BD9" w14:paraId="04FBECDA" w14:textId="77777777" w:rsidTr="006C1AFD">
        <w:trPr>
          <w:trHeight w:val="300"/>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15CC496" w14:textId="77777777" w:rsidR="003B6BD9" w:rsidRDefault="009E25E8">
            <w:pPr>
              <w:pStyle w:val="P68B1DB1-Normal7"/>
              <w:spacing w:before="0" w:after="0" w:line="256" w:lineRule="auto"/>
              <w:jc w:val="center"/>
              <w:rPr>
                <w:rFonts w:eastAsia="Times New Roman"/>
                <w:noProof/>
              </w:rPr>
            </w:pPr>
            <w:r>
              <w:rPr>
                <w:noProof/>
              </w:rPr>
              <w:t>118</w:t>
            </w:r>
          </w:p>
        </w:tc>
        <w:tc>
          <w:tcPr>
            <w:tcW w:w="1800" w:type="dxa"/>
            <w:tcBorders>
              <w:top w:val="single" w:sz="4" w:space="0" w:color="auto"/>
              <w:left w:val="nil"/>
              <w:bottom w:val="single" w:sz="4" w:space="0" w:color="auto"/>
              <w:right w:val="single" w:sz="4" w:space="0" w:color="auto"/>
            </w:tcBorders>
            <w:shd w:val="clear" w:color="auto" w:fill="C6EFCE"/>
            <w:noWrap/>
          </w:tcPr>
          <w:p w14:paraId="7EEE7C57" w14:textId="77777777" w:rsidR="003B6BD9" w:rsidRDefault="009E25E8">
            <w:pPr>
              <w:pStyle w:val="P68B1DB1-Normal7"/>
              <w:spacing w:before="0" w:after="0" w:line="256" w:lineRule="auto"/>
              <w:rPr>
                <w:rFonts w:eastAsia="Times New Roman"/>
                <w:noProof/>
              </w:rPr>
            </w:pPr>
            <w:r>
              <w:rPr>
                <w:noProof/>
              </w:rPr>
              <w:t>B: Cofinancement de projets de recherche et d’innovation à l’appui de la transition écologique et de la numérisation</w:t>
            </w:r>
          </w:p>
        </w:tc>
        <w:tc>
          <w:tcPr>
            <w:tcW w:w="1200" w:type="dxa"/>
            <w:tcBorders>
              <w:top w:val="single" w:sz="4" w:space="0" w:color="auto"/>
              <w:left w:val="nil"/>
              <w:bottom w:val="single" w:sz="4" w:space="0" w:color="auto"/>
              <w:right w:val="single" w:sz="4" w:space="0" w:color="auto"/>
            </w:tcBorders>
            <w:shd w:val="clear" w:color="auto" w:fill="C6EFCE"/>
            <w:noWrap/>
          </w:tcPr>
          <w:p w14:paraId="1E250B3F" w14:textId="5366E43C" w:rsidR="003B6BD9" w:rsidRDefault="009E25E8">
            <w:pPr>
              <w:pStyle w:val="P68B1DB1-Normal7"/>
              <w:spacing w:before="0" w:after="0" w:line="256" w:lineRule="auto"/>
              <w:rPr>
                <w:rFonts w:eastAsia="Times New Roman"/>
                <w:noProof/>
              </w:rPr>
            </w:pPr>
            <w:r>
              <w:rPr>
                <w:noProof/>
              </w:rPr>
              <w:t>Jalon</w:t>
            </w:r>
          </w:p>
        </w:tc>
        <w:tc>
          <w:tcPr>
            <w:tcW w:w="1799" w:type="dxa"/>
            <w:tcBorders>
              <w:top w:val="single" w:sz="4" w:space="0" w:color="auto"/>
              <w:left w:val="nil"/>
              <w:bottom w:val="single" w:sz="4" w:space="0" w:color="auto"/>
              <w:right w:val="single" w:sz="4" w:space="0" w:color="auto"/>
            </w:tcBorders>
            <w:shd w:val="clear" w:color="auto" w:fill="C6EFCE"/>
            <w:noWrap/>
          </w:tcPr>
          <w:p w14:paraId="0E2D2A42" w14:textId="04B618F4" w:rsidR="003B6BD9" w:rsidRDefault="009E25E8">
            <w:pPr>
              <w:pStyle w:val="P68B1DB1-Normal7"/>
              <w:spacing w:before="0" w:after="0" w:line="256" w:lineRule="auto"/>
              <w:rPr>
                <w:rFonts w:eastAsia="Times New Roman"/>
                <w:noProof/>
              </w:rPr>
            </w:pPr>
            <w:r>
              <w:rPr>
                <w:noProof/>
              </w:rPr>
              <w:t xml:space="preserve">Acceptation des rapports finaux du projet </w:t>
            </w:r>
          </w:p>
        </w:tc>
        <w:tc>
          <w:tcPr>
            <w:tcW w:w="2168" w:type="dxa"/>
            <w:tcBorders>
              <w:top w:val="single" w:sz="4" w:space="0" w:color="auto"/>
              <w:left w:val="nil"/>
              <w:bottom w:val="single" w:sz="4" w:space="0" w:color="auto"/>
              <w:right w:val="single" w:sz="4" w:space="0" w:color="auto"/>
            </w:tcBorders>
            <w:shd w:val="clear" w:color="auto" w:fill="C6EFCE"/>
            <w:noWrap/>
          </w:tcPr>
          <w:p w14:paraId="75BAEC8E" w14:textId="465429DC" w:rsidR="003B6BD9" w:rsidRDefault="009E25E8">
            <w:pPr>
              <w:pStyle w:val="P68B1DB1-Normal7"/>
              <w:spacing w:before="0" w:after="0" w:line="256" w:lineRule="auto"/>
              <w:rPr>
                <w:rFonts w:eastAsia="Times New Roman"/>
                <w:noProof/>
              </w:rPr>
            </w:pPr>
            <w:r>
              <w:rPr>
                <w:noProof/>
              </w:rPr>
              <w:t>Acceptation des rapports finaux du projet</w:t>
            </w:r>
          </w:p>
        </w:tc>
        <w:tc>
          <w:tcPr>
            <w:tcW w:w="990" w:type="dxa"/>
            <w:tcBorders>
              <w:top w:val="single" w:sz="4" w:space="0" w:color="auto"/>
              <w:left w:val="nil"/>
              <w:bottom w:val="single" w:sz="4" w:space="0" w:color="auto"/>
              <w:right w:val="single" w:sz="4" w:space="0" w:color="auto"/>
            </w:tcBorders>
            <w:shd w:val="clear" w:color="auto" w:fill="C6EFCE"/>
            <w:noWrap/>
          </w:tcPr>
          <w:p w14:paraId="1F1207D6" w14:textId="25D6B976" w:rsidR="003B6BD9" w:rsidRDefault="003B6BD9">
            <w:pPr>
              <w:spacing w:before="0" w:after="0" w:line="256" w:lineRule="auto"/>
              <w:rPr>
                <w:rFonts w:eastAsia="Times New Roman"/>
                <w:noProof/>
                <w:color w:val="006100"/>
                <w:sz w:val="18"/>
                <w:szCs w:val="18"/>
              </w:rPr>
            </w:pPr>
          </w:p>
        </w:tc>
        <w:tc>
          <w:tcPr>
            <w:tcW w:w="990" w:type="dxa"/>
            <w:tcBorders>
              <w:top w:val="single" w:sz="4" w:space="0" w:color="auto"/>
              <w:left w:val="nil"/>
              <w:bottom w:val="single" w:sz="4" w:space="0" w:color="auto"/>
              <w:right w:val="single" w:sz="4" w:space="0" w:color="auto"/>
            </w:tcBorders>
            <w:shd w:val="clear" w:color="auto" w:fill="C6EFCE"/>
            <w:noWrap/>
          </w:tcPr>
          <w:p w14:paraId="11C36726" w14:textId="3995A3DB" w:rsidR="003B6BD9" w:rsidRDefault="003B6BD9">
            <w:pPr>
              <w:spacing w:before="0" w:after="0" w:line="256" w:lineRule="auto"/>
              <w:jc w:val="right"/>
              <w:rPr>
                <w:rFonts w:eastAsia="Times New Roman"/>
                <w:noProof/>
                <w:color w:val="006100"/>
                <w:sz w:val="18"/>
                <w:szCs w:val="18"/>
              </w:rPr>
            </w:pPr>
          </w:p>
        </w:tc>
        <w:tc>
          <w:tcPr>
            <w:tcW w:w="720" w:type="dxa"/>
            <w:tcBorders>
              <w:top w:val="single" w:sz="4" w:space="0" w:color="auto"/>
              <w:left w:val="nil"/>
              <w:bottom w:val="single" w:sz="4" w:space="0" w:color="auto"/>
              <w:right w:val="single" w:sz="4" w:space="0" w:color="auto"/>
            </w:tcBorders>
            <w:shd w:val="clear" w:color="auto" w:fill="C6EFCE"/>
            <w:noWrap/>
          </w:tcPr>
          <w:p w14:paraId="1058DE72" w14:textId="3CBBE70B" w:rsidR="003B6BD9" w:rsidRDefault="003B6BD9">
            <w:pPr>
              <w:spacing w:before="0" w:after="0" w:line="256" w:lineRule="auto"/>
              <w:jc w:val="right"/>
              <w:rPr>
                <w:rFonts w:eastAsia="Times New Roman"/>
                <w:noProof/>
                <w:color w:val="006100"/>
                <w:sz w:val="18"/>
                <w:szCs w:val="18"/>
              </w:rPr>
            </w:pPr>
          </w:p>
        </w:tc>
        <w:tc>
          <w:tcPr>
            <w:tcW w:w="990" w:type="dxa"/>
            <w:tcBorders>
              <w:top w:val="single" w:sz="4" w:space="0" w:color="auto"/>
              <w:left w:val="nil"/>
              <w:bottom w:val="single" w:sz="4" w:space="0" w:color="auto"/>
              <w:right w:val="single" w:sz="4" w:space="0" w:color="auto"/>
            </w:tcBorders>
            <w:shd w:val="clear" w:color="auto" w:fill="C6EFCE"/>
            <w:noWrap/>
          </w:tcPr>
          <w:p w14:paraId="3C5A7363" w14:textId="77777777" w:rsidR="003B6BD9" w:rsidRDefault="009E25E8">
            <w:pPr>
              <w:pStyle w:val="P68B1DB1-Normal7"/>
              <w:spacing w:before="0" w:after="0" w:line="256" w:lineRule="auto"/>
              <w:jc w:val="center"/>
              <w:rPr>
                <w:rFonts w:eastAsia="Times New Roman"/>
                <w:noProof/>
              </w:rPr>
            </w:pPr>
            <w:r>
              <w:rPr>
                <w:noProof/>
              </w:rPr>
              <w:t>T2</w:t>
            </w:r>
          </w:p>
        </w:tc>
        <w:tc>
          <w:tcPr>
            <w:tcW w:w="630" w:type="dxa"/>
            <w:tcBorders>
              <w:top w:val="single" w:sz="4" w:space="0" w:color="auto"/>
              <w:left w:val="nil"/>
              <w:bottom w:val="single" w:sz="4" w:space="0" w:color="auto"/>
              <w:right w:val="single" w:sz="4" w:space="0" w:color="auto"/>
            </w:tcBorders>
            <w:shd w:val="clear" w:color="auto" w:fill="C6EFCE"/>
            <w:noWrap/>
          </w:tcPr>
          <w:p w14:paraId="75096ABD" w14:textId="77777777" w:rsidR="003B6BD9" w:rsidRDefault="009E25E8">
            <w:pPr>
              <w:pStyle w:val="P68B1DB1-Normal7"/>
              <w:spacing w:before="0" w:after="0" w:line="256" w:lineRule="auto"/>
              <w:jc w:val="center"/>
              <w:rPr>
                <w:rFonts w:eastAsia="Times New Roman"/>
                <w:noProof/>
              </w:rPr>
            </w:pPr>
            <w:r>
              <w:rPr>
                <w:noProof/>
              </w:rPr>
              <w:t>2026</w:t>
            </w:r>
          </w:p>
        </w:tc>
        <w:tc>
          <w:tcPr>
            <w:tcW w:w="3317" w:type="dxa"/>
            <w:tcBorders>
              <w:top w:val="single" w:sz="4" w:space="0" w:color="auto"/>
              <w:left w:val="nil"/>
              <w:bottom w:val="single" w:sz="4" w:space="0" w:color="auto"/>
              <w:right w:val="single" w:sz="4" w:space="0" w:color="auto"/>
            </w:tcBorders>
            <w:shd w:val="clear" w:color="auto" w:fill="C6EFCE"/>
            <w:noWrap/>
          </w:tcPr>
          <w:p w14:paraId="0662524C" w14:textId="44823475" w:rsidR="003B6BD9" w:rsidRDefault="009E25E8">
            <w:pPr>
              <w:pStyle w:val="P68B1DB1-Normal7"/>
              <w:spacing w:before="0" w:after="0" w:line="256" w:lineRule="auto"/>
              <w:jc w:val="both"/>
              <w:rPr>
                <w:rFonts w:eastAsia="Times New Roman"/>
                <w:noProof/>
              </w:rPr>
            </w:pPr>
            <w:r>
              <w:rPr>
                <w:noProof/>
              </w:rPr>
              <w:t xml:space="preserve">Acceptation par l’administration contractante des rapports finaux des bénéficiaires concernant les projets dans le domaine de la transformation écologique. </w:t>
            </w:r>
          </w:p>
        </w:tc>
      </w:tr>
      <w:tr w:rsidR="003B6BD9" w14:paraId="12F6CABF" w14:textId="77777777" w:rsidTr="006C1AFD">
        <w:trPr>
          <w:trHeight w:val="300"/>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FBA265C" w14:textId="2D166142" w:rsidR="003B6BD9" w:rsidRDefault="009E25E8">
            <w:pPr>
              <w:pStyle w:val="P68B1DB1-Normal7"/>
              <w:spacing w:before="0" w:after="0" w:line="256" w:lineRule="auto"/>
              <w:jc w:val="center"/>
              <w:rPr>
                <w:rFonts w:eastAsia="Times New Roman"/>
                <w:noProof/>
              </w:rPr>
            </w:pPr>
            <w:r>
              <w:rPr>
                <w:noProof/>
              </w:rPr>
              <w:t>119</w:t>
            </w:r>
          </w:p>
        </w:tc>
        <w:tc>
          <w:tcPr>
            <w:tcW w:w="1800" w:type="dxa"/>
            <w:tcBorders>
              <w:top w:val="single" w:sz="4" w:space="0" w:color="auto"/>
              <w:left w:val="nil"/>
              <w:bottom w:val="single" w:sz="4" w:space="0" w:color="auto"/>
              <w:right w:val="single" w:sz="4" w:space="0" w:color="auto"/>
            </w:tcBorders>
            <w:shd w:val="clear" w:color="auto" w:fill="C6EFCE"/>
            <w:noWrap/>
          </w:tcPr>
          <w:p w14:paraId="335E75FC" w14:textId="77777777" w:rsidR="003B6BD9" w:rsidRDefault="009E25E8">
            <w:pPr>
              <w:pStyle w:val="P68B1DB1-Normal7"/>
              <w:spacing w:before="0" w:after="0" w:line="256" w:lineRule="auto"/>
              <w:rPr>
                <w:rFonts w:eastAsia="Times New Roman"/>
                <w:noProof/>
              </w:rPr>
            </w:pPr>
            <w:r>
              <w:rPr>
                <w:noProof/>
              </w:rPr>
              <w:t xml:space="preserve">C: Cofinancement de projets visant à renforcer la mobilité internationale des chercheurs et des organismes de recherche slovènes et à promouvoir la participation internationale des candidats slovènes </w:t>
            </w:r>
          </w:p>
        </w:tc>
        <w:tc>
          <w:tcPr>
            <w:tcW w:w="1200" w:type="dxa"/>
            <w:tcBorders>
              <w:top w:val="single" w:sz="4" w:space="0" w:color="auto"/>
              <w:left w:val="nil"/>
              <w:bottom w:val="single" w:sz="4" w:space="0" w:color="auto"/>
              <w:right w:val="single" w:sz="4" w:space="0" w:color="auto"/>
            </w:tcBorders>
            <w:shd w:val="clear" w:color="auto" w:fill="C6EFCE"/>
            <w:noWrap/>
          </w:tcPr>
          <w:p w14:paraId="49E100DD" w14:textId="77777777" w:rsidR="003B6BD9" w:rsidRDefault="009E25E8">
            <w:pPr>
              <w:pStyle w:val="P68B1DB1-Normal7"/>
              <w:spacing w:before="0" w:after="0" w:line="256" w:lineRule="auto"/>
              <w:rPr>
                <w:rFonts w:eastAsia="Times New Roman"/>
                <w:noProof/>
              </w:rPr>
            </w:pPr>
            <w:r>
              <w:rPr>
                <w:noProof/>
              </w:rPr>
              <w:t>Cible</w:t>
            </w:r>
          </w:p>
        </w:tc>
        <w:tc>
          <w:tcPr>
            <w:tcW w:w="1799" w:type="dxa"/>
            <w:tcBorders>
              <w:top w:val="single" w:sz="4" w:space="0" w:color="auto"/>
              <w:left w:val="nil"/>
              <w:bottom w:val="single" w:sz="4" w:space="0" w:color="auto"/>
              <w:right w:val="single" w:sz="4" w:space="0" w:color="auto"/>
            </w:tcBorders>
            <w:shd w:val="clear" w:color="auto" w:fill="C6EFCE"/>
            <w:noWrap/>
          </w:tcPr>
          <w:p w14:paraId="57EB0097" w14:textId="72958098" w:rsidR="003B6BD9" w:rsidRDefault="009E25E8">
            <w:pPr>
              <w:pStyle w:val="P68B1DB1-Normal7"/>
              <w:spacing w:before="0" w:after="0" w:line="256" w:lineRule="auto"/>
              <w:rPr>
                <w:rFonts w:eastAsia="Times New Roman"/>
                <w:noProof/>
              </w:rPr>
            </w:pPr>
            <w:r>
              <w:rPr>
                <w:noProof/>
              </w:rPr>
              <w:t>Nombre de chercheurs participant aux projets</w:t>
            </w:r>
          </w:p>
        </w:tc>
        <w:tc>
          <w:tcPr>
            <w:tcW w:w="2168" w:type="dxa"/>
            <w:tcBorders>
              <w:top w:val="single" w:sz="4" w:space="0" w:color="auto"/>
              <w:left w:val="nil"/>
              <w:bottom w:val="single" w:sz="4" w:space="0" w:color="auto"/>
              <w:right w:val="single" w:sz="4" w:space="0" w:color="auto"/>
            </w:tcBorders>
            <w:shd w:val="clear" w:color="auto" w:fill="C6EFCE"/>
            <w:noWrap/>
          </w:tcPr>
          <w:p w14:paraId="6D8286AE" w14:textId="63500B18" w:rsidR="003B6BD9" w:rsidRDefault="003B6BD9">
            <w:pPr>
              <w:pStyle w:val="pf0"/>
              <w:rPr>
                <w:noProof/>
                <w:color w:val="006100"/>
                <w:sz w:val="18"/>
                <w:szCs w:val="18"/>
              </w:rPr>
            </w:pPr>
          </w:p>
        </w:tc>
        <w:tc>
          <w:tcPr>
            <w:tcW w:w="990" w:type="dxa"/>
            <w:tcBorders>
              <w:top w:val="single" w:sz="4" w:space="0" w:color="auto"/>
              <w:left w:val="nil"/>
              <w:bottom w:val="single" w:sz="4" w:space="0" w:color="auto"/>
              <w:right w:val="single" w:sz="4" w:space="0" w:color="auto"/>
            </w:tcBorders>
            <w:shd w:val="clear" w:color="auto" w:fill="C6EFCE"/>
            <w:noWrap/>
          </w:tcPr>
          <w:p w14:paraId="4375BBA5" w14:textId="69661B03" w:rsidR="003B6BD9" w:rsidRDefault="009E25E8">
            <w:pPr>
              <w:pStyle w:val="P68B1DB1-Normal7"/>
              <w:spacing w:before="0" w:after="0" w:line="256" w:lineRule="auto"/>
              <w:rPr>
                <w:rFonts w:eastAsia="Times New Roman"/>
                <w:noProof/>
              </w:rPr>
            </w:pPr>
            <w:r>
              <w:rPr>
                <w:noProof/>
              </w:rPr>
              <w:t xml:space="preserve">Nombre </w:t>
            </w:r>
          </w:p>
        </w:tc>
        <w:tc>
          <w:tcPr>
            <w:tcW w:w="990" w:type="dxa"/>
            <w:tcBorders>
              <w:top w:val="single" w:sz="4" w:space="0" w:color="auto"/>
              <w:left w:val="nil"/>
              <w:bottom w:val="single" w:sz="4" w:space="0" w:color="auto"/>
              <w:right w:val="single" w:sz="4" w:space="0" w:color="auto"/>
            </w:tcBorders>
            <w:shd w:val="clear" w:color="auto" w:fill="C6EFCE"/>
            <w:noWrap/>
          </w:tcPr>
          <w:p w14:paraId="16AC7B4A" w14:textId="77777777" w:rsidR="003B6BD9" w:rsidRDefault="009E25E8">
            <w:pPr>
              <w:pStyle w:val="P68B1DB1-Normal7"/>
              <w:spacing w:before="0" w:after="0" w:line="256" w:lineRule="auto"/>
              <w:jc w:val="right"/>
              <w:rPr>
                <w:rFonts w:eastAsia="Times New Roman"/>
                <w:noProof/>
              </w:rPr>
            </w:pPr>
            <w:r>
              <w:rPr>
                <w:noProof/>
              </w:rPr>
              <w:t>0</w:t>
            </w:r>
          </w:p>
        </w:tc>
        <w:tc>
          <w:tcPr>
            <w:tcW w:w="720" w:type="dxa"/>
            <w:tcBorders>
              <w:top w:val="single" w:sz="4" w:space="0" w:color="auto"/>
              <w:left w:val="nil"/>
              <w:bottom w:val="single" w:sz="4" w:space="0" w:color="auto"/>
              <w:right w:val="single" w:sz="4" w:space="0" w:color="auto"/>
            </w:tcBorders>
            <w:shd w:val="clear" w:color="auto" w:fill="C6EFCE"/>
            <w:noWrap/>
          </w:tcPr>
          <w:p w14:paraId="72029142" w14:textId="301FA87D" w:rsidR="003B6BD9" w:rsidRDefault="009E25E8">
            <w:pPr>
              <w:pStyle w:val="P68B1DB1-Normal7"/>
              <w:spacing w:before="0" w:after="0" w:line="256" w:lineRule="auto"/>
              <w:jc w:val="right"/>
              <w:rPr>
                <w:rFonts w:eastAsia="Times New Roman"/>
                <w:noProof/>
              </w:rPr>
            </w:pPr>
            <w:r>
              <w:rPr>
                <w:noProof/>
              </w:rPr>
              <w:t>33</w:t>
            </w:r>
          </w:p>
        </w:tc>
        <w:tc>
          <w:tcPr>
            <w:tcW w:w="990" w:type="dxa"/>
            <w:tcBorders>
              <w:top w:val="single" w:sz="4" w:space="0" w:color="auto"/>
              <w:left w:val="nil"/>
              <w:bottom w:val="single" w:sz="4" w:space="0" w:color="auto"/>
              <w:right w:val="single" w:sz="4" w:space="0" w:color="auto"/>
            </w:tcBorders>
            <w:shd w:val="clear" w:color="auto" w:fill="C6EFCE"/>
            <w:noWrap/>
          </w:tcPr>
          <w:p w14:paraId="678B86D6" w14:textId="77777777" w:rsidR="003B6BD9" w:rsidRDefault="009E25E8">
            <w:pPr>
              <w:pStyle w:val="P68B1DB1-Normal7"/>
              <w:spacing w:before="0" w:after="0" w:line="256" w:lineRule="auto"/>
              <w:jc w:val="center"/>
              <w:rPr>
                <w:rFonts w:eastAsia="Times New Roman"/>
                <w:noProof/>
              </w:rPr>
            </w:pPr>
            <w:r>
              <w:rPr>
                <w:noProof/>
              </w:rPr>
              <w:t>T2</w:t>
            </w:r>
          </w:p>
        </w:tc>
        <w:tc>
          <w:tcPr>
            <w:tcW w:w="630" w:type="dxa"/>
            <w:tcBorders>
              <w:top w:val="single" w:sz="4" w:space="0" w:color="auto"/>
              <w:left w:val="nil"/>
              <w:bottom w:val="single" w:sz="4" w:space="0" w:color="auto"/>
              <w:right w:val="single" w:sz="4" w:space="0" w:color="auto"/>
            </w:tcBorders>
            <w:shd w:val="clear" w:color="auto" w:fill="C6EFCE"/>
            <w:noWrap/>
          </w:tcPr>
          <w:p w14:paraId="6EC0B54D" w14:textId="77777777" w:rsidR="003B6BD9" w:rsidRDefault="009E25E8">
            <w:pPr>
              <w:pStyle w:val="P68B1DB1-Normal7"/>
              <w:spacing w:before="0" w:after="0" w:line="256" w:lineRule="auto"/>
              <w:jc w:val="center"/>
              <w:rPr>
                <w:rFonts w:eastAsia="Times New Roman"/>
                <w:noProof/>
              </w:rPr>
            </w:pPr>
            <w:r>
              <w:rPr>
                <w:noProof/>
              </w:rPr>
              <w:t>2026</w:t>
            </w:r>
          </w:p>
        </w:tc>
        <w:tc>
          <w:tcPr>
            <w:tcW w:w="3317" w:type="dxa"/>
            <w:tcBorders>
              <w:top w:val="single" w:sz="4" w:space="0" w:color="auto"/>
              <w:left w:val="nil"/>
              <w:bottom w:val="single" w:sz="4" w:space="0" w:color="auto"/>
              <w:right w:val="single" w:sz="4" w:space="0" w:color="auto"/>
            </w:tcBorders>
            <w:shd w:val="clear" w:color="auto" w:fill="C6EFCE"/>
            <w:noWrap/>
          </w:tcPr>
          <w:p w14:paraId="192BD0D5" w14:textId="06608F70" w:rsidR="003B6BD9" w:rsidRDefault="009E25E8">
            <w:pPr>
              <w:pStyle w:val="P68B1DB1-Normal7"/>
              <w:spacing w:before="0" w:after="0" w:line="256" w:lineRule="auto"/>
              <w:rPr>
                <w:noProof/>
              </w:rPr>
            </w:pPr>
            <w:r>
              <w:rPr>
                <w:noProof/>
              </w:rPr>
              <w:t xml:space="preserve">33 chercheurs participant aux projets couverts par les contrats conclus entre l’agence de recherche responsable (ARIS) et les sociétés de recherche employant les chercheurs. </w:t>
            </w:r>
          </w:p>
          <w:p w14:paraId="4E078E9C" w14:textId="56220EBA" w:rsidR="003B6BD9" w:rsidRDefault="009E25E8">
            <w:pPr>
              <w:pStyle w:val="P68B1DB1-Normal7"/>
              <w:spacing w:before="0" w:after="0" w:line="256" w:lineRule="auto"/>
              <w:rPr>
                <w:noProof/>
              </w:rPr>
            </w:pPr>
            <w:r>
              <w:rPr>
                <w:noProof/>
              </w:rPr>
              <w:t xml:space="preserve">Les projets soutiennent, au moyen d’une subvention d’une durée maximale de trois ans, les coûts de mobilité et de réintégration des chercheurs qui ont obtenu une évaluation positive ou d’excellence mais qui n’ont pas été sélectionnés en vue d’un financement au titre des appels à propositions Horizon </w:t>
            </w:r>
            <w:r>
              <w:rPr>
                <w:rFonts w:eastAsia="Times New Roman"/>
                <w:noProof/>
              </w:rPr>
              <w:t xml:space="preserve">2020 ou </w:t>
            </w:r>
            <w:r>
              <w:rPr>
                <w:noProof/>
              </w:rPr>
              <w:t>Horizon Europe, ou soutiennent la réintégration des chercheurs en Slovénie qui ont achevé des projets au titre d’Horizon 2020 ou d’Horizon Europe en fournissant un soutien d’une durée maximale de 2 ans au moyen d’une subvention.</w:t>
            </w:r>
          </w:p>
        </w:tc>
      </w:tr>
      <w:tr w:rsidR="003B6BD9" w14:paraId="1C96424B" w14:textId="77777777" w:rsidTr="006C1AFD">
        <w:trPr>
          <w:trHeight w:val="300"/>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C0D05FD" w14:textId="77777777" w:rsidR="003B6BD9" w:rsidRDefault="009E25E8">
            <w:pPr>
              <w:pStyle w:val="P68B1DB1-Normal7"/>
              <w:spacing w:before="0" w:after="0" w:line="256" w:lineRule="auto"/>
              <w:jc w:val="center"/>
              <w:rPr>
                <w:rFonts w:eastAsia="Times New Roman"/>
                <w:noProof/>
              </w:rPr>
            </w:pPr>
            <w:r>
              <w:rPr>
                <w:noProof/>
              </w:rPr>
              <w:t>122</w:t>
            </w:r>
          </w:p>
        </w:tc>
        <w:tc>
          <w:tcPr>
            <w:tcW w:w="1800" w:type="dxa"/>
            <w:tcBorders>
              <w:top w:val="single" w:sz="4" w:space="0" w:color="auto"/>
              <w:left w:val="nil"/>
              <w:bottom w:val="single" w:sz="4" w:space="0" w:color="auto"/>
              <w:right w:val="single" w:sz="4" w:space="0" w:color="auto"/>
            </w:tcBorders>
            <w:shd w:val="clear" w:color="auto" w:fill="C6EFCE"/>
            <w:noWrap/>
          </w:tcPr>
          <w:p w14:paraId="7AAB9F16" w14:textId="77777777" w:rsidR="003B6BD9" w:rsidRDefault="009E25E8">
            <w:pPr>
              <w:pStyle w:val="P68B1DB1-Normal7"/>
              <w:spacing w:before="0" w:after="0" w:line="256" w:lineRule="auto"/>
              <w:rPr>
                <w:rFonts w:eastAsia="Times New Roman"/>
                <w:noProof/>
              </w:rPr>
            </w:pPr>
            <w:r>
              <w:rPr>
                <w:noProof/>
              </w:rPr>
              <w:t>D: Cofinancement d’investissements dans des projets pilotes et de démonstration de RDI</w:t>
            </w:r>
          </w:p>
        </w:tc>
        <w:tc>
          <w:tcPr>
            <w:tcW w:w="1200" w:type="dxa"/>
            <w:tcBorders>
              <w:top w:val="single" w:sz="4" w:space="0" w:color="auto"/>
              <w:left w:val="nil"/>
              <w:bottom w:val="single" w:sz="4" w:space="0" w:color="auto"/>
              <w:right w:val="single" w:sz="4" w:space="0" w:color="auto"/>
            </w:tcBorders>
            <w:shd w:val="clear" w:color="auto" w:fill="C6EFCE"/>
            <w:noWrap/>
          </w:tcPr>
          <w:p w14:paraId="25030994" w14:textId="7E6B926A" w:rsidR="003B6BD9" w:rsidRDefault="009E25E8">
            <w:pPr>
              <w:pStyle w:val="P68B1DB1-Normal7"/>
              <w:spacing w:before="0" w:after="0" w:line="256" w:lineRule="auto"/>
              <w:rPr>
                <w:rFonts w:eastAsia="Times New Roman"/>
                <w:noProof/>
              </w:rPr>
            </w:pPr>
            <w:r>
              <w:rPr>
                <w:noProof/>
              </w:rPr>
              <w:t>Jalon</w:t>
            </w:r>
          </w:p>
        </w:tc>
        <w:tc>
          <w:tcPr>
            <w:tcW w:w="1799" w:type="dxa"/>
            <w:tcBorders>
              <w:top w:val="single" w:sz="4" w:space="0" w:color="auto"/>
              <w:left w:val="nil"/>
              <w:bottom w:val="single" w:sz="4" w:space="0" w:color="auto"/>
              <w:right w:val="single" w:sz="4" w:space="0" w:color="auto"/>
            </w:tcBorders>
            <w:shd w:val="clear" w:color="auto" w:fill="C6EFCE"/>
            <w:noWrap/>
          </w:tcPr>
          <w:p w14:paraId="00932C8A" w14:textId="0EB9825D" w:rsidR="003B6BD9" w:rsidRDefault="009E25E8">
            <w:pPr>
              <w:pStyle w:val="P68B1DB1-Normal7"/>
              <w:spacing w:before="0" w:after="0" w:line="256" w:lineRule="auto"/>
              <w:rPr>
                <w:rFonts w:eastAsia="Times New Roman"/>
                <w:noProof/>
              </w:rPr>
            </w:pPr>
            <w:r>
              <w:rPr>
                <w:noProof/>
              </w:rPr>
              <w:t>Acceptation des rapports finaux du projet</w:t>
            </w:r>
          </w:p>
        </w:tc>
        <w:tc>
          <w:tcPr>
            <w:tcW w:w="2168" w:type="dxa"/>
            <w:tcBorders>
              <w:top w:val="single" w:sz="4" w:space="0" w:color="auto"/>
              <w:left w:val="nil"/>
              <w:bottom w:val="single" w:sz="4" w:space="0" w:color="auto"/>
              <w:right w:val="single" w:sz="4" w:space="0" w:color="auto"/>
            </w:tcBorders>
            <w:shd w:val="clear" w:color="auto" w:fill="C6EFCE"/>
            <w:noWrap/>
          </w:tcPr>
          <w:p w14:paraId="29205F55" w14:textId="7DCACFB2" w:rsidR="003B6BD9" w:rsidRDefault="009E25E8">
            <w:pPr>
              <w:pStyle w:val="P68B1DB1-Normal7"/>
              <w:spacing w:before="0" w:after="0" w:line="256" w:lineRule="auto"/>
              <w:rPr>
                <w:rFonts w:eastAsia="Times New Roman"/>
                <w:noProof/>
              </w:rPr>
            </w:pPr>
            <w:r>
              <w:rPr>
                <w:noProof/>
              </w:rPr>
              <w:t>Acceptation des rapports finaux du projet</w:t>
            </w:r>
          </w:p>
        </w:tc>
        <w:tc>
          <w:tcPr>
            <w:tcW w:w="990" w:type="dxa"/>
            <w:tcBorders>
              <w:top w:val="single" w:sz="4" w:space="0" w:color="auto"/>
              <w:left w:val="nil"/>
              <w:bottom w:val="single" w:sz="4" w:space="0" w:color="auto"/>
              <w:right w:val="single" w:sz="4" w:space="0" w:color="auto"/>
            </w:tcBorders>
            <w:shd w:val="clear" w:color="auto" w:fill="C6EFCE"/>
            <w:noWrap/>
          </w:tcPr>
          <w:p w14:paraId="59F6185E" w14:textId="688EDC6B" w:rsidR="003B6BD9" w:rsidRDefault="003B6BD9">
            <w:pPr>
              <w:spacing w:before="0" w:after="0" w:line="256" w:lineRule="auto"/>
              <w:rPr>
                <w:rFonts w:eastAsia="Times New Roman"/>
                <w:noProof/>
                <w:color w:val="006100"/>
                <w:sz w:val="18"/>
                <w:szCs w:val="18"/>
              </w:rPr>
            </w:pPr>
          </w:p>
        </w:tc>
        <w:tc>
          <w:tcPr>
            <w:tcW w:w="990" w:type="dxa"/>
            <w:tcBorders>
              <w:top w:val="single" w:sz="4" w:space="0" w:color="auto"/>
              <w:left w:val="nil"/>
              <w:bottom w:val="single" w:sz="4" w:space="0" w:color="auto"/>
              <w:right w:val="single" w:sz="4" w:space="0" w:color="auto"/>
            </w:tcBorders>
            <w:shd w:val="clear" w:color="auto" w:fill="C6EFCE"/>
            <w:noWrap/>
          </w:tcPr>
          <w:p w14:paraId="5111C758" w14:textId="4BAADF58" w:rsidR="003B6BD9" w:rsidRDefault="003B6BD9">
            <w:pPr>
              <w:spacing w:before="0" w:after="0" w:line="256" w:lineRule="auto"/>
              <w:jc w:val="right"/>
              <w:rPr>
                <w:rFonts w:eastAsia="Times New Roman"/>
                <w:noProof/>
                <w:color w:val="006100"/>
                <w:sz w:val="18"/>
                <w:szCs w:val="18"/>
              </w:rPr>
            </w:pPr>
          </w:p>
        </w:tc>
        <w:tc>
          <w:tcPr>
            <w:tcW w:w="720" w:type="dxa"/>
            <w:tcBorders>
              <w:top w:val="single" w:sz="4" w:space="0" w:color="auto"/>
              <w:left w:val="nil"/>
              <w:bottom w:val="single" w:sz="4" w:space="0" w:color="auto"/>
              <w:right w:val="single" w:sz="4" w:space="0" w:color="auto"/>
            </w:tcBorders>
            <w:shd w:val="clear" w:color="auto" w:fill="C6EFCE"/>
            <w:noWrap/>
          </w:tcPr>
          <w:p w14:paraId="3219606C" w14:textId="75471113" w:rsidR="003B6BD9" w:rsidRDefault="003B6BD9">
            <w:pPr>
              <w:spacing w:before="0" w:after="0" w:line="256" w:lineRule="auto"/>
              <w:jc w:val="right"/>
              <w:rPr>
                <w:rFonts w:eastAsia="Times New Roman"/>
                <w:noProof/>
                <w:color w:val="006100"/>
                <w:sz w:val="18"/>
                <w:szCs w:val="18"/>
              </w:rPr>
            </w:pPr>
          </w:p>
        </w:tc>
        <w:tc>
          <w:tcPr>
            <w:tcW w:w="990" w:type="dxa"/>
            <w:tcBorders>
              <w:top w:val="single" w:sz="4" w:space="0" w:color="auto"/>
              <w:left w:val="nil"/>
              <w:bottom w:val="single" w:sz="4" w:space="0" w:color="auto"/>
              <w:right w:val="single" w:sz="4" w:space="0" w:color="auto"/>
            </w:tcBorders>
            <w:shd w:val="clear" w:color="auto" w:fill="C6EFCE"/>
            <w:noWrap/>
          </w:tcPr>
          <w:p w14:paraId="1294E6D4" w14:textId="77777777" w:rsidR="003B6BD9" w:rsidRDefault="009E25E8">
            <w:pPr>
              <w:pStyle w:val="P68B1DB1-Normal7"/>
              <w:spacing w:before="0" w:after="0" w:line="256" w:lineRule="auto"/>
              <w:jc w:val="center"/>
              <w:rPr>
                <w:rFonts w:eastAsia="Times New Roman"/>
                <w:noProof/>
              </w:rPr>
            </w:pPr>
            <w:r>
              <w:rPr>
                <w:noProof/>
              </w:rPr>
              <w:t>T2</w:t>
            </w:r>
          </w:p>
        </w:tc>
        <w:tc>
          <w:tcPr>
            <w:tcW w:w="630" w:type="dxa"/>
            <w:tcBorders>
              <w:top w:val="single" w:sz="4" w:space="0" w:color="auto"/>
              <w:left w:val="nil"/>
              <w:bottom w:val="single" w:sz="4" w:space="0" w:color="auto"/>
              <w:right w:val="single" w:sz="4" w:space="0" w:color="auto"/>
            </w:tcBorders>
            <w:shd w:val="clear" w:color="auto" w:fill="C6EFCE"/>
            <w:noWrap/>
          </w:tcPr>
          <w:p w14:paraId="75681373" w14:textId="77777777" w:rsidR="003B6BD9" w:rsidRDefault="009E25E8">
            <w:pPr>
              <w:pStyle w:val="P68B1DB1-Normal7"/>
              <w:spacing w:before="0" w:after="0" w:line="256" w:lineRule="auto"/>
              <w:jc w:val="center"/>
              <w:rPr>
                <w:rFonts w:eastAsia="Times New Roman"/>
                <w:noProof/>
              </w:rPr>
            </w:pPr>
            <w:r>
              <w:rPr>
                <w:noProof/>
              </w:rPr>
              <w:t>2026</w:t>
            </w:r>
          </w:p>
        </w:tc>
        <w:tc>
          <w:tcPr>
            <w:tcW w:w="3317" w:type="dxa"/>
            <w:tcBorders>
              <w:top w:val="single" w:sz="4" w:space="0" w:color="auto"/>
              <w:left w:val="nil"/>
              <w:bottom w:val="single" w:sz="4" w:space="0" w:color="auto"/>
              <w:right w:val="single" w:sz="4" w:space="0" w:color="auto"/>
            </w:tcBorders>
            <w:shd w:val="clear" w:color="auto" w:fill="C6EFCE"/>
            <w:noWrap/>
          </w:tcPr>
          <w:p w14:paraId="62B6DF02" w14:textId="2CE3ACFF" w:rsidR="003B6BD9" w:rsidRDefault="009E25E8">
            <w:pPr>
              <w:pStyle w:val="P68B1DB1-Normal7"/>
              <w:spacing w:before="0" w:after="0" w:line="256" w:lineRule="auto"/>
              <w:rPr>
                <w:noProof/>
              </w:rPr>
            </w:pPr>
            <w:r>
              <w:rPr>
                <w:noProof/>
              </w:rPr>
              <w:t>Acceptation par le pouvoir adjudicateur des rapports de projet finaux des bénéficiaires concernant les projets pilotes ou de démonstration en matière de RDI dans le domaine de l’économie circulaire.</w:t>
            </w:r>
          </w:p>
        </w:tc>
      </w:tr>
    </w:tbl>
    <w:p w14:paraId="456E55A4" w14:textId="77777777" w:rsidR="003B6BD9" w:rsidRDefault="003B6BD9">
      <w:pPr>
        <w:spacing w:line="240" w:lineRule="auto"/>
        <w:ind w:left="709"/>
        <w:jc w:val="both"/>
        <w:rPr>
          <w:noProof/>
          <w:szCs w:val="24"/>
        </w:rPr>
      </w:pPr>
    </w:p>
    <w:p w14:paraId="0A6EB878" w14:textId="69481069" w:rsidR="003B6BD9" w:rsidRDefault="003B6BD9">
      <w:pPr>
        <w:spacing w:line="240" w:lineRule="auto"/>
        <w:ind w:left="709"/>
        <w:jc w:val="both"/>
        <w:rPr>
          <w:noProof/>
          <w:szCs w:val="24"/>
        </w:rPr>
        <w:sectPr w:rsidR="003B6BD9" w:rsidSect="00073927">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26"/>
        </w:sectPr>
      </w:pPr>
    </w:p>
    <w:p w14:paraId="54A777C8" w14:textId="77777777" w:rsidR="003B6BD9" w:rsidRDefault="009E25E8">
      <w:pPr>
        <w:pStyle w:val="P68B1DB1-Normal3"/>
        <w:keepNext/>
        <w:tabs>
          <w:tab w:val="left" w:pos="426"/>
        </w:tabs>
        <w:spacing w:line="240" w:lineRule="auto"/>
        <w:ind w:left="426" w:hanging="426"/>
        <w:jc w:val="both"/>
        <w:outlineLvl w:val="0"/>
        <w:rPr>
          <w:noProof/>
        </w:rPr>
      </w:pPr>
      <w:r>
        <w:rPr>
          <w:noProof/>
        </w:rPr>
        <w:t>I. VOLET 9: ACCROÎTRE LA PRODUCTIVITÉ, CRÉER UN ENVIRONNEMENT FAVORABLE AUX ENTREPRISES POUR LES INVESTISSEURS</w:t>
      </w:r>
    </w:p>
    <w:p w14:paraId="37AB2998" w14:textId="77777777" w:rsidR="003B6BD9" w:rsidRDefault="009E25E8">
      <w:pPr>
        <w:spacing w:line="240" w:lineRule="auto"/>
        <w:jc w:val="both"/>
        <w:rPr>
          <w:noProof/>
        </w:rPr>
      </w:pPr>
      <w:r>
        <w:rPr>
          <w:noProof/>
        </w:rPr>
        <w:t xml:space="preserve">Ce volet du plan slovène pour la reprise et la résilience vise à remédier au faible niveau des investissements du secteur privé en Slovénie en améliorant la réglementation des marchés des capitaux, en réformant les principes du soutien public aux investissements privés et en finançant les investissements des entreprises. </w:t>
      </w:r>
    </w:p>
    <w:p w14:paraId="3C678250" w14:textId="77777777" w:rsidR="003B6BD9" w:rsidRDefault="009E25E8">
      <w:pPr>
        <w:spacing w:line="240" w:lineRule="auto"/>
        <w:jc w:val="both"/>
        <w:rPr>
          <w:noProof/>
        </w:rPr>
      </w:pPr>
      <w:r>
        <w:rPr>
          <w:noProof/>
        </w:rPr>
        <w:t>Les objectifs de ce volet sont de renforcer d’autres sources de financement non bancaires, de faciliter les investissements des entreprises dans les technologies vertes et numériques hautement productives les plus avancées et de renforcer le cadre de soutien aux entreprises.</w:t>
      </w:r>
    </w:p>
    <w:p w14:paraId="69FF0596" w14:textId="77777777" w:rsidR="003B6BD9" w:rsidRDefault="009E25E8">
      <w:pPr>
        <w:spacing w:line="240" w:lineRule="auto"/>
        <w:jc w:val="both"/>
        <w:rPr>
          <w:noProof/>
        </w:rPr>
      </w:pPr>
      <w:r>
        <w:rPr>
          <w:noProof/>
        </w:rPr>
        <w:t>Ces investissements et réformes répondent aux recommandations par pays adressées à la Slovénie en 2019 pour «soutenir le développement des marchés d’actions» (recommandations par pays no 2 et 2019) et 2020 pour «fournir des liquidités et des financements aux entreprises et aux ménages [...] promouvoir l’investissement privé afin de soutenir la reprise économique» et pour «concentrer les investissements sur la transition écologique et numérique» (recommandations par pays no 3 et 2020).</w:t>
      </w:r>
    </w:p>
    <w:p w14:paraId="7786331D" w14:textId="6C73307E" w:rsidR="003B6BD9" w:rsidRDefault="009E25E8">
      <w:pPr>
        <w:spacing w:line="240" w:lineRule="auto"/>
        <w:jc w:val="both"/>
        <w:rPr>
          <w:noProof/>
        </w:rPr>
      </w:pPr>
      <w:r>
        <w:rPr>
          <w:noProof/>
        </w:rPr>
        <w:t xml:space="preserve">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 </w:t>
      </w:r>
    </w:p>
    <w:p w14:paraId="7DBEB9A4" w14:textId="3A604CCC" w:rsidR="003B6BD9" w:rsidRDefault="009E25E8">
      <w:pPr>
        <w:pStyle w:val="P68B1DB1-Normal4"/>
        <w:spacing w:line="240" w:lineRule="auto"/>
        <w:jc w:val="both"/>
        <w:rPr>
          <w:i/>
          <w:noProof/>
          <w:color w:val="4472C4"/>
        </w:rPr>
      </w:pPr>
      <w:r>
        <w:rPr>
          <w:noProof/>
        </w:rPr>
        <w:t>I.1. Description des réformes et des investissements pour le soutien financier non remboursable</w:t>
      </w:r>
    </w:p>
    <w:p w14:paraId="18E4C363" w14:textId="77777777" w:rsidR="003B6BD9" w:rsidRDefault="009E25E8">
      <w:pPr>
        <w:pStyle w:val="P68B1DB1-Normal5"/>
        <w:spacing w:line="240" w:lineRule="auto"/>
        <w:jc w:val="both"/>
        <w:rPr>
          <w:noProof/>
        </w:rPr>
      </w:pPr>
      <w:r>
        <w:rPr>
          <w:noProof/>
        </w:rPr>
        <w:t>Réforme A: Renforcer les marchés des capitaux</w:t>
      </w:r>
    </w:p>
    <w:p w14:paraId="1B287BB8" w14:textId="77777777" w:rsidR="003B6BD9" w:rsidRDefault="009E25E8">
      <w:pPr>
        <w:spacing w:line="240" w:lineRule="auto"/>
        <w:jc w:val="both"/>
        <w:rPr>
          <w:noProof/>
        </w:rPr>
      </w:pPr>
      <w:r>
        <w:rPr>
          <w:noProof/>
        </w:rPr>
        <w:t>L’objectif de cette réforme est de renforcer les marchés des capitaux en Slovénie.</w:t>
      </w:r>
    </w:p>
    <w:p w14:paraId="7B1EF1A5" w14:textId="77777777" w:rsidR="003B6BD9" w:rsidRDefault="009E25E8">
      <w:pPr>
        <w:spacing w:line="240" w:lineRule="auto"/>
        <w:jc w:val="both"/>
        <w:rPr>
          <w:noProof/>
        </w:rPr>
      </w:pPr>
      <w:r>
        <w:rPr>
          <w:noProof/>
        </w:rPr>
        <w:t>La réforme consiste en l’entrée en vigueur d’une nouvelle loi sur les formes de fonds d’investissement alternatifs, qui définit les types de fonds d’investissement alternatifs. Cette nouvelle loi s’appuiera sur les résultats du projet du programme d’appui à la réforme structurelle intitulé «Renforcement du segment des fonds d’investissement alternatifs (FIA)».</w:t>
      </w:r>
    </w:p>
    <w:p w14:paraId="6D2942CC" w14:textId="77777777" w:rsidR="003B6BD9" w:rsidRDefault="009E25E8">
      <w:pPr>
        <w:spacing w:line="240" w:lineRule="auto"/>
        <w:jc w:val="both"/>
        <w:rPr>
          <w:noProof/>
        </w:rPr>
      </w:pPr>
      <w:r>
        <w:rPr>
          <w:noProof/>
        </w:rPr>
        <w:t xml:space="preserve">En outre, une stratégie pour le marché slovène des capitaux sera adoptée, qui définira des mesures spécifiques pour la poursuite du développement, en s’appuyant sur les résultats du projet «Renforcement et développement du marché des capitaux en Slovénie» du programme d’appui à la réforme structurelle. </w:t>
      </w:r>
    </w:p>
    <w:p w14:paraId="62F46FB0" w14:textId="77777777" w:rsidR="003B6BD9" w:rsidRDefault="009E25E8">
      <w:pPr>
        <w:spacing w:line="240" w:lineRule="auto"/>
        <w:jc w:val="both"/>
        <w:rPr>
          <w:noProof/>
        </w:rPr>
      </w:pPr>
      <w:r>
        <w:rPr>
          <w:noProof/>
        </w:rPr>
        <w:t>Les étapes liées à la mise en œuvre de la réforme sont achevées au plus tard le 30 juin 2022.</w:t>
      </w:r>
    </w:p>
    <w:p w14:paraId="566D9C36" w14:textId="77777777" w:rsidR="003B6BD9" w:rsidRDefault="009E25E8">
      <w:pPr>
        <w:pStyle w:val="P68B1DB1-Normal5"/>
        <w:spacing w:line="240" w:lineRule="auto"/>
        <w:jc w:val="both"/>
        <w:rPr>
          <w:noProof/>
        </w:rPr>
      </w:pPr>
      <w:r>
        <w:rPr>
          <w:noProof/>
        </w:rPr>
        <w:t>Réforme B: Une économie plus productive pour la transition numérique et écologique</w:t>
      </w:r>
    </w:p>
    <w:p w14:paraId="460EA553" w14:textId="77777777" w:rsidR="003B6BD9" w:rsidRDefault="009E25E8">
      <w:pPr>
        <w:spacing w:line="240" w:lineRule="auto"/>
        <w:jc w:val="both"/>
        <w:rPr>
          <w:noProof/>
        </w:rPr>
      </w:pPr>
      <w:r>
        <w:rPr>
          <w:noProof/>
        </w:rPr>
        <w:t>L’objectif de cette réforme est d’accroître la productivité de l’économie slovène en réorientant les critères de soutien à l’investissement public de la création d’emplois vers des modèles d’entreprise et des investissements hautement productifs, durables et axés sur le numérique.</w:t>
      </w:r>
    </w:p>
    <w:p w14:paraId="3AE93599" w14:textId="77777777" w:rsidR="003B6BD9" w:rsidRDefault="009E25E8">
      <w:pPr>
        <w:spacing w:line="240" w:lineRule="auto"/>
        <w:jc w:val="both"/>
        <w:rPr>
          <w:noProof/>
        </w:rPr>
      </w:pPr>
      <w:r>
        <w:rPr>
          <w:noProof/>
        </w:rPr>
        <w:t xml:space="preserve">La réforme consiste en l’entrée en vigueur des modifications apportées à la loi sur la promotion des investissements nationaux et étrangers par les entreprises. Les modifications réorientent les incitations à l’investissement public vers des investissements à forte intensité de capital et à haute valeur ajoutée. La réforme subordonne le soutien public à un ensemble spécifique de critères de performance en matière de durabilité environnementale. </w:t>
      </w:r>
    </w:p>
    <w:p w14:paraId="1FB9FD42" w14:textId="77777777" w:rsidR="003B6BD9" w:rsidRDefault="009E25E8">
      <w:pPr>
        <w:spacing w:line="240" w:lineRule="auto"/>
        <w:jc w:val="both"/>
        <w:rPr>
          <w:noProof/>
        </w:rPr>
      </w:pPr>
      <w:r>
        <w:rPr>
          <w:noProof/>
        </w:rPr>
        <w:t>Les étapes liées à la mise en œuvre de la réforme sont achevées au plus tard le 30 juin 2022.</w:t>
      </w:r>
    </w:p>
    <w:p w14:paraId="2F56E3BE" w14:textId="77777777" w:rsidR="003B6BD9" w:rsidRDefault="003B6BD9">
      <w:pPr>
        <w:spacing w:before="0" w:after="0" w:line="240" w:lineRule="auto"/>
        <w:rPr>
          <w:noProof/>
          <w:u w:val="single"/>
        </w:rPr>
      </w:pPr>
    </w:p>
    <w:p w14:paraId="3D359C2D" w14:textId="52234D3C" w:rsidR="003B6BD9" w:rsidRDefault="009E25E8">
      <w:pPr>
        <w:pStyle w:val="P68B1DB1-Normal5"/>
        <w:spacing w:before="0" w:after="0" w:line="240" w:lineRule="auto"/>
        <w:rPr>
          <w:noProof/>
        </w:rPr>
      </w:pPr>
      <w:r>
        <w:rPr>
          <w:noProof/>
        </w:rPr>
        <w:t xml:space="preserve">Investissement C: Soutien à la décarbonation, à la productivité et à la compétitivité des entreprises </w:t>
      </w:r>
    </w:p>
    <w:p w14:paraId="493ACA19" w14:textId="77777777" w:rsidR="003B6BD9" w:rsidRDefault="009E25E8">
      <w:pPr>
        <w:spacing w:line="240" w:lineRule="auto"/>
        <w:jc w:val="both"/>
        <w:rPr>
          <w:noProof/>
        </w:rPr>
      </w:pPr>
      <w:r>
        <w:rPr>
          <w:noProof/>
        </w:rPr>
        <w:t>L’objectif de l’investissement est d’aider les entreprises à accroître leur productivité.</w:t>
      </w:r>
    </w:p>
    <w:p w14:paraId="3DFE3F2F" w14:textId="39067EC9" w:rsidR="003B6BD9" w:rsidRDefault="009E25E8">
      <w:pPr>
        <w:spacing w:line="240" w:lineRule="auto"/>
        <w:jc w:val="both"/>
        <w:rPr>
          <w:noProof/>
        </w:rPr>
      </w:pPr>
      <w:r>
        <w:rPr>
          <w:noProof/>
        </w:rPr>
        <w:t>L’investissement consiste en une aide à l’investissement accordée aux entreprises.</w:t>
      </w:r>
    </w:p>
    <w:p w14:paraId="3FB7EF8B" w14:textId="77777777" w:rsidR="003B6BD9" w:rsidRDefault="009E25E8">
      <w:pPr>
        <w:pStyle w:val="P68B1DB1-Normal5"/>
        <w:spacing w:line="240" w:lineRule="auto"/>
        <w:jc w:val="both"/>
        <w:rPr>
          <w:noProof/>
        </w:rPr>
      </w:pPr>
      <w:r>
        <w:rPr>
          <w:noProof/>
        </w:rPr>
        <w:t>Investissement D: Fournir des écosystèmes innovants d’infrastructures économiques et commerciales</w:t>
      </w:r>
    </w:p>
    <w:p w14:paraId="0342DF36" w14:textId="77777777" w:rsidR="003B6BD9" w:rsidRDefault="009E25E8">
      <w:pPr>
        <w:spacing w:line="240" w:lineRule="auto"/>
        <w:jc w:val="both"/>
        <w:rPr>
          <w:noProof/>
        </w:rPr>
      </w:pPr>
      <w:r>
        <w:rPr>
          <w:noProof/>
        </w:rPr>
        <w:t>L’objectif de l’investissement est d’améliorer la compétitivité de l’économie.</w:t>
      </w:r>
    </w:p>
    <w:p w14:paraId="658C7ED9" w14:textId="4878362C" w:rsidR="003B6BD9" w:rsidRDefault="009E25E8">
      <w:pPr>
        <w:spacing w:line="240" w:lineRule="auto"/>
        <w:jc w:val="both"/>
        <w:rPr>
          <w:noProof/>
        </w:rPr>
      </w:pPr>
      <w:r>
        <w:rPr>
          <w:noProof/>
        </w:rPr>
        <w:t>L’investissement consiste en l’aménagement de sites pour la construction de biens immobiliers commerciaux.</w:t>
      </w:r>
    </w:p>
    <w:p w14:paraId="0F46A367" w14:textId="77777777" w:rsidR="003B6BD9" w:rsidRDefault="003B6BD9">
      <w:pPr>
        <w:spacing w:before="0" w:after="0" w:line="240" w:lineRule="auto"/>
        <w:rPr>
          <w:b/>
          <w:noProof/>
          <w:u w:val="single"/>
        </w:rPr>
        <w:sectPr w:rsidR="003B6BD9" w:rsidSect="00A01857">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26"/>
        </w:sectPr>
      </w:pPr>
    </w:p>
    <w:p w14:paraId="36C7F8C5" w14:textId="7D42E8DB" w:rsidR="003B6BD9" w:rsidRDefault="009E25E8">
      <w:pPr>
        <w:pStyle w:val="P68B1DB1-Normal4"/>
        <w:spacing w:before="0" w:line="240" w:lineRule="auto"/>
        <w:rPr>
          <w:noProof/>
        </w:rPr>
      </w:pPr>
      <w:r>
        <w:rPr>
          <w:noProof/>
        </w:rPr>
        <w:t>I.2. Jalons, cibles, indicateurs et calendrier de suivi et de mise en œuvre pour le soutien financier non remboursable</w:t>
      </w:r>
    </w:p>
    <w:tbl>
      <w:tblPr>
        <w:tblW w:w="15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5"/>
        <w:gridCol w:w="1800"/>
        <w:gridCol w:w="1200"/>
        <w:gridCol w:w="2046"/>
        <w:gridCol w:w="2122"/>
        <w:gridCol w:w="1080"/>
        <w:gridCol w:w="999"/>
        <w:gridCol w:w="711"/>
        <w:gridCol w:w="990"/>
        <w:gridCol w:w="720"/>
        <w:gridCol w:w="2972"/>
      </w:tblGrid>
      <w:tr w:rsidR="003B6BD9" w14:paraId="28168179" w14:textId="77777777" w:rsidTr="006C1AFD">
        <w:trPr>
          <w:trHeight w:val="927"/>
          <w:tblHeader/>
          <w:jc w:val="center"/>
        </w:trPr>
        <w:tc>
          <w:tcPr>
            <w:tcW w:w="955" w:type="dxa"/>
            <w:vMerge w:val="restart"/>
            <w:shd w:val="clear" w:color="auto" w:fill="BDD7EE"/>
            <w:vAlign w:val="center"/>
            <w:hideMark/>
          </w:tcPr>
          <w:p w14:paraId="399BC782" w14:textId="67AF3206" w:rsidR="003B6BD9" w:rsidRDefault="009E25E8">
            <w:pPr>
              <w:pStyle w:val="P68B1DB1-Normal6"/>
              <w:spacing w:before="0" w:after="0" w:line="240" w:lineRule="auto"/>
              <w:jc w:val="center"/>
              <w:rPr>
                <w:rFonts w:eastAsia="Times New Roman"/>
                <w:noProof/>
              </w:rPr>
            </w:pPr>
            <w:r>
              <w:rPr>
                <w:noProof/>
              </w:rPr>
              <w:t xml:space="preserve">Et suivants Non. </w:t>
            </w:r>
          </w:p>
        </w:tc>
        <w:tc>
          <w:tcPr>
            <w:tcW w:w="1800" w:type="dxa"/>
            <w:vMerge w:val="restart"/>
            <w:shd w:val="clear" w:color="auto" w:fill="BDD7EE"/>
            <w:vAlign w:val="center"/>
            <w:hideMark/>
          </w:tcPr>
          <w:p w14:paraId="28418A57" w14:textId="77777777" w:rsidR="003B6BD9" w:rsidRDefault="009E25E8">
            <w:pPr>
              <w:pStyle w:val="P68B1DB1-Normal6"/>
              <w:spacing w:before="0" w:after="0" w:line="240" w:lineRule="auto"/>
              <w:jc w:val="center"/>
              <w:rPr>
                <w:rFonts w:eastAsia="Times New Roman"/>
                <w:noProof/>
              </w:rPr>
            </w:pPr>
            <w:r>
              <w:rPr>
                <w:noProof/>
              </w:rPr>
              <w:t>Mesure connexe (réforme ou investissement)</w:t>
            </w:r>
          </w:p>
        </w:tc>
        <w:tc>
          <w:tcPr>
            <w:tcW w:w="1200" w:type="dxa"/>
            <w:vMerge w:val="restart"/>
            <w:shd w:val="clear" w:color="auto" w:fill="BDD7EE"/>
            <w:vAlign w:val="center"/>
            <w:hideMark/>
          </w:tcPr>
          <w:p w14:paraId="7564E359" w14:textId="5D352CC5" w:rsidR="003B6BD9" w:rsidRDefault="009E25E8">
            <w:pPr>
              <w:pStyle w:val="P68B1DB1-Normal6"/>
              <w:spacing w:before="0" w:after="0" w:line="240" w:lineRule="auto"/>
              <w:jc w:val="center"/>
              <w:rPr>
                <w:rFonts w:eastAsia="Times New Roman"/>
                <w:noProof/>
              </w:rPr>
            </w:pPr>
            <w:r>
              <w:rPr>
                <w:noProof/>
              </w:rPr>
              <w:t>Étape/</w:t>
            </w:r>
            <w:r w:rsidR="006C1AFD">
              <w:rPr>
                <w:noProof/>
              </w:rPr>
              <w:br/>
            </w:r>
            <w:r>
              <w:rPr>
                <w:noProof/>
              </w:rPr>
              <w:t>Objectif</w:t>
            </w:r>
          </w:p>
        </w:tc>
        <w:tc>
          <w:tcPr>
            <w:tcW w:w="2046" w:type="dxa"/>
            <w:vMerge w:val="restart"/>
            <w:shd w:val="clear" w:color="auto" w:fill="BDD7EE"/>
            <w:vAlign w:val="center"/>
            <w:hideMark/>
          </w:tcPr>
          <w:p w14:paraId="3A72D2EE" w14:textId="77777777" w:rsidR="003B6BD9" w:rsidRDefault="009E25E8">
            <w:pPr>
              <w:pStyle w:val="P68B1DB1-Normal6"/>
              <w:spacing w:before="0" w:after="0" w:line="240" w:lineRule="auto"/>
              <w:jc w:val="center"/>
              <w:rPr>
                <w:rFonts w:eastAsia="Times New Roman"/>
                <w:noProof/>
              </w:rPr>
            </w:pPr>
            <w:r>
              <w:rPr>
                <w:noProof/>
              </w:rPr>
              <w:t>Nom</w:t>
            </w:r>
          </w:p>
        </w:tc>
        <w:tc>
          <w:tcPr>
            <w:tcW w:w="2122" w:type="dxa"/>
            <w:vMerge w:val="restart"/>
            <w:shd w:val="clear" w:color="auto" w:fill="BDD7EE"/>
            <w:vAlign w:val="center"/>
            <w:hideMark/>
          </w:tcPr>
          <w:p w14:paraId="6212C934" w14:textId="77777777" w:rsidR="003B6BD9" w:rsidRDefault="009E25E8">
            <w:pPr>
              <w:pStyle w:val="P68B1DB1-Normal6"/>
              <w:spacing w:before="0" w:after="0" w:line="240" w:lineRule="auto"/>
              <w:jc w:val="center"/>
              <w:rPr>
                <w:rFonts w:eastAsia="Times New Roman"/>
                <w:noProof/>
              </w:rPr>
            </w:pPr>
            <w:r>
              <w:rPr>
                <w:noProof/>
              </w:rPr>
              <w:t>Indicateurs qualitatifs (pour les jalons)</w:t>
            </w:r>
          </w:p>
        </w:tc>
        <w:tc>
          <w:tcPr>
            <w:tcW w:w="2790" w:type="dxa"/>
            <w:gridSpan w:val="3"/>
            <w:shd w:val="clear" w:color="auto" w:fill="BDD7EE"/>
            <w:vAlign w:val="center"/>
            <w:hideMark/>
          </w:tcPr>
          <w:p w14:paraId="05BDBA71" w14:textId="3052A3A9" w:rsidR="003B6BD9" w:rsidRDefault="009E25E8">
            <w:pPr>
              <w:pStyle w:val="P68B1DB1-Normal6"/>
              <w:spacing w:before="0" w:after="0" w:line="240" w:lineRule="auto"/>
              <w:jc w:val="center"/>
              <w:rPr>
                <w:rFonts w:eastAsia="Times New Roman"/>
                <w:noProof/>
              </w:rPr>
            </w:pPr>
            <w:r>
              <w:rPr>
                <w:noProof/>
              </w:rPr>
              <w:t>Indicateurs quantitatifs (pour les cibles)</w:t>
            </w:r>
          </w:p>
        </w:tc>
        <w:tc>
          <w:tcPr>
            <w:tcW w:w="1710" w:type="dxa"/>
            <w:gridSpan w:val="2"/>
            <w:shd w:val="clear" w:color="auto" w:fill="BDD7EE"/>
            <w:vAlign w:val="center"/>
            <w:hideMark/>
          </w:tcPr>
          <w:p w14:paraId="5AA63FC4" w14:textId="77777777" w:rsidR="003B6BD9" w:rsidRDefault="009E25E8">
            <w:pPr>
              <w:pStyle w:val="P68B1DB1-Normal6"/>
              <w:spacing w:before="0" w:after="0" w:line="240" w:lineRule="auto"/>
              <w:jc w:val="center"/>
              <w:rPr>
                <w:rFonts w:eastAsia="Times New Roman"/>
                <w:noProof/>
              </w:rPr>
            </w:pPr>
            <w:r>
              <w:rPr>
                <w:noProof/>
              </w:rPr>
              <w:t xml:space="preserve">Calendrier indicatif pour l’achèvement </w:t>
            </w:r>
          </w:p>
        </w:tc>
        <w:tc>
          <w:tcPr>
            <w:tcW w:w="2972" w:type="dxa"/>
            <w:vMerge w:val="restart"/>
            <w:shd w:val="clear" w:color="auto" w:fill="BDD7EE"/>
            <w:vAlign w:val="center"/>
            <w:hideMark/>
          </w:tcPr>
          <w:p w14:paraId="36E91D51" w14:textId="77777777" w:rsidR="003B6BD9" w:rsidRDefault="009E25E8">
            <w:pPr>
              <w:pStyle w:val="P68B1DB1-Normal6"/>
              <w:spacing w:before="0" w:after="0" w:line="240" w:lineRule="auto"/>
              <w:jc w:val="center"/>
              <w:rPr>
                <w:rFonts w:eastAsia="Times New Roman"/>
                <w:noProof/>
              </w:rPr>
            </w:pPr>
            <w:r>
              <w:rPr>
                <w:noProof/>
              </w:rPr>
              <w:t>Description de chaque jalon et cible</w:t>
            </w:r>
          </w:p>
        </w:tc>
      </w:tr>
      <w:tr w:rsidR="003B6BD9" w14:paraId="3BB3058D" w14:textId="77777777" w:rsidTr="006C1AFD">
        <w:trPr>
          <w:trHeight w:val="331"/>
          <w:tblHeader/>
          <w:jc w:val="center"/>
        </w:trPr>
        <w:tc>
          <w:tcPr>
            <w:tcW w:w="955" w:type="dxa"/>
            <w:vMerge/>
            <w:vAlign w:val="center"/>
            <w:hideMark/>
          </w:tcPr>
          <w:p w14:paraId="0271B8A8" w14:textId="77777777" w:rsidR="003B6BD9" w:rsidRDefault="003B6BD9">
            <w:pPr>
              <w:spacing w:before="0" w:after="0" w:line="240" w:lineRule="auto"/>
              <w:rPr>
                <w:rFonts w:eastAsia="Times New Roman"/>
                <w:b/>
                <w:noProof/>
                <w:sz w:val="18"/>
                <w:szCs w:val="18"/>
              </w:rPr>
            </w:pPr>
          </w:p>
        </w:tc>
        <w:tc>
          <w:tcPr>
            <w:tcW w:w="1800" w:type="dxa"/>
            <w:vMerge/>
            <w:vAlign w:val="center"/>
            <w:hideMark/>
          </w:tcPr>
          <w:p w14:paraId="5FC5B343" w14:textId="77777777" w:rsidR="003B6BD9" w:rsidRDefault="003B6BD9">
            <w:pPr>
              <w:spacing w:before="0" w:after="0" w:line="240" w:lineRule="auto"/>
              <w:rPr>
                <w:rFonts w:eastAsia="Times New Roman"/>
                <w:b/>
                <w:noProof/>
                <w:sz w:val="18"/>
                <w:szCs w:val="18"/>
              </w:rPr>
            </w:pPr>
          </w:p>
        </w:tc>
        <w:tc>
          <w:tcPr>
            <w:tcW w:w="1200" w:type="dxa"/>
            <w:vMerge/>
            <w:vAlign w:val="center"/>
            <w:hideMark/>
          </w:tcPr>
          <w:p w14:paraId="3E7AEDF4" w14:textId="77777777" w:rsidR="003B6BD9" w:rsidRDefault="003B6BD9">
            <w:pPr>
              <w:spacing w:before="0" w:after="0" w:line="240" w:lineRule="auto"/>
              <w:rPr>
                <w:rFonts w:eastAsia="Times New Roman"/>
                <w:b/>
                <w:noProof/>
                <w:sz w:val="18"/>
                <w:szCs w:val="18"/>
              </w:rPr>
            </w:pPr>
          </w:p>
        </w:tc>
        <w:tc>
          <w:tcPr>
            <w:tcW w:w="2046" w:type="dxa"/>
            <w:vMerge/>
            <w:vAlign w:val="center"/>
            <w:hideMark/>
          </w:tcPr>
          <w:p w14:paraId="0D07879B" w14:textId="77777777" w:rsidR="003B6BD9" w:rsidRDefault="003B6BD9">
            <w:pPr>
              <w:spacing w:before="0" w:after="0" w:line="240" w:lineRule="auto"/>
              <w:rPr>
                <w:rFonts w:eastAsia="Times New Roman"/>
                <w:b/>
                <w:noProof/>
                <w:sz w:val="18"/>
                <w:szCs w:val="18"/>
              </w:rPr>
            </w:pPr>
          </w:p>
        </w:tc>
        <w:tc>
          <w:tcPr>
            <w:tcW w:w="2122" w:type="dxa"/>
            <w:vMerge/>
            <w:vAlign w:val="center"/>
            <w:hideMark/>
          </w:tcPr>
          <w:p w14:paraId="74E9F03D" w14:textId="77777777" w:rsidR="003B6BD9" w:rsidRDefault="003B6BD9">
            <w:pPr>
              <w:spacing w:before="0" w:after="0" w:line="240" w:lineRule="auto"/>
              <w:rPr>
                <w:rFonts w:eastAsia="Times New Roman"/>
                <w:b/>
                <w:noProof/>
                <w:sz w:val="18"/>
                <w:szCs w:val="18"/>
              </w:rPr>
            </w:pPr>
          </w:p>
        </w:tc>
        <w:tc>
          <w:tcPr>
            <w:tcW w:w="1080" w:type="dxa"/>
            <w:shd w:val="clear" w:color="auto" w:fill="BDD7EE"/>
            <w:vAlign w:val="center"/>
            <w:hideMark/>
          </w:tcPr>
          <w:p w14:paraId="4DB2576F" w14:textId="77777777" w:rsidR="003B6BD9" w:rsidRDefault="009E25E8">
            <w:pPr>
              <w:pStyle w:val="P68B1DB1-Normal6"/>
              <w:spacing w:before="0" w:after="0" w:line="240" w:lineRule="auto"/>
              <w:jc w:val="center"/>
              <w:rPr>
                <w:rFonts w:eastAsia="Times New Roman"/>
                <w:noProof/>
              </w:rPr>
            </w:pPr>
            <w:r>
              <w:rPr>
                <w:noProof/>
              </w:rPr>
              <w:t>Unité de mesure</w:t>
            </w:r>
          </w:p>
        </w:tc>
        <w:tc>
          <w:tcPr>
            <w:tcW w:w="999" w:type="dxa"/>
            <w:shd w:val="clear" w:color="auto" w:fill="BDD7EE"/>
            <w:vAlign w:val="center"/>
            <w:hideMark/>
          </w:tcPr>
          <w:p w14:paraId="4DD12027" w14:textId="77777777" w:rsidR="003B6BD9" w:rsidRDefault="009E25E8">
            <w:pPr>
              <w:pStyle w:val="P68B1DB1-Normal6"/>
              <w:spacing w:before="0" w:after="0" w:line="240" w:lineRule="auto"/>
              <w:jc w:val="center"/>
              <w:rPr>
                <w:rFonts w:eastAsia="Times New Roman"/>
                <w:noProof/>
              </w:rPr>
            </w:pPr>
            <w:r>
              <w:rPr>
                <w:noProof/>
              </w:rPr>
              <w:t xml:space="preserve">Niveau de référence </w:t>
            </w:r>
          </w:p>
        </w:tc>
        <w:tc>
          <w:tcPr>
            <w:tcW w:w="711" w:type="dxa"/>
            <w:shd w:val="clear" w:color="auto" w:fill="BDD7EE"/>
            <w:vAlign w:val="center"/>
            <w:hideMark/>
          </w:tcPr>
          <w:p w14:paraId="6ACB6869" w14:textId="77777777" w:rsidR="003B6BD9" w:rsidRDefault="009E25E8">
            <w:pPr>
              <w:pStyle w:val="P68B1DB1-Normal6"/>
              <w:spacing w:before="0" w:after="0" w:line="240" w:lineRule="auto"/>
              <w:jc w:val="center"/>
              <w:rPr>
                <w:rFonts w:eastAsia="Times New Roman"/>
                <w:noProof/>
              </w:rPr>
            </w:pPr>
            <w:r>
              <w:rPr>
                <w:noProof/>
              </w:rPr>
              <w:t xml:space="preserve">But </w:t>
            </w:r>
          </w:p>
        </w:tc>
        <w:tc>
          <w:tcPr>
            <w:tcW w:w="990" w:type="dxa"/>
            <w:shd w:val="clear" w:color="auto" w:fill="BDD7EE"/>
            <w:vAlign w:val="center"/>
            <w:hideMark/>
          </w:tcPr>
          <w:p w14:paraId="187161BC" w14:textId="77777777" w:rsidR="003B6BD9" w:rsidRDefault="009E25E8">
            <w:pPr>
              <w:pStyle w:val="P68B1DB1-Normal6"/>
              <w:spacing w:before="0" w:after="0" w:line="240" w:lineRule="auto"/>
              <w:jc w:val="center"/>
              <w:rPr>
                <w:rFonts w:eastAsia="Times New Roman"/>
                <w:noProof/>
              </w:rPr>
            </w:pPr>
            <w:r>
              <w:rPr>
                <w:noProof/>
              </w:rPr>
              <w:t>Trimestre</w:t>
            </w:r>
          </w:p>
        </w:tc>
        <w:tc>
          <w:tcPr>
            <w:tcW w:w="720" w:type="dxa"/>
            <w:shd w:val="clear" w:color="auto" w:fill="BDD7EE"/>
            <w:vAlign w:val="center"/>
            <w:hideMark/>
          </w:tcPr>
          <w:p w14:paraId="50BF17D4" w14:textId="77777777" w:rsidR="003B6BD9" w:rsidRDefault="009E25E8">
            <w:pPr>
              <w:pStyle w:val="P68B1DB1-Normal6"/>
              <w:spacing w:before="0" w:after="0" w:line="240" w:lineRule="auto"/>
              <w:jc w:val="center"/>
              <w:rPr>
                <w:rFonts w:eastAsia="Times New Roman"/>
                <w:noProof/>
              </w:rPr>
            </w:pPr>
            <w:r>
              <w:rPr>
                <w:noProof/>
              </w:rPr>
              <w:t>Année</w:t>
            </w:r>
          </w:p>
        </w:tc>
        <w:tc>
          <w:tcPr>
            <w:tcW w:w="2972" w:type="dxa"/>
            <w:vMerge/>
            <w:vAlign w:val="center"/>
            <w:hideMark/>
          </w:tcPr>
          <w:p w14:paraId="4E01F223" w14:textId="77777777" w:rsidR="003B6BD9" w:rsidRDefault="003B6BD9">
            <w:pPr>
              <w:spacing w:before="0" w:after="0" w:line="240" w:lineRule="auto"/>
              <w:rPr>
                <w:rFonts w:eastAsia="Times New Roman"/>
                <w:b/>
                <w:noProof/>
                <w:sz w:val="18"/>
                <w:szCs w:val="18"/>
              </w:rPr>
            </w:pPr>
          </w:p>
        </w:tc>
      </w:tr>
      <w:tr w:rsidR="003B6BD9" w14:paraId="5B02D53A" w14:textId="77777777" w:rsidTr="006C1AFD">
        <w:trPr>
          <w:trHeight w:val="309"/>
          <w:jc w:val="center"/>
        </w:trPr>
        <w:tc>
          <w:tcPr>
            <w:tcW w:w="955" w:type="dxa"/>
            <w:shd w:val="clear" w:color="auto" w:fill="C6EFCE"/>
            <w:noWrap/>
            <w:hideMark/>
          </w:tcPr>
          <w:p w14:paraId="5DE8CE15" w14:textId="77777777" w:rsidR="003B6BD9" w:rsidRDefault="009E25E8">
            <w:pPr>
              <w:pStyle w:val="P68B1DB1-Normal7"/>
              <w:spacing w:before="0" w:after="0" w:line="240" w:lineRule="auto"/>
              <w:jc w:val="center"/>
              <w:rPr>
                <w:rFonts w:eastAsia="Times New Roman"/>
                <w:noProof/>
              </w:rPr>
            </w:pPr>
            <w:r>
              <w:rPr>
                <w:noProof/>
              </w:rPr>
              <w:t>124</w:t>
            </w:r>
          </w:p>
        </w:tc>
        <w:tc>
          <w:tcPr>
            <w:tcW w:w="1800" w:type="dxa"/>
            <w:shd w:val="clear" w:color="auto" w:fill="C6EFCE"/>
            <w:noWrap/>
            <w:hideMark/>
          </w:tcPr>
          <w:p w14:paraId="4736EFFE" w14:textId="77777777" w:rsidR="003B6BD9" w:rsidRDefault="009E25E8">
            <w:pPr>
              <w:pStyle w:val="P68B1DB1-Normal7"/>
              <w:spacing w:before="0" w:after="0" w:line="240" w:lineRule="auto"/>
              <w:rPr>
                <w:rFonts w:eastAsia="Times New Roman"/>
                <w:noProof/>
              </w:rPr>
            </w:pPr>
            <w:r>
              <w:rPr>
                <w:noProof/>
              </w:rPr>
              <w:t>A: Renforcer les marchés des capitaux</w:t>
            </w:r>
          </w:p>
        </w:tc>
        <w:tc>
          <w:tcPr>
            <w:tcW w:w="1200" w:type="dxa"/>
            <w:shd w:val="clear" w:color="auto" w:fill="C6EFCE"/>
            <w:noWrap/>
            <w:hideMark/>
          </w:tcPr>
          <w:p w14:paraId="21A1C07D" w14:textId="77777777" w:rsidR="003B6BD9" w:rsidRDefault="009E25E8">
            <w:pPr>
              <w:pStyle w:val="P68B1DB1-Normal7"/>
              <w:spacing w:before="0" w:after="0" w:line="240" w:lineRule="auto"/>
              <w:rPr>
                <w:rFonts w:eastAsia="Times New Roman"/>
                <w:noProof/>
              </w:rPr>
            </w:pPr>
            <w:r>
              <w:rPr>
                <w:noProof/>
              </w:rPr>
              <w:t>Jalon</w:t>
            </w:r>
          </w:p>
        </w:tc>
        <w:tc>
          <w:tcPr>
            <w:tcW w:w="2046" w:type="dxa"/>
            <w:shd w:val="clear" w:color="auto" w:fill="C6EFCE"/>
            <w:noWrap/>
            <w:hideMark/>
          </w:tcPr>
          <w:p w14:paraId="55622D63" w14:textId="77777777" w:rsidR="003B6BD9" w:rsidRDefault="009E25E8">
            <w:pPr>
              <w:pStyle w:val="P68B1DB1-Normal7"/>
              <w:spacing w:before="0" w:after="0" w:line="240" w:lineRule="auto"/>
              <w:rPr>
                <w:rFonts w:eastAsia="Times New Roman"/>
                <w:noProof/>
              </w:rPr>
            </w:pPr>
            <w:r>
              <w:rPr>
                <w:noProof/>
              </w:rPr>
              <w:t>Entrée en vigueur de la loi sur les formes de fonds d’investissement alternatifs</w:t>
            </w:r>
          </w:p>
        </w:tc>
        <w:tc>
          <w:tcPr>
            <w:tcW w:w="2122" w:type="dxa"/>
            <w:shd w:val="clear" w:color="auto" w:fill="C6EFCE"/>
            <w:noWrap/>
            <w:hideMark/>
          </w:tcPr>
          <w:p w14:paraId="32740EB9" w14:textId="77777777" w:rsidR="003B6BD9" w:rsidRDefault="009E25E8">
            <w:pPr>
              <w:pStyle w:val="P68B1DB1-Normal7"/>
              <w:spacing w:before="0" w:after="0" w:line="240" w:lineRule="auto"/>
              <w:rPr>
                <w:rFonts w:eastAsia="Times New Roman"/>
                <w:noProof/>
              </w:rPr>
            </w:pPr>
            <w:r>
              <w:rPr>
                <w:noProof/>
              </w:rPr>
              <w:t xml:space="preserve">Disposition de la loi indiquant l’entrée en vigueur de la loi sur les formes de fonds d’investissement alternatifs </w:t>
            </w:r>
          </w:p>
        </w:tc>
        <w:tc>
          <w:tcPr>
            <w:tcW w:w="1080" w:type="dxa"/>
            <w:shd w:val="clear" w:color="auto" w:fill="C6EFCE"/>
            <w:noWrap/>
            <w:hideMark/>
          </w:tcPr>
          <w:p w14:paraId="2965AE4B" w14:textId="77777777" w:rsidR="003B6BD9" w:rsidRDefault="009E25E8">
            <w:pPr>
              <w:pStyle w:val="P68B1DB1-Normal7"/>
              <w:spacing w:before="0" w:after="0" w:line="240" w:lineRule="auto"/>
              <w:rPr>
                <w:rFonts w:eastAsia="Times New Roman"/>
                <w:noProof/>
              </w:rPr>
            </w:pPr>
            <w:r>
              <w:rPr>
                <w:noProof/>
              </w:rPr>
              <w:t> </w:t>
            </w:r>
          </w:p>
        </w:tc>
        <w:tc>
          <w:tcPr>
            <w:tcW w:w="999" w:type="dxa"/>
            <w:shd w:val="clear" w:color="auto" w:fill="C6EFCE"/>
            <w:noWrap/>
            <w:hideMark/>
          </w:tcPr>
          <w:p w14:paraId="3CDC39FB" w14:textId="77777777" w:rsidR="003B6BD9" w:rsidRDefault="009E25E8">
            <w:pPr>
              <w:pStyle w:val="P68B1DB1-Normal7"/>
              <w:spacing w:before="0" w:after="0" w:line="240" w:lineRule="auto"/>
              <w:jc w:val="right"/>
              <w:rPr>
                <w:rFonts w:eastAsia="Times New Roman"/>
                <w:noProof/>
              </w:rPr>
            </w:pPr>
            <w:r>
              <w:rPr>
                <w:noProof/>
              </w:rPr>
              <w:t> </w:t>
            </w:r>
          </w:p>
        </w:tc>
        <w:tc>
          <w:tcPr>
            <w:tcW w:w="711" w:type="dxa"/>
            <w:shd w:val="clear" w:color="auto" w:fill="C6EFCE"/>
            <w:noWrap/>
            <w:hideMark/>
          </w:tcPr>
          <w:p w14:paraId="67A917A4" w14:textId="77777777" w:rsidR="003B6BD9" w:rsidRDefault="009E25E8">
            <w:pPr>
              <w:pStyle w:val="P68B1DB1-Normal7"/>
              <w:spacing w:before="0" w:after="0" w:line="240" w:lineRule="auto"/>
              <w:jc w:val="right"/>
              <w:rPr>
                <w:rFonts w:eastAsia="Times New Roman"/>
                <w:noProof/>
              </w:rPr>
            </w:pPr>
            <w:r>
              <w:rPr>
                <w:noProof/>
              </w:rPr>
              <w:t> </w:t>
            </w:r>
          </w:p>
        </w:tc>
        <w:tc>
          <w:tcPr>
            <w:tcW w:w="990" w:type="dxa"/>
            <w:shd w:val="clear" w:color="auto" w:fill="C6EFCE"/>
            <w:noWrap/>
            <w:hideMark/>
          </w:tcPr>
          <w:p w14:paraId="5CFCD707" w14:textId="77777777" w:rsidR="003B6BD9" w:rsidRDefault="009E25E8">
            <w:pPr>
              <w:pStyle w:val="P68B1DB1-Normal7"/>
              <w:spacing w:before="0" w:after="0" w:line="240" w:lineRule="auto"/>
              <w:jc w:val="center"/>
              <w:rPr>
                <w:rFonts w:eastAsia="Times New Roman"/>
                <w:noProof/>
              </w:rPr>
            </w:pPr>
            <w:r>
              <w:rPr>
                <w:noProof/>
              </w:rPr>
              <w:t>T4</w:t>
            </w:r>
          </w:p>
        </w:tc>
        <w:tc>
          <w:tcPr>
            <w:tcW w:w="720" w:type="dxa"/>
            <w:shd w:val="clear" w:color="auto" w:fill="C6EFCE"/>
            <w:noWrap/>
            <w:hideMark/>
          </w:tcPr>
          <w:p w14:paraId="6AD20952" w14:textId="77777777" w:rsidR="003B6BD9" w:rsidRDefault="009E25E8">
            <w:pPr>
              <w:pStyle w:val="P68B1DB1-Normal7"/>
              <w:spacing w:before="0" w:after="0" w:line="240" w:lineRule="auto"/>
              <w:jc w:val="center"/>
              <w:rPr>
                <w:rFonts w:eastAsia="Times New Roman"/>
                <w:noProof/>
              </w:rPr>
            </w:pPr>
            <w:r>
              <w:rPr>
                <w:noProof/>
              </w:rPr>
              <w:t>2021</w:t>
            </w:r>
          </w:p>
        </w:tc>
        <w:tc>
          <w:tcPr>
            <w:tcW w:w="2972" w:type="dxa"/>
            <w:shd w:val="clear" w:color="auto" w:fill="C6EFCE"/>
            <w:noWrap/>
            <w:hideMark/>
          </w:tcPr>
          <w:p w14:paraId="16BC9091" w14:textId="460C19DC" w:rsidR="003B6BD9" w:rsidRDefault="009E25E8">
            <w:pPr>
              <w:pStyle w:val="P68B1DB1-Normal7"/>
              <w:spacing w:before="0" w:after="0" w:line="240" w:lineRule="auto"/>
              <w:rPr>
                <w:rFonts w:eastAsia="Times New Roman"/>
                <w:noProof/>
              </w:rPr>
            </w:pPr>
            <w:r>
              <w:rPr>
                <w:noProof/>
              </w:rPr>
              <w:t xml:space="preserve">La loi sur les formes de fonds d’investissement alternatifs définit trois formes de fonds d’investissement alternatifs, à savoir: un fonds commun de placement alternatif constitué sous la forme d’actifs distincts, une société en commandite spéciale et une société d’investissement à capital fixe. La réforme respecte le cadre juridique et les recommandations de l’UE dans le domaine des marchés des capitaux. </w:t>
            </w:r>
          </w:p>
        </w:tc>
      </w:tr>
      <w:tr w:rsidR="003B6BD9" w14:paraId="3276C148" w14:textId="77777777" w:rsidTr="006C1AFD">
        <w:trPr>
          <w:trHeight w:val="309"/>
          <w:jc w:val="center"/>
        </w:trPr>
        <w:tc>
          <w:tcPr>
            <w:tcW w:w="955" w:type="dxa"/>
            <w:shd w:val="clear" w:color="auto" w:fill="C6EFCE"/>
            <w:noWrap/>
            <w:hideMark/>
          </w:tcPr>
          <w:p w14:paraId="16BB0803" w14:textId="77777777" w:rsidR="003B6BD9" w:rsidRDefault="009E25E8">
            <w:pPr>
              <w:pStyle w:val="P68B1DB1-Normal7"/>
              <w:spacing w:before="0" w:after="0" w:line="240" w:lineRule="auto"/>
              <w:jc w:val="center"/>
              <w:rPr>
                <w:rFonts w:eastAsia="Times New Roman"/>
                <w:noProof/>
              </w:rPr>
            </w:pPr>
            <w:r>
              <w:rPr>
                <w:noProof/>
              </w:rPr>
              <w:t>125</w:t>
            </w:r>
          </w:p>
        </w:tc>
        <w:tc>
          <w:tcPr>
            <w:tcW w:w="1800" w:type="dxa"/>
            <w:shd w:val="clear" w:color="auto" w:fill="C6EFCE"/>
            <w:noWrap/>
            <w:hideMark/>
          </w:tcPr>
          <w:p w14:paraId="202F0AD2" w14:textId="77777777" w:rsidR="003B6BD9" w:rsidRDefault="009E25E8">
            <w:pPr>
              <w:pStyle w:val="P68B1DB1-Normal7"/>
              <w:spacing w:before="0" w:after="0" w:line="240" w:lineRule="auto"/>
              <w:rPr>
                <w:rFonts w:eastAsia="Times New Roman"/>
                <w:noProof/>
              </w:rPr>
            </w:pPr>
            <w:r>
              <w:rPr>
                <w:noProof/>
              </w:rPr>
              <w:t>A: Renforcer les marchés des capitaux</w:t>
            </w:r>
          </w:p>
        </w:tc>
        <w:tc>
          <w:tcPr>
            <w:tcW w:w="1200" w:type="dxa"/>
            <w:shd w:val="clear" w:color="auto" w:fill="C6EFCE"/>
            <w:noWrap/>
            <w:hideMark/>
          </w:tcPr>
          <w:p w14:paraId="47BEE8D0" w14:textId="77777777" w:rsidR="003B6BD9" w:rsidRDefault="009E25E8">
            <w:pPr>
              <w:pStyle w:val="P68B1DB1-Normal7"/>
              <w:spacing w:before="0" w:after="0" w:line="240" w:lineRule="auto"/>
              <w:rPr>
                <w:rFonts w:eastAsia="Times New Roman"/>
                <w:noProof/>
              </w:rPr>
            </w:pPr>
            <w:r>
              <w:rPr>
                <w:noProof/>
              </w:rPr>
              <w:t>Jalon</w:t>
            </w:r>
          </w:p>
        </w:tc>
        <w:tc>
          <w:tcPr>
            <w:tcW w:w="2046" w:type="dxa"/>
            <w:shd w:val="clear" w:color="auto" w:fill="C6EFCE"/>
            <w:noWrap/>
            <w:hideMark/>
          </w:tcPr>
          <w:p w14:paraId="01F65B31" w14:textId="77777777" w:rsidR="003B6BD9" w:rsidRDefault="009E25E8">
            <w:pPr>
              <w:pStyle w:val="P68B1DB1-Normal7"/>
              <w:spacing w:before="0" w:after="0" w:line="240" w:lineRule="auto"/>
              <w:rPr>
                <w:rFonts w:eastAsia="Times New Roman"/>
                <w:noProof/>
              </w:rPr>
            </w:pPr>
            <w:r>
              <w:rPr>
                <w:noProof/>
              </w:rPr>
              <w:t>Adoption d’une stratégie de développement des marchés des capitaux</w:t>
            </w:r>
          </w:p>
        </w:tc>
        <w:tc>
          <w:tcPr>
            <w:tcW w:w="2122" w:type="dxa"/>
            <w:shd w:val="clear" w:color="auto" w:fill="C6EFCE"/>
            <w:noWrap/>
            <w:hideMark/>
          </w:tcPr>
          <w:p w14:paraId="6315224B" w14:textId="77777777" w:rsidR="003B6BD9" w:rsidRDefault="009E25E8">
            <w:pPr>
              <w:pStyle w:val="P68B1DB1-Normal7"/>
              <w:spacing w:before="0" w:after="0" w:line="240" w:lineRule="auto"/>
              <w:rPr>
                <w:rFonts w:eastAsia="Times New Roman"/>
                <w:noProof/>
              </w:rPr>
            </w:pPr>
            <w:r>
              <w:rPr>
                <w:noProof/>
              </w:rPr>
              <w:t>Adoption d’une stratégie de développement du marché des capitaux par le gouvernement</w:t>
            </w:r>
          </w:p>
        </w:tc>
        <w:tc>
          <w:tcPr>
            <w:tcW w:w="1080" w:type="dxa"/>
            <w:shd w:val="clear" w:color="auto" w:fill="C6EFCE"/>
            <w:noWrap/>
            <w:hideMark/>
          </w:tcPr>
          <w:p w14:paraId="3CD179A1" w14:textId="77777777" w:rsidR="003B6BD9" w:rsidRDefault="009E25E8">
            <w:pPr>
              <w:pStyle w:val="P68B1DB1-Normal7"/>
              <w:spacing w:before="0" w:after="0" w:line="240" w:lineRule="auto"/>
              <w:rPr>
                <w:rFonts w:eastAsia="Times New Roman"/>
                <w:noProof/>
              </w:rPr>
            </w:pPr>
            <w:r>
              <w:rPr>
                <w:noProof/>
              </w:rPr>
              <w:t> </w:t>
            </w:r>
          </w:p>
        </w:tc>
        <w:tc>
          <w:tcPr>
            <w:tcW w:w="999" w:type="dxa"/>
            <w:shd w:val="clear" w:color="auto" w:fill="C6EFCE"/>
            <w:noWrap/>
            <w:hideMark/>
          </w:tcPr>
          <w:p w14:paraId="4B33F2EC" w14:textId="77777777" w:rsidR="003B6BD9" w:rsidRDefault="009E25E8">
            <w:pPr>
              <w:pStyle w:val="P68B1DB1-Normal7"/>
              <w:spacing w:before="0" w:after="0" w:line="240" w:lineRule="auto"/>
              <w:jc w:val="right"/>
              <w:rPr>
                <w:rFonts w:eastAsia="Times New Roman"/>
                <w:noProof/>
              </w:rPr>
            </w:pPr>
            <w:r>
              <w:rPr>
                <w:noProof/>
              </w:rPr>
              <w:t> </w:t>
            </w:r>
          </w:p>
        </w:tc>
        <w:tc>
          <w:tcPr>
            <w:tcW w:w="711" w:type="dxa"/>
            <w:shd w:val="clear" w:color="auto" w:fill="C6EFCE"/>
            <w:noWrap/>
            <w:hideMark/>
          </w:tcPr>
          <w:p w14:paraId="22FB34FB" w14:textId="77777777" w:rsidR="003B6BD9" w:rsidRDefault="009E25E8">
            <w:pPr>
              <w:pStyle w:val="P68B1DB1-Normal7"/>
              <w:spacing w:before="0" w:after="0" w:line="240" w:lineRule="auto"/>
              <w:jc w:val="right"/>
              <w:rPr>
                <w:rFonts w:eastAsia="Times New Roman"/>
                <w:noProof/>
              </w:rPr>
            </w:pPr>
            <w:r>
              <w:rPr>
                <w:noProof/>
              </w:rPr>
              <w:t> </w:t>
            </w:r>
          </w:p>
        </w:tc>
        <w:tc>
          <w:tcPr>
            <w:tcW w:w="990" w:type="dxa"/>
            <w:shd w:val="clear" w:color="auto" w:fill="C6EFCE"/>
            <w:noWrap/>
            <w:hideMark/>
          </w:tcPr>
          <w:p w14:paraId="1A2C5495" w14:textId="77777777" w:rsidR="003B6BD9" w:rsidRDefault="009E25E8">
            <w:pPr>
              <w:pStyle w:val="P68B1DB1-Normal7"/>
              <w:spacing w:before="0" w:after="0" w:line="240" w:lineRule="auto"/>
              <w:jc w:val="center"/>
              <w:rPr>
                <w:rFonts w:eastAsia="Times New Roman"/>
                <w:noProof/>
              </w:rPr>
            </w:pPr>
            <w:r>
              <w:rPr>
                <w:noProof/>
              </w:rPr>
              <w:t>T2</w:t>
            </w:r>
          </w:p>
        </w:tc>
        <w:tc>
          <w:tcPr>
            <w:tcW w:w="720" w:type="dxa"/>
            <w:shd w:val="clear" w:color="auto" w:fill="C6EFCE"/>
            <w:noWrap/>
            <w:hideMark/>
          </w:tcPr>
          <w:p w14:paraId="31B591FA" w14:textId="77777777" w:rsidR="003B6BD9" w:rsidRDefault="009E25E8">
            <w:pPr>
              <w:pStyle w:val="P68B1DB1-Normal7"/>
              <w:spacing w:before="0" w:after="0" w:line="240" w:lineRule="auto"/>
              <w:jc w:val="center"/>
              <w:rPr>
                <w:rFonts w:eastAsia="Times New Roman"/>
                <w:noProof/>
              </w:rPr>
            </w:pPr>
            <w:r>
              <w:rPr>
                <w:noProof/>
              </w:rPr>
              <w:t>2022</w:t>
            </w:r>
          </w:p>
        </w:tc>
        <w:tc>
          <w:tcPr>
            <w:tcW w:w="2972" w:type="dxa"/>
            <w:shd w:val="clear" w:color="auto" w:fill="C6EFCE"/>
            <w:noWrap/>
            <w:hideMark/>
          </w:tcPr>
          <w:p w14:paraId="1DADDFFD" w14:textId="1A18338F" w:rsidR="003B6BD9" w:rsidRDefault="009E25E8">
            <w:pPr>
              <w:pStyle w:val="P68B1DB1-Normal7"/>
              <w:spacing w:before="0" w:after="0" w:line="240" w:lineRule="auto"/>
              <w:rPr>
                <w:rFonts w:eastAsia="Times New Roman"/>
                <w:noProof/>
              </w:rPr>
            </w:pPr>
            <w:r>
              <w:rPr>
                <w:noProof/>
              </w:rPr>
              <w:t>La stratégie comprend des mesures visant à rendre le marché des capitaux plus dynamique, y compris par sa pénétration au sein de l’union européenne des capitaux; la mise en place de points de contact sur tous les marchés financiers mondiaux; la mise en place d’un système d’information en ligne efficace sur les innovations en matière de technologie financière et d’autres services financiers; l’adaptation des mesures existantes.</w:t>
            </w:r>
          </w:p>
        </w:tc>
      </w:tr>
      <w:tr w:rsidR="003B6BD9" w14:paraId="216DF74A" w14:textId="77777777" w:rsidTr="006C1AFD">
        <w:trPr>
          <w:trHeight w:val="309"/>
          <w:jc w:val="center"/>
        </w:trPr>
        <w:tc>
          <w:tcPr>
            <w:tcW w:w="955" w:type="dxa"/>
            <w:shd w:val="clear" w:color="auto" w:fill="C6EFCE"/>
            <w:noWrap/>
            <w:hideMark/>
          </w:tcPr>
          <w:p w14:paraId="10E1AEDE" w14:textId="77777777" w:rsidR="003B6BD9" w:rsidRDefault="009E25E8">
            <w:pPr>
              <w:pStyle w:val="P68B1DB1-Normal7"/>
              <w:spacing w:before="0" w:after="0" w:line="240" w:lineRule="auto"/>
              <w:jc w:val="center"/>
              <w:rPr>
                <w:rFonts w:eastAsia="Times New Roman"/>
                <w:noProof/>
              </w:rPr>
            </w:pPr>
            <w:r>
              <w:rPr>
                <w:noProof/>
              </w:rPr>
              <w:t>126</w:t>
            </w:r>
          </w:p>
        </w:tc>
        <w:tc>
          <w:tcPr>
            <w:tcW w:w="1800" w:type="dxa"/>
            <w:shd w:val="clear" w:color="auto" w:fill="C6EFCE"/>
            <w:noWrap/>
            <w:hideMark/>
          </w:tcPr>
          <w:p w14:paraId="3CFE279B" w14:textId="77777777" w:rsidR="003B6BD9" w:rsidRDefault="009E25E8">
            <w:pPr>
              <w:pStyle w:val="P68B1DB1-Normal7"/>
              <w:spacing w:before="0" w:after="0" w:line="240" w:lineRule="auto"/>
              <w:rPr>
                <w:rFonts w:eastAsia="Times New Roman"/>
                <w:noProof/>
              </w:rPr>
            </w:pPr>
            <w:r>
              <w:rPr>
                <w:noProof/>
              </w:rPr>
              <w:t xml:space="preserve">B: Une économie plus productive pour la transition numérique et écologique </w:t>
            </w:r>
          </w:p>
        </w:tc>
        <w:tc>
          <w:tcPr>
            <w:tcW w:w="1200" w:type="dxa"/>
            <w:shd w:val="clear" w:color="auto" w:fill="C6EFCE"/>
            <w:noWrap/>
            <w:hideMark/>
          </w:tcPr>
          <w:p w14:paraId="7D423E8B" w14:textId="77777777" w:rsidR="003B6BD9" w:rsidRDefault="009E25E8">
            <w:pPr>
              <w:pStyle w:val="P68B1DB1-Normal7"/>
              <w:spacing w:before="0" w:after="0" w:line="240" w:lineRule="auto"/>
              <w:rPr>
                <w:rFonts w:eastAsia="Times New Roman"/>
                <w:noProof/>
              </w:rPr>
            </w:pPr>
            <w:r>
              <w:rPr>
                <w:noProof/>
              </w:rPr>
              <w:t>Jalon</w:t>
            </w:r>
          </w:p>
        </w:tc>
        <w:tc>
          <w:tcPr>
            <w:tcW w:w="2046" w:type="dxa"/>
            <w:shd w:val="clear" w:color="auto" w:fill="C6EFCE"/>
            <w:noWrap/>
            <w:hideMark/>
          </w:tcPr>
          <w:p w14:paraId="71666782" w14:textId="77777777" w:rsidR="003B6BD9" w:rsidRDefault="009E25E8">
            <w:pPr>
              <w:pStyle w:val="P68B1DB1-Normal7"/>
              <w:spacing w:before="0" w:after="0" w:line="240" w:lineRule="auto"/>
              <w:rPr>
                <w:rFonts w:eastAsia="Times New Roman"/>
                <w:noProof/>
              </w:rPr>
            </w:pPr>
            <w:r>
              <w:rPr>
                <w:noProof/>
              </w:rPr>
              <w:t>Entrée en vigueur des modifications apportées à la loi sur la promotion des investissements dans le but de promouvoir la transition écologique</w:t>
            </w:r>
          </w:p>
        </w:tc>
        <w:tc>
          <w:tcPr>
            <w:tcW w:w="2122" w:type="dxa"/>
            <w:shd w:val="clear" w:color="auto" w:fill="C6EFCE"/>
            <w:noWrap/>
            <w:hideMark/>
          </w:tcPr>
          <w:p w14:paraId="009DE0BD" w14:textId="77777777" w:rsidR="003B6BD9" w:rsidRDefault="009E25E8">
            <w:pPr>
              <w:pStyle w:val="P68B1DB1-Normal7"/>
              <w:spacing w:before="0" w:after="0" w:line="240" w:lineRule="auto"/>
              <w:rPr>
                <w:rFonts w:eastAsia="Times New Roman"/>
                <w:noProof/>
              </w:rPr>
            </w:pPr>
            <w:r>
              <w:rPr>
                <w:noProof/>
              </w:rPr>
              <w:t xml:space="preserve">Disposition de la loi indiquant l’entrée en vigueur des modifications de la loi sur la promotion des investissements </w:t>
            </w:r>
          </w:p>
        </w:tc>
        <w:tc>
          <w:tcPr>
            <w:tcW w:w="1080" w:type="dxa"/>
            <w:shd w:val="clear" w:color="auto" w:fill="C6EFCE"/>
            <w:noWrap/>
            <w:hideMark/>
          </w:tcPr>
          <w:p w14:paraId="43C36589" w14:textId="77777777" w:rsidR="003B6BD9" w:rsidRDefault="009E25E8">
            <w:pPr>
              <w:pStyle w:val="P68B1DB1-Normal7"/>
              <w:spacing w:before="0" w:after="0" w:line="240" w:lineRule="auto"/>
              <w:rPr>
                <w:rFonts w:eastAsia="Times New Roman"/>
                <w:noProof/>
              </w:rPr>
            </w:pPr>
            <w:r>
              <w:rPr>
                <w:noProof/>
              </w:rPr>
              <w:t> </w:t>
            </w:r>
          </w:p>
        </w:tc>
        <w:tc>
          <w:tcPr>
            <w:tcW w:w="999" w:type="dxa"/>
            <w:shd w:val="clear" w:color="auto" w:fill="C6EFCE"/>
            <w:noWrap/>
            <w:hideMark/>
          </w:tcPr>
          <w:p w14:paraId="3A1B1F6C" w14:textId="77777777" w:rsidR="003B6BD9" w:rsidRDefault="009E25E8">
            <w:pPr>
              <w:pStyle w:val="P68B1DB1-Normal7"/>
              <w:spacing w:before="0" w:after="0" w:line="240" w:lineRule="auto"/>
              <w:rPr>
                <w:rFonts w:eastAsia="Times New Roman"/>
                <w:noProof/>
              </w:rPr>
            </w:pPr>
            <w:r>
              <w:rPr>
                <w:noProof/>
              </w:rPr>
              <w:t> </w:t>
            </w:r>
          </w:p>
        </w:tc>
        <w:tc>
          <w:tcPr>
            <w:tcW w:w="711" w:type="dxa"/>
            <w:shd w:val="clear" w:color="auto" w:fill="C6EFCE"/>
            <w:noWrap/>
            <w:hideMark/>
          </w:tcPr>
          <w:p w14:paraId="3D9151B2" w14:textId="77777777" w:rsidR="003B6BD9" w:rsidRDefault="009E25E8">
            <w:pPr>
              <w:pStyle w:val="P68B1DB1-Normal7"/>
              <w:spacing w:before="0" w:after="0" w:line="240" w:lineRule="auto"/>
              <w:rPr>
                <w:rFonts w:eastAsia="Times New Roman"/>
                <w:noProof/>
              </w:rPr>
            </w:pPr>
            <w:r>
              <w:rPr>
                <w:noProof/>
              </w:rPr>
              <w:t> </w:t>
            </w:r>
          </w:p>
        </w:tc>
        <w:tc>
          <w:tcPr>
            <w:tcW w:w="990" w:type="dxa"/>
            <w:shd w:val="clear" w:color="auto" w:fill="C6EFCE"/>
            <w:noWrap/>
            <w:hideMark/>
          </w:tcPr>
          <w:p w14:paraId="0AF7DCE1" w14:textId="77777777" w:rsidR="003B6BD9" w:rsidRDefault="009E25E8">
            <w:pPr>
              <w:pStyle w:val="P68B1DB1-Normal7"/>
              <w:spacing w:before="0" w:after="0" w:line="240" w:lineRule="auto"/>
              <w:jc w:val="center"/>
              <w:rPr>
                <w:rFonts w:eastAsia="Times New Roman"/>
                <w:noProof/>
              </w:rPr>
            </w:pPr>
            <w:r>
              <w:rPr>
                <w:noProof/>
              </w:rPr>
              <w:t>T4</w:t>
            </w:r>
          </w:p>
        </w:tc>
        <w:tc>
          <w:tcPr>
            <w:tcW w:w="720" w:type="dxa"/>
            <w:shd w:val="clear" w:color="auto" w:fill="C6EFCE"/>
            <w:noWrap/>
            <w:hideMark/>
          </w:tcPr>
          <w:p w14:paraId="61E15497" w14:textId="77777777" w:rsidR="003B6BD9" w:rsidRDefault="009E25E8">
            <w:pPr>
              <w:pStyle w:val="P68B1DB1-Normal7"/>
              <w:spacing w:before="0" w:after="0" w:line="240" w:lineRule="auto"/>
              <w:jc w:val="center"/>
              <w:rPr>
                <w:rFonts w:eastAsia="Times New Roman"/>
                <w:noProof/>
              </w:rPr>
            </w:pPr>
            <w:r>
              <w:rPr>
                <w:noProof/>
              </w:rPr>
              <w:t>2021</w:t>
            </w:r>
          </w:p>
        </w:tc>
        <w:tc>
          <w:tcPr>
            <w:tcW w:w="2972" w:type="dxa"/>
            <w:shd w:val="clear" w:color="auto" w:fill="C6EFCE"/>
            <w:noWrap/>
            <w:hideMark/>
          </w:tcPr>
          <w:p w14:paraId="1C770F2E" w14:textId="77777777" w:rsidR="003B6BD9" w:rsidRDefault="009E25E8">
            <w:pPr>
              <w:pStyle w:val="P68B1DB1-Normal7"/>
              <w:spacing w:before="0" w:after="0" w:line="240" w:lineRule="auto"/>
              <w:rPr>
                <w:rFonts w:eastAsia="Times New Roman"/>
                <w:noProof/>
              </w:rPr>
            </w:pPr>
            <w:r>
              <w:rPr>
                <w:noProof/>
              </w:rPr>
              <w:t>L’amendement vise à garantir que les critères relatifs au soutien à l’investissement public en faveur des entreprises sont axés sur des modèles d’entreprise et des investissements hautement productifs, durables et axés sur le numérique.</w:t>
            </w:r>
          </w:p>
          <w:p w14:paraId="75C631AF" w14:textId="3779D463" w:rsidR="003B6BD9" w:rsidRDefault="009E25E8">
            <w:pPr>
              <w:pStyle w:val="P68B1DB1-Normal7"/>
              <w:spacing w:before="0" w:after="0" w:line="240" w:lineRule="auto"/>
              <w:rPr>
                <w:rFonts w:eastAsia="Times New Roman"/>
                <w:noProof/>
              </w:rPr>
            </w:pPr>
            <w:r>
              <w:rPr>
                <w:noProof/>
              </w:rPr>
              <w:t xml:space="preserve">Tous les investissements soutenus comprennent des conditions visant à promouvoir la transition écologique, y compris des exigences en matière d’efficacité énergétique, une gestion responsable sur le plan environnemental et l’efficacité de la production de matériaux. </w:t>
            </w:r>
          </w:p>
          <w:p w14:paraId="4F6CF132" w14:textId="77777777" w:rsidR="003B6BD9" w:rsidRDefault="009E25E8">
            <w:pPr>
              <w:pStyle w:val="P68B1DB1-Normal7"/>
              <w:spacing w:before="0" w:after="0" w:line="240" w:lineRule="auto"/>
              <w:rPr>
                <w:rFonts w:eastAsia="Times New Roman"/>
                <w:noProof/>
              </w:rPr>
            </w:pPr>
            <w:r>
              <w:rPr>
                <w:noProof/>
              </w:rPr>
              <w:t>Les critères d’éligibilité garantissent également que les projets sélectionnés sont conformes aux orientations techniques «Ne pas causer de préjudice important» (2021/C58/01) grâce à l’utilisation d’une liste d’exclusion et à l’exigence de conformité avec la législation environnementale nationale et de l’UE applicable.</w:t>
            </w:r>
          </w:p>
        </w:tc>
      </w:tr>
      <w:tr w:rsidR="003B6BD9" w14:paraId="6F1AA913" w14:textId="77777777" w:rsidTr="006C1AFD">
        <w:trPr>
          <w:trHeight w:val="309"/>
          <w:jc w:val="center"/>
        </w:trPr>
        <w:tc>
          <w:tcPr>
            <w:tcW w:w="955" w:type="dxa"/>
            <w:shd w:val="clear" w:color="auto" w:fill="C6EFCE"/>
            <w:noWrap/>
            <w:hideMark/>
          </w:tcPr>
          <w:p w14:paraId="12B4897C" w14:textId="77777777" w:rsidR="003B6BD9" w:rsidRDefault="009E25E8">
            <w:pPr>
              <w:pStyle w:val="P68B1DB1-Normal7"/>
              <w:spacing w:before="0" w:after="0" w:line="240" w:lineRule="auto"/>
              <w:jc w:val="center"/>
              <w:rPr>
                <w:rFonts w:eastAsia="Times New Roman"/>
                <w:noProof/>
              </w:rPr>
            </w:pPr>
            <w:r>
              <w:rPr>
                <w:noProof/>
              </w:rPr>
              <w:t>127</w:t>
            </w:r>
          </w:p>
        </w:tc>
        <w:tc>
          <w:tcPr>
            <w:tcW w:w="1800" w:type="dxa"/>
            <w:shd w:val="clear" w:color="auto" w:fill="C6EFCE"/>
            <w:noWrap/>
            <w:hideMark/>
          </w:tcPr>
          <w:p w14:paraId="330B04FB" w14:textId="77777777" w:rsidR="003B6BD9" w:rsidRDefault="009E25E8">
            <w:pPr>
              <w:pStyle w:val="P68B1DB1-Normal7"/>
              <w:spacing w:before="0" w:after="0" w:line="240" w:lineRule="auto"/>
              <w:rPr>
                <w:rFonts w:eastAsia="Times New Roman"/>
                <w:noProof/>
              </w:rPr>
            </w:pPr>
            <w:r>
              <w:rPr>
                <w:noProof/>
              </w:rPr>
              <w:t xml:space="preserve">B: Une économie plus productive pour la transition numérique et écologique </w:t>
            </w:r>
          </w:p>
        </w:tc>
        <w:tc>
          <w:tcPr>
            <w:tcW w:w="1200" w:type="dxa"/>
            <w:shd w:val="clear" w:color="auto" w:fill="C6EFCE"/>
            <w:noWrap/>
            <w:hideMark/>
          </w:tcPr>
          <w:p w14:paraId="48CAEE18" w14:textId="77777777" w:rsidR="003B6BD9" w:rsidRDefault="009E25E8">
            <w:pPr>
              <w:pStyle w:val="P68B1DB1-Normal7"/>
              <w:spacing w:before="0" w:after="0" w:line="240" w:lineRule="auto"/>
              <w:rPr>
                <w:rFonts w:eastAsia="Times New Roman"/>
                <w:noProof/>
              </w:rPr>
            </w:pPr>
            <w:r>
              <w:rPr>
                <w:noProof/>
              </w:rPr>
              <w:t>Jalon</w:t>
            </w:r>
          </w:p>
        </w:tc>
        <w:tc>
          <w:tcPr>
            <w:tcW w:w="2046" w:type="dxa"/>
            <w:shd w:val="clear" w:color="auto" w:fill="C6EFCE"/>
            <w:noWrap/>
            <w:hideMark/>
          </w:tcPr>
          <w:p w14:paraId="2C1CF18D" w14:textId="77777777" w:rsidR="003B6BD9" w:rsidRDefault="009E25E8">
            <w:pPr>
              <w:pStyle w:val="P68B1DB1-Normal7"/>
              <w:spacing w:before="0" w:after="0" w:line="240" w:lineRule="auto"/>
              <w:rPr>
                <w:rFonts w:eastAsia="Times New Roman"/>
                <w:noProof/>
              </w:rPr>
            </w:pPr>
            <w:r>
              <w:rPr>
                <w:noProof/>
              </w:rPr>
              <w:t>Entrée en vigueur du règlement d’application de la loi sur la promotion des investissements</w:t>
            </w:r>
          </w:p>
        </w:tc>
        <w:tc>
          <w:tcPr>
            <w:tcW w:w="2122" w:type="dxa"/>
            <w:shd w:val="clear" w:color="auto" w:fill="C6EFCE"/>
            <w:noWrap/>
            <w:hideMark/>
          </w:tcPr>
          <w:p w14:paraId="6D6B7819" w14:textId="77777777" w:rsidR="003B6BD9" w:rsidRDefault="009E25E8">
            <w:pPr>
              <w:pStyle w:val="P68B1DB1-Normal7"/>
              <w:spacing w:before="0" w:after="0" w:line="240" w:lineRule="auto"/>
              <w:rPr>
                <w:rFonts w:eastAsia="Times New Roman"/>
                <w:noProof/>
              </w:rPr>
            </w:pPr>
            <w:r>
              <w:rPr>
                <w:noProof/>
              </w:rPr>
              <w:t>Disposition du règlement indiquant l’entrée en vigueur du règlement d’application de la loi sur la promotion des investissements</w:t>
            </w:r>
          </w:p>
        </w:tc>
        <w:tc>
          <w:tcPr>
            <w:tcW w:w="1080" w:type="dxa"/>
            <w:shd w:val="clear" w:color="auto" w:fill="C6EFCE"/>
            <w:noWrap/>
            <w:hideMark/>
          </w:tcPr>
          <w:p w14:paraId="4EEB5B08" w14:textId="77777777" w:rsidR="003B6BD9" w:rsidRDefault="009E25E8">
            <w:pPr>
              <w:pStyle w:val="P68B1DB1-Normal7"/>
              <w:spacing w:before="0" w:after="0" w:line="240" w:lineRule="auto"/>
              <w:rPr>
                <w:rFonts w:eastAsia="Times New Roman"/>
                <w:noProof/>
              </w:rPr>
            </w:pPr>
            <w:r>
              <w:rPr>
                <w:noProof/>
              </w:rPr>
              <w:t> </w:t>
            </w:r>
          </w:p>
        </w:tc>
        <w:tc>
          <w:tcPr>
            <w:tcW w:w="999" w:type="dxa"/>
            <w:shd w:val="clear" w:color="auto" w:fill="C6EFCE"/>
            <w:noWrap/>
            <w:hideMark/>
          </w:tcPr>
          <w:p w14:paraId="361016CD" w14:textId="77777777" w:rsidR="003B6BD9" w:rsidRDefault="009E25E8">
            <w:pPr>
              <w:pStyle w:val="P68B1DB1-Normal7"/>
              <w:spacing w:before="0" w:after="0" w:line="240" w:lineRule="auto"/>
              <w:rPr>
                <w:rFonts w:eastAsia="Times New Roman"/>
                <w:noProof/>
              </w:rPr>
            </w:pPr>
            <w:r>
              <w:rPr>
                <w:noProof/>
              </w:rPr>
              <w:t> </w:t>
            </w:r>
          </w:p>
        </w:tc>
        <w:tc>
          <w:tcPr>
            <w:tcW w:w="711" w:type="dxa"/>
            <w:shd w:val="clear" w:color="auto" w:fill="C6EFCE"/>
            <w:noWrap/>
            <w:hideMark/>
          </w:tcPr>
          <w:p w14:paraId="22478899" w14:textId="77777777" w:rsidR="003B6BD9" w:rsidRDefault="009E25E8">
            <w:pPr>
              <w:pStyle w:val="P68B1DB1-Normal7"/>
              <w:spacing w:before="0" w:after="0" w:line="240" w:lineRule="auto"/>
              <w:rPr>
                <w:rFonts w:eastAsia="Times New Roman"/>
                <w:noProof/>
              </w:rPr>
            </w:pPr>
            <w:r>
              <w:rPr>
                <w:noProof/>
              </w:rPr>
              <w:t> </w:t>
            </w:r>
          </w:p>
        </w:tc>
        <w:tc>
          <w:tcPr>
            <w:tcW w:w="990" w:type="dxa"/>
            <w:shd w:val="clear" w:color="auto" w:fill="C6EFCE"/>
            <w:noWrap/>
            <w:hideMark/>
          </w:tcPr>
          <w:p w14:paraId="2D500C0E" w14:textId="77777777" w:rsidR="003B6BD9" w:rsidRDefault="009E25E8">
            <w:pPr>
              <w:pStyle w:val="P68B1DB1-Normal7"/>
              <w:spacing w:before="0" w:after="0" w:line="240" w:lineRule="auto"/>
              <w:jc w:val="center"/>
              <w:rPr>
                <w:rFonts w:eastAsia="Times New Roman"/>
                <w:noProof/>
              </w:rPr>
            </w:pPr>
            <w:r>
              <w:rPr>
                <w:noProof/>
              </w:rPr>
              <w:t>T2</w:t>
            </w:r>
          </w:p>
        </w:tc>
        <w:tc>
          <w:tcPr>
            <w:tcW w:w="720" w:type="dxa"/>
            <w:shd w:val="clear" w:color="auto" w:fill="C6EFCE"/>
            <w:noWrap/>
            <w:hideMark/>
          </w:tcPr>
          <w:p w14:paraId="72EB50F2" w14:textId="77777777" w:rsidR="003B6BD9" w:rsidRDefault="009E25E8">
            <w:pPr>
              <w:pStyle w:val="P68B1DB1-Normal7"/>
              <w:spacing w:before="0" w:after="0" w:line="240" w:lineRule="auto"/>
              <w:jc w:val="center"/>
              <w:rPr>
                <w:rFonts w:eastAsia="Times New Roman"/>
                <w:noProof/>
              </w:rPr>
            </w:pPr>
            <w:r>
              <w:rPr>
                <w:noProof/>
              </w:rPr>
              <w:t>2022</w:t>
            </w:r>
          </w:p>
        </w:tc>
        <w:tc>
          <w:tcPr>
            <w:tcW w:w="2972" w:type="dxa"/>
            <w:shd w:val="clear" w:color="auto" w:fill="C6EFCE"/>
            <w:noWrap/>
            <w:hideMark/>
          </w:tcPr>
          <w:p w14:paraId="488D4847" w14:textId="77777777" w:rsidR="003B6BD9" w:rsidRDefault="009E25E8">
            <w:pPr>
              <w:pStyle w:val="P68B1DB1-Normal7"/>
              <w:spacing w:before="0" w:after="0" w:line="240" w:lineRule="auto"/>
              <w:rPr>
                <w:rFonts w:eastAsia="Times New Roman"/>
                <w:noProof/>
              </w:rPr>
            </w:pPr>
            <w:r>
              <w:rPr>
                <w:noProof/>
              </w:rPr>
              <w:t>Les règlements d’exécution précisent davantage les critères connexes prévus par la loi sur la promotion des investissements, en particulier en ce qui concerne l’efficacité énergétique, l’efficacité des matériaux, l’intégration à long terme des investissements dans la région, la responsabilité sociale, l’incidence environnementale de l’investissement, la contribution de l’investissement à la transition vers une économie circulaire fondée sur les ressources naturelles entraînant une réduction des émissions de gaz à effet de serre et de la production à faible empreinte carbone, la localisation dans une zone dévaluée dotée d’une affectation appropriée ou dans une zone d’activité existante, les effets de l’investissement sur un développement régional harmonieux, l’intégration des investissements spatiaux et l’incidence positive du développement spatial local.</w:t>
            </w:r>
          </w:p>
        </w:tc>
      </w:tr>
      <w:tr w:rsidR="003B6BD9" w14:paraId="173F8586" w14:textId="77777777" w:rsidTr="006C1AFD">
        <w:trPr>
          <w:trHeight w:val="309"/>
          <w:jc w:val="center"/>
        </w:trPr>
        <w:tc>
          <w:tcPr>
            <w:tcW w:w="955" w:type="dxa"/>
            <w:shd w:val="clear" w:color="auto" w:fill="C6EFCE"/>
            <w:noWrap/>
            <w:hideMark/>
          </w:tcPr>
          <w:p w14:paraId="6CD54392" w14:textId="77777777" w:rsidR="003B6BD9" w:rsidRDefault="009E25E8">
            <w:pPr>
              <w:pStyle w:val="P68B1DB1-Normal7"/>
              <w:spacing w:before="0" w:after="0" w:line="240" w:lineRule="auto"/>
              <w:jc w:val="center"/>
              <w:rPr>
                <w:rFonts w:eastAsia="Times New Roman"/>
                <w:noProof/>
              </w:rPr>
            </w:pPr>
            <w:r>
              <w:rPr>
                <w:noProof/>
              </w:rPr>
              <w:t>128</w:t>
            </w:r>
          </w:p>
        </w:tc>
        <w:tc>
          <w:tcPr>
            <w:tcW w:w="1800" w:type="dxa"/>
            <w:shd w:val="clear" w:color="auto" w:fill="C6EFCE"/>
            <w:noWrap/>
            <w:hideMark/>
          </w:tcPr>
          <w:p w14:paraId="4C8E3A0A" w14:textId="77777777" w:rsidR="003B6BD9" w:rsidRDefault="009E25E8">
            <w:pPr>
              <w:pStyle w:val="P68B1DB1-Normal7"/>
              <w:spacing w:before="0" w:after="0" w:line="240" w:lineRule="auto"/>
              <w:rPr>
                <w:rFonts w:eastAsia="Times New Roman"/>
                <w:noProof/>
              </w:rPr>
            </w:pPr>
            <w:r>
              <w:rPr>
                <w:noProof/>
              </w:rPr>
              <w:t>C: Soutien à la décarbonation, à la productivité et à la compétitivité des entreprises</w:t>
            </w:r>
          </w:p>
        </w:tc>
        <w:tc>
          <w:tcPr>
            <w:tcW w:w="1200" w:type="dxa"/>
            <w:shd w:val="clear" w:color="auto" w:fill="C6EFCE"/>
            <w:noWrap/>
            <w:hideMark/>
          </w:tcPr>
          <w:p w14:paraId="0755712C" w14:textId="77777777" w:rsidR="003B6BD9" w:rsidRDefault="009E25E8">
            <w:pPr>
              <w:pStyle w:val="P68B1DB1-Normal7"/>
              <w:spacing w:before="0" w:after="0" w:line="240" w:lineRule="auto"/>
              <w:rPr>
                <w:rFonts w:eastAsia="Times New Roman"/>
                <w:noProof/>
              </w:rPr>
            </w:pPr>
            <w:r>
              <w:rPr>
                <w:noProof/>
              </w:rPr>
              <w:t>Jalon</w:t>
            </w:r>
          </w:p>
        </w:tc>
        <w:tc>
          <w:tcPr>
            <w:tcW w:w="2046" w:type="dxa"/>
            <w:shd w:val="clear" w:color="auto" w:fill="C6EFCE"/>
            <w:noWrap/>
            <w:hideMark/>
          </w:tcPr>
          <w:p w14:paraId="73E348CC" w14:textId="5948F2E6" w:rsidR="003B6BD9" w:rsidRDefault="009E25E8">
            <w:pPr>
              <w:pStyle w:val="P68B1DB1-Normal7"/>
              <w:spacing w:before="0" w:after="0" w:line="240" w:lineRule="auto"/>
              <w:rPr>
                <w:rFonts w:eastAsia="Times New Roman"/>
                <w:noProof/>
              </w:rPr>
            </w:pPr>
            <w:r>
              <w:rPr>
                <w:noProof/>
              </w:rPr>
              <w:t xml:space="preserve">Octroi de subventions pour des projets de soutien au développement régional </w:t>
            </w:r>
          </w:p>
        </w:tc>
        <w:tc>
          <w:tcPr>
            <w:tcW w:w="2122" w:type="dxa"/>
            <w:shd w:val="clear" w:color="auto" w:fill="C6EFCE"/>
            <w:noWrap/>
            <w:hideMark/>
          </w:tcPr>
          <w:p w14:paraId="716CB391" w14:textId="77777777" w:rsidR="003B6BD9" w:rsidRDefault="009E25E8">
            <w:pPr>
              <w:pStyle w:val="P68B1DB1-Normal7"/>
              <w:spacing w:before="0" w:after="0" w:line="240" w:lineRule="auto"/>
              <w:rPr>
                <w:rFonts w:eastAsia="Times New Roman"/>
                <w:noProof/>
              </w:rPr>
            </w:pPr>
            <w:r>
              <w:rPr>
                <w:noProof/>
              </w:rPr>
              <w:t>Communication des prix</w:t>
            </w:r>
          </w:p>
        </w:tc>
        <w:tc>
          <w:tcPr>
            <w:tcW w:w="1080" w:type="dxa"/>
            <w:shd w:val="clear" w:color="auto" w:fill="C6EFCE"/>
            <w:noWrap/>
            <w:hideMark/>
          </w:tcPr>
          <w:p w14:paraId="7231AC72" w14:textId="77777777" w:rsidR="003B6BD9" w:rsidRDefault="009E25E8">
            <w:pPr>
              <w:pStyle w:val="P68B1DB1-Normal7"/>
              <w:spacing w:before="0" w:after="0" w:line="240" w:lineRule="auto"/>
              <w:rPr>
                <w:rFonts w:eastAsia="Times New Roman"/>
                <w:noProof/>
              </w:rPr>
            </w:pPr>
            <w:r>
              <w:rPr>
                <w:noProof/>
              </w:rPr>
              <w:t> </w:t>
            </w:r>
          </w:p>
        </w:tc>
        <w:tc>
          <w:tcPr>
            <w:tcW w:w="999" w:type="dxa"/>
            <w:shd w:val="clear" w:color="auto" w:fill="C6EFCE"/>
            <w:noWrap/>
            <w:hideMark/>
          </w:tcPr>
          <w:p w14:paraId="76B18B78" w14:textId="77777777" w:rsidR="003B6BD9" w:rsidRDefault="009E25E8">
            <w:pPr>
              <w:pStyle w:val="P68B1DB1-Normal7"/>
              <w:spacing w:before="0" w:after="0" w:line="240" w:lineRule="auto"/>
              <w:rPr>
                <w:rFonts w:eastAsia="Times New Roman"/>
                <w:noProof/>
              </w:rPr>
            </w:pPr>
            <w:r>
              <w:rPr>
                <w:noProof/>
              </w:rPr>
              <w:t> </w:t>
            </w:r>
          </w:p>
        </w:tc>
        <w:tc>
          <w:tcPr>
            <w:tcW w:w="711" w:type="dxa"/>
            <w:shd w:val="clear" w:color="auto" w:fill="C6EFCE"/>
            <w:noWrap/>
            <w:hideMark/>
          </w:tcPr>
          <w:p w14:paraId="144076C1" w14:textId="77777777" w:rsidR="003B6BD9" w:rsidRDefault="009E25E8">
            <w:pPr>
              <w:pStyle w:val="P68B1DB1-Normal7"/>
              <w:spacing w:before="0" w:after="0" w:line="240" w:lineRule="auto"/>
              <w:rPr>
                <w:rFonts w:eastAsia="Times New Roman"/>
                <w:noProof/>
              </w:rPr>
            </w:pPr>
            <w:r>
              <w:rPr>
                <w:noProof/>
              </w:rPr>
              <w:t> </w:t>
            </w:r>
          </w:p>
        </w:tc>
        <w:tc>
          <w:tcPr>
            <w:tcW w:w="990" w:type="dxa"/>
            <w:shd w:val="clear" w:color="auto" w:fill="C6EFCE"/>
            <w:noWrap/>
            <w:hideMark/>
          </w:tcPr>
          <w:p w14:paraId="08187CD8" w14:textId="77777777" w:rsidR="003B6BD9" w:rsidRDefault="009E25E8">
            <w:pPr>
              <w:pStyle w:val="P68B1DB1-Normal7"/>
              <w:spacing w:before="0" w:after="0" w:line="240" w:lineRule="auto"/>
              <w:jc w:val="center"/>
              <w:rPr>
                <w:rFonts w:eastAsia="Times New Roman"/>
                <w:noProof/>
              </w:rPr>
            </w:pPr>
            <w:r>
              <w:rPr>
                <w:noProof/>
              </w:rPr>
              <w:t>T2</w:t>
            </w:r>
          </w:p>
        </w:tc>
        <w:tc>
          <w:tcPr>
            <w:tcW w:w="720" w:type="dxa"/>
            <w:shd w:val="clear" w:color="auto" w:fill="C6EFCE"/>
            <w:noWrap/>
            <w:hideMark/>
          </w:tcPr>
          <w:p w14:paraId="2E7A1CD2" w14:textId="77777777" w:rsidR="003B6BD9" w:rsidRDefault="009E25E8">
            <w:pPr>
              <w:pStyle w:val="P68B1DB1-Normal7"/>
              <w:spacing w:before="0" w:after="0" w:line="240" w:lineRule="auto"/>
              <w:jc w:val="center"/>
              <w:rPr>
                <w:rFonts w:eastAsia="Times New Roman"/>
                <w:noProof/>
              </w:rPr>
            </w:pPr>
            <w:r>
              <w:rPr>
                <w:noProof/>
              </w:rPr>
              <w:t>2022</w:t>
            </w:r>
          </w:p>
        </w:tc>
        <w:tc>
          <w:tcPr>
            <w:tcW w:w="2972" w:type="dxa"/>
            <w:shd w:val="clear" w:color="auto" w:fill="C6EFCE"/>
            <w:noWrap/>
            <w:hideMark/>
          </w:tcPr>
          <w:p w14:paraId="1DB08087" w14:textId="2D7EAA13" w:rsidR="003B6BD9" w:rsidRDefault="009E25E8">
            <w:pPr>
              <w:pStyle w:val="P68B1DB1-Normal10"/>
              <w:spacing w:before="0" w:after="0" w:line="240" w:lineRule="auto"/>
              <w:rPr>
                <w:noProof/>
              </w:rPr>
            </w:pPr>
            <w:r>
              <w:rPr>
                <w:noProof/>
                <w:color w:val="006100"/>
              </w:rPr>
              <w:t>Octroi de subventions pour des projets visant à soutenir le développement régional par des investissements dans des immobilisations corporelles et incorporelles. Les projets seront attribués sur la base de la loi sur la promotion du développement régional</w:t>
            </w:r>
            <w:r>
              <w:rPr>
                <w:noProof/>
              </w:rPr>
              <w:t xml:space="preserve"> </w:t>
            </w:r>
            <w:r>
              <w:rPr>
                <w:noProof/>
                <w:color w:val="006100"/>
              </w:rPr>
              <w:t xml:space="preserve">et conformément aux orientations techniques «Ne pas causer de préjudice important» (2021/C58/01) au moyen de l’utilisation d’une liste d’exclusion et de l’exigence de conformité avec la législation environnementale de l’UE et nationale applicable. </w:t>
            </w:r>
          </w:p>
        </w:tc>
      </w:tr>
      <w:tr w:rsidR="003B6BD9" w14:paraId="3644F808" w14:textId="77777777" w:rsidTr="006C1AFD">
        <w:trPr>
          <w:trHeight w:val="309"/>
          <w:jc w:val="center"/>
        </w:trPr>
        <w:tc>
          <w:tcPr>
            <w:tcW w:w="955" w:type="dxa"/>
            <w:shd w:val="clear" w:color="auto" w:fill="C6EFCE"/>
            <w:noWrap/>
          </w:tcPr>
          <w:p w14:paraId="7AF22E48" w14:textId="77777777" w:rsidR="003B6BD9" w:rsidRDefault="009E25E8">
            <w:pPr>
              <w:pStyle w:val="P68B1DB1-Normal7"/>
              <w:spacing w:before="0" w:after="0" w:line="240" w:lineRule="auto"/>
              <w:jc w:val="center"/>
              <w:rPr>
                <w:rFonts w:eastAsia="Times New Roman"/>
                <w:noProof/>
              </w:rPr>
            </w:pPr>
            <w:r>
              <w:rPr>
                <w:noProof/>
              </w:rPr>
              <w:t>129</w:t>
            </w:r>
          </w:p>
        </w:tc>
        <w:tc>
          <w:tcPr>
            <w:tcW w:w="1800" w:type="dxa"/>
            <w:shd w:val="clear" w:color="auto" w:fill="C6EFCE"/>
            <w:noWrap/>
          </w:tcPr>
          <w:p w14:paraId="37E680BC" w14:textId="77777777" w:rsidR="003B6BD9" w:rsidRDefault="009E25E8">
            <w:pPr>
              <w:pStyle w:val="P68B1DB1-Normal7"/>
              <w:spacing w:before="0" w:after="0" w:line="240" w:lineRule="auto"/>
              <w:rPr>
                <w:rFonts w:eastAsia="Times New Roman"/>
                <w:noProof/>
              </w:rPr>
            </w:pPr>
            <w:r>
              <w:rPr>
                <w:noProof/>
              </w:rPr>
              <w:t>C: Soutien à la décarbonation, à la productivité et à la compétitivité des entreprises</w:t>
            </w:r>
          </w:p>
        </w:tc>
        <w:tc>
          <w:tcPr>
            <w:tcW w:w="1200" w:type="dxa"/>
            <w:shd w:val="clear" w:color="auto" w:fill="C6EFCE"/>
            <w:noWrap/>
          </w:tcPr>
          <w:p w14:paraId="20E57A73" w14:textId="77777777" w:rsidR="003B6BD9" w:rsidRDefault="009E25E8">
            <w:pPr>
              <w:pStyle w:val="P68B1DB1-Normal7"/>
              <w:spacing w:before="0" w:after="0" w:line="240" w:lineRule="auto"/>
              <w:rPr>
                <w:rFonts w:eastAsia="Times New Roman"/>
                <w:noProof/>
              </w:rPr>
            </w:pPr>
            <w:r>
              <w:rPr>
                <w:noProof/>
              </w:rPr>
              <w:t>Jalon</w:t>
            </w:r>
          </w:p>
        </w:tc>
        <w:tc>
          <w:tcPr>
            <w:tcW w:w="2046" w:type="dxa"/>
            <w:shd w:val="clear" w:color="auto" w:fill="C6EFCE"/>
            <w:noWrap/>
          </w:tcPr>
          <w:p w14:paraId="2E472E6A" w14:textId="6F4F6C6C" w:rsidR="003B6BD9" w:rsidRDefault="009E25E8">
            <w:pPr>
              <w:pStyle w:val="P68B1DB1-Normal7"/>
              <w:spacing w:before="0" w:after="0" w:line="240" w:lineRule="auto"/>
              <w:rPr>
                <w:rFonts w:eastAsia="Times New Roman"/>
                <w:noProof/>
              </w:rPr>
            </w:pPr>
            <w:r>
              <w:rPr>
                <w:noProof/>
              </w:rPr>
              <w:t>Octroi de subventions pour des projets visant à promouvoir les investissements</w:t>
            </w:r>
          </w:p>
        </w:tc>
        <w:tc>
          <w:tcPr>
            <w:tcW w:w="2122" w:type="dxa"/>
            <w:shd w:val="clear" w:color="auto" w:fill="C6EFCE"/>
            <w:noWrap/>
          </w:tcPr>
          <w:p w14:paraId="7BCC52A6" w14:textId="77777777" w:rsidR="003B6BD9" w:rsidRDefault="009E25E8">
            <w:pPr>
              <w:pStyle w:val="P68B1DB1-Normal7"/>
              <w:spacing w:before="0" w:after="0" w:line="240" w:lineRule="auto"/>
              <w:rPr>
                <w:rFonts w:eastAsia="Times New Roman"/>
                <w:noProof/>
              </w:rPr>
            </w:pPr>
            <w:r>
              <w:rPr>
                <w:noProof/>
              </w:rPr>
              <w:t>Communication des prix</w:t>
            </w:r>
          </w:p>
        </w:tc>
        <w:tc>
          <w:tcPr>
            <w:tcW w:w="1080" w:type="dxa"/>
            <w:shd w:val="clear" w:color="auto" w:fill="C6EFCE"/>
            <w:noWrap/>
          </w:tcPr>
          <w:p w14:paraId="688BA8B5" w14:textId="77777777" w:rsidR="003B6BD9" w:rsidRDefault="009E25E8">
            <w:pPr>
              <w:pStyle w:val="P68B1DB1-Normal7"/>
              <w:spacing w:before="0" w:after="0" w:line="240" w:lineRule="auto"/>
              <w:rPr>
                <w:rFonts w:eastAsia="Times New Roman"/>
                <w:noProof/>
              </w:rPr>
            </w:pPr>
            <w:r>
              <w:rPr>
                <w:noProof/>
              </w:rPr>
              <w:t> </w:t>
            </w:r>
          </w:p>
        </w:tc>
        <w:tc>
          <w:tcPr>
            <w:tcW w:w="999" w:type="dxa"/>
            <w:shd w:val="clear" w:color="auto" w:fill="C6EFCE"/>
            <w:noWrap/>
          </w:tcPr>
          <w:p w14:paraId="50D41214" w14:textId="77777777" w:rsidR="003B6BD9" w:rsidRDefault="009E25E8">
            <w:pPr>
              <w:pStyle w:val="P68B1DB1-Normal7"/>
              <w:spacing w:before="0" w:after="0" w:line="240" w:lineRule="auto"/>
              <w:rPr>
                <w:rFonts w:eastAsia="Times New Roman"/>
                <w:noProof/>
              </w:rPr>
            </w:pPr>
            <w:r>
              <w:rPr>
                <w:noProof/>
              </w:rPr>
              <w:t> </w:t>
            </w:r>
          </w:p>
        </w:tc>
        <w:tc>
          <w:tcPr>
            <w:tcW w:w="711" w:type="dxa"/>
            <w:shd w:val="clear" w:color="auto" w:fill="C6EFCE"/>
            <w:noWrap/>
          </w:tcPr>
          <w:p w14:paraId="72C65970" w14:textId="77777777" w:rsidR="003B6BD9" w:rsidRDefault="009E25E8">
            <w:pPr>
              <w:pStyle w:val="P68B1DB1-Normal7"/>
              <w:spacing w:before="0" w:after="0" w:line="240" w:lineRule="auto"/>
              <w:rPr>
                <w:rFonts w:eastAsia="Times New Roman"/>
                <w:noProof/>
              </w:rPr>
            </w:pPr>
            <w:r>
              <w:rPr>
                <w:noProof/>
              </w:rPr>
              <w:t> </w:t>
            </w:r>
          </w:p>
        </w:tc>
        <w:tc>
          <w:tcPr>
            <w:tcW w:w="990" w:type="dxa"/>
            <w:shd w:val="clear" w:color="auto" w:fill="C6EFCE"/>
            <w:noWrap/>
          </w:tcPr>
          <w:p w14:paraId="3E62052A" w14:textId="77777777" w:rsidR="003B6BD9" w:rsidRDefault="009E25E8">
            <w:pPr>
              <w:pStyle w:val="P68B1DB1-Normal7"/>
              <w:spacing w:before="0" w:after="0" w:line="240" w:lineRule="auto"/>
              <w:jc w:val="center"/>
              <w:rPr>
                <w:rFonts w:eastAsia="Times New Roman"/>
                <w:noProof/>
              </w:rPr>
            </w:pPr>
            <w:r>
              <w:rPr>
                <w:noProof/>
              </w:rPr>
              <w:t>T2</w:t>
            </w:r>
          </w:p>
        </w:tc>
        <w:tc>
          <w:tcPr>
            <w:tcW w:w="720" w:type="dxa"/>
            <w:shd w:val="clear" w:color="auto" w:fill="C6EFCE"/>
            <w:noWrap/>
          </w:tcPr>
          <w:p w14:paraId="516CF040" w14:textId="77777777" w:rsidR="003B6BD9" w:rsidRDefault="009E25E8">
            <w:pPr>
              <w:pStyle w:val="P68B1DB1-Normal7"/>
              <w:spacing w:before="0" w:after="0" w:line="240" w:lineRule="auto"/>
              <w:jc w:val="center"/>
              <w:rPr>
                <w:rFonts w:eastAsia="Times New Roman"/>
                <w:noProof/>
              </w:rPr>
            </w:pPr>
            <w:r>
              <w:rPr>
                <w:noProof/>
              </w:rPr>
              <w:t>2023</w:t>
            </w:r>
          </w:p>
        </w:tc>
        <w:tc>
          <w:tcPr>
            <w:tcW w:w="2972" w:type="dxa"/>
            <w:shd w:val="clear" w:color="auto" w:fill="C6EFCE"/>
            <w:noWrap/>
          </w:tcPr>
          <w:p w14:paraId="5B49B8D7" w14:textId="00D30E4D" w:rsidR="003B6BD9" w:rsidRDefault="009E25E8">
            <w:pPr>
              <w:pStyle w:val="P68B1DB1-Normal7"/>
              <w:spacing w:before="0" w:after="0" w:line="240" w:lineRule="auto"/>
              <w:rPr>
                <w:noProof/>
                <w:vertAlign w:val="superscript"/>
              </w:rPr>
            </w:pPr>
            <w:r>
              <w:rPr>
                <w:noProof/>
              </w:rPr>
              <w:t>Octroi de subventions pour des projets visant à promouvoir les investissements dans l’industrie manufacturière, les services et les activités de recherche et développement par des investissements dans des immobilisations corporelles et incorporelles. Les projets sont conformes à la loi sur la promotion des investissements telle que modifiée au titre du jalon 126, y compris aux orientations techniques «Ne pas causer de préjudice important» (2021/C58/01) au moyen de l’utilisation d’une liste d’exclusion et de l’exigence de conformité avec la législation environnementale nationale et de l’UE applicable.</w:t>
            </w:r>
          </w:p>
        </w:tc>
      </w:tr>
      <w:tr w:rsidR="003B6BD9" w14:paraId="0C9B4710" w14:textId="77777777" w:rsidTr="006C1AFD">
        <w:trPr>
          <w:trHeight w:val="424"/>
          <w:jc w:val="center"/>
        </w:trPr>
        <w:tc>
          <w:tcPr>
            <w:tcW w:w="955" w:type="dxa"/>
            <w:shd w:val="clear" w:color="auto" w:fill="C6EFCE"/>
            <w:noWrap/>
          </w:tcPr>
          <w:p w14:paraId="0EEC2247" w14:textId="4E9DEC5B" w:rsidR="003B6BD9" w:rsidRDefault="009E25E8">
            <w:pPr>
              <w:pStyle w:val="P68B1DB1-Normal7"/>
              <w:spacing w:before="0" w:after="0" w:line="240" w:lineRule="auto"/>
              <w:jc w:val="center"/>
              <w:rPr>
                <w:rFonts w:eastAsia="Times New Roman"/>
                <w:noProof/>
              </w:rPr>
            </w:pPr>
            <w:r>
              <w:rPr>
                <w:noProof/>
              </w:rPr>
              <w:t>130</w:t>
            </w:r>
          </w:p>
        </w:tc>
        <w:tc>
          <w:tcPr>
            <w:tcW w:w="1800" w:type="dxa"/>
            <w:shd w:val="clear" w:color="auto" w:fill="C6EFCE"/>
            <w:noWrap/>
          </w:tcPr>
          <w:p w14:paraId="13EBA954" w14:textId="77777777" w:rsidR="003B6BD9" w:rsidRDefault="009E25E8">
            <w:pPr>
              <w:pStyle w:val="P68B1DB1-Normal7"/>
              <w:spacing w:before="0" w:after="0" w:line="240" w:lineRule="auto"/>
              <w:rPr>
                <w:rFonts w:eastAsia="Times New Roman"/>
                <w:noProof/>
              </w:rPr>
            </w:pPr>
            <w:r>
              <w:rPr>
                <w:noProof/>
              </w:rPr>
              <w:t>C: Soutien à la décarbonation, à la productivité et à la compétitivité des entreprises</w:t>
            </w:r>
          </w:p>
        </w:tc>
        <w:tc>
          <w:tcPr>
            <w:tcW w:w="1200" w:type="dxa"/>
            <w:shd w:val="clear" w:color="auto" w:fill="C6EFCE"/>
            <w:noWrap/>
          </w:tcPr>
          <w:p w14:paraId="52CBC372" w14:textId="77777777" w:rsidR="003B6BD9" w:rsidRDefault="009E25E8">
            <w:pPr>
              <w:pStyle w:val="P68B1DB1-Normal7"/>
              <w:spacing w:before="0" w:after="0" w:line="240" w:lineRule="auto"/>
              <w:rPr>
                <w:rFonts w:eastAsia="Times New Roman"/>
                <w:noProof/>
              </w:rPr>
            </w:pPr>
            <w:r>
              <w:rPr>
                <w:noProof/>
              </w:rPr>
              <w:t>Cible</w:t>
            </w:r>
          </w:p>
        </w:tc>
        <w:tc>
          <w:tcPr>
            <w:tcW w:w="2046" w:type="dxa"/>
            <w:shd w:val="clear" w:color="auto" w:fill="C6EFCE"/>
            <w:noWrap/>
          </w:tcPr>
          <w:p w14:paraId="6E15D4A3" w14:textId="68316939" w:rsidR="003B6BD9" w:rsidRDefault="009E25E8">
            <w:pPr>
              <w:pStyle w:val="P68B1DB1-Normal7"/>
              <w:spacing w:before="0" w:after="0" w:line="240" w:lineRule="auto"/>
              <w:rPr>
                <w:rFonts w:eastAsia="Times New Roman"/>
                <w:noProof/>
              </w:rPr>
            </w:pPr>
            <w:r>
              <w:rPr>
                <w:noProof/>
              </w:rPr>
              <w:t>Rapports finaux acceptés des projets</w:t>
            </w:r>
          </w:p>
        </w:tc>
        <w:tc>
          <w:tcPr>
            <w:tcW w:w="2122" w:type="dxa"/>
            <w:shd w:val="clear" w:color="auto" w:fill="C6EFCE"/>
            <w:noWrap/>
          </w:tcPr>
          <w:p w14:paraId="568B6474" w14:textId="4A9EB0A9" w:rsidR="003B6BD9" w:rsidRDefault="003B6BD9">
            <w:pPr>
              <w:spacing w:before="0" w:after="0" w:line="240" w:lineRule="auto"/>
              <w:rPr>
                <w:rFonts w:eastAsia="Times New Roman"/>
                <w:noProof/>
                <w:color w:val="006100"/>
                <w:sz w:val="18"/>
                <w:szCs w:val="18"/>
              </w:rPr>
            </w:pPr>
          </w:p>
        </w:tc>
        <w:tc>
          <w:tcPr>
            <w:tcW w:w="1080" w:type="dxa"/>
            <w:shd w:val="clear" w:color="auto" w:fill="C6EFCE"/>
            <w:noWrap/>
          </w:tcPr>
          <w:p w14:paraId="3C999E11" w14:textId="77777777" w:rsidR="003B6BD9" w:rsidRDefault="009E25E8">
            <w:pPr>
              <w:pStyle w:val="P68B1DB1-Normal7"/>
              <w:spacing w:before="0" w:after="0" w:line="240" w:lineRule="auto"/>
              <w:rPr>
                <w:rFonts w:eastAsia="Times New Roman"/>
                <w:noProof/>
              </w:rPr>
            </w:pPr>
            <w:r>
              <w:rPr>
                <w:noProof/>
              </w:rPr>
              <w:t>Nombre</w:t>
            </w:r>
          </w:p>
        </w:tc>
        <w:tc>
          <w:tcPr>
            <w:tcW w:w="999" w:type="dxa"/>
            <w:shd w:val="clear" w:color="auto" w:fill="C6EFCE"/>
            <w:noWrap/>
          </w:tcPr>
          <w:p w14:paraId="6C51C98A" w14:textId="77777777" w:rsidR="003B6BD9" w:rsidRDefault="009E25E8">
            <w:pPr>
              <w:pStyle w:val="P68B1DB1-Normal7"/>
              <w:spacing w:before="0" w:after="0" w:line="240" w:lineRule="auto"/>
              <w:rPr>
                <w:rFonts w:eastAsia="Times New Roman"/>
                <w:noProof/>
              </w:rPr>
            </w:pPr>
            <w:r>
              <w:rPr>
                <w:noProof/>
              </w:rPr>
              <w:t>0</w:t>
            </w:r>
          </w:p>
        </w:tc>
        <w:tc>
          <w:tcPr>
            <w:tcW w:w="711" w:type="dxa"/>
            <w:shd w:val="clear" w:color="auto" w:fill="C6EFCE"/>
            <w:noWrap/>
          </w:tcPr>
          <w:p w14:paraId="18ADAB65" w14:textId="77777777" w:rsidR="003B6BD9" w:rsidRDefault="009E25E8">
            <w:pPr>
              <w:pStyle w:val="P68B1DB1-Normal7"/>
              <w:spacing w:before="0" w:after="0" w:line="240" w:lineRule="auto"/>
              <w:rPr>
                <w:rFonts w:eastAsia="Times New Roman"/>
                <w:noProof/>
              </w:rPr>
            </w:pPr>
            <w:r>
              <w:rPr>
                <w:noProof/>
              </w:rPr>
              <w:t>59</w:t>
            </w:r>
          </w:p>
        </w:tc>
        <w:tc>
          <w:tcPr>
            <w:tcW w:w="990" w:type="dxa"/>
            <w:shd w:val="clear" w:color="auto" w:fill="C6EFCE"/>
            <w:noWrap/>
          </w:tcPr>
          <w:p w14:paraId="599509B2" w14:textId="77777777" w:rsidR="003B6BD9" w:rsidRDefault="009E25E8">
            <w:pPr>
              <w:pStyle w:val="P68B1DB1-Normal7"/>
              <w:spacing w:before="0" w:after="0" w:line="240" w:lineRule="auto"/>
              <w:jc w:val="center"/>
              <w:rPr>
                <w:rFonts w:eastAsia="Times New Roman"/>
                <w:noProof/>
              </w:rPr>
            </w:pPr>
            <w:r>
              <w:rPr>
                <w:noProof/>
              </w:rPr>
              <w:t>T2</w:t>
            </w:r>
          </w:p>
        </w:tc>
        <w:tc>
          <w:tcPr>
            <w:tcW w:w="720" w:type="dxa"/>
            <w:shd w:val="clear" w:color="auto" w:fill="C6EFCE"/>
            <w:noWrap/>
          </w:tcPr>
          <w:p w14:paraId="45A1E0DC" w14:textId="77777777" w:rsidR="003B6BD9" w:rsidRDefault="009E25E8">
            <w:pPr>
              <w:pStyle w:val="P68B1DB1-Normal7"/>
              <w:spacing w:before="0" w:after="0" w:line="240" w:lineRule="auto"/>
              <w:jc w:val="center"/>
              <w:rPr>
                <w:rFonts w:eastAsia="Times New Roman"/>
                <w:noProof/>
              </w:rPr>
            </w:pPr>
            <w:r>
              <w:rPr>
                <w:noProof/>
              </w:rPr>
              <w:t>2026</w:t>
            </w:r>
          </w:p>
        </w:tc>
        <w:tc>
          <w:tcPr>
            <w:tcW w:w="2972" w:type="dxa"/>
            <w:shd w:val="clear" w:color="auto" w:fill="C6EFCE"/>
            <w:noWrap/>
          </w:tcPr>
          <w:p w14:paraId="13BE7500" w14:textId="722C154C" w:rsidR="003B6BD9" w:rsidRDefault="009E25E8">
            <w:pPr>
              <w:pStyle w:val="P68B1DB1-Normal7"/>
              <w:spacing w:before="0" w:after="0" w:line="240" w:lineRule="auto"/>
              <w:rPr>
                <w:rFonts w:eastAsia="Times New Roman"/>
                <w:noProof/>
              </w:rPr>
            </w:pPr>
            <w:r>
              <w:rPr>
                <w:noProof/>
              </w:rPr>
              <w:t>Au moins 59 rapports finaux reçus soumis par les bénéficiaires de subventions et au moins 59 listes de contrôle des rapports finaux signés par l’administration contractante confirmant que les projets d’aide à l’investissement ont été réalisés.</w:t>
            </w:r>
          </w:p>
        </w:tc>
      </w:tr>
      <w:tr w:rsidR="003B6BD9" w14:paraId="47CBD8F2" w14:textId="77777777" w:rsidTr="006C1AFD">
        <w:trPr>
          <w:trHeight w:val="424"/>
          <w:jc w:val="center"/>
        </w:trPr>
        <w:tc>
          <w:tcPr>
            <w:tcW w:w="955" w:type="dxa"/>
            <w:shd w:val="clear" w:color="auto" w:fill="C6EFCE"/>
            <w:noWrap/>
          </w:tcPr>
          <w:p w14:paraId="2A4253AC" w14:textId="4B95541E" w:rsidR="003B6BD9" w:rsidRDefault="009E25E8">
            <w:pPr>
              <w:pStyle w:val="P68B1DB1-Normal7"/>
              <w:spacing w:before="0" w:after="0" w:line="240" w:lineRule="auto"/>
              <w:jc w:val="center"/>
              <w:rPr>
                <w:noProof/>
              </w:rPr>
            </w:pPr>
            <w:r>
              <w:rPr>
                <w:noProof/>
              </w:rPr>
              <w:t>132</w:t>
            </w:r>
          </w:p>
        </w:tc>
        <w:tc>
          <w:tcPr>
            <w:tcW w:w="1800" w:type="dxa"/>
            <w:shd w:val="clear" w:color="auto" w:fill="C6EFCE"/>
            <w:noWrap/>
          </w:tcPr>
          <w:p w14:paraId="4D90AEF9" w14:textId="3AC8EC9F" w:rsidR="003B6BD9" w:rsidRDefault="009E25E8">
            <w:pPr>
              <w:pStyle w:val="P68B1DB1-Normal7"/>
              <w:spacing w:before="0" w:after="0" w:line="240" w:lineRule="auto"/>
              <w:rPr>
                <w:noProof/>
              </w:rPr>
            </w:pPr>
            <w:r>
              <w:rPr>
                <w:noProof/>
              </w:rPr>
              <w:t>C: Soutien à la décarbonation, à la productivité et à la compétitivité des entreprises</w:t>
            </w:r>
          </w:p>
        </w:tc>
        <w:tc>
          <w:tcPr>
            <w:tcW w:w="1200" w:type="dxa"/>
            <w:shd w:val="clear" w:color="auto" w:fill="C6EFCE"/>
            <w:noWrap/>
          </w:tcPr>
          <w:p w14:paraId="429556DB" w14:textId="492A74EA" w:rsidR="003B6BD9" w:rsidRDefault="009E25E8">
            <w:pPr>
              <w:pStyle w:val="P68B1DB1-Normal7"/>
              <w:spacing w:before="0" w:after="0" w:line="240" w:lineRule="auto"/>
              <w:rPr>
                <w:noProof/>
              </w:rPr>
            </w:pPr>
            <w:r>
              <w:rPr>
                <w:noProof/>
              </w:rPr>
              <w:t>Cible</w:t>
            </w:r>
          </w:p>
        </w:tc>
        <w:tc>
          <w:tcPr>
            <w:tcW w:w="2046" w:type="dxa"/>
            <w:shd w:val="clear" w:color="auto" w:fill="C6EFCE"/>
            <w:noWrap/>
          </w:tcPr>
          <w:p w14:paraId="7631E593" w14:textId="7CD41716" w:rsidR="003B6BD9" w:rsidRDefault="009E25E8">
            <w:pPr>
              <w:pStyle w:val="P68B1DB1-Normal7"/>
              <w:spacing w:before="0" w:after="0" w:line="240" w:lineRule="auto"/>
              <w:rPr>
                <w:noProof/>
              </w:rPr>
            </w:pPr>
            <w:r>
              <w:rPr>
                <w:noProof/>
              </w:rPr>
              <w:t>Rapports finaux acceptés des projets</w:t>
            </w:r>
          </w:p>
        </w:tc>
        <w:tc>
          <w:tcPr>
            <w:tcW w:w="2122" w:type="dxa"/>
            <w:shd w:val="clear" w:color="auto" w:fill="C6EFCE"/>
            <w:noWrap/>
          </w:tcPr>
          <w:p w14:paraId="73412652" w14:textId="6F869E47" w:rsidR="003B6BD9" w:rsidRDefault="009E25E8">
            <w:pPr>
              <w:pStyle w:val="P68B1DB1-Normal7"/>
              <w:spacing w:before="0" w:after="0" w:line="240" w:lineRule="auto"/>
              <w:rPr>
                <w:rFonts w:eastAsia="Times New Roman"/>
                <w:noProof/>
              </w:rPr>
            </w:pPr>
            <w:r>
              <w:rPr>
                <w:noProof/>
              </w:rPr>
              <w:t> </w:t>
            </w:r>
          </w:p>
        </w:tc>
        <w:tc>
          <w:tcPr>
            <w:tcW w:w="1080" w:type="dxa"/>
            <w:shd w:val="clear" w:color="auto" w:fill="C6EFCE"/>
            <w:noWrap/>
          </w:tcPr>
          <w:p w14:paraId="2568039D" w14:textId="1A72EA3A" w:rsidR="003B6BD9" w:rsidRDefault="009E25E8">
            <w:pPr>
              <w:pStyle w:val="P68B1DB1-Normal7"/>
              <w:spacing w:before="0" w:after="0" w:line="240" w:lineRule="auto"/>
              <w:rPr>
                <w:noProof/>
              </w:rPr>
            </w:pPr>
            <w:r>
              <w:rPr>
                <w:noProof/>
              </w:rPr>
              <w:t>Nombre</w:t>
            </w:r>
          </w:p>
        </w:tc>
        <w:tc>
          <w:tcPr>
            <w:tcW w:w="999" w:type="dxa"/>
            <w:shd w:val="clear" w:color="auto" w:fill="C6EFCE"/>
            <w:noWrap/>
          </w:tcPr>
          <w:p w14:paraId="225F6033" w14:textId="496E6430" w:rsidR="003B6BD9" w:rsidRDefault="009E25E8">
            <w:pPr>
              <w:pStyle w:val="P68B1DB1-Normal7"/>
              <w:spacing w:before="0" w:after="0" w:line="240" w:lineRule="auto"/>
              <w:rPr>
                <w:noProof/>
              </w:rPr>
            </w:pPr>
            <w:r>
              <w:rPr>
                <w:noProof/>
              </w:rPr>
              <w:t>0</w:t>
            </w:r>
          </w:p>
        </w:tc>
        <w:tc>
          <w:tcPr>
            <w:tcW w:w="711" w:type="dxa"/>
            <w:shd w:val="clear" w:color="auto" w:fill="C6EFCE"/>
            <w:noWrap/>
          </w:tcPr>
          <w:p w14:paraId="3FFA46EA" w14:textId="0D1206CD" w:rsidR="003B6BD9" w:rsidRDefault="009E25E8">
            <w:pPr>
              <w:pStyle w:val="P68B1DB1-Normal7"/>
              <w:spacing w:before="0" w:after="0" w:line="240" w:lineRule="auto"/>
              <w:rPr>
                <w:noProof/>
              </w:rPr>
            </w:pPr>
            <w:r>
              <w:rPr>
                <w:noProof/>
              </w:rPr>
              <w:t>1</w:t>
            </w:r>
            <w:r>
              <w:rPr>
                <w:rFonts w:eastAsia="Times New Roman"/>
                <w:noProof/>
              </w:rPr>
              <w:t>98</w:t>
            </w:r>
          </w:p>
        </w:tc>
        <w:tc>
          <w:tcPr>
            <w:tcW w:w="990" w:type="dxa"/>
            <w:shd w:val="clear" w:color="auto" w:fill="C6EFCE"/>
            <w:noWrap/>
          </w:tcPr>
          <w:p w14:paraId="7F7F564C" w14:textId="77932F44" w:rsidR="003B6BD9" w:rsidRDefault="009E25E8">
            <w:pPr>
              <w:pStyle w:val="P68B1DB1-Normal7"/>
              <w:spacing w:before="0" w:after="0" w:line="240" w:lineRule="auto"/>
              <w:jc w:val="center"/>
              <w:rPr>
                <w:noProof/>
              </w:rPr>
            </w:pPr>
            <w:r>
              <w:rPr>
                <w:noProof/>
              </w:rPr>
              <w:t>T2</w:t>
            </w:r>
          </w:p>
        </w:tc>
        <w:tc>
          <w:tcPr>
            <w:tcW w:w="720" w:type="dxa"/>
            <w:shd w:val="clear" w:color="auto" w:fill="C6EFCE"/>
            <w:noWrap/>
          </w:tcPr>
          <w:p w14:paraId="531E92E6" w14:textId="1FC10624" w:rsidR="003B6BD9" w:rsidRDefault="009E25E8">
            <w:pPr>
              <w:pStyle w:val="P68B1DB1-Normal7"/>
              <w:spacing w:before="0" w:after="0" w:line="240" w:lineRule="auto"/>
              <w:jc w:val="center"/>
              <w:rPr>
                <w:noProof/>
              </w:rPr>
            </w:pPr>
            <w:r>
              <w:rPr>
                <w:noProof/>
              </w:rPr>
              <w:t>2026</w:t>
            </w:r>
          </w:p>
        </w:tc>
        <w:tc>
          <w:tcPr>
            <w:tcW w:w="2972" w:type="dxa"/>
            <w:shd w:val="clear" w:color="auto" w:fill="C6EFCE"/>
            <w:noWrap/>
          </w:tcPr>
          <w:p w14:paraId="56F673F8" w14:textId="513876D2" w:rsidR="003B6BD9" w:rsidRDefault="009E25E8">
            <w:pPr>
              <w:pStyle w:val="P68B1DB1-Normal7"/>
              <w:spacing w:before="0" w:after="0" w:line="240" w:lineRule="auto"/>
              <w:rPr>
                <w:noProof/>
              </w:rPr>
            </w:pPr>
            <w:r>
              <w:rPr>
                <w:noProof/>
              </w:rPr>
              <w:t>Au moins 198 confirmations des pouvoirs adjudicateurs acceptant les rapports finaux des bénéficiaires confirmant que les projets d’appui au développement régional ont été réalisés.</w:t>
            </w:r>
          </w:p>
        </w:tc>
      </w:tr>
      <w:tr w:rsidR="003B6BD9" w14:paraId="1CBA38BF" w14:textId="77777777" w:rsidTr="006C1AFD">
        <w:trPr>
          <w:trHeight w:val="309"/>
          <w:jc w:val="center"/>
        </w:trPr>
        <w:tc>
          <w:tcPr>
            <w:tcW w:w="955" w:type="dxa"/>
            <w:shd w:val="clear" w:color="auto" w:fill="C6EFCE"/>
            <w:noWrap/>
          </w:tcPr>
          <w:p w14:paraId="12D4CF17" w14:textId="77777777" w:rsidR="003B6BD9" w:rsidRDefault="009E25E8">
            <w:pPr>
              <w:pStyle w:val="P68B1DB1-Normal7"/>
              <w:spacing w:before="0" w:after="0" w:line="240" w:lineRule="auto"/>
              <w:jc w:val="center"/>
              <w:rPr>
                <w:rFonts w:eastAsia="Times New Roman"/>
                <w:noProof/>
              </w:rPr>
            </w:pPr>
            <w:r>
              <w:rPr>
                <w:noProof/>
              </w:rPr>
              <w:t>133</w:t>
            </w:r>
          </w:p>
        </w:tc>
        <w:tc>
          <w:tcPr>
            <w:tcW w:w="1800" w:type="dxa"/>
            <w:shd w:val="clear" w:color="auto" w:fill="C6EFCE"/>
            <w:noWrap/>
          </w:tcPr>
          <w:p w14:paraId="09195BC2" w14:textId="77777777" w:rsidR="003B6BD9" w:rsidRDefault="009E25E8">
            <w:pPr>
              <w:pStyle w:val="P68B1DB1-Normal7"/>
              <w:spacing w:before="0" w:after="0" w:line="240" w:lineRule="auto"/>
              <w:rPr>
                <w:rFonts w:eastAsia="Times New Roman"/>
                <w:noProof/>
              </w:rPr>
            </w:pPr>
            <w:r>
              <w:rPr>
                <w:noProof/>
              </w:rPr>
              <w:t>D: Fournir des écosystèmes innovants d’infrastructures économiques et commerciales</w:t>
            </w:r>
          </w:p>
        </w:tc>
        <w:tc>
          <w:tcPr>
            <w:tcW w:w="1200" w:type="dxa"/>
            <w:shd w:val="clear" w:color="auto" w:fill="C6EFCE"/>
            <w:noWrap/>
          </w:tcPr>
          <w:p w14:paraId="2CE1D002" w14:textId="77777777" w:rsidR="003B6BD9" w:rsidRDefault="009E25E8">
            <w:pPr>
              <w:pStyle w:val="P68B1DB1-Normal7"/>
              <w:spacing w:before="0" w:after="0" w:line="240" w:lineRule="auto"/>
              <w:rPr>
                <w:rFonts w:eastAsia="Times New Roman"/>
                <w:noProof/>
              </w:rPr>
            </w:pPr>
            <w:r>
              <w:rPr>
                <w:noProof/>
              </w:rPr>
              <w:t>Jalon</w:t>
            </w:r>
          </w:p>
        </w:tc>
        <w:tc>
          <w:tcPr>
            <w:tcW w:w="2046" w:type="dxa"/>
            <w:shd w:val="clear" w:color="auto" w:fill="C6EFCE"/>
            <w:noWrap/>
          </w:tcPr>
          <w:p w14:paraId="6DF5AED8" w14:textId="2E419FB8" w:rsidR="003B6BD9" w:rsidRDefault="009E25E8">
            <w:pPr>
              <w:pStyle w:val="P68B1DB1-Normal7"/>
              <w:spacing w:before="0" w:after="0" w:line="240" w:lineRule="auto"/>
              <w:rPr>
                <w:rFonts w:eastAsia="Times New Roman"/>
                <w:noProof/>
              </w:rPr>
            </w:pPr>
            <w:r>
              <w:rPr>
                <w:noProof/>
              </w:rPr>
              <w:t xml:space="preserve">Octroi de subventions pour des écosystèmes innovants d’infrastructures commerciales </w:t>
            </w:r>
          </w:p>
        </w:tc>
        <w:tc>
          <w:tcPr>
            <w:tcW w:w="2122" w:type="dxa"/>
            <w:shd w:val="clear" w:color="auto" w:fill="C6EFCE"/>
            <w:noWrap/>
          </w:tcPr>
          <w:p w14:paraId="054197AC" w14:textId="77777777" w:rsidR="003B6BD9" w:rsidRDefault="009E25E8">
            <w:pPr>
              <w:pStyle w:val="P68B1DB1-Normal7"/>
              <w:spacing w:before="0" w:after="0" w:line="240" w:lineRule="auto"/>
              <w:rPr>
                <w:rFonts w:eastAsia="Times New Roman"/>
                <w:noProof/>
              </w:rPr>
            </w:pPr>
            <w:r>
              <w:rPr>
                <w:noProof/>
              </w:rPr>
              <w:t>Communication des prix</w:t>
            </w:r>
          </w:p>
        </w:tc>
        <w:tc>
          <w:tcPr>
            <w:tcW w:w="1080" w:type="dxa"/>
            <w:shd w:val="clear" w:color="auto" w:fill="C6EFCE"/>
            <w:noWrap/>
          </w:tcPr>
          <w:p w14:paraId="4064570F" w14:textId="77777777" w:rsidR="003B6BD9" w:rsidRDefault="009E25E8">
            <w:pPr>
              <w:pStyle w:val="P68B1DB1-Normal7"/>
              <w:spacing w:before="0" w:after="0" w:line="240" w:lineRule="auto"/>
              <w:rPr>
                <w:rFonts w:eastAsia="Times New Roman"/>
                <w:noProof/>
              </w:rPr>
            </w:pPr>
            <w:r>
              <w:rPr>
                <w:noProof/>
              </w:rPr>
              <w:t> </w:t>
            </w:r>
          </w:p>
        </w:tc>
        <w:tc>
          <w:tcPr>
            <w:tcW w:w="999" w:type="dxa"/>
            <w:shd w:val="clear" w:color="auto" w:fill="C6EFCE"/>
            <w:noWrap/>
          </w:tcPr>
          <w:p w14:paraId="646CAF6A" w14:textId="77777777" w:rsidR="003B6BD9" w:rsidRDefault="009E25E8">
            <w:pPr>
              <w:pStyle w:val="P68B1DB1-Normal7"/>
              <w:spacing w:before="0" w:after="0" w:line="240" w:lineRule="auto"/>
              <w:rPr>
                <w:rFonts w:eastAsia="Times New Roman"/>
                <w:noProof/>
              </w:rPr>
            </w:pPr>
            <w:r>
              <w:rPr>
                <w:noProof/>
              </w:rPr>
              <w:t> </w:t>
            </w:r>
          </w:p>
        </w:tc>
        <w:tc>
          <w:tcPr>
            <w:tcW w:w="711" w:type="dxa"/>
            <w:shd w:val="clear" w:color="auto" w:fill="C6EFCE"/>
            <w:noWrap/>
          </w:tcPr>
          <w:p w14:paraId="389274F6" w14:textId="77777777" w:rsidR="003B6BD9" w:rsidRDefault="009E25E8">
            <w:pPr>
              <w:pStyle w:val="P68B1DB1-Normal7"/>
              <w:spacing w:before="0" w:after="0" w:line="240" w:lineRule="auto"/>
              <w:rPr>
                <w:rFonts w:eastAsia="Times New Roman"/>
                <w:noProof/>
              </w:rPr>
            </w:pPr>
            <w:r>
              <w:rPr>
                <w:noProof/>
              </w:rPr>
              <w:t> </w:t>
            </w:r>
          </w:p>
        </w:tc>
        <w:tc>
          <w:tcPr>
            <w:tcW w:w="990" w:type="dxa"/>
            <w:shd w:val="clear" w:color="auto" w:fill="C6EFCE"/>
            <w:noWrap/>
          </w:tcPr>
          <w:p w14:paraId="659DDA15" w14:textId="77777777" w:rsidR="003B6BD9" w:rsidRDefault="009E25E8">
            <w:pPr>
              <w:pStyle w:val="P68B1DB1-Normal7"/>
              <w:spacing w:before="0" w:after="0" w:line="240" w:lineRule="auto"/>
              <w:jc w:val="center"/>
              <w:rPr>
                <w:rFonts w:eastAsia="Times New Roman"/>
                <w:noProof/>
              </w:rPr>
            </w:pPr>
            <w:r>
              <w:rPr>
                <w:noProof/>
              </w:rPr>
              <w:t>T2</w:t>
            </w:r>
          </w:p>
        </w:tc>
        <w:tc>
          <w:tcPr>
            <w:tcW w:w="720" w:type="dxa"/>
            <w:shd w:val="clear" w:color="auto" w:fill="C6EFCE"/>
            <w:noWrap/>
          </w:tcPr>
          <w:p w14:paraId="73C433DD" w14:textId="77777777" w:rsidR="003B6BD9" w:rsidRDefault="009E25E8">
            <w:pPr>
              <w:pStyle w:val="P68B1DB1-Normal7"/>
              <w:spacing w:before="0" w:after="0" w:line="240" w:lineRule="auto"/>
              <w:jc w:val="center"/>
              <w:rPr>
                <w:rFonts w:eastAsia="Times New Roman"/>
                <w:noProof/>
              </w:rPr>
            </w:pPr>
            <w:r>
              <w:rPr>
                <w:noProof/>
              </w:rPr>
              <w:t>2022</w:t>
            </w:r>
          </w:p>
        </w:tc>
        <w:tc>
          <w:tcPr>
            <w:tcW w:w="2972" w:type="dxa"/>
            <w:shd w:val="clear" w:color="auto" w:fill="C6EFCE"/>
            <w:noWrap/>
          </w:tcPr>
          <w:p w14:paraId="49069620" w14:textId="26992C17" w:rsidR="003B6BD9" w:rsidRDefault="009E25E8">
            <w:pPr>
              <w:pStyle w:val="P68B1DB1-Normal7"/>
              <w:spacing w:before="0" w:after="0" w:line="240" w:lineRule="auto"/>
              <w:rPr>
                <w:rFonts w:eastAsia="Times New Roman"/>
                <w:noProof/>
              </w:rPr>
            </w:pPr>
            <w:r>
              <w:rPr>
                <w:noProof/>
              </w:rPr>
              <w:t>Les projets sélectionnés soutiennent le développement d’infrastructures économiques pour les entreprises. Les projets soutiennent le développement régional et accordent la priorité à la réutilisation des sites dégradés et aux liaisons étroites avec les transports publics et les liaisons routières.</w:t>
            </w:r>
          </w:p>
        </w:tc>
      </w:tr>
      <w:tr w:rsidR="003B6BD9" w14:paraId="7C37330B" w14:textId="77777777" w:rsidTr="006C1AFD">
        <w:trPr>
          <w:trHeight w:val="309"/>
          <w:jc w:val="center"/>
        </w:trPr>
        <w:tc>
          <w:tcPr>
            <w:tcW w:w="955" w:type="dxa"/>
            <w:shd w:val="clear" w:color="auto" w:fill="C6EFCE"/>
            <w:noWrap/>
          </w:tcPr>
          <w:p w14:paraId="2F1FB92D" w14:textId="3AA54976" w:rsidR="003B6BD9" w:rsidRDefault="009E25E8">
            <w:pPr>
              <w:pStyle w:val="P68B1DB1-Normal7"/>
              <w:spacing w:before="0" w:after="0" w:line="240" w:lineRule="auto"/>
              <w:jc w:val="center"/>
              <w:rPr>
                <w:rFonts w:eastAsia="Times New Roman"/>
                <w:noProof/>
              </w:rPr>
            </w:pPr>
            <w:r>
              <w:rPr>
                <w:noProof/>
              </w:rPr>
              <w:t xml:space="preserve"> 134</w:t>
            </w:r>
          </w:p>
        </w:tc>
        <w:tc>
          <w:tcPr>
            <w:tcW w:w="1800" w:type="dxa"/>
            <w:shd w:val="clear" w:color="auto" w:fill="C6EFCE"/>
            <w:noWrap/>
          </w:tcPr>
          <w:p w14:paraId="6F0FB941" w14:textId="77777777" w:rsidR="003B6BD9" w:rsidRDefault="009E25E8">
            <w:pPr>
              <w:pStyle w:val="P68B1DB1-Normal7"/>
              <w:spacing w:before="0" w:after="0" w:line="240" w:lineRule="auto"/>
              <w:rPr>
                <w:rFonts w:eastAsia="Times New Roman"/>
                <w:noProof/>
              </w:rPr>
            </w:pPr>
            <w:r>
              <w:rPr>
                <w:noProof/>
              </w:rPr>
              <w:t>D: Fournir des écosystèmes innovants d’infrastructures économiques et commerciales</w:t>
            </w:r>
          </w:p>
        </w:tc>
        <w:tc>
          <w:tcPr>
            <w:tcW w:w="1200" w:type="dxa"/>
            <w:shd w:val="clear" w:color="auto" w:fill="C6EFCE"/>
            <w:noWrap/>
          </w:tcPr>
          <w:p w14:paraId="4942DE83" w14:textId="77777777" w:rsidR="003B6BD9" w:rsidRDefault="009E25E8">
            <w:pPr>
              <w:pStyle w:val="P68B1DB1-Normal7"/>
              <w:spacing w:before="0" w:after="0" w:line="240" w:lineRule="auto"/>
              <w:rPr>
                <w:rFonts w:eastAsia="Times New Roman"/>
                <w:noProof/>
              </w:rPr>
            </w:pPr>
            <w:r>
              <w:rPr>
                <w:noProof/>
              </w:rPr>
              <w:t>Cible</w:t>
            </w:r>
          </w:p>
        </w:tc>
        <w:tc>
          <w:tcPr>
            <w:tcW w:w="2046" w:type="dxa"/>
            <w:shd w:val="clear" w:color="auto" w:fill="C6EFCE"/>
            <w:noWrap/>
          </w:tcPr>
          <w:p w14:paraId="255F10A6" w14:textId="54FF5D0D" w:rsidR="003B6BD9" w:rsidRDefault="009E25E8">
            <w:pPr>
              <w:pStyle w:val="P68B1DB1-Normal7"/>
              <w:spacing w:before="0" w:after="0" w:line="240" w:lineRule="auto"/>
              <w:rPr>
                <w:rFonts w:eastAsia="Times New Roman"/>
                <w:noProof/>
              </w:rPr>
            </w:pPr>
            <w:r>
              <w:rPr>
                <w:noProof/>
              </w:rPr>
              <w:t>Construction de zones de développement des entreprises</w:t>
            </w:r>
          </w:p>
        </w:tc>
        <w:tc>
          <w:tcPr>
            <w:tcW w:w="2122" w:type="dxa"/>
            <w:shd w:val="clear" w:color="auto" w:fill="C6EFCE"/>
            <w:noWrap/>
          </w:tcPr>
          <w:p w14:paraId="4B0E679A" w14:textId="77777777" w:rsidR="003B6BD9" w:rsidRDefault="009E25E8">
            <w:pPr>
              <w:pStyle w:val="P68B1DB1-Normal7"/>
              <w:spacing w:before="0" w:after="0" w:line="240" w:lineRule="auto"/>
              <w:rPr>
                <w:rFonts w:eastAsia="Times New Roman"/>
                <w:noProof/>
              </w:rPr>
            </w:pPr>
            <w:r>
              <w:rPr>
                <w:noProof/>
              </w:rPr>
              <w:t> </w:t>
            </w:r>
          </w:p>
        </w:tc>
        <w:tc>
          <w:tcPr>
            <w:tcW w:w="1080" w:type="dxa"/>
            <w:shd w:val="clear" w:color="auto" w:fill="C6EFCE"/>
            <w:noWrap/>
          </w:tcPr>
          <w:p w14:paraId="02A95ABD" w14:textId="77777777" w:rsidR="003B6BD9" w:rsidRDefault="009E25E8">
            <w:pPr>
              <w:pStyle w:val="P68B1DB1-Normal7"/>
              <w:spacing w:before="0" w:after="0" w:line="240" w:lineRule="auto"/>
              <w:rPr>
                <w:rFonts w:eastAsia="Times New Roman"/>
                <w:noProof/>
              </w:rPr>
            </w:pPr>
            <w:r>
              <w:rPr>
                <w:noProof/>
              </w:rPr>
              <w:t>Nombre</w:t>
            </w:r>
          </w:p>
        </w:tc>
        <w:tc>
          <w:tcPr>
            <w:tcW w:w="999" w:type="dxa"/>
            <w:shd w:val="clear" w:color="auto" w:fill="C6EFCE"/>
            <w:noWrap/>
          </w:tcPr>
          <w:p w14:paraId="360AA554" w14:textId="77777777" w:rsidR="003B6BD9" w:rsidRDefault="009E25E8">
            <w:pPr>
              <w:pStyle w:val="P68B1DB1-Normal7"/>
              <w:spacing w:before="0" w:after="0" w:line="240" w:lineRule="auto"/>
              <w:rPr>
                <w:rFonts w:eastAsia="Times New Roman"/>
                <w:noProof/>
              </w:rPr>
            </w:pPr>
            <w:r>
              <w:rPr>
                <w:noProof/>
              </w:rPr>
              <w:t>0</w:t>
            </w:r>
          </w:p>
        </w:tc>
        <w:tc>
          <w:tcPr>
            <w:tcW w:w="711" w:type="dxa"/>
            <w:shd w:val="clear" w:color="auto" w:fill="C6EFCE"/>
            <w:noWrap/>
          </w:tcPr>
          <w:p w14:paraId="517568D9" w14:textId="309A1813" w:rsidR="003B6BD9" w:rsidRDefault="009E25E8">
            <w:pPr>
              <w:pStyle w:val="P68B1DB1-Normal7"/>
              <w:spacing w:before="0" w:after="0" w:line="240" w:lineRule="auto"/>
              <w:rPr>
                <w:rFonts w:eastAsia="Times New Roman"/>
                <w:noProof/>
              </w:rPr>
            </w:pPr>
            <w:r>
              <w:rPr>
                <w:noProof/>
              </w:rPr>
              <w:t>11</w:t>
            </w:r>
          </w:p>
        </w:tc>
        <w:tc>
          <w:tcPr>
            <w:tcW w:w="990" w:type="dxa"/>
            <w:shd w:val="clear" w:color="auto" w:fill="C6EFCE"/>
            <w:noWrap/>
          </w:tcPr>
          <w:p w14:paraId="20443BCE" w14:textId="77777777" w:rsidR="003B6BD9" w:rsidRDefault="009E25E8">
            <w:pPr>
              <w:pStyle w:val="P68B1DB1-Normal7"/>
              <w:spacing w:before="0" w:after="0" w:line="240" w:lineRule="auto"/>
              <w:jc w:val="center"/>
              <w:rPr>
                <w:rFonts w:eastAsia="Times New Roman"/>
                <w:noProof/>
              </w:rPr>
            </w:pPr>
            <w:r>
              <w:rPr>
                <w:noProof/>
              </w:rPr>
              <w:t>T2</w:t>
            </w:r>
          </w:p>
        </w:tc>
        <w:tc>
          <w:tcPr>
            <w:tcW w:w="720" w:type="dxa"/>
            <w:shd w:val="clear" w:color="auto" w:fill="C6EFCE"/>
            <w:noWrap/>
          </w:tcPr>
          <w:p w14:paraId="74B701AF" w14:textId="77777777" w:rsidR="003B6BD9" w:rsidRDefault="009E25E8">
            <w:pPr>
              <w:pStyle w:val="P68B1DB1-Normal7"/>
              <w:spacing w:before="0" w:after="0" w:line="240" w:lineRule="auto"/>
              <w:jc w:val="center"/>
              <w:rPr>
                <w:rFonts w:eastAsia="Times New Roman"/>
                <w:noProof/>
              </w:rPr>
            </w:pPr>
            <w:r>
              <w:rPr>
                <w:noProof/>
              </w:rPr>
              <w:t>2026</w:t>
            </w:r>
          </w:p>
        </w:tc>
        <w:tc>
          <w:tcPr>
            <w:tcW w:w="2972" w:type="dxa"/>
            <w:shd w:val="clear" w:color="auto" w:fill="C6EFCE"/>
            <w:noWrap/>
          </w:tcPr>
          <w:p w14:paraId="242B69F2" w14:textId="465AC43A" w:rsidR="003B6BD9" w:rsidRDefault="009E25E8">
            <w:pPr>
              <w:pStyle w:val="P68B1DB1-Normal7"/>
              <w:spacing w:before="0" w:after="0" w:line="240" w:lineRule="auto"/>
              <w:rPr>
                <w:noProof/>
              </w:rPr>
            </w:pPr>
            <w:r>
              <w:rPr>
                <w:noProof/>
              </w:rPr>
              <w:t>Construction de zones de développement des entreprises.</w:t>
            </w:r>
          </w:p>
          <w:p w14:paraId="04A47B59" w14:textId="63A19243" w:rsidR="003B6BD9" w:rsidRDefault="009E25E8">
            <w:pPr>
              <w:pStyle w:val="P68B1DB1-Normal7"/>
              <w:spacing w:before="0" w:after="0" w:line="240" w:lineRule="auto"/>
              <w:rPr>
                <w:rFonts w:eastAsia="Times New Roman"/>
                <w:noProof/>
              </w:rPr>
            </w:pPr>
            <w:r>
              <w:rPr>
                <w:noProof/>
              </w:rPr>
              <w:t>Au moins 11 rapports finaux publiés par la municipalité bénéficiaire et les confirmations de l’administration contractante acceptant ces rapports finaux par les bénéficiaires.</w:t>
            </w:r>
          </w:p>
        </w:tc>
      </w:tr>
    </w:tbl>
    <w:p w14:paraId="6CAE2FBE" w14:textId="77777777" w:rsidR="003B6BD9" w:rsidRDefault="003B6BD9">
      <w:pPr>
        <w:spacing w:line="240" w:lineRule="auto"/>
        <w:ind w:left="709"/>
        <w:jc w:val="both"/>
        <w:rPr>
          <w:noProof/>
          <w:szCs w:val="24"/>
        </w:rPr>
        <w:sectPr w:rsidR="003B6BD9" w:rsidSect="00A01857">
          <w:headerReference w:type="default" r:id="rId168"/>
          <w:footerReference w:type="default" r:id="rId169"/>
          <w:pgSz w:w="16839" w:h="11907" w:orient="landscape"/>
          <w:pgMar w:top="1134" w:right="1134" w:bottom="1134" w:left="1134" w:header="567" w:footer="567" w:gutter="0"/>
          <w:cols w:space="720"/>
          <w:docGrid w:linePitch="326"/>
        </w:sectPr>
      </w:pPr>
    </w:p>
    <w:p w14:paraId="716A8AE0" w14:textId="7A99F139" w:rsidR="003B6BD9" w:rsidRDefault="009E25E8">
      <w:pPr>
        <w:pStyle w:val="P68B1DB1-Normal3"/>
        <w:keepNext/>
        <w:tabs>
          <w:tab w:val="left" w:pos="850"/>
        </w:tabs>
        <w:spacing w:line="240" w:lineRule="auto"/>
        <w:jc w:val="both"/>
        <w:outlineLvl w:val="0"/>
        <w:rPr>
          <w:noProof/>
        </w:rPr>
      </w:pPr>
      <w:r>
        <w:rPr>
          <w:noProof/>
        </w:rPr>
        <w:t xml:space="preserve">J. COMPOSANTE 10: MARCHÉ DU TRAVAIL — MESURES VISANT À RÉDUIRE L’INCIDENCE DES TENDANCES STRUCTURELLES NÉGATIVES </w:t>
      </w:r>
    </w:p>
    <w:p w14:paraId="1F5EA126" w14:textId="08C92E4F" w:rsidR="003B6BD9" w:rsidRDefault="009E25E8">
      <w:pPr>
        <w:spacing w:line="240" w:lineRule="auto"/>
        <w:jc w:val="both"/>
        <w:rPr>
          <w:noProof/>
        </w:rPr>
      </w:pPr>
      <w:r>
        <w:rPr>
          <w:noProof/>
        </w:rPr>
        <w:t>Ce volet du plan slovène pour la reprise et la résilience répond aux défis structurels en matière d’emploi liés au vieillissement et à l’évolution technologique au moyen d’un ensemble complet de réformes et d’investissements. Parmi ces défis figurent, entre autres, les faibles niveaux d’emploi des travailleurs âgés et des personnes handicapées, le chômage des jeunes, la faible participation à l’apprentissage et à la formation tout au long de la vie, les risques pesant sur la viabilité financière du système de retraite et l’adéquation des retraites.</w:t>
      </w:r>
    </w:p>
    <w:p w14:paraId="0C58E654" w14:textId="77777777" w:rsidR="003B6BD9" w:rsidRDefault="009E25E8">
      <w:pPr>
        <w:spacing w:line="240" w:lineRule="auto"/>
        <w:jc w:val="both"/>
        <w:rPr>
          <w:noProof/>
        </w:rPr>
      </w:pPr>
      <w:r>
        <w:rPr>
          <w:noProof/>
        </w:rPr>
        <w:t>Les objectifs de ce volet sont de renforcer la résilience du marché du travail, d’accroître la participation au marché du travail et de garantir la viabilité budgétaire du système de retraite et l’adéquation des retraites.</w:t>
      </w:r>
    </w:p>
    <w:p w14:paraId="4988EED8" w14:textId="77777777" w:rsidR="003B6BD9" w:rsidRDefault="009E25E8">
      <w:pPr>
        <w:spacing w:line="240" w:lineRule="auto"/>
        <w:jc w:val="both"/>
        <w:rPr>
          <w:noProof/>
        </w:rPr>
      </w:pPr>
      <w:r>
        <w:rPr>
          <w:noProof/>
        </w:rPr>
        <w:t>Ces investissements et réformes répondent aux recommandations par pays adressées à la Slovénie en 2019 afin d’ «assurer la viabilité et l’adéquation à long terme du système de retraite, notamment en adaptant l’âge légal de départ à la retraite et en limitant la retraite anticipée. Accroître l’employabilité des travailleurs peu qualifiés et des travailleurs âgés en améliorant l’adéquation de l’éducation et de la formation, de l’apprentissage tout au long de la vie et des mesures d’activation avec le marché du travail, notamment grâce à une meilleure culture numérique» (recommandations par pays 1 et 2019) et 2020 pour «fournir des liquidités et un financement aux entreprises et aux ménages» et «assurer une rémunération et une protection sociale adéquates; atténuer les effets de la crise sur l’emploi, notamment en renforçant les dispositifs de chômage partiel et les formules souples de travail; veiller à ce que ces mesures assurent une protection adéquate aux travailleurs occupant des formes d’emploi atypiques» (recommandations par pays 2 et 2020).</w:t>
      </w:r>
    </w:p>
    <w:p w14:paraId="253FB581" w14:textId="77777777" w:rsidR="003B6BD9" w:rsidRDefault="009E25E8">
      <w:pPr>
        <w:pStyle w:val="P68B1DB1-Normal4"/>
        <w:spacing w:line="240" w:lineRule="auto"/>
        <w:jc w:val="both"/>
        <w:rPr>
          <w:noProof/>
        </w:rPr>
      </w:pPr>
      <w:r>
        <w:rPr>
          <w:noProof/>
        </w:rPr>
        <w:t>J.1. Description des réformes et des investissements pour le soutien financier non remboursable</w:t>
      </w:r>
    </w:p>
    <w:p w14:paraId="1822D1F5" w14:textId="0284E112" w:rsidR="003B6BD9" w:rsidRDefault="009E25E8">
      <w:pPr>
        <w:pStyle w:val="P68B1DB1-Normal5"/>
        <w:spacing w:line="240" w:lineRule="auto"/>
        <w:jc w:val="both"/>
        <w:rPr>
          <w:noProof/>
        </w:rPr>
      </w:pPr>
      <w:r>
        <w:rPr>
          <w:noProof/>
        </w:rPr>
        <w:t>Réforme A: Mesures structurelles visant à renforcer la résilience du marché du travail</w:t>
      </w:r>
    </w:p>
    <w:p w14:paraId="0ADD7169" w14:textId="77777777" w:rsidR="003B6BD9" w:rsidRDefault="009E25E8">
      <w:pPr>
        <w:spacing w:line="240" w:lineRule="auto"/>
        <w:jc w:val="both"/>
        <w:rPr>
          <w:noProof/>
        </w:rPr>
      </w:pPr>
      <w:r>
        <w:rPr>
          <w:noProof/>
        </w:rPr>
        <w:t xml:space="preserve">L’objectif de la réforme est d’accroître la résilience du marché du travail en garantissant, en particulier, son adaptation aux tendances démographiques. </w:t>
      </w:r>
    </w:p>
    <w:p w14:paraId="7E24299D" w14:textId="1E79B3B3" w:rsidR="003B6BD9" w:rsidRDefault="009E25E8">
      <w:pPr>
        <w:numPr>
          <w:ilvl w:val="0"/>
          <w:numId w:val="33"/>
        </w:numPr>
        <w:spacing w:before="0" w:after="200" w:line="240" w:lineRule="auto"/>
        <w:contextualSpacing/>
        <w:jc w:val="both"/>
        <w:rPr>
          <w:noProof/>
        </w:rPr>
      </w:pPr>
      <w:r>
        <w:rPr>
          <w:noProof/>
        </w:rPr>
        <w:t xml:space="preserve">La réforme consiste en: l’entrée en vigueur de l’acte établissant un dispositif permanent de chômage partiel en cas de crise pour les entreprises en difficulté ou gravement menacées de graves difficultés en raison d’événements exceptionnels échappant à leur contrôle, en s’appuyant sur l’expérience acquise pendant la crise de la COVID-19 et pendant la crise énergétique de 2022. L’acte prévoit des obligations en matière d’éducation et de formation pendant le travail à temps partiel.  </w:t>
      </w:r>
    </w:p>
    <w:p w14:paraId="0927FE23" w14:textId="77777777" w:rsidR="003B6BD9" w:rsidRDefault="009E25E8">
      <w:pPr>
        <w:numPr>
          <w:ilvl w:val="0"/>
          <w:numId w:val="33"/>
        </w:numPr>
        <w:spacing w:before="0" w:after="200" w:line="240" w:lineRule="auto"/>
        <w:contextualSpacing/>
        <w:jc w:val="both"/>
        <w:rPr>
          <w:noProof/>
        </w:rPr>
      </w:pPr>
      <w:r>
        <w:rPr>
          <w:noProof/>
        </w:rPr>
        <w:t xml:space="preserve">Entrée en vigueur des modifications législatives dans le domaine des prestations de chômage. Les dispositions de la loi sur la réglementation du marché du travail relatives aux prestations de chômage sont modifiées en vue d’augmenter le taux d’emploi des travailleurs âgés et d’empêcher une sortie précoce du marché du travail. Les travaux s’appuieront sur l’analyse par l’OCDE du système d’assurance retraite et invalidité en Slovénie. </w:t>
      </w:r>
    </w:p>
    <w:p w14:paraId="746A50B8" w14:textId="77777777" w:rsidR="003B6BD9" w:rsidRDefault="009E25E8">
      <w:pPr>
        <w:numPr>
          <w:ilvl w:val="0"/>
          <w:numId w:val="33"/>
        </w:numPr>
        <w:spacing w:before="0" w:after="200" w:line="240" w:lineRule="auto"/>
        <w:contextualSpacing/>
        <w:jc w:val="both"/>
        <w:rPr>
          <w:noProof/>
        </w:rPr>
      </w:pPr>
      <w:r>
        <w:rPr>
          <w:noProof/>
        </w:rPr>
        <w:t>Entrée en vigueur de la législation sur la réforme des retraites.</w:t>
      </w:r>
    </w:p>
    <w:p w14:paraId="719DFD43" w14:textId="0985FDE8" w:rsidR="003B6BD9" w:rsidRDefault="009E25E8">
      <w:pPr>
        <w:numPr>
          <w:ilvl w:val="0"/>
          <w:numId w:val="33"/>
        </w:numPr>
        <w:spacing w:before="0" w:after="200" w:line="240" w:lineRule="auto"/>
        <w:contextualSpacing/>
        <w:jc w:val="both"/>
        <w:rPr>
          <w:noProof/>
        </w:rPr>
      </w:pPr>
      <w:r>
        <w:rPr>
          <w:noProof/>
        </w:rPr>
        <w:t xml:space="preserve">Adoption des lignes directrices pour la mise en œuvre de la politique active du marché du travail 2026-2030. </w:t>
      </w:r>
    </w:p>
    <w:p w14:paraId="7AE10BBA" w14:textId="6EF007F4" w:rsidR="003B6BD9" w:rsidRDefault="009E25E8">
      <w:pPr>
        <w:pStyle w:val="P68B1DB1-Normal5"/>
        <w:spacing w:line="240" w:lineRule="auto"/>
        <w:jc w:val="both"/>
        <w:rPr>
          <w:noProof/>
        </w:rPr>
      </w:pPr>
      <w:r>
        <w:rPr>
          <w:noProof/>
        </w:rPr>
        <w:t>Investissement C: Introduction de méthodes de travail plus souples et adaptées aux besoins des personnes handicapées dans les entreprises protégées et les centres pour l’emploi</w:t>
      </w:r>
    </w:p>
    <w:p w14:paraId="268BE9CA" w14:textId="4370C4E7" w:rsidR="003B6BD9" w:rsidRDefault="009E25E8">
      <w:pPr>
        <w:spacing w:line="240" w:lineRule="auto"/>
        <w:jc w:val="both"/>
        <w:rPr>
          <w:noProof/>
        </w:rPr>
      </w:pPr>
      <w:r>
        <w:rPr>
          <w:noProof/>
        </w:rPr>
        <w:t xml:space="preserve">L’objectif de l’investissement est de fournir la base technique nécessaire à l’introduction de méthodes de travail plus souples dans les entreprises protégées et les centres pour l’emploi. </w:t>
      </w:r>
    </w:p>
    <w:p w14:paraId="6094B0BD" w14:textId="7848A984" w:rsidR="003B6BD9" w:rsidRDefault="009E25E8">
      <w:pPr>
        <w:spacing w:line="240" w:lineRule="auto"/>
        <w:jc w:val="both"/>
        <w:rPr>
          <w:noProof/>
        </w:rPr>
      </w:pPr>
      <w:r>
        <w:rPr>
          <w:noProof/>
        </w:rPr>
        <w:t>L’investissement consiste en des subventions en faveur de projets soutenant des formules de travail plus souples pour les personnes handicapées.</w:t>
      </w:r>
    </w:p>
    <w:p w14:paraId="7FDB23FE" w14:textId="573A8DB4" w:rsidR="003B6BD9" w:rsidRDefault="009E25E8">
      <w:pPr>
        <w:pStyle w:val="P68B1DB1-Normal5"/>
        <w:spacing w:line="240" w:lineRule="auto"/>
        <w:jc w:val="both"/>
        <w:rPr>
          <w:noProof/>
        </w:rPr>
      </w:pPr>
      <w:r>
        <w:rPr>
          <w:noProof/>
        </w:rPr>
        <w:t>Investissement D: Accélérer l’entrée des jeunes sur le marché du travail</w:t>
      </w:r>
    </w:p>
    <w:p w14:paraId="1500B44C" w14:textId="77777777" w:rsidR="003B6BD9" w:rsidRDefault="009E25E8">
      <w:pPr>
        <w:spacing w:line="240" w:lineRule="auto"/>
        <w:jc w:val="both"/>
        <w:rPr>
          <w:rFonts w:eastAsia="Times New Roman"/>
          <w:noProof/>
        </w:rPr>
      </w:pPr>
      <w:r>
        <w:rPr>
          <w:noProof/>
        </w:rPr>
        <w:t>L’objectif de l’investissement est de réduire le chômage des jeunes à la suite de la pandémie de COVID-19.</w:t>
      </w:r>
    </w:p>
    <w:p w14:paraId="02F70442" w14:textId="5CCB26A6" w:rsidR="003B6BD9" w:rsidRDefault="009E25E8">
      <w:pPr>
        <w:spacing w:line="240" w:lineRule="auto"/>
        <w:jc w:val="both"/>
        <w:rPr>
          <w:i/>
          <w:noProof/>
          <w:color w:val="4F81BD"/>
        </w:rPr>
        <w:sectPr w:rsidR="003B6BD9" w:rsidSect="00073927">
          <w:headerReference w:type="even" r:id="rId170"/>
          <w:headerReference w:type="default" r:id="rId171"/>
          <w:footerReference w:type="even" r:id="rId172"/>
          <w:footerReference w:type="default" r:id="rId173"/>
          <w:headerReference w:type="first" r:id="rId174"/>
          <w:footerReference w:type="first" r:id="rId175"/>
          <w:pgSz w:w="11907" w:h="16839"/>
          <w:pgMar w:top="1134" w:right="1134" w:bottom="1134" w:left="1134" w:header="567" w:footer="567" w:gutter="0"/>
          <w:cols w:space="720"/>
          <w:docGrid w:linePitch="326"/>
        </w:sectPr>
      </w:pPr>
      <w:r>
        <w:rPr>
          <w:noProof/>
        </w:rPr>
        <w:t xml:space="preserve">L’investissement consiste en des incitations financières pour que les employeurs embauchent des jeunes sous contrat à durée indéterminée. </w:t>
      </w:r>
    </w:p>
    <w:p w14:paraId="596B08D4" w14:textId="57542D86" w:rsidR="003B6BD9" w:rsidRDefault="009E25E8">
      <w:pPr>
        <w:pStyle w:val="P68B1DB1-Normal4"/>
        <w:spacing w:line="240" w:lineRule="auto"/>
        <w:ind w:left="850"/>
        <w:jc w:val="both"/>
        <w:rPr>
          <w:noProof/>
        </w:rPr>
      </w:pPr>
      <w:r>
        <w:rPr>
          <w:noProof/>
        </w:rPr>
        <w:t xml:space="preserve">J.2. </w:t>
      </w:r>
      <w:r>
        <w:rPr>
          <w:noProof/>
        </w:rPr>
        <w:tab/>
        <w:t>Jalons, cibles, indicateurs et calendrier de suivi et de mise en œuvre pour le soutien financier non remboursable</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5"/>
        <w:gridCol w:w="1440"/>
        <w:gridCol w:w="1080"/>
        <w:gridCol w:w="1800"/>
        <w:gridCol w:w="2234"/>
        <w:gridCol w:w="1078"/>
        <w:gridCol w:w="1068"/>
        <w:gridCol w:w="830"/>
        <w:gridCol w:w="992"/>
        <w:gridCol w:w="840"/>
        <w:gridCol w:w="3005"/>
      </w:tblGrid>
      <w:tr w:rsidR="003B6BD9" w14:paraId="6CD2C318" w14:textId="77777777" w:rsidTr="006C1AFD">
        <w:trPr>
          <w:trHeight w:val="740"/>
          <w:tblHeader/>
          <w:jc w:val="center"/>
        </w:trPr>
        <w:tc>
          <w:tcPr>
            <w:tcW w:w="955" w:type="dxa"/>
            <w:vMerge w:val="restart"/>
            <w:shd w:val="clear" w:color="auto" w:fill="BDD7EE"/>
            <w:vAlign w:val="center"/>
            <w:hideMark/>
          </w:tcPr>
          <w:p w14:paraId="0FD8ABE4" w14:textId="00ADCB6E" w:rsidR="003B6BD9" w:rsidRDefault="009E25E8">
            <w:pPr>
              <w:pStyle w:val="P68B1DB1-Normal6"/>
              <w:spacing w:before="0" w:after="0" w:line="240" w:lineRule="auto"/>
              <w:jc w:val="center"/>
              <w:rPr>
                <w:rFonts w:eastAsia="Times New Roman"/>
                <w:noProof/>
              </w:rPr>
            </w:pPr>
            <w:r>
              <w:rPr>
                <w:noProof/>
              </w:rPr>
              <w:t xml:space="preserve">Et suivants Non. </w:t>
            </w:r>
          </w:p>
        </w:tc>
        <w:tc>
          <w:tcPr>
            <w:tcW w:w="1440" w:type="dxa"/>
            <w:vMerge w:val="restart"/>
            <w:shd w:val="clear" w:color="auto" w:fill="BDD7EE"/>
            <w:vAlign w:val="center"/>
            <w:hideMark/>
          </w:tcPr>
          <w:p w14:paraId="0646FC69" w14:textId="77777777" w:rsidR="003B6BD9" w:rsidRDefault="009E25E8">
            <w:pPr>
              <w:pStyle w:val="P68B1DB1-Normal6"/>
              <w:spacing w:before="0" w:after="0" w:line="240" w:lineRule="auto"/>
              <w:jc w:val="center"/>
              <w:rPr>
                <w:rFonts w:eastAsia="Times New Roman"/>
                <w:noProof/>
              </w:rPr>
            </w:pPr>
            <w:r>
              <w:rPr>
                <w:noProof/>
              </w:rPr>
              <w:t>Mesure connexe (réforme ou investissement)</w:t>
            </w:r>
          </w:p>
        </w:tc>
        <w:tc>
          <w:tcPr>
            <w:tcW w:w="1080" w:type="dxa"/>
            <w:vMerge w:val="restart"/>
            <w:shd w:val="clear" w:color="auto" w:fill="BDD7EE"/>
            <w:vAlign w:val="center"/>
            <w:hideMark/>
          </w:tcPr>
          <w:p w14:paraId="6C4DEC8F" w14:textId="50DC88A7" w:rsidR="003B6BD9" w:rsidRDefault="009E25E8">
            <w:pPr>
              <w:pStyle w:val="P68B1DB1-Normal6"/>
              <w:spacing w:before="0" w:after="0" w:line="240" w:lineRule="auto"/>
              <w:jc w:val="center"/>
              <w:rPr>
                <w:rFonts w:eastAsia="Times New Roman"/>
                <w:noProof/>
              </w:rPr>
            </w:pPr>
            <w:r>
              <w:rPr>
                <w:noProof/>
              </w:rPr>
              <w:t>Étape/</w:t>
            </w:r>
            <w:r w:rsidR="006C1AFD">
              <w:rPr>
                <w:noProof/>
              </w:rPr>
              <w:br/>
            </w:r>
            <w:r>
              <w:rPr>
                <w:noProof/>
              </w:rPr>
              <w:t>Objectif</w:t>
            </w:r>
          </w:p>
        </w:tc>
        <w:tc>
          <w:tcPr>
            <w:tcW w:w="1800" w:type="dxa"/>
            <w:vMerge w:val="restart"/>
            <w:shd w:val="clear" w:color="auto" w:fill="BDD7EE"/>
            <w:vAlign w:val="center"/>
            <w:hideMark/>
          </w:tcPr>
          <w:p w14:paraId="04790E6F" w14:textId="77777777" w:rsidR="003B6BD9" w:rsidRDefault="009E25E8">
            <w:pPr>
              <w:pStyle w:val="P68B1DB1-Normal6"/>
              <w:spacing w:before="0" w:after="0" w:line="240" w:lineRule="auto"/>
              <w:jc w:val="center"/>
              <w:rPr>
                <w:rFonts w:eastAsia="Times New Roman"/>
                <w:noProof/>
              </w:rPr>
            </w:pPr>
            <w:r>
              <w:rPr>
                <w:noProof/>
              </w:rPr>
              <w:t>Nom</w:t>
            </w:r>
          </w:p>
        </w:tc>
        <w:tc>
          <w:tcPr>
            <w:tcW w:w="2234" w:type="dxa"/>
            <w:vMerge w:val="restart"/>
            <w:shd w:val="clear" w:color="auto" w:fill="BDD7EE"/>
            <w:vAlign w:val="center"/>
            <w:hideMark/>
          </w:tcPr>
          <w:p w14:paraId="332B5BC4" w14:textId="39780785" w:rsidR="003B6BD9" w:rsidRDefault="009E25E8">
            <w:pPr>
              <w:pStyle w:val="P68B1DB1-Normal6"/>
              <w:spacing w:before="0" w:after="0" w:line="240" w:lineRule="auto"/>
              <w:jc w:val="center"/>
              <w:rPr>
                <w:rFonts w:eastAsia="Times New Roman"/>
                <w:noProof/>
              </w:rPr>
            </w:pPr>
            <w:r>
              <w:rPr>
                <w:noProof/>
              </w:rPr>
              <w:t>Indicateurs qualitatifs (pour les jalons)</w:t>
            </w:r>
          </w:p>
        </w:tc>
        <w:tc>
          <w:tcPr>
            <w:tcW w:w="2976" w:type="dxa"/>
            <w:gridSpan w:val="3"/>
            <w:shd w:val="clear" w:color="auto" w:fill="BDD7EE"/>
            <w:vAlign w:val="center"/>
            <w:hideMark/>
          </w:tcPr>
          <w:p w14:paraId="216C44D3" w14:textId="46005AA3" w:rsidR="003B6BD9" w:rsidRDefault="009E25E8">
            <w:pPr>
              <w:pStyle w:val="P68B1DB1-Normal6"/>
              <w:spacing w:before="0" w:after="0" w:line="240" w:lineRule="auto"/>
              <w:jc w:val="center"/>
              <w:rPr>
                <w:rFonts w:eastAsia="Times New Roman"/>
                <w:noProof/>
              </w:rPr>
            </w:pPr>
            <w:r>
              <w:rPr>
                <w:noProof/>
              </w:rPr>
              <w:t>Indicateurs quantitatifs (pour les cibles)</w:t>
            </w:r>
          </w:p>
        </w:tc>
        <w:tc>
          <w:tcPr>
            <w:tcW w:w="1832" w:type="dxa"/>
            <w:gridSpan w:val="2"/>
            <w:shd w:val="clear" w:color="auto" w:fill="BDD7EE"/>
            <w:vAlign w:val="center"/>
            <w:hideMark/>
          </w:tcPr>
          <w:p w14:paraId="5199053A" w14:textId="77777777" w:rsidR="003B6BD9" w:rsidRDefault="009E25E8">
            <w:pPr>
              <w:pStyle w:val="P68B1DB1-Normal6"/>
              <w:spacing w:before="0" w:after="0" w:line="240" w:lineRule="auto"/>
              <w:jc w:val="center"/>
              <w:rPr>
                <w:rFonts w:eastAsia="Times New Roman"/>
                <w:noProof/>
              </w:rPr>
            </w:pPr>
            <w:r>
              <w:rPr>
                <w:noProof/>
              </w:rPr>
              <w:t xml:space="preserve">Calendrier indicatif pour l’achèvement </w:t>
            </w:r>
          </w:p>
        </w:tc>
        <w:tc>
          <w:tcPr>
            <w:tcW w:w="3005" w:type="dxa"/>
            <w:vMerge w:val="restart"/>
            <w:shd w:val="clear" w:color="auto" w:fill="BDD7EE"/>
            <w:vAlign w:val="center"/>
            <w:hideMark/>
          </w:tcPr>
          <w:p w14:paraId="766A7336" w14:textId="77777777" w:rsidR="003B6BD9" w:rsidRDefault="009E25E8">
            <w:pPr>
              <w:pStyle w:val="P68B1DB1-Normal6"/>
              <w:spacing w:before="0" w:after="0" w:line="240" w:lineRule="auto"/>
              <w:jc w:val="center"/>
              <w:rPr>
                <w:rFonts w:eastAsia="Times New Roman"/>
                <w:noProof/>
              </w:rPr>
            </w:pPr>
            <w:r>
              <w:rPr>
                <w:noProof/>
              </w:rPr>
              <w:t>Description de chaque jalon et cible</w:t>
            </w:r>
          </w:p>
        </w:tc>
      </w:tr>
      <w:tr w:rsidR="003B6BD9" w14:paraId="076655FF" w14:textId="77777777" w:rsidTr="006C1AFD">
        <w:trPr>
          <w:trHeight w:val="751"/>
          <w:tblHeader/>
          <w:jc w:val="center"/>
        </w:trPr>
        <w:tc>
          <w:tcPr>
            <w:tcW w:w="955" w:type="dxa"/>
            <w:vMerge/>
            <w:vAlign w:val="center"/>
            <w:hideMark/>
          </w:tcPr>
          <w:p w14:paraId="6C935FE2" w14:textId="77777777" w:rsidR="003B6BD9" w:rsidRDefault="003B6BD9">
            <w:pPr>
              <w:spacing w:before="0" w:after="0" w:line="240" w:lineRule="auto"/>
              <w:rPr>
                <w:rFonts w:eastAsia="Times New Roman"/>
                <w:b/>
                <w:noProof/>
                <w:sz w:val="18"/>
                <w:szCs w:val="18"/>
              </w:rPr>
            </w:pPr>
          </w:p>
        </w:tc>
        <w:tc>
          <w:tcPr>
            <w:tcW w:w="1440" w:type="dxa"/>
            <w:vMerge/>
            <w:vAlign w:val="center"/>
            <w:hideMark/>
          </w:tcPr>
          <w:p w14:paraId="6CD25E28" w14:textId="77777777" w:rsidR="003B6BD9" w:rsidRDefault="003B6BD9">
            <w:pPr>
              <w:spacing w:before="0" w:after="0" w:line="240" w:lineRule="auto"/>
              <w:rPr>
                <w:rFonts w:eastAsia="Times New Roman"/>
                <w:b/>
                <w:noProof/>
                <w:sz w:val="18"/>
                <w:szCs w:val="18"/>
              </w:rPr>
            </w:pPr>
          </w:p>
        </w:tc>
        <w:tc>
          <w:tcPr>
            <w:tcW w:w="1080" w:type="dxa"/>
            <w:vMerge/>
            <w:vAlign w:val="center"/>
            <w:hideMark/>
          </w:tcPr>
          <w:p w14:paraId="5D730483" w14:textId="77777777" w:rsidR="003B6BD9" w:rsidRDefault="003B6BD9">
            <w:pPr>
              <w:spacing w:before="0" w:after="0" w:line="240" w:lineRule="auto"/>
              <w:rPr>
                <w:rFonts w:eastAsia="Times New Roman"/>
                <w:b/>
                <w:noProof/>
                <w:sz w:val="18"/>
                <w:szCs w:val="18"/>
              </w:rPr>
            </w:pPr>
          </w:p>
        </w:tc>
        <w:tc>
          <w:tcPr>
            <w:tcW w:w="1800" w:type="dxa"/>
            <w:vMerge/>
            <w:vAlign w:val="center"/>
            <w:hideMark/>
          </w:tcPr>
          <w:p w14:paraId="208109A8" w14:textId="77777777" w:rsidR="003B6BD9" w:rsidRDefault="003B6BD9">
            <w:pPr>
              <w:spacing w:before="0" w:after="0" w:line="240" w:lineRule="auto"/>
              <w:rPr>
                <w:rFonts w:eastAsia="Times New Roman"/>
                <w:b/>
                <w:noProof/>
                <w:sz w:val="18"/>
                <w:szCs w:val="18"/>
              </w:rPr>
            </w:pPr>
          </w:p>
        </w:tc>
        <w:tc>
          <w:tcPr>
            <w:tcW w:w="2234" w:type="dxa"/>
            <w:vMerge/>
            <w:vAlign w:val="center"/>
            <w:hideMark/>
          </w:tcPr>
          <w:p w14:paraId="115C335F" w14:textId="77777777" w:rsidR="003B6BD9" w:rsidRDefault="003B6BD9">
            <w:pPr>
              <w:spacing w:before="0" w:after="0" w:line="240" w:lineRule="auto"/>
              <w:rPr>
                <w:rFonts w:eastAsia="Times New Roman"/>
                <w:b/>
                <w:noProof/>
                <w:sz w:val="18"/>
                <w:szCs w:val="18"/>
              </w:rPr>
            </w:pPr>
          </w:p>
        </w:tc>
        <w:tc>
          <w:tcPr>
            <w:tcW w:w="1078" w:type="dxa"/>
            <w:shd w:val="clear" w:color="auto" w:fill="BDD7EE"/>
            <w:vAlign w:val="center"/>
            <w:hideMark/>
          </w:tcPr>
          <w:p w14:paraId="192B85FA" w14:textId="77777777" w:rsidR="003B6BD9" w:rsidRDefault="009E25E8">
            <w:pPr>
              <w:pStyle w:val="P68B1DB1-Normal6"/>
              <w:spacing w:before="0" w:after="0" w:line="240" w:lineRule="auto"/>
              <w:jc w:val="center"/>
              <w:rPr>
                <w:rFonts w:eastAsia="Times New Roman"/>
                <w:noProof/>
              </w:rPr>
            </w:pPr>
            <w:r>
              <w:rPr>
                <w:noProof/>
              </w:rPr>
              <w:t>Unité de mesure</w:t>
            </w:r>
          </w:p>
        </w:tc>
        <w:tc>
          <w:tcPr>
            <w:tcW w:w="1068" w:type="dxa"/>
            <w:shd w:val="clear" w:color="auto" w:fill="BDD7EE"/>
            <w:vAlign w:val="center"/>
            <w:hideMark/>
          </w:tcPr>
          <w:p w14:paraId="35BF7FB8" w14:textId="77777777" w:rsidR="003B6BD9" w:rsidRDefault="009E25E8">
            <w:pPr>
              <w:pStyle w:val="P68B1DB1-Normal6"/>
              <w:spacing w:before="0" w:after="0" w:line="240" w:lineRule="auto"/>
              <w:jc w:val="center"/>
              <w:rPr>
                <w:rFonts w:eastAsia="Times New Roman"/>
                <w:noProof/>
              </w:rPr>
            </w:pPr>
            <w:r>
              <w:rPr>
                <w:noProof/>
              </w:rPr>
              <w:t xml:space="preserve">Niveau de référence </w:t>
            </w:r>
          </w:p>
        </w:tc>
        <w:tc>
          <w:tcPr>
            <w:tcW w:w="830" w:type="dxa"/>
            <w:shd w:val="clear" w:color="auto" w:fill="BDD7EE"/>
            <w:vAlign w:val="center"/>
            <w:hideMark/>
          </w:tcPr>
          <w:p w14:paraId="0E937CA8" w14:textId="77777777" w:rsidR="003B6BD9" w:rsidRDefault="009E25E8">
            <w:pPr>
              <w:pStyle w:val="P68B1DB1-Normal6"/>
              <w:spacing w:before="0" w:after="0" w:line="240" w:lineRule="auto"/>
              <w:jc w:val="center"/>
              <w:rPr>
                <w:rFonts w:eastAsia="Times New Roman"/>
                <w:noProof/>
              </w:rPr>
            </w:pPr>
            <w:r>
              <w:rPr>
                <w:noProof/>
              </w:rPr>
              <w:t xml:space="preserve">But </w:t>
            </w:r>
          </w:p>
        </w:tc>
        <w:tc>
          <w:tcPr>
            <w:tcW w:w="992" w:type="dxa"/>
            <w:shd w:val="clear" w:color="auto" w:fill="BDD7EE"/>
            <w:vAlign w:val="center"/>
            <w:hideMark/>
          </w:tcPr>
          <w:p w14:paraId="4B21DF18" w14:textId="77777777" w:rsidR="003B6BD9" w:rsidRDefault="009E25E8">
            <w:pPr>
              <w:pStyle w:val="P68B1DB1-Normal6"/>
              <w:spacing w:before="0" w:after="0" w:line="240" w:lineRule="auto"/>
              <w:jc w:val="center"/>
              <w:rPr>
                <w:rFonts w:eastAsia="Times New Roman"/>
                <w:noProof/>
              </w:rPr>
            </w:pPr>
            <w:r>
              <w:rPr>
                <w:noProof/>
              </w:rPr>
              <w:t>Trimestre</w:t>
            </w:r>
          </w:p>
        </w:tc>
        <w:tc>
          <w:tcPr>
            <w:tcW w:w="840" w:type="dxa"/>
            <w:shd w:val="clear" w:color="auto" w:fill="BDD7EE"/>
            <w:vAlign w:val="center"/>
            <w:hideMark/>
          </w:tcPr>
          <w:p w14:paraId="6D78800C" w14:textId="77777777" w:rsidR="003B6BD9" w:rsidRDefault="009E25E8">
            <w:pPr>
              <w:pStyle w:val="P68B1DB1-Normal6"/>
              <w:spacing w:before="0" w:after="0" w:line="240" w:lineRule="auto"/>
              <w:jc w:val="center"/>
              <w:rPr>
                <w:rFonts w:eastAsia="Times New Roman"/>
                <w:noProof/>
              </w:rPr>
            </w:pPr>
            <w:r>
              <w:rPr>
                <w:noProof/>
              </w:rPr>
              <w:t>Année</w:t>
            </w:r>
          </w:p>
        </w:tc>
        <w:tc>
          <w:tcPr>
            <w:tcW w:w="3005" w:type="dxa"/>
            <w:vMerge/>
            <w:vAlign w:val="center"/>
            <w:hideMark/>
          </w:tcPr>
          <w:p w14:paraId="42D52E84" w14:textId="77777777" w:rsidR="003B6BD9" w:rsidRDefault="003B6BD9">
            <w:pPr>
              <w:spacing w:before="0" w:after="0" w:line="240" w:lineRule="auto"/>
              <w:rPr>
                <w:rFonts w:eastAsia="Times New Roman"/>
                <w:b/>
                <w:noProof/>
                <w:sz w:val="18"/>
                <w:szCs w:val="18"/>
              </w:rPr>
            </w:pPr>
          </w:p>
        </w:tc>
      </w:tr>
      <w:tr w:rsidR="003B6BD9" w14:paraId="6E261FF5"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7BFDDB85" w14:textId="11031145" w:rsidR="003B6BD9" w:rsidRDefault="009E25E8">
            <w:pPr>
              <w:pStyle w:val="P68B1DB1-Normal7"/>
              <w:spacing w:before="0" w:after="0" w:line="240" w:lineRule="auto"/>
              <w:rPr>
                <w:rFonts w:eastAsia="Times New Roman"/>
                <w:noProof/>
              </w:rPr>
            </w:pPr>
            <w:r>
              <w:rPr>
                <w:noProof/>
              </w:rPr>
              <w:t>135</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54DB6CE2" w14:textId="3DBA4614" w:rsidR="003B6BD9" w:rsidRDefault="009E25E8">
            <w:pPr>
              <w:pStyle w:val="P68B1DB1-Normal7"/>
              <w:spacing w:before="0" w:after="0" w:line="240" w:lineRule="auto"/>
              <w:rPr>
                <w:rFonts w:eastAsia="Times New Roman"/>
                <w:noProof/>
              </w:rPr>
            </w:pPr>
            <w:r>
              <w:rPr>
                <w:noProof/>
              </w:rPr>
              <w:t>A: Mesures structurelles visant à renforcer la résilience du marché du travail</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00ED05C7" w14:textId="2E1F4815" w:rsidR="003B6BD9" w:rsidRDefault="009E25E8">
            <w:pPr>
              <w:pStyle w:val="P68B1DB1-Normal7"/>
              <w:spacing w:before="0" w:after="0" w:line="240" w:lineRule="auto"/>
              <w:rPr>
                <w:rFonts w:eastAsia="Times New Roman"/>
                <w:noProof/>
              </w:rPr>
            </w:pPr>
            <w:r>
              <w:rPr>
                <w:noProof/>
              </w:rPr>
              <w:t>Jalon</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20035772" w14:textId="011D06CE" w:rsidR="003B6BD9" w:rsidRDefault="009E25E8">
            <w:pPr>
              <w:pStyle w:val="P68B1DB1-Normal7"/>
              <w:spacing w:before="0" w:after="0" w:line="240" w:lineRule="auto"/>
              <w:rPr>
                <w:rFonts w:eastAsia="Times New Roman"/>
                <w:noProof/>
              </w:rPr>
            </w:pPr>
            <w:r>
              <w:rPr>
                <w:noProof/>
              </w:rPr>
              <w:t xml:space="preserve">Entrée en vigueur de la loi établissant un dispositif de chômage partiel «de crise» </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3B3E7413" w14:textId="519AB0A7" w:rsidR="003B6BD9" w:rsidRDefault="009E25E8">
            <w:pPr>
              <w:pStyle w:val="P68B1DB1-Normal7"/>
              <w:spacing w:before="0" w:after="0" w:line="240" w:lineRule="auto"/>
              <w:rPr>
                <w:rFonts w:eastAsia="Times New Roman"/>
                <w:noProof/>
              </w:rPr>
            </w:pPr>
            <w:r>
              <w:rPr>
                <w:noProof/>
              </w:rPr>
              <w:t xml:space="preserve">Disposition de la loi indiquant l’entrée en vigueur de la loi établissant un dispositif de chômage partiel «de crise» </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65F7E311" w14:textId="2C843401" w:rsidR="003B6BD9" w:rsidRDefault="009E25E8">
            <w:pPr>
              <w:pStyle w:val="P68B1DB1-Normal7"/>
              <w:spacing w:before="0" w:after="0" w:line="240" w:lineRule="auto"/>
              <w:rPr>
                <w:rFonts w:eastAsia="Times New Roman"/>
                <w:noProof/>
              </w:rPr>
            </w:pPr>
            <w:r>
              <w:rPr>
                <w:noProof/>
              </w:rPr>
              <w:t> </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71CEE362" w14:textId="33D0F52A" w:rsidR="003B6BD9" w:rsidRDefault="009E25E8">
            <w:pPr>
              <w:pStyle w:val="P68B1DB1-Normal7"/>
              <w:spacing w:before="0" w:after="0" w:line="240" w:lineRule="auto"/>
              <w:rPr>
                <w:rFonts w:eastAsia="Times New Roman"/>
                <w:noProof/>
              </w:rPr>
            </w:pPr>
            <w:r>
              <w:rPr>
                <w:noProof/>
              </w:rPr>
              <w:t> </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28F60922" w14:textId="03F0A73D" w:rsidR="003B6BD9" w:rsidRDefault="009E25E8">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1C931CD" w14:textId="67C505A6" w:rsidR="003B6BD9" w:rsidRDefault="009E25E8">
            <w:pPr>
              <w:pStyle w:val="P68B1DB1-Normal7"/>
              <w:spacing w:before="0" w:after="0" w:line="240" w:lineRule="auto"/>
              <w:rPr>
                <w:rFonts w:eastAsia="Times New Roman"/>
                <w:noProof/>
              </w:rPr>
            </w:pPr>
            <w:r>
              <w:rPr>
                <w:noProof/>
              </w:rPr>
              <w:t>T2</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1E882DC9" w14:textId="0C76B242" w:rsidR="003B6BD9" w:rsidRDefault="009E25E8">
            <w:pPr>
              <w:pStyle w:val="P68B1DB1-Normal7"/>
              <w:spacing w:before="0" w:after="0" w:line="240" w:lineRule="auto"/>
              <w:rPr>
                <w:rFonts w:eastAsia="Times New Roman"/>
                <w:noProof/>
              </w:rPr>
            </w:pPr>
            <w:r>
              <w:rPr>
                <w:noProof/>
              </w:rPr>
              <w:t>2024</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55774081" w14:textId="25BCAE8F" w:rsidR="003B6BD9" w:rsidRDefault="009E25E8">
            <w:pPr>
              <w:pStyle w:val="P68B1DB1-Normal7"/>
              <w:spacing w:before="0" w:after="0" w:line="240" w:lineRule="auto"/>
              <w:rPr>
                <w:noProof/>
              </w:rPr>
            </w:pPr>
            <w:r>
              <w:rPr>
                <w:noProof/>
              </w:rPr>
              <w:t xml:space="preserve">L’acte établit un dispositif de chômage partiel en cas de crise dans le but de préserver l’emploi en cas de circonstances imprévues. Le projet d’acte est élaboré sur la base d’une analyse des besoins et de l’expérience acquise dans la mise en œuvre de la mesure d’intervention pendant l’épidémie de COVID-19 et pendant la crise énergétique de 2022, en coopération avec les partenaires sociaux. L’acte prévoit également des obligations en matière de formation et d’éducation pendant la période de mise en œuvre des mesures de chômage partiel. </w:t>
            </w:r>
          </w:p>
        </w:tc>
      </w:tr>
      <w:tr w:rsidR="003B6BD9" w14:paraId="4948DA46"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10CCBD66" w14:textId="7E33B8F6" w:rsidR="003B6BD9" w:rsidRDefault="009E25E8">
            <w:pPr>
              <w:pStyle w:val="P68B1DB1-Normal7"/>
              <w:spacing w:before="0" w:after="0" w:line="240" w:lineRule="auto"/>
              <w:rPr>
                <w:rFonts w:eastAsia="Times New Roman"/>
                <w:noProof/>
              </w:rPr>
            </w:pPr>
            <w:r>
              <w:rPr>
                <w:noProof/>
              </w:rPr>
              <w:t>136</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198AA336" w14:textId="214BC023" w:rsidR="003B6BD9" w:rsidRDefault="009E25E8">
            <w:pPr>
              <w:pStyle w:val="P68B1DB1-Normal7"/>
              <w:spacing w:before="0" w:after="0" w:line="240" w:lineRule="auto"/>
              <w:rPr>
                <w:rFonts w:eastAsia="Times New Roman"/>
                <w:noProof/>
              </w:rPr>
            </w:pPr>
            <w:r>
              <w:rPr>
                <w:noProof/>
              </w:rPr>
              <w:t>A: Mesures structurelles visant à renforcer la résilience du marché du travail</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76A40816" w14:textId="7216C179" w:rsidR="003B6BD9" w:rsidRDefault="009E25E8">
            <w:pPr>
              <w:pStyle w:val="P68B1DB1-Normal7"/>
              <w:spacing w:before="0" w:after="0" w:line="240" w:lineRule="auto"/>
              <w:rPr>
                <w:rFonts w:eastAsia="Times New Roman"/>
                <w:noProof/>
              </w:rPr>
            </w:pPr>
            <w:r>
              <w:rPr>
                <w:noProof/>
              </w:rPr>
              <w:t>Jalon</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0DD71A0C" w14:textId="6E093916" w:rsidR="003B6BD9" w:rsidRDefault="009E25E8">
            <w:pPr>
              <w:pStyle w:val="P68B1DB1-Normal7"/>
              <w:spacing w:before="0" w:after="0" w:line="240" w:lineRule="auto"/>
              <w:rPr>
                <w:rFonts w:eastAsia="Times New Roman"/>
                <w:noProof/>
              </w:rPr>
            </w:pPr>
            <w:r>
              <w:rPr>
                <w:noProof/>
              </w:rPr>
              <w:t xml:space="preserve">Entrée en vigueur des modifications de la loi sur la réglementation du marché du travail </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100F0120" w14:textId="72E00430" w:rsidR="003B6BD9" w:rsidRDefault="009E25E8">
            <w:pPr>
              <w:pStyle w:val="P68B1DB1-Normal7"/>
              <w:spacing w:before="0" w:after="0" w:line="240" w:lineRule="auto"/>
              <w:rPr>
                <w:rFonts w:eastAsia="Times New Roman"/>
                <w:noProof/>
              </w:rPr>
            </w:pPr>
            <w:r>
              <w:rPr>
                <w:noProof/>
              </w:rPr>
              <w:t xml:space="preserve">Disposition de la loi indiquant l’entrée en vigueur des modifications de la loi sur la réglementation du marché du travail </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2AAAD608" w14:textId="170DA7BE" w:rsidR="003B6BD9" w:rsidRDefault="009E25E8">
            <w:pPr>
              <w:pStyle w:val="P68B1DB1-Normal7"/>
              <w:spacing w:before="0" w:after="0" w:line="240" w:lineRule="auto"/>
              <w:rPr>
                <w:rFonts w:eastAsia="Times New Roman"/>
                <w:noProof/>
              </w:rPr>
            </w:pPr>
            <w:r>
              <w:rPr>
                <w:noProof/>
              </w:rPr>
              <w:t> </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76E1CD97" w14:textId="77777777" w:rsidR="003B6BD9" w:rsidRDefault="003B6BD9">
            <w:pPr>
              <w:spacing w:before="0" w:after="0" w:line="240" w:lineRule="auto"/>
              <w:rPr>
                <w:rFonts w:eastAsia="Times New Roman"/>
                <w:noProof/>
                <w:color w:val="006100"/>
                <w:sz w:val="18"/>
                <w:szCs w:val="18"/>
              </w:rPr>
            </w:pP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4F990E25" w14:textId="73A4C75F" w:rsidR="003B6BD9" w:rsidRDefault="009E25E8">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DC077AF" w14:textId="13817B21" w:rsidR="003B6BD9" w:rsidRDefault="009E25E8">
            <w:pPr>
              <w:pStyle w:val="P68B1DB1-Normal7"/>
              <w:spacing w:before="0" w:after="0" w:line="240" w:lineRule="auto"/>
              <w:rPr>
                <w:rFonts w:eastAsia="Times New Roman"/>
                <w:noProof/>
              </w:rPr>
            </w:pPr>
            <w:r>
              <w:rPr>
                <w:noProof/>
              </w:rPr>
              <w:t>T2</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1BBC510A" w14:textId="695D5EF4" w:rsidR="003B6BD9" w:rsidRDefault="009E25E8">
            <w:pPr>
              <w:pStyle w:val="P68B1DB1-Normal7"/>
              <w:spacing w:before="0" w:after="0" w:line="240" w:lineRule="auto"/>
              <w:rPr>
                <w:rFonts w:eastAsia="Times New Roman"/>
                <w:noProof/>
              </w:rPr>
            </w:pPr>
            <w:r>
              <w:rPr>
                <w:noProof/>
              </w:rPr>
              <w:t>2024</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227DA5A8" w14:textId="32BB0D6B" w:rsidR="003B6BD9" w:rsidRDefault="009E25E8">
            <w:pPr>
              <w:pStyle w:val="P68B1DB1-Normal7"/>
              <w:spacing w:before="0" w:after="0" w:line="240" w:lineRule="auto"/>
              <w:rPr>
                <w:rFonts w:eastAsia="Times New Roman"/>
                <w:noProof/>
              </w:rPr>
            </w:pPr>
            <w:r>
              <w:rPr>
                <w:noProof/>
              </w:rPr>
              <w:t>Les modifications dans le domaine de l’assurance chômage visent à promouvoir l’allongement de la vie active et à réduire l’écart entre l’âge de sortie du marché du travail et l’âge légal de départ à la retraite.</w:t>
            </w:r>
          </w:p>
        </w:tc>
      </w:tr>
      <w:tr w:rsidR="003B6BD9" w14:paraId="0223CEDF"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085A37C5" w14:textId="1DC2A201" w:rsidR="003B6BD9" w:rsidRDefault="009E25E8">
            <w:pPr>
              <w:pStyle w:val="P68B1DB1-Normal7"/>
              <w:spacing w:before="0" w:after="0" w:line="240" w:lineRule="auto"/>
              <w:rPr>
                <w:rFonts w:eastAsia="Times New Roman"/>
                <w:noProof/>
              </w:rPr>
            </w:pPr>
            <w:r>
              <w:rPr>
                <w:noProof/>
              </w:rPr>
              <w:t>137</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081A2F1A" w14:textId="4ECDB650" w:rsidR="003B6BD9" w:rsidRDefault="009E25E8">
            <w:pPr>
              <w:pStyle w:val="P68B1DB1-Normal7"/>
              <w:spacing w:before="0" w:after="0" w:line="240" w:lineRule="auto"/>
              <w:rPr>
                <w:rFonts w:eastAsia="Times New Roman"/>
                <w:noProof/>
              </w:rPr>
            </w:pPr>
            <w:r>
              <w:rPr>
                <w:noProof/>
              </w:rPr>
              <w:t>A: Mesures structurelles visant à renforcer la résilience du marché du travail</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6F8DA433" w14:textId="44D7EC82" w:rsidR="003B6BD9" w:rsidRDefault="009E25E8">
            <w:pPr>
              <w:pStyle w:val="P68B1DB1-Normal7"/>
              <w:spacing w:before="0" w:after="0" w:line="240" w:lineRule="auto"/>
              <w:rPr>
                <w:rFonts w:eastAsia="Times New Roman"/>
                <w:noProof/>
              </w:rPr>
            </w:pPr>
            <w:r>
              <w:rPr>
                <w:noProof/>
              </w:rPr>
              <w:t>Jalon</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27E13BBB" w14:textId="2A992213" w:rsidR="003B6BD9" w:rsidRDefault="009E25E8">
            <w:pPr>
              <w:pStyle w:val="P68B1DB1-Normal7"/>
              <w:spacing w:before="0" w:after="0" w:line="240" w:lineRule="auto"/>
              <w:rPr>
                <w:rFonts w:eastAsia="Times New Roman"/>
                <w:noProof/>
              </w:rPr>
            </w:pPr>
            <w:r>
              <w:rPr>
                <w:noProof/>
              </w:rPr>
              <w:t xml:space="preserve">Projets de modifications de la législation sur les pensions pour consultation </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06BD2A83" w14:textId="4FBD0D7D" w:rsidR="003B6BD9" w:rsidRDefault="009E25E8">
            <w:pPr>
              <w:pStyle w:val="P68B1DB1-Normal7"/>
              <w:spacing w:before="0" w:after="0" w:line="240" w:lineRule="auto"/>
              <w:rPr>
                <w:rFonts w:eastAsia="Times New Roman"/>
                <w:noProof/>
              </w:rPr>
            </w:pPr>
            <w:r>
              <w:rPr>
                <w:noProof/>
              </w:rPr>
              <w:t xml:space="preserve">Les projets de modifications de la loi sur l’assurance retraite et invalidité visant à garantir la viabilité budgétaire et l’adéquation des pensions sont transmis au Conseil économique et social. </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22149233" w14:textId="22BB6567" w:rsidR="003B6BD9" w:rsidRDefault="009E25E8">
            <w:pPr>
              <w:pStyle w:val="P68B1DB1-Normal7"/>
              <w:spacing w:before="0" w:after="0" w:line="240" w:lineRule="auto"/>
              <w:rPr>
                <w:rFonts w:eastAsia="Times New Roman"/>
                <w:noProof/>
              </w:rPr>
            </w:pPr>
            <w:r>
              <w:rPr>
                <w:noProof/>
              </w:rPr>
              <w:t> </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0A396142" w14:textId="0A2DF6F7" w:rsidR="003B6BD9" w:rsidRDefault="009E25E8">
            <w:pPr>
              <w:pStyle w:val="P68B1DB1-Normal7"/>
              <w:spacing w:before="0" w:after="0" w:line="240" w:lineRule="auto"/>
              <w:rPr>
                <w:rFonts w:eastAsia="Times New Roman"/>
                <w:noProof/>
              </w:rPr>
            </w:pPr>
            <w:r>
              <w:rPr>
                <w:noProof/>
              </w:rPr>
              <w:t> </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5654D354" w14:textId="20680D57" w:rsidR="003B6BD9" w:rsidRDefault="009E25E8">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F3C19C1" w14:textId="52D49181" w:rsidR="003B6BD9" w:rsidRDefault="009E25E8">
            <w:pPr>
              <w:pStyle w:val="P68B1DB1-Normal7"/>
              <w:spacing w:before="0" w:after="0" w:line="240" w:lineRule="auto"/>
              <w:rPr>
                <w:rFonts w:eastAsia="Times New Roman"/>
                <w:noProof/>
              </w:rPr>
            </w:pPr>
            <w:r>
              <w:rPr>
                <w:noProof/>
              </w:rPr>
              <w:t>T2</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0FB4CB98" w14:textId="3FDEE5F8" w:rsidR="003B6BD9" w:rsidRDefault="009E25E8">
            <w:pPr>
              <w:pStyle w:val="P68B1DB1-Normal7"/>
              <w:spacing w:before="0" w:after="0" w:line="240" w:lineRule="auto"/>
              <w:rPr>
                <w:rFonts w:eastAsia="Times New Roman"/>
                <w:noProof/>
              </w:rPr>
            </w:pPr>
            <w:r>
              <w:rPr>
                <w:noProof/>
              </w:rPr>
              <w:t>2023</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0D135B3A" w14:textId="57D5B587" w:rsidR="003B6BD9" w:rsidRDefault="009E25E8">
            <w:pPr>
              <w:pStyle w:val="P68B1DB1-Normal7"/>
              <w:spacing w:before="0" w:after="0" w:line="256" w:lineRule="auto"/>
              <w:rPr>
                <w:noProof/>
              </w:rPr>
            </w:pPr>
            <w:r>
              <w:rPr>
                <w:noProof/>
              </w:rPr>
              <w:t xml:space="preserve">Le contenu de la proposition répond aux défis en matière de durabilité, tels que les tendances démographiques attendues, la relation entre les assurés et les retraités, l’adéquation et la transparence de l’assurance retraite et invalidité. La proposition comprend des modifications des conditions de départ à la retraite (telles que le relèvement de l’âge de départ à la retraite, l’unification des périodes lorsque la période requise est adaptée), des modifications de l’indexation, des liens entre les paiements et les décaissements. </w:t>
            </w:r>
          </w:p>
          <w:p w14:paraId="7A5F11E4" w14:textId="77777777" w:rsidR="003B6BD9" w:rsidRDefault="009E25E8">
            <w:pPr>
              <w:pStyle w:val="P68B1DB1-Normal7"/>
              <w:spacing w:before="0" w:after="0" w:line="256" w:lineRule="auto"/>
              <w:rPr>
                <w:rFonts w:eastAsia="Times New Roman"/>
                <w:noProof/>
              </w:rPr>
            </w:pPr>
            <w:r>
              <w:rPr>
                <w:noProof/>
              </w:rPr>
              <w:t xml:space="preserve">En outre, une modernisation du régime d’assurance invalidité est proposée, également en vue de maximiser l’intégration sur le marché du travail des personnes ayant une capacité de travail réduite et donc d’améliorer leur couverture sociale, ainsi que des mesures visant à accroître la participation aux régimes complémentaires de pension. </w:t>
            </w:r>
          </w:p>
          <w:p w14:paraId="25F34ED4" w14:textId="5B8EE400" w:rsidR="003B6BD9" w:rsidRDefault="009E25E8">
            <w:pPr>
              <w:pStyle w:val="P68B1DB1-Normal7"/>
              <w:spacing w:before="0" w:after="0" w:line="240" w:lineRule="auto"/>
              <w:rPr>
                <w:rFonts w:eastAsia="Times New Roman"/>
                <w:noProof/>
              </w:rPr>
            </w:pPr>
            <w:r>
              <w:rPr>
                <w:noProof/>
              </w:rPr>
              <w:t>La proposition garantira la viabilité budgétaire du système de retraite (les risques découlant des dépenses liées au vieillissement de la population seront considérablement réduits par rapport à la catégorie actuelle à haut risque) et l’adéquation des retraites.</w:t>
            </w:r>
          </w:p>
        </w:tc>
      </w:tr>
      <w:tr w:rsidR="003B6BD9" w14:paraId="4651E2E8"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5B729913" w14:textId="5C00DBBF" w:rsidR="003B6BD9" w:rsidRDefault="009E25E8">
            <w:pPr>
              <w:pStyle w:val="P68B1DB1-Normal7"/>
              <w:spacing w:before="0" w:after="0" w:line="240" w:lineRule="auto"/>
              <w:rPr>
                <w:rFonts w:eastAsia="Times New Roman"/>
                <w:noProof/>
              </w:rPr>
            </w:pPr>
            <w:r>
              <w:rPr>
                <w:noProof/>
              </w:rPr>
              <w:t>138</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56676304" w14:textId="27FB03BB" w:rsidR="003B6BD9" w:rsidRDefault="009E25E8">
            <w:pPr>
              <w:pStyle w:val="P68B1DB1-Normal7"/>
              <w:spacing w:before="0" w:after="0" w:line="240" w:lineRule="auto"/>
              <w:rPr>
                <w:rFonts w:eastAsia="Times New Roman"/>
                <w:noProof/>
              </w:rPr>
            </w:pPr>
            <w:r>
              <w:rPr>
                <w:noProof/>
              </w:rPr>
              <w:t>A: Mesures structurelles visant à renforcer la résilience du marché du travail</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574E669F" w14:textId="63CAF280" w:rsidR="003B6BD9" w:rsidRDefault="009E25E8">
            <w:pPr>
              <w:pStyle w:val="P68B1DB1-Normal7"/>
              <w:spacing w:before="0" w:after="0" w:line="240" w:lineRule="auto"/>
              <w:rPr>
                <w:rFonts w:eastAsia="Times New Roman"/>
                <w:noProof/>
              </w:rPr>
            </w:pPr>
            <w:r>
              <w:rPr>
                <w:noProof/>
              </w:rPr>
              <w:t>Jalon</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75C3B740" w14:textId="7BC602F8" w:rsidR="003B6BD9" w:rsidRDefault="009E25E8">
            <w:pPr>
              <w:pStyle w:val="P68B1DB1-Normal7"/>
              <w:spacing w:before="0" w:after="0" w:line="240" w:lineRule="auto"/>
              <w:rPr>
                <w:rFonts w:eastAsia="Times New Roman"/>
                <w:noProof/>
              </w:rPr>
            </w:pPr>
            <w:r>
              <w:rPr>
                <w:noProof/>
              </w:rPr>
              <w:t xml:space="preserve">Proposition législative de modifications globales de la loi sur l’assurance retraite et invalidité transmise à l’Assemblée nationale </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705A1C1E" w14:textId="766CE890" w:rsidR="003B6BD9" w:rsidRDefault="009E25E8">
            <w:pPr>
              <w:pStyle w:val="P68B1DB1-Normal7"/>
              <w:spacing w:before="0" w:after="0" w:line="240" w:lineRule="auto"/>
              <w:rPr>
                <w:rFonts w:eastAsia="Times New Roman"/>
                <w:noProof/>
              </w:rPr>
            </w:pPr>
            <w:r>
              <w:rPr>
                <w:noProof/>
              </w:rPr>
              <w:t xml:space="preserve">La proposition de modification législative est adoptée par le gouvernement de la République de Slovénie et transmise à l’Assemblée nationale. </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4BF58D21" w14:textId="4B22E1E9" w:rsidR="003B6BD9" w:rsidRDefault="009E25E8">
            <w:pPr>
              <w:pStyle w:val="P68B1DB1-Normal7"/>
              <w:spacing w:before="0" w:after="0" w:line="240" w:lineRule="auto"/>
              <w:rPr>
                <w:rFonts w:eastAsia="Times New Roman"/>
                <w:noProof/>
              </w:rPr>
            </w:pPr>
            <w:r>
              <w:rPr>
                <w:noProof/>
              </w:rPr>
              <w:t> </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263409ED" w14:textId="14417C64" w:rsidR="003B6BD9" w:rsidRDefault="009E25E8">
            <w:pPr>
              <w:pStyle w:val="P68B1DB1-Normal7"/>
              <w:spacing w:before="0" w:after="0" w:line="240" w:lineRule="auto"/>
              <w:rPr>
                <w:rFonts w:eastAsia="Times New Roman"/>
                <w:noProof/>
              </w:rPr>
            </w:pPr>
            <w:r>
              <w:rPr>
                <w:noProof/>
              </w:rPr>
              <w:t> </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356D81E5" w14:textId="2F4DCC84" w:rsidR="003B6BD9" w:rsidRDefault="009E25E8">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51CFBE4" w14:textId="56ABA2AB" w:rsidR="003B6BD9" w:rsidRDefault="009E25E8">
            <w:pPr>
              <w:pStyle w:val="P68B1DB1-Normal7"/>
              <w:spacing w:before="0" w:after="0" w:line="240" w:lineRule="auto"/>
              <w:rPr>
                <w:rFonts w:eastAsia="Times New Roman"/>
                <w:noProof/>
              </w:rPr>
            </w:pPr>
            <w:r>
              <w:rPr>
                <w:noProof/>
              </w:rPr>
              <w:t>T4</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03F84188" w14:textId="118C553D" w:rsidR="003B6BD9" w:rsidRDefault="009E25E8">
            <w:pPr>
              <w:pStyle w:val="P68B1DB1-Normal7"/>
              <w:spacing w:before="0" w:after="0" w:line="240" w:lineRule="auto"/>
              <w:rPr>
                <w:rFonts w:eastAsia="Times New Roman"/>
                <w:noProof/>
              </w:rPr>
            </w:pPr>
            <w:r>
              <w:rPr>
                <w:noProof/>
              </w:rPr>
              <w:t>2023</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65F6C0DE" w14:textId="5E7DC0F2" w:rsidR="003B6BD9" w:rsidRDefault="009E25E8">
            <w:pPr>
              <w:pStyle w:val="P68B1DB1-Normal7"/>
              <w:spacing w:before="0" w:after="0" w:line="240" w:lineRule="auto"/>
              <w:rPr>
                <w:rFonts w:eastAsia="Times New Roman"/>
                <w:noProof/>
              </w:rPr>
            </w:pPr>
            <w:r>
              <w:rPr>
                <w:noProof/>
              </w:rPr>
              <w:t>Le gouvernement adopte et transmet à l’Assemblée nationale une législation visant à garantir la viabilité budgétaire du système de retraite (les risques découlant des dépenses liées à l’âge seront considérablement réduits par rapport à la catégorie actuelle à haut risque) et l’adéquation des retraites. La proposition prolonge la période d’emploi, en améliorant l’intégration des personnes âgées sur le marché du travail et en garantissant l’adéquation des pensions et la viabilité financière du système de retraite.</w:t>
            </w:r>
          </w:p>
        </w:tc>
      </w:tr>
      <w:tr w:rsidR="003B6BD9" w14:paraId="275B0EB3"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44D2E118" w14:textId="7C361F29" w:rsidR="003B6BD9" w:rsidRDefault="009E25E8">
            <w:pPr>
              <w:pStyle w:val="P68B1DB1-Normal7"/>
              <w:spacing w:before="0" w:after="0" w:line="240" w:lineRule="auto"/>
              <w:rPr>
                <w:rFonts w:eastAsia="Times New Roman"/>
                <w:noProof/>
              </w:rPr>
            </w:pPr>
            <w:r>
              <w:rPr>
                <w:noProof/>
              </w:rPr>
              <w:t>139</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69121D93" w14:textId="435662DA" w:rsidR="003B6BD9" w:rsidRDefault="009E25E8">
            <w:pPr>
              <w:pStyle w:val="P68B1DB1-Normal7"/>
              <w:spacing w:before="0" w:after="0" w:line="240" w:lineRule="auto"/>
              <w:rPr>
                <w:rFonts w:eastAsia="Times New Roman"/>
                <w:noProof/>
              </w:rPr>
            </w:pPr>
            <w:r>
              <w:rPr>
                <w:noProof/>
              </w:rPr>
              <w:t>A: Mesures structurelles visant à renforcer la résilience du marché du travail</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770571A8" w14:textId="641B21E1" w:rsidR="003B6BD9" w:rsidRDefault="009E25E8">
            <w:pPr>
              <w:pStyle w:val="P68B1DB1-Normal7"/>
              <w:spacing w:before="0" w:after="0" w:line="240" w:lineRule="auto"/>
              <w:rPr>
                <w:rFonts w:eastAsia="Times New Roman"/>
                <w:noProof/>
              </w:rPr>
            </w:pPr>
            <w:r>
              <w:rPr>
                <w:noProof/>
              </w:rPr>
              <w:t>Jalon</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26E63165" w14:textId="3A19EA67" w:rsidR="003B6BD9" w:rsidRDefault="009E25E8">
            <w:pPr>
              <w:pStyle w:val="P68B1DB1-Normal7"/>
              <w:spacing w:before="0" w:after="0" w:line="240" w:lineRule="auto"/>
              <w:rPr>
                <w:rFonts w:eastAsia="Times New Roman"/>
                <w:noProof/>
              </w:rPr>
            </w:pPr>
            <w:r>
              <w:rPr>
                <w:noProof/>
              </w:rPr>
              <w:t>Entrée en vigueur de la législation sur la réforme des retraites</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6801B0CD" w14:textId="739B96B8" w:rsidR="003B6BD9" w:rsidRDefault="009E25E8">
            <w:pPr>
              <w:pStyle w:val="P68B1DB1-Normal7"/>
              <w:spacing w:before="0" w:after="0" w:line="240" w:lineRule="auto"/>
              <w:rPr>
                <w:rFonts w:eastAsia="Times New Roman"/>
                <w:noProof/>
              </w:rPr>
            </w:pPr>
            <w:r>
              <w:rPr>
                <w:noProof/>
              </w:rPr>
              <w:t xml:space="preserve">Disposition de la loi indiquant son entrée en vigueur. </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23E8A2C2" w14:textId="78B2C68E" w:rsidR="003B6BD9" w:rsidRDefault="009E25E8">
            <w:pPr>
              <w:pStyle w:val="P68B1DB1-Normal7"/>
              <w:spacing w:before="0" w:after="0" w:line="240" w:lineRule="auto"/>
              <w:rPr>
                <w:rFonts w:eastAsia="Times New Roman"/>
                <w:noProof/>
              </w:rPr>
            </w:pPr>
            <w:r>
              <w:rPr>
                <w:noProof/>
              </w:rPr>
              <w:t> </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2EB8B0BD" w14:textId="7D781BEF" w:rsidR="003B6BD9" w:rsidRDefault="009E25E8">
            <w:pPr>
              <w:pStyle w:val="P68B1DB1-Normal7"/>
              <w:spacing w:before="0" w:after="0" w:line="240" w:lineRule="auto"/>
              <w:rPr>
                <w:rFonts w:eastAsia="Times New Roman"/>
                <w:noProof/>
              </w:rPr>
            </w:pPr>
            <w:r>
              <w:rPr>
                <w:noProof/>
              </w:rPr>
              <w:t> </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7E610857" w14:textId="03D4A4D3" w:rsidR="003B6BD9" w:rsidRDefault="009E25E8">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B89EEF5" w14:textId="0FC3F604" w:rsidR="003B6BD9" w:rsidRDefault="009E25E8">
            <w:pPr>
              <w:pStyle w:val="P68B1DB1-Normal7"/>
              <w:spacing w:before="0" w:after="0" w:line="240" w:lineRule="auto"/>
              <w:rPr>
                <w:rFonts w:eastAsia="Times New Roman"/>
                <w:noProof/>
              </w:rPr>
            </w:pPr>
            <w:r>
              <w:rPr>
                <w:noProof/>
              </w:rPr>
              <w:t>T4</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25A128DD" w14:textId="6BC1B63E" w:rsidR="003B6BD9" w:rsidRDefault="009E25E8">
            <w:pPr>
              <w:pStyle w:val="P68B1DB1-Normal7"/>
              <w:spacing w:before="0" w:after="0" w:line="240" w:lineRule="auto"/>
              <w:rPr>
                <w:rFonts w:eastAsia="Times New Roman"/>
                <w:noProof/>
              </w:rPr>
            </w:pPr>
            <w:r>
              <w:rPr>
                <w:noProof/>
              </w:rPr>
              <w:t>2024</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32A96381" w14:textId="6C6CC7D7" w:rsidR="003B6BD9" w:rsidRDefault="009E25E8">
            <w:pPr>
              <w:pStyle w:val="P68B1DB1-Normal7"/>
              <w:spacing w:before="0" w:after="0" w:line="240" w:lineRule="auto"/>
              <w:rPr>
                <w:rFonts w:eastAsia="Times New Roman"/>
                <w:noProof/>
              </w:rPr>
            </w:pPr>
            <w:r>
              <w:rPr>
                <w:noProof/>
              </w:rPr>
              <w:t>La législation renforce la viabilité budgétaire à long terme du système de retraite et l’adéquation des pensions i) en relevant l’âge légal de départ à la retraite et l’âge de départ anticipé à la retraite, ii) en révisant la formule d’indexation des pensions en augmentant le poids de l’inflation par rapport aux salaires, iii) en augmentant le taux d’accumulation et iv) en prolongeant la période de référence pour le calcul des pensions</w:t>
            </w:r>
            <w:r>
              <w:rPr>
                <w:strike/>
                <w:noProof/>
              </w:rPr>
              <w:t>.</w:t>
            </w:r>
          </w:p>
        </w:tc>
      </w:tr>
      <w:tr w:rsidR="003B6BD9" w14:paraId="4EB4CB3B" w14:textId="77777777" w:rsidTr="006C1AFD">
        <w:trPr>
          <w:trHeight w:val="2588"/>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24D5653F" w14:textId="252FED4F" w:rsidR="003B6BD9" w:rsidRDefault="009E25E8">
            <w:pPr>
              <w:pStyle w:val="P68B1DB1-Normal7"/>
              <w:spacing w:before="0" w:after="0" w:line="240" w:lineRule="auto"/>
              <w:rPr>
                <w:rFonts w:eastAsia="Times New Roman"/>
                <w:noProof/>
              </w:rPr>
            </w:pPr>
            <w:r>
              <w:rPr>
                <w:noProof/>
              </w:rPr>
              <w:t>140</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2999D510" w14:textId="3AAFB0BD" w:rsidR="003B6BD9" w:rsidRDefault="009E25E8">
            <w:pPr>
              <w:pStyle w:val="P68B1DB1-Normal7"/>
              <w:spacing w:before="0" w:after="0" w:line="240" w:lineRule="auto"/>
              <w:rPr>
                <w:rFonts w:eastAsia="Times New Roman"/>
                <w:noProof/>
              </w:rPr>
            </w:pPr>
            <w:r>
              <w:rPr>
                <w:noProof/>
              </w:rPr>
              <w:t>A: Mesures structurelles visant à renforcer la résilience du marché du travail</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0D8FA2FA" w14:textId="011C1B1E" w:rsidR="003B6BD9" w:rsidRDefault="009E25E8">
            <w:pPr>
              <w:pStyle w:val="P68B1DB1-Normal7"/>
              <w:spacing w:before="0" w:after="0" w:line="240" w:lineRule="auto"/>
              <w:rPr>
                <w:rFonts w:eastAsia="Times New Roman"/>
                <w:noProof/>
              </w:rPr>
            </w:pPr>
            <w:r>
              <w:rPr>
                <w:noProof/>
              </w:rPr>
              <w:t>Jalon</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5A6C1454" w14:textId="36C6AA6D" w:rsidR="003B6BD9" w:rsidRDefault="009E25E8">
            <w:pPr>
              <w:pStyle w:val="P68B1DB1-Normal7"/>
              <w:spacing w:before="0" w:after="0" w:line="240" w:lineRule="auto"/>
              <w:rPr>
                <w:rFonts w:eastAsia="Times New Roman"/>
                <w:noProof/>
              </w:rPr>
            </w:pPr>
            <w:r>
              <w:rPr>
                <w:noProof/>
              </w:rPr>
              <w:t xml:space="preserve">Adoption des lignes directrices pour la mise en œuvre de la politique active du marché du travail 2026-2030 </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7F54CD9A" w14:textId="62C23A34" w:rsidR="003B6BD9" w:rsidRDefault="009E25E8">
            <w:pPr>
              <w:pStyle w:val="P68B1DB1-Normal10"/>
              <w:spacing w:before="0" w:after="0" w:line="240" w:lineRule="auto"/>
              <w:rPr>
                <w:rFonts w:eastAsia="Times New Roman"/>
                <w:noProof/>
                <w:color w:val="006100"/>
              </w:rPr>
            </w:pPr>
            <w:r>
              <w:rPr>
                <w:noProof/>
                <w:color w:val="006100"/>
              </w:rPr>
              <w:t>Publication des</w:t>
            </w:r>
            <w:r>
              <w:rPr>
                <w:noProof/>
              </w:rPr>
              <w:t xml:space="preserve"> </w:t>
            </w:r>
            <w:r>
              <w:rPr>
                <w:noProof/>
                <w:color w:val="006100"/>
              </w:rPr>
              <w:t>lignes directrices pour la mise en œuvre de la politique active du marché du travail 2026-2030.</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73608D25" w14:textId="707EE715" w:rsidR="003B6BD9" w:rsidRDefault="009E25E8">
            <w:pPr>
              <w:pStyle w:val="P68B1DB1-Normal7"/>
              <w:spacing w:before="0" w:after="0" w:line="240" w:lineRule="auto"/>
              <w:rPr>
                <w:rFonts w:eastAsia="Times New Roman"/>
                <w:noProof/>
              </w:rPr>
            </w:pPr>
            <w:r>
              <w:rPr>
                <w:noProof/>
              </w:rPr>
              <w:t> </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5A13BC8D" w14:textId="4F73FBB3" w:rsidR="003B6BD9" w:rsidRDefault="009E25E8">
            <w:pPr>
              <w:pStyle w:val="P68B1DB1-Normal7"/>
              <w:spacing w:before="0" w:after="0" w:line="240" w:lineRule="auto"/>
              <w:rPr>
                <w:rFonts w:eastAsia="Times New Roman"/>
                <w:noProof/>
              </w:rPr>
            </w:pPr>
            <w:r>
              <w:rPr>
                <w:noProof/>
              </w:rPr>
              <w:t> </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42354DA8" w14:textId="2F8BF199" w:rsidR="003B6BD9" w:rsidRDefault="009E25E8">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1F0F71B" w14:textId="26C03FD1" w:rsidR="003B6BD9" w:rsidRDefault="009E25E8">
            <w:pPr>
              <w:pStyle w:val="P68B1DB1-Normal7"/>
              <w:spacing w:before="0" w:after="0" w:line="240" w:lineRule="auto"/>
              <w:rPr>
                <w:rFonts w:eastAsia="Times New Roman"/>
                <w:noProof/>
              </w:rPr>
            </w:pPr>
            <w:r>
              <w:rPr>
                <w:noProof/>
              </w:rPr>
              <w:t>T4</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64448ED0" w14:textId="4B3DDDBB" w:rsidR="003B6BD9" w:rsidRDefault="009E25E8">
            <w:pPr>
              <w:pStyle w:val="P68B1DB1-Normal7"/>
              <w:spacing w:before="0" w:after="0" w:line="240" w:lineRule="auto"/>
              <w:rPr>
                <w:rFonts w:eastAsia="Times New Roman"/>
                <w:noProof/>
              </w:rPr>
            </w:pPr>
            <w:r>
              <w:rPr>
                <w:noProof/>
              </w:rPr>
              <w:t>2025</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3D2C7AB6" w14:textId="243B6E1B" w:rsidR="003B6BD9" w:rsidRDefault="009E25E8">
            <w:pPr>
              <w:pStyle w:val="P68B1DB1-Normal7"/>
              <w:spacing w:before="0" w:after="0" w:line="240" w:lineRule="auto"/>
              <w:rPr>
                <w:noProof/>
              </w:rPr>
            </w:pPr>
            <w:r>
              <w:rPr>
                <w:noProof/>
              </w:rPr>
              <w:t xml:space="preserve">Publication de l’examen par l’OCDE des politiques actives du marché du travail de la Slovénie sur la base d’un accord entre l’OCDE et la Slovénie, dans les domaines de la formation sur le lieu de travail, des subventions salariales, de la formation institutionnelle et des travaux publics. L’examen comprend l’évaluation de la conception et de la mise en œuvre des PAMT ainsi que leur analyse coûts-avantages. </w:t>
            </w:r>
          </w:p>
          <w:p w14:paraId="3527B0C2" w14:textId="7490DFE0" w:rsidR="003B6BD9" w:rsidRDefault="009E25E8">
            <w:pPr>
              <w:pStyle w:val="P68B1DB1-Normal7"/>
              <w:spacing w:before="0" w:after="0" w:line="240" w:lineRule="auto"/>
              <w:rPr>
                <w:noProof/>
              </w:rPr>
            </w:pPr>
            <w:r>
              <w:rPr>
                <w:noProof/>
              </w:rPr>
              <w:t>La Slovénie adopte les lignes directrices pour la mise en œuvre de la politique active du marché du travail 2026-2030. Les nouvelles lignes directrices comprennent des objectifs visant à réduire le nombre de chômeurs de longue durée et à accélérer l’activation des travailleurs âgés et peu qualifiés.</w:t>
            </w:r>
          </w:p>
        </w:tc>
      </w:tr>
      <w:tr w:rsidR="003B6BD9" w14:paraId="06F891E0" w14:textId="77777777" w:rsidTr="006C1AFD">
        <w:trPr>
          <w:trHeight w:val="548"/>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7016EDBA" w14:textId="2BFDBC4D" w:rsidR="003B6BD9" w:rsidRDefault="009E25E8">
            <w:pPr>
              <w:pStyle w:val="P68B1DB1-Normal7"/>
              <w:spacing w:before="0" w:after="0" w:line="240" w:lineRule="auto"/>
              <w:rPr>
                <w:rFonts w:eastAsia="Times New Roman"/>
                <w:noProof/>
              </w:rPr>
            </w:pPr>
            <w:r>
              <w:rPr>
                <w:noProof/>
              </w:rPr>
              <w:t>143</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3AAAF733" w14:textId="402DA625" w:rsidR="003B6BD9" w:rsidRDefault="009E25E8">
            <w:pPr>
              <w:pStyle w:val="P68B1DB1-Normal7"/>
              <w:spacing w:before="0" w:after="0" w:line="240" w:lineRule="auto"/>
              <w:rPr>
                <w:rFonts w:eastAsia="Times New Roman"/>
                <w:noProof/>
              </w:rPr>
            </w:pPr>
            <w:r>
              <w:rPr>
                <w:noProof/>
              </w:rPr>
              <w:t>C: Introduire des méthodes de travail plus souples et adaptées aux besoins des personnes handicapées dans les entreprises protégées et les centres pour l’emploi</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4BDA3878" w14:textId="324BC0EB" w:rsidR="003B6BD9" w:rsidRDefault="009E25E8">
            <w:pPr>
              <w:pStyle w:val="P68B1DB1-Normal7"/>
              <w:spacing w:before="0" w:after="0" w:line="240" w:lineRule="auto"/>
              <w:rPr>
                <w:rFonts w:eastAsia="Times New Roman"/>
                <w:noProof/>
              </w:rPr>
            </w:pPr>
            <w:r>
              <w:rPr>
                <w:noProof/>
              </w:rPr>
              <w:t>Cible</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0DB51E60" w14:textId="0713F386" w:rsidR="003B6BD9" w:rsidRDefault="009E25E8">
            <w:pPr>
              <w:pStyle w:val="P68B1DB1-Normal7"/>
              <w:spacing w:before="0" w:after="0" w:line="240" w:lineRule="auto"/>
              <w:rPr>
                <w:rFonts w:eastAsia="Times New Roman"/>
                <w:noProof/>
              </w:rPr>
            </w:pPr>
            <w:r>
              <w:rPr>
                <w:noProof/>
              </w:rPr>
              <w:t>Subventions pour des projets soutenant des formules de travail plus souples pour les personnes handicapées</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785B06FD" w14:textId="4767C081" w:rsidR="003B6BD9" w:rsidRDefault="009E25E8">
            <w:pPr>
              <w:pStyle w:val="P68B1DB1-Normal7"/>
              <w:spacing w:before="0" w:after="0" w:line="240" w:lineRule="auto"/>
              <w:rPr>
                <w:rFonts w:eastAsia="Times New Roman"/>
                <w:noProof/>
              </w:rPr>
            </w:pPr>
            <w:r>
              <w:rPr>
                <w:noProof/>
              </w:rPr>
              <w:t> </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57280800" w14:textId="725100E8" w:rsidR="003B6BD9" w:rsidRDefault="009E25E8">
            <w:pPr>
              <w:pStyle w:val="P68B1DB1-Normal7"/>
              <w:spacing w:before="0" w:after="0" w:line="240" w:lineRule="auto"/>
              <w:rPr>
                <w:rFonts w:eastAsia="Times New Roman"/>
                <w:noProof/>
              </w:rPr>
            </w:pPr>
            <w:r>
              <w:rPr>
                <w:noProof/>
              </w:rPr>
              <w:t>Nombre</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35C7DE03" w14:textId="289CC1A3" w:rsidR="003B6BD9" w:rsidRDefault="009E25E8">
            <w:pPr>
              <w:pStyle w:val="P68B1DB1-Normal7"/>
              <w:spacing w:before="0" w:after="0" w:line="240" w:lineRule="auto"/>
              <w:rPr>
                <w:rFonts w:eastAsia="Times New Roman"/>
                <w:noProof/>
              </w:rPr>
            </w:pPr>
            <w:r>
              <w:rPr>
                <w:noProof/>
              </w:rPr>
              <w:t>0</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4F9CF626" w14:textId="2371FED3" w:rsidR="003B6BD9" w:rsidRDefault="009E25E8">
            <w:pPr>
              <w:pStyle w:val="P68B1DB1-Normal7"/>
              <w:spacing w:before="0" w:after="0" w:line="240" w:lineRule="auto"/>
              <w:rPr>
                <w:rFonts w:eastAsia="Times New Roman"/>
                <w:noProof/>
              </w:rPr>
            </w:pPr>
            <w:r>
              <w:rPr>
                <w:noProof/>
              </w:rPr>
              <w:t>37</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39C0092" w14:textId="1C0D8643" w:rsidR="003B6BD9" w:rsidRDefault="009E25E8">
            <w:pPr>
              <w:pStyle w:val="P68B1DB1-Normal7"/>
              <w:spacing w:before="0" w:after="0" w:line="240" w:lineRule="auto"/>
              <w:rPr>
                <w:rFonts w:eastAsia="Times New Roman"/>
                <w:noProof/>
              </w:rPr>
            </w:pPr>
            <w:r>
              <w:rPr>
                <w:noProof/>
              </w:rPr>
              <w:t>T2</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22CEC90B" w14:textId="5FBF1CB5" w:rsidR="003B6BD9" w:rsidRDefault="009E25E8">
            <w:pPr>
              <w:pStyle w:val="P68B1DB1-Normal7"/>
              <w:spacing w:before="0" w:after="0" w:line="240" w:lineRule="auto"/>
              <w:rPr>
                <w:rFonts w:eastAsia="Times New Roman"/>
                <w:noProof/>
              </w:rPr>
            </w:pPr>
            <w:r>
              <w:rPr>
                <w:noProof/>
              </w:rPr>
              <w:t>2025</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720362F7" w14:textId="18EF573E" w:rsidR="003B6BD9" w:rsidRDefault="009E25E8">
            <w:pPr>
              <w:pStyle w:val="P68B1DB1-Normal7"/>
              <w:spacing w:before="0" w:after="0" w:line="240" w:lineRule="auto"/>
              <w:rPr>
                <w:rFonts w:eastAsia="Times New Roman"/>
                <w:noProof/>
              </w:rPr>
            </w:pPr>
            <w:r>
              <w:rPr>
                <w:noProof/>
              </w:rPr>
              <w:t xml:space="preserve">Octroi de subventions aux centres pour l’emploi et aux entreprises protégées pour des projets soutenant des formules de travail plus souples pour les personnes handicapées. 37 confirmations des autorités acceptant les rapports finaux (par les bénéficiaires) démontrant que les </w:t>
            </w:r>
            <w:r>
              <w:rPr>
                <w:rFonts w:eastAsia="Times New Roman"/>
                <w:noProof/>
              </w:rPr>
              <w:t>plans de développement des modèles d’entreprise ont été préparés pour les centres pour</w:t>
            </w:r>
            <w:r>
              <w:rPr>
                <w:noProof/>
              </w:rPr>
              <w:t xml:space="preserve"> l’emploi et les entreprises protégées et que les personnes handicapées ont été incluses dans la formation afin d’améliorer leurs compétences pour bénéficier de formules souples de travail.</w:t>
            </w:r>
          </w:p>
        </w:tc>
      </w:tr>
      <w:tr w:rsidR="003B6BD9" w14:paraId="73E9D595"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786E468C" w14:textId="6683D4B9" w:rsidR="003B6BD9" w:rsidRDefault="009E25E8">
            <w:pPr>
              <w:pStyle w:val="P68B1DB1-Normal7"/>
              <w:spacing w:before="0" w:after="0" w:line="240" w:lineRule="auto"/>
              <w:rPr>
                <w:rFonts w:eastAsia="Times New Roman"/>
                <w:noProof/>
              </w:rPr>
            </w:pPr>
            <w:r>
              <w:rPr>
                <w:noProof/>
              </w:rPr>
              <w:t>144</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39956F0F" w14:textId="6A84B564" w:rsidR="003B6BD9" w:rsidRDefault="009E25E8">
            <w:pPr>
              <w:pStyle w:val="P68B1DB1-Normal7"/>
              <w:spacing w:before="0" w:after="0" w:line="240" w:lineRule="auto"/>
              <w:rPr>
                <w:rFonts w:eastAsia="Times New Roman"/>
                <w:noProof/>
              </w:rPr>
            </w:pPr>
            <w:r>
              <w:rPr>
                <w:noProof/>
              </w:rPr>
              <w:t>D: Accélérer l’entrée des jeunes sur le marché du travail</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34D25237" w14:textId="002FA4A9" w:rsidR="003B6BD9" w:rsidRDefault="009E25E8">
            <w:pPr>
              <w:pStyle w:val="P68B1DB1-Normal7"/>
              <w:spacing w:before="0" w:after="0" w:line="240" w:lineRule="auto"/>
              <w:rPr>
                <w:rFonts w:eastAsia="Times New Roman"/>
                <w:noProof/>
              </w:rPr>
            </w:pPr>
            <w:r>
              <w:rPr>
                <w:noProof/>
              </w:rPr>
              <w:t>Cible</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03A8D190" w14:textId="3ECC8704" w:rsidR="003B6BD9" w:rsidRDefault="009E25E8">
            <w:pPr>
              <w:pStyle w:val="P68B1DB1-Normal7"/>
              <w:spacing w:before="0" w:after="0" w:line="240" w:lineRule="auto"/>
              <w:rPr>
                <w:rFonts w:eastAsia="Times New Roman"/>
                <w:noProof/>
              </w:rPr>
            </w:pPr>
            <w:r>
              <w:rPr>
                <w:noProof/>
              </w:rPr>
              <w:t>Nombre de jeunes supplémentaires occupant un emploi subventionné sur la base d’un contrat à durée indéterminée</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7E7C4305" w14:textId="476470F5" w:rsidR="003B6BD9" w:rsidRDefault="009E25E8">
            <w:pPr>
              <w:pStyle w:val="P68B1DB1-Normal7"/>
              <w:spacing w:before="0" w:after="0" w:line="240" w:lineRule="auto"/>
              <w:rPr>
                <w:rFonts w:eastAsia="Times New Roman"/>
                <w:noProof/>
              </w:rPr>
            </w:pPr>
            <w:r>
              <w:rPr>
                <w:noProof/>
              </w:rPr>
              <w:t> </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0024227D" w14:textId="734E3A52" w:rsidR="003B6BD9" w:rsidRDefault="009E25E8">
            <w:pPr>
              <w:pStyle w:val="P68B1DB1-Normal7"/>
              <w:spacing w:before="0" w:after="0" w:line="240" w:lineRule="auto"/>
              <w:rPr>
                <w:rFonts w:eastAsia="Times New Roman"/>
                <w:noProof/>
              </w:rPr>
            </w:pPr>
            <w:r>
              <w:rPr>
                <w:noProof/>
              </w:rPr>
              <w:t>Nombre</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054BB8B5" w14:textId="1B205B65" w:rsidR="003B6BD9" w:rsidRDefault="009E25E8">
            <w:pPr>
              <w:pStyle w:val="P68B1DB1-Normal7"/>
              <w:spacing w:before="0" w:after="0" w:line="240" w:lineRule="auto"/>
              <w:rPr>
                <w:rFonts w:eastAsia="Times New Roman"/>
                <w:noProof/>
              </w:rPr>
            </w:pPr>
            <w:r>
              <w:rPr>
                <w:noProof/>
              </w:rPr>
              <w:t>0</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44F99A13" w14:textId="140F7F16" w:rsidR="003B6BD9" w:rsidRDefault="009E25E8">
            <w:pPr>
              <w:pStyle w:val="P68B1DB1-Normal7"/>
              <w:spacing w:before="0" w:after="0" w:line="240" w:lineRule="auto"/>
              <w:rPr>
                <w:rFonts w:eastAsia="Times New Roman"/>
                <w:noProof/>
              </w:rPr>
            </w:pPr>
            <w:r>
              <w:rPr>
                <w:noProof/>
              </w:rPr>
              <w:t>700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6989418" w14:textId="67C83050" w:rsidR="003B6BD9" w:rsidRDefault="009E25E8">
            <w:pPr>
              <w:pStyle w:val="P68B1DB1-Normal7"/>
              <w:spacing w:before="0" w:after="0" w:line="240" w:lineRule="auto"/>
              <w:rPr>
                <w:rFonts w:eastAsia="Times New Roman"/>
                <w:noProof/>
              </w:rPr>
            </w:pPr>
            <w:r>
              <w:rPr>
                <w:noProof/>
              </w:rPr>
              <w:t>T4</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16763177" w14:textId="05F26746" w:rsidR="003B6BD9" w:rsidRDefault="009E25E8">
            <w:pPr>
              <w:pStyle w:val="P68B1DB1-Normal7"/>
              <w:spacing w:before="0" w:after="0" w:line="240" w:lineRule="auto"/>
              <w:rPr>
                <w:rFonts w:eastAsia="Times New Roman"/>
                <w:noProof/>
              </w:rPr>
            </w:pPr>
            <w:r>
              <w:rPr>
                <w:noProof/>
              </w:rPr>
              <w:t>2022</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4F54666A" w14:textId="318B3307" w:rsidR="003B6BD9" w:rsidRDefault="009E25E8">
            <w:pPr>
              <w:pStyle w:val="P68B1DB1-Normal7"/>
              <w:spacing w:before="0" w:after="0" w:line="240" w:lineRule="auto"/>
              <w:rPr>
                <w:rFonts w:eastAsia="Times New Roman"/>
                <w:noProof/>
              </w:rPr>
            </w:pPr>
            <w:r>
              <w:rPr>
                <w:noProof/>
              </w:rPr>
              <w:t>Nombre de jeunes jusqu’à l’âge de 29 ans inclus occupant un emploi subventionné sur la base d’un contrat à durée indéterminée. Les subventions sont accordées pour une durée maximale de 18 mois par emploi. Les employeurs veillent à ce qu’un mentor soutienne le jeune. Chaque jeune et son tuteur suivent au moins 30 heures de formation, en mettant l’accent sur l’amélioration des compétences numériques, au cours de la période de subvention.</w:t>
            </w:r>
          </w:p>
        </w:tc>
      </w:tr>
      <w:tr w:rsidR="003B6BD9" w14:paraId="0BDBAFD9"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18D91AEA" w14:textId="4F4C2471" w:rsidR="003B6BD9" w:rsidRDefault="009E25E8">
            <w:pPr>
              <w:pStyle w:val="P68B1DB1-Normal7"/>
              <w:spacing w:before="0" w:after="0" w:line="240" w:lineRule="auto"/>
              <w:rPr>
                <w:rFonts w:eastAsia="Times New Roman"/>
                <w:noProof/>
              </w:rPr>
            </w:pPr>
            <w:r>
              <w:rPr>
                <w:noProof/>
              </w:rPr>
              <w:t>145</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5BEA3848" w14:textId="371EE788" w:rsidR="003B6BD9" w:rsidRDefault="009E25E8">
            <w:pPr>
              <w:pStyle w:val="P68B1DB1-Normal7"/>
              <w:spacing w:before="0" w:after="0" w:line="240" w:lineRule="auto"/>
              <w:rPr>
                <w:rFonts w:eastAsia="Times New Roman"/>
                <w:noProof/>
              </w:rPr>
            </w:pPr>
            <w:r>
              <w:rPr>
                <w:noProof/>
              </w:rPr>
              <w:t>D: Accélérer l’entrée des jeunes sur le marché du travail</w:t>
            </w:r>
          </w:p>
        </w:tc>
        <w:tc>
          <w:tcPr>
            <w:tcW w:w="1080" w:type="dxa"/>
            <w:tcBorders>
              <w:top w:val="single" w:sz="4" w:space="0" w:color="auto"/>
              <w:left w:val="single" w:sz="4" w:space="0" w:color="auto"/>
              <w:bottom w:val="single" w:sz="4" w:space="0" w:color="auto"/>
              <w:right w:val="single" w:sz="4" w:space="0" w:color="auto"/>
            </w:tcBorders>
            <w:shd w:val="clear" w:color="auto" w:fill="C6EFCE"/>
            <w:noWrap/>
          </w:tcPr>
          <w:p w14:paraId="437E019D" w14:textId="37A51623" w:rsidR="003B6BD9" w:rsidRDefault="009E25E8">
            <w:pPr>
              <w:pStyle w:val="P68B1DB1-Normal7"/>
              <w:spacing w:before="0" w:after="0" w:line="240" w:lineRule="auto"/>
              <w:rPr>
                <w:rFonts w:eastAsia="Times New Roman"/>
                <w:noProof/>
              </w:rPr>
            </w:pPr>
            <w:r>
              <w:rPr>
                <w:noProof/>
              </w:rPr>
              <w:t>Cible</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5410CD9C" w14:textId="3A0DE0EF" w:rsidR="003B6BD9" w:rsidRDefault="009E25E8">
            <w:pPr>
              <w:pStyle w:val="P68B1DB1-Normal10"/>
              <w:spacing w:before="0" w:after="0" w:line="240" w:lineRule="auto"/>
              <w:rPr>
                <w:rFonts w:eastAsia="Times New Roman"/>
                <w:noProof/>
                <w:color w:val="006100"/>
              </w:rPr>
            </w:pPr>
            <w:r>
              <w:rPr>
                <w:noProof/>
                <w:color w:val="006100"/>
              </w:rPr>
              <w:t>Incitations financières pour les employeurs à embaucher des jeunes sous contrat à durée indéterminée.</w:t>
            </w:r>
            <w:r>
              <w:rPr>
                <w:noProof/>
              </w:rPr>
              <w:t xml:space="preserve"> </w:t>
            </w:r>
          </w:p>
        </w:tc>
        <w:tc>
          <w:tcPr>
            <w:tcW w:w="2234" w:type="dxa"/>
            <w:tcBorders>
              <w:top w:val="single" w:sz="4" w:space="0" w:color="auto"/>
              <w:left w:val="single" w:sz="4" w:space="0" w:color="auto"/>
              <w:bottom w:val="single" w:sz="4" w:space="0" w:color="auto"/>
              <w:right w:val="single" w:sz="4" w:space="0" w:color="auto"/>
            </w:tcBorders>
            <w:shd w:val="clear" w:color="auto" w:fill="C6EFCE"/>
            <w:noWrap/>
          </w:tcPr>
          <w:p w14:paraId="23ACB0E4" w14:textId="1A9A28D9" w:rsidR="003B6BD9" w:rsidRDefault="009E25E8">
            <w:pPr>
              <w:pStyle w:val="P68B1DB1-Normal7"/>
              <w:spacing w:before="0" w:after="0" w:line="240" w:lineRule="auto"/>
              <w:rPr>
                <w:rFonts w:eastAsia="Times New Roman"/>
                <w:noProof/>
              </w:rPr>
            </w:pPr>
            <w:r>
              <w:rPr>
                <w:noProof/>
              </w:rPr>
              <w:t> </w:t>
            </w:r>
          </w:p>
        </w:tc>
        <w:tc>
          <w:tcPr>
            <w:tcW w:w="1078" w:type="dxa"/>
            <w:tcBorders>
              <w:top w:val="single" w:sz="4" w:space="0" w:color="auto"/>
              <w:left w:val="single" w:sz="4" w:space="0" w:color="auto"/>
              <w:bottom w:val="single" w:sz="4" w:space="0" w:color="auto"/>
              <w:right w:val="single" w:sz="4" w:space="0" w:color="auto"/>
            </w:tcBorders>
            <w:shd w:val="clear" w:color="auto" w:fill="C6EFCE"/>
            <w:noWrap/>
          </w:tcPr>
          <w:p w14:paraId="330ADECA" w14:textId="271DD73D" w:rsidR="003B6BD9" w:rsidRDefault="009E25E8">
            <w:pPr>
              <w:pStyle w:val="P68B1DB1-Normal7"/>
              <w:spacing w:before="0" w:after="0" w:line="240" w:lineRule="auto"/>
              <w:rPr>
                <w:rFonts w:eastAsia="Times New Roman"/>
                <w:noProof/>
              </w:rPr>
            </w:pPr>
            <w:r>
              <w:rPr>
                <w:noProof/>
              </w:rPr>
              <w:t>Nombre</w:t>
            </w:r>
          </w:p>
        </w:tc>
        <w:tc>
          <w:tcPr>
            <w:tcW w:w="1068" w:type="dxa"/>
            <w:tcBorders>
              <w:top w:val="single" w:sz="4" w:space="0" w:color="auto"/>
              <w:left w:val="single" w:sz="4" w:space="0" w:color="auto"/>
              <w:bottom w:val="single" w:sz="4" w:space="0" w:color="auto"/>
              <w:right w:val="single" w:sz="4" w:space="0" w:color="auto"/>
            </w:tcBorders>
            <w:shd w:val="clear" w:color="auto" w:fill="C6EFCE"/>
            <w:noWrap/>
          </w:tcPr>
          <w:p w14:paraId="4311BB8E" w14:textId="44316AAF" w:rsidR="003B6BD9" w:rsidRDefault="009E25E8">
            <w:pPr>
              <w:pStyle w:val="P68B1DB1-Normal7"/>
              <w:spacing w:before="0" w:after="0" w:line="240" w:lineRule="auto"/>
              <w:rPr>
                <w:rFonts w:eastAsia="Times New Roman"/>
                <w:noProof/>
              </w:rPr>
            </w:pPr>
            <w:r>
              <w:rPr>
                <w:noProof/>
              </w:rPr>
              <w:t>700</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1A551E11" w14:textId="4EB18793" w:rsidR="003B6BD9" w:rsidRDefault="009E25E8">
            <w:pPr>
              <w:pStyle w:val="P68B1DB1-Normal7"/>
              <w:spacing w:before="0" w:after="0" w:line="240" w:lineRule="auto"/>
              <w:rPr>
                <w:rFonts w:eastAsia="Times New Roman"/>
                <w:noProof/>
              </w:rPr>
            </w:pPr>
            <w:r>
              <w:rPr>
                <w:noProof/>
              </w:rPr>
              <w:t>1 950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E6F1FBB" w14:textId="7E549330" w:rsidR="003B6BD9" w:rsidRDefault="009E25E8">
            <w:pPr>
              <w:pStyle w:val="P68B1DB1-Normal7"/>
              <w:spacing w:before="0" w:after="0" w:line="240" w:lineRule="auto"/>
              <w:rPr>
                <w:rFonts w:eastAsia="Times New Roman"/>
                <w:noProof/>
              </w:rPr>
            </w:pPr>
            <w:r>
              <w:rPr>
                <w:noProof/>
              </w:rPr>
              <w:t>T4</w:t>
            </w:r>
          </w:p>
        </w:tc>
        <w:tc>
          <w:tcPr>
            <w:tcW w:w="840" w:type="dxa"/>
            <w:tcBorders>
              <w:top w:val="single" w:sz="4" w:space="0" w:color="auto"/>
              <w:left w:val="single" w:sz="4" w:space="0" w:color="auto"/>
              <w:bottom w:val="single" w:sz="4" w:space="0" w:color="auto"/>
              <w:right w:val="single" w:sz="4" w:space="0" w:color="auto"/>
            </w:tcBorders>
            <w:shd w:val="clear" w:color="auto" w:fill="C6EFCE"/>
            <w:noWrap/>
          </w:tcPr>
          <w:p w14:paraId="1821338F" w14:textId="0D9F871C" w:rsidR="003B6BD9" w:rsidRDefault="009E25E8">
            <w:pPr>
              <w:pStyle w:val="P68B1DB1-Normal7"/>
              <w:spacing w:before="0" w:after="0" w:line="240" w:lineRule="auto"/>
              <w:rPr>
                <w:rFonts w:eastAsia="Times New Roman"/>
                <w:noProof/>
              </w:rPr>
            </w:pPr>
            <w:r>
              <w:rPr>
                <w:noProof/>
              </w:rPr>
              <w:t>2024</w:t>
            </w:r>
          </w:p>
        </w:tc>
        <w:tc>
          <w:tcPr>
            <w:tcW w:w="3005" w:type="dxa"/>
            <w:tcBorders>
              <w:top w:val="single" w:sz="4" w:space="0" w:color="auto"/>
              <w:left w:val="single" w:sz="4" w:space="0" w:color="auto"/>
              <w:bottom w:val="single" w:sz="4" w:space="0" w:color="auto"/>
              <w:right w:val="single" w:sz="4" w:space="0" w:color="auto"/>
            </w:tcBorders>
            <w:shd w:val="clear" w:color="auto" w:fill="C6EFCE"/>
            <w:noWrap/>
          </w:tcPr>
          <w:p w14:paraId="4CC3BAA2" w14:textId="1E125790" w:rsidR="003B6BD9" w:rsidRDefault="009E25E8">
            <w:pPr>
              <w:pStyle w:val="P68B1DB1-Normal7"/>
              <w:spacing w:before="0" w:after="0" w:line="240" w:lineRule="auto"/>
              <w:rPr>
                <w:noProof/>
              </w:rPr>
            </w:pPr>
            <w:r>
              <w:rPr>
                <w:noProof/>
              </w:rPr>
              <w:t>Nombre de jeunes âgés de 29 ans ou moins ayant signé des contrats de travail à durée indéterminée avec des employeurs, qui ont bénéficié de subventions d’une durée de 18 mois pour leur emploi.</w:t>
            </w:r>
          </w:p>
        </w:tc>
      </w:tr>
    </w:tbl>
    <w:p w14:paraId="1F454007" w14:textId="77777777" w:rsidR="003B6BD9" w:rsidRDefault="003B6BD9">
      <w:pPr>
        <w:spacing w:line="240" w:lineRule="auto"/>
        <w:ind w:left="850"/>
        <w:jc w:val="both"/>
        <w:rPr>
          <w:b/>
          <w:noProof/>
          <w:u w:val="single"/>
        </w:rPr>
      </w:pPr>
    </w:p>
    <w:p w14:paraId="03079AF7" w14:textId="77777777" w:rsidR="003B6BD9" w:rsidRDefault="003B6BD9">
      <w:pPr>
        <w:spacing w:line="240" w:lineRule="auto"/>
        <w:ind w:left="709"/>
        <w:jc w:val="both"/>
        <w:rPr>
          <w:noProof/>
          <w:szCs w:val="24"/>
        </w:rPr>
        <w:sectPr w:rsidR="003B6BD9" w:rsidSect="00073927">
          <w:headerReference w:type="even" r:id="rId176"/>
          <w:headerReference w:type="default" r:id="rId177"/>
          <w:footerReference w:type="even" r:id="rId178"/>
          <w:footerReference w:type="default" r:id="rId179"/>
          <w:headerReference w:type="first" r:id="rId180"/>
          <w:footerReference w:type="first" r:id="rId181"/>
          <w:pgSz w:w="16839" w:h="11907" w:orient="landscape"/>
          <w:pgMar w:top="1134" w:right="1134" w:bottom="1134" w:left="1134" w:header="567" w:footer="567" w:gutter="0"/>
          <w:cols w:space="720"/>
          <w:docGrid w:linePitch="360"/>
        </w:sectPr>
      </w:pPr>
    </w:p>
    <w:p w14:paraId="55D0B891" w14:textId="77777777" w:rsidR="003B6BD9" w:rsidRDefault="009E25E8">
      <w:pPr>
        <w:pStyle w:val="P68B1DB1-Normal3"/>
        <w:keepNext/>
        <w:tabs>
          <w:tab w:val="left" w:pos="850"/>
        </w:tabs>
        <w:spacing w:line="240" w:lineRule="auto"/>
        <w:jc w:val="both"/>
        <w:outlineLvl w:val="0"/>
        <w:rPr>
          <w:noProof/>
        </w:rPr>
      </w:pPr>
      <w:r>
        <w:rPr>
          <w:noProof/>
        </w:rPr>
        <w:t>K. COMPOSANTE 11: DÉVELOPPEMENT DURABLE DU TOURISME SLOVÈNE, Y COMPRIS LE PATRIMOINE CULTUREL</w:t>
      </w:r>
    </w:p>
    <w:p w14:paraId="43456D6B" w14:textId="77777777" w:rsidR="003B6BD9" w:rsidRDefault="009E25E8">
      <w:pPr>
        <w:spacing w:line="259" w:lineRule="auto"/>
        <w:jc w:val="both"/>
        <w:rPr>
          <w:rFonts w:eastAsia="Times New Roman"/>
          <w:noProof/>
        </w:rPr>
      </w:pPr>
      <w:r>
        <w:rPr>
          <w:noProof/>
        </w:rPr>
        <w:t>Ce volet du plan slovène pour la reprise et la résilience vise à remédier aux graves répercussions de la pandémie de COVID-19 sur le secteur du tourisme et sur l’emploi, la durabilité environnementale, la qualité et la valeur ajoutée des infrastructures touristiques slovènes, ainsi que le développement du patrimoine culturel.</w:t>
      </w:r>
    </w:p>
    <w:p w14:paraId="59836B13" w14:textId="6E604764" w:rsidR="003B6BD9" w:rsidRDefault="009E25E8">
      <w:pPr>
        <w:spacing w:line="259" w:lineRule="auto"/>
        <w:jc w:val="both"/>
        <w:rPr>
          <w:rFonts w:eastAsia="Times New Roman"/>
          <w:noProof/>
        </w:rPr>
      </w:pPr>
      <w:r>
        <w:rPr>
          <w:noProof/>
        </w:rPr>
        <w:t xml:space="preserve">Les objectifs de ce volet sont de soutenir le développement durable du tourisme et d’améliorer le positionnement international de la Slovénie en tant que destination de premier plan dans le domaine de la durabilité environnementale et d’accroître la valeur ajoutée du secteur au moyen de mesures axées sur l’amélioration des infrastructures publiques ainsi que sur la mise en valeur et la promotion du patrimoine culturel. </w:t>
      </w:r>
    </w:p>
    <w:p w14:paraId="21AFA380" w14:textId="77777777" w:rsidR="003B6BD9" w:rsidRDefault="009E25E8">
      <w:pPr>
        <w:spacing w:line="240" w:lineRule="auto"/>
        <w:jc w:val="both"/>
        <w:rPr>
          <w:noProof/>
        </w:rPr>
      </w:pPr>
      <w:r>
        <w:rPr>
          <w:noProof/>
        </w:rPr>
        <w:t>Ces investissements et réformes répondent aux recommandations par pays adressées à la Slovénie en 2020 visant à «fournir des liquidités et des financements aux entreprises et aux ménages [...] à accélérer les projets d’investissement public parvenus à maturité et à promouvoir les investissements privés pour soutenir la reprise économique» et à «concentrer les investissements sur la transition écologique et numérique» (recommandations par pays 3 et 2020).</w:t>
      </w:r>
    </w:p>
    <w:p w14:paraId="6A20390B" w14:textId="30F2ABF6" w:rsidR="003B6BD9" w:rsidRDefault="009E25E8">
      <w:pPr>
        <w:spacing w:line="240" w:lineRule="auto"/>
        <w:jc w:val="both"/>
        <w:rPr>
          <w:noProof/>
        </w:rPr>
      </w:pPr>
      <w:r>
        <w:rPr>
          <w:noProof/>
        </w:rPr>
        <w:t xml:space="preserve">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 </w:t>
      </w:r>
    </w:p>
    <w:p w14:paraId="71394923" w14:textId="735334D7" w:rsidR="003B6BD9" w:rsidRDefault="009E25E8">
      <w:pPr>
        <w:pStyle w:val="P68B1DB1-Normal4"/>
        <w:spacing w:line="240" w:lineRule="auto"/>
        <w:jc w:val="both"/>
        <w:rPr>
          <w:noProof/>
        </w:rPr>
      </w:pPr>
      <w:r>
        <w:rPr>
          <w:noProof/>
        </w:rPr>
        <w:t>K.1. Description des réformes et des investissements pour le soutien financier non remboursable</w:t>
      </w:r>
    </w:p>
    <w:p w14:paraId="3DB7C45E" w14:textId="77777777" w:rsidR="003B6BD9" w:rsidRDefault="009E25E8">
      <w:pPr>
        <w:pStyle w:val="P68B1DB1-Normal5"/>
        <w:spacing w:line="240" w:lineRule="auto"/>
        <w:jc w:val="both"/>
        <w:rPr>
          <w:noProof/>
        </w:rPr>
      </w:pPr>
      <w:r>
        <w:rPr>
          <w:noProof/>
        </w:rPr>
        <w:t>Réforme A: Renforcer le développement durable du tourisme</w:t>
      </w:r>
    </w:p>
    <w:p w14:paraId="4DF51F57" w14:textId="02EB3BD6" w:rsidR="003B6BD9" w:rsidRDefault="009E25E8">
      <w:pPr>
        <w:spacing w:line="240" w:lineRule="auto"/>
        <w:jc w:val="both"/>
        <w:rPr>
          <w:noProof/>
        </w:rPr>
      </w:pPr>
      <w:r>
        <w:rPr>
          <w:noProof/>
        </w:rPr>
        <w:t>L’objectif de la réforme est de contribuer au tourisme durable en Slovénie.</w:t>
      </w:r>
    </w:p>
    <w:p w14:paraId="4FC03A99" w14:textId="070DEBE5" w:rsidR="003B6BD9" w:rsidRDefault="009E25E8">
      <w:pPr>
        <w:spacing w:line="240" w:lineRule="auto"/>
        <w:jc w:val="both"/>
        <w:rPr>
          <w:noProof/>
        </w:rPr>
      </w:pPr>
      <w:r>
        <w:rPr>
          <w:noProof/>
        </w:rPr>
        <w:t xml:space="preserve">La réforme consiste en l’entrée en vigueur d’un décret sur les incitations au développement du tourisme et le déploiement d’un outil analytique, qui comprend la visualisation de données clés sur les indicateurs du tourisme. </w:t>
      </w:r>
    </w:p>
    <w:p w14:paraId="19202AF9" w14:textId="77777777" w:rsidR="003B6BD9" w:rsidRDefault="009E25E8">
      <w:pPr>
        <w:pStyle w:val="P68B1DB1-Normal5"/>
        <w:spacing w:line="240" w:lineRule="auto"/>
        <w:jc w:val="both"/>
        <w:rPr>
          <w:noProof/>
        </w:rPr>
      </w:pPr>
      <w:r>
        <w:rPr>
          <w:noProof/>
        </w:rPr>
        <w:t>Investissement B: Le développement durable des offres d’hébergement touristique pour accroître la valeur ajoutée du tourisme</w:t>
      </w:r>
    </w:p>
    <w:p w14:paraId="021D5260" w14:textId="77777777" w:rsidR="003B6BD9" w:rsidRDefault="009E25E8">
      <w:pPr>
        <w:spacing w:line="240" w:lineRule="auto"/>
        <w:jc w:val="both"/>
        <w:rPr>
          <w:rFonts w:eastAsia="Times New Roman"/>
          <w:noProof/>
        </w:rPr>
      </w:pPr>
      <w:r>
        <w:rPr>
          <w:noProof/>
        </w:rPr>
        <w:t>L’objectif de cet investissement est de soutenir le tourisme durable en améliorant la durabilité de l’hébergement touristique.</w:t>
      </w:r>
    </w:p>
    <w:p w14:paraId="39EDDE07" w14:textId="296DE10D" w:rsidR="003B6BD9" w:rsidRDefault="009E25E8">
      <w:pPr>
        <w:spacing w:line="240" w:lineRule="auto"/>
        <w:jc w:val="both"/>
        <w:rPr>
          <w:rFonts w:eastAsia="Times New Roman"/>
          <w:noProof/>
        </w:rPr>
      </w:pPr>
      <w:r>
        <w:rPr>
          <w:noProof/>
        </w:rPr>
        <w:t xml:space="preserve">L’investissement </w:t>
      </w:r>
      <w:bookmarkStart w:id="12" w:name="_Hlk142556746"/>
      <w:r>
        <w:rPr>
          <w:noProof/>
        </w:rPr>
        <w:t>consiste en la rénovation, la reconstruction ou la construction d’hébergements touristiques.</w:t>
      </w:r>
      <w:bookmarkEnd w:id="12"/>
    </w:p>
    <w:p w14:paraId="3ADB69EE" w14:textId="77777777" w:rsidR="003B6BD9" w:rsidRDefault="009E25E8">
      <w:pPr>
        <w:pStyle w:val="P68B1DB1-Normal5"/>
        <w:spacing w:line="240" w:lineRule="auto"/>
        <w:jc w:val="both"/>
        <w:rPr>
          <w:noProof/>
        </w:rPr>
      </w:pPr>
      <w:r>
        <w:rPr>
          <w:noProof/>
        </w:rPr>
        <w:t>Investissement C: Développement durable d’infrastructures touristiques publiques et partagées et d’attractions naturelles dans les destinations touristiques</w:t>
      </w:r>
    </w:p>
    <w:p w14:paraId="0E7BAF73" w14:textId="179A7CE6" w:rsidR="003B6BD9" w:rsidRDefault="009E25E8">
      <w:pPr>
        <w:spacing w:line="240" w:lineRule="auto"/>
        <w:jc w:val="both"/>
        <w:rPr>
          <w:rFonts w:eastAsia="Times New Roman"/>
          <w:noProof/>
        </w:rPr>
      </w:pPr>
      <w:r>
        <w:rPr>
          <w:noProof/>
        </w:rPr>
        <w:t>L’objectif de cet investissement est de soutenir le tourisme durable au moyen d’infrastructures touristiques publiques.</w:t>
      </w:r>
    </w:p>
    <w:p w14:paraId="3A06760A" w14:textId="7374425A" w:rsidR="003B6BD9" w:rsidRDefault="009E25E8">
      <w:pPr>
        <w:spacing w:line="240" w:lineRule="auto"/>
        <w:jc w:val="both"/>
        <w:rPr>
          <w:rFonts w:eastAsia="Times New Roman"/>
          <w:noProof/>
        </w:rPr>
      </w:pPr>
      <w:r>
        <w:rPr>
          <w:noProof/>
        </w:rPr>
        <w:t>L’investissement consiste en la construction ou la reconstruction d’infrastructures touristiques publiques.</w:t>
      </w:r>
    </w:p>
    <w:p w14:paraId="6FC462BA" w14:textId="77777777" w:rsidR="003B6BD9" w:rsidRDefault="009E25E8">
      <w:pPr>
        <w:pStyle w:val="P68B1DB1-Normal5"/>
        <w:spacing w:line="240" w:lineRule="auto"/>
        <w:jc w:val="both"/>
        <w:rPr>
          <w:noProof/>
        </w:rPr>
      </w:pPr>
      <w:r>
        <w:rPr>
          <w:noProof/>
        </w:rPr>
        <w:t xml:space="preserve">Investissement D: Restauration et revitalisation durables du patrimoine culturel et des infrastructures culturelles publiques </w:t>
      </w:r>
    </w:p>
    <w:p w14:paraId="5C0C7DD1" w14:textId="19273F1A" w:rsidR="003B6BD9" w:rsidRDefault="009E25E8">
      <w:pPr>
        <w:spacing w:line="240" w:lineRule="auto"/>
        <w:jc w:val="both"/>
        <w:rPr>
          <w:rFonts w:eastAsia="Times New Roman"/>
          <w:noProof/>
        </w:rPr>
      </w:pPr>
      <w:r>
        <w:rPr>
          <w:noProof/>
        </w:rPr>
        <w:t>L’objectif de cet investissement est de soutenir le tourisme durable par la revitalisation du patrimoine culturel ou des infrastructures culturelles publiques.</w:t>
      </w:r>
    </w:p>
    <w:p w14:paraId="6643ABB1" w14:textId="1C4EE14E" w:rsidR="003B6BD9" w:rsidRDefault="009E25E8">
      <w:pPr>
        <w:spacing w:line="240" w:lineRule="auto"/>
        <w:jc w:val="both"/>
        <w:rPr>
          <w:rFonts w:eastAsia="Times New Roman"/>
          <w:noProof/>
        </w:rPr>
      </w:pPr>
      <w:r>
        <w:rPr>
          <w:noProof/>
        </w:rPr>
        <w:t>L’investissement consiste en un soutien à la rénovation, à la restauration, à la revitalisation ou à la modernisation de sites du patrimoine culturel public.</w:t>
      </w:r>
    </w:p>
    <w:p w14:paraId="281FA14F" w14:textId="77777777" w:rsidR="003B6BD9" w:rsidRDefault="009E25E8">
      <w:pPr>
        <w:spacing w:line="259" w:lineRule="auto"/>
        <w:jc w:val="both"/>
        <w:rPr>
          <w:noProof/>
        </w:rPr>
        <w:sectPr w:rsidR="003B6BD9" w:rsidSect="00073927">
          <w:headerReference w:type="even" r:id="rId182"/>
          <w:headerReference w:type="default" r:id="rId183"/>
          <w:footerReference w:type="even" r:id="rId184"/>
          <w:footerReference w:type="default" r:id="rId185"/>
          <w:headerReference w:type="first" r:id="rId186"/>
          <w:footerReference w:type="first" r:id="rId187"/>
          <w:pgSz w:w="11907" w:h="16839"/>
          <w:pgMar w:top="1134" w:right="1134" w:bottom="1134" w:left="1134" w:header="567" w:footer="567" w:gutter="0"/>
          <w:cols w:space="720"/>
          <w:docGrid w:linePitch="360"/>
        </w:sectPr>
      </w:pPr>
      <w:r>
        <w:rPr>
          <w:noProof/>
        </w:rPr>
        <w:t xml:space="preserve"> </w:t>
      </w:r>
    </w:p>
    <w:p w14:paraId="05D186C5" w14:textId="2DA79FD3" w:rsidR="003B6BD9" w:rsidRDefault="009E25E8">
      <w:pPr>
        <w:pStyle w:val="P68B1DB1-Normal4"/>
        <w:spacing w:line="240" w:lineRule="auto"/>
        <w:ind w:left="850"/>
        <w:jc w:val="both"/>
        <w:rPr>
          <w:noProof/>
        </w:rPr>
      </w:pPr>
      <w:r>
        <w:rPr>
          <w:noProof/>
        </w:rPr>
        <w:t xml:space="preserve">K.2. </w:t>
      </w:r>
      <w:r>
        <w:rPr>
          <w:noProof/>
        </w:rPr>
        <w:tab/>
        <w:t>Jalons, cibles, indicateurs et calendrier de suivi et de mise en œuvre pour le soutien financier non remboursable</w:t>
      </w:r>
    </w:p>
    <w:tbl>
      <w:tblPr>
        <w:tblW w:w="14561" w:type="dxa"/>
        <w:jc w:val="center"/>
        <w:tblLook w:val="04A0" w:firstRow="1" w:lastRow="0" w:firstColumn="1" w:lastColumn="0" w:noHBand="0" w:noVBand="1"/>
      </w:tblPr>
      <w:tblGrid>
        <w:gridCol w:w="950"/>
        <w:gridCol w:w="1581"/>
        <w:gridCol w:w="1288"/>
        <w:gridCol w:w="1469"/>
        <w:gridCol w:w="2124"/>
        <w:gridCol w:w="853"/>
        <w:gridCol w:w="936"/>
        <w:gridCol w:w="580"/>
        <w:gridCol w:w="986"/>
        <w:gridCol w:w="709"/>
        <w:gridCol w:w="3085"/>
      </w:tblGrid>
      <w:tr w:rsidR="003B6BD9" w14:paraId="4EFCE884" w14:textId="77777777" w:rsidTr="006C1AFD">
        <w:trPr>
          <w:trHeight w:val="314"/>
          <w:tblHeader/>
          <w:jc w:val="center"/>
        </w:trPr>
        <w:tc>
          <w:tcPr>
            <w:tcW w:w="9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51D0DA1" w14:textId="1CB7B119" w:rsidR="003B6BD9" w:rsidRDefault="009E25E8">
            <w:pPr>
              <w:pStyle w:val="P68B1DB1-Normal6"/>
              <w:spacing w:before="0" w:after="0" w:line="240" w:lineRule="auto"/>
              <w:jc w:val="center"/>
              <w:rPr>
                <w:rFonts w:eastAsia="Times New Roman"/>
                <w:noProof/>
              </w:rPr>
            </w:pPr>
            <w:r>
              <w:rPr>
                <w:noProof/>
              </w:rPr>
              <w:t xml:space="preserve">Et suivants Non. </w:t>
            </w:r>
          </w:p>
        </w:tc>
        <w:tc>
          <w:tcPr>
            <w:tcW w:w="158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6A097D5" w14:textId="77777777" w:rsidR="003B6BD9" w:rsidRDefault="009E25E8">
            <w:pPr>
              <w:pStyle w:val="P68B1DB1-Normal6"/>
              <w:spacing w:before="0" w:after="0" w:line="240" w:lineRule="auto"/>
              <w:jc w:val="center"/>
              <w:rPr>
                <w:rFonts w:eastAsia="Times New Roman"/>
                <w:noProof/>
              </w:rPr>
            </w:pPr>
            <w:r>
              <w:rPr>
                <w:noProof/>
              </w:rPr>
              <w:t>Mesure connexe (réforme ou investissement)</w:t>
            </w:r>
          </w:p>
        </w:tc>
        <w:tc>
          <w:tcPr>
            <w:tcW w:w="12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9ED7EA7" w14:textId="66402498" w:rsidR="003B6BD9" w:rsidRDefault="009E25E8">
            <w:pPr>
              <w:pStyle w:val="P68B1DB1-Normal6"/>
              <w:spacing w:before="0" w:after="0" w:line="240" w:lineRule="auto"/>
              <w:jc w:val="center"/>
              <w:rPr>
                <w:rFonts w:eastAsia="Times New Roman"/>
                <w:noProof/>
              </w:rPr>
            </w:pPr>
            <w:r>
              <w:rPr>
                <w:noProof/>
              </w:rPr>
              <w:t>Étape/</w:t>
            </w:r>
            <w:r w:rsidR="006C1AFD">
              <w:rPr>
                <w:noProof/>
              </w:rPr>
              <w:br/>
            </w:r>
            <w:r>
              <w:rPr>
                <w:noProof/>
              </w:rPr>
              <w:t>Objectif</w:t>
            </w:r>
          </w:p>
        </w:tc>
        <w:tc>
          <w:tcPr>
            <w:tcW w:w="14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208FF5" w14:textId="77777777" w:rsidR="003B6BD9" w:rsidRDefault="009E25E8">
            <w:pPr>
              <w:pStyle w:val="P68B1DB1-Normal6"/>
              <w:spacing w:before="0" w:after="0" w:line="240" w:lineRule="auto"/>
              <w:jc w:val="center"/>
              <w:rPr>
                <w:rFonts w:eastAsia="Times New Roman"/>
                <w:noProof/>
              </w:rPr>
            </w:pPr>
            <w:r>
              <w:rPr>
                <w:noProof/>
              </w:rPr>
              <w:t>Nom</w:t>
            </w:r>
          </w:p>
        </w:tc>
        <w:tc>
          <w:tcPr>
            <w:tcW w:w="21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73F61D3" w14:textId="3274A56C" w:rsidR="003B6BD9" w:rsidRDefault="009E25E8">
            <w:pPr>
              <w:pStyle w:val="P68B1DB1-Normal6"/>
              <w:spacing w:before="0" w:after="0" w:line="240" w:lineRule="auto"/>
              <w:jc w:val="center"/>
              <w:rPr>
                <w:rFonts w:eastAsia="Times New Roman"/>
                <w:noProof/>
              </w:rPr>
            </w:pPr>
            <w:r>
              <w:rPr>
                <w:noProof/>
              </w:rPr>
              <w:t>Indicateurs qualitatifs (pour les jalons)</w:t>
            </w:r>
          </w:p>
        </w:tc>
        <w:tc>
          <w:tcPr>
            <w:tcW w:w="236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598C1DB" w14:textId="189DD07E" w:rsidR="003B6BD9" w:rsidRDefault="009E25E8">
            <w:pPr>
              <w:pStyle w:val="P68B1DB1-Normal6"/>
              <w:spacing w:before="0" w:after="0" w:line="240" w:lineRule="auto"/>
              <w:jc w:val="center"/>
              <w:rPr>
                <w:rFonts w:eastAsia="Times New Roman"/>
                <w:noProof/>
              </w:rPr>
            </w:pPr>
            <w:r>
              <w:rPr>
                <w:noProof/>
              </w:rPr>
              <w:t>Indicateurs quantitatifs (pour les cibles)</w:t>
            </w:r>
          </w:p>
        </w:tc>
        <w:tc>
          <w:tcPr>
            <w:tcW w:w="1694" w:type="dxa"/>
            <w:gridSpan w:val="2"/>
            <w:tcBorders>
              <w:top w:val="single" w:sz="4" w:space="0" w:color="auto"/>
              <w:left w:val="nil"/>
              <w:bottom w:val="single" w:sz="4" w:space="0" w:color="auto"/>
              <w:right w:val="single" w:sz="4" w:space="0" w:color="auto"/>
            </w:tcBorders>
            <w:shd w:val="clear" w:color="auto" w:fill="BDD7EE"/>
            <w:vAlign w:val="center"/>
            <w:hideMark/>
          </w:tcPr>
          <w:p w14:paraId="4051BF1B" w14:textId="77777777" w:rsidR="003B6BD9" w:rsidRDefault="009E25E8">
            <w:pPr>
              <w:pStyle w:val="P68B1DB1-Normal6"/>
              <w:spacing w:before="0" w:after="0" w:line="240" w:lineRule="auto"/>
              <w:jc w:val="center"/>
              <w:rPr>
                <w:rFonts w:eastAsia="Times New Roman"/>
                <w:noProof/>
              </w:rPr>
            </w:pPr>
            <w:r>
              <w:rPr>
                <w:noProof/>
              </w:rPr>
              <w:t xml:space="preserve">Calendrier indicatif pour l’achèvement </w:t>
            </w:r>
          </w:p>
        </w:tc>
        <w:tc>
          <w:tcPr>
            <w:tcW w:w="30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1D52C4" w14:textId="77777777" w:rsidR="003B6BD9" w:rsidRDefault="009E25E8">
            <w:pPr>
              <w:pStyle w:val="P68B1DB1-Normal6"/>
              <w:spacing w:before="0" w:after="0" w:line="240" w:lineRule="auto"/>
              <w:jc w:val="center"/>
              <w:rPr>
                <w:rFonts w:eastAsia="Times New Roman"/>
                <w:noProof/>
              </w:rPr>
            </w:pPr>
            <w:r>
              <w:rPr>
                <w:noProof/>
              </w:rPr>
              <w:t>Description de chaque jalon et cible</w:t>
            </w:r>
          </w:p>
        </w:tc>
      </w:tr>
      <w:tr w:rsidR="006C1AFD" w14:paraId="5414C61C" w14:textId="77777777" w:rsidTr="006C1AFD">
        <w:trPr>
          <w:trHeight w:val="314"/>
          <w:tblHeader/>
          <w:jc w:val="center"/>
        </w:trPr>
        <w:tc>
          <w:tcPr>
            <w:tcW w:w="951" w:type="dxa"/>
            <w:vMerge/>
            <w:tcBorders>
              <w:top w:val="single" w:sz="4" w:space="0" w:color="auto"/>
              <w:left w:val="single" w:sz="4" w:space="0" w:color="auto"/>
              <w:bottom w:val="single" w:sz="4" w:space="0" w:color="auto"/>
              <w:right w:val="single" w:sz="4" w:space="0" w:color="auto"/>
            </w:tcBorders>
            <w:vAlign w:val="center"/>
            <w:hideMark/>
          </w:tcPr>
          <w:p w14:paraId="5770FC73" w14:textId="77777777" w:rsidR="003B6BD9" w:rsidRDefault="003B6BD9">
            <w:pPr>
              <w:spacing w:before="0" w:after="0" w:line="240" w:lineRule="auto"/>
              <w:rPr>
                <w:rFonts w:eastAsia="Times New Roman"/>
                <w:b/>
                <w:noProof/>
                <w:sz w:val="18"/>
                <w:szCs w:val="18"/>
              </w:rPr>
            </w:pPr>
          </w:p>
        </w:tc>
        <w:tc>
          <w:tcPr>
            <w:tcW w:w="1581" w:type="dxa"/>
            <w:vMerge/>
            <w:tcBorders>
              <w:top w:val="single" w:sz="4" w:space="0" w:color="auto"/>
              <w:left w:val="single" w:sz="4" w:space="0" w:color="auto"/>
              <w:bottom w:val="single" w:sz="4" w:space="0" w:color="auto"/>
              <w:right w:val="single" w:sz="4" w:space="0" w:color="auto"/>
            </w:tcBorders>
            <w:vAlign w:val="center"/>
            <w:hideMark/>
          </w:tcPr>
          <w:p w14:paraId="2491A238" w14:textId="77777777" w:rsidR="003B6BD9" w:rsidRDefault="003B6BD9">
            <w:pPr>
              <w:spacing w:before="0" w:after="0" w:line="240" w:lineRule="auto"/>
              <w:rPr>
                <w:rFonts w:eastAsia="Times New Roman"/>
                <w:b/>
                <w:noProof/>
                <w:sz w:val="18"/>
                <w:szCs w:val="18"/>
              </w:rPr>
            </w:pPr>
          </w:p>
        </w:tc>
        <w:tc>
          <w:tcPr>
            <w:tcW w:w="1288" w:type="dxa"/>
            <w:vMerge/>
            <w:tcBorders>
              <w:top w:val="single" w:sz="4" w:space="0" w:color="auto"/>
              <w:left w:val="single" w:sz="4" w:space="0" w:color="auto"/>
              <w:bottom w:val="single" w:sz="4" w:space="0" w:color="auto"/>
              <w:right w:val="single" w:sz="4" w:space="0" w:color="auto"/>
            </w:tcBorders>
            <w:vAlign w:val="center"/>
            <w:hideMark/>
          </w:tcPr>
          <w:p w14:paraId="0208FB0A" w14:textId="77777777" w:rsidR="003B6BD9" w:rsidRDefault="003B6BD9">
            <w:pPr>
              <w:spacing w:before="0" w:after="0" w:line="240" w:lineRule="auto"/>
              <w:rPr>
                <w:rFonts w:eastAsia="Times New Roman"/>
                <w:b/>
                <w:noProof/>
                <w:sz w:val="18"/>
                <w:szCs w:val="18"/>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14:paraId="2D93670E" w14:textId="77777777" w:rsidR="003B6BD9" w:rsidRDefault="003B6BD9">
            <w:pPr>
              <w:spacing w:before="0" w:after="0" w:line="240" w:lineRule="auto"/>
              <w:rPr>
                <w:rFonts w:eastAsia="Times New Roman"/>
                <w:b/>
                <w:noProof/>
                <w:sz w:val="18"/>
                <w:szCs w:val="18"/>
              </w:rPr>
            </w:pP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0AE55550" w14:textId="77777777" w:rsidR="003B6BD9" w:rsidRDefault="003B6BD9">
            <w:pPr>
              <w:spacing w:before="0" w:after="0" w:line="240" w:lineRule="auto"/>
              <w:rPr>
                <w:rFonts w:eastAsia="Times New Roman"/>
                <w:b/>
                <w:noProof/>
                <w:sz w:val="18"/>
                <w:szCs w:val="18"/>
              </w:rPr>
            </w:pPr>
          </w:p>
        </w:tc>
        <w:tc>
          <w:tcPr>
            <w:tcW w:w="85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B06A4A6" w14:textId="77777777" w:rsidR="003B6BD9" w:rsidRDefault="009E25E8">
            <w:pPr>
              <w:pStyle w:val="P68B1DB1-Normal6"/>
              <w:spacing w:before="0" w:after="0" w:line="240" w:lineRule="auto"/>
              <w:jc w:val="center"/>
              <w:rPr>
                <w:rFonts w:eastAsia="Times New Roman"/>
                <w:noProof/>
              </w:rPr>
            </w:pPr>
            <w:r>
              <w:rPr>
                <w:noProof/>
              </w:rPr>
              <w:t>Unité de mesure</w:t>
            </w:r>
          </w:p>
        </w:tc>
        <w:tc>
          <w:tcPr>
            <w:tcW w:w="93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8E72BD3" w14:textId="77777777" w:rsidR="003B6BD9" w:rsidRDefault="009E25E8">
            <w:pPr>
              <w:pStyle w:val="P68B1DB1-Normal6"/>
              <w:spacing w:before="0" w:after="0" w:line="240" w:lineRule="auto"/>
              <w:jc w:val="center"/>
              <w:rPr>
                <w:rFonts w:eastAsia="Times New Roman"/>
                <w:noProof/>
              </w:rPr>
            </w:pPr>
            <w:r>
              <w:rPr>
                <w:noProof/>
              </w:rPr>
              <w:t xml:space="preserve">Niveau de référence </w:t>
            </w:r>
          </w:p>
        </w:tc>
        <w:tc>
          <w:tcPr>
            <w:tcW w:w="5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7892E59" w14:textId="77777777" w:rsidR="003B6BD9" w:rsidRDefault="009E25E8">
            <w:pPr>
              <w:pStyle w:val="P68B1DB1-Normal6"/>
              <w:spacing w:before="0" w:after="0" w:line="240" w:lineRule="auto"/>
              <w:jc w:val="center"/>
              <w:rPr>
                <w:rFonts w:eastAsia="Times New Roman"/>
                <w:noProof/>
              </w:rPr>
            </w:pPr>
            <w:r>
              <w:rPr>
                <w:noProof/>
              </w:rPr>
              <w:t xml:space="preserve">But </w:t>
            </w:r>
          </w:p>
        </w:tc>
        <w:tc>
          <w:tcPr>
            <w:tcW w:w="9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4C3C700" w14:textId="77777777" w:rsidR="003B6BD9" w:rsidRDefault="009E25E8">
            <w:pPr>
              <w:pStyle w:val="P68B1DB1-Normal6"/>
              <w:spacing w:before="0" w:after="0" w:line="240" w:lineRule="auto"/>
              <w:jc w:val="center"/>
              <w:rPr>
                <w:rFonts w:eastAsia="Times New Roman"/>
                <w:noProof/>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5B62D74" w14:textId="77777777" w:rsidR="003B6BD9" w:rsidRDefault="009E25E8">
            <w:pPr>
              <w:pStyle w:val="P68B1DB1-Normal6"/>
              <w:spacing w:before="0" w:after="0" w:line="240" w:lineRule="auto"/>
              <w:jc w:val="center"/>
              <w:rPr>
                <w:rFonts w:eastAsia="Times New Roman"/>
                <w:noProof/>
              </w:rPr>
            </w:pPr>
            <w:r>
              <w:rPr>
                <w:noProof/>
              </w:rPr>
              <w:t>Année</w:t>
            </w:r>
          </w:p>
        </w:tc>
        <w:tc>
          <w:tcPr>
            <w:tcW w:w="3085" w:type="dxa"/>
            <w:vMerge/>
            <w:tcBorders>
              <w:top w:val="single" w:sz="4" w:space="0" w:color="auto"/>
              <w:bottom w:val="single" w:sz="4" w:space="0" w:color="auto"/>
              <w:right w:val="single" w:sz="4" w:space="0" w:color="auto"/>
            </w:tcBorders>
            <w:vAlign w:val="center"/>
            <w:hideMark/>
          </w:tcPr>
          <w:p w14:paraId="48FAAEE8" w14:textId="77777777" w:rsidR="003B6BD9" w:rsidRDefault="003B6BD9">
            <w:pPr>
              <w:spacing w:before="0" w:after="0" w:line="240" w:lineRule="auto"/>
              <w:rPr>
                <w:rFonts w:eastAsia="Times New Roman"/>
                <w:b/>
                <w:noProof/>
                <w:sz w:val="18"/>
                <w:szCs w:val="18"/>
              </w:rPr>
            </w:pPr>
          </w:p>
        </w:tc>
      </w:tr>
      <w:tr w:rsidR="006C1AFD" w14:paraId="2063440B" w14:textId="77777777" w:rsidTr="006C1AFD">
        <w:trPr>
          <w:trHeight w:val="314"/>
          <w:jc w:val="center"/>
        </w:trPr>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3C00F31E" w14:textId="5A8A83EA" w:rsidR="003B6BD9" w:rsidRDefault="009E25E8">
            <w:pPr>
              <w:pStyle w:val="P68B1DB1-Normal7"/>
              <w:spacing w:before="0" w:after="0" w:line="240" w:lineRule="auto"/>
              <w:rPr>
                <w:rFonts w:eastAsia="Times New Roman"/>
                <w:noProof/>
              </w:rPr>
            </w:pPr>
            <w:r>
              <w:rPr>
                <w:noProof/>
              </w:rPr>
              <w:t>148</w:t>
            </w:r>
          </w:p>
        </w:tc>
        <w:tc>
          <w:tcPr>
            <w:tcW w:w="1581" w:type="dxa"/>
            <w:tcBorders>
              <w:top w:val="single" w:sz="4" w:space="0" w:color="auto"/>
              <w:left w:val="nil"/>
              <w:bottom w:val="single" w:sz="4" w:space="0" w:color="auto"/>
              <w:right w:val="single" w:sz="4" w:space="0" w:color="auto"/>
            </w:tcBorders>
            <w:shd w:val="clear" w:color="auto" w:fill="C6EFCE"/>
            <w:noWrap/>
          </w:tcPr>
          <w:p w14:paraId="0B7BA2AA" w14:textId="77777777" w:rsidR="003B6BD9" w:rsidRDefault="009E25E8">
            <w:pPr>
              <w:pStyle w:val="P68B1DB1-Normal7"/>
              <w:spacing w:before="0" w:after="0" w:line="240" w:lineRule="auto"/>
              <w:rPr>
                <w:rFonts w:eastAsia="Times New Roman"/>
                <w:noProof/>
              </w:rPr>
            </w:pPr>
            <w:r>
              <w:rPr>
                <w:noProof/>
              </w:rPr>
              <w:t>A: Renforcer le développement durable du tourisme</w:t>
            </w:r>
          </w:p>
        </w:tc>
        <w:tc>
          <w:tcPr>
            <w:tcW w:w="1288" w:type="dxa"/>
            <w:tcBorders>
              <w:top w:val="single" w:sz="4" w:space="0" w:color="auto"/>
              <w:left w:val="nil"/>
              <w:bottom w:val="single" w:sz="4" w:space="0" w:color="auto"/>
              <w:right w:val="single" w:sz="4" w:space="0" w:color="auto"/>
            </w:tcBorders>
            <w:shd w:val="clear" w:color="auto" w:fill="C6EFCE"/>
            <w:noWrap/>
          </w:tcPr>
          <w:p w14:paraId="211C024A" w14:textId="77777777" w:rsidR="003B6BD9" w:rsidRDefault="009E25E8">
            <w:pPr>
              <w:pStyle w:val="P68B1DB1-Normal7"/>
              <w:spacing w:before="0" w:after="0" w:line="240" w:lineRule="auto"/>
              <w:rPr>
                <w:rFonts w:eastAsia="Times New Roman"/>
                <w:noProof/>
              </w:rPr>
            </w:pPr>
            <w:r>
              <w:rPr>
                <w:noProof/>
              </w:rPr>
              <w:t>Jalon</w:t>
            </w:r>
          </w:p>
        </w:tc>
        <w:tc>
          <w:tcPr>
            <w:tcW w:w="1469" w:type="dxa"/>
            <w:tcBorders>
              <w:top w:val="single" w:sz="4" w:space="0" w:color="auto"/>
              <w:left w:val="nil"/>
              <w:bottom w:val="single" w:sz="4" w:space="0" w:color="auto"/>
              <w:right w:val="single" w:sz="4" w:space="0" w:color="auto"/>
            </w:tcBorders>
            <w:shd w:val="clear" w:color="auto" w:fill="C6EFCE"/>
            <w:noWrap/>
          </w:tcPr>
          <w:p w14:paraId="4A90A301" w14:textId="50E60A8E" w:rsidR="003B6BD9" w:rsidRDefault="009E25E8">
            <w:pPr>
              <w:pStyle w:val="P68B1DB1-Normal7"/>
              <w:spacing w:before="0" w:after="0" w:line="240" w:lineRule="auto"/>
              <w:rPr>
                <w:rFonts w:eastAsia="Times New Roman"/>
                <w:noProof/>
              </w:rPr>
            </w:pPr>
            <w:r>
              <w:rPr>
                <w:noProof/>
              </w:rPr>
              <w:t xml:space="preserve">Outil analytique pour les indicateurs du tourisme </w:t>
            </w:r>
          </w:p>
        </w:tc>
        <w:tc>
          <w:tcPr>
            <w:tcW w:w="2124" w:type="dxa"/>
            <w:tcBorders>
              <w:top w:val="single" w:sz="4" w:space="0" w:color="auto"/>
              <w:left w:val="nil"/>
              <w:bottom w:val="single" w:sz="4" w:space="0" w:color="auto"/>
              <w:right w:val="single" w:sz="4" w:space="0" w:color="auto"/>
            </w:tcBorders>
            <w:shd w:val="clear" w:color="auto" w:fill="C6EFCE"/>
            <w:noWrap/>
          </w:tcPr>
          <w:p w14:paraId="29CA3A33" w14:textId="7A8E6133" w:rsidR="003B6BD9" w:rsidRDefault="009E25E8">
            <w:pPr>
              <w:pStyle w:val="P68B1DB1-Normal7"/>
              <w:spacing w:before="0" w:after="0" w:line="240" w:lineRule="auto"/>
              <w:rPr>
                <w:rFonts w:eastAsia="Times New Roman"/>
                <w:noProof/>
              </w:rPr>
            </w:pPr>
            <w:r>
              <w:rPr>
                <w:noProof/>
              </w:rPr>
              <w:t>Un</w:t>
            </w:r>
            <w:r>
              <w:rPr>
                <w:rFonts w:eastAsia="Times New Roman"/>
                <w:noProof/>
              </w:rPr>
              <w:t xml:space="preserve"> outil nalytique pour mesurer les indicateurs du tourisme</w:t>
            </w:r>
          </w:p>
        </w:tc>
        <w:tc>
          <w:tcPr>
            <w:tcW w:w="853" w:type="dxa"/>
            <w:tcBorders>
              <w:top w:val="single" w:sz="4" w:space="0" w:color="auto"/>
              <w:left w:val="nil"/>
              <w:bottom w:val="single" w:sz="4" w:space="0" w:color="auto"/>
              <w:right w:val="single" w:sz="4" w:space="0" w:color="auto"/>
            </w:tcBorders>
            <w:shd w:val="clear" w:color="auto" w:fill="C6EFCE"/>
            <w:noWrap/>
          </w:tcPr>
          <w:p w14:paraId="4E279264" w14:textId="4333D36B" w:rsidR="003B6BD9" w:rsidRDefault="009E25E8">
            <w:pPr>
              <w:pStyle w:val="P68B1DB1-Normal7"/>
              <w:spacing w:before="0" w:after="0" w:line="240" w:lineRule="auto"/>
              <w:rPr>
                <w:rFonts w:eastAsia="Times New Roman"/>
                <w:noProof/>
              </w:rPr>
            </w:pPr>
            <w:r>
              <w:rPr>
                <w:noProof/>
              </w:rPr>
              <w:t> </w:t>
            </w:r>
          </w:p>
        </w:tc>
        <w:tc>
          <w:tcPr>
            <w:tcW w:w="936" w:type="dxa"/>
            <w:tcBorders>
              <w:top w:val="single" w:sz="4" w:space="0" w:color="auto"/>
              <w:left w:val="nil"/>
              <w:bottom w:val="single" w:sz="4" w:space="0" w:color="auto"/>
              <w:right w:val="single" w:sz="4" w:space="0" w:color="auto"/>
            </w:tcBorders>
            <w:shd w:val="clear" w:color="auto" w:fill="C6EFCE"/>
            <w:noWrap/>
          </w:tcPr>
          <w:p w14:paraId="5F27D454" w14:textId="36428D4F" w:rsidR="003B6BD9" w:rsidRDefault="009E25E8">
            <w:pPr>
              <w:pStyle w:val="P68B1DB1-Normal7"/>
              <w:spacing w:before="0" w:after="0" w:line="240" w:lineRule="auto"/>
              <w:jc w:val="right"/>
              <w:rPr>
                <w:rFonts w:eastAsia="Times New Roman"/>
                <w:noProof/>
              </w:rPr>
            </w:pPr>
            <w:r>
              <w:rPr>
                <w:noProof/>
              </w:rPr>
              <w:t> </w:t>
            </w:r>
          </w:p>
        </w:tc>
        <w:tc>
          <w:tcPr>
            <w:tcW w:w="580" w:type="dxa"/>
            <w:tcBorders>
              <w:top w:val="single" w:sz="4" w:space="0" w:color="auto"/>
              <w:left w:val="nil"/>
              <w:bottom w:val="single" w:sz="4" w:space="0" w:color="auto"/>
              <w:right w:val="single" w:sz="4" w:space="0" w:color="auto"/>
            </w:tcBorders>
            <w:shd w:val="clear" w:color="auto" w:fill="C6EFCE"/>
            <w:noWrap/>
          </w:tcPr>
          <w:p w14:paraId="160977BB" w14:textId="3233D695" w:rsidR="003B6BD9" w:rsidRDefault="009E25E8">
            <w:pPr>
              <w:pStyle w:val="P68B1DB1-Normal7"/>
              <w:spacing w:before="0" w:after="0" w:line="240" w:lineRule="auto"/>
              <w:jc w:val="right"/>
              <w:rPr>
                <w:rFonts w:eastAsia="Times New Roman"/>
                <w:noProof/>
              </w:rPr>
            </w:pPr>
            <w:r>
              <w:rPr>
                <w:noProof/>
              </w:rPr>
              <w:t> </w:t>
            </w:r>
          </w:p>
        </w:tc>
        <w:tc>
          <w:tcPr>
            <w:tcW w:w="985" w:type="dxa"/>
            <w:tcBorders>
              <w:top w:val="single" w:sz="4" w:space="0" w:color="auto"/>
              <w:left w:val="nil"/>
              <w:bottom w:val="single" w:sz="4" w:space="0" w:color="auto"/>
              <w:right w:val="single" w:sz="4" w:space="0" w:color="auto"/>
            </w:tcBorders>
            <w:shd w:val="clear" w:color="auto" w:fill="C6EFCE"/>
            <w:noWrap/>
          </w:tcPr>
          <w:p w14:paraId="0442F2EA" w14:textId="09BBE587" w:rsidR="003B6BD9" w:rsidRDefault="009E25E8">
            <w:pPr>
              <w:pStyle w:val="P68B1DB1-Normal7"/>
              <w:spacing w:before="0" w:after="0" w:line="240" w:lineRule="auto"/>
              <w:jc w:val="center"/>
              <w:rPr>
                <w:rFonts w:eastAsia="Times New Roman"/>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176DB468" w14:textId="086125E4" w:rsidR="003B6BD9" w:rsidRDefault="009E25E8">
            <w:pPr>
              <w:pStyle w:val="P68B1DB1-Normal7"/>
              <w:spacing w:before="0" w:after="0" w:line="240" w:lineRule="auto"/>
              <w:jc w:val="center"/>
              <w:rPr>
                <w:rFonts w:eastAsia="Times New Roman"/>
                <w:noProof/>
              </w:rPr>
            </w:pPr>
            <w:r>
              <w:rPr>
                <w:noProof/>
              </w:rPr>
              <w:t>2025</w:t>
            </w:r>
          </w:p>
        </w:tc>
        <w:tc>
          <w:tcPr>
            <w:tcW w:w="3085" w:type="dxa"/>
            <w:tcBorders>
              <w:top w:val="single" w:sz="4" w:space="0" w:color="auto"/>
              <w:left w:val="nil"/>
              <w:bottom w:val="single" w:sz="4" w:space="0" w:color="auto"/>
              <w:right w:val="single" w:sz="4" w:space="0" w:color="auto"/>
            </w:tcBorders>
            <w:shd w:val="clear" w:color="auto" w:fill="C6EFCE"/>
            <w:noWrap/>
          </w:tcPr>
          <w:p w14:paraId="5702C598" w14:textId="33178686" w:rsidR="003B6BD9" w:rsidRDefault="009E25E8">
            <w:pPr>
              <w:pStyle w:val="P68B1DB1-Normal8"/>
              <w:spacing w:before="0" w:after="0" w:line="240" w:lineRule="auto"/>
              <w:rPr>
                <w:noProof/>
              </w:rPr>
            </w:pPr>
            <w:r>
              <w:rPr>
                <w:noProof/>
              </w:rPr>
              <w:t>Un outil d’analyse est utilisé pour mesurer les indicateurs du tourisme et fournir une vue d’ensemble des données du programme vert pour le tourisme slovène.</w:t>
            </w:r>
          </w:p>
        </w:tc>
      </w:tr>
      <w:tr w:rsidR="006C1AFD" w14:paraId="04AC903C" w14:textId="77777777" w:rsidTr="006C1AFD">
        <w:trPr>
          <w:trHeight w:val="314"/>
          <w:jc w:val="center"/>
        </w:trPr>
        <w:tc>
          <w:tcPr>
            <w:tcW w:w="951" w:type="dxa"/>
            <w:tcBorders>
              <w:top w:val="nil"/>
              <w:left w:val="single" w:sz="4" w:space="0" w:color="auto"/>
              <w:bottom w:val="single" w:sz="4" w:space="0" w:color="auto"/>
              <w:right w:val="single" w:sz="4" w:space="0" w:color="auto"/>
            </w:tcBorders>
            <w:shd w:val="clear" w:color="auto" w:fill="C6EFCE"/>
            <w:noWrap/>
            <w:hideMark/>
          </w:tcPr>
          <w:p w14:paraId="1B361C16" w14:textId="77777777" w:rsidR="003B6BD9" w:rsidRDefault="009E25E8">
            <w:pPr>
              <w:pStyle w:val="P68B1DB1-Normal7"/>
              <w:spacing w:before="0" w:after="0" w:line="240" w:lineRule="auto"/>
              <w:rPr>
                <w:rFonts w:eastAsia="Times New Roman"/>
                <w:noProof/>
              </w:rPr>
            </w:pPr>
            <w:r>
              <w:rPr>
                <w:noProof/>
              </w:rPr>
              <w:t>149</w:t>
            </w:r>
          </w:p>
        </w:tc>
        <w:tc>
          <w:tcPr>
            <w:tcW w:w="1581" w:type="dxa"/>
            <w:tcBorders>
              <w:top w:val="nil"/>
              <w:left w:val="nil"/>
              <w:bottom w:val="single" w:sz="4" w:space="0" w:color="auto"/>
              <w:right w:val="single" w:sz="4" w:space="0" w:color="auto"/>
            </w:tcBorders>
            <w:shd w:val="clear" w:color="auto" w:fill="C6EFCE"/>
            <w:noWrap/>
            <w:hideMark/>
          </w:tcPr>
          <w:p w14:paraId="05E0336A" w14:textId="77777777" w:rsidR="003B6BD9" w:rsidRDefault="009E25E8">
            <w:pPr>
              <w:pStyle w:val="P68B1DB1-Normal7"/>
              <w:spacing w:before="0" w:after="0" w:line="240" w:lineRule="auto"/>
              <w:rPr>
                <w:rFonts w:eastAsia="Times New Roman"/>
                <w:noProof/>
              </w:rPr>
            </w:pPr>
            <w:r>
              <w:rPr>
                <w:noProof/>
              </w:rPr>
              <w:t>A: Renforcer le développement durable du tourisme</w:t>
            </w:r>
          </w:p>
        </w:tc>
        <w:tc>
          <w:tcPr>
            <w:tcW w:w="1288" w:type="dxa"/>
            <w:tcBorders>
              <w:top w:val="nil"/>
              <w:left w:val="nil"/>
              <w:bottom w:val="single" w:sz="4" w:space="0" w:color="auto"/>
              <w:right w:val="single" w:sz="4" w:space="0" w:color="auto"/>
            </w:tcBorders>
            <w:shd w:val="clear" w:color="auto" w:fill="C6EFCE"/>
            <w:noWrap/>
            <w:hideMark/>
          </w:tcPr>
          <w:p w14:paraId="05211E90" w14:textId="77777777" w:rsidR="003B6BD9" w:rsidRDefault="009E25E8">
            <w:pPr>
              <w:pStyle w:val="P68B1DB1-Normal7"/>
              <w:spacing w:before="0" w:after="0" w:line="240" w:lineRule="auto"/>
              <w:rPr>
                <w:rFonts w:eastAsia="Times New Roman"/>
                <w:noProof/>
              </w:rPr>
            </w:pPr>
            <w:r>
              <w:rPr>
                <w:noProof/>
              </w:rPr>
              <w:t>Jalon</w:t>
            </w:r>
          </w:p>
        </w:tc>
        <w:tc>
          <w:tcPr>
            <w:tcW w:w="1469" w:type="dxa"/>
            <w:tcBorders>
              <w:top w:val="nil"/>
              <w:left w:val="nil"/>
              <w:bottom w:val="single" w:sz="4" w:space="0" w:color="auto"/>
              <w:right w:val="single" w:sz="4" w:space="0" w:color="auto"/>
            </w:tcBorders>
            <w:shd w:val="clear" w:color="auto" w:fill="C6EFCE"/>
            <w:noWrap/>
          </w:tcPr>
          <w:p w14:paraId="629E1E80" w14:textId="77777777" w:rsidR="003B6BD9" w:rsidRDefault="009E25E8">
            <w:pPr>
              <w:pStyle w:val="P68B1DB1-Normal7"/>
              <w:spacing w:before="0" w:after="0" w:line="240" w:lineRule="auto"/>
              <w:rPr>
                <w:rFonts w:eastAsia="Times New Roman"/>
                <w:noProof/>
              </w:rPr>
            </w:pPr>
            <w:r>
              <w:rPr>
                <w:noProof/>
              </w:rPr>
              <w:t xml:space="preserve">Entrée en vigueur d’un décret sur les incitations au développement pour le tourisme </w:t>
            </w:r>
          </w:p>
        </w:tc>
        <w:tc>
          <w:tcPr>
            <w:tcW w:w="2124" w:type="dxa"/>
            <w:tcBorders>
              <w:top w:val="nil"/>
              <w:left w:val="nil"/>
              <w:bottom w:val="single" w:sz="4" w:space="0" w:color="auto"/>
              <w:right w:val="single" w:sz="4" w:space="0" w:color="auto"/>
            </w:tcBorders>
            <w:shd w:val="clear" w:color="auto" w:fill="C6EFCE"/>
            <w:noWrap/>
            <w:hideMark/>
          </w:tcPr>
          <w:p w14:paraId="67050A6F" w14:textId="77777777" w:rsidR="003B6BD9" w:rsidRDefault="009E25E8">
            <w:pPr>
              <w:pStyle w:val="P68B1DB1-Normal7"/>
              <w:spacing w:before="0" w:after="0" w:line="240" w:lineRule="auto"/>
              <w:rPr>
                <w:rFonts w:eastAsia="Times New Roman"/>
                <w:noProof/>
              </w:rPr>
            </w:pPr>
            <w:r>
              <w:rPr>
                <w:noProof/>
              </w:rPr>
              <w:t>Disposition du décret indiquant l’entrée en vigueur d’un décret sur les incitations au développement pour le tourisme après adoption par le gouvernement.</w:t>
            </w:r>
          </w:p>
        </w:tc>
        <w:tc>
          <w:tcPr>
            <w:tcW w:w="853" w:type="dxa"/>
            <w:tcBorders>
              <w:top w:val="nil"/>
              <w:left w:val="nil"/>
              <w:bottom w:val="single" w:sz="4" w:space="0" w:color="auto"/>
              <w:right w:val="single" w:sz="4" w:space="0" w:color="auto"/>
            </w:tcBorders>
            <w:shd w:val="clear" w:color="auto" w:fill="C6EFCE"/>
            <w:noWrap/>
            <w:hideMark/>
          </w:tcPr>
          <w:p w14:paraId="476E40C8" w14:textId="77777777" w:rsidR="003B6BD9" w:rsidRDefault="009E25E8">
            <w:pPr>
              <w:pStyle w:val="P68B1DB1-Normal7"/>
              <w:spacing w:before="0" w:after="0" w:line="240" w:lineRule="auto"/>
              <w:rPr>
                <w:rFonts w:eastAsia="Times New Roman"/>
                <w:noProof/>
              </w:rPr>
            </w:pPr>
            <w:r>
              <w:rPr>
                <w:noProof/>
              </w:rPr>
              <w:t> </w:t>
            </w:r>
          </w:p>
        </w:tc>
        <w:tc>
          <w:tcPr>
            <w:tcW w:w="936" w:type="dxa"/>
            <w:tcBorders>
              <w:top w:val="nil"/>
              <w:left w:val="nil"/>
              <w:bottom w:val="single" w:sz="4" w:space="0" w:color="auto"/>
              <w:right w:val="single" w:sz="4" w:space="0" w:color="auto"/>
            </w:tcBorders>
            <w:shd w:val="clear" w:color="auto" w:fill="C6EFCE"/>
            <w:noWrap/>
            <w:hideMark/>
          </w:tcPr>
          <w:p w14:paraId="6BB8072E" w14:textId="77777777" w:rsidR="003B6BD9" w:rsidRDefault="009E25E8">
            <w:pPr>
              <w:pStyle w:val="P68B1DB1-Normal7"/>
              <w:spacing w:before="0" w:after="0" w:line="240" w:lineRule="auto"/>
              <w:jc w:val="right"/>
              <w:rPr>
                <w:rFonts w:eastAsia="Times New Roman"/>
                <w:noProof/>
              </w:rPr>
            </w:pPr>
            <w:r>
              <w:rPr>
                <w:noProof/>
              </w:rPr>
              <w:t> </w:t>
            </w:r>
          </w:p>
        </w:tc>
        <w:tc>
          <w:tcPr>
            <w:tcW w:w="580" w:type="dxa"/>
            <w:tcBorders>
              <w:top w:val="nil"/>
              <w:left w:val="nil"/>
              <w:bottom w:val="single" w:sz="4" w:space="0" w:color="auto"/>
              <w:right w:val="single" w:sz="4" w:space="0" w:color="auto"/>
            </w:tcBorders>
            <w:shd w:val="clear" w:color="auto" w:fill="C6EFCE"/>
            <w:noWrap/>
            <w:hideMark/>
          </w:tcPr>
          <w:p w14:paraId="0DF85757" w14:textId="77777777" w:rsidR="003B6BD9" w:rsidRDefault="009E25E8">
            <w:pPr>
              <w:pStyle w:val="P68B1DB1-Normal7"/>
              <w:spacing w:before="0" w:after="0" w:line="240" w:lineRule="auto"/>
              <w:jc w:val="right"/>
              <w:rPr>
                <w:rFonts w:eastAsia="Times New Roman"/>
                <w:noProof/>
              </w:rPr>
            </w:pPr>
            <w:r>
              <w:rPr>
                <w:noProof/>
              </w:rPr>
              <w:t> </w:t>
            </w:r>
          </w:p>
        </w:tc>
        <w:tc>
          <w:tcPr>
            <w:tcW w:w="985" w:type="dxa"/>
            <w:tcBorders>
              <w:top w:val="nil"/>
              <w:left w:val="nil"/>
              <w:bottom w:val="single" w:sz="4" w:space="0" w:color="auto"/>
              <w:right w:val="single" w:sz="4" w:space="0" w:color="auto"/>
            </w:tcBorders>
            <w:shd w:val="clear" w:color="auto" w:fill="C6EFCE"/>
            <w:noWrap/>
            <w:hideMark/>
          </w:tcPr>
          <w:p w14:paraId="0B3B602D" w14:textId="77777777" w:rsidR="003B6BD9" w:rsidRDefault="009E25E8">
            <w:pPr>
              <w:pStyle w:val="P68B1DB1-Normal7"/>
              <w:spacing w:before="0" w:after="0" w:line="240" w:lineRule="auto"/>
              <w:jc w:val="center"/>
              <w:rPr>
                <w:rFonts w:eastAsia="Times New Roman"/>
                <w:noProof/>
              </w:rPr>
            </w:pPr>
            <w:r>
              <w:rPr>
                <w:noProof/>
              </w:rPr>
              <w:t>T4</w:t>
            </w:r>
          </w:p>
        </w:tc>
        <w:tc>
          <w:tcPr>
            <w:tcW w:w="709" w:type="dxa"/>
            <w:tcBorders>
              <w:top w:val="nil"/>
              <w:left w:val="nil"/>
              <w:bottom w:val="single" w:sz="4" w:space="0" w:color="auto"/>
              <w:right w:val="single" w:sz="4" w:space="0" w:color="auto"/>
            </w:tcBorders>
            <w:shd w:val="clear" w:color="auto" w:fill="C6EFCE"/>
            <w:noWrap/>
            <w:hideMark/>
          </w:tcPr>
          <w:p w14:paraId="7FE56154" w14:textId="77777777" w:rsidR="003B6BD9" w:rsidRDefault="009E25E8">
            <w:pPr>
              <w:pStyle w:val="P68B1DB1-Normal7"/>
              <w:spacing w:before="0" w:after="0" w:line="240" w:lineRule="auto"/>
              <w:jc w:val="center"/>
              <w:rPr>
                <w:rFonts w:eastAsia="Times New Roman"/>
                <w:noProof/>
              </w:rPr>
            </w:pPr>
            <w:r>
              <w:rPr>
                <w:noProof/>
              </w:rPr>
              <w:t>2021</w:t>
            </w:r>
          </w:p>
        </w:tc>
        <w:tc>
          <w:tcPr>
            <w:tcW w:w="3085" w:type="dxa"/>
            <w:tcBorders>
              <w:top w:val="nil"/>
              <w:left w:val="nil"/>
              <w:bottom w:val="single" w:sz="4" w:space="0" w:color="auto"/>
              <w:right w:val="single" w:sz="4" w:space="0" w:color="auto"/>
            </w:tcBorders>
            <w:shd w:val="clear" w:color="auto" w:fill="C6EFCE"/>
            <w:noWrap/>
            <w:hideMark/>
          </w:tcPr>
          <w:p w14:paraId="1DD3E28E" w14:textId="77777777" w:rsidR="003B6BD9" w:rsidRDefault="009E25E8">
            <w:pPr>
              <w:pStyle w:val="P68B1DB1-Normal7"/>
              <w:spacing w:before="0" w:after="0" w:line="240" w:lineRule="auto"/>
              <w:rPr>
                <w:rFonts w:eastAsia="Times New Roman"/>
                <w:noProof/>
              </w:rPr>
            </w:pPr>
            <w:r>
              <w:rPr>
                <w:noProof/>
              </w:rPr>
              <w:t xml:space="preserve">Le décret précise les conditions et les critères d’octroi des incitations prévues par la loi sur la promotion du développement du tourisme. </w:t>
            </w:r>
          </w:p>
          <w:p w14:paraId="7D356690" w14:textId="6DF68E88" w:rsidR="003B6BD9" w:rsidRDefault="009E25E8">
            <w:pPr>
              <w:pStyle w:val="P68B1DB1-Normal7"/>
              <w:spacing w:before="0" w:after="0" w:line="240" w:lineRule="auto"/>
              <w:rPr>
                <w:rFonts w:eastAsia="Times New Roman"/>
                <w:noProof/>
              </w:rPr>
            </w:pPr>
            <w:r>
              <w:rPr>
                <w:noProof/>
              </w:rPr>
              <w:t>Le décret promeut la durabilité environnementale et inclut, parmi les exigences en matière de soutien, un certificat de performance énergétique d’au moins la classe B pour les rénovations de bâtiments, l’obtention d’au moins un label écologique international et, pour les bâtiments neufs, une demande d’énergie primaire inférieure d’au moins 20 % à l’exigence relative aux bâtiments dont la consommation d’énergie est quasi nulle.</w:t>
            </w:r>
          </w:p>
        </w:tc>
      </w:tr>
      <w:tr w:rsidR="006C1AFD" w14:paraId="1C101F48" w14:textId="77777777" w:rsidTr="006C1AFD">
        <w:trPr>
          <w:trHeight w:val="314"/>
          <w:jc w:val="center"/>
        </w:trPr>
        <w:tc>
          <w:tcPr>
            <w:tcW w:w="951" w:type="dxa"/>
            <w:tcBorders>
              <w:top w:val="nil"/>
              <w:left w:val="single" w:sz="4" w:space="0" w:color="auto"/>
              <w:bottom w:val="single" w:sz="4" w:space="0" w:color="auto"/>
              <w:right w:val="single" w:sz="4" w:space="0" w:color="auto"/>
            </w:tcBorders>
            <w:shd w:val="clear" w:color="auto" w:fill="C6EFCE"/>
            <w:noWrap/>
            <w:hideMark/>
          </w:tcPr>
          <w:p w14:paraId="6B261341" w14:textId="77777777" w:rsidR="003B6BD9" w:rsidRDefault="009E25E8">
            <w:pPr>
              <w:pStyle w:val="P68B1DB1-Normal7"/>
              <w:spacing w:before="0" w:after="0" w:line="240" w:lineRule="auto"/>
              <w:rPr>
                <w:rFonts w:eastAsia="Times New Roman"/>
                <w:noProof/>
              </w:rPr>
            </w:pPr>
            <w:r>
              <w:rPr>
                <w:noProof/>
              </w:rPr>
              <w:t>150</w:t>
            </w:r>
          </w:p>
        </w:tc>
        <w:tc>
          <w:tcPr>
            <w:tcW w:w="1581" w:type="dxa"/>
            <w:tcBorders>
              <w:top w:val="nil"/>
              <w:left w:val="nil"/>
              <w:bottom w:val="single" w:sz="4" w:space="0" w:color="auto"/>
              <w:right w:val="single" w:sz="4" w:space="0" w:color="auto"/>
            </w:tcBorders>
            <w:shd w:val="clear" w:color="auto" w:fill="C6EFCE"/>
            <w:noWrap/>
            <w:hideMark/>
          </w:tcPr>
          <w:p w14:paraId="2EBD8D11" w14:textId="77777777" w:rsidR="003B6BD9" w:rsidRDefault="009E25E8">
            <w:pPr>
              <w:pStyle w:val="P68B1DB1-Normal7"/>
              <w:spacing w:before="0" w:after="0" w:line="240" w:lineRule="auto"/>
              <w:rPr>
                <w:rFonts w:eastAsia="Times New Roman"/>
                <w:noProof/>
              </w:rPr>
            </w:pPr>
            <w:r>
              <w:rPr>
                <w:noProof/>
              </w:rPr>
              <w:t xml:space="preserve">B: Développement durable des offres d’hébergement touristique slovènes afin d’accroître la valeur ajoutée du tourisme </w:t>
            </w:r>
          </w:p>
        </w:tc>
        <w:tc>
          <w:tcPr>
            <w:tcW w:w="1288" w:type="dxa"/>
            <w:tcBorders>
              <w:top w:val="nil"/>
              <w:left w:val="nil"/>
              <w:bottom w:val="single" w:sz="4" w:space="0" w:color="auto"/>
              <w:right w:val="single" w:sz="4" w:space="0" w:color="auto"/>
            </w:tcBorders>
            <w:shd w:val="clear" w:color="auto" w:fill="C6EFCE"/>
            <w:noWrap/>
            <w:hideMark/>
          </w:tcPr>
          <w:p w14:paraId="38D980BF" w14:textId="77777777" w:rsidR="003B6BD9" w:rsidRDefault="009E25E8">
            <w:pPr>
              <w:pStyle w:val="P68B1DB1-Normal7"/>
              <w:spacing w:before="0" w:after="0" w:line="240" w:lineRule="auto"/>
              <w:rPr>
                <w:rFonts w:eastAsia="Times New Roman"/>
                <w:noProof/>
              </w:rPr>
            </w:pPr>
            <w:r>
              <w:rPr>
                <w:noProof/>
              </w:rPr>
              <w:t>Jalon</w:t>
            </w:r>
          </w:p>
        </w:tc>
        <w:tc>
          <w:tcPr>
            <w:tcW w:w="1469" w:type="dxa"/>
            <w:tcBorders>
              <w:top w:val="nil"/>
              <w:left w:val="nil"/>
              <w:bottom w:val="single" w:sz="4" w:space="0" w:color="auto"/>
              <w:right w:val="single" w:sz="4" w:space="0" w:color="auto"/>
            </w:tcBorders>
            <w:shd w:val="clear" w:color="auto" w:fill="C6EFCE"/>
            <w:noWrap/>
            <w:hideMark/>
          </w:tcPr>
          <w:p w14:paraId="53F53F30" w14:textId="68BBBCF4" w:rsidR="003B6BD9" w:rsidRDefault="009E25E8">
            <w:pPr>
              <w:pStyle w:val="P68B1DB1-Normal7"/>
              <w:spacing w:before="0" w:after="0" w:line="240" w:lineRule="auto"/>
              <w:rPr>
                <w:rFonts w:eastAsia="Times New Roman"/>
                <w:noProof/>
              </w:rPr>
            </w:pPr>
            <w:r>
              <w:rPr>
                <w:noProof/>
              </w:rPr>
              <w:t xml:space="preserve">Octroi de subventions pour l’amélioration de l’efficacité énergétique des hébergements touristiques </w:t>
            </w:r>
          </w:p>
        </w:tc>
        <w:tc>
          <w:tcPr>
            <w:tcW w:w="2124" w:type="dxa"/>
            <w:tcBorders>
              <w:top w:val="nil"/>
              <w:left w:val="nil"/>
              <w:bottom w:val="single" w:sz="4" w:space="0" w:color="auto"/>
              <w:right w:val="single" w:sz="4" w:space="0" w:color="auto"/>
            </w:tcBorders>
            <w:shd w:val="clear" w:color="auto" w:fill="C6EFCE"/>
            <w:noWrap/>
            <w:hideMark/>
          </w:tcPr>
          <w:p w14:paraId="0285E4C4" w14:textId="77777777" w:rsidR="003B6BD9" w:rsidRDefault="009E25E8">
            <w:pPr>
              <w:pStyle w:val="P68B1DB1-Normal7"/>
              <w:spacing w:before="0" w:after="0" w:line="240" w:lineRule="auto"/>
              <w:rPr>
                <w:rFonts w:eastAsia="Times New Roman"/>
                <w:noProof/>
              </w:rPr>
            </w:pPr>
            <w:r>
              <w:rPr>
                <w:noProof/>
              </w:rPr>
              <w:t>Communication des prix</w:t>
            </w:r>
          </w:p>
        </w:tc>
        <w:tc>
          <w:tcPr>
            <w:tcW w:w="853" w:type="dxa"/>
            <w:tcBorders>
              <w:top w:val="nil"/>
              <w:left w:val="nil"/>
              <w:bottom w:val="single" w:sz="4" w:space="0" w:color="auto"/>
              <w:right w:val="single" w:sz="4" w:space="0" w:color="auto"/>
            </w:tcBorders>
            <w:shd w:val="clear" w:color="auto" w:fill="C6EFCE"/>
            <w:noWrap/>
            <w:hideMark/>
          </w:tcPr>
          <w:p w14:paraId="65A5DBE3" w14:textId="77777777" w:rsidR="003B6BD9" w:rsidRDefault="009E25E8">
            <w:pPr>
              <w:pStyle w:val="P68B1DB1-Normal7"/>
              <w:spacing w:before="0" w:after="0" w:line="240" w:lineRule="auto"/>
              <w:rPr>
                <w:rFonts w:eastAsia="Times New Roman"/>
                <w:noProof/>
              </w:rPr>
            </w:pPr>
            <w:r>
              <w:rPr>
                <w:noProof/>
              </w:rPr>
              <w:t> </w:t>
            </w:r>
          </w:p>
        </w:tc>
        <w:tc>
          <w:tcPr>
            <w:tcW w:w="936" w:type="dxa"/>
            <w:tcBorders>
              <w:top w:val="nil"/>
              <w:left w:val="nil"/>
              <w:bottom w:val="single" w:sz="4" w:space="0" w:color="auto"/>
              <w:right w:val="single" w:sz="4" w:space="0" w:color="auto"/>
            </w:tcBorders>
            <w:shd w:val="clear" w:color="auto" w:fill="C6EFCE"/>
            <w:noWrap/>
            <w:hideMark/>
          </w:tcPr>
          <w:p w14:paraId="26F18583" w14:textId="77777777" w:rsidR="003B6BD9" w:rsidRDefault="009E25E8">
            <w:pPr>
              <w:pStyle w:val="P68B1DB1-Normal7"/>
              <w:spacing w:before="0" w:after="0" w:line="240" w:lineRule="auto"/>
              <w:rPr>
                <w:rFonts w:eastAsia="Times New Roman"/>
                <w:noProof/>
              </w:rPr>
            </w:pPr>
            <w:r>
              <w:rPr>
                <w:noProof/>
              </w:rPr>
              <w:t> </w:t>
            </w:r>
          </w:p>
        </w:tc>
        <w:tc>
          <w:tcPr>
            <w:tcW w:w="580" w:type="dxa"/>
            <w:tcBorders>
              <w:top w:val="nil"/>
              <w:left w:val="nil"/>
              <w:bottom w:val="single" w:sz="4" w:space="0" w:color="auto"/>
              <w:right w:val="single" w:sz="4" w:space="0" w:color="auto"/>
            </w:tcBorders>
            <w:shd w:val="clear" w:color="auto" w:fill="C6EFCE"/>
            <w:noWrap/>
            <w:hideMark/>
          </w:tcPr>
          <w:p w14:paraId="1A9BA83E" w14:textId="77777777" w:rsidR="003B6BD9" w:rsidRDefault="009E25E8">
            <w:pPr>
              <w:pStyle w:val="P68B1DB1-Normal7"/>
              <w:spacing w:before="0" w:after="0" w:line="240" w:lineRule="auto"/>
              <w:rPr>
                <w:rFonts w:eastAsia="Times New Roman"/>
                <w:noProof/>
              </w:rPr>
            </w:pPr>
            <w:r>
              <w:rPr>
                <w:noProof/>
              </w:rPr>
              <w:t> </w:t>
            </w:r>
          </w:p>
        </w:tc>
        <w:tc>
          <w:tcPr>
            <w:tcW w:w="985" w:type="dxa"/>
            <w:tcBorders>
              <w:top w:val="nil"/>
              <w:left w:val="nil"/>
              <w:bottom w:val="single" w:sz="4" w:space="0" w:color="auto"/>
              <w:right w:val="single" w:sz="4" w:space="0" w:color="auto"/>
            </w:tcBorders>
            <w:shd w:val="clear" w:color="auto" w:fill="C6EFCE"/>
            <w:noWrap/>
            <w:hideMark/>
          </w:tcPr>
          <w:p w14:paraId="60920818" w14:textId="77777777" w:rsidR="003B6BD9" w:rsidRDefault="009E25E8">
            <w:pPr>
              <w:pStyle w:val="P68B1DB1-Normal7"/>
              <w:spacing w:before="0" w:after="0" w:line="240" w:lineRule="auto"/>
              <w:jc w:val="center"/>
              <w:rPr>
                <w:rFonts w:eastAsia="Times New Roman"/>
                <w:noProof/>
              </w:rPr>
            </w:pPr>
            <w:r>
              <w:rPr>
                <w:noProof/>
              </w:rPr>
              <w:t>T4</w:t>
            </w:r>
          </w:p>
        </w:tc>
        <w:tc>
          <w:tcPr>
            <w:tcW w:w="709" w:type="dxa"/>
            <w:tcBorders>
              <w:top w:val="nil"/>
              <w:left w:val="nil"/>
              <w:bottom w:val="single" w:sz="4" w:space="0" w:color="auto"/>
              <w:right w:val="single" w:sz="4" w:space="0" w:color="auto"/>
            </w:tcBorders>
            <w:shd w:val="clear" w:color="auto" w:fill="C6EFCE"/>
            <w:noWrap/>
            <w:hideMark/>
          </w:tcPr>
          <w:p w14:paraId="5D4D7C0D" w14:textId="77777777" w:rsidR="003B6BD9" w:rsidRDefault="009E25E8">
            <w:pPr>
              <w:pStyle w:val="P68B1DB1-Normal7"/>
              <w:spacing w:before="0" w:after="0" w:line="240" w:lineRule="auto"/>
              <w:jc w:val="center"/>
              <w:rPr>
                <w:rFonts w:eastAsia="Times New Roman"/>
                <w:noProof/>
              </w:rPr>
            </w:pPr>
            <w:r>
              <w:rPr>
                <w:noProof/>
              </w:rPr>
              <w:t>2022</w:t>
            </w:r>
          </w:p>
        </w:tc>
        <w:tc>
          <w:tcPr>
            <w:tcW w:w="3085" w:type="dxa"/>
            <w:tcBorders>
              <w:top w:val="nil"/>
              <w:left w:val="nil"/>
              <w:bottom w:val="single" w:sz="4" w:space="0" w:color="auto"/>
              <w:right w:val="single" w:sz="4" w:space="0" w:color="auto"/>
            </w:tcBorders>
            <w:shd w:val="clear" w:color="auto" w:fill="C6EFCE"/>
            <w:noWrap/>
            <w:hideMark/>
          </w:tcPr>
          <w:p w14:paraId="009CD7D1" w14:textId="1163AF71" w:rsidR="003B6BD9" w:rsidRDefault="009E25E8">
            <w:pPr>
              <w:pStyle w:val="P68B1DB1-Normal7"/>
              <w:spacing w:before="0" w:after="0" w:line="240" w:lineRule="auto"/>
              <w:rPr>
                <w:rFonts w:eastAsia="Times New Roman"/>
                <w:noProof/>
              </w:rPr>
            </w:pPr>
            <w:r>
              <w:rPr>
                <w:noProof/>
              </w:rPr>
              <w:t>Les projets sélectionnés respectent les conditions énoncées dans le décret sur les incitations au développement pour le tourisme. En particulier, au moins 50 % des coûts admissibles de rénovation ou de construction nouvelle concernent des améliorations de l’efficacité énergétique. Les bâtiments neufs veillent à ce que leur demande d’énergie primaire soit inférieure d’au moins 20 % à l’exigence applicable aux bâtiments dont la consommation d’énergie est quasi nulle.</w:t>
            </w:r>
          </w:p>
        </w:tc>
      </w:tr>
      <w:tr w:rsidR="006C1AFD" w14:paraId="6FE80C3F" w14:textId="77777777" w:rsidTr="006C1AFD">
        <w:trPr>
          <w:trHeight w:val="314"/>
          <w:jc w:val="center"/>
        </w:trPr>
        <w:tc>
          <w:tcPr>
            <w:tcW w:w="951" w:type="dxa"/>
            <w:tcBorders>
              <w:top w:val="nil"/>
              <w:left w:val="single" w:sz="4" w:space="0" w:color="auto"/>
              <w:bottom w:val="single" w:sz="4" w:space="0" w:color="auto"/>
              <w:right w:val="single" w:sz="4" w:space="0" w:color="auto"/>
            </w:tcBorders>
            <w:shd w:val="clear" w:color="auto" w:fill="C6EFCE"/>
            <w:noWrap/>
          </w:tcPr>
          <w:p w14:paraId="61671E26" w14:textId="0080FBAB" w:rsidR="003B6BD9" w:rsidRDefault="009E25E8">
            <w:pPr>
              <w:pStyle w:val="P68B1DB1-Normal7"/>
              <w:spacing w:before="0" w:after="0" w:line="240" w:lineRule="auto"/>
              <w:rPr>
                <w:rFonts w:eastAsia="Times New Roman"/>
                <w:noProof/>
              </w:rPr>
            </w:pPr>
            <w:r>
              <w:rPr>
                <w:noProof/>
              </w:rPr>
              <w:t>151</w:t>
            </w:r>
          </w:p>
        </w:tc>
        <w:tc>
          <w:tcPr>
            <w:tcW w:w="1581" w:type="dxa"/>
            <w:tcBorders>
              <w:top w:val="nil"/>
              <w:left w:val="nil"/>
              <w:bottom w:val="single" w:sz="4" w:space="0" w:color="auto"/>
              <w:right w:val="single" w:sz="4" w:space="0" w:color="auto"/>
            </w:tcBorders>
            <w:shd w:val="clear" w:color="auto" w:fill="C6EFCE"/>
            <w:noWrap/>
          </w:tcPr>
          <w:p w14:paraId="4BFC8BB8" w14:textId="77777777" w:rsidR="003B6BD9" w:rsidRDefault="009E25E8">
            <w:pPr>
              <w:pStyle w:val="P68B1DB1-Normal7"/>
              <w:spacing w:before="0" w:after="0" w:line="240" w:lineRule="auto"/>
              <w:rPr>
                <w:rFonts w:eastAsia="Times New Roman"/>
                <w:noProof/>
              </w:rPr>
            </w:pPr>
            <w:r>
              <w:rPr>
                <w:noProof/>
              </w:rPr>
              <w:t xml:space="preserve">B: Développement durable des offres d’hébergement touristique slovènes afin d’accroître la valeur ajoutée du tourisme </w:t>
            </w:r>
          </w:p>
        </w:tc>
        <w:tc>
          <w:tcPr>
            <w:tcW w:w="1288" w:type="dxa"/>
            <w:tcBorders>
              <w:top w:val="nil"/>
              <w:left w:val="nil"/>
              <w:bottom w:val="single" w:sz="4" w:space="0" w:color="auto"/>
              <w:right w:val="single" w:sz="4" w:space="0" w:color="auto"/>
            </w:tcBorders>
            <w:shd w:val="clear" w:color="auto" w:fill="C6EFCE"/>
            <w:noWrap/>
          </w:tcPr>
          <w:p w14:paraId="3288EB9C" w14:textId="2D91A272" w:rsidR="003B6BD9" w:rsidRDefault="009E25E8">
            <w:pPr>
              <w:pStyle w:val="P68B1DB1-Normal7"/>
              <w:spacing w:before="0" w:after="0" w:line="240" w:lineRule="auto"/>
              <w:rPr>
                <w:rFonts w:eastAsia="Times New Roman"/>
                <w:noProof/>
              </w:rPr>
            </w:pPr>
            <w:r>
              <w:rPr>
                <w:noProof/>
              </w:rPr>
              <w:t>Cible</w:t>
            </w:r>
          </w:p>
        </w:tc>
        <w:tc>
          <w:tcPr>
            <w:tcW w:w="1469" w:type="dxa"/>
            <w:tcBorders>
              <w:top w:val="nil"/>
              <w:left w:val="nil"/>
              <w:bottom w:val="single" w:sz="4" w:space="0" w:color="auto"/>
              <w:right w:val="single" w:sz="4" w:space="0" w:color="auto"/>
            </w:tcBorders>
            <w:shd w:val="clear" w:color="auto" w:fill="C6EFCE"/>
            <w:noWrap/>
          </w:tcPr>
          <w:p w14:paraId="6DA06262" w14:textId="55D21ADD" w:rsidR="003B6BD9" w:rsidRDefault="009E25E8">
            <w:pPr>
              <w:pStyle w:val="P68B1DB1-Normal7"/>
              <w:spacing w:before="0" w:after="0" w:line="240" w:lineRule="auto"/>
              <w:rPr>
                <w:rFonts w:eastAsia="Times New Roman"/>
                <w:noProof/>
              </w:rPr>
            </w:pPr>
            <w:r>
              <w:rPr>
                <w:noProof/>
              </w:rPr>
              <w:t xml:space="preserve">Projets dans les hébergements touristiques </w:t>
            </w:r>
          </w:p>
        </w:tc>
        <w:tc>
          <w:tcPr>
            <w:tcW w:w="2124" w:type="dxa"/>
            <w:tcBorders>
              <w:top w:val="nil"/>
              <w:left w:val="nil"/>
              <w:bottom w:val="single" w:sz="4" w:space="0" w:color="auto"/>
              <w:right w:val="single" w:sz="4" w:space="0" w:color="auto"/>
            </w:tcBorders>
            <w:shd w:val="clear" w:color="auto" w:fill="C6EFCE"/>
            <w:noWrap/>
          </w:tcPr>
          <w:p w14:paraId="3CEB3DD1" w14:textId="713931A0" w:rsidR="003B6BD9" w:rsidRDefault="009E25E8">
            <w:pPr>
              <w:pStyle w:val="P68B1DB1-Normal7"/>
              <w:spacing w:before="0" w:after="0" w:line="240" w:lineRule="auto"/>
              <w:rPr>
                <w:rFonts w:eastAsia="Times New Roman"/>
                <w:noProof/>
              </w:rPr>
            </w:pPr>
            <w:r>
              <w:rPr>
                <w:noProof/>
              </w:rPr>
              <w:t> </w:t>
            </w:r>
          </w:p>
        </w:tc>
        <w:tc>
          <w:tcPr>
            <w:tcW w:w="853" w:type="dxa"/>
            <w:tcBorders>
              <w:top w:val="nil"/>
              <w:left w:val="nil"/>
              <w:bottom w:val="single" w:sz="4" w:space="0" w:color="auto"/>
              <w:right w:val="single" w:sz="4" w:space="0" w:color="auto"/>
            </w:tcBorders>
            <w:shd w:val="clear" w:color="auto" w:fill="C6EFCE"/>
            <w:noWrap/>
          </w:tcPr>
          <w:p w14:paraId="27AF4A47" w14:textId="77777777" w:rsidR="003B6BD9" w:rsidRDefault="009E25E8">
            <w:pPr>
              <w:pStyle w:val="P68B1DB1-Normal7"/>
              <w:spacing w:before="0" w:after="0" w:line="240" w:lineRule="auto"/>
              <w:rPr>
                <w:rFonts w:eastAsia="Times New Roman"/>
                <w:noProof/>
              </w:rPr>
            </w:pPr>
            <w:r>
              <w:rPr>
                <w:noProof/>
              </w:rPr>
              <w:t>Nombre</w:t>
            </w:r>
          </w:p>
        </w:tc>
        <w:tc>
          <w:tcPr>
            <w:tcW w:w="936" w:type="dxa"/>
            <w:tcBorders>
              <w:top w:val="nil"/>
              <w:left w:val="nil"/>
              <w:bottom w:val="single" w:sz="4" w:space="0" w:color="auto"/>
              <w:right w:val="single" w:sz="4" w:space="0" w:color="auto"/>
            </w:tcBorders>
            <w:shd w:val="clear" w:color="auto" w:fill="C6EFCE"/>
            <w:noWrap/>
          </w:tcPr>
          <w:p w14:paraId="0AC146FC" w14:textId="77777777" w:rsidR="003B6BD9" w:rsidRDefault="009E25E8">
            <w:pPr>
              <w:pStyle w:val="P68B1DB1-Normal7"/>
              <w:spacing w:before="0" w:after="0" w:line="240" w:lineRule="auto"/>
              <w:rPr>
                <w:rFonts w:eastAsia="Times New Roman"/>
                <w:noProof/>
              </w:rPr>
            </w:pPr>
            <w:r>
              <w:rPr>
                <w:noProof/>
              </w:rPr>
              <w:t>0</w:t>
            </w:r>
          </w:p>
        </w:tc>
        <w:tc>
          <w:tcPr>
            <w:tcW w:w="580" w:type="dxa"/>
            <w:tcBorders>
              <w:top w:val="nil"/>
              <w:left w:val="nil"/>
              <w:bottom w:val="single" w:sz="4" w:space="0" w:color="auto"/>
              <w:right w:val="single" w:sz="4" w:space="0" w:color="auto"/>
            </w:tcBorders>
            <w:shd w:val="clear" w:color="auto" w:fill="C6EFCE"/>
            <w:noWrap/>
          </w:tcPr>
          <w:p w14:paraId="33CCE613" w14:textId="785D689F" w:rsidR="003B6BD9" w:rsidRDefault="009E25E8">
            <w:pPr>
              <w:pStyle w:val="P68B1DB1-Normal7"/>
              <w:spacing w:before="0" w:after="0" w:line="240" w:lineRule="auto"/>
              <w:rPr>
                <w:rFonts w:eastAsia="Times New Roman"/>
                <w:noProof/>
              </w:rPr>
            </w:pPr>
            <w:r>
              <w:rPr>
                <w:noProof/>
              </w:rPr>
              <w:t>42</w:t>
            </w:r>
          </w:p>
        </w:tc>
        <w:tc>
          <w:tcPr>
            <w:tcW w:w="985" w:type="dxa"/>
            <w:tcBorders>
              <w:top w:val="nil"/>
              <w:left w:val="nil"/>
              <w:bottom w:val="single" w:sz="4" w:space="0" w:color="auto"/>
              <w:right w:val="single" w:sz="4" w:space="0" w:color="auto"/>
            </w:tcBorders>
            <w:shd w:val="clear" w:color="auto" w:fill="C6EFCE"/>
            <w:noWrap/>
          </w:tcPr>
          <w:p w14:paraId="56A3270A" w14:textId="77777777" w:rsidR="003B6BD9" w:rsidRDefault="009E25E8">
            <w:pPr>
              <w:pStyle w:val="P68B1DB1-Normal7"/>
              <w:spacing w:before="0" w:after="0" w:line="240" w:lineRule="auto"/>
              <w:jc w:val="center"/>
              <w:rPr>
                <w:rFonts w:eastAsia="Times New Roman"/>
                <w:noProof/>
              </w:rPr>
            </w:pPr>
            <w:r>
              <w:rPr>
                <w:noProof/>
              </w:rPr>
              <w:t>T2</w:t>
            </w:r>
          </w:p>
        </w:tc>
        <w:tc>
          <w:tcPr>
            <w:tcW w:w="709" w:type="dxa"/>
            <w:tcBorders>
              <w:top w:val="nil"/>
              <w:left w:val="nil"/>
              <w:bottom w:val="single" w:sz="4" w:space="0" w:color="auto"/>
              <w:right w:val="single" w:sz="4" w:space="0" w:color="auto"/>
            </w:tcBorders>
            <w:shd w:val="clear" w:color="auto" w:fill="C6EFCE"/>
            <w:noWrap/>
          </w:tcPr>
          <w:p w14:paraId="4C1D970E" w14:textId="77777777" w:rsidR="003B6BD9" w:rsidRDefault="009E25E8">
            <w:pPr>
              <w:pStyle w:val="P68B1DB1-Normal7"/>
              <w:spacing w:before="0" w:after="0" w:line="240" w:lineRule="auto"/>
              <w:jc w:val="center"/>
              <w:rPr>
                <w:rFonts w:eastAsia="Times New Roman"/>
                <w:noProof/>
              </w:rPr>
            </w:pPr>
            <w:r>
              <w:rPr>
                <w:noProof/>
              </w:rPr>
              <w:t>2026</w:t>
            </w:r>
          </w:p>
        </w:tc>
        <w:tc>
          <w:tcPr>
            <w:tcW w:w="3085" w:type="dxa"/>
            <w:tcBorders>
              <w:top w:val="nil"/>
              <w:left w:val="nil"/>
              <w:bottom w:val="single" w:sz="4" w:space="0" w:color="auto"/>
              <w:right w:val="single" w:sz="4" w:space="0" w:color="auto"/>
            </w:tcBorders>
            <w:shd w:val="clear" w:color="auto" w:fill="C6EFCE"/>
            <w:noWrap/>
          </w:tcPr>
          <w:p w14:paraId="6B4C79C3" w14:textId="70174902" w:rsidR="003B6BD9" w:rsidRDefault="009E25E8">
            <w:pPr>
              <w:pStyle w:val="P68B1DB1-Normal7"/>
              <w:spacing w:before="0" w:after="0" w:line="240" w:lineRule="auto"/>
              <w:rPr>
                <w:rFonts w:eastAsia="Times New Roman"/>
                <w:noProof/>
              </w:rPr>
            </w:pPr>
            <w:r>
              <w:rPr>
                <w:noProof/>
              </w:rPr>
              <w:t xml:space="preserve">Rénovation, construction ou reconstruction d’au moins 42 hébergements touristiques. </w:t>
            </w:r>
          </w:p>
        </w:tc>
      </w:tr>
      <w:tr w:rsidR="006C1AFD" w14:paraId="7AAFCEE2" w14:textId="77777777" w:rsidTr="006C1AFD">
        <w:trPr>
          <w:trHeight w:val="314"/>
          <w:jc w:val="center"/>
        </w:trPr>
        <w:tc>
          <w:tcPr>
            <w:tcW w:w="951" w:type="dxa"/>
            <w:tcBorders>
              <w:top w:val="nil"/>
              <w:left w:val="single" w:sz="4" w:space="0" w:color="auto"/>
              <w:bottom w:val="single" w:sz="4" w:space="0" w:color="auto"/>
              <w:right w:val="single" w:sz="4" w:space="0" w:color="auto"/>
            </w:tcBorders>
            <w:shd w:val="clear" w:color="auto" w:fill="C6EFCE"/>
            <w:noWrap/>
          </w:tcPr>
          <w:p w14:paraId="342AC7FF" w14:textId="77777777" w:rsidR="003B6BD9" w:rsidRDefault="009E25E8">
            <w:pPr>
              <w:pStyle w:val="P68B1DB1-Normal7"/>
              <w:spacing w:before="0" w:after="0" w:line="240" w:lineRule="auto"/>
              <w:rPr>
                <w:rFonts w:eastAsia="Times New Roman"/>
                <w:noProof/>
              </w:rPr>
            </w:pPr>
            <w:r>
              <w:rPr>
                <w:noProof/>
              </w:rPr>
              <w:t>153</w:t>
            </w:r>
          </w:p>
        </w:tc>
        <w:tc>
          <w:tcPr>
            <w:tcW w:w="1581" w:type="dxa"/>
            <w:tcBorders>
              <w:top w:val="nil"/>
              <w:left w:val="nil"/>
              <w:bottom w:val="single" w:sz="4" w:space="0" w:color="auto"/>
              <w:right w:val="single" w:sz="4" w:space="0" w:color="auto"/>
            </w:tcBorders>
            <w:shd w:val="clear" w:color="auto" w:fill="C6EFCE"/>
            <w:noWrap/>
          </w:tcPr>
          <w:p w14:paraId="684745E5" w14:textId="2592E297" w:rsidR="003B6BD9" w:rsidRDefault="009E25E8">
            <w:pPr>
              <w:pStyle w:val="P68B1DB1-Normal7"/>
              <w:spacing w:before="0" w:after="0" w:line="240" w:lineRule="auto"/>
              <w:rPr>
                <w:rFonts w:eastAsia="Times New Roman"/>
                <w:noProof/>
              </w:rPr>
            </w:pPr>
            <w:r>
              <w:rPr>
                <w:noProof/>
              </w:rPr>
              <w:t xml:space="preserve">C: Développement durable des infrastructures touristiques publiques et des attractions naturelles dans les destinations touristiques </w:t>
            </w:r>
          </w:p>
        </w:tc>
        <w:tc>
          <w:tcPr>
            <w:tcW w:w="1288" w:type="dxa"/>
            <w:tcBorders>
              <w:top w:val="nil"/>
              <w:left w:val="nil"/>
              <w:bottom w:val="single" w:sz="4" w:space="0" w:color="auto"/>
              <w:right w:val="single" w:sz="4" w:space="0" w:color="auto"/>
            </w:tcBorders>
            <w:shd w:val="clear" w:color="auto" w:fill="C6EFCE"/>
            <w:noWrap/>
          </w:tcPr>
          <w:p w14:paraId="11514E3E" w14:textId="77777777" w:rsidR="003B6BD9" w:rsidRDefault="009E25E8">
            <w:pPr>
              <w:pStyle w:val="P68B1DB1-Normal7"/>
              <w:spacing w:before="0" w:after="0" w:line="240" w:lineRule="auto"/>
              <w:rPr>
                <w:rFonts w:eastAsia="Times New Roman"/>
                <w:noProof/>
              </w:rPr>
            </w:pPr>
            <w:r>
              <w:rPr>
                <w:noProof/>
              </w:rPr>
              <w:t>Cible</w:t>
            </w:r>
          </w:p>
        </w:tc>
        <w:tc>
          <w:tcPr>
            <w:tcW w:w="1469" w:type="dxa"/>
            <w:tcBorders>
              <w:top w:val="nil"/>
              <w:left w:val="nil"/>
              <w:bottom w:val="single" w:sz="4" w:space="0" w:color="auto"/>
              <w:right w:val="single" w:sz="4" w:space="0" w:color="auto"/>
            </w:tcBorders>
            <w:shd w:val="clear" w:color="auto" w:fill="C6EFCE"/>
            <w:noWrap/>
          </w:tcPr>
          <w:p w14:paraId="77335126" w14:textId="0E599D64" w:rsidR="003B6BD9" w:rsidRDefault="009E25E8">
            <w:pPr>
              <w:pStyle w:val="P68B1DB1-Normal7"/>
              <w:spacing w:before="0" w:after="0" w:line="240" w:lineRule="auto"/>
              <w:rPr>
                <w:rFonts w:eastAsia="Times New Roman"/>
                <w:noProof/>
              </w:rPr>
            </w:pPr>
            <w:r>
              <w:rPr>
                <w:noProof/>
              </w:rPr>
              <w:t xml:space="preserve">Projets dans le domaine des infrastructures touristiques publiques </w:t>
            </w:r>
          </w:p>
        </w:tc>
        <w:tc>
          <w:tcPr>
            <w:tcW w:w="2124" w:type="dxa"/>
            <w:tcBorders>
              <w:top w:val="nil"/>
              <w:left w:val="nil"/>
              <w:bottom w:val="single" w:sz="4" w:space="0" w:color="auto"/>
              <w:right w:val="single" w:sz="4" w:space="0" w:color="auto"/>
            </w:tcBorders>
            <w:shd w:val="clear" w:color="auto" w:fill="C6EFCE"/>
            <w:noWrap/>
          </w:tcPr>
          <w:p w14:paraId="06BD1A97" w14:textId="77777777" w:rsidR="003B6BD9" w:rsidRDefault="009E25E8">
            <w:pPr>
              <w:pStyle w:val="P68B1DB1-Normal7"/>
              <w:spacing w:before="0" w:after="0" w:line="240" w:lineRule="auto"/>
              <w:rPr>
                <w:rFonts w:eastAsia="Times New Roman"/>
                <w:noProof/>
              </w:rPr>
            </w:pPr>
            <w:r>
              <w:rPr>
                <w:noProof/>
              </w:rPr>
              <w:t> </w:t>
            </w:r>
          </w:p>
        </w:tc>
        <w:tc>
          <w:tcPr>
            <w:tcW w:w="853" w:type="dxa"/>
            <w:tcBorders>
              <w:top w:val="nil"/>
              <w:left w:val="nil"/>
              <w:bottom w:val="single" w:sz="4" w:space="0" w:color="auto"/>
              <w:right w:val="single" w:sz="4" w:space="0" w:color="auto"/>
            </w:tcBorders>
            <w:shd w:val="clear" w:color="auto" w:fill="C6EFCE"/>
            <w:noWrap/>
          </w:tcPr>
          <w:p w14:paraId="1FB1C908" w14:textId="77777777" w:rsidR="003B6BD9" w:rsidRDefault="009E25E8">
            <w:pPr>
              <w:pStyle w:val="P68B1DB1-Normal7"/>
              <w:spacing w:before="0" w:after="0" w:line="240" w:lineRule="auto"/>
              <w:rPr>
                <w:rFonts w:eastAsia="Times New Roman"/>
                <w:noProof/>
              </w:rPr>
            </w:pPr>
            <w:r>
              <w:rPr>
                <w:noProof/>
              </w:rPr>
              <w:t>Nombre</w:t>
            </w:r>
          </w:p>
        </w:tc>
        <w:tc>
          <w:tcPr>
            <w:tcW w:w="936" w:type="dxa"/>
            <w:tcBorders>
              <w:top w:val="nil"/>
              <w:left w:val="nil"/>
              <w:bottom w:val="single" w:sz="4" w:space="0" w:color="auto"/>
              <w:right w:val="single" w:sz="4" w:space="0" w:color="auto"/>
            </w:tcBorders>
            <w:shd w:val="clear" w:color="auto" w:fill="C6EFCE"/>
            <w:noWrap/>
          </w:tcPr>
          <w:p w14:paraId="0279F7E6" w14:textId="77777777" w:rsidR="003B6BD9" w:rsidRDefault="009E25E8">
            <w:pPr>
              <w:pStyle w:val="P68B1DB1-Normal7"/>
              <w:spacing w:before="0" w:after="0" w:line="240" w:lineRule="auto"/>
              <w:rPr>
                <w:rFonts w:eastAsia="Times New Roman"/>
                <w:noProof/>
              </w:rPr>
            </w:pPr>
            <w:r>
              <w:rPr>
                <w:noProof/>
              </w:rPr>
              <w:t>0</w:t>
            </w:r>
          </w:p>
        </w:tc>
        <w:tc>
          <w:tcPr>
            <w:tcW w:w="580" w:type="dxa"/>
            <w:tcBorders>
              <w:top w:val="nil"/>
              <w:left w:val="nil"/>
              <w:bottom w:val="single" w:sz="4" w:space="0" w:color="auto"/>
              <w:right w:val="single" w:sz="4" w:space="0" w:color="auto"/>
            </w:tcBorders>
            <w:shd w:val="clear" w:color="auto" w:fill="C6EFCE"/>
            <w:noWrap/>
          </w:tcPr>
          <w:p w14:paraId="1C27EAAE" w14:textId="1EF7C47F" w:rsidR="003B6BD9" w:rsidRDefault="009E25E8">
            <w:pPr>
              <w:pStyle w:val="P68B1DB1-Normal7"/>
              <w:spacing w:before="0" w:after="0" w:line="240" w:lineRule="auto"/>
              <w:rPr>
                <w:rFonts w:eastAsia="Times New Roman"/>
                <w:noProof/>
              </w:rPr>
            </w:pPr>
            <w:r>
              <w:rPr>
                <w:noProof/>
              </w:rPr>
              <w:t>44</w:t>
            </w:r>
          </w:p>
        </w:tc>
        <w:tc>
          <w:tcPr>
            <w:tcW w:w="985" w:type="dxa"/>
            <w:tcBorders>
              <w:top w:val="nil"/>
              <w:left w:val="nil"/>
              <w:bottom w:val="single" w:sz="4" w:space="0" w:color="auto"/>
              <w:right w:val="single" w:sz="4" w:space="0" w:color="auto"/>
            </w:tcBorders>
            <w:shd w:val="clear" w:color="auto" w:fill="C6EFCE"/>
            <w:noWrap/>
          </w:tcPr>
          <w:p w14:paraId="4262CA90" w14:textId="77777777" w:rsidR="003B6BD9" w:rsidRDefault="009E25E8">
            <w:pPr>
              <w:pStyle w:val="P68B1DB1-Normal7"/>
              <w:spacing w:before="0" w:after="0" w:line="240" w:lineRule="auto"/>
              <w:jc w:val="center"/>
              <w:rPr>
                <w:rFonts w:eastAsia="Times New Roman"/>
                <w:noProof/>
              </w:rPr>
            </w:pPr>
            <w:r>
              <w:rPr>
                <w:noProof/>
              </w:rPr>
              <w:t>T4</w:t>
            </w:r>
          </w:p>
        </w:tc>
        <w:tc>
          <w:tcPr>
            <w:tcW w:w="709" w:type="dxa"/>
            <w:tcBorders>
              <w:top w:val="nil"/>
              <w:left w:val="nil"/>
              <w:bottom w:val="single" w:sz="4" w:space="0" w:color="auto"/>
              <w:right w:val="single" w:sz="4" w:space="0" w:color="auto"/>
            </w:tcBorders>
            <w:shd w:val="clear" w:color="auto" w:fill="C6EFCE"/>
            <w:noWrap/>
          </w:tcPr>
          <w:p w14:paraId="6301CD61" w14:textId="77777777" w:rsidR="003B6BD9" w:rsidRDefault="009E25E8">
            <w:pPr>
              <w:pStyle w:val="P68B1DB1-Normal7"/>
              <w:spacing w:before="0" w:after="0" w:line="240" w:lineRule="auto"/>
              <w:jc w:val="center"/>
              <w:rPr>
                <w:rFonts w:eastAsia="Times New Roman"/>
                <w:noProof/>
              </w:rPr>
            </w:pPr>
            <w:r>
              <w:rPr>
                <w:noProof/>
              </w:rPr>
              <w:t>2025</w:t>
            </w:r>
          </w:p>
        </w:tc>
        <w:tc>
          <w:tcPr>
            <w:tcW w:w="3085" w:type="dxa"/>
            <w:tcBorders>
              <w:top w:val="nil"/>
              <w:left w:val="nil"/>
              <w:bottom w:val="single" w:sz="4" w:space="0" w:color="auto"/>
              <w:right w:val="single" w:sz="4" w:space="0" w:color="auto"/>
            </w:tcBorders>
            <w:shd w:val="clear" w:color="auto" w:fill="C6EFCE"/>
            <w:noWrap/>
          </w:tcPr>
          <w:p w14:paraId="19F22CDD" w14:textId="6E4E7855" w:rsidR="003B6BD9" w:rsidRDefault="009E25E8">
            <w:pPr>
              <w:pStyle w:val="P68B1DB1-Normal7"/>
              <w:spacing w:before="0" w:after="0" w:line="240" w:lineRule="auto"/>
              <w:rPr>
                <w:rFonts w:eastAsia="Times New Roman"/>
                <w:noProof/>
              </w:rPr>
            </w:pPr>
            <w:r>
              <w:rPr>
                <w:noProof/>
              </w:rPr>
              <w:t xml:space="preserve">Confirmation </w:t>
            </w:r>
            <w:r>
              <w:rPr>
                <w:rFonts w:eastAsia="Times New Roman"/>
                <w:noProof/>
              </w:rPr>
              <w:t xml:space="preserve">par le pouvoir adjudicateur de l’acceptation des rapports de transfert pour les projets d’infrastructures touristiques publiques. </w:t>
            </w:r>
          </w:p>
        </w:tc>
      </w:tr>
      <w:tr w:rsidR="006C1AFD" w14:paraId="09E31F4D" w14:textId="77777777" w:rsidTr="006C1AFD">
        <w:trPr>
          <w:trHeight w:val="314"/>
          <w:jc w:val="center"/>
        </w:trPr>
        <w:tc>
          <w:tcPr>
            <w:tcW w:w="951" w:type="dxa"/>
            <w:tcBorders>
              <w:top w:val="nil"/>
              <w:left w:val="single" w:sz="4" w:space="0" w:color="auto"/>
              <w:bottom w:val="single" w:sz="4" w:space="0" w:color="auto"/>
              <w:right w:val="single" w:sz="4" w:space="0" w:color="auto"/>
            </w:tcBorders>
            <w:shd w:val="clear" w:color="auto" w:fill="C6EFCE"/>
            <w:noWrap/>
          </w:tcPr>
          <w:p w14:paraId="45A0A192" w14:textId="77777777" w:rsidR="003B6BD9" w:rsidRDefault="009E25E8">
            <w:pPr>
              <w:pStyle w:val="P68B1DB1-Normal7"/>
              <w:spacing w:before="0" w:after="0" w:line="240" w:lineRule="auto"/>
              <w:rPr>
                <w:rFonts w:eastAsia="Times New Roman"/>
                <w:noProof/>
              </w:rPr>
            </w:pPr>
            <w:r>
              <w:rPr>
                <w:noProof/>
              </w:rPr>
              <w:t>154</w:t>
            </w:r>
          </w:p>
        </w:tc>
        <w:tc>
          <w:tcPr>
            <w:tcW w:w="1581" w:type="dxa"/>
            <w:tcBorders>
              <w:top w:val="nil"/>
              <w:left w:val="nil"/>
              <w:bottom w:val="single" w:sz="4" w:space="0" w:color="auto"/>
              <w:right w:val="single" w:sz="4" w:space="0" w:color="auto"/>
            </w:tcBorders>
            <w:shd w:val="clear" w:color="auto" w:fill="C6EFCE"/>
            <w:noWrap/>
          </w:tcPr>
          <w:p w14:paraId="3E63466A" w14:textId="77777777" w:rsidR="003B6BD9" w:rsidRDefault="009E25E8">
            <w:pPr>
              <w:pStyle w:val="P68B1DB1-Normal7"/>
              <w:spacing w:before="0" w:after="0" w:line="240" w:lineRule="auto"/>
              <w:rPr>
                <w:rFonts w:eastAsia="Times New Roman"/>
                <w:noProof/>
              </w:rPr>
            </w:pPr>
            <w:r>
              <w:rPr>
                <w:noProof/>
              </w:rPr>
              <w:t xml:space="preserve">D: Restauration et revitalisation durables du patrimoine culturel et des infrastructures culturelles publiques </w:t>
            </w:r>
          </w:p>
        </w:tc>
        <w:tc>
          <w:tcPr>
            <w:tcW w:w="1288" w:type="dxa"/>
            <w:tcBorders>
              <w:top w:val="nil"/>
              <w:left w:val="nil"/>
              <w:bottom w:val="single" w:sz="4" w:space="0" w:color="auto"/>
              <w:right w:val="single" w:sz="4" w:space="0" w:color="auto"/>
            </w:tcBorders>
            <w:shd w:val="clear" w:color="auto" w:fill="C6EFCE"/>
            <w:noWrap/>
          </w:tcPr>
          <w:p w14:paraId="01912B53" w14:textId="77777777" w:rsidR="003B6BD9" w:rsidRDefault="009E25E8">
            <w:pPr>
              <w:pStyle w:val="P68B1DB1-Normal7"/>
              <w:spacing w:before="0" w:after="0" w:line="240" w:lineRule="auto"/>
              <w:rPr>
                <w:rFonts w:eastAsia="Times New Roman"/>
                <w:noProof/>
              </w:rPr>
            </w:pPr>
            <w:r>
              <w:rPr>
                <w:noProof/>
              </w:rPr>
              <w:t>Jalon</w:t>
            </w:r>
          </w:p>
        </w:tc>
        <w:tc>
          <w:tcPr>
            <w:tcW w:w="1469" w:type="dxa"/>
            <w:tcBorders>
              <w:top w:val="nil"/>
              <w:left w:val="nil"/>
              <w:bottom w:val="single" w:sz="4" w:space="0" w:color="auto"/>
              <w:right w:val="single" w:sz="4" w:space="0" w:color="auto"/>
            </w:tcBorders>
            <w:shd w:val="clear" w:color="auto" w:fill="C6EFCE"/>
            <w:noWrap/>
          </w:tcPr>
          <w:p w14:paraId="3937C853" w14:textId="4858C245" w:rsidR="003B6BD9" w:rsidRDefault="009E25E8">
            <w:pPr>
              <w:pStyle w:val="P68B1DB1-Normal7"/>
              <w:spacing w:before="0" w:after="0" w:line="240" w:lineRule="auto"/>
              <w:rPr>
                <w:rFonts w:eastAsia="Times New Roman"/>
                <w:noProof/>
              </w:rPr>
            </w:pPr>
            <w:r>
              <w:rPr>
                <w:noProof/>
              </w:rPr>
              <w:t>Octroi de subventions pour la rénovation de sites du patrimoine culturel</w:t>
            </w:r>
          </w:p>
        </w:tc>
        <w:tc>
          <w:tcPr>
            <w:tcW w:w="2124" w:type="dxa"/>
            <w:tcBorders>
              <w:top w:val="nil"/>
              <w:left w:val="nil"/>
              <w:bottom w:val="single" w:sz="4" w:space="0" w:color="auto"/>
              <w:right w:val="single" w:sz="4" w:space="0" w:color="auto"/>
            </w:tcBorders>
            <w:shd w:val="clear" w:color="auto" w:fill="C6EFCE"/>
            <w:noWrap/>
          </w:tcPr>
          <w:p w14:paraId="2C0CE256" w14:textId="77777777" w:rsidR="003B6BD9" w:rsidRDefault="009E25E8">
            <w:pPr>
              <w:pStyle w:val="P68B1DB1-Normal7"/>
              <w:spacing w:before="0" w:after="0" w:line="240" w:lineRule="auto"/>
              <w:rPr>
                <w:rFonts w:eastAsia="Times New Roman"/>
                <w:noProof/>
              </w:rPr>
            </w:pPr>
            <w:r>
              <w:rPr>
                <w:noProof/>
              </w:rPr>
              <w:t>Communication des prix</w:t>
            </w:r>
          </w:p>
        </w:tc>
        <w:tc>
          <w:tcPr>
            <w:tcW w:w="853" w:type="dxa"/>
            <w:tcBorders>
              <w:top w:val="nil"/>
              <w:left w:val="nil"/>
              <w:bottom w:val="single" w:sz="4" w:space="0" w:color="auto"/>
              <w:right w:val="single" w:sz="4" w:space="0" w:color="auto"/>
            </w:tcBorders>
            <w:shd w:val="clear" w:color="auto" w:fill="C6EFCE"/>
            <w:noWrap/>
          </w:tcPr>
          <w:p w14:paraId="0553B571" w14:textId="77777777" w:rsidR="003B6BD9" w:rsidRDefault="009E25E8">
            <w:pPr>
              <w:pStyle w:val="P68B1DB1-Normal7"/>
              <w:spacing w:before="0" w:after="0" w:line="240" w:lineRule="auto"/>
              <w:rPr>
                <w:rFonts w:eastAsia="Times New Roman"/>
                <w:noProof/>
              </w:rPr>
            </w:pPr>
            <w:r>
              <w:rPr>
                <w:noProof/>
              </w:rPr>
              <w:t> </w:t>
            </w:r>
          </w:p>
        </w:tc>
        <w:tc>
          <w:tcPr>
            <w:tcW w:w="936" w:type="dxa"/>
            <w:tcBorders>
              <w:top w:val="nil"/>
              <w:left w:val="nil"/>
              <w:bottom w:val="single" w:sz="4" w:space="0" w:color="auto"/>
              <w:right w:val="single" w:sz="4" w:space="0" w:color="auto"/>
            </w:tcBorders>
            <w:shd w:val="clear" w:color="auto" w:fill="C6EFCE"/>
            <w:noWrap/>
          </w:tcPr>
          <w:p w14:paraId="77646C5D" w14:textId="77777777" w:rsidR="003B6BD9" w:rsidRDefault="009E25E8">
            <w:pPr>
              <w:pStyle w:val="P68B1DB1-Normal7"/>
              <w:spacing w:before="0" w:after="0" w:line="240" w:lineRule="auto"/>
              <w:rPr>
                <w:rFonts w:eastAsia="Times New Roman"/>
                <w:noProof/>
              </w:rPr>
            </w:pPr>
            <w:r>
              <w:rPr>
                <w:noProof/>
              </w:rPr>
              <w:t> </w:t>
            </w:r>
          </w:p>
        </w:tc>
        <w:tc>
          <w:tcPr>
            <w:tcW w:w="580" w:type="dxa"/>
            <w:tcBorders>
              <w:top w:val="nil"/>
              <w:left w:val="nil"/>
              <w:bottom w:val="single" w:sz="4" w:space="0" w:color="auto"/>
              <w:right w:val="single" w:sz="4" w:space="0" w:color="auto"/>
            </w:tcBorders>
            <w:shd w:val="clear" w:color="auto" w:fill="C6EFCE"/>
            <w:noWrap/>
          </w:tcPr>
          <w:p w14:paraId="629E3474" w14:textId="77777777" w:rsidR="003B6BD9" w:rsidRDefault="009E25E8">
            <w:pPr>
              <w:pStyle w:val="P68B1DB1-Normal7"/>
              <w:spacing w:before="0" w:after="0" w:line="240" w:lineRule="auto"/>
              <w:rPr>
                <w:rFonts w:eastAsia="Times New Roman"/>
                <w:noProof/>
              </w:rPr>
            </w:pPr>
            <w:r>
              <w:rPr>
                <w:noProof/>
              </w:rPr>
              <w:t> </w:t>
            </w:r>
          </w:p>
        </w:tc>
        <w:tc>
          <w:tcPr>
            <w:tcW w:w="985" w:type="dxa"/>
            <w:tcBorders>
              <w:top w:val="nil"/>
              <w:left w:val="nil"/>
              <w:bottom w:val="single" w:sz="4" w:space="0" w:color="auto"/>
              <w:right w:val="single" w:sz="4" w:space="0" w:color="auto"/>
            </w:tcBorders>
            <w:shd w:val="clear" w:color="auto" w:fill="C6EFCE"/>
            <w:noWrap/>
          </w:tcPr>
          <w:p w14:paraId="6A4F2BF7" w14:textId="77777777" w:rsidR="003B6BD9" w:rsidRDefault="009E25E8">
            <w:pPr>
              <w:pStyle w:val="P68B1DB1-Normal7"/>
              <w:spacing w:before="0" w:after="0" w:line="240" w:lineRule="auto"/>
              <w:jc w:val="center"/>
              <w:rPr>
                <w:rFonts w:eastAsia="Times New Roman"/>
                <w:noProof/>
              </w:rPr>
            </w:pPr>
            <w:r>
              <w:rPr>
                <w:noProof/>
              </w:rPr>
              <w:t>T4</w:t>
            </w:r>
          </w:p>
        </w:tc>
        <w:tc>
          <w:tcPr>
            <w:tcW w:w="709" w:type="dxa"/>
            <w:tcBorders>
              <w:top w:val="nil"/>
              <w:left w:val="nil"/>
              <w:bottom w:val="single" w:sz="4" w:space="0" w:color="auto"/>
              <w:right w:val="single" w:sz="4" w:space="0" w:color="auto"/>
            </w:tcBorders>
            <w:shd w:val="clear" w:color="auto" w:fill="C6EFCE"/>
            <w:noWrap/>
          </w:tcPr>
          <w:p w14:paraId="7A569D29" w14:textId="77777777" w:rsidR="003B6BD9" w:rsidRDefault="009E25E8">
            <w:pPr>
              <w:pStyle w:val="P68B1DB1-Normal7"/>
              <w:spacing w:before="0" w:after="0" w:line="240" w:lineRule="auto"/>
              <w:jc w:val="center"/>
              <w:rPr>
                <w:rFonts w:eastAsia="Times New Roman"/>
                <w:noProof/>
              </w:rPr>
            </w:pPr>
            <w:r>
              <w:rPr>
                <w:noProof/>
              </w:rPr>
              <w:t>2022</w:t>
            </w:r>
          </w:p>
        </w:tc>
        <w:tc>
          <w:tcPr>
            <w:tcW w:w="3085" w:type="dxa"/>
            <w:tcBorders>
              <w:top w:val="nil"/>
              <w:left w:val="nil"/>
              <w:bottom w:val="single" w:sz="4" w:space="0" w:color="auto"/>
              <w:right w:val="single" w:sz="4" w:space="0" w:color="auto"/>
            </w:tcBorders>
            <w:shd w:val="clear" w:color="auto" w:fill="C6EFCE"/>
            <w:noWrap/>
          </w:tcPr>
          <w:p w14:paraId="6A34E286" w14:textId="7E05D7E9" w:rsidR="003B6BD9" w:rsidRDefault="009E25E8">
            <w:pPr>
              <w:pStyle w:val="P68B1DB1-Normal7"/>
              <w:spacing w:before="0" w:after="0" w:line="240" w:lineRule="auto"/>
              <w:rPr>
                <w:rFonts w:eastAsia="Times New Roman"/>
                <w:noProof/>
              </w:rPr>
            </w:pPr>
            <w:r>
              <w:rPr>
                <w:noProof/>
              </w:rPr>
              <w:t>Sélection en vue de la rénovation des 15 sites du patrimoine culturel appartenant aux municipalités et à l’État.</w:t>
            </w:r>
          </w:p>
        </w:tc>
      </w:tr>
      <w:tr w:rsidR="006C1AFD" w14:paraId="4696CFA7" w14:textId="77777777" w:rsidTr="006C1AFD">
        <w:trPr>
          <w:trHeight w:val="314"/>
          <w:jc w:val="center"/>
        </w:trPr>
        <w:tc>
          <w:tcPr>
            <w:tcW w:w="951" w:type="dxa"/>
            <w:tcBorders>
              <w:top w:val="nil"/>
              <w:left w:val="single" w:sz="4" w:space="0" w:color="auto"/>
              <w:bottom w:val="single" w:sz="4" w:space="0" w:color="auto"/>
              <w:right w:val="single" w:sz="4" w:space="0" w:color="auto"/>
            </w:tcBorders>
            <w:shd w:val="clear" w:color="auto" w:fill="C6EFCE"/>
            <w:noWrap/>
          </w:tcPr>
          <w:p w14:paraId="693480AC" w14:textId="2EC6A6EB" w:rsidR="003B6BD9" w:rsidRDefault="009E25E8">
            <w:pPr>
              <w:pStyle w:val="P68B1DB1-Normal7"/>
              <w:spacing w:before="0" w:after="0" w:line="240" w:lineRule="auto"/>
              <w:rPr>
                <w:rFonts w:eastAsia="Times New Roman"/>
                <w:noProof/>
              </w:rPr>
            </w:pPr>
            <w:r>
              <w:rPr>
                <w:noProof/>
              </w:rPr>
              <w:t>155</w:t>
            </w:r>
          </w:p>
        </w:tc>
        <w:tc>
          <w:tcPr>
            <w:tcW w:w="1581" w:type="dxa"/>
            <w:tcBorders>
              <w:top w:val="nil"/>
              <w:left w:val="nil"/>
              <w:bottom w:val="single" w:sz="4" w:space="0" w:color="auto"/>
              <w:right w:val="single" w:sz="4" w:space="0" w:color="auto"/>
            </w:tcBorders>
            <w:shd w:val="clear" w:color="auto" w:fill="C6EFCE"/>
            <w:noWrap/>
          </w:tcPr>
          <w:p w14:paraId="1E392D10" w14:textId="3DAE70FC" w:rsidR="003B6BD9" w:rsidRDefault="009E25E8">
            <w:pPr>
              <w:pStyle w:val="P68B1DB1-Normal7"/>
              <w:spacing w:before="0" w:after="0" w:line="240" w:lineRule="auto"/>
              <w:rPr>
                <w:rFonts w:eastAsia="Times New Roman"/>
                <w:noProof/>
              </w:rPr>
            </w:pPr>
            <w:r>
              <w:rPr>
                <w:noProof/>
              </w:rPr>
              <w:t>D: Restauration et revitalisation durables du patrimoine culturel et des infrastructures culturelles publiques</w:t>
            </w:r>
          </w:p>
        </w:tc>
        <w:tc>
          <w:tcPr>
            <w:tcW w:w="1288" w:type="dxa"/>
            <w:tcBorders>
              <w:top w:val="nil"/>
              <w:left w:val="nil"/>
              <w:bottom w:val="single" w:sz="4" w:space="0" w:color="auto"/>
              <w:right w:val="single" w:sz="4" w:space="0" w:color="auto"/>
            </w:tcBorders>
            <w:shd w:val="clear" w:color="auto" w:fill="C6EFCE"/>
            <w:noWrap/>
          </w:tcPr>
          <w:p w14:paraId="12828BD8" w14:textId="77777777" w:rsidR="003B6BD9" w:rsidRDefault="009E25E8">
            <w:pPr>
              <w:pStyle w:val="P68B1DB1-Normal7"/>
              <w:spacing w:before="0" w:after="0" w:line="240" w:lineRule="auto"/>
              <w:rPr>
                <w:rFonts w:eastAsia="Times New Roman"/>
                <w:noProof/>
              </w:rPr>
            </w:pPr>
            <w:r>
              <w:rPr>
                <w:noProof/>
              </w:rPr>
              <w:t>Cible</w:t>
            </w:r>
          </w:p>
        </w:tc>
        <w:tc>
          <w:tcPr>
            <w:tcW w:w="1469" w:type="dxa"/>
            <w:tcBorders>
              <w:top w:val="nil"/>
              <w:left w:val="nil"/>
              <w:bottom w:val="single" w:sz="4" w:space="0" w:color="auto"/>
              <w:right w:val="single" w:sz="4" w:space="0" w:color="auto"/>
            </w:tcBorders>
            <w:shd w:val="clear" w:color="auto" w:fill="C6EFCE"/>
            <w:noWrap/>
          </w:tcPr>
          <w:p w14:paraId="353B8675" w14:textId="384E4C01" w:rsidR="003B6BD9" w:rsidRDefault="009E25E8">
            <w:pPr>
              <w:pStyle w:val="P68B1DB1-Normal7"/>
              <w:spacing w:before="0" w:after="0" w:line="240" w:lineRule="auto"/>
              <w:rPr>
                <w:rFonts w:eastAsia="Times New Roman"/>
                <w:noProof/>
              </w:rPr>
            </w:pPr>
            <w:r>
              <w:rPr>
                <w:noProof/>
              </w:rPr>
              <w:t>Sites du patrimoine culturel rénovés</w:t>
            </w:r>
          </w:p>
        </w:tc>
        <w:tc>
          <w:tcPr>
            <w:tcW w:w="2124" w:type="dxa"/>
            <w:tcBorders>
              <w:top w:val="nil"/>
              <w:left w:val="nil"/>
              <w:bottom w:val="single" w:sz="4" w:space="0" w:color="auto"/>
              <w:right w:val="single" w:sz="4" w:space="0" w:color="auto"/>
            </w:tcBorders>
            <w:shd w:val="clear" w:color="auto" w:fill="C6EFCE"/>
            <w:noWrap/>
          </w:tcPr>
          <w:p w14:paraId="47A1F7B1" w14:textId="77777777" w:rsidR="003B6BD9" w:rsidRDefault="009E25E8">
            <w:pPr>
              <w:pStyle w:val="P68B1DB1-Normal7"/>
              <w:spacing w:before="0" w:after="0" w:line="240" w:lineRule="auto"/>
              <w:rPr>
                <w:rFonts w:eastAsia="Times New Roman"/>
                <w:noProof/>
              </w:rPr>
            </w:pPr>
            <w:r>
              <w:rPr>
                <w:noProof/>
              </w:rPr>
              <w:t> </w:t>
            </w:r>
          </w:p>
        </w:tc>
        <w:tc>
          <w:tcPr>
            <w:tcW w:w="853" w:type="dxa"/>
            <w:tcBorders>
              <w:top w:val="nil"/>
              <w:left w:val="nil"/>
              <w:bottom w:val="single" w:sz="4" w:space="0" w:color="auto"/>
              <w:right w:val="single" w:sz="4" w:space="0" w:color="auto"/>
            </w:tcBorders>
            <w:shd w:val="clear" w:color="auto" w:fill="C6EFCE"/>
            <w:noWrap/>
          </w:tcPr>
          <w:p w14:paraId="2BA81C31" w14:textId="77777777" w:rsidR="003B6BD9" w:rsidRDefault="009E25E8">
            <w:pPr>
              <w:pStyle w:val="P68B1DB1-Normal7"/>
              <w:spacing w:before="0" w:after="0" w:line="240" w:lineRule="auto"/>
              <w:rPr>
                <w:rFonts w:eastAsia="Times New Roman"/>
                <w:noProof/>
              </w:rPr>
            </w:pPr>
            <w:r>
              <w:rPr>
                <w:noProof/>
              </w:rPr>
              <w:t>Nombre</w:t>
            </w:r>
          </w:p>
        </w:tc>
        <w:tc>
          <w:tcPr>
            <w:tcW w:w="936" w:type="dxa"/>
            <w:tcBorders>
              <w:top w:val="nil"/>
              <w:left w:val="nil"/>
              <w:bottom w:val="single" w:sz="4" w:space="0" w:color="auto"/>
              <w:right w:val="single" w:sz="4" w:space="0" w:color="auto"/>
            </w:tcBorders>
            <w:shd w:val="clear" w:color="auto" w:fill="C6EFCE"/>
            <w:noWrap/>
          </w:tcPr>
          <w:p w14:paraId="6B4E43F0" w14:textId="77777777" w:rsidR="003B6BD9" w:rsidRDefault="009E25E8">
            <w:pPr>
              <w:pStyle w:val="P68B1DB1-Normal7"/>
              <w:spacing w:before="0" w:after="0" w:line="240" w:lineRule="auto"/>
              <w:rPr>
                <w:rFonts w:eastAsia="Times New Roman"/>
                <w:noProof/>
              </w:rPr>
            </w:pPr>
            <w:r>
              <w:rPr>
                <w:noProof/>
              </w:rPr>
              <w:t>0</w:t>
            </w:r>
          </w:p>
        </w:tc>
        <w:tc>
          <w:tcPr>
            <w:tcW w:w="580" w:type="dxa"/>
            <w:tcBorders>
              <w:top w:val="nil"/>
              <w:left w:val="nil"/>
              <w:bottom w:val="single" w:sz="4" w:space="0" w:color="auto"/>
              <w:right w:val="single" w:sz="4" w:space="0" w:color="auto"/>
            </w:tcBorders>
            <w:shd w:val="clear" w:color="auto" w:fill="C6EFCE"/>
            <w:noWrap/>
          </w:tcPr>
          <w:p w14:paraId="34913A9C" w14:textId="77777777" w:rsidR="003B6BD9" w:rsidRDefault="009E25E8">
            <w:pPr>
              <w:pStyle w:val="P68B1DB1-Normal7"/>
              <w:spacing w:before="0" w:after="0" w:line="240" w:lineRule="auto"/>
              <w:rPr>
                <w:rFonts w:eastAsia="Times New Roman"/>
                <w:noProof/>
              </w:rPr>
            </w:pPr>
            <w:r>
              <w:rPr>
                <w:noProof/>
              </w:rPr>
              <w:t>15</w:t>
            </w:r>
          </w:p>
        </w:tc>
        <w:tc>
          <w:tcPr>
            <w:tcW w:w="985" w:type="dxa"/>
            <w:tcBorders>
              <w:top w:val="nil"/>
              <w:left w:val="nil"/>
              <w:bottom w:val="single" w:sz="4" w:space="0" w:color="auto"/>
              <w:right w:val="single" w:sz="4" w:space="0" w:color="auto"/>
            </w:tcBorders>
            <w:shd w:val="clear" w:color="auto" w:fill="C6EFCE"/>
            <w:noWrap/>
          </w:tcPr>
          <w:p w14:paraId="42824638" w14:textId="77777777" w:rsidR="003B6BD9" w:rsidRDefault="009E25E8">
            <w:pPr>
              <w:pStyle w:val="P68B1DB1-Normal7"/>
              <w:spacing w:before="0" w:after="0" w:line="240" w:lineRule="auto"/>
              <w:jc w:val="center"/>
              <w:rPr>
                <w:rFonts w:eastAsia="Times New Roman"/>
                <w:noProof/>
              </w:rPr>
            </w:pPr>
            <w:r>
              <w:rPr>
                <w:noProof/>
              </w:rPr>
              <w:t>T2</w:t>
            </w:r>
          </w:p>
        </w:tc>
        <w:tc>
          <w:tcPr>
            <w:tcW w:w="709" w:type="dxa"/>
            <w:tcBorders>
              <w:top w:val="nil"/>
              <w:left w:val="nil"/>
              <w:bottom w:val="single" w:sz="4" w:space="0" w:color="auto"/>
              <w:right w:val="single" w:sz="4" w:space="0" w:color="auto"/>
            </w:tcBorders>
            <w:shd w:val="clear" w:color="auto" w:fill="C6EFCE"/>
            <w:noWrap/>
          </w:tcPr>
          <w:p w14:paraId="1ACC9A21" w14:textId="77777777" w:rsidR="003B6BD9" w:rsidRDefault="009E25E8">
            <w:pPr>
              <w:pStyle w:val="P68B1DB1-Normal7"/>
              <w:spacing w:before="0" w:after="0" w:line="240" w:lineRule="auto"/>
              <w:jc w:val="center"/>
              <w:rPr>
                <w:rFonts w:eastAsia="Times New Roman"/>
                <w:noProof/>
              </w:rPr>
            </w:pPr>
            <w:r>
              <w:rPr>
                <w:noProof/>
              </w:rPr>
              <w:t>2026</w:t>
            </w:r>
          </w:p>
        </w:tc>
        <w:tc>
          <w:tcPr>
            <w:tcW w:w="3085" w:type="dxa"/>
            <w:tcBorders>
              <w:top w:val="nil"/>
              <w:left w:val="nil"/>
              <w:bottom w:val="single" w:sz="4" w:space="0" w:color="auto"/>
              <w:right w:val="single" w:sz="4" w:space="0" w:color="auto"/>
            </w:tcBorders>
            <w:shd w:val="clear" w:color="auto" w:fill="C6EFCE"/>
            <w:noWrap/>
          </w:tcPr>
          <w:p w14:paraId="0D6DC121" w14:textId="28FEB3F5" w:rsidR="003B6BD9" w:rsidRDefault="009E25E8">
            <w:pPr>
              <w:pStyle w:val="P68B1DB1-Normal7"/>
              <w:spacing w:before="0" w:after="0" w:line="240" w:lineRule="auto"/>
              <w:rPr>
                <w:noProof/>
              </w:rPr>
            </w:pPr>
            <w:r>
              <w:rPr>
                <w:noProof/>
              </w:rPr>
              <w:t>Au moins 15 sites du patrimoine culturel sont rénovés.</w:t>
            </w:r>
          </w:p>
        </w:tc>
      </w:tr>
    </w:tbl>
    <w:p w14:paraId="22A90A25" w14:textId="77777777" w:rsidR="003B6BD9" w:rsidRDefault="003B6BD9">
      <w:pPr>
        <w:spacing w:line="240" w:lineRule="auto"/>
        <w:ind w:left="709"/>
        <w:jc w:val="both"/>
        <w:rPr>
          <w:noProof/>
          <w:szCs w:val="24"/>
        </w:rPr>
        <w:sectPr w:rsidR="003B6BD9" w:rsidSect="00073927">
          <w:headerReference w:type="even" r:id="rId188"/>
          <w:headerReference w:type="default" r:id="rId189"/>
          <w:footerReference w:type="even" r:id="rId190"/>
          <w:footerReference w:type="default" r:id="rId191"/>
          <w:headerReference w:type="first" r:id="rId192"/>
          <w:footerReference w:type="first" r:id="rId193"/>
          <w:pgSz w:w="16839" w:h="11907" w:orient="landscape"/>
          <w:pgMar w:top="1134" w:right="1134" w:bottom="1134" w:left="1134" w:header="567" w:footer="567" w:gutter="0"/>
          <w:cols w:space="720"/>
          <w:docGrid w:linePitch="326"/>
        </w:sectPr>
      </w:pPr>
    </w:p>
    <w:p w14:paraId="49F6E410" w14:textId="77777777" w:rsidR="003B6BD9" w:rsidRDefault="009E25E8">
      <w:pPr>
        <w:pStyle w:val="P68B1DB1-Normal3"/>
        <w:keepNext/>
        <w:tabs>
          <w:tab w:val="left" w:pos="284"/>
        </w:tabs>
        <w:spacing w:line="240" w:lineRule="auto"/>
        <w:ind w:left="284" w:hanging="284"/>
        <w:jc w:val="both"/>
        <w:outlineLvl w:val="0"/>
        <w:rPr>
          <w:noProof/>
        </w:rPr>
      </w:pPr>
      <w:r>
        <w:rPr>
          <w:noProof/>
        </w:rPr>
        <w:t>L. VOLET 12: RENFORCEMENT DES COMPÉTENCES, EN PARTICULIER NUMÉRIQUES ET CELLES REQUISES PAR LES NOUVELLES PROFESSIONS ET LA TRANSITION ÉCOLOGIQUE</w:t>
      </w:r>
    </w:p>
    <w:p w14:paraId="1F98239D" w14:textId="77777777" w:rsidR="003B6BD9" w:rsidRDefault="009E25E8">
      <w:pPr>
        <w:spacing w:line="240" w:lineRule="auto"/>
        <w:jc w:val="both"/>
        <w:rPr>
          <w:noProof/>
        </w:rPr>
      </w:pPr>
      <w:r>
        <w:rPr>
          <w:noProof/>
        </w:rPr>
        <w:t>Ce volet du plan slovène pour la reprise et la résilience porte sur le niveau de compétences numériques des élèves, des enseignants et des adultes, la transition écologique du système éducatif et des infrastructures éducatives, et la pertinence de l’éducation par rapport aux besoins du marché du travail.</w:t>
      </w:r>
    </w:p>
    <w:p w14:paraId="2A9B03CC" w14:textId="77777777" w:rsidR="003B6BD9" w:rsidRDefault="009E25E8">
      <w:pPr>
        <w:spacing w:line="240" w:lineRule="auto"/>
        <w:jc w:val="both"/>
        <w:rPr>
          <w:noProof/>
        </w:rPr>
      </w:pPr>
      <w:r>
        <w:rPr>
          <w:noProof/>
        </w:rPr>
        <w:t xml:space="preserve">Les objectifs de ce volet sont de renforcer les compétences, en particulier en ce qui concerne les transitions numérique et écologique et la culture financière, de répondre plus rapidement aux besoins de l’économie et de la société, de faciliter la transition de l’éducation au marché du travail et de renforcer la résilience du système éducatif et l’apprentissage tout au long de la vie. </w:t>
      </w:r>
    </w:p>
    <w:p w14:paraId="17ED60B5" w14:textId="77777777" w:rsidR="003B6BD9" w:rsidRDefault="009E25E8">
      <w:pPr>
        <w:spacing w:line="240" w:lineRule="auto"/>
        <w:jc w:val="both"/>
        <w:rPr>
          <w:noProof/>
        </w:rPr>
      </w:pPr>
      <w:r>
        <w:rPr>
          <w:noProof/>
        </w:rPr>
        <w:t>Ces investissements et réformes répondent aux recommandations par pays adressées à la Slovénie en 2019 pour «accroître l’employabilité des travailleurs peu qualifiés et des travailleurs âgés en améliorant l’adéquation de l’éducation et de la formation, de l’apprentissage tout au long de la vie et des mesures d’activation avec le marché du travail, y compris par une meilleure culture numérique» (recommandations par pays no 1 et 2019) et en 2020 pour «renforcer les compétences numériques» (recommandations par pays no 3 et 2020).</w:t>
      </w:r>
    </w:p>
    <w:p w14:paraId="08A3D10E" w14:textId="13353AD0" w:rsidR="003B6BD9" w:rsidRDefault="009E25E8">
      <w:pPr>
        <w:spacing w:line="240" w:lineRule="auto"/>
        <w:jc w:val="both"/>
        <w:rPr>
          <w:noProof/>
        </w:rPr>
      </w:pPr>
      <w:r>
        <w:rPr>
          <w:noProof/>
        </w:rPr>
        <w:t xml:space="preserve">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  </w:t>
      </w:r>
    </w:p>
    <w:p w14:paraId="0F97BCA3" w14:textId="05FE026A" w:rsidR="003B6BD9" w:rsidRDefault="009E25E8">
      <w:pPr>
        <w:pStyle w:val="P68B1DB1-Normal4"/>
        <w:spacing w:line="240" w:lineRule="auto"/>
        <w:jc w:val="both"/>
        <w:rPr>
          <w:bCs/>
          <w:i/>
          <w:iCs/>
          <w:noProof/>
          <w:color w:val="4F81BD"/>
        </w:rPr>
      </w:pPr>
      <w:bookmarkStart w:id="13" w:name="_Hlk72592250"/>
      <w:r>
        <w:rPr>
          <w:noProof/>
        </w:rPr>
        <w:t>L.1. Description des réformes et des investissements pour le soutien financier non remboursable</w:t>
      </w:r>
    </w:p>
    <w:p w14:paraId="4B2C75AE" w14:textId="259277BA" w:rsidR="003B6BD9" w:rsidRDefault="009E25E8">
      <w:pPr>
        <w:pStyle w:val="P68B1DB1-Normal5"/>
        <w:spacing w:line="240" w:lineRule="auto"/>
        <w:jc w:val="both"/>
        <w:rPr>
          <w:noProof/>
        </w:rPr>
      </w:pPr>
      <w:r>
        <w:rPr>
          <w:noProof/>
        </w:rPr>
        <w:t>Réforme A: Rénover le système éducatif pour les transitions écologique et numérique</w:t>
      </w:r>
    </w:p>
    <w:p w14:paraId="03AB8475" w14:textId="4E4A77D9" w:rsidR="003B6BD9" w:rsidRDefault="009E25E8">
      <w:pPr>
        <w:spacing w:line="240" w:lineRule="auto"/>
        <w:jc w:val="both"/>
        <w:rPr>
          <w:noProof/>
        </w:rPr>
      </w:pPr>
      <w:r>
        <w:rPr>
          <w:noProof/>
        </w:rPr>
        <w:t xml:space="preserve">L’objectif de la réforme est de doter les élèves et les enseignants de nouvelles compétences, notamment dans les domaines de la numérisation, du développement durable et de la culture financière. </w:t>
      </w:r>
    </w:p>
    <w:p w14:paraId="660533B9" w14:textId="74E993C0" w:rsidR="003B6BD9" w:rsidRDefault="009E25E8">
      <w:pPr>
        <w:spacing w:line="240" w:lineRule="auto"/>
        <w:jc w:val="both"/>
        <w:rPr>
          <w:noProof/>
        </w:rPr>
      </w:pPr>
      <w:r>
        <w:rPr>
          <w:noProof/>
        </w:rPr>
        <w:t xml:space="preserve">La réforme consiste en la révision des programmes d’études dans le domaine de l’éducation et de l’accueil de la petite enfance, ainsi que de l’enseignement primaire et secondaire. </w:t>
      </w:r>
    </w:p>
    <w:p w14:paraId="0159367C" w14:textId="77777777" w:rsidR="003B6BD9" w:rsidRDefault="009E25E8">
      <w:pPr>
        <w:pStyle w:val="P68B1DB1-Normal5"/>
        <w:spacing w:line="240" w:lineRule="auto"/>
        <w:jc w:val="both"/>
        <w:rPr>
          <w:noProof/>
        </w:rPr>
      </w:pPr>
      <w:r>
        <w:rPr>
          <w:noProof/>
        </w:rPr>
        <w:t xml:space="preserve">Réforme B: Réforme de l’enseignement supérieur pour une transition écologique et résiliente </w:t>
      </w:r>
    </w:p>
    <w:p w14:paraId="568BEDB7" w14:textId="77777777" w:rsidR="003B6BD9" w:rsidRDefault="009E25E8">
      <w:pPr>
        <w:spacing w:line="240" w:lineRule="auto"/>
        <w:jc w:val="both"/>
        <w:rPr>
          <w:noProof/>
        </w:rPr>
      </w:pPr>
      <w:r>
        <w:rPr>
          <w:noProof/>
        </w:rPr>
        <w:t>L’objectif de la réforme est de moderniser l’enseignement supérieur professionnel dans la perspective de la transition écologique et numérique et d’aligner les programmes sur les besoins du marché du travail et de la société.</w:t>
      </w:r>
    </w:p>
    <w:p w14:paraId="512B67F0" w14:textId="3302E2A0" w:rsidR="003B6BD9" w:rsidRDefault="009E25E8">
      <w:pPr>
        <w:spacing w:line="240" w:lineRule="auto"/>
        <w:jc w:val="both"/>
        <w:rPr>
          <w:noProof/>
        </w:rPr>
      </w:pPr>
      <w:r>
        <w:rPr>
          <w:noProof/>
        </w:rPr>
        <w:t xml:space="preserve">La réforme consiste à moderniser les programmes d’études professionnelles de l’enseignement supérieur par la révision des programmes d’études. </w:t>
      </w:r>
    </w:p>
    <w:p w14:paraId="1A7178CB" w14:textId="707890A6" w:rsidR="003B6BD9" w:rsidRDefault="009E25E8">
      <w:pPr>
        <w:pStyle w:val="P68B1DB1-Normal5"/>
        <w:spacing w:line="240" w:lineRule="auto"/>
        <w:jc w:val="both"/>
        <w:rPr>
          <w:noProof/>
        </w:rPr>
      </w:pPr>
      <w:r>
        <w:rPr>
          <w:noProof/>
        </w:rPr>
        <w:t>Réforme C: Révision des programmes d’enseignement et de formation professionnels (EFP)</w:t>
      </w:r>
    </w:p>
    <w:p w14:paraId="0E33CD1B" w14:textId="5C521262" w:rsidR="003B6BD9" w:rsidRDefault="009E25E8">
      <w:pPr>
        <w:spacing w:line="240" w:lineRule="auto"/>
        <w:jc w:val="both"/>
        <w:rPr>
          <w:noProof/>
        </w:rPr>
      </w:pPr>
      <w:r>
        <w:rPr>
          <w:noProof/>
        </w:rPr>
        <w:t>L’objectif de la réforme est de faciliter la transition de l’enseignement professionnel vers le marché du travail.</w:t>
      </w:r>
    </w:p>
    <w:p w14:paraId="7450319D" w14:textId="5B70C8E9" w:rsidR="003B6BD9" w:rsidRDefault="009E25E8">
      <w:pPr>
        <w:spacing w:line="240" w:lineRule="auto"/>
        <w:jc w:val="both"/>
        <w:rPr>
          <w:rFonts w:eastAsia="Times New Roman"/>
          <w:noProof/>
          <w:color w:val="D13438"/>
          <w:u w:val="single"/>
        </w:rPr>
      </w:pPr>
      <w:r>
        <w:rPr>
          <w:noProof/>
        </w:rPr>
        <w:t>La réforme consiste en la révision des programmes d’enseignement et de formation professionnels (EFP).</w:t>
      </w:r>
    </w:p>
    <w:p w14:paraId="725D5AD9" w14:textId="45E940A5" w:rsidR="003B6BD9" w:rsidRDefault="009E25E8">
      <w:pPr>
        <w:pStyle w:val="P68B1DB1-Normal5"/>
        <w:spacing w:line="240" w:lineRule="auto"/>
        <w:jc w:val="both"/>
        <w:rPr>
          <w:noProof/>
        </w:rPr>
      </w:pPr>
      <w:r>
        <w:rPr>
          <w:noProof/>
        </w:rPr>
        <w:t xml:space="preserve">Investissement E: La transformation globale de l’éducation verte et numérique </w:t>
      </w:r>
    </w:p>
    <w:p w14:paraId="02732B5A" w14:textId="03B8FDAF" w:rsidR="003B6BD9" w:rsidRDefault="009E25E8">
      <w:pPr>
        <w:spacing w:line="240" w:lineRule="auto"/>
        <w:jc w:val="both"/>
        <w:rPr>
          <w:noProof/>
        </w:rPr>
      </w:pPr>
      <w:r>
        <w:rPr>
          <w:noProof/>
        </w:rPr>
        <w:t>L’objectif de l’investissement est de contribuer aux objectifs de la réforme A, à savoir</w:t>
      </w:r>
      <w:r>
        <w:rPr>
          <w:i/>
          <w:noProof/>
        </w:rPr>
        <w:t xml:space="preserve"> </w:t>
      </w:r>
      <w:r>
        <w:rPr>
          <w:noProof/>
        </w:rPr>
        <w:t>renforcer les compétences numériques, les compétences en matière de développement durable et la culture financière des enseignants et des apprenants, aligner les systèmes éducatifs sur les besoins du marché du travail et faciliter la transition vers le marché du travail.</w:t>
      </w:r>
    </w:p>
    <w:p w14:paraId="5BBDC0DE" w14:textId="75A96355" w:rsidR="003B6BD9" w:rsidRDefault="009E25E8">
      <w:pPr>
        <w:spacing w:line="240" w:lineRule="auto"/>
        <w:jc w:val="both"/>
        <w:rPr>
          <w:noProof/>
        </w:rPr>
      </w:pPr>
      <w:r>
        <w:rPr>
          <w:noProof/>
        </w:rPr>
        <w:t>L’investissement consiste en des formations aux compétences numériques et vertes et à la culture financière pour les professionnels de l’éducation et de la formation; des projets pour les compétences numériques, les compétences pour le développement durable et la culture financière des apprenants, et pour tester les nouvelles technologies de l’information et de la communication (TIC) dans l’éducation; et des programmes de formation non formelle pour les adultes dans le domaine de la culture financière.</w:t>
      </w:r>
    </w:p>
    <w:p w14:paraId="199CF80A" w14:textId="77777777" w:rsidR="003B6BD9" w:rsidRDefault="009E25E8">
      <w:pPr>
        <w:pStyle w:val="P68B1DB1-Normal5"/>
        <w:spacing w:line="240" w:lineRule="auto"/>
        <w:jc w:val="both"/>
        <w:rPr>
          <w:noProof/>
        </w:rPr>
      </w:pPr>
      <w:r>
        <w:rPr>
          <w:noProof/>
        </w:rPr>
        <w:t xml:space="preserve">Investissement F: Projets pilotes en faveur d’une réforme de l’enseignement supérieur pour une transition écologique et résiliente </w:t>
      </w:r>
    </w:p>
    <w:p w14:paraId="35E466FC" w14:textId="77777777" w:rsidR="003B6BD9" w:rsidRDefault="009E25E8">
      <w:pPr>
        <w:spacing w:line="240" w:lineRule="auto"/>
        <w:jc w:val="both"/>
        <w:rPr>
          <w:noProof/>
        </w:rPr>
      </w:pPr>
      <w:r>
        <w:rPr>
          <w:noProof/>
        </w:rPr>
        <w:t>L’objectif de l’investissement est de préparer l’enseignement supérieur à une demande accrue de compétences reflétant les nouveaux besoins de la société grâce à l’élaboration et à la mise en œuvre d’approches d’apprentissage plus inclusives et plus souples.</w:t>
      </w:r>
    </w:p>
    <w:p w14:paraId="164F92BD" w14:textId="77777777" w:rsidR="003B6BD9" w:rsidRDefault="009E25E8">
      <w:pPr>
        <w:spacing w:line="240" w:lineRule="auto"/>
        <w:jc w:val="both"/>
        <w:rPr>
          <w:noProof/>
        </w:rPr>
      </w:pPr>
      <w:r>
        <w:rPr>
          <w:noProof/>
        </w:rPr>
        <w:t>L’investissement consiste à mettre en œuvre des projets pilotes visant à intégrer les compétences vertes et numériques dans l’enseignement supérieur. L’investissement soutient également l’adaptation des programmes d’études de l’enseignement supérieur professionnel aux professions de demain et aux besoins du marché du travail.</w:t>
      </w:r>
    </w:p>
    <w:p w14:paraId="41491E94" w14:textId="0062E7F5" w:rsidR="003B6BD9" w:rsidRDefault="009E25E8">
      <w:pPr>
        <w:pStyle w:val="P68B1DB1-Normal5"/>
        <w:spacing w:line="240" w:lineRule="auto"/>
        <w:jc w:val="both"/>
        <w:rPr>
          <w:noProof/>
        </w:rPr>
      </w:pPr>
      <w:r>
        <w:rPr>
          <w:noProof/>
        </w:rPr>
        <w:t>Investissement G: Renforcer la coopération entre le système éducatif et le marché du travail</w:t>
      </w:r>
    </w:p>
    <w:p w14:paraId="68E0F401" w14:textId="5209AE3B" w:rsidR="003B6BD9" w:rsidRDefault="009E25E8">
      <w:pPr>
        <w:spacing w:line="240" w:lineRule="auto"/>
        <w:jc w:val="both"/>
        <w:rPr>
          <w:noProof/>
        </w:rPr>
      </w:pPr>
      <w:r>
        <w:rPr>
          <w:noProof/>
        </w:rPr>
        <w:t xml:space="preserve">L’objectif de l’investissement est d’aligner les compétences acquises dans l’enseignement professionnel secondaire et l’enseignement professionnel sur les besoins du marché du travail. </w:t>
      </w:r>
    </w:p>
    <w:p w14:paraId="467F471F" w14:textId="7E549EA6" w:rsidR="003B6BD9" w:rsidRDefault="009E25E8">
      <w:pPr>
        <w:spacing w:line="240" w:lineRule="auto"/>
        <w:jc w:val="both"/>
        <w:rPr>
          <w:noProof/>
        </w:rPr>
      </w:pPr>
      <w:r>
        <w:rPr>
          <w:noProof/>
        </w:rPr>
        <w:t xml:space="preserve">L’investissement consiste en des programmes de formation des mentors dans les entreprises sur les compétences afin de planifier et de dispenser une formation pratique sur le lieu de travail aux étudiants et aux stagiaires. </w:t>
      </w:r>
    </w:p>
    <w:p w14:paraId="559F4219" w14:textId="26549806" w:rsidR="003B6BD9" w:rsidRDefault="009E25E8">
      <w:pPr>
        <w:pStyle w:val="P68B1DB1-Normal5"/>
        <w:spacing w:line="240" w:lineRule="auto"/>
        <w:jc w:val="both"/>
        <w:rPr>
          <w:noProof/>
        </w:rPr>
      </w:pPr>
      <w:r>
        <w:rPr>
          <w:noProof/>
        </w:rPr>
        <w:t>Investissement H: Écologisation des infrastructures éducatives en Slovénie</w:t>
      </w:r>
    </w:p>
    <w:p w14:paraId="59B78DD3" w14:textId="77777777" w:rsidR="003B6BD9" w:rsidRDefault="009E25E8">
      <w:pPr>
        <w:spacing w:line="240" w:lineRule="auto"/>
        <w:jc w:val="both"/>
        <w:rPr>
          <w:noProof/>
        </w:rPr>
      </w:pPr>
      <w:r>
        <w:rPr>
          <w:noProof/>
        </w:rPr>
        <w:t>L’objectif de l’investissement est de contribuer à la mise à disposition d’infrastructures éducatives plus modernes et plus respectueuses de l’environnement.</w:t>
      </w:r>
    </w:p>
    <w:p w14:paraId="71C8C233" w14:textId="3FD624DC" w:rsidR="003B6BD9" w:rsidRDefault="009E25E8">
      <w:pPr>
        <w:spacing w:line="240" w:lineRule="auto"/>
        <w:jc w:val="both"/>
        <w:rPr>
          <w:noProof/>
        </w:rPr>
      </w:pPr>
      <w:r>
        <w:rPr>
          <w:noProof/>
        </w:rPr>
        <w:t>L’investissement consiste en la construction ou la rénovation de sept établissements d’enseignement.</w:t>
      </w:r>
    </w:p>
    <w:p w14:paraId="7093B59C" w14:textId="77777777" w:rsidR="003B6BD9" w:rsidRDefault="003B6BD9">
      <w:pPr>
        <w:spacing w:line="240" w:lineRule="auto"/>
        <w:jc w:val="both"/>
        <w:rPr>
          <w:noProof/>
        </w:rPr>
      </w:pPr>
    </w:p>
    <w:p w14:paraId="3DCF039B" w14:textId="24C0941D" w:rsidR="003B6BD9" w:rsidRDefault="003B6BD9">
      <w:pPr>
        <w:spacing w:line="240" w:lineRule="auto"/>
        <w:rPr>
          <w:noProof/>
        </w:rPr>
        <w:sectPr w:rsidR="003B6BD9" w:rsidSect="00073927">
          <w:headerReference w:type="even" r:id="rId194"/>
          <w:headerReference w:type="default" r:id="rId195"/>
          <w:footerReference w:type="even" r:id="rId196"/>
          <w:footerReference w:type="default" r:id="rId197"/>
          <w:headerReference w:type="first" r:id="rId198"/>
          <w:footerReference w:type="first" r:id="rId199"/>
          <w:pgSz w:w="11907" w:h="16839"/>
          <w:pgMar w:top="1134" w:right="1134" w:bottom="1134" w:left="1134" w:header="567" w:footer="567" w:gutter="0"/>
          <w:cols w:space="720"/>
          <w:docGrid w:linePitch="326"/>
        </w:sectPr>
      </w:pPr>
    </w:p>
    <w:bookmarkEnd w:id="13"/>
    <w:p w14:paraId="47E98708" w14:textId="12AB3A98" w:rsidR="003B6BD9" w:rsidRDefault="009E25E8">
      <w:pPr>
        <w:pStyle w:val="P68B1DB1-Normal4"/>
        <w:spacing w:line="240" w:lineRule="auto"/>
        <w:ind w:left="850"/>
        <w:jc w:val="both"/>
        <w:rPr>
          <w:noProof/>
        </w:rPr>
      </w:pPr>
      <w:r>
        <w:rPr>
          <w:noProof/>
        </w:rPr>
        <w:t xml:space="preserve">L.2. </w:t>
      </w:r>
      <w:r>
        <w:rPr>
          <w:noProof/>
        </w:rPr>
        <w:tab/>
        <w:t>Jalons, cibles, indicateurs et calendrier de suivi et de mise en œuvre pour le soutien financier non remboursable</w:t>
      </w:r>
    </w:p>
    <w:tbl>
      <w:tblPr>
        <w:tblW w:w="15607" w:type="dxa"/>
        <w:jc w:val="center"/>
        <w:tblLayout w:type="fixed"/>
        <w:tblCellMar>
          <w:left w:w="57" w:type="dxa"/>
          <w:right w:w="57" w:type="dxa"/>
        </w:tblCellMar>
        <w:tblLook w:val="04A0" w:firstRow="1" w:lastRow="0" w:firstColumn="1" w:lastColumn="0" w:noHBand="0" w:noVBand="1"/>
      </w:tblPr>
      <w:tblGrid>
        <w:gridCol w:w="835"/>
        <w:gridCol w:w="1560"/>
        <w:gridCol w:w="1200"/>
        <w:gridCol w:w="2253"/>
        <w:gridCol w:w="1660"/>
        <w:gridCol w:w="953"/>
        <w:gridCol w:w="952"/>
        <w:gridCol w:w="1091"/>
        <w:gridCol w:w="952"/>
        <w:gridCol w:w="629"/>
        <w:gridCol w:w="3522"/>
      </w:tblGrid>
      <w:tr w:rsidR="003B6BD9" w14:paraId="6D1F2267" w14:textId="77777777" w:rsidTr="006C1AFD">
        <w:trPr>
          <w:trHeight w:val="927"/>
          <w:tblHeader/>
          <w:jc w:val="center"/>
        </w:trPr>
        <w:tc>
          <w:tcPr>
            <w:tcW w:w="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19E025" w14:textId="1C125084" w:rsidR="003B6BD9" w:rsidRDefault="009E25E8">
            <w:pPr>
              <w:pStyle w:val="P68B1DB1-Normal6"/>
              <w:spacing w:before="0" w:after="0" w:line="256" w:lineRule="auto"/>
              <w:jc w:val="center"/>
              <w:rPr>
                <w:rFonts w:eastAsia="Times New Roman"/>
                <w:noProof/>
              </w:rPr>
            </w:pPr>
            <w:r>
              <w:rPr>
                <w:noProof/>
              </w:rPr>
              <w:t>Et suivants Non.</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7B8EDBE" w14:textId="77777777" w:rsidR="003B6BD9" w:rsidRDefault="009E25E8">
            <w:pPr>
              <w:pStyle w:val="P68B1DB1-Normal6"/>
              <w:spacing w:before="0" w:after="0" w:line="256" w:lineRule="auto"/>
              <w:jc w:val="center"/>
              <w:rPr>
                <w:rFonts w:eastAsia="Times New Roman"/>
                <w:noProof/>
              </w:rPr>
            </w:pPr>
            <w:r>
              <w:rPr>
                <w:noProof/>
              </w:rPr>
              <w:t>Mesure connexe (réforme ou investissement)</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856711" w14:textId="6C114A67" w:rsidR="003B6BD9" w:rsidRDefault="009E25E8">
            <w:pPr>
              <w:pStyle w:val="P68B1DB1-Normal6"/>
              <w:spacing w:before="0" w:after="0" w:line="256" w:lineRule="auto"/>
              <w:jc w:val="center"/>
              <w:rPr>
                <w:rFonts w:eastAsia="Times New Roman"/>
                <w:noProof/>
              </w:rPr>
            </w:pPr>
            <w:r>
              <w:rPr>
                <w:noProof/>
              </w:rPr>
              <w:t>Étape/</w:t>
            </w:r>
            <w:r w:rsidR="006C1AFD">
              <w:rPr>
                <w:noProof/>
              </w:rPr>
              <w:br/>
            </w:r>
            <w:r>
              <w:rPr>
                <w:noProof/>
              </w:rPr>
              <w:t>Objectif</w:t>
            </w:r>
          </w:p>
        </w:tc>
        <w:tc>
          <w:tcPr>
            <w:tcW w:w="22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CFD73C" w14:textId="77777777" w:rsidR="003B6BD9" w:rsidRDefault="009E25E8">
            <w:pPr>
              <w:pStyle w:val="P68B1DB1-Normal6"/>
              <w:spacing w:before="0" w:after="0" w:line="256" w:lineRule="auto"/>
              <w:jc w:val="center"/>
              <w:rPr>
                <w:rFonts w:eastAsia="Times New Roman"/>
                <w:noProof/>
              </w:rPr>
            </w:pPr>
            <w:r>
              <w:rPr>
                <w:noProof/>
              </w:rPr>
              <w:t>Nom</w:t>
            </w:r>
          </w:p>
        </w:tc>
        <w:tc>
          <w:tcPr>
            <w:tcW w:w="16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80ED65" w14:textId="5E048F35" w:rsidR="003B6BD9" w:rsidRDefault="009E25E8">
            <w:pPr>
              <w:pStyle w:val="P68B1DB1-Normal6"/>
              <w:spacing w:before="0" w:after="0" w:line="256" w:lineRule="auto"/>
              <w:jc w:val="center"/>
              <w:rPr>
                <w:rFonts w:eastAsia="Times New Roman"/>
                <w:noProof/>
              </w:rPr>
            </w:pPr>
            <w:r>
              <w:rPr>
                <w:noProof/>
              </w:rPr>
              <w:t>Indicateurs qualitatifs (pour les jalons)</w:t>
            </w:r>
          </w:p>
        </w:tc>
        <w:tc>
          <w:tcPr>
            <w:tcW w:w="299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11FF1F2" w14:textId="54C3981E" w:rsidR="003B6BD9" w:rsidRDefault="009E25E8">
            <w:pPr>
              <w:pStyle w:val="P68B1DB1-Normal6"/>
              <w:spacing w:before="0" w:after="0" w:line="256" w:lineRule="auto"/>
              <w:jc w:val="center"/>
              <w:rPr>
                <w:rFonts w:eastAsia="Times New Roman"/>
                <w:noProof/>
              </w:rPr>
            </w:pPr>
            <w:r>
              <w:rPr>
                <w:noProof/>
              </w:rPr>
              <w:t>Indicateurs quantitatifs (pour les cibles)</w:t>
            </w:r>
          </w:p>
        </w:tc>
        <w:tc>
          <w:tcPr>
            <w:tcW w:w="1581" w:type="dxa"/>
            <w:gridSpan w:val="2"/>
            <w:tcBorders>
              <w:top w:val="single" w:sz="4" w:space="0" w:color="auto"/>
              <w:left w:val="nil"/>
              <w:bottom w:val="single" w:sz="4" w:space="0" w:color="auto"/>
              <w:right w:val="single" w:sz="4" w:space="0" w:color="auto"/>
            </w:tcBorders>
            <w:shd w:val="clear" w:color="auto" w:fill="BDD7EE"/>
            <w:vAlign w:val="center"/>
            <w:hideMark/>
          </w:tcPr>
          <w:p w14:paraId="41917182" w14:textId="77777777" w:rsidR="003B6BD9" w:rsidRDefault="009E25E8">
            <w:pPr>
              <w:pStyle w:val="P68B1DB1-Normal6"/>
              <w:spacing w:before="0" w:after="0" w:line="256" w:lineRule="auto"/>
              <w:jc w:val="center"/>
              <w:rPr>
                <w:rFonts w:eastAsia="Times New Roman"/>
                <w:noProof/>
              </w:rPr>
            </w:pPr>
            <w:r>
              <w:rPr>
                <w:noProof/>
              </w:rPr>
              <w:t xml:space="preserve">Calendrier indicatif pour l’achèvement </w:t>
            </w:r>
          </w:p>
        </w:tc>
        <w:tc>
          <w:tcPr>
            <w:tcW w:w="35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3BC6298" w14:textId="77777777" w:rsidR="003B6BD9" w:rsidRDefault="009E25E8">
            <w:pPr>
              <w:pStyle w:val="P68B1DB1-Normal6"/>
              <w:spacing w:before="0" w:after="0" w:line="256" w:lineRule="auto"/>
              <w:jc w:val="center"/>
              <w:rPr>
                <w:rFonts w:eastAsia="Times New Roman"/>
                <w:noProof/>
              </w:rPr>
            </w:pPr>
            <w:r>
              <w:rPr>
                <w:noProof/>
              </w:rPr>
              <w:t>Description de chaque jalon et cible</w:t>
            </w:r>
          </w:p>
        </w:tc>
      </w:tr>
      <w:tr w:rsidR="003B6BD9" w14:paraId="48A516A4" w14:textId="77777777" w:rsidTr="006C1AFD">
        <w:trPr>
          <w:trHeight w:val="331"/>
          <w:tblHeader/>
          <w:jc w:val="center"/>
        </w:trPr>
        <w:tc>
          <w:tcPr>
            <w:tcW w:w="835" w:type="dxa"/>
            <w:vMerge/>
            <w:tcBorders>
              <w:top w:val="single" w:sz="4" w:space="0" w:color="auto"/>
              <w:left w:val="single" w:sz="4" w:space="0" w:color="auto"/>
              <w:bottom w:val="single" w:sz="4" w:space="0" w:color="auto"/>
              <w:right w:val="single" w:sz="4" w:space="0" w:color="auto"/>
            </w:tcBorders>
            <w:vAlign w:val="center"/>
            <w:hideMark/>
          </w:tcPr>
          <w:p w14:paraId="5E77CAAB" w14:textId="77777777" w:rsidR="003B6BD9" w:rsidRDefault="003B6BD9">
            <w:pPr>
              <w:spacing w:before="0" w:after="0" w:line="256" w:lineRule="auto"/>
              <w:rPr>
                <w:rFonts w:eastAsia="Times New Roman"/>
                <w:b/>
                <w:noProof/>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34A6E8B3" w14:textId="77777777" w:rsidR="003B6BD9" w:rsidRDefault="003B6BD9">
            <w:pPr>
              <w:spacing w:before="0" w:after="0" w:line="256" w:lineRule="auto"/>
              <w:rPr>
                <w:rFonts w:eastAsia="Times New Roman"/>
                <w:b/>
                <w:noProof/>
                <w:sz w:val="18"/>
                <w:szCs w:val="18"/>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0239E80F" w14:textId="77777777" w:rsidR="003B6BD9" w:rsidRDefault="003B6BD9">
            <w:pPr>
              <w:spacing w:before="0" w:after="0" w:line="256" w:lineRule="auto"/>
              <w:rPr>
                <w:rFonts w:eastAsia="Times New Roman"/>
                <w:b/>
                <w:noProof/>
                <w:sz w:val="18"/>
                <w:szCs w:val="18"/>
              </w:rPr>
            </w:pPr>
          </w:p>
        </w:tc>
        <w:tc>
          <w:tcPr>
            <w:tcW w:w="2253" w:type="dxa"/>
            <w:vMerge/>
            <w:tcBorders>
              <w:top w:val="single" w:sz="4" w:space="0" w:color="auto"/>
              <w:left w:val="single" w:sz="4" w:space="0" w:color="auto"/>
              <w:bottom w:val="single" w:sz="4" w:space="0" w:color="auto"/>
              <w:right w:val="single" w:sz="4" w:space="0" w:color="auto"/>
            </w:tcBorders>
            <w:vAlign w:val="center"/>
            <w:hideMark/>
          </w:tcPr>
          <w:p w14:paraId="02883070" w14:textId="77777777" w:rsidR="003B6BD9" w:rsidRDefault="003B6BD9">
            <w:pPr>
              <w:spacing w:before="0" w:after="0" w:line="256" w:lineRule="auto"/>
              <w:rPr>
                <w:rFonts w:eastAsia="Times New Roman"/>
                <w:b/>
                <w:noProof/>
                <w:sz w:val="18"/>
                <w:szCs w:val="18"/>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3DB6F9E1" w14:textId="77777777" w:rsidR="003B6BD9" w:rsidRDefault="003B6BD9">
            <w:pPr>
              <w:spacing w:before="0" w:after="0" w:line="256" w:lineRule="auto"/>
              <w:rPr>
                <w:rFonts w:eastAsia="Times New Roman"/>
                <w:b/>
                <w:noProof/>
                <w:sz w:val="18"/>
                <w:szCs w:val="18"/>
              </w:rPr>
            </w:pPr>
          </w:p>
        </w:tc>
        <w:tc>
          <w:tcPr>
            <w:tcW w:w="95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F9CF843" w14:textId="77777777" w:rsidR="003B6BD9" w:rsidRDefault="009E25E8">
            <w:pPr>
              <w:pStyle w:val="P68B1DB1-Normal6"/>
              <w:spacing w:before="0" w:after="0" w:line="256" w:lineRule="auto"/>
              <w:jc w:val="center"/>
              <w:rPr>
                <w:rFonts w:eastAsia="Times New Roman"/>
                <w:noProof/>
              </w:rPr>
            </w:pPr>
            <w:r>
              <w:rPr>
                <w:noProof/>
              </w:rPr>
              <w:t>Unité de mesure</w:t>
            </w:r>
          </w:p>
        </w:tc>
        <w:tc>
          <w:tcPr>
            <w:tcW w:w="95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3ECF822" w14:textId="77777777" w:rsidR="003B6BD9" w:rsidRDefault="009E25E8">
            <w:pPr>
              <w:pStyle w:val="P68B1DB1-Normal6"/>
              <w:spacing w:before="0" w:after="0" w:line="256" w:lineRule="auto"/>
              <w:jc w:val="center"/>
              <w:rPr>
                <w:rFonts w:eastAsia="Times New Roman"/>
                <w:noProof/>
              </w:rPr>
            </w:pPr>
            <w:r>
              <w:rPr>
                <w:noProof/>
              </w:rPr>
              <w:t xml:space="preserve">Niveau de référence </w:t>
            </w:r>
          </w:p>
        </w:tc>
        <w:tc>
          <w:tcPr>
            <w:tcW w:w="109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4F8095E" w14:textId="77777777" w:rsidR="003B6BD9" w:rsidRDefault="009E25E8">
            <w:pPr>
              <w:pStyle w:val="P68B1DB1-Normal6"/>
              <w:spacing w:before="0" w:after="0" w:line="256" w:lineRule="auto"/>
              <w:jc w:val="center"/>
              <w:rPr>
                <w:rFonts w:eastAsia="Times New Roman"/>
                <w:noProof/>
              </w:rPr>
            </w:pPr>
            <w:r>
              <w:rPr>
                <w:noProof/>
              </w:rPr>
              <w:t xml:space="preserve">But </w:t>
            </w:r>
          </w:p>
        </w:tc>
        <w:tc>
          <w:tcPr>
            <w:tcW w:w="95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A8C2CE5" w14:textId="77777777" w:rsidR="003B6BD9" w:rsidRDefault="009E25E8">
            <w:pPr>
              <w:pStyle w:val="P68B1DB1-Normal6"/>
              <w:spacing w:before="0" w:after="0" w:line="256" w:lineRule="auto"/>
              <w:jc w:val="center"/>
              <w:rPr>
                <w:rFonts w:eastAsia="Times New Roman"/>
                <w:noProof/>
              </w:rPr>
            </w:pPr>
            <w:r>
              <w:rPr>
                <w:noProof/>
              </w:rPr>
              <w:t>Trimestre</w:t>
            </w:r>
          </w:p>
        </w:tc>
        <w:tc>
          <w:tcPr>
            <w:tcW w:w="62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EA32D8C" w14:textId="77777777" w:rsidR="003B6BD9" w:rsidRDefault="009E25E8">
            <w:pPr>
              <w:pStyle w:val="P68B1DB1-Normal6"/>
              <w:spacing w:before="0" w:after="0" w:line="256" w:lineRule="auto"/>
              <w:jc w:val="center"/>
              <w:rPr>
                <w:rFonts w:eastAsia="Times New Roman"/>
                <w:noProof/>
              </w:rPr>
            </w:pPr>
            <w:r>
              <w:rPr>
                <w:noProof/>
              </w:rPr>
              <w:t>Année</w:t>
            </w:r>
          </w:p>
        </w:tc>
        <w:tc>
          <w:tcPr>
            <w:tcW w:w="3522" w:type="dxa"/>
            <w:vMerge/>
            <w:tcBorders>
              <w:top w:val="single" w:sz="4" w:space="0" w:color="auto"/>
              <w:left w:val="single" w:sz="4" w:space="0" w:color="auto"/>
              <w:bottom w:val="single" w:sz="4" w:space="0" w:color="auto"/>
              <w:right w:val="single" w:sz="4" w:space="0" w:color="auto"/>
            </w:tcBorders>
            <w:vAlign w:val="center"/>
            <w:hideMark/>
          </w:tcPr>
          <w:p w14:paraId="65174453" w14:textId="77777777" w:rsidR="003B6BD9" w:rsidRDefault="003B6BD9">
            <w:pPr>
              <w:spacing w:before="0" w:after="0" w:line="256" w:lineRule="auto"/>
              <w:rPr>
                <w:rFonts w:eastAsia="Times New Roman"/>
                <w:b/>
                <w:noProof/>
                <w:sz w:val="18"/>
                <w:szCs w:val="18"/>
              </w:rPr>
            </w:pPr>
          </w:p>
        </w:tc>
      </w:tr>
      <w:tr w:rsidR="003B6BD9" w14:paraId="01E94732" w14:textId="77777777" w:rsidTr="006C1AFD">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00628067" w14:textId="77777777" w:rsidR="003B6BD9" w:rsidRDefault="009E25E8">
            <w:pPr>
              <w:pStyle w:val="P68B1DB1-Normal7"/>
              <w:spacing w:before="0" w:after="0" w:line="256" w:lineRule="auto"/>
              <w:rPr>
                <w:rFonts w:eastAsia="Times New Roman"/>
                <w:noProof/>
              </w:rPr>
            </w:pPr>
            <w:r>
              <w:rPr>
                <w:noProof/>
              </w:rPr>
              <w:t>156</w:t>
            </w:r>
          </w:p>
        </w:tc>
        <w:tc>
          <w:tcPr>
            <w:tcW w:w="1560" w:type="dxa"/>
            <w:tcBorders>
              <w:top w:val="single" w:sz="4" w:space="0" w:color="auto"/>
              <w:left w:val="nil"/>
              <w:bottom w:val="single" w:sz="4" w:space="0" w:color="auto"/>
              <w:right w:val="single" w:sz="4" w:space="0" w:color="auto"/>
            </w:tcBorders>
            <w:shd w:val="clear" w:color="auto" w:fill="C6EFCE"/>
            <w:noWrap/>
          </w:tcPr>
          <w:p w14:paraId="5DE49555" w14:textId="77777777" w:rsidR="003B6BD9" w:rsidRDefault="009E25E8">
            <w:pPr>
              <w:pStyle w:val="P68B1DB1-Normal7"/>
              <w:spacing w:before="0" w:after="0" w:line="256" w:lineRule="auto"/>
              <w:rPr>
                <w:rFonts w:eastAsia="Times New Roman"/>
                <w:noProof/>
              </w:rPr>
            </w:pPr>
            <w:r>
              <w:rPr>
                <w:noProof/>
              </w:rPr>
              <w:t>A: Rénover le système éducatif pour les transitions écologique et numérique</w:t>
            </w:r>
          </w:p>
        </w:tc>
        <w:tc>
          <w:tcPr>
            <w:tcW w:w="1200" w:type="dxa"/>
            <w:tcBorders>
              <w:top w:val="single" w:sz="4" w:space="0" w:color="auto"/>
              <w:left w:val="nil"/>
              <w:bottom w:val="single" w:sz="4" w:space="0" w:color="auto"/>
              <w:right w:val="single" w:sz="4" w:space="0" w:color="auto"/>
            </w:tcBorders>
            <w:shd w:val="clear" w:color="auto" w:fill="C6EFCE"/>
            <w:noWrap/>
          </w:tcPr>
          <w:p w14:paraId="2541B446" w14:textId="68314777" w:rsidR="003B6BD9" w:rsidRDefault="009E25E8">
            <w:pPr>
              <w:pStyle w:val="P68B1DB1-Normal7"/>
              <w:spacing w:before="0" w:after="0" w:line="256" w:lineRule="auto"/>
              <w:rPr>
                <w:rFonts w:eastAsia="Times New Roman"/>
                <w:noProof/>
              </w:rPr>
            </w:pPr>
            <w:r>
              <w:rPr>
                <w:noProof/>
              </w:rPr>
              <w:t>Jalon</w:t>
            </w:r>
          </w:p>
        </w:tc>
        <w:tc>
          <w:tcPr>
            <w:tcW w:w="2253" w:type="dxa"/>
            <w:tcBorders>
              <w:top w:val="single" w:sz="4" w:space="0" w:color="auto"/>
              <w:left w:val="nil"/>
              <w:bottom w:val="single" w:sz="4" w:space="0" w:color="auto"/>
              <w:right w:val="single" w:sz="4" w:space="0" w:color="auto"/>
            </w:tcBorders>
            <w:shd w:val="clear" w:color="auto" w:fill="C6EFCE"/>
            <w:noWrap/>
          </w:tcPr>
          <w:p w14:paraId="64ADB3D9" w14:textId="5D18D610" w:rsidR="003B6BD9" w:rsidRDefault="009E25E8">
            <w:pPr>
              <w:pStyle w:val="P68B1DB1-Normal7"/>
              <w:spacing w:before="0" w:after="0" w:line="256" w:lineRule="auto"/>
              <w:rPr>
                <w:rFonts w:eastAsia="Times New Roman"/>
                <w:noProof/>
              </w:rPr>
            </w:pPr>
            <w:r>
              <w:rPr>
                <w:noProof/>
              </w:rPr>
              <w:t>Programmes révisés pour l’éducation et l’accueil de la petite enfance, les écoles primaires et secondaires</w:t>
            </w:r>
          </w:p>
        </w:tc>
        <w:tc>
          <w:tcPr>
            <w:tcW w:w="1660" w:type="dxa"/>
            <w:tcBorders>
              <w:top w:val="single" w:sz="4" w:space="0" w:color="auto"/>
              <w:left w:val="nil"/>
              <w:bottom w:val="single" w:sz="4" w:space="0" w:color="auto"/>
              <w:right w:val="single" w:sz="4" w:space="0" w:color="auto"/>
            </w:tcBorders>
            <w:shd w:val="clear" w:color="auto" w:fill="C6EFCE"/>
            <w:noWrap/>
          </w:tcPr>
          <w:p w14:paraId="76D9848A" w14:textId="0F57405E" w:rsidR="003B6BD9" w:rsidRDefault="009E25E8">
            <w:pPr>
              <w:pStyle w:val="P68B1DB1-Normal7"/>
              <w:spacing w:before="0" w:line="240" w:lineRule="auto"/>
              <w:jc w:val="both"/>
              <w:rPr>
                <w:rFonts w:eastAsia="Times New Roman"/>
                <w:noProof/>
              </w:rPr>
            </w:pPr>
            <w:r>
              <w:rPr>
                <w:noProof/>
              </w:rPr>
              <w:t xml:space="preserve">Adoption de la décision sur les programmes révisés </w:t>
            </w:r>
          </w:p>
        </w:tc>
        <w:tc>
          <w:tcPr>
            <w:tcW w:w="953" w:type="dxa"/>
            <w:tcBorders>
              <w:top w:val="single" w:sz="4" w:space="0" w:color="auto"/>
              <w:left w:val="nil"/>
              <w:bottom w:val="single" w:sz="4" w:space="0" w:color="auto"/>
              <w:right w:val="single" w:sz="4" w:space="0" w:color="auto"/>
            </w:tcBorders>
            <w:shd w:val="clear" w:color="auto" w:fill="C6EFCE"/>
            <w:noWrap/>
          </w:tcPr>
          <w:p w14:paraId="11BE93E1" w14:textId="15CDDF46" w:rsidR="003B6BD9" w:rsidRDefault="003B6BD9">
            <w:pPr>
              <w:spacing w:before="0" w:after="0" w:line="256" w:lineRule="auto"/>
              <w:rPr>
                <w:rFonts w:eastAsia="Times New Roman"/>
                <w:noProof/>
                <w:color w:val="006100"/>
                <w:sz w:val="18"/>
                <w:szCs w:val="18"/>
              </w:rPr>
            </w:pPr>
          </w:p>
        </w:tc>
        <w:tc>
          <w:tcPr>
            <w:tcW w:w="952" w:type="dxa"/>
            <w:tcBorders>
              <w:top w:val="single" w:sz="4" w:space="0" w:color="auto"/>
              <w:left w:val="nil"/>
              <w:bottom w:val="single" w:sz="4" w:space="0" w:color="auto"/>
              <w:right w:val="single" w:sz="4" w:space="0" w:color="auto"/>
            </w:tcBorders>
            <w:shd w:val="clear" w:color="auto" w:fill="C6EFCE"/>
            <w:noWrap/>
          </w:tcPr>
          <w:p w14:paraId="573BC806" w14:textId="15FB448B" w:rsidR="003B6BD9" w:rsidRDefault="003B6BD9">
            <w:pPr>
              <w:spacing w:before="0" w:after="0" w:line="256" w:lineRule="auto"/>
              <w:rPr>
                <w:rFonts w:eastAsia="Times New Roman"/>
                <w:noProof/>
                <w:color w:val="006100"/>
                <w:sz w:val="18"/>
                <w:szCs w:val="18"/>
              </w:rPr>
            </w:pPr>
          </w:p>
        </w:tc>
        <w:tc>
          <w:tcPr>
            <w:tcW w:w="1091" w:type="dxa"/>
            <w:tcBorders>
              <w:top w:val="single" w:sz="4" w:space="0" w:color="auto"/>
              <w:left w:val="nil"/>
              <w:bottom w:val="single" w:sz="4" w:space="0" w:color="auto"/>
              <w:right w:val="single" w:sz="4" w:space="0" w:color="auto"/>
            </w:tcBorders>
            <w:shd w:val="clear" w:color="auto" w:fill="C6EFCE"/>
            <w:noWrap/>
          </w:tcPr>
          <w:p w14:paraId="2B756B3E" w14:textId="6381573E" w:rsidR="003B6BD9" w:rsidRDefault="003B6BD9">
            <w:pPr>
              <w:spacing w:before="0" w:after="0" w:line="256" w:lineRule="auto"/>
              <w:rPr>
                <w:rFonts w:eastAsia="Times New Roman"/>
                <w:noProof/>
                <w:color w:val="006100"/>
                <w:sz w:val="18"/>
                <w:szCs w:val="18"/>
              </w:rPr>
            </w:pPr>
          </w:p>
        </w:tc>
        <w:tc>
          <w:tcPr>
            <w:tcW w:w="952" w:type="dxa"/>
            <w:tcBorders>
              <w:top w:val="single" w:sz="4" w:space="0" w:color="auto"/>
              <w:left w:val="nil"/>
              <w:bottom w:val="single" w:sz="4" w:space="0" w:color="auto"/>
              <w:right w:val="single" w:sz="4" w:space="0" w:color="auto"/>
            </w:tcBorders>
            <w:shd w:val="clear" w:color="auto" w:fill="C6EFCE"/>
            <w:noWrap/>
          </w:tcPr>
          <w:p w14:paraId="529FF3ED" w14:textId="094AF959" w:rsidR="003B6BD9" w:rsidRDefault="009E25E8">
            <w:pPr>
              <w:pStyle w:val="P68B1DB1-Normal7"/>
              <w:spacing w:before="0" w:after="0" w:line="256" w:lineRule="auto"/>
              <w:jc w:val="center"/>
              <w:rPr>
                <w:rFonts w:eastAsia="Times New Roman"/>
                <w:noProof/>
              </w:rPr>
            </w:pPr>
            <w:r>
              <w:rPr>
                <w:noProof/>
              </w:rPr>
              <w:t xml:space="preserve"> T4</w:t>
            </w:r>
          </w:p>
        </w:tc>
        <w:tc>
          <w:tcPr>
            <w:tcW w:w="629" w:type="dxa"/>
            <w:tcBorders>
              <w:top w:val="single" w:sz="4" w:space="0" w:color="auto"/>
              <w:left w:val="nil"/>
              <w:bottom w:val="single" w:sz="4" w:space="0" w:color="auto"/>
              <w:right w:val="single" w:sz="4" w:space="0" w:color="auto"/>
            </w:tcBorders>
            <w:shd w:val="clear" w:color="auto" w:fill="C6EFCE"/>
            <w:noWrap/>
          </w:tcPr>
          <w:p w14:paraId="5D5DB319" w14:textId="3FF6E25C" w:rsidR="003B6BD9" w:rsidRDefault="009E25E8">
            <w:pPr>
              <w:pStyle w:val="P68B1DB1-Normal7"/>
              <w:spacing w:before="0" w:after="0" w:line="256" w:lineRule="auto"/>
              <w:jc w:val="center"/>
              <w:rPr>
                <w:rFonts w:eastAsia="Times New Roman"/>
                <w:noProof/>
              </w:rPr>
            </w:pPr>
            <w:r>
              <w:rPr>
                <w:noProof/>
              </w:rPr>
              <w:t>2025</w:t>
            </w:r>
          </w:p>
        </w:tc>
        <w:tc>
          <w:tcPr>
            <w:tcW w:w="3522" w:type="dxa"/>
            <w:tcBorders>
              <w:top w:val="single" w:sz="4" w:space="0" w:color="auto"/>
              <w:left w:val="nil"/>
              <w:bottom w:val="single" w:sz="4" w:space="0" w:color="auto"/>
              <w:right w:val="single" w:sz="4" w:space="0" w:color="auto"/>
            </w:tcBorders>
            <w:shd w:val="clear" w:color="auto" w:fill="C6EFCE"/>
            <w:noWrap/>
          </w:tcPr>
          <w:p w14:paraId="73042AC2" w14:textId="36DBEEBD" w:rsidR="003B6BD9" w:rsidRDefault="009E25E8">
            <w:pPr>
              <w:pStyle w:val="P68B1DB1-Normal7"/>
              <w:spacing w:before="0" w:after="0" w:line="256" w:lineRule="auto"/>
              <w:rPr>
                <w:rFonts w:eastAsia="Times New Roman"/>
                <w:noProof/>
              </w:rPr>
            </w:pPr>
            <w:r>
              <w:rPr>
                <w:noProof/>
              </w:rPr>
              <w:t>Le jalon fait référence aux programmes d’études révisés. Les programmes d’études sont révisés en ce qui concerne au moins l’un des trois domaines: les compétences numériques, les compétences en matière de développement durable ou la culture financière.</w:t>
            </w:r>
          </w:p>
        </w:tc>
      </w:tr>
      <w:tr w:rsidR="003B6BD9" w14:paraId="4DF07A45" w14:textId="77777777" w:rsidTr="006C1AFD">
        <w:trPr>
          <w:trHeight w:val="309"/>
          <w:jc w:val="center"/>
        </w:trPr>
        <w:tc>
          <w:tcPr>
            <w:tcW w:w="835" w:type="dxa"/>
            <w:tcBorders>
              <w:top w:val="nil"/>
              <w:left w:val="single" w:sz="4" w:space="0" w:color="auto"/>
              <w:bottom w:val="single" w:sz="4" w:space="0" w:color="auto"/>
              <w:right w:val="single" w:sz="4" w:space="0" w:color="auto"/>
            </w:tcBorders>
            <w:shd w:val="clear" w:color="auto" w:fill="C6EFCE"/>
            <w:noWrap/>
          </w:tcPr>
          <w:p w14:paraId="6D5D003C" w14:textId="77777777" w:rsidR="003B6BD9" w:rsidRDefault="009E25E8">
            <w:pPr>
              <w:pStyle w:val="P68B1DB1-Normal7"/>
              <w:spacing w:before="0" w:after="0" w:line="256" w:lineRule="auto"/>
              <w:rPr>
                <w:rFonts w:eastAsia="Times New Roman"/>
                <w:noProof/>
              </w:rPr>
            </w:pPr>
            <w:r>
              <w:rPr>
                <w:noProof/>
              </w:rPr>
              <w:t>157</w:t>
            </w:r>
          </w:p>
        </w:tc>
        <w:tc>
          <w:tcPr>
            <w:tcW w:w="1560" w:type="dxa"/>
            <w:tcBorders>
              <w:top w:val="nil"/>
              <w:left w:val="nil"/>
              <w:bottom w:val="single" w:sz="4" w:space="0" w:color="auto"/>
              <w:right w:val="single" w:sz="4" w:space="0" w:color="auto"/>
            </w:tcBorders>
            <w:shd w:val="clear" w:color="auto" w:fill="C6EFCE"/>
            <w:noWrap/>
          </w:tcPr>
          <w:p w14:paraId="23DEEB0C" w14:textId="77777777" w:rsidR="003B6BD9" w:rsidRDefault="009E25E8">
            <w:pPr>
              <w:pStyle w:val="P68B1DB1-Normal7"/>
              <w:spacing w:before="0" w:after="0" w:line="256" w:lineRule="auto"/>
              <w:rPr>
                <w:rFonts w:eastAsia="Times New Roman"/>
                <w:noProof/>
              </w:rPr>
            </w:pPr>
            <w:r>
              <w:rPr>
                <w:noProof/>
              </w:rPr>
              <w:t>E: La transformation globale de l’éducation verte et numérique</w:t>
            </w:r>
          </w:p>
        </w:tc>
        <w:tc>
          <w:tcPr>
            <w:tcW w:w="1200" w:type="dxa"/>
            <w:tcBorders>
              <w:top w:val="nil"/>
              <w:left w:val="nil"/>
              <w:bottom w:val="single" w:sz="4" w:space="0" w:color="auto"/>
              <w:right w:val="single" w:sz="4" w:space="0" w:color="auto"/>
            </w:tcBorders>
            <w:shd w:val="clear" w:color="auto" w:fill="C6EFCE"/>
            <w:noWrap/>
          </w:tcPr>
          <w:p w14:paraId="39EBEF78" w14:textId="77777777" w:rsidR="003B6BD9" w:rsidRDefault="009E25E8">
            <w:pPr>
              <w:pStyle w:val="P68B1DB1-Normal7"/>
              <w:spacing w:before="0" w:after="0" w:line="256" w:lineRule="auto"/>
              <w:rPr>
                <w:rFonts w:eastAsia="Times New Roman"/>
                <w:noProof/>
              </w:rPr>
            </w:pPr>
            <w:r>
              <w:rPr>
                <w:noProof/>
              </w:rPr>
              <w:t>Cible</w:t>
            </w:r>
          </w:p>
        </w:tc>
        <w:tc>
          <w:tcPr>
            <w:tcW w:w="2253" w:type="dxa"/>
            <w:tcBorders>
              <w:top w:val="nil"/>
              <w:left w:val="nil"/>
              <w:bottom w:val="single" w:sz="4" w:space="0" w:color="auto"/>
              <w:right w:val="single" w:sz="4" w:space="0" w:color="auto"/>
            </w:tcBorders>
            <w:shd w:val="clear" w:color="auto" w:fill="C6EFCE"/>
            <w:noWrap/>
          </w:tcPr>
          <w:p w14:paraId="2B4EACB5" w14:textId="77777777" w:rsidR="003B6BD9" w:rsidRDefault="009E25E8">
            <w:pPr>
              <w:pStyle w:val="P68B1DB1-Normal7"/>
              <w:spacing w:before="0" w:after="0" w:line="256" w:lineRule="auto"/>
              <w:rPr>
                <w:rFonts w:eastAsia="Times New Roman"/>
                <w:noProof/>
              </w:rPr>
            </w:pPr>
            <w:r>
              <w:rPr>
                <w:noProof/>
              </w:rPr>
              <w:t>Professionnels et cadres ayant suivi une formation aux compétences en matière de développement numérique et durable</w:t>
            </w:r>
          </w:p>
        </w:tc>
        <w:tc>
          <w:tcPr>
            <w:tcW w:w="1660" w:type="dxa"/>
            <w:tcBorders>
              <w:top w:val="nil"/>
              <w:left w:val="nil"/>
              <w:bottom w:val="single" w:sz="4" w:space="0" w:color="auto"/>
              <w:right w:val="single" w:sz="4" w:space="0" w:color="auto"/>
            </w:tcBorders>
            <w:shd w:val="clear" w:color="auto" w:fill="C6EFCE"/>
            <w:noWrap/>
          </w:tcPr>
          <w:p w14:paraId="044454A1" w14:textId="77777777" w:rsidR="003B6BD9" w:rsidRDefault="009E25E8">
            <w:pPr>
              <w:pStyle w:val="P68B1DB1-Normal7"/>
              <w:spacing w:line="240" w:lineRule="auto"/>
              <w:jc w:val="both"/>
              <w:rPr>
                <w:rFonts w:eastAsia="Times New Roman"/>
                <w:noProof/>
              </w:rPr>
            </w:pPr>
            <w:r>
              <w:rPr>
                <w:noProof/>
              </w:rPr>
              <w:t> </w:t>
            </w:r>
          </w:p>
        </w:tc>
        <w:tc>
          <w:tcPr>
            <w:tcW w:w="953" w:type="dxa"/>
            <w:tcBorders>
              <w:top w:val="nil"/>
              <w:left w:val="nil"/>
              <w:bottom w:val="single" w:sz="4" w:space="0" w:color="auto"/>
              <w:right w:val="single" w:sz="4" w:space="0" w:color="auto"/>
            </w:tcBorders>
            <w:shd w:val="clear" w:color="auto" w:fill="C6EFCE"/>
            <w:noWrap/>
          </w:tcPr>
          <w:p w14:paraId="4C6F52CB" w14:textId="77777777" w:rsidR="003B6BD9" w:rsidRDefault="009E25E8">
            <w:pPr>
              <w:pStyle w:val="P68B1DB1-Normal7"/>
              <w:spacing w:before="0" w:after="0" w:line="256" w:lineRule="auto"/>
              <w:rPr>
                <w:rFonts w:eastAsia="Times New Roman"/>
                <w:noProof/>
              </w:rPr>
            </w:pPr>
            <w:r>
              <w:rPr>
                <w:noProof/>
              </w:rPr>
              <w:t>Nombre</w:t>
            </w:r>
          </w:p>
        </w:tc>
        <w:tc>
          <w:tcPr>
            <w:tcW w:w="952" w:type="dxa"/>
            <w:tcBorders>
              <w:top w:val="nil"/>
              <w:left w:val="nil"/>
              <w:bottom w:val="single" w:sz="4" w:space="0" w:color="auto"/>
              <w:right w:val="single" w:sz="4" w:space="0" w:color="auto"/>
            </w:tcBorders>
            <w:shd w:val="clear" w:color="auto" w:fill="C6EFCE"/>
            <w:noWrap/>
          </w:tcPr>
          <w:p w14:paraId="65C81953" w14:textId="77777777" w:rsidR="003B6BD9" w:rsidRDefault="009E25E8">
            <w:pPr>
              <w:pStyle w:val="P68B1DB1-Normal7"/>
              <w:spacing w:before="0" w:after="0" w:line="256" w:lineRule="auto"/>
              <w:rPr>
                <w:rFonts w:eastAsia="Times New Roman"/>
                <w:noProof/>
              </w:rPr>
            </w:pPr>
            <w:r>
              <w:rPr>
                <w:noProof/>
              </w:rPr>
              <w:t>0</w:t>
            </w:r>
          </w:p>
        </w:tc>
        <w:tc>
          <w:tcPr>
            <w:tcW w:w="1091" w:type="dxa"/>
            <w:tcBorders>
              <w:top w:val="nil"/>
              <w:left w:val="nil"/>
              <w:bottom w:val="single" w:sz="4" w:space="0" w:color="auto"/>
              <w:right w:val="single" w:sz="4" w:space="0" w:color="auto"/>
            </w:tcBorders>
            <w:shd w:val="clear" w:color="auto" w:fill="C6EFCE"/>
            <w:noWrap/>
          </w:tcPr>
          <w:p w14:paraId="48806E5A" w14:textId="683CF91A" w:rsidR="003B6BD9" w:rsidRDefault="009E25E8">
            <w:pPr>
              <w:pStyle w:val="P68B1DB1-Normal7"/>
              <w:spacing w:before="0" w:after="0" w:line="256" w:lineRule="auto"/>
              <w:rPr>
                <w:noProof/>
              </w:rPr>
            </w:pPr>
            <w:r>
              <w:rPr>
                <w:noProof/>
              </w:rPr>
              <w:t>16 000</w:t>
            </w:r>
          </w:p>
        </w:tc>
        <w:tc>
          <w:tcPr>
            <w:tcW w:w="952" w:type="dxa"/>
            <w:tcBorders>
              <w:top w:val="nil"/>
              <w:left w:val="nil"/>
              <w:bottom w:val="single" w:sz="4" w:space="0" w:color="auto"/>
              <w:right w:val="single" w:sz="4" w:space="0" w:color="auto"/>
            </w:tcBorders>
            <w:shd w:val="clear" w:color="auto" w:fill="C6EFCE"/>
            <w:noWrap/>
          </w:tcPr>
          <w:p w14:paraId="02164D70" w14:textId="77777777" w:rsidR="003B6BD9" w:rsidRDefault="009E25E8">
            <w:pPr>
              <w:pStyle w:val="P68B1DB1-Normal7"/>
              <w:spacing w:before="0" w:after="0" w:line="256" w:lineRule="auto"/>
              <w:jc w:val="center"/>
              <w:rPr>
                <w:rFonts w:eastAsia="Times New Roman"/>
                <w:noProof/>
              </w:rPr>
            </w:pPr>
            <w:r>
              <w:rPr>
                <w:noProof/>
              </w:rPr>
              <w:t>T2</w:t>
            </w:r>
          </w:p>
        </w:tc>
        <w:tc>
          <w:tcPr>
            <w:tcW w:w="629" w:type="dxa"/>
            <w:tcBorders>
              <w:top w:val="nil"/>
              <w:left w:val="nil"/>
              <w:bottom w:val="single" w:sz="4" w:space="0" w:color="auto"/>
              <w:right w:val="single" w:sz="4" w:space="0" w:color="auto"/>
            </w:tcBorders>
            <w:shd w:val="clear" w:color="auto" w:fill="C6EFCE"/>
            <w:noWrap/>
          </w:tcPr>
          <w:p w14:paraId="2CA573E4" w14:textId="77777777" w:rsidR="003B6BD9" w:rsidRDefault="009E25E8">
            <w:pPr>
              <w:pStyle w:val="P68B1DB1-Normal7"/>
              <w:spacing w:before="0" w:after="0" w:line="256" w:lineRule="auto"/>
              <w:jc w:val="center"/>
              <w:rPr>
                <w:rFonts w:eastAsia="Times New Roman"/>
                <w:noProof/>
              </w:rPr>
            </w:pPr>
            <w:r>
              <w:rPr>
                <w:noProof/>
              </w:rPr>
              <w:t>2024</w:t>
            </w:r>
          </w:p>
        </w:tc>
        <w:tc>
          <w:tcPr>
            <w:tcW w:w="3522" w:type="dxa"/>
            <w:tcBorders>
              <w:top w:val="nil"/>
              <w:left w:val="nil"/>
              <w:bottom w:val="single" w:sz="4" w:space="0" w:color="auto"/>
              <w:right w:val="single" w:sz="4" w:space="0" w:color="auto"/>
            </w:tcBorders>
            <w:shd w:val="clear" w:color="auto" w:fill="C6EFCE"/>
            <w:noWrap/>
          </w:tcPr>
          <w:p w14:paraId="74E69BB6" w14:textId="062D3C88" w:rsidR="003B6BD9" w:rsidRDefault="009E25E8">
            <w:pPr>
              <w:pStyle w:val="P68B1DB1-Normal7"/>
              <w:spacing w:before="0" w:after="0" w:line="256" w:lineRule="auto"/>
              <w:rPr>
                <w:rFonts w:eastAsia="Times New Roman"/>
                <w:noProof/>
              </w:rPr>
            </w:pPr>
            <w:r>
              <w:rPr>
                <w:noProof/>
              </w:rPr>
              <w:t xml:space="preserve">La formation des professionnels et des cadres dans le domaine de l’éducation et de la formation, dispensée par les prestataires conformément aux règles relatives à la sélection et au cofinancement de programmes d’éducation et de formation complémentaires pour les professionnels de l’éducation et de la formation, renforce les compétences numériques, les compétences en matière de développement durable et la culture financière. Les formations devraient durer en moyenne 4,6 jours d’enseignement. </w:t>
            </w:r>
          </w:p>
        </w:tc>
      </w:tr>
      <w:tr w:rsidR="003B6BD9" w14:paraId="096531BA" w14:textId="77777777" w:rsidTr="006C1AFD">
        <w:trPr>
          <w:trHeight w:val="309"/>
          <w:jc w:val="center"/>
        </w:trPr>
        <w:tc>
          <w:tcPr>
            <w:tcW w:w="835" w:type="dxa"/>
            <w:tcBorders>
              <w:top w:val="nil"/>
              <w:left w:val="single" w:sz="4" w:space="0" w:color="auto"/>
              <w:bottom w:val="single" w:sz="4" w:space="0" w:color="auto"/>
              <w:right w:val="single" w:sz="4" w:space="0" w:color="auto"/>
            </w:tcBorders>
            <w:shd w:val="clear" w:color="auto" w:fill="C6EFCE"/>
            <w:noWrap/>
          </w:tcPr>
          <w:p w14:paraId="16539FE0" w14:textId="1E9CA8FE" w:rsidR="003B6BD9" w:rsidRDefault="009E25E8">
            <w:pPr>
              <w:pStyle w:val="P68B1DB1-Normal7"/>
              <w:spacing w:before="0" w:after="0" w:line="256" w:lineRule="auto"/>
              <w:rPr>
                <w:noProof/>
              </w:rPr>
            </w:pPr>
            <w:r>
              <w:rPr>
                <w:noProof/>
              </w:rPr>
              <w:t>158 bis</w:t>
            </w:r>
          </w:p>
        </w:tc>
        <w:tc>
          <w:tcPr>
            <w:tcW w:w="1560" w:type="dxa"/>
            <w:tcBorders>
              <w:top w:val="nil"/>
              <w:left w:val="nil"/>
              <w:bottom w:val="single" w:sz="4" w:space="0" w:color="auto"/>
              <w:right w:val="single" w:sz="4" w:space="0" w:color="auto"/>
            </w:tcBorders>
            <w:shd w:val="clear" w:color="auto" w:fill="C6EFCE"/>
            <w:noWrap/>
          </w:tcPr>
          <w:p w14:paraId="21290920" w14:textId="2F6B37B9" w:rsidR="003B6BD9" w:rsidRDefault="009E25E8">
            <w:pPr>
              <w:pStyle w:val="P68B1DB1-Normal7"/>
              <w:spacing w:before="0" w:after="0" w:line="256" w:lineRule="auto"/>
              <w:rPr>
                <w:noProof/>
              </w:rPr>
            </w:pPr>
            <w:r>
              <w:rPr>
                <w:noProof/>
              </w:rPr>
              <w:t>E: La transformation globale de l’éducation verte et numérique</w:t>
            </w:r>
          </w:p>
        </w:tc>
        <w:tc>
          <w:tcPr>
            <w:tcW w:w="1200" w:type="dxa"/>
            <w:tcBorders>
              <w:top w:val="nil"/>
              <w:left w:val="nil"/>
              <w:bottom w:val="single" w:sz="4" w:space="0" w:color="auto"/>
              <w:right w:val="single" w:sz="4" w:space="0" w:color="auto"/>
            </w:tcBorders>
            <w:shd w:val="clear" w:color="auto" w:fill="C6EFCE"/>
            <w:noWrap/>
          </w:tcPr>
          <w:p w14:paraId="3E4FE5AB" w14:textId="092B313C" w:rsidR="003B6BD9" w:rsidRDefault="009E25E8">
            <w:pPr>
              <w:pStyle w:val="P68B1DB1-Normal7"/>
              <w:spacing w:before="0" w:after="0" w:line="256" w:lineRule="auto"/>
              <w:rPr>
                <w:noProof/>
              </w:rPr>
            </w:pPr>
            <w:r>
              <w:rPr>
                <w:noProof/>
              </w:rPr>
              <w:t>Cible</w:t>
            </w:r>
          </w:p>
        </w:tc>
        <w:tc>
          <w:tcPr>
            <w:tcW w:w="2253" w:type="dxa"/>
            <w:tcBorders>
              <w:top w:val="nil"/>
              <w:left w:val="nil"/>
              <w:bottom w:val="single" w:sz="4" w:space="0" w:color="auto"/>
              <w:right w:val="single" w:sz="4" w:space="0" w:color="auto"/>
            </w:tcBorders>
            <w:shd w:val="clear" w:color="auto" w:fill="C6EFCE"/>
            <w:noWrap/>
          </w:tcPr>
          <w:p w14:paraId="1A2AB12F" w14:textId="59232F1A" w:rsidR="003B6BD9" w:rsidRDefault="009E25E8">
            <w:pPr>
              <w:pStyle w:val="P68B1DB1-Normal7"/>
              <w:spacing w:before="0" w:after="0" w:line="256" w:lineRule="auto"/>
              <w:rPr>
                <w:noProof/>
              </w:rPr>
            </w:pPr>
            <w:r>
              <w:rPr>
                <w:noProof/>
              </w:rPr>
              <w:t>Projets pour les compétences des apprenants en matière de numérique, de développement durable et de culture financière</w:t>
            </w:r>
          </w:p>
        </w:tc>
        <w:tc>
          <w:tcPr>
            <w:tcW w:w="1660" w:type="dxa"/>
            <w:tcBorders>
              <w:top w:val="nil"/>
              <w:left w:val="nil"/>
              <w:bottom w:val="single" w:sz="4" w:space="0" w:color="auto"/>
              <w:right w:val="single" w:sz="4" w:space="0" w:color="auto"/>
            </w:tcBorders>
            <w:shd w:val="clear" w:color="auto" w:fill="C6EFCE"/>
            <w:noWrap/>
          </w:tcPr>
          <w:p w14:paraId="72DC064D" w14:textId="662E23BE" w:rsidR="003B6BD9" w:rsidRDefault="003B6BD9">
            <w:pPr>
              <w:spacing w:before="0" w:after="0" w:line="256" w:lineRule="auto"/>
              <w:rPr>
                <w:noProof/>
                <w:color w:val="006100"/>
                <w:sz w:val="18"/>
                <w:szCs w:val="18"/>
              </w:rPr>
            </w:pPr>
          </w:p>
        </w:tc>
        <w:tc>
          <w:tcPr>
            <w:tcW w:w="953" w:type="dxa"/>
            <w:tcBorders>
              <w:top w:val="nil"/>
              <w:left w:val="nil"/>
              <w:bottom w:val="single" w:sz="4" w:space="0" w:color="auto"/>
              <w:right w:val="single" w:sz="4" w:space="0" w:color="auto"/>
            </w:tcBorders>
            <w:shd w:val="clear" w:color="auto" w:fill="C6EFCE"/>
            <w:noWrap/>
          </w:tcPr>
          <w:p w14:paraId="7DEABAF2" w14:textId="04F40E11" w:rsidR="003B6BD9" w:rsidRDefault="009E25E8">
            <w:pPr>
              <w:pStyle w:val="P68B1DB1-Normal7"/>
              <w:spacing w:before="0" w:after="0" w:line="256" w:lineRule="auto"/>
              <w:rPr>
                <w:noProof/>
              </w:rPr>
            </w:pPr>
            <w:r>
              <w:rPr>
                <w:noProof/>
              </w:rPr>
              <w:t>Nombre</w:t>
            </w:r>
          </w:p>
        </w:tc>
        <w:tc>
          <w:tcPr>
            <w:tcW w:w="952" w:type="dxa"/>
            <w:tcBorders>
              <w:top w:val="nil"/>
              <w:left w:val="nil"/>
              <w:bottom w:val="single" w:sz="4" w:space="0" w:color="auto"/>
              <w:right w:val="single" w:sz="4" w:space="0" w:color="auto"/>
            </w:tcBorders>
            <w:shd w:val="clear" w:color="auto" w:fill="C6EFCE"/>
            <w:noWrap/>
          </w:tcPr>
          <w:p w14:paraId="3112C33C" w14:textId="2F9DA605" w:rsidR="003B6BD9" w:rsidRDefault="009E25E8">
            <w:pPr>
              <w:pStyle w:val="P68B1DB1-Normal7"/>
              <w:spacing w:before="0" w:after="0" w:line="256" w:lineRule="auto"/>
              <w:rPr>
                <w:noProof/>
              </w:rPr>
            </w:pPr>
            <w:r>
              <w:rPr>
                <w:noProof/>
              </w:rPr>
              <w:t>0</w:t>
            </w:r>
          </w:p>
        </w:tc>
        <w:tc>
          <w:tcPr>
            <w:tcW w:w="1091" w:type="dxa"/>
            <w:tcBorders>
              <w:top w:val="nil"/>
              <w:left w:val="nil"/>
              <w:bottom w:val="single" w:sz="4" w:space="0" w:color="auto"/>
              <w:right w:val="single" w:sz="4" w:space="0" w:color="auto"/>
            </w:tcBorders>
            <w:shd w:val="clear" w:color="auto" w:fill="C6EFCE"/>
            <w:noWrap/>
          </w:tcPr>
          <w:p w14:paraId="37D8AF3C" w14:textId="53CBCD52" w:rsidR="003B6BD9" w:rsidRDefault="009E25E8">
            <w:pPr>
              <w:pStyle w:val="P68B1DB1-Normal7"/>
              <w:spacing w:before="0" w:after="0" w:line="256" w:lineRule="auto"/>
              <w:rPr>
                <w:noProof/>
              </w:rPr>
            </w:pPr>
            <w:r>
              <w:rPr>
                <w:noProof/>
              </w:rPr>
              <w:t>14</w:t>
            </w:r>
          </w:p>
        </w:tc>
        <w:tc>
          <w:tcPr>
            <w:tcW w:w="952" w:type="dxa"/>
            <w:tcBorders>
              <w:top w:val="nil"/>
              <w:left w:val="nil"/>
              <w:bottom w:val="single" w:sz="4" w:space="0" w:color="auto"/>
              <w:right w:val="single" w:sz="4" w:space="0" w:color="auto"/>
            </w:tcBorders>
            <w:shd w:val="clear" w:color="auto" w:fill="C6EFCE"/>
            <w:noWrap/>
          </w:tcPr>
          <w:p w14:paraId="0EC773DB" w14:textId="08A594E4" w:rsidR="003B6BD9" w:rsidRDefault="009E25E8">
            <w:pPr>
              <w:pStyle w:val="P68B1DB1-Normal7"/>
              <w:spacing w:before="0" w:after="0" w:line="256" w:lineRule="auto"/>
              <w:jc w:val="center"/>
              <w:rPr>
                <w:noProof/>
              </w:rPr>
            </w:pPr>
            <w:r>
              <w:rPr>
                <w:noProof/>
              </w:rPr>
              <w:t>T2</w:t>
            </w:r>
          </w:p>
        </w:tc>
        <w:tc>
          <w:tcPr>
            <w:tcW w:w="629" w:type="dxa"/>
            <w:tcBorders>
              <w:top w:val="nil"/>
              <w:left w:val="nil"/>
              <w:bottom w:val="single" w:sz="4" w:space="0" w:color="auto"/>
              <w:right w:val="single" w:sz="4" w:space="0" w:color="auto"/>
            </w:tcBorders>
            <w:shd w:val="clear" w:color="auto" w:fill="C6EFCE"/>
            <w:noWrap/>
          </w:tcPr>
          <w:p w14:paraId="14B450FC" w14:textId="06514EA7" w:rsidR="003B6BD9" w:rsidRDefault="009E25E8">
            <w:pPr>
              <w:pStyle w:val="P68B1DB1-Normal7"/>
              <w:spacing w:before="0" w:after="0" w:line="256" w:lineRule="auto"/>
              <w:jc w:val="center"/>
              <w:rPr>
                <w:noProof/>
              </w:rPr>
            </w:pPr>
            <w:r>
              <w:rPr>
                <w:noProof/>
              </w:rPr>
              <w:t>2026</w:t>
            </w:r>
          </w:p>
        </w:tc>
        <w:tc>
          <w:tcPr>
            <w:tcW w:w="3522" w:type="dxa"/>
            <w:tcBorders>
              <w:top w:val="nil"/>
              <w:left w:val="nil"/>
              <w:bottom w:val="single" w:sz="4" w:space="0" w:color="auto"/>
              <w:right w:val="single" w:sz="4" w:space="0" w:color="auto"/>
            </w:tcBorders>
            <w:shd w:val="clear" w:color="auto" w:fill="C6EFCE"/>
            <w:noWrap/>
          </w:tcPr>
          <w:p w14:paraId="64937E67" w14:textId="2555AB8E" w:rsidR="003B6BD9" w:rsidRDefault="009E25E8">
            <w:pPr>
              <w:pStyle w:val="P68B1DB1-Normal7"/>
              <w:spacing w:before="0" w:after="0" w:line="256" w:lineRule="auto"/>
              <w:rPr>
                <w:noProof/>
              </w:rPr>
            </w:pPr>
            <w:r>
              <w:rPr>
                <w:noProof/>
              </w:rPr>
              <w:t xml:space="preserve">Acceptation, par le pouvoir adjudicateur, des rapports finaux de mise en œuvre des 14 projets portant sur les compétences numériques ou les compétences en matière de développement durable ou de culture financière pour les apprenants, ou sur l’expérimentation de nouvelles technologies de l’information et de la communication (TIC) dans le domaine de l’éducation.  </w:t>
            </w:r>
          </w:p>
        </w:tc>
      </w:tr>
      <w:tr w:rsidR="003B6BD9" w14:paraId="6C1D1A3D" w14:textId="77777777" w:rsidTr="006C1AFD">
        <w:trPr>
          <w:trHeight w:val="309"/>
          <w:jc w:val="center"/>
        </w:trPr>
        <w:tc>
          <w:tcPr>
            <w:tcW w:w="835" w:type="dxa"/>
            <w:tcBorders>
              <w:top w:val="nil"/>
              <w:left w:val="single" w:sz="4" w:space="0" w:color="auto"/>
              <w:bottom w:val="single" w:sz="4" w:space="0" w:color="auto"/>
              <w:right w:val="single" w:sz="4" w:space="0" w:color="auto"/>
            </w:tcBorders>
            <w:shd w:val="clear" w:color="auto" w:fill="C6EFCE"/>
            <w:noWrap/>
          </w:tcPr>
          <w:p w14:paraId="6FBBC7AD" w14:textId="2E62A14D" w:rsidR="003B6BD9" w:rsidRDefault="009E25E8">
            <w:pPr>
              <w:pStyle w:val="P68B1DB1-Normal7"/>
              <w:spacing w:before="0" w:after="0" w:line="256" w:lineRule="auto"/>
              <w:rPr>
                <w:noProof/>
              </w:rPr>
            </w:pPr>
            <w:r>
              <w:rPr>
                <w:noProof/>
              </w:rPr>
              <w:t>158 c</w:t>
            </w:r>
          </w:p>
        </w:tc>
        <w:tc>
          <w:tcPr>
            <w:tcW w:w="1560" w:type="dxa"/>
            <w:tcBorders>
              <w:top w:val="nil"/>
              <w:left w:val="nil"/>
              <w:bottom w:val="single" w:sz="4" w:space="0" w:color="auto"/>
              <w:right w:val="single" w:sz="4" w:space="0" w:color="auto"/>
            </w:tcBorders>
            <w:shd w:val="clear" w:color="auto" w:fill="C6EFCE"/>
            <w:noWrap/>
          </w:tcPr>
          <w:p w14:paraId="11E8283E" w14:textId="360CCC44" w:rsidR="003B6BD9" w:rsidRDefault="009E25E8">
            <w:pPr>
              <w:pStyle w:val="P68B1DB1-Normal7"/>
              <w:spacing w:before="0" w:after="0" w:line="256" w:lineRule="auto"/>
              <w:rPr>
                <w:noProof/>
              </w:rPr>
            </w:pPr>
            <w:r>
              <w:rPr>
                <w:noProof/>
              </w:rPr>
              <w:t>E: La transformation globale de l’éducation verte et numérique</w:t>
            </w:r>
          </w:p>
        </w:tc>
        <w:tc>
          <w:tcPr>
            <w:tcW w:w="1200" w:type="dxa"/>
            <w:tcBorders>
              <w:top w:val="nil"/>
              <w:left w:val="nil"/>
              <w:bottom w:val="single" w:sz="4" w:space="0" w:color="auto"/>
              <w:right w:val="single" w:sz="4" w:space="0" w:color="auto"/>
            </w:tcBorders>
            <w:shd w:val="clear" w:color="auto" w:fill="C6EFCE"/>
            <w:noWrap/>
          </w:tcPr>
          <w:p w14:paraId="125C97AF" w14:textId="125839CF" w:rsidR="003B6BD9" w:rsidRDefault="009E25E8">
            <w:pPr>
              <w:pStyle w:val="P68B1DB1-Normal7"/>
              <w:spacing w:before="0" w:after="0" w:line="256" w:lineRule="auto"/>
              <w:rPr>
                <w:noProof/>
              </w:rPr>
            </w:pPr>
            <w:r>
              <w:rPr>
                <w:noProof/>
              </w:rPr>
              <w:t>Cible</w:t>
            </w:r>
          </w:p>
        </w:tc>
        <w:tc>
          <w:tcPr>
            <w:tcW w:w="2253" w:type="dxa"/>
            <w:tcBorders>
              <w:top w:val="nil"/>
              <w:left w:val="nil"/>
              <w:bottom w:val="single" w:sz="4" w:space="0" w:color="auto"/>
              <w:right w:val="single" w:sz="4" w:space="0" w:color="auto"/>
            </w:tcBorders>
            <w:shd w:val="clear" w:color="auto" w:fill="C6EFCE"/>
            <w:noWrap/>
          </w:tcPr>
          <w:p w14:paraId="0533E128" w14:textId="137070A9" w:rsidR="003B6BD9" w:rsidRDefault="009E25E8">
            <w:pPr>
              <w:pStyle w:val="P68B1DB1-Normal7"/>
              <w:spacing w:before="0" w:after="0" w:line="256" w:lineRule="auto"/>
              <w:rPr>
                <w:noProof/>
              </w:rPr>
            </w:pPr>
            <w:r>
              <w:rPr>
                <w:noProof/>
              </w:rPr>
              <w:t xml:space="preserve">Programmes de formation à l’éducation non formelle pour adultes dans le domaine de la culture financière </w:t>
            </w:r>
          </w:p>
        </w:tc>
        <w:tc>
          <w:tcPr>
            <w:tcW w:w="1660" w:type="dxa"/>
            <w:tcBorders>
              <w:top w:val="nil"/>
              <w:left w:val="nil"/>
              <w:bottom w:val="single" w:sz="4" w:space="0" w:color="auto"/>
              <w:right w:val="single" w:sz="4" w:space="0" w:color="auto"/>
            </w:tcBorders>
            <w:shd w:val="clear" w:color="auto" w:fill="C6EFCE"/>
            <w:noWrap/>
          </w:tcPr>
          <w:p w14:paraId="32516112" w14:textId="77777777" w:rsidR="003B6BD9" w:rsidRDefault="003B6BD9">
            <w:pPr>
              <w:spacing w:line="240" w:lineRule="auto"/>
              <w:jc w:val="both"/>
              <w:rPr>
                <w:noProof/>
                <w:color w:val="006100"/>
                <w:sz w:val="18"/>
                <w:szCs w:val="18"/>
              </w:rPr>
            </w:pPr>
          </w:p>
        </w:tc>
        <w:tc>
          <w:tcPr>
            <w:tcW w:w="953" w:type="dxa"/>
            <w:tcBorders>
              <w:top w:val="nil"/>
              <w:left w:val="nil"/>
              <w:bottom w:val="single" w:sz="4" w:space="0" w:color="auto"/>
              <w:right w:val="single" w:sz="4" w:space="0" w:color="auto"/>
            </w:tcBorders>
            <w:shd w:val="clear" w:color="auto" w:fill="C6EFCE"/>
            <w:noWrap/>
          </w:tcPr>
          <w:p w14:paraId="7705C973" w14:textId="67C9FE2D" w:rsidR="003B6BD9" w:rsidRDefault="009E25E8">
            <w:pPr>
              <w:pStyle w:val="P68B1DB1-Normal7"/>
              <w:spacing w:before="0" w:after="0" w:line="256" w:lineRule="auto"/>
              <w:rPr>
                <w:noProof/>
              </w:rPr>
            </w:pPr>
            <w:r>
              <w:rPr>
                <w:noProof/>
              </w:rPr>
              <w:t>Nombre</w:t>
            </w:r>
          </w:p>
        </w:tc>
        <w:tc>
          <w:tcPr>
            <w:tcW w:w="952" w:type="dxa"/>
            <w:tcBorders>
              <w:top w:val="nil"/>
              <w:left w:val="nil"/>
              <w:bottom w:val="single" w:sz="4" w:space="0" w:color="auto"/>
              <w:right w:val="single" w:sz="4" w:space="0" w:color="auto"/>
            </w:tcBorders>
            <w:shd w:val="clear" w:color="auto" w:fill="C6EFCE"/>
            <w:noWrap/>
          </w:tcPr>
          <w:p w14:paraId="340E3FC8" w14:textId="576B4F5A" w:rsidR="003B6BD9" w:rsidRDefault="009E25E8">
            <w:pPr>
              <w:pStyle w:val="P68B1DB1-Normal7"/>
              <w:spacing w:before="0" w:after="0" w:line="256" w:lineRule="auto"/>
              <w:rPr>
                <w:noProof/>
              </w:rPr>
            </w:pPr>
            <w:r>
              <w:rPr>
                <w:noProof/>
              </w:rPr>
              <w:t>0</w:t>
            </w:r>
          </w:p>
        </w:tc>
        <w:tc>
          <w:tcPr>
            <w:tcW w:w="1091" w:type="dxa"/>
            <w:tcBorders>
              <w:top w:val="nil"/>
              <w:left w:val="nil"/>
              <w:bottom w:val="single" w:sz="4" w:space="0" w:color="auto"/>
              <w:right w:val="single" w:sz="4" w:space="0" w:color="auto"/>
            </w:tcBorders>
            <w:shd w:val="clear" w:color="auto" w:fill="C6EFCE"/>
            <w:noWrap/>
          </w:tcPr>
          <w:p w14:paraId="21B1B100" w14:textId="4E67F067" w:rsidR="003B6BD9" w:rsidRDefault="009E25E8">
            <w:pPr>
              <w:pStyle w:val="P68B1DB1-Normal7"/>
              <w:spacing w:before="0" w:after="0" w:line="256" w:lineRule="auto"/>
              <w:rPr>
                <w:noProof/>
              </w:rPr>
            </w:pPr>
            <w:r>
              <w:rPr>
                <w:noProof/>
              </w:rPr>
              <w:t>20</w:t>
            </w:r>
          </w:p>
        </w:tc>
        <w:tc>
          <w:tcPr>
            <w:tcW w:w="952" w:type="dxa"/>
            <w:tcBorders>
              <w:top w:val="nil"/>
              <w:left w:val="nil"/>
              <w:bottom w:val="single" w:sz="4" w:space="0" w:color="auto"/>
              <w:right w:val="single" w:sz="4" w:space="0" w:color="auto"/>
            </w:tcBorders>
            <w:shd w:val="clear" w:color="auto" w:fill="C6EFCE"/>
            <w:noWrap/>
          </w:tcPr>
          <w:p w14:paraId="38E02292" w14:textId="3EDF8526" w:rsidR="003B6BD9" w:rsidRDefault="009E25E8">
            <w:pPr>
              <w:pStyle w:val="P68B1DB1-Normal7"/>
              <w:spacing w:before="0" w:after="0" w:line="256" w:lineRule="auto"/>
              <w:jc w:val="center"/>
              <w:rPr>
                <w:noProof/>
              </w:rPr>
            </w:pPr>
            <w:r>
              <w:rPr>
                <w:noProof/>
              </w:rPr>
              <w:t>T2</w:t>
            </w:r>
          </w:p>
        </w:tc>
        <w:tc>
          <w:tcPr>
            <w:tcW w:w="629" w:type="dxa"/>
            <w:tcBorders>
              <w:top w:val="nil"/>
              <w:left w:val="nil"/>
              <w:bottom w:val="single" w:sz="4" w:space="0" w:color="auto"/>
              <w:right w:val="single" w:sz="4" w:space="0" w:color="auto"/>
            </w:tcBorders>
            <w:shd w:val="clear" w:color="auto" w:fill="C6EFCE"/>
            <w:noWrap/>
          </w:tcPr>
          <w:p w14:paraId="099AFF27" w14:textId="2003E018" w:rsidR="003B6BD9" w:rsidRDefault="009E25E8">
            <w:pPr>
              <w:pStyle w:val="P68B1DB1-Normal7"/>
              <w:spacing w:before="0" w:after="0" w:line="256" w:lineRule="auto"/>
              <w:jc w:val="center"/>
              <w:rPr>
                <w:noProof/>
              </w:rPr>
            </w:pPr>
            <w:r>
              <w:rPr>
                <w:noProof/>
              </w:rPr>
              <w:t>2026</w:t>
            </w:r>
          </w:p>
        </w:tc>
        <w:tc>
          <w:tcPr>
            <w:tcW w:w="3522" w:type="dxa"/>
            <w:tcBorders>
              <w:top w:val="nil"/>
              <w:left w:val="nil"/>
              <w:bottom w:val="single" w:sz="4" w:space="0" w:color="auto"/>
              <w:right w:val="single" w:sz="4" w:space="0" w:color="auto"/>
            </w:tcBorders>
            <w:shd w:val="clear" w:color="auto" w:fill="C6EFCE"/>
            <w:noWrap/>
          </w:tcPr>
          <w:p w14:paraId="1A3B32EB" w14:textId="6DD70A81" w:rsidR="003B6BD9" w:rsidRDefault="009E25E8">
            <w:pPr>
              <w:pStyle w:val="P68B1DB1-Normal7"/>
              <w:spacing w:before="0" w:after="0" w:line="256" w:lineRule="auto"/>
              <w:rPr>
                <w:noProof/>
              </w:rPr>
            </w:pPr>
            <w:r>
              <w:rPr>
                <w:noProof/>
              </w:rPr>
              <w:t>Fourniture de programmes de formation à l’éducation non formelle pour adultes dans le domaine de la culture financière.</w:t>
            </w:r>
          </w:p>
        </w:tc>
      </w:tr>
      <w:tr w:rsidR="003B6BD9" w14:paraId="51EA788E" w14:textId="77777777" w:rsidTr="006C1AFD">
        <w:trPr>
          <w:trHeight w:val="309"/>
          <w:jc w:val="center"/>
        </w:trPr>
        <w:tc>
          <w:tcPr>
            <w:tcW w:w="835" w:type="dxa"/>
            <w:tcBorders>
              <w:top w:val="nil"/>
              <w:left w:val="single" w:sz="4" w:space="0" w:color="auto"/>
              <w:bottom w:val="single" w:sz="4" w:space="0" w:color="auto"/>
              <w:right w:val="single" w:sz="4" w:space="0" w:color="auto"/>
            </w:tcBorders>
            <w:shd w:val="clear" w:color="auto" w:fill="C6EFCE"/>
            <w:noWrap/>
          </w:tcPr>
          <w:p w14:paraId="37ACE929" w14:textId="77777777" w:rsidR="003B6BD9" w:rsidRDefault="009E25E8">
            <w:pPr>
              <w:pStyle w:val="P68B1DB1-Normal7"/>
              <w:spacing w:before="0" w:after="0" w:line="256" w:lineRule="auto"/>
              <w:rPr>
                <w:rFonts w:eastAsia="Times New Roman"/>
                <w:noProof/>
              </w:rPr>
            </w:pPr>
            <w:r>
              <w:rPr>
                <w:noProof/>
              </w:rPr>
              <w:t>159</w:t>
            </w:r>
          </w:p>
        </w:tc>
        <w:tc>
          <w:tcPr>
            <w:tcW w:w="1560" w:type="dxa"/>
            <w:tcBorders>
              <w:top w:val="nil"/>
              <w:left w:val="nil"/>
              <w:bottom w:val="single" w:sz="4" w:space="0" w:color="auto"/>
              <w:right w:val="single" w:sz="4" w:space="0" w:color="auto"/>
            </w:tcBorders>
            <w:shd w:val="clear" w:color="auto" w:fill="C6EFCE"/>
            <w:noWrap/>
          </w:tcPr>
          <w:p w14:paraId="7F79AE5F" w14:textId="77777777" w:rsidR="003B6BD9" w:rsidRDefault="009E25E8">
            <w:pPr>
              <w:pStyle w:val="P68B1DB1-Normal7"/>
              <w:spacing w:before="0" w:after="0" w:line="256" w:lineRule="auto"/>
              <w:rPr>
                <w:rFonts w:eastAsia="Times New Roman"/>
                <w:noProof/>
              </w:rPr>
            </w:pPr>
            <w:r>
              <w:rPr>
                <w:noProof/>
              </w:rPr>
              <w:t xml:space="preserve">B: Réforme de l’enseignement supérieur pour une transition écologique et résiliente </w:t>
            </w:r>
          </w:p>
        </w:tc>
        <w:tc>
          <w:tcPr>
            <w:tcW w:w="1200" w:type="dxa"/>
            <w:tcBorders>
              <w:top w:val="nil"/>
              <w:left w:val="nil"/>
              <w:bottom w:val="single" w:sz="4" w:space="0" w:color="auto"/>
              <w:right w:val="single" w:sz="4" w:space="0" w:color="auto"/>
            </w:tcBorders>
            <w:shd w:val="clear" w:color="auto" w:fill="C6EFCE"/>
            <w:noWrap/>
          </w:tcPr>
          <w:p w14:paraId="7A23629A" w14:textId="6DBAE468" w:rsidR="003B6BD9" w:rsidRDefault="009E25E8">
            <w:pPr>
              <w:pStyle w:val="P68B1DB1-Normal7"/>
              <w:spacing w:before="0" w:after="0" w:line="256" w:lineRule="auto"/>
              <w:rPr>
                <w:rFonts w:eastAsia="Times New Roman"/>
                <w:noProof/>
              </w:rPr>
            </w:pPr>
            <w:r>
              <w:rPr>
                <w:noProof/>
              </w:rPr>
              <w:t xml:space="preserve"> Jalon</w:t>
            </w:r>
          </w:p>
        </w:tc>
        <w:tc>
          <w:tcPr>
            <w:tcW w:w="2253" w:type="dxa"/>
            <w:tcBorders>
              <w:top w:val="nil"/>
              <w:left w:val="nil"/>
              <w:bottom w:val="single" w:sz="4" w:space="0" w:color="auto"/>
              <w:right w:val="single" w:sz="4" w:space="0" w:color="auto"/>
            </w:tcBorders>
            <w:shd w:val="clear" w:color="auto" w:fill="C6EFCE"/>
            <w:noWrap/>
          </w:tcPr>
          <w:p w14:paraId="3A8AA3F5" w14:textId="35D95933" w:rsidR="003B6BD9" w:rsidRDefault="009E25E8">
            <w:pPr>
              <w:pStyle w:val="P68B1DB1-Normal7"/>
              <w:spacing w:before="0" w:after="0" w:line="256" w:lineRule="auto"/>
              <w:rPr>
                <w:rFonts w:eastAsia="Times New Roman"/>
                <w:noProof/>
              </w:rPr>
            </w:pPr>
            <w:r>
              <w:rPr>
                <w:noProof/>
              </w:rPr>
              <w:t>Programmes révisés de l’enseignement supérieur</w:t>
            </w:r>
          </w:p>
        </w:tc>
        <w:tc>
          <w:tcPr>
            <w:tcW w:w="1660" w:type="dxa"/>
            <w:tcBorders>
              <w:top w:val="nil"/>
              <w:left w:val="nil"/>
              <w:bottom w:val="single" w:sz="4" w:space="0" w:color="auto"/>
              <w:right w:val="single" w:sz="4" w:space="0" w:color="auto"/>
            </w:tcBorders>
            <w:shd w:val="clear" w:color="auto" w:fill="C6EFCE"/>
            <w:noWrap/>
          </w:tcPr>
          <w:p w14:paraId="73C0CB23" w14:textId="6E3FD743" w:rsidR="003B6BD9" w:rsidRDefault="009E25E8">
            <w:pPr>
              <w:pStyle w:val="P68B1DB1-Normal7"/>
              <w:spacing w:before="0" w:after="0" w:line="240" w:lineRule="auto"/>
              <w:rPr>
                <w:rFonts w:eastAsia="Times New Roman"/>
                <w:noProof/>
              </w:rPr>
            </w:pPr>
            <w:r>
              <w:rPr>
                <w:noProof/>
              </w:rPr>
              <w:t>Notification au ministère des modifications, publiée par l’Agence slovène pour l’assurance de la qualité dans l’enseignement supérieur</w:t>
            </w:r>
          </w:p>
        </w:tc>
        <w:tc>
          <w:tcPr>
            <w:tcW w:w="953" w:type="dxa"/>
            <w:tcBorders>
              <w:top w:val="nil"/>
              <w:left w:val="nil"/>
              <w:bottom w:val="single" w:sz="4" w:space="0" w:color="auto"/>
              <w:right w:val="single" w:sz="4" w:space="0" w:color="auto"/>
            </w:tcBorders>
            <w:shd w:val="clear" w:color="auto" w:fill="C6EFCE"/>
            <w:noWrap/>
          </w:tcPr>
          <w:p w14:paraId="463DF573" w14:textId="22320819" w:rsidR="003B6BD9" w:rsidRDefault="003B6BD9">
            <w:pPr>
              <w:spacing w:before="0" w:after="0" w:line="256" w:lineRule="auto"/>
              <w:rPr>
                <w:rFonts w:eastAsia="Times New Roman"/>
                <w:noProof/>
                <w:color w:val="006100"/>
                <w:sz w:val="18"/>
                <w:szCs w:val="18"/>
              </w:rPr>
            </w:pPr>
          </w:p>
        </w:tc>
        <w:tc>
          <w:tcPr>
            <w:tcW w:w="952" w:type="dxa"/>
            <w:tcBorders>
              <w:top w:val="nil"/>
              <w:left w:val="nil"/>
              <w:bottom w:val="single" w:sz="4" w:space="0" w:color="auto"/>
              <w:right w:val="single" w:sz="4" w:space="0" w:color="auto"/>
            </w:tcBorders>
            <w:shd w:val="clear" w:color="auto" w:fill="C6EFCE"/>
            <w:noWrap/>
          </w:tcPr>
          <w:p w14:paraId="51FE20CE" w14:textId="746D6A24" w:rsidR="003B6BD9" w:rsidRDefault="003B6BD9">
            <w:pPr>
              <w:spacing w:before="0" w:after="0" w:line="256" w:lineRule="auto"/>
              <w:rPr>
                <w:rFonts w:eastAsia="Times New Roman"/>
                <w:noProof/>
                <w:color w:val="006100"/>
                <w:sz w:val="18"/>
                <w:szCs w:val="18"/>
              </w:rPr>
            </w:pPr>
          </w:p>
        </w:tc>
        <w:tc>
          <w:tcPr>
            <w:tcW w:w="1091" w:type="dxa"/>
            <w:tcBorders>
              <w:top w:val="nil"/>
              <w:left w:val="nil"/>
              <w:bottom w:val="single" w:sz="4" w:space="0" w:color="auto"/>
              <w:right w:val="single" w:sz="4" w:space="0" w:color="auto"/>
            </w:tcBorders>
            <w:shd w:val="clear" w:color="auto" w:fill="C6EFCE"/>
            <w:noWrap/>
          </w:tcPr>
          <w:p w14:paraId="1D3D6B7C" w14:textId="248DD6B9" w:rsidR="003B6BD9" w:rsidRDefault="003B6BD9">
            <w:pPr>
              <w:spacing w:before="0" w:after="0" w:line="256" w:lineRule="auto"/>
              <w:rPr>
                <w:rFonts w:eastAsia="Times New Roman"/>
                <w:noProof/>
                <w:color w:val="006100"/>
                <w:sz w:val="18"/>
                <w:szCs w:val="18"/>
              </w:rPr>
            </w:pPr>
          </w:p>
        </w:tc>
        <w:tc>
          <w:tcPr>
            <w:tcW w:w="952" w:type="dxa"/>
            <w:tcBorders>
              <w:top w:val="nil"/>
              <w:left w:val="nil"/>
              <w:bottom w:val="single" w:sz="4" w:space="0" w:color="auto"/>
              <w:right w:val="single" w:sz="4" w:space="0" w:color="auto"/>
            </w:tcBorders>
            <w:shd w:val="clear" w:color="auto" w:fill="C6EFCE"/>
            <w:noWrap/>
          </w:tcPr>
          <w:p w14:paraId="5851360F" w14:textId="77777777" w:rsidR="003B6BD9" w:rsidRDefault="009E25E8">
            <w:pPr>
              <w:pStyle w:val="P68B1DB1-Normal7"/>
              <w:spacing w:before="0" w:after="0" w:line="256" w:lineRule="auto"/>
              <w:jc w:val="center"/>
              <w:rPr>
                <w:rFonts w:eastAsia="Times New Roman"/>
                <w:noProof/>
              </w:rPr>
            </w:pPr>
            <w:r>
              <w:rPr>
                <w:noProof/>
              </w:rPr>
              <w:t>T2</w:t>
            </w:r>
          </w:p>
        </w:tc>
        <w:tc>
          <w:tcPr>
            <w:tcW w:w="629" w:type="dxa"/>
            <w:tcBorders>
              <w:top w:val="nil"/>
              <w:left w:val="nil"/>
              <w:bottom w:val="single" w:sz="4" w:space="0" w:color="auto"/>
              <w:right w:val="single" w:sz="4" w:space="0" w:color="auto"/>
            </w:tcBorders>
            <w:shd w:val="clear" w:color="auto" w:fill="C6EFCE"/>
            <w:noWrap/>
          </w:tcPr>
          <w:p w14:paraId="3E93B843" w14:textId="77777777" w:rsidR="003B6BD9" w:rsidRDefault="009E25E8">
            <w:pPr>
              <w:pStyle w:val="P68B1DB1-Normal7"/>
              <w:spacing w:before="0" w:after="0" w:line="256" w:lineRule="auto"/>
              <w:jc w:val="center"/>
              <w:rPr>
                <w:rFonts w:eastAsia="Times New Roman"/>
                <w:noProof/>
              </w:rPr>
            </w:pPr>
            <w:r>
              <w:rPr>
                <w:noProof/>
              </w:rPr>
              <w:t>2026</w:t>
            </w:r>
          </w:p>
        </w:tc>
        <w:tc>
          <w:tcPr>
            <w:tcW w:w="3522" w:type="dxa"/>
            <w:tcBorders>
              <w:top w:val="nil"/>
              <w:left w:val="nil"/>
              <w:bottom w:val="single" w:sz="4" w:space="0" w:color="auto"/>
              <w:right w:val="single" w:sz="4" w:space="0" w:color="auto"/>
            </w:tcBorders>
            <w:shd w:val="clear" w:color="auto" w:fill="C6EFCE"/>
            <w:noWrap/>
          </w:tcPr>
          <w:p w14:paraId="4410C1E0" w14:textId="458F8ADA" w:rsidR="003B6BD9" w:rsidRDefault="009E25E8">
            <w:pPr>
              <w:pStyle w:val="P68B1DB1-Normal7"/>
              <w:spacing w:before="0" w:after="0" w:line="256" w:lineRule="auto"/>
              <w:rPr>
                <w:rFonts w:eastAsia="Times New Roman"/>
                <w:noProof/>
              </w:rPr>
            </w:pPr>
            <w:r>
              <w:rPr>
                <w:noProof/>
              </w:rPr>
              <w:t>Le jalon fait référence aux programmes révisés qui incluront les compétences numériques ou en matière de développement durable.</w:t>
            </w:r>
          </w:p>
        </w:tc>
      </w:tr>
      <w:tr w:rsidR="003B6BD9" w14:paraId="450B8A21" w14:textId="77777777" w:rsidTr="006C1AFD">
        <w:trPr>
          <w:trHeight w:val="1400"/>
          <w:jc w:val="center"/>
        </w:trPr>
        <w:tc>
          <w:tcPr>
            <w:tcW w:w="835" w:type="dxa"/>
            <w:tcBorders>
              <w:top w:val="nil"/>
              <w:left w:val="single" w:sz="4" w:space="0" w:color="auto"/>
              <w:bottom w:val="single" w:sz="4" w:space="0" w:color="auto"/>
              <w:right w:val="single" w:sz="4" w:space="0" w:color="auto"/>
            </w:tcBorders>
            <w:shd w:val="clear" w:color="auto" w:fill="C6EFCE"/>
            <w:noWrap/>
          </w:tcPr>
          <w:p w14:paraId="2B1FB2AF" w14:textId="77777777" w:rsidR="003B6BD9" w:rsidRDefault="009E25E8">
            <w:pPr>
              <w:pStyle w:val="P68B1DB1-Normal7"/>
              <w:spacing w:before="0" w:after="0" w:line="256" w:lineRule="auto"/>
              <w:rPr>
                <w:rFonts w:eastAsia="Times New Roman"/>
                <w:noProof/>
              </w:rPr>
            </w:pPr>
            <w:r>
              <w:rPr>
                <w:noProof/>
              </w:rPr>
              <w:t>160</w:t>
            </w:r>
          </w:p>
        </w:tc>
        <w:tc>
          <w:tcPr>
            <w:tcW w:w="1560" w:type="dxa"/>
            <w:tcBorders>
              <w:top w:val="nil"/>
              <w:left w:val="nil"/>
              <w:bottom w:val="single" w:sz="4" w:space="0" w:color="auto"/>
              <w:right w:val="single" w:sz="4" w:space="0" w:color="auto"/>
            </w:tcBorders>
            <w:shd w:val="clear" w:color="auto" w:fill="C6EFCE"/>
            <w:noWrap/>
          </w:tcPr>
          <w:p w14:paraId="7A16A7E8" w14:textId="77777777" w:rsidR="003B6BD9" w:rsidRDefault="009E25E8">
            <w:pPr>
              <w:pStyle w:val="P68B1DB1-Normal7"/>
              <w:spacing w:before="0" w:after="0" w:line="256" w:lineRule="auto"/>
              <w:rPr>
                <w:rFonts w:eastAsia="Times New Roman"/>
                <w:noProof/>
              </w:rPr>
            </w:pPr>
            <w:r>
              <w:rPr>
                <w:noProof/>
              </w:rPr>
              <w:t xml:space="preserve">F: Projets pilotes en faveur d’une réforme de l’enseignement supérieur pour une transition écologique et résiliente </w:t>
            </w:r>
          </w:p>
        </w:tc>
        <w:tc>
          <w:tcPr>
            <w:tcW w:w="1200" w:type="dxa"/>
            <w:tcBorders>
              <w:top w:val="nil"/>
              <w:left w:val="nil"/>
              <w:bottom w:val="single" w:sz="4" w:space="0" w:color="auto"/>
              <w:right w:val="single" w:sz="4" w:space="0" w:color="auto"/>
            </w:tcBorders>
            <w:shd w:val="clear" w:color="auto" w:fill="C6EFCE"/>
            <w:noWrap/>
          </w:tcPr>
          <w:p w14:paraId="5234624C" w14:textId="77777777" w:rsidR="003B6BD9" w:rsidRDefault="009E25E8">
            <w:pPr>
              <w:pStyle w:val="P68B1DB1-Normal7"/>
              <w:spacing w:before="0" w:after="0" w:line="256" w:lineRule="auto"/>
              <w:rPr>
                <w:rFonts w:eastAsia="Times New Roman"/>
                <w:noProof/>
              </w:rPr>
            </w:pPr>
            <w:r>
              <w:rPr>
                <w:noProof/>
              </w:rPr>
              <w:t>Jalon</w:t>
            </w:r>
          </w:p>
        </w:tc>
        <w:tc>
          <w:tcPr>
            <w:tcW w:w="2253" w:type="dxa"/>
            <w:tcBorders>
              <w:top w:val="nil"/>
              <w:left w:val="nil"/>
              <w:bottom w:val="single" w:sz="4" w:space="0" w:color="auto"/>
              <w:right w:val="single" w:sz="4" w:space="0" w:color="auto"/>
            </w:tcBorders>
            <w:shd w:val="clear" w:color="auto" w:fill="C6EFCE"/>
            <w:noWrap/>
          </w:tcPr>
          <w:p w14:paraId="3EABD08E" w14:textId="77777777" w:rsidR="003B6BD9" w:rsidRDefault="009E25E8">
            <w:pPr>
              <w:pStyle w:val="P68B1DB1-Normal7"/>
              <w:spacing w:before="0" w:after="0" w:line="256" w:lineRule="auto"/>
              <w:rPr>
                <w:rFonts w:eastAsia="Times New Roman"/>
                <w:noProof/>
              </w:rPr>
            </w:pPr>
            <w:r>
              <w:rPr>
                <w:noProof/>
              </w:rPr>
              <w:t xml:space="preserve">Achèvement de la sélection des projets pilotes pour le renouvellement du processus d’enseignement supérieur </w:t>
            </w:r>
          </w:p>
        </w:tc>
        <w:tc>
          <w:tcPr>
            <w:tcW w:w="1660" w:type="dxa"/>
            <w:tcBorders>
              <w:top w:val="nil"/>
              <w:left w:val="nil"/>
              <w:bottom w:val="single" w:sz="4" w:space="0" w:color="auto"/>
              <w:right w:val="single" w:sz="4" w:space="0" w:color="auto"/>
            </w:tcBorders>
            <w:shd w:val="clear" w:color="auto" w:fill="C6EFCE"/>
            <w:noWrap/>
          </w:tcPr>
          <w:p w14:paraId="606CB458" w14:textId="77777777" w:rsidR="003B6BD9" w:rsidRDefault="009E25E8">
            <w:pPr>
              <w:pStyle w:val="P68B1DB1-Normal7"/>
              <w:spacing w:before="0" w:after="0" w:line="256" w:lineRule="auto"/>
              <w:rPr>
                <w:rFonts w:eastAsia="Times New Roman"/>
                <w:noProof/>
              </w:rPr>
            </w:pPr>
            <w:r>
              <w:rPr>
                <w:noProof/>
              </w:rPr>
              <w:t>Transmission des résultats</w:t>
            </w:r>
          </w:p>
        </w:tc>
        <w:tc>
          <w:tcPr>
            <w:tcW w:w="953" w:type="dxa"/>
            <w:tcBorders>
              <w:top w:val="nil"/>
              <w:left w:val="nil"/>
              <w:bottom w:val="single" w:sz="4" w:space="0" w:color="auto"/>
              <w:right w:val="single" w:sz="4" w:space="0" w:color="auto"/>
            </w:tcBorders>
            <w:shd w:val="clear" w:color="auto" w:fill="C6EFCE"/>
            <w:noWrap/>
          </w:tcPr>
          <w:p w14:paraId="454F8F3A" w14:textId="77777777" w:rsidR="003B6BD9" w:rsidRDefault="009E25E8">
            <w:pPr>
              <w:pStyle w:val="P68B1DB1-Normal7"/>
              <w:spacing w:before="0" w:after="0" w:line="256" w:lineRule="auto"/>
              <w:rPr>
                <w:rFonts w:eastAsia="Times New Roman"/>
                <w:noProof/>
              </w:rPr>
            </w:pPr>
            <w:r>
              <w:rPr>
                <w:noProof/>
              </w:rPr>
              <w:t> </w:t>
            </w:r>
          </w:p>
        </w:tc>
        <w:tc>
          <w:tcPr>
            <w:tcW w:w="952" w:type="dxa"/>
            <w:tcBorders>
              <w:top w:val="nil"/>
              <w:left w:val="nil"/>
              <w:bottom w:val="single" w:sz="4" w:space="0" w:color="auto"/>
              <w:right w:val="single" w:sz="4" w:space="0" w:color="auto"/>
            </w:tcBorders>
            <w:shd w:val="clear" w:color="auto" w:fill="C6EFCE"/>
            <w:noWrap/>
          </w:tcPr>
          <w:p w14:paraId="18367632" w14:textId="77777777" w:rsidR="003B6BD9" w:rsidRDefault="009E25E8">
            <w:pPr>
              <w:pStyle w:val="P68B1DB1-Normal7"/>
              <w:spacing w:before="0" w:after="0" w:line="256" w:lineRule="auto"/>
              <w:rPr>
                <w:rFonts w:eastAsia="Times New Roman"/>
                <w:noProof/>
              </w:rPr>
            </w:pPr>
            <w:r>
              <w:rPr>
                <w:noProof/>
              </w:rPr>
              <w:t> </w:t>
            </w:r>
          </w:p>
        </w:tc>
        <w:tc>
          <w:tcPr>
            <w:tcW w:w="1091" w:type="dxa"/>
            <w:tcBorders>
              <w:top w:val="nil"/>
              <w:left w:val="nil"/>
              <w:bottom w:val="single" w:sz="4" w:space="0" w:color="auto"/>
              <w:right w:val="single" w:sz="4" w:space="0" w:color="auto"/>
            </w:tcBorders>
            <w:shd w:val="clear" w:color="auto" w:fill="C6EFCE"/>
            <w:noWrap/>
          </w:tcPr>
          <w:p w14:paraId="7C6112A2" w14:textId="77777777" w:rsidR="003B6BD9" w:rsidRDefault="009E25E8">
            <w:pPr>
              <w:pStyle w:val="P68B1DB1-Normal7"/>
              <w:spacing w:before="0" w:after="0" w:line="256" w:lineRule="auto"/>
              <w:rPr>
                <w:rFonts w:eastAsia="Times New Roman"/>
                <w:noProof/>
              </w:rPr>
            </w:pPr>
            <w:r>
              <w:rPr>
                <w:noProof/>
              </w:rPr>
              <w:t> </w:t>
            </w:r>
          </w:p>
        </w:tc>
        <w:tc>
          <w:tcPr>
            <w:tcW w:w="952" w:type="dxa"/>
            <w:tcBorders>
              <w:top w:val="nil"/>
              <w:left w:val="nil"/>
              <w:bottom w:val="single" w:sz="4" w:space="0" w:color="auto"/>
              <w:right w:val="single" w:sz="4" w:space="0" w:color="auto"/>
            </w:tcBorders>
            <w:shd w:val="clear" w:color="auto" w:fill="C6EFCE"/>
            <w:noWrap/>
          </w:tcPr>
          <w:p w14:paraId="3314D314" w14:textId="77777777" w:rsidR="003B6BD9" w:rsidRDefault="009E25E8">
            <w:pPr>
              <w:pStyle w:val="P68B1DB1-Normal7"/>
              <w:spacing w:before="0" w:after="0" w:line="256" w:lineRule="auto"/>
              <w:jc w:val="center"/>
              <w:rPr>
                <w:rFonts w:eastAsia="Times New Roman"/>
                <w:noProof/>
              </w:rPr>
            </w:pPr>
            <w:r>
              <w:rPr>
                <w:noProof/>
              </w:rPr>
              <w:t>T2</w:t>
            </w:r>
          </w:p>
        </w:tc>
        <w:tc>
          <w:tcPr>
            <w:tcW w:w="629" w:type="dxa"/>
            <w:tcBorders>
              <w:top w:val="nil"/>
              <w:left w:val="nil"/>
              <w:bottom w:val="single" w:sz="4" w:space="0" w:color="auto"/>
              <w:right w:val="single" w:sz="4" w:space="0" w:color="auto"/>
            </w:tcBorders>
            <w:shd w:val="clear" w:color="auto" w:fill="C6EFCE"/>
            <w:noWrap/>
          </w:tcPr>
          <w:p w14:paraId="40F2746B" w14:textId="77777777" w:rsidR="003B6BD9" w:rsidRDefault="009E25E8">
            <w:pPr>
              <w:pStyle w:val="P68B1DB1-Normal7"/>
              <w:spacing w:before="0" w:after="0" w:line="256" w:lineRule="auto"/>
              <w:jc w:val="center"/>
              <w:rPr>
                <w:rFonts w:eastAsia="Times New Roman"/>
                <w:noProof/>
              </w:rPr>
            </w:pPr>
            <w:r>
              <w:rPr>
                <w:noProof/>
              </w:rPr>
              <w:t>2022</w:t>
            </w:r>
          </w:p>
        </w:tc>
        <w:tc>
          <w:tcPr>
            <w:tcW w:w="3522" w:type="dxa"/>
            <w:tcBorders>
              <w:top w:val="nil"/>
              <w:left w:val="nil"/>
              <w:bottom w:val="single" w:sz="4" w:space="0" w:color="auto"/>
              <w:right w:val="single" w:sz="4" w:space="0" w:color="auto"/>
            </w:tcBorders>
            <w:shd w:val="clear" w:color="auto" w:fill="C6EFCE"/>
            <w:noWrap/>
          </w:tcPr>
          <w:p w14:paraId="3068F1A8" w14:textId="77777777" w:rsidR="003B6BD9" w:rsidRDefault="009E25E8">
            <w:pPr>
              <w:pStyle w:val="P68B1DB1-Normal7"/>
              <w:spacing w:before="0" w:after="0" w:line="256" w:lineRule="auto"/>
              <w:rPr>
                <w:rFonts w:eastAsia="Times New Roman"/>
                <w:noProof/>
              </w:rPr>
            </w:pPr>
            <w:r>
              <w:rPr>
                <w:noProof/>
              </w:rPr>
              <w:t xml:space="preserve">Les bénéficiaires sont des établissements d’enseignement supérieur publics. Les projets pilotes testent des solutions pour intégrer les compétences numériques et en matière de développement durable dans les programmes d’enseignement supérieur dans le but d’améliorer les résultats sur le marché du travail. </w:t>
            </w:r>
          </w:p>
        </w:tc>
      </w:tr>
      <w:tr w:rsidR="003B6BD9" w14:paraId="344F142D" w14:textId="77777777" w:rsidTr="006C1AFD">
        <w:trPr>
          <w:trHeight w:val="309"/>
          <w:jc w:val="center"/>
        </w:trPr>
        <w:tc>
          <w:tcPr>
            <w:tcW w:w="835" w:type="dxa"/>
            <w:tcBorders>
              <w:top w:val="nil"/>
              <w:left w:val="single" w:sz="4" w:space="0" w:color="auto"/>
              <w:bottom w:val="single" w:sz="4" w:space="0" w:color="auto"/>
              <w:right w:val="single" w:sz="4" w:space="0" w:color="auto"/>
            </w:tcBorders>
            <w:shd w:val="clear" w:color="auto" w:fill="C6EFCE"/>
            <w:noWrap/>
          </w:tcPr>
          <w:p w14:paraId="66BEF47E" w14:textId="77777777" w:rsidR="003B6BD9" w:rsidRDefault="009E25E8">
            <w:pPr>
              <w:pStyle w:val="P68B1DB1-Normal7"/>
              <w:spacing w:before="0" w:after="0" w:line="256" w:lineRule="auto"/>
              <w:rPr>
                <w:rFonts w:eastAsia="Times New Roman"/>
                <w:noProof/>
              </w:rPr>
            </w:pPr>
            <w:r>
              <w:rPr>
                <w:noProof/>
              </w:rPr>
              <w:t>161</w:t>
            </w:r>
          </w:p>
        </w:tc>
        <w:tc>
          <w:tcPr>
            <w:tcW w:w="1560" w:type="dxa"/>
            <w:tcBorders>
              <w:top w:val="nil"/>
              <w:left w:val="nil"/>
              <w:bottom w:val="single" w:sz="4" w:space="0" w:color="auto"/>
              <w:right w:val="single" w:sz="4" w:space="0" w:color="auto"/>
            </w:tcBorders>
            <w:shd w:val="clear" w:color="auto" w:fill="C6EFCE"/>
            <w:noWrap/>
          </w:tcPr>
          <w:p w14:paraId="46B6842D" w14:textId="77777777" w:rsidR="003B6BD9" w:rsidRDefault="009E25E8">
            <w:pPr>
              <w:pStyle w:val="P68B1DB1-Normal7"/>
              <w:spacing w:before="0" w:after="0" w:line="256" w:lineRule="auto"/>
              <w:rPr>
                <w:rFonts w:eastAsia="Times New Roman"/>
                <w:noProof/>
              </w:rPr>
            </w:pPr>
            <w:r>
              <w:rPr>
                <w:noProof/>
              </w:rPr>
              <w:t xml:space="preserve">F: Projets pilotes en faveur d’une réforme de l’enseignement supérieur pour une transition écologique et résiliente </w:t>
            </w:r>
          </w:p>
        </w:tc>
        <w:tc>
          <w:tcPr>
            <w:tcW w:w="1200" w:type="dxa"/>
            <w:tcBorders>
              <w:top w:val="nil"/>
              <w:left w:val="nil"/>
              <w:bottom w:val="single" w:sz="4" w:space="0" w:color="auto"/>
              <w:right w:val="single" w:sz="4" w:space="0" w:color="auto"/>
            </w:tcBorders>
            <w:shd w:val="clear" w:color="auto" w:fill="C6EFCE"/>
            <w:noWrap/>
          </w:tcPr>
          <w:p w14:paraId="62F99C98" w14:textId="77777777" w:rsidR="003B6BD9" w:rsidRDefault="009E25E8">
            <w:pPr>
              <w:pStyle w:val="P68B1DB1-Normal7"/>
              <w:spacing w:before="0" w:after="0" w:line="256" w:lineRule="auto"/>
              <w:rPr>
                <w:rFonts w:eastAsia="Times New Roman"/>
                <w:noProof/>
              </w:rPr>
            </w:pPr>
            <w:r>
              <w:rPr>
                <w:noProof/>
              </w:rPr>
              <w:t>Cible</w:t>
            </w:r>
          </w:p>
        </w:tc>
        <w:tc>
          <w:tcPr>
            <w:tcW w:w="2253" w:type="dxa"/>
            <w:tcBorders>
              <w:top w:val="nil"/>
              <w:left w:val="nil"/>
              <w:bottom w:val="single" w:sz="4" w:space="0" w:color="auto"/>
              <w:right w:val="single" w:sz="4" w:space="0" w:color="auto"/>
            </w:tcBorders>
            <w:shd w:val="clear" w:color="auto" w:fill="C6EFCE"/>
            <w:noWrap/>
          </w:tcPr>
          <w:p w14:paraId="1CF962CA" w14:textId="7A1CA0E2" w:rsidR="003B6BD9" w:rsidRDefault="009E25E8">
            <w:pPr>
              <w:pStyle w:val="P68B1DB1-Normal7"/>
              <w:spacing w:before="0" w:after="0" w:line="256" w:lineRule="auto"/>
              <w:rPr>
                <w:rFonts w:eastAsia="Times New Roman"/>
                <w:noProof/>
              </w:rPr>
            </w:pPr>
            <w:r>
              <w:rPr>
                <w:noProof/>
              </w:rPr>
              <w:t>Projets pilotes pour le renouvellement du processus d’enseignement supérieur</w:t>
            </w:r>
          </w:p>
        </w:tc>
        <w:tc>
          <w:tcPr>
            <w:tcW w:w="1660" w:type="dxa"/>
            <w:tcBorders>
              <w:top w:val="nil"/>
              <w:left w:val="nil"/>
              <w:bottom w:val="single" w:sz="4" w:space="0" w:color="auto"/>
              <w:right w:val="single" w:sz="4" w:space="0" w:color="auto"/>
            </w:tcBorders>
            <w:shd w:val="clear" w:color="auto" w:fill="C6EFCE"/>
            <w:noWrap/>
          </w:tcPr>
          <w:p w14:paraId="264FA49E" w14:textId="77777777" w:rsidR="003B6BD9" w:rsidRDefault="009E25E8">
            <w:pPr>
              <w:pStyle w:val="P68B1DB1-Normal7"/>
              <w:spacing w:line="240" w:lineRule="auto"/>
              <w:jc w:val="both"/>
              <w:rPr>
                <w:rFonts w:eastAsia="Times New Roman"/>
                <w:noProof/>
              </w:rPr>
            </w:pPr>
            <w:r>
              <w:rPr>
                <w:noProof/>
              </w:rPr>
              <w:t> </w:t>
            </w:r>
          </w:p>
        </w:tc>
        <w:tc>
          <w:tcPr>
            <w:tcW w:w="953" w:type="dxa"/>
            <w:tcBorders>
              <w:top w:val="nil"/>
              <w:left w:val="nil"/>
              <w:bottom w:val="single" w:sz="4" w:space="0" w:color="auto"/>
              <w:right w:val="single" w:sz="4" w:space="0" w:color="auto"/>
            </w:tcBorders>
            <w:shd w:val="clear" w:color="auto" w:fill="C6EFCE"/>
            <w:noWrap/>
          </w:tcPr>
          <w:p w14:paraId="586B14F1" w14:textId="77777777" w:rsidR="003B6BD9" w:rsidRDefault="009E25E8">
            <w:pPr>
              <w:pStyle w:val="P68B1DB1-Normal7"/>
              <w:spacing w:before="0" w:after="0" w:line="256" w:lineRule="auto"/>
              <w:rPr>
                <w:rFonts w:eastAsia="Times New Roman"/>
                <w:noProof/>
              </w:rPr>
            </w:pPr>
            <w:r>
              <w:rPr>
                <w:noProof/>
              </w:rPr>
              <w:t>Nombre</w:t>
            </w:r>
          </w:p>
        </w:tc>
        <w:tc>
          <w:tcPr>
            <w:tcW w:w="952" w:type="dxa"/>
            <w:tcBorders>
              <w:top w:val="nil"/>
              <w:left w:val="nil"/>
              <w:bottom w:val="single" w:sz="4" w:space="0" w:color="auto"/>
              <w:right w:val="single" w:sz="4" w:space="0" w:color="auto"/>
            </w:tcBorders>
            <w:shd w:val="clear" w:color="auto" w:fill="C6EFCE"/>
            <w:noWrap/>
          </w:tcPr>
          <w:p w14:paraId="1F0F4FB3" w14:textId="77777777" w:rsidR="003B6BD9" w:rsidRDefault="009E25E8">
            <w:pPr>
              <w:pStyle w:val="P68B1DB1-Normal7"/>
              <w:spacing w:before="0" w:after="0" w:line="256" w:lineRule="auto"/>
              <w:rPr>
                <w:rFonts w:eastAsia="Times New Roman"/>
                <w:noProof/>
              </w:rPr>
            </w:pPr>
            <w:r>
              <w:rPr>
                <w:noProof/>
              </w:rPr>
              <w:t>0</w:t>
            </w:r>
          </w:p>
        </w:tc>
        <w:tc>
          <w:tcPr>
            <w:tcW w:w="1091" w:type="dxa"/>
            <w:tcBorders>
              <w:top w:val="nil"/>
              <w:left w:val="nil"/>
              <w:bottom w:val="single" w:sz="4" w:space="0" w:color="auto"/>
              <w:right w:val="single" w:sz="4" w:space="0" w:color="auto"/>
            </w:tcBorders>
            <w:shd w:val="clear" w:color="auto" w:fill="C6EFCE"/>
            <w:noWrap/>
          </w:tcPr>
          <w:p w14:paraId="297139F4" w14:textId="77777777" w:rsidR="003B6BD9" w:rsidRDefault="009E25E8">
            <w:pPr>
              <w:pStyle w:val="P68B1DB1-Normal7"/>
              <w:spacing w:before="0" w:after="0" w:line="256" w:lineRule="auto"/>
              <w:rPr>
                <w:rFonts w:eastAsia="Times New Roman"/>
                <w:noProof/>
              </w:rPr>
            </w:pPr>
            <w:r>
              <w:rPr>
                <w:noProof/>
              </w:rPr>
              <w:t>30</w:t>
            </w:r>
          </w:p>
        </w:tc>
        <w:tc>
          <w:tcPr>
            <w:tcW w:w="952" w:type="dxa"/>
            <w:tcBorders>
              <w:top w:val="nil"/>
              <w:left w:val="nil"/>
              <w:bottom w:val="single" w:sz="4" w:space="0" w:color="auto"/>
              <w:right w:val="single" w:sz="4" w:space="0" w:color="auto"/>
            </w:tcBorders>
            <w:shd w:val="clear" w:color="auto" w:fill="C6EFCE"/>
            <w:noWrap/>
          </w:tcPr>
          <w:p w14:paraId="77C91AC2" w14:textId="2E31334D" w:rsidR="003B6BD9" w:rsidRDefault="009E25E8">
            <w:pPr>
              <w:pStyle w:val="P68B1DB1-Normal7"/>
              <w:spacing w:before="0" w:after="0" w:line="256" w:lineRule="auto"/>
              <w:jc w:val="center"/>
              <w:rPr>
                <w:rFonts w:eastAsia="Times New Roman"/>
                <w:noProof/>
              </w:rPr>
            </w:pPr>
            <w:r>
              <w:rPr>
                <w:noProof/>
              </w:rPr>
              <w:t>T2</w:t>
            </w:r>
          </w:p>
        </w:tc>
        <w:tc>
          <w:tcPr>
            <w:tcW w:w="629" w:type="dxa"/>
            <w:tcBorders>
              <w:top w:val="nil"/>
              <w:left w:val="nil"/>
              <w:bottom w:val="single" w:sz="4" w:space="0" w:color="auto"/>
              <w:right w:val="single" w:sz="4" w:space="0" w:color="auto"/>
            </w:tcBorders>
            <w:shd w:val="clear" w:color="auto" w:fill="C6EFCE"/>
            <w:noWrap/>
          </w:tcPr>
          <w:p w14:paraId="79146B80" w14:textId="3089DE13" w:rsidR="003B6BD9" w:rsidRDefault="009E25E8">
            <w:pPr>
              <w:pStyle w:val="P68B1DB1-Normal7"/>
              <w:spacing w:before="0" w:after="0" w:line="256" w:lineRule="auto"/>
              <w:jc w:val="center"/>
              <w:rPr>
                <w:rFonts w:eastAsia="Times New Roman"/>
                <w:noProof/>
              </w:rPr>
            </w:pPr>
            <w:r>
              <w:rPr>
                <w:noProof/>
              </w:rPr>
              <w:t>2026</w:t>
            </w:r>
          </w:p>
        </w:tc>
        <w:tc>
          <w:tcPr>
            <w:tcW w:w="3522" w:type="dxa"/>
            <w:tcBorders>
              <w:top w:val="nil"/>
              <w:left w:val="nil"/>
              <w:bottom w:val="single" w:sz="4" w:space="0" w:color="auto"/>
              <w:right w:val="single" w:sz="4" w:space="0" w:color="auto"/>
            </w:tcBorders>
            <w:shd w:val="clear" w:color="auto" w:fill="C6EFCE"/>
            <w:noWrap/>
          </w:tcPr>
          <w:p w14:paraId="1F6D046A" w14:textId="2FF42D48" w:rsidR="003B6BD9" w:rsidRDefault="009E25E8">
            <w:pPr>
              <w:pStyle w:val="P68B1DB1-Normal7"/>
              <w:spacing w:before="0" w:after="0" w:line="256" w:lineRule="auto"/>
              <w:rPr>
                <w:rFonts w:eastAsia="Times New Roman"/>
                <w:noProof/>
              </w:rPr>
            </w:pPr>
            <w:r>
              <w:rPr>
                <w:noProof/>
              </w:rPr>
              <w:t>Acceptation des rapports finaux d’exécution des 30 projets pilotes par le pouvoir adjudicateur.</w:t>
            </w:r>
          </w:p>
        </w:tc>
      </w:tr>
      <w:tr w:rsidR="003B6BD9" w14:paraId="0DAFE244" w14:textId="77777777" w:rsidTr="006C1AFD">
        <w:trPr>
          <w:trHeight w:val="309"/>
          <w:jc w:val="center"/>
        </w:trPr>
        <w:tc>
          <w:tcPr>
            <w:tcW w:w="835" w:type="dxa"/>
            <w:tcBorders>
              <w:top w:val="nil"/>
              <w:left w:val="single" w:sz="4" w:space="0" w:color="auto"/>
              <w:bottom w:val="single" w:sz="4" w:space="0" w:color="auto"/>
              <w:right w:val="single" w:sz="4" w:space="0" w:color="auto"/>
            </w:tcBorders>
            <w:shd w:val="clear" w:color="auto" w:fill="C6EFCE"/>
            <w:noWrap/>
          </w:tcPr>
          <w:p w14:paraId="58C5C8A1" w14:textId="77777777" w:rsidR="003B6BD9" w:rsidRDefault="009E25E8">
            <w:pPr>
              <w:pStyle w:val="P68B1DB1-Normal7"/>
              <w:spacing w:before="0" w:after="0" w:line="256" w:lineRule="auto"/>
              <w:rPr>
                <w:rFonts w:eastAsia="Times New Roman"/>
                <w:noProof/>
              </w:rPr>
            </w:pPr>
            <w:r>
              <w:rPr>
                <w:noProof/>
              </w:rPr>
              <w:t>162</w:t>
            </w:r>
          </w:p>
        </w:tc>
        <w:tc>
          <w:tcPr>
            <w:tcW w:w="1560" w:type="dxa"/>
            <w:tcBorders>
              <w:top w:val="nil"/>
              <w:left w:val="nil"/>
              <w:bottom w:val="single" w:sz="4" w:space="0" w:color="auto"/>
              <w:right w:val="single" w:sz="4" w:space="0" w:color="auto"/>
            </w:tcBorders>
            <w:shd w:val="clear" w:color="auto" w:fill="C6EFCE"/>
            <w:noWrap/>
          </w:tcPr>
          <w:p w14:paraId="36AEB0DD" w14:textId="69C3B3FB" w:rsidR="003B6BD9" w:rsidRDefault="009E25E8">
            <w:pPr>
              <w:pStyle w:val="P68B1DB1-Normal7"/>
              <w:spacing w:before="0" w:after="0" w:line="256" w:lineRule="auto"/>
              <w:rPr>
                <w:rFonts w:eastAsia="Times New Roman"/>
                <w:noProof/>
              </w:rPr>
            </w:pPr>
            <w:r>
              <w:rPr>
                <w:noProof/>
              </w:rPr>
              <w:t xml:space="preserve">C: Révision des programmes d’enseignement et de formation professionnels (EFP). </w:t>
            </w:r>
          </w:p>
        </w:tc>
        <w:tc>
          <w:tcPr>
            <w:tcW w:w="1200" w:type="dxa"/>
            <w:tcBorders>
              <w:top w:val="nil"/>
              <w:left w:val="nil"/>
              <w:bottom w:val="single" w:sz="4" w:space="0" w:color="auto"/>
              <w:right w:val="single" w:sz="4" w:space="0" w:color="auto"/>
            </w:tcBorders>
            <w:shd w:val="clear" w:color="auto" w:fill="C6EFCE"/>
            <w:noWrap/>
          </w:tcPr>
          <w:p w14:paraId="66C3E919" w14:textId="77777777" w:rsidR="003B6BD9" w:rsidRDefault="009E25E8">
            <w:pPr>
              <w:pStyle w:val="P68B1DB1-Normal7"/>
              <w:spacing w:before="0" w:after="0" w:line="256" w:lineRule="auto"/>
              <w:rPr>
                <w:rFonts w:eastAsia="Times New Roman"/>
                <w:noProof/>
              </w:rPr>
            </w:pPr>
            <w:r>
              <w:rPr>
                <w:noProof/>
              </w:rPr>
              <w:t>Cible</w:t>
            </w:r>
          </w:p>
        </w:tc>
        <w:tc>
          <w:tcPr>
            <w:tcW w:w="2253" w:type="dxa"/>
            <w:tcBorders>
              <w:top w:val="nil"/>
              <w:left w:val="nil"/>
              <w:bottom w:val="single" w:sz="4" w:space="0" w:color="auto"/>
              <w:right w:val="single" w:sz="4" w:space="0" w:color="auto"/>
            </w:tcBorders>
            <w:shd w:val="clear" w:color="auto" w:fill="C6EFCE"/>
            <w:noWrap/>
          </w:tcPr>
          <w:p w14:paraId="04D2439F" w14:textId="13DC9BD9" w:rsidR="003B6BD9" w:rsidRDefault="009E25E8">
            <w:pPr>
              <w:pStyle w:val="P68B1DB1-Normal7"/>
              <w:spacing w:before="0" w:after="0" w:line="256" w:lineRule="auto"/>
              <w:rPr>
                <w:rFonts w:eastAsia="Times New Roman"/>
                <w:noProof/>
              </w:rPr>
            </w:pPr>
            <w:r>
              <w:rPr>
                <w:noProof/>
              </w:rPr>
              <w:t xml:space="preserve">Programmes révisés d’enseignement et de formation professionnels </w:t>
            </w:r>
          </w:p>
        </w:tc>
        <w:tc>
          <w:tcPr>
            <w:tcW w:w="1660" w:type="dxa"/>
            <w:tcBorders>
              <w:top w:val="nil"/>
              <w:left w:val="nil"/>
              <w:bottom w:val="single" w:sz="4" w:space="0" w:color="auto"/>
              <w:right w:val="single" w:sz="4" w:space="0" w:color="auto"/>
            </w:tcBorders>
            <w:shd w:val="clear" w:color="auto" w:fill="C6EFCE"/>
            <w:noWrap/>
          </w:tcPr>
          <w:p w14:paraId="1178CE95" w14:textId="77777777" w:rsidR="003B6BD9" w:rsidRDefault="009E25E8">
            <w:pPr>
              <w:pStyle w:val="P68B1DB1-Normal7"/>
              <w:spacing w:line="240" w:lineRule="auto"/>
              <w:jc w:val="both"/>
              <w:rPr>
                <w:rFonts w:eastAsia="Times New Roman"/>
                <w:noProof/>
              </w:rPr>
            </w:pPr>
            <w:r>
              <w:rPr>
                <w:noProof/>
              </w:rPr>
              <w:t> </w:t>
            </w:r>
          </w:p>
        </w:tc>
        <w:tc>
          <w:tcPr>
            <w:tcW w:w="953" w:type="dxa"/>
            <w:tcBorders>
              <w:top w:val="nil"/>
              <w:left w:val="nil"/>
              <w:bottom w:val="single" w:sz="4" w:space="0" w:color="auto"/>
              <w:right w:val="single" w:sz="4" w:space="0" w:color="auto"/>
            </w:tcBorders>
            <w:shd w:val="clear" w:color="auto" w:fill="C6EFCE"/>
            <w:noWrap/>
          </w:tcPr>
          <w:p w14:paraId="6299D6DC" w14:textId="77777777" w:rsidR="003B6BD9" w:rsidRDefault="009E25E8">
            <w:pPr>
              <w:pStyle w:val="P68B1DB1-Normal7"/>
              <w:spacing w:before="0" w:after="0" w:line="256" w:lineRule="auto"/>
              <w:rPr>
                <w:rFonts w:eastAsia="Times New Roman"/>
                <w:noProof/>
              </w:rPr>
            </w:pPr>
            <w:r>
              <w:rPr>
                <w:noProof/>
              </w:rPr>
              <w:t>Nombre</w:t>
            </w:r>
          </w:p>
        </w:tc>
        <w:tc>
          <w:tcPr>
            <w:tcW w:w="952" w:type="dxa"/>
            <w:tcBorders>
              <w:top w:val="nil"/>
              <w:left w:val="nil"/>
              <w:bottom w:val="single" w:sz="4" w:space="0" w:color="auto"/>
              <w:right w:val="single" w:sz="4" w:space="0" w:color="auto"/>
            </w:tcBorders>
            <w:shd w:val="clear" w:color="auto" w:fill="C6EFCE"/>
            <w:noWrap/>
          </w:tcPr>
          <w:p w14:paraId="42D4A09F" w14:textId="77777777" w:rsidR="003B6BD9" w:rsidRDefault="009E25E8">
            <w:pPr>
              <w:pStyle w:val="P68B1DB1-Normal7"/>
              <w:spacing w:before="0" w:after="0" w:line="256" w:lineRule="auto"/>
              <w:rPr>
                <w:rFonts w:eastAsia="Times New Roman"/>
                <w:noProof/>
              </w:rPr>
            </w:pPr>
            <w:r>
              <w:rPr>
                <w:noProof/>
              </w:rPr>
              <w:t>0</w:t>
            </w:r>
          </w:p>
        </w:tc>
        <w:tc>
          <w:tcPr>
            <w:tcW w:w="1091" w:type="dxa"/>
            <w:tcBorders>
              <w:top w:val="nil"/>
              <w:left w:val="nil"/>
              <w:bottom w:val="single" w:sz="4" w:space="0" w:color="auto"/>
              <w:right w:val="single" w:sz="4" w:space="0" w:color="auto"/>
            </w:tcBorders>
            <w:shd w:val="clear" w:color="auto" w:fill="C6EFCE"/>
            <w:noWrap/>
          </w:tcPr>
          <w:p w14:paraId="7222C069" w14:textId="77777777" w:rsidR="003B6BD9" w:rsidRDefault="009E25E8">
            <w:pPr>
              <w:pStyle w:val="P68B1DB1-Normal7"/>
              <w:spacing w:before="0" w:after="0" w:line="256" w:lineRule="auto"/>
              <w:rPr>
                <w:rFonts w:eastAsia="Times New Roman"/>
                <w:noProof/>
              </w:rPr>
            </w:pPr>
            <w:r>
              <w:rPr>
                <w:noProof/>
              </w:rPr>
              <w:t>41</w:t>
            </w:r>
          </w:p>
        </w:tc>
        <w:tc>
          <w:tcPr>
            <w:tcW w:w="952" w:type="dxa"/>
            <w:tcBorders>
              <w:top w:val="nil"/>
              <w:left w:val="nil"/>
              <w:bottom w:val="single" w:sz="4" w:space="0" w:color="auto"/>
              <w:right w:val="single" w:sz="4" w:space="0" w:color="auto"/>
            </w:tcBorders>
            <w:shd w:val="clear" w:color="auto" w:fill="C6EFCE"/>
            <w:noWrap/>
          </w:tcPr>
          <w:p w14:paraId="3A3C7561" w14:textId="77777777" w:rsidR="003B6BD9" w:rsidRDefault="009E25E8">
            <w:pPr>
              <w:pStyle w:val="P68B1DB1-Normal7"/>
              <w:spacing w:before="0" w:after="0" w:line="256" w:lineRule="auto"/>
              <w:jc w:val="center"/>
              <w:rPr>
                <w:rFonts w:eastAsia="Times New Roman"/>
                <w:noProof/>
              </w:rPr>
            </w:pPr>
            <w:r>
              <w:rPr>
                <w:noProof/>
              </w:rPr>
              <w:t>T2</w:t>
            </w:r>
          </w:p>
        </w:tc>
        <w:tc>
          <w:tcPr>
            <w:tcW w:w="629" w:type="dxa"/>
            <w:tcBorders>
              <w:top w:val="nil"/>
              <w:left w:val="nil"/>
              <w:bottom w:val="single" w:sz="4" w:space="0" w:color="auto"/>
              <w:right w:val="single" w:sz="4" w:space="0" w:color="auto"/>
            </w:tcBorders>
            <w:shd w:val="clear" w:color="auto" w:fill="C6EFCE"/>
            <w:noWrap/>
          </w:tcPr>
          <w:p w14:paraId="3C6FE02E" w14:textId="77777777" w:rsidR="003B6BD9" w:rsidRDefault="009E25E8">
            <w:pPr>
              <w:pStyle w:val="P68B1DB1-Normal7"/>
              <w:spacing w:before="0" w:after="0" w:line="256" w:lineRule="auto"/>
              <w:jc w:val="center"/>
              <w:rPr>
                <w:rFonts w:eastAsia="Times New Roman"/>
                <w:noProof/>
              </w:rPr>
            </w:pPr>
            <w:r>
              <w:rPr>
                <w:noProof/>
              </w:rPr>
              <w:t>2026</w:t>
            </w:r>
          </w:p>
        </w:tc>
        <w:tc>
          <w:tcPr>
            <w:tcW w:w="3522" w:type="dxa"/>
            <w:tcBorders>
              <w:top w:val="nil"/>
              <w:left w:val="nil"/>
              <w:bottom w:val="single" w:sz="4" w:space="0" w:color="auto"/>
              <w:right w:val="single" w:sz="4" w:space="0" w:color="auto"/>
            </w:tcBorders>
            <w:shd w:val="clear" w:color="auto" w:fill="C6EFCE"/>
            <w:noWrap/>
          </w:tcPr>
          <w:p w14:paraId="2AF82BAA" w14:textId="5D170DBE" w:rsidR="003B6BD9" w:rsidRDefault="009E25E8">
            <w:pPr>
              <w:pStyle w:val="P68B1DB1-Normal7"/>
              <w:spacing w:before="0" w:after="0" w:line="256" w:lineRule="auto"/>
              <w:rPr>
                <w:rFonts w:eastAsia="Times New Roman"/>
                <w:noProof/>
              </w:rPr>
            </w:pPr>
            <w:r>
              <w:rPr>
                <w:noProof/>
              </w:rPr>
              <w:t>L’objectif se réfère au nombre de programmes d’enseignement et de formation professionnels qui doivent être révisés. Les programmes révisés d’enseignement et de formation professionnels sont approuvés par le ministère de l’éducation.</w:t>
            </w:r>
          </w:p>
        </w:tc>
      </w:tr>
      <w:tr w:rsidR="003B6BD9" w14:paraId="66D34A61" w14:textId="77777777" w:rsidTr="006C1AFD">
        <w:trPr>
          <w:trHeight w:val="309"/>
          <w:jc w:val="center"/>
        </w:trPr>
        <w:tc>
          <w:tcPr>
            <w:tcW w:w="835" w:type="dxa"/>
            <w:tcBorders>
              <w:top w:val="nil"/>
              <w:left w:val="single" w:sz="4" w:space="0" w:color="auto"/>
              <w:bottom w:val="single" w:sz="4" w:space="0" w:color="auto"/>
              <w:right w:val="single" w:sz="4" w:space="0" w:color="auto"/>
            </w:tcBorders>
            <w:shd w:val="clear" w:color="auto" w:fill="C6EFCE"/>
            <w:noWrap/>
          </w:tcPr>
          <w:p w14:paraId="2F880573" w14:textId="77777777" w:rsidR="003B6BD9" w:rsidRDefault="009E25E8">
            <w:pPr>
              <w:pStyle w:val="P68B1DB1-Normal7"/>
              <w:spacing w:before="0" w:after="0" w:line="256" w:lineRule="auto"/>
              <w:rPr>
                <w:rFonts w:eastAsia="Times New Roman"/>
                <w:noProof/>
              </w:rPr>
            </w:pPr>
            <w:r>
              <w:rPr>
                <w:noProof/>
              </w:rPr>
              <w:t>163</w:t>
            </w:r>
          </w:p>
        </w:tc>
        <w:tc>
          <w:tcPr>
            <w:tcW w:w="1560" w:type="dxa"/>
            <w:tcBorders>
              <w:top w:val="nil"/>
              <w:left w:val="nil"/>
              <w:bottom w:val="single" w:sz="4" w:space="0" w:color="auto"/>
              <w:right w:val="single" w:sz="4" w:space="0" w:color="auto"/>
            </w:tcBorders>
            <w:shd w:val="clear" w:color="auto" w:fill="C6EFCE"/>
            <w:noWrap/>
          </w:tcPr>
          <w:p w14:paraId="1045CFD7" w14:textId="77777777" w:rsidR="003B6BD9" w:rsidRDefault="009E25E8">
            <w:pPr>
              <w:pStyle w:val="P68B1DB1-Normal7"/>
              <w:spacing w:before="0" w:after="0" w:line="256" w:lineRule="auto"/>
              <w:rPr>
                <w:rFonts w:eastAsia="Times New Roman"/>
                <w:noProof/>
              </w:rPr>
            </w:pPr>
            <w:r>
              <w:rPr>
                <w:noProof/>
              </w:rPr>
              <w:t>G: Renforcer la coopération entre le système éducatif et le marché du travail</w:t>
            </w:r>
          </w:p>
        </w:tc>
        <w:tc>
          <w:tcPr>
            <w:tcW w:w="1200" w:type="dxa"/>
            <w:tcBorders>
              <w:top w:val="nil"/>
              <w:left w:val="nil"/>
              <w:bottom w:val="single" w:sz="4" w:space="0" w:color="auto"/>
              <w:right w:val="single" w:sz="4" w:space="0" w:color="auto"/>
            </w:tcBorders>
            <w:shd w:val="clear" w:color="auto" w:fill="C6EFCE"/>
            <w:noWrap/>
          </w:tcPr>
          <w:p w14:paraId="61433462" w14:textId="77777777" w:rsidR="003B6BD9" w:rsidRDefault="009E25E8">
            <w:pPr>
              <w:pStyle w:val="P68B1DB1-Normal7"/>
              <w:spacing w:before="0" w:after="0" w:line="256" w:lineRule="auto"/>
              <w:rPr>
                <w:rFonts w:eastAsia="Times New Roman"/>
                <w:noProof/>
              </w:rPr>
            </w:pPr>
            <w:r>
              <w:rPr>
                <w:noProof/>
              </w:rPr>
              <w:t>Cible</w:t>
            </w:r>
          </w:p>
        </w:tc>
        <w:tc>
          <w:tcPr>
            <w:tcW w:w="2253" w:type="dxa"/>
            <w:tcBorders>
              <w:top w:val="nil"/>
              <w:left w:val="nil"/>
              <w:bottom w:val="single" w:sz="4" w:space="0" w:color="auto"/>
              <w:right w:val="single" w:sz="4" w:space="0" w:color="auto"/>
            </w:tcBorders>
            <w:shd w:val="clear" w:color="auto" w:fill="C6EFCE"/>
            <w:noWrap/>
          </w:tcPr>
          <w:p w14:paraId="6A3D862A" w14:textId="238759AF" w:rsidR="003B6BD9" w:rsidRDefault="009E25E8">
            <w:pPr>
              <w:pStyle w:val="P68B1DB1-Normal7"/>
              <w:spacing w:before="0" w:after="0" w:line="256" w:lineRule="auto"/>
              <w:rPr>
                <w:rFonts w:eastAsia="Times New Roman"/>
                <w:noProof/>
              </w:rPr>
            </w:pPr>
            <w:r>
              <w:rPr>
                <w:noProof/>
              </w:rPr>
              <w:t xml:space="preserve">Programmes de formation pour les mentors dans les entreprises </w:t>
            </w:r>
          </w:p>
        </w:tc>
        <w:tc>
          <w:tcPr>
            <w:tcW w:w="1660" w:type="dxa"/>
            <w:tcBorders>
              <w:top w:val="nil"/>
              <w:left w:val="nil"/>
              <w:bottom w:val="single" w:sz="4" w:space="0" w:color="auto"/>
              <w:right w:val="single" w:sz="4" w:space="0" w:color="auto"/>
            </w:tcBorders>
            <w:shd w:val="clear" w:color="auto" w:fill="C6EFCE"/>
            <w:noWrap/>
          </w:tcPr>
          <w:p w14:paraId="5550EF0B" w14:textId="77777777" w:rsidR="003B6BD9" w:rsidRDefault="009E25E8">
            <w:pPr>
              <w:pStyle w:val="P68B1DB1-Normal7"/>
              <w:spacing w:line="240" w:lineRule="auto"/>
              <w:jc w:val="both"/>
              <w:rPr>
                <w:rFonts w:eastAsia="Times New Roman"/>
                <w:noProof/>
              </w:rPr>
            </w:pPr>
            <w:r>
              <w:rPr>
                <w:noProof/>
              </w:rPr>
              <w:t> </w:t>
            </w:r>
          </w:p>
        </w:tc>
        <w:tc>
          <w:tcPr>
            <w:tcW w:w="953" w:type="dxa"/>
            <w:tcBorders>
              <w:top w:val="nil"/>
              <w:left w:val="nil"/>
              <w:bottom w:val="single" w:sz="4" w:space="0" w:color="auto"/>
              <w:right w:val="single" w:sz="4" w:space="0" w:color="auto"/>
            </w:tcBorders>
            <w:shd w:val="clear" w:color="auto" w:fill="C6EFCE"/>
            <w:noWrap/>
          </w:tcPr>
          <w:p w14:paraId="1CEF6785" w14:textId="77777777" w:rsidR="003B6BD9" w:rsidRDefault="009E25E8">
            <w:pPr>
              <w:pStyle w:val="P68B1DB1-Normal7"/>
              <w:spacing w:before="0" w:after="0" w:line="256" w:lineRule="auto"/>
              <w:rPr>
                <w:rFonts w:eastAsia="Times New Roman"/>
                <w:noProof/>
              </w:rPr>
            </w:pPr>
            <w:r>
              <w:rPr>
                <w:noProof/>
              </w:rPr>
              <w:t>Nombre</w:t>
            </w:r>
          </w:p>
        </w:tc>
        <w:tc>
          <w:tcPr>
            <w:tcW w:w="952" w:type="dxa"/>
            <w:tcBorders>
              <w:top w:val="nil"/>
              <w:left w:val="nil"/>
              <w:bottom w:val="single" w:sz="4" w:space="0" w:color="auto"/>
              <w:right w:val="single" w:sz="4" w:space="0" w:color="auto"/>
            </w:tcBorders>
            <w:shd w:val="clear" w:color="auto" w:fill="C6EFCE"/>
            <w:noWrap/>
          </w:tcPr>
          <w:p w14:paraId="276309B9" w14:textId="77777777" w:rsidR="003B6BD9" w:rsidRDefault="009E25E8">
            <w:pPr>
              <w:pStyle w:val="P68B1DB1-Normal7"/>
              <w:spacing w:before="0" w:after="0" w:line="256" w:lineRule="auto"/>
              <w:rPr>
                <w:rFonts w:eastAsia="Times New Roman"/>
                <w:noProof/>
              </w:rPr>
            </w:pPr>
            <w:r>
              <w:rPr>
                <w:noProof/>
              </w:rPr>
              <w:t>0</w:t>
            </w:r>
          </w:p>
        </w:tc>
        <w:tc>
          <w:tcPr>
            <w:tcW w:w="1091" w:type="dxa"/>
            <w:tcBorders>
              <w:top w:val="nil"/>
              <w:left w:val="nil"/>
              <w:bottom w:val="single" w:sz="4" w:space="0" w:color="auto"/>
              <w:right w:val="single" w:sz="4" w:space="0" w:color="auto"/>
            </w:tcBorders>
            <w:shd w:val="clear" w:color="auto" w:fill="C6EFCE"/>
            <w:noWrap/>
          </w:tcPr>
          <w:p w14:paraId="1D78BEB9" w14:textId="240D24E2" w:rsidR="003B6BD9" w:rsidRDefault="009E25E8">
            <w:pPr>
              <w:pStyle w:val="P68B1DB1-Normal7"/>
              <w:spacing w:before="0" w:after="0" w:line="256" w:lineRule="auto"/>
              <w:rPr>
                <w:rFonts w:eastAsia="Times New Roman"/>
                <w:noProof/>
              </w:rPr>
            </w:pPr>
            <w:r>
              <w:rPr>
                <w:noProof/>
              </w:rPr>
              <w:t xml:space="preserve"> 2</w:t>
            </w:r>
          </w:p>
        </w:tc>
        <w:tc>
          <w:tcPr>
            <w:tcW w:w="952" w:type="dxa"/>
            <w:tcBorders>
              <w:top w:val="nil"/>
              <w:left w:val="nil"/>
              <w:bottom w:val="single" w:sz="4" w:space="0" w:color="auto"/>
              <w:right w:val="single" w:sz="4" w:space="0" w:color="auto"/>
            </w:tcBorders>
            <w:shd w:val="clear" w:color="auto" w:fill="C6EFCE"/>
            <w:noWrap/>
          </w:tcPr>
          <w:p w14:paraId="3C3981BE" w14:textId="77777777" w:rsidR="003B6BD9" w:rsidRDefault="009E25E8">
            <w:pPr>
              <w:pStyle w:val="P68B1DB1-Normal7"/>
              <w:spacing w:before="0" w:after="0" w:line="256" w:lineRule="auto"/>
              <w:jc w:val="center"/>
              <w:rPr>
                <w:rFonts w:eastAsia="Times New Roman"/>
                <w:noProof/>
              </w:rPr>
            </w:pPr>
            <w:r>
              <w:rPr>
                <w:noProof/>
              </w:rPr>
              <w:t>T2</w:t>
            </w:r>
          </w:p>
        </w:tc>
        <w:tc>
          <w:tcPr>
            <w:tcW w:w="629" w:type="dxa"/>
            <w:tcBorders>
              <w:top w:val="nil"/>
              <w:left w:val="nil"/>
              <w:bottom w:val="single" w:sz="4" w:space="0" w:color="auto"/>
              <w:right w:val="single" w:sz="4" w:space="0" w:color="auto"/>
            </w:tcBorders>
            <w:shd w:val="clear" w:color="auto" w:fill="C6EFCE"/>
            <w:noWrap/>
          </w:tcPr>
          <w:p w14:paraId="05333B41" w14:textId="77777777" w:rsidR="003B6BD9" w:rsidRDefault="009E25E8">
            <w:pPr>
              <w:pStyle w:val="P68B1DB1-Normal7"/>
              <w:spacing w:before="0" w:after="0" w:line="256" w:lineRule="auto"/>
              <w:jc w:val="center"/>
              <w:rPr>
                <w:rFonts w:eastAsia="Times New Roman"/>
                <w:noProof/>
              </w:rPr>
            </w:pPr>
            <w:r>
              <w:rPr>
                <w:noProof/>
              </w:rPr>
              <w:t>2026</w:t>
            </w:r>
          </w:p>
        </w:tc>
        <w:tc>
          <w:tcPr>
            <w:tcW w:w="3522" w:type="dxa"/>
            <w:tcBorders>
              <w:top w:val="nil"/>
              <w:left w:val="nil"/>
              <w:bottom w:val="single" w:sz="4" w:space="0" w:color="auto"/>
              <w:right w:val="single" w:sz="4" w:space="0" w:color="auto"/>
            </w:tcBorders>
            <w:shd w:val="clear" w:color="auto" w:fill="C6EFCE"/>
            <w:noWrap/>
          </w:tcPr>
          <w:p w14:paraId="09002D37" w14:textId="6E764C0D" w:rsidR="003B6BD9" w:rsidRDefault="009E25E8">
            <w:pPr>
              <w:pStyle w:val="P68B1DB1-Normal8"/>
              <w:spacing w:before="0" w:after="0" w:line="256" w:lineRule="auto"/>
              <w:rPr>
                <w:noProof/>
              </w:rPr>
            </w:pPr>
            <w:r>
              <w:rPr>
                <w:noProof/>
              </w:rPr>
              <w:t>Les programmes de formation des tuteurs en entreprise se concentrent sur les compétences nécessaires pour planifier et dispenser une formation pratique sur le lieu de travail aux étudiants et aux stagiaires.</w:t>
            </w:r>
          </w:p>
        </w:tc>
      </w:tr>
      <w:tr w:rsidR="003B6BD9" w14:paraId="1143E965" w14:textId="77777777" w:rsidTr="006C1AFD">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2D95C4E" w14:textId="0802F967" w:rsidR="003B6BD9" w:rsidRDefault="009E25E8">
            <w:pPr>
              <w:pStyle w:val="P68B1DB1-Normal7"/>
              <w:spacing w:before="0" w:after="0" w:line="256" w:lineRule="auto"/>
              <w:rPr>
                <w:rFonts w:eastAsia="Times New Roman"/>
                <w:noProof/>
              </w:rPr>
            </w:pPr>
            <w:r>
              <w:rPr>
                <w:noProof/>
              </w:rPr>
              <w:t>164</w:t>
            </w:r>
          </w:p>
        </w:tc>
        <w:tc>
          <w:tcPr>
            <w:tcW w:w="1560" w:type="dxa"/>
            <w:tcBorders>
              <w:top w:val="single" w:sz="4" w:space="0" w:color="auto"/>
              <w:left w:val="nil"/>
              <w:bottom w:val="single" w:sz="4" w:space="0" w:color="auto"/>
              <w:right w:val="single" w:sz="4" w:space="0" w:color="auto"/>
            </w:tcBorders>
            <w:shd w:val="clear" w:color="auto" w:fill="C6EFCE"/>
            <w:noWrap/>
          </w:tcPr>
          <w:p w14:paraId="77B6F9D8" w14:textId="77777777" w:rsidR="003B6BD9" w:rsidRDefault="009E25E8">
            <w:pPr>
              <w:pStyle w:val="P68B1DB1-Normal7"/>
              <w:spacing w:before="0" w:after="0" w:line="256" w:lineRule="auto"/>
              <w:rPr>
                <w:rFonts w:eastAsia="Times New Roman"/>
                <w:noProof/>
              </w:rPr>
            </w:pPr>
            <w:r>
              <w:rPr>
                <w:noProof/>
              </w:rPr>
              <w:t>H: Écologisation des infrastructures éducatives en Slovénie</w:t>
            </w:r>
          </w:p>
        </w:tc>
        <w:tc>
          <w:tcPr>
            <w:tcW w:w="1200" w:type="dxa"/>
            <w:tcBorders>
              <w:top w:val="single" w:sz="4" w:space="0" w:color="auto"/>
              <w:left w:val="nil"/>
              <w:bottom w:val="single" w:sz="4" w:space="0" w:color="auto"/>
              <w:right w:val="single" w:sz="4" w:space="0" w:color="auto"/>
            </w:tcBorders>
            <w:shd w:val="clear" w:color="auto" w:fill="C6EFCE"/>
            <w:noWrap/>
          </w:tcPr>
          <w:p w14:paraId="419BC7AF" w14:textId="77777777" w:rsidR="003B6BD9" w:rsidRDefault="009E25E8">
            <w:pPr>
              <w:pStyle w:val="P68B1DB1-Normal7"/>
              <w:spacing w:before="0" w:after="0" w:line="256" w:lineRule="auto"/>
              <w:rPr>
                <w:rFonts w:eastAsia="Times New Roman"/>
                <w:noProof/>
              </w:rPr>
            </w:pPr>
            <w:r>
              <w:rPr>
                <w:noProof/>
              </w:rPr>
              <w:t>Jalon</w:t>
            </w:r>
          </w:p>
        </w:tc>
        <w:tc>
          <w:tcPr>
            <w:tcW w:w="2253" w:type="dxa"/>
            <w:tcBorders>
              <w:top w:val="single" w:sz="4" w:space="0" w:color="auto"/>
              <w:left w:val="nil"/>
              <w:bottom w:val="single" w:sz="4" w:space="0" w:color="auto"/>
              <w:right w:val="single" w:sz="4" w:space="0" w:color="auto"/>
            </w:tcBorders>
            <w:shd w:val="clear" w:color="auto" w:fill="C6EFCE"/>
            <w:noWrap/>
          </w:tcPr>
          <w:p w14:paraId="104853ED" w14:textId="1CB0147F" w:rsidR="003B6BD9" w:rsidRDefault="009E25E8">
            <w:pPr>
              <w:pStyle w:val="P68B1DB1-Normal7"/>
              <w:spacing w:before="0" w:after="0" w:line="256" w:lineRule="auto"/>
              <w:rPr>
                <w:rFonts w:eastAsia="Times New Roman"/>
                <w:noProof/>
              </w:rPr>
            </w:pPr>
            <w:r>
              <w:rPr>
                <w:noProof/>
              </w:rPr>
              <w:t>Achèvement de la sélection du projet d’investissement dans l’écologisation des infrastructures éducatives</w:t>
            </w:r>
          </w:p>
        </w:tc>
        <w:tc>
          <w:tcPr>
            <w:tcW w:w="1660" w:type="dxa"/>
            <w:tcBorders>
              <w:top w:val="single" w:sz="4" w:space="0" w:color="auto"/>
              <w:left w:val="nil"/>
              <w:bottom w:val="single" w:sz="4" w:space="0" w:color="auto"/>
              <w:right w:val="single" w:sz="4" w:space="0" w:color="auto"/>
            </w:tcBorders>
            <w:shd w:val="clear" w:color="auto" w:fill="C6EFCE"/>
            <w:noWrap/>
          </w:tcPr>
          <w:p w14:paraId="41C86C49" w14:textId="2A0EFB45" w:rsidR="003B6BD9" w:rsidRDefault="009E25E8">
            <w:pPr>
              <w:pStyle w:val="P68B1DB1-Normal7"/>
              <w:spacing w:line="240" w:lineRule="auto"/>
              <w:rPr>
                <w:rFonts w:eastAsia="Times New Roman"/>
                <w:noProof/>
              </w:rPr>
            </w:pPr>
            <w:r>
              <w:rPr>
                <w:noProof/>
              </w:rPr>
              <w:t>Signature du contrat</w:t>
            </w:r>
          </w:p>
        </w:tc>
        <w:tc>
          <w:tcPr>
            <w:tcW w:w="953" w:type="dxa"/>
            <w:tcBorders>
              <w:top w:val="single" w:sz="4" w:space="0" w:color="auto"/>
              <w:left w:val="nil"/>
              <w:bottom w:val="single" w:sz="4" w:space="0" w:color="auto"/>
              <w:right w:val="single" w:sz="4" w:space="0" w:color="auto"/>
            </w:tcBorders>
            <w:shd w:val="clear" w:color="auto" w:fill="C6EFCE"/>
            <w:noWrap/>
          </w:tcPr>
          <w:p w14:paraId="40EF0768" w14:textId="77777777" w:rsidR="003B6BD9" w:rsidRDefault="009E25E8">
            <w:pPr>
              <w:pStyle w:val="P68B1DB1-Normal7"/>
              <w:spacing w:before="0" w:after="0" w:line="256" w:lineRule="auto"/>
              <w:rPr>
                <w:rFonts w:eastAsia="Times New Roman"/>
                <w:noProof/>
              </w:rPr>
            </w:pPr>
            <w:r>
              <w:rPr>
                <w:noProof/>
              </w:rPr>
              <w:t> </w:t>
            </w:r>
          </w:p>
        </w:tc>
        <w:tc>
          <w:tcPr>
            <w:tcW w:w="952" w:type="dxa"/>
            <w:tcBorders>
              <w:top w:val="single" w:sz="4" w:space="0" w:color="auto"/>
              <w:left w:val="nil"/>
              <w:bottom w:val="single" w:sz="4" w:space="0" w:color="auto"/>
              <w:right w:val="single" w:sz="4" w:space="0" w:color="auto"/>
            </w:tcBorders>
            <w:shd w:val="clear" w:color="auto" w:fill="C6EFCE"/>
            <w:noWrap/>
          </w:tcPr>
          <w:p w14:paraId="2CFC0749" w14:textId="77777777" w:rsidR="003B6BD9" w:rsidRDefault="009E25E8">
            <w:pPr>
              <w:pStyle w:val="P68B1DB1-Normal7"/>
              <w:spacing w:before="0" w:after="0" w:line="256" w:lineRule="auto"/>
              <w:rPr>
                <w:rFonts w:eastAsia="Times New Roman"/>
                <w:noProof/>
              </w:rPr>
            </w:pPr>
            <w:r>
              <w:rPr>
                <w:noProof/>
              </w:rPr>
              <w:t> </w:t>
            </w:r>
          </w:p>
        </w:tc>
        <w:tc>
          <w:tcPr>
            <w:tcW w:w="1091" w:type="dxa"/>
            <w:tcBorders>
              <w:top w:val="single" w:sz="4" w:space="0" w:color="auto"/>
              <w:left w:val="nil"/>
              <w:bottom w:val="single" w:sz="4" w:space="0" w:color="auto"/>
              <w:right w:val="single" w:sz="4" w:space="0" w:color="auto"/>
            </w:tcBorders>
            <w:shd w:val="clear" w:color="auto" w:fill="C6EFCE"/>
            <w:noWrap/>
          </w:tcPr>
          <w:p w14:paraId="5BB04193" w14:textId="77777777" w:rsidR="003B6BD9" w:rsidRDefault="009E25E8">
            <w:pPr>
              <w:pStyle w:val="P68B1DB1-Normal7"/>
              <w:spacing w:before="0" w:after="0" w:line="256" w:lineRule="auto"/>
              <w:rPr>
                <w:rFonts w:eastAsia="Times New Roman"/>
                <w:noProof/>
              </w:rPr>
            </w:pPr>
            <w:r>
              <w:rPr>
                <w:noProof/>
              </w:rPr>
              <w:t> </w:t>
            </w:r>
          </w:p>
        </w:tc>
        <w:tc>
          <w:tcPr>
            <w:tcW w:w="952" w:type="dxa"/>
            <w:tcBorders>
              <w:top w:val="single" w:sz="4" w:space="0" w:color="auto"/>
              <w:left w:val="nil"/>
              <w:bottom w:val="single" w:sz="4" w:space="0" w:color="auto"/>
              <w:right w:val="single" w:sz="4" w:space="0" w:color="auto"/>
            </w:tcBorders>
            <w:shd w:val="clear" w:color="auto" w:fill="C6EFCE"/>
            <w:noWrap/>
          </w:tcPr>
          <w:p w14:paraId="13D09E3D" w14:textId="77777777" w:rsidR="003B6BD9" w:rsidRDefault="009E25E8">
            <w:pPr>
              <w:pStyle w:val="P68B1DB1-Normal7"/>
              <w:spacing w:before="0" w:after="0" w:line="256" w:lineRule="auto"/>
              <w:jc w:val="center"/>
              <w:rPr>
                <w:rFonts w:eastAsia="Times New Roman"/>
                <w:noProof/>
              </w:rPr>
            </w:pPr>
            <w:r>
              <w:rPr>
                <w:noProof/>
              </w:rPr>
              <w:t>T2</w:t>
            </w:r>
          </w:p>
        </w:tc>
        <w:tc>
          <w:tcPr>
            <w:tcW w:w="629" w:type="dxa"/>
            <w:tcBorders>
              <w:top w:val="single" w:sz="4" w:space="0" w:color="auto"/>
              <w:left w:val="nil"/>
              <w:bottom w:val="single" w:sz="4" w:space="0" w:color="auto"/>
              <w:right w:val="single" w:sz="4" w:space="0" w:color="auto"/>
            </w:tcBorders>
            <w:shd w:val="clear" w:color="auto" w:fill="C6EFCE"/>
            <w:noWrap/>
          </w:tcPr>
          <w:p w14:paraId="45534AF9" w14:textId="77777777" w:rsidR="003B6BD9" w:rsidRDefault="009E25E8">
            <w:pPr>
              <w:pStyle w:val="P68B1DB1-Normal7"/>
              <w:spacing w:before="0" w:after="0" w:line="256" w:lineRule="auto"/>
              <w:jc w:val="center"/>
              <w:rPr>
                <w:rFonts w:eastAsia="Times New Roman"/>
                <w:noProof/>
              </w:rPr>
            </w:pPr>
            <w:r>
              <w:rPr>
                <w:noProof/>
              </w:rPr>
              <w:t>2023</w:t>
            </w:r>
          </w:p>
        </w:tc>
        <w:tc>
          <w:tcPr>
            <w:tcW w:w="3522" w:type="dxa"/>
            <w:tcBorders>
              <w:top w:val="single" w:sz="4" w:space="0" w:color="auto"/>
              <w:left w:val="nil"/>
              <w:bottom w:val="single" w:sz="4" w:space="0" w:color="auto"/>
              <w:right w:val="single" w:sz="4" w:space="0" w:color="auto"/>
            </w:tcBorders>
            <w:shd w:val="clear" w:color="auto" w:fill="C6EFCE"/>
            <w:noWrap/>
          </w:tcPr>
          <w:p w14:paraId="277010DE" w14:textId="214D0595" w:rsidR="003B6BD9" w:rsidRDefault="009E25E8">
            <w:pPr>
              <w:pStyle w:val="P68B1DB1-Normal7"/>
              <w:spacing w:before="0" w:after="0" w:line="256" w:lineRule="auto"/>
              <w:rPr>
                <w:rFonts w:eastAsia="Times New Roman"/>
                <w:noProof/>
              </w:rPr>
            </w:pPr>
            <w:r>
              <w:rPr>
                <w:noProof/>
              </w:rPr>
              <w:t>Le ministère de l’éducation, des sciences et des sports signe le contrat de cofinancement d’un projet d’infrastructure conformément à la stratégie pour l’écologisation des infrastructures d’éducation et de recherche. Le contrat garantit que la demande d’énergie primaire de tous les nouveaux bâtiments est inférieure d’au moins 20 % à l’exigence relative aux bâtiments dont la consommation d’énergie est quasi nulle.</w:t>
            </w:r>
          </w:p>
        </w:tc>
      </w:tr>
      <w:tr w:rsidR="003B6BD9" w14:paraId="4A94923D" w14:textId="77777777" w:rsidTr="006C1AFD">
        <w:trPr>
          <w:trHeight w:val="309"/>
          <w:jc w:val="center"/>
        </w:trPr>
        <w:tc>
          <w:tcPr>
            <w:tcW w:w="835" w:type="dxa"/>
            <w:tcBorders>
              <w:top w:val="nil"/>
              <w:left w:val="single" w:sz="4" w:space="0" w:color="auto"/>
              <w:bottom w:val="single" w:sz="4" w:space="0" w:color="auto"/>
              <w:right w:val="single" w:sz="4" w:space="0" w:color="auto"/>
            </w:tcBorders>
            <w:shd w:val="clear" w:color="auto" w:fill="C6EFCE"/>
            <w:noWrap/>
          </w:tcPr>
          <w:p w14:paraId="79432119" w14:textId="77777777" w:rsidR="003B6BD9" w:rsidRDefault="009E25E8">
            <w:pPr>
              <w:pStyle w:val="P68B1DB1-Normal7"/>
              <w:spacing w:before="0" w:after="0" w:line="256" w:lineRule="auto"/>
              <w:rPr>
                <w:rFonts w:eastAsia="Times New Roman"/>
                <w:noProof/>
              </w:rPr>
            </w:pPr>
            <w:r>
              <w:rPr>
                <w:noProof/>
              </w:rPr>
              <w:t>166</w:t>
            </w:r>
          </w:p>
        </w:tc>
        <w:tc>
          <w:tcPr>
            <w:tcW w:w="1560" w:type="dxa"/>
            <w:tcBorders>
              <w:top w:val="nil"/>
              <w:left w:val="nil"/>
              <w:bottom w:val="single" w:sz="4" w:space="0" w:color="auto"/>
              <w:right w:val="single" w:sz="4" w:space="0" w:color="auto"/>
            </w:tcBorders>
            <w:shd w:val="clear" w:color="auto" w:fill="C6EFCE"/>
            <w:noWrap/>
          </w:tcPr>
          <w:p w14:paraId="1F59A3B6" w14:textId="77777777" w:rsidR="003B6BD9" w:rsidRDefault="009E25E8">
            <w:pPr>
              <w:pStyle w:val="P68B1DB1-Normal7"/>
              <w:spacing w:before="0" w:after="0" w:line="256" w:lineRule="auto"/>
              <w:rPr>
                <w:rFonts w:eastAsia="Times New Roman"/>
                <w:noProof/>
              </w:rPr>
            </w:pPr>
            <w:r>
              <w:rPr>
                <w:noProof/>
              </w:rPr>
              <w:t>H: Écologisation des infrastructures éducatives en Slovénie</w:t>
            </w:r>
          </w:p>
        </w:tc>
        <w:tc>
          <w:tcPr>
            <w:tcW w:w="1200" w:type="dxa"/>
            <w:tcBorders>
              <w:top w:val="nil"/>
              <w:left w:val="nil"/>
              <w:bottom w:val="single" w:sz="4" w:space="0" w:color="auto"/>
              <w:right w:val="single" w:sz="4" w:space="0" w:color="auto"/>
            </w:tcBorders>
            <w:shd w:val="clear" w:color="auto" w:fill="C6EFCE"/>
            <w:noWrap/>
          </w:tcPr>
          <w:p w14:paraId="4CEA38AF" w14:textId="41F0A133" w:rsidR="003B6BD9" w:rsidRDefault="009E25E8">
            <w:pPr>
              <w:pStyle w:val="P68B1DB1-Normal7"/>
              <w:spacing w:before="0" w:after="0" w:line="256" w:lineRule="auto"/>
              <w:rPr>
                <w:rFonts w:eastAsia="Times New Roman"/>
                <w:noProof/>
              </w:rPr>
            </w:pPr>
            <w:r>
              <w:rPr>
                <w:noProof/>
              </w:rPr>
              <w:t>Cible</w:t>
            </w:r>
          </w:p>
        </w:tc>
        <w:tc>
          <w:tcPr>
            <w:tcW w:w="2253" w:type="dxa"/>
            <w:tcBorders>
              <w:top w:val="nil"/>
              <w:left w:val="nil"/>
              <w:bottom w:val="single" w:sz="4" w:space="0" w:color="auto"/>
              <w:right w:val="single" w:sz="4" w:space="0" w:color="auto"/>
            </w:tcBorders>
            <w:shd w:val="clear" w:color="auto" w:fill="C6EFCE"/>
            <w:noWrap/>
          </w:tcPr>
          <w:p w14:paraId="508D7AEC" w14:textId="4EF19303" w:rsidR="003B6BD9" w:rsidRDefault="009E25E8">
            <w:pPr>
              <w:pStyle w:val="P68B1DB1-Normal7"/>
              <w:spacing w:before="0" w:after="0" w:line="256" w:lineRule="auto"/>
              <w:rPr>
                <w:rFonts w:eastAsia="Times New Roman"/>
                <w:noProof/>
              </w:rPr>
            </w:pPr>
            <w:r>
              <w:rPr>
                <w:noProof/>
              </w:rPr>
              <w:t xml:space="preserve">Installations éducatives nouvelles ou rénovées </w:t>
            </w:r>
          </w:p>
        </w:tc>
        <w:tc>
          <w:tcPr>
            <w:tcW w:w="1660" w:type="dxa"/>
            <w:tcBorders>
              <w:top w:val="nil"/>
              <w:left w:val="nil"/>
              <w:bottom w:val="single" w:sz="4" w:space="0" w:color="auto"/>
              <w:right w:val="single" w:sz="4" w:space="0" w:color="auto"/>
            </w:tcBorders>
            <w:shd w:val="clear" w:color="auto" w:fill="C6EFCE"/>
            <w:noWrap/>
          </w:tcPr>
          <w:p w14:paraId="5EB19868" w14:textId="77777777" w:rsidR="003B6BD9" w:rsidRDefault="003B6BD9">
            <w:pPr>
              <w:spacing w:line="240" w:lineRule="auto"/>
              <w:jc w:val="both"/>
              <w:rPr>
                <w:rFonts w:eastAsia="Times New Roman"/>
                <w:noProof/>
                <w:color w:val="006100"/>
                <w:sz w:val="18"/>
                <w:szCs w:val="18"/>
              </w:rPr>
            </w:pPr>
          </w:p>
        </w:tc>
        <w:tc>
          <w:tcPr>
            <w:tcW w:w="953" w:type="dxa"/>
            <w:tcBorders>
              <w:top w:val="nil"/>
              <w:left w:val="nil"/>
              <w:bottom w:val="single" w:sz="4" w:space="0" w:color="auto"/>
              <w:right w:val="single" w:sz="4" w:space="0" w:color="auto"/>
            </w:tcBorders>
            <w:shd w:val="clear" w:color="auto" w:fill="C6EFCE"/>
            <w:noWrap/>
          </w:tcPr>
          <w:p w14:paraId="5E30C477" w14:textId="24A1A71E" w:rsidR="003B6BD9" w:rsidRDefault="009E25E8">
            <w:pPr>
              <w:pStyle w:val="P68B1DB1-Normal7"/>
              <w:spacing w:before="0" w:after="0" w:line="256" w:lineRule="auto"/>
              <w:rPr>
                <w:rFonts w:eastAsia="Times New Roman"/>
                <w:noProof/>
              </w:rPr>
            </w:pPr>
            <w:r>
              <w:rPr>
                <w:noProof/>
              </w:rPr>
              <w:t xml:space="preserve">Nombre </w:t>
            </w:r>
          </w:p>
        </w:tc>
        <w:tc>
          <w:tcPr>
            <w:tcW w:w="952" w:type="dxa"/>
            <w:tcBorders>
              <w:top w:val="nil"/>
              <w:left w:val="nil"/>
              <w:bottom w:val="single" w:sz="4" w:space="0" w:color="auto"/>
              <w:right w:val="single" w:sz="4" w:space="0" w:color="auto"/>
            </w:tcBorders>
            <w:shd w:val="clear" w:color="auto" w:fill="C6EFCE"/>
            <w:noWrap/>
          </w:tcPr>
          <w:p w14:paraId="0FEDFEA5" w14:textId="548ED2A8" w:rsidR="003B6BD9" w:rsidRDefault="009E25E8">
            <w:pPr>
              <w:pStyle w:val="P68B1DB1-Normal7"/>
              <w:spacing w:before="0" w:after="0" w:line="256" w:lineRule="auto"/>
              <w:rPr>
                <w:rFonts w:eastAsia="Times New Roman"/>
                <w:noProof/>
              </w:rPr>
            </w:pPr>
            <w:r>
              <w:rPr>
                <w:noProof/>
              </w:rPr>
              <w:t>0</w:t>
            </w:r>
          </w:p>
        </w:tc>
        <w:tc>
          <w:tcPr>
            <w:tcW w:w="1091" w:type="dxa"/>
            <w:tcBorders>
              <w:top w:val="nil"/>
              <w:left w:val="nil"/>
              <w:bottom w:val="single" w:sz="4" w:space="0" w:color="auto"/>
              <w:right w:val="single" w:sz="4" w:space="0" w:color="auto"/>
            </w:tcBorders>
            <w:shd w:val="clear" w:color="auto" w:fill="C6EFCE"/>
            <w:noWrap/>
          </w:tcPr>
          <w:p w14:paraId="384ECB9F" w14:textId="23181C94" w:rsidR="003B6BD9" w:rsidRDefault="009E25E8">
            <w:pPr>
              <w:pStyle w:val="P68B1DB1-Normal7"/>
              <w:spacing w:before="0" w:after="0" w:line="256" w:lineRule="auto"/>
              <w:rPr>
                <w:rFonts w:eastAsia="Times New Roman"/>
                <w:noProof/>
              </w:rPr>
            </w:pPr>
            <w:r>
              <w:rPr>
                <w:noProof/>
              </w:rPr>
              <w:t>7</w:t>
            </w:r>
          </w:p>
        </w:tc>
        <w:tc>
          <w:tcPr>
            <w:tcW w:w="952" w:type="dxa"/>
            <w:tcBorders>
              <w:top w:val="nil"/>
              <w:left w:val="nil"/>
              <w:bottom w:val="single" w:sz="4" w:space="0" w:color="auto"/>
              <w:right w:val="single" w:sz="4" w:space="0" w:color="auto"/>
            </w:tcBorders>
            <w:shd w:val="clear" w:color="auto" w:fill="C6EFCE"/>
            <w:noWrap/>
          </w:tcPr>
          <w:p w14:paraId="41E657C5" w14:textId="77777777" w:rsidR="003B6BD9" w:rsidRDefault="009E25E8">
            <w:pPr>
              <w:pStyle w:val="P68B1DB1-Normal7"/>
              <w:spacing w:before="0" w:after="0" w:line="256" w:lineRule="auto"/>
              <w:jc w:val="center"/>
              <w:rPr>
                <w:rFonts w:eastAsia="Times New Roman"/>
                <w:noProof/>
              </w:rPr>
            </w:pPr>
            <w:r>
              <w:rPr>
                <w:noProof/>
              </w:rPr>
              <w:t>T2</w:t>
            </w:r>
          </w:p>
        </w:tc>
        <w:tc>
          <w:tcPr>
            <w:tcW w:w="629" w:type="dxa"/>
            <w:tcBorders>
              <w:top w:val="nil"/>
              <w:left w:val="nil"/>
              <w:bottom w:val="single" w:sz="4" w:space="0" w:color="auto"/>
              <w:right w:val="single" w:sz="4" w:space="0" w:color="auto"/>
            </w:tcBorders>
            <w:shd w:val="clear" w:color="auto" w:fill="C6EFCE"/>
            <w:noWrap/>
          </w:tcPr>
          <w:p w14:paraId="3CC20592" w14:textId="77777777" w:rsidR="003B6BD9" w:rsidRDefault="009E25E8">
            <w:pPr>
              <w:pStyle w:val="P68B1DB1-Normal7"/>
              <w:spacing w:before="0" w:after="0" w:line="256" w:lineRule="auto"/>
              <w:jc w:val="center"/>
              <w:rPr>
                <w:rFonts w:eastAsia="Times New Roman"/>
                <w:noProof/>
              </w:rPr>
            </w:pPr>
            <w:r>
              <w:rPr>
                <w:noProof/>
              </w:rPr>
              <w:t>2026</w:t>
            </w:r>
          </w:p>
        </w:tc>
        <w:tc>
          <w:tcPr>
            <w:tcW w:w="3522" w:type="dxa"/>
            <w:tcBorders>
              <w:top w:val="nil"/>
              <w:left w:val="nil"/>
              <w:bottom w:val="single" w:sz="4" w:space="0" w:color="auto"/>
              <w:right w:val="single" w:sz="4" w:space="0" w:color="auto"/>
            </w:tcBorders>
            <w:shd w:val="clear" w:color="auto" w:fill="C6EFCE"/>
            <w:noWrap/>
          </w:tcPr>
          <w:p w14:paraId="7A5C862E" w14:textId="4F1D3ACB" w:rsidR="003B6BD9" w:rsidRDefault="009E25E8">
            <w:pPr>
              <w:pStyle w:val="P68B1DB1-Normal7"/>
              <w:spacing w:before="0" w:after="0" w:line="256" w:lineRule="auto"/>
              <w:rPr>
                <w:rFonts w:eastAsia="Times New Roman"/>
                <w:noProof/>
              </w:rPr>
            </w:pPr>
            <w:r>
              <w:rPr>
                <w:noProof/>
              </w:rPr>
              <w:t>Construction ou rénovation de sept établissements d’enseignement.</w:t>
            </w:r>
          </w:p>
        </w:tc>
      </w:tr>
    </w:tbl>
    <w:p w14:paraId="40BB0DFE" w14:textId="77777777" w:rsidR="003B6BD9" w:rsidRDefault="003B6BD9">
      <w:pPr>
        <w:spacing w:line="240" w:lineRule="auto"/>
        <w:ind w:left="709"/>
        <w:jc w:val="both"/>
        <w:rPr>
          <w:noProof/>
          <w:szCs w:val="24"/>
        </w:rPr>
        <w:sectPr w:rsidR="003B6BD9" w:rsidSect="00073927">
          <w:headerReference w:type="even" r:id="rId200"/>
          <w:headerReference w:type="default" r:id="rId201"/>
          <w:footerReference w:type="even" r:id="rId202"/>
          <w:footerReference w:type="default" r:id="rId203"/>
          <w:headerReference w:type="first" r:id="rId204"/>
          <w:footerReference w:type="first" r:id="rId205"/>
          <w:pgSz w:w="16839" w:h="11907" w:orient="landscape"/>
          <w:pgMar w:top="1134" w:right="1134" w:bottom="1134" w:left="1134" w:header="567" w:footer="567" w:gutter="0"/>
          <w:cols w:space="720"/>
          <w:docGrid w:linePitch="326"/>
        </w:sectPr>
      </w:pPr>
    </w:p>
    <w:p w14:paraId="6314AF53" w14:textId="5AF796AB" w:rsidR="003B6BD9" w:rsidRDefault="009E25E8">
      <w:pPr>
        <w:pStyle w:val="P68B1DB1-Normal2"/>
        <w:spacing w:line="240" w:lineRule="auto"/>
        <w:jc w:val="both"/>
        <w:rPr>
          <w:i/>
          <w:noProof/>
          <w:color w:val="4F81BD"/>
        </w:rPr>
      </w:pPr>
      <w:r>
        <w:rPr>
          <w:noProof/>
        </w:rPr>
        <w:t xml:space="preserve">L.3. Description des réformes et des investissements en vue du prêt </w:t>
      </w:r>
    </w:p>
    <w:p w14:paraId="2B96EC21" w14:textId="77777777" w:rsidR="003B6BD9" w:rsidRDefault="009E25E8">
      <w:pPr>
        <w:pStyle w:val="P68B1DB1-Normal5"/>
        <w:spacing w:line="240" w:lineRule="auto"/>
        <w:jc w:val="both"/>
        <w:rPr>
          <w:noProof/>
        </w:rPr>
      </w:pPr>
      <w:r>
        <w:rPr>
          <w:noProof/>
        </w:rPr>
        <w:t>Réforme D: Stratégie d’écologisation des infrastructures d’éducation et de recherche en Slovénie</w:t>
      </w:r>
    </w:p>
    <w:p w14:paraId="57ED73D2" w14:textId="77777777" w:rsidR="003B6BD9" w:rsidRDefault="009E25E8">
      <w:pPr>
        <w:spacing w:line="240" w:lineRule="auto"/>
        <w:jc w:val="both"/>
        <w:rPr>
          <w:noProof/>
        </w:rPr>
      </w:pPr>
      <w:r>
        <w:rPr>
          <w:noProof/>
        </w:rPr>
        <w:t xml:space="preserve">L’objectif de la réforme est de moderniser les infrastructures d’enseignement et de recherche en Slovénie pour répondre aux besoins des processus modernes d’éducation et de recherche, y compris la conception d’espaces flexibles permettant des approches modernes de transmission des connaissances, telles que l’apprentissage participatif et collaboratif et une approche institutionnelle intégrée dans la mise en œuvre de l’éducation au développement durable. </w:t>
      </w:r>
    </w:p>
    <w:p w14:paraId="4B812438" w14:textId="77777777" w:rsidR="003B6BD9" w:rsidRDefault="009E25E8">
      <w:pPr>
        <w:spacing w:line="240" w:lineRule="auto"/>
        <w:jc w:val="both"/>
        <w:rPr>
          <w:noProof/>
        </w:rPr>
      </w:pPr>
      <w:r>
        <w:rPr>
          <w:noProof/>
        </w:rPr>
        <w:t>La réforme consiste en l’adoption d’une stratégie pour un système d’investissement efficace sur le plan énergétique et axé sur le développement dans les infrastructures d’éducation et de recherche d’ici à 2030. La stratégie définit en particulier les priorités d’investissement dans l’écologisation des établissements d’enseignement et de recherche. La stratégie pour l’écologisation de l’éducation et des infrastructures de recherche est adoptée par le gouvernement slovène.</w:t>
      </w:r>
    </w:p>
    <w:p w14:paraId="34574585" w14:textId="77777777" w:rsidR="003B6BD9" w:rsidRDefault="009E25E8">
      <w:pPr>
        <w:spacing w:line="240" w:lineRule="auto"/>
        <w:jc w:val="both"/>
        <w:rPr>
          <w:noProof/>
        </w:rPr>
      </w:pPr>
      <w:r>
        <w:rPr>
          <w:noProof/>
        </w:rPr>
        <w:t>Le jalon lié à la mise en œuvre de la réforme est achevé au plus tard le 31 décembre 2022.</w:t>
      </w:r>
    </w:p>
    <w:p w14:paraId="1312DC9B" w14:textId="286E456F" w:rsidR="003B6BD9" w:rsidRDefault="009E25E8">
      <w:pPr>
        <w:pStyle w:val="P68B1DB1-Normal5"/>
        <w:spacing w:line="240" w:lineRule="auto"/>
        <w:jc w:val="both"/>
        <w:rPr>
          <w:noProof/>
        </w:rPr>
      </w:pPr>
      <w:r>
        <w:rPr>
          <w:noProof/>
        </w:rPr>
        <w:t>Investissement H: Poursuivre l’écologisation des infrastructures éducatives en Slovénie</w:t>
      </w:r>
    </w:p>
    <w:p w14:paraId="55A5DF41" w14:textId="77777777" w:rsidR="003B6BD9" w:rsidRDefault="009E25E8">
      <w:pPr>
        <w:spacing w:line="240" w:lineRule="auto"/>
        <w:jc w:val="both"/>
        <w:rPr>
          <w:noProof/>
        </w:rPr>
      </w:pPr>
      <w:r>
        <w:rPr>
          <w:noProof/>
        </w:rPr>
        <w:t>L’objectif de l’investissement est de contribuer davantage à la mise en place d’infrastructures éducatives durables et respectueuses de l’environnement.</w:t>
      </w:r>
    </w:p>
    <w:p w14:paraId="57729C40" w14:textId="6AF2A978" w:rsidR="003B6BD9" w:rsidRDefault="009E25E8">
      <w:pPr>
        <w:spacing w:line="240" w:lineRule="auto"/>
        <w:jc w:val="both"/>
        <w:rPr>
          <w:noProof/>
        </w:rPr>
      </w:pPr>
      <w:r>
        <w:rPr>
          <w:noProof/>
        </w:rPr>
        <w:t xml:space="preserve">L’investissement consiste en la poursuite de la construction ou de la rénovation de deux établissements d’enseignement. </w:t>
      </w:r>
    </w:p>
    <w:p w14:paraId="14DDAC33" w14:textId="3AEF4652" w:rsidR="003B6BD9" w:rsidRDefault="003B6BD9">
      <w:pPr>
        <w:rPr>
          <w:noProof/>
        </w:rPr>
      </w:pPr>
    </w:p>
    <w:p w14:paraId="086988A4" w14:textId="77777777" w:rsidR="003B6BD9" w:rsidRDefault="003B6BD9">
      <w:pPr>
        <w:rPr>
          <w:noProof/>
        </w:rPr>
        <w:sectPr w:rsidR="003B6BD9" w:rsidSect="00073927">
          <w:headerReference w:type="even" r:id="rId206"/>
          <w:headerReference w:type="default" r:id="rId207"/>
          <w:footerReference w:type="even" r:id="rId208"/>
          <w:footerReference w:type="default" r:id="rId209"/>
          <w:headerReference w:type="first" r:id="rId210"/>
          <w:footerReference w:type="first" r:id="rId211"/>
          <w:pgSz w:w="11907" w:h="16839"/>
          <w:pgMar w:top="1134" w:right="1134" w:bottom="1134" w:left="1134" w:header="567" w:footer="567" w:gutter="0"/>
          <w:cols w:space="720"/>
          <w:docGrid w:linePitch="326"/>
        </w:sectPr>
      </w:pPr>
    </w:p>
    <w:p w14:paraId="1B73DEAF" w14:textId="4DF3A3FF" w:rsidR="003B6BD9" w:rsidRDefault="009E25E8">
      <w:pPr>
        <w:pStyle w:val="P68B1DB1-Normal4"/>
        <w:spacing w:line="240" w:lineRule="auto"/>
        <w:ind w:left="850"/>
        <w:jc w:val="both"/>
        <w:rPr>
          <w:noProof/>
        </w:rPr>
      </w:pPr>
      <w:r>
        <w:rPr>
          <w:noProof/>
        </w:rPr>
        <w:t xml:space="preserve">L.4. </w:t>
      </w:r>
      <w:r>
        <w:rPr>
          <w:noProof/>
        </w:rPr>
        <w:tab/>
        <w:t xml:space="preserve">Jalons, cibles, indicateurs et calendrier de suivi et de mise en œuvre en vue du prêt </w:t>
      </w:r>
    </w:p>
    <w:tbl>
      <w:tblPr>
        <w:tblW w:w="15705" w:type="dxa"/>
        <w:jc w:val="center"/>
        <w:tblLayout w:type="fixed"/>
        <w:tblCellMar>
          <w:left w:w="57" w:type="dxa"/>
          <w:right w:w="57" w:type="dxa"/>
        </w:tblCellMar>
        <w:tblLook w:val="04A0" w:firstRow="1" w:lastRow="0" w:firstColumn="1" w:lastColumn="0" w:noHBand="0" w:noVBand="1"/>
      </w:tblPr>
      <w:tblGrid>
        <w:gridCol w:w="835"/>
        <w:gridCol w:w="1440"/>
        <w:gridCol w:w="1200"/>
        <w:gridCol w:w="2136"/>
        <w:gridCol w:w="1973"/>
        <w:gridCol w:w="993"/>
        <w:gridCol w:w="992"/>
        <w:gridCol w:w="763"/>
        <w:gridCol w:w="992"/>
        <w:gridCol w:w="729"/>
        <w:gridCol w:w="3652"/>
      </w:tblGrid>
      <w:tr w:rsidR="003B6BD9" w14:paraId="4C4821BB" w14:textId="77777777" w:rsidTr="006C1AFD">
        <w:trPr>
          <w:trHeight w:val="699"/>
          <w:tblHeader/>
          <w:jc w:val="center"/>
        </w:trPr>
        <w:tc>
          <w:tcPr>
            <w:tcW w:w="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0D864BC" w14:textId="604BD34E" w:rsidR="003B6BD9" w:rsidRDefault="009E25E8">
            <w:pPr>
              <w:pStyle w:val="P68B1DB1-Normal6"/>
              <w:spacing w:before="0" w:after="0" w:line="256" w:lineRule="auto"/>
              <w:jc w:val="center"/>
              <w:rPr>
                <w:rFonts w:eastAsia="Times New Roman"/>
                <w:noProof/>
              </w:rPr>
            </w:pPr>
            <w:r>
              <w:rPr>
                <w:noProof/>
              </w:rPr>
              <w:t>Et suivants Non.</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9D4442" w14:textId="77777777" w:rsidR="003B6BD9" w:rsidRDefault="009E25E8">
            <w:pPr>
              <w:pStyle w:val="P68B1DB1-Normal6"/>
              <w:spacing w:before="0" w:after="0" w:line="256" w:lineRule="auto"/>
              <w:jc w:val="center"/>
              <w:rPr>
                <w:rFonts w:eastAsia="Times New Roman"/>
                <w:noProof/>
              </w:rPr>
            </w:pPr>
            <w:r>
              <w:rPr>
                <w:noProof/>
              </w:rPr>
              <w:t>Mesure connexe (réforme ou investissement)</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506827" w14:textId="6E603C90" w:rsidR="003B6BD9" w:rsidRDefault="009E25E8">
            <w:pPr>
              <w:pStyle w:val="P68B1DB1-Normal6"/>
              <w:spacing w:before="0" w:after="0" w:line="256" w:lineRule="auto"/>
              <w:jc w:val="center"/>
              <w:rPr>
                <w:rFonts w:eastAsia="Times New Roman"/>
                <w:noProof/>
              </w:rPr>
            </w:pPr>
            <w:r>
              <w:rPr>
                <w:noProof/>
              </w:rPr>
              <w:t>Étape/</w:t>
            </w:r>
            <w:r w:rsidR="006C1AFD">
              <w:rPr>
                <w:noProof/>
              </w:rPr>
              <w:br/>
            </w:r>
            <w:r>
              <w:rPr>
                <w:noProof/>
              </w:rPr>
              <w:t>Objectif</w:t>
            </w:r>
          </w:p>
        </w:tc>
        <w:tc>
          <w:tcPr>
            <w:tcW w:w="21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BB86149" w14:textId="77777777" w:rsidR="003B6BD9" w:rsidRDefault="009E25E8">
            <w:pPr>
              <w:pStyle w:val="P68B1DB1-Normal6"/>
              <w:spacing w:before="0" w:after="0" w:line="256" w:lineRule="auto"/>
              <w:jc w:val="center"/>
              <w:rPr>
                <w:rFonts w:eastAsia="Times New Roman"/>
                <w:noProof/>
              </w:rPr>
            </w:pPr>
            <w:r>
              <w:rPr>
                <w:noProof/>
              </w:rPr>
              <w:t>Nom</w:t>
            </w:r>
          </w:p>
        </w:tc>
        <w:tc>
          <w:tcPr>
            <w:tcW w:w="19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78DB14" w14:textId="7629B84B" w:rsidR="003B6BD9" w:rsidRDefault="009E25E8">
            <w:pPr>
              <w:pStyle w:val="P68B1DB1-Normal6"/>
              <w:spacing w:before="0" w:after="0" w:line="256" w:lineRule="auto"/>
              <w:jc w:val="center"/>
              <w:rPr>
                <w:rFonts w:eastAsia="Times New Roman"/>
                <w:noProof/>
              </w:rPr>
            </w:pPr>
            <w:r>
              <w:rPr>
                <w:noProof/>
              </w:rPr>
              <w:t>Indicateurs qualitatifs (pour les jalons)</w:t>
            </w:r>
          </w:p>
        </w:tc>
        <w:tc>
          <w:tcPr>
            <w:tcW w:w="274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6795287" w14:textId="65044C02" w:rsidR="003B6BD9" w:rsidRDefault="009E25E8">
            <w:pPr>
              <w:pStyle w:val="P68B1DB1-Normal6"/>
              <w:spacing w:before="0" w:after="0" w:line="256" w:lineRule="auto"/>
              <w:jc w:val="center"/>
              <w:rPr>
                <w:rFonts w:eastAsia="Times New Roman"/>
                <w:noProof/>
              </w:rPr>
            </w:pPr>
            <w:r>
              <w:rPr>
                <w:noProof/>
              </w:rPr>
              <w:t>Indicateurs quantitatifs (pour les cibles)</w:t>
            </w:r>
          </w:p>
        </w:tc>
        <w:tc>
          <w:tcPr>
            <w:tcW w:w="1721" w:type="dxa"/>
            <w:gridSpan w:val="2"/>
            <w:tcBorders>
              <w:top w:val="single" w:sz="4" w:space="0" w:color="auto"/>
              <w:left w:val="nil"/>
              <w:bottom w:val="single" w:sz="4" w:space="0" w:color="auto"/>
              <w:right w:val="single" w:sz="4" w:space="0" w:color="auto"/>
            </w:tcBorders>
            <w:shd w:val="clear" w:color="auto" w:fill="BDD7EE"/>
            <w:vAlign w:val="center"/>
            <w:hideMark/>
          </w:tcPr>
          <w:p w14:paraId="175FCABB" w14:textId="77777777" w:rsidR="003B6BD9" w:rsidRDefault="009E25E8">
            <w:pPr>
              <w:pStyle w:val="P68B1DB1-Normal6"/>
              <w:spacing w:before="0" w:after="0" w:line="256" w:lineRule="auto"/>
              <w:jc w:val="center"/>
              <w:rPr>
                <w:rFonts w:eastAsia="Times New Roman"/>
                <w:noProof/>
              </w:rPr>
            </w:pPr>
            <w:r>
              <w:rPr>
                <w:noProof/>
              </w:rPr>
              <w:t xml:space="preserve">Calendrier indicatif pour l’achèvement </w:t>
            </w:r>
          </w:p>
        </w:tc>
        <w:tc>
          <w:tcPr>
            <w:tcW w:w="36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0F11890" w14:textId="77777777" w:rsidR="003B6BD9" w:rsidRDefault="009E25E8">
            <w:pPr>
              <w:pStyle w:val="P68B1DB1-Normal6"/>
              <w:spacing w:before="0" w:after="0" w:line="256" w:lineRule="auto"/>
              <w:jc w:val="center"/>
              <w:rPr>
                <w:rFonts w:eastAsia="Times New Roman"/>
                <w:noProof/>
              </w:rPr>
            </w:pPr>
            <w:r>
              <w:rPr>
                <w:noProof/>
              </w:rPr>
              <w:t>Description de chaque jalon et cible</w:t>
            </w:r>
          </w:p>
        </w:tc>
      </w:tr>
      <w:tr w:rsidR="003B6BD9" w14:paraId="24953D22" w14:textId="77777777" w:rsidTr="006C1AFD">
        <w:trPr>
          <w:trHeight w:val="515"/>
          <w:tblHeader/>
          <w:jc w:val="center"/>
        </w:trPr>
        <w:tc>
          <w:tcPr>
            <w:tcW w:w="835" w:type="dxa"/>
            <w:vMerge/>
            <w:tcBorders>
              <w:top w:val="single" w:sz="4" w:space="0" w:color="auto"/>
              <w:left w:val="single" w:sz="4" w:space="0" w:color="auto"/>
              <w:bottom w:val="single" w:sz="4" w:space="0" w:color="auto"/>
              <w:right w:val="single" w:sz="4" w:space="0" w:color="auto"/>
            </w:tcBorders>
            <w:vAlign w:val="center"/>
            <w:hideMark/>
          </w:tcPr>
          <w:p w14:paraId="0642DF79" w14:textId="77777777" w:rsidR="003B6BD9" w:rsidRDefault="003B6BD9">
            <w:pPr>
              <w:spacing w:before="0" w:after="0" w:line="256" w:lineRule="auto"/>
              <w:rPr>
                <w:rFonts w:eastAsia="Times New Roman"/>
                <w:b/>
                <w:noProof/>
                <w:sz w:val="18"/>
                <w:szCs w:val="18"/>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4E83E4F2" w14:textId="77777777" w:rsidR="003B6BD9" w:rsidRDefault="003B6BD9">
            <w:pPr>
              <w:spacing w:before="0" w:after="0" w:line="256" w:lineRule="auto"/>
              <w:rPr>
                <w:rFonts w:eastAsia="Times New Roman"/>
                <w:b/>
                <w:noProof/>
                <w:sz w:val="18"/>
                <w:szCs w:val="18"/>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34F2F666" w14:textId="77777777" w:rsidR="003B6BD9" w:rsidRDefault="003B6BD9">
            <w:pPr>
              <w:spacing w:before="0" w:after="0" w:line="256" w:lineRule="auto"/>
              <w:rPr>
                <w:rFonts w:eastAsia="Times New Roman"/>
                <w:b/>
                <w:noProof/>
                <w:sz w:val="18"/>
                <w:szCs w:val="18"/>
              </w:rPr>
            </w:pPr>
          </w:p>
        </w:tc>
        <w:tc>
          <w:tcPr>
            <w:tcW w:w="2136" w:type="dxa"/>
            <w:vMerge/>
            <w:tcBorders>
              <w:top w:val="single" w:sz="4" w:space="0" w:color="auto"/>
              <w:left w:val="single" w:sz="4" w:space="0" w:color="auto"/>
              <w:bottom w:val="single" w:sz="4" w:space="0" w:color="auto"/>
              <w:right w:val="single" w:sz="4" w:space="0" w:color="auto"/>
            </w:tcBorders>
            <w:vAlign w:val="center"/>
            <w:hideMark/>
          </w:tcPr>
          <w:p w14:paraId="67E382C4" w14:textId="77777777" w:rsidR="003B6BD9" w:rsidRDefault="003B6BD9">
            <w:pPr>
              <w:spacing w:before="0" w:after="0" w:line="256" w:lineRule="auto"/>
              <w:rPr>
                <w:rFonts w:eastAsia="Times New Roman"/>
                <w:b/>
                <w:noProof/>
                <w:sz w:val="18"/>
                <w:szCs w:val="18"/>
              </w:rPr>
            </w:pPr>
          </w:p>
        </w:tc>
        <w:tc>
          <w:tcPr>
            <w:tcW w:w="1973" w:type="dxa"/>
            <w:vMerge/>
            <w:tcBorders>
              <w:top w:val="single" w:sz="4" w:space="0" w:color="auto"/>
              <w:left w:val="single" w:sz="4" w:space="0" w:color="auto"/>
              <w:bottom w:val="single" w:sz="4" w:space="0" w:color="auto"/>
              <w:right w:val="single" w:sz="4" w:space="0" w:color="auto"/>
            </w:tcBorders>
            <w:vAlign w:val="center"/>
            <w:hideMark/>
          </w:tcPr>
          <w:p w14:paraId="1E1C7FA2" w14:textId="77777777" w:rsidR="003B6BD9" w:rsidRDefault="003B6BD9">
            <w:pPr>
              <w:spacing w:before="0" w:after="0" w:line="256" w:lineRule="auto"/>
              <w:rPr>
                <w:rFonts w:eastAsia="Times New Roman"/>
                <w:b/>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65928F1" w14:textId="77777777" w:rsidR="003B6BD9" w:rsidRDefault="009E25E8">
            <w:pPr>
              <w:pStyle w:val="P68B1DB1-Normal6"/>
              <w:spacing w:before="0" w:after="0" w:line="256" w:lineRule="auto"/>
              <w:jc w:val="center"/>
              <w:rPr>
                <w:rFonts w:eastAsia="Times New Roman"/>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5847D24" w14:textId="77777777" w:rsidR="003B6BD9" w:rsidRDefault="009E25E8">
            <w:pPr>
              <w:pStyle w:val="P68B1DB1-Normal6"/>
              <w:spacing w:before="0" w:after="0" w:line="256" w:lineRule="auto"/>
              <w:jc w:val="center"/>
              <w:rPr>
                <w:rFonts w:eastAsia="Times New Roman"/>
                <w:noProof/>
              </w:rPr>
            </w:pPr>
            <w:r>
              <w:rPr>
                <w:noProof/>
              </w:rPr>
              <w:t xml:space="preserve">Niveau de référence </w:t>
            </w:r>
          </w:p>
        </w:tc>
        <w:tc>
          <w:tcPr>
            <w:tcW w:w="76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6C1B4E2" w14:textId="77777777" w:rsidR="003B6BD9" w:rsidRDefault="009E25E8">
            <w:pPr>
              <w:pStyle w:val="P68B1DB1-Normal6"/>
              <w:spacing w:before="0" w:after="0" w:line="256" w:lineRule="auto"/>
              <w:jc w:val="center"/>
              <w:rPr>
                <w:rFonts w:eastAsia="Times New Roman"/>
                <w:noProof/>
              </w:rPr>
            </w:pPr>
            <w:r>
              <w:rPr>
                <w:noProof/>
              </w:rPr>
              <w:t xml:space="preserve">But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044FDAB" w14:textId="77777777" w:rsidR="003B6BD9" w:rsidRDefault="009E25E8">
            <w:pPr>
              <w:pStyle w:val="P68B1DB1-Normal6"/>
              <w:spacing w:before="0" w:after="0" w:line="256" w:lineRule="auto"/>
              <w:jc w:val="center"/>
              <w:rPr>
                <w:rFonts w:eastAsia="Times New Roman"/>
                <w:noProof/>
              </w:rPr>
            </w:pPr>
            <w:r>
              <w:rPr>
                <w:noProof/>
              </w:rPr>
              <w:t>Trimestre</w:t>
            </w:r>
          </w:p>
        </w:tc>
        <w:tc>
          <w:tcPr>
            <w:tcW w:w="72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1C47279" w14:textId="77777777" w:rsidR="003B6BD9" w:rsidRDefault="009E25E8">
            <w:pPr>
              <w:pStyle w:val="P68B1DB1-Normal6"/>
              <w:spacing w:before="0" w:after="0" w:line="256" w:lineRule="auto"/>
              <w:jc w:val="center"/>
              <w:rPr>
                <w:rFonts w:eastAsia="Times New Roman"/>
                <w:noProof/>
              </w:rPr>
            </w:pPr>
            <w:r>
              <w:rPr>
                <w:noProof/>
              </w:rPr>
              <w:t>Année</w:t>
            </w:r>
          </w:p>
        </w:tc>
        <w:tc>
          <w:tcPr>
            <w:tcW w:w="3652" w:type="dxa"/>
            <w:vMerge/>
            <w:tcBorders>
              <w:top w:val="single" w:sz="4" w:space="0" w:color="auto"/>
              <w:bottom w:val="single" w:sz="4" w:space="0" w:color="auto"/>
              <w:right w:val="single" w:sz="4" w:space="0" w:color="auto"/>
            </w:tcBorders>
            <w:vAlign w:val="center"/>
            <w:hideMark/>
          </w:tcPr>
          <w:p w14:paraId="08684E6C" w14:textId="77777777" w:rsidR="003B6BD9" w:rsidRDefault="003B6BD9">
            <w:pPr>
              <w:spacing w:before="0" w:after="0" w:line="256" w:lineRule="auto"/>
              <w:rPr>
                <w:rFonts w:eastAsia="Times New Roman"/>
                <w:b/>
                <w:noProof/>
                <w:sz w:val="18"/>
                <w:szCs w:val="18"/>
              </w:rPr>
            </w:pPr>
          </w:p>
        </w:tc>
      </w:tr>
      <w:tr w:rsidR="003B6BD9" w14:paraId="1EB7D572" w14:textId="77777777" w:rsidTr="006C1AFD">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0C57082A" w14:textId="77777777" w:rsidR="003B6BD9" w:rsidRDefault="009E25E8">
            <w:pPr>
              <w:pStyle w:val="P68B1DB1-Normal7"/>
              <w:spacing w:before="0" w:after="0" w:line="256" w:lineRule="auto"/>
              <w:rPr>
                <w:rFonts w:eastAsia="Times New Roman"/>
                <w:noProof/>
              </w:rPr>
            </w:pPr>
            <w:r>
              <w:rPr>
                <w:noProof/>
              </w:rPr>
              <w:t>167</w:t>
            </w:r>
          </w:p>
        </w:tc>
        <w:tc>
          <w:tcPr>
            <w:tcW w:w="1440" w:type="dxa"/>
            <w:tcBorders>
              <w:top w:val="single" w:sz="4" w:space="0" w:color="auto"/>
              <w:left w:val="nil"/>
              <w:bottom w:val="single" w:sz="4" w:space="0" w:color="auto"/>
              <w:right w:val="single" w:sz="4" w:space="0" w:color="auto"/>
            </w:tcBorders>
            <w:shd w:val="clear" w:color="auto" w:fill="C6EFCE"/>
            <w:noWrap/>
          </w:tcPr>
          <w:p w14:paraId="01E0D953" w14:textId="77777777" w:rsidR="003B6BD9" w:rsidRDefault="009E25E8">
            <w:pPr>
              <w:pStyle w:val="P68B1DB1-Normal7"/>
              <w:spacing w:before="0" w:after="0" w:line="256" w:lineRule="auto"/>
              <w:rPr>
                <w:rFonts w:eastAsia="Times New Roman"/>
                <w:noProof/>
              </w:rPr>
            </w:pPr>
            <w:r>
              <w:rPr>
                <w:noProof/>
              </w:rPr>
              <w:t>D: Stratégie d’écologisation des infrastructures d’éducation et de recherche en Slovénie</w:t>
            </w:r>
          </w:p>
        </w:tc>
        <w:tc>
          <w:tcPr>
            <w:tcW w:w="1200" w:type="dxa"/>
            <w:tcBorders>
              <w:top w:val="single" w:sz="4" w:space="0" w:color="auto"/>
              <w:left w:val="nil"/>
              <w:bottom w:val="single" w:sz="4" w:space="0" w:color="auto"/>
              <w:right w:val="single" w:sz="4" w:space="0" w:color="auto"/>
            </w:tcBorders>
            <w:shd w:val="clear" w:color="auto" w:fill="C6EFCE"/>
            <w:noWrap/>
          </w:tcPr>
          <w:p w14:paraId="29FE031F" w14:textId="77777777" w:rsidR="003B6BD9" w:rsidRDefault="009E25E8">
            <w:pPr>
              <w:pStyle w:val="P68B1DB1-Normal7"/>
              <w:spacing w:before="0" w:after="0" w:line="256" w:lineRule="auto"/>
              <w:rPr>
                <w:rFonts w:eastAsia="Times New Roman"/>
                <w:noProof/>
              </w:rPr>
            </w:pPr>
            <w:r>
              <w:rPr>
                <w:noProof/>
              </w:rPr>
              <w:t>Jalon</w:t>
            </w:r>
          </w:p>
        </w:tc>
        <w:tc>
          <w:tcPr>
            <w:tcW w:w="2136" w:type="dxa"/>
            <w:tcBorders>
              <w:top w:val="single" w:sz="4" w:space="0" w:color="auto"/>
              <w:left w:val="nil"/>
              <w:bottom w:val="single" w:sz="4" w:space="0" w:color="auto"/>
              <w:right w:val="single" w:sz="4" w:space="0" w:color="auto"/>
            </w:tcBorders>
            <w:shd w:val="clear" w:color="auto" w:fill="C6EFCE"/>
            <w:noWrap/>
          </w:tcPr>
          <w:p w14:paraId="10CA780F" w14:textId="77777777" w:rsidR="003B6BD9" w:rsidRDefault="009E25E8">
            <w:pPr>
              <w:pStyle w:val="P68B1DB1-Normal7"/>
              <w:spacing w:before="0" w:after="0" w:line="256" w:lineRule="auto"/>
              <w:rPr>
                <w:rFonts w:eastAsia="Times New Roman"/>
                <w:noProof/>
              </w:rPr>
            </w:pPr>
            <w:r>
              <w:rPr>
                <w:noProof/>
              </w:rPr>
              <w:t>Adoption de la stratégie pour l’écologisation de l’éducation et des infrastructures de recherche</w:t>
            </w:r>
          </w:p>
        </w:tc>
        <w:tc>
          <w:tcPr>
            <w:tcW w:w="1973" w:type="dxa"/>
            <w:tcBorders>
              <w:top w:val="single" w:sz="4" w:space="0" w:color="auto"/>
              <w:left w:val="nil"/>
              <w:bottom w:val="single" w:sz="4" w:space="0" w:color="auto"/>
              <w:right w:val="single" w:sz="4" w:space="0" w:color="auto"/>
            </w:tcBorders>
            <w:shd w:val="clear" w:color="auto" w:fill="C6EFCE"/>
            <w:noWrap/>
          </w:tcPr>
          <w:p w14:paraId="426C9FFB" w14:textId="2ECEB93E" w:rsidR="003B6BD9" w:rsidRDefault="009E25E8">
            <w:pPr>
              <w:pStyle w:val="P68B1DB1-Normal7"/>
              <w:spacing w:before="0" w:after="0" w:line="256" w:lineRule="auto"/>
              <w:rPr>
                <w:rFonts w:eastAsia="Times New Roman"/>
                <w:noProof/>
              </w:rPr>
            </w:pPr>
            <w:r>
              <w:rPr>
                <w:noProof/>
              </w:rPr>
              <w:t>Adoption par le gouvernement de la stratégie pour l’écologisation de l’éducation et des infrastructures de recherche</w:t>
            </w:r>
          </w:p>
        </w:tc>
        <w:tc>
          <w:tcPr>
            <w:tcW w:w="993" w:type="dxa"/>
            <w:tcBorders>
              <w:top w:val="single" w:sz="4" w:space="0" w:color="auto"/>
              <w:left w:val="nil"/>
              <w:bottom w:val="single" w:sz="4" w:space="0" w:color="auto"/>
              <w:right w:val="single" w:sz="4" w:space="0" w:color="auto"/>
            </w:tcBorders>
            <w:shd w:val="clear" w:color="auto" w:fill="C6EFCE"/>
            <w:noWrap/>
          </w:tcPr>
          <w:p w14:paraId="5C42336D" w14:textId="77777777" w:rsidR="003B6BD9" w:rsidRDefault="009E25E8">
            <w:pPr>
              <w:pStyle w:val="P68B1DB1-Normal7"/>
              <w:spacing w:before="0" w:after="0" w:line="256" w:lineRule="auto"/>
              <w:rPr>
                <w:rFonts w:eastAsia="Times New Roman"/>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72BBD53B" w14:textId="77777777" w:rsidR="003B6BD9" w:rsidRDefault="009E25E8">
            <w:pPr>
              <w:pStyle w:val="P68B1DB1-Normal7"/>
              <w:spacing w:before="0" w:after="0" w:line="256" w:lineRule="auto"/>
              <w:rPr>
                <w:rFonts w:eastAsia="Times New Roman"/>
                <w:noProof/>
              </w:rPr>
            </w:pPr>
            <w:r>
              <w:rPr>
                <w:noProof/>
              </w:rPr>
              <w:t> </w:t>
            </w:r>
          </w:p>
        </w:tc>
        <w:tc>
          <w:tcPr>
            <w:tcW w:w="763" w:type="dxa"/>
            <w:tcBorders>
              <w:top w:val="single" w:sz="4" w:space="0" w:color="auto"/>
              <w:left w:val="nil"/>
              <w:bottom w:val="single" w:sz="4" w:space="0" w:color="auto"/>
              <w:right w:val="single" w:sz="4" w:space="0" w:color="auto"/>
            </w:tcBorders>
            <w:shd w:val="clear" w:color="auto" w:fill="C6EFCE"/>
            <w:noWrap/>
          </w:tcPr>
          <w:p w14:paraId="2AF02335" w14:textId="77777777" w:rsidR="003B6BD9" w:rsidRDefault="009E25E8">
            <w:pPr>
              <w:pStyle w:val="P68B1DB1-Normal7"/>
              <w:spacing w:before="0" w:after="0" w:line="256" w:lineRule="auto"/>
              <w:rPr>
                <w:rFonts w:eastAsia="Times New Roman"/>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59837BF3" w14:textId="77777777" w:rsidR="003B6BD9" w:rsidRDefault="009E25E8">
            <w:pPr>
              <w:pStyle w:val="P68B1DB1-Normal7"/>
              <w:spacing w:before="0" w:after="0" w:line="256" w:lineRule="auto"/>
              <w:jc w:val="center"/>
              <w:rPr>
                <w:rFonts w:eastAsia="Times New Roman"/>
                <w:noProof/>
              </w:rPr>
            </w:pPr>
            <w:r>
              <w:rPr>
                <w:noProof/>
              </w:rPr>
              <w:t>T4</w:t>
            </w:r>
          </w:p>
        </w:tc>
        <w:tc>
          <w:tcPr>
            <w:tcW w:w="729" w:type="dxa"/>
            <w:tcBorders>
              <w:top w:val="single" w:sz="4" w:space="0" w:color="auto"/>
              <w:left w:val="nil"/>
              <w:bottom w:val="single" w:sz="4" w:space="0" w:color="auto"/>
              <w:right w:val="single" w:sz="4" w:space="0" w:color="auto"/>
            </w:tcBorders>
            <w:shd w:val="clear" w:color="auto" w:fill="C6EFCE"/>
            <w:noWrap/>
          </w:tcPr>
          <w:p w14:paraId="2436EEFF" w14:textId="77777777" w:rsidR="003B6BD9" w:rsidRDefault="009E25E8">
            <w:pPr>
              <w:pStyle w:val="P68B1DB1-Normal7"/>
              <w:spacing w:before="0" w:after="0" w:line="256" w:lineRule="auto"/>
              <w:jc w:val="center"/>
              <w:rPr>
                <w:rFonts w:eastAsia="Times New Roman"/>
                <w:noProof/>
              </w:rPr>
            </w:pPr>
            <w:r>
              <w:rPr>
                <w:noProof/>
              </w:rPr>
              <w:t>2022</w:t>
            </w:r>
          </w:p>
        </w:tc>
        <w:tc>
          <w:tcPr>
            <w:tcW w:w="3652" w:type="dxa"/>
            <w:tcBorders>
              <w:top w:val="single" w:sz="4" w:space="0" w:color="auto"/>
              <w:left w:val="nil"/>
              <w:bottom w:val="single" w:sz="4" w:space="0" w:color="auto"/>
              <w:right w:val="single" w:sz="4" w:space="0" w:color="auto"/>
            </w:tcBorders>
            <w:shd w:val="clear" w:color="auto" w:fill="C6EFCE"/>
            <w:noWrap/>
          </w:tcPr>
          <w:p w14:paraId="6A7B7EAE" w14:textId="4BA55684" w:rsidR="003B6BD9" w:rsidRDefault="009E25E8">
            <w:pPr>
              <w:pStyle w:val="P68B1DB1-Normal7"/>
              <w:spacing w:before="0" w:after="0" w:line="256" w:lineRule="auto"/>
              <w:rPr>
                <w:rFonts w:eastAsia="Times New Roman"/>
                <w:noProof/>
              </w:rPr>
            </w:pPr>
            <w:r>
              <w:rPr>
                <w:noProof/>
              </w:rPr>
              <w:t>La stratégie définit des priorités durables pour les investissements verts dans les infrastructures d’éducation et de recherche et pour l’entretien des bâtiments éducatifs, en tenant compte des caractéristiques et des besoins spécifiques, tels que les principes de construction durable de bâtiments à consommation d’énergie quasi nulle, l’aménagement du territoire, la transition numérique et les approches pédagogiques innovantes.</w:t>
            </w:r>
          </w:p>
        </w:tc>
      </w:tr>
      <w:tr w:rsidR="003B6BD9" w14:paraId="3E36D08F" w14:textId="77777777" w:rsidTr="006C1AFD">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0D84300A" w14:textId="77777777" w:rsidR="003B6BD9" w:rsidRDefault="009E25E8">
            <w:pPr>
              <w:pStyle w:val="P68B1DB1-Normal7"/>
              <w:spacing w:before="0" w:after="0" w:line="256" w:lineRule="auto"/>
              <w:rPr>
                <w:rFonts w:eastAsia="Times New Roman"/>
                <w:noProof/>
              </w:rPr>
            </w:pPr>
            <w:r>
              <w:rPr>
                <w:noProof/>
              </w:rPr>
              <w:t>168</w:t>
            </w:r>
          </w:p>
        </w:tc>
        <w:tc>
          <w:tcPr>
            <w:tcW w:w="1440" w:type="dxa"/>
            <w:tcBorders>
              <w:top w:val="single" w:sz="4" w:space="0" w:color="auto"/>
              <w:left w:val="nil"/>
              <w:bottom w:val="single" w:sz="4" w:space="0" w:color="auto"/>
              <w:right w:val="single" w:sz="4" w:space="0" w:color="auto"/>
            </w:tcBorders>
            <w:shd w:val="clear" w:color="auto" w:fill="C6EFCE"/>
            <w:noWrap/>
          </w:tcPr>
          <w:p w14:paraId="233396E6" w14:textId="215FF0EA" w:rsidR="003B6BD9" w:rsidRDefault="009E25E8">
            <w:pPr>
              <w:pStyle w:val="P68B1DB1-Normal7"/>
              <w:spacing w:before="0" w:after="0" w:line="256" w:lineRule="auto"/>
              <w:rPr>
                <w:rFonts w:eastAsia="Times New Roman"/>
                <w:noProof/>
              </w:rPr>
            </w:pPr>
            <w:r>
              <w:rPr>
                <w:noProof/>
              </w:rPr>
              <w:t>H: Poursuivre l’écologisation des infrastructures éducatives en Slovénie</w:t>
            </w:r>
          </w:p>
        </w:tc>
        <w:tc>
          <w:tcPr>
            <w:tcW w:w="1200" w:type="dxa"/>
            <w:tcBorders>
              <w:top w:val="single" w:sz="4" w:space="0" w:color="auto"/>
              <w:left w:val="nil"/>
              <w:bottom w:val="single" w:sz="4" w:space="0" w:color="auto"/>
              <w:right w:val="single" w:sz="4" w:space="0" w:color="auto"/>
            </w:tcBorders>
            <w:shd w:val="clear" w:color="auto" w:fill="C6EFCE"/>
            <w:noWrap/>
          </w:tcPr>
          <w:p w14:paraId="0D30AFED" w14:textId="77777777" w:rsidR="003B6BD9" w:rsidRDefault="009E25E8">
            <w:pPr>
              <w:pStyle w:val="P68B1DB1-Normal7"/>
              <w:spacing w:before="0" w:after="0" w:line="256" w:lineRule="auto"/>
              <w:rPr>
                <w:rFonts w:eastAsia="Times New Roman"/>
                <w:noProof/>
              </w:rPr>
            </w:pPr>
            <w:r>
              <w:rPr>
                <w:noProof/>
              </w:rPr>
              <w:t>Jalon</w:t>
            </w:r>
          </w:p>
        </w:tc>
        <w:tc>
          <w:tcPr>
            <w:tcW w:w="2136" w:type="dxa"/>
            <w:tcBorders>
              <w:top w:val="single" w:sz="4" w:space="0" w:color="auto"/>
              <w:left w:val="nil"/>
              <w:bottom w:val="single" w:sz="4" w:space="0" w:color="auto"/>
              <w:right w:val="single" w:sz="4" w:space="0" w:color="auto"/>
            </w:tcBorders>
            <w:shd w:val="clear" w:color="auto" w:fill="C6EFCE"/>
            <w:noWrap/>
          </w:tcPr>
          <w:p w14:paraId="1FD9DDAF" w14:textId="77777777" w:rsidR="003B6BD9" w:rsidRDefault="009E25E8">
            <w:pPr>
              <w:pStyle w:val="P68B1DB1-Normal7"/>
              <w:spacing w:before="0" w:after="0" w:line="256" w:lineRule="auto"/>
              <w:rPr>
                <w:rFonts w:eastAsia="Times New Roman"/>
                <w:noProof/>
              </w:rPr>
            </w:pPr>
            <w:r>
              <w:rPr>
                <w:noProof/>
              </w:rPr>
              <w:t>Achèvement de la sélection des projets d’investissement dans l’écologisation des infrastructures éducatives</w:t>
            </w:r>
          </w:p>
        </w:tc>
        <w:tc>
          <w:tcPr>
            <w:tcW w:w="1973" w:type="dxa"/>
            <w:tcBorders>
              <w:top w:val="single" w:sz="4" w:space="0" w:color="auto"/>
              <w:left w:val="nil"/>
              <w:bottom w:val="single" w:sz="4" w:space="0" w:color="auto"/>
              <w:right w:val="single" w:sz="4" w:space="0" w:color="auto"/>
            </w:tcBorders>
            <w:shd w:val="clear" w:color="auto" w:fill="C6EFCE"/>
            <w:noWrap/>
          </w:tcPr>
          <w:p w14:paraId="041A3A1A" w14:textId="77777777" w:rsidR="003B6BD9" w:rsidRDefault="009E25E8">
            <w:pPr>
              <w:pStyle w:val="P68B1DB1-Normal7"/>
              <w:spacing w:before="0" w:after="0" w:line="256" w:lineRule="auto"/>
              <w:rPr>
                <w:rFonts w:eastAsia="Times New Roman"/>
                <w:noProof/>
              </w:rPr>
            </w:pPr>
            <w:r>
              <w:rPr>
                <w:noProof/>
              </w:rPr>
              <w:t>Signature des contrats</w:t>
            </w:r>
          </w:p>
        </w:tc>
        <w:tc>
          <w:tcPr>
            <w:tcW w:w="993" w:type="dxa"/>
            <w:tcBorders>
              <w:top w:val="single" w:sz="4" w:space="0" w:color="auto"/>
              <w:left w:val="nil"/>
              <w:bottom w:val="single" w:sz="4" w:space="0" w:color="auto"/>
              <w:right w:val="single" w:sz="4" w:space="0" w:color="auto"/>
            </w:tcBorders>
            <w:shd w:val="clear" w:color="auto" w:fill="C6EFCE"/>
            <w:noWrap/>
          </w:tcPr>
          <w:p w14:paraId="7D339B68" w14:textId="77777777" w:rsidR="003B6BD9" w:rsidRDefault="009E25E8">
            <w:pPr>
              <w:pStyle w:val="P68B1DB1-Normal7"/>
              <w:spacing w:before="0" w:after="0" w:line="256" w:lineRule="auto"/>
              <w:rPr>
                <w:rFonts w:eastAsia="Times New Roman"/>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3FDDEC2D" w14:textId="77777777" w:rsidR="003B6BD9" w:rsidRDefault="009E25E8">
            <w:pPr>
              <w:pStyle w:val="P68B1DB1-Normal7"/>
              <w:spacing w:before="0" w:after="0" w:line="256" w:lineRule="auto"/>
              <w:rPr>
                <w:rFonts w:eastAsia="Times New Roman"/>
                <w:noProof/>
              </w:rPr>
            </w:pPr>
            <w:r>
              <w:rPr>
                <w:noProof/>
              </w:rPr>
              <w:t> </w:t>
            </w:r>
          </w:p>
        </w:tc>
        <w:tc>
          <w:tcPr>
            <w:tcW w:w="763" w:type="dxa"/>
            <w:tcBorders>
              <w:top w:val="single" w:sz="4" w:space="0" w:color="auto"/>
              <w:left w:val="nil"/>
              <w:bottom w:val="single" w:sz="4" w:space="0" w:color="auto"/>
              <w:right w:val="single" w:sz="4" w:space="0" w:color="auto"/>
            </w:tcBorders>
            <w:shd w:val="clear" w:color="auto" w:fill="C6EFCE"/>
            <w:noWrap/>
          </w:tcPr>
          <w:p w14:paraId="3FBA5CE1" w14:textId="77777777" w:rsidR="003B6BD9" w:rsidRDefault="009E25E8">
            <w:pPr>
              <w:pStyle w:val="P68B1DB1-Normal7"/>
              <w:spacing w:before="0" w:after="0" w:line="256" w:lineRule="auto"/>
              <w:rPr>
                <w:rFonts w:eastAsia="Times New Roman"/>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6B89F81B" w14:textId="77777777" w:rsidR="003B6BD9" w:rsidRDefault="009E25E8">
            <w:pPr>
              <w:pStyle w:val="P68B1DB1-Normal7"/>
              <w:spacing w:before="0" w:after="0" w:line="256" w:lineRule="auto"/>
              <w:jc w:val="center"/>
              <w:rPr>
                <w:rFonts w:eastAsia="Times New Roman"/>
                <w:noProof/>
              </w:rPr>
            </w:pPr>
            <w:r>
              <w:rPr>
                <w:noProof/>
              </w:rPr>
              <w:t>T2</w:t>
            </w:r>
          </w:p>
        </w:tc>
        <w:tc>
          <w:tcPr>
            <w:tcW w:w="729" w:type="dxa"/>
            <w:tcBorders>
              <w:top w:val="single" w:sz="4" w:space="0" w:color="auto"/>
              <w:left w:val="nil"/>
              <w:bottom w:val="single" w:sz="4" w:space="0" w:color="auto"/>
              <w:right w:val="single" w:sz="4" w:space="0" w:color="auto"/>
            </w:tcBorders>
            <w:shd w:val="clear" w:color="auto" w:fill="C6EFCE"/>
            <w:noWrap/>
          </w:tcPr>
          <w:p w14:paraId="270011E1" w14:textId="77777777" w:rsidR="003B6BD9" w:rsidRDefault="009E25E8">
            <w:pPr>
              <w:pStyle w:val="P68B1DB1-Normal7"/>
              <w:spacing w:before="0" w:after="0" w:line="256" w:lineRule="auto"/>
              <w:jc w:val="center"/>
              <w:rPr>
                <w:rFonts w:eastAsia="Times New Roman"/>
                <w:noProof/>
              </w:rPr>
            </w:pPr>
            <w:r>
              <w:rPr>
                <w:noProof/>
              </w:rPr>
              <w:t>2023</w:t>
            </w:r>
          </w:p>
        </w:tc>
        <w:tc>
          <w:tcPr>
            <w:tcW w:w="3652" w:type="dxa"/>
            <w:tcBorders>
              <w:top w:val="single" w:sz="4" w:space="0" w:color="auto"/>
              <w:left w:val="nil"/>
              <w:bottom w:val="single" w:sz="4" w:space="0" w:color="auto"/>
              <w:right w:val="single" w:sz="4" w:space="0" w:color="auto"/>
            </w:tcBorders>
            <w:shd w:val="clear" w:color="auto" w:fill="C6EFCE"/>
            <w:noWrap/>
          </w:tcPr>
          <w:p w14:paraId="48BAB822" w14:textId="369ADC53" w:rsidR="003B6BD9" w:rsidRDefault="009E25E8">
            <w:pPr>
              <w:pStyle w:val="P68B1DB1-Normal7"/>
              <w:spacing w:before="0" w:after="0" w:line="256" w:lineRule="auto"/>
              <w:rPr>
                <w:rFonts w:eastAsia="Times New Roman"/>
                <w:noProof/>
              </w:rPr>
            </w:pPr>
            <w:r>
              <w:rPr>
                <w:noProof/>
              </w:rPr>
              <w:t>Le ministère de l’éducation, des sciences et des sports signe des contrats de cofinancement de projets d’infrastructure conformément à la stratégie pour l’écologisation de l’éducation et des infrastructures de recherche. Les contrats garantissent que la demande d’énergie primaire des projets d’infrastructure est inférieure d’au moins 20 % à l’exigence relative aux bâtiments dont la consommation d’énergie est quasi nulle.</w:t>
            </w:r>
          </w:p>
        </w:tc>
      </w:tr>
      <w:tr w:rsidR="003B6BD9" w14:paraId="716AF3E2" w14:textId="77777777" w:rsidTr="006C1AFD">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B8306D" w14:textId="4764EAA8" w:rsidR="003B6BD9" w:rsidRDefault="009E25E8">
            <w:pPr>
              <w:pStyle w:val="P68B1DB1-Normal7"/>
              <w:spacing w:before="0" w:after="0" w:line="256" w:lineRule="auto"/>
              <w:rPr>
                <w:rFonts w:eastAsia="Times New Roman"/>
                <w:noProof/>
              </w:rPr>
            </w:pPr>
            <w:r>
              <w:rPr>
                <w:noProof/>
              </w:rPr>
              <w:t>170</w:t>
            </w:r>
          </w:p>
        </w:tc>
        <w:tc>
          <w:tcPr>
            <w:tcW w:w="1440" w:type="dxa"/>
            <w:tcBorders>
              <w:top w:val="single" w:sz="4" w:space="0" w:color="auto"/>
              <w:left w:val="nil"/>
              <w:bottom w:val="single" w:sz="4" w:space="0" w:color="auto"/>
              <w:right w:val="single" w:sz="4" w:space="0" w:color="auto"/>
            </w:tcBorders>
            <w:shd w:val="clear" w:color="auto" w:fill="C6EFCE"/>
            <w:noWrap/>
          </w:tcPr>
          <w:p w14:paraId="4226B4B7" w14:textId="66F5FA18" w:rsidR="003B6BD9" w:rsidRDefault="009E25E8">
            <w:pPr>
              <w:pStyle w:val="P68B1DB1-Normal7"/>
              <w:spacing w:before="0" w:after="0" w:line="256" w:lineRule="auto"/>
              <w:rPr>
                <w:rFonts w:eastAsia="Times New Roman"/>
                <w:noProof/>
              </w:rPr>
            </w:pPr>
            <w:r>
              <w:rPr>
                <w:noProof/>
              </w:rPr>
              <w:t>H: Poursuivre l’écologisation des infrastructures éducatives en Slovénie</w:t>
            </w:r>
          </w:p>
        </w:tc>
        <w:tc>
          <w:tcPr>
            <w:tcW w:w="1200" w:type="dxa"/>
            <w:tcBorders>
              <w:top w:val="single" w:sz="4" w:space="0" w:color="auto"/>
              <w:left w:val="nil"/>
              <w:bottom w:val="single" w:sz="4" w:space="0" w:color="auto"/>
              <w:right w:val="single" w:sz="4" w:space="0" w:color="auto"/>
            </w:tcBorders>
            <w:shd w:val="clear" w:color="auto" w:fill="C6EFCE"/>
            <w:noWrap/>
          </w:tcPr>
          <w:p w14:paraId="61EFB8B4" w14:textId="77777777" w:rsidR="003B6BD9" w:rsidRDefault="009E25E8">
            <w:pPr>
              <w:pStyle w:val="P68B1DB1-Normal7"/>
              <w:spacing w:before="0" w:after="0" w:line="256" w:lineRule="auto"/>
              <w:rPr>
                <w:rFonts w:eastAsia="Times New Roman"/>
                <w:noProof/>
              </w:rPr>
            </w:pPr>
            <w:r>
              <w:rPr>
                <w:noProof/>
              </w:rPr>
              <w:t>Cible</w:t>
            </w:r>
          </w:p>
        </w:tc>
        <w:tc>
          <w:tcPr>
            <w:tcW w:w="2136" w:type="dxa"/>
            <w:tcBorders>
              <w:top w:val="single" w:sz="4" w:space="0" w:color="auto"/>
              <w:left w:val="nil"/>
              <w:bottom w:val="single" w:sz="4" w:space="0" w:color="auto"/>
              <w:right w:val="single" w:sz="4" w:space="0" w:color="auto"/>
            </w:tcBorders>
            <w:shd w:val="clear" w:color="auto" w:fill="C6EFCE"/>
            <w:noWrap/>
          </w:tcPr>
          <w:p w14:paraId="448DC4A1" w14:textId="6CAE4537" w:rsidR="003B6BD9" w:rsidRDefault="009E25E8">
            <w:pPr>
              <w:pStyle w:val="P68B1DB1-Normal7"/>
              <w:spacing w:before="0" w:after="0" w:line="256" w:lineRule="auto"/>
              <w:rPr>
                <w:rFonts w:eastAsia="Times New Roman"/>
                <w:noProof/>
              </w:rPr>
            </w:pPr>
            <w:r>
              <w:rPr>
                <w:noProof/>
              </w:rPr>
              <w:t xml:space="preserve">Installations éducatives nouvelles ou rénovées </w:t>
            </w:r>
          </w:p>
        </w:tc>
        <w:tc>
          <w:tcPr>
            <w:tcW w:w="1973" w:type="dxa"/>
            <w:tcBorders>
              <w:top w:val="single" w:sz="4" w:space="0" w:color="auto"/>
              <w:left w:val="nil"/>
              <w:bottom w:val="single" w:sz="4" w:space="0" w:color="auto"/>
              <w:right w:val="single" w:sz="4" w:space="0" w:color="auto"/>
            </w:tcBorders>
            <w:shd w:val="clear" w:color="auto" w:fill="C6EFCE"/>
            <w:noWrap/>
          </w:tcPr>
          <w:p w14:paraId="0DBD3C44" w14:textId="74A23B19" w:rsidR="003B6BD9" w:rsidRDefault="003B6BD9">
            <w:pPr>
              <w:spacing w:before="0" w:after="0" w:line="256" w:lineRule="auto"/>
              <w:rPr>
                <w:rFonts w:eastAsia="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2FBDC622" w14:textId="77777777" w:rsidR="003B6BD9" w:rsidRDefault="009E25E8">
            <w:pPr>
              <w:pStyle w:val="P68B1DB1-Normal7"/>
              <w:spacing w:before="0" w:after="0" w:line="256" w:lineRule="auto"/>
              <w:rPr>
                <w:rFonts w:eastAsia="Times New Roman"/>
                <w:noProof/>
              </w:rPr>
            </w:pPr>
            <w:r>
              <w:rPr>
                <w:noProof/>
              </w:rPr>
              <w:t>Nombre</w:t>
            </w:r>
          </w:p>
        </w:tc>
        <w:tc>
          <w:tcPr>
            <w:tcW w:w="992" w:type="dxa"/>
            <w:tcBorders>
              <w:top w:val="single" w:sz="4" w:space="0" w:color="auto"/>
              <w:left w:val="nil"/>
              <w:bottom w:val="single" w:sz="4" w:space="0" w:color="auto"/>
              <w:right w:val="single" w:sz="4" w:space="0" w:color="auto"/>
            </w:tcBorders>
            <w:shd w:val="clear" w:color="auto" w:fill="C6EFCE"/>
            <w:noWrap/>
          </w:tcPr>
          <w:p w14:paraId="1E66E07E" w14:textId="6E03328B" w:rsidR="003B6BD9" w:rsidRDefault="009E25E8">
            <w:pPr>
              <w:pStyle w:val="P68B1DB1-Normal7"/>
              <w:spacing w:before="0" w:after="0" w:line="256" w:lineRule="auto"/>
              <w:rPr>
                <w:rFonts w:eastAsia="Times New Roman"/>
                <w:noProof/>
              </w:rPr>
            </w:pPr>
            <w:r>
              <w:rPr>
                <w:noProof/>
              </w:rPr>
              <w:t>0</w:t>
            </w:r>
          </w:p>
        </w:tc>
        <w:tc>
          <w:tcPr>
            <w:tcW w:w="763" w:type="dxa"/>
            <w:tcBorders>
              <w:top w:val="single" w:sz="4" w:space="0" w:color="auto"/>
              <w:left w:val="nil"/>
              <w:bottom w:val="single" w:sz="4" w:space="0" w:color="auto"/>
              <w:right w:val="single" w:sz="4" w:space="0" w:color="auto"/>
            </w:tcBorders>
            <w:shd w:val="clear" w:color="auto" w:fill="C6EFCE"/>
            <w:noWrap/>
          </w:tcPr>
          <w:p w14:paraId="6BBF08F4" w14:textId="0EC2327C" w:rsidR="003B6BD9" w:rsidRDefault="009E25E8">
            <w:pPr>
              <w:pStyle w:val="P68B1DB1-Normal7"/>
              <w:spacing w:before="0" w:after="0" w:line="256" w:lineRule="auto"/>
              <w:rPr>
                <w:rFonts w:eastAsia="Times New Roman"/>
                <w:noProof/>
              </w:rPr>
            </w:pPr>
            <w:r>
              <w:rPr>
                <w:noProof/>
              </w:rPr>
              <w:t xml:space="preserve"> 2</w:t>
            </w:r>
          </w:p>
        </w:tc>
        <w:tc>
          <w:tcPr>
            <w:tcW w:w="992" w:type="dxa"/>
            <w:tcBorders>
              <w:top w:val="single" w:sz="4" w:space="0" w:color="auto"/>
              <w:left w:val="nil"/>
              <w:bottom w:val="single" w:sz="4" w:space="0" w:color="auto"/>
              <w:right w:val="single" w:sz="4" w:space="0" w:color="auto"/>
            </w:tcBorders>
            <w:shd w:val="clear" w:color="auto" w:fill="C6EFCE"/>
            <w:noWrap/>
          </w:tcPr>
          <w:p w14:paraId="1AC767E9" w14:textId="77777777" w:rsidR="003B6BD9" w:rsidRDefault="009E25E8">
            <w:pPr>
              <w:pStyle w:val="P68B1DB1-Normal7"/>
              <w:spacing w:before="0" w:after="0" w:line="256" w:lineRule="auto"/>
              <w:jc w:val="center"/>
              <w:rPr>
                <w:rFonts w:eastAsia="Times New Roman"/>
                <w:noProof/>
              </w:rPr>
            </w:pPr>
            <w:r>
              <w:rPr>
                <w:noProof/>
              </w:rPr>
              <w:t>T2</w:t>
            </w:r>
          </w:p>
        </w:tc>
        <w:tc>
          <w:tcPr>
            <w:tcW w:w="729" w:type="dxa"/>
            <w:tcBorders>
              <w:top w:val="single" w:sz="4" w:space="0" w:color="auto"/>
              <w:left w:val="nil"/>
              <w:bottom w:val="single" w:sz="4" w:space="0" w:color="auto"/>
              <w:right w:val="single" w:sz="4" w:space="0" w:color="auto"/>
            </w:tcBorders>
            <w:shd w:val="clear" w:color="auto" w:fill="C6EFCE"/>
            <w:noWrap/>
          </w:tcPr>
          <w:p w14:paraId="6EEA2571" w14:textId="77777777" w:rsidR="003B6BD9" w:rsidRDefault="009E25E8">
            <w:pPr>
              <w:pStyle w:val="P68B1DB1-Normal7"/>
              <w:spacing w:before="0" w:after="0" w:line="256" w:lineRule="auto"/>
              <w:jc w:val="center"/>
              <w:rPr>
                <w:rFonts w:eastAsia="Times New Roman"/>
                <w:noProof/>
              </w:rPr>
            </w:pPr>
            <w:r>
              <w:rPr>
                <w:noProof/>
              </w:rPr>
              <w:t>2026</w:t>
            </w:r>
          </w:p>
        </w:tc>
        <w:tc>
          <w:tcPr>
            <w:tcW w:w="3652" w:type="dxa"/>
            <w:tcBorders>
              <w:top w:val="single" w:sz="4" w:space="0" w:color="auto"/>
              <w:left w:val="nil"/>
              <w:bottom w:val="single" w:sz="4" w:space="0" w:color="auto"/>
              <w:right w:val="single" w:sz="4" w:space="0" w:color="auto"/>
            </w:tcBorders>
            <w:shd w:val="clear" w:color="auto" w:fill="C6EFCE"/>
            <w:noWrap/>
          </w:tcPr>
          <w:p w14:paraId="27AB4B0D" w14:textId="0996E42A" w:rsidR="003B6BD9" w:rsidRDefault="009E25E8">
            <w:pPr>
              <w:pStyle w:val="P68B1DB1-Normal7"/>
              <w:spacing w:before="0" w:after="0" w:line="256" w:lineRule="auto"/>
              <w:rPr>
                <w:rFonts w:eastAsia="Times New Roman"/>
                <w:noProof/>
              </w:rPr>
            </w:pPr>
            <w:r>
              <w:rPr>
                <w:noProof/>
              </w:rPr>
              <w:t>Construction ou rénovation de deux nouvelles installations éducatives.</w:t>
            </w:r>
          </w:p>
        </w:tc>
      </w:tr>
    </w:tbl>
    <w:p w14:paraId="2F1B0DDA" w14:textId="77777777" w:rsidR="003B6BD9" w:rsidRDefault="003B6BD9">
      <w:pPr>
        <w:spacing w:line="240" w:lineRule="auto"/>
        <w:ind w:left="709"/>
        <w:jc w:val="both"/>
        <w:rPr>
          <w:noProof/>
          <w:szCs w:val="24"/>
        </w:rPr>
        <w:sectPr w:rsidR="003B6BD9" w:rsidSect="00073927">
          <w:headerReference w:type="even" r:id="rId212"/>
          <w:headerReference w:type="default" r:id="rId213"/>
          <w:footerReference w:type="even" r:id="rId214"/>
          <w:footerReference w:type="default" r:id="rId215"/>
          <w:headerReference w:type="first" r:id="rId216"/>
          <w:footerReference w:type="first" r:id="rId217"/>
          <w:pgSz w:w="16839" w:h="11907" w:orient="landscape"/>
          <w:pgMar w:top="1134" w:right="1134" w:bottom="1134" w:left="1134" w:header="567" w:footer="567" w:gutter="0"/>
          <w:cols w:space="720"/>
          <w:docGrid w:linePitch="326"/>
        </w:sectPr>
      </w:pPr>
    </w:p>
    <w:p w14:paraId="3BEF3BA3" w14:textId="77777777" w:rsidR="003B6BD9" w:rsidRDefault="009E25E8">
      <w:pPr>
        <w:pStyle w:val="P68B1DB1-Normal2"/>
        <w:keepNext/>
        <w:tabs>
          <w:tab w:val="left" w:pos="850"/>
        </w:tabs>
        <w:spacing w:line="240" w:lineRule="auto"/>
        <w:jc w:val="both"/>
        <w:outlineLvl w:val="0"/>
        <w:rPr>
          <w:smallCaps/>
          <w:noProof/>
        </w:rPr>
      </w:pPr>
      <w:r>
        <w:rPr>
          <w:smallCaps/>
          <w:noProof/>
        </w:rPr>
        <w:t xml:space="preserve">M. COMPOSANTE 13: </w:t>
      </w:r>
      <w:r>
        <w:rPr>
          <w:noProof/>
        </w:rPr>
        <w:t>DES INSTITUTIONS PUBLIQUES EFFICACES</w:t>
      </w:r>
    </w:p>
    <w:p w14:paraId="63CFB514" w14:textId="77777777" w:rsidR="003B6BD9" w:rsidRDefault="009E25E8">
      <w:pPr>
        <w:spacing w:line="240" w:lineRule="auto"/>
        <w:jc w:val="both"/>
        <w:rPr>
          <w:rFonts w:eastAsia="Times New Roman"/>
          <w:noProof/>
        </w:rPr>
      </w:pPr>
      <w:r>
        <w:rPr>
          <w:noProof/>
        </w:rPr>
        <w:t xml:space="preserve">Ce volet du plan slovène pour la reprise et la résilience répond aux défis liés à l’efficacité de la gouvernance du secteur public et, plus généralement, à la charge administrative. </w:t>
      </w:r>
    </w:p>
    <w:p w14:paraId="3262AA71" w14:textId="77777777" w:rsidR="003B6BD9" w:rsidRDefault="009E25E8">
      <w:pPr>
        <w:spacing w:line="240" w:lineRule="auto"/>
        <w:jc w:val="both"/>
        <w:rPr>
          <w:rFonts w:eastAsia="Times New Roman"/>
          <w:noProof/>
        </w:rPr>
      </w:pPr>
      <w:r>
        <w:rPr>
          <w:noProof/>
        </w:rPr>
        <w:t>Les objectifs de ce volet sont d’améliorer l’efficacité du système de rémunération du secteur public, d’améliorer l’environnement des entreprises par une simplification législative et réglementaire et des réformes de la législation en matière de construction et d’aménagement du territoire, et d’améliorer la professionnalisation, la numérisation et la concurrence dans le système de passation des marchés publics.</w:t>
      </w:r>
    </w:p>
    <w:p w14:paraId="0E31734A" w14:textId="77777777" w:rsidR="003B6BD9" w:rsidRDefault="009E25E8">
      <w:pPr>
        <w:spacing w:line="240" w:lineRule="auto"/>
        <w:jc w:val="both"/>
        <w:rPr>
          <w:rFonts w:eastAsia="Times New Roman"/>
          <w:noProof/>
        </w:rPr>
      </w:pPr>
      <w:r>
        <w:rPr>
          <w:noProof/>
        </w:rPr>
        <w:t>Aucun financement au titre du plan slovène pour la reprise et la résilience n’est prévu pour les réformes relevant de ce volet.</w:t>
      </w:r>
    </w:p>
    <w:p w14:paraId="1A20A73E" w14:textId="77777777" w:rsidR="003B6BD9" w:rsidRDefault="009E25E8">
      <w:pPr>
        <w:spacing w:line="240" w:lineRule="auto"/>
        <w:jc w:val="both"/>
        <w:rPr>
          <w:noProof/>
        </w:rPr>
      </w:pPr>
      <w:r>
        <w:rPr>
          <w:noProof/>
        </w:rPr>
        <w:t>Ces réformes répondent aux recommandations par pays adressées à la Slovénie en 2019 en vue d’ «améliorer l’environnement des entreprises en réduisant les restrictions réglementaires et la charge administrative. Améliorer la concurrence, la professionnalisation et le contrôle indépendant dans le domaine des marchés publics» (recommandations par pays 2 et 2019) et 2020 visant à «réduire la charge administrative, accélérer les projets d’investissement public parvenus à maturité et promouvoir les investissements privés pour soutenir la reprise économique» (recommandations par pays 3 et 2020).</w:t>
      </w:r>
    </w:p>
    <w:p w14:paraId="6CAC622E" w14:textId="465E44A2" w:rsidR="003B6BD9" w:rsidRDefault="009E25E8">
      <w:pPr>
        <w:pStyle w:val="P68B1DB1-Normal4"/>
        <w:spacing w:line="240" w:lineRule="auto"/>
        <w:jc w:val="both"/>
        <w:rPr>
          <w:rFonts w:eastAsia="Times New Roman"/>
          <w:noProof/>
        </w:rPr>
      </w:pPr>
      <w:r>
        <w:rPr>
          <w:noProof/>
        </w:rPr>
        <w:t>M.1. Description des réformes et des investissements pour le soutien financier non remboursable</w:t>
      </w:r>
    </w:p>
    <w:p w14:paraId="2C3F6DAE" w14:textId="77777777" w:rsidR="003B6BD9" w:rsidRDefault="009E25E8">
      <w:pPr>
        <w:pStyle w:val="P68B1DB1-Normal5"/>
        <w:spacing w:line="240" w:lineRule="auto"/>
        <w:jc w:val="both"/>
        <w:rPr>
          <w:rFonts w:eastAsia="Times New Roman"/>
          <w:noProof/>
        </w:rPr>
      </w:pPr>
      <w:r>
        <w:rPr>
          <w:noProof/>
        </w:rPr>
        <w:t>Réforme A: Supprimer les obstacles administratifs</w:t>
      </w:r>
    </w:p>
    <w:p w14:paraId="185F8681" w14:textId="77777777" w:rsidR="003B6BD9" w:rsidRDefault="009E25E8">
      <w:pPr>
        <w:spacing w:line="240" w:lineRule="auto"/>
        <w:jc w:val="both"/>
        <w:rPr>
          <w:rFonts w:eastAsia="Times New Roman"/>
          <w:noProof/>
        </w:rPr>
      </w:pPr>
      <w:r>
        <w:rPr>
          <w:noProof/>
        </w:rPr>
        <w:t>L’objectif de la réforme est de réduire la charge administrative pesant sur les entreprises et les citoyens, de réduire le coût des procédures administratives et de simplifier la législation correspondante en Slovénie.</w:t>
      </w:r>
    </w:p>
    <w:p w14:paraId="23B7B19F" w14:textId="62D30059" w:rsidR="003B6BD9" w:rsidRDefault="009E25E8">
      <w:pPr>
        <w:spacing w:line="240" w:lineRule="auto"/>
        <w:jc w:val="both"/>
        <w:rPr>
          <w:rFonts w:eastAsia="Times New Roman"/>
          <w:noProof/>
        </w:rPr>
      </w:pPr>
      <w:r>
        <w:rPr>
          <w:noProof/>
        </w:rPr>
        <w:t xml:space="preserve">La réforme consiste en l’entrée en vigueur de la «loi sur la débureaucratisation», un ensemble de modifications législatives visant à simplifier la réglementation. Un train de mesures supplémentaire de débureaucratisation entrera également en vigueur à la suite de consultations publiques, notamment avec les citoyens, les représentants des entreprises, les syndicats, les municipalités et d’autres acteurs. Le deuxième train de mesures est axé sur la simplification de la législation antérieure à l’indépendance. </w:t>
      </w:r>
    </w:p>
    <w:p w14:paraId="5925E16C" w14:textId="77777777" w:rsidR="003B6BD9" w:rsidRDefault="009E25E8">
      <w:pPr>
        <w:spacing w:line="240" w:lineRule="auto"/>
        <w:jc w:val="both"/>
        <w:rPr>
          <w:rFonts w:eastAsia="Times New Roman"/>
          <w:noProof/>
        </w:rPr>
      </w:pPr>
      <w:r>
        <w:rPr>
          <w:noProof/>
        </w:rPr>
        <w:t>Les étapes liées à la mise en œuvre de la réforme sont achevées au plus tard le 30 juin 2022.</w:t>
      </w:r>
    </w:p>
    <w:p w14:paraId="1D250687" w14:textId="77777777" w:rsidR="003B6BD9" w:rsidRDefault="009E25E8">
      <w:pPr>
        <w:pStyle w:val="P68B1DB1-Normal5"/>
        <w:spacing w:line="240" w:lineRule="auto"/>
        <w:jc w:val="both"/>
        <w:rPr>
          <w:rFonts w:eastAsia="Times New Roman"/>
          <w:noProof/>
        </w:rPr>
      </w:pPr>
      <w:r>
        <w:rPr>
          <w:noProof/>
        </w:rPr>
        <w:t>Réforme B: Un secteur public moderne et résilient</w:t>
      </w:r>
    </w:p>
    <w:p w14:paraId="30782C7B" w14:textId="288D0E12" w:rsidR="003B6BD9" w:rsidRDefault="009E25E8">
      <w:pPr>
        <w:spacing w:line="240" w:lineRule="auto"/>
        <w:jc w:val="both"/>
        <w:rPr>
          <w:rFonts w:eastAsia="Times New Roman"/>
          <w:noProof/>
        </w:rPr>
      </w:pPr>
      <w:r>
        <w:rPr>
          <w:noProof/>
        </w:rPr>
        <w:t>Les objectifs de la réforme sont d’accroître le recours à la rémunération variable et à la rémunération fondée sur les performances professionnelles dans le secteur public afin d’améliorer son efficacité. La réforme préserve la viabilité budgétaire du système de rémunération du secteur public.</w:t>
      </w:r>
    </w:p>
    <w:p w14:paraId="0D4F3072" w14:textId="2A244DC8" w:rsidR="003B6BD9" w:rsidRDefault="009E25E8">
      <w:pPr>
        <w:spacing w:line="240" w:lineRule="auto"/>
        <w:jc w:val="both"/>
        <w:rPr>
          <w:rFonts w:eastAsia="Times New Roman"/>
          <w:noProof/>
        </w:rPr>
      </w:pPr>
      <w:r>
        <w:rPr>
          <w:noProof/>
        </w:rPr>
        <w:t>La réforme consiste en l’entrée en vigueur d’une nouvelle loi modernisant le système de rémunération du secteur public. Le nouveau système de rémunération vise à souligner le rôle des managers et à améliorer la gestion des ressources humaines. Le nouveau système établit une rémunération différenciée en fonction du segment du secteur public, ce qui devrait créer davantage de flexibilité, et garantit que la rémunération est liée aux performances professionnelles. La loi permet une réglementation différenciée pour des activités ou des professions spécifiques, tout en remédiant aux pénuries de professions spécifiques dans le secteur public.</w:t>
      </w:r>
    </w:p>
    <w:p w14:paraId="32023D03" w14:textId="0BB6F45D" w:rsidR="003B6BD9" w:rsidRDefault="009E25E8">
      <w:pPr>
        <w:spacing w:line="240" w:lineRule="auto"/>
        <w:jc w:val="both"/>
        <w:rPr>
          <w:rFonts w:eastAsia="Times New Roman"/>
          <w:noProof/>
        </w:rPr>
      </w:pPr>
      <w:r>
        <w:rPr>
          <w:noProof/>
        </w:rPr>
        <w:t>Les étapes liées à la mise en œuvre de la réforme sont achevées au plus tard le 30 juin 2024.</w:t>
      </w:r>
    </w:p>
    <w:p w14:paraId="434612A1" w14:textId="77777777" w:rsidR="003B6BD9" w:rsidRDefault="003B6BD9">
      <w:pPr>
        <w:spacing w:line="240" w:lineRule="auto"/>
        <w:jc w:val="both"/>
        <w:rPr>
          <w:noProof/>
          <w:u w:val="single"/>
        </w:rPr>
      </w:pPr>
    </w:p>
    <w:p w14:paraId="6E6B6DC6" w14:textId="77777777" w:rsidR="003B6BD9" w:rsidRDefault="003B6BD9">
      <w:pPr>
        <w:spacing w:line="240" w:lineRule="auto"/>
        <w:jc w:val="both"/>
        <w:rPr>
          <w:noProof/>
          <w:u w:val="single"/>
        </w:rPr>
      </w:pPr>
    </w:p>
    <w:p w14:paraId="54D04BE0" w14:textId="72457A22" w:rsidR="003B6BD9" w:rsidRDefault="009E25E8">
      <w:pPr>
        <w:pStyle w:val="P68B1DB1-Normal5"/>
        <w:spacing w:line="240" w:lineRule="auto"/>
        <w:jc w:val="both"/>
        <w:rPr>
          <w:rFonts w:eastAsia="Times New Roman"/>
          <w:noProof/>
        </w:rPr>
      </w:pPr>
      <w:r>
        <w:rPr>
          <w:noProof/>
        </w:rPr>
        <w:t>Réforme C: Créer des conditions systémiques pour la croissance des investissements</w:t>
      </w:r>
    </w:p>
    <w:p w14:paraId="55FBB334" w14:textId="77777777" w:rsidR="003B6BD9" w:rsidRDefault="009E25E8">
      <w:pPr>
        <w:spacing w:line="240" w:lineRule="auto"/>
        <w:jc w:val="both"/>
        <w:rPr>
          <w:rFonts w:eastAsia="Times New Roman"/>
          <w:noProof/>
        </w:rPr>
      </w:pPr>
      <w:r>
        <w:rPr>
          <w:noProof/>
        </w:rPr>
        <w:t>L’objectif de la réforme est d’accroître les investissements publics et privés en simplifiant les procédures dans le domaine de la construction et de l’aménagement du territoire et en réformant le système des marchés publics.</w:t>
      </w:r>
    </w:p>
    <w:p w14:paraId="68226FEF" w14:textId="2AC99AAF" w:rsidR="003B6BD9" w:rsidRDefault="009E25E8">
      <w:pPr>
        <w:spacing w:line="240" w:lineRule="auto"/>
        <w:jc w:val="both"/>
        <w:rPr>
          <w:rFonts w:eastAsia="Times New Roman"/>
          <w:noProof/>
        </w:rPr>
      </w:pPr>
      <w:r>
        <w:rPr>
          <w:noProof/>
        </w:rPr>
        <w:t xml:space="preserve">La réforme consiste en l’entrée en vigueur de modifications de la loi sur la construction et des lois sur l’aménagement du territoire, ainsi qu’en des mesures visant à améliorer le système de passation des marchés publics en Slovénie. Il s’agit notamment des modifications apportées à la loi sur les marchés publics, de la création d’une académie des marchés publics, de l’alignement des ensembles de données sur les marchés publics et de la publication de données sur le tableau d’affichage du marché unique et de la compétitivité, ainsi que de l’assistance technique visant à soutenir les réformes des marchés publics. </w:t>
      </w:r>
    </w:p>
    <w:p w14:paraId="60AA4AB2" w14:textId="77777777" w:rsidR="003B6BD9" w:rsidRDefault="009E25E8">
      <w:pPr>
        <w:pStyle w:val="P68B1DB1-Normal5"/>
        <w:spacing w:line="240" w:lineRule="auto"/>
        <w:jc w:val="both"/>
        <w:rPr>
          <w:rFonts w:eastAsia="Times New Roman"/>
          <w:noProof/>
        </w:rPr>
      </w:pPr>
      <w:r>
        <w:rPr>
          <w:noProof/>
        </w:rPr>
        <w:t>Réforme D: Mise en œuvre du plan pour la reprise et la résilience — systèmes de contrôle et d’audit</w:t>
      </w:r>
    </w:p>
    <w:p w14:paraId="00006A28" w14:textId="77777777" w:rsidR="003B6BD9" w:rsidRDefault="009E25E8">
      <w:pPr>
        <w:spacing w:line="240" w:lineRule="auto"/>
        <w:jc w:val="both"/>
        <w:rPr>
          <w:noProof/>
        </w:rPr>
      </w:pPr>
      <w:r>
        <w:rPr>
          <w:noProof/>
        </w:rPr>
        <w:t>L’objectif de la réforme est de mettre en place et de formaliser le cadre juridique et institutionnel nécessaire au bon fonctionnement des systèmes de contrôle et d’audit.</w:t>
      </w:r>
    </w:p>
    <w:p w14:paraId="2AF52BB1" w14:textId="77777777" w:rsidR="003B6BD9" w:rsidRDefault="009E25E8">
      <w:pPr>
        <w:spacing w:line="240" w:lineRule="auto"/>
        <w:jc w:val="both"/>
        <w:rPr>
          <w:noProof/>
        </w:rPr>
      </w:pPr>
      <w:r>
        <w:rPr>
          <w:noProof/>
        </w:rPr>
        <w:t>La réforme consiste en la création du bureau de mise en œuvre du plan pour la reprise et la résilience, en tant qu’organe distinct au sein du ministère des finances, pour agir en tant qu’autorité de coordination pour la mise en œuvre du plan pour la reprise et la résilience. La réforme consiste également en l’adoption du décret national et des lignes directrices de l’organisme de coordination décrivant les procédures d’exécution des audits et des contrôles conformément à la législation de l’Union et à la législation nationale applicables, ainsi qu’en la mise à niveau du système informatique du ministère des finances — MFERAC.</w:t>
      </w:r>
    </w:p>
    <w:p w14:paraId="1A99F0C2" w14:textId="5A71B2D4" w:rsidR="003B6BD9" w:rsidRDefault="009E25E8">
      <w:pPr>
        <w:spacing w:line="240" w:lineRule="auto"/>
        <w:rPr>
          <w:noProof/>
        </w:rPr>
        <w:sectPr w:rsidR="003B6BD9" w:rsidSect="00073927">
          <w:headerReference w:type="even" r:id="rId218"/>
          <w:headerReference w:type="default" r:id="rId219"/>
          <w:footerReference w:type="even" r:id="rId220"/>
          <w:footerReference w:type="default" r:id="rId221"/>
          <w:headerReference w:type="first" r:id="rId222"/>
          <w:footerReference w:type="first" r:id="rId223"/>
          <w:pgSz w:w="11907" w:h="16839"/>
          <w:pgMar w:top="1134" w:right="1134" w:bottom="1134" w:left="1134" w:header="567" w:footer="567" w:gutter="0"/>
          <w:cols w:space="720"/>
          <w:docGrid w:linePitch="326"/>
        </w:sectPr>
      </w:pPr>
      <w:r>
        <w:rPr>
          <w:noProof/>
        </w:rPr>
        <w:t>Le jalon lié à la mise en œuvre de la réforme est achevé au plus tard le 30</w:t>
      </w:r>
      <w:r>
        <w:rPr>
          <w:noProof/>
          <w:color w:val="006100"/>
          <w:sz w:val="18"/>
          <w:szCs w:val="18"/>
        </w:rPr>
        <w:t xml:space="preserve"> </w:t>
      </w:r>
      <w:r>
        <w:rPr>
          <w:noProof/>
        </w:rPr>
        <w:t>septembre</w:t>
      </w:r>
      <w:r>
        <w:rPr>
          <w:noProof/>
          <w:color w:val="006100"/>
          <w:sz w:val="18"/>
          <w:szCs w:val="18"/>
        </w:rPr>
        <w:t xml:space="preserve"> </w:t>
      </w:r>
      <w:r>
        <w:rPr>
          <w:noProof/>
        </w:rPr>
        <w:t>2021.</w:t>
      </w:r>
    </w:p>
    <w:p w14:paraId="1EB6005F" w14:textId="77777777" w:rsidR="003B6BD9" w:rsidRDefault="009E25E8">
      <w:pPr>
        <w:pStyle w:val="P68B1DB1-Normal4"/>
        <w:keepNext/>
        <w:keepLines/>
        <w:spacing w:before="0" w:line="240" w:lineRule="auto"/>
        <w:rPr>
          <w:noProof/>
        </w:rPr>
      </w:pPr>
      <w:r>
        <w:rPr>
          <w:noProof/>
        </w:rPr>
        <w:t xml:space="preserve">M.2. </w:t>
      </w:r>
      <w:r>
        <w:rPr>
          <w:noProof/>
        </w:rPr>
        <w:tab/>
        <w:t>Jalons, cibles, indicateurs et calendrier de suivi et de mise en œuvre pour le soutien financier non remboursable</w:t>
      </w:r>
    </w:p>
    <w:tbl>
      <w:tblPr>
        <w:tblW w:w="15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1800"/>
        <w:gridCol w:w="1200"/>
        <w:gridCol w:w="1680"/>
        <w:gridCol w:w="1920"/>
        <w:gridCol w:w="1320"/>
        <w:gridCol w:w="1200"/>
        <w:gridCol w:w="828"/>
        <w:gridCol w:w="1358"/>
        <w:gridCol w:w="834"/>
        <w:gridCol w:w="2968"/>
      </w:tblGrid>
      <w:tr w:rsidR="003B6BD9" w14:paraId="543A95CE" w14:textId="77777777" w:rsidTr="006C1AFD">
        <w:trPr>
          <w:trHeight w:val="927"/>
          <w:tblHeader/>
          <w:jc w:val="center"/>
        </w:trPr>
        <w:tc>
          <w:tcPr>
            <w:tcW w:w="847" w:type="dxa"/>
            <w:vMerge w:val="restart"/>
            <w:shd w:val="clear" w:color="auto" w:fill="BDD7EE"/>
            <w:vAlign w:val="center"/>
            <w:hideMark/>
          </w:tcPr>
          <w:p w14:paraId="4738F156" w14:textId="6FDABD28" w:rsidR="003B6BD9" w:rsidRDefault="009E25E8">
            <w:pPr>
              <w:pStyle w:val="P68B1DB1-Normal6"/>
              <w:spacing w:before="0" w:after="0" w:line="256" w:lineRule="auto"/>
              <w:jc w:val="center"/>
              <w:rPr>
                <w:rFonts w:eastAsia="Times New Roman"/>
                <w:noProof/>
              </w:rPr>
            </w:pPr>
            <w:r>
              <w:rPr>
                <w:noProof/>
              </w:rPr>
              <w:t xml:space="preserve">Et suivants Non. </w:t>
            </w:r>
          </w:p>
        </w:tc>
        <w:tc>
          <w:tcPr>
            <w:tcW w:w="1800" w:type="dxa"/>
            <w:vMerge w:val="restart"/>
            <w:shd w:val="clear" w:color="auto" w:fill="BDD7EE"/>
            <w:vAlign w:val="center"/>
            <w:hideMark/>
          </w:tcPr>
          <w:p w14:paraId="6E8F4C40" w14:textId="77777777" w:rsidR="003B6BD9" w:rsidRDefault="009E25E8">
            <w:pPr>
              <w:pStyle w:val="P68B1DB1-Normal6"/>
              <w:spacing w:before="0" w:after="0" w:line="256" w:lineRule="auto"/>
              <w:jc w:val="center"/>
              <w:rPr>
                <w:rFonts w:eastAsia="Times New Roman"/>
                <w:noProof/>
              </w:rPr>
            </w:pPr>
            <w:r>
              <w:rPr>
                <w:noProof/>
              </w:rPr>
              <w:t>Mesure connexe (réforme ou investissement)</w:t>
            </w:r>
          </w:p>
        </w:tc>
        <w:tc>
          <w:tcPr>
            <w:tcW w:w="1200" w:type="dxa"/>
            <w:vMerge w:val="restart"/>
            <w:shd w:val="clear" w:color="auto" w:fill="BDD7EE"/>
            <w:vAlign w:val="center"/>
            <w:hideMark/>
          </w:tcPr>
          <w:p w14:paraId="0A6D358E" w14:textId="4882BBA4" w:rsidR="003B6BD9" w:rsidRDefault="009E25E8">
            <w:pPr>
              <w:pStyle w:val="P68B1DB1-Normal6"/>
              <w:spacing w:before="0" w:after="0" w:line="256" w:lineRule="auto"/>
              <w:jc w:val="center"/>
              <w:rPr>
                <w:rFonts w:eastAsia="Times New Roman"/>
                <w:noProof/>
              </w:rPr>
            </w:pPr>
            <w:r>
              <w:rPr>
                <w:noProof/>
              </w:rPr>
              <w:t>Étape/</w:t>
            </w:r>
            <w:r w:rsidR="006C1AFD">
              <w:rPr>
                <w:noProof/>
              </w:rPr>
              <w:br/>
            </w:r>
            <w:r>
              <w:rPr>
                <w:noProof/>
              </w:rPr>
              <w:t>Objectif</w:t>
            </w:r>
          </w:p>
        </w:tc>
        <w:tc>
          <w:tcPr>
            <w:tcW w:w="1680" w:type="dxa"/>
            <w:vMerge w:val="restart"/>
            <w:shd w:val="clear" w:color="auto" w:fill="BDD7EE"/>
            <w:vAlign w:val="center"/>
            <w:hideMark/>
          </w:tcPr>
          <w:p w14:paraId="1AAC3745" w14:textId="77777777" w:rsidR="003B6BD9" w:rsidRDefault="009E25E8">
            <w:pPr>
              <w:pStyle w:val="P68B1DB1-Normal6"/>
              <w:spacing w:before="0" w:after="0" w:line="256" w:lineRule="auto"/>
              <w:jc w:val="center"/>
              <w:rPr>
                <w:rFonts w:eastAsia="Times New Roman"/>
                <w:noProof/>
              </w:rPr>
            </w:pPr>
            <w:r>
              <w:rPr>
                <w:noProof/>
              </w:rPr>
              <w:t>Nom</w:t>
            </w:r>
          </w:p>
        </w:tc>
        <w:tc>
          <w:tcPr>
            <w:tcW w:w="1920" w:type="dxa"/>
            <w:vMerge w:val="restart"/>
            <w:shd w:val="clear" w:color="auto" w:fill="BDD7EE"/>
            <w:vAlign w:val="center"/>
            <w:hideMark/>
          </w:tcPr>
          <w:p w14:paraId="5BD10BC3" w14:textId="48139ABE" w:rsidR="003B6BD9" w:rsidRDefault="009E25E8">
            <w:pPr>
              <w:pStyle w:val="P68B1DB1-Normal6"/>
              <w:spacing w:before="0" w:after="0" w:line="256" w:lineRule="auto"/>
              <w:jc w:val="center"/>
              <w:rPr>
                <w:rFonts w:eastAsia="Times New Roman"/>
                <w:noProof/>
              </w:rPr>
            </w:pPr>
            <w:r>
              <w:rPr>
                <w:noProof/>
              </w:rPr>
              <w:t>Indicateurs qualitatifs (pour les jalons)</w:t>
            </w:r>
          </w:p>
        </w:tc>
        <w:tc>
          <w:tcPr>
            <w:tcW w:w="3348" w:type="dxa"/>
            <w:gridSpan w:val="3"/>
            <w:shd w:val="clear" w:color="auto" w:fill="BDD7EE"/>
            <w:vAlign w:val="center"/>
            <w:hideMark/>
          </w:tcPr>
          <w:p w14:paraId="7DBD0C6E" w14:textId="16D77A82" w:rsidR="003B6BD9" w:rsidRDefault="009E25E8">
            <w:pPr>
              <w:pStyle w:val="P68B1DB1-Normal6"/>
              <w:spacing w:before="0" w:after="0" w:line="256" w:lineRule="auto"/>
              <w:jc w:val="center"/>
              <w:rPr>
                <w:rFonts w:eastAsia="Times New Roman"/>
                <w:noProof/>
              </w:rPr>
            </w:pPr>
            <w:r>
              <w:rPr>
                <w:noProof/>
              </w:rPr>
              <w:t>Indicateurs quantitatifs (pour les cibles)</w:t>
            </w:r>
          </w:p>
        </w:tc>
        <w:tc>
          <w:tcPr>
            <w:tcW w:w="2192" w:type="dxa"/>
            <w:gridSpan w:val="2"/>
            <w:shd w:val="clear" w:color="auto" w:fill="BDD7EE"/>
            <w:vAlign w:val="center"/>
            <w:hideMark/>
          </w:tcPr>
          <w:p w14:paraId="5892DAEF" w14:textId="77777777" w:rsidR="003B6BD9" w:rsidRDefault="009E25E8">
            <w:pPr>
              <w:pStyle w:val="P68B1DB1-Normal6"/>
              <w:spacing w:before="0" w:after="0" w:line="256" w:lineRule="auto"/>
              <w:jc w:val="center"/>
              <w:rPr>
                <w:rFonts w:eastAsia="Times New Roman"/>
                <w:noProof/>
              </w:rPr>
            </w:pPr>
            <w:r>
              <w:rPr>
                <w:noProof/>
              </w:rPr>
              <w:t xml:space="preserve">Calendrier indicatif pour l’achèvement </w:t>
            </w:r>
          </w:p>
        </w:tc>
        <w:tc>
          <w:tcPr>
            <w:tcW w:w="2968" w:type="dxa"/>
            <w:vMerge w:val="restart"/>
            <w:shd w:val="clear" w:color="auto" w:fill="BDD7EE"/>
            <w:vAlign w:val="center"/>
            <w:hideMark/>
          </w:tcPr>
          <w:p w14:paraId="14E5F026" w14:textId="77777777" w:rsidR="003B6BD9" w:rsidRDefault="009E25E8">
            <w:pPr>
              <w:pStyle w:val="P68B1DB1-Normal6"/>
              <w:spacing w:before="0" w:after="0" w:line="256" w:lineRule="auto"/>
              <w:jc w:val="center"/>
              <w:rPr>
                <w:rFonts w:eastAsia="Times New Roman"/>
                <w:noProof/>
              </w:rPr>
            </w:pPr>
            <w:r>
              <w:rPr>
                <w:noProof/>
              </w:rPr>
              <w:t>Description de chaque jalon et cible</w:t>
            </w:r>
          </w:p>
        </w:tc>
      </w:tr>
      <w:tr w:rsidR="003B6BD9" w14:paraId="325D57E0" w14:textId="77777777" w:rsidTr="006C1AFD">
        <w:trPr>
          <w:trHeight w:val="190"/>
          <w:tblHeader/>
          <w:jc w:val="center"/>
        </w:trPr>
        <w:tc>
          <w:tcPr>
            <w:tcW w:w="847" w:type="dxa"/>
            <w:vMerge/>
            <w:vAlign w:val="center"/>
            <w:hideMark/>
          </w:tcPr>
          <w:p w14:paraId="6691DBEC" w14:textId="77777777" w:rsidR="003B6BD9" w:rsidRDefault="003B6BD9">
            <w:pPr>
              <w:spacing w:before="0" w:after="0" w:line="256" w:lineRule="auto"/>
              <w:rPr>
                <w:rFonts w:eastAsia="Times New Roman"/>
                <w:b/>
                <w:noProof/>
                <w:sz w:val="18"/>
                <w:szCs w:val="18"/>
              </w:rPr>
            </w:pPr>
          </w:p>
        </w:tc>
        <w:tc>
          <w:tcPr>
            <w:tcW w:w="1800" w:type="dxa"/>
            <w:vMerge/>
            <w:vAlign w:val="center"/>
            <w:hideMark/>
          </w:tcPr>
          <w:p w14:paraId="04AECFA5" w14:textId="77777777" w:rsidR="003B6BD9" w:rsidRDefault="003B6BD9">
            <w:pPr>
              <w:spacing w:before="0" w:after="0" w:line="256" w:lineRule="auto"/>
              <w:rPr>
                <w:rFonts w:eastAsia="Times New Roman"/>
                <w:b/>
                <w:noProof/>
                <w:sz w:val="18"/>
                <w:szCs w:val="18"/>
              </w:rPr>
            </w:pPr>
          </w:p>
        </w:tc>
        <w:tc>
          <w:tcPr>
            <w:tcW w:w="1200" w:type="dxa"/>
            <w:vMerge/>
            <w:vAlign w:val="center"/>
            <w:hideMark/>
          </w:tcPr>
          <w:p w14:paraId="4160976D" w14:textId="77777777" w:rsidR="003B6BD9" w:rsidRDefault="003B6BD9">
            <w:pPr>
              <w:spacing w:before="0" w:after="0" w:line="256" w:lineRule="auto"/>
              <w:rPr>
                <w:rFonts w:eastAsia="Times New Roman"/>
                <w:b/>
                <w:noProof/>
                <w:sz w:val="18"/>
                <w:szCs w:val="18"/>
              </w:rPr>
            </w:pPr>
          </w:p>
        </w:tc>
        <w:tc>
          <w:tcPr>
            <w:tcW w:w="1680" w:type="dxa"/>
            <w:vMerge/>
            <w:vAlign w:val="center"/>
            <w:hideMark/>
          </w:tcPr>
          <w:p w14:paraId="319E0A10" w14:textId="77777777" w:rsidR="003B6BD9" w:rsidRDefault="003B6BD9">
            <w:pPr>
              <w:spacing w:before="0" w:after="0" w:line="256" w:lineRule="auto"/>
              <w:rPr>
                <w:rFonts w:eastAsia="Times New Roman"/>
                <w:b/>
                <w:noProof/>
                <w:sz w:val="18"/>
                <w:szCs w:val="18"/>
              </w:rPr>
            </w:pPr>
          </w:p>
        </w:tc>
        <w:tc>
          <w:tcPr>
            <w:tcW w:w="1920" w:type="dxa"/>
            <w:vMerge/>
            <w:vAlign w:val="center"/>
            <w:hideMark/>
          </w:tcPr>
          <w:p w14:paraId="16F4DD02" w14:textId="77777777" w:rsidR="003B6BD9" w:rsidRDefault="003B6BD9">
            <w:pPr>
              <w:spacing w:before="0" w:after="0" w:line="256" w:lineRule="auto"/>
              <w:rPr>
                <w:rFonts w:eastAsia="Times New Roman"/>
                <w:b/>
                <w:noProof/>
                <w:sz w:val="18"/>
                <w:szCs w:val="18"/>
              </w:rPr>
            </w:pPr>
          </w:p>
        </w:tc>
        <w:tc>
          <w:tcPr>
            <w:tcW w:w="1320" w:type="dxa"/>
            <w:shd w:val="clear" w:color="auto" w:fill="BDD7EE"/>
            <w:vAlign w:val="center"/>
            <w:hideMark/>
          </w:tcPr>
          <w:p w14:paraId="4ACF5D5C" w14:textId="77777777" w:rsidR="003B6BD9" w:rsidRDefault="009E25E8">
            <w:pPr>
              <w:pStyle w:val="P68B1DB1-Normal6"/>
              <w:spacing w:before="0" w:after="0" w:line="256" w:lineRule="auto"/>
              <w:jc w:val="center"/>
              <w:rPr>
                <w:rFonts w:eastAsia="Times New Roman"/>
                <w:noProof/>
              </w:rPr>
            </w:pPr>
            <w:r>
              <w:rPr>
                <w:noProof/>
              </w:rPr>
              <w:t>Unité de mesure</w:t>
            </w:r>
          </w:p>
        </w:tc>
        <w:tc>
          <w:tcPr>
            <w:tcW w:w="1200" w:type="dxa"/>
            <w:shd w:val="clear" w:color="auto" w:fill="BDD7EE"/>
            <w:vAlign w:val="center"/>
            <w:hideMark/>
          </w:tcPr>
          <w:p w14:paraId="103D5EC7" w14:textId="77777777" w:rsidR="003B6BD9" w:rsidRDefault="009E25E8">
            <w:pPr>
              <w:pStyle w:val="P68B1DB1-Normal6"/>
              <w:spacing w:before="0" w:after="0" w:line="256" w:lineRule="auto"/>
              <w:jc w:val="center"/>
              <w:rPr>
                <w:rFonts w:eastAsia="Times New Roman"/>
                <w:noProof/>
              </w:rPr>
            </w:pPr>
            <w:r>
              <w:rPr>
                <w:noProof/>
              </w:rPr>
              <w:t xml:space="preserve">Niveau de référence </w:t>
            </w:r>
          </w:p>
        </w:tc>
        <w:tc>
          <w:tcPr>
            <w:tcW w:w="828" w:type="dxa"/>
            <w:shd w:val="clear" w:color="auto" w:fill="BDD7EE"/>
            <w:vAlign w:val="center"/>
            <w:hideMark/>
          </w:tcPr>
          <w:p w14:paraId="1D69AF4B" w14:textId="77777777" w:rsidR="003B6BD9" w:rsidRDefault="009E25E8">
            <w:pPr>
              <w:pStyle w:val="P68B1DB1-Normal6"/>
              <w:spacing w:before="0" w:after="0" w:line="256" w:lineRule="auto"/>
              <w:jc w:val="center"/>
              <w:rPr>
                <w:rFonts w:eastAsia="Times New Roman"/>
                <w:noProof/>
              </w:rPr>
            </w:pPr>
            <w:r>
              <w:rPr>
                <w:noProof/>
              </w:rPr>
              <w:t xml:space="preserve">But </w:t>
            </w:r>
          </w:p>
        </w:tc>
        <w:tc>
          <w:tcPr>
            <w:tcW w:w="1358" w:type="dxa"/>
            <w:shd w:val="clear" w:color="auto" w:fill="BDD7EE"/>
            <w:vAlign w:val="center"/>
            <w:hideMark/>
          </w:tcPr>
          <w:p w14:paraId="7A769028" w14:textId="77777777" w:rsidR="003B6BD9" w:rsidRDefault="009E25E8">
            <w:pPr>
              <w:pStyle w:val="P68B1DB1-Normal6"/>
              <w:spacing w:before="0" w:after="0" w:line="256" w:lineRule="auto"/>
              <w:jc w:val="center"/>
              <w:rPr>
                <w:rFonts w:eastAsia="Times New Roman"/>
                <w:noProof/>
              </w:rPr>
            </w:pPr>
            <w:r>
              <w:rPr>
                <w:noProof/>
              </w:rPr>
              <w:t>Trimestre</w:t>
            </w:r>
          </w:p>
        </w:tc>
        <w:tc>
          <w:tcPr>
            <w:tcW w:w="834" w:type="dxa"/>
            <w:shd w:val="clear" w:color="auto" w:fill="BDD7EE"/>
            <w:vAlign w:val="center"/>
            <w:hideMark/>
          </w:tcPr>
          <w:p w14:paraId="31854C69" w14:textId="77777777" w:rsidR="003B6BD9" w:rsidRDefault="009E25E8">
            <w:pPr>
              <w:pStyle w:val="P68B1DB1-Normal6"/>
              <w:spacing w:before="0" w:after="0" w:line="256" w:lineRule="auto"/>
              <w:jc w:val="center"/>
              <w:rPr>
                <w:rFonts w:eastAsia="Times New Roman"/>
                <w:noProof/>
              </w:rPr>
            </w:pPr>
            <w:r>
              <w:rPr>
                <w:noProof/>
              </w:rPr>
              <w:t>Année</w:t>
            </w:r>
          </w:p>
        </w:tc>
        <w:tc>
          <w:tcPr>
            <w:tcW w:w="2968" w:type="dxa"/>
            <w:vMerge/>
            <w:vAlign w:val="center"/>
            <w:hideMark/>
          </w:tcPr>
          <w:p w14:paraId="61D137FA" w14:textId="77777777" w:rsidR="003B6BD9" w:rsidRDefault="003B6BD9">
            <w:pPr>
              <w:spacing w:before="0" w:after="0" w:line="256" w:lineRule="auto"/>
              <w:rPr>
                <w:rFonts w:eastAsia="Times New Roman"/>
                <w:b/>
                <w:noProof/>
                <w:sz w:val="18"/>
                <w:szCs w:val="18"/>
              </w:rPr>
            </w:pPr>
          </w:p>
        </w:tc>
      </w:tr>
      <w:tr w:rsidR="003B6BD9" w14:paraId="4A02420F" w14:textId="77777777" w:rsidTr="006C1AFD">
        <w:trPr>
          <w:trHeight w:val="309"/>
          <w:jc w:val="center"/>
        </w:trPr>
        <w:tc>
          <w:tcPr>
            <w:tcW w:w="847" w:type="dxa"/>
            <w:shd w:val="clear" w:color="auto" w:fill="C6EFCE"/>
            <w:noWrap/>
            <w:hideMark/>
          </w:tcPr>
          <w:p w14:paraId="4200EEFD" w14:textId="77777777" w:rsidR="003B6BD9" w:rsidRDefault="009E25E8">
            <w:pPr>
              <w:pStyle w:val="P68B1DB1-Normal7"/>
              <w:spacing w:before="0" w:after="0" w:line="256" w:lineRule="auto"/>
              <w:rPr>
                <w:rFonts w:eastAsia="Times New Roman"/>
                <w:noProof/>
              </w:rPr>
            </w:pPr>
            <w:r>
              <w:rPr>
                <w:noProof/>
              </w:rPr>
              <w:t>171</w:t>
            </w:r>
          </w:p>
        </w:tc>
        <w:tc>
          <w:tcPr>
            <w:tcW w:w="1800" w:type="dxa"/>
            <w:shd w:val="clear" w:color="auto" w:fill="C6EFCE"/>
            <w:noWrap/>
            <w:hideMark/>
          </w:tcPr>
          <w:p w14:paraId="38DD25BE" w14:textId="77777777" w:rsidR="003B6BD9" w:rsidRDefault="009E25E8">
            <w:pPr>
              <w:pStyle w:val="P68B1DB1-Normal7"/>
              <w:spacing w:before="0" w:after="0" w:line="256" w:lineRule="auto"/>
              <w:rPr>
                <w:rFonts w:eastAsia="Times New Roman"/>
                <w:noProof/>
              </w:rPr>
            </w:pPr>
            <w:r>
              <w:rPr>
                <w:noProof/>
              </w:rPr>
              <w:t>A: Supprimer les obstacles administratifs</w:t>
            </w:r>
          </w:p>
        </w:tc>
        <w:tc>
          <w:tcPr>
            <w:tcW w:w="1200" w:type="dxa"/>
            <w:shd w:val="clear" w:color="auto" w:fill="C6EFCE"/>
            <w:noWrap/>
            <w:hideMark/>
          </w:tcPr>
          <w:p w14:paraId="16FDCEF4" w14:textId="77777777" w:rsidR="003B6BD9" w:rsidRDefault="009E25E8">
            <w:pPr>
              <w:pStyle w:val="P68B1DB1-Normal7"/>
              <w:spacing w:before="0" w:after="0" w:line="256" w:lineRule="auto"/>
              <w:rPr>
                <w:rFonts w:eastAsia="Times New Roman"/>
                <w:noProof/>
              </w:rPr>
            </w:pPr>
            <w:r>
              <w:rPr>
                <w:noProof/>
              </w:rPr>
              <w:t>Jalon</w:t>
            </w:r>
          </w:p>
        </w:tc>
        <w:tc>
          <w:tcPr>
            <w:tcW w:w="1680" w:type="dxa"/>
            <w:shd w:val="clear" w:color="auto" w:fill="C6EFCE"/>
            <w:noWrap/>
            <w:hideMark/>
          </w:tcPr>
          <w:p w14:paraId="21F933D2" w14:textId="77777777" w:rsidR="003B6BD9" w:rsidRDefault="009E25E8">
            <w:pPr>
              <w:pStyle w:val="P68B1DB1-Normal7"/>
              <w:spacing w:before="0" w:after="0" w:line="256" w:lineRule="auto"/>
              <w:rPr>
                <w:rFonts w:eastAsia="Times New Roman"/>
                <w:noProof/>
              </w:rPr>
            </w:pPr>
            <w:r>
              <w:rPr>
                <w:noProof/>
              </w:rPr>
              <w:t xml:space="preserve">Entrée en vigueur de la loi sur la débureaucratisation </w:t>
            </w:r>
          </w:p>
        </w:tc>
        <w:tc>
          <w:tcPr>
            <w:tcW w:w="1920" w:type="dxa"/>
            <w:shd w:val="clear" w:color="auto" w:fill="C6EFCE"/>
            <w:noWrap/>
            <w:hideMark/>
          </w:tcPr>
          <w:p w14:paraId="7045B635" w14:textId="77777777" w:rsidR="003B6BD9" w:rsidRDefault="009E25E8">
            <w:pPr>
              <w:pStyle w:val="P68B1DB1-Normal7"/>
              <w:spacing w:before="0" w:after="0" w:line="256" w:lineRule="auto"/>
              <w:rPr>
                <w:rFonts w:eastAsia="Times New Roman"/>
                <w:noProof/>
              </w:rPr>
            </w:pPr>
            <w:r>
              <w:rPr>
                <w:noProof/>
              </w:rPr>
              <w:t xml:space="preserve">Disposition de la loi indiquant l’entrée en vigueur de la loi sur la débureaucratisation </w:t>
            </w:r>
          </w:p>
        </w:tc>
        <w:tc>
          <w:tcPr>
            <w:tcW w:w="1320" w:type="dxa"/>
            <w:shd w:val="clear" w:color="auto" w:fill="C6EFCE"/>
            <w:noWrap/>
            <w:hideMark/>
          </w:tcPr>
          <w:p w14:paraId="3D6C14ED" w14:textId="77777777" w:rsidR="003B6BD9" w:rsidRDefault="009E25E8">
            <w:pPr>
              <w:pStyle w:val="P68B1DB1-Normal7"/>
              <w:spacing w:before="0" w:after="0" w:line="256" w:lineRule="auto"/>
              <w:rPr>
                <w:rFonts w:eastAsia="Times New Roman"/>
                <w:noProof/>
              </w:rPr>
            </w:pPr>
            <w:r>
              <w:rPr>
                <w:noProof/>
              </w:rPr>
              <w:t> </w:t>
            </w:r>
          </w:p>
        </w:tc>
        <w:tc>
          <w:tcPr>
            <w:tcW w:w="1200" w:type="dxa"/>
            <w:shd w:val="clear" w:color="auto" w:fill="C6EFCE"/>
            <w:noWrap/>
            <w:hideMark/>
          </w:tcPr>
          <w:p w14:paraId="766BA3BB" w14:textId="77777777" w:rsidR="003B6BD9" w:rsidRDefault="009E25E8">
            <w:pPr>
              <w:pStyle w:val="P68B1DB1-Normal7"/>
              <w:spacing w:before="0" w:after="0" w:line="256" w:lineRule="auto"/>
              <w:rPr>
                <w:rFonts w:eastAsia="Times New Roman"/>
                <w:noProof/>
              </w:rPr>
            </w:pPr>
            <w:r>
              <w:rPr>
                <w:noProof/>
              </w:rPr>
              <w:t> </w:t>
            </w:r>
          </w:p>
        </w:tc>
        <w:tc>
          <w:tcPr>
            <w:tcW w:w="828" w:type="dxa"/>
            <w:shd w:val="clear" w:color="auto" w:fill="C6EFCE"/>
            <w:noWrap/>
            <w:hideMark/>
          </w:tcPr>
          <w:p w14:paraId="1A7542C2" w14:textId="77777777" w:rsidR="003B6BD9" w:rsidRDefault="009E25E8">
            <w:pPr>
              <w:pStyle w:val="P68B1DB1-Normal7"/>
              <w:spacing w:before="0" w:after="0" w:line="256" w:lineRule="auto"/>
              <w:rPr>
                <w:rFonts w:eastAsia="Times New Roman"/>
                <w:noProof/>
              </w:rPr>
            </w:pPr>
            <w:r>
              <w:rPr>
                <w:noProof/>
              </w:rPr>
              <w:t> </w:t>
            </w:r>
          </w:p>
        </w:tc>
        <w:tc>
          <w:tcPr>
            <w:tcW w:w="1358" w:type="dxa"/>
            <w:shd w:val="clear" w:color="auto" w:fill="C6EFCE"/>
            <w:noWrap/>
            <w:hideMark/>
          </w:tcPr>
          <w:p w14:paraId="1F8ECFD7" w14:textId="77777777" w:rsidR="003B6BD9" w:rsidRDefault="009E25E8">
            <w:pPr>
              <w:pStyle w:val="P68B1DB1-Normal7"/>
              <w:spacing w:before="0" w:after="0" w:line="256" w:lineRule="auto"/>
              <w:jc w:val="center"/>
              <w:rPr>
                <w:rFonts w:eastAsia="Times New Roman"/>
                <w:noProof/>
              </w:rPr>
            </w:pPr>
            <w:r>
              <w:rPr>
                <w:noProof/>
              </w:rPr>
              <w:t>T2</w:t>
            </w:r>
          </w:p>
        </w:tc>
        <w:tc>
          <w:tcPr>
            <w:tcW w:w="834" w:type="dxa"/>
            <w:shd w:val="clear" w:color="auto" w:fill="C6EFCE"/>
            <w:noWrap/>
            <w:hideMark/>
          </w:tcPr>
          <w:p w14:paraId="44C829E5" w14:textId="77777777" w:rsidR="003B6BD9" w:rsidRDefault="009E25E8">
            <w:pPr>
              <w:pStyle w:val="P68B1DB1-Normal7"/>
              <w:spacing w:before="0" w:after="0" w:line="256" w:lineRule="auto"/>
              <w:rPr>
                <w:rFonts w:eastAsia="Times New Roman"/>
                <w:noProof/>
              </w:rPr>
            </w:pPr>
            <w:r>
              <w:rPr>
                <w:noProof/>
              </w:rPr>
              <w:t>2021</w:t>
            </w:r>
          </w:p>
        </w:tc>
        <w:tc>
          <w:tcPr>
            <w:tcW w:w="2968" w:type="dxa"/>
            <w:shd w:val="clear" w:color="auto" w:fill="C6EFCE"/>
            <w:noWrap/>
            <w:hideMark/>
          </w:tcPr>
          <w:p w14:paraId="4DFC1846" w14:textId="77777777" w:rsidR="003B6BD9" w:rsidRDefault="009E25E8">
            <w:pPr>
              <w:pStyle w:val="P68B1DB1-Normal7"/>
              <w:spacing w:before="0" w:after="0" w:line="256" w:lineRule="auto"/>
              <w:rPr>
                <w:rFonts w:eastAsia="Times New Roman"/>
                <w:noProof/>
              </w:rPr>
            </w:pPr>
            <w:r>
              <w:rPr>
                <w:noProof/>
              </w:rPr>
              <w:t xml:space="preserve">La loi réduira les obstacles administratifs pour les entreprises et les citoyens, simplifiera la législation, rationalisera les procédures existantes et supprimera les procédures lourdes par des modifications et des ajouts aux lois couvrant plusieurs départements ministériels. </w:t>
            </w:r>
          </w:p>
          <w:p w14:paraId="5B3C065A" w14:textId="77777777" w:rsidR="003B6BD9" w:rsidRDefault="003B6BD9">
            <w:pPr>
              <w:spacing w:before="0" w:after="0" w:line="256" w:lineRule="auto"/>
              <w:rPr>
                <w:rFonts w:eastAsia="Times New Roman"/>
                <w:noProof/>
                <w:color w:val="006100"/>
                <w:sz w:val="18"/>
                <w:szCs w:val="18"/>
              </w:rPr>
            </w:pPr>
          </w:p>
          <w:p w14:paraId="28CC8B21" w14:textId="77777777" w:rsidR="003B6BD9" w:rsidRDefault="009E25E8">
            <w:pPr>
              <w:pStyle w:val="P68B1DB1-Normal7"/>
              <w:spacing w:before="0" w:after="0" w:line="256" w:lineRule="auto"/>
              <w:rPr>
                <w:rFonts w:eastAsia="Times New Roman"/>
                <w:noProof/>
              </w:rPr>
            </w:pPr>
            <w:r>
              <w:rPr>
                <w:noProof/>
              </w:rPr>
              <w:t>La loi devrait améliorer l’efficacité de l’administration nationale et locale.</w:t>
            </w:r>
          </w:p>
        </w:tc>
      </w:tr>
      <w:tr w:rsidR="003B6BD9" w14:paraId="0DBBC14E" w14:textId="77777777" w:rsidTr="006C1AFD">
        <w:trPr>
          <w:trHeight w:val="309"/>
          <w:jc w:val="center"/>
        </w:trPr>
        <w:tc>
          <w:tcPr>
            <w:tcW w:w="847" w:type="dxa"/>
            <w:shd w:val="clear" w:color="auto" w:fill="C6EFCE"/>
            <w:noWrap/>
            <w:hideMark/>
          </w:tcPr>
          <w:p w14:paraId="53AD27D1" w14:textId="77777777" w:rsidR="003B6BD9" w:rsidRDefault="009E25E8">
            <w:pPr>
              <w:pStyle w:val="P68B1DB1-Normal7"/>
              <w:spacing w:before="0" w:after="0" w:line="256" w:lineRule="auto"/>
              <w:rPr>
                <w:rFonts w:eastAsia="Times New Roman"/>
                <w:noProof/>
              </w:rPr>
            </w:pPr>
            <w:r>
              <w:rPr>
                <w:noProof/>
              </w:rPr>
              <w:t>172</w:t>
            </w:r>
          </w:p>
        </w:tc>
        <w:tc>
          <w:tcPr>
            <w:tcW w:w="1800" w:type="dxa"/>
            <w:shd w:val="clear" w:color="auto" w:fill="C6EFCE"/>
            <w:noWrap/>
            <w:hideMark/>
          </w:tcPr>
          <w:p w14:paraId="34DD6C1F" w14:textId="77777777" w:rsidR="003B6BD9" w:rsidRDefault="009E25E8">
            <w:pPr>
              <w:pStyle w:val="P68B1DB1-Normal7"/>
              <w:spacing w:before="0" w:after="0" w:line="256" w:lineRule="auto"/>
              <w:rPr>
                <w:rFonts w:eastAsia="Times New Roman"/>
                <w:noProof/>
              </w:rPr>
            </w:pPr>
            <w:r>
              <w:rPr>
                <w:noProof/>
              </w:rPr>
              <w:t>A: Supprimer les obstacles administratifs</w:t>
            </w:r>
          </w:p>
        </w:tc>
        <w:tc>
          <w:tcPr>
            <w:tcW w:w="1200" w:type="dxa"/>
            <w:shd w:val="clear" w:color="auto" w:fill="C6EFCE"/>
            <w:noWrap/>
            <w:hideMark/>
          </w:tcPr>
          <w:p w14:paraId="2D89AA05" w14:textId="77777777" w:rsidR="003B6BD9" w:rsidRDefault="009E25E8">
            <w:pPr>
              <w:pStyle w:val="P68B1DB1-Normal7"/>
              <w:spacing w:before="0" w:after="0" w:line="256" w:lineRule="auto"/>
              <w:rPr>
                <w:rFonts w:eastAsia="Times New Roman"/>
                <w:noProof/>
              </w:rPr>
            </w:pPr>
            <w:r>
              <w:rPr>
                <w:noProof/>
              </w:rPr>
              <w:t>Jalon</w:t>
            </w:r>
          </w:p>
        </w:tc>
        <w:tc>
          <w:tcPr>
            <w:tcW w:w="1680" w:type="dxa"/>
            <w:shd w:val="clear" w:color="auto" w:fill="C6EFCE"/>
            <w:noWrap/>
            <w:hideMark/>
          </w:tcPr>
          <w:p w14:paraId="154C439B" w14:textId="77777777" w:rsidR="003B6BD9" w:rsidRDefault="009E25E8">
            <w:pPr>
              <w:pStyle w:val="P68B1DB1-Normal7"/>
              <w:spacing w:before="0" w:after="0" w:line="256" w:lineRule="auto"/>
              <w:rPr>
                <w:rFonts w:eastAsia="Times New Roman"/>
                <w:noProof/>
              </w:rPr>
            </w:pPr>
            <w:r>
              <w:rPr>
                <w:noProof/>
              </w:rPr>
              <w:t xml:space="preserve">Entrée en vigueur de la deuxième loi de débureaucratisation </w:t>
            </w:r>
          </w:p>
        </w:tc>
        <w:tc>
          <w:tcPr>
            <w:tcW w:w="1920" w:type="dxa"/>
            <w:shd w:val="clear" w:color="auto" w:fill="C6EFCE"/>
            <w:noWrap/>
            <w:hideMark/>
          </w:tcPr>
          <w:p w14:paraId="29CA5738" w14:textId="77777777" w:rsidR="003B6BD9" w:rsidRDefault="009E25E8">
            <w:pPr>
              <w:pStyle w:val="P68B1DB1-Normal7"/>
              <w:spacing w:before="0" w:after="0" w:line="256" w:lineRule="auto"/>
              <w:rPr>
                <w:rFonts w:eastAsia="Times New Roman"/>
                <w:noProof/>
              </w:rPr>
            </w:pPr>
            <w:r>
              <w:rPr>
                <w:noProof/>
              </w:rPr>
              <w:t>Disposition de la loi indiquant l’entrée en vigueur de la deuxième loi de débureaucratisation</w:t>
            </w:r>
          </w:p>
        </w:tc>
        <w:tc>
          <w:tcPr>
            <w:tcW w:w="1320" w:type="dxa"/>
            <w:shd w:val="clear" w:color="auto" w:fill="C6EFCE"/>
            <w:noWrap/>
            <w:hideMark/>
          </w:tcPr>
          <w:p w14:paraId="5280C4E0" w14:textId="77777777" w:rsidR="003B6BD9" w:rsidRDefault="009E25E8">
            <w:pPr>
              <w:pStyle w:val="P68B1DB1-Normal7"/>
              <w:spacing w:before="0" w:after="0" w:line="256" w:lineRule="auto"/>
              <w:rPr>
                <w:rFonts w:eastAsia="Times New Roman"/>
                <w:noProof/>
              </w:rPr>
            </w:pPr>
            <w:r>
              <w:rPr>
                <w:noProof/>
              </w:rPr>
              <w:t> </w:t>
            </w:r>
          </w:p>
        </w:tc>
        <w:tc>
          <w:tcPr>
            <w:tcW w:w="1200" w:type="dxa"/>
            <w:shd w:val="clear" w:color="auto" w:fill="C6EFCE"/>
            <w:noWrap/>
            <w:hideMark/>
          </w:tcPr>
          <w:p w14:paraId="310DB4CB" w14:textId="77777777" w:rsidR="003B6BD9" w:rsidRDefault="009E25E8">
            <w:pPr>
              <w:pStyle w:val="P68B1DB1-Normal7"/>
              <w:spacing w:before="0" w:after="0" w:line="256" w:lineRule="auto"/>
              <w:jc w:val="right"/>
              <w:rPr>
                <w:rFonts w:eastAsia="Times New Roman"/>
                <w:noProof/>
              </w:rPr>
            </w:pPr>
            <w:r>
              <w:rPr>
                <w:noProof/>
              </w:rPr>
              <w:t> </w:t>
            </w:r>
          </w:p>
        </w:tc>
        <w:tc>
          <w:tcPr>
            <w:tcW w:w="828" w:type="dxa"/>
            <w:shd w:val="clear" w:color="auto" w:fill="C6EFCE"/>
            <w:noWrap/>
            <w:hideMark/>
          </w:tcPr>
          <w:p w14:paraId="75DDAD67" w14:textId="77777777" w:rsidR="003B6BD9" w:rsidRDefault="009E25E8">
            <w:pPr>
              <w:pStyle w:val="P68B1DB1-Normal7"/>
              <w:spacing w:before="0" w:after="0" w:line="256" w:lineRule="auto"/>
              <w:jc w:val="right"/>
              <w:rPr>
                <w:rFonts w:eastAsia="Times New Roman"/>
                <w:noProof/>
              </w:rPr>
            </w:pPr>
            <w:r>
              <w:rPr>
                <w:noProof/>
              </w:rPr>
              <w:t> </w:t>
            </w:r>
          </w:p>
        </w:tc>
        <w:tc>
          <w:tcPr>
            <w:tcW w:w="1358" w:type="dxa"/>
            <w:shd w:val="clear" w:color="auto" w:fill="C6EFCE"/>
            <w:noWrap/>
            <w:hideMark/>
          </w:tcPr>
          <w:p w14:paraId="54524A91" w14:textId="77777777" w:rsidR="003B6BD9" w:rsidRDefault="009E25E8">
            <w:pPr>
              <w:pStyle w:val="P68B1DB1-Normal7"/>
              <w:spacing w:before="0" w:after="0" w:line="256" w:lineRule="auto"/>
              <w:jc w:val="center"/>
              <w:rPr>
                <w:rFonts w:eastAsia="Times New Roman"/>
                <w:noProof/>
              </w:rPr>
            </w:pPr>
            <w:r>
              <w:rPr>
                <w:noProof/>
              </w:rPr>
              <w:t>T2</w:t>
            </w:r>
          </w:p>
        </w:tc>
        <w:tc>
          <w:tcPr>
            <w:tcW w:w="834" w:type="dxa"/>
            <w:shd w:val="clear" w:color="auto" w:fill="C6EFCE"/>
            <w:noWrap/>
            <w:hideMark/>
          </w:tcPr>
          <w:p w14:paraId="74038A25" w14:textId="77777777" w:rsidR="003B6BD9" w:rsidRDefault="009E25E8">
            <w:pPr>
              <w:pStyle w:val="P68B1DB1-Normal7"/>
              <w:spacing w:before="0" w:after="0" w:line="256" w:lineRule="auto"/>
              <w:jc w:val="center"/>
              <w:rPr>
                <w:rFonts w:eastAsia="Times New Roman"/>
                <w:noProof/>
              </w:rPr>
            </w:pPr>
            <w:r>
              <w:rPr>
                <w:noProof/>
              </w:rPr>
              <w:t>2022</w:t>
            </w:r>
          </w:p>
        </w:tc>
        <w:tc>
          <w:tcPr>
            <w:tcW w:w="2968" w:type="dxa"/>
            <w:shd w:val="clear" w:color="auto" w:fill="C6EFCE"/>
            <w:noWrap/>
            <w:hideMark/>
          </w:tcPr>
          <w:p w14:paraId="46D795BE" w14:textId="77777777" w:rsidR="003B6BD9" w:rsidRDefault="009E25E8">
            <w:pPr>
              <w:pStyle w:val="P68B1DB1-Normal7"/>
              <w:spacing w:before="0" w:after="0" w:line="256" w:lineRule="auto"/>
              <w:rPr>
                <w:rFonts w:eastAsia="Times New Roman"/>
                <w:noProof/>
              </w:rPr>
            </w:pPr>
            <w:r>
              <w:rPr>
                <w:noProof/>
              </w:rPr>
              <w:t>Le paquet législatif réduira encore les obstacles administratifs pour les entreprises et les citoyens à l’issue d’un processus de consultations publiques de grande envergure.</w:t>
            </w:r>
          </w:p>
          <w:p w14:paraId="57986DDE" w14:textId="293F8B76" w:rsidR="003B6BD9" w:rsidRDefault="009E25E8">
            <w:pPr>
              <w:pStyle w:val="P68B1DB1-Normal7"/>
              <w:spacing w:before="0" w:after="0" w:line="256" w:lineRule="auto"/>
              <w:rPr>
                <w:rFonts w:eastAsia="Times New Roman"/>
                <w:noProof/>
              </w:rPr>
            </w:pPr>
            <w:r>
              <w:rPr>
                <w:noProof/>
              </w:rPr>
              <w:t>La loi devrait améliorer l’efficacité de l’administration nationale et locale.</w:t>
            </w:r>
          </w:p>
        </w:tc>
      </w:tr>
      <w:tr w:rsidR="003B6BD9" w14:paraId="6BA6B331" w14:textId="77777777" w:rsidTr="006C1AFD">
        <w:trPr>
          <w:trHeight w:val="309"/>
          <w:jc w:val="center"/>
        </w:trPr>
        <w:tc>
          <w:tcPr>
            <w:tcW w:w="847" w:type="dxa"/>
            <w:shd w:val="clear" w:color="auto" w:fill="C6EFCE"/>
            <w:noWrap/>
            <w:hideMark/>
          </w:tcPr>
          <w:p w14:paraId="76F39723" w14:textId="6989D4F2" w:rsidR="003B6BD9" w:rsidRDefault="009E25E8">
            <w:pPr>
              <w:pStyle w:val="P68B1DB1-Normal7"/>
              <w:spacing w:before="0" w:after="0" w:line="256" w:lineRule="auto"/>
              <w:rPr>
                <w:rFonts w:eastAsia="Times New Roman"/>
                <w:noProof/>
              </w:rPr>
            </w:pPr>
            <w:r>
              <w:rPr>
                <w:noProof/>
              </w:rPr>
              <w:t>173</w:t>
            </w:r>
          </w:p>
        </w:tc>
        <w:tc>
          <w:tcPr>
            <w:tcW w:w="1800" w:type="dxa"/>
            <w:shd w:val="clear" w:color="auto" w:fill="C6EFCE"/>
            <w:noWrap/>
            <w:hideMark/>
          </w:tcPr>
          <w:p w14:paraId="79FA16B1" w14:textId="77777777" w:rsidR="003B6BD9" w:rsidRDefault="009E25E8">
            <w:pPr>
              <w:pStyle w:val="P68B1DB1-Normal7"/>
              <w:spacing w:before="0" w:after="0" w:line="256" w:lineRule="auto"/>
              <w:rPr>
                <w:rFonts w:eastAsia="Times New Roman"/>
                <w:noProof/>
              </w:rPr>
            </w:pPr>
            <w:r>
              <w:rPr>
                <w:noProof/>
              </w:rPr>
              <w:t>B: Un secteur public moderne et résilient</w:t>
            </w:r>
          </w:p>
        </w:tc>
        <w:tc>
          <w:tcPr>
            <w:tcW w:w="1200" w:type="dxa"/>
            <w:shd w:val="clear" w:color="auto" w:fill="C6EFCE"/>
            <w:noWrap/>
            <w:hideMark/>
          </w:tcPr>
          <w:p w14:paraId="0A45839C" w14:textId="77777777" w:rsidR="003B6BD9" w:rsidRDefault="009E25E8">
            <w:pPr>
              <w:pStyle w:val="P68B1DB1-Normal7"/>
              <w:spacing w:before="0" w:after="0" w:line="256" w:lineRule="auto"/>
              <w:rPr>
                <w:rFonts w:eastAsia="Times New Roman"/>
                <w:noProof/>
              </w:rPr>
            </w:pPr>
            <w:r>
              <w:rPr>
                <w:noProof/>
              </w:rPr>
              <w:t>Jalon</w:t>
            </w:r>
          </w:p>
        </w:tc>
        <w:tc>
          <w:tcPr>
            <w:tcW w:w="1680" w:type="dxa"/>
            <w:shd w:val="clear" w:color="auto" w:fill="C6EFCE"/>
            <w:noWrap/>
            <w:hideMark/>
          </w:tcPr>
          <w:p w14:paraId="27D69C2A" w14:textId="20F4DB60" w:rsidR="003B6BD9" w:rsidRDefault="009E25E8">
            <w:pPr>
              <w:pStyle w:val="P68B1DB1-Normal7"/>
              <w:spacing w:before="0" w:after="0" w:line="256" w:lineRule="auto"/>
              <w:rPr>
                <w:rFonts w:eastAsia="Times New Roman"/>
                <w:noProof/>
              </w:rPr>
            </w:pPr>
            <w:r>
              <w:rPr>
                <w:noProof/>
              </w:rPr>
              <w:t>Entrée en vigueur d’une loi régissant le système de rémunération dans le secteur public</w:t>
            </w:r>
          </w:p>
        </w:tc>
        <w:tc>
          <w:tcPr>
            <w:tcW w:w="1920" w:type="dxa"/>
            <w:shd w:val="clear" w:color="auto" w:fill="C6EFCE"/>
            <w:noWrap/>
            <w:hideMark/>
          </w:tcPr>
          <w:p w14:paraId="6F31BC57" w14:textId="77777777" w:rsidR="003B6BD9" w:rsidRDefault="009E25E8">
            <w:pPr>
              <w:pStyle w:val="P68B1DB1-Normal7"/>
              <w:spacing w:before="0" w:after="0" w:line="256" w:lineRule="auto"/>
              <w:rPr>
                <w:rFonts w:eastAsia="Times New Roman"/>
                <w:noProof/>
              </w:rPr>
            </w:pPr>
            <w:r>
              <w:rPr>
                <w:noProof/>
              </w:rPr>
              <w:t xml:space="preserve">Disposition de la loi indiquant l’entrée en vigueur d’une loi régissant le système de rémunération dans le secteur public </w:t>
            </w:r>
          </w:p>
        </w:tc>
        <w:tc>
          <w:tcPr>
            <w:tcW w:w="1320" w:type="dxa"/>
            <w:shd w:val="clear" w:color="auto" w:fill="C6EFCE"/>
            <w:noWrap/>
            <w:hideMark/>
          </w:tcPr>
          <w:p w14:paraId="62134193" w14:textId="77777777" w:rsidR="003B6BD9" w:rsidRDefault="009E25E8">
            <w:pPr>
              <w:pStyle w:val="P68B1DB1-Normal7"/>
              <w:spacing w:before="0" w:after="0" w:line="256" w:lineRule="auto"/>
              <w:rPr>
                <w:rFonts w:eastAsia="Times New Roman"/>
                <w:noProof/>
              </w:rPr>
            </w:pPr>
            <w:r>
              <w:rPr>
                <w:noProof/>
              </w:rPr>
              <w:t> </w:t>
            </w:r>
          </w:p>
        </w:tc>
        <w:tc>
          <w:tcPr>
            <w:tcW w:w="1200" w:type="dxa"/>
            <w:shd w:val="clear" w:color="auto" w:fill="C6EFCE"/>
            <w:noWrap/>
            <w:hideMark/>
          </w:tcPr>
          <w:p w14:paraId="17C79ADE" w14:textId="77777777" w:rsidR="003B6BD9" w:rsidRDefault="009E25E8">
            <w:pPr>
              <w:pStyle w:val="P68B1DB1-Normal7"/>
              <w:spacing w:before="0" w:after="0" w:line="256" w:lineRule="auto"/>
              <w:rPr>
                <w:rFonts w:eastAsia="Times New Roman"/>
                <w:noProof/>
              </w:rPr>
            </w:pPr>
            <w:r>
              <w:rPr>
                <w:noProof/>
              </w:rPr>
              <w:t> </w:t>
            </w:r>
          </w:p>
        </w:tc>
        <w:tc>
          <w:tcPr>
            <w:tcW w:w="828" w:type="dxa"/>
            <w:shd w:val="clear" w:color="auto" w:fill="C6EFCE"/>
            <w:noWrap/>
            <w:hideMark/>
          </w:tcPr>
          <w:p w14:paraId="5F8CF0CB" w14:textId="77777777" w:rsidR="003B6BD9" w:rsidRDefault="009E25E8">
            <w:pPr>
              <w:pStyle w:val="P68B1DB1-Normal7"/>
              <w:spacing w:before="0" w:after="0" w:line="256" w:lineRule="auto"/>
              <w:rPr>
                <w:rFonts w:eastAsia="Times New Roman"/>
                <w:noProof/>
              </w:rPr>
            </w:pPr>
            <w:r>
              <w:rPr>
                <w:noProof/>
              </w:rPr>
              <w:t> </w:t>
            </w:r>
          </w:p>
        </w:tc>
        <w:tc>
          <w:tcPr>
            <w:tcW w:w="1358" w:type="dxa"/>
            <w:shd w:val="clear" w:color="auto" w:fill="C6EFCE"/>
            <w:noWrap/>
            <w:hideMark/>
          </w:tcPr>
          <w:p w14:paraId="3CFE73CA" w14:textId="77777777" w:rsidR="003B6BD9" w:rsidRDefault="009E25E8">
            <w:pPr>
              <w:pStyle w:val="P68B1DB1-Normal7"/>
              <w:spacing w:before="0" w:after="0" w:line="256" w:lineRule="auto"/>
              <w:jc w:val="center"/>
              <w:rPr>
                <w:rFonts w:eastAsia="Times New Roman"/>
                <w:noProof/>
              </w:rPr>
            </w:pPr>
            <w:r>
              <w:rPr>
                <w:noProof/>
              </w:rPr>
              <w:t>T2</w:t>
            </w:r>
          </w:p>
        </w:tc>
        <w:tc>
          <w:tcPr>
            <w:tcW w:w="834" w:type="dxa"/>
            <w:shd w:val="clear" w:color="auto" w:fill="C6EFCE"/>
            <w:noWrap/>
            <w:hideMark/>
          </w:tcPr>
          <w:p w14:paraId="08ACD046" w14:textId="04C93CA0" w:rsidR="003B6BD9" w:rsidRDefault="009E25E8">
            <w:pPr>
              <w:pStyle w:val="P68B1DB1-Normal7"/>
              <w:spacing w:before="0" w:after="0" w:line="256" w:lineRule="auto"/>
              <w:jc w:val="center"/>
              <w:rPr>
                <w:rFonts w:eastAsia="Times New Roman"/>
                <w:noProof/>
              </w:rPr>
            </w:pPr>
            <w:r>
              <w:rPr>
                <w:noProof/>
              </w:rPr>
              <w:t>2024</w:t>
            </w:r>
          </w:p>
        </w:tc>
        <w:tc>
          <w:tcPr>
            <w:tcW w:w="2968" w:type="dxa"/>
            <w:shd w:val="clear" w:color="auto" w:fill="C6EFCE"/>
            <w:noWrap/>
            <w:hideMark/>
          </w:tcPr>
          <w:p w14:paraId="68BEB045" w14:textId="77777777" w:rsidR="003B6BD9" w:rsidRDefault="009E25E8">
            <w:pPr>
              <w:pStyle w:val="P68B1DB1-Normal7"/>
              <w:spacing w:before="0" w:after="0" w:line="256" w:lineRule="auto"/>
              <w:rPr>
                <w:rFonts w:eastAsia="Times New Roman"/>
                <w:noProof/>
              </w:rPr>
            </w:pPr>
            <w:r>
              <w:rPr>
                <w:noProof/>
              </w:rPr>
              <w:t>Le nouveau système de rémunération du secteur public comprend des dispositions relatives à la rémunération variable et à l’établissement d’un lien entre la rémunération et les résultats en matière d’emploi.</w:t>
            </w:r>
          </w:p>
          <w:p w14:paraId="3C0D774E" w14:textId="638396BB" w:rsidR="003B6BD9" w:rsidRDefault="009E25E8">
            <w:pPr>
              <w:pStyle w:val="P68B1DB1-Normal7"/>
              <w:spacing w:before="0" w:after="0" w:line="256" w:lineRule="auto"/>
              <w:rPr>
                <w:rFonts w:eastAsia="Times New Roman"/>
                <w:noProof/>
              </w:rPr>
            </w:pPr>
            <w:r>
              <w:rPr>
                <w:noProof/>
              </w:rPr>
              <w:t>Le nouveau système de rémunération du secteur public doit être viable sur le plan budgétaire.</w:t>
            </w:r>
          </w:p>
        </w:tc>
      </w:tr>
      <w:tr w:rsidR="003B6BD9" w14:paraId="682D7C45" w14:textId="77777777" w:rsidTr="006C1AFD">
        <w:trPr>
          <w:trHeight w:val="309"/>
          <w:jc w:val="center"/>
        </w:trPr>
        <w:tc>
          <w:tcPr>
            <w:tcW w:w="847" w:type="dxa"/>
            <w:shd w:val="clear" w:color="auto" w:fill="C6EFCE"/>
            <w:noWrap/>
            <w:hideMark/>
          </w:tcPr>
          <w:p w14:paraId="7535400E" w14:textId="77777777" w:rsidR="003B6BD9" w:rsidRDefault="009E25E8">
            <w:pPr>
              <w:pStyle w:val="P68B1DB1-Normal7"/>
              <w:spacing w:before="0" w:after="0" w:line="256" w:lineRule="auto"/>
              <w:rPr>
                <w:rFonts w:eastAsia="Times New Roman"/>
                <w:noProof/>
              </w:rPr>
            </w:pPr>
            <w:r>
              <w:rPr>
                <w:noProof/>
              </w:rPr>
              <w:t>174</w:t>
            </w:r>
          </w:p>
        </w:tc>
        <w:tc>
          <w:tcPr>
            <w:tcW w:w="1800" w:type="dxa"/>
            <w:shd w:val="clear" w:color="auto" w:fill="C6EFCE"/>
            <w:noWrap/>
            <w:hideMark/>
          </w:tcPr>
          <w:p w14:paraId="16E75099" w14:textId="77777777" w:rsidR="003B6BD9" w:rsidRDefault="009E25E8">
            <w:pPr>
              <w:pStyle w:val="P68B1DB1-Normal7"/>
              <w:spacing w:before="0" w:after="0" w:line="256" w:lineRule="auto"/>
              <w:rPr>
                <w:rFonts w:eastAsia="Times New Roman"/>
                <w:noProof/>
              </w:rPr>
            </w:pPr>
            <w:r>
              <w:rPr>
                <w:noProof/>
              </w:rPr>
              <w:t>C: Créer des conditions systémiques propices à la croissance des investissements</w:t>
            </w:r>
          </w:p>
        </w:tc>
        <w:tc>
          <w:tcPr>
            <w:tcW w:w="1200" w:type="dxa"/>
            <w:shd w:val="clear" w:color="auto" w:fill="C6EFCE"/>
            <w:noWrap/>
            <w:hideMark/>
          </w:tcPr>
          <w:p w14:paraId="430BCCA2" w14:textId="77777777" w:rsidR="003B6BD9" w:rsidRDefault="009E25E8">
            <w:pPr>
              <w:pStyle w:val="P68B1DB1-Normal7"/>
              <w:spacing w:before="0" w:after="0" w:line="256" w:lineRule="auto"/>
              <w:rPr>
                <w:rFonts w:eastAsia="Times New Roman"/>
                <w:noProof/>
              </w:rPr>
            </w:pPr>
            <w:r>
              <w:rPr>
                <w:noProof/>
              </w:rPr>
              <w:t>Jalon</w:t>
            </w:r>
          </w:p>
        </w:tc>
        <w:tc>
          <w:tcPr>
            <w:tcW w:w="1680" w:type="dxa"/>
            <w:shd w:val="clear" w:color="auto" w:fill="C6EFCE"/>
            <w:noWrap/>
            <w:hideMark/>
          </w:tcPr>
          <w:p w14:paraId="36B62E88" w14:textId="77777777" w:rsidR="003B6BD9" w:rsidRDefault="009E25E8">
            <w:pPr>
              <w:pStyle w:val="P68B1DB1-Normal7"/>
              <w:spacing w:before="0" w:after="0" w:line="256" w:lineRule="auto"/>
              <w:rPr>
                <w:rFonts w:eastAsia="Times New Roman"/>
                <w:noProof/>
              </w:rPr>
            </w:pPr>
            <w:r>
              <w:rPr>
                <w:noProof/>
              </w:rPr>
              <w:t>Entrée en vigueur de la modification de la loi sur les marchés publics</w:t>
            </w:r>
          </w:p>
        </w:tc>
        <w:tc>
          <w:tcPr>
            <w:tcW w:w="1920" w:type="dxa"/>
            <w:shd w:val="clear" w:color="auto" w:fill="C6EFCE"/>
            <w:noWrap/>
            <w:hideMark/>
          </w:tcPr>
          <w:p w14:paraId="0623DC6B" w14:textId="77777777" w:rsidR="003B6BD9" w:rsidRDefault="009E25E8">
            <w:pPr>
              <w:pStyle w:val="P68B1DB1-Normal7"/>
              <w:spacing w:before="0" w:after="0" w:line="256" w:lineRule="auto"/>
              <w:rPr>
                <w:rFonts w:eastAsia="Times New Roman"/>
                <w:noProof/>
              </w:rPr>
            </w:pPr>
            <w:r>
              <w:rPr>
                <w:noProof/>
              </w:rPr>
              <w:t>Disposition de la loi indiquant l’entrée en vigueur de la modification de la loi sur les marchés publics</w:t>
            </w:r>
          </w:p>
        </w:tc>
        <w:tc>
          <w:tcPr>
            <w:tcW w:w="1320" w:type="dxa"/>
            <w:shd w:val="clear" w:color="auto" w:fill="C6EFCE"/>
            <w:noWrap/>
            <w:hideMark/>
          </w:tcPr>
          <w:p w14:paraId="28CBB383" w14:textId="77777777" w:rsidR="003B6BD9" w:rsidRDefault="009E25E8">
            <w:pPr>
              <w:pStyle w:val="P68B1DB1-Normal7"/>
              <w:spacing w:before="0" w:after="0" w:line="256" w:lineRule="auto"/>
              <w:rPr>
                <w:rFonts w:eastAsia="Times New Roman"/>
                <w:noProof/>
              </w:rPr>
            </w:pPr>
            <w:r>
              <w:rPr>
                <w:noProof/>
              </w:rPr>
              <w:t> </w:t>
            </w:r>
          </w:p>
        </w:tc>
        <w:tc>
          <w:tcPr>
            <w:tcW w:w="1200" w:type="dxa"/>
            <w:shd w:val="clear" w:color="auto" w:fill="C6EFCE"/>
            <w:noWrap/>
            <w:hideMark/>
          </w:tcPr>
          <w:p w14:paraId="29B27CBC" w14:textId="77777777" w:rsidR="003B6BD9" w:rsidRDefault="009E25E8">
            <w:pPr>
              <w:pStyle w:val="P68B1DB1-Normal7"/>
              <w:spacing w:before="0" w:after="0" w:line="256" w:lineRule="auto"/>
              <w:rPr>
                <w:rFonts w:eastAsia="Times New Roman"/>
                <w:noProof/>
              </w:rPr>
            </w:pPr>
            <w:r>
              <w:rPr>
                <w:noProof/>
              </w:rPr>
              <w:t> </w:t>
            </w:r>
          </w:p>
        </w:tc>
        <w:tc>
          <w:tcPr>
            <w:tcW w:w="828" w:type="dxa"/>
            <w:shd w:val="clear" w:color="auto" w:fill="C6EFCE"/>
            <w:noWrap/>
            <w:hideMark/>
          </w:tcPr>
          <w:p w14:paraId="3F681176" w14:textId="77777777" w:rsidR="003B6BD9" w:rsidRDefault="009E25E8">
            <w:pPr>
              <w:pStyle w:val="P68B1DB1-Normal7"/>
              <w:spacing w:before="0" w:after="0" w:line="256" w:lineRule="auto"/>
              <w:rPr>
                <w:rFonts w:eastAsia="Times New Roman"/>
                <w:noProof/>
              </w:rPr>
            </w:pPr>
            <w:r>
              <w:rPr>
                <w:noProof/>
              </w:rPr>
              <w:t> </w:t>
            </w:r>
          </w:p>
        </w:tc>
        <w:tc>
          <w:tcPr>
            <w:tcW w:w="1358" w:type="dxa"/>
            <w:shd w:val="clear" w:color="auto" w:fill="C6EFCE"/>
            <w:noWrap/>
            <w:hideMark/>
          </w:tcPr>
          <w:p w14:paraId="1672BB8E" w14:textId="77777777" w:rsidR="003B6BD9" w:rsidRDefault="009E25E8">
            <w:pPr>
              <w:pStyle w:val="P68B1DB1-Normal7"/>
              <w:spacing w:before="0" w:after="0" w:line="256" w:lineRule="auto"/>
              <w:jc w:val="center"/>
              <w:rPr>
                <w:rFonts w:eastAsia="Times New Roman"/>
                <w:noProof/>
              </w:rPr>
            </w:pPr>
            <w:r>
              <w:rPr>
                <w:noProof/>
              </w:rPr>
              <w:t>T4</w:t>
            </w:r>
          </w:p>
        </w:tc>
        <w:tc>
          <w:tcPr>
            <w:tcW w:w="834" w:type="dxa"/>
            <w:shd w:val="clear" w:color="auto" w:fill="C6EFCE"/>
            <w:noWrap/>
            <w:hideMark/>
          </w:tcPr>
          <w:p w14:paraId="4A91E857" w14:textId="77777777" w:rsidR="003B6BD9" w:rsidRDefault="009E25E8">
            <w:pPr>
              <w:pStyle w:val="P68B1DB1-Normal7"/>
              <w:spacing w:before="0" w:after="0" w:line="256" w:lineRule="auto"/>
              <w:jc w:val="center"/>
              <w:rPr>
                <w:rFonts w:eastAsia="Times New Roman"/>
                <w:noProof/>
              </w:rPr>
            </w:pPr>
            <w:r>
              <w:rPr>
                <w:noProof/>
              </w:rPr>
              <w:t>2021</w:t>
            </w:r>
          </w:p>
        </w:tc>
        <w:tc>
          <w:tcPr>
            <w:tcW w:w="2968" w:type="dxa"/>
            <w:shd w:val="clear" w:color="auto" w:fill="C6EFCE"/>
            <w:noWrap/>
            <w:hideMark/>
          </w:tcPr>
          <w:p w14:paraId="5A8B1C75" w14:textId="048BBAB7" w:rsidR="003B6BD9" w:rsidRDefault="009E25E8">
            <w:pPr>
              <w:pStyle w:val="P68B1DB1-Normal7"/>
              <w:spacing w:line="252" w:lineRule="auto"/>
              <w:rPr>
                <w:rFonts w:eastAsia="Times New Roman"/>
                <w:noProof/>
              </w:rPr>
            </w:pPr>
            <w:r>
              <w:rPr>
                <w:noProof/>
              </w:rPr>
              <w:t>La loi sur les marchés publics prévoit, entre autres, la simplification des procédures permettant de compléter et de clarifier les offres lors de la sélection des soumissionnaires, ainsi que l’élimination des offres anormalement basses.</w:t>
            </w:r>
          </w:p>
          <w:p w14:paraId="29381940" w14:textId="4A3A650A" w:rsidR="003B6BD9" w:rsidRDefault="009E25E8">
            <w:pPr>
              <w:pStyle w:val="P68B1DB1-Normal7"/>
              <w:spacing w:after="0" w:line="252" w:lineRule="auto"/>
              <w:rPr>
                <w:rFonts w:eastAsia="Times New Roman"/>
                <w:noProof/>
              </w:rPr>
            </w:pPr>
            <w:r>
              <w:rPr>
                <w:noProof/>
              </w:rPr>
              <w:t>Elle vise à assurer la transformation numérique des marchés publics, à accroître la concurrence dans les procédures de passation de marchés publics et à réduire le nombre d’offres uniques.</w:t>
            </w:r>
          </w:p>
        </w:tc>
      </w:tr>
      <w:tr w:rsidR="003B6BD9" w14:paraId="24EFB60E" w14:textId="77777777" w:rsidTr="006C1AFD">
        <w:trPr>
          <w:trHeight w:val="309"/>
          <w:jc w:val="center"/>
        </w:trPr>
        <w:tc>
          <w:tcPr>
            <w:tcW w:w="847" w:type="dxa"/>
            <w:shd w:val="clear" w:color="auto" w:fill="C6EFCE"/>
            <w:noWrap/>
          </w:tcPr>
          <w:p w14:paraId="340562F8" w14:textId="77777777" w:rsidR="003B6BD9" w:rsidRDefault="009E25E8">
            <w:pPr>
              <w:pStyle w:val="P68B1DB1-Normal7"/>
              <w:spacing w:before="0" w:after="0" w:line="256" w:lineRule="auto"/>
              <w:rPr>
                <w:rFonts w:eastAsia="Times New Roman"/>
                <w:noProof/>
              </w:rPr>
            </w:pPr>
            <w:r>
              <w:rPr>
                <w:noProof/>
              </w:rPr>
              <w:t>175</w:t>
            </w:r>
          </w:p>
        </w:tc>
        <w:tc>
          <w:tcPr>
            <w:tcW w:w="1800" w:type="dxa"/>
            <w:shd w:val="clear" w:color="auto" w:fill="C6EFCE"/>
            <w:noWrap/>
          </w:tcPr>
          <w:p w14:paraId="4DB2A041" w14:textId="77777777" w:rsidR="003B6BD9" w:rsidRDefault="009E25E8">
            <w:pPr>
              <w:pStyle w:val="P68B1DB1-Normal7"/>
              <w:spacing w:before="0" w:after="0" w:line="256" w:lineRule="auto"/>
              <w:rPr>
                <w:rFonts w:eastAsia="Times New Roman"/>
                <w:noProof/>
              </w:rPr>
            </w:pPr>
            <w:r>
              <w:rPr>
                <w:noProof/>
              </w:rPr>
              <w:t>C: Créer des conditions systémiques propices à la croissance des investissements</w:t>
            </w:r>
          </w:p>
        </w:tc>
        <w:tc>
          <w:tcPr>
            <w:tcW w:w="1200" w:type="dxa"/>
            <w:shd w:val="clear" w:color="auto" w:fill="C6EFCE"/>
            <w:noWrap/>
          </w:tcPr>
          <w:p w14:paraId="58BAC77C" w14:textId="77777777" w:rsidR="003B6BD9" w:rsidRDefault="009E25E8">
            <w:pPr>
              <w:pStyle w:val="P68B1DB1-Normal7"/>
              <w:spacing w:before="0" w:after="0" w:line="256" w:lineRule="auto"/>
              <w:rPr>
                <w:rFonts w:eastAsia="Times New Roman"/>
                <w:noProof/>
              </w:rPr>
            </w:pPr>
            <w:r>
              <w:rPr>
                <w:noProof/>
              </w:rPr>
              <w:t>Cible</w:t>
            </w:r>
          </w:p>
        </w:tc>
        <w:tc>
          <w:tcPr>
            <w:tcW w:w="1680" w:type="dxa"/>
            <w:shd w:val="clear" w:color="auto" w:fill="C6EFCE"/>
            <w:noWrap/>
          </w:tcPr>
          <w:p w14:paraId="1083D324" w14:textId="0832A744" w:rsidR="003B6BD9" w:rsidRDefault="009E25E8">
            <w:pPr>
              <w:pStyle w:val="P68B1DB1-Normal7"/>
              <w:spacing w:before="0" w:after="0" w:line="256" w:lineRule="auto"/>
              <w:rPr>
                <w:rFonts w:eastAsia="Times New Roman"/>
                <w:noProof/>
              </w:rPr>
            </w:pPr>
            <w:r>
              <w:rPr>
                <w:noProof/>
              </w:rPr>
              <w:t xml:space="preserve">Indicateur de non-appel d’offres </w:t>
            </w:r>
          </w:p>
        </w:tc>
        <w:tc>
          <w:tcPr>
            <w:tcW w:w="1920" w:type="dxa"/>
            <w:shd w:val="clear" w:color="auto" w:fill="C6EFCE"/>
            <w:noWrap/>
          </w:tcPr>
          <w:p w14:paraId="2C47BF8E" w14:textId="77777777" w:rsidR="003B6BD9" w:rsidRDefault="003B6BD9">
            <w:pPr>
              <w:spacing w:before="0" w:after="0" w:line="256" w:lineRule="auto"/>
              <w:rPr>
                <w:rFonts w:eastAsia="Times New Roman"/>
                <w:noProof/>
                <w:color w:val="006100"/>
                <w:sz w:val="18"/>
                <w:szCs w:val="18"/>
              </w:rPr>
            </w:pPr>
          </w:p>
        </w:tc>
        <w:tc>
          <w:tcPr>
            <w:tcW w:w="1320" w:type="dxa"/>
            <w:shd w:val="clear" w:color="auto" w:fill="C6EFCE"/>
            <w:noWrap/>
          </w:tcPr>
          <w:p w14:paraId="578C7C42" w14:textId="77777777" w:rsidR="003B6BD9" w:rsidRDefault="009E25E8">
            <w:pPr>
              <w:pStyle w:val="P68B1DB1-Normal7"/>
              <w:spacing w:before="0" w:after="0" w:line="256" w:lineRule="auto"/>
              <w:rPr>
                <w:rFonts w:eastAsia="Times New Roman"/>
                <w:noProof/>
              </w:rPr>
            </w:pPr>
            <w:r>
              <w:rPr>
                <w:noProof/>
              </w:rPr>
              <w:t>% (pourcentage)</w:t>
            </w:r>
          </w:p>
        </w:tc>
        <w:tc>
          <w:tcPr>
            <w:tcW w:w="1200" w:type="dxa"/>
            <w:shd w:val="clear" w:color="auto" w:fill="C6EFCE"/>
            <w:noWrap/>
          </w:tcPr>
          <w:p w14:paraId="4387C95E" w14:textId="77777777" w:rsidR="003B6BD9" w:rsidRDefault="009E25E8">
            <w:pPr>
              <w:pStyle w:val="P68B1DB1-Normal7"/>
              <w:spacing w:before="0" w:after="0" w:line="256" w:lineRule="auto"/>
              <w:rPr>
                <w:rFonts w:eastAsia="Times New Roman"/>
                <w:noProof/>
              </w:rPr>
            </w:pPr>
            <w:r>
              <w:rPr>
                <w:noProof/>
              </w:rPr>
              <w:t>26</w:t>
            </w:r>
          </w:p>
        </w:tc>
        <w:tc>
          <w:tcPr>
            <w:tcW w:w="828" w:type="dxa"/>
            <w:shd w:val="clear" w:color="auto" w:fill="C6EFCE"/>
            <w:noWrap/>
          </w:tcPr>
          <w:p w14:paraId="4B44E960" w14:textId="77777777" w:rsidR="003B6BD9" w:rsidRDefault="009E25E8">
            <w:pPr>
              <w:pStyle w:val="P68B1DB1-Normal7"/>
              <w:spacing w:before="0" w:after="0" w:line="256" w:lineRule="auto"/>
              <w:rPr>
                <w:rFonts w:eastAsia="Times New Roman"/>
                <w:noProof/>
              </w:rPr>
            </w:pPr>
            <w:r>
              <w:rPr>
                <w:noProof/>
              </w:rPr>
              <w:t>14</w:t>
            </w:r>
          </w:p>
        </w:tc>
        <w:tc>
          <w:tcPr>
            <w:tcW w:w="1358" w:type="dxa"/>
            <w:shd w:val="clear" w:color="auto" w:fill="C6EFCE"/>
            <w:noWrap/>
          </w:tcPr>
          <w:p w14:paraId="2DB9D3A1" w14:textId="77777777" w:rsidR="003B6BD9" w:rsidRDefault="009E25E8">
            <w:pPr>
              <w:pStyle w:val="P68B1DB1-Normal7"/>
              <w:spacing w:before="0" w:after="0" w:line="256" w:lineRule="auto"/>
              <w:jc w:val="center"/>
              <w:rPr>
                <w:rFonts w:eastAsia="Times New Roman"/>
                <w:noProof/>
              </w:rPr>
            </w:pPr>
            <w:r>
              <w:rPr>
                <w:noProof/>
              </w:rPr>
              <w:t>T4</w:t>
            </w:r>
          </w:p>
        </w:tc>
        <w:tc>
          <w:tcPr>
            <w:tcW w:w="834" w:type="dxa"/>
            <w:shd w:val="clear" w:color="auto" w:fill="C6EFCE"/>
            <w:noWrap/>
          </w:tcPr>
          <w:p w14:paraId="4CF89377" w14:textId="77777777" w:rsidR="003B6BD9" w:rsidRDefault="009E25E8">
            <w:pPr>
              <w:pStyle w:val="P68B1DB1-Normal7"/>
              <w:spacing w:before="0" w:after="0" w:line="256" w:lineRule="auto"/>
              <w:jc w:val="center"/>
              <w:rPr>
                <w:rFonts w:eastAsia="Times New Roman"/>
                <w:noProof/>
              </w:rPr>
            </w:pPr>
            <w:r>
              <w:rPr>
                <w:noProof/>
              </w:rPr>
              <w:t>2024</w:t>
            </w:r>
          </w:p>
        </w:tc>
        <w:tc>
          <w:tcPr>
            <w:tcW w:w="2968" w:type="dxa"/>
            <w:shd w:val="clear" w:color="auto" w:fill="C6EFCE"/>
            <w:noWrap/>
          </w:tcPr>
          <w:p w14:paraId="773E1D1C" w14:textId="4F1992BA" w:rsidR="003B6BD9" w:rsidRDefault="009E25E8">
            <w:pPr>
              <w:pStyle w:val="P68B1DB1-Normal7"/>
              <w:spacing w:before="0" w:after="0" w:line="256" w:lineRule="auto"/>
              <w:rPr>
                <w:rFonts w:eastAsia="Times New Roman"/>
                <w:noProof/>
              </w:rPr>
            </w:pPr>
            <w:r>
              <w:rPr>
                <w:noProof/>
              </w:rPr>
              <w:t xml:space="preserve">L’indicateur du tableau d’affichage du marché unique et de la compétitivité relatif à l’ «absence d’appels d’offres» est réduit à 14 %. </w:t>
            </w:r>
          </w:p>
        </w:tc>
      </w:tr>
      <w:tr w:rsidR="003B6BD9" w14:paraId="75F952E5" w14:textId="77777777" w:rsidTr="006C1AFD">
        <w:trPr>
          <w:trHeight w:val="309"/>
          <w:jc w:val="center"/>
        </w:trPr>
        <w:tc>
          <w:tcPr>
            <w:tcW w:w="847" w:type="dxa"/>
            <w:shd w:val="clear" w:color="auto" w:fill="C6EFCE"/>
            <w:noWrap/>
          </w:tcPr>
          <w:p w14:paraId="1B280CBB" w14:textId="77777777" w:rsidR="003B6BD9" w:rsidRDefault="009E25E8">
            <w:pPr>
              <w:pStyle w:val="P68B1DB1-Normal7"/>
              <w:spacing w:before="0" w:after="0" w:line="256" w:lineRule="auto"/>
              <w:rPr>
                <w:rFonts w:eastAsia="Times New Roman"/>
                <w:noProof/>
              </w:rPr>
            </w:pPr>
            <w:r>
              <w:rPr>
                <w:noProof/>
              </w:rPr>
              <w:t>176</w:t>
            </w:r>
          </w:p>
        </w:tc>
        <w:tc>
          <w:tcPr>
            <w:tcW w:w="1800" w:type="dxa"/>
            <w:shd w:val="clear" w:color="auto" w:fill="C6EFCE"/>
            <w:noWrap/>
          </w:tcPr>
          <w:p w14:paraId="6A7D2D02" w14:textId="77777777" w:rsidR="003B6BD9" w:rsidRDefault="009E25E8">
            <w:pPr>
              <w:pStyle w:val="P68B1DB1-Normal7"/>
              <w:spacing w:before="0" w:after="0" w:line="256" w:lineRule="auto"/>
              <w:rPr>
                <w:rFonts w:eastAsia="Times New Roman"/>
                <w:noProof/>
              </w:rPr>
            </w:pPr>
            <w:r>
              <w:rPr>
                <w:noProof/>
              </w:rPr>
              <w:t>C: Créer des conditions systémiques propices à la croissance des investissements</w:t>
            </w:r>
          </w:p>
        </w:tc>
        <w:tc>
          <w:tcPr>
            <w:tcW w:w="1200" w:type="dxa"/>
            <w:shd w:val="clear" w:color="auto" w:fill="C6EFCE"/>
            <w:noWrap/>
          </w:tcPr>
          <w:p w14:paraId="5F34A614" w14:textId="77777777" w:rsidR="003B6BD9" w:rsidRDefault="009E25E8">
            <w:pPr>
              <w:pStyle w:val="P68B1DB1-Normal7"/>
              <w:spacing w:before="0" w:after="0" w:line="256" w:lineRule="auto"/>
              <w:rPr>
                <w:rFonts w:eastAsia="Times New Roman"/>
                <w:noProof/>
              </w:rPr>
            </w:pPr>
            <w:r>
              <w:rPr>
                <w:noProof/>
              </w:rPr>
              <w:t>Jalon</w:t>
            </w:r>
          </w:p>
        </w:tc>
        <w:tc>
          <w:tcPr>
            <w:tcW w:w="1680" w:type="dxa"/>
            <w:shd w:val="clear" w:color="auto" w:fill="C6EFCE"/>
            <w:noWrap/>
          </w:tcPr>
          <w:p w14:paraId="01D42CE1" w14:textId="77777777" w:rsidR="003B6BD9" w:rsidRDefault="009E25E8">
            <w:pPr>
              <w:pStyle w:val="P68B1DB1-Normal7"/>
              <w:spacing w:before="0" w:after="0" w:line="256" w:lineRule="auto"/>
              <w:rPr>
                <w:rFonts w:eastAsia="Times New Roman"/>
                <w:noProof/>
              </w:rPr>
            </w:pPr>
            <w:r>
              <w:rPr>
                <w:noProof/>
              </w:rPr>
              <w:t>Assistance technique achevée pour soutenir la mise en œuvre des réformes des marchés publics</w:t>
            </w:r>
          </w:p>
        </w:tc>
        <w:tc>
          <w:tcPr>
            <w:tcW w:w="1920" w:type="dxa"/>
            <w:shd w:val="clear" w:color="auto" w:fill="C6EFCE"/>
            <w:noWrap/>
          </w:tcPr>
          <w:p w14:paraId="43CA5E86" w14:textId="77777777" w:rsidR="003B6BD9" w:rsidRDefault="009E25E8">
            <w:pPr>
              <w:pStyle w:val="P68B1DB1-Normal7"/>
              <w:spacing w:before="0" w:after="0" w:line="256" w:lineRule="auto"/>
              <w:rPr>
                <w:rFonts w:eastAsia="Times New Roman"/>
                <w:noProof/>
              </w:rPr>
            </w:pPr>
            <w:r>
              <w:rPr>
                <w:noProof/>
              </w:rPr>
              <w:t>Présentation d’un rapport de réalisation accompagné d’une évaluation et de recommandations.</w:t>
            </w:r>
          </w:p>
        </w:tc>
        <w:tc>
          <w:tcPr>
            <w:tcW w:w="1320" w:type="dxa"/>
            <w:shd w:val="clear" w:color="auto" w:fill="C6EFCE"/>
            <w:noWrap/>
          </w:tcPr>
          <w:p w14:paraId="459909A8" w14:textId="77777777" w:rsidR="003B6BD9" w:rsidRDefault="003B6BD9">
            <w:pPr>
              <w:spacing w:before="0" w:after="0" w:line="256" w:lineRule="auto"/>
              <w:rPr>
                <w:rFonts w:eastAsia="Times New Roman"/>
                <w:noProof/>
                <w:color w:val="006100"/>
                <w:sz w:val="18"/>
                <w:szCs w:val="18"/>
              </w:rPr>
            </w:pPr>
          </w:p>
        </w:tc>
        <w:tc>
          <w:tcPr>
            <w:tcW w:w="1200" w:type="dxa"/>
            <w:shd w:val="clear" w:color="auto" w:fill="C6EFCE"/>
            <w:noWrap/>
          </w:tcPr>
          <w:p w14:paraId="1B144DBF" w14:textId="77777777" w:rsidR="003B6BD9" w:rsidRDefault="003B6BD9">
            <w:pPr>
              <w:spacing w:before="0" w:after="0" w:line="256" w:lineRule="auto"/>
              <w:rPr>
                <w:rFonts w:eastAsia="Times New Roman"/>
                <w:noProof/>
                <w:color w:val="006100"/>
                <w:sz w:val="18"/>
                <w:szCs w:val="18"/>
              </w:rPr>
            </w:pPr>
          </w:p>
        </w:tc>
        <w:tc>
          <w:tcPr>
            <w:tcW w:w="828" w:type="dxa"/>
            <w:shd w:val="clear" w:color="auto" w:fill="C6EFCE"/>
            <w:noWrap/>
          </w:tcPr>
          <w:p w14:paraId="74F75873" w14:textId="77777777" w:rsidR="003B6BD9" w:rsidRDefault="003B6BD9">
            <w:pPr>
              <w:spacing w:before="0" w:after="0" w:line="256" w:lineRule="auto"/>
              <w:rPr>
                <w:rFonts w:eastAsia="Times New Roman"/>
                <w:noProof/>
                <w:color w:val="006100"/>
                <w:sz w:val="18"/>
                <w:szCs w:val="18"/>
              </w:rPr>
            </w:pPr>
          </w:p>
        </w:tc>
        <w:tc>
          <w:tcPr>
            <w:tcW w:w="1358" w:type="dxa"/>
            <w:shd w:val="clear" w:color="auto" w:fill="C6EFCE"/>
            <w:noWrap/>
          </w:tcPr>
          <w:p w14:paraId="5009193B" w14:textId="77777777" w:rsidR="003B6BD9" w:rsidRDefault="009E25E8">
            <w:pPr>
              <w:pStyle w:val="P68B1DB1-Normal7"/>
              <w:spacing w:before="0" w:after="0" w:line="256" w:lineRule="auto"/>
              <w:jc w:val="center"/>
              <w:rPr>
                <w:rFonts w:eastAsia="Times New Roman"/>
                <w:noProof/>
              </w:rPr>
            </w:pPr>
            <w:r>
              <w:rPr>
                <w:noProof/>
              </w:rPr>
              <w:t>T2</w:t>
            </w:r>
          </w:p>
        </w:tc>
        <w:tc>
          <w:tcPr>
            <w:tcW w:w="834" w:type="dxa"/>
            <w:shd w:val="clear" w:color="auto" w:fill="C6EFCE"/>
            <w:noWrap/>
          </w:tcPr>
          <w:p w14:paraId="0819C42E" w14:textId="77777777" w:rsidR="003B6BD9" w:rsidRDefault="009E25E8">
            <w:pPr>
              <w:pStyle w:val="P68B1DB1-Normal7"/>
              <w:spacing w:before="0" w:after="0" w:line="256" w:lineRule="auto"/>
              <w:jc w:val="center"/>
              <w:rPr>
                <w:rFonts w:eastAsia="Times New Roman"/>
                <w:noProof/>
              </w:rPr>
            </w:pPr>
            <w:r>
              <w:rPr>
                <w:noProof/>
              </w:rPr>
              <w:t>2022</w:t>
            </w:r>
          </w:p>
        </w:tc>
        <w:tc>
          <w:tcPr>
            <w:tcW w:w="2968" w:type="dxa"/>
            <w:shd w:val="clear" w:color="auto" w:fill="C6EFCE"/>
            <w:noWrap/>
          </w:tcPr>
          <w:p w14:paraId="5F87C0B9" w14:textId="77777777" w:rsidR="003B6BD9" w:rsidRDefault="009E25E8">
            <w:pPr>
              <w:pStyle w:val="P68B1DB1-Normal7"/>
              <w:spacing w:before="0" w:after="0" w:line="256" w:lineRule="auto"/>
              <w:rPr>
                <w:rFonts w:eastAsia="Times New Roman"/>
                <w:noProof/>
              </w:rPr>
            </w:pPr>
            <w:r>
              <w:rPr>
                <w:noProof/>
              </w:rPr>
              <w:t>Fourniture d’un rapport d’assistance technique pour soutenir la mise en œuvre des réformes des marchés publics, en mettant l’accent sur le renforcement de la compétitivité dans les marchés publics conformément au cadre juridique de l’UE.</w:t>
            </w:r>
          </w:p>
        </w:tc>
      </w:tr>
      <w:tr w:rsidR="003B6BD9" w14:paraId="2EFA4FD5" w14:textId="77777777" w:rsidTr="006C1AFD">
        <w:trPr>
          <w:trHeight w:val="309"/>
          <w:jc w:val="center"/>
        </w:trPr>
        <w:tc>
          <w:tcPr>
            <w:tcW w:w="847" w:type="dxa"/>
            <w:shd w:val="clear" w:color="auto" w:fill="C6EFCE"/>
            <w:noWrap/>
          </w:tcPr>
          <w:p w14:paraId="78EE0549" w14:textId="77777777" w:rsidR="003B6BD9" w:rsidRDefault="009E25E8">
            <w:pPr>
              <w:pStyle w:val="P68B1DB1-Normal7"/>
              <w:spacing w:before="0" w:after="0" w:line="256" w:lineRule="auto"/>
              <w:rPr>
                <w:rFonts w:eastAsia="Times New Roman"/>
                <w:noProof/>
              </w:rPr>
            </w:pPr>
            <w:r>
              <w:rPr>
                <w:noProof/>
              </w:rPr>
              <w:t>177</w:t>
            </w:r>
          </w:p>
        </w:tc>
        <w:tc>
          <w:tcPr>
            <w:tcW w:w="1800" w:type="dxa"/>
            <w:shd w:val="clear" w:color="auto" w:fill="C6EFCE"/>
            <w:noWrap/>
          </w:tcPr>
          <w:p w14:paraId="5E4DC983" w14:textId="77777777" w:rsidR="003B6BD9" w:rsidRDefault="009E25E8">
            <w:pPr>
              <w:pStyle w:val="P68B1DB1-Normal7"/>
              <w:spacing w:before="0" w:after="0" w:line="256" w:lineRule="auto"/>
              <w:rPr>
                <w:rFonts w:eastAsia="Times New Roman"/>
                <w:noProof/>
              </w:rPr>
            </w:pPr>
            <w:r>
              <w:rPr>
                <w:noProof/>
              </w:rPr>
              <w:t>C: Créer des conditions systémiques propices à la croissance des investissements</w:t>
            </w:r>
          </w:p>
        </w:tc>
        <w:tc>
          <w:tcPr>
            <w:tcW w:w="1200" w:type="dxa"/>
            <w:shd w:val="clear" w:color="auto" w:fill="C6EFCE"/>
            <w:noWrap/>
          </w:tcPr>
          <w:p w14:paraId="69389A80" w14:textId="77777777" w:rsidR="003B6BD9" w:rsidRDefault="009E25E8">
            <w:pPr>
              <w:pStyle w:val="P68B1DB1-Normal7"/>
              <w:spacing w:before="0" w:after="0" w:line="256" w:lineRule="auto"/>
              <w:rPr>
                <w:rFonts w:eastAsia="Times New Roman"/>
                <w:noProof/>
              </w:rPr>
            </w:pPr>
            <w:r>
              <w:rPr>
                <w:noProof/>
              </w:rPr>
              <w:t>Jalon</w:t>
            </w:r>
          </w:p>
        </w:tc>
        <w:tc>
          <w:tcPr>
            <w:tcW w:w="1680" w:type="dxa"/>
            <w:shd w:val="clear" w:color="auto" w:fill="C6EFCE"/>
            <w:noWrap/>
          </w:tcPr>
          <w:p w14:paraId="3B8C20A1" w14:textId="202A518D" w:rsidR="003B6BD9" w:rsidRDefault="009E25E8">
            <w:pPr>
              <w:pStyle w:val="P68B1DB1-Normal7"/>
              <w:spacing w:before="0" w:after="0" w:line="256" w:lineRule="auto"/>
              <w:rPr>
                <w:rFonts w:eastAsia="Times New Roman"/>
                <w:noProof/>
              </w:rPr>
            </w:pPr>
            <w:r>
              <w:rPr>
                <w:noProof/>
              </w:rPr>
              <w:t xml:space="preserve">Analyse des réformes des marchés publics </w:t>
            </w:r>
          </w:p>
        </w:tc>
        <w:tc>
          <w:tcPr>
            <w:tcW w:w="1920" w:type="dxa"/>
            <w:shd w:val="clear" w:color="auto" w:fill="C6EFCE"/>
            <w:noWrap/>
          </w:tcPr>
          <w:p w14:paraId="09CC8B32" w14:textId="3B22312A" w:rsidR="003B6BD9" w:rsidRDefault="009E25E8">
            <w:pPr>
              <w:pStyle w:val="P68B1DB1-Normal7"/>
              <w:spacing w:before="0" w:after="0" w:line="256" w:lineRule="auto"/>
              <w:rPr>
                <w:rFonts w:eastAsia="Times New Roman"/>
                <w:noProof/>
              </w:rPr>
            </w:pPr>
            <w:r>
              <w:rPr>
                <w:noProof/>
              </w:rPr>
              <w:t>Le rapport est présenté.</w:t>
            </w:r>
          </w:p>
        </w:tc>
        <w:tc>
          <w:tcPr>
            <w:tcW w:w="1320" w:type="dxa"/>
            <w:shd w:val="clear" w:color="auto" w:fill="C6EFCE"/>
            <w:noWrap/>
          </w:tcPr>
          <w:p w14:paraId="0704B451" w14:textId="77777777" w:rsidR="003B6BD9" w:rsidRDefault="003B6BD9">
            <w:pPr>
              <w:spacing w:before="0" w:after="0" w:line="256" w:lineRule="auto"/>
              <w:rPr>
                <w:rFonts w:eastAsia="Times New Roman"/>
                <w:noProof/>
                <w:color w:val="006100"/>
                <w:sz w:val="18"/>
                <w:szCs w:val="18"/>
              </w:rPr>
            </w:pPr>
          </w:p>
        </w:tc>
        <w:tc>
          <w:tcPr>
            <w:tcW w:w="1200" w:type="dxa"/>
            <w:shd w:val="clear" w:color="auto" w:fill="C6EFCE"/>
            <w:noWrap/>
          </w:tcPr>
          <w:p w14:paraId="5A862EE9" w14:textId="77777777" w:rsidR="003B6BD9" w:rsidRDefault="003B6BD9">
            <w:pPr>
              <w:spacing w:before="0" w:after="0" w:line="256" w:lineRule="auto"/>
              <w:rPr>
                <w:rFonts w:eastAsia="Times New Roman"/>
                <w:noProof/>
                <w:color w:val="006100"/>
                <w:sz w:val="18"/>
                <w:szCs w:val="18"/>
              </w:rPr>
            </w:pPr>
          </w:p>
        </w:tc>
        <w:tc>
          <w:tcPr>
            <w:tcW w:w="828" w:type="dxa"/>
            <w:shd w:val="clear" w:color="auto" w:fill="C6EFCE"/>
            <w:noWrap/>
          </w:tcPr>
          <w:p w14:paraId="68C29648" w14:textId="77777777" w:rsidR="003B6BD9" w:rsidRDefault="003B6BD9">
            <w:pPr>
              <w:spacing w:before="0" w:after="0" w:line="256" w:lineRule="auto"/>
              <w:rPr>
                <w:rFonts w:eastAsia="Times New Roman"/>
                <w:noProof/>
                <w:color w:val="006100"/>
                <w:sz w:val="18"/>
                <w:szCs w:val="18"/>
              </w:rPr>
            </w:pPr>
          </w:p>
        </w:tc>
        <w:tc>
          <w:tcPr>
            <w:tcW w:w="1358" w:type="dxa"/>
            <w:shd w:val="clear" w:color="auto" w:fill="C6EFCE"/>
            <w:noWrap/>
          </w:tcPr>
          <w:p w14:paraId="0C0C28BE" w14:textId="77777777" w:rsidR="003B6BD9" w:rsidRDefault="009E25E8">
            <w:pPr>
              <w:pStyle w:val="P68B1DB1-Normal7"/>
              <w:spacing w:before="0" w:after="0" w:line="256" w:lineRule="auto"/>
              <w:jc w:val="center"/>
              <w:rPr>
                <w:rFonts w:eastAsia="Times New Roman"/>
                <w:noProof/>
              </w:rPr>
            </w:pPr>
            <w:r>
              <w:rPr>
                <w:noProof/>
              </w:rPr>
              <w:t>T4</w:t>
            </w:r>
          </w:p>
        </w:tc>
        <w:tc>
          <w:tcPr>
            <w:tcW w:w="834" w:type="dxa"/>
            <w:shd w:val="clear" w:color="auto" w:fill="C6EFCE"/>
            <w:noWrap/>
          </w:tcPr>
          <w:p w14:paraId="4983B9AB" w14:textId="77777777" w:rsidR="003B6BD9" w:rsidRDefault="009E25E8">
            <w:pPr>
              <w:pStyle w:val="P68B1DB1-Normal7"/>
              <w:spacing w:before="0" w:after="0" w:line="256" w:lineRule="auto"/>
              <w:jc w:val="center"/>
              <w:rPr>
                <w:rFonts w:eastAsia="Times New Roman"/>
                <w:noProof/>
              </w:rPr>
            </w:pPr>
            <w:r>
              <w:rPr>
                <w:noProof/>
              </w:rPr>
              <w:t>2024</w:t>
            </w:r>
          </w:p>
        </w:tc>
        <w:tc>
          <w:tcPr>
            <w:tcW w:w="2968" w:type="dxa"/>
            <w:shd w:val="clear" w:color="auto" w:fill="C6EFCE"/>
            <w:noWrap/>
          </w:tcPr>
          <w:p w14:paraId="5D76BB3F" w14:textId="54E59C4D" w:rsidR="003B6BD9" w:rsidRDefault="009E25E8">
            <w:pPr>
              <w:pStyle w:val="P68B1DB1-Normal7"/>
              <w:spacing w:before="0" w:after="0" w:line="256" w:lineRule="auto"/>
              <w:rPr>
                <w:rFonts w:eastAsia="Times New Roman"/>
                <w:noProof/>
              </w:rPr>
            </w:pPr>
            <w:r>
              <w:rPr>
                <w:noProof/>
              </w:rPr>
              <w:t>Présentation d’un rapport contenant i) une analyse de l’incidence des réformes des marchés publics et ii) des recommandations en vue de nouvelles réformes ou initiatives stratégiques.</w:t>
            </w:r>
          </w:p>
        </w:tc>
      </w:tr>
      <w:tr w:rsidR="003B6BD9" w14:paraId="7AAC0AC7" w14:textId="77777777" w:rsidTr="006C1AFD">
        <w:trPr>
          <w:trHeight w:val="309"/>
          <w:jc w:val="center"/>
        </w:trPr>
        <w:tc>
          <w:tcPr>
            <w:tcW w:w="847" w:type="dxa"/>
            <w:shd w:val="clear" w:color="auto" w:fill="C6EFCE"/>
            <w:noWrap/>
          </w:tcPr>
          <w:p w14:paraId="3BD437A9" w14:textId="77777777" w:rsidR="003B6BD9" w:rsidRDefault="009E25E8">
            <w:pPr>
              <w:pStyle w:val="P68B1DB1-Normal7"/>
              <w:spacing w:before="0" w:after="0" w:line="256" w:lineRule="auto"/>
              <w:rPr>
                <w:rFonts w:eastAsia="Times New Roman"/>
                <w:noProof/>
              </w:rPr>
            </w:pPr>
            <w:r>
              <w:rPr>
                <w:noProof/>
              </w:rPr>
              <w:t>178</w:t>
            </w:r>
          </w:p>
        </w:tc>
        <w:tc>
          <w:tcPr>
            <w:tcW w:w="1800" w:type="dxa"/>
            <w:shd w:val="clear" w:color="auto" w:fill="C6EFCE"/>
            <w:noWrap/>
          </w:tcPr>
          <w:p w14:paraId="5768180C" w14:textId="77777777" w:rsidR="003B6BD9" w:rsidRDefault="009E25E8">
            <w:pPr>
              <w:pStyle w:val="P68B1DB1-Normal7"/>
              <w:spacing w:before="0" w:after="0" w:line="256" w:lineRule="auto"/>
              <w:rPr>
                <w:rFonts w:eastAsia="Times New Roman"/>
                <w:noProof/>
              </w:rPr>
            </w:pPr>
            <w:r>
              <w:rPr>
                <w:noProof/>
              </w:rPr>
              <w:t>C: Créer des conditions systémiques propices à la croissance des investissements</w:t>
            </w:r>
          </w:p>
        </w:tc>
        <w:tc>
          <w:tcPr>
            <w:tcW w:w="1200" w:type="dxa"/>
            <w:shd w:val="clear" w:color="auto" w:fill="C6EFCE"/>
            <w:noWrap/>
          </w:tcPr>
          <w:p w14:paraId="4F6F7367" w14:textId="77777777" w:rsidR="003B6BD9" w:rsidRDefault="009E25E8">
            <w:pPr>
              <w:pStyle w:val="P68B1DB1-Normal7"/>
              <w:spacing w:before="0" w:after="0" w:line="256" w:lineRule="auto"/>
              <w:rPr>
                <w:rFonts w:eastAsia="Times New Roman"/>
                <w:noProof/>
              </w:rPr>
            </w:pPr>
            <w:r>
              <w:rPr>
                <w:noProof/>
              </w:rPr>
              <w:t>Jalon</w:t>
            </w:r>
          </w:p>
        </w:tc>
        <w:tc>
          <w:tcPr>
            <w:tcW w:w="1680" w:type="dxa"/>
            <w:shd w:val="clear" w:color="auto" w:fill="C6EFCE"/>
            <w:noWrap/>
          </w:tcPr>
          <w:p w14:paraId="1BB538FA" w14:textId="2CD8FE18" w:rsidR="003B6BD9" w:rsidRDefault="009E25E8">
            <w:pPr>
              <w:pStyle w:val="P68B1DB1-Normal7"/>
              <w:spacing w:before="0" w:after="0" w:line="256" w:lineRule="auto"/>
              <w:rPr>
                <w:rFonts w:eastAsia="Times New Roman"/>
                <w:noProof/>
              </w:rPr>
            </w:pPr>
            <w:r>
              <w:rPr>
                <w:noProof/>
              </w:rPr>
              <w:t>Alignement des bases de données slovènes sur les marchés publics sur la base de données de la Commission européenne et transmission des données nécessaires à la publication intégrale des indicateurs relatifs aux marchés publics dans le tableau d’affichage du marché unique</w:t>
            </w:r>
          </w:p>
        </w:tc>
        <w:tc>
          <w:tcPr>
            <w:tcW w:w="1920" w:type="dxa"/>
            <w:shd w:val="clear" w:color="auto" w:fill="C6EFCE"/>
            <w:noWrap/>
          </w:tcPr>
          <w:p w14:paraId="125793FC" w14:textId="77777777" w:rsidR="003B6BD9" w:rsidRDefault="009E25E8">
            <w:pPr>
              <w:pStyle w:val="P68B1DB1-Normal7"/>
              <w:spacing w:before="0" w:after="0" w:line="256" w:lineRule="auto"/>
              <w:rPr>
                <w:rFonts w:eastAsia="Times New Roman"/>
                <w:noProof/>
              </w:rPr>
            </w:pPr>
            <w:r>
              <w:rPr>
                <w:noProof/>
              </w:rPr>
              <w:t>Tous les indicateurs du tableau d’affichage du marché unique relatifs aux marchés publics sont publiés dans la base de données du tableau d’affichage.</w:t>
            </w:r>
          </w:p>
        </w:tc>
        <w:tc>
          <w:tcPr>
            <w:tcW w:w="1320" w:type="dxa"/>
            <w:shd w:val="clear" w:color="auto" w:fill="C6EFCE"/>
            <w:noWrap/>
          </w:tcPr>
          <w:p w14:paraId="44D4E7C3" w14:textId="77777777" w:rsidR="003B6BD9" w:rsidRDefault="003B6BD9">
            <w:pPr>
              <w:spacing w:before="0" w:after="0" w:line="256" w:lineRule="auto"/>
              <w:rPr>
                <w:rFonts w:eastAsia="Times New Roman"/>
                <w:noProof/>
                <w:color w:val="006100"/>
                <w:sz w:val="18"/>
                <w:szCs w:val="18"/>
              </w:rPr>
            </w:pPr>
          </w:p>
        </w:tc>
        <w:tc>
          <w:tcPr>
            <w:tcW w:w="1200" w:type="dxa"/>
            <w:shd w:val="clear" w:color="auto" w:fill="C6EFCE"/>
            <w:noWrap/>
          </w:tcPr>
          <w:p w14:paraId="36CC0D0A" w14:textId="77777777" w:rsidR="003B6BD9" w:rsidRDefault="003B6BD9">
            <w:pPr>
              <w:spacing w:before="0" w:after="0" w:line="256" w:lineRule="auto"/>
              <w:rPr>
                <w:rFonts w:eastAsia="Times New Roman"/>
                <w:noProof/>
                <w:color w:val="006100"/>
                <w:sz w:val="18"/>
                <w:szCs w:val="18"/>
              </w:rPr>
            </w:pPr>
          </w:p>
        </w:tc>
        <w:tc>
          <w:tcPr>
            <w:tcW w:w="828" w:type="dxa"/>
            <w:shd w:val="clear" w:color="auto" w:fill="C6EFCE"/>
            <w:noWrap/>
          </w:tcPr>
          <w:p w14:paraId="4D1D135F" w14:textId="77777777" w:rsidR="003B6BD9" w:rsidRDefault="003B6BD9">
            <w:pPr>
              <w:spacing w:before="0" w:after="0" w:line="256" w:lineRule="auto"/>
              <w:rPr>
                <w:rFonts w:eastAsia="Times New Roman"/>
                <w:noProof/>
                <w:color w:val="006100"/>
                <w:sz w:val="18"/>
                <w:szCs w:val="18"/>
              </w:rPr>
            </w:pPr>
          </w:p>
        </w:tc>
        <w:tc>
          <w:tcPr>
            <w:tcW w:w="1358" w:type="dxa"/>
            <w:shd w:val="clear" w:color="auto" w:fill="C6EFCE"/>
            <w:noWrap/>
          </w:tcPr>
          <w:p w14:paraId="6F7CFC13" w14:textId="77777777" w:rsidR="003B6BD9" w:rsidRDefault="009E25E8">
            <w:pPr>
              <w:pStyle w:val="P68B1DB1-Normal7"/>
              <w:spacing w:before="0" w:after="0" w:line="256" w:lineRule="auto"/>
              <w:jc w:val="center"/>
              <w:rPr>
                <w:rFonts w:eastAsia="Times New Roman"/>
                <w:noProof/>
              </w:rPr>
            </w:pPr>
            <w:r>
              <w:rPr>
                <w:noProof/>
              </w:rPr>
              <w:t>T4</w:t>
            </w:r>
          </w:p>
        </w:tc>
        <w:tc>
          <w:tcPr>
            <w:tcW w:w="834" w:type="dxa"/>
            <w:shd w:val="clear" w:color="auto" w:fill="C6EFCE"/>
            <w:noWrap/>
          </w:tcPr>
          <w:p w14:paraId="28DF5991" w14:textId="77777777" w:rsidR="003B6BD9" w:rsidRDefault="009E25E8">
            <w:pPr>
              <w:pStyle w:val="P68B1DB1-Normal7"/>
              <w:spacing w:before="0" w:after="0" w:line="256" w:lineRule="auto"/>
              <w:jc w:val="center"/>
              <w:rPr>
                <w:rFonts w:eastAsia="Times New Roman"/>
                <w:noProof/>
              </w:rPr>
            </w:pPr>
            <w:r>
              <w:rPr>
                <w:noProof/>
              </w:rPr>
              <w:t>2021</w:t>
            </w:r>
          </w:p>
        </w:tc>
        <w:tc>
          <w:tcPr>
            <w:tcW w:w="2968" w:type="dxa"/>
            <w:shd w:val="clear" w:color="auto" w:fill="C6EFCE"/>
            <w:noWrap/>
          </w:tcPr>
          <w:p w14:paraId="1B7BE279" w14:textId="77777777" w:rsidR="003B6BD9" w:rsidRDefault="009E25E8">
            <w:pPr>
              <w:pStyle w:val="P68B1DB1-Normal7"/>
              <w:spacing w:before="0" w:after="0" w:line="256" w:lineRule="auto"/>
              <w:rPr>
                <w:rFonts w:eastAsia="Times New Roman"/>
                <w:noProof/>
              </w:rPr>
            </w:pPr>
            <w:r>
              <w:rPr>
                <w:noProof/>
              </w:rPr>
              <w:t>Les bases de données sur les marchés publics sont alignées en fournissant des éclaircissements adéquats sur la transmission et l’interprétation des données quotidiennes de Tenders Electronic Daily — Commission européenne. Toutes les données sont fournies par l’intermédiaire de Tenders Electronic Daily pour la publication de tous les indicateurs dans le tableau d’affichage du marché unique (indicateurs relatifs aux marchés publics).</w:t>
            </w:r>
          </w:p>
        </w:tc>
      </w:tr>
      <w:tr w:rsidR="003B6BD9" w14:paraId="532E7AC3" w14:textId="77777777" w:rsidTr="006C1AFD">
        <w:trPr>
          <w:trHeight w:val="309"/>
          <w:jc w:val="center"/>
        </w:trPr>
        <w:tc>
          <w:tcPr>
            <w:tcW w:w="847" w:type="dxa"/>
            <w:shd w:val="clear" w:color="auto" w:fill="C6EFCE"/>
            <w:noWrap/>
          </w:tcPr>
          <w:p w14:paraId="352677CB" w14:textId="77777777" w:rsidR="003B6BD9" w:rsidRDefault="009E25E8">
            <w:pPr>
              <w:pStyle w:val="P68B1DB1-Normal7"/>
              <w:spacing w:before="0" w:after="0" w:line="256" w:lineRule="auto"/>
              <w:rPr>
                <w:rFonts w:eastAsia="Times New Roman"/>
                <w:noProof/>
              </w:rPr>
            </w:pPr>
            <w:r>
              <w:rPr>
                <w:noProof/>
              </w:rPr>
              <w:t>179</w:t>
            </w:r>
          </w:p>
        </w:tc>
        <w:tc>
          <w:tcPr>
            <w:tcW w:w="1800" w:type="dxa"/>
            <w:shd w:val="clear" w:color="auto" w:fill="C6EFCE"/>
            <w:noWrap/>
          </w:tcPr>
          <w:p w14:paraId="1FCE7832" w14:textId="77777777" w:rsidR="003B6BD9" w:rsidRDefault="009E25E8">
            <w:pPr>
              <w:pStyle w:val="P68B1DB1-Normal7"/>
              <w:spacing w:before="0" w:after="0" w:line="256" w:lineRule="auto"/>
              <w:rPr>
                <w:rFonts w:eastAsia="Times New Roman"/>
                <w:noProof/>
              </w:rPr>
            </w:pPr>
            <w:r>
              <w:rPr>
                <w:noProof/>
              </w:rPr>
              <w:t>C: Créer des conditions systémiques propices à la croissance des investissements</w:t>
            </w:r>
          </w:p>
        </w:tc>
        <w:tc>
          <w:tcPr>
            <w:tcW w:w="1200" w:type="dxa"/>
            <w:shd w:val="clear" w:color="auto" w:fill="C6EFCE"/>
            <w:noWrap/>
          </w:tcPr>
          <w:p w14:paraId="4EE5DAA6" w14:textId="77777777" w:rsidR="003B6BD9" w:rsidRDefault="009E25E8">
            <w:pPr>
              <w:pStyle w:val="P68B1DB1-Normal7"/>
              <w:spacing w:before="0" w:after="0" w:line="256" w:lineRule="auto"/>
              <w:rPr>
                <w:rFonts w:eastAsia="Times New Roman"/>
                <w:noProof/>
              </w:rPr>
            </w:pPr>
            <w:r>
              <w:rPr>
                <w:noProof/>
              </w:rPr>
              <w:t>Jalon</w:t>
            </w:r>
          </w:p>
        </w:tc>
        <w:tc>
          <w:tcPr>
            <w:tcW w:w="1680" w:type="dxa"/>
            <w:shd w:val="clear" w:color="auto" w:fill="C6EFCE"/>
            <w:noWrap/>
          </w:tcPr>
          <w:p w14:paraId="350969D5" w14:textId="4CC1F98F" w:rsidR="003B6BD9" w:rsidRDefault="009E25E8">
            <w:pPr>
              <w:pStyle w:val="P68B1DB1-Normal7"/>
              <w:spacing w:before="0" w:after="0" w:line="256" w:lineRule="auto"/>
              <w:rPr>
                <w:rFonts w:eastAsia="Times New Roman"/>
                <w:noProof/>
              </w:rPr>
            </w:pPr>
            <w:r>
              <w:rPr>
                <w:noProof/>
              </w:rPr>
              <w:t>L’Académie des marchés publics est opérationnelle</w:t>
            </w:r>
          </w:p>
        </w:tc>
        <w:tc>
          <w:tcPr>
            <w:tcW w:w="1920" w:type="dxa"/>
            <w:shd w:val="clear" w:color="auto" w:fill="C6EFCE"/>
            <w:noWrap/>
          </w:tcPr>
          <w:p w14:paraId="0C516599" w14:textId="488FD3CB" w:rsidR="003B6BD9" w:rsidRDefault="009E25E8">
            <w:pPr>
              <w:pStyle w:val="P68B1DB1-Normal7"/>
              <w:spacing w:before="0" w:after="0" w:line="256" w:lineRule="auto"/>
              <w:rPr>
                <w:rFonts w:eastAsia="Times New Roman"/>
                <w:noProof/>
              </w:rPr>
            </w:pPr>
            <w:r>
              <w:rPr>
                <w:noProof/>
              </w:rPr>
              <w:t>L’Académie des marchés publics est opérationnelle</w:t>
            </w:r>
          </w:p>
        </w:tc>
        <w:tc>
          <w:tcPr>
            <w:tcW w:w="1320" w:type="dxa"/>
            <w:shd w:val="clear" w:color="auto" w:fill="C6EFCE"/>
            <w:noWrap/>
          </w:tcPr>
          <w:p w14:paraId="29B35C53" w14:textId="77777777" w:rsidR="003B6BD9" w:rsidRDefault="009E25E8">
            <w:pPr>
              <w:pStyle w:val="P68B1DB1-Normal7"/>
              <w:spacing w:before="0" w:after="0" w:line="256" w:lineRule="auto"/>
              <w:rPr>
                <w:rFonts w:eastAsia="Times New Roman"/>
                <w:noProof/>
              </w:rPr>
            </w:pPr>
            <w:r>
              <w:rPr>
                <w:noProof/>
              </w:rPr>
              <w:t> </w:t>
            </w:r>
          </w:p>
        </w:tc>
        <w:tc>
          <w:tcPr>
            <w:tcW w:w="1200" w:type="dxa"/>
            <w:shd w:val="clear" w:color="auto" w:fill="C6EFCE"/>
            <w:noWrap/>
          </w:tcPr>
          <w:p w14:paraId="60E9A967" w14:textId="77777777" w:rsidR="003B6BD9" w:rsidRDefault="009E25E8">
            <w:pPr>
              <w:pStyle w:val="P68B1DB1-Normal7"/>
              <w:spacing w:before="0" w:after="0" w:line="256" w:lineRule="auto"/>
              <w:rPr>
                <w:rFonts w:eastAsia="Times New Roman"/>
                <w:noProof/>
              </w:rPr>
            </w:pPr>
            <w:r>
              <w:rPr>
                <w:noProof/>
              </w:rPr>
              <w:t> </w:t>
            </w:r>
          </w:p>
        </w:tc>
        <w:tc>
          <w:tcPr>
            <w:tcW w:w="828" w:type="dxa"/>
            <w:shd w:val="clear" w:color="auto" w:fill="C6EFCE"/>
            <w:noWrap/>
          </w:tcPr>
          <w:p w14:paraId="7F14B8AB" w14:textId="77777777" w:rsidR="003B6BD9" w:rsidRDefault="009E25E8">
            <w:pPr>
              <w:pStyle w:val="P68B1DB1-Normal7"/>
              <w:spacing w:before="0" w:after="0" w:line="256" w:lineRule="auto"/>
              <w:rPr>
                <w:rFonts w:eastAsia="Times New Roman"/>
                <w:noProof/>
              </w:rPr>
            </w:pPr>
            <w:r>
              <w:rPr>
                <w:noProof/>
              </w:rPr>
              <w:t> </w:t>
            </w:r>
          </w:p>
        </w:tc>
        <w:tc>
          <w:tcPr>
            <w:tcW w:w="1358" w:type="dxa"/>
            <w:shd w:val="clear" w:color="auto" w:fill="C6EFCE"/>
            <w:noWrap/>
          </w:tcPr>
          <w:p w14:paraId="58FD79AC" w14:textId="77777777" w:rsidR="003B6BD9" w:rsidRDefault="009E25E8">
            <w:pPr>
              <w:pStyle w:val="P68B1DB1-Normal7"/>
              <w:spacing w:before="0" w:after="0" w:line="256" w:lineRule="auto"/>
              <w:jc w:val="center"/>
              <w:rPr>
                <w:rFonts w:eastAsia="Times New Roman"/>
                <w:noProof/>
              </w:rPr>
            </w:pPr>
            <w:r>
              <w:rPr>
                <w:noProof/>
              </w:rPr>
              <w:t>T2</w:t>
            </w:r>
          </w:p>
        </w:tc>
        <w:tc>
          <w:tcPr>
            <w:tcW w:w="834" w:type="dxa"/>
            <w:shd w:val="clear" w:color="auto" w:fill="C6EFCE"/>
            <w:noWrap/>
          </w:tcPr>
          <w:p w14:paraId="0F319793" w14:textId="77777777" w:rsidR="003B6BD9" w:rsidRDefault="009E25E8">
            <w:pPr>
              <w:pStyle w:val="P68B1DB1-Normal7"/>
              <w:spacing w:before="0" w:after="0" w:line="256" w:lineRule="auto"/>
              <w:jc w:val="center"/>
              <w:rPr>
                <w:rFonts w:eastAsia="Times New Roman"/>
                <w:noProof/>
              </w:rPr>
            </w:pPr>
            <w:r>
              <w:rPr>
                <w:noProof/>
              </w:rPr>
              <w:t>2023</w:t>
            </w:r>
          </w:p>
        </w:tc>
        <w:tc>
          <w:tcPr>
            <w:tcW w:w="2968" w:type="dxa"/>
            <w:shd w:val="clear" w:color="auto" w:fill="C6EFCE"/>
            <w:noWrap/>
          </w:tcPr>
          <w:p w14:paraId="7C909EF1" w14:textId="526A0259" w:rsidR="003B6BD9" w:rsidRDefault="009E25E8">
            <w:pPr>
              <w:pStyle w:val="P68B1DB1-Normal7"/>
              <w:spacing w:before="0" w:after="0" w:line="256" w:lineRule="auto"/>
              <w:rPr>
                <w:rFonts w:eastAsia="Times New Roman"/>
                <w:noProof/>
              </w:rPr>
            </w:pPr>
            <w:r>
              <w:rPr>
                <w:noProof/>
              </w:rPr>
              <w:t>L’académie des marchés publics vise à accroître le niveau de professionnalisation parmi les parties prenantes au moyen d’un ensemble de programmes et de formations destinés aux agents publics dans le domaine des marchés publics.</w:t>
            </w:r>
          </w:p>
        </w:tc>
      </w:tr>
      <w:tr w:rsidR="003B6BD9" w14:paraId="23A5FC9A" w14:textId="77777777" w:rsidTr="006C1AFD">
        <w:trPr>
          <w:trHeight w:val="309"/>
          <w:jc w:val="center"/>
        </w:trPr>
        <w:tc>
          <w:tcPr>
            <w:tcW w:w="847" w:type="dxa"/>
            <w:shd w:val="clear" w:color="auto" w:fill="C6EFCE"/>
            <w:noWrap/>
          </w:tcPr>
          <w:p w14:paraId="39286461" w14:textId="77777777" w:rsidR="003B6BD9" w:rsidRDefault="009E25E8">
            <w:pPr>
              <w:pStyle w:val="P68B1DB1-Normal7"/>
              <w:spacing w:before="0" w:after="0" w:line="256" w:lineRule="auto"/>
              <w:rPr>
                <w:rFonts w:eastAsia="Times New Roman"/>
                <w:noProof/>
              </w:rPr>
            </w:pPr>
            <w:r>
              <w:rPr>
                <w:noProof/>
              </w:rPr>
              <w:t>180</w:t>
            </w:r>
          </w:p>
        </w:tc>
        <w:tc>
          <w:tcPr>
            <w:tcW w:w="1800" w:type="dxa"/>
            <w:shd w:val="clear" w:color="auto" w:fill="C6EFCE"/>
            <w:noWrap/>
          </w:tcPr>
          <w:p w14:paraId="5D9FB966" w14:textId="77777777" w:rsidR="003B6BD9" w:rsidRDefault="009E25E8">
            <w:pPr>
              <w:pStyle w:val="P68B1DB1-Normal7"/>
              <w:spacing w:before="0" w:after="0" w:line="256" w:lineRule="auto"/>
              <w:rPr>
                <w:rFonts w:eastAsia="Times New Roman"/>
                <w:noProof/>
              </w:rPr>
            </w:pPr>
            <w:r>
              <w:rPr>
                <w:noProof/>
              </w:rPr>
              <w:t>C: Créer des conditions systémiques propices à la croissance des investissements</w:t>
            </w:r>
          </w:p>
        </w:tc>
        <w:tc>
          <w:tcPr>
            <w:tcW w:w="1200" w:type="dxa"/>
            <w:shd w:val="clear" w:color="auto" w:fill="C6EFCE"/>
            <w:noWrap/>
          </w:tcPr>
          <w:p w14:paraId="539867ED" w14:textId="77777777" w:rsidR="003B6BD9" w:rsidRDefault="009E25E8">
            <w:pPr>
              <w:pStyle w:val="P68B1DB1-Normal7"/>
              <w:spacing w:before="0" w:after="0" w:line="256" w:lineRule="auto"/>
              <w:rPr>
                <w:rFonts w:eastAsia="Times New Roman"/>
                <w:noProof/>
              </w:rPr>
            </w:pPr>
            <w:r>
              <w:rPr>
                <w:noProof/>
              </w:rPr>
              <w:t>Jalon</w:t>
            </w:r>
          </w:p>
        </w:tc>
        <w:tc>
          <w:tcPr>
            <w:tcW w:w="1680" w:type="dxa"/>
            <w:shd w:val="clear" w:color="auto" w:fill="C6EFCE"/>
            <w:noWrap/>
          </w:tcPr>
          <w:p w14:paraId="18D7E231" w14:textId="77777777" w:rsidR="003B6BD9" w:rsidRDefault="009E25E8">
            <w:pPr>
              <w:pStyle w:val="P68B1DB1-Normal7"/>
              <w:spacing w:before="0" w:after="0" w:line="256" w:lineRule="auto"/>
              <w:rPr>
                <w:rFonts w:eastAsia="Times New Roman"/>
                <w:noProof/>
              </w:rPr>
            </w:pPr>
            <w:r>
              <w:rPr>
                <w:noProof/>
              </w:rPr>
              <w:t>Entrée en vigueur des modifications apportées à la loi sur la construction et à la loi sur l’aménagement du territoire</w:t>
            </w:r>
          </w:p>
        </w:tc>
        <w:tc>
          <w:tcPr>
            <w:tcW w:w="1920" w:type="dxa"/>
            <w:shd w:val="clear" w:color="auto" w:fill="C6EFCE"/>
            <w:noWrap/>
          </w:tcPr>
          <w:p w14:paraId="2D0D2547" w14:textId="77777777" w:rsidR="003B6BD9" w:rsidRDefault="009E25E8">
            <w:pPr>
              <w:pStyle w:val="P68B1DB1-Normal7"/>
              <w:spacing w:before="0" w:after="0" w:line="256" w:lineRule="auto"/>
              <w:rPr>
                <w:rFonts w:eastAsia="Times New Roman"/>
                <w:noProof/>
              </w:rPr>
            </w:pPr>
            <w:r>
              <w:rPr>
                <w:noProof/>
              </w:rPr>
              <w:t>Disposition de la loi indiquant l’entrée en vigueur des modifications de la loi sur la construction et de la loi sur l’aménagement du territoire</w:t>
            </w:r>
          </w:p>
        </w:tc>
        <w:tc>
          <w:tcPr>
            <w:tcW w:w="1320" w:type="dxa"/>
            <w:shd w:val="clear" w:color="auto" w:fill="C6EFCE"/>
            <w:noWrap/>
          </w:tcPr>
          <w:p w14:paraId="6C5BE676" w14:textId="77777777" w:rsidR="003B6BD9" w:rsidRDefault="009E25E8">
            <w:pPr>
              <w:pStyle w:val="P68B1DB1-Normal7"/>
              <w:spacing w:before="0" w:after="0" w:line="256" w:lineRule="auto"/>
              <w:rPr>
                <w:rFonts w:eastAsia="Times New Roman"/>
                <w:noProof/>
              </w:rPr>
            </w:pPr>
            <w:r>
              <w:rPr>
                <w:noProof/>
              </w:rPr>
              <w:t> </w:t>
            </w:r>
          </w:p>
        </w:tc>
        <w:tc>
          <w:tcPr>
            <w:tcW w:w="1200" w:type="dxa"/>
            <w:shd w:val="clear" w:color="auto" w:fill="C6EFCE"/>
            <w:noWrap/>
          </w:tcPr>
          <w:p w14:paraId="1CA53C9F" w14:textId="77777777" w:rsidR="003B6BD9" w:rsidRDefault="009E25E8">
            <w:pPr>
              <w:pStyle w:val="P68B1DB1-Normal7"/>
              <w:spacing w:before="0" w:after="0" w:line="256" w:lineRule="auto"/>
              <w:rPr>
                <w:rFonts w:eastAsia="Times New Roman"/>
                <w:noProof/>
              </w:rPr>
            </w:pPr>
            <w:r>
              <w:rPr>
                <w:noProof/>
              </w:rPr>
              <w:t> </w:t>
            </w:r>
          </w:p>
        </w:tc>
        <w:tc>
          <w:tcPr>
            <w:tcW w:w="828" w:type="dxa"/>
            <w:shd w:val="clear" w:color="auto" w:fill="C6EFCE"/>
            <w:noWrap/>
          </w:tcPr>
          <w:p w14:paraId="0A136E11" w14:textId="77777777" w:rsidR="003B6BD9" w:rsidRDefault="009E25E8">
            <w:pPr>
              <w:pStyle w:val="P68B1DB1-Normal7"/>
              <w:spacing w:before="0" w:after="0" w:line="256" w:lineRule="auto"/>
              <w:rPr>
                <w:rFonts w:eastAsia="Times New Roman"/>
                <w:noProof/>
              </w:rPr>
            </w:pPr>
            <w:r>
              <w:rPr>
                <w:noProof/>
              </w:rPr>
              <w:t> </w:t>
            </w:r>
          </w:p>
        </w:tc>
        <w:tc>
          <w:tcPr>
            <w:tcW w:w="1358" w:type="dxa"/>
            <w:shd w:val="clear" w:color="auto" w:fill="C6EFCE"/>
            <w:noWrap/>
          </w:tcPr>
          <w:p w14:paraId="26722E89" w14:textId="77777777" w:rsidR="003B6BD9" w:rsidRDefault="009E25E8">
            <w:pPr>
              <w:pStyle w:val="P68B1DB1-Normal7"/>
              <w:spacing w:before="0" w:after="0" w:line="256" w:lineRule="auto"/>
              <w:jc w:val="center"/>
              <w:rPr>
                <w:rFonts w:eastAsia="Times New Roman"/>
                <w:noProof/>
              </w:rPr>
            </w:pPr>
            <w:r>
              <w:rPr>
                <w:noProof/>
              </w:rPr>
              <w:t>T2</w:t>
            </w:r>
          </w:p>
        </w:tc>
        <w:tc>
          <w:tcPr>
            <w:tcW w:w="834" w:type="dxa"/>
            <w:shd w:val="clear" w:color="auto" w:fill="C6EFCE"/>
            <w:noWrap/>
          </w:tcPr>
          <w:p w14:paraId="057005A1" w14:textId="77777777" w:rsidR="003B6BD9" w:rsidRDefault="009E25E8">
            <w:pPr>
              <w:pStyle w:val="P68B1DB1-Normal7"/>
              <w:spacing w:before="0" w:after="0" w:line="256" w:lineRule="auto"/>
              <w:jc w:val="center"/>
              <w:rPr>
                <w:rFonts w:eastAsia="Times New Roman"/>
                <w:noProof/>
              </w:rPr>
            </w:pPr>
            <w:r>
              <w:rPr>
                <w:noProof/>
              </w:rPr>
              <w:t>2022</w:t>
            </w:r>
          </w:p>
        </w:tc>
        <w:tc>
          <w:tcPr>
            <w:tcW w:w="2968" w:type="dxa"/>
            <w:shd w:val="clear" w:color="auto" w:fill="C6EFCE"/>
            <w:noWrap/>
          </w:tcPr>
          <w:p w14:paraId="3594AC62" w14:textId="77777777" w:rsidR="003B6BD9" w:rsidRDefault="009E25E8">
            <w:pPr>
              <w:pStyle w:val="P68B1DB1-Normal7"/>
              <w:spacing w:before="0" w:after="0" w:line="256" w:lineRule="auto"/>
              <w:rPr>
                <w:rFonts w:eastAsia="Times New Roman"/>
                <w:noProof/>
              </w:rPr>
            </w:pPr>
            <w:r>
              <w:rPr>
                <w:noProof/>
              </w:rPr>
              <w:t>La refonte de la loi sur l’aménagement du territoire vise à améliorer les instruments d’aménagement du territoire, à mettre en place une gestion plus efficace de l’aménagement du territoire national et municipal et à permettre la numérisation de toutes les données spatiales clés. La loi sur la construction prévoit un allègement administratif et une numérisation en vue d’accélérer les procédures pertinentes.</w:t>
            </w:r>
          </w:p>
        </w:tc>
      </w:tr>
      <w:tr w:rsidR="003B6BD9" w14:paraId="1F1AA8FD" w14:textId="77777777" w:rsidTr="006C1AFD">
        <w:trPr>
          <w:trHeight w:val="309"/>
          <w:jc w:val="center"/>
        </w:trPr>
        <w:tc>
          <w:tcPr>
            <w:tcW w:w="847" w:type="dxa"/>
            <w:shd w:val="clear" w:color="auto" w:fill="C6EFCE"/>
            <w:noWrap/>
          </w:tcPr>
          <w:p w14:paraId="31D860FC" w14:textId="77777777" w:rsidR="003B6BD9" w:rsidRDefault="009E25E8">
            <w:pPr>
              <w:pStyle w:val="P68B1DB1-Normal7"/>
              <w:spacing w:before="0" w:after="0" w:line="256" w:lineRule="auto"/>
              <w:rPr>
                <w:rFonts w:eastAsia="Times New Roman"/>
                <w:noProof/>
              </w:rPr>
            </w:pPr>
            <w:r>
              <w:rPr>
                <w:noProof/>
              </w:rPr>
              <w:t>181</w:t>
            </w:r>
          </w:p>
        </w:tc>
        <w:tc>
          <w:tcPr>
            <w:tcW w:w="1800" w:type="dxa"/>
            <w:shd w:val="clear" w:color="auto" w:fill="C6EFCE"/>
            <w:noWrap/>
          </w:tcPr>
          <w:p w14:paraId="550D707F" w14:textId="77777777" w:rsidR="003B6BD9" w:rsidRDefault="009E25E8">
            <w:pPr>
              <w:pStyle w:val="P68B1DB1-Normal7"/>
              <w:spacing w:before="0" w:after="0" w:line="256" w:lineRule="auto"/>
              <w:rPr>
                <w:rFonts w:eastAsia="Times New Roman"/>
                <w:noProof/>
              </w:rPr>
            </w:pPr>
            <w:r>
              <w:rPr>
                <w:noProof/>
              </w:rPr>
              <w:t>D: Mise en œuvre du plan pour la reprise et la résilience — systèmes de contrôle et d’audit</w:t>
            </w:r>
          </w:p>
        </w:tc>
        <w:tc>
          <w:tcPr>
            <w:tcW w:w="1200" w:type="dxa"/>
            <w:shd w:val="clear" w:color="auto" w:fill="C6EFCE"/>
            <w:noWrap/>
          </w:tcPr>
          <w:p w14:paraId="7FA1A6E1" w14:textId="77777777" w:rsidR="003B6BD9" w:rsidRDefault="009E25E8">
            <w:pPr>
              <w:pStyle w:val="P68B1DB1-Normal7"/>
              <w:spacing w:before="0" w:after="0" w:line="256" w:lineRule="auto"/>
              <w:rPr>
                <w:rFonts w:eastAsia="Times New Roman"/>
                <w:noProof/>
              </w:rPr>
            </w:pPr>
            <w:r>
              <w:rPr>
                <w:noProof/>
              </w:rPr>
              <w:t>Jalon</w:t>
            </w:r>
          </w:p>
        </w:tc>
        <w:tc>
          <w:tcPr>
            <w:tcW w:w="1680" w:type="dxa"/>
            <w:shd w:val="clear" w:color="auto" w:fill="C6EFCE"/>
            <w:noWrap/>
          </w:tcPr>
          <w:p w14:paraId="778BF168" w14:textId="22DBD7C8" w:rsidR="003B6BD9" w:rsidRDefault="009E25E8">
            <w:pPr>
              <w:pStyle w:val="P68B1DB1-Normal7"/>
              <w:spacing w:before="0" w:after="0" w:line="256" w:lineRule="auto"/>
              <w:rPr>
                <w:noProof/>
              </w:rPr>
            </w:pPr>
            <w:r>
              <w:rPr>
                <w:noProof/>
              </w:rPr>
              <w:t>Décret national décrivant la procédure de réalisation des audits et des contrôles conformément à la législation de l’Union et à la législation nationale applicables et aux lignes directrices de l’organisme de coordination adoptées par le gouvernement; création du bureau de mise en œuvre du plan pour la reprise et la résilience et du système de répertoire modernisé pour l’audit et les contrôles: informations pour le suivi de la mise en œuvre de la FRR.</w:t>
            </w:r>
          </w:p>
          <w:p w14:paraId="4EB923BB" w14:textId="77777777" w:rsidR="003B6BD9" w:rsidRDefault="003B6BD9">
            <w:pPr>
              <w:spacing w:before="0" w:after="0" w:line="256" w:lineRule="auto"/>
              <w:rPr>
                <w:rFonts w:eastAsia="Times New Roman"/>
                <w:noProof/>
                <w:color w:val="006100"/>
                <w:sz w:val="18"/>
                <w:szCs w:val="18"/>
              </w:rPr>
            </w:pPr>
          </w:p>
        </w:tc>
        <w:tc>
          <w:tcPr>
            <w:tcW w:w="1920" w:type="dxa"/>
            <w:shd w:val="clear" w:color="auto" w:fill="C6EFCE"/>
            <w:noWrap/>
          </w:tcPr>
          <w:p w14:paraId="2F9CAE00" w14:textId="261BA8E7" w:rsidR="003B6BD9" w:rsidRDefault="009E25E8">
            <w:pPr>
              <w:pStyle w:val="P68B1DB1-Normal7"/>
              <w:spacing w:before="0" w:after="0" w:line="256" w:lineRule="auto"/>
              <w:rPr>
                <w:rFonts w:eastAsia="Times New Roman"/>
                <w:noProof/>
              </w:rPr>
            </w:pPr>
            <w:r>
              <w:rPr>
                <w:noProof/>
              </w:rPr>
              <w:t xml:space="preserve">Décret relatif à la mise en œuvre du plan pour la reprise et la résilience; lignes directrices de l’organisme de coordination; modification du décret relatif aux organismes affiliés aux ministères; rapport d’audit confirmant les fonctionnalités du système de répertoire   </w:t>
            </w:r>
          </w:p>
        </w:tc>
        <w:tc>
          <w:tcPr>
            <w:tcW w:w="1320" w:type="dxa"/>
            <w:shd w:val="clear" w:color="auto" w:fill="C6EFCE"/>
            <w:noWrap/>
          </w:tcPr>
          <w:p w14:paraId="28CC1383" w14:textId="77777777" w:rsidR="003B6BD9" w:rsidRDefault="003B6BD9">
            <w:pPr>
              <w:spacing w:before="0" w:after="0" w:line="256" w:lineRule="auto"/>
              <w:rPr>
                <w:rFonts w:eastAsia="Times New Roman"/>
                <w:noProof/>
                <w:color w:val="006100"/>
                <w:sz w:val="18"/>
                <w:szCs w:val="18"/>
              </w:rPr>
            </w:pPr>
          </w:p>
        </w:tc>
        <w:tc>
          <w:tcPr>
            <w:tcW w:w="1200" w:type="dxa"/>
            <w:shd w:val="clear" w:color="auto" w:fill="C6EFCE"/>
            <w:noWrap/>
          </w:tcPr>
          <w:p w14:paraId="38155671" w14:textId="77777777" w:rsidR="003B6BD9" w:rsidRDefault="003B6BD9">
            <w:pPr>
              <w:spacing w:before="0" w:after="0" w:line="256" w:lineRule="auto"/>
              <w:rPr>
                <w:rFonts w:eastAsia="Times New Roman"/>
                <w:noProof/>
                <w:color w:val="006100"/>
                <w:sz w:val="18"/>
                <w:szCs w:val="18"/>
              </w:rPr>
            </w:pPr>
          </w:p>
        </w:tc>
        <w:tc>
          <w:tcPr>
            <w:tcW w:w="828" w:type="dxa"/>
            <w:shd w:val="clear" w:color="auto" w:fill="C6EFCE"/>
            <w:noWrap/>
          </w:tcPr>
          <w:p w14:paraId="25A1FC54" w14:textId="77777777" w:rsidR="003B6BD9" w:rsidRDefault="003B6BD9">
            <w:pPr>
              <w:spacing w:before="0" w:after="0" w:line="256" w:lineRule="auto"/>
              <w:rPr>
                <w:rFonts w:eastAsia="Times New Roman"/>
                <w:noProof/>
                <w:color w:val="006100"/>
                <w:sz w:val="18"/>
                <w:szCs w:val="18"/>
              </w:rPr>
            </w:pPr>
          </w:p>
        </w:tc>
        <w:tc>
          <w:tcPr>
            <w:tcW w:w="1358" w:type="dxa"/>
            <w:shd w:val="clear" w:color="auto" w:fill="C6EFCE"/>
            <w:noWrap/>
          </w:tcPr>
          <w:p w14:paraId="5259DCBC" w14:textId="77777777" w:rsidR="003B6BD9" w:rsidRDefault="009E25E8">
            <w:pPr>
              <w:pStyle w:val="P68B1DB1-Normal7"/>
              <w:spacing w:before="0" w:after="0" w:line="256" w:lineRule="auto"/>
              <w:jc w:val="center"/>
              <w:rPr>
                <w:rFonts w:eastAsia="Times New Roman"/>
                <w:noProof/>
              </w:rPr>
            </w:pPr>
            <w:r>
              <w:rPr>
                <w:noProof/>
              </w:rPr>
              <w:t>T3</w:t>
            </w:r>
          </w:p>
        </w:tc>
        <w:tc>
          <w:tcPr>
            <w:tcW w:w="834" w:type="dxa"/>
            <w:shd w:val="clear" w:color="auto" w:fill="C6EFCE"/>
            <w:noWrap/>
          </w:tcPr>
          <w:p w14:paraId="5C75F74E" w14:textId="77777777" w:rsidR="003B6BD9" w:rsidRDefault="009E25E8">
            <w:pPr>
              <w:pStyle w:val="P68B1DB1-Normal7"/>
              <w:spacing w:before="0" w:after="0" w:line="256" w:lineRule="auto"/>
              <w:jc w:val="center"/>
              <w:rPr>
                <w:rFonts w:eastAsia="Times New Roman"/>
                <w:noProof/>
              </w:rPr>
            </w:pPr>
            <w:r>
              <w:rPr>
                <w:noProof/>
              </w:rPr>
              <w:t>2021</w:t>
            </w:r>
          </w:p>
        </w:tc>
        <w:tc>
          <w:tcPr>
            <w:tcW w:w="2968" w:type="dxa"/>
            <w:shd w:val="clear" w:color="auto" w:fill="C6EFCE"/>
            <w:noWrap/>
          </w:tcPr>
          <w:p w14:paraId="349D5177" w14:textId="7F86B6C0" w:rsidR="003B6BD9" w:rsidRDefault="009E25E8">
            <w:pPr>
              <w:pStyle w:val="P68B1DB1-Normal7"/>
              <w:spacing w:before="0" w:after="0" w:line="256" w:lineRule="auto"/>
              <w:rPr>
                <w:rFonts w:eastAsia="Times New Roman"/>
                <w:noProof/>
              </w:rPr>
            </w:pPr>
            <w:r>
              <w:rPr>
                <w:noProof/>
              </w:rPr>
              <w:t>Le décret sur la manière de mettre en œuvre le plan slovène pour la reprise et la résilience définit, entre autres, les procédures de réalisation d’audits et de contrôles visant à garantir le respect de la législation de l’Union et de la législation nationale applicables, les procédures concernant la vérification des jalons et des cibles et les délais de déclaration correspondants, les procédures concernant la mise en œuvre des remboursements de fonds indûment dépensés, la manière de stocker la documentation et de garantir une piste d’audit, l’accessibilité des données aux institutions nationales et européennes concernées (Commission européenne, OLAF, Cour des comptes européenne et Parquet européen), les procédures pour la mise en œuvre effective des projets, les procédures de mise en œuvre des tâches dans le domaine du plan slovène pour la reprise et la résilience, les procédures relatives à la prévention des conflits d’intérêts, de la fraude, de la corruption et du double financement au titre de la facilité et d’autres programmes de l’Union.</w:t>
            </w:r>
          </w:p>
          <w:p w14:paraId="124B0BD0" w14:textId="77777777" w:rsidR="003B6BD9" w:rsidRDefault="003B6BD9">
            <w:pPr>
              <w:spacing w:before="0" w:after="0" w:line="256" w:lineRule="auto"/>
              <w:rPr>
                <w:rFonts w:eastAsia="Times New Roman"/>
                <w:noProof/>
                <w:color w:val="006100"/>
                <w:sz w:val="18"/>
                <w:szCs w:val="18"/>
              </w:rPr>
            </w:pPr>
          </w:p>
          <w:p w14:paraId="6410EC46" w14:textId="77777777" w:rsidR="003B6BD9" w:rsidRDefault="009E25E8">
            <w:pPr>
              <w:pStyle w:val="P68B1DB1-Normal7"/>
              <w:spacing w:before="0" w:after="0" w:line="240" w:lineRule="auto"/>
              <w:rPr>
                <w:rFonts w:eastAsia="Times New Roman"/>
                <w:noProof/>
              </w:rPr>
            </w:pPr>
            <w:r>
              <w:rPr>
                <w:noProof/>
              </w:rPr>
              <w:t>Les lignes directrices de l’organisme de coordination comprennent, entre autres, une définition détaillée des procédures de réalisation des contrôles et audits conformément à la législation nationale et de l’Union applicable, des procédures de vérification des jalons et des cibles et des délais de notification correspondants, des procédures de recouvrement des fonds indûment dépensés, des procédures liées à la détection des soupçons de fraude, de conflit d’intérêts et de double financement, des procédures relatives au système de notification des irrégularités et des soupçons de fraude détectés et des soupçons de fraude et des mesures supplémentaires de gestion des risques de fraude, la définition de procédures visant à garantir le financement de la partie des ministères exécutant les différentes tâches, ainsi qu’une description détaillée des responsabilités de chaque unité, avec une délimitation claire de la fraude.</w:t>
            </w:r>
          </w:p>
          <w:p w14:paraId="0EB8DBF4" w14:textId="473F8503" w:rsidR="003B6BD9" w:rsidRDefault="009E25E8">
            <w:pPr>
              <w:pStyle w:val="P68B1DB1-Normal7"/>
              <w:spacing w:before="0" w:after="0" w:line="240" w:lineRule="auto"/>
              <w:rPr>
                <w:rFonts w:eastAsia="Times New Roman"/>
                <w:noProof/>
              </w:rPr>
            </w:pPr>
            <w:r>
              <w:rPr>
                <w:noProof/>
              </w:rPr>
              <w:t>Conformément à la décision du gouvernement de la République de Slovénie du 28 avril 2021, l’organe de coordination est responsable de la mise en place du système de mise en œuvre et de la mise en œuvre du plan slovène pour la reprise et la résilience lui-même. Ses tâches comprennent, entre autres, la coordination et le suivi du plan slovène pour la reprise et la résilience au niveau national, la coordination avec les parties prenantes et la Commission européenne dans le cadre de la mise en œuvre du plan slovène pour la reprise et la résilience, les orientations des autorités participant à la mise en œuvre du plan slovène pour la reprise et la résilience, le suivi, la vérification et la validation de la réalisation des jalons et des cibles, l’élaboration et la coordination d’actes juridiques et de documents stratégiques relatifs à la mise en œuvre du plan slovène pour la reprise et la résilience, la coordination et la complémentarité entre le règlement (UE) 2021/241 et d’autres fonds de l’UE, la mise en œuvre de contrôles et de mesures de contrôle au niveau des ministères ou des bénéficiaires participant à la mise en œuvre du plan slovène pour la reprise et la résilience, l’établissement de rapports à l’intention de la Commission européenne, du gouvernement slovène et d’autres institutions compétentes sur l’élaboration du décret, la coordination et la complémentarité entre le règlement (UE) 2021/241 et d’autres fonds de l’UE pertinents, la mise en œuvre de contrôles et de mesures de contrôle au niveau des ministères ou des bénéficiaires participant à la mise en œuvre du plan slovène pour la reprise et la résilience, ainsi que l’établissement de rapports à l’intention de la Commission européenne, du gouvernement slovène et d’autres institutions concernées.</w:t>
            </w:r>
          </w:p>
          <w:p w14:paraId="64DAE865" w14:textId="77777777" w:rsidR="003B6BD9" w:rsidRDefault="009E25E8">
            <w:pPr>
              <w:pStyle w:val="P68B1DB1-Normal7"/>
              <w:spacing w:before="0" w:after="0" w:line="240" w:lineRule="auto"/>
              <w:rPr>
                <w:rFonts w:eastAsia="Times New Roman"/>
                <w:noProof/>
              </w:rPr>
            </w:pPr>
            <w:r>
              <w:rPr>
                <w:noProof/>
              </w:rPr>
              <w:t xml:space="preserve">Un système de répertoire pour le suivi de la mise en œuvre de la FRR — MFERAC (ministère des finances — Système comptable uniforme) est en place et opérationnel. </w:t>
            </w:r>
          </w:p>
          <w:p w14:paraId="3D1252D8" w14:textId="67AD4B09" w:rsidR="003B6BD9" w:rsidRDefault="009E25E8">
            <w:pPr>
              <w:pStyle w:val="P68B1DB1-Normal7"/>
              <w:spacing w:before="0" w:after="0" w:line="240" w:lineRule="auto"/>
              <w:rPr>
                <w:rFonts w:eastAsia="Times New Roman"/>
                <w:noProof/>
              </w:rPr>
            </w:pPr>
            <w:r>
              <w:rPr>
                <w:noProof/>
              </w:rPr>
              <w:t>Le système comprend, au minimum, les fonctionnalités suivantes:</w:t>
            </w:r>
          </w:p>
          <w:p w14:paraId="0300EE62" w14:textId="77777777" w:rsidR="003B6BD9" w:rsidRDefault="009E25E8">
            <w:pPr>
              <w:pStyle w:val="P68B1DB1-Normal7"/>
              <w:spacing w:before="0" w:after="0" w:line="240" w:lineRule="auto"/>
              <w:rPr>
                <w:rFonts w:eastAsia="Times New Roman"/>
                <w:noProof/>
              </w:rPr>
            </w:pPr>
            <w:r>
              <w:rPr>
                <w:noProof/>
              </w:rPr>
              <w:t>(a) la collecte de données et le suivi de la réalisation des valeurs intermédiaires et des valeurs cibles;</w:t>
            </w:r>
          </w:p>
          <w:p w14:paraId="55C5C4C5" w14:textId="77777777" w:rsidR="003B6BD9" w:rsidRDefault="009E25E8">
            <w:pPr>
              <w:pStyle w:val="P68B1DB1-Normal10"/>
              <w:spacing w:before="0" w:after="0" w:line="240" w:lineRule="auto"/>
              <w:rPr>
                <w:rFonts w:eastAsia="Times New Roman"/>
                <w:noProof/>
                <w:color w:val="006100"/>
              </w:rPr>
            </w:pPr>
            <w:r>
              <w:rPr>
                <w:noProof/>
                <w:color w:val="006100"/>
              </w:rPr>
              <w:t>(b) collecter, stocker et garantir l’accès aux données requises par l’article 22, paragraphe 2, point d) i) à iii), du règlement FRR.</w:t>
            </w:r>
          </w:p>
        </w:tc>
      </w:tr>
    </w:tbl>
    <w:p w14:paraId="5CD1C035" w14:textId="77777777" w:rsidR="003B6BD9" w:rsidRDefault="003B6BD9">
      <w:pPr>
        <w:spacing w:line="240" w:lineRule="auto"/>
        <w:ind w:left="709"/>
        <w:jc w:val="both"/>
        <w:rPr>
          <w:noProof/>
          <w:szCs w:val="24"/>
        </w:rPr>
        <w:sectPr w:rsidR="003B6BD9" w:rsidSect="00073927">
          <w:headerReference w:type="even" r:id="rId224"/>
          <w:headerReference w:type="default" r:id="rId225"/>
          <w:footerReference w:type="even" r:id="rId226"/>
          <w:footerReference w:type="default" r:id="rId227"/>
          <w:headerReference w:type="first" r:id="rId228"/>
          <w:footerReference w:type="first" r:id="rId229"/>
          <w:pgSz w:w="16839" w:h="11907" w:orient="landscape"/>
          <w:pgMar w:top="1134" w:right="1134" w:bottom="1134" w:left="1134" w:header="567" w:footer="567" w:gutter="0"/>
          <w:cols w:space="720"/>
          <w:docGrid w:linePitch="326"/>
        </w:sectPr>
      </w:pPr>
    </w:p>
    <w:p w14:paraId="75C7AA56" w14:textId="77777777" w:rsidR="003B6BD9" w:rsidRDefault="009E25E8">
      <w:pPr>
        <w:pStyle w:val="P68B1DB1-Normal3"/>
        <w:keepNext/>
        <w:tabs>
          <w:tab w:val="left" w:pos="850"/>
        </w:tabs>
        <w:spacing w:line="240" w:lineRule="auto"/>
        <w:ind w:left="850" w:hanging="850"/>
        <w:jc w:val="both"/>
        <w:outlineLvl w:val="0"/>
        <w:rPr>
          <w:noProof/>
        </w:rPr>
      </w:pPr>
      <w:r>
        <w:rPr>
          <w:noProof/>
        </w:rPr>
        <w:t>N. COMPOSANTE 14: SANTÉ</w:t>
      </w:r>
    </w:p>
    <w:p w14:paraId="07DE9377" w14:textId="77777777" w:rsidR="003B6BD9" w:rsidRDefault="009E25E8">
      <w:pPr>
        <w:spacing w:line="240" w:lineRule="auto"/>
        <w:jc w:val="both"/>
        <w:rPr>
          <w:noProof/>
        </w:rPr>
      </w:pPr>
      <w:r>
        <w:rPr>
          <w:noProof/>
        </w:rPr>
        <w:t>Ce volet du plan slovène pour la reprise et la résilience répond à un certain nombre de défis du système de soins de santé, allant des faiblesses du système de santé primaire, en particulier les pénuries de personnel de santé, l’utilisation limitée des outils numériques dans les soins de santé et la couverture territoriale inégale de l’aide médicale d’urgence à la nécessité d’un meilleur traitement des maladies transmissibles tout en garantissant sa viabilité financière globale à long terme.</w:t>
      </w:r>
    </w:p>
    <w:p w14:paraId="00CBF734" w14:textId="43A5426E" w:rsidR="003B6BD9" w:rsidRDefault="009E25E8">
      <w:pPr>
        <w:spacing w:line="240" w:lineRule="auto"/>
        <w:jc w:val="both"/>
        <w:rPr>
          <w:noProof/>
        </w:rPr>
      </w:pPr>
      <w:r>
        <w:rPr>
          <w:noProof/>
        </w:rPr>
        <w:t>L’objectif général de ce volet est d’améliorer l’accès au système de soins de santé, sa qualité et sa viabilité financière à long terme. Il s’agit notamment de garantir un financement durable pour l’accès universel à des services de soins de santé de qualité, y compris des services préventifs; de lutter contre les menaces sanitaires émergentes telles que les maladies et affections chroniques et les nouvelles maladies transmissibles; de faire progresser la transformation numérique des services de santé; d’accroître l’efficacité de la gestion et du fonctionnement du système de santé dans les situations de crise.</w:t>
      </w:r>
    </w:p>
    <w:p w14:paraId="2BD7377F" w14:textId="77777777" w:rsidR="003B6BD9" w:rsidRDefault="009E25E8">
      <w:pPr>
        <w:spacing w:line="240" w:lineRule="auto"/>
        <w:jc w:val="both"/>
        <w:rPr>
          <w:noProof/>
        </w:rPr>
      </w:pPr>
      <w:r>
        <w:rPr>
          <w:noProof/>
        </w:rPr>
        <w:t>Ces investissements et réformes répondent aux recommandations par pays adressées à la Slovénie en 2019 pour «adopter et mettre en œuvre des réformes des soins de santé et des soins de longue durée qui garantissent la qualité, l’accessibilité et la viabilité budgétaire à long terme» (recommandations par pays nos 1 et 2019) et 2020 pour «garantir la résilience du système de santé et de soins de longue durée, notamment en fournissant un approvisionnement adéquat en produits médicaux essentiels et en remédiant à la pénurie de professionnels de la santé» (recommandations par pays nos 1 et 2020).</w:t>
      </w:r>
    </w:p>
    <w:p w14:paraId="7A78C00D" w14:textId="0757746C" w:rsidR="003B6BD9" w:rsidRDefault="009E25E8">
      <w:pPr>
        <w:spacing w:line="240" w:lineRule="auto"/>
        <w:jc w:val="both"/>
        <w:rPr>
          <w:noProof/>
        </w:rPr>
      </w:pPr>
      <w:r>
        <w:rPr>
          <w:noProof/>
        </w:rPr>
        <w:t xml:space="preserve">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  </w:t>
      </w:r>
    </w:p>
    <w:p w14:paraId="056CB1EB" w14:textId="7CAF3F7F" w:rsidR="003B6BD9" w:rsidRDefault="009E25E8">
      <w:pPr>
        <w:pStyle w:val="P68B1DB1-Normal4"/>
        <w:spacing w:line="240" w:lineRule="auto"/>
        <w:jc w:val="both"/>
        <w:rPr>
          <w:i/>
          <w:noProof/>
          <w:color w:val="4F81BD"/>
        </w:rPr>
      </w:pPr>
      <w:r>
        <w:rPr>
          <w:noProof/>
        </w:rPr>
        <w:t>N.1. Description des réformes et des investissements pour le soutien financier non remboursable</w:t>
      </w:r>
    </w:p>
    <w:p w14:paraId="35F2318E" w14:textId="77777777" w:rsidR="003B6BD9" w:rsidRDefault="009E25E8">
      <w:pPr>
        <w:pStyle w:val="P68B1DB1-Normal5"/>
        <w:spacing w:line="240" w:lineRule="auto"/>
        <w:jc w:val="both"/>
        <w:rPr>
          <w:noProof/>
        </w:rPr>
      </w:pPr>
      <w:r>
        <w:rPr>
          <w:noProof/>
        </w:rPr>
        <w:t>Réforme A: Réforme du système de soins de santé</w:t>
      </w:r>
    </w:p>
    <w:p w14:paraId="2763DC5E" w14:textId="25F064E9" w:rsidR="003B6BD9" w:rsidRDefault="009E25E8">
      <w:pPr>
        <w:spacing w:line="240" w:lineRule="auto"/>
        <w:jc w:val="both"/>
        <w:rPr>
          <w:noProof/>
        </w:rPr>
      </w:pPr>
      <w:r>
        <w:rPr>
          <w:noProof/>
        </w:rPr>
        <w:t>L’objectif de la réforme est de mettre en place un système de soins de santé de qualité, accessible, efficace et financièrement viable.</w:t>
      </w:r>
    </w:p>
    <w:p w14:paraId="3D09DC70" w14:textId="22E5879C" w:rsidR="003B6BD9" w:rsidRDefault="009E25E8">
      <w:pPr>
        <w:spacing w:after="0" w:line="240" w:lineRule="auto"/>
        <w:jc w:val="both"/>
        <w:rPr>
          <w:noProof/>
        </w:rPr>
      </w:pPr>
      <w:r>
        <w:rPr>
          <w:noProof/>
        </w:rPr>
        <w:t xml:space="preserve">La réforme consiste en l’entrée en vigueur de la législation relative aux soins de santé visant à garantir la qualité, l’accessibilité et la viabilité financière des soins de santé en Slovénie, ainsi qu’en la mise en place d’un organisme indépendant chargé de contrôler la qualité et la sécurité du système de soins de santé. </w:t>
      </w:r>
    </w:p>
    <w:p w14:paraId="32658ADD" w14:textId="77777777" w:rsidR="003B6BD9" w:rsidRDefault="009E25E8">
      <w:pPr>
        <w:pStyle w:val="P68B1DB1-Normal5"/>
        <w:spacing w:line="240" w:lineRule="auto"/>
        <w:jc w:val="both"/>
        <w:rPr>
          <w:noProof/>
        </w:rPr>
      </w:pPr>
      <w:r>
        <w:rPr>
          <w:noProof/>
        </w:rPr>
        <w:t>Investissement B: Renforcer les compétences du personnel de santé pour garantir la qualité des soins</w:t>
      </w:r>
    </w:p>
    <w:p w14:paraId="7C8D10C1" w14:textId="223E6B66" w:rsidR="003B6BD9" w:rsidRDefault="009E25E8">
      <w:pPr>
        <w:spacing w:line="240" w:lineRule="auto"/>
        <w:jc w:val="both"/>
        <w:rPr>
          <w:noProof/>
        </w:rPr>
      </w:pPr>
      <w:r>
        <w:rPr>
          <w:noProof/>
        </w:rPr>
        <w:t xml:space="preserve">L’objectif de l’investissement est d’élargir les aptitudes et les compétences du personnel de santé au niveau des soins primaires ou d’autres participants à la formation. </w:t>
      </w:r>
    </w:p>
    <w:p w14:paraId="4AC8BF76" w14:textId="2D572FAA" w:rsidR="003B6BD9" w:rsidRDefault="009E25E8">
      <w:pPr>
        <w:spacing w:before="0" w:after="0" w:line="240" w:lineRule="auto"/>
        <w:jc w:val="both"/>
        <w:rPr>
          <w:noProof/>
        </w:rPr>
      </w:pPr>
      <w:r>
        <w:rPr>
          <w:noProof/>
        </w:rPr>
        <w:t>L’investissement consiste en des formations dispensées sur les soins palliatifs, les maladies gériatriques, la santé mentale et les douleurs musculo-squelettiques, ainsi qu’en la mise à disposition de véhicules pour les équipes de soins palliatifs.</w:t>
      </w:r>
    </w:p>
    <w:p w14:paraId="6D7774BF" w14:textId="77777777" w:rsidR="003B6BD9" w:rsidRDefault="009E25E8">
      <w:pPr>
        <w:pStyle w:val="P68B1DB1-Normal5"/>
        <w:spacing w:line="240" w:lineRule="auto"/>
        <w:jc w:val="both"/>
        <w:rPr>
          <w:noProof/>
        </w:rPr>
      </w:pPr>
      <w:r>
        <w:rPr>
          <w:noProof/>
        </w:rPr>
        <w:t>Investissement C: Transformation numérique des soins de santé</w:t>
      </w:r>
    </w:p>
    <w:p w14:paraId="1AC6C397" w14:textId="68FA80C6" w:rsidR="003B6BD9" w:rsidRDefault="009E25E8">
      <w:pPr>
        <w:spacing w:line="240" w:lineRule="auto"/>
        <w:jc w:val="both"/>
        <w:rPr>
          <w:noProof/>
        </w:rPr>
      </w:pPr>
      <w:r>
        <w:rPr>
          <w:noProof/>
        </w:rPr>
        <w:t>Les objectifs de l’investissement sont de garantir l’accès à des données harmonisées dans le domaine des soins de santé, principalement en intégrant de nouveaux services numériques dans les soins de santé, afin de promouvoir l’utilisation des technologies de l’information dans le domaine des soins de santé pour la communication avec les patients et le personnel de santé.</w:t>
      </w:r>
    </w:p>
    <w:p w14:paraId="564A499A" w14:textId="29ED412F" w:rsidR="003B6BD9" w:rsidRDefault="009E25E8">
      <w:pPr>
        <w:spacing w:line="240" w:lineRule="auto"/>
        <w:jc w:val="both"/>
        <w:rPr>
          <w:noProof/>
        </w:rPr>
      </w:pPr>
      <w:r>
        <w:rPr>
          <w:noProof/>
        </w:rPr>
        <w:t>L’investissement consiste en la mise en place d’un stockage central des images et en la mise en place de la plateforme nationale de télésanté.</w:t>
      </w:r>
    </w:p>
    <w:p w14:paraId="5C986F70" w14:textId="77777777" w:rsidR="003B6BD9" w:rsidRDefault="009E25E8">
      <w:pPr>
        <w:pStyle w:val="P68B1DB1-Normal5"/>
        <w:spacing w:line="240" w:lineRule="auto"/>
        <w:jc w:val="both"/>
        <w:rPr>
          <w:noProof/>
        </w:rPr>
      </w:pPr>
      <w:r>
        <w:rPr>
          <w:noProof/>
        </w:rPr>
        <w:t xml:space="preserve">Investissement D: Accessibilité du système de santé </w:t>
      </w:r>
    </w:p>
    <w:p w14:paraId="5EF80E40" w14:textId="1DE0F365" w:rsidR="003B6BD9" w:rsidRDefault="009E25E8">
      <w:pPr>
        <w:spacing w:line="240" w:lineRule="auto"/>
        <w:jc w:val="both"/>
        <w:rPr>
          <w:noProof/>
        </w:rPr>
      </w:pPr>
      <w:r>
        <w:rPr>
          <w:noProof/>
        </w:rPr>
        <w:t>Les objectifs de l’investissement sont de garantir un meilleur accès à l’aide médicale d’urgence et de raccourcir le délai d’arrivée de l’équipe d’intervention.</w:t>
      </w:r>
    </w:p>
    <w:p w14:paraId="6D47A309" w14:textId="1390D5F4" w:rsidR="003B6BD9" w:rsidRDefault="009E25E8">
      <w:pPr>
        <w:spacing w:line="240" w:lineRule="auto"/>
        <w:jc w:val="both"/>
        <w:rPr>
          <w:noProof/>
        </w:rPr>
      </w:pPr>
      <w:r>
        <w:rPr>
          <w:noProof/>
        </w:rPr>
        <w:t>L’investissement consiste en la livraison de véhicules pour l’assistance médicale d’urgence, la construction d’un héliport et l’achat d’équipements pour la circulation sanguine extracorporelle, y compris des équipements auxiliaires.</w:t>
      </w:r>
    </w:p>
    <w:p w14:paraId="5B7AE239" w14:textId="0066DC4D" w:rsidR="003B6BD9" w:rsidRDefault="009E25E8">
      <w:pPr>
        <w:pStyle w:val="P68B1DB1-Normal5"/>
        <w:spacing w:line="240" w:lineRule="auto"/>
        <w:jc w:val="both"/>
        <w:rPr>
          <w:noProof/>
        </w:rPr>
      </w:pPr>
      <w:r>
        <w:rPr>
          <w:noProof/>
        </w:rPr>
        <w:t>Investissement E: Traitement efficace des maladies transmissibles et chroniques</w:t>
      </w:r>
    </w:p>
    <w:p w14:paraId="144592A1" w14:textId="0ACFA1F3" w:rsidR="003B6BD9" w:rsidRDefault="009E25E8">
      <w:pPr>
        <w:spacing w:line="240" w:lineRule="auto"/>
        <w:jc w:val="both"/>
        <w:rPr>
          <w:noProof/>
        </w:rPr>
      </w:pPr>
      <w:r>
        <w:rPr>
          <w:noProof/>
        </w:rPr>
        <w:t xml:space="preserve">L’objectif de l’investissement est d’accroître et de renforcer les capacités de traitement des maladies transmissibles et chroniques en Slovénie. </w:t>
      </w:r>
    </w:p>
    <w:p w14:paraId="4C16EFDF" w14:textId="0DEA7089" w:rsidR="003B6BD9" w:rsidRDefault="009E25E8">
      <w:pPr>
        <w:spacing w:line="240" w:lineRule="auto"/>
        <w:jc w:val="both"/>
        <w:rPr>
          <w:noProof/>
        </w:rPr>
      </w:pPr>
      <w:r>
        <w:rPr>
          <w:noProof/>
        </w:rPr>
        <w:t>L’investissement consiste en la construction de la clinique infectieuse à l’UKC Ljubljana jusqu’à la troisième phase de construction et les travaux d’accompagnement des quatrième et cinquième phases de construction,</w:t>
      </w:r>
      <w:r>
        <w:rPr>
          <w:rFonts w:ascii="Arial" w:eastAsia="Arial" w:hAnsi="Arial" w:cs="Arial"/>
          <w:b/>
          <w:noProof/>
          <w:color w:val="0070C0"/>
          <w:sz w:val="18"/>
          <w:szCs w:val="18"/>
        </w:rPr>
        <w:t xml:space="preserve"> </w:t>
      </w:r>
      <w:r>
        <w:rPr>
          <w:noProof/>
        </w:rPr>
        <w:t>ainsi qu’en la livraison d’accélérateurs linéaires à l’UKC Maribor.</w:t>
      </w:r>
    </w:p>
    <w:p w14:paraId="57AE0AAD" w14:textId="77777777" w:rsidR="003B6BD9" w:rsidRDefault="003B6BD9">
      <w:pPr>
        <w:spacing w:line="240" w:lineRule="auto"/>
        <w:ind w:left="850"/>
        <w:jc w:val="both"/>
        <w:rPr>
          <w:noProof/>
        </w:rPr>
        <w:sectPr w:rsidR="003B6BD9" w:rsidSect="00073927">
          <w:headerReference w:type="even" r:id="rId230"/>
          <w:headerReference w:type="default" r:id="rId231"/>
          <w:footerReference w:type="even" r:id="rId232"/>
          <w:footerReference w:type="default" r:id="rId233"/>
          <w:headerReference w:type="first" r:id="rId234"/>
          <w:footerReference w:type="first" r:id="rId235"/>
          <w:pgSz w:w="11907" w:h="16839"/>
          <w:pgMar w:top="1134" w:right="1134" w:bottom="1134" w:left="1134" w:header="567" w:footer="567" w:gutter="0"/>
          <w:cols w:space="720"/>
          <w:docGrid w:linePitch="326"/>
        </w:sectPr>
      </w:pPr>
    </w:p>
    <w:p w14:paraId="4ADC69E3" w14:textId="77777777" w:rsidR="003B6BD9" w:rsidRDefault="009E25E8">
      <w:pPr>
        <w:pStyle w:val="P68B1DB1-Normal4"/>
        <w:spacing w:line="240" w:lineRule="auto"/>
        <w:ind w:left="850"/>
        <w:jc w:val="both"/>
        <w:rPr>
          <w:noProof/>
        </w:rPr>
      </w:pPr>
      <w:r>
        <w:rPr>
          <w:noProof/>
        </w:rPr>
        <w:t xml:space="preserve">N.2. </w:t>
      </w:r>
      <w:r>
        <w:rPr>
          <w:noProof/>
        </w:rPr>
        <w:tab/>
        <w:t>Jalons, cibles, indicateurs et calendrier de suivi et de mise en œuvre pour le soutien financier non remboursable</w:t>
      </w:r>
    </w:p>
    <w:tbl>
      <w:tblPr>
        <w:tblW w:w="15406" w:type="dxa"/>
        <w:tblInd w:w="-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1680"/>
        <w:gridCol w:w="1080"/>
        <w:gridCol w:w="1800"/>
        <w:gridCol w:w="2400"/>
        <w:gridCol w:w="1200"/>
        <w:gridCol w:w="960"/>
        <w:gridCol w:w="720"/>
        <w:gridCol w:w="1080"/>
        <w:gridCol w:w="720"/>
        <w:gridCol w:w="2806"/>
      </w:tblGrid>
      <w:tr w:rsidR="003B6BD9" w14:paraId="5746A286" w14:textId="77777777" w:rsidTr="006C1AFD">
        <w:trPr>
          <w:trHeight w:val="901"/>
          <w:tblHeader/>
        </w:trPr>
        <w:tc>
          <w:tcPr>
            <w:tcW w:w="960" w:type="dxa"/>
            <w:vMerge w:val="restart"/>
            <w:shd w:val="clear" w:color="auto" w:fill="BDD7EE"/>
            <w:vAlign w:val="center"/>
            <w:hideMark/>
          </w:tcPr>
          <w:p w14:paraId="22004C37" w14:textId="1E196231" w:rsidR="003B6BD9" w:rsidRDefault="009E25E8">
            <w:pPr>
              <w:pStyle w:val="P68B1DB1-Normal6"/>
              <w:spacing w:before="0" w:after="0" w:line="240" w:lineRule="auto"/>
              <w:jc w:val="center"/>
              <w:rPr>
                <w:rFonts w:eastAsia="Times New Roman"/>
                <w:noProof/>
              </w:rPr>
            </w:pPr>
            <w:r>
              <w:rPr>
                <w:noProof/>
              </w:rPr>
              <w:t>Et suivants Non.</w:t>
            </w:r>
          </w:p>
        </w:tc>
        <w:tc>
          <w:tcPr>
            <w:tcW w:w="1680" w:type="dxa"/>
            <w:vMerge w:val="restart"/>
            <w:shd w:val="clear" w:color="auto" w:fill="BDD7EE"/>
            <w:vAlign w:val="center"/>
            <w:hideMark/>
          </w:tcPr>
          <w:p w14:paraId="0078A48A" w14:textId="77777777" w:rsidR="003B6BD9" w:rsidRDefault="009E25E8">
            <w:pPr>
              <w:pStyle w:val="P68B1DB1-Normal6"/>
              <w:spacing w:before="0" w:after="0" w:line="240" w:lineRule="auto"/>
              <w:jc w:val="center"/>
              <w:rPr>
                <w:rFonts w:eastAsia="Times New Roman"/>
                <w:noProof/>
              </w:rPr>
            </w:pPr>
            <w:r>
              <w:rPr>
                <w:noProof/>
              </w:rPr>
              <w:t>Mesure connexe (réforme ou investissement)</w:t>
            </w:r>
          </w:p>
        </w:tc>
        <w:tc>
          <w:tcPr>
            <w:tcW w:w="1080" w:type="dxa"/>
            <w:vMerge w:val="restart"/>
            <w:shd w:val="clear" w:color="auto" w:fill="BDD7EE"/>
            <w:vAlign w:val="center"/>
            <w:hideMark/>
          </w:tcPr>
          <w:p w14:paraId="2F4CEB58" w14:textId="21C2D0F1" w:rsidR="003B6BD9" w:rsidRDefault="009E25E8">
            <w:pPr>
              <w:pStyle w:val="P68B1DB1-Normal6"/>
              <w:spacing w:before="0" w:after="0" w:line="240" w:lineRule="auto"/>
              <w:jc w:val="center"/>
              <w:rPr>
                <w:rFonts w:eastAsia="Times New Roman"/>
                <w:noProof/>
              </w:rPr>
            </w:pPr>
            <w:r>
              <w:rPr>
                <w:noProof/>
              </w:rPr>
              <w:t>Étape/</w:t>
            </w:r>
            <w:r w:rsidR="006C1AFD">
              <w:rPr>
                <w:noProof/>
              </w:rPr>
              <w:br/>
            </w:r>
            <w:r>
              <w:rPr>
                <w:noProof/>
              </w:rPr>
              <w:t>Objectif</w:t>
            </w:r>
          </w:p>
        </w:tc>
        <w:tc>
          <w:tcPr>
            <w:tcW w:w="1800" w:type="dxa"/>
            <w:vMerge w:val="restart"/>
            <w:shd w:val="clear" w:color="auto" w:fill="BDD7EE"/>
            <w:vAlign w:val="center"/>
            <w:hideMark/>
          </w:tcPr>
          <w:p w14:paraId="34ED6510" w14:textId="77777777" w:rsidR="003B6BD9" w:rsidRDefault="009E25E8">
            <w:pPr>
              <w:pStyle w:val="P68B1DB1-Normal6"/>
              <w:spacing w:before="0" w:after="0" w:line="240" w:lineRule="auto"/>
              <w:jc w:val="center"/>
              <w:rPr>
                <w:rFonts w:eastAsia="Times New Roman"/>
                <w:noProof/>
              </w:rPr>
            </w:pPr>
            <w:r>
              <w:rPr>
                <w:noProof/>
              </w:rPr>
              <w:t>Nom</w:t>
            </w:r>
          </w:p>
        </w:tc>
        <w:tc>
          <w:tcPr>
            <w:tcW w:w="2400" w:type="dxa"/>
            <w:vMerge w:val="restart"/>
            <w:shd w:val="clear" w:color="auto" w:fill="BDD7EE"/>
            <w:vAlign w:val="center"/>
            <w:hideMark/>
          </w:tcPr>
          <w:p w14:paraId="124AF0D8" w14:textId="0B2D69CC" w:rsidR="003B6BD9" w:rsidRDefault="009E25E8">
            <w:pPr>
              <w:pStyle w:val="P68B1DB1-Normal6"/>
              <w:spacing w:before="0" w:after="0" w:line="240" w:lineRule="auto"/>
              <w:jc w:val="center"/>
              <w:rPr>
                <w:rFonts w:eastAsia="Times New Roman"/>
                <w:noProof/>
              </w:rPr>
            </w:pPr>
            <w:r>
              <w:rPr>
                <w:noProof/>
              </w:rPr>
              <w:t>Indicateurs qualitatifs (pour les jalons)</w:t>
            </w:r>
          </w:p>
        </w:tc>
        <w:tc>
          <w:tcPr>
            <w:tcW w:w="2880" w:type="dxa"/>
            <w:gridSpan w:val="3"/>
            <w:shd w:val="clear" w:color="auto" w:fill="BDD7EE"/>
            <w:vAlign w:val="center"/>
            <w:hideMark/>
          </w:tcPr>
          <w:p w14:paraId="60063804" w14:textId="5A69AD05" w:rsidR="003B6BD9" w:rsidRDefault="009E25E8">
            <w:pPr>
              <w:pStyle w:val="P68B1DB1-Normal6"/>
              <w:spacing w:before="0" w:after="0" w:line="240" w:lineRule="auto"/>
              <w:jc w:val="center"/>
              <w:rPr>
                <w:rFonts w:eastAsia="Times New Roman"/>
                <w:noProof/>
              </w:rPr>
            </w:pPr>
            <w:r>
              <w:rPr>
                <w:noProof/>
              </w:rPr>
              <w:t>Indicateurs quantitatifs (pour les cibles)</w:t>
            </w:r>
          </w:p>
        </w:tc>
        <w:tc>
          <w:tcPr>
            <w:tcW w:w="1800" w:type="dxa"/>
            <w:gridSpan w:val="2"/>
            <w:shd w:val="clear" w:color="auto" w:fill="BDD7EE"/>
            <w:vAlign w:val="center"/>
            <w:hideMark/>
          </w:tcPr>
          <w:p w14:paraId="699FD3B8" w14:textId="77777777" w:rsidR="003B6BD9" w:rsidRDefault="009E25E8">
            <w:pPr>
              <w:pStyle w:val="P68B1DB1-Normal6"/>
              <w:spacing w:before="0" w:after="0" w:line="240" w:lineRule="auto"/>
              <w:jc w:val="center"/>
              <w:rPr>
                <w:rFonts w:eastAsia="Times New Roman"/>
                <w:noProof/>
              </w:rPr>
            </w:pPr>
            <w:r>
              <w:rPr>
                <w:noProof/>
              </w:rPr>
              <w:t xml:space="preserve">Calendrier indicatif pour l’achèvement </w:t>
            </w:r>
          </w:p>
        </w:tc>
        <w:tc>
          <w:tcPr>
            <w:tcW w:w="2806" w:type="dxa"/>
            <w:vMerge w:val="restart"/>
            <w:shd w:val="clear" w:color="auto" w:fill="BDD7EE"/>
            <w:vAlign w:val="center"/>
            <w:hideMark/>
          </w:tcPr>
          <w:p w14:paraId="338A2F55" w14:textId="77777777" w:rsidR="003B6BD9" w:rsidRDefault="009E25E8">
            <w:pPr>
              <w:pStyle w:val="P68B1DB1-Normal6"/>
              <w:spacing w:before="0" w:after="0" w:line="240" w:lineRule="auto"/>
              <w:jc w:val="center"/>
              <w:rPr>
                <w:rFonts w:eastAsia="Times New Roman"/>
                <w:noProof/>
              </w:rPr>
            </w:pPr>
            <w:r>
              <w:rPr>
                <w:noProof/>
              </w:rPr>
              <w:t>Description de chaque jalon et cible</w:t>
            </w:r>
          </w:p>
        </w:tc>
      </w:tr>
      <w:tr w:rsidR="003B6BD9" w14:paraId="18873C46" w14:textId="77777777" w:rsidTr="006C1AFD">
        <w:trPr>
          <w:trHeight w:val="322"/>
          <w:tblHeader/>
        </w:trPr>
        <w:tc>
          <w:tcPr>
            <w:tcW w:w="960" w:type="dxa"/>
            <w:vMerge/>
            <w:vAlign w:val="center"/>
            <w:hideMark/>
          </w:tcPr>
          <w:p w14:paraId="4BD5D5EE" w14:textId="77777777" w:rsidR="003B6BD9" w:rsidRDefault="003B6BD9">
            <w:pPr>
              <w:spacing w:before="0" w:after="0" w:line="240" w:lineRule="auto"/>
              <w:rPr>
                <w:rFonts w:eastAsia="Times New Roman"/>
                <w:b/>
                <w:noProof/>
                <w:sz w:val="18"/>
                <w:szCs w:val="18"/>
              </w:rPr>
            </w:pPr>
          </w:p>
        </w:tc>
        <w:tc>
          <w:tcPr>
            <w:tcW w:w="1680" w:type="dxa"/>
            <w:vMerge/>
            <w:vAlign w:val="center"/>
            <w:hideMark/>
          </w:tcPr>
          <w:p w14:paraId="657CF0D6" w14:textId="77777777" w:rsidR="003B6BD9" w:rsidRDefault="003B6BD9">
            <w:pPr>
              <w:spacing w:before="0" w:after="0" w:line="240" w:lineRule="auto"/>
              <w:rPr>
                <w:rFonts w:eastAsia="Times New Roman"/>
                <w:b/>
                <w:noProof/>
                <w:sz w:val="18"/>
                <w:szCs w:val="18"/>
              </w:rPr>
            </w:pPr>
          </w:p>
        </w:tc>
        <w:tc>
          <w:tcPr>
            <w:tcW w:w="1080" w:type="dxa"/>
            <w:vMerge/>
            <w:vAlign w:val="center"/>
            <w:hideMark/>
          </w:tcPr>
          <w:p w14:paraId="053038BB" w14:textId="77777777" w:rsidR="003B6BD9" w:rsidRDefault="003B6BD9">
            <w:pPr>
              <w:spacing w:before="0" w:after="0" w:line="240" w:lineRule="auto"/>
              <w:rPr>
                <w:rFonts w:eastAsia="Times New Roman"/>
                <w:b/>
                <w:noProof/>
                <w:sz w:val="18"/>
                <w:szCs w:val="18"/>
              </w:rPr>
            </w:pPr>
          </w:p>
        </w:tc>
        <w:tc>
          <w:tcPr>
            <w:tcW w:w="1800" w:type="dxa"/>
            <w:vMerge/>
            <w:vAlign w:val="center"/>
            <w:hideMark/>
          </w:tcPr>
          <w:p w14:paraId="25FD227F" w14:textId="77777777" w:rsidR="003B6BD9" w:rsidRDefault="003B6BD9">
            <w:pPr>
              <w:spacing w:before="0" w:after="0" w:line="240" w:lineRule="auto"/>
              <w:rPr>
                <w:rFonts w:eastAsia="Times New Roman"/>
                <w:b/>
                <w:noProof/>
                <w:sz w:val="18"/>
                <w:szCs w:val="18"/>
              </w:rPr>
            </w:pPr>
          </w:p>
        </w:tc>
        <w:tc>
          <w:tcPr>
            <w:tcW w:w="2400" w:type="dxa"/>
            <w:vMerge/>
            <w:vAlign w:val="center"/>
            <w:hideMark/>
          </w:tcPr>
          <w:p w14:paraId="7B211D54" w14:textId="77777777" w:rsidR="003B6BD9" w:rsidRDefault="003B6BD9">
            <w:pPr>
              <w:spacing w:before="0" w:after="0" w:line="240" w:lineRule="auto"/>
              <w:rPr>
                <w:rFonts w:eastAsia="Times New Roman"/>
                <w:b/>
                <w:noProof/>
                <w:sz w:val="18"/>
                <w:szCs w:val="18"/>
              </w:rPr>
            </w:pPr>
          </w:p>
        </w:tc>
        <w:tc>
          <w:tcPr>
            <w:tcW w:w="1200" w:type="dxa"/>
            <w:shd w:val="clear" w:color="auto" w:fill="BDD7EE"/>
            <w:vAlign w:val="center"/>
            <w:hideMark/>
          </w:tcPr>
          <w:p w14:paraId="406F0C63" w14:textId="77777777" w:rsidR="003B6BD9" w:rsidRDefault="009E25E8">
            <w:pPr>
              <w:pStyle w:val="P68B1DB1-Normal6"/>
              <w:spacing w:before="0" w:after="0" w:line="240" w:lineRule="auto"/>
              <w:jc w:val="center"/>
              <w:rPr>
                <w:rFonts w:eastAsia="Times New Roman"/>
                <w:noProof/>
              </w:rPr>
            </w:pPr>
            <w:r>
              <w:rPr>
                <w:noProof/>
              </w:rPr>
              <w:t>Unité de mesure</w:t>
            </w:r>
          </w:p>
        </w:tc>
        <w:tc>
          <w:tcPr>
            <w:tcW w:w="960" w:type="dxa"/>
            <w:shd w:val="clear" w:color="auto" w:fill="BDD7EE"/>
            <w:vAlign w:val="center"/>
            <w:hideMark/>
          </w:tcPr>
          <w:p w14:paraId="7F3B08F4" w14:textId="77777777" w:rsidR="003B6BD9" w:rsidRDefault="009E25E8">
            <w:pPr>
              <w:pStyle w:val="P68B1DB1-Normal6"/>
              <w:spacing w:before="0" w:after="0" w:line="240" w:lineRule="auto"/>
              <w:jc w:val="center"/>
              <w:rPr>
                <w:rFonts w:eastAsia="Times New Roman"/>
                <w:noProof/>
              </w:rPr>
            </w:pPr>
            <w:r>
              <w:rPr>
                <w:noProof/>
              </w:rPr>
              <w:t xml:space="preserve">Niveau de référence </w:t>
            </w:r>
          </w:p>
        </w:tc>
        <w:tc>
          <w:tcPr>
            <w:tcW w:w="720" w:type="dxa"/>
            <w:shd w:val="clear" w:color="auto" w:fill="BDD7EE"/>
            <w:vAlign w:val="center"/>
            <w:hideMark/>
          </w:tcPr>
          <w:p w14:paraId="16D3746D" w14:textId="77777777" w:rsidR="003B6BD9" w:rsidRDefault="009E25E8">
            <w:pPr>
              <w:pStyle w:val="P68B1DB1-Normal6"/>
              <w:spacing w:before="0" w:after="0" w:line="240" w:lineRule="auto"/>
              <w:jc w:val="center"/>
              <w:rPr>
                <w:rFonts w:eastAsia="Times New Roman"/>
                <w:noProof/>
              </w:rPr>
            </w:pPr>
            <w:r>
              <w:rPr>
                <w:noProof/>
              </w:rPr>
              <w:t xml:space="preserve">But </w:t>
            </w:r>
          </w:p>
        </w:tc>
        <w:tc>
          <w:tcPr>
            <w:tcW w:w="1080" w:type="dxa"/>
            <w:shd w:val="clear" w:color="auto" w:fill="BDD7EE"/>
            <w:vAlign w:val="center"/>
            <w:hideMark/>
          </w:tcPr>
          <w:p w14:paraId="49262FC5" w14:textId="77777777" w:rsidR="003B6BD9" w:rsidRDefault="009E25E8">
            <w:pPr>
              <w:pStyle w:val="P68B1DB1-Normal6"/>
              <w:spacing w:before="0" w:after="0" w:line="240" w:lineRule="auto"/>
              <w:jc w:val="center"/>
              <w:rPr>
                <w:rFonts w:eastAsia="Times New Roman"/>
                <w:noProof/>
              </w:rPr>
            </w:pPr>
            <w:r>
              <w:rPr>
                <w:noProof/>
              </w:rPr>
              <w:t>Trimestre</w:t>
            </w:r>
          </w:p>
        </w:tc>
        <w:tc>
          <w:tcPr>
            <w:tcW w:w="720" w:type="dxa"/>
            <w:shd w:val="clear" w:color="auto" w:fill="BDD7EE"/>
            <w:vAlign w:val="center"/>
            <w:hideMark/>
          </w:tcPr>
          <w:p w14:paraId="59037EEB" w14:textId="77777777" w:rsidR="003B6BD9" w:rsidRDefault="009E25E8">
            <w:pPr>
              <w:pStyle w:val="P68B1DB1-Normal6"/>
              <w:spacing w:before="0" w:after="0" w:line="240" w:lineRule="auto"/>
              <w:jc w:val="center"/>
              <w:rPr>
                <w:rFonts w:eastAsia="Times New Roman"/>
                <w:noProof/>
              </w:rPr>
            </w:pPr>
            <w:r>
              <w:rPr>
                <w:noProof/>
              </w:rPr>
              <w:t>Année</w:t>
            </w:r>
          </w:p>
        </w:tc>
        <w:tc>
          <w:tcPr>
            <w:tcW w:w="2806" w:type="dxa"/>
            <w:vMerge/>
            <w:vAlign w:val="center"/>
            <w:hideMark/>
          </w:tcPr>
          <w:p w14:paraId="7628DBDA" w14:textId="77777777" w:rsidR="003B6BD9" w:rsidRDefault="003B6BD9">
            <w:pPr>
              <w:spacing w:before="0" w:after="0" w:line="240" w:lineRule="auto"/>
              <w:rPr>
                <w:rFonts w:eastAsia="Times New Roman"/>
                <w:b/>
                <w:noProof/>
                <w:sz w:val="18"/>
                <w:szCs w:val="18"/>
              </w:rPr>
            </w:pPr>
          </w:p>
        </w:tc>
      </w:tr>
      <w:tr w:rsidR="003B6BD9" w14:paraId="23FD7777" w14:textId="77777777" w:rsidTr="006C1AFD">
        <w:trPr>
          <w:trHeight w:val="1892"/>
        </w:trPr>
        <w:tc>
          <w:tcPr>
            <w:tcW w:w="960" w:type="dxa"/>
            <w:shd w:val="clear" w:color="auto" w:fill="C6EFCE"/>
            <w:noWrap/>
          </w:tcPr>
          <w:p w14:paraId="1720097F" w14:textId="49CAEBB3" w:rsidR="003B6BD9" w:rsidRDefault="009E25E8">
            <w:pPr>
              <w:pStyle w:val="P68B1DB1-Normal7"/>
              <w:spacing w:before="0" w:after="0" w:line="240" w:lineRule="auto"/>
              <w:rPr>
                <w:rFonts w:eastAsia="Times New Roman"/>
                <w:noProof/>
              </w:rPr>
            </w:pPr>
            <w:r>
              <w:rPr>
                <w:noProof/>
              </w:rPr>
              <w:t>182</w:t>
            </w:r>
          </w:p>
        </w:tc>
        <w:tc>
          <w:tcPr>
            <w:tcW w:w="1680" w:type="dxa"/>
            <w:shd w:val="clear" w:color="auto" w:fill="C6EFCE"/>
            <w:noWrap/>
          </w:tcPr>
          <w:p w14:paraId="43190C3A" w14:textId="08C1020E" w:rsidR="003B6BD9" w:rsidRDefault="009E25E8">
            <w:pPr>
              <w:pStyle w:val="P68B1DB1-Normal7"/>
              <w:spacing w:before="0" w:after="0" w:line="240" w:lineRule="auto"/>
              <w:rPr>
                <w:rFonts w:eastAsia="Times New Roman"/>
                <w:noProof/>
              </w:rPr>
            </w:pPr>
            <w:r>
              <w:rPr>
                <w:noProof/>
              </w:rPr>
              <w:t>A: Réforme du système de soins de santé</w:t>
            </w:r>
          </w:p>
        </w:tc>
        <w:tc>
          <w:tcPr>
            <w:tcW w:w="1080" w:type="dxa"/>
            <w:shd w:val="clear" w:color="auto" w:fill="C6EFCE"/>
            <w:noWrap/>
          </w:tcPr>
          <w:p w14:paraId="32F6E4AA" w14:textId="6F788642" w:rsidR="003B6BD9" w:rsidRDefault="009E25E8">
            <w:pPr>
              <w:pStyle w:val="P68B1DB1-Normal7"/>
              <w:spacing w:before="0" w:after="0" w:line="240" w:lineRule="auto"/>
              <w:rPr>
                <w:rFonts w:eastAsia="Times New Roman"/>
                <w:noProof/>
              </w:rPr>
            </w:pPr>
            <w:r>
              <w:rPr>
                <w:noProof/>
              </w:rPr>
              <w:t>Jalon</w:t>
            </w:r>
          </w:p>
        </w:tc>
        <w:tc>
          <w:tcPr>
            <w:tcW w:w="1800" w:type="dxa"/>
            <w:shd w:val="clear" w:color="auto" w:fill="C6EFCE"/>
            <w:noWrap/>
          </w:tcPr>
          <w:p w14:paraId="44AF0E32" w14:textId="7DC39480" w:rsidR="003B6BD9" w:rsidRDefault="009E25E8">
            <w:pPr>
              <w:pStyle w:val="P68B1DB1-Normal7"/>
              <w:spacing w:before="0" w:after="0" w:line="240" w:lineRule="auto"/>
              <w:rPr>
                <w:rFonts w:eastAsia="Times New Roman"/>
                <w:noProof/>
              </w:rPr>
            </w:pPr>
            <w:r>
              <w:rPr>
                <w:noProof/>
              </w:rPr>
              <w:t xml:space="preserve">Mise en place d’un organisme indépendant chargé de surveiller et de contrôler la qualité du système de soins de santé </w:t>
            </w:r>
          </w:p>
        </w:tc>
        <w:tc>
          <w:tcPr>
            <w:tcW w:w="2400" w:type="dxa"/>
            <w:shd w:val="clear" w:color="auto" w:fill="C6EFCE"/>
            <w:noWrap/>
          </w:tcPr>
          <w:p w14:paraId="0AC07619" w14:textId="5324DC86" w:rsidR="003B6BD9" w:rsidRDefault="009E25E8">
            <w:pPr>
              <w:pStyle w:val="P68B1DB1-Normal7"/>
              <w:spacing w:before="0" w:after="0" w:line="240" w:lineRule="auto"/>
              <w:rPr>
                <w:rFonts w:eastAsia="Times New Roman"/>
                <w:noProof/>
              </w:rPr>
            </w:pPr>
            <w:r>
              <w:rPr>
                <w:noProof/>
              </w:rPr>
              <w:t>Un organisme indépendant chargé de surveiller et de contrôler la qualité du système de soins de santé est opérationnel</w:t>
            </w:r>
          </w:p>
        </w:tc>
        <w:tc>
          <w:tcPr>
            <w:tcW w:w="1200" w:type="dxa"/>
            <w:shd w:val="clear" w:color="auto" w:fill="C6EFCE"/>
            <w:noWrap/>
          </w:tcPr>
          <w:p w14:paraId="147F6012" w14:textId="77777777"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759554D9" w14:textId="77777777" w:rsidR="003B6BD9" w:rsidRDefault="009E25E8">
            <w:pPr>
              <w:pStyle w:val="P68B1DB1-Normal7"/>
              <w:spacing w:before="0" w:after="0" w:line="240" w:lineRule="auto"/>
              <w:jc w:val="right"/>
              <w:rPr>
                <w:rFonts w:eastAsia="Times New Roman"/>
                <w:noProof/>
              </w:rPr>
            </w:pPr>
            <w:r>
              <w:rPr>
                <w:noProof/>
              </w:rPr>
              <w:t> </w:t>
            </w:r>
          </w:p>
        </w:tc>
        <w:tc>
          <w:tcPr>
            <w:tcW w:w="720" w:type="dxa"/>
            <w:shd w:val="clear" w:color="auto" w:fill="C6EFCE"/>
            <w:noWrap/>
          </w:tcPr>
          <w:p w14:paraId="7CE4FF84" w14:textId="77777777" w:rsidR="003B6BD9" w:rsidRDefault="009E25E8">
            <w:pPr>
              <w:pStyle w:val="P68B1DB1-Normal7"/>
              <w:spacing w:before="0" w:after="0" w:line="240" w:lineRule="auto"/>
              <w:jc w:val="right"/>
              <w:rPr>
                <w:rFonts w:eastAsia="Times New Roman"/>
                <w:noProof/>
              </w:rPr>
            </w:pPr>
            <w:r>
              <w:rPr>
                <w:noProof/>
              </w:rPr>
              <w:t> </w:t>
            </w:r>
          </w:p>
        </w:tc>
        <w:tc>
          <w:tcPr>
            <w:tcW w:w="1080" w:type="dxa"/>
            <w:shd w:val="clear" w:color="auto" w:fill="C6EFCE"/>
            <w:noWrap/>
          </w:tcPr>
          <w:p w14:paraId="782B605D" w14:textId="63652B2E" w:rsidR="003B6BD9" w:rsidRDefault="009E25E8">
            <w:pPr>
              <w:pStyle w:val="P68B1DB1-Normal7"/>
              <w:spacing w:before="0" w:after="0" w:line="240" w:lineRule="auto"/>
              <w:jc w:val="center"/>
              <w:rPr>
                <w:rFonts w:eastAsia="Times New Roman"/>
                <w:noProof/>
              </w:rPr>
            </w:pPr>
            <w:r>
              <w:rPr>
                <w:noProof/>
              </w:rPr>
              <w:t>T4</w:t>
            </w:r>
          </w:p>
        </w:tc>
        <w:tc>
          <w:tcPr>
            <w:tcW w:w="720" w:type="dxa"/>
            <w:shd w:val="clear" w:color="auto" w:fill="C6EFCE"/>
            <w:noWrap/>
          </w:tcPr>
          <w:p w14:paraId="331CC1E7" w14:textId="3B3667F7" w:rsidR="003B6BD9" w:rsidRDefault="009E25E8">
            <w:pPr>
              <w:pStyle w:val="P68B1DB1-Normal7"/>
              <w:spacing w:before="0" w:after="0" w:line="240" w:lineRule="auto"/>
              <w:jc w:val="center"/>
              <w:rPr>
                <w:rFonts w:eastAsia="Times New Roman"/>
                <w:noProof/>
              </w:rPr>
            </w:pPr>
            <w:r>
              <w:rPr>
                <w:noProof/>
              </w:rPr>
              <w:t>2023</w:t>
            </w:r>
          </w:p>
        </w:tc>
        <w:tc>
          <w:tcPr>
            <w:tcW w:w="2806" w:type="dxa"/>
            <w:shd w:val="clear" w:color="auto" w:fill="C6EFCE"/>
            <w:noWrap/>
          </w:tcPr>
          <w:p w14:paraId="6011BFF1" w14:textId="1DC0CD34" w:rsidR="003B6BD9" w:rsidRDefault="009E25E8">
            <w:pPr>
              <w:pStyle w:val="P68B1DB1-Normal7"/>
              <w:spacing w:before="0" w:after="0" w:line="240" w:lineRule="auto"/>
              <w:rPr>
                <w:rFonts w:eastAsia="Times New Roman"/>
                <w:noProof/>
              </w:rPr>
            </w:pPr>
            <w:r>
              <w:rPr>
                <w:noProof/>
              </w:rPr>
              <w:t>L’organisme exécute toutes les tâches relatives à la gestion du système de qualité, à la sécurité, à l’élaboration de normes et au suivi des indicateurs de qualité, ainsi qu’à la gestion des mégadonnées dans le système de soins de santé afin de contrôler la qualité. L’organisme renouvelle également la stratégie de gestion de la qualité sanitaire.</w:t>
            </w:r>
          </w:p>
        </w:tc>
      </w:tr>
      <w:tr w:rsidR="003B6BD9" w14:paraId="5057F229" w14:textId="77777777" w:rsidTr="006C1AFD">
        <w:trPr>
          <w:trHeight w:val="299"/>
        </w:trPr>
        <w:tc>
          <w:tcPr>
            <w:tcW w:w="960" w:type="dxa"/>
            <w:shd w:val="clear" w:color="auto" w:fill="C6EFCE"/>
            <w:noWrap/>
          </w:tcPr>
          <w:p w14:paraId="6FD69E53" w14:textId="71225A55" w:rsidR="003B6BD9" w:rsidRDefault="009E25E8">
            <w:pPr>
              <w:pStyle w:val="P68B1DB1-Normal7"/>
              <w:spacing w:before="0" w:after="0" w:line="240" w:lineRule="auto"/>
              <w:rPr>
                <w:rFonts w:eastAsia="Times New Roman"/>
                <w:noProof/>
              </w:rPr>
            </w:pPr>
            <w:r>
              <w:rPr>
                <w:noProof/>
              </w:rPr>
              <w:t>183</w:t>
            </w:r>
          </w:p>
        </w:tc>
        <w:tc>
          <w:tcPr>
            <w:tcW w:w="1680" w:type="dxa"/>
            <w:shd w:val="clear" w:color="auto" w:fill="C6EFCE"/>
            <w:noWrap/>
          </w:tcPr>
          <w:p w14:paraId="1784C460" w14:textId="4DF0674A" w:rsidR="003B6BD9" w:rsidRDefault="009E25E8">
            <w:pPr>
              <w:pStyle w:val="P68B1DB1-Normal7"/>
              <w:spacing w:before="0" w:after="0" w:line="240" w:lineRule="auto"/>
              <w:rPr>
                <w:rFonts w:eastAsia="Times New Roman"/>
                <w:noProof/>
              </w:rPr>
            </w:pPr>
            <w:r>
              <w:rPr>
                <w:noProof/>
              </w:rPr>
              <w:t>A: Réforme du système de soins de santé</w:t>
            </w:r>
          </w:p>
        </w:tc>
        <w:tc>
          <w:tcPr>
            <w:tcW w:w="1080" w:type="dxa"/>
            <w:shd w:val="clear" w:color="auto" w:fill="C6EFCE"/>
            <w:noWrap/>
          </w:tcPr>
          <w:p w14:paraId="5B6E51D8" w14:textId="1AB757D4" w:rsidR="003B6BD9" w:rsidRDefault="009E25E8">
            <w:pPr>
              <w:pStyle w:val="P68B1DB1-Normal7"/>
              <w:spacing w:before="0" w:after="0" w:line="240" w:lineRule="auto"/>
              <w:rPr>
                <w:rFonts w:eastAsia="Times New Roman"/>
                <w:noProof/>
              </w:rPr>
            </w:pPr>
            <w:r>
              <w:rPr>
                <w:noProof/>
              </w:rPr>
              <w:t>Jalon</w:t>
            </w:r>
          </w:p>
        </w:tc>
        <w:tc>
          <w:tcPr>
            <w:tcW w:w="1800" w:type="dxa"/>
            <w:shd w:val="clear" w:color="auto" w:fill="C6EFCE"/>
            <w:noWrap/>
          </w:tcPr>
          <w:p w14:paraId="3246A370" w14:textId="0796EACE" w:rsidR="003B6BD9" w:rsidRDefault="009E25E8">
            <w:pPr>
              <w:pStyle w:val="P68B1DB1-Normal7"/>
              <w:spacing w:before="0" w:after="0" w:line="240" w:lineRule="auto"/>
              <w:rPr>
                <w:rFonts w:eastAsia="Times New Roman"/>
                <w:noProof/>
              </w:rPr>
            </w:pPr>
            <w:r>
              <w:rPr>
                <w:noProof/>
              </w:rPr>
              <w:t>Entrée en vigueur de la législation</w:t>
            </w:r>
          </w:p>
        </w:tc>
        <w:tc>
          <w:tcPr>
            <w:tcW w:w="2400" w:type="dxa"/>
            <w:shd w:val="clear" w:color="auto" w:fill="C6EFCE"/>
            <w:noWrap/>
          </w:tcPr>
          <w:p w14:paraId="5AF8BC9A" w14:textId="599EEB7D" w:rsidR="003B6BD9" w:rsidRDefault="009E25E8">
            <w:pPr>
              <w:pStyle w:val="P68B1DB1-Normal7"/>
              <w:spacing w:before="0" w:after="0" w:line="240" w:lineRule="auto"/>
              <w:rPr>
                <w:rFonts w:eastAsia="Times New Roman"/>
                <w:noProof/>
              </w:rPr>
            </w:pPr>
            <w:r>
              <w:rPr>
                <w:noProof/>
              </w:rPr>
              <w:t xml:space="preserve">Dispositions de la législation indiquant l’entrée en vigueur </w:t>
            </w:r>
          </w:p>
        </w:tc>
        <w:tc>
          <w:tcPr>
            <w:tcW w:w="1200" w:type="dxa"/>
            <w:shd w:val="clear" w:color="auto" w:fill="C6EFCE"/>
            <w:noWrap/>
          </w:tcPr>
          <w:p w14:paraId="136853A3" w14:textId="3C296D49"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245D5913" w14:textId="1C527066" w:rsidR="003B6BD9" w:rsidRDefault="009E25E8">
            <w:pPr>
              <w:pStyle w:val="P68B1DB1-Normal7"/>
              <w:spacing w:before="0" w:after="0" w:line="240" w:lineRule="auto"/>
              <w:jc w:val="right"/>
              <w:rPr>
                <w:rFonts w:eastAsia="Times New Roman"/>
                <w:noProof/>
              </w:rPr>
            </w:pPr>
            <w:r>
              <w:rPr>
                <w:noProof/>
              </w:rPr>
              <w:t> </w:t>
            </w:r>
          </w:p>
        </w:tc>
        <w:tc>
          <w:tcPr>
            <w:tcW w:w="720" w:type="dxa"/>
            <w:shd w:val="clear" w:color="auto" w:fill="C6EFCE"/>
            <w:noWrap/>
          </w:tcPr>
          <w:p w14:paraId="2C2F04F8" w14:textId="21AEBB98" w:rsidR="003B6BD9" w:rsidRDefault="009E25E8">
            <w:pPr>
              <w:pStyle w:val="P68B1DB1-Normal7"/>
              <w:spacing w:before="0" w:after="0" w:line="240" w:lineRule="auto"/>
              <w:jc w:val="right"/>
              <w:rPr>
                <w:rFonts w:eastAsia="Times New Roman"/>
                <w:noProof/>
              </w:rPr>
            </w:pPr>
            <w:r>
              <w:rPr>
                <w:noProof/>
              </w:rPr>
              <w:t> </w:t>
            </w:r>
          </w:p>
        </w:tc>
        <w:tc>
          <w:tcPr>
            <w:tcW w:w="1080" w:type="dxa"/>
            <w:shd w:val="clear" w:color="auto" w:fill="C6EFCE"/>
            <w:noWrap/>
          </w:tcPr>
          <w:p w14:paraId="22DE7A7C" w14:textId="475F7515" w:rsidR="003B6BD9" w:rsidRDefault="009E25E8">
            <w:pPr>
              <w:pStyle w:val="P68B1DB1-Normal7"/>
              <w:spacing w:before="0" w:after="0" w:line="240" w:lineRule="auto"/>
              <w:jc w:val="center"/>
              <w:rPr>
                <w:rFonts w:eastAsia="Times New Roman"/>
                <w:noProof/>
              </w:rPr>
            </w:pPr>
            <w:r>
              <w:rPr>
                <w:noProof/>
              </w:rPr>
              <w:t>T4</w:t>
            </w:r>
          </w:p>
        </w:tc>
        <w:tc>
          <w:tcPr>
            <w:tcW w:w="720" w:type="dxa"/>
            <w:shd w:val="clear" w:color="auto" w:fill="C6EFCE"/>
            <w:noWrap/>
          </w:tcPr>
          <w:p w14:paraId="4C0D9919" w14:textId="341B8FAE" w:rsidR="003B6BD9" w:rsidRDefault="009E25E8">
            <w:pPr>
              <w:pStyle w:val="P68B1DB1-Normal7"/>
              <w:spacing w:before="0" w:after="0" w:line="240" w:lineRule="auto"/>
              <w:jc w:val="center"/>
              <w:rPr>
                <w:rFonts w:eastAsia="Times New Roman"/>
                <w:noProof/>
              </w:rPr>
            </w:pPr>
            <w:r>
              <w:rPr>
                <w:noProof/>
              </w:rPr>
              <w:t>2024</w:t>
            </w:r>
          </w:p>
        </w:tc>
        <w:tc>
          <w:tcPr>
            <w:tcW w:w="2806" w:type="dxa"/>
            <w:shd w:val="clear" w:color="auto" w:fill="C6EFCE"/>
            <w:noWrap/>
          </w:tcPr>
          <w:p w14:paraId="4F27A4C4" w14:textId="6E6B7E0B" w:rsidR="003B6BD9" w:rsidRDefault="009E25E8">
            <w:pPr>
              <w:pStyle w:val="P68B1DB1-Normal7"/>
              <w:spacing w:before="0" w:after="0" w:line="240" w:lineRule="auto"/>
              <w:rPr>
                <w:noProof/>
              </w:rPr>
            </w:pPr>
            <w:r>
              <w:rPr>
                <w:noProof/>
              </w:rPr>
              <w:t>La législation comprend des dispositions concernant:</w:t>
            </w:r>
          </w:p>
          <w:p w14:paraId="72F85A78" w14:textId="3354282C" w:rsidR="003B6BD9" w:rsidRDefault="009E25E8">
            <w:pPr>
              <w:pStyle w:val="P68B1DB1-Normal7"/>
              <w:spacing w:before="0" w:after="0" w:line="240" w:lineRule="auto"/>
              <w:rPr>
                <w:noProof/>
              </w:rPr>
            </w:pPr>
            <w:r>
              <w:rPr>
                <w:noProof/>
              </w:rPr>
              <w:t>I) la qualité des soins de santé:</w:t>
            </w:r>
          </w:p>
          <w:p w14:paraId="2FEF7F03" w14:textId="77777777" w:rsidR="003B6BD9" w:rsidRDefault="009E25E8">
            <w:pPr>
              <w:pStyle w:val="P68B1DB1-Normal7"/>
              <w:spacing w:before="0" w:after="0" w:line="240" w:lineRule="auto"/>
              <w:rPr>
                <w:noProof/>
              </w:rPr>
            </w:pPr>
            <w:r>
              <w:rPr>
                <w:noProof/>
              </w:rPr>
              <w:t>— introduire des principes de gestion de la qualité et de la sécurité de la santé;</w:t>
            </w:r>
          </w:p>
          <w:p w14:paraId="7BA22C41" w14:textId="40BD0ED9" w:rsidR="003B6BD9" w:rsidRDefault="009E25E8">
            <w:pPr>
              <w:pStyle w:val="P68B1DB1-Normal7"/>
              <w:spacing w:before="0" w:after="0" w:line="240" w:lineRule="auto"/>
              <w:rPr>
                <w:noProof/>
              </w:rPr>
            </w:pPr>
            <w:r>
              <w:rPr>
                <w:noProof/>
              </w:rPr>
              <w:t>— la révision des indicateurs de qualité de la santé;</w:t>
            </w:r>
          </w:p>
          <w:p w14:paraId="049C0A9E" w14:textId="5394A926" w:rsidR="003B6BD9" w:rsidRDefault="009E25E8">
            <w:pPr>
              <w:pStyle w:val="P68B1DB1-Normal7"/>
              <w:spacing w:before="0" w:after="0" w:line="240" w:lineRule="auto"/>
              <w:rPr>
                <w:noProof/>
              </w:rPr>
            </w:pPr>
            <w:r>
              <w:rPr>
                <w:noProof/>
              </w:rPr>
              <w:t>II) l’accessibilité des soins de santé:</w:t>
            </w:r>
          </w:p>
          <w:p w14:paraId="776ECB67" w14:textId="77777777" w:rsidR="003B6BD9" w:rsidRDefault="009E25E8">
            <w:pPr>
              <w:pStyle w:val="P68B1DB1-Normal7"/>
              <w:spacing w:before="0" w:after="0" w:line="240" w:lineRule="auto"/>
              <w:rPr>
                <w:noProof/>
              </w:rPr>
            </w:pPr>
            <w:r>
              <w:rPr>
                <w:noProof/>
              </w:rPr>
              <w:t>— définir les rôles des parties prenantes dans le système de soins de santé;</w:t>
            </w:r>
          </w:p>
          <w:p w14:paraId="707E300B" w14:textId="77777777" w:rsidR="003B6BD9" w:rsidRDefault="009E25E8">
            <w:pPr>
              <w:pStyle w:val="P68B1DB1-Normal7"/>
              <w:spacing w:before="0" w:after="0" w:line="240" w:lineRule="auto"/>
              <w:rPr>
                <w:noProof/>
              </w:rPr>
            </w:pPr>
            <w:r>
              <w:rPr>
                <w:noProof/>
              </w:rPr>
              <w:t>— la mise en place d’un réseau de prestataires de soins de santé;</w:t>
            </w:r>
          </w:p>
          <w:p w14:paraId="3405F921" w14:textId="40B77964" w:rsidR="003B6BD9" w:rsidRDefault="009E25E8">
            <w:pPr>
              <w:pStyle w:val="P68B1DB1-Normal7"/>
              <w:spacing w:before="0" w:after="0" w:line="240" w:lineRule="auto"/>
              <w:rPr>
                <w:noProof/>
              </w:rPr>
            </w:pPr>
            <w:r>
              <w:rPr>
                <w:noProof/>
              </w:rPr>
              <w:t>— fournir des incitations financières pour la médecine familiale et les cliniques pédiatriques de niveau primaire;</w:t>
            </w:r>
          </w:p>
          <w:p w14:paraId="64332673" w14:textId="11E86A50" w:rsidR="003B6BD9" w:rsidRDefault="009E25E8">
            <w:pPr>
              <w:pStyle w:val="P68B1DB1-Normal7"/>
              <w:spacing w:before="0" w:after="0" w:line="240" w:lineRule="auto"/>
              <w:rPr>
                <w:noProof/>
              </w:rPr>
            </w:pPr>
            <w:r>
              <w:rPr>
                <w:noProof/>
              </w:rPr>
              <w:t>— la révision de la gestion des délais d’attente;</w:t>
            </w:r>
          </w:p>
          <w:p w14:paraId="25AB1FB7" w14:textId="77777777" w:rsidR="003B6BD9" w:rsidRDefault="009E25E8">
            <w:pPr>
              <w:pStyle w:val="P68B1DB1-Normal7"/>
              <w:spacing w:before="0" w:after="0" w:line="240" w:lineRule="auto"/>
              <w:rPr>
                <w:noProof/>
              </w:rPr>
            </w:pPr>
            <w:r>
              <w:rPr>
                <w:noProof/>
              </w:rPr>
              <w:t xml:space="preserve">— la gestion des effectifs; </w:t>
            </w:r>
          </w:p>
          <w:p w14:paraId="0570AC54" w14:textId="4E86D521" w:rsidR="003B6BD9" w:rsidRDefault="009E25E8">
            <w:pPr>
              <w:pStyle w:val="P68B1DB1-Normal7"/>
              <w:spacing w:before="0" w:after="0" w:line="240" w:lineRule="auto"/>
              <w:rPr>
                <w:noProof/>
              </w:rPr>
            </w:pPr>
            <w:r>
              <w:rPr>
                <w:noProof/>
              </w:rPr>
              <w:t xml:space="preserve">III) la viabilité financière des soins de santé: </w:t>
            </w:r>
          </w:p>
          <w:p w14:paraId="721D3875" w14:textId="16485EAD" w:rsidR="003B6BD9" w:rsidRDefault="009E25E8">
            <w:pPr>
              <w:pStyle w:val="P68B1DB1-Normal7"/>
              <w:spacing w:before="0" w:after="0" w:line="240" w:lineRule="auto"/>
              <w:rPr>
                <w:noProof/>
              </w:rPr>
            </w:pPr>
            <w:r>
              <w:rPr>
                <w:noProof/>
              </w:rPr>
              <w:t xml:space="preserve">— la révision des procédures de planification, de suivi et d’évaluation des services de santé; </w:t>
            </w:r>
          </w:p>
          <w:p w14:paraId="5B76CEE0" w14:textId="3E42C7DF" w:rsidR="003B6BD9" w:rsidRDefault="009E25E8">
            <w:pPr>
              <w:pStyle w:val="P68B1DB1-Normal7"/>
              <w:spacing w:before="0" w:after="0" w:line="240" w:lineRule="auto"/>
              <w:rPr>
                <w:noProof/>
              </w:rPr>
            </w:pPr>
            <w:r>
              <w:rPr>
                <w:noProof/>
              </w:rPr>
              <w:t>— la transformation de l’assurance maladie complémentaire;</w:t>
            </w:r>
          </w:p>
          <w:p w14:paraId="354D9000" w14:textId="7E2493F9" w:rsidR="003B6BD9" w:rsidRDefault="009E25E8">
            <w:pPr>
              <w:pStyle w:val="P68B1DB1-Normal7"/>
              <w:spacing w:before="0" w:after="0" w:line="240" w:lineRule="auto"/>
              <w:rPr>
                <w:noProof/>
              </w:rPr>
            </w:pPr>
            <w:r>
              <w:rPr>
                <w:noProof/>
              </w:rPr>
              <w:t>— l’ajustement des charges et de la responsabilité dans le paiement des cotisations d’assurance maladie obligatoire, tout en maintenant un large éventail de prestations dans le cadre des droits à l’assurance maladie obligatoire;</w:t>
            </w:r>
          </w:p>
          <w:p w14:paraId="7B9A324D" w14:textId="77777777" w:rsidR="003B6BD9" w:rsidRDefault="009E25E8">
            <w:pPr>
              <w:pStyle w:val="P68B1DB1-Normal7"/>
              <w:spacing w:before="0" w:after="0" w:line="240" w:lineRule="auto"/>
              <w:rPr>
                <w:noProof/>
              </w:rPr>
            </w:pPr>
            <w:r>
              <w:rPr>
                <w:noProof/>
              </w:rPr>
              <w:t>— définir les droits au titre de l’assurance maladie obligatoire;</w:t>
            </w:r>
          </w:p>
          <w:p w14:paraId="6588C029" w14:textId="77777777" w:rsidR="003B6BD9" w:rsidRDefault="009E25E8">
            <w:pPr>
              <w:pStyle w:val="P68B1DB1-Normal7"/>
              <w:spacing w:before="0" w:after="0" w:line="240" w:lineRule="auto"/>
              <w:rPr>
                <w:noProof/>
              </w:rPr>
            </w:pPr>
            <w:r>
              <w:rPr>
                <w:noProof/>
              </w:rPr>
              <w:t>— renforcer la gestion et les performances du système de soins de santé et des établissements de santé publique;</w:t>
            </w:r>
          </w:p>
          <w:p w14:paraId="40B73ACF" w14:textId="306620B6" w:rsidR="003B6BD9" w:rsidRDefault="009E25E8">
            <w:pPr>
              <w:pStyle w:val="P68B1DB1-Normal7"/>
              <w:spacing w:before="0" w:after="0" w:line="240" w:lineRule="auto"/>
              <w:rPr>
                <w:noProof/>
              </w:rPr>
            </w:pPr>
            <w:r>
              <w:rPr>
                <w:noProof/>
              </w:rPr>
              <w:t>— définir les exigences en matière d’audits internes dans les établissements de santé publique, y compris pour le contrôle des états financiers.</w:t>
            </w:r>
          </w:p>
        </w:tc>
      </w:tr>
      <w:tr w:rsidR="003B6BD9" w14:paraId="578D5A68" w14:textId="77777777" w:rsidTr="006C1AFD">
        <w:trPr>
          <w:trHeight w:val="299"/>
        </w:trPr>
        <w:tc>
          <w:tcPr>
            <w:tcW w:w="960" w:type="dxa"/>
            <w:shd w:val="clear" w:color="auto" w:fill="C6EFCE"/>
            <w:noWrap/>
          </w:tcPr>
          <w:p w14:paraId="232AEF54" w14:textId="12B63310" w:rsidR="003B6BD9" w:rsidRDefault="009E25E8">
            <w:pPr>
              <w:pStyle w:val="P68B1DB1-Normal7"/>
              <w:spacing w:before="0" w:after="0" w:line="240" w:lineRule="auto"/>
              <w:rPr>
                <w:rFonts w:eastAsia="Times New Roman"/>
                <w:noProof/>
              </w:rPr>
            </w:pPr>
            <w:r>
              <w:rPr>
                <w:noProof/>
              </w:rPr>
              <w:t>184</w:t>
            </w:r>
          </w:p>
        </w:tc>
        <w:tc>
          <w:tcPr>
            <w:tcW w:w="1680" w:type="dxa"/>
            <w:shd w:val="clear" w:color="auto" w:fill="C6EFCE"/>
            <w:noWrap/>
          </w:tcPr>
          <w:p w14:paraId="412C284E" w14:textId="72D1B291" w:rsidR="003B6BD9" w:rsidRDefault="009E25E8">
            <w:pPr>
              <w:pStyle w:val="P68B1DB1-Normal7"/>
              <w:spacing w:before="0" w:after="0" w:line="240" w:lineRule="auto"/>
              <w:rPr>
                <w:rFonts w:eastAsia="Times New Roman"/>
                <w:noProof/>
              </w:rPr>
            </w:pPr>
            <w:r>
              <w:rPr>
                <w:noProof/>
              </w:rPr>
              <w:t>B: Renforcer les compétences du personnel de santé pour garantir la qualité des soins</w:t>
            </w:r>
          </w:p>
        </w:tc>
        <w:tc>
          <w:tcPr>
            <w:tcW w:w="1080" w:type="dxa"/>
            <w:shd w:val="clear" w:color="auto" w:fill="C6EFCE"/>
            <w:noWrap/>
          </w:tcPr>
          <w:p w14:paraId="56131A6B" w14:textId="51D58139" w:rsidR="003B6BD9" w:rsidRDefault="009E25E8">
            <w:pPr>
              <w:pStyle w:val="P68B1DB1-Normal7"/>
              <w:spacing w:before="0" w:after="0" w:line="240" w:lineRule="auto"/>
              <w:rPr>
                <w:rFonts w:eastAsia="Times New Roman"/>
                <w:noProof/>
              </w:rPr>
            </w:pPr>
            <w:r>
              <w:rPr>
                <w:noProof/>
              </w:rPr>
              <w:t>Cible</w:t>
            </w:r>
          </w:p>
        </w:tc>
        <w:tc>
          <w:tcPr>
            <w:tcW w:w="1800" w:type="dxa"/>
            <w:shd w:val="clear" w:color="auto" w:fill="C6EFCE"/>
            <w:noWrap/>
          </w:tcPr>
          <w:p w14:paraId="35E94BCB" w14:textId="067963A1" w:rsidR="003B6BD9" w:rsidRDefault="009E25E8">
            <w:pPr>
              <w:pStyle w:val="P68B1DB1-Normal7"/>
              <w:spacing w:before="0" w:after="0" w:line="240" w:lineRule="auto"/>
              <w:rPr>
                <w:rFonts w:eastAsia="Times New Roman"/>
                <w:noProof/>
              </w:rPr>
            </w:pPr>
            <w:r>
              <w:rPr>
                <w:noProof/>
              </w:rPr>
              <w:t>Livraison de véhicules pour les équipes de soins palliatifs</w:t>
            </w:r>
          </w:p>
        </w:tc>
        <w:tc>
          <w:tcPr>
            <w:tcW w:w="2400" w:type="dxa"/>
            <w:shd w:val="clear" w:color="auto" w:fill="C6EFCE"/>
            <w:noWrap/>
          </w:tcPr>
          <w:p w14:paraId="520D8B2E" w14:textId="3E0BDB97" w:rsidR="003B6BD9" w:rsidRDefault="003B6BD9">
            <w:pPr>
              <w:spacing w:before="0" w:after="0" w:line="240" w:lineRule="auto"/>
              <w:rPr>
                <w:rFonts w:eastAsia="Times New Roman"/>
                <w:noProof/>
                <w:color w:val="006100"/>
                <w:sz w:val="18"/>
                <w:szCs w:val="18"/>
              </w:rPr>
            </w:pPr>
          </w:p>
        </w:tc>
        <w:tc>
          <w:tcPr>
            <w:tcW w:w="1200" w:type="dxa"/>
            <w:shd w:val="clear" w:color="auto" w:fill="C6EFCE"/>
            <w:noWrap/>
          </w:tcPr>
          <w:p w14:paraId="6CA134C8" w14:textId="0112EACE" w:rsidR="003B6BD9" w:rsidRDefault="009E25E8">
            <w:pPr>
              <w:pStyle w:val="P68B1DB1-Normal7"/>
              <w:spacing w:before="0" w:after="0" w:line="240" w:lineRule="auto"/>
              <w:rPr>
                <w:rFonts w:eastAsia="Times New Roman"/>
                <w:noProof/>
              </w:rPr>
            </w:pPr>
            <w:r>
              <w:rPr>
                <w:noProof/>
              </w:rPr>
              <w:t>Nombre</w:t>
            </w:r>
          </w:p>
        </w:tc>
        <w:tc>
          <w:tcPr>
            <w:tcW w:w="960" w:type="dxa"/>
            <w:shd w:val="clear" w:color="auto" w:fill="C6EFCE"/>
            <w:noWrap/>
          </w:tcPr>
          <w:p w14:paraId="7F72CB06" w14:textId="4DC680FB" w:rsidR="003B6BD9" w:rsidRDefault="009E25E8">
            <w:pPr>
              <w:pStyle w:val="P68B1DB1-Normal7"/>
              <w:spacing w:before="0" w:after="0" w:line="240" w:lineRule="auto"/>
              <w:jc w:val="right"/>
              <w:rPr>
                <w:rFonts w:eastAsia="Times New Roman"/>
                <w:noProof/>
              </w:rPr>
            </w:pPr>
            <w:r>
              <w:rPr>
                <w:noProof/>
              </w:rPr>
              <w:t>0</w:t>
            </w:r>
          </w:p>
        </w:tc>
        <w:tc>
          <w:tcPr>
            <w:tcW w:w="720" w:type="dxa"/>
            <w:shd w:val="clear" w:color="auto" w:fill="C6EFCE"/>
            <w:noWrap/>
          </w:tcPr>
          <w:p w14:paraId="71E39472" w14:textId="67F41395" w:rsidR="003B6BD9" w:rsidRDefault="009E25E8">
            <w:pPr>
              <w:pStyle w:val="P68B1DB1-Normal7"/>
              <w:spacing w:before="0" w:after="0" w:line="240" w:lineRule="auto"/>
              <w:jc w:val="right"/>
              <w:rPr>
                <w:rFonts w:eastAsia="Times New Roman"/>
                <w:noProof/>
              </w:rPr>
            </w:pPr>
            <w:r>
              <w:rPr>
                <w:noProof/>
              </w:rPr>
              <w:t>14</w:t>
            </w:r>
          </w:p>
        </w:tc>
        <w:tc>
          <w:tcPr>
            <w:tcW w:w="1080" w:type="dxa"/>
            <w:shd w:val="clear" w:color="auto" w:fill="C6EFCE"/>
            <w:noWrap/>
          </w:tcPr>
          <w:p w14:paraId="42C2CF93" w14:textId="16F7635D" w:rsidR="003B6BD9" w:rsidRDefault="009E25E8">
            <w:pPr>
              <w:pStyle w:val="P68B1DB1-Normal7"/>
              <w:spacing w:before="0" w:after="0" w:line="240" w:lineRule="auto"/>
              <w:jc w:val="center"/>
              <w:rPr>
                <w:rFonts w:eastAsia="Times New Roman"/>
                <w:noProof/>
              </w:rPr>
            </w:pPr>
            <w:r>
              <w:rPr>
                <w:noProof/>
              </w:rPr>
              <w:t>T4</w:t>
            </w:r>
          </w:p>
        </w:tc>
        <w:tc>
          <w:tcPr>
            <w:tcW w:w="720" w:type="dxa"/>
            <w:shd w:val="clear" w:color="auto" w:fill="C6EFCE"/>
            <w:noWrap/>
          </w:tcPr>
          <w:p w14:paraId="46A2257A" w14:textId="2BAB9910" w:rsidR="003B6BD9" w:rsidRDefault="009E25E8">
            <w:pPr>
              <w:pStyle w:val="P68B1DB1-Normal7"/>
              <w:spacing w:before="0" w:after="0" w:line="240" w:lineRule="auto"/>
              <w:jc w:val="center"/>
              <w:rPr>
                <w:rFonts w:eastAsia="Times New Roman"/>
                <w:noProof/>
              </w:rPr>
            </w:pPr>
            <w:r>
              <w:rPr>
                <w:noProof/>
              </w:rPr>
              <w:t>2025</w:t>
            </w:r>
          </w:p>
        </w:tc>
        <w:tc>
          <w:tcPr>
            <w:tcW w:w="2806" w:type="dxa"/>
            <w:shd w:val="clear" w:color="auto" w:fill="C6EFCE"/>
            <w:noWrap/>
          </w:tcPr>
          <w:p w14:paraId="55848273" w14:textId="4F68725D" w:rsidR="003B6BD9" w:rsidRDefault="009E25E8">
            <w:pPr>
              <w:pStyle w:val="P68B1DB1-Normal7"/>
              <w:spacing w:before="0" w:after="0" w:line="240" w:lineRule="auto"/>
              <w:rPr>
                <w:noProof/>
              </w:rPr>
            </w:pPr>
            <w:r>
              <w:rPr>
                <w:noProof/>
              </w:rPr>
              <w:t>Livraison de 14 véhicules pour les équipes de soins palliatifs.</w:t>
            </w:r>
          </w:p>
        </w:tc>
      </w:tr>
      <w:tr w:rsidR="003B6BD9" w14:paraId="5915FCAF" w14:textId="77777777" w:rsidTr="006C1AFD">
        <w:trPr>
          <w:trHeight w:val="299"/>
        </w:trPr>
        <w:tc>
          <w:tcPr>
            <w:tcW w:w="960" w:type="dxa"/>
            <w:shd w:val="clear" w:color="auto" w:fill="C6EFCE"/>
            <w:noWrap/>
          </w:tcPr>
          <w:p w14:paraId="4AF9BD69" w14:textId="1C87C509" w:rsidR="003B6BD9" w:rsidRDefault="009E25E8">
            <w:pPr>
              <w:pStyle w:val="P68B1DB1-Normal7"/>
              <w:spacing w:before="0" w:after="0" w:line="240" w:lineRule="auto"/>
              <w:rPr>
                <w:noProof/>
              </w:rPr>
            </w:pPr>
            <w:r>
              <w:rPr>
                <w:noProof/>
              </w:rPr>
              <w:t>184 bis</w:t>
            </w:r>
          </w:p>
        </w:tc>
        <w:tc>
          <w:tcPr>
            <w:tcW w:w="1680" w:type="dxa"/>
            <w:shd w:val="clear" w:color="auto" w:fill="C6EFCE"/>
            <w:noWrap/>
          </w:tcPr>
          <w:p w14:paraId="69E43384" w14:textId="4237B3DD" w:rsidR="003B6BD9" w:rsidRDefault="009E25E8">
            <w:pPr>
              <w:pStyle w:val="P68B1DB1-Normal7"/>
              <w:spacing w:before="0" w:after="0" w:line="240" w:lineRule="auto"/>
              <w:rPr>
                <w:noProof/>
              </w:rPr>
            </w:pPr>
            <w:r>
              <w:rPr>
                <w:noProof/>
              </w:rPr>
              <w:t>B: Renforcer les compétences du personnel de santé pour garantir la qualité des soins</w:t>
            </w:r>
          </w:p>
        </w:tc>
        <w:tc>
          <w:tcPr>
            <w:tcW w:w="1080" w:type="dxa"/>
            <w:shd w:val="clear" w:color="auto" w:fill="C6EFCE"/>
            <w:noWrap/>
          </w:tcPr>
          <w:p w14:paraId="72994F01" w14:textId="70EE5E61" w:rsidR="003B6BD9" w:rsidRDefault="009E25E8">
            <w:pPr>
              <w:pStyle w:val="P68B1DB1-Normal7"/>
              <w:spacing w:before="0" w:after="0" w:line="240" w:lineRule="auto"/>
              <w:rPr>
                <w:noProof/>
              </w:rPr>
            </w:pPr>
            <w:r>
              <w:rPr>
                <w:noProof/>
              </w:rPr>
              <w:t>Cible</w:t>
            </w:r>
          </w:p>
        </w:tc>
        <w:tc>
          <w:tcPr>
            <w:tcW w:w="1800" w:type="dxa"/>
            <w:shd w:val="clear" w:color="auto" w:fill="C6EFCE"/>
            <w:noWrap/>
          </w:tcPr>
          <w:p w14:paraId="7E78C375" w14:textId="5F4ABF9A" w:rsidR="003B6BD9" w:rsidRDefault="009E25E8">
            <w:pPr>
              <w:pStyle w:val="P68B1DB1-Normal7"/>
              <w:spacing w:before="0" w:after="0" w:line="240" w:lineRule="auto"/>
              <w:rPr>
                <w:noProof/>
              </w:rPr>
            </w:pPr>
            <w:r>
              <w:rPr>
                <w:noProof/>
              </w:rPr>
              <w:t>Formations dispensées sur les soins palliatifs, les troubles gériatriques, la santé mentale et les douleurs musculo-squelettiques</w:t>
            </w:r>
          </w:p>
        </w:tc>
        <w:tc>
          <w:tcPr>
            <w:tcW w:w="2400" w:type="dxa"/>
            <w:shd w:val="clear" w:color="auto" w:fill="C6EFCE"/>
            <w:noWrap/>
          </w:tcPr>
          <w:p w14:paraId="79EF677F" w14:textId="77777777" w:rsidR="003B6BD9" w:rsidRDefault="003B6BD9">
            <w:pPr>
              <w:spacing w:before="0" w:after="0" w:line="240" w:lineRule="auto"/>
              <w:rPr>
                <w:noProof/>
                <w:color w:val="006100"/>
                <w:sz w:val="18"/>
                <w:szCs w:val="18"/>
              </w:rPr>
            </w:pPr>
          </w:p>
        </w:tc>
        <w:tc>
          <w:tcPr>
            <w:tcW w:w="1200" w:type="dxa"/>
            <w:shd w:val="clear" w:color="auto" w:fill="C6EFCE"/>
            <w:noWrap/>
          </w:tcPr>
          <w:p w14:paraId="7062670C" w14:textId="1E645E1A" w:rsidR="003B6BD9" w:rsidRDefault="009E25E8">
            <w:pPr>
              <w:pStyle w:val="P68B1DB1-Normal7"/>
              <w:spacing w:before="0" w:after="0" w:line="240" w:lineRule="auto"/>
              <w:rPr>
                <w:noProof/>
              </w:rPr>
            </w:pPr>
            <w:r>
              <w:rPr>
                <w:noProof/>
              </w:rPr>
              <w:t>Nombre</w:t>
            </w:r>
          </w:p>
        </w:tc>
        <w:tc>
          <w:tcPr>
            <w:tcW w:w="960" w:type="dxa"/>
            <w:shd w:val="clear" w:color="auto" w:fill="C6EFCE"/>
            <w:noWrap/>
          </w:tcPr>
          <w:p w14:paraId="0A183791" w14:textId="12D34400" w:rsidR="003B6BD9" w:rsidRDefault="009E25E8">
            <w:pPr>
              <w:pStyle w:val="P68B1DB1-Normal7"/>
              <w:spacing w:before="0" w:after="0" w:line="240" w:lineRule="auto"/>
              <w:jc w:val="right"/>
              <w:rPr>
                <w:noProof/>
              </w:rPr>
            </w:pPr>
            <w:r>
              <w:rPr>
                <w:noProof/>
              </w:rPr>
              <w:t>0</w:t>
            </w:r>
          </w:p>
        </w:tc>
        <w:tc>
          <w:tcPr>
            <w:tcW w:w="720" w:type="dxa"/>
            <w:shd w:val="clear" w:color="auto" w:fill="C6EFCE"/>
            <w:noWrap/>
          </w:tcPr>
          <w:p w14:paraId="5E18610F" w14:textId="0B7ADBB2" w:rsidR="003B6BD9" w:rsidRDefault="009E25E8">
            <w:pPr>
              <w:pStyle w:val="P68B1DB1-Normal7"/>
              <w:spacing w:before="0" w:after="0" w:line="240" w:lineRule="auto"/>
              <w:jc w:val="right"/>
              <w:rPr>
                <w:noProof/>
              </w:rPr>
            </w:pPr>
            <w:r>
              <w:rPr>
                <w:noProof/>
              </w:rPr>
              <w:t>4</w:t>
            </w:r>
          </w:p>
        </w:tc>
        <w:tc>
          <w:tcPr>
            <w:tcW w:w="1080" w:type="dxa"/>
            <w:shd w:val="clear" w:color="auto" w:fill="C6EFCE"/>
            <w:noWrap/>
          </w:tcPr>
          <w:p w14:paraId="68505CCE" w14:textId="337E6AA1" w:rsidR="003B6BD9" w:rsidRDefault="009E25E8">
            <w:pPr>
              <w:pStyle w:val="P68B1DB1-Normal7"/>
              <w:spacing w:before="0" w:after="0" w:line="240" w:lineRule="auto"/>
              <w:jc w:val="center"/>
              <w:rPr>
                <w:noProof/>
              </w:rPr>
            </w:pPr>
            <w:r>
              <w:rPr>
                <w:noProof/>
              </w:rPr>
              <w:t>T2</w:t>
            </w:r>
          </w:p>
        </w:tc>
        <w:tc>
          <w:tcPr>
            <w:tcW w:w="720" w:type="dxa"/>
            <w:shd w:val="clear" w:color="auto" w:fill="C6EFCE"/>
            <w:noWrap/>
          </w:tcPr>
          <w:p w14:paraId="6E053B4D" w14:textId="13CD791C" w:rsidR="003B6BD9" w:rsidRDefault="009E25E8">
            <w:pPr>
              <w:pStyle w:val="P68B1DB1-Normal7"/>
              <w:spacing w:before="0" w:after="0" w:line="240" w:lineRule="auto"/>
              <w:jc w:val="center"/>
              <w:rPr>
                <w:noProof/>
              </w:rPr>
            </w:pPr>
            <w:r>
              <w:rPr>
                <w:noProof/>
              </w:rPr>
              <w:t>2026</w:t>
            </w:r>
          </w:p>
        </w:tc>
        <w:tc>
          <w:tcPr>
            <w:tcW w:w="2806" w:type="dxa"/>
            <w:shd w:val="clear" w:color="auto" w:fill="C6EFCE"/>
            <w:noWrap/>
          </w:tcPr>
          <w:p w14:paraId="59C0EB76" w14:textId="3D7DBCA5" w:rsidR="003B6BD9" w:rsidRDefault="009E25E8">
            <w:pPr>
              <w:pStyle w:val="P68B1DB1-Normal7"/>
              <w:spacing w:before="0" w:after="0" w:line="240" w:lineRule="auto"/>
              <w:rPr>
                <w:noProof/>
              </w:rPr>
            </w:pPr>
            <w:r>
              <w:rPr>
                <w:noProof/>
              </w:rPr>
              <w:t>Formations dispensées sur les soins palliatifs, les troubles gériatriques, la santé mentale et les douleurs musculo-squelettiques.</w:t>
            </w:r>
          </w:p>
        </w:tc>
      </w:tr>
      <w:tr w:rsidR="003B6BD9" w14:paraId="6B950044" w14:textId="77777777" w:rsidTr="006C1AFD">
        <w:trPr>
          <w:trHeight w:val="299"/>
        </w:trPr>
        <w:tc>
          <w:tcPr>
            <w:tcW w:w="960" w:type="dxa"/>
            <w:shd w:val="clear" w:color="auto" w:fill="C6EFCE"/>
            <w:noWrap/>
          </w:tcPr>
          <w:p w14:paraId="40FF6655" w14:textId="530A843A" w:rsidR="003B6BD9" w:rsidRDefault="009E25E8">
            <w:pPr>
              <w:pStyle w:val="P68B1DB1-Normal7"/>
              <w:spacing w:before="0" w:after="0" w:line="240" w:lineRule="auto"/>
              <w:rPr>
                <w:rFonts w:eastAsia="Times New Roman"/>
                <w:noProof/>
              </w:rPr>
            </w:pPr>
            <w:r>
              <w:rPr>
                <w:noProof/>
              </w:rPr>
              <w:t>185</w:t>
            </w:r>
          </w:p>
        </w:tc>
        <w:tc>
          <w:tcPr>
            <w:tcW w:w="1680" w:type="dxa"/>
            <w:shd w:val="clear" w:color="auto" w:fill="C6EFCE"/>
            <w:noWrap/>
          </w:tcPr>
          <w:p w14:paraId="2105AF83" w14:textId="557F93BD" w:rsidR="003B6BD9" w:rsidRDefault="009E25E8">
            <w:pPr>
              <w:pStyle w:val="P68B1DB1-Normal7"/>
              <w:spacing w:before="0" w:after="0" w:line="240" w:lineRule="auto"/>
              <w:rPr>
                <w:rFonts w:eastAsia="Times New Roman"/>
                <w:noProof/>
              </w:rPr>
            </w:pPr>
            <w:r>
              <w:rPr>
                <w:noProof/>
              </w:rPr>
              <w:t>C: Transformation numérique des soins de santé</w:t>
            </w:r>
          </w:p>
        </w:tc>
        <w:tc>
          <w:tcPr>
            <w:tcW w:w="1080" w:type="dxa"/>
            <w:shd w:val="clear" w:color="auto" w:fill="C6EFCE"/>
            <w:noWrap/>
          </w:tcPr>
          <w:p w14:paraId="722AE5E4" w14:textId="1A539E5E" w:rsidR="003B6BD9" w:rsidRDefault="009E25E8">
            <w:pPr>
              <w:pStyle w:val="P68B1DB1-Normal7"/>
              <w:spacing w:before="0" w:after="0" w:line="240" w:lineRule="auto"/>
              <w:rPr>
                <w:rFonts w:eastAsia="Times New Roman"/>
                <w:noProof/>
              </w:rPr>
            </w:pPr>
            <w:r>
              <w:rPr>
                <w:noProof/>
              </w:rPr>
              <w:t>Jalon</w:t>
            </w:r>
          </w:p>
        </w:tc>
        <w:tc>
          <w:tcPr>
            <w:tcW w:w="1800" w:type="dxa"/>
            <w:shd w:val="clear" w:color="auto" w:fill="C6EFCE"/>
            <w:noWrap/>
          </w:tcPr>
          <w:p w14:paraId="72C24998" w14:textId="14EF346C" w:rsidR="003B6BD9" w:rsidRDefault="009E25E8">
            <w:pPr>
              <w:pStyle w:val="P68B1DB1-Normal7"/>
              <w:spacing w:before="0" w:after="0" w:line="240" w:lineRule="auto"/>
              <w:rPr>
                <w:rFonts w:eastAsia="Times New Roman"/>
                <w:noProof/>
              </w:rPr>
            </w:pPr>
            <w:r>
              <w:rPr>
                <w:noProof/>
              </w:rPr>
              <w:t>Attribution d’un marché pour un système national de télémédecine</w:t>
            </w:r>
          </w:p>
        </w:tc>
        <w:tc>
          <w:tcPr>
            <w:tcW w:w="2400" w:type="dxa"/>
            <w:shd w:val="clear" w:color="auto" w:fill="C6EFCE"/>
            <w:noWrap/>
          </w:tcPr>
          <w:p w14:paraId="228E5078" w14:textId="37BAD685" w:rsidR="003B6BD9" w:rsidRDefault="009E25E8">
            <w:pPr>
              <w:pStyle w:val="P68B1DB1-Normal7"/>
              <w:spacing w:before="0" w:after="0" w:line="240" w:lineRule="auto"/>
              <w:rPr>
                <w:rFonts w:eastAsia="Times New Roman"/>
                <w:noProof/>
              </w:rPr>
            </w:pPr>
            <w:r>
              <w:rPr>
                <w:noProof/>
              </w:rPr>
              <w:t>Communication de l’attribution</w:t>
            </w:r>
          </w:p>
        </w:tc>
        <w:tc>
          <w:tcPr>
            <w:tcW w:w="1200" w:type="dxa"/>
            <w:shd w:val="clear" w:color="auto" w:fill="C6EFCE"/>
            <w:noWrap/>
          </w:tcPr>
          <w:p w14:paraId="48B1D5FF" w14:textId="15C48A81"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696B7FA3" w14:textId="300236B4" w:rsidR="003B6BD9" w:rsidRDefault="009E25E8">
            <w:pPr>
              <w:pStyle w:val="P68B1DB1-Normal7"/>
              <w:spacing w:before="0" w:after="0" w:line="240" w:lineRule="auto"/>
              <w:jc w:val="right"/>
              <w:rPr>
                <w:rFonts w:eastAsia="Times New Roman"/>
                <w:noProof/>
              </w:rPr>
            </w:pPr>
            <w:r>
              <w:rPr>
                <w:noProof/>
              </w:rPr>
              <w:t> </w:t>
            </w:r>
          </w:p>
        </w:tc>
        <w:tc>
          <w:tcPr>
            <w:tcW w:w="720" w:type="dxa"/>
            <w:shd w:val="clear" w:color="auto" w:fill="C6EFCE"/>
            <w:noWrap/>
          </w:tcPr>
          <w:p w14:paraId="5C0C6E8C" w14:textId="5FF967F0" w:rsidR="003B6BD9" w:rsidRDefault="009E25E8">
            <w:pPr>
              <w:pStyle w:val="P68B1DB1-Normal7"/>
              <w:spacing w:before="0" w:after="0" w:line="240" w:lineRule="auto"/>
              <w:jc w:val="right"/>
              <w:rPr>
                <w:rFonts w:eastAsia="Times New Roman"/>
                <w:noProof/>
              </w:rPr>
            </w:pPr>
            <w:r>
              <w:rPr>
                <w:noProof/>
              </w:rPr>
              <w:t> </w:t>
            </w:r>
          </w:p>
        </w:tc>
        <w:tc>
          <w:tcPr>
            <w:tcW w:w="1080" w:type="dxa"/>
            <w:shd w:val="clear" w:color="auto" w:fill="C6EFCE"/>
            <w:noWrap/>
          </w:tcPr>
          <w:p w14:paraId="63F9E4FF" w14:textId="7E154623" w:rsidR="003B6BD9" w:rsidRDefault="009E25E8">
            <w:pPr>
              <w:pStyle w:val="P68B1DB1-Normal7"/>
              <w:spacing w:before="0" w:after="0" w:line="240" w:lineRule="auto"/>
              <w:jc w:val="center"/>
              <w:rPr>
                <w:rFonts w:eastAsia="Times New Roman"/>
                <w:noProof/>
              </w:rPr>
            </w:pPr>
            <w:r>
              <w:rPr>
                <w:noProof/>
              </w:rPr>
              <w:t>T2</w:t>
            </w:r>
          </w:p>
        </w:tc>
        <w:tc>
          <w:tcPr>
            <w:tcW w:w="720" w:type="dxa"/>
            <w:shd w:val="clear" w:color="auto" w:fill="C6EFCE"/>
            <w:noWrap/>
          </w:tcPr>
          <w:p w14:paraId="04D2F94F" w14:textId="0CD931E5" w:rsidR="003B6BD9" w:rsidRDefault="009E25E8">
            <w:pPr>
              <w:pStyle w:val="P68B1DB1-Normal7"/>
              <w:spacing w:before="0" w:after="0" w:line="240" w:lineRule="auto"/>
              <w:jc w:val="center"/>
              <w:rPr>
                <w:rFonts w:eastAsia="Times New Roman"/>
                <w:noProof/>
              </w:rPr>
            </w:pPr>
            <w:r>
              <w:rPr>
                <w:noProof/>
              </w:rPr>
              <w:t>2024</w:t>
            </w:r>
          </w:p>
        </w:tc>
        <w:tc>
          <w:tcPr>
            <w:tcW w:w="2806" w:type="dxa"/>
            <w:shd w:val="clear" w:color="auto" w:fill="C6EFCE"/>
            <w:noWrap/>
          </w:tcPr>
          <w:p w14:paraId="2CB30A0B" w14:textId="34491E1E" w:rsidR="003B6BD9" w:rsidRDefault="009E25E8">
            <w:pPr>
              <w:pStyle w:val="P68B1DB1-Normal7"/>
              <w:spacing w:before="0" w:after="0" w:line="240" w:lineRule="auto"/>
              <w:rPr>
                <w:rFonts w:eastAsia="Times New Roman"/>
                <w:noProof/>
              </w:rPr>
            </w:pPr>
            <w:r>
              <w:rPr>
                <w:noProof/>
              </w:rPr>
              <w:t>Le système national de télémédecine sélectionné permet la communication des patients avec les professionnels de la santé et la coopération entre les professionnels de la santé. Il fournit l’infrastructure numérique nécessaire à la mise en œuvre de la télésanté, d’une carte de santé unique et d’un modèle unique de données administratives. Il garantit également des exigences appropriées en matière de respect de la vie privée, de protection des données, de sécurité informatique, de stockage et de compatibilité, ainsi que la spécification de la forme de communication.</w:t>
            </w:r>
          </w:p>
        </w:tc>
      </w:tr>
      <w:tr w:rsidR="003B6BD9" w14:paraId="7EA60325" w14:textId="77777777" w:rsidTr="006C1AFD">
        <w:trPr>
          <w:trHeight w:val="299"/>
        </w:trPr>
        <w:tc>
          <w:tcPr>
            <w:tcW w:w="960" w:type="dxa"/>
            <w:tcBorders>
              <w:bottom w:val="single" w:sz="4" w:space="0" w:color="auto"/>
            </w:tcBorders>
            <w:shd w:val="clear" w:color="auto" w:fill="C6EFCE"/>
            <w:noWrap/>
          </w:tcPr>
          <w:p w14:paraId="055F7266" w14:textId="74154421" w:rsidR="003B6BD9" w:rsidRDefault="009E25E8">
            <w:pPr>
              <w:pStyle w:val="P68B1DB1-Normal7"/>
              <w:spacing w:before="0" w:after="0" w:line="240" w:lineRule="auto"/>
              <w:rPr>
                <w:rFonts w:eastAsia="Times New Roman"/>
                <w:noProof/>
              </w:rPr>
            </w:pPr>
            <w:r>
              <w:rPr>
                <w:noProof/>
              </w:rPr>
              <w:t>186</w:t>
            </w:r>
          </w:p>
        </w:tc>
        <w:tc>
          <w:tcPr>
            <w:tcW w:w="1680" w:type="dxa"/>
            <w:tcBorders>
              <w:bottom w:val="single" w:sz="4" w:space="0" w:color="auto"/>
            </w:tcBorders>
            <w:shd w:val="clear" w:color="auto" w:fill="C6EFCE"/>
            <w:noWrap/>
          </w:tcPr>
          <w:p w14:paraId="39B47930" w14:textId="6EE3A105" w:rsidR="003B6BD9" w:rsidRDefault="009E25E8">
            <w:pPr>
              <w:pStyle w:val="P68B1DB1-Normal7"/>
              <w:spacing w:before="0" w:after="0" w:line="240" w:lineRule="auto"/>
              <w:rPr>
                <w:rFonts w:eastAsia="Times New Roman"/>
                <w:noProof/>
              </w:rPr>
            </w:pPr>
            <w:r>
              <w:rPr>
                <w:noProof/>
              </w:rPr>
              <w:t>C: Transformation numérique des soins de santé</w:t>
            </w:r>
          </w:p>
        </w:tc>
        <w:tc>
          <w:tcPr>
            <w:tcW w:w="1080" w:type="dxa"/>
            <w:tcBorders>
              <w:bottom w:val="single" w:sz="4" w:space="0" w:color="auto"/>
            </w:tcBorders>
            <w:shd w:val="clear" w:color="auto" w:fill="C6EFCE"/>
            <w:noWrap/>
          </w:tcPr>
          <w:p w14:paraId="5B9A00E0" w14:textId="61F6E1EB" w:rsidR="003B6BD9" w:rsidRDefault="009E25E8">
            <w:pPr>
              <w:pStyle w:val="P68B1DB1-Normal7"/>
              <w:spacing w:before="0" w:after="0" w:line="240" w:lineRule="auto"/>
              <w:rPr>
                <w:noProof/>
              </w:rPr>
            </w:pPr>
            <w:r>
              <w:rPr>
                <w:noProof/>
              </w:rPr>
              <w:t>Cible</w:t>
            </w:r>
          </w:p>
        </w:tc>
        <w:tc>
          <w:tcPr>
            <w:tcW w:w="1800" w:type="dxa"/>
            <w:tcBorders>
              <w:bottom w:val="single" w:sz="4" w:space="0" w:color="auto"/>
            </w:tcBorders>
            <w:shd w:val="clear" w:color="auto" w:fill="C6EFCE"/>
            <w:noWrap/>
          </w:tcPr>
          <w:p w14:paraId="3E20746E" w14:textId="44654D0C" w:rsidR="003B6BD9" w:rsidRDefault="009E25E8">
            <w:pPr>
              <w:pStyle w:val="P68B1DB1-Normal7"/>
              <w:spacing w:before="0" w:after="0" w:line="240" w:lineRule="auto"/>
              <w:rPr>
                <w:noProof/>
              </w:rPr>
            </w:pPr>
            <w:r>
              <w:rPr>
                <w:noProof/>
              </w:rPr>
              <w:t>Établissements de santé utilisant le stockage central des images</w:t>
            </w:r>
          </w:p>
        </w:tc>
        <w:tc>
          <w:tcPr>
            <w:tcW w:w="2400" w:type="dxa"/>
            <w:tcBorders>
              <w:bottom w:val="single" w:sz="4" w:space="0" w:color="auto"/>
            </w:tcBorders>
            <w:shd w:val="clear" w:color="auto" w:fill="C6EFCE"/>
            <w:noWrap/>
          </w:tcPr>
          <w:p w14:paraId="7E1F7EBE" w14:textId="4BB0EAD0" w:rsidR="003B6BD9" w:rsidRDefault="003B6BD9">
            <w:pPr>
              <w:spacing w:before="0" w:after="0" w:line="240" w:lineRule="auto"/>
              <w:rPr>
                <w:rFonts w:eastAsia="Times New Roman"/>
                <w:noProof/>
                <w:color w:val="006100"/>
                <w:sz w:val="18"/>
                <w:szCs w:val="18"/>
              </w:rPr>
            </w:pPr>
          </w:p>
        </w:tc>
        <w:tc>
          <w:tcPr>
            <w:tcW w:w="1200" w:type="dxa"/>
            <w:tcBorders>
              <w:bottom w:val="single" w:sz="4" w:space="0" w:color="auto"/>
            </w:tcBorders>
            <w:shd w:val="clear" w:color="auto" w:fill="C6EFCE"/>
            <w:noWrap/>
          </w:tcPr>
          <w:p w14:paraId="194E369D" w14:textId="567451D8" w:rsidR="003B6BD9" w:rsidRDefault="009E25E8">
            <w:pPr>
              <w:pStyle w:val="P68B1DB1-Normal7"/>
              <w:spacing w:before="0" w:after="0" w:line="240" w:lineRule="auto"/>
              <w:rPr>
                <w:rFonts w:eastAsia="Times New Roman"/>
                <w:noProof/>
              </w:rPr>
            </w:pPr>
            <w:r>
              <w:rPr>
                <w:noProof/>
              </w:rPr>
              <w:t xml:space="preserve"> Nombre</w:t>
            </w:r>
          </w:p>
        </w:tc>
        <w:tc>
          <w:tcPr>
            <w:tcW w:w="960" w:type="dxa"/>
            <w:tcBorders>
              <w:bottom w:val="single" w:sz="4" w:space="0" w:color="auto"/>
            </w:tcBorders>
            <w:shd w:val="clear" w:color="auto" w:fill="C6EFCE"/>
            <w:noWrap/>
          </w:tcPr>
          <w:p w14:paraId="6891D49D" w14:textId="2774C2C4" w:rsidR="003B6BD9" w:rsidRDefault="009E25E8">
            <w:pPr>
              <w:pStyle w:val="P68B1DB1-Normal7"/>
              <w:spacing w:before="0" w:after="0" w:line="240" w:lineRule="auto"/>
              <w:jc w:val="right"/>
              <w:rPr>
                <w:rFonts w:eastAsia="Times New Roman"/>
                <w:noProof/>
              </w:rPr>
            </w:pPr>
            <w:r>
              <w:rPr>
                <w:noProof/>
              </w:rPr>
              <w:t>0</w:t>
            </w:r>
          </w:p>
        </w:tc>
        <w:tc>
          <w:tcPr>
            <w:tcW w:w="720" w:type="dxa"/>
            <w:tcBorders>
              <w:bottom w:val="single" w:sz="4" w:space="0" w:color="auto"/>
            </w:tcBorders>
            <w:shd w:val="clear" w:color="auto" w:fill="C6EFCE"/>
            <w:noWrap/>
          </w:tcPr>
          <w:p w14:paraId="3D9671FD" w14:textId="4774B172" w:rsidR="003B6BD9" w:rsidRDefault="009E25E8">
            <w:pPr>
              <w:pStyle w:val="P68B1DB1-Normal7"/>
              <w:spacing w:before="0" w:after="0" w:line="240" w:lineRule="auto"/>
              <w:jc w:val="right"/>
              <w:rPr>
                <w:rFonts w:eastAsia="Times New Roman"/>
                <w:noProof/>
              </w:rPr>
            </w:pPr>
            <w:r>
              <w:rPr>
                <w:noProof/>
              </w:rPr>
              <w:t>9</w:t>
            </w:r>
          </w:p>
        </w:tc>
        <w:tc>
          <w:tcPr>
            <w:tcW w:w="1080" w:type="dxa"/>
            <w:tcBorders>
              <w:bottom w:val="single" w:sz="4" w:space="0" w:color="auto"/>
            </w:tcBorders>
            <w:shd w:val="clear" w:color="auto" w:fill="C6EFCE"/>
            <w:noWrap/>
          </w:tcPr>
          <w:p w14:paraId="4F9FC06A" w14:textId="27BC15F3" w:rsidR="003B6BD9" w:rsidRDefault="009E25E8">
            <w:pPr>
              <w:pStyle w:val="P68B1DB1-Normal7"/>
              <w:spacing w:before="0" w:after="0" w:line="240" w:lineRule="auto"/>
              <w:jc w:val="center"/>
              <w:rPr>
                <w:rFonts w:eastAsia="Times New Roman"/>
                <w:noProof/>
              </w:rPr>
            </w:pPr>
            <w:r>
              <w:rPr>
                <w:noProof/>
              </w:rPr>
              <w:t>T4</w:t>
            </w:r>
          </w:p>
        </w:tc>
        <w:tc>
          <w:tcPr>
            <w:tcW w:w="720" w:type="dxa"/>
            <w:tcBorders>
              <w:bottom w:val="single" w:sz="4" w:space="0" w:color="auto"/>
            </w:tcBorders>
            <w:shd w:val="clear" w:color="auto" w:fill="C6EFCE"/>
            <w:noWrap/>
          </w:tcPr>
          <w:p w14:paraId="3EA5839E" w14:textId="035BE454" w:rsidR="003B6BD9" w:rsidRDefault="009E25E8">
            <w:pPr>
              <w:pStyle w:val="P68B1DB1-Normal7"/>
              <w:spacing w:before="0" w:after="0" w:line="240" w:lineRule="auto"/>
              <w:jc w:val="center"/>
              <w:rPr>
                <w:rFonts w:eastAsia="Times New Roman"/>
                <w:noProof/>
              </w:rPr>
            </w:pPr>
            <w:r>
              <w:rPr>
                <w:noProof/>
              </w:rPr>
              <w:t>2024</w:t>
            </w:r>
          </w:p>
        </w:tc>
        <w:tc>
          <w:tcPr>
            <w:tcW w:w="2806" w:type="dxa"/>
            <w:tcBorders>
              <w:bottom w:val="single" w:sz="4" w:space="0" w:color="auto"/>
            </w:tcBorders>
            <w:shd w:val="clear" w:color="auto" w:fill="C6EFCE"/>
            <w:noWrap/>
          </w:tcPr>
          <w:p w14:paraId="6EB70775" w14:textId="25B3F5FC" w:rsidR="003B6BD9" w:rsidRDefault="009E25E8">
            <w:pPr>
              <w:pStyle w:val="P68B1DB1-Normal7"/>
              <w:spacing w:before="0" w:after="0" w:line="240" w:lineRule="auto"/>
              <w:rPr>
                <w:rFonts w:eastAsia="Times New Roman"/>
                <w:noProof/>
              </w:rPr>
            </w:pPr>
            <w:r>
              <w:rPr>
                <w:noProof/>
              </w:rPr>
              <w:t>Au moins 9 établissements de santé publique utilisent le système central d’accès et de stockage des images (PACS).</w:t>
            </w:r>
          </w:p>
        </w:tc>
      </w:tr>
      <w:tr w:rsidR="003B6BD9" w14:paraId="4DFFA0A0" w14:textId="77777777" w:rsidTr="006C1AFD">
        <w:trPr>
          <w:trHeight w:val="299"/>
        </w:trPr>
        <w:tc>
          <w:tcPr>
            <w:tcW w:w="960" w:type="dxa"/>
            <w:tcBorders>
              <w:bottom w:val="single" w:sz="4" w:space="0" w:color="auto"/>
            </w:tcBorders>
            <w:shd w:val="clear" w:color="auto" w:fill="C6EFCE"/>
            <w:noWrap/>
          </w:tcPr>
          <w:p w14:paraId="273C7E9A" w14:textId="6554583B" w:rsidR="003B6BD9" w:rsidRDefault="009E25E8">
            <w:pPr>
              <w:pStyle w:val="P68B1DB1-Normal7"/>
              <w:spacing w:before="0" w:after="0" w:line="240" w:lineRule="auto"/>
              <w:rPr>
                <w:rFonts w:eastAsia="Times New Roman"/>
                <w:noProof/>
              </w:rPr>
            </w:pPr>
            <w:r>
              <w:rPr>
                <w:noProof/>
              </w:rPr>
              <w:t>187</w:t>
            </w:r>
          </w:p>
        </w:tc>
        <w:tc>
          <w:tcPr>
            <w:tcW w:w="1680" w:type="dxa"/>
            <w:tcBorders>
              <w:bottom w:val="single" w:sz="4" w:space="0" w:color="auto"/>
            </w:tcBorders>
            <w:shd w:val="clear" w:color="auto" w:fill="C6EFCE"/>
            <w:noWrap/>
          </w:tcPr>
          <w:p w14:paraId="56D1936A" w14:textId="6FC9C5E5" w:rsidR="003B6BD9" w:rsidRDefault="009E25E8">
            <w:pPr>
              <w:pStyle w:val="P68B1DB1-Normal7"/>
              <w:spacing w:before="0" w:after="0" w:line="240" w:lineRule="auto"/>
              <w:rPr>
                <w:rFonts w:eastAsia="Times New Roman"/>
                <w:noProof/>
              </w:rPr>
            </w:pPr>
            <w:r>
              <w:rPr>
                <w:noProof/>
              </w:rPr>
              <w:t>C: Transformation numérique des soins de santé</w:t>
            </w:r>
          </w:p>
        </w:tc>
        <w:tc>
          <w:tcPr>
            <w:tcW w:w="1080" w:type="dxa"/>
            <w:tcBorders>
              <w:bottom w:val="single" w:sz="4" w:space="0" w:color="auto"/>
            </w:tcBorders>
            <w:shd w:val="clear" w:color="auto" w:fill="C6EFCE"/>
            <w:noWrap/>
          </w:tcPr>
          <w:p w14:paraId="41112F8F" w14:textId="03F08B6F" w:rsidR="003B6BD9" w:rsidRDefault="009E25E8">
            <w:pPr>
              <w:pStyle w:val="P68B1DB1-Normal7"/>
              <w:spacing w:before="0" w:after="0" w:line="240" w:lineRule="auto"/>
              <w:rPr>
                <w:rFonts w:eastAsia="Times New Roman"/>
                <w:noProof/>
              </w:rPr>
            </w:pPr>
            <w:r>
              <w:rPr>
                <w:noProof/>
              </w:rPr>
              <w:t xml:space="preserve">Jalon </w:t>
            </w:r>
          </w:p>
        </w:tc>
        <w:tc>
          <w:tcPr>
            <w:tcW w:w="1800" w:type="dxa"/>
            <w:tcBorders>
              <w:bottom w:val="single" w:sz="4" w:space="0" w:color="auto"/>
            </w:tcBorders>
            <w:shd w:val="clear" w:color="auto" w:fill="C6EFCE"/>
            <w:noWrap/>
          </w:tcPr>
          <w:p w14:paraId="4B5A69EC" w14:textId="5F946F69" w:rsidR="003B6BD9" w:rsidRDefault="009E25E8">
            <w:pPr>
              <w:pStyle w:val="P68B1DB1-Normal7"/>
              <w:spacing w:before="0" w:after="0" w:line="240" w:lineRule="auto"/>
              <w:rPr>
                <w:noProof/>
              </w:rPr>
            </w:pPr>
            <w:r>
              <w:rPr>
                <w:noProof/>
              </w:rPr>
              <w:t>Nouvelles fonctionnalités de télémédecine accessibles aux patients et aux médecins</w:t>
            </w:r>
          </w:p>
        </w:tc>
        <w:tc>
          <w:tcPr>
            <w:tcW w:w="2400" w:type="dxa"/>
            <w:tcBorders>
              <w:bottom w:val="single" w:sz="4" w:space="0" w:color="auto"/>
            </w:tcBorders>
            <w:shd w:val="clear" w:color="auto" w:fill="C6EFCE"/>
            <w:noWrap/>
          </w:tcPr>
          <w:p w14:paraId="669E6EEE" w14:textId="31F65945" w:rsidR="003B6BD9" w:rsidRDefault="009E25E8">
            <w:pPr>
              <w:pStyle w:val="P68B1DB1-Normal7"/>
              <w:spacing w:before="0" w:after="0" w:line="240" w:lineRule="auto"/>
              <w:rPr>
                <w:rFonts w:eastAsia="Times New Roman"/>
                <w:noProof/>
              </w:rPr>
            </w:pPr>
            <w:r>
              <w:rPr>
                <w:noProof/>
              </w:rPr>
              <w:t>Nouvelles fonctionnalités de télémédecine accessibles aux patients et aux médecins</w:t>
            </w:r>
          </w:p>
        </w:tc>
        <w:tc>
          <w:tcPr>
            <w:tcW w:w="1200" w:type="dxa"/>
            <w:tcBorders>
              <w:bottom w:val="single" w:sz="4" w:space="0" w:color="auto"/>
            </w:tcBorders>
            <w:shd w:val="clear" w:color="auto" w:fill="C6EFCE"/>
            <w:noWrap/>
          </w:tcPr>
          <w:p w14:paraId="67128563" w14:textId="52CB683C" w:rsidR="003B6BD9" w:rsidRDefault="003B6BD9">
            <w:pPr>
              <w:spacing w:before="0" w:after="0" w:line="240" w:lineRule="auto"/>
              <w:rPr>
                <w:rFonts w:eastAsia="Times New Roman"/>
                <w:noProof/>
                <w:color w:val="006100"/>
                <w:sz w:val="18"/>
                <w:szCs w:val="18"/>
              </w:rPr>
            </w:pPr>
          </w:p>
        </w:tc>
        <w:tc>
          <w:tcPr>
            <w:tcW w:w="960" w:type="dxa"/>
            <w:tcBorders>
              <w:bottom w:val="single" w:sz="4" w:space="0" w:color="auto"/>
            </w:tcBorders>
            <w:shd w:val="clear" w:color="auto" w:fill="C6EFCE"/>
            <w:noWrap/>
          </w:tcPr>
          <w:p w14:paraId="4C941A81" w14:textId="606A9A2A" w:rsidR="003B6BD9" w:rsidRDefault="003B6BD9">
            <w:pPr>
              <w:spacing w:before="0" w:after="0" w:line="240" w:lineRule="auto"/>
              <w:jc w:val="right"/>
              <w:rPr>
                <w:rFonts w:eastAsia="Times New Roman"/>
                <w:noProof/>
                <w:color w:val="006100"/>
                <w:sz w:val="18"/>
                <w:szCs w:val="18"/>
              </w:rPr>
            </w:pPr>
          </w:p>
        </w:tc>
        <w:tc>
          <w:tcPr>
            <w:tcW w:w="720" w:type="dxa"/>
            <w:tcBorders>
              <w:bottom w:val="single" w:sz="4" w:space="0" w:color="auto"/>
            </w:tcBorders>
            <w:shd w:val="clear" w:color="auto" w:fill="C6EFCE"/>
            <w:noWrap/>
          </w:tcPr>
          <w:p w14:paraId="68C9A426" w14:textId="74A92B53" w:rsidR="003B6BD9" w:rsidRDefault="003B6BD9">
            <w:pPr>
              <w:spacing w:before="0" w:after="0" w:line="240" w:lineRule="auto"/>
              <w:jc w:val="right"/>
              <w:rPr>
                <w:rFonts w:eastAsia="Times New Roman"/>
                <w:noProof/>
                <w:color w:val="006100"/>
                <w:sz w:val="18"/>
                <w:szCs w:val="18"/>
              </w:rPr>
            </w:pPr>
          </w:p>
        </w:tc>
        <w:tc>
          <w:tcPr>
            <w:tcW w:w="1080" w:type="dxa"/>
            <w:tcBorders>
              <w:bottom w:val="single" w:sz="4" w:space="0" w:color="auto"/>
            </w:tcBorders>
            <w:shd w:val="clear" w:color="auto" w:fill="C6EFCE"/>
            <w:noWrap/>
          </w:tcPr>
          <w:p w14:paraId="1AAB251E" w14:textId="1B1BB2C7" w:rsidR="003B6BD9" w:rsidRDefault="009E25E8">
            <w:pPr>
              <w:pStyle w:val="P68B1DB1-Normal7"/>
              <w:spacing w:before="0" w:after="0" w:line="240" w:lineRule="auto"/>
              <w:jc w:val="center"/>
              <w:rPr>
                <w:rFonts w:eastAsia="Times New Roman"/>
                <w:noProof/>
              </w:rPr>
            </w:pPr>
            <w:r>
              <w:rPr>
                <w:noProof/>
              </w:rPr>
              <w:t>T4</w:t>
            </w:r>
          </w:p>
        </w:tc>
        <w:tc>
          <w:tcPr>
            <w:tcW w:w="720" w:type="dxa"/>
            <w:tcBorders>
              <w:bottom w:val="single" w:sz="4" w:space="0" w:color="auto"/>
            </w:tcBorders>
            <w:shd w:val="clear" w:color="auto" w:fill="C6EFCE"/>
            <w:noWrap/>
          </w:tcPr>
          <w:p w14:paraId="32BBA52C" w14:textId="10A63039" w:rsidR="003B6BD9" w:rsidRDefault="009E25E8">
            <w:pPr>
              <w:pStyle w:val="P68B1DB1-Normal7"/>
              <w:spacing w:before="0" w:after="0" w:line="240" w:lineRule="auto"/>
              <w:jc w:val="center"/>
              <w:rPr>
                <w:rFonts w:eastAsia="Times New Roman"/>
                <w:noProof/>
              </w:rPr>
            </w:pPr>
            <w:r>
              <w:rPr>
                <w:noProof/>
              </w:rPr>
              <w:t>2025</w:t>
            </w:r>
          </w:p>
        </w:tc>
        <w:tc>
          <w:tcPr>
            <w:tcW w:w="2806" w:type="dxa"/>
            <w:tcBorders>
              <w:bottom w:val="single" w:sz="4" w:space="0" w:color="auto"/>
            </w:tcBorders>
            <w:shd w:val="clear" w:color="auto" w:fill="C6EFCE"/>
            <w:noWrap/>
          </w:tcPr>
          <w:p w14:paraId="63BC6871" w14:textId="5FF5E634" w:rsidR="003B6BD9" w:rsidRDefault="009E25E8">
            <w:pPr>
              <w:pStyle w:val="P68B1DB1-Normal7"/>
              <w:spacing w:before="0" w:after="0" w:line="240" w:lineRule="auto"/>
              <w:rPr>
                <w:rFonts w:eastAsia="Times New Roman"/>
                <w:noProof/>
              </w:rPr>
            </w:pPr>
            <w:r>
              <w:rPr>
                <w:noProof/>
              </w:rPr>
              <w:t xml:space="preserve">Nouvelles fonctionnalités du système national de télémédecine, garantissant la communication à distance du patient avec le médecin et la communication entre les médecins, disponibles pour les patients et les médecins. </w:t>
            </w:r>
          </w:p>
        </w:tc>
      </w:tr>
      <w:tr w:rsidR="003B6BD9" w14:paraId="429989C4" w14:textId="77777777" w:rsidTr="006C1AFD">
        <w:trPr>
          <w:trHeight w:val="299"/>
        </w:trPr>
        <w:tc>
          <w:tcPr>
            <w:tcW w:w="960" w:type="dxa"/>
            <w:tcBorders>
              <w:bottom w:val="single" w:sz="4" w:space="0" w:color="auto"/>
            </w:tcBorders>
            <w:shd w:val="clear" w:color="auto" w:fill="C6EFCE"/>
            <w:noWrap/>
          </w:tcPr>
          <w:p w14:paraId="65E91781" w14:textId="4C72CE4A" w:rsidR="003B6BD9" w:rsidRDefault="009E25E8">
            <w:pPr>
              <w:pStyle w:val="P68B1DB1-Normal7"/>
              <w:spacing w:before="0" w:after="0" w:line="240" w:lineRule="auto"/>
              <w:rPr>
                <w:noProof/>
              </w:rPr>
            </w:pPr>
            <w:r>
              <w:rPr>
                <w:noProof/>
              </w:rPr>
              <w:t>188</w:t>
            </w:r>
          </w:p>
        </w:tc>
        <w:tc>
          <w:tcPr>
            <w:tcW w:w="1680" w:type="dxa"/>
            <w:tcBorders>
              <w:bottom w:val="single" w:sz="4" w:space="0" w:color="auto"/>
            </w:tcBorders>
            <w:shd w:val="clear" w:color="auto" w:fill="C6EFCE"/>
            <w:noWrap/>
          </w:tcPr>
          <w:p w14:paraId="3A37A354" w14:textId="66B5585C" w:rsidR="003B6BD9" w:rsidRDefault="009E25E8">
            <w:pPr>
              <w:pStyle w:val="P68B1DB1-Normal7"/>
              <w:spacing w:before="0" w:after="0" w:line="240" w:lineRule="auto"/>
              <w:rPr>
                <w:noProof/>
              </w:rPr>
            </w:pPr>
            <w:r>
              <w:rPr>
                <w:noProof/>
              </w:rPr>
              <w:t>D: Accessibilité du système de santé</w:t>
            </w:r>
          </w:p>
        </w:tc>
        <w:tc>
          <w:tcPr>
            <w:tcW w:w="1080" w:type="dxa"/>
            <w:tcBorders>
              <w:bottom w:val="single" w:sz="4" w:space="0" w:color="auto"/>
            </w:tcBorders>
            <w:shd w:val="clear" w:color="auto" w:fill="C6EFCE"/>
            <w:noWrap/>
          </w:tcPr>
          <w:p w14:paraId="0381A3D6" w14:textId="5C84E011" w:rsidR="003B6BD9" w:rsidRDefault="009E25E8">
            <w:pPr>
              <w:pStyle w:val="P68B1DB1-Normal7"/>
              <w:spacing w:before="0" w:after="0" w:line="240" w:lineRule="auto"/>
              <w:rPr>
                <w:noProof/>
              </w:rPr>
            </w:pPr>
            <w:r>
              <w:rPr>
                <w:noProof/>
              </w:rPr>
              <w:t>Cible</w:t>
            </w:r>
          </w:p>
        </w:tc>
        <w:tc>
          <w:tcPr>
            <w:tcW w:w="1800" w:type="dxa"/>
            <w:tcBorders>
              <w:bottom w:val="single" w:sz="4" w:space="0" w:color="auto"/>
            </w:tcBorders>
            <w:shd w:val="clear" w:color="auto" w:fill="C6EFCE"/>
            <w:noWrap/>
          </w:tcPr>
          <w:p w14:paraId="1F7705D0" w14:textId="745D7926" w:rsidR="003B6BD9" w:rsidRDefault="009E25E8">
            <w:pPr>
              <w:pStyle w:val="P68B1DB1-Normal7"/>
              <w:spacing w:before="0" w:after="0" w:line="240" w:lineRule="auto"/>
              <w:rPr>
                <w:noProof/>
              </w:rPr>
            </w:pPr>
            <w:r>
              <w:rPr>
                <w:noProof/>
              </w:rPr>
              <w:t>Construction d’un héliport</w:t>
            </w:r>
          </w:p>
        </w:tc>
        <w:tc>
          <w:tcPr>
            <w:tcW w:w="2400" w:type="dxa"/>
            <w:tcBorders>
              <w:bottom w:val="single" w:sz="4" w:space="0" w:color="auto"/>
            </w:tcBorders>
            <w:shd w:val="clear" w:color="auto" w:fill="C6EFCE"/>
            <w:noWrap/>
          </w:tcPr>
          <w:p w14:paraId="3426B177" w14:textId="77777777" w:rsidR="003B6BD9" w:rsidRDefault="003B6BD9">
            <w:pPr>
              <w:spacing w:before="0" w:after="0" w:line="240" w:lineRule="auto"/>
              <w:rPr>
                <w:noProof/>
                <w:color w:val="006100"/>
                <w:sz w:val="18"/>
                <w:szCs w:val="18"/>
              </w:rPr>
            </w:pPr>
          </w:p>
        </w:tc>
        <w:tc>
          <w:tcPr>
            <w:tcW w:w="1200" w:type="dxa"/>
            <w:tcBorders>
              <w:bottom w:val="single" w:sz="4" w:space="0" w:color="auto"/>
            </w:tcBorders>
            <w:shd w:val="clear" w:color="auto" w:fill="C6EFCE"/>
            <w:noWrap/>
          </w:tcPr>
          <w:p w14:paraId="4B72DED9" w14:textId="6015505A" w:rsidR="003B6BD9" w:rsidRDefault="009E25E8">
            <w:pPr>
              <w:pStyle w:val="P68B1DB1-Normal7"/>
              <w:spacing w:before="0" w:after="0" w:line="240" w:lineRule="auto"/>
              <w:rPr>
                <w:rFonts w:eastAsia="Times New Roman"/>
                <w:noProof/>
              </w:rPr>
            </w:pPr>
            <w:r>
              <w:rPr>
                <w:noProof/>
              </w:rPr>
              <w:t>Nombre</w:t>
            </w:r>
          </w:p>
        </w:tc>
        <w:tc>
          <w:tcPr>
            <w:tcW w:w="960" w:type="dxa"/>
            <w:tcBorders>
              <w:bottom w:val="single" w:sz="4" w:space="0" w:color="auto"/>
            </w:tcBorders>
            <w:shd w:val="clear" w:color="auto" w:fill="C6EFCE"/>
            <w:noWrap/>
          </w:tcPr>
          <w:p w14:paraId="10DC02A7" w14:textId="3BB1B3C1" w:rsidR="003B6BD9" w:rsidRDefault="009E25E8">
            <w:pPr>
              <w:pStyle w:val="P68B1DB1-Normal8"/>
              <w:spacing w:before="0" w:after="0" w:line="240" w:lineRule="auto"/>
              <w:jc w:val="right"/>
              <w:rPr>
                <w:noProof/>
              </w:rPr>
            </w:pPr>
            <w:r>
              <w:rPr>
                <w:noProof/>
              </w:rPr>
              <w:t>0</w:t>
            </w:r>
          </w:p>
        </w:tc>
        <w:tc>
          <w:tcPr>
            <w:tcW w:w="720" w:type="dxa"/>
            <w:tcBorders>
              <w:bottom w:val="single" w:sz="4" w:space="0" w:color="auto"/>
            </w:tcBorders>
            <w:shd w:val="clear" w:color="auto" w:fill="C6EFCE"/>
            <w:noWrap/>
          </w:tcPr>
          <w:p w14:paraId="635E6FA5" w14:textId="107E5BD0" w:rsidR="003B6BD9" w:rsidRDefault="009E25E8">
            <w:pPr>
              <w:pStyle w:val="P68B1DB1-Normal8"/>
              <w:spacing w:before="0" w:after="0" w:line="240" w:lineRule="auto"/>
              <w:jc w:val="right"/>
              <w:rPr>
                <w:noProof/>
              </w:rPr>
            </w:pPr>
            <w:r>
              <w:rPr>
                <w:noProof/>
              </w:rPr>
              <w:t>1</w:t>
            </w:r>
          </w:p>
        </w:tc>
        <w:tc>
          <w:tcPr>
            <w:tcW w:w="1080" w:type="dxa"/>
            <w:tcBorders>
              <w:bottom w:val="single" w:sz="4" w:space="0" w:color="auto"/>
            </w:tcBorders>
            <w:shd w:val="clear" w:color="auto" w:fill="C6EFCE"/>
            <w:noWrap/>
          </w:tcPr>
          <w:p w14:paraId="38EE08E0" w14:textId="2538CCBE" w:rsidR="003B6BD9" w:rsidRDefault="009E25E8">
            <w:pPr>
              <w:pStyle w:val="P68B1DB1-Normal7"/>
              <w:spacing w:before="0" w:after="0" w:line="240" w:lineRule="auto"/>
              <w:jc w:val="center"/>
              <w:rPr>
                <w:noProof/>
              </w:rPr>
            </w:pPr>
            <w:r>
              <w:rPr>
                <w:noProof/>
              </w:rPr>
              <w:t>T2</w:t>
            </w:r>
          </w:p>
        </w:tc>
        <w:tc>
          <w:tcPr>
            <w:tcW w:w="720" w:type="dxa"/>
            <w:tcBorders>
              <w:bottom w:val="single" w:sz="4" w:space="0" w:color="auto"/>
            </w:tcBorders>
            <w:shd w:val="clear" w:color="auto" w:fill="C6EFCE"/>
            <w:noWrap/>
          </w:tcPr>
          <w:p w14:paraId="1ED73D7D" w14:textId="667B0A1C" w:rsidR="003B6BD9" w:rsidRDefault="009E25E8">
            <w:pPr>
              <w:pStyle w:val="P68B1DB1-Normal7"/>
              <w:spacing w:before="0" w:after="0" w:line="240" w:lineRule="auto"/>
              <w:jc w:val="center"/>
              <w:rPr>
                <w:noProof/>
              </w:rPr>
            </w:pPr>
            <w:r>
              <w:rPr>
                <w:noProof/>
              </w:rPr>
              <w:t>2026</w:t>
            </w:r>
          </w:p>
        </w:tc>
        <w:tc>
          <w:tcPr>
            <w:tcW w:w="2806" w:type="dxa"/>
            <w:tcBorders>
              <w:bottom w:val="single" w:sz="4" w:space="0" w:color="auto"/>
            </w:tcBorders>
            <w:shd w:val="clear" w:color="auto" w:fill="C6EFCE"/>
            <w:noWrap/>
          </w:tcPr>
          <w:p w14:paraId="425E9C28" w14:textId="0F5A0468" w:rsidR="003B6BD9" w:rsidRDefault="009E25E8">
            <w:pPr>
              <w:pStyle w:val="P68B1DB1-Normal7"/>
              <w:spacing w:before="0" w:after="0" w:line="240" w:lineRule="auto"/>
              <w:rPr>
                <w:noProof/>
              </w:rPr>
            </w:pPr>
            <w:r>
              <w:rPr>
                <w:noProof/>
              </w:rPr>
              <w:t>Construction d’un héliport.</w:t>
            </w:r>
          </w:p>
        </w:tc>
      </w:tr>
      <w:tr w:rsidR="003B6BD9" w14:paraId="194AE53C" w14:textId="77777777" w:rsidTr="006C1AFD">
        <w:trPr>
          <w:trHeight w:val="299"/>
        </w:trPr>
        <w:tc>
          <w:tcPr>
            <w:tcW w:w="960" w:type="dxa"/>
            <w:tcBorders>
              <w:top w:val="single" w:sz="4" w:space="0" w:color="auto"/>
            </w:tcBorders>
            <w:shd w:val="clear" w:color="auto" w:fill="C6EFCE"/>
            <w:noWrap/>
          </w:tcPr>
          <w:p w14:paraId="4B65131F" w14:textId="058EDC59" w:rsidR="003B6BD9" w:rsidRDefault="009E25E8">
            <w:pPr>
              <w:pStyle w:val="P68B1DB1-Normal7"/>
              <w:spacing w:before="0" w:after="0" w:line="240" w:lineRule="auto"/>
              <w:rPr>
                <w:rFonts w:eastAsia="Times New Roman"/>
                <w:noProof/>
              </w:rPr>
            </w:pPr>
            <w:r>
              <w:rPr>
                <w:noProof/>
              </w:rPr>
              <w:t>189</w:t>
            </w:r>
          </w:p>
        </w:tc>
        <w:tc>
          <w:tcPr>
            <w:tcW w:w="1680" w:type="dxa"/>
            <w:tcBorders>
              <w:top w:val="single" w:sz="4" w:space="0" w:color="auto"/>
            </w:tcBorders>
            <w:shd w:val="clear" w:color="auto" w:fill="C6EFCE"/>
            <w:noWrap/>
          </w:tcPr>
          <w:p w14:paraId="7F9B7B3A" w14:textId="54A7ECE4" w:rsidR="003B6BD9" w:rsidRDefault="009E25E8">
            <w:pPr>
              <w:pStyle w:val="P68B1DB1-Normal7"/>
              <w:spacing w:before="0" w:after="0" w:line="240" w:lineRule="auto"/>
              <w:rPr>
                <w:rFonts w:eastAsia="Times New Roman"/>
                <w:noProof/>
              </w:rPr>
            </w:pPr>
            <w:r>
              <w:rPr>
                <w:noProof/>
              </w:rPr>
              <w:t>D: Accessibilité du système de santé</w:t>
            </w:r>
          </w:p>
        </w:tc>
        <w:tc>
          <w:tcPr>
            <w:tcW w:w="1080" w:type="dxa"/>
            <w:tcBorders>
              <w:top w:val="single" w:sz="4" w:space="0" w:color="auto"/>
            </w:tcBorders>
            <w:shd w:val="clear" w:color="auto" w:fill="C6EFCE"/>
            <w:noWrap/>
          </w:tcPr>
          <w:p w14:paraId="0AD360A7" w14:textId="217F5FEA" w:rsidR="003B6BD9" w:rsidRDefault="009E25E8">
            <w:pPr>
              <w:pStyle w:val="P68B1DB1-Normal7"/>
              <w:spacing w:before="0" w:after="0" w:line="240" w:lineRule="auto"/>
              <w:rPr>
                <w:rFonts w:eastAsia="Times New Roman"/>
                <w:noProof/>
              </w:rPr>
            </w:pPr>
            <w:r>
              <w:rPr>
                <w:noProof/>
              </w:rPr>
              <w:t>Cible</w:t>
            </w:r>
          </w:p>
        </w:tc>
        <w:tc>
          <w:tcPr>
            <w:tcW w:w="1800" w:type="dxa"/>
            <w:tcBorders>
              <w:top w:val="single" w:sz="4" w:space="0" w:color="auto"/>
            </w:tcBorders>
            <w:shd w:val="clear" w:color="auto" w:fill="C6EFCE"/>
            <w:noWrap/>
          </w:tcPr>
          <w:p w14:paraId="6A2F8E74" w14:textId="6952D1D0" w:rsidR="003B6BD9" w:rsidRDefault="009E25E8">
            <w:pPr>
              <w:pStyle w:val="P68B1DB1-Normal7"/>
              <w:spacing w:before="0" w:after="0" w:line="240" w:lineRule="auto"/>
              <w:rPr>
                <w:rFonts w:eastAsia="Times New Roman"/>
                <w:noProof/>
              </w:rPr>
            </w:pPr>
            <w:r>
              <w:rPr>
                <w:noProof/>
              </w:rPr>
              <w:t xml:space="preserve">Livraison de véhicules pour l’assistance médicale d’urgence </w:t>
            </w:r>
          </w:p>
        </w:tc>
        <w:tc>
          <w:tcPr>
            <w:tcW w:w="2400" w:type="dxa"/>
            <w:tcBorders>
              <w:top w:val="single" w:sz="4" w:space="0" w:color="auto"/>
            </w:tcBorders>
            <w:shd w:val="clear" w:color="auto" w:fill="C6EFCE"/>
            <w:noWrap/>
          </w:tcPr>
          <w:p w14:paraId="3D78E34A" w14:textId="2A1DE8C2" w:rsidR="003B6BD9" w:rsidRDefault="009E25E8">
            <w:pPr>
              <w:pStyle w:val="P68B1DB1-Normal7"/>
              <w:spacing w:before="0" w:after="0" w:line="240" w:lineRule="auto"/>
              <w:rPr>
                <w:rFonts w:eastAsia="Times New Roman"/>
                <w:noProof/>
              </w:rPr>
            </w:pPr>
            <w:r>
              <w:rPr>
                <w:noProof/>
              </w:rPr>
              <w:t> </w:t>
            </w:r>
          </w:p>
        </w:tc>
        <w:tc>
          <w:tcPr>
            <w:tcW w:w="1200" w:type="dxa"/>
            <w:tcBorders>
              <w:top w:val="single" w:sz="4" w:space="0" w:color="auto"/>
            </w:tcBorders>
            <w:shd w:val="clear" w:color="auto" w:fill="C6EFCE"/>
            <w:noWrap/>
          </w:tcPr>
          <w:p w14:paraId="61B45DFB" w14:textId="4F36E6B1" w:rsidR="003B6BD9" w:rsidRDefault="009E25E8">
            <w:pPr>
              <w:pStyle w:val="P68B1DB1-Normal7"/>
              <w:spacing w:before="0" w:after="0" w:line="240" w:lineRule="auto"/>
              <w:rPr>
                <w:rFonts w:eastAsia="Times New Roman"/>
                <w:noProof/>
              </w:rPr>
            </w:pPr>
            <w:r>
              <w:rPr>
                <w:noProof/>
              </w:rPr>
              <w:t>Nombre</w:t>
            </w:r>
          </w:p>
        </w:tc>
        <w:tc>
          <w:tcPr>
            <w:tcW w:w="960" w:type="dxa"/>
            <w:tcBorders>
              <w:top w:val="single" w:sz="4" w:space="0" w:color="auto"/>
            </w:tcBorders>
            <w:shd w:val="clear" w:color="auto" w:fill="C6EFCE"/>
            <w:noWrap/>
          </w:tcPr>
          <w:p w14:paraId="5F8646B1" w14:textId="47E9DE21" w:rsidR="003B6BD9" w:rsidRDefault="009E25E8">
            <w:pPr>
              <w:pStyle w:val="P68B1DB1-Normal7"/>
              <w:spacing w:before="0" w:after="0" w:line="240" w:lineRule="auto"/>
              <w:jc w:val="right"/>
              <w:rPr>
                <w:rFonts w:eastAsia="Times New Roman"/>
                <w:noProof/>
              </w:rPr>
            </w:pPr>
            <w:r>
              <w:rPr>
                <w:noProof/>
              </w:rPr>
              <w:t>0</w:t>
            </w:r>
          </w:p>
        </w:tc>
        <w:tc>
          <w:tcPr>
            <w:tcW w:w="720" w:type="dxa"/>
            <w:tcBorders>
              <w:top w:val="single" w:sz="4" w:space="0" w:color="auto"/>
            </w:tcBorders>
            <w:shd w:val="clear" w:color="auto" w:fill="C6EFCE"/>
            <w:noWrap/>
          </w:tcPr>
          <w:p w14:paraId="3D52CC58" w14:textId="56E6560A" w:rsidR="003B6BD9" w:rsidRDefault="009E25E8">
            <w:pPr>
              <w:pStyle w:val="P68B1DB1-Normal7"/>
              <w:spacing w:before="0" w:after="0" w:line="240" w:lineRule="auto"/>
              <w:jc w:val="right"/>
              <w:rPr>
                <w:rFonts w:eastAsia="Times New Roman"/>
                <w:noProof/>
              </w:rPr>
            </w:pPr>
            <w:r>
              <w:rPr>
                <w:noProof/>
              </w:rPr>
              <w:t>38</w:t>
            </w:r>
          </w:p>
        </w:tc>
        <w:tc>
          <w:tcPr>
            <w:tcW w:w="1080" w:type="dxa"/>
            <w:tcBorders>
              <w:top w:val="single" w:sz="4" w:space="0" w:color="auto"/>
            </w:tcBorders>
            <w:shd w:val="clear" w:color="auto" w:fill="C6EFCE"/>
            <w:noWrap/>
          </w:tcPr>
          <w:p w14:paraId="2C760FDB" w14:textId="6F73F6BB" w:rsidR="003B6BD9" w:rsidRDefault="009E25E8">
            <w:pPr>
              <w:pStyle w:val="P68B1DB1-Normal7"/>
              <w:spacing w:before="0" w:after="0" w:line="240" w:lineRule="auto"/>
              <w:jc w:val="center"/>
              <w:rPr>
                <w:rFonts w:eastAsia="Times New Roman"/>
                <w:noProof/>
              </w:rPr>
            </w:pPr>
            <w:r>
              <w:rPr>
                <w:noProof/>
              </w:rPr>
              <w:t>T2</w:t>
            </w:r>
          </w:p>
        </w:tc>
        <w:tc>
          <w:tcPr>
            <w:tcW w:w="720" w:type="dxa"/>
            <w:tcBorders>
              <w:top w:val="single" w:sz="4" w:space="0" w:color="auto"/>
            </w:tcBorders>
            <w:shd w:val="clear" w:color="auto" w:fill="C6EFCE"/>
            <w:noWrap/>
          </w:tcPr>
          <w:p w14:paraId="484B0DC3" w14:textId="551FB123" w:rsidR="003B6BD9" w:rsidRDefault="009E25E8">
            <w:pPr>
              <w:pStyle w:val="P68B1DB1-Normal7"/>
              <w:spacing w:before="0" w:after="0" w:line="240" w:lineRule="auto"/>
              <w:jc w:val="center"/>
              <w:rPr>
                <w:rFonts w:eastAsia="Times New Roman"/>
                <w:noProof/>
              </w:rPr>
            </w:pPr>
            <w:r>
              <w:rPr>
                <w:noProof/>
              </w:rPr>
              <w:t>2026</w:t>
            </w:r>
          </w:p>
        </w:tc>
        <w:tc>
          <w:tcPr>
            <w:tcW w:w="2806" w:type="dxa"/>
            <w:tcBorders>
              <w:top w:val="single" w:sz="4" w:space="0" w:color="auto"/>
            </w:tcBorders>
            <w:shd w:val="clear" w:color="auto" w:fill="C6EFCE"/>
            <w:noWrap/>
          </w:tcPr>
          <w:p w14:paraId="025BDD71" w14:textId="7F27BB24" w:rsidR="003B6BD9" w:rsidRDefault="009E25E8">
            <w:pPr>
              <w:pStyle w:val="P68B1DB1-Normal8"/>
              <w:spacing w:before="0" w:after="0" w:line="240" w:lineRule="auto"/>
              <w:rPr>
                <w:noProof/>
              </w:rPr>
            </w:pPr>
            <w:r>
              <w:rPr>
                <w:noProof/>
              </w:rPr>
              <w:t>Livraison de 38 véhicules pour l’aide médicale d’urgence.</w:t>
            </w:r>
          </w:p>
        </w:tc>
      </w:tr>
      <w:tr w:rsidR="003B6BD9" w14:paraId="014AF111" w14:textId="77777777" w:rsidTr="006C1AFD">
        <w:trPr>
          <w:trHeight w:val="299"/>
        </w:trPr>
        <w:tc>
          <w:tcPr>
            <w:tcW w:w="960" w:type="dxa"/>
            <w:tcBorders>
              <w:top w:val="single" w:sz="4" w:space="0" w:color="auto"/>
            </w:tcBorders>
            <w:shd w:val="clear" w:color="auto" w:fill="C6EFCE"/>
            <w:noWrap/>
          </w:tcPr>
          <w:p w14:paraId="217BCF2B" w14:textId="09C846F3" w:rsidR="003B6BD9" w:rsidRDefault="009E25E8">
            <w:pPr>
              <w:pStyle w:val="P68B1DB1-Normal7"/>
              <w:spacing w:before="0" w:after="0" w:line="240" w:lineRule="auto"/>
              <w:rPr>
                <w:noProof/>
              </w:rPr>
            </w:pPr>
            <w:r>
              <w:rPr>
                <w:noProof/>
              </w:rPr>
              <w:t>189 bis</w:t>
            </w:r>
          </w:p>
        </w:tc>
        <w:tc>
          <w:tcPr>
            <w:tcW w:w="1680" w:type="dxa"/>
            <w:tcBorders>
              <w:top w:val="single" w:sz="4" w:space="0" w:color="auto"/>
            </w:tcBorders>
            <w:shd w:val="clear" w:color="auto" w:fill="C6EFCE"/>
            <w:noWrap/>
          </w:tcPr>
          <w:p w14:paraId="25C77266" w14:textId="61BA1A65" w:rsidR="003B6BD9" w:rsidRDefault="009E25E8">
            <w:pPr>
              <w:pStyle w:val="P68B1DB1-Normal7"/>
              <w:spacing w:before="0" w:after="0" w:line="240" w:lineRule="auto"/>
              <w:rPr>
                <w:noProof/>
              </w:rPr>
            </w:pPr>
            <w:r>
              <w:rPr>
                <w:noProof/>
              </w:rPr>
              <w:t>D: Accessibilité du système de santé</w:t>
            </w:r>
          </w:p>
        </w:tc>
        <w:tc>
          <w:tcPr>
            <w:tcW w:w="1080" w:type="dxa"/>
            <w:tcBorders>
              <w:top w:val="single" w:sz="4" w:space="0" w:color="auto"/>
            </w:tcBorders>
            <w:shd w:val="clear" w:color="auto" w:fill="C6EFCE"/>
            <w:noWrap/>
          </w:tcPr>
          <w:p w14:paraId="6F7C7B5C" w14:textId="7691F39A" w:rsidR="003B6BD9" w:rsidRDefault="009E25E8">
            <w:pPr>
              <w:pStyle w:val="P68B1DB1-Normal7"/>
              <w:spacing w:before="0" w:after="0" w:line="240" w:lineRule="auto"/>
              <w:rPr>
                <w:noProof/>
              </w:rPr>
            </w:pPr>
            <w:r>
              <w:rPr>
                <w:noProof/>
              </w:rPr>
              <w:t>Cible</w:t>
            </w:r>
          </w:p>
        </w:tc>
        <w:tc>
          <w:tcPr>
            <w:tcW w:w="1800" w:type="dxa"/>
            <w:tcBorders>
              <w:top w:val="single" w:sz="4" w:space="0" w:color="auto"/>
            </w:tcBorders>
            <w:shd w:val="clear" w:color="auto" w:fill="C6EFCE"/>
            <w:noWrap/>
          </w:tcPr>
          <w:p w14:paraId="15955D21" w14:textId="7F3F85FF" w:rsidR="003B6BD9" w:rsidRDefault="009E25E8">
            <w:pPr>
              <w:pStyle w:val="P68B1DB1-Normal7"/>
              <w:spacing w:before="0" w:after="0" w:line="240" w:lineRule="auto"/>
              <w:rPr>
                <w:noProof/>
              </w:rPr>
            </w:pPr>
            <w:r>
              <w:rPr>
                <w:noProof/>
              </w:rPr>
              <w:t>Achat d’équipements pour la circulation sanguine extracorporelle, y compris d’équipements auxiliaires</w:t>
            </w:r>
          </w:p>
        </w:tc>
        <w:tc>
          <w:tcPr>
            <w:tcW w:w="2400" w:type="dxa"/>
            <w:tcBorders>
              <w:top w:val="single" w:sz="4" w:space="0" w:color="auto"/>
            </w:tcBorders>
            <w:shd w:val="clear" w:color="auto" w:fill="C6EFCE"/>
            <w:noWrap/>
          </w:tcPr>
          <w:p w14:paraId="1E227343" w14:textId="77777777" w:rsidR="003B6BD9" w:rsidRDefault="003B6BD9">
            <w:pPr>
              <w:spacing w:before="0" w:after="0" w:line="240" w:lineRule="auto"/>
              <w:rPr>
                <w:noProof/>
                <w:color w:val="006100"/>
                <w:sz w:val="18"/>
                <w:szCs w:val="18"/>
              </w:rPr>
            </w:pPr>
          </w:p>
        </w:tc>
        <w:tc>
          <w:tcPr>
            <w:tcW w:w="1200" w:type="dxa"/>
            <w:tcBorders>
              <w:top w:val="single" w:sz="4" w:space="0" w:color="auto"/>
            </w:tcBorders>
            <w:shd w:val="clear" w:color="auto" w:fill="C6EFCE"/>
            <w:noWrap/>
          </w:tcPr>
          <w:p w14:paraId="2AAC94A1" w14:textId="4C1A394D" w:rsidR="003B6BD9" w:rsidRDefault="009E25E8">
            <w:pPr>
              <w:pStyle w:val="P68B1DB1-Normal7"/>
              <w:spacing w:before="0" w:after="0" w:line="240" w:lineRule="auto"/>
              <w:rPr>
                <w:noProof/>
              </w:rPr>
            </w:pPr>
            <w:r>
              <w:rPr>
                <w:noProof/>
              </w:rPr>
              <w:t>Nombre</w:t>
            </w:r>
          </w:p>
        </w:tc>
        <w:tc>
          <w:tcPr>
            <w:tcW w:w="960" w:type="dxa"/>
            <w:tcBorders>
              <w:top w:val="single" w:sz="4" w:space="0" w:color="auto"/>
            </w:tcBorders>
            <w:shd w:val="clear" w:color="auto" w:fill="C6EFCE"/>
            <w:noWrap/>
          </w:tcPr>
          <w:p w14:paraId="39CE9C50" w14:textId="61EE04F9" w:rsidR="003B6BD9" w:rsidRDefault="009E25E8">
            <w:pPr>
              <w:pStyle w:val="P68B1DB1-Normal7"/>
              <w:spacing w:before="0" w:after="0" w:line="240" w:lineRule="auto"/>
              <w:jc w:val="right"/>
              <w:rPr>
                <w:noProof/>
              </w:rPr>
            </w:pPr>
            <w:r>
              <w:rPr>
                <w:noProof/>
              </w:rPr>
              <w:t>0</w:t>
            </w:r>
          </w:p>
        </w:tc>
        <w:tc>
          <w:tcPr>
            <w:tcW w:w="720" w:type="dxa"/>
            <w:tcBorders>
              <w:top w:val="single" w:sz="4" w:space="0" w:color="auto"/>
            </w:tcBorders>
            <w:shd w:val="clear" w:color="auto" w:fill="C6EFCE"/>
            <w:noWrap/>
          </w:tcPr>
          <w:p w14:paraId="464F68E7" w14:textId="1C747BCE" w:rsidR="003B6BD9" w:rsidRDefault="009E25E8">
            <w:pPr>
              <w:pStyle w:val="P68B1DB1-Normal7"/>
              <w:spacing w:before="0" w:after="0" w:line="240" w:lineRule="auto"/>
              <w:jc w:val="right"/>
              <w:rPr>
                <w:noProof/>
              </w:rPr>
            </w:pPr>
            <w:r>
              <w:rPr>
                <w:noProof/>
              </w:rPr>
              <w:t>9</w:t>
            </w:r>
          </w:p>
        </w:tc>
        <w:tc>
          <w:tcPr>
            <w:tcW w:w="1080" w:type="dxa"/>
            <w:tcBorders>
              <w:top w:val="single" w:sz="4" w:space="0" w:color="auto"/>
            </w:tcBorders>
            <w:shd w:val="clear" w:color="auto" w:fill="C6EFCE"/>
            <w:noWrap/>
          </w:tcPr>
          <w:p w14:paraId="6F783677" w14:textId="490ABBC5" w:rsidR="003B6BD9" w:rsidRDefault="009E25E8">
            <w:pPr>
              <w:pStyle w:val="P68B1DB1-Normal7"/>
              <w:spacing w:before="0" w:after="0" w:line="240" w:lineRule="auto"/>
              <w:jc w:val="center"/>
              <w:rPr>
                <w:noProof/>
              </w:rPr>
            </w:pPr>
            <w:r>
              <w:rPr>
                <w:noProof/>
              </w:rPr>
              <w:t>T2</w:t>
            </w:r>
          </w:p>
        </w:tc>
        <w:tc>
          <w:tcPr>
            <w:tcW w:w="720" w:type="dxa"/>
            <w:tcBorders>
              <w:top w:val="single" w:sz="4" w:space="0" w:color="auto"/>
            </w:tcBorders>
            <w:shd w:val="clear" w:color="auto" w:fill="C6EFCE"/>
            <w:noWrap/>
          </w:tcPr>
          <w:p w14:paraId="71CE572F" w14:textId="6972E310" w:rsidR="003B6BD9" w:rsidRDefault="009E25E8">
            <w:pPr>
              <w:pStyle w:val="P68B1DB1-Normal7"/>
              <w:spacing w:before="0" w:after="0" w:line="240" w:lineRule="auto"/>
              <w:jc w:val="center"/>
              <w:rPr>
                <w:noProof/>
              </w:rPr>
            </w:pPr>
            <w:r>
              <w:rPr>
                <w:noProof/>
              </w:rPr>
              <w:t>2026</w:t>
            </w:r>
          </w:p>
        </w:tc>
        <w:tc>
          <w:tcPr>
            <w:tcW w:w="2806" w:type="dxa"/>
            <w:tcBorders>
              <w:top w:val="single" w:sz="4" w:space="0" w:color="auto"/>
            </w:tcBorders>
            <w:shd w:val="clear" w:color="auto" w:fill="C6EFCE"/>
            <w:noWrap/>
          </w:tcPr>
          <w:p w14:paraId="13F38BE8" w14:textId="43048B23" w:rsidR="003B6BD9" w:rsidRDefault="009E25E8">
            <w:pPr>
              <w:pStyle w:val="P68B1DB1-Normal7"/>
              <w:spacing w:before="0" w:after="0" w:line="240" w:lineRule="auto"/>
              <w:rPr>
                <w:rFonts w:eastAsia="Times New Roman"/>
                <w:noProof/>
              </w:rPr>
            </w:pPr>
            <w:r>
              <w:rPr>
                <w:rFonts w:eastAsia="Times New Roman"/>
                <w:noProof/>
              </w:rPr>
              <w:t>Achat d’équipements pour la circulation sanguine extracorporelle</w:t>
            </w:r>
            <w:r>
              <w:rPr>
                <w:noProof/>
              </w:rPr>
              <w:t>, y compris d’équipements auxiliaires</w:t>
            </w:r>
            <w:r>
              <w:rPr>
                <w:rFonts w:eastAsia="Times New Roman"/>
                <w:noProof/>
              </w:rPr>
              <w:t>.</w:t>
            </w:r>
          </w:p>
        </w:tc>
      </w:tr>
      <w:tr w:rsidR="003B6BD9" w14:paraId="79216313" w14:textId="77777777" w:rsidTr="006C1AFD">
        <w:trPr>
          <w:trHeight w:val="299"/>
        </w:trPr>
        <w:tc>
          <w:tcPr>
            <w:tcW w:w="960" w:type="dxa"/>
            <w:shd w:val="clear" w:color="auto" w:fill="C6EFCE"/>
            <w:noWrap/>
          </w:tcPr>
          <w:p w14:paraId="1B76EB56" w14:textId="244833C8" w:rsidR="003B6BD9" w:rsidRDefault="009E25E8">
            <w:pPr>
              <w:pStyle w:val="P68B1DB1-Normal7"/>
              <w:spacing w:before="0" w:after="0" w:line="240" w:lineRule="auto"/>
              <w:rPr>
                <w:rFonts w:eastAsia="Times New Roman"/>
                <w:noProof/>
              </w:rPr>
            </w:pPr>
            <w:r>
              <w:rPr>
                <w:noProof/>
              </w:rPr>
              <w:t>190</w:t>
            </w:r>
          </w:p>
        </w:tc>
        <w:tc>
          <w:tcPr>
            <w:tcW w:w="1680" w:type="dxa"/>
            <w:shd w:val="clear" w:color="auto" w:fill="C6EFCE"/>
            <w:noWrap/>
          </w:tcPr>
          <w:p w14:paraId="3C2F000F" w14:textId="42998571" w:rsidR="003B6BD9" w:rsidRDefault="009E25E8">
            <w:pPr>
              <w:pStyle w:val="P68B1DB1-Normal7"/>
              <w:spacing w:before="0" w:after="0" w:line="240" w:lineRule="auto"/>
              <w:rPr>
                <w:rFonts w:eastAsia="Times New Roman"/>
                <w:noProof/>
              </w:rPr>
            </w:pPr>
            <w:r>
              <w:rPr>
                <w:noProof/>
              </w:rPr>
              <w:t>E: Traitement efficace des maladies transmissibles et chroniques</w:t>
            </w:r>
          </w:p>
        </w:tc>
        <w:tc>
          <w:tcPr>
            <w:tcW w:w="1080" w:type="dxa"/>
            <w:shd w:val="clear" w:color="auto" w:fill="C6EFCE"/>
            <w:noWrap/>
          </w:tcPr>
          <w:p w14:paraId="722213AA" w14:textId="2BD25314" w:rsidR="003B6BD9" w:rsidRDefault="009E25E8">
            <w:pPr>
              <w:pStyle w:val="P68B1DB1-Normal7"/>
              <w:spacing w:before="0" w:after="0" w:line="240" w:lineRule="auto"/>
              <w:rPr>
                <w:rFonts w:eastAsia="Times New Roman"/>
                <w:noProof/>
              </w:rPr>
            </w:pPr>
            <w:r>
              <w:rPr>
                <w:noProof/>
              </w:rPr>
              <w:t>Jalon</w:t>
            </w:r>
          </w:p>
        </w:tc>
        <w:tc>
          <w:tcPr>
            <w:tcW w:w="1800" w:type="dxa"/>
            <w:shd w:val="clear" w:color="auto" w:fill="C6EFCE"/>
            <w:noWrap/>
          </w:tcPr>
          <w:p w14:paraId="20596742" w14:textId="3EC9EE33" w:rsidR="003B6BD9" w:rsidRDefault="009E25E8">
            <w:pPr>
              <w:pStyle w:val="P68B1DB1-Normal7"/>
              <w:spacing w:before="0" w:after="0" w:line="240" w:lineRule="auto"/>
              <w:rPr>
                <w:rFonts w:eastAsia="Times New Roman"/>
                <w:noProof/>
              </w:rPr>
            </w:pPr>
            <w:r>
              <w:rPr>
                <w:noProof/>
              </w:rPr>
              <w:t>Attribution d’un marché pour la construction de la clinique infectieuse de Ljubljana</w:t>
            </w:r>
          </w:p>
        </w:tc>
        <w:tc>
          <w:tcPr>
            <w:tcW w:w="2400" w:type="dxa"/>
            <w:shd w:val="clear" w:color="auto" w:fill="C6EFCE"/>
            <w:noWrap/>
          </w:tcPr>
          <w:p w14:paraId="20DB0441" w14:textId="6DA3F163" w:rsidR="003B6BD9" w:rsidRDefault="009E25E8">
            <w:pPr>
              <w:pStyle w:val="P68B1DB1-Normal7"/>
              <w:spacing w:before="0" w:after="0" w:line="240" w:lineRule="auto"/>
              <w:rPr>
                <w:rFonts w:eastAsia="Times New Roman"/>
                <w:noProof/>
              </w:rPr>
            </w:pPr>
            <w:r>
              <w:rPr>
                <w:noProof/>
              </w:rPr>
              <w:t>Communication de l’attribution</w:t>
            </w:r>
          </w:p>
        </w:tc>
        <w:tc>
          <w:tcPr>
            <w:tcW w:w="1200" w:type="dxa"/>
            <w:shd w:val="clear" w:color="auto" w:fill="C6EFCE"/>
            <w:noWrap/>
          </w:tcPr>
          <w:p w14:paraId="0D3EEAB6" w14:textId="457061D2"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41BF0B54" w14:textId="03657CB3" w:rsidR="003B6BD9" w:rsidRDefault="009E25E8">
            <w:pPr>
              <w:pStyle w:val="P68B1DB1-Normal7"/>
              <w:spacing w:before="0" w:after="0" w:line="240" w:lineRule="auto"/>
              <w:jc w:val="right"/>
              <w:rPr>
                <w:rFonts w:eastAsia="Times New Roman"/>
                <w:noProof/>
              </w:rPr>
            </w:pPr>
            <w:r>
              <w:rPr>
                <w:noProof/>
              </w:rPr>
              <w:t> </w:t>
            </w:r>
          </w:p>
        </w:tc>
        <w:tc>
          <w:tcPr>
            <w:tcW w:w="720" w:type="dxa"/>
            <w:shd w:val="clear" w:color="auto" w:fill="C6EFCE"/>
            <w:noWrap/>
          </w:tcPr>
          <w:p w14:paraId="59226CBB" w14:textId="676D9679" w:rsidR="003B6BD9" w:rsidRDefault="009E25E8">
            <w:pPr>
              <w:pStyle w:val="P68B1DB1-Normal7"/>
              <w:spacing w:before="0" w:after="0" w:line="240" w:lineRule="auto"/>
              <w:jc w:val="right"/>
              <w:rPr>
                <w:rFonts w:eastAsia="Times New Roman"/>
                <w:noProof/>
              </w:rPr>
            </w:pPr>
            <w:r>
              <w:rPr>
                <w:noProof/>
              </w:rPr>
              <w:t> </w:t>
            </w:r>
          </w:p>
        </w:tc>
        <w:tc>
          <w:tcPr>
            <w:tcW w:w="1080" w:type="dxa"/>
            <w:shd w:val="clear" w:color="auto" w:fill="C6EFCE"/>
            <w:noWrap/>
          </w:tcPr>
          <w:p w14:paraId="18B22C42" w14:textId="723289AE" w:rsidR="003B6BD9" w:rsidRDefault="009E25E8">
            <w:pPr>
              <w:pStyle w:val="P68B1DB1-Normal7"/>
              <w:spacing w:before="0" w:after="0" w:line="240" w:lineRule="auto"/>
              <w:jc w:val="center"/>
              <w:rPr>
                <w:rFonts w:eastAsia="Times New Roman"/>
                <w:noProof/>
              </w:rPr>
            </w:pPr>
            <w:r>
              <w:rPr>
                <w:noProof/>
              </w:rPr>
              <w:t>T4</w:t>
            </w:r>
          </w:p>
        </w:tc>
        <w:tc>
          <w:tcPr>
            <w:tcW w:w="720" w:type="dxa"/>
            <w:shd w:val="clear" w:color="auto" w:fill="C6EFCE"/>
            <w:noWrap/>
          </w:tcPr>
          <w:p w14:paraId="0658B027" w14:textId="17D8BD5E" w:rsidR="003B6BD9" w:rsidRDefault="009E25E8">
            <w:pPr>
              <w:pStyle w:val="P68B1DB1-Normal7"/>
              <w:spacing w:before="0" w:after="0" w:line="240" w:lineRule="auto"/>
              <w:jc w:val="center"/>
              <w:rPr>
                <w:rFonts w:eastAsia="Times New Roman"/>
                <w:noProof/>
              </w:rPr>
            </w:pPr>
            <w:r>
              <w:rPr>
                <w:noProof/>
              </w:rPr>
              <w:t>2023</w:t>
            </w:r>
          </w:p>
        </w:tc>
        <w:tc>
          <w:tcPr>
            <w:tcW w:w="2806" w:type="dxa"/>
            <w:shd w:val="clear" w:color="auto" w:fill="C6EFCE"/>
            <w:noWrap/>
          </w:tcPr>
          <w:p w14:paraId="70E57B03" w14:textId="5D7FB478" w:rsidR="003B6BD9" w:rsidRDefault="009E25E8">
            <w:pPr>
              <w:pStyle w:val="P68B1DB1-Normal7"/>
              <w:spacing w:before="0" w:after="0" w:line="240" w:lineRule="auto"/>
              <w:rPr>
                <w:rFonts w:eastAsia="Times New Roman"/>
                <w:noProof/>
              </w:rPr>
            </w:pPr>
            <w:r>
              <w:rPr>
                <w:noProof/>
              </w:rPr>
              <w:t>Attribution d’un marché pour la construction de la clinique infectieuse de Ljubljana pour le traitement des maladies infectieuses.</w:t>
            </w:r>
          </w:p>
          <w:p w14:paraId="136A8949" w14:textId="3542A29D" w:rsidR="003B6BD9" w:rsidRDefault="009E25E8">
            <w:pPr>
              <w:pStyle w:val="P68B1DB1-Normal7"/>
              <w:spacing w:after="0" w:line="240" w:lineRule="auto"/>
              <w:rPr>
                <w:rFonts w:eastAsia="Times New Roman"/>
                <w:noProof/>
              </w:rPr>
            </w:pPr>
            <w:r>
              <w:rPr>
                <w:noProof/>
              </w:rPr>
              <w:t>La clinique doit satisfaire aux exigences applicables aux bâtiments dont la consommation d’énergie est quasi nulle.</w:t>
            </w:r>
          </w:p>
        </w:tc>
      </w:tr>
      <w:tr w:rsidR="003B6BD9" w14:paraId="250A10D5" w14:textId="77777777" w:rsidTr="006C1AFD">
        <w:trPr>
          <w:trHeight w:val="299"/>
        </w:trPr>
        <w:tc>
          <w:tcPr>
            <w:tcW w:w="960" w:type="dxa"/>
            <w:shd w:val="clear" w:color="auto" w:fill="C6EFCE"/>
            <w:noWrap/>
          </w:tcPr>
          <w:p w14:paraId="4A3AED68" w14:textId="1786AB3C" w:rsidR="003B6BD9" w:rsidRDefault="009E25E8">
            <w:pPr>
              <w:pStyle w:val="P68B1DB1-Normal7"/>
              <w:spacing w:before="0" w:after="0" w:line="240" w:lineRule="auto"/>
              <w:rPr>
                <w:rFonts w:eastAsia="Times New Roman"/>
                <w:noProof/>
              </w:rPr>
            </w:pPr>
            <w:r>
              <w:rPr>
                <w:noProof/>
              </w:rPr>
              <w:t>191</w:t>
            </w:r>
          </w:p>
        </w:tc>
        <w:tc>
          <w:tcPr>
            <w:tcW w:w="1680" w:type="dxa"/>
            <w:shd w:val="clear" w:color="auto" w:fill="C6EFCE"/>
            <w:noWrap/>
          </w:tcPr>
          <w:p w14:paraId="51B279B5" w14:textId="3A7B53BA" w:rsidR="003B6BD9" w:rsidRDefault="009E25E8">
            <w:pPr>
              <w:pStyle w:val="P68B1DB1-Normal7"/>
              <w:spacing w:before="0" w:after="0" w:line="240" w:lineRule="auto"/>
              <w:rPr>
                <w:rFonts w:eastAsia="Times New Roman"/>
                <w:noProof/>
              </w:rPr>
            </w:pPr>
            <w:r>
              <w:rPr>
                <w:noProof/>
              </w:rPr>
              <w:t>E: Traitement efficace des maladies transmissibles et chroniques</w:t>
            </w:r>
          </w:p>
        </w:tc>
        <w:tc>
          <w:tcPr>
            <w:tcW w:w="1080" w:type="dxa"/>
            <w:shd w:val="clear" w:color="auto" w:fill="C6EFCE"/>
            <w:noWrap/>
          </w:tcPr>
          <w:p w14:paraId="46F4072B" w14:textId="3FE3E411" w:rsidR="003B6BD9" w:rsidRDefault="009E25E8">
            <w:pPr>
              <w:pStyle w:val="P68B1DB1-Normal7"/>
              <w:spacing w:before="0" w:after="0" w:line="240" w:lineRule="auto"/>
              <w:rPr>
                <w:rFonts w:eastAsia="Times New Roman"/>
                <w:noProof/>
              </w:rPr>
            </w:pPr>
            <w:r>
              <w:rPr>
                <w:noProof/>
              </w:rPr>
              <w:t>Cible</w:t>
            </w:r>
          </w:p>
        </w:tc>
        <w:tc>
          <w:tcPr>
            <w:tcW w:w="1800" w:type="dxa"/>
            <w:shd w:val="clear" w:color="auto" w:fill="C6EFCE"/>
            <w:noWrap/>
          </w:tcPr>
          <w:p w14:paraId="1AC3E479" w14:textId="2A659F80" w:rsidR="003B6BD9" w:rsidRDefault="009E25E8">
            <w:pPr>
              <w:pStyle w:val="P68B1DB1-Normal7"/>
              <w:spacing w:before="0" w:after="0" w:line="240" w:lineRule="auto"/>
              <w:rPr>
                <w:rFonts w:eastAsia="Times New Roman"/>
                <w:noProof/>
              </w:rPr>
            </w:pPr>
            <w:r>
              <w:rPr>
                <w:noProof/>
              </w:rPr>
              <w:t>Livraison d’accélérateurs linéaires pour UKC Maribor</w:t>
            </w:r>
          </w:p>
        </w:tc>
        <w:tc>
          <w:tcPr>
            <w:tcW w:w="2400" w:type="dxa"/>
            <w:shd w:val="clear" w:color="auto" w:fill="C6EFCE"/>
            <w:noWrap/>
          </w:tcPr>
          <w:p w14:paraId="6820C65A" w14:textId="11B19851" w:rsidR="003B6BD9" w:rsidRDefault="003B6BD9">
            <w:pPr>
              <w:spacing w:before="0" w:after="0" w:line="240" w:lineRule="auto"/>
              <w:rPr>
                <w:rFonts w:eastAsia="Times New Roman"/>
                <w:noProof/>
                <w:color w:val="006100"/>
                <w:sz w:val="18"/>
                <w:szCs w:val="18"/>
              </w:rPr>
            </w:pPr>
          </w:p>
        </w:tc>
        <w:tc>
          <w:tcPr>
            <w:tcW w:w="1200" w:type="dxa"/>
            <w:shd w:val="clear" w:color="auto" w:fill="C6EFCE"/>
            <w:noWrap/>
          </w:tcPr>
          <w:p w14:paraId="4C666713" w14:textId="1A31A0D8" w:rsidR="003B6BD9" w:rsidRDefault="009E25E8">
            <w:pPr>
              <w:pStyle w:val="P68B1DB1-Normal7"/>
              <w:spacing w:before="0" w:after="0" w:line="240" w:lineRule="auto"/>
              <w:rPr>
                <w:rFonts w:eastAsia="Times New Roman"/>
                <w:noProof/>
              </w:rPr>
            </w:pPr>
            <w:r>
              <w:rPr>
                <w:noProof/>
              </w:rPr>
              <w:t>Nombre</w:t>
            </w:r>
          </w:p>
        </w:tc>
        <w:tc>
          <w:tcPr>
            <w:tcW w:w="960" w:type="dxa"/>
            <w:shd w:val="clear" w:color="auto" w:fill="C6EFCE"/>
            <w:noWrap/>
          </w:tcPr>
          <w:p w14:paraId="0F8D31D3" w14:textId="478F76C7" w:rsidR="003B6BD9" w:rsidRDefault="009E25E8">
            <w:pPr>
              <w:pStyle w:val="P68B1DB1-Normal7"/>
              <w:spacing w:before="0" w:after="0" w:line="240" w:lineRule="auto"/>
              <w:jc w:val="right"/>
              <w:rPr>
                <w:rFonts w:eastAsia="Times New Roman"/>
                <w:noProof/>
              </w:rPr>
            </w:pPr>
            <w:r>
              <w:rPr>
                <w:noProof/>
              </w:rPr>
              <w:t>0 </w:t>
            </w:r>
          </w:p>
        </w:tc>
        <w:tc>
          <w:tcPr>
            <w:tcW w:w="720" w:type="dxa"/>
            <w:shd w:val="clear" w:color="auto" w:fill="C6EFCE"/>
            <w:noWrap/>
          </w:tcPr>
          <w:p w14:paraId="36BD3109" w14:textId="23217C6A" w:rsidR="003B6BD9" w:rsidRDefault="009E25E8">
            <w:pPr>
              <w:pStyle w:val="P68B1DB1-Normal7"/>
              <w:spacing w:before="0" w:after="0" w:line="240" w:lineRule="auto"/>
              <w:jc w:val="right"/>
              <w:rPr>
                <w:rFonts w:eastAsia="Times New Roman"/>
                <w:noProof/>
              </w:rPr>
            </w:pPr>
            <w:r>
              <w:rPr>
                <w:noProof/>
              </w:rPr>
              <w:t>4 </w:t>
            </w:r>
          </w:p>
        </w:tc>
        <w:tc>
          <w:tcPr>
            <w:tcW w:w="1080" w:type="dxa"/>
            <w:shd w:val="clear" w:color="auto" w:fill="C6EFCE"/>
            <w:noWrap/>
          </w:tcPr>
          <w:p w14:paraId="130F07C1" w14:textId="5CE370F6" w:rsidR="003B6BD9" w:rsidRDefault="009E25E8">
            <w:pPr>
              <w:pStyle w:val="P68B1DB1-Normal7"/>
              <w:spacing w:before="0" w:after="0" w:line="240" w:lineRule="auto"/>
              <w:jc w:val="center"/>
              <w:rPr>
                <w:rFonts w:eastAsia="Times New Roman"/>
                <w:noProof/>
              </w:rPr>
            </w:pPr>
            <w:r>
              <w:rPr>
                <w:noProof/>
              </w:rPr>
              <w:t>T2</w:t>
            </w:r>
          </w:p>
        </w:tc>
        <w:tc>
          <w:tcPr>
            <w:tcW w:w="720" w:type="dxa"/>
            <w:shd w:val="clear" w:color="auto" w:fill="C6EFCE"/>
            <w:noWrap/>
          </w:tcPr>
          <w:p w14:paraId="42A936A7" w14:textId="462B93D7" w:rsidR="003B6BD9" w:rsidRDefault="009E25E8">
            <w:pPr>
              <w:pStyle w:val="P68B1DB1-Normal7"/>
              <w:spacing w:before="0" w:after="0" w:line="240" w:lineRule="auto"/>
              <w:jc w:val="center"/>
              <w:rPr>
                <w:rFonts w:eastAsia="Times New Roman"/>
                <w:noProof/>
              </w:rPr>
            </w:pPr>
            <w:r>
              <w:rPr>
                <w:noProof/>
              </w:rPr>
              <w:t>2026</w:t>
            </w:r>
          </w:p>
        </w:tc>
        <w:tc>
          <w:tcPr>
            <w:tcW w:w="2806" w:type="dxa"/>
            <w:shd w:val="clear" w:color="auto" w:fill="C6EFCE"/>
            <w:noWrap/>
          </w:tcPr>
          <w:p w14:paraId="70A27FB4" w14:textId="0A0253D6" w:rsidR="003B6BD9" w:rsidRDefault="009E25E8">
            <w:pPr>
              <w:pStyle w:val="P68B1DB1-Normal7"/>
              <w:spacing w:before="0" w:after="0" w:line="240" w:lineRule="auto"/>
              <w:rPr>
                <w:rFonts w:eastAsia="Times New Roman"/>
                <w:noProof/>
              </w:rPr>
            </w:pPr>
            <w:r>
              <w:rPr>
                <w:noProof/>
              </w:rPr>
              <w:t xml:space="preserve">Livraison de quatre accélérateurs linéaires pour UKC Maribor.  </w:t>
            </w:r>
          </w:p>
        </w:tc>
      </w:tr>
      <w:tr w:rsidR="003B6BD9" w14:paraId="1A8BC814" w14:textId="77777777" w:rsidTr="006C1AFD">
        <w:trPr>
          <w:trHeight w:val="2010"/>
        </w:trPr>
        <w:tc>
          <w:tcPr>
            <w:tcW w:w="960" w:type="dxa"/>
            <w:shd w:val="clear" w:color="auto" w:fill="C6EFCE"/>
            <w:noWrap/>
          </w:tcPr>
          <w:p w14:paraId="4168A6B8" w14:textId="63DB07F4" w:rsidR="003B6BD9" w:rsidRDefault="009E25E8">
            <w:pPr>
              <w:pStyle w:val="P68B1DB1-Normal7"/>
              <w:spacing w:before="0" w:after="0" w:line="240" w:lineRule="auto"/>
              <w:rPr>
                <w:rFonts w:eastAsia="Times New Roman"/>
                <w:noProof/>
              </w:rPr>
            </w:pPr>
            <w:r>
              <w:rPr>
                <w:noProof/>
              </w:rPr>
              <w:t>192</w:t>
            </w:r>
          </w:p>
        </w:tc>
        <w:tc>
          <w:tcPr>
            <w:tcW w:w="1680" w:type="dxa"/>
            <w:shd w:val="clear" w:color="auto" w:fill="C6EFCE"/>
            <w:noWrap/>
          </w:tcPr>
          <w:p w14:paraId="66D0C086" w14:textId="6C30501C" w:rsidR="003B6BD9" w:rsidRDefault="009E25E8">
            <w:pPr>
              <w:pStyle w:val="P68B1DB1-Normal7"/>
              <w:spacing w:before="0" w:after="0" w:line="240" w:lineRule="auto"/>
              <w:rPr>
                <w:rFonts w:eastAsia="Times New Roman"/>
                <w:noProof/>
              </w:rPr>
            </w:pPr>
            <w:r>
              <w:rPr>
                <w:noProof/>
              </w:rPr>
              <w:t>E: Traitement efficace des maladies transmissibles et chroniques</w:t>
            </w:r>
          </w:p>
        </w:tc>
        <w:tc>
          <w:tcPr>
            <w:tcW w:w="1080" w:type="dxa"/>
            <w:shd w:val="clear" w:color="auto" w:fill="C6EFCE"/>
            <w:noWrap/>
          </w:tcPr>
          <w:p w14:paraId="7176D328" w14:textId="08CC2E80" w:rsidR="003B6BD9" w:rsidRDefault="009E25E8">
            <w:pPr>
              <w:pStyle w:val="P68B1DB1-Normal7"/>
              <w:spacing w:before="0" w:after="0" w:line="240" w:lineRule="auto"/>
              <w:rPr>
                <w:rFonts w:eastAsia="Times New Roman"/>
                <w:noProof/>
              </w:rPr>
            </w:pPr>
            <w:r>
              <w:rPr>
                <w:noProof/>
              </w:rPr>
              <w:t>Jalon</w:t>
            </w:r>
          </w:p>
        </w:tc>
        <w:tc>
          <w:tcPr>
            <w:tcW w:w="1800" w:type="dxa"/>
            <w:shd w:val="clear" w:color="auto" w:fill="C6EFCE"/>
            <w:noWrap/>
          </w:tcPr>
          <w:p w14:paraId="768F96BF" w14:textId="4757A1B7" w:rsidR="003B6BD9" w:rsidRDefault="009E25E8">
            <w:pPr>
              <w:pStyle w:val="P68B1DB1-Normal7"/>
              <w:spacing w:before="0" w:after="0" w:line="240" w:lineRule="auto"/>
              <w:rPr>
                <w:rFonts w:eastAsia="Times New Roman"/>
                <w:noProof/>
              </w:rPr>
            </w:pPr>
            <w:r>
              <w:rPr>
                <w:noProof/>
              </w:rPr>
              <w:t>Construction de la clinique infectieuse de Ljubljana jusqu’à la troisième phase de construction et certains des travaux d’accompagnement des quatrième et cinquième phases de construction</w:t>
            </w:r>
          </w:p>
        </w:tc>
        <w:tc>
          <w:tcPr>
            <w:tcW w:w="2400" w:type="dxa"/>
            <w:shd w:val="clear" w:color="auto" w:fill="C6EFCE"/>
            <w:noWrap/>
          </w:tcPr>
          <w:p w14:paraId="7D9708E8" w14:textId="083CF3D7" w:rsidR="003B6BD9" w:rsidRDefault="009E25E8">
            <w:pPr>
              <w:pStyle w:val="P68B1DB1-Normal7"/>
              <w:spacing w:before="0" w:after="0" w:line="240" w:lineRule="auto"/>
              <w:rPr>
                <w:rFonts w:eastAsia="Times New Roman"/>
                <w:noProof/>
              </w:rPr>
            </w:pPr>
            <w:r>
              <w:rPr>
                <w:noProof/>
              </w:rPr>
              <w:t xml:space="preserve">Construction jusqu’à la troisième phase de construction et certains des travaux d’accompagnement des quatrième et cinquième phases de construction </w:t>
            </w:r>
          </w:p>
        </w:tc>
        <w:tc>
          <w:tcPr>
            <w:tcW w:w="1200" w:type="dxa"/>
            <w:shd w:val="clear" w:color="auto" w:fill="C6EFCE"/>
            <w:noWrap/>
          </w:tcPr>
          <w:p w14:paraId="263D9F4C" w14:textId="1C8739AD" w:rsidR="003B6BD9" w:rsidRDefault="009E25E8">
            <w:pPr>
              <w:pStyle w:val="P68B1DB1-Normal7"/>
              <w:spacing w:before="0" w:after="0" w:line="240" w:lineRule="auto"/>
              <w:rPr>
                <w:rFonts w:eastAsia="Times New Roman"/>
                <w:noProof/>
              </w:rPr>
            </w:pPr>
            <w:r>
              <w:rPr>
                <w:noProof/>
              </w:rPr>
              <w:t> </w:t>
            </w:r>
          </w:p>
        </w:tc>
        <w:tc>
          <w:tcPr>
            <w:tcW w:w="960" w:type="dxa"/>
            <w:shd w:val="clear" w:color="auto" w:fill="C6EFCE"/>
            <w:noWrap/>
          </w:tcPr>
          <w:p w14:paraId="2514F98F" w14:textId="0ABC62BD" w:rsidR="003B6BD9" w:rsidRDefault="009E25E8">
            <w:pPr>
              <w:pStyle w:val="P68B1DB1-Normal7"/>
              <w:spacing w:before="0" w:after="0" w:line="240" w:lineRule="auto"/>
              <w:jc w:val="right"/>
              <w:rPr>
                <w:rFonts w:eastAsia="Times New Roman"/>
                <w:noProof/>
              </w:rPr>
            </w:pPr>
            <w:r>
              <w:rPr>
                <w:noProof/>
              </w:rPr>
              <w:t> </w:t>
            </w:r>
          </w:p>
        </w:tc>
        <w:tc>
          <w:tcPr>
            <w:tcW w:w="720" w:type="dxa"/>
            <w:shd w:val="clear" w:color="auto" w:fill="C6EFCE"/>
            <w:noWrap/>
          </w:tcPr>
          <w:p w14:paraId="30B69959" w14:textId="7824ABAC" w:rsidR="003B6BD9" w:rsidRDefault="009E25E8">
            <w:pPr>
              <w:pStyle w:val="P68B1DB1-Normal7"/>
              <w:spacing w:before="0" w:after="0" w:line="240" w:lineRule="auto"/>
              <w:jc w:val="right"/>
              <w:rPr>
                <w:rFonts w:eastAsia="Times New Roman"/>
                <w:noProof/>
              </w:rPr>
            </w:pPr>
            <w:r>
              <w:rPr>
                <w:noProof/>
              </w:rPr>
              <w:t> </w:t>
            </w:r>
          </w:p>
        </w:tc>
        <w:tc>
          <w:tcPr>
            <w:tcW w:w="1080" w:type="dxa"/>
            <w:shd w:val="clear" w:color="auto" w:fill="C6EFCE"/>
            <w:noWrap/>
          </w:tcPr>
          <w:p w14:paraId="6825C039" w14:textId="31DADC79" w:rsidR="003B6BD9" w:rsidRDefault="009E25E8">
            <w:pPr>
              <w:pStyle w:val="P68B1DB1-Normal7"/>
              <w:spacing w:before="0" w:after="0" w:line="240" w:lineRule="auto"/>
              <w:jc w:val="center"/>
              <w:rPr>
                <w:rFonts w:eastAsia="Times New Roman"/>
                <w:noProof/>
              </w:rPr>
            </w:pPr>
            <w:r>
              <w:rPr>
                <w:noProof/>
              </w:rPr>
              <w:t>T2</w:t>
            </w:r>
          </w:p>
        </w:tc>
        <w:tc>
          <w:tcPr>
            <w:tcW w:w="720" w:type="dxa"/>
            <w:shd w:val="clear" w:color="auto" w:fill="C6EFCE"/>
            <w:noWrap/>
          </w:tcPr>
          <w:p w14:paraId="0B4C4332" w14:textId="3448D284" w:rsidR="003B6BD9" w:rsidRDefault="009E25E8">
            <w:pPr>
              <w:pStyle w:val="P68B1DB1-Normal7"/>
              <w:spacing w:before="0" w:after="0" w:line="240" w:lineRule="auto"/>
              <w:jc w:val="center"/>
              <w:rPr>
                <w:rFonts w:eastAsia="Times New Roman"/>
                <w:noProof/>
              </w:rPr>
            </w:pPr>
            <w:r>
              <w:rPr>
                <w:noProof/>
              </w:rPr>
              <w:t>2026</w:t>
            </w:r>
          </w:p>
        </w:tc>
        <w:tc>
          <w:tcPr>
            <w:tcW w:w="2806" w:type="dxa"/>
            <w:shd w:val="clear" w:color="auto" w:fill="C6EFCE"/>
            <w:noWrap/>
          </w:tcPr>
          <w:p w14:paraId="07BA8BA4" w14:textId="648501B3" w:rsidR="003B6BD9" w:rsidRDefault="009E25E8">
            <w:pPr>
              <w:pStyle w:val="P68B1DB1-Normal7"/>
              <w:spacing w:before="0" w:after="0" w:line="240" w:lineRule="auto"/>
              <w:rPr>
                <w:rFonts w:eastAsia="Times New Roman"/>
                <w:noProof/>
              </w:rPr>
            </w:pPr>
            <w:r>
              <w:rPr>
                <w:noProof/>
              </w:rPr>
              <w:t>Construction de la clinique infectieuse de Ljubljana jusqu’à la troisième phase de construction, qui couvrira les travaux artisanaux et d’installation, ainsi que la structure de soutien en béton armé (AB) de l’ensemble du bâtiment. Le projet couvrira également certains des travaux d’accompagnement des quatrième et cinquième phases de construction.</w:t>
            </w:r>
          </w:p>
        </w:tc>
      </w:tr>
    </w:tbl>
    <w:p w14:paraId="3BCDB47E" w14:textId="77777777" w:rsidR="003B6BD9" w:rsidRDefault="003B6BD9">
      <w:pPr>
        <w:spacing w:line="240" w:lineRule="auto"/>
        <w:ind w:left="709"/>
        <w:jc w:val="both"/>
        <w:rPr>
          <w:noProof/>
        </w:rPr>
        <w:sectPr w:rsidR="003B6BD9" w:rsidSect="00073927">
          <w:headerReference w:type="even" r:id="rId236"/>
          <w:headerReference w:type="default" r:id="rId237"/>
          <w:footerReference w:type="even" r:id="rId238"/>
          <w:footerReference w:type="default" r:id="rId239"/>
          <w:headerReference w:type="first" r:id="rId240"/>
          <w:footerReference w:type="first" r:id="rId241"/>
          <w:pgSz w:w="16839" w:h="11907" w:orient="landscape"/>
          <w:pgMar w:top="1134" w:right="1134" w:bottom="1134" w:left="1134" w:header="567" w:footer="567" w:gutter="0"/>
          <w:cols w:space="720"/>
          <w:docGrid w:linePitch="326"/>
        </w:sectPr>
      </w:pPr>
    </w:p>
    <w:p w14:paraId="5D920948" w14:textId="526B8C40" w:rsidR="003B6BD9" w:rsidRDefault="009E25E8">
      <w:pPr>
        <w:pStyle w:val="P68B1DB1-Normal3"/>
        <w:keepNext/>
        <w:tabs>
          <w:tab w:val="left" w:pos="850"/>
        </w:tabs>
        <w:spacing w:line="240" w:lineRule="auto"/>
        <w:ind w:left="850" w:hanging="850"/>
        <w:jc w:val="both"/>
        <w:outlineLvl w:val="0"/>
        <w:rPr>
          <w:noProof/>
        </w:rPr>
      </w:pPr>
      <w:r>
        <w:rPr>
          <w:noProof/>
        </w:rPr>
        <w:t>O. COMPOSANTE 15: SOINS À LONG TERME</w:t>
      </w:r>
    </w:p>
    <w:p w14:paraId="467B023F" w14:textId="77777777" w:rsidR="003B6BD9" w:rsidRDefault="009E25E8">
      <w:pPr>
        <w:spacing w:line="240" w:lineRule="auto"/>
        <w:jc w:val="both"/>
        <w:rPr>
          <w:noProof/>
        </w:rPr>
      </w:pPr>
      <w:r>
        <w:rPr>
          <w:noProof/>
        </w:rPr>
        <w:t>Ce volet du plan slovène pour la reprise et la résilience répond aux principaux défis liés aux tendances démographiques et à la nécessité croissante d’un meilleur accès à des services de soins de longue durée de haute qualité.</w:t>
      </w:r>
    </w:p>
    <w:p w14:paraId="781204B9" w14:textId="073B3C95" w:rsidR="003B6BD9" w:rsidRDefault="009E25E8">
      <w:pPr>
        <w:spacing w:line="240" w:lineRule="auto"/>
        <w:jc w:val="both"/>
        <w:rPr>
          <w:noProof/>
        </w:rPr>
      </w:pPr>
      <w:r>
        <w:rPr>
          <w:noProof/>
        </w:rPr>
        <w:t xml:space="preserve">Les objectifs de ce volet sont d’introduire un nouveau pilier de la sécurité sociale par la mise en place d’un cadre juridique intégré pour des soins de longue durée de qualité, socialement équitables et financièrement viables; d’accroître l’accessibilité et la disponibilité des services pour les bénéficiaires de tous âges; de renforcer le développement des services de proximité et l’intégration avec les services de soins de santé; d’accroître les capacités en personnel et de soutenir la numérisation du système. </w:t>
      </w:r>
    </w:p>
    <w:p w14:paraId="664C253D" w14:textId="77777777" w:rsidR="003B6BD9" w:rsidRDefault="009E25E8">
      <w:pPr>
        <w:spacing w:line="240" w:lineRule="auto"/>
        <w:jc w:val="both"/>
        <w:rPr>
          <w:noProof/>
        </w:rPr>
      </w:pPr>
      <w:r>
        <w:rPr>
          <w:noProof/>
        </w:rPr>
        <w:t>Ces investissements et réformes répondent aux recommandations par pays adressées à la Slovénie en 2019 pour «adopter et mettre en œuvre des réformes dans le domaine des soins de santé et des soins de longue durée qui garantissent la qualité, l’accessibilité et la viabilité budgétaire à long terme» (recommandations par pays nos 1 et 2019) et 2020 pour «garantir la résilience du système de santé et de soins de longue durée, notamment en fournissant un approvisionnement adéquat en produits médicaux essentiels et en remédiant à la pénurie de professionnels de la santé» (recommandations par pays nos 1 et 2020).</w:t>
      </w:r>
    </w:p>
    <w:p w14:paraId="123D9511" w14:textId="1E9FDE4E" w:rsidR="003B6BD9" w:rsidRDefault="009E25E8">
      <w:pPr>
        <w:spacing w:line="240" w:lineRule="auto"/>
        <w:jc w:val="both"/>
        <w:rPr>
          <w:noProof/>
        </w:rPr>
      </w:pPr>
      <w:r>
        <w:rPr>
          <w:noProof/>
        </w:rPr>
        <w:t xml:space="preserve">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  </w:t>
      </w:r>
    </w:p>
    <w:p w14:paraId="5F8C62F9" w14:textId="6A23E4AB" w:rsidR="003B6BD9" w:rsidRDefault="009E25E8">
      <w:pPr>
        <w:pStyle w:val="P68B1DB1-Normal4"/>
        <w:spacing w:line="240" w:lineRule="auto"/>
        <w:jc w:val="both"/>
        <w:rPr>
          <w:i/>
          <w:noProof/>
          <w:color w:val="4F81BD"/>
        </w:rPr>
      </w:pPr>
      <w:r>
        <w:rPr>
          <w:noProof/>
        </w:rPr>
        <w:t>O.1. Description des réformes et des investissements pour le soutien financier non remboursable</w:t>
      </w:r>
    </w:p>
    <w:p w14:paraId="27BDD455" w14:textId="6E3CAB6D" w:rsidR="003B6BD9" w:rsidRDefault="009E25E8">
      <w:pPr>
        <w:pStyle w:val="P68B1DB1-Normal5"/>
        <w:spacing w:line="240" w:lineRule="auto"/>
        <w:jc w:val="both"/>
        <w:rPr>
          <w:noProof/>
        </w:rPr>
      </w:pPr>
      <w:r>
        <w:rPr>
          <w:noProof/>
        </w:rPr>
        <w:t xml:space="preserve">Réforme A: Mise en place d’un système unique pour les soins de longue durée </w:t>
      </w:r>
    </w:p>
    <w:p w14:paraId="38878D9B" w14:textId="28896032" w:rsidR="003B6BD9" w:rsidRDefault="009E25E8">
      <w:pPr>
        <w:spacing w:line="240" w:lineRule="auto"/>
        <w:jc w:val="both"/>
        <w:rPr>
          <w:noProof/>
        </w:rPr>
      </w:pPr>
      <w:r>
        <w:rPr>
          <w:noProof/>
        </w:rPr>
        <w:t xml:space="preserve">Les objectifs de la réforme sont de mettre en œuvre un nouveau pilier de la sécurité sociale axé sur les besoins spécifiques des personnes nécessitant des soins de longue durée et garantissant l’égalité d’accès quel que soit leur statut socio-économique. </w:t>
      </w:r>
    </w:p>
    <w:p w14:paraId="43504D26" w14:textId="68FBE00D" w:rsidR="003B6BD9" w:rsidRDefault="009E25E8">
      <w:pPr>
        <w:spacing w:line="240" w:lineRule="auto"/>
        <w:jc w:val="both"/>
        <w:rPr>
          <w:noProof/>
        </w:rPr>
      </w:pPr>
      <w:r>
        <w:rPr>
          <w:noProof/>
        </w:rPr>
        <w:t>La réforme consiste en l’entrée en vigueur d’une nouvelle loi établissant un système intégré de soins de longue durée et une assurance obligatoire pour les soins de longue durée en Slovénie, y compris des modifications des règlements dans le domaine de la sécurité sociale, et en la mise en place d’un modèle national pour le contrôle de la qualité des traitements par les prestataires de soins de longue durée.</w:t>
      </w:r>
    </w:p>
    <w:p w14:paraId="5D63C128" w14:textId="77777777" w:rsidR="003B6BD9" w:rsidRDefault="003B6BD9">
      <w:pPr>
        <w:spacing w:line="240" w:lineRule="auto"/>
        <w:ind w:left="850"/>
        <w:jc w:val="both"/>
        <w:rPr>
          <w:noProof/>
        </w:rPr>
        <w:sectPr w:rsidR="003B6BD9" w:rsidSect="00073927">
          <w:headerReference w:type="even" r:id="rId242"/>
          <w:headerReference w:type="default" r:id="rId243"/>
          <w:footerReference w:type="even" r:id="rId244"/>
          <w:footerReference w:type="default" r:id="rId245"/>
          <w:headerReference w:type="first" r:id="rId246"/>
          <w:footerReference w:type="first" r:id="rId247"/>
          <w:pgSz w:w="11907" w:h="16839"/>
          <w:pgMar w:top="1134" w:right="1134" w:bottom="1134" w:left="1134" w:header="567" w:footer="567" w:gutter="0"/>
          <w:cols w:space="720"/>
          <w:docGrid w:linePitch="326"/>
        </w:sectPr>
      </w:pPr>
    </w:p>
    <w:p w14:paraId="56F612E4" w14:textId="77777777" w:rsidR="003B6BD9" w:rsidRDefault="009E25E8">
      <w:pPr>
        <w:pStyle w:val="P68B1DB1-Normal4"/>
        <w:spacing w:line="240" w:lineRule="auto"/>
        <w:ind w:left="850"/>
        <w:jc w:val="both"/>
        <w:rPr>
          <w:noProof/>
        </w:rPr>
      </w:pPr>
      <w:r>
        <w:rPr>
          <w:noProof/>
        </w:rPr>
        <w:t xml:space="preserve">O.2. </w:t>
      </w:r>
      <w:r>
        <w:rPr>
          <w:noProof/>
        </w:rPr>
        <w:tab/>
        <w:t>Jalons, cibles, indicateurs et calendrier de suivi et de mise en œuvre pour le soutien financier non remboursable</w:t>
      </w:r>
    </w:p>
    <w:tbl>
      <w:tblPr>
        <w:tblW w:w="15390" w:type="dxa"/>
        <w:jc w:val="center"/>
        <w:tblLayout w:type="fixed"/>
        <w:tblCellMar>
          <w:left w:w="57" w:type="dxa"/>
          <w:right w:w="57" w:type="dxa"/>
        </w:tblCellMar>
        <w:tblLook w:val="04A0" w:firstRow="1" w:lastRow="0" w:firstColumn="1" w:lastColumn="0" w:noHBand="0" w:noVBand="1"/>
      </w:tblPr>
      <w:tblGrid>
        <w:gridCol w:w="835"/>
        <w:gridCol w:w="1573"/>
        <w:gridCol w:w="1067"/>
        <w:gridCol w:w="1617"/>
        <w:gridCol w:w="1701"/>
        <w:gridCol w:w="992"/>
        <w:gridCol w:w="993"/>
        <w:gridCol w:w="567"/>
        <w:gridCol w:w="992"/>
        <w:gridCol w:w="709"/>
        <w:gridCol w:w="4344"/>
      </w:tblGrid>
      <w:tr w:rsidR="003B6BD9" w14:paraId="1E2616BF" w14:textId="77777777" w:rsidTr="006C1AFD">
        <w:trPr>
          <w:trHeight w:val="927"/>
          <w:tblHeader/>
          <w:jc w:val="center"/>
        </w:trPr>
        <w:tc>
          <w:tcPr>
            <w:tcW w:w="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3F9C3B" w14:textId="57986BAA" w:rsidR="003B6BD9" w:rsidRDefault="009E25E8">
            <w:pPr>
              <w:pStyle w:val="P68B1DB1-Normal6"/>
              <w:spacing w:before="0" w:after="0" w:line="256" w:lineRule="auto"/>
              <w:jc w:val="center"/>
              <w:rPr>
                <w:rFonts w:eastAsia="Times New Roman"/>
                <w:noProof/>
              </w:rPr>
            </w:pPr>
            <w:r>
              <w:rPr>
                <w:noProof/>
              </w:rPr>
              <w:t xml:space="preserve">Et suivants Non. </w:t>
            </w:r>
          </w:p>
        </w:tc>
        <w:tc>
          <w:tcPr>
            <w:tcW w:w="15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595062" w14:textId="77777777" w:rsidR="003B6BD9" w:rsidRDefault="009E25E8">
            <w:pPr>
              <w:pStyle w:val="P68B1DB1-Normal6"/>
              <w:spacing w:before="0" w:after="0" w:line="256" w:lineRule="auto"/>
              <w:jc w:val="center"/>
              <w:rPr>
                <w:rFonts w:eastAsia="Times New Roman"/>
                <w:noProof/>
              </w:rPr>
            </w:pPr>
            <w:r>
              <w:rPr>
                <w:noProof/>
              </w:rPr>
              <w:t>Mesure connexe (réforme ou investissement)</w:t>
            </w:r>
          </w:p>
        </w:tc>
        <w:tc>
          <w:tcPr>
            <w:tcW w:w="106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56DAE58" w14:textId="0CD4FEE2" w:rsidR="003B6BD9" w:rsidRDefault="009E25E8">
            <w:pPr>
              <w:pStyle w:val="P68B1DB1-Normal6"/>
              <w:spacing w:before="0" w:after="0" w:line="256" w:lineRule="auto"/>
              <w:jc w:val="center"/>
              <w:rPr>
                <w:rFonts w:eastAsia="Times New Roman"/>
                <w:noProof/>
              </w:rPr>
            </w:pPr>
            <w:r>
              <w:rPr>
                <w:noProof/>
              </w:rPr>
              <w:t>Étape/</w:t>
            </w:r>
            <w:r w:rsidR="006C1AFD">
              <w:rPr>
                <w:noProof/>
              </w:rPr>
              <w:br/>
            </w:r>
            <w:r>
              <w:rPr>
                <w:noProof/>
              </w:rPr>
              <w:t>Objectif</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BC651A5" w14:textId="77777777" w:rsidR="003B6BD9" w:rsidRDefault="009E25E8">
            <w:pPr>
              <w:pStyle w:val="P68B1DB1-Normal6"/>
              <w:spacing w:before="0" w:after="0" w:line="256" w:lineRule="auto"/>
              <w:jc w:val="center"/>
              <w:rPr>
                <w:rFonts w:eastAsia="Times New Roman"/>
                <w:noProof/>
              </w:rPr>
            </w:pPr>
            <w:r>
              <w:rPr>
                <w:noProof/>
              </w:rPr>
              <w:t>Nom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236DB2A" w14:textId="2F4E24E6" w:rsidR="003B6BD9" w:rsidRDefault="009E25E8">
            <w:pPr>
              <w:pStyle w:val="P68B1DB1-Normal6"/>
              <w:spacing w:before="0" w:after="0" w:line="256" w:lineRule="auto"/>
              <w:jc w:val="center"/>
              <w:rPr>
                <w:rFonts w:eastAsia="Times New Roman"/>
                <w:noProof/>
              </w:rPr>
            </w:pPr>
            <w:r>
              <w:rPr>
                <w:noProof/>
              </w:rPr>
              <w:t>Indicateurs qualitatifs (pour les jalons)</w:t>
            </w:r>
          </w:p>
        </w:tc>
        <w:tc>
          <w:tcPr>
            <w:tcW w:w="255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D82CB41" w14:textId="7682A2D1" w:rsidR="003B6BD9" w:rsidRDefault="009E25E8">
            <w:pPr>
              <w:pStyle w:val="P68B1DB1-Normal6"/>
              <w:spacing w:before="0" w:after="0" w:line="256" w:lineRule="auto"/>
              <w:jc w:val="center"/>
              <w:rPr>
                <w:rFonts w:eastAsia="Times New Roman"/>
                <w:noProof/>
              </w:rPr>
            </w:pPr>
            <w:r>
              <w:rPr>
                <w:noProof/>
              </w:rPr>
              <w:t>Indicateurs quantitatifs (pour les cibles)</w:t>
            </w:r>
          </w:p>
        </w:tc>
        <w:tc>
          <w:tcPr>
            <w:tcW w:w="1701" w:type="dxa"/>
            <w:gridSpan w:val="2"/>
            <w:tcBorders>
              <w:top w:val="single" w:sz="4" w:space="0" w:color="auto"/>
              <w:left w:val="nil"/>
              <w:bottom w:val="single" w:sz="4" w:space="0" w:color="auto"/>
              <w:right w:val="single" w:sz="4" w:space="0" w:color="auto"/>
            </w:tcBorders>
            <w:shd w:val="clear" w:color="auto" w:fill="BDD7EE"/>
            <w:vAlign w:val="center"/>
            <w:hideMark/>
          </w:tcPr>
          <w:p w14:paraId="3DBC2CCB" w14:textId="77777777" w:rsidR="003B6BD9" w:rsidRDefault="009E25E8">
            <w:pPr>
              <w:pStyle w:val="P68B1DB1-Normal6"/>
              <w:spacing w:before="0" w:after="0" w:line="256" w:lineRule="auto"/>
              <w:jc w:val="center"/>
              <w:rPr>
                <w:rFonts w:eastAsia="Times New Roman"/>
                <w:noProof/>
              </w:rPr>
            </w:pPr>
            <w:r>
              <w:rPr>
                <w:noProof/>
              </w:rPr>
              <w:t xml:space="preserve">Calendrier indicatif pour l’achèvement </w:t>
            </w:r>
          </w:p>
        </w:tc>
        <w:tc>
          <w:tcPr>
            <w:tcW w:w="43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0F39B7" w14:textId="77777777" w:rsidR="003B6BD9" w:rsidRDefault="009E25E8">
            <w:pPr>
              <w:pStyle w:val="P68B1DB1-Normal6"/>
              <w:spacing w:before="0" w:after="0" w:line="256" w:lineRule="auto"/>
              <w:jc w:val="center"/>
              <w:rPr>
                <w:rFonts w:eastAsia="Times New Roman"/>
                <w:noProof/>
              </w:rPr>
            </w:pPr>
            <w:r>
              <w:rPr>
                <w:noProof/>
              </w:rPr>
              <w:t>Description de chaque jalon et cible</w:t>
            </w:r>
          </w:p>
        </w:tc>
      </w:tr>
      <w:tr w:rsidR="003B6BD9" w14:paraId="78427012" w14:textId="77777777" w:rsidTr="006C1AFD">
        <w:trPr>
          <w:trHeight w:val="615"/>
          <w:tblHeader/>
          <w:jc w:val="center"/>
        </w:trPr>
        <w:tc>
          <w:tcPr>
            <w:tcW w:w="835" w:type="dxa"/>
            <w:vMerge/>
            <w:tcBorders>
              <w:top w:val="single" w:sz="4" w:space="0" w:color="auto"/>
              <w:left w:val="single" w:sz="4" w:space="0" w:color="auto"/>
              <w:bottom w:val="single" w:sz="4" w:space="0" w:color="auto"/>
              <w:right w:val="single" w:sz="4" w:space="0" w:color="auto"/>
            </w:tcBorders>
            <w:vAlign w:val="center"/>
            <w:hideMark/>
          </w:tcPr>
          <w:p w14:paraId="36435B34" w14:textId="77777777" w:rsidR="003B6BD9" w:rsidRDefault="003B6BD9">
            <w:pPr>
              <w:spacing w:before="0" w:after="0" w:line="256" w:lineRule="auto"/>
              <w:rPr>
                <w:rFonts w:eastAsia="Times New Roman"/>
                <w:b/>
                <w:noProof/>
                <w:sz w:val="18"/>
                <w:szCs w:val="18"/>
              </w:rPr>
            </w:pPr>
          </w:p>
        </w:tc>
        <w:tc>
          <w:tcPr>
            <w:tcW w:w="1573" w:type="dxa"/>
            <w:vMerge/>
            <w:tcBorders>
              <w:top w:val="single" w:sz="4" w:space="0" w:color="auto"/>
              <w:left w:val="single" w:sz="4" w:space="0" w:color="auto"/>
              <w:bottom w:val="single" w:sz="4" w:space="0" w:color="auto"/>
              <w:right w:val="single" w:sz="4" w:space="0" w:color="auto"/>
            </w:tcBorders>
            <w:vAlign w:val="center"/>
            <w:hideMark/>
          </w:tcPr>
          <w:p w14:paraId="510EAE1C" w14:textId="77777777" w:rsidR="003B6BD9" w:rsidRDefault="003B6BD9">
            <w:pPr>
              <w:spacing w:before="0" w:after="0" w:line="256" w:lineRule="auto"/>
              <w:rPr>
                <w:rFonts w:eastAsia="Times New Roman"/>
                <w:b/>
                <w:noProof/>
                <w:sz w:val="18"/>
                <w:szCs w:val="18"/>
              </w:rPr>
            </w:pPr>
          </w:p>
        </w:tc>
        <w:tc>
          <w:tcPr>
            <w:tcW w:w="1067" w:type="dxa"/>
            <w:vMerge/>
            <w:tcBorders>
              <w:top w:val="single" w:sz="4" w:space="0" w:color="auto"/>
              <w:left w:val="single" w:sz="4" w:space="0" w:color="auto"/>
              <w:bottom w:val="single" w:sz="4" w:space="0" w:color="auto"/>
              <w:right w:val="single" w:sz="4" w:space="0" w:color="auto"/>
            </w:tcBorders>
            <w:vAlign w:val="center"/>
            <w:hideMark/>
          </w:tcPr>
          <w:p w14:paraId="3B3A484E" w14:textId="77777777" w:rsidR="003B6BD9" w:rsidRDefault="003B6BD9">
            <w:pPr>
              <w:spacing w:before="0" w:after="0" w:line="256" w:lineRule="auto"/>
              <w:rPr>
                <w:rFonts w:eastAsia="Times New Roman"/>
                <w:b/>
                <w:noProof/>
                <w:sz w:val="18"/>
                <w:szCs w:val="18"/>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14:paraId="45F4B3E6" w14:textId="77777777" w:rsidR="003B6BD9" w:rsidRDefault="003B6BD9">
            <w:pPr>
              <w:spacing w:before="0" w:after="0" w:line="256" w:lineRule="auto"/>
              <w:rPr>
                <w:rFonts w:eastAsia="Times New Roman"/>
                <w:b/>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7A6570B" w14:textId="77777777" w:rsidR="003B6BD9" w:rsidRDefault="003B6BD9">
            <w:pPr>
              <w:spacing w:before="0" w:after="0" w:line="256" w:lineRule="auto"/>
              <w:rPr>
                <w:rFonts w:eastAsia="Times New Roman"/>
                <w:b/>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3662EB1" w14:textId="77777777" w:rsidR="003B6BD9" w:rsidRDefault="009E25E8">
            <w:pPr>
              <w:pStyle w:val="P68B1DB1-Normal6"/>
              <w:spacing w:before="0" w:after="0" w:line="256" w:lineRule="auto"/>
              <w:jc w:val="center"/>
              <w:rPr>
                <w:rFonts w:eastAsia="Times New Roman"/>
                <w:noProof/>
              </w:rPr>
            </w:pPr>
            <w:r>
              <w:rPr>
                <w:noProof/>
              </w:rPr>
              <w:t>Unité de mesure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21A1325" w14:textId="77777777" w:rsidR="003B6BD9" w:rsidRDefault="009E25E8">
            <w:pPr>
              <w:pStyle w:val="P68B1DB1-Normal6"/>
              <w:spacing w:before="0" w:after="0" w:line="256" w:lineRule="auto"/>
              <w:jc w:val="center"/>
              <w:rPr>
                <w:rFonts w:eastAsia="Times New Roman"/>
                <w:noProof/>
              </w:rPr>
            </w:pPr>
            <w:r>
              <w:rPr>
                <w:noProof/>
              </w:rPr>
              <w:t xml:space="preserve">Niveau de référence </w:t>
            </w: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D5D39EC" w14:textId="77777777" w:rsidR="003B6BD9" w:rsidRDefault="009E25E8">
            <w:pPr>
              <w:pStyle w:val="P68B1DB1-Normal6"/>
              <w:spacing w:before="0" w:after="0" w:line="256" w:lineRule="auto"/>
              <w:jc w:val="center"/>
              <w:rPr>
                <w:rFonts w:eastAsia="Times New Roman"/>
                <w:noProof/>
              </w:rPr>
            </w:pPr>
            <w:r>
              <w:rPr>
                <w:noProof/>
              </w:rPr>
              <w:t xml:space="preserve">But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C83F783" w14:textId="77777777" w:rsidR="003B6BD9" w:rsidRDefault="009E25E8">
            <w:pPr>
              <w:pStyle w:val="P68B1DB1-Normal6"/>
              <w:spacing w:before="0" w:after="0" w:line="256" w:lineRule="auto"/>
              <w:jc w:val="center"/>
              <w:rPr>
                <w:rFonts w:eastAsia="Times New Roman"/>
                <w:noProof/>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DBB4231" w14:textId="77777777" w:rsidR="003B6BD9" w:rsidRDefault="009E25E8">
            <w:pPr>
              <w:pStyle w:val="P68B1DB1-Normal6"/>
              <w:spacing w:before="0" w:after="0" w:line="256" w:lineRule="auto"/>
              <w:jc w:val="center"/>
              <w:rPr>
                <w:rFonts w:eastAsia="Times New Roman"/>
                <w:noProof/>
              </w:rPr>
            </w:pPr>
            <w:r>
              <w:rPr>
                <w:noProof/>
              </w:rPr>
              <w:t>Année</w:t>
            </w:r>
          </w:p>
        </w:tc>
        <w:tc>
          <w:tcPr>
            <w:tcW w:w="4344" w:type="dxa"/>
            <w:vMerge/>
            <w:tcBorders>
              <w:top w:val="single" w:sz="4" w:space="0" w:color="auto"/>
              <w:bottom w:val="single" w:sz="4" w:space="0" w:color="auto"/>
              <w:right w:val="single" w:sz="4" w:space="0" w:color="auto"/>
            </w:tcBorders>
            <w:vAlign w:val="center"/>
            <w:hideMark/>
          </w:tcPr>
          <w:p w14:paraId="23E73755" w14:textId="77777777" w:rsidR="003B6BD9" w:rsidRDefault="003B6BD9">
            <w:pPr>
              <w:spacing w:before="0" w:after="0" w:line="256" w:lineRule="auto"/>
              <w:rPr>
                <w:rFonts w:eastAsia="Times New Roman"/>
                <w:b/>
                <w:noProof/>
                <w:sz w:val="18"/>
                <w:szCs w:val="18"/>
              </w:rPr>
            </w:pPr>
          </w:p>
        </w:tc>
      </w:tr>
      <w:tr w:rsidR="003B6BD9" w14:paraId="66087B09" w14:textId="77777777" w:rsidTr="006C1AFD">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7D26B96" w14:textId="77777777" w:rsidR="003B6BD9" w:rsidRDefault="009E25E8">
            <w:pPr>
              <w:pStyle w:val="P68B1DB1-Normal7"/>
              <w:spacing w:before="0" w:after="0" w:line="256" w:lineRule="auto"/>
              <w:rPr>
                <w:rFonts w:eastAsia="Times New Roman"/>
                <w:noProof/>
              </w:rPr>
            </w:pPr>
            <w:r>
              <w:rPr>
                <w:noProof/>
              </w:rPr>
              <w:t>196</w:t>
            </w:r>
          </w:p>
        </w:tc>
        <w:tc>
          <w:tcPr>
            <w:tcW w:w="1573" w:type="dxa"/>
            <w:tcBorders>
              <w:top w:val="single" w:sz="4" w:space="0" w:color="auto"/>
              <w:left w:val="nil"/>
              <w:bottom w:val="single" w:sz="4" w:space="0" w:color="auto"/>
              <w:right w:val="single" w:sz="4" w:space="0" w:color="auto"/>
            </w:tcBorders>
            <w:shd w:val="clear" w:color="auto" w:fill="C6EFCE"/>
            <w:noWrap/>
          </w:tcPr>
          <w:p w14:paraId="4E761582" w14:textId="77777777" w:rsidR="003B6BD9" w:rsidRDefault="009E25E8">
            <w:pPr>
              <w:pStyle w:val="P68B1DB1-Normal7"/>
              <w:spacing w:before="0" w:after="0" w:line="256" w:lineRule="auto"/>
              <w:rPr>
                <w:rFonts w:eastAsia="Times New Roman"/>
                <w:noProof/>
              </w:rPr>
            </w:pPr>
            <w:r>
              <w:rPr>
                <w:noProof/>
              </w:rPr>
              <w:t xml:space="preserve">A: Établir un système unique pour les soins de longue durée </w:t>
            </w:r>
          </w:p>
        </w:tc>
        <w:tc>
          <w:tcPr>
            <w:tcW w:w="1067" w:type="dxa"/>
            <w:tcBorders>
              <w:top w:val="single" w:sz="4" w:space="0" w:color="auto"/>
              <w:left w:val="nil"/>
              <w:bottom w:val="single" w:sz="4" w:space="0" w:color="auto"/>
              <w:right w:val="single" w:sz="4" w:space="0" w:color="auto"/>
            </w:tcBorders>
            <w:shd w:val="clear" w:color="auto" w:fill="C6EFCE"/>
            <w:noWrap/>
          </w:tcPr>
          <w:p w14:paraId="23240906" w14:textId="77777777" w:rsidR="003B6BD9" w:rsidRDefault="009E25E8">
            <w:pPr>
              <w:pStyle w:val="P68B1DB1-Normal7"/>
              <w:spacing w:before="0" w:after="0" w:line="256" w:lineRule="auto"/>
              <w:rPr>
                <w:rFonts w:eastAsia="Times New Roman"/>
                <w:noProof/>
              </w:rPr>
            </w:pPr>
            <w:r>
              <w:rPr>
                <w:noProof/>
              </w:rPr>
              <w:t>Jalon</w:t>
            </w:r>
          </w:p>
        </w:tc>
        <w:tc>
          <w:tcPr>
            <w:tcW w:w="1617" w:type="dxa"/>
            <w:tcBorders>
              <w:top w:val="single" w:sz="4" w:space="0" w:color="auto"/>
              <w:left w:val="nil"/>
              <w:bottom w:val="single" w:sz="4" w:space="0" w:color="auto"/>
              <w:right w:val="single" w:sz="4" w:space="0" w:color="auto"/>
            </w:tcBorders>
            <w:shd w:val="clear" w:color="auto" w:fill="C6EFCE"/>
            <w:noWrap/>
          </w:tcPr>
          <w:p w14:paraId="387AFB21" w14:textId="77777777" w:rsidR="003B6BD9" w:rsidRDefault="009E25E8">
            <w:pPr>
              <w:pStyle w:val="P68B1DB1-Normal7"/>
              <w:spacing w:before="0" w:after="0" w:line="256" w:lineRule="auto"/>
              <w:rPr>
                <w:rFonts w:eastAsia="Times New Roman"/>
                <w:noProof/>
              </w:rPr>
            </w:pPr>
            <w:r>
              <w:rPr>
                <w:noProof/>
              </w:rPr>
              <w:t>Modèle national de suivi des indicateurs de qualité pour les prestataires de soins de longue durée</w:t>
            </w:r>
          </w:p>
        </w:tc>
        <w:tc>
          <w:tcPr>
            <w:tcW w:w="1701" w:type="dxa"/>
            <w:tcBorders>
              <w:top w:val="single" w:sz="4" w:space="0" w:color="auto"/>
              <w:left w:val="nil"/>
              <w:bottom w:val="single" w:sz="4" w:space="0" w:color="auto"/>
              <w:right w:val="single" w:sz="4" w:space="0" w:color="auto"/>
            </w:tcBorders>
            <w:shd w:val="clear" w:color="auto" w:fill="C6EFCE"/>
            <w:noWrap/>
          </w:tcPr>
          <w:p w14:paraId="6100F38F" w14:textId="77777777" w:rsidR="003B6BD9" w:rsidRDefault="009E25E8">
            <w:pPr>
              <w:pStyle w:val="P68B1DB1-Normal7"/>
              <w:spacing w:before="0" w:after="0" w:line="256" w:lineRule="auto"/>
              <w:rPr>
                <w:rFonts w:eastAsia="Times New Roman"/>
                <w:noProof/>
              </w:rPr>
            </w:pPr>
            <w:r>
              <w:rPr>
                <w:noProof/>
              </w:rPr>
              <w:t>Un modèle national de suivi est adopté par le ministère de la santé.</w:t>
            </w:r>
          </w:p>
        </w:tc>
        <w:tc>
          <w:tcPr>
            <w:tcW w:w="992" w:type="dxa"/>
            <w:tcBorders>
              <w:top w:val="single" w:sz="4" w:space="0" w:color="auto"/>
              <w:left w:val="nil"/>
              <w:bottom w:val="single" w:sz="4" w:space="0" w:color="auto"/>
              <w:right w:val="single" w:sz="4" w:space="0" w:color="auto"/>
            </w:tcBorders>
            <w:shd w:val="clear" w:color="auto" w:fill="C6EFCE"/>
            <w:noWrap/>
          </w:tcPr>
          <w:p w14:paraId="7C8C953B" w14:textId="77777777" w:rsidR="003B6BD9" w:rsidRDefault="003B6BD9">
            <w:pPr>
              <w:spacing w:before="0" w:after="0" w:line="256" w:lineRule="auto"/>
              <w:rPr>
                <w:rFonts w:eastAsia="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3845E1EF" w14:textId="77777777" w:rsidR="003B6BD9" w:rsidRDefault="003B6BD9">
            <w:pPr>
              <w:spacing w:before="0" w:after="0" w:line="256" w:lineRule="auto"/>
              <w:jc w:val="right"/>
              <w:rPr>
                <w:rFonts w:eastAsia="Times New Roman"/>
                <w:noProof/>
                <w:color w:val="006100"/>
                <w:sz w:val="18"/>
                <w:szCs w:val="18"/>
              </w:rPr>
            </w:pPr>
          </w:p>
        </w:tc>
        <w:tc>
          <w:tcPr>
            <w:tcW w:w="567" w:type="dxa"/>
            <w:tcBorders>
              <w:top w:val="single" w:sz="4" w:space="0" w:color="auto"/>
              <w:left w:val="nil"/>
              <w:bottom w:val="single" w:sz="4" w:space="0" w:color="auto"/>
              <w:right w:val="single" w:sz="4" w:space="0" w:color="auto"/>
            </w:tcBorders>
            <w:shd w:val="clear" w:color="auto" w:fill="C6EFCE"/>
            <w:noWrap/>
          </w:tcPr>
          <w:p w14:paraId="6BF95E12" w14:textId="77777777" w:rsidR="003B6BD9" w:rsidRDefault="003B6BD9">
            <w:pPr>
              <w:spacing w:before="0" w:after="0" w:line="256" w:lineRule="auto"/>
              <w:jc w:val="right"/>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589AC6FB" w14:textId="77777777" w:rsidR="003B6BD9" w:rsidRDefault="009E25E8">
            <w:pPr>
              <w:pStyle w:val="P68B1DB1-Normal7"/>
              <w:spacing w:before="0" w:after="0" w:line="256" w:lineRule="auto"/>
              <w:jc w:val="center"/>
              <w:rPr>
                <w:rFonts w:eastAsia="Times New Roman"/>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44D0817F" w14:textId="77777777" w:rsidR="003B6BD9" w:rsidRDefault="009E25E8">
            <w:pPr>
              <w:pStyle w:val="P68B1DB1-Normal7"/>
              <w:spacing w:before="0" w:after="0" w:line="256" w:lineRule="auto"/>
              <w:jc w:val="center"/>
              <w:rPr>
                <w:rFonts w:eastAsia="Times New Roman"/>
                <w:noProof/>
              </w:rPr>
            </w:pPr>
            <w:r>
              <w:rPr>
                <w:noProof/>
              </w:rPr>
              <w:t>2021</w:t>
            </w:r>
          </w:p>
        </w:tc>
        <w:tc>
          <w:tcPr>
            <w:tcW w:w="4344" w:type="dxa"/>
            <w:tcBorders>
              <w:top w:val="single" w:sz="4" w:space="0" w:color="auto"/>
              <w:left w:val="nil"/>
              <w:bottom w:val="single" w:sz="4" w:space="0" w:color="auto"/>
              <w:right w:val="single" w:sz="4" w:space="0" w:color="auto"/>
            </w:tcBorders>
            <w:shd w:val="clear" w:color="auto" w:fill="C6EFCE"/>
            <w:noWrap/>
          </w:tcPr>
          <w:p w14:paraId="0E04B7B6" w14:textId="77777777" w:rsidR="003B6BD9" w:rsidRDefault="009E25E8">
            <w:pPr>
              <w:pStyle w:val="P68B1DB1-Normal7"/>
              <w:spacing w:before="0" w:after="0" w:line="256" w:lineRule="auto"/>
              <w:rPr>
                <w:rFonts w:eastAsia="Times New Roman"/>
                <w:noProof/>
              </w:rPr>
            </w:pPr>
            <w:r>
              <w:rPr>
                <w:noProof/>
              </w:rPr>
              <w:t>Adoption d’un modèle national de suivi des indicateurs de qualité pour les prestataires de soins de longue durée dans les établissements. Il contrôle la qualité des services de soins de longue durée au niveau national. Au moins les indicateurs suivants sont surveillés: nombre de blessures, nombre de blessures par chute, nombre d’écarts lors de l’administration de médicaments, nombre d’utilisateurs infectés par plusieurs micro-organismes résistants.</w:t>
            </w:r>
          </w:p>
        </w:tc>
      </w:tr>
      <w:tr w:rsidR="003B6BD9" w14:paraId="6A393DE0" w14:textId="77777777" w:rsidTr="006C1AFD">
        <w:trPr>
          <w:trHeight w:val="309"/>
          <w:jc w:val="center"/>
        </w:trPr>
        <w:tc>
          <w:tcPr>
            <w:tcW w:w="835" w:type="dxa"/>
            <w:tcBorders>
              <w:top w:val="nil"/>
              <w:left w:val="single" w:sz="4" w:space="0" w:color="auto"/>
              <w:bottom w:val="single" w:sz="4" w:space="0" w:color="auto"/>
              <w:right w:val="single" w:sz="4" w:space="0" w:color="auto"/>
            </w:tcBorders>
            <w:shd w:val="clear" w:color="auto" w:fill="C6EFCE"/>
            <w:noWrap/>
          </w:tcPr>
          <w:p w14:paraId="6E64F1C4" w14:textId="77777777" w:rsidR="003B6BD9" w:rsidRDefault="009E25E8">
            <w:pPr>
              <w:pStyle w:val="P68B1DB1-Normal7"/>
              <w:spacing w:before="0" w:after="0" w:line="256" w:lineRule="auto"/>
              <w:rPr>
                <w:rFonts w:eastAsia="Times New Roman"/>
                <w:noProof/>
              </w:rPr>
            </w:pPr>
            <w:r>
              <w:rPr>
                <w:noProof/>
              </w:rPr>
              <w:t>197</w:t>
            </w:r>
          </w:p>
        </w:tc>
        <w:tc>
          <w:tcPr>
            <w:tcW w:w="1573" w:type="dxa"/>
            <w:tcBorders>
              <w:top w:val="nil"/>
              <w:left w:val="nil"/>
              <w:bottom w:val="single" w:sz="4" w:space="0" w:color="auto"/>
              <w:right w:val="single" w:sz="4" w:space="0" w:color="auto"/>
            </w:tcBorders>
            <w:shd w:val="clear" w:color="auto" w:fill="C6EFCE"/>
            <w:noWrap/>
          </w:tcPr>
          <w:p w14:paraId="319BE2D1" w14:textId="77777777" w:rsidR="003B6BD9" w:rsidRDefault="009E25E8">
            <w:pPr>
              <w:pStyle w:val="P68B1DB1-Normal7"/>
              <w:spacing w:before="0" w:after="0" w:line="256" w:lineRule="auto"/>
              <w:rPr>
                <w:rFonts w:eastAsia="Times New Roman"/>
                <w:noProof/>
              </w:rPr>
            </w:pPr>
            <w:r>
              <w:rPr>
                <w:noProof/>
              </w:rPr>
              <w:t xml:space="preserve">A: Établir un système unique pour les soins de longue durée </w:t>
            </w:r>
          </w:p>
        </w:tc>
        <w:tc>
          <w:tcPr>
            <w:tcW w:w="1067" w:type="dxa"/>
            <w:tcBorders>
              <w:top w:val="nil"/>
              <w:left w:val="nil"/>
              <w:bottom w:val="single" w:sz="4" w:space="0" w:color="auto"/>
              <w:right w:val="single" w:sz="4" w:space="0" w:color="auto"/>
            </w:tcBorders>
            <w:shd w:val="clear" w:color="auto" w:fill="C6EFCE"/>
            <w:noWrap/>
          </w:tcPr>
          <w:p w14:paraId="44593415" w14:textId="77777777" w:rsidR="003B6BD9" w:rsidRDefault="009E25E8">
            <w:pPr>
              <w:pStyle w:val="P68B1DB1-Normal7"/>
              <w:spacing w:before="0" w:after="0" w:line="256" w:lineRule="auto"/>
              <w:rPr>
                <w:rFonts w:eastAsia="Times New Roman"/>
                <w:noProof/>
              </w:rPr>
            </w:pPr>
            <w:r>
              <w:rPr>
                <w:noProof/>
              </w:rPr>
              <w:t>Jalon</w:t>
            </w:r>
          </w:p>
        </w:tc>
        <w:tc>
          <w:tcPr>
            <w:tcW w:w="1617" w:type="dxa"/>
            <w:tcBorders>
              <w:top w:val="nil"/>
              <w:left w:val="nil"/>
              <w:bottom w:val="single" w:sz="4" w:space="0" w:color="auto"/>
              <w:right w:val="single" w:sz="4" w:space="0" w:color="auto"/>
            </w:tcBorders>
            <w:shd w:val="clear" w:color="auto" w:fill="C6EFCE"/>
            <w:noWrap/>
          </w:tcPr>
          <w:p w14:paraId="2D2FE066" w14:textId="7E5745A9" w:rsidR="003B6BD9" w:rsidRDefault="009E25E8">
            <w:pPr>
              <w:pStyle w:val="P68B1DB1-Normal7"/>
              <w:spacing w:before="0" w:after="0" w:line="256" w:lineRule="auto"/>
              <w:rPr>
                <w:rFonts w:eastAsia="Times New Roman"/>
                <w:noProof/>
              </w:rPr>
            </w:pPr>
            <w:r>
              <w:rPr>
                <w:noProof/>
              </w:rPr>
              <w:t xml:space="preserve">Entrée en vigueur de la loi sur les soins de longue durée, y compris les dispositions relatives à l’assurance obligatoire pour les soins de longue durée </w:t>
            </w:r>
          </w:p>
        </w:tc>
        <w:tc>
          <w:tcPr>
            <w:tcW w:w="1701" w:type="dxa"/>
            <w:tcBorders>
              <w:top w:val="nil"/>
              <w:left w:val="nil"/>
              <w:bottom w:val="single" w:sz="4" w:space="0" w:color="auto"/>
              <w:right w:val="single" w:sz="4" w:space="0" w:color="auto"/>
            </w:tcBorders>
            <w:shd w:val="clear" w:color="auto" w:fill="C6EFCE"/>
            <w:noWrap/>
          </w:tcPr>
          <w:p w14:paraId="20C06992" w14:textId="77777777" w:rsidR="003B6BD9" w:rsidRDefault="009E25E8">
            <w:pPr>
              <w:pStyle w:val="P68B1DB1-Normal7"/>
              <w:spacing w:before="0" w:after="0" w:line="256" w:lineRule="auto"/>
              <w:rPr>
                <w:rFonts w:eastAsia="Times New Roman"/>
                <w:noProof/>
              </w:rPr>
            </w:pPr>
            <w:r>
              <w:rPr>
                <w:noProof/>
              </w:rPr>
              <w:t xml:space="preserve">Disposition de la loi indiquant l’entrée en vigueur de la loi sur les soins de longue durée </w:t>
            </w:r>
          </w:p>
        </w:tc>
        <w:tc>
          <w:tcPr>
            <w:tcW w:w="992" w:type="dxa"/>
            <w:tcBorders>
              <w:top w:val="nil"/>
              <w:left w:val="nil"/>
              <w:bottom w:val="single" w:sz="4" w:space="0" w:color="auto"/>
              <w:right w:val="single" w:sz="4" w:space="0" w:color="auto"/>
            </w:tcBorders>
            <w:shd w:val="clear" w:color="auto" w:fill="C6EFCE"/>
            <w:noWrap/>
          </w:tcPr>
          <w:p w14:paraId="109EC894" w14:textId="77777777" w:rsidR="003B6BD9" w:rsidRDefault="009E25E8">
            <w:pPr>
              <w:pStyle w:val="P68B1DB1-Normal7"/>
              <w:spacing w:before="0" w:after="0" w:line="256" w:lineRule="auto"/>
              <w:rPr>
                <w:rFonts w:eastAsia="Times New Roman"/>
                <w:noProof/>
              </w:rPr>
            </w:pPr>
            <w:r>
              <w:rPr>
                <w:noProof/>
              </w:rPr>
              <w:t> </w:t>
            </w:r>
          </w:p>
        </w:tc>
        <w:tc>
          <w:tcPr>
            <w:tcW w:w="993" w:type="dxa"/>
            <w:tcBorders>
              <w:top w:val="nil"/>
              <w:left w:val="nil"/>
              <w:bottom w:val="single" w:sz="4" w:space="0" w:color="auto"/>
              <w:right w:val="single" w:sz="4" w:space="0" w:color="auto"/>
            </w:tcBorders>
            <w:shd w:val="clear" w:color="auto" w:fill="C6EFCE"/>
            <w:noWrap/>
          </w:tcPr>
          <w:p w14:paraId="368194A2" w14:textId="77777777" w:rsidR="003B6BD9" w:rsidRDefault="009E25E8">
            <w:pPr>
              <w:pStyle w:val="P68B1DB1-Normal7"/>
              <w:spacing w:before="0" w:after="0" w:line="256" w:lineRule="auto"/>
              <w:jc w:val="right"/>
              <w:rPr>
                <w:rFonts w:eastAsia="Times New Roman"/>
                <w:noProof/>
              </w:rPr>
            </w:pPr>
            <w:r>
              <w:rPr>
                <w:noProof/>
              </w:rPr>
              <w:t> </w:t>
            </w:r>
          </w:p>
        </w:tc>
        <w:tc>
          <w:tcPr>
            <w:tcW w:w="567" w:type="dxa"/>
            <w:tcBorders>
              <w:top w:val="nil"/>
              <w:left w:val="nil"/>
              <w:bottom w:val="single" w:sz="4" w:space="0" w:color="auto"/>
              <w:right w:val="single" w:sz="4" w:space="0" w:color="auto"/>
            </w:tcBorders>
            <w:shd w:val="clear" w:color="auto" w:fill="C6EFCE"/>
            <w:noWrap/>
          </w:tcPr>
          <w:p w14:paraId="242FCD8A" w14:textId="77777777" w:rsidR="003B6BD9" w:rsidRDefault="009E25E8">
            <w:pPr>
              <w:pStyle w:val="P68B1DB1-Normal7"/>
              <w:spacing w:before="0" w:after="0" w:line="256" w:lineRule="auto"/>
              <w:jc w:val="right"/>
              <w:rPr>
                <w:rFonts w:eastAsia="Times New Roman"/>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58ECF3EF" w14:textId="75185D8D" w:rsidR="003B6BD9" w:rsidRDefault="009E25E8">
            <w:pPr>
              <w:pStyle w:val="P68B1DB1-Normal7"/>
              <w:spacing w:before="0" w:after="0" w:line="256" w:lineRule="auto"/>
              <w:jc w:val="center"/>
              <w:rPr>
                <w:rFonts w:eastAsia="Times New Roman"/>
                <w:noProof/>
              </w:rPr>
            </w:pPr>
            <w:r>
              <w:rPr>
                <w:noProof/>
              </w:rPr>
              <w:t>T4</w:t>
            </w:r>
          </w:p>
        </w:tc>
        <w:tc>
          <w:tcPr>
            <w:tcW w:w="709" w:type="dxa"/>
            <w:tcBorders>
              <w:top w:val="nil"/>
              <w:left w:val="nil"/>
              <w:bottom w:val="single" w:sz="4" w:space="0" w:color="auto"/>
              <w:right w:val="single" w:sz="4" w:space="0" w:color="auto"/>
            </w:tcBorders>
            <w:shd w:val="clear" w:color="auto" w:fill="C6EFCE"/>
            <w:noWrap/>
          </w:tcPr>
          <w:p w14:paraId="1556F8A2" w14:textId="42C9DF7C" w:rsidR="003B6BD9" w:rsidRDefault="009E25E8">
            <w:pPr>
              <w:pStyle w:val="P68B1DB1-Normal7"/>
              <w:spacing w:before="0" w:after="0" w:line="256" w:lineRule="auto"/>
              <w:jc w:val="center"/>
              <w:rPr>
                <w:rFonts w:eastAsia="Times New Roman"/>
                <w:noProof/>
              </w:rPr>
            </w:pPr>
            <w:r>
              <w:rPr>
                <w:noProof/>
              </w:rPr>
              <w:t>2023</w:t>
            </w:r>
          </w:p>
        </w:tc>
        <w:tc>
          <w:tcPr>
            <w:tcW w:w="4344" w:type="dxa"/>
            <w:tcBorders>
              <w:top w:val="nil"/>
              <w:left w:val="nil"/>
              <w:bottom w:val="single" w:sz="4" w:space="0" w:color="auto"/>
              <w:right w:val="single" w:sz="4" w:space="0" w:color="auto"/>
            </w:tcBorders>
            <w:shd w:val="clear" w:color="auto" w:fill="C6EFCE"/>
            <w:noWrap/>
          </w:tcPr>
          <w:p w14:paraId="448D2C67" w14:textId="77777777" w:rsidR="003B6BD9" w:rsidRDefault="009E25E8">
            <w:pPr>
              <w:pStyle w:val="P68B1DB1-Normal7"/>
              <w:spacing w:before="0" w:after="0" w:line="256" w:lineRule="auto"/>
              <w:rPr>
                <w:rFonts w:eastAsia="Times New Roman"/>
                <w:noProof/>
              </w:rPr>
            </w:pPr>
            <w:r>
              <w:rPr>
                <w:noProof/>
              </w:rPr>
              <w:t xml:space="preserve">La loi sur les soins de longue durée fait des soins de longue durée un nouveau pilier de la sécurité sociale grâce à l’intégration des services sociaux et de santé. La loi fixe les conditions de la fourniture de services de soins de longue durée sûrs et de qualité, y compris les normes applicables aux salariés dans le domaine des soins de longue durée. Elle veille à ce que les bénéficiaires ayant des besoins comparables aient accès à des droits égaux, indépendamment de leurs caractéristiques sociales, économiques ou autres caractéristiques personnelles, et du lieu où ils souhaitent bénéficier du droit à des services de soins de longue durée. </w:t>
            </w:r>
          </w:p>
          <w:p w14:paraId="76ED452E" w14:textId="5A1F5D72" w:rsidR="003B6BD9" w:rsidRDefault="003B6BD9">
            <w:pPr>
              <w:spacing w:before="0" w:after="0" w:line="256" w:lineRule="auto"/>
              <w:rPr>
                <w:rFonts w:eastAsia="Times New Roman"/>
                <w:noProof/>
                <w:color w:val="006100"/>
                <w:sz w:val="18"/>
                <w:szCs w:val="18"/>
              </w:rPr>
            </w:pPr>
          </w:p>
          <w:p w14:paraId="0638D76C" w14:textId="558F7C3A" w:rsidR="003B6BD9" w:rsidRDefault="009E25E8">
            <w:pPr>
              <w:pStyle w:val="P68B1DB1-Normal7"/>
              <w:spacing w:before="0" w:after="0" w:line="256" w:lineRule="auto"/>
              <w:rPr>
                <w:rFonts w:eastAsia="Times New Roman"/>
                <w:noProof/>
              </w:rPr>
            </w:pPr>
            <w:r>
              <w:rPr>
                <w:noProof/>
              </w:rPr>
              <w:t xml:space="preserve">La loi garantit le financement du système de soins de longue durée au moyen de sources diversifiées, y compris le budget de l’État. </w:t>
            </w:r>
          </w:p>
          <w:p w14:paraId="0783E6C8" w14:textId="39D996D1" w:rsidR="003B6BD9" w:rsidRDefault="009E25E8">
            <w:pPr>
              <w:pStyle w:val="P68B1DB1-Normal7"/>
              <w:spacing w:before="0" w:after="0" w:line="256" w:lineRule="auto"/>
              <w:rPr>
                <w:rFonts w:eastAsia="Times New Roman"/>
                <w:noProof/>
              </w:rPr>
            </w:pPr>
            <w:r>
              <w:rPr>
                <w:noProof/>
              </w:rPr>
              <w:t xml:space="preserve">La loi garantit le passage d’un financement principalement budgétaire à un financement principalement par l’assurance obligatoire pour les soins de longue durée. Elle veille à ce qu’au moins 30 % des coûts des services de soins de longue durée soient financés par cette assurance à partir du 1 janvier 2026. La loi prévoit des mécanismes visant à garantir la viabilité financière du système de soins de longue durée. Des contributions des utilisateurs au financement du système de soins de longue durée peuvent être introduites. </w:t>
            </w:r>
          </w:p>
        </w:tc>
      </w:tr>
      <w:tr w:rsidR="003B6BD9" w14:paraId="11B37E7D" w14:textId="77777777" w:rsidTr="006C1AFD">
        <w:trPr>
          <w:trHeight w:val="309"/>
          <w:jc w:val="center"/>
        </w:trPr>
        <w:tc>
          <w:tcPr>
            <w:tcW w:w="835" w:type="dxa"/>
            <w:tcBorders>
              <w:top w:val="nil"/>
              <w:left w:val="single" w:sz="4" w:space="0" w:color="auto"/>
              <w:bottom w:val="single" w:sz="4" w:space="0" w:color="auto"/>
              <w:right w:val="single" w:sz="4" w:space="0" w:color="auto"/>
            </w:tcBorders>
            <w:shd w:val="clear" w:color="auto" w:fill="C6EFCE"/>
            <w:noWrap/>
          </w:tcPr>
          <w:p w14:paraId="3107B58F" w14:textId="77777777" w:rsidR="003B6BD9" w:rsidRDefault="009E25E8">
            <w:pPr>
              <w:pStyle w:val="P68B1DB1-Normal7"/>
              <w:spacing w:before="0" w:after="0" w:line="256" w:lineRule="auto"/>
              <w:rPr>
                <w:rFonts w:eastAsia="Times New Roman"/>
                <w:noProof/>
              </w:rPr>
            </w:pPr>
            <w:r>
              <w:rPr>
                <w:noProof/>
              </w:rPr>
              <w:t>198</w:t>
            </w:r>
          </w:p>
        </w:tc>
        <w:tc>
          <w:tcPr>
            <w:tcW w:w="1573" w:type="dxa"/>
            <w:tcBorders>
              <w:top w:val="nil"/>
              <w:left w:val="nil"/>
              <w:bottom w:val="single" w:sz="4" w:space="0" w:color="auto"/>
              <w:right w:val="single" w:sz="4" w:space="0" w:color="auto"/>
            </w:tcBorders>
            <w:shd w:val="clear" w:color="auto" w:fill="C6EFCE"/>
            <w:noWrap/>
          </w:tcPr>
          <w:p w14:paraId="0FCCFA1B" w14:textId="77777777" w:rsidR="003B6BD9" w:rsidRDefault="009E25E8">
            <w:pPr>
              <w:pStyle w:val="P68B1DB1-Normal7"/>
              <w:spacing w:before="0" w:after="0" w:line="256" w:lineRule="auto"/>
              <w:rPr>
                <w:rFonts w:eastAsia="Times New Roman"/>
                <w:noProof/>
              </w:rPr>
            </w:pPr>
            <w:r>
              <w:rPr>
                <w:noProof/>
              </w:rPr>
              <w:t xml:space="preserve">A: Établir un système unique pour les soins de longue durée </w:t>
            </w:r>
          </w:p>
        </w:tc>
        <w:tc>
          <w:tcPr>
            <w:tcW w:w="1067" w:type="dxa"/>
            <w:tcBorders>
              <w:top w:val="nil"/>
              <w:left w:val="nil"/>
              <w:bottom w:val="single" w:sz="4" w:space="0" w:color="auto"/>
              <w:right w:val="single" w:sz="4" w:space="0" w:color="auto"/>
            </w:tcBorders>
            <w:shd w:val="clear" w:color="auto" w:fill="C6EFCE"/>
            <w:noWrap/>
          </w:tcPr>
          <w:p w14:paraId="45A39867" w14:textId="77777777" w:rsidR="003B6BD9" w:rsidRDefault="009E25E8">
            <w:pPr>
              <w:pStyle w:val="P68B1DB1-Normal7"/>
              <w:spacing w:before="0" w:after="0" w:line="256" w:lineRule="auto"/>
              <w:rPr>
                <w:rFonts w:eastAsia="Times New Roman"/>
                <w:noProof/>
              </w:rPr>
            </w:pPr>
            <w:r>
              <w:rPr>
                <w:noProof/>
              </w:rPr>
              <w:t>Jalon</w:t>
            </w:r>
          </w:p>
        </w:tc>
        <w:tc>
          <w:tcPr>
            <w:tcW w:w="1617" w:type="dxa"/>
            <w:tcBorders>
              <w:top w:val="nil"/>
              <w:left w:val="nil"/>
              <w:bottom w:val="single" w:sz="4" w:space="0" w:color="auto"/>
              <w:right w:val="single" w:sz="4" w:space="0" w:color="auto"/>
            </w:tcBorders>
            <w:shd w:val="clear" w:color="auto" w:fill="C6EFCE"/>
            <w:noWrap/>
          </w:tcPr>
          <w:p w14:paraId="301A82E8" w14:textId="1D4363D4" w:rsidR="003B6BD9" w:rsidRDefault="009E25E8">
            <w:pPr>
              <w:pStyle w:val="P68B1DB1-Normal7"/>
              <w:spacing w:before="0" w:after="0" w:line="256" w:lineRule="auto"/>
              <w:rPr>
                <w:rFonts w:eastAsia="Times New Roman"/>
                <w:noProof/>
              </w:rPr>
            </w:pPr>
            <w:r>
              <w:rPr>
                <w:noProof/>
              </w:rPr>
              <w:t>Entrée en vigueur des actes d’exécution et des lignes directrices au titre de la loi sur les soins de longue durée</w:t>
            </w:r>
          </w:p>
        </w:tc>
        <w:tc>
          <w:tcPr>
            <w:tcW w:w="1701" w:type="dxa"/>
            <w:tcBorders>
              <w:top w:val="nil"/>
              <w:left w:val="nil"/>
              <w:bottom w:val="single" w:sz="4" w:space="0" w:color="auto"/>
              <w:right w:val="single" w:sz="4" w:space="0" w:color="auto"/>
            </w:tcBorders>
            <w:shd w:val="clear" w:color="auto" w:fill="C6EFCE"/>
            <w:noWrap/>
          </w:tcPr>
          <w:p w14:paraId="041CCFCF" w14:textId="3D59715D" w:rsidR="003B6BD9" w:rsidRDefault="009E25E8">
            <w:pPr>
              <w:pStyle w:val="P68B1DB1-Normal7"/>
              <w:spacing w:before="0" w:after="0" w:line="256" w:lineRule="auto"/>
              <w:rPr>
                <w:rFonts w:eastAsia="Times New Roman"/>
                <w:noProof/>
              </w:rPr>
            </w:pPr>
            <w:r>
              <w:rPr>
                <w:noProof/>
              </w:rPr>
              <w:t>Disposition de la loi indiquant l’entrée en vigueur des actes d’exécution et des lignes directrices au titre de la loi sur les soins de longue durée</w:t>
            </w:r>
          </w:p>
        </w:tc>
        <w:tc>
          <w:tcPr>
            <w:tcW w:w="992" w:type="dxa"/>
            <w:tcBorders>
              <w:top w:val="nil"/>
              <w:left w:val="nil"/>
              <w:bottom w:val="single" w:sz="4" w:space="0" w:color="auto"/>
              <w:right w:val="single" w:sz="4" w:space="0" w:color="auto"/>
            </w:tcBorders>
            <w:shd w:val="clear" w:color="auto" w:fill="C6EFCE"/>
            <w:noWrap/>
          </w:tcPr>
          <w:p w14:paraId="605CDD49" w14:textId="77777777" w:rsidR="003B6BD9" w:rsidRDefault="009E25E8">
            <w:pPr>
              <w:pStyle w:val="P68B1DB1-Normal7"/>
              <w:spacing w:before="0" w:after="0" w:line="256" w:lineRule="auto"/>
              <w:rPr>
                <w:rFonts w:eastAsia="Times New Roman"/>
                <w:noProof/>
              </w:rPr>
            </w:pPr>
            <w:r>
              <w:rPr>
                <w:noProof/>
              </w:rPr>
              <w:t> </w:t>
            </w:r>
          </w:p>
        </w:tc>
        <w:tc>
          <w:tcPr>
            <w:tcW w:w="993" w:type="dxa"/>
            <w:tcBorders>
              <w:top w:val="nil"/>
              <w:left w:val="nil"/>
              <w:bottom w:val="single" w:sz="4" w:space="0" w:color="auto"/>
              <w:right w:val="single" w:sz="4" w:space="0" w:color="auto"/>
            </w:tcBorders>
            <w:shd w:val="clear" w:color="auto" w:fill="C6EFCE"/>
            <w:noWrap/>
          </w:tcPr>
          <w:p w14:paraId="65A23659" w14:textId="77777777" w:rsidR="003B6BD9" w:rsidRDefault="009E25E8">
            <w:pPr>
              <w:pStyle w:val="P68B1DB1-Normal7"/>
              <w:spacing w:before="0" w:after="0" w:line="256" w:lineRule="auto"/>
              <w:jc w:val="right"/>
              <w:rPr>
                <w:rFonts w:eastAsia="Times New Roman"/>
                <w:noProof/>
              </w:rPr>
            </w:pPr>
            <w:r>
              <w:rPr>
                <w:noProof/>
              </w:rPr>
              <w:t> </w:t>
            </w:r>
          </w:p>
        </w:tc>
        <w:tc>
          <w:tcPr>
            <w:tcW w:w="567" w:type="dxa"/>
            <w:tcBorders>
              <w:top w:val="nil"/>
              <w:left w:val="nil"/>
              <w:bottom w:val="single" w:sz="4" w:space="0" w:color="auto"/>
              <w:right w:val="single" w:sz="4" w:space="0" w:color="auto"/>
            </w:tcBorders>
            <w:shd w:val="clear" w:color="auto" w:fill="C6EFCE"/>
            <w:noWrap/>
          </w:tcPr>
          <w:p w14:paraId="1B0BE5B3" w14:textId="77777777" w:rsidR="003B6BD9" w:rsidRDefault="009E25E8">
            <w:pPr>
              <w:pStyle w:val="P68B1DB1-Normal7"/>
              <w:spacing w:before="0" w:after="0" w:line="256" w:lineRule="auto"/>
              <w:jc w:val="right"/>
              <w:rPr>
                <w:rFonts w:eastAsia="Times New Roman"/>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3277D70D" w14:textId="6B7B9322" w:rsidR="003B6BD9" w:rsidRDefault="009E25E8">
            <w:pPr>
              <w:pStyle w:val="P68B1DB1-Normal7"/>
              <w:spacing w:before="0" w:after="0" w:line="256" w:lineRule="auto"/>
              <w:jc w:val="center"/>
              <w:rPr>
                <w:rFonts w:eastAsia="Times New Roman"/>
                <w:noProof/>
              </w:rPr>
            </w:pPr>
            <w:r>
              <w:rPr>
                <w:noProof/>
              </w:rPr>
              <w:t>T4</w:t>
            </w:r>
          </w:p>
        </w:tc>
        <w:tc>
          <w:tcPr>
            <w:tcW w:w="709" w:type="dxa"/>
            <w:tcBorders>
              <w:top w:val="nil"/>
              <w:left w:val="nil"/>
              <w:bottom w:val="single" w:sz="4" w:space="0" w:color="auto"/>
              <w:right w:val="single" w:sz="4" w:space="0" w:color="auto"/>
            </w:tcBorders>
            <w:shd w:val="clear" w:color="auto" w:fill="C6EFCE"/>
            <w:noWrap/>
          </w:tcPr>
          <w:p w14:paraId="3A81CB17" w14:textId="7EC87CEE" w:rsidR="003B6BD9" w:rsidRDefault="009E25E8">
            <w:pPr>
              <w:pStyle w:val="P68B1DB1-Normal7"/>
              <w:spacing w:before="0" w:after="0" w:line="256" w:lineRule="auto"/>
              <w:jc w:val="center"/>
              <w:rPr>
                <w:rFonts w:eastAsia="Times New Roman"/>
                <w:noProof/>
              </w:rPr>
            </w:pPr>
            <w:r>
              <w:rPr>
                <w:noProof/>
              </w:rPr>
              <w:t>2023</w:t>
            </w:r>
          </w:p>
        </w:tc>
        <w:tc>
          <w:tcPr>
            <w:tcW w:w="4344" w:type="dxa"/>
            <w:tcBorders>
              <w:top w:val="nil"/>
              <w:left w:val="nil"/>
              <w:bottom w:val="single" w:sz="4" w:space="0" w:color="auto"/>
              <w:right w:val="single" w:sz="4" w:space="0" w:color="auto"/>
            </w:tcBorders>
            <w:shd w:val="clear" w:color="auto" w:fill="C6EFCE"/>
            <w:noWrap/>
          </w:tcPr>
          <w:p w14:paraId="20590221" w14:textId="7CC3CFFD" w:rsidR="003B6BD9" w:rsidRDefault="009E25E8">
            <w:pPr>
              <w:pStyle w:val="P68B1DB1-Normal7"/>
              <w:spacing w:before="0" w:after="0" w:line="256" w:lineRule="auto"/>
              <w:rPr>
                <w:rFonts w:eastAsia="Times New Roman"/>
                <w:noProof/>
              </w:rPr>
            </w:pPr>
            <w:r>
              <w:rPr>
                <w:noProof/>
              </w:rPr>
              <w:t>Les actes d’exécution établissent les règles régissant la mise en œuvre de la loi, en particulier les conditions techniques minimales et les normes de résidence dans les établissements, les conditions de personnel, les conditions et les normes relatives à la formation du personnel ainsi que le suivi de la demande de services de soins de longue durée et de la capacité des prestataires de soins de longue durée en fonction de la manière dont les soins de longue durée sont dispensés. Les indicateurs de suivi de la qualité des services dans le domaine des soins de longue durée sont définis dans les lignes directrices adoptées par le ministre, comme le prévoit la loi sur les soins de longue durée.</w:t>
            </w:r>
          </w:p>
        </w:tc>
      </w:tr>
    </w:tbl>
    <w:p w14:paraId="2E70F3E6" w14:textId="77777777" w:rsidR="003B6BD9" w:rsidRDefault="003B6BD9">
      <w:pPr>
        <w:spacing w:before="0" w:after="0" w:line="240" w:lineRule="auto"/>
        <w:rPr>
          <w:noProof/>
        </w:rPr>
        <w:sectPr w:rsidR="003B6BD9" w:rsidSect="00073927">
          <w:headerReference w:type="even" r:id="rId248"/>
          <w:headerReference w:type="default" r:id="rId249"/>
          <w:footerReference w:type="even" r:id="rId250"/>
          <w:footerReference w:type="default" r:id="rId251"/>
          <w:headerReference w:type="first" r:id="rId252"/>
          <w:footerReference w:type="first" r:id="rId253"/>
          <w:pgSz w:w="16839" w:h="11907" w:orient="landscape"/>
          <w:pgMar w:top="1134" w:right="1134" w:bottom="1134" w:left="1134" w:header="567" w:footer="567" w:gutter="0"/>
          <w:cols w:space="720"/>
          <w:docGrid w:linePitch="326"/>
        </w:sectPr>
      </w:pPr>
    </w:p>
    <w:p w14:paraId="3E498822" w14:textId="7AC0CF93" w:rsidR="003B6BD9" w:rsidRDefault="009E25E8">
      <w:pPr>
        <w:pStyle w:val="P68B1DB1-Normal4"/>
        <w:spacing w:line="240" w:lineRule="auto"/>
        <w:jc w:val="both"/>
        <w:rPr>
          <w:i/>
          <w:noProof/>
          <w:color w:val="4F81BD"/>
        </w:rPr>
      </w:pPr>
      <w:r>
        <w:rPr>
          <w:noProof/>
        </w:rPr>
        <w:t xml:space="preserve">O.3. Description des réformes et des investissements en vue du prêt </w:t>
      </w:r>
    </w:p>
    <w:p w14:paraId="25F8686E" w14:textId="77777777" w:rsidR="003B6BD9" w:rsidRDefault="009E25E8">
      <w:pPr>
        <w:pStyle w:val="P68B1DB1-Normal5"/>
        <w:spacing w:line="240" w:lineRule="auto"/>
        <w:jc w:val="both"/>
        <w:rPr>
          <w:noProof/>
        </w:rPr>
      </w:pPr>
      <w:r>
        <w:rPr>
          <w:noProof/>
        </w:rPr>
        <w:t>Investissement C: Garantir un cadre de vie sûr aux personnes dépendantes</w:t>
      </w:r>
    </w:p>
    <w:p w14:paraId="38C8447E" w14:textId="77777777" w:rsidR="003B6BD9" w:rsidRDefault="009E25E8">
      <w:pPr>
        <w:spacing w:line="240" w:lineRule="auto"/>
        <w:jc w:val="both"/>
        <w:rPr>
          <w:noProof/>
        </w:rPr>
      </w:pPr>
      <w:r>
        <w:rPr>
          <w:noProof/>
        </w:rPr>
        <w:t>L’objectif de l’investissement est de fournir des logements afin de répondre à l’augmentation attendue de la demande de soins en institution.</w:t>
      </w:r>
    </w:p>
    <w:p w14:paraId="183B2193" w14:textId="307CA4BA" w:rsidR="003B6BD9" w:rsidRDefault="009E25E8">
      <w:pPr>
        <w:spacing w:line="240" w:lineRule="auto"/>
        <w:jc w:val="both"/>
        <w:rPr>
          <w:noProof/>
        </w:rPr>
      </w:pPr>
      <w:r>
        <w:rPr>
          <w:noProof/>
        </w:rPr>
        <w:t xml:space="preserve">L’investissement prévoit 516 lits dans des structures de soins institutionnelles nouvellement construites. </w:t>
      </w:r>
    </w:p>
    <w:p w14:paraId="6E5F7FCF" w14:textId="77777777" w:rsidR="003B6BD9" w:rsidRDefault="009E25E8">
      <w:pPr>
        <w:spacing w:line="240" w:lineRule="auto"/>
        <w:ind w:left="850"/>
        <w:jc w:val="both"/>
        <w:rPr>
          <w:noProof/>
        </w:rPr>
      </w:pPr>
      <w:r>
        <w:rPr>
          <w:noProof/>
        </w:rPr>
        <w:t xml:space="preserve"> </w:t>
      </w:r>
    </w:p>
    <w:p w14:paraId="60B71897" w14:textId="77777777" w:rsidR="003B6BD9" w:rsidRDefault="003B6BD9">
      <w:pPr>
        <w:spacing w:line="240" w:lineRule="auto"/>
        <w:ind w:left="850"/>
        <w:jc w:val="both"/>
        <w:rPr>
          <w:noProof/>
        </w:rPr>
      </w:pPr>
    </w:p>
    <w:p w14:paraId="6B374460" w14:textId="77777777" w:rsidR="003B6BD9" w:rsidRDefault="003B6BD9">
      <w:pPr>
        <w:spacing w:line="240" w:lineRule="auto"/>
        <w:ind w:left="850"/>
        <w:jc w:val="both"/>
        <w:rPr>
          <w:i/>
          <w:noProof/>
        </w:rPr>
        <w:sectPr w:rsidR="003B6BD9" w:rsidSect="00073927">
          <w:headerReference w:type="even" r:id="rId254"/>
          <w:headerReference w:type="default" r:id="rId255"/>
          <w:footerReference w:type="even" r:id="rId256"/>
          <w:footerReference w:type="default" r:id="rId257"/>
          <w:headerReference w:type="first" r:id="rId258"/>
          <w:footerReference w:type="first" r:id="rId259"/>
          <w:pgSz w:w="11907" w:h="16839"/>
          <w:pgMar w:top="1134" w:right="1134" w:bottom="1134" w:left="1134" w:header="567" w:footer="567" w:gutter="0"/>
          <w:cols w:space="720"/>
          <w:docGrid w:linePitch="326"/>
        </w:sectPr>
      </w:pPr>
    </w:p>
    <w:p w14:paraId="3A5062FB" w14:textId="77777777" w:rsidR="003B6BD9" w:rsidRDefault="009E25E8">
      <w:pPr>
        <w:pStyle w:val="P68B1DB1-Normal4"/>
        <w:spacing w:line="240" w:lineRule="auto"/>
        <w:ind w:left="850"/>
        <w:jc w:val="both"/>
        <w:rPr>
          <w:noProof/>
        </w:rPr>
      </w:pPr>
      <w:r>
        <w:rPr>
          <w:noProof/>
        </w:rPr>
        <w:t xml:space="preserve">O.4. </w:t>
      </w:r>
      <w:r>
        <w:rPr>
          <w:noProof/>
        </w:rPr>
        <w:tab/>
        <w:t xml:space="preserve">Jalons, cibles, indicateurs et calendrier de suivi et de mise en œuvre en vue du prêt </w:t>
      </w:r>
    </w:p>
    <w:tbl>
      <w:tblPr>
        <w:tblW w:w="15390" w:type="dxa"/>
        <w:jc w:val="center"/>
        <w:tblLayout w:type="fixed"/>
        <w:tblCellMar>
          <w:left w:w="57" w:type="dxa"/>
          <w:right w:w="57" w:type="dxa"/>
        </w:tblCellMar>
        <w:tblLook w:val="04A0" w:firstRow="1" w:lastRow="0" w:firstColumn="1" w:lastColumn="0" w:noHBand="0" w:noVBand="1"/>
      </w:tblPr>
      <w:tblGrid>
        <w:gridCol w:w="835"/>
        <w:gridCol w:w="1567"/>
        <w:gridCol w:w="1090"/>
        <w:gridCol w:w="1424"/>
        <w:gridCol w:w="1579"/>
        <w:gridCol w:w="1091"/>
        <w:gridCol w:w="955"/>
        <w:gridCol w:w="983"/>
        <w:gridCol w:w="955"/>
        <w:gridCol w:w="684"/>
        <w:gridCol w:w="4227"/>
      </w:tblGrid>
      <w:tr w:rsidR="003B6BD9" w14:paraId="06239E1A" w14:textId="77777777" w:rsidTr="006C1AFD">
        <w:trPr>
          <w:trHeight w:val="927"/>
          <w:jc w:val="center"/>
        </w:trPr>
        <w:tc>
          <w:tcPr>
            <w:tcW w:w="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5DDAEE2" w14:textId="3E6FC723" w:rsidR="003B6BD9" w:rsidRDefault="009E25E8">
            <w:pPr>
              <w:pStyle w:val="P68B1DB1-Normal6"/>
              <w:spacing w:before="0" w:after="0" w:line="256" w:lineRule="auto"/>
              <w:jc w:val="center"/>
              <w:rPr>
                <w:rFonts w:eastAsia="Times New Roman"/>
                <w:noProof/>
              </w:rPr>
            </w:pPr>
            <w:r>
              <w:rPr>
                <w:noProof/>
              </w:rPr>
              <w:t>Et suivants Non.</w:t>
            </w:r>
          </w:p>
        </w:tc>
        <w:tc>
          <w:tcPr>
            <w:tcW w:w="156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8AEA1F" w14:textId="77777777" w:rsidR="003B6BD9" w:rsidRDefault="009E25E8">
            <w:pPr>
              <w:pStyle w:val="P68B1DB1-Normal6"/>
              <w:spacing w:before="0" w:after="0" w:line="256" w:lineRule="auto"/>
              <w:jc w:val="center"/>
              <w:rPr>
                <w:rFonts w:eastAsia="Times New Roman"/>
                <w:noProof/>
              </w:rPr>
            </w:pPr>
            <w:r>
              <w:rPr>
                <w:noProof/>
              </w:rPr>
              <w:t>Mesure connexe (réforme ou investissement)</w:t>
            </w:r>
          </w:p>
        </w:tc>
        <w:tc>
          <w:tcPr>
            <w:tcW w:w="10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446ED2" w14:textId="77777777" w:rsidR="003B6BD9" w:rsidRDefault="009E25E8">
            <w:pPr>
              <w:pStyle w:val="P68B1DB1-Normal6"/>
              <w:spacing w:before="0" w:after="0" w:line="256" w:lineRule="auto"/>
              <w:jc w:val="center"/>
              <w:rPr>
                <w:rFonts w:eastAsia="Times New Roman"/>
                <w:noProof/>
              </w:rPr>
            </w:pPr>
            <w:r>
              <w:rPr>
                <w:noProof/>
              </w:rPr>
              <w:t>Étape/Objectif</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5C33AC" w14:textId="77777777" w:rsidR="003B6BD9" w:rsidRDefault="009E25E8">
            <w:pPr>
              <w:pStyle w:val="P68B1DB1-Normal6"/>
              <w:spacing w:before="0" w:after="0" w:line="256" w:lineRule="auto"/>
              <w:jc w:val="center"/>
              <w:rPr>
                <w:rFonts w:eastAsia="Times New Roman"/>
                <w:noProof/>
              </w:rPr>
            </w:pPr>
            <w:r>
              <w:rPr>
                <w:noProof/>
              </w:rPr>
              <w:t>Nom</w:t>
            </w:r>
          </w:p>
        </w:tc>
        <w:tc>
          <w:tcPr>
            <w:tcW w:w="157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8372EF8" w14:textId="5FD59CC0" w:rsidR="003B6BD9" w:rsidRDefault="009E25E8">
            <w:pPr>
              <w:pStyle w:val="P68B1DB1-Normal6"/>
              <w:spacing w:before="0" w:after="0" w:line="256" w:lineRule="auto"/>
              <w:jc w:val="center"/>
              <w:rPr>
                <w:rFonts w:eastAsia="Times New Roman"/>
                <w:noProof/>
              </w:rPr>
            </w:pPr>
            <w:r>
              <w:rPr>
                <w:noProof/>
              </w:rPr>
              <w:t>Indicateurs qualitatifs (pour les jalons)</w:t>
            </w:r>
          </w:p>
        </w:tc>
        <w:tc>
          <w:tcPr>
            <w:tcW w:w="302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8119FA2" w14:textId="69C50845" w:rsidR="003B6BD9" w:rsidRDefault="009E25E8">
            <w:pPr>
              <w:pStyle w:val="P68B1DB1-Normal6"/>
              <w:spacing w:before="0" w:after="0" w:line="256" w:lineRule="auto"/>
              <w:jc w:val="center"/>
              <w:rPr>
                <w:rFonts w:eastAsia="Times New Roman"/>
                <w:noProof/>
              </w:rPr>
            </w:pPr>
            <w:r>
              <w:rPr>
                <w:noProof/>
              </w:rPr>
              <w:t>Indicateurs quantitatifs (pour les cibles)</w:t>
            </w:r>
          </w:p>
        </w:tc>
        <w:tc>
          <w:tcPr>
            <w:tcW w:w="1639" w:type="dxa"/>
            <w:gridSpan w:val="2"/>
            <w:tcBorders>
              <w:top w:val="single" w:sz="4" w:space="0" w:color="auto"/>
              <w:left w:val="nil"/>
              <w:bottom w:val="single" w:sz="4" w:space="0" w:color="auto"/>
              <w:right w:val="single" w:sz="4" w:space="0" w:color="auto"/>
            </w:tcBorders>
            <w:shd w:val="clear" w:color="auto" w:fill="BDD7EE"/>
            <w:vAlign w:val="center"/>
            <w:hideMark/>
          </w:tcPr>
          <w:p w14:paraId="6725E4E3" w14:textId="77777777" w:rsidR="003B6BD9" w:rsidRDefault="009E25E8">
            <w:pPr>
              <w:pStyle w:val="P68B1DB1-Normal6"/>
              <w:spacing w:before="0" w:after="0" w:line="256" w:lineRule="auto"/>
              <w:jc w:val="center"/>
              <w:rPr>
                <w:rFonts w:eastAsia="Times New Roman"/>
                <w:noProof/>
              </w:rPr>
            </w:pPr>
            <w:r>
              <w:rPr>
                <w:noProof/>
              </w:rPr>
              <w:t xml:space="preserve">Calendrier indicatif pour l’achèvement </w:t>
            </w:r>
          </w:p>
        </w:tc>
        <w:tc>
          <w:tcPr>
            <w:tcW w:w="42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3CACCE8" w14:textId="77777777" w:rsidR="003B6BD9" w:rsidRDefault="009E25E8">
            <w:pPr>
              <w:pStyle w:val="P68B1DB1-Normal6"/>
              <w:spacing w:before="0" w:after="0" w:line="256" w:lineRule="auto"/>
              <w:jc w:val="center"/>
              <w:rPr>
                <w:rFonts w:eastAsia="Times New Roman"/>
                <w:noProof/>
              </w:rPr>
            </w:pPr>
            <w:r>
              <w:rPr>
                <w:noProof/>
              </w:rPr>
              <w:t>Description de chaque jalon et cible</w:t>
            </w:r>
          </w:p>
        </w:tc>
      </w:tr>
      <w:tr w:rsidR="003B6BD9" w14:paraId="7D91BC88" w14:textId="77777777" w:rsidTr="006C1AFD">
        <w:trPr>
          <w:trHeight w:val="692"/>
          <w:jc w:val="center"/>
        </w:trPr>
        <w:tc>
          <w:tcPr>
            <w:tcW w:w="835" w:type="dxa"/>
            <w:vMerge/>
            <w:tcBorders>
              <w:top w:val="single" w:sz="4" w:space="0" w:color="auto"/>
              <w:left w:val="single" w:sz="4" w:space="0" w:color="auto"/>
              <w:bottom w:val="single" w:sz="4" w:space="0" w:color="auto"/>
              <w:right w:val="single" w:sz="4" w:space="0" w:color="auto"/>
            </w:tcBorders>
            <w:vAlign w:val="center"/>
            <w:hideMark/>
          </w:tcPr>
          <w:p w14:paraId="1F74F94E" w14:textId="77777777" w:rsidR="003B6BD9" w:rsidRDefault="003B6BD9">
            <w:pPr>
              <w:spacing w:before="0" w:after="0" w:line="256" w:lineRule="auto"/>
              <w:rPr>
                <w:rFonts w:eastAsia="Times New Roman"/>
                <w:b/>
                <w:noProof/>
                <w:sz w:val="18"/>
                <w:szCs w:val="18"/>
              </w:rPr>
            </w:pPr>
          </w:p>
        </w:tc>
        <w:tc>
          <w:tcPr>
            <w:tcW w:w="1567" w:type="dxa"/>
            <w:vMerge/>
            <w:tcBorders>
              <w:top w:val="single" w:sz="4" w:space="0" w:color="auto"/>
              <w:left w:val="single" w:sz="4" w:space="0" w:color="auto"/>
              <w:bottom w:val="single" w:sz="4" w:space="0" w:color="auto"/>
              <w:right w:val="single" w:sz="4" w:space="0" w:color="auto"/>
            </w:tcBorders>
            <w:vAlign w:val="center"/>
            <w:hideMark/>
          </w:tcPr>
          <w:p w14:paraId="658CDF1B" w14:textId="77777777" w:rsidR="003B6BD9" w:rsidRDefault="003B6BD9">
            <w:pPr>
              <w:spacing w:before="0" w:after="0" w:line="256" w:lineRule="auto"/>
              <w:rPr>
                <w:rFonts w:eastAsia="Times New Roman"/>
                <w:b/>
                <w:noProof/>
                <w:sz w:val="18"/>
                <w:szCs w:val="18"/>
              </w:rPr>
            </w:pPr>
          </w:p>
        </w:tc>
        <w:tc>
          <w:tcPr>
            <w:tcW w:w="1090" w:type="dxa"/>
            <w:vMerge/>
            <w:tcBorders>
              <w:top w:val="single" w:sz="4" w:space="0" w:color="auto"/>
              <w:left w:val="single" w:sz="4" w:space="0" w:color="auto"/>
              <w:bottom w:val="single" w:sz="4" w:space="0" w:color="auto"/>
              <w:right w:val="single" w:sz="4" w:space="0" w:color="auto"/>
            </w:tcBorders>
            <w:vAlign w:val="center"/>
            <w:hideMark/>
          </w:tcPr>
          <w:p w14:paraId="6857EA5E" w14:textId="77777777" w:rsidR="003B6BD9" w:rsidRDefault="003B6BD9">
            <w:pPr>
              <w:spacing w:before="0" w:after="0" w:line="256" w:lineRule="auto"/>
              <w:rPr>
                <w:rFonts w:eastAsia="Times New Roman"/>
                <w:b/>
                <w:noProof/>
                <w:sz w:val="18"/>
                <w:szCs w:val="18"/>
              </w:rPr>
            </w:pP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0FC71701" w14:textId="77777777" w:rsidR="003B6BD9" w:rsidRDefault="003B6BD9">
            <w:pPr>
              <w:spacing w:before="0" w:after="0" w:line="256" w:lineRule="auto"/>
              <w:rPr>
                <w:rFonts w:eastAsia="Times New Roman"/>
                <w:b/>
                <w:noProof/>
                <w:sz w:val="18"/>
                <w:szCs w:val="18"/>
              </w:rPr>
            </w:pPr>
          </w:p>
        </w:tc>
        <w:tc>
          <w:tcPr>
            <w:tcW w:w="1579" w:type="dxa"/>
            <w:vMerge/>
            <w:tcBorders>
              <w:top w:val="single" w:sz="4" w:space="0" w:color="auto"/>
              <w:left w:val="single" w:sz="4" w:space="0" w:color="auto"/>
              <w:bottom w:val="single" w:sz="4" w:space="0" w:color="auto"/>
              <w:right w:val="single" w:sz="4" w:space="0" w:color="auto"/>
            </w:tcBorders>
            <w:vAlign w:val="center"/>
            <w:hideMark/>
          </w:tcPr>
          <w:p w14:paraId="63CA48B1" w14:textId="77777777" w:rsidR="003B6BD9" w:rsidRDefault="003B6BD9">
            <w:pPr>
              <w:spacing w:before="0" w:after="0" w:line="256" w:lineRule="auto"/>
              <w:rPr>
                <w:rFonts w:eastAsia="Times New Roman"/>
                <w:b/>
                <w:noProof/>
                <w:sz w:val="18"/>
                <w:szCs w:val="18"/>
              </w:rPr>
            </w:pPr>
          </w:p>
        </w:tc>
        <w:tc>
          <w:tcPr>
            <w:tcW w:w="109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253AB81" w14:textId="77777777" w:rsidR="003B6BD9" w:rsidRDefault="009E25E8">
            <w:pPr>
              <w:pStyle w:val="P68B1DB1-Normal6"/>
              <w:spacing w:before="0" w:after="0" w:line="256" w:lineRule="auto"/>
              <w:jc w:val="center"/>
              <w:rPr>
                <w:rFonts w:eastAsia="Times New Roman"/>
                <w:noProof/>
              </w:rPr>
            </w:pPr>
            <w:r>
              <w:rPr>
                <w:noProof/>
              </w:rPr>
              <w:t>Unité de mesure</w:t>
            </w:r>
          </w:p>
        </w:tc>
        <w:tc>
          <w:tcPr>
            <w:tcW w:w="95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E761B5" w14:textId="77777777" w:rsidR="003B6BD9" w:rsidRDefault="009E25E8">
            <w:pPr>
              <w:pStyle w:val="P68B1DB1-Normal6"/>
              <w:spacing w:before="0" w:after="0" w:line="256" w:lineRule="auto"/>
              <w:jc w:val="center"/>
              <w:rPr>
                <w:rFonts w:eastAsia="Times New Roman"/>
                <w:noProof/>
              </w:rPr>
            </w:pPr>
            <w:r>
              <w:rPr>
                <w:noProof/>
              </w:rPr>
              <w:t xml:space="preserve">Niveau de référence </w:t>
            </w:r>
          </w:p>
        </w:tc>
        <w:tc>
          <w:tcPr>
            <w:tcW w:w="98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D9C4188" w14:textId="77777777" w:rsidR="003B6BD9" w:rsidRDefault="009E25E8">
            <w:pPr>
              <w:pStyle w:val="P68B1DB1-Normal6"/>
              <w:spacing w:before="0" w:after="0" w:line="256" w:lineRule="auto"/>
              <w:jc w:val="center"/>
              <w:rPr>
                <w:rFonts w:eastAsia="Times New Roman"/>
                <w:noProof/>
              </w:rPr>
            </w:pPr>
            <w:r>
              <w:rPr>
                <w:noProof/>
              </w:rPr>
              <w:t xml:space="preserve">But </w:t>
            </w:r>
          </w:p>
        </w:tc>
        <w:tc>
          <w:tcPr>
            <w:tcW w:w="95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8AE401" w14:textId="77777777" w:rsidR="003B6BD9" w:rsidRDefault="009E25E8">
            <w:pPr>
              <w:pStyle w:val="P68B1DB1-Normal6"/>
              <w:spacing w:before="0" w:after="0" w:line="256" w:lineRule="auto"/>
              <w:jc w:val="center"/>
              <w:rPr>
                <w:rFonts w:eastAsia="Times New Roman"/>
                <w:noProof/>
              </w:rPr>
            </w:pPr>
            <w:r>
              <w:rPr>
                <w:noProof/>
              </w:rPr>
              <w:t>Trimestre</w:t>
            </w:r>
          </w:p>
        </w:tc>
        <w:tc>
          <w:tcPr>
            <w:tcW w:w="68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15A0641" w14:textId="77777777" w:rsidR="003B6BD9" w:rsidRDefault="009E25E8">
            <w:pPr>
              <w:pStyle w:val="P68B1DB1-Normal6"/>
              <w:spacing w:before="0" w:after="0" w:line="256" w:lineRule="auto"/>
              <w:jc w:val="center"/>
              <w:rPr>
                <w:rFonts w:eastAsia="Times New Roman"/>
                <w:noProof/>
              </w:rPr>
            </w:pPr>
            <w:r>
              <w:rPr>
                <w:noProof/>
              </w:rPr>
              <w:t>Année</w:t>
            </w:r>
          </w:p>
        </w:tc>
        <w:tc>
          <w:tcPr>
            <w:tcW w:w="4227" w:type="dxa"/>
            <w:vMerge/>
            <w:tcBorders>
              <w:top w:val="single" w:sz="4" w:space="0" w:color="auto"/>
              <w:left w:val="single" w:sz="4" w:space="0" w:color="auto"/>
              <w:bottom w:val="single" w:sz="4" w:space="0" w:color="auto"/>
              <w:right w:val="single" w:sz="4" w:space="0" w:color="auto"/>
            </w:tcBorders>
            <w:vAlign w:val="center"/>
            <w:hideMark/>
          </w:tcPr>
          <w:p w14:paraId="65AECA3F" w14:textId="77777777" w:rsidR="003B6BD9" w:rsidRDefault="003B6BD9">
            <w:pPr>
              <w:spacing w:before="0" w:after="0" w:line="256" w:lineRule="auto"/>
              <w:rPr>
                <w:rFonts w:eastAsia="Times New Roman"/>
                <w:b/>
                <w:noProof/>
                <w:sz w:val="18"/>
                <w:szCs w:val="18"/>
              </w:rPr>
            </w:pPr>
          </w:p>
        </w:tc>
      </w:tr>
      <w:tr w:rsidR="003B6BD9" w14:paraId="1A53A434" w14:textId="77777777" w:rsidTr="006C1AFD">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AFAB1F4" w14:textId="77777777" w:rsidR="003B6BD9" w:rsidRDefault="009E25E8">
            <w:pPr>
              <w:pStyle w:val="P68B1DB1-Normal7"/>
              <w:spacing w:before="0" w:after="0" w:line="256" w:lineRule="auto"/>
              <w:rPr>
                <w:rFonts w:eastAsia="Times New Roman"/>
                <w:noProof/>
              </w:rPr>
            </w:pPr>
            <w:r>
              <w:rPr>
                <w:noProof/>
              </w:rPr>
              <w:t>203</w:t>
            </w:r>
          </w:p>
        </w:tc>
        <w:tc>
          <w:tcPr>
            <w:tcW w:w="1567" w:type="dxa"/>
            <w:tcBorders>
              <w:top w:val="single" w:sz="4" w:space="0" w:color="auto"/>
              <w:left w:val="nil"/>
              <w:bottom w:val="single" w:sz="4" w:space="0" w:color="auto"/>
              <w:right w:val="single" w:sz="4" w:space="0" w:color="auto"/>
            </w:tcBorders>
            <w:shd w:val="clear" w:color="auto" w:fill="C6EFCE"/>
            <w:noWrap/>
          </w:tcPr>
          <w:p w14:paraId="5E89C3EB" w14:textId="77777777" w:rsidR="003B6BD9" w:rsidRDefault="009E25E8">
            <w:pPr>
              <w:pStyle w:val="P68B1DB1-Normal7"/>
              <w:spacing w:before="0" w:after="0" w:line="256" w:lineRule="auto"/>
              <w:rPr>
                <w:rFonts w:eastAsia="Times New Roman"/>
                <w:noProof/>
              </w:rPr>
            </w:pPr>
            <w:r>
              <w:rPr>
                <w:noProof/>
              </w:rPr>
              <w:t>C: Garantir un cadre de vie sûr aux personnes dépendantes</w:t>
            </w:r>
          </w:p>
        </w:tc>
        <w:tc>
          <w:tcPr>
            <w:tcW w:w="1090" w:type="dxa"/>
            <w:tcBorders>
              <w:top w:val="single" w:sz="4" w:space="0" w:color="auto"/>
              <w:left w:val="nil"/>
              <w:bottom w:val="single" w:sz="4" w:space="0" w:color="auto"/>
              <w:right w:val="single" w:sz="4" w:space="0" w:color="auto"/>
            </w:tcBorders>
            <w:shd w:val="clear" w:color="auto" w:fill="C6EFCE"/>
            <w:noWrap/>
          </w:tcPr>
          <w:p w14:paraId="662DE5E3" w14:textId="77777777" w:rsidR="003B6BD9" w:rsidRDefault="009E25E8">
            <w:pPr>
              <w:pStyle w:val="P68B1DB1-Normal7"/>
              <w:spacing w:before="0" w:after="0" w:line="256" w:lineRule="auto"/>
              <w:rPr>
                <w:rFonts w:eastAsia="Times New Roman"/>
                <w:noProof/>
              </w:rPr>
            </w:pPr>
            <w:r>
              <w:rPr>
                <w:noProof/>
              </w:rPr>
              <w:t>Jalon</w:t>
            </w:r>
          </w:p>
        </w:tc>
        <w:tc>
          <w:tcPr>
            <w:tcW w:w="1424" w:type="dxa"/>
            <w:tcBorders>
              <w:top w:val="single" w:sz="4" w:space="0" w:color="auto"/>
              <w:left w:val="nil"/>
              <w:bottom w:val="single" w:sz="4" w:space="0" w:color="auto"/>
              <w:right w:val="single" w:sz="4" w:space="0" w:color="auto"/>
            </w:tcBorders>
            <w:shd w:val="clear" w:color="auto" w:fill="C6EFCE"/>
            <w:noWrap/>
          </w:tcPr>
          <w:p w14:paraId="09D9154D" w14:textId="17E7BF48" w:rsidR="003B6BD9" w:rsidRDefault="009E25E8">
            <w:pPr>
              <w:pStyle w:val="P68B1DB1-Normal7"/>
              <w:spacing w:before="0" w:after="0" w:line="256" w:lineRule="auto"/>
              <w:rPr>
                <w:rFonts w:eastAsia="Times New Roman"/>
                <w:noProof/>
              </w:rPr>
            </w:pPr>
            <w:r>
              <w:rPr>
                <w:noProof/>
              </w:rPr>
              <w:t>Octroi de subventions pour la construction de nouvelles structures d’accueil institutionnelles</w:t>
            </w:r>
          </w:p>
        </w:tc>
        <w:tc>
          <w:tcPr>
            <w:tcW w:w="1579" w:type="dxa"/>
            <w:tcBorders>
              <w:top w:val="single" w:sz="4" w:space="0" w:color="auto"/>
              <w:left w:val="nil"/>
              <w:bottom w:val="single" w:sz="4" w:space="0" w:color="auto"/>
              <w:right w:val="single" w:sz="4" w:space="0" w:color="auto"/>
            </w:tcBorders>
            <w:shd w:val="clear" w:color="auto" w:fill="C6EFCE"/>
            <w:noWrap/>
          </w:tcPr>
          <w:p w14:paraId="6812EAA9" w14:textId="77777777" w:rsidR="003B6BD9" w:rsidRDefault="009E25E8">
            <w:pPr>
              <w:pStyle w:val="P68B1DB1-Normal7"/>
              <w:spacing w:before="0" w:after="0" w:line="256" w:lineRule="auto"/>
              <w:rPr>
                <w:rFonts w:eastAsia="Times New Roman"/>
                <w:noProof/>
              </w:rPr>
            </w:pPr>
            <w:r>
              <w:rPr>
                <w:noProof/>
              </w:rPr>
              <w:t>Communication de l’attribution</w:t>
            </w:r>
          </w:p>
        </w:tc>
        <w:tc>
          <w:tcPr>
            <w:tcW w:w="1091" w:type="dxa"/>
            <w:tcBorders>
              <w:top w:val="single" w:sz="4" w:space="0" w:color="auto"/>
              <w:left w:val="nil"/>
              <w:bottom w:val="single" w:sz="4" w:space="0" w:color="auto"/>
              <w:right w:val="single" w:sz="4" w:space="0" w:color="auto"/>
            </w:tcBorders>
            <w:shd w:val="clear" w:color="auto" w:fill="C6EFCE"/>
            <w:noWrap/>
          </w:tcPr>
          <w:p w14:paraId="38C13E5F" w14:textId="77777777" w:rsidR="003B6BD9" w:rsidRDefault="009E25E8">
            <w:pPr>
              <w:pStyle w:val="P68B1DB1-Normal7"/>
              <w:spacing w:before="0" w:after="0" w:line="256" w:lineRule="auto"/>
              <w:rPr>
                <w:rFonts w:eastAsia="Times New Roman"/>
                <w:noProof/>
              </w:rPr>
            </w:pPr>
            <w:r>
              <w:rPr>
                <w:noProof/>
              </w:rPr>
              <w:t> </w:t>
            </w:r>
          </w:p>
        </w:tc>
        <w:tc>
          <w:tcPr>
            <w:tcW w:w="955" w:type="dxa"/>
            <w:tcBorders>
              <w:top w:val="single" w:sz="4" w:space="0" w:color="auto"/>
              <w:left w:val="nil"/>
              <w:bottom w:val="single" w:sz="4" w:space="0" w:color="auto"/>
              <w:right w:val="single" w:sz="4" w:space="0" w:color="auto"/>
            </w:tcBorders>
            <w:shd w:val="clear" w:color="auto" w:fill="C6EFCE"/>
            <w:noWrap/>
          </w:tcPr>
          <w:p w14:paraId="68828858" w14:textId="77777777" w:rsidR="003B6BD9" w:rsidRDefault="009E25E8">
            <w:pPr>
              <w:pStyle w:val="P68B1DB1-Normal7"/>
              <w:spacing w:before="0" w:after="0" w:line="256" w:lineRule="auto"/>
              <w:jc w:val="right"/>
              <w:rPr>
                <w:rFonts w:eastAsia="Times New Roman"/>
                <w:noProof/>
              </w:rPr>
            </w:pPr>
            <w:r>
              <w:rPr>
                <w:noProof/>
              </w:rPr>
              <w:t> </w:t>
            </w:r>
          </w:p>
        </w:tc>
        <w:tc>
          <w:tcPr>
            <w:tcW w:w="983" w:type="dxa"/>
            <w:tcBorders>
              <w:top w:val="single" w:sz="4" w:space="0" w:color="auto"/>
              <w:left w:val="nil"/>
              <w:bottom w:val="single" w:sz="4" w:space="0" w:color="auto"/>
              <w:right w:val="single" w:sz="4" w:space="0" w:color="auto"/>
            </w:tcBorders>
            <w:shd w:val="clear" w:color="auto" w:fill="C6EFCE"/>
            <w:noWrap/>
          </w:tcPr>
          <w:p w14:paraId="72B57CE5" w14:textId="77777777" w:rsidR="003B6BD9" w:rsidRDefault="009E25E8">
            <w:pPr>
              <w:pStyle w:val="P68B1DB1-Normal7"/>
              <w:spacing w:before="0" w:after="0" w:line="256" w:lineRule="auto"/>
              <w:jc w:val="right"/>
              <w:rPr>
                <w:rFonts w:eastAsia="Times New Roman"/>
                <w:noProof/>
              </w:rPr>
            </w:pPr>
            <w:r>
              <w:rPr>
                <w:noProof/>
              </w:rPr>
              <w:t> </w:t>
            </w:r>
          </w:p>
        </w:tc>
        <w:tc>
          <w:tcPr>
            <w:tcW w:w="955" w:type="dxa"/>
            <w:tcBorders>
              <w:top w:val="single" w:sz="4" w:space="0" w:color="auto"/>
              <w:left w:val="nil"/>
              <w:bottom w:val="single" w:sz="4" w:space="0" w:color="auto"/>
              <w:right w:val="single" w:sz="4" w:space="0" w:color="auto"/>
            </w:tcBorders>
            <w:shd w:val="clear" w:color="auto" w:fill="C6EFCE"/>
            <w:noWrap/>
          </w:tcPr>
          <w:p w14:paraId="378550BB" w14:textId="77777777" w:rsidR="003B6BD9" w:rsidRDefault="009E25E8">
            <w:pPr>
              <w:pStyle w:val="P68B1DB1-Normal7"/>
              <w:spacing w:before="0" w:after="0" w:line="256" w:lineRule="auto"/>
              <w:jc w:val="center"/>
              <w:rPr>
                <w:rFonts w:eastAsia="Times New Roman"/>
                <w:noProof/>
              </w:rPr>
            </w:pPr>
            <w:r>
              <w:rPr>
                <w:noProof/>
              </w:rPr>
              <w:t>T2</w:t>
            </w:r>
          </w:p>
        </w:tc>
        <w:tc>
          <w:tcPr>
            <w:tcW w:w="684" w:type="dxa"/>
            <w:tcBorders>
              <w:top w:val="single" w:sz="4" w:space="0" w:color="auto"/>
              <w:left w:val="nil"/>
              <w:bottom w:val="single" w:sz="4" w:space="0" w:color="auto"/>
              <w:right w:val="single" w:sz="4" w:space="0" w:color="auto"/>
            </w:tcBorders>
            <w:shd w:val="clear" w:color="auto" w:fill="C6EFCE"/>
            <w:noWrap/>
          </w:tcPr>
          <w:p w14:paraId="1076F35F" w14:textId="77777777" w:rsidR="003B6BD9" w:rsidRDefault="009E25E8">
            <w:pPr>
              <w:pStyle w:val="P68B1DB1-Normal7"/>
              <w:spacing w:before="0" w:after="0" w:line="256" w:lineRule="auto"/>
              <w:jc w:val="center"/>
              <w:rPr>
                <w:rFonts w:eastAsia="Times New Roman"/>
                <w:noProof/>
              </w:rPr>
            </w:pPr>
            <w:r>
              <w:rPr>
                <w:noProof/>
              </w:rPr>
              <w:t>2023</w:t>
            </w:r>
          </w:p>
        </w:tc>
        <w:tc>
          <w:tcPr>
            <w:tcW w:w="4227" w:type="dxa"/>
            <w:tcBorders>
              <w:top w:val="single" w:sz="4" w:space="0" w:color="auto"/>
              <w:left w:val="nil"/>
              <w:bottom w:val="single" w:sz="4" w:space="0" w:color="auto"/>
              <w:right w:val="single" w:sz="4" w:space="0" w:color="auto"/>
            </w:tcBorders>
            <w:shd w:val="clear" w:color="auto" w:fill="C6EFCE"/>
            <w:noWrap/>
          </w:tcPr>
          <w:p w14:paraId="0229D817" w14:textId="2954673F" w:rsidR="003B6BD9" w:rsidRDefault="009E25E8">
            <w:pPr>
              <w:pStyle w:val="P68B1DB1-Normal10"/>
              <w:spacing w:before="0" w:after="0" w:line="256" w:lineRule="auto"/>
              <w:rPr>
                <w:rFonts w:eastAsia="Times New Roman"/>
                <w:noProof/>
                <w:color w:val="006100"/>
              </w:rPr>
            </w:pPr>
            <w:r>
              <w:rPr>
                <w:noProof/>
                <w:color w:val="006100"/>
              </w:rPr>
              <w:t xml:space="preserve">Les projets sélectionnés garantissent que les nouvelles structures de soins en institution prennent la forme de logements plus petits et autonomes destinés aux utilisateurs de soins de longue durée ayant besoin de soins de base, sociaux et médicaux adaptés à leurs besoins, garantissant la qualité et la sécurité du traitement des personnes fortement dépendantes. </w:t>
            </w:r>
            <w:r>
              <w:rPr>
                <w:noProof/>
              </w:rPr>
              <w:br/>
            </w:r>
            <w:r>
              <w:rPr>
                <w:noProof/>
                <w:color w:val="006100"/>
              </w:rPr>
              <w:t>Les bâtiments neufs sont conformes aux exigences applicables aux bâtiments dont la consommation d’énergie est quasi nulle.</w:t>
            </w:r>
          </w:p>
        </w:tc>
      </w:tr>
      <w:tr w:rsidR="003B6BD9" w14:paraId="2C5B6D89" w14:textId="77777777" w:rsidTr="006C1AFD">
        <w:trPr>
          <w:trHeight w:val="309"/>
          <w:jc w:val="center"/>
        </w:trPr>
        <w:tc>
          <w:tcPr>
            <w:tcW w:w="835" w:type="dxa"/>
            <w:tcBorders>
              <w:top w:val="nil"/>
              <w:left w:val="single" w:sz="4" w:space="0" w:color="auto"/>
              <w:bottom w:val="single" w:sz="4" w:space="0" w:color="auto"/>
              <w:right w:val="single" w:sz="4" w:space="0" w:color="auto"/>
            </w:tcBorders>
            <w:shd w:val="clear" w:color="auto" w:fill="C6EFCE"/>
            <w:noWrap/>
          </w:tcPr>
          <w:p w14:paraId="15CF1B10" w14:textId="77777777" w:rsidR="003B6BD9" w:rsidRDefault="009E25E8">
            <w:pPr>
              <w:pStyle w:val="P68B1DB1-Normal7"/>
              <w:spacing w:before="0" w:after="0" w:line="256" w:lineRule="auto"/>
              <w:rPr>
                <w:rFonts w:eastAsia="Times New Roman"/>
                <w:noProof/>
              </w:rPr>
            </w:pPr>
            <w:r>
              <w:rPr>
                <w:noProof/>
              </w:rPr>
              <w:t>204</w:t>
            </w:r>
          </w:p>
        </w:tc>
        <w:tc>
          <w:tcPr>
            <w:tcW w:w="1567" w:type="dxa"/>
            <w:tcBorders>
              <w:top w:val="nil"/>
              <w:left w:val="nil"/>
              <w:bottom w:val="single" w:sz="4" w:space="0" w:color="auto"/>
              <w:right w:val="single" w:sz="4" w:space="0" w:color="auto"/>
            </w:tcBorders>
            <w:shd w:val="clear" w:color="auto" w:fill="C6EFCE"/>
            <w:noWrap/>
          </w:tcPr>
          <w:p w14:paraId="454DF9D2" w14:textId="5F7C00EC" w:rsidR="003B6BD9" w:rsidRDefault="009E25E8">
            <w:pPr>
              <w:pStyle w:val="P68B1DB1-Normal7"/>
              <w:spacing w:before="0" w:after="0" w:line="256" w:lineRule="auto"/>
              <w:rPr>
                <w:rFonts w:eastAsia="Times New Roman"/>
                <w:noProof/>
              </w:rPr>
            </w:pPr>
            <w:r>
              <w:rPr>
                <w:noProof/>
              </w:rPr>
              <w:t>C: Garantir un cadre de vie sûr aux personnes dépendantes</w:t>
            </w:r>
          </w:p>
        </w:tc>
        <w:tc>
          <w:tcPr>
            <w:tcW w:w="1090" w:type="dxa"/>
            <w:tcBorders>
              <w:top w:val="nil"/>
              <w:left w:val="nil"/>
              <w:bottom w:val="single" w:sz="4" w:space="0" w:color="auto"/>
              <w:right w:val="single" w:sz="4" w:space="0" w:color="auto"/>
            </w:tcBorders>
            <w:shd w:val="clear" w:color="auto" w:fill="C6EFCE"/>
            <w:noWrap/>
          </w:tcPr>
          <w:p w14:paraId="5B75D24B" w14:textId="77777777" w:rsidR="003B6BD9" w:rsidRDefault="009E25E8">
            <w:pPr>
              <w:pStyle w:val="P68B1DB1-Normal7"/>
              <w:spacing w:before="0" w:after="0" w:line="256" w:lineRule="auto"/>
              <w:rPr>
                <w:rFonts w:eastAsia="Times New Roman"/>
                <w:noProof/>
              </w:rPr>
            </w:pPr>
            <w:r>
              <w:rPr>
                <w:noProof/>
              </w:rPr>
              <w:t>Cible</w:t>
            </w:r>
          </w:p>
        </w:tc>
        <w:tc>
          <w:tcPr>
            <w:tcW w:w="1424" w:type="dxa"/>
            <w:tcBorders>
              <w:top w:val="nil"/>
              <w:left w:val="nil"/>
              <w:bottom w:val="single" w:sz="4" w:space="0" w:color="auto"/>
              <w:right w:val="single" w:sz="4" w:space="0" w:color="auto"/>
            </w:tcBorders>
            <w:shd w:val="clear" w:color="auto" w:fill="C6EFCE"/>
            <w:noWrap/>
          </w:tcPr>
          <w:p w14:paraId="52115B64" w14:textId="05D74642" w:rsidR="003B6BD9" w:rsidRDefault="009E25E8">
            <w:pPr>
              <w:pStyle w:val="P68B1DB1-Normal7"/>
              <w:spacing w:before="0" w:after="0" w:line="256" w:lineRule="auto"/>
              <w:rPr>
                <w:rFonts w:eastAsia="Times New Roman"/>
                <w:noProof/>
              </w:rPr>
            </w:pPr>
            <w:r>
              <w:rPr>
                <w:noProof/>
              </w:rPr>
              <w:t xml:space="preserve">Lits dans des établissements de soins nouvellement construits </w:t>
            </w:r>
          </w:p>
        </w:tc>
        <w:tc>
          <w:tcPr>
            <w:tcW w:w="1579" w:type="dxa"/>
            <w:tcBorders>
              <w:top w:val="nil"/>
              <w:left w:val="nil"/>
              <w:bottom w:val="single" w:sz="4" w:space="0" w:color="auto"/>
              <w:right w:val="single" w:sz="4" w:space="0" w:color="auto"/>
            </w:tcBorders>
            <w:shd w:val="clear" w:color="auto" w:fill="C6EFCE"/>
            <w:noWrap/>
          </w:tcPr>
          <w:p w14:paraId="7EEBE47D" w14:textId="77777777" w:rsidR="003B6BD9" w:rsidRDefault="009E25E8">
            <w:pPr>
              <w:pStyle w:val="P68B1DB1-Normal7"/>
              <w:spacing w:before="0" w:after="0" w:line="256" w:lineRule="auto"/>
              <w:rPr>
                <w:rFonts w:eastAsia="Times New Roman"/>
                <w:noProof/>
              </w:rPr>
            </w:pPr>
            <w:r>
              <w:rPr>
                <w:noProof/>
              </w:rPr>
              <w:t> </w:t>
            </w:r>
          </w:p>
        </w:tc>
        <w:tc>
          <w:tcPr>
            <w:tcW w:w="1091" w:type="dxa"/>
            <w:tcBorders>
              <w:top w:val="nil"/>
              <w:left w:val="nil"/>
              <w:bottom w:val="single" w:sz="4" w:space="0" w:color="auto"/>
              <w:right w:val="single" w:sz="4" w:space="0" w:color="auto"/>
            </w:tcBorders>
            <w:shd w:val="clear" w:color="auto" w:fill="C6EFCE"/>
            <w:noWrap/>
          </w:tcPr>
          <w:p w14:paraId="3AA99575" w14:textId="77777777" w:rsidR="003B6BD9" w:rsidRDefault="009E25E8">
            <w:pPr>
              <w:pStyle w:val="P68B1DB1-Normal7"/>
              <w:spacing w:before="0" w:after="0" w:line="256" w:lineRule="auto"/>
              <w:rPr>
                <w:rFonts w:eastAsia="Times New Roman"/>
                <w:noProof/>
              </w:rPr>
            </w:pPr>
            <w:r>
              <w:rPr>
                <w:noProof/>
              </w:rPr>
              <w:t>Nombre</w:t>
            </w:r>
          </w:p>
        </w:tc>
        <w:tc>
          <w:tcPr>
            <w:tcW w:w="955" w:type="dxa"/>
            <w:tcBorders>
              <w:top w:val="nil"/>
              <w:left w:val="nil"/>
              <w:bottom w:val="single" w:sz="4" w:space="0" w:color="auto"/>
              <w:right w:val="single" w:sz="4" w:space="0" w:color="auto"/>
            </w:tcBorders>
            <w:shd w:val="clear" w:color="auto" w:fill="C6EFCE"/>
            <w:noWrap/>
          </w:tcPr>
          <w:p w14:paraId="16D781B3" w14:textId="77777777" w:rsidR="003B6BD9" w:rsidRDefault="009E25E8">
            <w:pPr>
              <w:pStyle w:val="P68B1DB1-Normal7"/>
              <w:spacing w:before="0" w:after="0" w:line="256" w:lineRule="auto"/>
              <w:jc w:val="right"/>
              <w:rPr>
                <w:rFonts w:eastAsia="Times New Roman"/>
                <w:noProof/>
              </w:rPr>
            </w:pPr>
            <w:r>
              <w:rPr>
                <w:noProof/>
              </w:rPr>
              <w:t>0</w:t>
            </w:r>
          </w:p>
        </w:tc>
        <w:tc>
          <w:tcPr>
            <w:tcW w:w="983" w:type="dxa"/>
            <w:tcBorders>
              <w:top w:val="nil"/>
              <w:left w:val="nil"/>
              <w:bottom w:val="single" w:sz="4" w:space="0" w:color="auto"/>
              <w:right w:val="single" w:sz="4" w:space="0" w:color="auto"/>
            </w:tcBorders>
            <w:shd w:val="clear" w:color="auto" w:fill="C6EFCE"/>
            <w:noWrap/>
          </w:tcPr>
          <w:p w14:paraId="64975B7C" w14:textId="0A968EA5" w:rsidR="003B6BD9" w:rsidRDefault="009E25E8">
            <w:pPr>
              <w:pStyle w:val="P68B1DB1-Normal7"/>
              <w:spacing w:before="0" w:after="0" w:line="256" w:lineRule="auto"/>
              <w:jc w:val="right"/>
              <w:rPr>
                <w:rFonts w:eastAsia="Times New Roman"/>
                <w:noProof/>
              </w:rPr>
            </w:pPr>
            <w:r>
              <w:rPr>
                <w:noProof/>
              </w:rPr>
              <w:t>516</w:t>
            </w:r>
          </w:p>
        </w:tc>
        <w:tc>
          <w:tcPr>
            <w:tcW w:w="955" w:type="dxa"/>
            <w:tcBorders>
              <w:top w:val="nil"/>
              <w:left w:val="nil"/>
              <w:bottom w:val="single" w:sz="4" w:space="0" w:color="auto"/>
              <w:right w:val="single" w:sz="4" w:space="0" w:color="auto"/>
            </w:tcBorders>
            <w:shd w:val="clear" w:color="auto" w:fill="C6EFCE"/>
            <w:noWrap/>
          </w:tcPr>
          <w:p w14:paraId="1D9D8B60" w14:textId="77777777" w:rsidR="003B6BD9" w:rsidRDefault="009E25E8">
            <w:pPr>
              <w:pStyle w:val="P68B1DB1-Normal7"/>
              <w:spacing w:before="0" w:after="0" w:line="256" w:lineRule="auto"/>
              <w:jc w:val="center"/>
              <w:rPr>
                <w:rFonts w:eastAsia="Times New Roman"/>
                <w:noProof/>
              </w:rPr>
            </w:pPr>
            <w:r>
              <w:rPr>
                <w:noProof/>
              </w:rPr>
              <w:t>T2</w:t>
            </w:r>
          </w:p>
        </w:tc>
        <w:tc>
          <w:tcPr>
            <w:tcW w:w="684" w:type="dxa"/>
            <w:tcBorders>
              <w:top w:val="nil"/>
              <w:left w:val="nil"/>
              <w:bottom w:val="single" w:sz="4" w:space="0" w:color="auto"/>
              <w:right w:val="single" w:sz="4" w:space="0" w:color="auto"/>
            </w:tcBorders>
            <w:shd w:val="clear" w:color="auto" w:fill="C6EFCE"/>
            <w:noWrap/>
          </w:tcPr>
          <w:p w14:paraId="3FF8A7DC" w14:textId="77777777" w:rsidR="003B6BD9" w:rsidRDefault="009E25E8">
            <w:pPr>
              <w:pStyle w:val="P68B1DB1-Normal7"/>
              <w:spacing w:before="0" w:after="0" w:line="256" w:lineRule="auto"/>
              <w:jc w:val="center"/>
              <w:rPr>
                <w:rFonts w:eastAsia="Times New Roman"/>
                <w:noProof/>
              </w:rPr>
            </w:pPr>
            <w:r>
              <w:rPr>
                <w:noProof/>
              </w:rPr>
              <w:t>2026</w:t>
            </w:r>
          </w:p>
        </w:tc>
        <w:tc>
          <w:tcPr>
            <w:tcW w:w="4227" w:type="dxa"/>
            <w:tcBorders>
              <w:top w:val="nil"/>
              <w:left w:val="nil"/>
              <w:bottom w:val="single" w:sz="4" w:space="0" w:color="auto"/>
              <w:right w:val="single" w:sz="4" w:space="0" w:color="auto"/>
            </w:tcBorders>
            <w:shd w:val="clear" w:color="auto" w:fill="C6EFCE"/>
            <w:noWrap/>
          </w:tcPr>
          <w:p w14:paraId="414C6F6D" w14:textId="75F87634" w:rsidR="003B6BD9" w:rsidRDefault="009E25E8">
            <w:pPr>
              <w:pStyle w:val="P68B1DB1-Normal7"/>
              <w:spacing w:before="0" w:after="0" w:line="256" w:lineRule="auto"/>
              <w:rPr>
                <w:noProof/>
              </w:rPr>
            </w:pPr>
            <w:r>
              <w:rPr>
                <w:noProof/>
              </w:rPr>
              <w:t>Des procès-verbaux de remise et de réception ont été signés par le maître d’œuvre, le pouvoir adjudicateur et l’entreprise de construction pour les établissements de soins nouvellement construits, fournissant un total de 516 nouveaux lits.</w:t>
            </w:r>
          </w:p>
        </w:tc>
      </w:tr>
    </w:tbl>
    <w:p w14:paraId="4A85D871" w14:textId="77777777" w:rsidR="003B6BD9" w:rsidRDefault="003B6BD9">
      <w:pPr>
        <w:spacing w:line="240" w:lineRule="auto"/>
        <w:jc w:val="both"/>
        <w:rPr>
          <w:rFonts w:eastAsia="Times New Roman"/>
          <w:noProof/>
          <w:color w:val="006100"/>
          <w:sz w:val="22"/>
        </w:rPr>
      </w:pPr>
    </w:p>
    <w:p w14:paraId="0BCD3F52" w14:textId="77777777" w:rsidR="003B6BD9" w:rsidRDefault="003B6BD9">
      <w:pPr>
        <w:keepNext/>
        <w:tabs>
          <w:tab w:val="left" w:pos="850"/>
        </w:tabs>
        <w:spacing w:before="360" w:line="240" w:lineRule="auto"/>
        <w:jc w:val="both"/>
        <w:outlineLvl w:val="0"/>
        <w:rPr>
          <w:smallCaps/>
          <w:noProof/>
        </w:rPr>
        <w:sectPr w:rsidR="003B6BD9" w:rsidSect="00073927">
          <w:headerReference w:type="even" r:id="rId260"/>
          <w:headerReference w:type="default" r:id="rId261"/>
          <w:footerReference w:type="even" r:id="rId262"/>
          <w:footerReference w:type="default" r:id="rId263"/>
          <w:headerReference w:type="first" r:id="rId264"/>
          <w:footerReference w:type="first" r:id="rId265"/>
          <w:pgSz w:w="16839" w:h="11907" w:orient="landscape"/>
          <w:pgMar w:top="1134" w:right="1134" w:bottom="1134" w:left="1134" w:header="567" w:footer="567" w:gutter="0"/>
          <w:cols w:space="720"/>
          <w:docGrid w:linePitch="326"/>
        </w:sectPr>
      </w:pPr>
    </w:p>
    <w:p w14:paraId="5C02DF37" w14:textId="38C21293" w:rsidR="003B6BD9" w:rsidRDefault="009E25E8">
      <w:pPr>
        <w:pStyle w:val="P68B1DB1-Normal3"/>
        <w:keepNext/>
        <w:tabs>
          <w:tab w:val="left" w:pos="850"/>
        </w:tabs>
        <w:spacing w:line="240" w:lineRule="auto"/>
        <w:jc w:val="both"/>
        <w:outlineLvl w:val="0"/>
        <w:rPr>
          <w:noProof/>
        </w:rPr>
      </w:pPr>
      <w:r>
        <w:rPr>
          <w:noProof/>
        </w:rPr>
        <w:t>P. COMPOSANTE 16: LOGEMENTS ABORDABLES</w:t>
      </w:r>
    </w:p>
    <w:p w14:paraId="753A242F" w14:textId="77777777" w:rsidR="003B6BD9" w:rsidRDefault="009E25E8">
      <w:pPr>
        <w:spacing w:line="240" w:lineRule="auto"/>
        <w:jc w:val="both"/>
        <w:rPr>
          <w:noProof/>
        </w:rPr>
      </w:pPr>
      <w:r>
        <w:rPr>
          <w:noProof/>
        </w:rPr>
        <w:t xml:space="preserve">Ce volet du plan slovène pour la reprise et la résilience vise à remédier à la pénurie de logements locatifs publics en Slovénie. L’accès à un logement adéquat est particulièrement difficile pour les jeunes et les jeunes familles, les groupes socialement défavorisés et les autres groupes marginalisés. </w:t>
      </w:r>
    </w:p>
    <w:p w14:paraId="528B0BCB" w14:textId="77777777" w:rsidR="003B6BD9" w:rsidRDefault="009E25E8">
      <w:pPr>
        <w:spacing w:line="240" w:lineRule="auto"/>
        <w:jc w:val="both"/>
        <w:rPr>
          <w:noProof/>
        </w:rPr>
      </w:pPr>
      <w:r>
        <w:rPr>
          <w:noProof/>
        </w:rPr>
        <w:t>Les objectifs de ce volet sont d’établir les conditions permettant d’accroître le parc de logements locatifs publics grâce à une réforme de la politique du logement et aux investissements connexes dans de nouveaux appartements locatifs ainsi qu’à l’acquisition et à la rénovation d’appartements vides existants. Cela permettra de réduire les coûts du logement pour les groupes cibles, y compris les personnes et les familles socialement défavorisées.</w:t>
      </w:r>
    </w:p>
    <w:p w14:paraId="3B505A2A" w14:textId="77777777" w:rsidR="003B6BD9" w:rsidRDefault="009E25E8">
      <w:pPr>
        <w:spacing w:line="240" w:lineRule="auto"/>
        <w:jc w:val="both"/>
        <w:rPr>
          <w:noProof/>
        </w:rPr>
      </w:pPr>
      <w:r>
        <w:rPr>
          <w:noProof/>
        </w:rPr>
        <w:t>Ces investissements et réformes répondent aux recommandations par pays adressées à la Slovénie en 2020 en vue de «fournir un revenu de remplacement et une protection sociale adéquats» (recommandations par pays 2 et 2020).</w:t>
      </w:r>
    </w:p>
    <w:p w14:paraId="149FDAEC" w14:textId="2ECFBDFC" w:rsidR="003B6BD9" w:rsidRDefault="009E25E8">
      <w:pPr>
        <w:spacing w:line="240" w:lineRule="auto"/>
        <w:jc w:val="both"/>
        <w:rPr>
          <w:noProof/>
        </w:rPr>
      </w:pPr>
      <w:r>
        <w:rPr>
          <w:noProof/>
        </w:rPr>
        <w:t>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539E4528" w14:textId="7E0865EF" w:rsidR="003B6BD9" w:rsidRDefault="009E25E8">
      <w:pPr>
        <w:pStyle w:val="P68B1DB1-Normal4"/>
        <w:spacing w:line="240" w:lineRule="auto"/>
        <w:jc w:val="both"/>
        <w:rPr>
          <w:noProof/>
        </w:rPr>
      </w:pPr>
      <w:r>
        <w:rPr>
          <w:noProof/>
        </w:rPr>
        <w:t>P.1. Description des réformes et des investissements pour le soutien financier non remboursable</w:t>
      </w:r>
    </w:p>
    <w:p w14:paraId="79CFFCEC" w14:textId="77777777" w:rsidR="003B6BD9" w:rsidRDefault="009E25E8">
      <w:pPr>
        <w:spacing w:line="240" w:lineRule="auto"/>
        <w:jc w:val="both"/>
        <w:rPr>
          <w:noProof/>
        </w:rPr>
      </w:pPr>
      <w:r>
        <w:rPr>
          <w:noProof/>
        </w:rPr>
        <w:t>Ce volet du plan slovène pour la reprise et la résilience ne comprend pas de réformes et d’investissements au titre d’un soutien financier non remboursable.</w:t>
      </w:r>
    </w:p>
    <w:p w14:paraId="0CADD6E8" w14:textId="233B7EA8" w:rsidR="003B6BD9" w:rsidRDefault="009E25E8">
      <w:pPr>
        <w:pStyle w:val="P68B1DB1-Normal4"/>
        <w:spacing w:line="240" w:lineRule="auto"/>
        <w:jc w:val="both"/>
        <w:rPr>
          <w:noProof/>
        </w:rPr>
      </w:pPr>
      <w:r>
        <w:rPr>
          <w:noProof/>
        </w:rPr>
        <w:t>P.2. Jalons, cibles, indicateurs et calendrier de suivi et de mise en œuvre pour le soutien financier non remboursable</w:t>
      </w:r>
    </w:p>
    <w:p w14:paraId="4FACA73F" w14:textId="77777777" w:rsidR="003B6BD9" w:rsidRDefault="009E25E8">
      <w:pPr>
        <w:spacing w:line="240" w:lineRule="auto"/>
        <w:jc w:val="both"/>
        <w:rPr>
          <w:noProof/>
        </w:rPr>
      </w:pPr>
      <w:r>
        <w:rPr>
          <w:noProof/>
        </w:rPr>
        <w:t>Ce volet du plan slovène pour la reprise et la résilience ne comprend pas de réformes et d’investissements au titre d’un soutien financier non remboursable.</w:t>
      </w:r>
    </w:p>
    <w:p w14:paraId="2D990B75" w14:textId="3C76BE2F" w:rsidR="003B6BD9" w:rsidRDefault="009E25E8">
      <w:pPr>
        <w:pStyle w:val="P68B1DB1-Normal4"/>
        <w:spacing w:line="240" w:lineRule="auto"/>
        <w:jc w:val="both"/>
        <w:rPr>
          <w:i/>
          <w:noProof/>
          <w:color w:val="4F81BD"/>
        </w:rPr>
      </w:pPr>
      <w:r>
        <w:rPr>
          <w:noProof/>
        </w:rPr>
        <w:t xml:space="preserve">P.3. Description des réformes et des investissements en vue du prêt </w:t>
      </w:r>
    </w:p>
    <w:p w14:paraId="63594CBC" w14:textId="7B8781DA" w:rsidR="003B6BD9" w:rsidRDefault="009E25E8">
      <w:pPr>
        <w:pStyle w:val="P68B1DB1-Normal5"/>
        <w:spacing w:line="240" w:lineRule="auto"/>
        <w:jc w:val="both"/>
        <w:rPr>
          <w:noProof/>
        </w:rPr>
      </w:pPr>
      <w:r>
        <w:rPr>
          <w:noProof/>
        </w:rPr>
        <w:t>Réforme A: Renforcement du parc de logements locatifs publics</w:t>
      </w:r>
    </w:p>
    <w:p w14:paraId="73E1C234" w14:textId="77777777" w:rsidR="003B6BD9" w:rsidRDefault="009E25E8">
      <w:pPr>
        <w:spacing w:line="240" w:lineRule="auto"/>
        <w:jc w:val="both"/>
        <w:rPr>
          <w:noProof/>
        </w:rPr>
      </w:pPr>
      <w:r>
        <w:rPr>
          <w:noProof/>
        </w:rPr>
        <w:t xml:space="preserve">L’objectif de la réforme est d’augmenter le nombre de logements locatifs publics en Slovénie, principalement pour les groupes socialement défavorisés et marginalisés. </w:t>
      </w:r>
    </w:p>
    <w:p w14:paraId="36E43309" w14:textId="77777777" w:rsidR="003B6BD9" w:rsidRDefault="009E25E8">
      <w:pPr>
        <w:spacing w:line="240" w:lineRule="auto"/>
        <w:jc w:val="both"/>
        <w:rPr>
          <w:noProof/>
        </w:rPr>
      </w:pPr>
      <w:r>
        <w:rPr>
          <w:noProof/>
        </w:rPr>
        <w:t xml:space="preserve">La réforme consiste en l’entrée en vigueur de modifications de la loi sur le logement qui harmonisent le niveau de location sans but lucratif par les fonds publics de logement et permettent des emprunts supplémentaires par ces fonds. Ces modifications devraient garantir la stabilité financière à long terme des fonds publics de logement en Slovénie. </w:t>
      </w:r>
    </w:p>
    <w:p w14:paraId="6B86BAB5" w14:textId="77777777" w:rsidR="003B6BD9" w:rsidRDefault="009E25E8">
      <w:pPr>
        <w:spacing w:line="240" w:lineRule="auto"/>
        <w:jc w:val="both"/>
        <w:rPr>
          <w:noProof/>
        </w:rPr>
      </w:pPr>
      <w:r>
        <w:rPr>
          <w:noProof/>
        </w:rPr>
        <w:t xml:space="preserve">Les modifications établissent également un service public de location dans le but d’acquérir et de rénover des appartements privés vides existants à des fins de logement abordable. </w:t>
      </w:r>
    </w:p>
    <w:p w14:paraId="2AB594D0" w14:textId="3D9469EB" w:rsidR="003B6BD9" w:rsidRDefault="009E25E8">
      <w:pPr>
        <w:spacing w:line="240" w:lineRule="auto"/>
        <w:jc w:val="both"/>
        <w:rPr>
          <w:noProof/>
        </w:rPr>
      </w:pPr>
      <w:r>
        <w:rPr>
          <w:noProof/>
        </w:rPr>
        <w:t>Dans l’ensemble, la réforme devrait faciliter la construction d’au moins 480 logements supplémentaires.</w:t>
      </w:r>
    </w:p>
    <w:p w14:paraId="00B0FF84" w14:textId="77777777" w:rsidR="003B6BD9" w:rsidRDefault="009E25E8">
      <w:pPr>
        <w:pStyle w:val="P68B1DB1-Normal5"/>
        <w:spacing w:line="240" w:lineRule="auto"/>
        <w:jc w:val="both"/>
        <w:rPr>
          <w:noProof/>
        </w:rPr>
      </w:pPr>
      <w:r>
        <w:rPr>
          <w:noProof/>
        </w:rPr>
        <w:t>Investissement B: Mise à disposition de logements locatifs publics</w:t>
      </w:r>
    </w:p>
    <w:p w14:paraId="2147124B" w14:textId="77777777" w:rsidR="003B6BD9" w:rsidRDefault="009E25E8">
      <w:pPr>
        <w:spacing w:line="240" w:lineRule="auto"/>
        <w:jc w:val="both"/>
        <w:rPr>
          <w:noProof/>
        </w:rPr>
      </w:pPr>
      <w:r>
        <w:rPr>
          <w:noProof/>
        </w:rPr>
        <w:t xml:space="preserve">L’objectif de l’investissement est de réduire le déficit de logements locatifs publics en Slovénie. </w:t>
      </w:r>
    </w:p>
    <w:p w14:paraId="346F3F16" w14:textId="37C76237" w:rsidR="003B6BD9" w:rsidRDefault="009E25E8">
      <w:pPr>
        <w:spacing w:line="240" w:lineRule="auto"/>
        <w:jc w:val="both"/>
        <w:rPr>
          <w:i/>
          <w:noProof/>
        </w:rPr>
      </w:pPr>
      <w:r>
        <w:rPr>
          <w:noProof/>
        </w:rPr>
        <w:t xml:space="preserve">L’investissement consiste en de nouveaux appartements locatifs publics. </w:t>
      </w:r>
    </w:p>
    <w:p w14:paraId="23FEDE12" w14:textId="77777777" w:rsidR="003B6BD9" w:rsidRDefault="003B6BD9">
      <w:pPr>
        <w:spacing w:line="240" w:lineRule="auto"/>
        <w:ind w:left="850"/>
        <w:jc w:val="both"/>
        <w:rPr>
          <w:i/>
          <w:noProof/>
        </w:rPr>
        <w:sectPr w:rsidR="003B6BD9" w:rsidSect="00073927">
          <w:headerReference w:type="even" r:id="rId266"/>
          <w:headerReference w:type="default" r:id="rId267"/>
          <w:footerReference w:type="even" r:id="rId268"/>
          <w:footerReference w:type="default" r:id="rId269"/>
          <w:headerReference w:type="first" r:id="rId270"/>
          <w:footerReference w:type="first" r:id="rId271"/>
          <w:pgSz w:w="11907" w:h="16839"/>
          <w:pgMar w:top="1134" w:right="1134" w:bottom="1134" w:left="1134" w:header="567" w:footer="567" w:gutter="0"/>
          <w:cols w:space="720"/>
          <w:docGrid w:linePitch="326"/>
        </w:sectPr>
      </w:pPr>
    </w:p>
    <w:p w14:paraId="039A1336" w14:textId="77777777" w:rsidR="003B6BD9" w:rsidRDefault="009E25E8">
      <w:pPr>
        <w:pStyle w:val="P68B1DB1-Normal4"/>
        <w:spacing w:line="240" w:lineRule="auto"/>
        <w:ind w:left="850"/>
        <w:jc w:val="both"/>
        <w:rPr>
          <w:noProof/>
        </w:rPr>
      </w:pPr>
      <w:r>
        <w:rPr>
          <w:noProof/>
        </w:rPr>
        <w:t xml:space="preserve">P.4. </w:t>
      </w:r>
      <w:r>
        <w:rPr>
          <w:noProof/>
        </w:rPr>
        <w:tab/>
        <w:t xml:space="preserve">Jalons, cibles, indicateurs et calendrier de suivi et de mise en œuvre en vue du prêt </w:t>
      </w:r>
    </w:p>
    <w:tbl>
      <w:tblPr>
        <w:tblW w:w="15547" w:type="dxa"/>
        <w:jc w:val="center"/>
        <w:tblLayout w:type="fixed"/>
        <w:tblCellMar>
          <w:left w:w="57" w:type="dxa"/>
          <w:right w:w="57" w:type="dxa"/>
        </w:tblCellMar>
        <w:tblLook w:val="04A0" w:firstRow="1" w:lastRow="0" w:firstColumn="1" w:lastColumn="0" w:noHBand="0" w:noVBand="1"/>
      </w:tblPr>
      <w:tblGrid>
        <w:gridCol w:w="835"/>
        <w:gridCol w:w="1780"/>
        <w:gridCol w:w="1134"/>
        <w:gridCol w:w="1353"/>
        <w:gridCol w:w="1576"/>
        <w:gridCol w:w="1181"/>
        <w:gridCol w:w="897"/>
        <w:gridCol w:w="965"/>
        <w:gridCol w:w="938"/>
        <w:gridCol w:w="672"/>
        <w:gridCol w:w="4216"/>
      </w:tblGrid>
      <w:tr w:rsidR="003B6BD9" w14:paraId="45114058" w14:textId="77777777" w:rsidTr="006C1AFD">
        <w:trPr>
          <w:trHeight w:val="927"/>
          <w:tblHeader/>
          <w:jc w:val="center"/>
        </w:trPr>
        <w:tc>
          <w:tcPr>
            <w:tcW w:w="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DFBAB6" w14:textId="6BF39C78" w:rsidR="003B6BD9" w:rsidRDefault="009E25E8">
            <w:pPr>
              <w:pStyle w:val="P68B1DB1-Normal6"/>
              <w:spacing w:before="0" w:after="0" w:line="256" w:lineRule="auto"/>
              <w:jc w:val="center"/>
              <w:rPr>
                <w:rFonts w:eastAsia="Times New Roman"/>
                <w:noProof/>
              </w:rPr>
            </w:pPr>
            <w:r>
              <w:rPr>
                <w:noProof/>
              </w:rPr>
              <w:t xml:space="preserve">Et suivants Non. </w:t>
            </w:r>
          </w:p>
        </w:tc>
        <w:tc>
          <w:tcPr>
            <w:tcW w:w="17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A0AA585" w14:textId="77777777" w:rsidR="003B6BD9" w:rsidRDefault="009E25E8">
            <w:pPr>
              <w:pStyle w:val="P68B1DB1-Normal6"/>
              <w:spacing w:before="0" w:after="0" w:line="256" w:lineRule="auto"/>
              <w:jc w:val="center"/>
              <w:rPr>
                <w:rFonts w:eastAsia="Times New Roman"/>
                <w:noProof/>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57CAB26" w14:textId="1A0B034B" w:rsidR="003B6BD9" w:rsidRDefault="009E25E8">
            <w:pPr>
              <w:pStyle w:val="P68B1DB1-Normal6"/>
              <w:spacing w:before="0" w:after="0" w:line="256" w:lineRule="auto"/>
              <w:jc w:val="center"/>
              <w:rPr>
                <w:rFonts w:eastAsia="Times New Roman"/>
                <w:noProof/>
              </w:rPr>
            </w:pPr>
            <w:r>
              <w:rPr>
                <w:noProof/>
              </w:rPr>
              <w:t>Étape/</w:t>
            </w:r>
            <w:r w:rsidR="006C1AFD">
              <w:rPr>
                <w:noProof/>
              </w:rPr>
              <w:br/>
            </w:r>
            <w:r>
              <w:rPr>
                <w:noProof/>
              </w:rPr>
              <w:t>Objectif</w:t>
            </w:r>
          </w:p>
        </w:tc>
        <w:tc>
          <w:tcPr>
            <w:tcW w:w="13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BE7D62" w14:textId="77777777" w:rsidR="003B6BD9" w:rsidRDefault="009E25E8">
            <w:pPr>
              <w:pStyle w:val="P68B1DB1-Normal6"/>
              <w:spacing w:before="0" w:after="0" w:line="256" w:lineRule="auto"/>
              <w:jc w:val="center"/>
              <w:rPr>
                <w:rFonts w:eastAsia="Times New Roman"/>
                <w:noProof/>
              </w:rPr>
            </w:pPr>
            <w:r>
              <w:rPr>
                <w:noProof/>
              </w:rPr>
              <w:t>Nom</w:t>
            </w:r>
          </w:p>
        </w:tc>
        <w:tc>
          <w:tcPr>
            <w:tcW w:w="15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DD1BBA" w14:textId="4674AEF9" w:rsidR="003B6BD9" w:rsidRDefault="009E25E8">
            <w:pPr>
              <w:pStyle w:val="P68B1DB1-Normal6"/>
              <w:spacing w:before="0" w:after="0" w:line="256" w:lineRule="auto"/>
              <w:jc w:val="center"/>
              <w:rPr>
                <w:rFonts w:eastAsia="Times New Roman"/>
                <w:noProof/>
              </w:rPr>
            </w:pPr>
            <w:r>
              <w:rPr>
                <w:noProof/>
              </w:rPr>
              <w:t>Indicateurs qualitatifs (pour les jalons)</w:t>
            </w:r>
          </w:p>
        </w:tc>
        <w:tc>
          <w:tcPr>
            <w:tcW w:w="304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57D8377" w14:textId="4FA028D6" w:rsidR="003B6BD9" w:rsidRDefault="009E25E8">
            <w:pPr>
              <w:pStyle w:val="P68B1DB1-Normal6"/>
              <w:spacing w:before="0" w:after="0" w:line="256" w:lineRule="auto"/>
              <w:jc w:val="center"/>
              <w:rPr>
                <w:rFonts w:eastAsia="Times New Roman"/>
                <w:noProof/>
              </w:rPr>
            </w:pPr>
            <w:r>
              <w:rPr>
                <w:noProof/>
              </w:rPr>
              <w:t>Indicateurs quantitatifs (pour les cibles)</w:t>
            </w:r>
          </w:p>
        </w:tc>
        <w:tc>
          <w:tcPr>
            <w:tcW w:w="1610" w:type="dxa"/>
            <w:gridSpan w:val="2"/>
            <w:tcBorders>
              <w:top w:val="single" w:sz="4" w:space="0" w:color="auto"/>
              <w:left w:val="nil"/>
              <w:bottom w:val="single" w:sz="4" w:space="0" w:color="auto"/>
              <w:right w:val="single" w:sz="4" w:space="0" w:color="auto"/>
            </w:tcBorders>
            <w:shd w:val="clear" w:color="auto" w:fill="BDD7EE"/>
            <w:vAlign w:val="center"/>
            <w:hideMark/>
          </w:tcPr>
          <w:p w14:paraId="7B293E59" w14:textId="77777777" w:rsidR="003B6BD9" w:rsidRDefault="009E25E8">
            <w:pPr>
              <w:pStyle w:val="P68B1DB1-Normal6"/>
              <w:spacing w:before="0" w:after="0" w:line="256" w:lineRule="auto"/>
              <w:jc w:val="center"/>
              <w:rPr>
                <w:rFonts w:eastAsia="Times New Roman"/>
                <w:noProof/>
              </w:rPr>
            </w:pPr>
            <w:r>
              <w:rPr>
                <w:noProof/>
              </w:rPr>
              <w:t xml:space="preserve">Calendrier indicatif pour l’achèvement </w:t>
            </w:r>
          </w:p>
        </w:tc>
        <w:tc>
          <w:tcPr>
            <w:tcW w:w="421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849DF87" w14:textId="77777777" w:rsidR="003B6BD9" w:rsidRDefault="009E25E8">
            <w:pPr>
              <w:pStyle w:val="P68B1DB1-Normal6"/>
              <w:spacing w:before="0" w:after="0" w:line="256" w:lineRule="auto"/>
              <w:jc w:val="center"/>
              <w:rPr>
                <w:rFonts w:eastAsia="Times New Roman"/>
                <w:noProof/>
              </w:rPr>
            </w:pPr>
            <w:r>
              <w:rPr>
                <w:noProof/>
              </w:rPr>
              <w:t>Description de chaque jalon et cible</w:t>
            </w:r>
          </w:p>
        </w:tc>
      </w:tr>
      <w:tr w:rsidR="003B6BD9" w14:paraId="2F17571F" w14:textId="77777777" w:rsidTr="006C1AFD">
        <w:trPr>
          <w:trHeight w:val="750"/>
          <w:tblHeader/>
          <w:jc w:val="center"/>
        </w:trPr>
        <w:tc>
          <w:tcPr>
            <w:tcW w:w="835" w:type="dxa"/>
            <w:vMerge/>
            <w:tcBorders>
              <w:top w:val="single" w:sz="4" w:space="0" w:color="auto"/>
              <w:left w:val="single" w:sz="4" w:space="0" w:color="auto"/>
              <w:bottom w:val="single" w:sz="4" w:space="0" w:color="auto"/>
              <w:right w:val="single" w:sz="4" w:space="0" w:color="auto"/>
            </w:tcBorders>
            <w:vAlign w:val="center"/>
            <w:hideMark/>
          </w:tcPr>
          <w:p w14:paraId="41DE4503" w14:textId="77777777" w:rsidR="003B6BD9" w:rsidRDefault="003B6BD9">
            <w:pPr>
              <w:spacing w:before="0" w:after="0" w:line="256" w:lineRule="auto"/>
              <w:rPr>
                <w:rFonts w:eastAsia="Times New Roman"/>
                <w:b/>
                <w:noProof/>
                <w:sz w:val="18"/>
                <w:szCs w:val="18"/>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14:paraId="070A6427" w14:textId="77777777" w:rsidR="003B6BD9" w:rsidRDefault="003B6BD9">
            <w:pPr>
              <w:spacing w:before="0" w:after="0" w:line="256" w:lineRule="auto"/>
              <w:rPr>
                <w:rFonts w:eastAsia="Times New Roman"/>
                <w:b/>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4B0DA66" w14:textId="77777777" w:rsidR="003B6BD9" w:rsidRDefault="003B6BD9">
            <w:pPr>
              <w:spacing w:before="0" w:after="0" w:line="256" w:lineRule="auto"/>
              <w:rPr>
                <w:rFonts w:eastAsia="Times New Roman"/>
                <w:b/>
                <w:noProof/>
                <w:sz w:val="18"/>
                <w:szCs w:val="18"/>
              </w:rPr>
            </w:pPr>
          </w:p>
        </w:tc>
        <w:tc>
          <w:tcPr>
            <w:tcW w:w="1353" w:type="dxa"/>
            <w:vMerge/>
            <w:tcBorders>
              <w:top w:val="single" w:sz="4" w:space="0" w:color="auto"/>
              <w:left w:val="single" w:sz="4" w:space="0" w:color="auto"/>
              <w:bottom w:val="single" w:sz="4" w:space="0" w:color="auto"/>
              <w:right w:val="single" w:sz="4" w:space="0" w:color="auto"/>
            </w:tcBorders>
            <w:vAlign w:val="center"/>
            <w:hideMark/>
          </w:tcPr>
          <w:p w14:paraId="7FB757AA" w14:textId="77777777" w:rsidR="003B6BD9" w:rsidRDefault="003B6BD9">
            <w:pPr>
              <w:spacing w:before="0" w:after="0" w:line="256" w:lineRule="auto"/>
              <w:rPr>
                <w:rFonts w:eastAsia="Times New Roman"/>
                <w:b/>
                <w:noProof/>
                <w:sz w:val="18"/>
                <w:szCs w:val="18"/>
              </w:rPr>
            </w:pPr>
          </w:p>
        </w:tc>
        <w:tc>
          <w:tcPr>
            <w:tcW w:w="1576" w:type="dxa"/>
            <w:vMerge/>
            <w:tcBorders>
              <w:top w:val="single" w:sz="4" w:space="0" w:color="auto"/>
              <w:left w:val="single" w:sz="4" w:space="0" w:color="auto"/>
              <w:bottom w:val="single" w:sz="4" w:space="0" w:color="auto"/>
              <w:right w:val="single" w:sz="4" w:space="0" w:color="auto"/>
            </w:tcBorders>
            <w:vAlign w:val="center"/>
            <w:hideMark/>
          </w:tcPr>
          <w:p w14:paraId="37AB0214" w14:textId="77777777" w:rsidR="003B6BD9" w:rsidRDefault="003B6BD9">
            <w:pPr>
              <w:spacing w:before="0" w:after="0" w:line="256" w:lineRule="auto"/>
              <w:rPr>
                <w:rFonts w:eastAsia="Times New Roman"/>
                <w:b/>
                <w:noProof/>
                <w:sz w:val="18"/>
                <w:szCs w:val="18"/>
              </w:rPr>
            </w:pPr>
          </w:p>
        </w:tc>
        <w:tc>
          <w:tcPr>
            <w:tcW w:w="118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67B93B4" w14:textId="77777777" w:rsidR="003B6BD9" w:rsidRDefault="009E25E8">
            <w:pPr>
              <w:pStyle w:val="P68B1DB1-Normal6"/>
              <w:spacing w:before="0" w:after="0" w:line="256" w:lineRule="auto"/>
              <w:jc w:val="center"/>
              <w:rPr>
                <w:rFonts w:eastAsia="Times New Roman"/>
                <w:noProof/>
              </w:rPr>
            </w:pPr>
            <w:r>
              <w:rPr>
                <w:noProof/>
              </w:rPr>
              <w:t>Unité de mesure</w:t>
            </w:r>
          </w:p>
        </w:tc>
        <w:tc>
          <w:tcPr>
            <w:tcW w:w="89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DE4372" w14:textId="77777777" w:rsidR="003B6BD9" w:rsidRDefault="009E25E8">
            <w:pPr>
              <w:pStyle w:val="P68B1DB1-Normal6"/>
              <w:spacing w:before="0" w:after="0" w:line="256" w:lineRule="auto"/>
              <w:jc w:val="center"/>
              <w:rPr>
                <w:rFonts w:eastAsia="Times New Roman"/>
                <w:noProof/>
              </w:rPr>
            </w:pPr>
            <w:r>
              <w:rPr>
                <w:noProof/>
              </w:rPr>
              <w:t xml:space="preserve">Niveau de référence </w:t>
            </w:r>
          </w:p>
        </w:tc>
        <w:tc>
          <w:tcPr>
            <w:tcW w:w="96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CE4B34" w14:textId="77777777" w:rsidR="003B6BD9" w:rsidRDefault="009E25E8">
            <w:pPr>
              <w:pStyle w:val="P68B1DB1-Normal6"/>
              <w:spacing w:before="0" w:after="0" w:line="256" w:lineRule="auto"/>
              <w:jc w:val="center"/>
              <w:rPr>
                <w:rFonts w:eastAsia="Times New Roman"/>
                <w:noProof/>
              </w:rPr>
            </w:pPr>
            <w:r>
              <w:rPr>
                <w:noProof/>
              </w:rPr>
              <w:t xml:space="preserve">But </w:t>
            </w:r>
          </w:p>
        </w:tc>
        <w:tc>
          <w:tcPr>
            <w:tcW w:w="93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F27B4C1" w14:textId="77777777" w:rsidR="003B6BD9" w:rsidRDefault="009E25E8">
            <w:pPr>
              <w:pStyle w:val="P68B1DB1-Normal6"/>
              <w:spacing w:before="0" w:after="0" w:line="256" w:lineRule="auto"/>
              <w:jc w:val="center"/>
              <w:rPr>
                <w:rFonts w:eastAsia="Times New Roman"/>
                <w:noProof/>
              </w:rPr>
            </w:pPr>
            <w:r>
              <w:rPr>
                <w:noProof/>
              </w:rPr>
              <w:t>Trimestre</w:t>
            </w:r>
          </w:p>
        </w:tc>
        <w:tc>
          <w:tcPr>
            <w:tcW w:w="67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14DFFB2" w14:textId="77777777" w:rsidR="003B6BD9" w:rsidRDefault="009E25E8">
            <w:pPr>
              <w:pStyle w:val="P68B1DB1-Normal6"/>
              <w:spacing w:before="0" w:after="0" w:line="256" w:lineRule="auto"/>
              <w:jc w:val="center"/>
              <w:rPr>
                <w:rFonts w:eastAsia="Times New Roman"/>
                <w:noProof/>
              </w:rPr>
            </w:pPr>
            <w:r>
              <w:rPr>
                <w:noProof/>
              </w:rPr>
              <w:t>Année</w:t>
            </w:r>
          </w:p>
        </w:tc>
        <w:tc>
          <w:tcPr>
            <w:tcW w:w="4216" w:type="dxa"/>
            <w:vMerge/>
            <w:tcBorders>
              <w:top w:val="single" w:sz="4" w:space="0" w:color="auto"/>
              <w:bottom w:val="single" w:sz="4" w:space="0" w:color="auto"/>
              <w:right w:val="single" w:sz="4" w:space="0" w:color="auto"/>
            </w:tcBorders>
            <w:vAlign w:val="center"/>
            <w:hideMark/>
          </w:tcPr>
          <w:p w14:paraId="28571041" w14:textId="77777777" w:rsidR="003B6BD9" w:rsidRDefault="003B6BD9">
            <w:pPr>
              <w:spacing w:before="0" w:after="0" w:line="256" w:lineRule="auto"/>
              <w:rPr>
                <w:rFonts w:eastAsia="Times New Roman"/>
                <w:b/>
                <w:noProof/>
                <w:sz w:val="18"/>
                <w:szCs w:val="18"/>
              </w:rPr>
            </w:pPr>
          </w:p>
        </w:tc>
      </w:tr>
      <w:tr w:rsidR="003B6BD9" w14:paraId="7DCE1818" w14:textId="77777777" w:rsidTr="006C1AFD">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D760682" w14:textId="77777777" w:rsidR="003B6BD9" w:rsidRDefault="009E25E8">
            <w:pPr>
              <w:pStyle w:val="P68B1DB1-Normal7"/>
              <w:spacing w:before="0" w:after="0" w:line="256" w:lineRule="auto"/>
              <w:rPr>
                <w:rFonts w:eastAsia="Times New Roman"/>
                <w:noProof/>
              </w:rPr>
            </w:pPr>
            <w:r>
              <w:rPr>
                <w:noProof/>
              </w:rPr>
              <w:t>205</w:t>
            </w:r>
          </w:p>
        </w:tc>
        <w:tc>
          <w:tcPr>
            <w:tcW w:w="1780" w:type="dxa"/>
            <w:tcBorders>
              <w:top w:val="single" w:sz="4" w:space="0" w:color="auto"/>
              <w:left w:val="nil"/>
              <w:bottom w:val="single" w:sz="4" w:space="0" w:color="auto"/>
              <w:right w:val="single" w:sz="4" w:space="0" w:color="auto"/>
            </w:tcBorders>
            <w:shd w:val="clear" w:color="auto" w:fill="C6EFCE"/>
            <w:noWrap/>
          </w:tcPr>
          <w:p w14:paraId="23E47AF0" w14:textId="72B83DC4" w:rsidR="003B6BD9" w:rsidRDefault="009E25E8">
            <w:pPr>
              <w:pStyle w:val="P68B1DB1-Normal7"/>
              <w:spacing w:before="0" w:after="0" w:line="256" w:lineRule="auto"/>
              <w:rPr>
                <w:rFonts w:eastAsia="Times New Roman"/>
                <w:noProof/>
              </w:rPr>
            </w:pPr>
            <w:r>
              <w:rPr>
                <w:noProof/>
              </w:rPr>
              <w:t>A: Renforcement du parc de logements locatifs publics</w:t>
            </w:r>
          </w:p>
        </w:tc>
        <w:tc>
          <w:tcPr>
            <w:tcW w:w="1134" w:type="dxa"/>
            <w:tcBorders>
              <w:top w:val="single" w:sz="4" w:space="0" w:color="auto"/>
              <w:left w:val="nil"/>
              <w:bottom w:val="single" w:sz="4" w:space="0" w:color="auto"/>
              <w:right w:val="single" w:sz="4" w:space="0" w:color="auto"/>
            </w:tcBorders>
            <w:shd w:val="clear" w:color="auto" w:fill="C6EFCE"/>
            <w:noWrap/>
          </w:tcPr>
          <w:p w14:paraId="0F4D12E2" w14:textId="77777777" w:rsidR="003B6BD9" w:rsidRDefault="009E25E8">
            <w:pPr>
              <w:pStyle w:val="P68B1DB1-Normal7"/>
              <w:spacing w:before="0" w:after="0" w:line="256" w:lineRule="auto"/>
              <w:rPr>
                <w:rFonts w:eastAsia="Times New Roman"/>
                <w:noProof/>
              </w:rPr>
            </w:pPr>
            <w:r>
              <w:rPr>
                <w:noProof/>
              </w:rPr>
              <w:t>Jalon</w:t>
            </w:r>
          </w:p>
        </w:tc>
        <w:tc>
          <w:tcPr>
            <w:tcW w:w="1353" w:type="dxa"/>
            <w:tcBorders>
              <w:top w:val="single" w:sz="4" w:space="0" w:color="auto"/>
              <w:left w:val="nil"/>
              <w:bottom w:val="single" w:sz="4" w:space="0" w:color="auto"/>
              <w:right w:val="single" w:sz="4" w:space="0" w:color="auto"/>
            </w:tcBorders>
            <w:shd w:val="clear" w:color="auto" w:fill="C6EFCE"/>
            <w:noWrap/>
          </w:tcPr>
          <w:p w14:paraId="1ADA2116" w14:textId="77777777" w:rsidR="003B6BD9" w:rsidRDefault="009E25E8">
            <w:pPr>
              <w:pStyle w:val="P68B1DB1-Normal7"/>
              <w:spacing w:before="0" w:after="0" w:line="256" w:lineRule="auto"/>
              <w:rPr>
                <w:rFonts w:eastAsia="Times New Roman"/>
                <w:noProof/>
              </w:rPr>
            </w:pPr>
            <w:r>
              <w:rPr>
                <w:noProof/>
              </w:rPr>
              <w:t>Entrée en vigueur des modifications de la loi sur le logement</w:t>
            </w:r>
          </w:p>
        </w:tc>
        <w:tc>
          <w:tcPr>
            <w:tcW w:w="1576" w:type="dxa"/>
            <w:tcBorders>
              <w:top w:val="single" w:sz="4" w:space="0" w:color="auto"/>
              <w:left w:val="nil"/>
              <w:bottom w:val="single" w:sz="4" w:space="0" w:color="auto"/>
              <w:right w:val="single" w:sz="4" w:space="0" w:color="auto"/>
            </w:tcBorders>
            <w:shd w:val="clear" w:color="auto" w:fill="C6EFCE"/>
            <w:noWrap/>
          </w:tcPr>
          <w:p w14:paraId="3D3414EF" w14:textId="77777777" w:rsidR="003B6BD9" w:rsidRDefault="009E25E8">
            <w:pPr>
              <w:pStyle w:val="P68B1DB1-Normal7"/>
              <w:spacing w:before="0" w:after="0" w:line="256" w:lineRule="auto"/>
              <w:rPr>
                <w:rFonts w:eastAsia="Times New Roman"/>
                <w:noProof/>
              </w:rPr>
            </w:pPr>
            <w:r>
              <w:rPr>
                <w:noProof/>
              </w:rPr>
              <w:t>Disposition de la loi indiquant l’entrée en vigueur des modifications de la loi sur le logement</w:t>
            </w:r>
          </w:p>
        </w:tc>
        <w:tc>
          <w:tcPr>
            <w:tcW w:w="1181" w:type="dxa"/>
            <w:tcBorders>
              <w:top w:val="single" w:sz="4" w:space="0" w:color="auto"/>
              <w:left w:val="nil"/>
              <w:bottom w:val="single" w:sz="4" w:space="0" w:color="auto"/>
              <w:right w:val="single" w:sz="4" w:space="0" w:color="auto"/>
            </w:tcBorders>
            <w:shd w:val="clear" w:color="auto" w:fill="C6EFCE"/>
            <w:noWrap/>
          </w:tcPr>
          <w:p w14:paraId="1213DF0B" w14:textId="77777777" w:rsidR="003B6BD9" w:rsidRDefault="009E25E8">
            <w:pPr>
              <w:pStyle w:val="P68B1DB1-Normal7"/>
              <w:spacing w:before="0" w:after="0" w:line="256" w:lineRule="auto"/>
              <w:rPr>
                <w:rFonts w:eastAsia="Times New Roman"/>
                <w:noProof/>
              </w:rPr>
            </w:pPr>
            <w:r>
              <w:rPr>
                <w:noProof/>
              </w:rPr>
              <w:t> </w:t>
            </w:r>
          </w:p>
        </w:tc>
        <w:tc>
          <w:tcPr>
            <w:tcW w:w="897" w:type="dxa"/>
            <w:tcBorders>
              <w:top w:val="single" w:sz="4" w:space="0" w:color="auto"/>
              <w:left w:val="nil"/>
              <w:bottom w:val="single" w:sz="4" w:space="0" w:color="auto"/>
              <w:right w:val="single" w:sz="4" w:space="0" w:color="auto"/>
            </w:tcBorders>
            <w:shd w:val="clear" w:color="auto" w:fill="C6EFCE"/>
            <w:noWrap/>
          </w:tcPr>
          <w:p w14:paraId="1F606C6F" w14:textId="77777777" w:rsidR="003B6BD9" w:rsidRDefault="009E25E8">
            <w:pPr>
              <w:pStyle w:val="P68B1DB1-Normal7"/>
              <w:spacing w:before="0" w:after="0" w:line="256" w:lineRule="auto"/>
              <w:jc w:val="right"/>
              <w:rPr>
                <w:rFonts w:eastAsia="Times New Roman"/>
                <w:noProof/>
              </w:rPr>
            </w:pPr>
            <w:r>
              <w:rPr>
                <w:noProof/>
              </w:rPr>
              <w:t> </w:t>
            </w:r>
          </w:p>
        </w:tc>
        <w:tc>
          <w:tcPr>
            <w:tcW w:w="965" w:type="dxa"/>
            <w:tcBorders>
              <w:top w:val="single" w:sz="4" w:space="0" w:color="auto"/>
              <w:left w:val="nil"/>
              <w:bottom w:val="single" w:sz="4" w:space="0" w:color="auto"/>
              <w:right w:val="single" w:sz="4" w:space="0" w:color="auto"/>
            </w:tcBorders>
            <w:shd w:val="clear" w:color="auto" w:fill="C6EFCE"/>
            <w:noWrap/>
          </w:tcPr>
          <w:p w14:paraId="512CA415" w14:textId="77777777" w:rsidR="003B6BD9" w:rsidRDefault="009E25E8">
            <w:pPr>
              <w:pStyle w:val="P68B1DB1-Normal7"/>
              <w:spacing w:before="0" w:after="0" w:line="256" w:lineRule="auto"/>
              <w:jc w:val="right"/>
              <w:rPr>
                <w:rFonts w:eastAsia="Times New Roman"/>
                <w:noProof/>
              </w:rPr>
            </w:pPr>
            <w:r>
              <w:rPr>
                <w:noProof/>
              </w:rPr>
              <w:t> </w:t>
            </w:r>
          </w:p>
        </w:tc>
        <w:tc>
          <w:tcPr>
            <w:tcW w:w="938" w:type="dxa"/>
            <w:tcBorders>
              <w:top w:val="single" w:sz="4" w:space="0" w:color="auto"/>
              <w:left w:val="nil"/>
              <w:bottom w:val="single" w:sz="4" w:space="0" w:color="auto"/>
              <w:right w:val="single" w:sz="4" w:space="0" w:color="auto"/>
            </w:tcBorders>
            <w:shd w:val="clear" w:color="auto" w:fill="C6EFCE"/>
            <w:noWrap/>
          </w:tcPr>
          <w:p w14:paraId="389F9797" w14:textId="77777777" w:rsidR="003B6BD9" w:rsidRDefault="009E25E8">
            <w:pPr>
              <w:pStyle w:val="P68B1DB1-Normal7"/>
              <w:spacing w:before="0" w:after="0" w:line="256" w:lineRule="auto"/>
              <w:jc w:val="center"/>
              <w:rPr>
                <w:rFonts w:eastAsia="Times New Roman"/>
                <w:noProof/>
              </w:rPr>
            </w:pPr>
            <w:r>
              <w:rPr>
                <w:noProof/>
              </w:rPr>
              <w:t>T4</w:t>
            </w:r>
          </w:p>
        </w:tc>
        <w:tc>
          <w:tcPr>
            <w:tcW w:w="672" w:type="dxa"/>
            <w:tcBorders>
              <w:top w:val="single" w:sz="4" w:space="0" w:color="auto"/>
              <w:left w:val="nil"/>
              <w:bottom w:val="single" w:sz="4" w:space="0" w:color="auto"/>
              <w:right w:val="single" w:sz="4" w:space="0" w:color="auto"/>
            </w:tcBorders>
            <w:shd w:val="clear" w:color="auto" w:fill="C6EFCE"/>
            <w:noWrap/>
          </w:tcPr>
          <w:p w14:paraId="5D874D27" w14:textId="77777777" w:rsidR="003B6BD9" w:rsidRDefault="009E25E8">
            <w:pPr>
              <w:pStyle w:val="P68B1DB1-Normal7"/>
              <w:spacing w:before="0" w:after="0" w:line="256" w:lineRule="auto"/>
              <w:jc w:val="center"/>
              <w:rPr>
                <w:rFonts w:eastAsia="Times New Roman"/>
                <w:noProof/>
              </w:rPr>
            </w:pPr>
            <w:r>
              <w:rPr>
                <w:noProof/>
              </w:rPr>
              <w:t>2021</w:t>
            </w:r>
          </w:p>
        </w:tc>
        <w:tc>
          <w:tcPr>
            <w:tcW w:w="4216" w:type="dxa"/>
            <w:tcBorders>
              <w:top w:val="single" w:sz="4" w:space="0" w:color="auto"/>
              <w:left w:val="nil"/>
              <w:bottom w:val="single" w:sz="4" w:space="0" w:color="auto"/>
              <w:right w:val="single" w:sz="4" w:space="0" w:color="auto"/>
            </w:tcBorders>
            <w:shd w:val="clear" w:color="auto" w:fill="C6EFCE"/>
            <w:noWrap/>
          </w:tcPr>
          <w:p w14:paraId="2AA7AE15" w14:textId="21268483" w:rsidR="003B6BD9" w:rsidRDefault="009E25E8">
            <w:pPr>
              <w:pStyle w:val="P68B1DB1-Normal7"/>
              <w:spacing w:before="0" w:after="0" w:line="256" w:lineRule="auto"/>
              <w:rPr>
                <w:rFonts w:eastAsia="Times New Roman"/>
                <w:noProof/>
              </w:rPr>
            </w:pPr>
            <w:r>
              <w:rPr>
                <w:noProof/>
              </w:rPr>
              <w:t>Les modifications apportées à la loi sur le logement devraient promouvoir une approche efficace et équilibrée de l’offre de logement. Elles comprennent une mise à jour du niveau du loyer à but non lucratif tout en réduisant au minimum l’incidence sur les locataires exposés à un risque social, la possibilité d’emprunter davantage auprès des fonds publics pour le logement et la possibilité d’activer le parc de logements existants mais inoccupés en vue de leur utilisation en tant que logements locatifs publics.</w:t>
            </w:r>
          </w:p>
        </w:tc>
      </w:tr>
      <w:tr w:rsidR="003B6BD9" w14:paraId="421A40AD" w14:textId="77777777" w:rsidTr="006C1AFD">
        <w:trPr>
          <w:trHeight w:val="1436"/>
          <w:jc w:val="center"/>
        </w:trPr>
        <w:tc>
          <w:tcPr>
            <w:tcW w:w="835" w:type="dxa"/>
            <w:tcBorders>
              <w:top w:val="nil"/>
              <w:left w:val="single" w:sz="4" w:space="0" w:color="auto"/>
              <w:bottom w:val="single" w:sz="4" w:space="0" w:color="auto"/>
              <w:right w:val="single" w:sz="4" w:space="0" w:color="auto"/>
            </w:tcBorders>
            <w:shd w:val="clear" w:color="auto" w:fill="C6EFCE"/>
            <w:noWrap/>
          </w:tcPr>
          <w:p w14:paraId="3AB98124" w14:textId="77777777" w:rsidR="003B6BD9" w:rsidRDefault="009E25E8">
            <w:pPr>
              <w:pStyle w:val="P68B1DB1-Normal7"/>
              <w:spacing w:before="0" w:after="0" w:line="256" w:lineRule="auto"/>
              <w:rPr>
                <w:rFonts w:eastAsia="Times New Roman"/>
                <w:noProof/>
              </w:rPr>
            </w:pPr>
            <w:r>
              <w:rPr>
                <w:noProof/>
              </w:rPr>
              <w:t>207</w:t>
            </w:r>
          </w:p>
        </w:tc>
        <w:tc>
          <w:tcPr>
            <w:tcW w:w="1780" w:type="dxa"/>
            <w:tcBorders>
              <w:top w:val="nil"/>
              <w:left w:val="nil"/>
              <w:bottom w:val="single" w:sz="4" w:space="0" w:color="auto"/>
              <w:right w:val="single" w:sz="4" w:space="0" w:color="auto"/>
            </w:tcBorders>
            <w:shd w:val="clear" w:color="auto" w:fill="C6EFCE"/>
            <w:noWrap/>
          </w:tcPr>
          <w:p w14:paraId="799C16D2" w14:textId="5620F6A6" w:rsidR="003B6BD9" w:rsidRDefault="009E25E8">
            <w:pPr>
              <w:pStyle w:val="P68B1DB1-Normal7"/>
              <w:spacing w:before="0" w:after="0" w:line="256" w:lineRule="auto"/>
              <w:rPr>
                <w:rFonts w:eastAsia="Times New Roman"/>
                <w:noProof/>
              </w:rPr>
            </w:pPr>
            <w:r>
              <w:rPr>
                <w:noProof/>
              </w:rPr>
              <w:t>B: Mise à disposition de logements locatifs publics</w:t>
            </w:r>
          </w:p>
        </w:tc>
        <w:tc>
          <w:tcPr>
            <w:tcW w:w="1134" w:type="dxa"/>
            <w:tcBorders>
              <w:top w:val="nil"/>
              <w:left w:val="nil"/>
              <w:bottom w:val="single" w:sz="4" w:space="0" w:color="auto"/>
              <w:right w:val="single" w:sz="4" w:space="0" w:color="auto"/>
            </w:tcBorders>
            <w:shd w:val="clear" w:color="auto" w:fill="C6EFCE"/>
            <w:noWrap/>
          </w:tcPr>
          <w:p w14:paraId="74246E79" w14:textId="77777777" w:rsidR="003B6BD9" w:rsidRDefault="009E25E8">
            <w:pPr>
              <w:pStyle w:val="P68B1DB1-Normal7"/>
              <w:spacing w:before="0" w:after="0" w:line="256" w:lineRule="auto"/>
              <w:rPr>
                <w:rFonts w:eastAsia="Times New Roman"/>
                <w:noProof/>
              </w:rPr>
            </w:pPr>
            <w:r>
              <w:rPr>
                <w:noProof/>
              </w:rPr>
              <w:t>Jalon</w:t>
            </w:r>
          </w:p>
        </w:tc>
        <w:tc>
          <w:tcPr>
            <w:tcW w:w="1353" w:type="dxa"/>
            <w:tcBorders>
              <w:top w:val="nil"/>
              <w:left w:val="nil"/>
              <w:bottom w:val="single" w:sz="4" w:space="0" w:color="auto"/>
              <w:right w:val="single" w:sz="4" w:space="0" w:color="auto"/>
            </w:tcBorders>
            <w:shd w:val="clear" w:color="auto" w:fill="C6EFCE"/>
            <w:noWrap/>
          </w:tcPr>
          <w:p w14:paraId="34AEFF49" w14:textId="7A9DC10A" w:rsidR="003B6BD9" w:rsidRDefault="009E25E8">
            <w:pPr>
              <w:pStyle w:val="P68B1DB1-Normal7"/>
              <w:spacing w:before="0" w:after="0" w:line="256" w:lineRule="auto"/>
              <w:rPr>
                <w:rFonts w:eastAsia="Times New Roman"/>
                <w:noProof/>
              </w:rPr>
            </w:pPr>
            <w:r>
              <w:rPr>
                <w:noProof/>
              </w:rPr>
              <w:t>Octroi de subventions pour la mise à disposition de logements locatifs publics</w:t>
            </w:r>
          </w:p>
        </w:tc>
        <w:tc>
          <w:tcPr>
            <w:tcW w:w="1576" w:type="dxa"/>
            <w:tcBorders>
              <w:top w:val="nil"/>
              <w:left w:val="nil"/>
              <w:bottom w:val="single" w:sz="4" w:space="0" w:color="auto"/>
              <w:right w:val="single" w:sz="4" w:space="0" w:color="auto"/>
            </w:tcBorders>
            <w:shd w:val="clear" w:color="auto" w:fill="C6EFCE"/>
            <w:noWrap/>
          </w:tcPr>
          <w:p w14:paraId="38845994" w14:textId="77777777" w:rsidR="003B6BD9" w:rsidRDefault="009E25E8">
            <w:pPr>
              <w:pStyle w:val="P68B1DB1-Normal7"/>
              <w:spacing w:before="0" w:after="0" w:line="256" w:lineRule="auto"/>
              <w:rPr>
                <w:rFonts w:eastAsia="Times New Roman"/>
                <w:noProof/>
              </w:rPr>
            </w:pPr>
            <w:r>
              <w:rPr>
                <w:noProof/>
              </w:rPr>
              <w:t>Communication des prix</w:t>
            </w:r>
          </w:p>
        </w:tc>
        <w:tc>
          <w:tcPr>
            <w:tcW w:w="1181" w:type="dxa"/>
            <w:tcBorders>
              <w:top w:val="nil"/>
              <w:left w:val="nil"/>
              <w:bottom w:val="single" w:sz="4" w:space="0" w:color="auto"/>
              <w:right w:val="single" w:sz="4" w:space="0" w:color="auto"/>
            </w:tcBorders>
            <w:shd w:val="clear" w:color="auto" w:fill="C6EFCE"/>
            <w:noWrap/>
          </w:tcPr>
          <w:p w14:paraId="486D563C" w14:textId="77777777" w:rsidR="003B6BD9" w:rsidRDefault="009E25E8">
            <w:pPr>
              <w:pStyle w:val="P68B1DB1-Normal7"/>
              <w:spacing w:before="0" w:after="0" w:line="256" w:lineRule="auto"/>
              <w:rPr>
                <w:rFonts w:eastAsia="Times New Roman"/>
                <w:noProof/>
              </w:rPr>
            </w:pPr>
            <w:r>
              <w:rPr>
                <w:noProof/>
              </w:rPr>
              <w:t> </w:t>
            </w:r>
          </w:p>
        </w:tc>
        <w:tc>
          <w:tcPr>
            <w:tcW w:w="897" w:type="dxa"/>
            <w:tcBorders>
              <w:top w:val="nil"/>
              <w:left w:val="nil"/>
              <w:bottom w:val="single" w:sz="4" w:space="0" w:color="auto"/>
              <w:right w:val="single" w:sz="4" w:space="0" w:color="auto"/>
            </w:tcBorders>
            <w:shd w:val="clear" w:color="auto" w:fill="C6EFCE"/>
            <w:noWrap/>
          </w:tcPr>
          <w:p w14:paraId="259222FA" w14:textId="77777777" w:rsidR="003B6BD9" w:rsidRDefault="009E25E8">
            <w:pPr>
              <w:pStyle w:val="P68B1DB1-Normal7"/>
              <w:spacing w:before="0" w:after="0" w:line="256" w:lineRule="auto"/>
              <w:jc w:val="right"/>
              <w:rPr>
                <w:rFonts w:eastAsia="Times New Roman"/>
                <w:noProof/>
              </w:rPr>
            </w:pPr>
            <w:r>
              <w:rPr>
                <w:noProof/>
              </w:rPr>
              <w:t> </w:t>
            </w:r>
          </w:p>
        </w:tc>
        <w:tc>
          <w:tcPr>
            <w:tcW w:w="965" w:type="dxa"/>
            <w:tcBorders>
              <w:top w:val="nil"/>
              <w:left w:val="nil"/>
              <w:bottom w:val="single" w:sz="4" w:space="0" w:color="auto"/>
              <w:right w:val="single" w:sz="4" w:space="0" w:color="auto"/>
            </w:tcBorders>
            <w:shd w:val="clear" w:color="auto" w:fill="C6EFCE"/>
            <w:noWrap/>
          </w:tcPr>
          <w:p w14:paraId="725488DD" w14:textId="77777777" w:rsidR="003B6BD9" w:rsidRDefault="009E25E8">
            <w:pPr>
              <w:pStyle w:val="P68B1DB1-Normal7"/>
              <w:spacing w:before="0" w:after="0" w:line="256" w:lineRule="auto"/>
              <w:jc w:val="right"/>
              <w:rPr>
                <w:rFonts w:eastAsia="Times New Roman"/>
                <w:noProof/>
              </w:rPr>
            </w:pPr>
            <w:r>
              <w:rPr>
                <w:noProof/>
              </w:rPr>
              <w:t> </w:t>
            </w:r>
          </w:p>
        </w:tc>
        <w:tc>
          <w:tcPr>
            <w:tcW w:w="938" w:type="dxa"/>
            <w:tcBorders>
              <w:top w:val="nil"/>
              <w:left w:val="nil"/>
              <w:bottom w:val="single" w:sz="4" w:space="0" w:color="auto"/>
              <w:right w:val="single" w:sz="4" w:space="0" w:color="auto"/>
            </w:tcBorders>
            <w:shd w:val="clear" w:color="auto" w:fill="C6EFCE"/>
            <w:noWrap/>
          </w:tcPr>
          <w:p w14:paraId="30138165" w14:textId="77777777" w:rsidR="003B6BD9" w:rsidRDefault="009E25E8">
            <w:pPr>
              <w:pStyle w:val="P68B1DB1-Normal7"/>
              <w:spacing w:before="0" w:after="0" w:line="256" w:lineRule="auto"/>
              <w:jc w:val="center"/>
              <w:rPr>
                <w:rFonts w:eastAsia="Times New Roman"/>
                <w:noProof/>
              </w:rPr>
            </w:pPr>
            <w:r>
              <w:rPr>
                <w:noProof/>
              </w:rPr>
              <w:t>T2</w:t>
            </w:r>
          </w:p>
        </w:tc>
        <w:tc>
          <w:tcPr>
            <w:tcW w:w="672" w:type="dxa"/>
            <w:tcBorders>
              <w:top w:val="nil"/>
              <w:left w:val="nil"/>
              <w:bottom w:val="single" w:sz="4" w:space="0" w:color="auto"/>
              <w:right w:val="single" w:sz="4" w:space="0" w:color="auto"/>
            </w:tcBorders>
            <w:shd w:val="clear" w:color="auto" w:fill="C6EFCE"/>
            <w:noWrap/>
          </w:tcPr>
          <w:p w14:paraId="7757C3F3" w14:textId="77777777" w:rsidR="003B6BD9" w:rsidRDefault="009E25E8">
            <w:pPr>
              <w:pStyle w:val="P68B1DB1-Normal7"/>
              <w:spacing w:before="0" w:after="0" w:line="256" w:lineRule="auto"/>
              <w:jc w:val="center"/>
              <w:rPr>
                <w:rFonts w:eastAsia="Times New Roman"/>
                <w:noProof/>
              </w:rPr>
            </w:pPr>
            <w:r>
              <w:rPr>
                <w:noProof/>
              </w:rPr>
              <w:t>2022</w:t>
            </w:r>
          </w:p>
        </w:tc>
        <w:tc>
          <w:tcPr>
            <w:tcW w:w="4216" w:type="dxa"/>
            <w:tcBorders>
              <w:top w:val="nil"/>
              <w:left w:val="nil"/>
              <w:bottom w:val="single" w:sz="4" w:space="0" w:color="auto"/>
              <w:right w:val="single" w:sz="4" w:space="0" w:color="auto"/>
            </w:tcBorders>
            <w:shd w:val="clear" w:color="auto" w:fill="C6EFCE"/>
            <w:noWrap/>
          </w:tcPr>
          <w:p w14:paraId="7D052D52" w14:textId="77777777" w:rsidR="003B6BD9" w:rsidRDefault="009E25E8">
            <w:pPr>
              <w:pStyle w:val="P68B1DB1-Normal7"/>
              <w:spacing w:before="0" w:after="0" w:line="256" w:lineRule="auto"/>
              <w:rPr>
                <w:rFonts w:eastAsia="Times New Roman"/>
                <w:noProof/>
              </w:rPr>
            </w:pPr>
            <w:r>
              <w:rPr>
                <w:noProof/>
              </w:rPr>
              <w:t>Les projets sélectionnés garantiront la construction de nouveaux logements d’une surface moyenne estimée entre 47 et 58 m². Tous les logements sont utilisés exclusivement à des fins de logement locatif public.</w:t>
            </w:r>
          </w:p>
          <w:p w14:paraId="4AA8A04B" w14:textId="0EA33E12" w:rsidR="003B6BD9" w:rsidRDefault="009E25E8">
            <w:pPr>
              <w:pStyle w:val="P68B1DB1-Normal7"/>
              <w:spacing w:before="0" w:after="0" w:line="256" w:lineRule="auto"/>
              <w:rPr>
                <w:noProof/>
              </w:rPr>
            </w:pPr>
            <w:r>
              <w:rPr>
                <w:noProof/>
              </w:rPr>
              <w:t>Les bâtiments neufs sont conformes aux exigences applicables aux bâtiments dont la consommation d’énergie est quasi nulle.</w:t>
            </w:r>
          </w:p>
        </w:tc>
      </w:tr>
      <w:tr w:rsidR="003B6BD9" w14:paraId="6797D2F1" w14:textId="77777777" w:rsidTr="006C1AFD">
        <w:trPr>
          <w:trHeight w:val="309"/>
          <w:jc w:val="center"/>
        </w:trPr>
        <w:tc>
          <w:tcPr>
            <w:tcW w:w="835" w:type="dxa"/>
            <w:tcBorders>
              <w:top w:val="nil"/>
              <w:left w:val="single" w:sz="4" w:space="0" w:color="auto"/>
              <w:bottom w:val="single" w:sz="4" w:space="0" w:color="auto"/>
              <w:right w:val="single" w:sz="4" w:space="0" w:color="auto"/>
            </w:tcBorders>
            <w:shd w:val="clear" w:color="auto" w:fill="C6EFCE"/>
            <w:noWrap/>
          </w:tcPr>
          <w:p w14:paraId="0430081D" w14:textId="77777777" w:rsidR="003B6BD9" w:rsidRDefault="009E25E8">
            <w:pPr>
              <w:pStyle w:val="P68B1DB1-Normal7"/>
              <w:spacing w:before="0" w:after="0" w:line="256" w:lineRule="auto"/>
              <w:rPr>
                <w:rFonts w:eastAsia="Times New Roman"/>
                <w:noProof/>
              </w:rPr>
            </w:pPr>
            <w:r>
              <w:rPr>
                <w:noProof/>
              </w:rPr>
              <w:t>208</w:t>
            </w:r>
          </w:p>
        </w:tc>
        <w:tc>
          <w:tcPr>
            <w:tcW w:w="1780" w:type="dxa"/>
            <w:tcBorders>
              <w:top w:val="nil"/>
              <w:left w:val="nil"/>
              <w:bottom w:val="single" w:sz="4" w:space="0" w:color="auto"/>
              <w:right w:val="single" w:sz="4" w:space="0" w:color="auto"/>
            </w:tcBorders>
            <w:shd w:val="clear" w:color="auto" w:fill="C6EFCE"/>
            <w:noWrap/>
          </w:tcPr>
          <w:p w14:paraId="41B3FD27" w14:textId="7FDD2709" w:rsidR="003B6BD9" w:rsidRDefault="009E25E8">
            <w:pPr>
              <w:pStyle w:val="P68B1DB1-Normal7"/>
              <w:spacing w:before="0" w:after="0" w:line="256" w:lineRule="auto"/>
              <w:rPr>
                <w:rFonts w:eastAsia="Times New Roman"/>
                <w:noProof/>
              </w:rPr>
            </w:pPr>
            <w:r>
              <w:rPr>
                <w:noProof/>
              </w:rPr>
              <w:t>B: Mise à disposition de logements locatifs publics</w:t>
            </w:r>
          </w:p>
        </w:tc>
        <w:tc>
          <w:tcPr>
            <w:tcW w:w="1134" w:type="dxa"/>
            <w:tcBorders>
              <w:top w:val="nil"/>
              <w:left w:val="nil"/>
              <w:bottom w:val="single" w:sz="4" w:space="0" w:color="auto"/>
              <w:right w:val="single" w:sz="4" w:space="0" w:color="auto"/>
            </w:tcBorders>
            <w:shd w:val="clear" w:color="auto" w:fill="C6EFCE"/>
            <w:noWrap/>
          </w:tcPr>
          <w:p w14:paraId="310398FC" w14:textId="77777777" w:rsidR="003B6BD9" w:rsidRDefault="009E25E8">
            <w:pPr>
              <w:pStyle w:val="P68B1DB1-Normal7"/>
              <w:spacing w:before="0" w:after="0" w:line="256" w:lineRule="auto"/>
              <w:rPr>
                <w:rFonts w:eastAsia="Times New Roman"/>
                <w:noProof/>
              </w:rPr>
            </w:pPr>
            <w:r>
              <w:rPr>
                <w:noProof/>
              </w:rPr>
              <w:t>Cible</w:t>
            </w:r>
          </w:p>
        </w:tc>
        <w:tc>
          <w:tcPr>
            <w:tcW w:w="1353" w:type="dxa"/>
            <w:tcBorders>
              <w:top w:val="nil"/>
              <w:left w:val="nil"/>
              <w:bottom w:val="single" w:sz="4" w:space="0" w:color="auto"/>
              <w:right w:val="single" w:sz="4" w:space="0" w:color="auto"/>
            </w:tcBorders>
            <w:shd w:val="clear" w:color="auto" w:fill="C6EFCE"/>
            <w:noWrap/>
          </w:tcPr>
          <w:p w14:paraId="0A2A9066" w14:textId="2C342140" w:rsidR="003B6BD9" w:rsidRDefault="009E25E8">
            <w:pPr>
              <w:pStyle w:val="P68B1DB1-Normal7"/>
              <w:spacing w:before="0" w:after="0" w:line="256" w:lineRule="auto"/>
              <w:rPr>
                <w:rFonts w:eastAsia="Times New Roman"/>
                <w:noProof/>
              </w:rPr>
            </w:pPr>
            <w:r>
              <w:rPr>
                <w:noProof/>
              </w:rPr>
              <w:t xml:space="preserve">Logements publics locatifs supplémentaires </w:t>
            </w:r>
          </w:p>
        </w:tc>
        <w:tc>
          <w:tcPr>
            <w:tcW w:w="1576" w:type="dxa"/>
            <w:tcBorders>
              <w:top w:val="nil"/>
              <w:left w:val="nil"/>
              <w:bottom w:val="single" w:sz="4" w:space="0" w:color="auto"/>
              <w:right w:val="single" w:sz="4" w:space="0" w:color="auto"/>
            </w:tcBorders>
            <w:shd w:val="clear" w:color="auto" w:fill="C6EFCE"/>
            <w:noWrap/>
          </w:tcPr>
          <w:p w14:paraId="1DF25D51" w14:textId="77777777" w:rsidR="003B6BD9" w:rsidRDefault="009E25E8">
            <w:pPr>
              <w:pStyle w:val="P68B1DB1-Normal7"/>
              <w:spacing w:before="0" w:after="0" w:line="256" w:lineRule="auto"/>
              <w:rPr>
                <w:rFonts w:eastAsia="Times New Roman"/>
                <w:noProof/>
              </w:rPr>
            </w:pPr>
            <w:r>
              <w:rPr>
                <w:noProof/>
              </w:rPr>
              <w:t> </w:t>
            </w:r>
          </w:p>
        </w:tc>
        <w:tc>
          <w:tcPr>
            <w:tcW w:w="1181" w:type="dxa"/>
            <w:tcBorders>
              <w:top w:val="nil"/>
              <w:left w:val="nil"/>
              <w:bottom w:val="single" w:sz="4" w:space="0" w:color="auto"/>
              <w:right w:val="single" w:sz="4" w:space="0" w:color="auto"/>
            </w:tcBorders>
            <w:shd w:val="clear" w:color="auto" w:fill="C6EFCE"/>
            <w:noWrap/>
          </w:tcPr>
          <w:p w14:paraId="75F2B21B" w14:textId="77777777" w:rsidR="003B6BD9" w:rsidRDefault="009E25E8">
            <w:pPr>
              <w:pStyle w:val="P68B1DB1-Normal7"/>
              <w:spacing w:before="0" w:after="0" w:line="256" w:lineRule="auto"/>
              <w:rPr>
                <w:rFonts w:eastAsia="Times New Roman"/>
                <w:noProof/>
              </w:rPr>
            </w:pPr>
            <w:r>
              <w:rPr>
                <w:noProof/>
              </w:rPr>
              <w:t>Nombre</w:t>
            </w:r>
          </w:p>
        </w:tc>
        <w:tc>
          <w:tcPr>
            <w:tcW w:w="897" w:type="dxa"/>
            <w:tcBorders>
              <w:top w:val="nil"/>
              <w:left w:val="nil"/>
              <w:bottom w:val="single" w:sz="4" w:space="0" w:color="auto"/>
              <w:right w:val="single" w:sz="4" w:space="0" w:color="auto"/>
            </w:tcBorders>
            <w:shd w:val="clear" w:color="auto" w:fill="C6EFCE"/>
            <w:noWrap/>
          </w:tcPr>
          <w:p w14:paraId="7AA7B329" w14:textId="16811B4C" w:rsidR="003B6BD9" w:rsidRDefault="009E25E8">
            <w:pPr>
              <w:pStyle w:val="P68B1DB1-Normal7"/>
              <w:spacing w:before="0" w:after="0" w:line="256" w:lineRule="auto"/>
              <w:jc w:val="right"/>
              <w:rPr>
                <w:rFonts w:eastAsia="Times New Roman"/>
                <w:noProof/>
              </w:rPr>
            </w:pPr>
            <w:r>
              <w:rPr>
                <w:noProof/>
              </w:rPr>
              <w:t>0</w:t>
            </w:r>
          </w:p>
        </w:tc>
        <w:tc>
          <w:tcPr>
            <w:tcW w:w="965" w:type="dxa"/>
            <w:tcBorders>
              <w:top w:val="nil"/>
              <w:left w:val="nil"/>
              <w:bottom w:val="single" w:sz="4" w:space="0" w:color="auto"/>
              <w:right w:val="single" w:sz="4" w:space="0" w:color="auto"/>
            </w:tcBorders>
            <w:shd w:val="clear" w:color="auto" w:fill="C6EFCE"/>
            <w:noWrap/>
          </w:tcPr>
          <w:p w14:paraId="0E9127C1" w14:textId="2CFE0A72" w:rsidR="003B6BD9" w:rsidRDefault="009E25E8">
            <w:pPr>
              <w:pStyle w:val="P68B1DB1-Normal7"/>
              <w:spacing w:before="0" w:after="0" w:line="256" w:lineRule="auto"/>
              <w:jc w:val="right"/>
              <w:rPr>
                <w:rFonts w:eastAsia="Times New Roman"/>
                <w:noProof/>
              </w:rPr>
            </w:pPr>
            <w:r>
              <w:rPr>
                <w:noProof/>
              </w:rPr>
              <w:t>480</w:t>
            </w:r>
          </w:p>
        </w:tc>
        <w:tc>
          <w:tcPr>
            <w:tcW w:w="938" w:type="dxa"/>
            <w:tcBorders>
              <w:top w:val="nil"/>
              <w:left w:val="nil"/>
              <w:bottom w:val="single" w:sz="4" w:space="0" w:color="auto"/>
              <w:right w:val="single" w:sz="4" w:space="0" w:color="auto"/>
            </w:tcBorders>
            <w:shd w:val="clear" w:color="auto" w:fill="C6EFCE"/>
            <w:noWrap/>
          </w:tcPr>
          <w:p w14:paraId="71AED454" w14:textId="77777777" w:rsidR="003B6BD9" w:rsidRDefault="009E25E8">
            <w:pPr>
              <w:pStyle w:val="P68B1DB1-Normal7"/>
              <w:spacing w:before="0" w:after="0" w:line="256" w:lineRule="auto"/>
              <w:jc w:val="center"/>
              <w:rPr>
                <w:rFonts w:eastAsia="Times New Roman"/>
                <w:noProof/>
              </w:rPr>
            </w:pPr>
            <w:r>
              <w:rPr>
                <w:noProof/>
              </w:rPr>
              <w:t>T4</w:t>
            </w:r>
          </w:p>
        </w:tc>
        <w:tc>
          <w:tcPr>
            <w:tcW w:w="672" w:type="dxa"/>
            <w:tcBorders>
              <w:top w:val="nil"/>
              <w:left w:val="nil"/>
              <w:bottom w:val="single" w:sz="4" w:space="0" w:color="auto"/>
              <w:right w:val="single" w:sz="4" w:space="0" w:color="auto"/>
            </w:tcBorders>
            <w:shd w:val="clear" w:color="auto" w:fill="C6EFCE"/>
            <w:noWrap/>
          </w:tcPr>
          <w:p w14:paraId="5B1483B7" w14:textId="77777777" w:rsidR="003B6BD9" w:rsidRDefault="009E25E8">
            <w:pPr>
              <w:pStyle w:val="P68B1DB1-Normal7"/>
              <w:spacing w:before="0" w:after="0" w:line="256" w:lineRule="auto"/>
              <w:jc w:val="center"/>
              <w:rPr>
                <w:rFonts w:eastAsia="Times New Roman"/>
                <w:noProof/>
              </w:rPr>
            </w:pPr>
            <w:r>
              <w:rPr>
                <w:noProof/>
              </w:rPr>
              <w:t>2024</w:t>
            </w:r>
          </w:p>
        </w:tc>
        <w:tc>
          <w:tcPr>
            <w:tcW w:w="4216" w:type="dxa"/>
            <w:tcBorders>
              <w:top w:val="nil"/>
              <w:left w:val="nil"/>
              <w:bottom w:val="single" w:sz="4" w:space="0" w:color="auto"/>
              <w:right w:val="single" w:sz="4" w:space="0" w:color="auto"/>
            </w:tcBorders>
            <w:shd w:val="clear" w:color="auto" w:fill="C6EFCE"/>
            <w:noWrap/>
          </w:tcPr>
          <w:p w14:paraId="5812E2E8" w14:textId="164B4569" w:rsidR="003B6BD9" w:rsidRDefault="009E25E8">
            <w:pPr>
              <w:pStyle w:val="P68B1DB1-Normal7"/>
              <w:spacing w:before="0" w:after="0" w:line="256" w:lineRule="auto"/>
              <w:rPr>
                <w:rFonts w:eastAsia="Times New Roman"/>
                <w:noProof/>
              </w:rPr>
            </w:pPr>
            <w:r>
              <w:rPr>
                <w:rFonts w:eastAsia="Times New Roman"/>
                <w:noProof/>
              </w:rPr>
              <w:t xml:space="preserve">Nombre d’ </w:t>
            </w:r>
            <w:r>
              <w:rPr>
                <w:noProof/>
              </w:rPr>
              <w:t xml:space="preserve">appartements destinés à la location de logements publics </w:t>
            </w:r>
            <w:r>
              <w:rPr>
                <w:rFonts w:eastAsia="Times New Roman"/>
                <w:noProof/>
              </w:rPr>
              <w:t>pour lesquels des permis d’utilisation ont été délivrés.</w:t>
            </w:r>
          </w:p>
        </w:tc>
      </w:tr>
    </w:tbl>
    <w:p w14:paraId="34947845" w14:textId="3311D96B" w:rsidR="003B6BD9" w:rsidRDefault="003B6BD9">
      <w:pPr>
        <w:spacing w:line="240" w:lineRule="auto"/>
        <w:ind w:left="709"/>
        <w:jc w:val="both"/>
        <w:rPr>
          <w:noProof/>
        </w:rPr>
        <w:sectPr w:rsidR="003B6BD9" w:rsidSect="00073927">
          <w:headerReference w:type="even" r:id="rId272"/>
          <w:headerReference w:type="default" r:id="rId273"/>
          <w:footerReference w:type="even" r:id="rId274"/>
          <w:footerReference w:type="default" r:id="rId275"/>
          <w:headerReference w:type="first" r:id="rId276"/>
          <w:footerReference w:type="first" r:id="rId277"/>
          <w:pgSz w:w="16839" w:h="11907" w:orient="landscape"/>
          <w:pgMar w:top="1134" w:right="1134" w:bottom="1134" w:left="1134" w:header="567" w:footer="567" w:gutter="0"/>
          <w:cols w:space="720"/>
          <w:docGrid w:linePitch="360"/>
        </w:sectPr>
      </w:pPr>
    </w:p>
    <w:p w14:paraId="2ACE9505" w14:textId="0DEF3F0C" w:rsidR="003B6BD9" w:rsidRDefault="009E25E8">
      <w:pPr>
        <w:pStyle w:val="P68B1DB1-Heading116"/>
        <w:numPr>
          <w:ilvl w:val="0"/>
          <w:numId w:val="0"/>
        </w:numPr>
        <w:tabs>
          <w:tab w:val="num" w:pos="850"/>
        </w:tabs>
        <w:rPr>
          <w:noProof/>
        </w:rPr>
      </w:pPr>
      <w:r>
        <w:rPr>
          <w:noProof/>
        </w:rPr>
        <w:t>R. COMPONANT 17: REPowerEU</w:t>
      </w:r>
    </w:p>
    <w:p w14:paraId="743C7DC8" w14:textId="0F028AE2" w:rsidR="003B6BD9" w:rsidRDefault="009E25E8">
      <w:pPr>
        <w:spacing w:after="0" w:line="240" w:lineRule="auto"/>
        <w:jc w:val="both"/>
        <w:rPr>
          <w:rFonts w:eastAsia="Times New Roman"/>
          <w:noProof/>
        </w:rPr>
      </w:pPr>
      <w:r>
        <w:rPr>
          <w:noProof/>
        </w:rPr>
        <w:t xml:space="preserve">L’objectif du volet REPowerEU du plan slovène pour la reprise et la résilience est de réduire la dépendance à l’égard des combustibles fossiles, en particulier en provenance de Russie, et d’accélérer la transition écologique dans des secteurs clés de l’économie. Les investissements dans la décarbonation de l’industrie et dans le réseau de distribution d’électricité, associés à une réforme visant à faciliter le déploiement plus rapide des énergies renouvelables dans diverses zones spatiales (par exemple, les sites miniers, les bords de route, les plans d’eau, les toits), devraient contribuer à l’augmentation de la part des énergies renouvelables dans le bouquet énergétique. En outre, un investissement dans les infrastructures de recharge et les véhicules à émissions nulles devrait contribuer à la réduction des émissions de gaz à effet de serre du secteur des transports. </w:t>
      </w:r>
    </w:p>
    <w:p w14:paraId="2ABB5BFC" w14:textId="5CBB9E94" w:rsidR="003B6BD9" w:rsidRDefault="009E25E8">
      <w:pPr>
        <w:spacing w:after="200" w:line="240" w:lineRule="auto"/>
        <w:jc w:val="both"/>
        <w:rPr>
          <w:rFonts w:eastAsia="Times New Roman"/>
          <w:noProof/>
        </w:rPr>
      </w:pPr>
      <w:r>
        <w:rPr>
          <w:noProof/>
        </w:rPr>
        <w:t>Sur les quatre investissements, trois ont une dimension transfrontière ou plurinationale. Les deux investissements les plus importants ayant une dimension transfrontière ou plurinationale concernent la décarbonation de l’industrie au moyen de mesures, telles que l’efficacité énergétique et l’électrification, et le déploiement d’infrastructures pour carburants alternatifs et de véhicules à émissions nulles, contribuant ainsi à réduire la demande de combustibles fossiles importés. De même, un investissement dans la modernisation et l’expansion du réseau de distribution d’électricité revêt également une dimension transfrontière, étant donné qu’il vise à permettre le raccordement au réseau d’une part plus élevée d’énergies renouvelables.</w:t>
      </w:r>
    </w:p>
    <w:p w14:paraId="5F2EA091" w14:textId="5298394B" w:rsidR="003B6BD9" w:rsidRDefault="009E25E8">
      <w:pPr>
        <w:spacing w:line="240" w:lineRule="auto"/>
        <w:jc w:val="both"/>
        <w:rPr>
          <w:rFonts w:eastAsia="Times New Roman"/>
          <w:noProof/>
        </w:rPr>
      </w:pPr>
      <w:r>
        <w:rPr>
          <w:noProof/>
        </w:rPr>
        <w:t>Aucune mesure relevant de ce volet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«Ne pas causer de préjudice important» (2021/C58/01).</w:t>
      </w:r>
    </w:p>
    <w:p w14:paraId="42FA45B7" w14:textId="6E7959EF" w:rsidR="003B6BD9" w:rsidRDefault="009E25E8">
      <w:pPr>
        <w:pStyle w:val="P68B1DB1-Normal4"/>
        <w:spacing w:line="240" w:lineRule="auto"/>
        <w:jc w:val="both"/>
        <w:rPr>
          <w:rFonts w:eastAsia="Times New Roman"/>
          <w:noProof/>
          <w:szCs w:val="24"/>
        </w:rPr>
      </w:pPr>
      <w:r>
        <w:rPr>
          <w:noProof/>
        </w:rPr>
        <w:t>R.1. Description des réformes et des investissements pour le soutien financier non remboursable</w:t>
      </w:r>
    </w:p>
    <w:p w14:paraId="556B7CCE" w14:textId="4B45070C" w:rsidR="003B6BD9" w:rsidRDefault="009E25E8">
      <w:pPr>
        <w:pStyle w:val="P68B1DB1-Normal5"/>
        <w:spacing w:line="240" w:lineRule="auto"/>
        <w:jc w:val="both"/>
        <w:rPr>
          <w:rFonts w:eastAsia="Times New Roman"/>
          <w:noProof/>
        </w:rPr>
      </w:pPr>
      <w:r>
        <w:rPr>
          <w:noProof/>
        </w:rPr>
        <w:t xml:space="preserve">Réforme A: Mesure renforcée: Réforme de la promotion des sources d’énergie renouvelables en Slovénie </w:t>
      </w:r>
    </w:p>
    <w:p w14:paraId="54A7DED9" w14:textId="3BE8C3FC" w:rsidR="003B6BD9" w:rsidRDefault="009E25E8">
      <w:pPr>
        <w:spacing w:line="240" w:lineRule="auto"/>
        <w:jc w:val="both"/>
        <w:rPr>
          <w:rFonts w:eastAsia="Times New Roman"/>
          <w:noProof/>
        </w:rPr>
      </w:pPr>
      <w:r>
        <w:rPr>
          <w:noProof/>
        </w:rPr>
        <w:t xml:space="preserve">L’objectif de cette réforme est de faciliter le déploiement accéléré d’installations d’énergie renouvelable pour la production d’électricité par l’intensification de la réforme A existante du volet 1. La réforme renforcée supprime les obstacles réglementaires au déploiement d’installations d’énergie renouvelable (solaire photovoltaïque et éolienne) dans certaines zones, telles que les bords de route, les surfaces d’eau et les toits. En outre, la réforme définit également les compétences et les procédures relatives à l’intérêt public supérieur. </w:t>
      </w:r>
    </w:p>
    <w:p w14:paraId="1E4616BA" w14:textId="7C29101C" w:rsidR="003B6BD9" w:rsidRDefault="009E25E8">
      <w:pPr>
        <w:spacing w:line="240" w:lineRule="auto"/>
        <w:jc w:val="both"/>
        <w:rPr>
          <w:rFonts w:eastAsia="Times New Roman"/>
          <w:noProof/>
        </w:rPr>
      </w:pPr>
      <w:r>
        <w:rPr>
          <w:noProof/>
        </w:rPr>
        <w:t>La réforme sera mise en œuvre avec l’entrée en vigueur de la loi sur le déploiement des installations de production d’électricité à partir d’énergies renouvelables et l’adoption d’un décret fixant les modalités d’implantation des installations photovoltaïques.</w:t>
      </w:r>
    </w:p>
    <w:p w14:paraId="561CE8AB" w14:textId="4D09927C" w:rsidR="003B6BD9" w:rsidRDefault="009E25E8">
      <w:pPr>
        <w:spacing w:line="240" w:lineRule="auto"/>
        <w:jc w:val="both"/>
        <w:rPr>
          <w:rFonts w:eastAsia="Times New Roman"/>
          <w:noProof/>
        </w:rPr>
      </w:pPr>
      <w:r>
        <w:rPr>
          <w:noProof/>
        </w:rPr>
        <w:t xml:space="preserve">La </w:t>
      </w:r>
      <w:r>
        <w:rPr>
          <w:noProof/>
          <w:color w:val="000000" w:themeColor="text1"/>
        </w:rPr>
        <w:t xml:space="preserve">mise en œuvre de la mesure est achevée au plus tard </w:t>
      </w:r>
      <w:r>
        <w:rPr>
          <w:noProof/>
        </w:rPr>
        <w:t>le 30 juin 2024.</w:t>
      </w:r>
    </w:p>
    <w:p w14:paraId="1C067047" w14:textId="33F6BF6E" w:rsidR="003B6BD9" w:rsidRDefault="009E25E8">
      <w:pPr>
        <w:pStyle w:val="P68B1DB1-Normal5"/>
        <w:spacing w:line="240" w:lineRule="auto"/>
        <w:jc w:val="both"/>
        <w:rPr>
          <w:rFonts w:eastAsia="Times New Roman"/>
          <w:noProof/>
          <w:szCs w:val="24"/>
        </w:rPr>
      </w:pPr>
      <w:r>
        <w:rPr>
          <w:noProof/>
        </w:rPr>
        <w:t>Investissement C: Renforcement du réseau de distribution d’électricité (réseau à moyenne et basse tension)</w:t>
      </w:r>
    </w:p>
    <w:p w14:paraId="0797301B" w14:textId="0A856E63" w:rsidR="003B6BD9" w:rsidRDefault="009E25E8">
      <w:pPr>
        <w:spacing w:line="240" w:lineRule="auto"/>
        <w:jc w:val="both"/>
        <w:rPr>
          <w:noProof/>
        </w:rPr>
      </w:pPr>
      <w:r>
        <w:rPr>
          <w:noProof/>
        </w:rPr>
        <w:t xml:space="preserve">L’objectif de cet investissement est de moderniser le réseau de distribution d’électricité à moyenne et à basse tension et de permettre le raccordement des énergies renouvelables. </w:t>
      </w:r>
    </w:p>
    <w:p w14:paraId="1F558991" w14:textId="652D0BFA" w:rsidR="003B6BD9" w:rsidRDefault="009E25E8">
      <w:pPr>
        <w:spacing w:line="240" w:lineRule="auto"/>
        <w:jc w:val="both"/>
        <w:rPr>
          <w:rFonts w:eastAsia="Times New Roman"/>
          <w:noProof/>
        </w:rPr>
      </w:pPr>
      <w:r>
        <w:rPr>
          <w:noProof/>
        </w:rPr>
        <w:t>L’investissement consiste en la construction d’un réseau à moyenne tension d’au moins 227 kilomètres et d’un réseau à basse tension d’au moins 806 kilomètres.</w:t>
      </w:r>
    </w:p>
    <w:p w14:paraId="792F743E" w14:textId="73747C28" w:rsidR="003B6BD9" w:rsidRDefault="009E25E8">
      <w:pPr>
        <w:pStyle w:val="P68B1DB1-Normal5"/>
        <w:spacing w:line="240" w:lineRule="auto"/>
        <w:jc w:val="both"/>
        <w:rPr>
          <w:rFonts w:eastAsia="Times New Roman"/>
          <w:noProof/>
          <w:szCs w:val="24"/>
        </w:rPr>
      </w:pPr>
      <w:r>
        <w:rPr>
          <w:noProof/>
        </w:rPr>
        <w:t>Investissement D: Efficacité énergétique et décarbonation de l’économie</w:t>
      </w:r>
    </w:p>
    <w:p w14:paraId="1E8751A5" w14:textId="0D1252C4" w:rsidR="003B6BD9" w:rsidRDefault="009E25E8">
      <w:pPr>
        <w:spacing w:line="240" w:lineRule="auto"/>
        <w:jc w:val="both"/>
        <w:rPr>
          <w:rFonts w:eastAsia="Times New Roman"/>
          <w:noProof/>
        </w:rPr>
      </w:pPr>
      <w:r>
        <w:rPr>
          <w:noProof/>
        </w:rPr>
        <w:t xml:space="preserve">L’objectif de cet investissement est de soutenir la décarbonation de l’économie. </w:t>
      </w:r>
    </w:p>
    <w:p w14:paraId="0C7DF0CA" w14:textId="496DD09B" w:rsidR="003B6BD9" w:rsidRDefault="009E25E8">
      <w:pPr>
        <w:spacing w:line="240" w:lineRule="auto"/>
        <w:jc w:val="both"/>
        <w:rPr>
          <w:noProof/>
          <w:u w:val="single"/>
        </w:rPr>
      </w:pPr>
      <w:r>
        <w:rPr>
          <w:noProof/>
        </w:rPr>
        <w:t xml:space="preserve">L’investissement consiste en un cofinancement des </w:t>
      </w:r>
      <w:r>
        <w:rPr>
          <w:noProof/>
          <w:color w:val="000000" w:themeColor="text1"/>
        </w:rPr>
        <w:t>systèmes de stockage de l’électricité.</w:t>
      </w:r>
    </w:p>
    <w:p w14:paraId="415EEDCA" w14:textId="4D23B36B" w:rsidR="003B6BD9" w:rsidRDefault="009E25E8">
      <w:pPr>
        <w:pStyle w:val="P68B1DB1-Normal5"/>
        <w:spacing w:line="240" w:lineRule="auto"/>
        <w:jc w:val="both"/>
        <w:rPr>
          <w:rFonts w:eastAsia="Times New Roman"/>
          <w:noProof/>
        </w:rPr>
      </w:pPr>
      <w:r>
        <w:rPr>
          <w:noProof/>
        </w:rPr>
        <w:t xml:space="preserve">Investissement E: Mesure renforcée: Promouvoir les infrastructures pour carburants alternatifs dans les transports </w:t>
      </w:r>
    </w:p>
    <w:p w14:paraId="5EF1CF5D" w14:textId="18F18BE6" w:rsidR="003B6BD9" w:rsidRDefault="009E25E8">
      <w:pPr>
        <w:spacing w:line="240" w:lineRule="auto"/>
        <w:jc w:val="both"/>
        <w:rPr>
          <w:rFonts w:eastAsia="Times New Roman"/>
          <w:noProof/>
          <w:color w:val="000000" w:themeColor="text1"/>
        </w:rPr>
      </w:pPr>
      <w:r>
        <w:rPr>
          <w:noProof/>
        </w:rPr>
        <w:t xml:space="preserve">L’objectif de cet investissement est d’accélérer </w:t>
      </w:r>
      <w:r>
        <w:rPr>
          <w:noProof/>
          <w:color w:val="000000" w:themeColor="text1"/>
        </w:rPr>
        <w:t xml:space="preserve">le développement d’un marché des carburants alternatifs dans les transports et d’accroître l’adoption de véhicules à émission nulle en Slovénie. </w:t>
      </w:r>
    </w:p>
    <w:p w14:paraId="5919F76F" w14:textId="77777777" w:rsidR="003B6BD9" w:rsidRDefault="009E25E8">
      <w:pPr>
        <w:pStyle w:val="P68B1DB1-Normal13"/>
        <w:spacing w:line="240" w:lineRule="auto"/>
        <w:jc w:val="both"/>
        <w:rPr>
          <w:noProof/>
          <w:color w:val="000000" w:themeColor="text1"/>
        </w:rPr>
      </w:pPr>
      <w:r>
        <w:rPr>
          <w:noProof/>
        </w:rPr>
        <w:t>L’investissement consiste à fournir des bus électriques et à hydrogène, ainsi qu’à cofinancer des véhicules à émissions nulles, et à immatriculer des points de recharge pour les véhicules à émissions nulles.</w:t>
      </w:r>
    </w:p>
    <w:p w14:paraId="3F8D30D1" w14:textId="77777777" w:rsidR="003B6BD9" w:rsidRDefault="003B6BD9">
      <w:pPr>
        <w:spacing w:line="240" w:lineRule="auto"/>
        <w:jc w:val="both"/>
        <w:rPr>
          <w:noProof/>
          <w:color w:val="000000" w:themeColor="text1"/>
        </w:rPr>
      </w:pPr>
    </w:p>
    <w:p w14:paraId="5F509EA2" w14:textId="3B2EE6C8" w:rsidR="003B6BD9" w:rsidRDefault="003B6BD9">
      <w:pPr>
        <w:spacing w:line="240" w:lineRule="auto"/>
        <w:jc w:val="both"/>
        <w:rPr>
          <w:rFonts w:eastAsia="Times New Roman"/>
          <w:noProof/>
          <w:color w:val="000000" w:themeColor="text1"/>
          <w:u w:val="single"/>
        </w:rPr>
        <w:sectPr w:rsidR="003B6BD9" w:rsidSect="00073927">
          <w:headerReference w:type="even" r:id="rId278"/>
          <w:headerReference w:type="default" r:id="rId279"/>
          <w:footerReference w:type="even" r:id="rId280"/>
          <w:footerReference w:type="default" r:id="rId281"/>
          <w:headerReference w:type="first" r:id="rId282"/>
          <w:footerReference w:type="first" r:id="rId283"/>
          <w:pgSz w:w="11907" w:h="16839"/>
          <w:pgMar w:top="1134" w:right="1134" w:bottom="1134" w:left="1134" w:header="567" w:footer="567" w:gutter="0"/>
          <w:cols w:space="720"/>
          <w:docGrid w:linePitch="360"/>
        </w:sectPr>
      </w:pPr>
    </w:p>
    <w:p w14:paraId="299CD5E9" w14:textId="6F351479" w:rsidR="003B6BD9" w:rsidRDefault="009E25E8">
      <w:pPr>
        <w:pStyle w:val="P68B1DB1-Normal4"/>
        <w:spacing w:line="240" w:lineRule="auto"/>
        <w:jc w:val="both"/>
        <w:rPr>
          <w:rFonts w:eastAsia="Times New Roman"/>
          <w:noProof/>
        </w:rPr>
      </w:pPr>
      <w:r>
        <w:rPr>
          <w:noProof/>
        </w:rPr>
        <w:t>R.2. Jalons, cibles, indicateurs et calendrier de suivi et de mise en œuvre pour le soutien financier non remboursable</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5"/>
        <w:gridCol w:w="1891"/>
        <w:gridCol w:w="1224"/>
        <w:gridCol w:w="1635"/>
        <w:gridCol w:w="1653"/>
        <w:gridCol w:w="1082"/>
        <w:gridCol w:w="1089"/>
        <w:gridCol w:w="814"/>
        <w:gridCol w:w="998"/>
        <w:gridCol w:w="774"/>
        <w:gridCol w:w="3207"/>
      </w:tblGrid>
      <w:tr w:rsidR="003B6BD9" w14:paraId="1B592E6D" w14:textId="77777777" w:rsidTr="006C1AFD">
        <w:trPr>
          <w:trHeight w:val="740"/>
          <w:tblHeader/>
          <w:jc w:val="center"/>
        </w:trPr>
        <w:tc>
          <w:tcPr>
            <w:tcW w:w="955" w:type="dxa"/>
            <w:vMerge w:val="restart"/>
            <w:shd w:val="clear" w:color="auto" w:fill="BDD7EE"/>
            <w:vAlign w:val="center"/>
            <w:hideMark/>
          </w:tcPr>
          <w:p w14:paraId="2520DC5E" w14:textId="2E709CCD" w:rsidR="003B6BD9" w:rsidRDefault="009E25E8">
            <w:pPr>
              <w:pStyle w:val="P68B1DB1-Normal6"/>
              <w:spacing w:before="0" w:after="0" w:line="240" w:lineRule="auto"/>
              <w:jc w:val="center"/>
              <w:rPr>
                <w:rFonts w:eastAsia="Times New Roman"/>
                <w:noProof/>
              </w:rPr>
            </w:pPr>
            <w:r>
              <w:rPr>
                <w:noProof/>
              </w:rPr>
              <w:t>Et suivants Non.</w:t>
            </w:r>
          </w:p>
        </w:tc>
        <w:tc>
          <w:tcPr>
            <w:tcW w:w="1891" w:type="dxa"/>
            <w:vMerge w:val="restart"/>
            <w:shd w:val="clear" w:color="auto" w:fill="BDD7EE"/>
            <w:vAlign w:val="center"/>
            <w:hideMark/>
          </w:tcPr>
          <w:p w14:paraId="78B2BDCA" w14:textId="77777777" w:rsidR="003B6BD9" w:rsidRDefault="009E25E8">
            <w:pPr>
              <w:pStyle w:val="P68B1DB1-Normal6"/>
              <w:spacing w:before="0" w:after="0" w:line="240" w:lineRule="auto"/>
              <w:jc w:val="center"/>
              <w:rPr>
                <w:rFonts w:eastAsia="Times New Roman"/>
                <w:noProof/>
              </w:rPr>
            </w:pPr>
            <w:r>
              <w:rPr>
                <w:noProof/>
              </w:rPr>
              <w:t>Mesure connexe (réforme ou investissement)</w:t>
            </w:r>
          </w:p>
        </w:tc>
        <w:tc>
          <w:tcPr>
            <w:tcW w:w="1224" w:type="dxa"/>
            <w:vMerge w:val="restart"/>
            <w:shd w:val="clear" w:color="auto" w:fill="BDD7EE"/>
            <w:vAlign w:val="center"/>
            <w:hideMark/>
          </w:tcPr>
          <w:p w14:paraId="7C27DEB2" w14:textId="520F5C03" w:rsidR="003B6BD9" w:rsidRDefault="009E25E8">
            <w:pPr>
              <w:pStyle w:val="P68B1DB1-Normal6"/>
              <w:spacing w:before="0" w:after="0" w:line="240" w:lineRule="auto"/>
              <w:jc w:val="center"/>
              <w:rPr>
                <w:rFonts w:eastAsia="Times New Roman"/>
                <w:noProof/>
              </w:rPr>
            </w:pPr>
            <w:r>
              <w:rPr>
                <w:noProof/>
              </w:rPr>
              <w:t>Étape/</w:t>
            </w:r>
            <w:r w:rsidR="006C1AFD">
              <w:rPr>
                <w:noProof/>
              </w:rPr>
              <w:br/>
            </w:r>
            <w:r>
              <w:rPr>
                <w:noProof/>
              </w:rPr>
              <w:t>Objectif</w:t>
            </w:r>
          </w:p>
        </w:tc>
        <w:tc>
          <w:tcPr>
            <w:tcW w:w="1635" w:type="dxa"/>
            <w:vMerge w:val="restart"/>
            <w:shd w:val="clear" w:color="auto" w:fill="BDD7EE"/>
            <w:vAlign w:val="center"/>
            <w:hideMark/>
          </w:tcPr>
          <w:p w14:paraId="20975DA9" w14:textId="77777777" w:rsidR="003B6BD9" w:rsidRDefault="009E25E8">
            <w:pPr>
              <w:pStyle w:val="P68B1DB1-Normal6"/>
              <w:spacing w:before="0" w:after="0" w:line="240" w:lineRule="auto"/>
              <w:jc w:val="center"/>
              <w:rPr>
                <w:rFonts w:eastAsia="Times New Roman"/>
                <w:noProof/>
              </w:rPr>
            </w:pPr>
            <w:r>
              <w:rPr>
                <w:noProof/>
              </w:rPr>
              <w:t>Nom</w:t>
            </w:r>
          </w:p>
        </w:tc>
        <w:tc>
          <w:tcPr>
            <w:tcW w:w="1653" w:type="dxa"/>
            <w:vMerge w:val="restart"/>
            <w:shd w:val="clear" w:color="auto" w:fill="BDD7EE"/>
            <w:vAlign w:val="center"/>
            <w:hideMark/>
          </w:tcPr>
          <w:p w14:paraId="69F0CDC5" w14:textId="3143B0BF" w:rsidR="003B6BD9" w:rsidRDefault="009E25E8">
            <w:pPr>
              <w:pStyle w:val="P68B1DB1-Normal6"/>
              <w:spacing w:before="0" w:after="0" w:line="240" w:lineRule="auto"/>
              <w:jc w:val="center"/>
              <w:rPr>
                <w:rFonts w:eastAsia="Times New Roman"/>
                <w:noProof/>
              </w:rPr>
            </w:pPr>
            <w:r>
              <w:rPr>
                <w:noProof/>
              </w:rPr>
              <w:t>Indicateurs qualitatifs (pour les jalons)</w:t>
            </w:r>
          </w:p>
        </w:tc>
        <w:tc>
          <w:tcPr>
            <w:tcW w:w="2985" w:type="dxa"/>
            <w:gridSpan w:val="3"/>
            <w:shd w:val="clear" w:color="auto" w:fill="BDD7EE"/>
            <w:vAlign w:val="center"/>
            <w:hideMark/>
          </w:tcPr>
          <w:p w14:paraId="5612F34E" w14:textId="02358DE1" w:rsidR="003B6BD9" w:rsidRDefault="009E25E8">
            <w:pPr>
              <w:pStyle w:val="P68B1DB1-Normal6"/>
              <w:spacing w:before="0" w:after="0" w:line="240" w:lineRule="auto"/>
              <w:jc w:val="center"/>
              <w:rPr>
                <w:rFonts w:eastAsia="Times New Roman"/>
                <w:noProof/>
              </w:rPr>
            </w:pPr>
            <w:r>
              <w:rPr>
                <w:noProof/>
              </w:rPr>
              <w:t>Indicateurs quantitatifs (pour les cibles)</w:t>
            </w:r>
          </w:p>
        </w:tc>
        <w:tc>
          <w:tcPr>
            <w:tcW w:w="1772" w:type="dxa"/>
            <w:gridSpan w:val="2"/>
            <w:shd w:val="clear" w:color="auto" w:fill="BDD7EE"/>
            <w:vAlign w:val="center"/>
            <w:hideMark/>
          </w:tcPr>
          <w:p w14:paraId="300CD107" w14:textId="77777777" w:rsidR="003B6BD9" w:rsidRDefault="009E25E8">
            <w:pPr>
              <w:pStyle w:val="P68B1DB1-Normal6"/>
              <w:spacing w:before="0" w:after="0" w:line="240" w:lineRule="auto"/>
              <w:jc w:val="center"/>
              <w:rPr>
                <w:rFonts w:eastAsia="Times New Roman"/>
                <w:noProof/>
              </w:rPr>
            </w:pPr>
            <w:r>
              <w:rPr>
                <w:noProof/>
              </w:rPr>
              <w:t xml:space="preserve">Calendrier indicatif pour l’achèvement </w:t>
            </w:r>
          </w:p>
        </w:tc>
        <w:tc>
          <w:tcPr>
            <w:tcW w:w="3207" w:type="dxa"/>
            <w:vMerge w:val="restart"/>
            <w:shd w:val="clear" w:color="auto" w:fill="BDD7EE"/>
            <w:vAlign w:val="center"/>
            <w:hideMark/>
          </w:tcPr>
          <w:p w14:paraId="76BBBD46" w14:textId="77777777" w:rsidR="003B6BD9" w:rsidRDefault="009E25E8">
            <w:pPr>
              <w:pStyle w:val="P68B1DB1-Normal6"/>
              <w:spacing w:before="0" w:after="0" w:line="240" w:lineRule="auto"/>
              <w:jc w:val="center"/>
              <w:rPr>
                <w:rFonts w:eastAsia="Times New Roman"/>
                <w:noProof/>
              </w:rPr>
            </w:pPr>
            <w:r>
              <w:rPr>
                <w:noProof/>
              </w:rPr>
              <w:t>Description de chaque jalon et cible</w:t>
            </w:r>
          </w:p>
        </w:tc>
      </w:tr>
      <w:tr w:rsidR="003B6BD9" w14:paraId="0E75BA53" w14:textId="77777777" w:rsidTr="006C1AFD">
        <w:trPr>
          <w:trHeight w:val="751"/>
          <w:tblHeader/>
          <w:jc w:val="center"/>
        </w:trPr>
        <w:tc>
          <w:tcPr>
            <w:tcW w:w="955" w:type="dxa"/>
            <w:vMerge/>
            <w:vAlign w:val="center"/>
            <w:hideMark/>
          </w:tcPr>
          <w:p w14:paraId="4756D926" w14:textId="77777777" w:rsidR="003B6BD9" w:rsidRDefault="003B6BD9">
            <w:pPr>
              <w:spacing w:before="0" w:after="0" w:line="240" w:lineRule="auto"/>
              <w:rPr>
                <w:rFonts w:eastAsia="Times New Roman"/>
                <w:b/>
                <w:noProof/>
                <w:sz w:val="18"/>
                <w:szCs w:val="18"/>
              </w:rPr>
            </w:pPr>
          </w:p>
        </w:tc>
        <w:tc>
          <w:tcPr>
            <w:tcW w:w="1891" w:type="dxa"/>
            <w:vMerge/>
            <w:vAlign w:val="center"/>
            <w:hideMark/>
          </w:tcPr>
          <w:p w14:paraId="69D56091" w14:textId="77777777" w:rsidR="003B6BD9" w:rsidRDefault="003B6BD9">
            <w:pPr>
              <w:spacing w:before="0" w:after="0" w:line="240" w:lineRule="auto"/>
              <w:rPr>
                <w:rFonts w:eastAsia="Times New Roman"/>
                <w:b/>
                <w:noProof/>
                <w:sz w:val="18"/>
                <w:szCs w:val="18"/>
              </w:rPr>
            </w:pPr>
          </w:p>
        </w:tc>
        <w:tc>
          <w:tcPr>
            <w:tcW w:w="1224" w:type="dxa"/>
            <w:vMerge/>
            <w:vAlign w:val="center"/>
            <w:hideMark/>
          </w:tcPr>
          <w:p w14:paraId="39E68BBE" w14:textId="77777777" w:rsidR="003B6BD9" w:rsidRDefault="003B6BD9">
            <w:pPr>
              <w:spacing w:before="0" w:after="0" w:line="240" w:lineRule="auto"/>
              <w:rPr>
                <w:rFonts w:eastAsia="Times New Roman"/>
                <w:b/>
                <w:noProof/>
                <w:sz w:val="18"/>
                <w:szCs w:val="18"/>
              </w:rPr>
            </w:pPr>
          </w:p>
        </w:tc>
        <w:tc>
          <w:tcPr>
            <w:tcW w:w="1635" w:type="dxa"/>
            <w:vMerge/>
            <w:vAlign w:val="center"/>
            <w:hideMark/>
          </w:tcPr>
          <w:p w14:paraId="5C8BD588" w14:textId="77777777" w:rsidR="003B6BD9" w:rsidRDefault="003B6BD9">
            <w:pPr>
              <w:spacing w:before="0" w:after="0" w:line="240" w:lineRule="auto"/>
              <w:rPr>
                <w:rFonts w:eastAsia="Times New Roman"/>
                <w:b/>
                <w:noProof/>
                <w:sz w:val="18"/>
                <w:szCs w:val="18"/>
              </w:rPr>
            </w:pPr>
          </w:p>
        </w:tc>
        <w:tc>
          <w:tcPr>
            <w:tcW w:w="1653" w:type="dxa"/>
            <w:vMerge/>
            <w:vAlign w:val="center"/>
            <w:hideMark/>
          </w:tcPr>
          <w:p w14:paraId="7B8BB69E" w14:textId="77777777" w:rsidR="003B6BD9" w:rsidRDefault="003B6BD9">
            <w:pPr>
              <w:spacing w:before="0" w:after="0" w:line="240" w:lineRule="auto"/>
              <w:rPr>
                <w:rFonts w:eastAsia="Times New Roman"/>
                <w:b/>
                <w:noProof/>
                <w:sz w:val="18"/>
                <w:szCs w:val="18"/>
              </w:rPr>
            </w:pPr>
          </w:p>
        </w:tc>
        <w:tc>
          <w:tcPr>
            <w:tcW w:w="1082" w:type="dxa"/>
            <w:shd w:val="clear" w:color="auto" w:fill="BDD7EE"/>
            <w:vAlign w:val="center"/>
            <w:hideMark/>
          </w:tcPr>
          <w:p w14:paraId="39E9C109" w14:textId="77777777" w:rsidR="003B6BD9" w:rsidRDefault="009E25E8">
            <w:pPr>
              <w:pStyle w:val="P68B1DB1-Normal6"/>
              <w:spacing w:before="0" w:after="0" w:line="240" w:lineRule="auto"/>
              <w:jc w:val="center"/>
              <w:rPr>
                <w:rFonts w:eastAsia="Times New Roman"/>
                <w:noProof/>
              </w:rPr>
            </w:pPr>
            <w:r>
              <w:rPr>
                <w:noProof/>
              </w:rPr>
              <w:t>Unité de mesure</w:t>
            </w:r>
          </w:p>
        </w:tc>
        <w:tc>
          <w:tcPr>
            <w:tcW w:w="1089" w:type="dxa"/>
            <w:shd w:val="clear" w:color="auto" w:fill="BDD7EE"/>
            <w:vAlign w:val="center"/>
            <w:hideMark/>
          </w:tcPr>
          <w:p w14:paraId="579F5700" w14:textId="77777777" w:rsidR="003B6BD9" w:rsidRDefault="009E25E8">
            <w:pPr>
              <w:pStyle w:val="P68B1DB1-Normal6"/>
              <w:spacing w:before="0" w:after="0" w:line="240" w:lineRule="auto"/>
              <w:jc w:val="center"/>
              <w:rPr>
                <w:rFonts w:eastAsia="Times New Roman"/>
                <w:noProof/>
              </w:rPr>
            </w:pPr>
            <w:r>
              <w:rPr>
                <w:noProof/>
              </w:rPr>
              <w:t xml:space="preserve">Niveau de référence </w:t>
            </w:r>
          </w:p>
        </w:tc>
        <w:tc>
          <w:tcPr>
            <w:tcW w:w="814" w:type="dxa"/>
            <w:shd w:val="clear" w:color="auto" w:fill="BDD7EE"/>
            <w:vAlign w:val="center"/>
            <w:hideMark/>
          </w:tcPr>
          <w:p w14:paraId="16D987F3" w14:textId="77777777" w:rsidR="003B6BD9" w:rsidRDefault="009E25E8">
            <w:pPr>
              <w:pStyle w:val="P68B1DB1-Normal6"/>
              <w:spacing w:before="0" w:after="0" w:line="240" w:lineRule="auto"/>
              <w:jc w:val="center"/>
              <w:rPr>
                <w:rFonts w:eastAsia="Times New Roman"/>
                <w:noProof/>
              </w:rPr>
            </w:pPr>
            <w:r>
              <w:rPr>
                <w:noProof/>
              </w:rPr>
              <w:t xml:space="preserve">But </w:t>
            </w:r>
          </w:p>
        </w:tc>
        <w:tc>
          <w:tcPr>
            <w:tcW w:w="998" w:type="dxa"/>
            <w:shd w:val="clear" w:color="auto" w:fill="BDD7EE"/>
            <w:vAlign w:val="center"/>
            <w:hideMark/>
          </w:tcPr>
          <w:p w14:paraId="32412CCD" w14:textId="77777777" w:rsidR="003B6BD9" w:rsidRDefault="009E25E8">
            <w:pPr>
              <w:pStyle w:val="P68B1DB1-Normal6"/>
              <w:spacing w:before="0" w:after="0" w:line="240" w:lineRule="auto"/>
              <w:jc w:val="center"/>
              <w:rPr>
                <w:rFonts w:eastAsia="Times New Roman"/>
                <w:noProof/>
              </w:rPr>
            </w:pPr>
            <w:r>
              <w:rPr>
                <w:noProof/>
              </w:rPr>
              <w:t>Trimestre</w:t>
            </w:r>
          </w:p>
        </w:tc>
        <w:tc>
          <w:tcPr>
            <w:tcW w:w="774" w:type="dxa"/>
            <w:shd w:val="clear" w:color="auto" w:fill="BDD7EE"/>
            <w:vAlign w:val="center"/>
            <w:hideMark/>
          </w:tcPr>
          <w:p w14:paraId="09607ECE" w14:textId="77777777" w:rsidR="003B6BD9" w:rsidRDefault="009E25E8">
            <w:pPr>
              <w:pStyle w:val="P68B1DB1-Normal6"/>
              <w:spacing w:before="0" w:after="0" w:line="240" w:lineRule="auto"/>
              <w:jc w:val="center"/>
              <w:rPr>
                <w:rFonts w:eastAsia="Times New Roman"/>
                <w:noProof/>
              </w:rPr>
            </w:pPr>
            <w:r>
              <w:rPr>
                <w:noProof/>
              </w:rPr>
              <w:t>Année</w:t>
            </w:r>
          </w:p>
        </w:tc>
        <w:tc>
          <w:tcPr>
            <w:tcW w:w="3207" w:type="dxa"/>
            <w:vMerge/>
            <w:vAlign w:val="center"/>
            <w:hideMark/>
          </w:tcPr>
          <w:p w14:paraId="55ED5F81" w14:textId="77777777" w:rsidR="003B6BD9" w:rsidRDefault="003B6BD9">
            <w:pPr>
              <w:spacing w:before="0" w:after="0" w:line="240" w:lineRule="auto"/>
              <w:rPr>
                <w:rFonts w:eastAsia="Times New Roman"/>
                <w:b/>
                <w:noProof/>
                <w:sz w:val="18"/>
                <w:szCs w:val="18"/>
              </w:rPr>
            </w:pPr>
          </w:p>
        </w:tc>
      </w:tr>
      <w:tr w:rsidR="003B6BD9" w14:paraId="159815CE"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5579A930" w14:textId="411E7DB6" w:rsidR="003B6BD9" w:rsidRDefault="009E25E8">
            <w:pPr>
              <w:pStyle w:val="P68B1DB1-Normal7"/>
              <w:spacing w:before="0" w:after="0" w:line="240" w:lineRule="auto"/>
              <w:rPr>
                <w:rFonts w:eastAsia="Times New Roman"/>
                <w:noProof/>
              </w:rPr>
            </w:pPr>
            <w:r>
              <w:rPr>
                <w:noProof/>
              </w:rPr>
              <w:t>210</w:t>
            </w:r>
          </w:p>
        </w:tc>
        <w:tc>
          <w:tcPr>
            <w:tcW w:w="1891" w:type="dxa"/>
            <w:tcBorders>
              <w:top w:val="single" w:sz="4" w:space="0" w:color="auto"/>
              <w:left w:val="single" w:sz="4" w:space="0" w:color="auto"/>
              <w:bottom w:val="single" w:sz="4" w:space="0" w:color="auto"/>
              <w:right w:val="single" w:sz="4" w:space="0" w:color="auto"/>
            </w:tcBorders>
            <w:shd w:val="clear" w:color="auto" w:fill="C6EFCE"/>
            <w:noWrap/>
          </w:tcPr>
          <w:p w14:paraId="375C88A1" w14:textId="49C98DFA" w:rsidR="003B6BD9" w:rsidRDefault="009E25E8">
            <w:pPr>
              <w:pStyle w:val="P68B1DB1-Normal7"/>
              <w:spacing w:before="0" w:after="0" w:line="240" w:lineRule="auto"/>
              <w:rPr>
                <w:rFonts w:eastAsia="Times New Roman"/>
                <w:noProof/>
              </w:rPr>
            </w:pPr>
            <w:r>
              <w:rPr>
                <w:noProof/>
              </w:rPr>
              <w:t>A: Réforme de la promotion des sources d’énergie renouvelables en Slovénie (renforcée)</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73F25B6E" w14:textId="54588803" w:rsidR="003B6BD9" w:rsidRDefault="009E25E8">
            <w:pPr>
              <w:pStyle w:val="P68B1DB1-Normal7"/>
              <w:spacing w:before="0" w:after="0" w:line="240" w:lineRule="auto"/>
              <w:rPr>
                <w:rFonts w:eastAsia="Times New Roman"/>
                <w:noProof/>
              </w:rPr>
            </w:pPr>
            <w:r>
              <w:rPr>
                <w:noProof/>
              </w:rPr>
              <w:t>Jalon</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33AA8E16" w14:textId="4A57A926" w:rsidR="003B6BD9" w:rsidRDefault="009E25E8">
            <w:pPr>
              <w:pStyle w:val="P68B1DB1-Normal7"/>
              <w:spacing w:before="0" w:after="0" w:line="240" w:lineRule="auto"/>
              <w:rPr>
                <w:rFonts w:eastAsia="Times New Roman"/>
                <w:noProof/>
              </w:rPr>
            </w:pPr>
            <w:r>
              <w:rPr>
                <w:noProof/>
              </w:rPr>
              <w:t>Entrée en vigueur de la loi sur le déploiement d’installations de production d’électricité à partir de sources d’énergie renouvelables</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3119B709" w14:textId="4DF8515E" w:rsidR="003B6BD9" w:rsidRDefault="009E25E8">
            <w:pPr>
              <w:pStyle w:val="P68B1DB1-Normal7"/>
              <w:spacing w:before="0" w:after="0" w:line="240" w:lineRule="auto"/>
              <w:rPr>
                <w:rFonts w:eastAsia="Times New Roman"/>
                <w:noProof/>
              </w:rPr>
            </w:pPr>
            <w:r>
              <w:rPr>
                <w:noProof/>
              </w:rPr>
              <w:t>Disposition de la loi indiquant l’entrée en vigueur</w:t>
            </w: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428FB454" w14:textId="6BCD2EB3" w:rsidR="003B6BD9" w:rsidRDefault="009E25E8">
            <w:pPr>
              <w:pStyle w:val="P68B1DB1-Normal7"/>
              <w:spacing w:before="0" w:after="0" w:line="240" w:lineRule="auto"/>
              <w:rPr>
                <w:rFonts w:eastAsia="Times New Roman"/>
                <w:noProof/>
              </w:rPr>
            </w:pPr>
            <w:r>
              <w:rPr>
                <w:noProof/>
              </w:rPr>
              <w:t>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1E05CF1D" w14:textId="51E31A48" w:rsidR="003B6BD9" w:rsidRDefault="009E25E8">
            <w:pPr>
              <w:pStyle w:val="P68B1DB1-Normal7"/>
              <w:spacing w:before="0" w:after="0" w:line="240" w:lineRule="auto"/>
              <w:rPr>
                <w:rFonts w:eastAsia="Times New Roman"/>
                <w:noProof/>
              </w:rPr>
            </w:pPr>
            <w:r>
              <w:rPr>
                <w:noProof/>
              </w:rPr>
              <w:t> </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5FE741C8" w14:textId="5273B2AD" w:rsidR="003B6BD9" w:rsidRDefault="009E25E8">
            <w:pPr>
              <w:pStyle w:val="P68B1DB1-Normal7"/>
              <w:spacing w:before="0" w:after="0" w:line="240" w:lineRule="auto"/>
              <w:rPr>
                <w:rFonts w:eastAsia="Times New Roman"/>
                <w:noProof/>
              </w:rPr>
            </w:pPr>
            <w:r>
              <w:rPr>
                <w:noProof/>
              </w:rPr>
              <w:t> </w:t>
            </w: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45D382FA" w14:textId="3B9A77F5" w:rsidR="003B6BD9" w:rsidRDefault="009E25E8">
            <w:pPr>
              <w:pStyle w:val="P68B1DB1-Normal7"/>
              <w:spacing w:before="0" w:after="0" w:line="240" w:lineRule="auto"/>
              <w:rPr>
                <w:rFonts w:eastAsia="Times New Roman"/>
                <w:noProof/>
              </w:rPr>
            </w:pPr>
            <w:r>
              <w:rPr>
                <w:noProof/>
              </w:rPr>
              <w:t>T4</w:t>
            </w:r>
          </w:p>
        </w:tc>
        <w:tc>
          <w:tcPr>
            <w:tcW w:w="774" w:type="dxa"/>
            <w:tcBorders>
              <w:top w:val="single" w:sz="4" w:space="0" w:color="auto"/>
              <w:left w:val="single" w:sz="4" w:space="0" w:color="auto"/>
              <w:bottom w:val="single" w:sz="4" w:space="0" w:color="auto"/>
              <w:right w:val="single" w:sz="4" w:space="0" w:color="auto"/>
            </w:tcBorders>
            <w:shd w:val="clear" w:color="auto" w:fill="C6EFCE"/>
            <w:noWrap/>
          </w:tcPr>
          <w:p w14:paraId="5E548B2F" w14:textId="2FF8B511" w:rsidR="003B6BD9" w:rsidRDefault="009E25E8">
            <w:pPr>
              <w:pStyle w:val="P68B1DB1-Normal7"/>
              <w:spacing w:before="0" w:after="0" w:line="240" w:lineRule="auto"/>
              <w:rPr>
                <w:rFonts w:eastAsia="Times New Roman"/>
                <w:noProof/>
              </w:rPr>
            </w:pPr>
            <w:r>
              <w:rPr>
                <w:noProof/>
              </w:rPr>
              <w:t>2023</w:t>
            </w:r>
          </w:p>
        </w:tc>
        <w:tc>
          <w:tcPr>
            <w:tcW w:w="3207" w:type="dxa"/>
            <w:tcBorders>
              <w:top w:val="single" w:sz="4" w:space="0" w:color="auto"/>
              <w:left w:val="single" w:sz="4" w:space="0" w:color="auto"/>
              <w:bottom w:val="single" w:sz="4" w:space="0" w:color="auto"/>
              <w:right w:val="single" w:sz="4" w:space="0" w:color="auto"/>
            </w:tcBorders>
            <w:shd w:val="clear" w:color="auto" w:fill="C6EFCE"/>
            <w:noWrap/>
          </w:tcPr>
          <w:p w14:paraId="6C6C6629" w14:textId="5DB65640" w:rsidR="003B6BD9" w:rsidRDefault="009E25E8">
            <w:pPr>
              <w:pStyle w:val="P68B1DB1-Normal7"/>
              <w:spacing w:before="0" w:after="0" w:line="240" w:lineRule="auto"/>
              <w:rPr>
                <w:rFonts w:eastAsia="Times New Roman"/>
                <w:noProof/>
              </w:rPr>
            </w:pPr>
            <w:r>
              <w:rPr>
                <w:noProof/>
              </w:rPr>
              <w:t>Le règlement supprime les obstacles réglementaires au déploiement d’installations d’énergie renouvelable (solaire photovoltaïque et éolienne) dans certaines zones, telles que les bords de route, les surfaces d’eau et les toits. En outre, la loi définit les compétences et les procédures relatives à l’intérêt public supérieur.</w:t>
            </w:r>
          </w:p>
        </w:tc>
      </w:tr>
      <w:tr w:rsidR="003B6BD9" w14:paraId="758DC476"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44031A0F" w14:textId="5DB2B940" w:rsidR="003B6BD9" w:rsidRDefault="009E25E8">
            <w:pPr>
              <w:pStyle w:val="P68B1DB1-Normal7"/>
              <w:spacing w:before="0" w:after="0" w:line="240" w:lineRule="auto"/>
              <w:rPr>
                <w:rFonts w:eastAsia="Times New Roman"/>
                <w:noProof/>
              </w:rPr>
            </w:pPr>
            <w:r>
              <w:rPr>
                <w:noProof/>
              </w:rPr>
              <w:t>211</w:t>
            </w:r>
          </w:p>
        </w:tc>
        <w:tc>
          <w:tcPr>
            <w:tcW w:w="1891" w:type="dxa"/>
            <w:tcBorders>
              <w:top w:val="single" w:sz="4" w:space="0" w:color="auto"/>
              <w:left w:val="single" w:sz="4" w:space="0" w:color="auto"/>
              <w:bottom w:val="single" w:sz="4" w:space="0" w:color="auto"/>
              <w:right w:val="single" w:sz="4" w:space="0" w:color="auto"/>
            </w:tcBorders>
            <w:shd w:val="clear" w:color="auto" w:fill="C6EFCE"/>
            <w:noWrap/>
          </w:tcPr>
          <w:p w14:paraId="460B8B4A" w14:textId="2C79C1BD" w:rsidR="003B6BD9" w:rsidRDefault="009E25E8">
            <w:pPr>
              <w:pStyle w:val="P68B1DB1-Normal7"/>
              <w:spacing w:before="0" w:after="0" w:line="240" w:lineRule="auto"/>
              <w:rPr>
                <w:rFonts w:eastAsia="Times New Roman"/>
                <w:noProof/>
              </w:rPr>
            </w:pPr>
            <w:r>
              <w:rPr>
                <w:noProof/>
              </w:rPr>
              <w:t>A: Réforme de la promotion des sources d’énergie renouvelables en Slovénie (renforcée)</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43EB678E" w14:textId="560A424E" w:rsidR="003B6BD9" w:rsidRDefault="009E25E8">
            <w:pPr>
              <w:pStyle w:val="P68B1DB1-Normal7"/>
              <w:spacing w:before="0" w:after="0" w:line="240" w:lineRule="auto"/>
              <w:rPr>
                <w:rFonts w:eastAsia="Times New Roman"/>
                <w:noProof/>
              </w:rPr>
            </w:pPr>
            <w:r>
              <w:rPr>
                <w:noProof/>
              </w:rPr>
              <w:t>Jalon</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38F08BFA" w14:textId="629E9196" w:rsidR="003B6BD9" w:rsidRDefault="009E25E8">
            <w:pPr>
              <w:pStyle w:val="P68B1DB1-Normal7"/>
              <w:spacing w:before="0" w:after="0" w:line="240" w:lineRule="auto"/>
              <w:rPr>
                <w:rFonts w:eastAsia="Times New Roman"/>
                <w:noProof/>
              </w:rPr>
            </w:pPr>
            <w:r>
              <w:rPr>
                <w:noProof/>
              </w:rPr>
              <w:t>Adoption d’un arrêté fixant les modalités d’implantation des installations photovoltaïques</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7F36C40B" w14:textId="65F53EA7" w:rsidR="003B6BD9" w:rsidRDefault="009E25E8">
            <w:pPr>
              <w:pStyle w:val="P68B1DB1-Normal7"/>
              <w:spacing w:before="0" w:after="0" w:line="240" w:lineRule="auto"/>
              <w:rPr>
                <w:rFonts w:eastAsia="Times New Roman"/>
                <w:noProof/>
              </w:rPr>
            </w:pPr>
            <w:r>
              <w:rPr>
                <w:noProof/>
              </w:rPr>
              <w:t>Disposition du décret indiquant l’entrée en vigueur</w:t>
            </w: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730BCC1C" w14:textId="77777777" w:rsidR="003B6BD9" w:rsidRDefault="003B6BD9">
            <w:pPr>
              <w:spacing w:before="0" w:after="0" w:line="240" w:lineRule="auto"/>
              <w:rPr>
                <w:rFonts w:eastAsia="Times New Roman"/>
                <w:noProof/>
                <w:color w:val="006100"/>
                <w:sz w:val="18"/>
                <w:szCs w:val="18"/>
              </w:rPr>
            </w:pP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26A24097" w14:textId="77777777" w:rsidR="003B6BD9" w:rsidRDefault="003B6BD9">
            <w:pPr>
              <w:spacing w:before="0" w:after="0" w:line="240" w:lineRule="auto"/>
              <w:rPr>
                <w:rFonts w:eastAsia="Times New Roman"/>
                <w:noProof/>
                <w:color w:val="006100"/>
                <w:sz w:val="18"/>
                <w:szCs w:val="18"/>
              </w:rPr>
            </w:pP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3994A26B" w14:textId="77777777" w:rsidR="003B6BD9" w:rsidRDefault="003B6BD9">
            <w:pPr>
              <w:spacing w:before="0" w:after="0" w:line="240" w:lineRule="auto"/>
              <w:rPr>
                <w:rFonts w:eastAsia="Times New Roman"/>
                <w:noProof/>
                <w:color w:val="006100"/>
                <w:sz w:val="18"/>
                <w:szCs w:val="18"/>
              </w:rPr>
            </w:pP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1627BA3E" w14:textId="65AE97A2" w:rsidR="003B6BD9" w:rsidRDefault="009E25E8">
            <w:pPr>
              <w:pStyle w:val="P68B1DB1-Normal7"/>
              <w:spacing w:before="0" w:after="0" w:line="240" w:lineRule="auto"/>
              <w:rPr>
                <w:rFonts w:eastAsia="Times New Roman"/>
                <w:noProof/>
              </w:rPr>
            </w:pPr>
            <w:r>
              <w:rPr>
                <w:noProof/>
              </w:rPr>
              <w:t>T2</w:t>
            </w:r>
          </w:p>
        </w:tc>
        <w:tc>
          <w:tcPr>
            <w:tcW w:w="774" w:type="dxa"/>
            <w:tcBorders>
              <w:top w:val="single" w:sz="4" w:space="0" w:color="auto"/>
              <w:left w:val="single" w:sz="4" w:space="0" w:color="auto"/>
              <w:bottom w:val="single" w:sz="4" w:space="0" w:color="auto"/>
              <w:right w:val="single" w:sz="4" w:space="0" w:color="auto"/>
            </w:tcBorders>
            <w:shd w:val="clear" w:color="auto" w:fill="C6EFCE"/>
            <w:noWrap/>
          </w:tcPr>
          <w:p w14:paraId="0D20880F" w14:textId="75FC0CC5" w:rsidR="003B6BD9" w:rsidRDefault="009E25E8">
            <w:pPr>
              <w:pStyle w:val="P68B1DB1-Normal7"/>
              <w:spacing w:before="0" w:after="0" w:line="240" w:lineRule="auto"/>
              <w:rPr>
                <w:rFonts w:eastAsia="Times New Roman"/>
                <w:noProof/>
              </w:rPr>
            </w:pPr>
            <w:r>
              <w:rPr>
                <w:noProof/>
              </w:rPr>
              <w:t>2024</w:t>
            </w:r>
          </w:p>
        </w:tc>
        <w:tc>
          <w:tcPr>
            <w:tcW w:w="3207" w:type="dxa"/>
            <w:tcBorders>
              <w:top w:val="single" w:sz="4" w:space="0" w:color="auto"/>
              <w:left w:val="single" w:sz="4" w:space="0" w:color="auto"/>
              <w:bottom w:val="single" w:sz="4" w:space="0" w:color="auto"/>
              <w:right w:val="single" w:sz="4" w:space="0" w:color="auto"/>
            </w:tcBorders>
            <w:shd w:val="clear" w:color="auto" w:fill="C6EFCE"/>
            <w:noWrap/>
          </w:tcPr>
          <w:p w14:paraId="34106F62" w14:textId="6182E97C" w:rsidR="003B6BD9" w:rsidRDefault="009E25E8">
            <w:pPr>
              <w:pStyle w:val="P68B1DB1-Normal7"/>
              <w:spacing w:before="0" w:after="0" w:line="240" w:lineRule="auto"/>
              <w:rPr>
                <w:rFonts w:eastAsia="Times New Roman"/>
                <w:noProof/>
              </w:rPr>
            </w:pPr>
            <w:r>
              <w:rPr>
                <w:noProof/>
              </w:rPr>
              <w:t>Le décret détaille les règles d’implantation des installations photovoltaïques dans des zones telles que les toits, les surfaces d’eau et les bords de route.</w:t>
            </w:r>
          </w:p>
        </w:tc>
      </w:tr>
      <w:tr w:rsidR="003B6BD9" w14:paraId="0F7C533C"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492E700B" w14:textId="7E9110BC" w:rsidR="003B6BD9" w:rsidRDefault="009E25E8">
            <w:pPr>
              <w:pStyle w:val="P68B1DB1-Normal7"/>
              <w:spacing w:before="0" w:after="0" w:line="240" w:lineRule="auto"/>
              <w:rPr>
                <w:rFonts w:eastAsia="Times New Roman"/>
                <w:noProof/>
              </w:rPr>
            </w:pPr>
            <w:r>
              <w:rPr>
                <w:noProof/>
              </w:rPr>
              <w:t>214</w:t>
            </w:r>
          </w:p>
        </w:tc>
        <w:tc>
          <w:tcPr>
            <w:tcW w:w="1891" w:type="dxa"/>
            <w:tcBorders>
              <w:top w:val="single" w:sz="4" w:space="0" w:color="auto"/>
              <w:left w:val="single" w:sz="4" w:space="0" w:color="auto"/>
              <w:bottom w:val="single" w:sz="4" w:space="0" w:color="auto"/>
              <w:right w:val="single" w:sz="4" w:space="0" w:color="auto"/>
            </w:tcBorders>
            <w:shd w:val="clear" w:color="auto" w:fill="C6EFCE"/>
            <w:noWrap/>
          </w:tcPr>
          <w:p w14:paraId="158D374B" w14:textId="1E3C08B7" w:rsidR="003B6BD9" w:rsidRDefault="009E25E8">
            <w:pPr>
              <w:pStyle w:val="P68B1DB1-Normal7"/>
              <w:spacing w:before="0" w:after="0" w:line="240" w:lineRule="auto"/>
              <w:rPr>
                <w:rFonts w:eastAsia="Times New Roman"/>
                <w:noProof/>
              </w:rPr>
            </w:pPr>
            <w:r>
              <w:rPr>
                <w:noProof/>
              </w:rPr>
              <w:t>C: Renforcement du réseau de distribution d’électricité (réseau à moyenne tension)</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658EF995" w14:textId="6A9B0A8E" w:rsidR="003B6BD9" w:rsidRDefault="009E25E8">
            <w:pPr>
              <w:pStyle w:val="P68B1DB1-Normal7"/>
              <w:spacing w:before="0" w:after="0" w:line="240" w:lineRule="auto"/>
              <w:rPr>
                <w:rFonts w:eastAsia="Times New Roman"/>
                <w:noProof/>
              </w:rPr>
            </w:pPr>
            <w:r>
              <w:rPr>
                <w:noProof/>
              </w:rPr>
              <w:t>Jalon</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3909B1F4" w14:textId="7CF1D27B" w:rsidR="003B6BD9" w:rsidRDefault="009E25E8">
            <w:pPr>
              <w:pStyle w:val="P68B1DB1-Normal7"/>
              <w:spacing w:before="0" w:after="0" w:line="240" w:lineRule="auto"/>
              <w:rPr>
                <w:rFonts w:eastAsia="Times New Roman"/>
                <w:noProof/>
              </w:rPr>
            </w:pPr>
            <w:r>
              <w:rPr>
                <w:noProof/>
              </w:rPr>
              <w:t>Lancement d’un appel à propositions pour un réseau de distribution à moyenne tension nouveau ou réaménagé</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43FCBBE7" w14:textId="77C92B81" w:rsidR="003B6BD9" w:rsidRDefault="009E25E8">
            <w:pPr>
              <w:pStyle w:val="P68B1DB1-Normal7"/>
              <w:spacing w:before="0" w:after="0" w:line="240" w:lineRule="auto"/>
              <w:rPr>
                <w:rFonts w:eastAsia="Times New Roman"/>
                <w:noProof/>
              </w:rPr>
            </w:pPr>
            <w:r>
              <w:rPr>
                <w:noProof/>
              </w:rPr>
              <w:t xml:space="preserve">Publication de l’appel à propositions </w:t>
            </w: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51C153B9" w14:textId="77777777" w:rsidR="003B6BD9" w:rsidRDefault="003B6BD9">
            <w:pPr>
              <w:spacing w:before="0" w:after="0" w:line="240" w:lineRule="auto"/>
              <w:rPr>
                <w:rFonts w:eastAsia="Times New Roman"/>
                <w:noProof/>
                <w:color w:val="006100"/>
                <w:sz w:val="18"/>
                <w:szCs w:val="18"/>
              </w:rPr>
            </w:pP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00B5D300" w14:textId="77777777" w:rsidR="003B6BD9" w:rsidRDefault="003B6BD9">
            <w:pPr>
              <w:spacing w:before="0" w:after="0" w:line="240" w:lineRule="auto"/>
              <w:rPr>
                <w:rFonts w:eastAsia="Times New Roman"/>
                <w:noProof/>
                <w:color w:val="006100"/>
                <w:sz w:val="18"/>
                <w:szCs w:val="18"/>
              </w:rPr>
            </w:pP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5A6C64F7" w14:textId="77777777" w:rsidR="003B6BD9" w:rsidRDefault="003B6BD9">
            <w:pPr>
              <w:spacing w:before="0" w:after="0" w:line="240" w:lineRule="auto"/>
              <w:rPr>
                <w:rFonts w:eastAsia="Times New Roman"/>
                <w:noProof/>
                <w:color w:val="006100"/>
                <w:sz w:val="18"/>
                <w:szCs w:val="18"/>
              </w:rPr>
            </w:pP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0B6A39E4" w14:textId="48618907" w:rsidR="003B6BD9" w:rsidRDefault="009E25E8">
            <w:pPr>
              <w:pStyle w:val="P68B1DB1-Normal7"/>
              <w:spacing w:before="0" w:after="0" w:line="240" w:lineRule="auto"/>
              <w:rPr>
                <w:rFonts w:eastAsia="Times New Roman"/>
                <w:noProof/>
              </w:rPr>
            </w:pPr>
            <w:r>
              <w:rPr>
                <w:noProof/>
              </w:rPr>
              <w:t>T2</w:t>
            </w:r>
          </w:p>
        </w:tc>
        <w:tc>
          <w:tcPr>
            <w:tcW w:w="774" w:type="dxa"/>
            <w:tcBorders>
              <w:top w:val="single" w:sz="4" w:space="0" w:color="auto"/>
              <w:left w:val="single" w:sz="4" w:space="0" w:color="auto"/>
              <w:bottom w:val="single" w:sz="4" w:space="0" w:color="auto"/>
              <w:right w:val="single" w:sz="4" w:space="0" w:color="auto"/>
            </w:tcBorders>
            <w:shd w:val="clear" w:color="auto" w:fill="C6EFCE"/>
            <w:noWrap/>
          </w:tcPr>
          <w:p w14:paraId="053B9CD3" w14:textId="60D29C78" w:rsidR="003B6BD9" w:rsidRDefault="009E25E8">
            <w:pPr>
              <w:pStyle w:val="P68B1DB1-Normal7"/>
              <w:spacing w:before="0" w:after="0" w:line="240" w:lineRule="auto"/>
              <w:rPr>
                <w:rFonts w:eastAsia="Times New Roman"/>
                <w:noProof/>
              </w:rPr>
            </w:pPr>
            <w:r>
              <w:rPr>
                <w:noProof/>
              </w:rPr>
              <w:t>2024</w:t>
            </w:r>
          </w:p>
        </w:tc>
        <w:tc>
          <w:tcPr>
            <w:tcW w:w="3207" w:type="dxa"/>
            <w:tcBorders>
              <w:top w:val="single" w:sz="4" w:space="0" w:color="auto"/>
              <w:left w:val="single" w:sz="4" w:space="0" w:color="auto"/>
              <w:bottom w:val="single" w:sz="4" w:space="0" w:color="auto"/>
              <w:right w:val="single" w:sz="4" w:space="0" w:color="auto"/>
            </w:tcBorders>
            <w:shd w:val="clear" w:color="auto" w:fill="C6EFCE"/>
            <w:noWrap/>
          </w:tcPr>
          <w:p w14:paraId="2163772B" w14:textId="385CB3FC" w:rsidR="003B6BD9" w:rsidRDefault="009E25E8">
            <w:pPr>
              <w:pStyle w:val="P68B1DB1-Normal7"/>
              <w:spacing w:before="0" w:after="0" w:line="240" w:lineRule="auto"/>
              <w:rPr>
                <w:rFonts w:eastAsia="Times New Roman"/>
                <w:noProof/>
              </w:rPr>
            </w:pPr>
            <w:r>
              <w:rPr>
                <w:noProof/>
              </w:rPr>
              <w:t xml:space="preserve">L’appel à propositions pour la construction d’un réseau de distribution d’électricité à moyenne tension nouveau ou modernisé est publié. </w:t>
            </w:r>
          </w:p>
          <w:p w14:paraId="3370AE3D" w14:textId="2684B0DB" w:rsidR="003B6BD9" w:rsidRDefault="009E25E8">
            <w:pPr>
              <w:pStyle w:val="P68B1DB1-Normal7"/>
              <w:spacing w:before="0" w:after="0" w:line="240" w:lineRule="auto"/>
              <w:rPr>
                <w:rFonts w:eastAsia="Times New Roman"/>
                <w:noProof/>
              </w:rPr>
            </w:pPr>
            <w:r>
              <w:rPr>
                <w:noProof/>
              </w:rPr>
              <w:t>L’investissement promeut la numérisation du réseau en couvrant les nouveaux systèmes de contrôle et les nouvelles technologies de capteurs qui permettent une surveillance, une mesure, un contrôle de la qualité ou une gestion interactifs et intelligents de la production, du transport, de la distribution ou de la consommation d’énergie au sein du réseau de distribution.</w:t>
            </w:r>
          </w:p>
          <w:p w14:paraId="19A2CC2B" w14:textId="77777777" w:rsidR="003B6BD9" w:rsidRDefault="003B6BD9">
            <w:pPr>
              <w:spacing w:before="0" w:after="0" w:line="240" w:lineRule="auto"/>
              <w:rPr>
                <w:rFonts w:eastAsia="Times New Roman"/>
                <w:noProof/>
                <w:color w:val="006100"/>
                <w:sz w:val="18"/>
                <w:szCs w:val="18"/>
              </w:rPr>
            </w:pPr>
          </w:p>
          <w:p w14:paraId="5AFBF895" w14:textId="00ED2E1D" w:rsidR="003B6BD9" w:rsidRDefault="009E25E8">
            <w:pPr>
              <w:pStyle w:val="P68B1DB1-Normal7"/>
              <w:spacing w:before="0" w:after="0" w:line="240" w:lineRule="auto"/>
              <w:rPr>
                <w:rFonts w:eastAsia="Times New Roman"/>
                <w:noProof/>
              </w:rPr>
            </w:pPr>
            <w:r>
              <w:rPr>
                <w:noProof/>
              </w:rPr>
              <w:t xml:space="preserve">Les critères d’éligibilité garantissent le respect des orientations techniques «ne pas causer de préjudice important» (2021/C58/01). </w:t>
            </w:r>
          </w:p>
        </w:tc>
      </w:tr>
      <w:tr w:rsidR="003B6BD9" w14:paraId="66335119"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3E11BD51" w14:textId="0027173F" w:rsidR="003B6BD9" w:rsidRDefault="009E25E8">
            <w:pPr>
              <w:pStyle w:val="P68B1DB1-Normal7"/>
              <w:spacing w:before="0" w:after="0" w:line="240" w:lineRule="auto"/>
              <w:rPr>
                <w:rFonts w:eastAsia="Times New Roman"/>
                <w:noProof/>
              </w:rPr>
            </w:pPr>
            <w:r>
              <w:rPr>
                <w:noProof/>
              </w:rPr>
              <w:t>215</w:t>
            </w:r>
          </w:p>
        </w:tc>
        <w:tc>
          <w:tcPr>
            <w:tcW w:w="1891" w:type="dxa"/>
            <w:tcBorders>
              <w:top w:val="single" w:sz="4" w:space="0" w:color="auto"/>
              <w:left w:val="single" w:sz="4" w:space="0" w:color="auto"/>
              <w:bottom w:val="single" w:sz="4" w:space="0" w:color="auto"/>
              <w:right w:val="single" w:sz="4" w:space="0" w:color="auto"/>
            </w:tcBorders>
            <w:shd w:val="clear" w:color="auto" w:fill="C6EFCE"/>
            <w:noWrap/>
          </w:tcPr>
          <w:p w14:paraId="49989B2D" w14:textId="76B3794A" w:rsidR="003B6BD9" w:rsidRDefault="009E25E8">
            <w:pPr>
              <w:pStyle w:val="P68B1DB1-Normal7"/>
              <w:spacing w:before="0" w:after="0" w:line="240" w:lineRule="auto"/>
              <w:rPr>
                <w:rFonts w:eastAsia="Times New Roman"/>
                <w:noProof/>
              </w:rPr>
            </w:pPr>
            <w:r>
              <w:rPr>
                <w:noProof/>
              </w:rPr>
              <w:t>C: Renforcement du réseau de distribution d’électricité (réseau à moyenne tension)</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7E85E383" w14:textId="5E142BF6" w:rsidR="003B6BD9" w:rsidRDefault="009E25E8">
            <w:pPr>
              <w:pStyle w:val="P68B1DB1-Normal7"/>
              <w:spacing w:before="0" w:after="0" w:line="240" w:lineRule="auto"/>
              <w:rPr>
                <w:rFonts w:eastAsia="Times New Roman"/>
                <w:noProof/>
              </w:rPr>
            </w:pPr>
            <w:r>
              <w:rPr>
                <w:noProof/>
              </w:rPr>
              <w:t>Cible</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71761472" w14:textId="5D4C149E" w:rsidR="003B6BD9" w:rsidRDefault="009E25E8">
            <w:pPr>
              <w:pStyle w:val="P68B1DB1-Normal7"/>
              <w:spacing w:before="0" w:after="0" w:line="240" w:lineRule="auto"/>
              <w:rPr>
                <w:rFonts w:eastAsia="Times New Roman"/>
                <w:noProof/>
              </w:rPr>
            </w:pPr>
            <w:r>
              <w:rPr>
                <w:noProof/>
              </w:rPr>
              <w:t>Longueur du réseau de distribution</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59FB3CFE" w14:textId="388BEB42" w:rsidR="003B6BD9" w:rsidRDefault="009E25E8">
            <w:pPr>
              <w:pStyle w:val="P68B1DB1-Normal7"/>
              <w:spacing w:before="0" w:after="0" w:line="240" w:lineRule="auto"/>
              <w:rPr>
                <w:rFonts w:eastAsia="Times New Roman"/>
                <w:noProof/>
              </w:rPr>
            </w:pPr>
            <w:r>
              <w:rPr>
                <w:noProof/>
              </w:rPr>
              <w:t> </w:t>
            </w: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165FC58D" w14:textId="6CB06DC8" w:rsidR="003B6BD9" w:rsidRDefault="009E25E8">
            <w:pPr>
              <w:pStyle w:val="P68B1DB1-Normal7"/>
              <w:spacing w:before="0" w:after="0" w:line="240" w:lineRule="auto"/>
              <w:rPr>
                <w:rFonts w:eastAsia="Times New Roman"/>
                <w:noProof/>
              </w:rPr>
            </w:pPr>
            <w:r>
              <w:rPr>
                <w:noProof/>
              </w:rPr>
              <w:t xml:space="preserve"> kilomètres</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732A6D90" w14:textId="567056C8" w:rsidR="003B6BD9" w:rsidRDefault="009E25E8">
            <w:pPr>
              <w:pStyle w:val="P68B1DB1-Normal7"/>
              <w:spacing w:before="0" w:after="0" w:line="240" w:lineRule="auto"/>
              <w:rPr>
                <w:rFonts w:eastAsia="Times New Roman"/>
                <w:noProof/>
              </w:rPr>
            </w:pPr>
            <w:r>
              <w:rPr>
                <w:noProof/>
              </w:rPr>
              <w:t>0</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3DBA281F" w14:textId="072DB705" w:rsidR="003B6BD9" w:rsidRDefault="009E25E8">
            <w:pPr>
              <w:pStyle w:val="P68B1DB1-Normal7"/>
              <w:spacing w:before="0" w:after="0" w:line="240" w:lineRule="auto"/>
              <w:rPr>
                <w:rFonts w:eastAsia="Times New Roman"/>
                <w:noProof/>
              </w:rPr>
            </w:pPr>
            <w:r>
              <w:rPr>
                <w:noProof/>
              </w:rPr>
              <w:t>227</w:t>
            </w: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29A1FC03" w14:textId="4FA5061D" w:rsidR="003B6BD9" w:rsidRDefault="009E25E8">
            <w:pPr>
              <w:pStyle w:val="P68B1DB1-Normal7"/>
              <w:spacing w:before="0" w:after="0" w:line="240" w:lineRule="auto"/>
              <w:rPr>
                <w:rFonts w:eastAsia="Times New Roman"/>
                <w:noProof/>
              </w:rPr>
            </w:pPr>
            <w:r>
              <w:rPr>
                <w:noProof/>
              </w:rPr>
              <w:t>T2</w:t>
            </w:r>
          </w:p>
        </w:tc>
        <w:tc>
          <w:tcPr>
            <w:tcW w:w="774" w:type="dxa"/>
            <w:tcBorders>
              <w:top w:val="single" w:sz="4" w:space="0" w:color="auto"/>
              <w:left w:val="single" w:sz="4" w:space="0" w:color="auto"/>
              <w:bottom w:val="single" w:sz="4" w:space="0" w:color="auto"/>
              <w:right w:val="single" w:sz="4" w:space="0" w:color="auto"/>
            </w:tcBorders>
            <w:shd w:val="clear" w:color="auto" w:fill="C6EFCE"/>
            <w:noWrap/>
          </w:tcPr>
          <w:p w14:paraId="464DD542" w14:textId="08E86D6A" w:rsidR="003B6BD9" w:rsidRDefault="009E25E8">
            <w:pPr>
              <w:pStyle w:val="P68B1DB1-Normal7"/>
              <w:spacing w:before="0" w:after="0" w:line="240" w:lineRule="auto"/>
              <w:rPr>
                <w:rFonts w:eastAsia="Times New Roman"/>
                <w:noProof/>
              </w:rPr>
            </w:pPr>
            <w:r>
              <w:rPr>
                <w:noProof/>
              </w:rPr>
              <w:t>2026</w:t>
            </w:r>
          </w:p>
        </w:tc>
        <w:tc>
          <w:tcPr>
            <w:tcW w:w="3207" w:type="dxa"/>
            <w:tcBorders>
              <w:top w:val="single" w:sz="4" w:space="0" w:color="auto"/>
              <w:left w:val="single" w:sz="4" w:space="0" w:color="auto"/>
              <w:bottom w:val="single" w:sz="4" w:space="0" w:color="auto"/>
              <w:right w:val="single" w:sz="4" w:space="0" w:color="auto"/>
            </w:tcBorders>
            <w:shd w:val="clear" w:color="auto" w:fill="C6EFCE"/>
            <w:noWrap/>
          </w:tcPr>
          <w:p w14:paraId="32FB1A79" w14:textId="43B840C2" w:rsidR="003B6BD9" w:rsidRDefault="009E25E8">
            <w:pPr>
              <w:pStyle w:val="P68B1DB1-Normal7"/>
              <w:spacing w:before="0" w:after="0" w:line="240" w:lineRule="auto"/>
              <w:rPr>
                <w:rFonts w:eastAsia="Times New Roman"/>
                <w:noProof/>
              </w:rPr>
            </w:pPr>
            <w:r>
              <w:rPr>
                <w:noProof/>
              </w:rPr>
              <w:t>Au moins 227 km de réseau de distribution à moyenne tension doivent être construits.</w:t>
            </w:r>
          </w:p>
        </w:tc>
      </w:tr>
      <w:tr w:rsidR="003B6BD9" w14:paraId="1C62CE20"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7AB2ADF0" w14:textId="0023B877" w:rsidR="003B6BD9" w:rsidRDefault="009E25E8">
            <w:pPr>
              <w:pStyle w:val="P68B1DB1-Normal7"/>
              <w:spacing w:before="0" w:after="0" w:line="240" w:lineRule="auto"/>
              <w:rPr>
                <w:noProof/>
              </w:rPr>
            </w:pPr>
            <w:r>
              <w:rPr>
                <w:noProof/>
              </w:rPr>
              <w:t>215 bis</w:t>
            </w:r>
          </w:p>
        </w:tc>
        <w:tc>
          <w:tcPr>
            <w:tcW w:w="1891" w:type="dxa"/>
            <w:tcBorders>
              <w:top w:val="single" w:sz="4" w:space="0" w:color="auto"/>
              <w:left w:val="single" w:sz="4" w:space="0" w:color="auto"/>
              <w:bottom w:val="single" w:sz="4" w:space="0" w:color="auto"/>
              <w:right w:val="single" w:sz="4" w:space="0" w:color="auto"/>
            </w:tcBorders>
            <w:shd w:val="clear" w:color="auto" w:fill="C6EFCE"/>
            <w:noWrap/>
          </w:tcPr>
          <w:p w14:paraId="33C7D364" w14:textId="0790193F" w:rsidR="003B6BD9" w:rsidRDefault="009E25E8">
            <w:pPr>
              <w:pStyle w:val="P68B1DB1-Normal7"/>
              <w:spacing w:before="0" w:after="0" w:line="240" w:lineRule="auto"/>
              <w:rPr>
                <w:noProof/>
              </w:rPr>
            </w:pPr>
            <w:r>
              <w:rPr>
                <w:noProof/>
              </w:rPr>
              <w:t>C: Renforcement du réseau de distribution d’électricité (réseau moyenne tension et réseau basse tension)</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14056FD5" w14:textId="4C73C425" w:rsidR="003B6BD9" w:rsidRDefault="009E25E8">
            <w:pPr>
              <w:pStyle w:val="P68B1DB1-Normal7"/>
              <w:spacing w:before="0" w:after="0" w:line="240" w:lineRule="auto"/>
              <w:rPr>
                <w:noProof/>
              </w:rPr>
            </w:pPr>
            <w:r>
              <w:rPr>
                <w:noProof/>
              </w:rPr>
              <w:t>Cible</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2FA00350" w14:textId="75E0B189" w:rsidR="003B6BD9" w:rsidRDefault="009E25E8">
            <w:pPr>
              <w:pStyle w:val="P68B1DB1-Normal7"/>
              <w:spacing w:before="0" w:after="0" w:line="240" w:lineRule="auto"/>
              <w:rPr>
                <w:noProof/>
              </w:rPr>
            </w:pPr>
            <w:r>
              <w:rPr>
                <w:noProof/>
              </w:rPr>
              <w:t xml:space="preserve">Longueur du réseau de distribution (basse tension) </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28ABF219" w14:textId="77777777" w:rsidR="003B6BD9" w:rsidRDefault="003B6BD9">
            <w:pPr>
              <w:spacing w:before="0" w:after="0" w:line="240" w:lineRule="auto"/>
              <w:rPr>
                <w:noProof/>
                <w:color w:val="006100"/>
                <w:sz w:val="18"/>
                <w:szCs w:val="18"/>
              </w:rPr>
            </w:pP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67738158" w14:textId="22B10258" w:rsidR="003B6BD9" w:rsidRDefault="009E25E8">
            <w:pPr>
              <w:pStyle w:val="P68B1DB1-Normal7"/>
              <w:spacing w:before="0" w:after="0" w:line="240" w:lineRule="auto"/>
              <w:rPr>
                <w:noProof/>
              </w:rPr>
            </w:pPr>
            <w:r>
              <w:rPr>
                <w:noProof/>
              </w:rPr>
              <w:t xml:space="preserve"> kilomètres</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55360C1F" w14:textId="5FB69012" w:rsidR="003B6BD9" w:rsidRDefault="009E25E8">
            <w:pPr>
              <w:pStyle w:val="P68B1DB1-Normal7"/>
              <w:spacing w:before="0" w:after="0" w:line="240" w:lineRule="auto"/>
              <w:rPr>
                <w:noProof/>
              </w:rPr>
            </w:pPr>
            <w:r>
              <w:rPr>
                <w:noProof/>
              </w:rPr>
              <w:t>0</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157BE478" w14:textId="1158575B" w:rsidR="003B6BD9" w:rsidRDefault="009E25E8">
            <w:pPr>
              <w:pStyle w:val="P68B1DB1-Normal7"/>
              <w:spacing w:before="0" w:after="0" w:line="240" w:lineRule="auto"/>
              <w:rPr>
                <w:noProof/>
              </w:rPr>
            </w:pPr>
            <w:r>
              <w:rPr>
                <w:noProof/>
              </w:rPr>
              <w:t>806</w:t>
            </w: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4CF895F3" w14:textId="37012F24" w:rsidR="003B6BD9" w:rsidRDefault="009E25E8">
            <w:pPr>
              <w:pStyle w:val="P68B1DB1-Normal7"/>
              <w:spacing w:before="0" w:after="0" w:line="240" w:lineRule="auto"/>
              <w:rPr>
                <w:noProof/>
              </w:rPr>
            </w:pPr>
            <w:r>
              <w:rPr>
                <w:noProof/>
              </w:rPr>
              <w:t>T2</w:t>
            </w:r>
          </w:p>
        </w:tc>
        <w:tc>
          <w:tcPr>
            <w:tcW w:w="774" w:type="dxa"/>
            <w:tcBorders>
              <w:top w:val="single" w:sz="4" w:space="0" w:color="auto"/>
              <w:left w:val="single" w:sz="4" w:space="0" w:color="auto"/>
              <w:bottom w:val="single" w:sz="4" w:space="0" w:color="auto"/>
              <w:right w:val="single" w:sz="4" w:space="0" w:color="auto"/>
            </w:tcBorders>
            <w:shd w:val="clear" w:color="auto" w:fill="C6EFCE"/>
            <w:noWrap/>
          </w:tcPr>
          <w:p w14:paraId="779D7A9E" w14:textId="4B705683" w:rsidR="003B6BD9" w:rsidRDefault="009E25E8">
            <w:pPr>
              <w:pStyle w:val="P68B1DB1-Normal7"/>
              <w:spacing w:before="0" w:after="0" w:line="240" w:lineRule="auto"/>
              <w:rPr>
                <w:noProof/>
              </w:rPr>
            </w:pPr>
            <w:r>
              <w:rPr>
                <w:noProof/>
              </w:rPr>
              <w:t>2026</w:t>
            </w:r>
          </w:p>
        </w:tc>
        <w:tc>
          <w:tcPr>
            <w:tcW w:w="3207" w:type="dxa"/>
            <w:tcBorders>
              <w:top w:val="single" w:sz="4" w:space="0" w:color="auto"/>
              <w:left w:val="single" w:sz="4" w:space="0" w:color="auto"/>
              <w:bottom w:val="single" w:sz="4" w:space="0" w:color="auto"/>
              <w:right w:val="single" w:sz="4" w:space="0" w:color="auto"/>
            </w:tcBorders>
            <w:shd w:val="clear" w:color="auto" w:fill="C6EFCE"/>
            <w:noWrap/>
          </w:tcPr>
          <w:p w14:paraId="6F75FC74" w14:textId="051C0997" w:rsidR="003B6BD9" w:rsidRDefault="009E25E8">
            <w:pPr>
              <w:pStyle w:val="P68B1DB1-Normal7"/>
              <w:spacing w:before="0" w:after="0" w:line="240" w:lineRule="auto"/>
              <w:rPr>
                <w:noProof/>
              </w:rPr>
            </w:pPr>
            <w:r>
              <w:rPr>
                <w:noProof/>
              </w:rPr>
              <w:t>Au moins 806 km de nouveau réseau de distribution basse tension doivent être construits.</w:t>
            </w:r>
          </w:p>
        </w:tc>
      </w:tr>
      <w:tr w:rsidR="003B6BD9" w14:paraId="3D3F46F7"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07F8EBF2" w14:textId="5E410EEF" w:rsidR="003B6BD9" w:rsidRDefault="009E25E8">
            <w:pPr>
              <w:pStyle w:val="P68B1DB1-Normal7"/>
              <w:spacing w:before="0" w:after="0" w:line="240" w:lineRule="auto"/>
              <w:rPr>
                <w:rFonts w:eastAsia="Times New Roman"/>
                <w:noProof/>
              </w:rPr>
            </w:pPr>
            <w:r>
              <w:rPr>
                <w:noProof/>
              </w:rPr>
              <w:t>216</w:t>
            </w:r>
          </w:p>
        </w:tc>
        <w:tc>
          <w:tcPr>
            <w:tcW w:w="1891" w:type="dxa"/>
            <w:tcBorders>
              <w:top w:val="single" w:sz="4" w:space="0" w:color="auto"/>
              <w:left w:val="single" w:sz="4" w:space="0" w:color="auto"/>
              <w:bottom w:val="single" w:sz="4" w:space="0" w:color="auto"/>
              <w:right w:val="single" w:sz="4" w:space="0" w:color="auto"/>
            </w:tcBorders>
            <w:shd w:val="clear" w:color="auto" w:fill="C6EFCE"/>
            <w:noWrap/>
          </w:tcPr>
          <w:p w14:paraId="73805A35" w14:textId="4807D220" w:rsidR="003B6BD9" w:rsidRDefault="009E25E8">
            <w:pPr>
              <w:pStyle w:val="P68B1DB1-Normal7"/>
              <w:spacing w:before="0" w:after="0" w:line="240" w:lineRule="auto"/>
              <w:rPr>
                <w:rFonts w:eastAsia="Times New Roman"/>
                <w:noProof/>
              </w:rPr>
            </w:pPr>
            <w:r>
              <w:rPr>
                <w:noProof/>
              </w:rPr>
              <w:t>D: Efficacité énergétique et décarbonation de l’économie</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1E11A568" w14:textId="2223FF48" w:rsidR="003B6BD9" w:rsidRDefault="009E25E8">
            <w:pPr>
              <w:pStyle w:val="P68B1DB1-Normal7"/>
              <w:spacing w:before="0" w:after="0" w:line="240" w:lineRule="auto"/>
              <w:rPr>
                <w:rFonts w:eastAsia="Times New Roman"/>
                <w:noProof/>
              </w:rPr>
            </w:pPr>
            <w:r>
              <w:rPr>
                <w:noProof/>
              </w:rPr>
              <w:t>Jalon</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26034DE4" w14:textId="7A98B01F" w:rsidR="003B6BD9" w:rsidRDefault="009E25E8">
            <w:pPr>
              <w:pStyle w:val="P68B1DB1-Normal7"/>
              <w:spacing w:before="0" w:after="0" w:line="240" w:lineRule="auto"/>
              <w:rPr>
                <w:rFonts w:eastAsia="Times New Roman"/>
                <w:noProof/>
              </w:rPr>
            </w:pPr>
            <w:r>
              <w:rPr>
                <w:noProof/>
              </w:rPr>
              <w:t>Lancement d’un régime de soutien à l’efficacité énergétique et à la décarbonation de l’économie</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67CFE5C3" w14:textId="3F706B61" w:rsidR="003B6BD9" w:rsidRDefault="009E25E8">
            <w:pPr>
              <w:pStyle w:val="P68B1DB1-Normal7"/>
              <w:spacing w:before="0" w:after="0" w:line="240" w:lineRule="auto"/>
              <w:rPr>
                <w:rFonts w:eastAsia="Times New Roman"/>
                <w:noProof/>
              </w:rPr>
            </w:pPr>
            <w:r>
              <w:rPr>
                <w:noProof/>
              </w:rPr>
              <w:t>Publication d’un appel à propositions</w:t>
            </w: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2DAE640D" w14:textId="77777777" w:rsidR="003B6BD9" w:rsidRDefault="003B6BD9">
            <w:pPr>
              <w:spacing w:before="0" w:after="0" w:line="240" w:lineRule="auto"/>
              <w:rPr>
                <w:rFonts w:eastAsia="Times New Roman"/>
                <w:noProof/>
                <w:color w:val="006100"/>
                <w:sz w:val="18"/>
                <w:szCs w:val="18"/>
              </w:rPr>
            </w:pP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16410404" w14:textId="77777777" w:rsidR="003B6BD9" w:rsidRDefault="003B6BD9">
            <w:pPr>
              <w:spacing w:before="0" w:after="0" w:line="240" w:lineRule="auto"/>
              <w:rPr>
                <w:rFonts w:eastAsia="Times New Roman"/>
                <w:noProof/>
                <w:color w:val="006100"/>
                <w:sz w:val="18"/>
                <w:szCs w:val="18"/>
              </w:rPr>
            </w:pP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5743D742" w14:textId="77777777" w:rsidR="003B6BD9" w:rsidRDefault="003B6BD9">
            <w:pPr>
              <w:spacing w:before="0" w:after="0" w:line="240" w:lineRule="auto"/>
              <w:rPr>
                <w:rFonts w:eastAsia="Times New Roman"/>
                <w:noProof/>
                <w:color w:val="006100"/>
                <w:sz w:val="18"/>
                <w:szCs w:val="18"/>
              </w:rPr>
            </w:pP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60A5D598" w14:textId="5F653DE6" w:rsidR="003B6BD9" w:rsidRDefault="009E25E8">
            <w:pPr>
              <w:pStyle w:val="P68B1DB1-Normal7"/>
              <w:spacing w:before="0" w:after="0" w:line="240" w:lineRule="auto"/>
              <w:rPr>
                <w:rFonts w:eastAsia="Times New Roman"/>
                <w:noProof/>
              </w:rPr>
            </w:pPr>
            <w:r>
              <w:rPr>
                <w:noProof/>
              </w:rPr>
              <w:t>T2</w:t>
            </w:r>
          </w:p>
        </w:tc>
        <w:tc>
          <w:tcPr>
            <w:tcW w:w="774" w:type="dxa"/>
            <w:tcBorders>
              <w:top w:val="single" w:sz="4" w:space="0" w:color="auto"/>
              <w:left w:val="single" w:sz="4" w:space="0" w:color="auto"/>
              <w:bottom w:val="single" w:sz="4" w:space="0" w:color="auto"/>
              <w:right w:val="single" w:sz="4" w:space="0" w:color="auto"/>
            </w:tcBorders>
            <w:shd w:val="clear" w:color="auto" w:fill="C6EFCE"/>
            <w:noWrap/>
          </w:tcPr>
          <w:p w14:paraId="55000128" w14:textId="4A04919F" w:rsidR="003B6BD9" w:rsidRDefault="009E25E8">
            <w:pPr>
              <w:pStyle w:val="P68B1DB1-Normal7"/>
              <w:spacing w:before="0" w:after="0" w:line="240" w:lineRule="auto"/>
              <w:rPr>
                <w:rFonts w:eastAsia="Times New Roman"/>
                <w:noProof/>
              </w:rPr>
            </w:pPr>
            <w:r>
              <w:rPr>
                <w:noProof/>
              </w:rPr>
              <w:t>2024</w:t>
            </w:r>
          </w:p>
        </w:tc>
        <w:tc>
          <w:tcPr>
            <w:tcW w:w="3207" w:type="dxa"/>
            <w:tcBorders>
              <w:top w:val="single" w:sz="4" w:space="0" w:color="auto"/>
              <w:left w:val="single" w:sz="4" w:space="0" w:color="auto"/>
              <w:bottom w:val="single" w:sz="4" w:space="0" w:color="auto"/>
              <w:right w:val="single" w:sz="4" w:space="0" w:color="auto"/>
            </w:tcBorders>
            <w:shd w:val="clear" w:color="auto" w:fill="C6EFCE"/>
            <w:noWrap/>
          </w:tcPr>
          <w:p w14:paraId="1883D938" w14:textId="67DCA03F" w:rsidR="003B6BD9" w:rsidRDefault="009E25E8">
            <w:pPr>
              <w:pStyle w:val="P68B1DB1-Normal7"/>
              <w:spacing w:before="0" w:after="0" w:line="240" w:lineRule="auto"/>
              <w:rPr>
                <w:rFonts w:eastAsia="Times New Roman"/>
                <w:noProof/>
              </w:rPr>
            </w:pPr>
            <w:r>
              <w:rPr>
                <w:noProof/>
              </w:rPr>
              <w:t>Publication d’un appel à propositions pour l’efficacité énergétique et la décarbonation de l’économie.</w:t>
            </w:r>
          </w:p>
          <w:p w14:paraId="6F0778FD" w14:textId="02761B29" w:rsidR="003B6BD9" w:rsidRDefault="003B6BD9">
            <w:pPr>
              <w:spacing w:before="0" w:after="0" w:line="240" w:lineRule="auto"/>
              <w:rPr>
                <w:rFonts w:eastAsia="Times New Roman"/>
                <w:noProof/>
                <w:color w:val="006100"/>
                <w:sz w:val="18"/>
                <w:szCs w:val="18"/>
              </w:rPr>
            </w:pPr>
          </w:p>
          <w:p w14:paraId="462440E2" w14:textId="67612033" w:rsidR="003B6BD9" w:rsidRDefault="009E25E8">
            <w:pPr>
              <w:pStyle w:val="P68B1DB1-Normal7"/>
              <w:spacing w:before="0" w:after="0" w:line="240" w:lineRule="auto"/>
              <w:rPr>
                <w:rFonts w:eastAsia="Times New Roman"/>
                <w:noProof/>
              </w:rPr>
            </w:pPr>
            <w:r>
              <w:rPr>
                <w:noProof/>
              </w:rPr>
              <w:t>Les conditions du régime sont conformes à la description de la mesure.</w:t>
            </w:r>
          </w:p>
          <w:p w14:paraId="56F1F0FB" w14:textId="0D84DF1E" w:rsidR="003B6BD9" w:rsidRDefault="003B6BD9">
            <w:pPr>
              <w:spacing w:before="0" w:after="0" w:line="240" w:lineRule="auto"/>
              <w:rPr>
                <w:rFonts w:eastAsia="Times New Roman"/>
                <w:noProof/>
                <w:color w:val="006100"/>
                <w:sz w:val="18"/>
                <w:szCs w:val="18"/>
              </w:rPr>
            </w:pPr>
          </w:p>
          <w:p w14:paraId="7C394CAB" w14:textId="463099EF" w:rsidR="003B6BD9" w:rsidRDefault="009E25E8">
            <w:pPr>
              <w:pStyle w:val="P68B1DB1-Normal7"/>
              <w:spacing w:before="0" w:after="0" w:line="240" w:lineRule="auto"/>
              <w:rPr>
                <w:rFonts w:eastAsia="Times New Roman"/>
                <w:noProof/>
              </w:rPr>
            </w:pPr>
            <w:r>
              <w:rPr>
                <w:noProof/>
              </w:rPr>
              <w:t>Les critères d’éligibilité garantissent le respect des orientations techniques «ne pas causer de préjudice important» (2021/C58/01).</w:t>
            </w:r>
          </w:p>
        </w:tc>
      </w:tr>
      <w:tr w:rsidR="003B6BD9" w14:paraId="0F9F1367"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036D5BB5" w14:textId="2FDBC709" w:rsidR="003B6BD9" w:rsidRDefault="009E25E8">
            <w:pPr>
              <w:pStyle w:val="P68B1DB1-Normal7"/>
              <w:spacing w:before="0" w:after="0" w:line="240" w:lineRule="auto"/>
              <w:rPr>
                <w:rFonts w:eastAsia="Times New Roman"/>
                <w:noProof/>
              </w:rPr>
            </w:pPr>
            <w:r>
              <w:rPr>
                <w:noProof/>
              </w:rPr>
              <w:t>217</w:t>
            </w:r>
          </w:p>
        </w:tc>
        <w:tc>
          <w:tcPr>
            <w:tcW w:w="1891" w:type="dxa"/>
            <w:tcBorders>
              <w:top w:val="single" w:sz="4" w:space="0" w:color="auto"/>
              <w:left w:val="single" w:sz="4" w:space="0" w:color="auto"/>
              <w:bottom w:val="single" w:sz="4" w:space="0" w:color="auto"/>
              <w:right w:val="single" w:sz="4" w:space="0" w:color="auto"/>
            </w:tcBorders>
            <w:shd w:val="clear" w:color="auto" w:fill="C6EFCE"/>
            <w:noWrap/>
          </w:tcPr>
          <w:p w14:paraId="1563E7C7" w14:textId="1D6F64A3" w:rsidR="003B6BD9" w:rsidRDefault="009E25E8">
            <w:pPr>
              <w:pStyle w:val="P68B1DB1-Normal7"/>
              <w:spacing w:before="0" w:after="0" w:line="240" w:lineRule="auto"/>
              <w:rPr>
                <w:rFonts w:eastAsia="Times New Roman"/>
                <w:noProof/>
              </w:rPr>
            </w:pPr>
            <w:r>
              <w:rPr>
                <w:noProof/>
              </w:rPr>
              <w:t>D: Efficacité énergétique et décarbonation de l’économie</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34BF7989" w14:textId="128EC8DB" w:rsidR="003B6BD9" w:rsidRDefault="009E25E8">
            <w:pPr>
              <w:pStyle w:val="P68B1DB1-Normal7"/>
              <w:spacing w:before="0" w:after="0" w:line="240" w:lineRule="auto"/>
              <w:rPr>
                <w:rFonts w:eastAsia="Times New Roman"/>
                <w:noProof/>
              </w:rPr>
            </w:pPr>
            <w:r>
              <w:rPr>
                <w:noProof/>
              </w:rPr>
              <w:t>Cible</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30A6581C" w14:textId="750E4DC2" w:rsidR="003B6BD9" w:rsidRDefault="009E25E8">
            <w:pPr>
              <w:pStyle w:val="P68B1DB1-Normal7"/>
              <w:spacing w:before="0" w:after="0" w:line="240" w:lineRule="auto"/>
              <w:rPr>
                <w:rFonts w:eastAsia="Times New Roman"/>
                <w:noProof/>
              </w:rPr>
            </w:pPr>
            <w:r>
              <w:rPr>
                <w:noProof/>
              </w:rPr>
              <w:t>Nombre de systèmes de stockage d’électricité cofinancés</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788EEDC1" w14:textId="77777777" w:rsidR="003B6BD9" w:rsidRDefault="003B6BD9">
            <w:pPr>
              <w:spacing w:before="0" w:after="0" w:line="240" w:lineRule="auto"/>
              <w:rPr>
                <w:rFonts w:eastAsia="Times New Roman"/>
                <w:noProof/>
                <w:color w:val="006100"/>
                <w:sz w:val="18"/>
                <w:szCs w:val="18"/>
              </w:rPr>
            </w:pP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1E43FF2D" w14:textId="723AAB5E" w:rsidR="003B6BD9" w:rsidRDefault="009E25E8">
            <w:pPr>
              <w:pStyle w:val="P68B1DB1-Normal7"/>
              <w:spacing w:before="0" w:after="0" w:line="240" w:lineRule="auto"/>
              <w:rPr>
                <w:rFonts w:eastAsia="Times New Roman"/>
                <w:noProof/>
              </w:rPr>
            </w:pPr>
            <w:r>
              <w:rPr>
                <w:noProof/>
              </w:rPr>
              <w:t>Nombre</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31A110C7" w14:textId="4FCD252A" w:rsidR="003B6BD9" w:rsidRDefault="009E25E8">
            <w:pPr>
              <w:pStyle w:val="P68B1DB1-Normal7"/>
              <w:spacing w:before="0" w:after="0" w:line="240" w:lineRule="auto"/>
              <w:rPr>
                <w:rFonts w:eastAsia="Times New Roman"/>
                <w:noProof/>
              </w:rPr>
            </w:pPr>
            <w:r>
              <w:rPr>
                <w:noProof/>
              </w:rPr>
              <w:t>0</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0B0D7B50" w14:textId="22991D58" w:rsidR="003B6BD9" w:rsidRDefault="009E25E8">
            <w:pPr>
              <w:pStyle w:val="P68B1DB1-Normal7"/>
              <w:spacing w:before="0" w:after="0" w:line="240" w:lineRule="auto"/>
              <w:rPr>
                <w:rFonts w:eastAsia="Times New Roman"/>
                <w:noProof/>
              </w:rPr>
            </w:pPr>
            <w:r>
              <w:rPr>
                <w:noProof/>
              </w:rPr>
              <w:t>56</w:t>
            </w: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1F405773" w14:textId="03166A08" w:rsidR="003B6BD9" w:rsidRDefault="009E25E8">
            <w:pPr>
              <w:pStyle w:val="P68B1DB1-Normal7"/>
              <w:spacing w:before="0" w:after="0" w:line="240" w:lineRule="auto"/>
              <w:rPr>
                <w:rFonts w:eastAsia="Times New Roman"/>
                <w:noProof/>
              </w:rPr>
            </w:pPr>
            <w:r>
              <w:rPr>
                <w:noProof/>
              </w:rPr>
              <w:t>T2</w:t>
            </w:r>
          </w:p>
        </w:tc>
        <w:tc>
          <w:tcPr>
            <w:tcW w:w="774" w:type="dxa"/>
            <w:tcBorders>
              <w:top w:val="single" w:sz="4" w:space="0" w:color="auto"/>
              <w:left w:val="single" w:sz="4" w:space="0" w:color="auto"/>
              <w:bottom w:val="single" w:sz="4" w:space="0" w:color="auto"/>
              <w:right w:val="single" w:sz="4" w:space="0" w:color="auto"/>
            </w:tcBorders>
            <w:shd w:val="clear" w:color="auto" w:fill="C6EFCE"/>
            <w:noWrap/>
          </w:tcPr>
          <w:p w14:paraId="026790C7" w14:textId="0DEE5474" w:rsidR="003B6BD9" w:rsidRDefault="009E25E8">
            <w:pPr>
              <w:pStyle w:val="P68B1DB1-Normal7"/>
              <w:spacing w:before="0" w:after="0" w:line="240" w:lineRule="auto"/>
              <w:rPr>
                <w:rFonts w:eastAsia="Times New Roman"/>
                <w:noProof/>
              </w:rPr>
            </w:pPr>
            <w:r>
              <w:rPr>
                <w:noProof/>
              </w:rPr>
              <w:t>2026</w:t>
            </w:r>
          </w:p>
        </w:tc>
        <w:tc>
          <w:tcPr>
            <w:tcW w:w="3207" w:type="dxa"/>
            <w:tcBorders>
              <w:top w:val="single" w:sz="4" w:space="0" w:color="auto"/>
              <w:left w:val="single" w:sz="4" w:space="0" w:color="auto"/>
              <w:bottom w:val="single" w:sz="4" w:space="0" w:color="auto"/>
              <w:right w:val="single" w:sz="4" w:space="0" w:color="auto"/>
            </w:tcBorders>
            <w:shd w:val="clear" w:color="auto" w:fill="C6EFCE"/>
            <w:noWrap/>
          </w:tcPr>
          <w:p w14:paraId="5A29C608" w14:textId="0E171618" w:rsidR="003B6BD9" w:rsidRDefault="009E25E8">
            <w:pPr>
              <w:pStyle w:val="P68B1DB1-Normal7"/>
              <w:spacing w:before="0" w:after="0" w:line="240" w:lineRule="auto"/>
              <w:rPr>
                <w:rFonts w:eastAsia="Times New Roman"/>
                <w:noProof/>
              </w:rPr>
            </w:pPr>
            <w:r>
              <w:rPr>
                <w:noProof/>
              </w:rPr>
              <w:t>Les décisions de cofinancement prises par le pouvoir adjudicateur pour au moins 56 systèmes de stockage d’électricité.</w:t>
            </w:r>
          </w:p>
        </w:tc>
      </w:tr>
      <w:tr w:rsidR="003B6BD9" w14:paraId="7BBDE447"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3B86CB06" w14:textId="55748151" w:rsidR="003B6BD9" w:rsidRDefault="009E25E8">
            <w:pPr>
              <w:pStyle w:val="P68B1DB1-Normal7"/>
              <w:spacing w:before="0" w:after="0" w:line="240" w:lineRule="auto"/>
              <w:rPr>
                <w:rFonts w:eastAsia="Times New Roman"/>
                <w:noProof/>
              </w:rPr>
            </w:pPr>
            <w:r>
              <w:rPr>
                <w:noProof/>
              </w:rPr>
              <w:t>218</w:t>
            </w:r>
          </w:p>
        </w:tc>
        <w:tc>
          <w:tcPr>
            <w:tcW w:w="1891" w:type="dxa"/>
            <w:tcBorders>
              <w:top w:val="single" w:sz="4" w:space="0" w:color="auto"/>
              <w:left w:val="single" w:sz="4" w:space="0" w:color="auto"/>
              <w:bottom w:val="single" w:sz="4" w:space="0" w:color="auto"/>
              <w:right w:val="single" w:sz="4" w:space="0" w:color="auto"/>
            </w:tcBorders>
            <w:shd w:val="clear" w:color="auto" w:fill="C6EFCE"/>
            <w:noWrap/>
          </w:tcPr>
          <w:p w14:paraId="3D27792D" w14:textId="7191D62E" w:rsidR="003B6BD9" w:rsidRDefault="009E25E8">
            <w:pPr>
              <w:pStyle w:val="P68B1DB1-Normal7"/>
              <w:spacing w:before="0" w:after="0" w:line="240" w:lineRule="auto"/>
              <w:rPr>
                <w:rFonts w:eastAsia="Times New Roman"/>
                <w:noProof/>
              </w:rPr>
            </w:pPr>
            <w:r>
              <w:rPr>
                <w:noProof/>
              </w:rPr>
              <w:t>E: Promouvoir le déploiement d’infrastructures pour carburants alternatifs dans les transports (à plus grande échelle)</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2E607E94" w14:textId="780862A0" w:rsidR="003B6BD9" w:rsidRDefault="009E25E8">
            <w:pPr>
              <w:pStyle w:val="P68B1DB1-Normal7"/>
              <w:spacing w:before="0" w:after="0" w:line="240" w:lineRule="auto"/>
              <w:rPr>
                <w:rFonts w:eastAsia="Times New Roman"/>
                <w:noProof/>
              </w:rPr>
            </w:pPr>
            <w:r>
              <w:rPr>
                <w:noProof/>
              </w:rPr>
              <w:t>Jalon</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46E4B554" w14:textId="1E220AB0" w:rsidR="003B6BD9" w:rsidRDefault="009E25E8">
            <w:pPr>
              <w:pStyle w:val="P68B1DB1-Normal7"/>
              <w:spacing w:before="0" w:after="0" w:line="240" w:lineRule="auto"/>
              <w:rPr>
                <w:rFonts w:eastAsia="Times New Roman"/>
                <w:noProof/>
              </w:rPr>
            </w:pPr>
            <w:r>
              <w:rPr>
                <w:noProof/>
              </w:rPr>
              <w:t>Publication d’un appel à propositions pour le déploiement d’infrastructures de recharge ou de ravitaillement</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4F0D2EE2" w14:textId="3AF6267E" w:rsidR="003B6BD9" w:rsidRDefault="009E25E8">
            <w:pPr>
              <w:pStyle w:val="P68B1DB1-Normal7"/>
              <w:spacing w:before="0" w:after="0" w:line="240" w:lineRule="auto"/>
              <w:rPr>
                <w:rFonts w:eastAsia="Times New Roman"/>
                <w:noProof/>
              </w:rPr>
            </w:pPr>
            <w:r>
              <w:rPr>
                <w:noProof/>
              </w:rPr>
              <w:t>Publication d’un appel à propositions</w:t>
            </w: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47CC65FF" w14:textId="77777777" w:rsidR="003B6BD9" w:rsidRDefault="003B6BD9">
            <w:pPr>
              <w:spacing w:before="0" w:after="0" w:line="240" w:lineRule="auto"/>
              <w:rPr>
                <w:rFonts w:eastAsia="Times New Roman"/>
                <w:noProof/>
                <w:color w:val="006100"/>
                <w:sz w:val="18"/>
                <w:szCs w:val="18"/>
              </w:rPr>
            </w:pP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0771D5EF" w14:textId="77777777" w:rsidR="003B6BD9" w:rsidRDefault="003B6BD9">
            <w:pPr>
              <w:spacing w:before="0" w:after="0" w:line="240" w:lineRule="auto"/>
              <w:rPr>
                <w:rFonts w:eastAsia="Times New Roman"/>
                <w:noProof/>
                <w:color w:val="006100"/>
                <w:sz w:val="18"/>
                <w:szCs w:val="18"/>
              </w:rPr>
            </w:pP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3528F3B0" w14:textId="77777777" w:rsidR="003B6BD9" w:rsidRDefault="003B6BD9">
            <w:pPr>
              <w:spacing w:before="0" w:after="0" w:line="240" w:lineRule="auto"/>
              <w:rPr>
                <w:rFonts w:eastAsia="Times New Roman"/>
                <w:noProof/>
                <w:color w:val="006100"/>
                <w:sz w:val="18"/>
                <w:szCs w:val="18"/>
              </w:rPr>
            </w:pP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7F1973CF" w14:textId="3184DA70" w:rsidR="003B6BD9" w:rsidRDefault="009E25E8">
            <w:pPr>
              <w:pStyle w:val="P68B1DB1-Normal7"/>
              <w:spacing w:before="0" w:after="0" w:line="240" w:lineRule="auto"/>
              <w:rPr>
                <w:rFonts w:eastAsia="Times New Roman"/>
                <w:noProof/>
              </w:rPr>
            </w:pPr>
            <w:r>
              <w:rPr>
                <w:noProof/>
              </w:rPr>
              <w:t>T2</w:t>
            </w:r>
          </w:p>
        </w:tc>
        <w:tc>
          <w:tcPr>
            <w:tcW w:w="774" w:type="dxa"/>
            <w:tcBorders>
              <w:top w:val="single" w:sz="4" w:space="0" w:color="auto"/>
              <w:left w:val="single" w:sz="4" w:space="0" w:color="auto"/>
              <w:bottom w:val="single" w:sz="4" w:space="0" w:color="auto"/>
              <w:right w:val="single" w:sz="4" w:space="0" w:color="auto"/>
            </w:tcBorders>
            <w:shd w:val="clear" w:color="auto" w:fill="C6EFCE"/>
            <w:noWrap/>
          </w:tcPr>
          <w:p w14:paraId="0E7CDA57" w14:textId="50BCDA26" w:rsidR="003B6BD9" w:rsidRDefault="009E25E8">
            <w:pPr>
              <w:pStyle w:val="P68B1DB1-Normal7"/>
              <w:spacing w:before="0" w:after="0" w:line="240" w:lineRule="auto"/>
              <w:rPr>
                <w:rFonts w:eastAsia="Times New Roman"/>
                <w:noProof/>
              </w:rPr>
            </w:pPr>
            <w:r>
              <w:rPr>
                <w:noProof/>
              </w:rPr>
              <w:t>2024</w:t>
            </w:r>
          </w:p>
        </w:tc>
        <w:tc>
          <w:tcPr>
            <w:tcW w:w="3207" w:type="dxa"/>
            <w:tcBorders>
              <w:top w:val="single" w:sz="4" w:space="0" w:color="auto"/>
              <w:left w:val="single" w:sz="4" w:space="0" w:color="auto"/>
              <w:bottom w:val="single" w:sz="4" w:space="0" w:color="auto"/>
              <w:right w:val="single" w:sz="4" w:space="0" w:color="auto"/>
            </w:tcBorders>
            <w:shd w:val="clear" w:color="auto" w:fill="C6EFCE"/>
            <w:noWrap/>
          </w:tcPr>
          <w:p w14:paraId="66D1051C" w14:textId="62E5BFC2" w:rsidR="003B6BD9" w:rsidRDefault="009E25E8">
            <w:pPr>
              <w:pStyle w:val="P68B1DB1-Normal7"/>
              <w:spacing w:before="0" w:after="0" w:line="240" w:lineRule="auto"/>
              <w:rPr>
                <w:rFonts w:eastAsia="Times New Roman"/>
                <w:noProof/>
              </w:rPr>
            </w:pPr>
            <w:r>
              <w:rPr>
                <w:noProof/>
              </w:rPr>
              <w:t>Publication d’un appel à propositions pour le déploiement d’infrastructures de recharge et de ravitaillement. Les conditions doivent être conformes à la description de la mesure.</w:t>
            </w:r>
          </w:p>
        </w:tc>
      </w:tr>
      <w:tr w:rsidR="003B6BD9" w14:paraId="50D6DE12"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434FF0C3" w14:textId="02D28B77" w:rsidR="003B6BD9" w:rsidRDefault="009E25E8">
            <w:pPr>
              <w:pStyle w:val="P68B1DB1-Normal7"/>
              <w:spacing w:before="0" w:after="0" w:line="240" w:lineRule="auto"/>
              <w:rPr>
                <w:rFonts w:eastAsia="Times New Roman"/>
                <w:noProof/>
              </w:rPr>
            </w:pPr>
            <w:r>
              <w:rPr>
                <w:noProof/>
              </w:rPr>
              <w:t>219</w:t>
            </w:r>
          </w:p>
        </w:tc>
        <w:tc>
          <w:tcPr>
            <w:tcW w:w="1891" w:type="dxa"/>
            <w:tcBorders>
              <w:top w:val="single" w:sz="4" w:space="0" w:color="auto"/>
              <w:left w:val="single" w:sz="4" w:space="0" w:color="auto"/>
              <w:bottom w:val="single" w:sz="4" w:space="0" w:color="auto"/>
              <w:right w:val="single" w:sz="4" w:space="0" w:color="auto"/>
            </w:tcBorders>
            <w:shd w:val="clear" w:color="auto" w:fill="C6EFCE"/>
            <w:noWrap/>
          </w:tcPr>
          <w:p w14:paraId="6CD44C58" w14:textId="5771A61C" w:rsidR="003B6BD9" w:rsidRDefault="009E25E8">
            <w:pPr>
              <w:pStyle w:val="P68B1DB1-Normal7"/>
              <w:spacing w:before="0" w:after="0" w:line="240" w:lineRule="auto"/>
              <w:rPr>
                <w:rFonts w:eastAsia="Times New Roman"/>
                <w:noProof/>
              </w:rPr>
            </w:pPr>
            <w:r>
              <w:rPr>
                <w:noProof/>
              </w:rPr>
              <w:t>E: Promouvoir les infrastructures pour carburants alternatifs dans les transports (renforcement)</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2781AE34" w14:textId="740EBF35" w:rsidR="003B6BD9" w:rsidRDefault="009E25E8">
            <w:pPr>
              <w:pStyle w:val="P68B1DB1-Normal7"/>
              <w:spacing w:before="0" w:after="0" w:line="240" w:lineRule="auto"/>
              <w:rPr>
                <w:rFonts w:eastAsia="Times New Roman"/>
                <w:noProof/>
              </w:rPr>
            </w:pPr>
            <w:r>
              <w:rPr>
                <w:noProof/>
              </w:rPr>
              <w:t>Cible</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3504B976" w14:textId="4146FE33" w:rsidR="003B6BD9" w:rsidRDefault="009E25E8">
            <w:pPr>
              <w:pStyle w:val="P68B1DB1-Normal7"/>
              <w:spacing w:before="0" w:after="0" w:line="240" w:lineRule="auto"/>
              <w:rPr>
                <w:rFonts w:eastAsia="Times New Roman"/>
                <w:noProof/>
              </w:rPr>
            </w:pPr>
            <w:r>
              <w:rPr>
                <w:noProof/>
              </w:rPr>
              <w:t>Points de recharge enregistrés pour les véhicules à émissions nulles</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114BC307" w14:textId="77777777" w:rsidR="003B6BD9" w:rsidRDefault="003B6BD9">
            <w:pPr>
              <w:spacing w:before="0" w:after="0" w:line="240" w:lineRule="auto"/>
              <w:rPr>
                <w:rFonts w:eastAsia="Times New Roman"/>
                <w:noProof/>
                <w:color w:val="006100"/>
                <w:sz w:val="18"/>
                <w:szCs w:val="18"/>
              </w:rPr>
            </w:pP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2285B13F" w14:textId="103F47E1" w:rsidR="003B6BD9" w:rsidRDefault="009E25E8">
            <w:pPr>
              <w:pStyle w:val="P68B1DB1-Normal7"/>
              <w:spacing w:before="0" w:after="0" w:line="240" w:lineRule="auto"/>
              <w:rPr>
                <w:rFonts w:eastAsia="Times New Roman"/>
                <w:noProof/>
              </w:rPr>
            </w:pPr>
            <w:r>
              <w:rPr>
                <w:noProof/>
              </w:rPr>
              <w:t>Nombre</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7DED7F39" w14:textId="401589E0" w:rsidR="003B6BD9" w:rsidRDefault="009E25E8">
            <w:pPr>
              <w:pStyle w:val="P68B1DB1-Normal8"/>
              <w:spacing w:before="0" w:after="0" w:line="240" w:lineRule="auto"/>
              <w:rPr>
                <w:noProof/>
              </w:rPr>
            </w:pPr>
            <w:r>
              <w:rPr>
                <w:noProof/>
              </w:rPr>
              <w:t>0</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1B369689" w14:textId="548668B0" w:rsidR="003B6BD9" w:rsidRDefault="009E25E8">
            <w:pPr>
              <w:pStyle w:val="P68B1DB1-Normal7"/>
              <w:spacing w:before="0" w:after="0" w:line="240" w:lineRule="auto"/>
              <w:rPr>
                <w:rFonts w:eastAsia="Times New Roman"/>
                <w:noProof/>
              </w:rPr>
            </w:pPr>
            <w:r>
              <w:rPr>
                <w:noProof/>
              </w:rPr>
              <w:t>631</w:t>
            </w: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1839BDBE" w14:textId="5132AA8C" w:rsidR="003B6BD9" w:rsidRDefault="009E25E8">
            <w:pPr>
              <w:pStyle w:val="P68B1DB1-Normal7"/>
              <w:spacing w:before="0" w:after="0" w:line="240" w:lineRule="auto"/>
              <w:rPr>
                <w:rFonts w:eastAsia="Times New Roman"/>
                <w:noProof/>
              </w:rPr>
            </w:pPr>
            <w:r>
              <w:rPr>
                <w:noProof/>
              </w:rPr>
              <w:t xml:space="preserve">T2 </w:t>
            </w:r>
          </w:p>
        </w:tc>
        <w:tc>
          <w:tcPr>
            <w:tcW w:w="774" w:type="dxa"/>
            <w:tcBorders>
              <w:top w:val="single" w:sz="4" w:space="0" w:color="auto"/>
              <w:left w:val="single" w:sz="4" w:space="0" w:color="auto"/>
              <w:bottom w:val="single" w:sz="4" w:space="0" w:color="auto"/>
              <w:right w:val="single" w:sz="4" w:space="0" w:color="auto"/>
            </w:tcBorders>
            <w:shd w:val="clear" w:color="auto" w:fill="C6EFCE"/>
            <w:noWrap/>
          </w:tcPr>
          <w:p w14:paraId="7A30EFCC" w14:textId="1FC5A670" w:rsidR="003B6BD9" w:rsidRDefault="009E25E8">
            <w:pPr>
              <w:pStyle w:val="P68B1DB1-Normal7"/>
              <w:spacing w:before="0" w:after="0" w:line="240" w:lineRule="auto"/>
              <w:rPr>
                <w:rFonts w:eastAsia="Times New Roman"/>
                <w:noProof/>
              </w:rPr>
            </w:pPr>
            <w:r>
              <w:rPr>
                <w:noProof/>
              </w:rPr>
              <w:t>2026</w:t>
            </w:r>
          </w:p>
        </w:tc>
        <w:tc>
          <w:tcPr>
            <w:tcW w:w="3207" w:type="dxa"/>
            <w:tcBorders>
              <w:top w:val="single" w:sz="4" w:space="0" w:color="auto"/>
              <w:left w:val="single" w:sz="4" w:space="0" w:color="auto"/>
              <w:bottom w:val="single" w:sz="4" w:space="0" w:color="auto"/>
              <w:right w:val="single" w:sz="4" w:space="0" w:color="auto"/>
            </w:tcBorders>
            <w:shd w:val="clear" w:color="auto" w:fill="C6EFCE"/>
            <w:noWrap/>
          </w:tcPr>
          <w:p w14:paraId="426C53C7" w14:textId="69380E1F" w:rsidR="003B6BD9" w:rsidRDefault="009E25E8">
            <w:pPr>
              <w:pStyle w:val="P68B1DB1-Normal7"/>
              <w:spacing w:before="0" w:after="0" w:line="240" w:lineRule="auto"/>
              <w:rPr>
                <w:rFonts w:eastAsia="Times New Roman"/>
                <w:noProof/>
              </w:rPr>
            </w:pPr>
            <w:r>
              <w:rPr>
                <w:noProof/>
              </w:rPr>
              <w:t xml:space="preserve">631 points de recharge pour véhicules à émissions nulles sont enregistrés dans le registre national des points de recharge pour véhicules électriques ouverts au public. </w:t>
            </w:r>
          </w:p>
        </w:tc>
      </w:tr>
      <w:tr w:rsidR="003B6BD9" w14:paraId="51E579A2"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242C57D3" w14:textId="5A018091" w:rsidR="003B6BD9" w:rsidRDefault="009E25E8">
            <w:pPr>
              <w:pStyle w:val="P68B1DB1-Normal7"/>
              <w:spacing w:before="0" w:after="0" w:line="240" w:lineRule="auto"/>
              <w:rPr>
                <w:rFonts w:eastAsia="Times New Roman"/>
                <w:noProof/>
              </w:rPr>
            </w:pPr>
            <w:r>
              <w:rPr>
                <w:noProof/>
              </w:rPr>
              <w:t>220</w:t>
            </w:r>
          </w:p>
        </w:tc>
        <w:tc>
          <w:tcPr>
            <w:tcW w:w="1891" w:type="dxa"/>
            <w:tcBorders>
              <w:top w:val="single" w:sz="4" w:space="0" w:color="auto"/>
              <w:left w:val="single" w:sz="4" w:space="0" w:color="auto"/>
              <w:bottom w:val="single" w:sz="4" w:space="0" w:color="auto"/>
              <w:right w:val="single" w:sz="4" w:space="0" w:color="auto"/>
            </w:tcBorders>
            <w:shd w:val="clear" w:color="auto" w:fill="C6EFCE"/>
            <w:noWrap/>
          </w:tcPr>
          <w:p w14:paraId="5432106B" w14:textId="3DFE58AA" w:rsidR="003B6BD9" w:rsidRDefault="009E25E8">
            <w:pPr>
              <w:pStyle w:val="P68B1DB1-Normal7"/>
              <w:spacing w:before="0" w:after="0" w:line="240" w:lineRule="auto"/>
              <w:rPr>
                <w:rFonts w:eastAsia="Times New Roman"/>
                <w:noProof/>
              </w:rPr>
            </w:pPr>
            <w:r>
              <w:rPr>
                <w:noProof/>
              </w:rPr>
              <w:t>E: Promouvoir les infrastructures pour carburants alternatifs dans les transports (renforcement)</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1FACBFC0" w14:textId="7819E731" w:rsidR="003B6BD9" w:rsidRDefault="009E25E8">
            <w:pPr>
              <w:pStyle w:val="P68B1DB1-Normal7"/>
              <w:spacing w:before="0" w:after="0" w:line="240" w:lineRule="auto"/>
              <w:rPr>
                <w:rFonts w:eastAsia="Times New Roman"/>
                <w:noProof/>
              </w:rPr>
            </w:pPr>
            <w:r>
              <w:rPr>
                <w:noProof/>
              </w:rPr>
              <w:t>Cible</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4144EB49" w14:textId="57AC87D3" w:rsidR="003B6BD9" w:rsidRDefault="009E25E8">
            <w:pPr>
              <w:pStyle w:val="P68B1DB1-Normal7"/>
              <w:spacing w:before="0" w:after="0" w:line="240" w:lineRule="auto"/>
              <w:rPr>
                <w:rFonts w:eastAsia="Times New Roman"/>
                <w:noProof/>
              </w:rPr>
            </w:pPr>
            <w:r>
              <w:rPr>
                <w:noProof/>
              </w:rPr>
              <w:t xml:space="preserve">Bus électriques et à hydrogène livrés </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0C0334C0" w14:textId="77777777" w:rsidR="003B6BD9" w:rsidRDefault="003B6BD9">
            <w:pPr>
              <w:spacing w:before="0" w:after="0" w:line="240" w:lineRule="auto"/>
              <w:rPr>
                <w:rFonts w:eastAsia="Times New Roman"/>
                <w:noProof/>
                <w:color w:val="006100"/>
                <w:sz w:val="18"/>
                <w:szCs w:val="18"/>
              </w:rPr>
            </w:pP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720B6C6F" w14:textId="39E12071" w:rsidR="003B6BD9" w:rsidRDefault="009E25E8">
            <w:pPr>
              <w:pStyle w:val="P68B1DB1-Normal7"/>
              <w:spacing w:before="0" w:after="0" w:line="240" w:lineRule="auto"/>
              <w:rPr>
                <w:rFonts w:eastAsia="Times New Roman"/>
                <w:noProof/>
              </w:rPr>
            </w:pPr>
            <w:r>
              <w:rPr>
                <w:noProof/>
              </w:rPr>
              <w:t xml:space="preserve">Nombre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3B4BD17D" w14:textId="0CA6582F" w:rsidR="003B6BD9" w:rsidRDefault="009E25E8">
            <w:pPr>
              <w:pStyle w:val="P68B1DB1-Normal7"/>
              <w:spacing w:before="0" w:after="0" w:line="240" w:lineRule="auto"/>
              <w:rPr>
                <w:rFonts w:eastAsia="Times New Roman"/>
                <w:noProof/>
              </w:rPr>
            </w:pPr>
            <w:r>
              <w:rPr>
                <w:noProof/>
              </w:rPr>
              <w:t>0</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66B0894A" w14:textId="16E59C43" w:rsidR="003B6BD9" w:rsidRDefault="009E25E8">
            <w:pPr>
              <w:pStyle w:val="P68B1DB1-Normal7"/>
              <w:spacing w:before="0" w:after="0" w:line="240" w:lineRule="auto"/>
              <w:rPr>
                <w:rFonts w:eastAsia="Times New Roman"/>
                <w:noProof/>
              </w:rPr>
            </w:pPr>
            <w:r>
              <w:rPr>
                <w:noProof/>
              </w:rPr>
              <w:t>5</w:t>
            </w: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1D8FD6C5" w14:textId="46B2FE46" w:rsidR="003B6BD9" w:rsidRDefault="009E25E8">
            <w:pPr>
              <w:pStyle w:val="P68B1DB1-Normal7"/>
              <w:spacing w:before="0" w:after="0" w:line="240" w:lineRule="auto"/>
              <w:rPr>
                <w:rFonts w:eastAsia="Times New Roman"/>
                <w:noProof/>
              </w:rPr>
            </w:pPr>
            <w:r>
              <w:rPr>
                <w:noProof/>
              </w:rPr>
              <w:t>T2</w:t>
            </w:r>
          </w:p>
        </w:tc>
        <w:tc>
          <w:tcPr>
            <w:tcW w:w="774" w:type="dxa"/>
            <w:tcBorders>
              <w:top w:val="single" w:sz="4" w:space="0" w:color="auto"/>
              <w:left w:val="single" w:sz="4" w:space="0" w:color="auto"/>
              <w:bottom w:val="single" w:sz="4" w:space="0" w:color="auto"/>
              <w:right w:val="single" w:sz="4" w:space="0" w:color="auto"/>
            </w:tcBorders>
            <w:shd w:val="clear" w:color="auto" w:fill="C6EFCE"/>
            <w:noWrap/>
          </w:tcPr>
          <w:p w14:paraId="322EF2D9" w14:textId="5BD18AD6" w:rsidR="003B6BD9" w:rsidRDefault="009E25E8">
            <w:pPr>
              <w:pStyle w:val="P68B1DB1-Normal7"/>
              <w:spacing w:before="0" w:after="0" w:line="240" w:lineRule="auto"/>
              <w:rPr>
                <w:rFonts w:eastAsia="Times New Roman"/>
                <w:noProof/>
              </w:rPr>
            </w:pPr>
            <w:r>
              <w:rPr>
                <w:noProof/>
              </w:rPr>
              <w:t>2026</w:t>
            </w:r>
          </w:p>
        </w:tc>
        <w:tc>
          <w:tcPr>
            <w:tcW w:w="3207" w:type="dxa"/>
            <w:tcBorders>
              <w:top w:val="single" w:sz="4" w:space="0" w:color="auto"/>
              <w:left w:val="single" w:sz="4" w:space="0" w:color="auto"/>
              <w:bottom w:val="single" w:sz="4" w:space="0" w:color="auto"/>
              <w:right w:val="single" w:sz="4" w:space="0" w:color="auto"/>
            </w:tcBorders>
            <w:shd w:val="clear" w:color="auto" w:fill="C6EFCE"/>
            <w:noWrap/>
          </w:tcPr>
          <w:p w14:paraId="4E2739E9" w14:textId="5BEECFEC" w:rsidR="003B6BD9" w:rsidRDefault="009E25E8">
            <w:pPr>
              <w:pStyle w:val="P68B1DB1-Normal7"/>
              <w:spacing w:before="0" w:after="0" w:line="240" w:lineRule="auto"/>
              <w:rPr>
                <w:rFonts w:eastAsia="Times New Roman"/>
                <w:noProof/>
              </w:rPr>
            </w:pPr>
            <w:r>
              <w:rPr>
                <w:noProof/>
              </w:rPr>
              <w:t xml:space="preserve">Livraison de 2 bus à hydrogène et de 3 bus électriques. </w:t>
            </w:r>
          </w:p>
        </w:tc>
      </w:tr>
      <w:tr w:rsidR="003B6BD9" w14:paraId="1D18AD58" w14:textId="77777777" w:rsidTr="006C1AFD">
        <w:trPr>
          <w:trHeight w:val="309"/>
          <w:jc w:val="center"/>
        </w:trPr>
        <w:tc>
          <w:tcPr>
            <w:tcW w:w="955" w:type="dxa"/>
            <w:tcBorders>
              <w:top w:val="single" w:sz="4" w:space="0" w:color="auto"/>
              <w:left w:val="single" w:sz="4" w:space="0" w:color="auto"/>
              <w:bottom w:val="single" w:sz="4" w:space="0" w:color="auto"/>
              <w:right w:val="single" w:sz="4" w:space="0" w:color="auto"/>
            </w:tcBorders>
            <w:shd w:val="clear" w:color="auto" w:fill="C6EFCE"/>
            <w:noWrap/>
          </w:tcPr>
          <w:p w14:paraId="39747F8E" w14:textId="7FAE1C9F" w:rsidR="003B6BD9" w:rsidRDefault="009E25E8">
            <w:pPr>
              <w:pStyle w:val="P68B1DB1-Normal7"/>
              <w:spacing w:before="0" w:after="0" w:line="240" w:lineRule="auto"/>
              <w:rPr>
                <w:rFonts w:eastAsia="Times New Roman"/>
                <w:noProof/>
              </w:rPr>
            </w:pPr>
            <w:r>
              <w:rPr>
                <w:noProof/>
              </w:rPr>
              <w:t>221</w:t>
            </w:r>
          </w:p>
        </w:tc>
        <w:tc>
          <w:tcPr>
            <w:tcW w:w="1891" w:type="dxa"/>
            <w:tcBorders>
              <w:top w:val="single" w:sz="4" w:space="0" w:color="auto"/>
              <w:left w:val="single" w:sz="4" w:space="0" w:color="auto"/>
              <w:bottom w:val="single" w:sz="4" w:space="0" w:color="auto"/>
              <w:right w:val="single" w:sz="4" w:space="0" w:color="auto"/>
            </w:tcBorders>
            <w:shd w:val="clear" w:color="auto" w:fill="C6EFCE"/>
            <w:noWrap/>
          </w:tcPr>
          <w:p w14:paraId="454E35BD" w14:textId="619C3916" w:rsidR="003B6BD9" w:rsidRDefault="009E25E8">
            <w:pPr>
              <w:pStyle w:val="P68B1DB1-Normal7"/>
              <w:spacing w:before="0" w:after="0" w:line="240" w:lineRule="auto"/>
              <w:rPr>
                <w:rFonts w:eastAsia="Times New Roman"/>
                <w:noProof/>
              </w:rPr>
            </w:pPr>
            <w:r>
              <w:rPr>
                <w:noProof/>
              </w:rPr>
              <w:t>E: Promouvoir les infrastructures pour carburants alternatifs dans les transports (renforcement)</w:t>
            </w:r>
          </w:p>
        </w:tc>
        <w:tc>
          <w:tcPr>
            <w:tcW w:w="1224" w:type="dxa"/>
            <w:tcBorders>
              <w:top w:val="single" w:sz="4" w:space="0" w:color="auto"/>
              <w:left w:val="single" w:sz="4" w:space="0" w:color="auto"/>
              <w:bottom w:val="single" w:sz="4" w:space="0" w:color="auto"/>
              <w:right w:val="single" w:sz="4" w:space="0" w:color="auto"/>
            </w:tcBorders>
            <w:shd w:val="clear" w:color="auto" w:fill="C6EFCE"/>
            <w:noWrap/>
          </w:tcPr>
          <w:p w14:paraId="6470749E" w14:textId="514D8242" w:rsidR="003B6BD9" w:rsidRDefault="009E25E8">
            <w:pPr>
              <w:pStyle w:val="P68B1DB1-Normal7"/>
              <w:spacing w:before="0" w:after="0" w:line="240" w:lineRule="auto"/>
              <w:rPr>
                <w:rFonts w:eastAsia="Times New Roman"/>
                <w:noProof/>
              </w:rPr>
            </w:pPr>
            <w:r>
              <w:rPr>
                <w:noProof/>
              </w:rPr>
              <w:t>Cible</w:t>
            </w:r>
          </w:p>
        </w:tc>
        <w:tc>
          <w:tcPr>
            <w:tcW w:w="1635" w:type="dxa"/>
            <w:tcBorders>
              <w:top w:val="single" w:sz="4" w:space="0" w:color="auto"/>
              <w:left w:val="single" w:sz="4" w:space="0" w:color="auto"/>
              <w:bottom w:val="single" w:sz="4" w:space="0" w:color="auto"/>
              <w:right w:val="single" w:sz="4" w:space="0" w:color="auto"/>
            </w:tcBorders>
            <w:shd w:val="clear" w:color="auto" w:fill="C6EFCE"/>
            <w:noWrap/>
          </w:tcPr>
          <w:p w14:paraId="4936ACE3" w14:textId="135ACD1C" w:rsidR="003B6BD9" w:rsidRDefault="009E25E8">
            <w:pPr>
              <w:pStyle w:val="P68B1DB1-Normal7"/>
              <w:spacing w:before="0" w:after="0" w:line="240" w:lineRule="auto"/>
              <w:rPr>
                <w:rFonts w:eastAsia="Times New Roman"/>
                <w:noProof/>
              </w:rPr>
            </w:pPr>
            <w:r>
              <w:rPr>
                <w:noProof/>
              </w:rPr>
              <w:t xml:space="preserve">Cofinancement de véhicules à émissions nulles </w:t>
            </w:r>
          </w:p>
        </w:tc>
        <w:tc>
          <w:tcPr>
            <w:tcW w:w="1653" w:type="dxa"/>
            <w:tcBorders>
              <w:top w:val="single" w:sz="4" w:space="0" w:color="auto"/>
              <w:left w:val="single" w:sz="4" w:space="0" w:color="auto"/>
              <w:bottom w:val="single" w:sz="4" w:space="0" w:color="auto"/>
              <w:right w:val="single" w:sz="4" w:space="0" w:color="auto"/>
            </w:tcBorders>
            <w:shd w:val="clear" w:color="auto" w:fill="C6EFCE"/>
            <w:noWrap/>
          </w:tcPr>
          <w:p w14:paraId="519351FC" w14:textId="77777777" w:rsidR="003B6BD9" w:rsidRDefault="003B6BD9">
            <w:pPr>
              <w:spacing w:before="0" w:after="0" w:line="240" w:lineRule="auto"/>
              <w:rPr>
                <w:rFonts w:eastAsia="Times New Roman"/>
                <w:noProof/>
                <w:color w:val="006100"/>
                <w:sz w:val="18"/>
                <w:szCs w:val="18"/>
              </w:rPr>
            </w:pP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1BBD225E" w14:textId="5DFBCDFC" w:rsidR="003B6BD9" w:rsidRDefault="009E25E8">
            <w:pPr>
              <w:pStyle w:val="P68B1DB1-Normal7"/>
              <w:spacing w:before="0" w:after="0" w:line="240" w:lineRule="auto"/>
              <w:rPr>
                <w:rFonts w:eastAsia="Times New Roman"/>
                <w:noProof/>
              </w:rPr>
            </w:pPr>
            <w:r>
              <w:rPr>
                <w:noProof/>
              </w:rPr>
              <w:t>Nombre</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41DC2041" w14:textId="201A33FC" w:rsidR="003B6BD9" w:rsidRDefault="009E25E8">
            <w:pPr>
              <w:pStyle w:val="P68B1DB1-Normal7"/>
              <w:spacing w:before="0" w:after="0" w:line="240" w:lineRule="auto"/>
              <w:rPr>
                <w:rFonts w:eastAsia="Times New Roman"/>
                <w:noProof/>
              </w:rPr>
            </w:pPr>
            <w:r>
              <w:rPr>
                <w:noProof/>
              </w:rPr>
              <w:t>0</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34CE289E" w14:textId="01A3A7C4" w:rsidR="003B6BD9" w:rsidRDefault="009E25E8">
            <w:pPr>
              <w:pStyle w:val="P68B1DB1-Normal7"/>
              <w:spacing w:before="0" w:after="0" w:line="240" w:lineRule="auto"/>
              <w:rPr>
                <w:noProof/>
              </w:rPr>
            </w:pPr>
            <w:r>
              <w:rPr>
                <w:noProof/>
              </w:rPr>
              <w:t>7 348</w:t>
            </w:r>
          </w:p>
        </w:tc>
        <w:tc>
          <w:tcPr>
            <w:tcW w:w="998" w:type="dxa"/>
            <w:tcBorders>
              <w:top w:val="single" w:sz="4" w:space="0" w:color="auto"/>
              <w:left w:val="single" w:sz="4" w:space="0" w:color="auto"/>
              <w:bottom w:val="single" w:sz="4" w:space="0" w:color="auto"/>
              <w:right w:val="single" w:sz="4" w:space="0" w:color="auto"/>
            </w:tcBorders>
            <w:shd w:val="clear" w:color="auto" w:fill="C6EFCE"/>
            <w:noWrap/>
          </w:tcPr>
          <w:p w14:paraId="63F9086B" w14:textId="16599A6B" w:rsidR="003B6BD9" w:rsidRDefault="009E25E8">
            <w:pPr>
              <w:pStyle w:val="P68B1DB1-Normal7"/>
              <w:spacing w:before="0" w:after="0" w:line="240" w:lineRule="auto"/>
              <w:rPr>
                <w:rFonts w:eastAsia="Times New Roman"/>
                <w:noProof/>
              </w:rPr>
            </w:pPr>
            <w:r>
              <w:rPr>
                <w:noProof/>
              </w:rPr>
              <w:t>T2</w:t>
            </w:r>
          </w:p>
        </w:tc>
        <w:tc>
          <w:tcPr>
            <w:tcW w:w="774" w:type="dxa"/>
            <w:tcBorders>
              <w:top w:val="single" w:sz="4" w:space="0" w:color="auto"/>
              <w:left w:val="single" w:sz="4" w:space="0" w:color="auto"/>
              <w:bottom w:val="single" w:sz="4" w:space="0" w:color="auto"/>
              <w:right w:val="single" w:sz="4" w:space="0" w:color="auto"/>
            </w:tcBorders>
            <w:shd w:val="clear" w:color="auto" w:fill="C6EFCE"/>
            <w:noWrap/>
          </w:tcPr>
          <w:p w14:paraId="63C4D499" w14:textId="0685C3A1" w:rsidR="003B6BD9" w:rsidRDefault="009E25E8">
            <w:pPr>
              <w:pStyle w:val="P68B1DB1-Normal7"/>
              <w:spacing w:before="0" w:after="0" w:line="240" w:lineRule="auto"/>
              <w:rPr>
                <w:rFonts w:eastAsia="Times New Roman"/>
                <w:noProof/>
              </w:rPr>
            </w:pPr>
            <w:r>
              <w:rPr>
                <w:noProof/>
              </w:rPr>
              <w:t>2026</w:t>
            </w:r>
          </w:p>
        </w:tc>
        <w:tc>
          <w:tcPr>
            <w:tcW w:w="3207" w:type="dxa"/>
            <w:tcBorders>
              <w:top w:val="single" w:sz="4" w:space="0" w:color="auto"/>
              <w:left w:val="single" w:sz="4" w:space="0" w:color="auto"/>
              <w:bottom w:val="single" w:sz="4" w:space="0" w:color="auto"/>
              <w:right w:val="single" w:sz="4" w:space="0" w:color="auto"/>
            </w:tcBorders>
            <w:shd w:val="clear" w:color="auto" w:fill="C6EFCE"/>
            <w:noWrap/>
          </w:tcPr>
          <w:p w14:paraId="111CE8B9" w14:textId="0C45ACF7" w:rsidR="003B6BD9" w:rsidRDefault="009E25E8">
            <w:pPr>
              <w:pStyle w:val="P68B1DB1-Normal7"/>
              <w:spacing w:before="0" w:after="0" w:line="240" w:lineRule="auto"/>
              <w:rPr>
                <w:rFonts w:eastAsia="Times New Roman"/>
                <w:noProof/>
              </w:rPr>
            </w:pPr>
            <w:r>
              <w:rPr>
                <w:noProof/>
              </w:rPr>
              <w:t xml:space="preserve">Des décisions de cofinancement sont prises par le pouvoir adjudicateur pour 7 348 véhicules à émission nulle.  </w:t>
            </w:r>
          </w:p>
        </w:tc>
      </w:tr>
    </w:tbl>
    <w:p w14:paraId="1BC34A7A" w14:textId="759541C4" w:rsidR="003B6BD9" w:rsidRDefault="003B6BD9">
      <w:pPr>
        <w:tabs>
          <w:tab w:val="num" w:pos="850"/>
        </w:tabs>
        <w:spacing w:line="240" w:lineRule="auto"/>
        <w:jc w:val="both"/>
        <w:rPr>
          <w:b/>
          <w:noProof/>
        </w:rPr>
        <w:sectPr w:rsidR="003B6BD9" w:rsidSect="007453D6">
          <w:headerReference w:type="even" r:id="rId284"/>
          <w:headerReference w:type="default" r:id="rId285"/>
          <w:footerReference w:type="even" r:id="rId286"/>
          <w:footerReference w:type="default" r:id="rId287"/>
          <w:headerReference w:type="first" r:id="rId288"/>
          <w:footerReference w:type="first" r:id="rId289"/>
          <w:pgSz w:w="16839" w:h="11907" w:orient="landscape"/>
          <w:pgMar w:top="1134" w:right="1134" w:bottom="1134" w:left="1134" w:header="567" w:footer="567" w:gutter="0"/>
          <w:cols w:space="720"/>
          <w:docGrid w:linePitch="360"/>
        </w:sectPr>
      </w:pPr>
    </w:p>
    <w:p w14:paraId="3ED6C383" w14:textId="77777777" w:rsidR="003B6BD9" w:rsidRDefault="009E25E8">
      <w:pPr>
        <w:pStyle w:val="P68B1DB1-Normal2"/>
        <w:tabs>
          <w:tab w:val="num" w:pos="850"/>
        </w:tabs>
        <w:spacing w:line="240" w:lineRule="auto"/>
        <w:ind w:left="850" w:hanging="850"/>
        <w:jc w:val="both"/>
        <w:rPr>
          <w:noProof/>
        </w:rPr>
      </w:pPr>
      <w:r>
        <w:rPr>
          <w:noProof/>
        </w:rPr>
        <w:t>2. Coût total estimé du plan pour la reprise et la résilience</w:t>
      </w:r>
    </w:p>
    <w:p w14:paraId="501755A6" w14:textId="079C1AE8" w:rsidR="003B6BD9" w:rsidRDefault="009E25E8">
      <w:pPr>
        <w:spacing w:line="240" w:lineRule="auto"/>
        <w:jc w:val="both"/>
        <w:rPr>
          <w:noProof/>
        </w:rPr>
      </w:pPr>
      <w:r>
        <w:rPr>
          <w:noProof/>
        </w:rPr>
        <w:t xml:space="preserve">Le coût total estimé du plan pour la reprise et la résilience de la Slovénie est de 2 082 352 849 EUR. </w:t>
      </w:r>
    </w:p>
    <w:p w14:paraId="53696003" w14:textId="3583CF8E" w:rsidR="003B6BD9" w:rsidRDefault="009E25E8">
      <w:pPr>
        <w:spacing w:line="240" w:lineRule="auto"/>
        <w:jc w:val="both"/>
        <w:rPr>
          <w:noProof/>
        </w:rPr>
      </w:pPr>
      <w:r>
        <w:rPr>
          <w:noProof/>
        </w:rPr>
        <w:t xml:space="preserve">Le coût total du chapitre REPowerEU est estimé à 122 170 000 EUR. En particulier, le coût total estimé des mesures visées à l’article 21 quater, paragraphe 3, point a), du règlement (UE) 2023/435 </w:t>
      </w:r>
      <w:r>
        <w:rPr>
          <w:rStyle w:val="normaltextrun"/>
          <w:noProof/>
          <w:color w:val="000000"/>
          <w:shd w:val="clear" w:color="auto" w:fill="FFFFFF"/>
        </w:rPr>
        <w:t>est</w:t>
      </w:r>
      <w:r>
        <w:rPr>
          <w:noProof/>
        </w:rPr>
        <w:t xml:space="preserve"> de 0 EUR, tandis que le coût des autres mesures du chapitre REPowerEU est de 122 170 000 EUR.</w:t>
      </w:r>
    </w:p>
    <w:p w14:paraId="2A3DB213" w14:textId="77777777" w:rsidR="003B6BD9" w:rsidRDefault="003B6BD9">
      <w:pPr>
        <w:spacing w:line="240" w:lineRule="auto"/>
        <w:jc w:val="both"/>
        <w:rPr>
          <w:noProof/>
        </w:rPr>
      </w:pPr>
    </w:p>
    <w:p w14:paraId="1BE5448B" w14:textId="7B4522B8" w:rsidR="003B6BD9" w:rsidRDefault="009E25E8">
      <w:pPr>
        <w:pStyle w:val="TableTitle"/>
        <w:rPr>
          <w:noProof/>
        </w:rPr>
      </w:pPr>
      <w:r>
        <w:rPr>
          <w:noProof/>
        </w:rPr>
        <w:t>SECTION 2: SOUTIEN FINANCIER</w:t>
      </w:r>
    </w:p>
    <w:p w14:paraId="45834078" w14:textId="77777777" w:rsidR="003B6BD9" w:rsidRDefault="009E25E8">
      <w:pPr>
        <w:pStyle w:val="P68B1DB1-Normal2"/>
        <w:numPr>
          <w:ilvl w:val="0"/>
          <w:numId w:val="32"/>
        </w:numPr>
        <w:spacing w:before="0" w:after="200" w:line="240" w:lineRule="auto"/>
        <w:jc w:val="both"/>
        <w:rPr>
          <w:noProof/>
        </w:rPr>
      </w:pPr>
      <w:r>
        <w:rPr>
          <w:noProof/>
        </w:rPr>
        <w:t xml:space="preserve">Intervention financière </w:t>
      </w:r>
    </w:p>
    <w:p w14:paraId="574D095E" w14:textId="77777777" w:rsidR="003B6BD9" w:rsidRDefault="009E25E8">
      <w:pPr>
        <w:spacing w:line="240" w:lineRule="auto"/>
        <w:jc w:val="both"/>
        <w:rPr>
          <w:noProof/>
        </w:rPr>
      </w:pPr>
      <w:r>
        <w:rPr>
          <w:noProof/>
        </w:rPr>
        <w:t>Les tranches visées à l’article 2, paragraphe 2, sont organisées de la manière suivante:</w:t>
      </w:r>
    </w:p>
    <w:p w14:paraId="416D49D1" w14:textId="77777777" w:rsidR="003B6BD9" w:rsidRDefault="003B6BD9">
      <w:pPr>
        <w:spacing w:line="240" w:lineRule="auto"/>
        <w:ind w:left="850"/>
        <w:jc w:val="both"/>
        <w:rPr>
          <w:noProof/>
        </w:rPr>
      </w:pPr>
    </w:p>
    <w:p w14:paraId="18B5BBA2" w14:textId="77777777" w:rsidR="003B6BD9" w:rsidRDefault="009E25E8">
      <w:pPr>
        <w:numPr>
          <w:ilvl w:val="1"/>
          <w:numId w:val="18"/>
        </w:numPr>
        <w:spacing w:before="0" w:after="200" w:line="240" w:lineRule="auto"/>
        <w:jc w:val="both"/>
        <w:rPr>
          <w:noProof/>
        </w:rPr>
      </w:pPr>
      <w:r>
        <w:rPr>
          <w:noProof/>
        </w:rPr>
        <w:t>Première tranche (aide non remboursable):</w:t>
      </w:r>
    </w:p>
    <w:tbl>
      <w:tblPr>
        <w:tblW w:w="9752" w:type="dxa"/>
        <w:tblInd w:w="113" w:type="dxa"/>
        <w:tblLook w:val="04A0" w:firstRow="1" w:lastRow="0" w:firstColumn="1" w:lastColumn="0" w:noHBand="0" w:noVBand="1"/>
      </w:tblPr>
      <w:tblGrid>
        <w:gridCol w:w="1247"/>
        <w:gridCol w:w="2715"/>
        <w:gridCol w:w="1651"/>
        <w:gridCol w:w="4139"/>
      </w:tblGrid>
      <w:tr w:rsidR="003B6BD9" w14:paraId="16846FE5" w14:textId="77777777">
        <w:trPr>
          <w:trHeight w:val="567"/>
          <w:tblHeader/>
        </w:trPr>
        <w:tc>
          <w:tcPr>
            <w:tcW w:w="1247"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EEBEE20" w14:textId="30B25482" w:rsidR="003B6BD9" w:rsidRDefault="009E25E8">
            <w:pPr>
              <w:pStyle w:val="P68B1DB1-Normal17"/>
              <w:spacing w:before="0" w:after="0" w:line="276" w:lineRule="auto"/>
              <w:jc w:val="center"/>
              <w:rPr>
                <w:rFonts w:eastAsia="Times New Roman"/>
                <w:noProof/>
              </w:rPr>
            </w:pPr>
            <w:r>
              <w:rPr>
                <w:noProof/>
              </w:rPr>
              <w:t>Et suivants Non.</w:t>
            </w:r>
          </w:p>
        </w:tc>
        <w:tc>
          <w:tcPr>
            <w:tcW w:w="271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C1B04EA" w14:textId="7E67CA90" w:rsidR="003B6BD9" w:rsidRDefault="009E25E8">
            <w:pPr>
              <w:pStyle w:val="P68B1DB1-Normal17"/>
              <w:spacing w:before="0" w:after="0" w:line="276" w:lineRule="auto"/>
              <w:jc w:val="center"/>
              <w:rPr>
                <w:rFonts w:eastAsia="Times New Roman"/>
                <w:noProof/>
              </w:rPr>
            </w:pPr>
            <w:r>
              <w:rPr>
                <w:noProof/>
              </w:rPr>
              <w:t xml:space="preserve">Mesure connexe </w:t>
            </w:r>
            <w:r>
              <w:rPr>
                <w:noProof/>
              </w:rPr>
              <w:br/>
              <w:t>(Réforme ou investissement)</w:t>
            </w:r>
          </w:p>
        </w:tc>
        <w:tc>
          <w:tcPr>
            <w:tcW w:w="1651"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3983CD5" w14:textId="77777777" w:rsidR="003B6BD9" w:rsidRDefault="009E25E8">
            <w:pPr>
              <w:pStyle w:val="P68B1DB1-Normal17"/>
              <w:spacing w:before="0" w:after="0" w:line="276" w:lineRule="auto"/>
              <w:jc w:val="center"/>
              <w:rPr>
                <w:rFonts w:eastAsia="Times New Roman"/>
                <w:noProof/>
              </w:rPr>
            </w:pPr>
            <w:r>
              <w:rPr>
                <w:noProof/>
              </w:rPr>
              <w:t>Étape/Objectif</w:t>
            </w:r>
          </w:p>
        </w:tc>
        <w:tc>
          <w:tcPr>
            <w:tcW w:w="4139" w:type="dxa"/>
            <w:vMerge w:val="restart"/>
            <w:tcBorders>
              <w:top w:val="single" w:sz="4" w:space="0" w:color="auto"/>
              <w:left w:val="nil"/>
              <w:bottom w:val="single" w:sz="4" w:space="0" w:color="000000"/>
              <w:right w:val="single" w:sz="4" w:space="0" w:color="auto"/>
            </w:tcBorders>
            <w:shd w:val="clear" w:color="auto" w:fill="BDD7EE"/>
            <w:vAlign w:val="center"/>
            <w:hideMark/>
          </w:tcPr>
          <w:p w14:paraId="02627739" w14:textId="77777777" w:rsidR="003B6BD9" w:rsidRDefault="009E25E8">
            <w:pPr>
              <w:pStyle w:val="P68B1DB1-Normal17"/>
              <w:spacing w:before="0" w:after="0" w:line="276" w:lineRule="auto"/>
              <w:jc w:val="center"/>
              <w:rPr>
                <w:rFonts w:eastAsia="Times New Roman"/>
                <w:noProof/>
              </w:rPr>
            </w:pPr>
            <w:r>
              <w:rPr>
                <w:noProof/>
              </w:rPr>
              <w:t>Nom</w:t>
            </w:r>
          </w:p>
        </w:tc>
      </w:tr>
      <w:tr w:rsidR="003B6BD9" w14:paraId="2EEC6F5E" w14:textId="77777777">
        <w:trPr>
          <w:trHeight w:val="309"/>
          <w:tblHeader/>
        </w:trPr>
        <w:tc>
          <w:tcPr>
            <w:tcW w:w="1247" w:type="dxa"/>
            <w:vMerge/>
            <w:tcBorders>
              <w:top w:val="single" w:sz="4" w:space="0" w:color="auto"/>
              <w:left w:val="single" w:sz="4" w:space="0" w:color="auto"/>
              <w:bottom w:val="single" w:sz="4" w:space="0" w:color="000000"/>
              <w:right w:val="single" w:sz="4" w:space="0" w:color="auto"/>
            </w:tcBorders>
            <w:vAlign w:val="center"/>
            <w:hideMark/>
          </w:tcPr>
          <w:p w14:paraId="71C561C8" w14:textId="77777777" w:rsidR="003B6BD9" w:rsidRDefault="003B6BD9">
            <w:pPr>
              <w:spacing w:before="0" w:after="0" w:line="276" w:lineRule="auto"/>
              <w:rPr>
                <w:rFonts w:eastAsia="Times New Roman"/>
                <w:b/>
                <w:noProof/>
                <w:sz w:val="22"/>
                <w:szCs w:val="24"/>
              </w:rPr>
            </w:pPr>
          </w:p>
        </w:tc>
        <w:tc>
          <w:tcPr>
            <w:tcW w:w="2715" w:type="dxa"/>
            <w:vMerge/>
            <w:tcBorders>
              <w:top w:val="single" w:sz="4" w:space="0" w:color="auto"/>
              <w:left w:val="single" w:sz="4" w:space="0" w:color="auto"/>
              <w:bottom w:val="single" w:sz="4" w:space="0" w:color="000000"/>
              <w:right w:val="single" w:sz="4" w:space="0" w:color="auto"/>
            </w:tcBorders>
            <w:vAlign w:val="center"/>
            <w:hideMark/>
          </w:tcPr>
          <w:p w14:paraId="3C453256" w14:textId="77777777" w:rsidR="003B6BD9" w:rsidRDefault="003B6BD9">
            <w:pPr>
              <w:spacing w:before="0" w:after="0" w:line="276" w:lineRule="auto"/>
              <w:rPr>
                <w:rFonts w:eastAsia="Times New Roman"/>
                <w:b/>
                <w:noProof/>
                <w:sz w:val="22"/>
                <w:szCs w:val="24"/>
              </w:rPr>
            </w:pPr>
          </w:p>
        </w:tc>
        <w:tc>
          <w:tcPr>
            <w:tcW w:w="1651" w:type="dxa"/>
            <w:vMerge/>
            <w:tcBorders>
              <w:top w:val="single" w:sz="4" w:space="0" w:color="auto"/>
              <w:left w:val="single" w:sz="4" w:space="0" w:color="auto"/>
              <w:bottom w:val="single" w:sz="4" w:space="0" w:color="000000"/>
              <w:right w:val="single" w:sz="4" w:space="0" w:color="auto"/>
            </w:tcBorders>
            <w:vAlign w:val="center"/>
            <w:hideMark/>
          </w:tcPr>
          <w:p w14:paraId="45A8F0AC" w14:textId="77777777" w:rsidR="003B6BD9" w:rsidRDefault="003B6BD9">
            <w:pPr>
              <w:spacing w:before="0" w:after="0" w:line="276" w:lineRule="auto"/>
              <w:rPr>
                <w:rFonts w:eastAsia="Times New Roman"/>
                <w:b/>
                <w:noProof/>
                <w:sz w:val="22"/>
                <w:szCs w:val="24"/>
              </w:rPr>
            </w:pPr>
          </w:p>
        </w:tc>
        <w:tc>
          <w:tcPr>
            <w:tcW w:w="4139" w:type="dxa"/>
            <w:vMerge/>
            <w:tcBorders>
              <w:top w:val="single" w:sz="4" w:space="0" w:color="auto"/>
              <w:left w:val="nil"/>
              <w:bottom w:val="single" w:sz="4" w:space="0" w:color="000000"/>
              <w:right w:val="single" w:sz="4" w:space="0" w:color="auto"/>
            </w:tcBorders>
            <w:vAlign w:val="center"/>
            <w:hideMark/>
          </w:tcPr>
          <w:p w14:paraId="7D25D1BE" w14:textId="77777777" w:rsidR="003B6BD9" w:rsidRDefault="003B6BD9">
            <w:pPr>
              <w:spacing w:before="0" w:after="0" w:line="276" w:lineRule="auto"/>
              <w:rPr>
                <w:rFonts w:eastAsia="Times New Roman"/>
                <w:b/>
                <w:noProof/>
                <w:sz w:val="22"/>
                <w:szCs w:val="24"/>
              </w:rPr>
            </w:pPr>
          </w:p>
        </w:tc>
      </w:tr>
      <w:tr w:rsidR="003B6BD9" w14:paraId="2611EACE"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3F79410A" w14:textId="77777777" w:rsidR="003B6BD9" w:rsidRDefault="009E25E8">
            <w:pPr>
              <w:pStyle w:val="P68B1DB1-Normal18"/>
              <w:spacing w:before="0" w:after="0" w:line="276" w:lineRule="auto"/>
              <w:jc w:val="center"/>
              <w:rPr>
                <w:rFonts w:eastAsia="Times New Roman"/>
                <w:noProof/>
              </w:rPr>
            </w:pPr>
            <w:r>
              <w:rPr>
                <w:noProof/>
              </w:rPr>
              <w:t>83</w:t>
            </w:r>
          </w:p>
        </w:tc>
        <w:tc>
          <w:tcPr>
            <w:tcW w:w="2715" w:type="dxa"/>
            <w:tcBorders>
              <w:top w:val="nil"/>
              <w:left w:val="nil"/>
              <w:bottom w:val="single" w:sz="4" w:space="0" w:color="auto"/>
              <w:right w:val="single" w:sz="4" w:space="0" w:color="auto"/>
            </w:tcBorders>
            <w:shd w:val="clear" w:color="auto" w:fill="C6EFCE"/>
            <w:noWrap/>
            <w:vAlign w:val="center"/>
          </w:tcPr>
          <w:p w14:paraId="29C0F8F2" w14:textId="77777777" w:rsidR="003B6BD9" w:rsidRDefault="009E25E8">
            <w:pPr>
              <w:pStyle w:val="P68B1DB1-Normal18"/>
              <w:spacing w:before="0" w:after="0" w:line="276" w:lineRule="auto"/>
              <w:rPr>
                <w:rFonts w:eastAsia="Times New Roman"/>
                <w:noProof/>
              </w:rPr>
            </w:pPr>
            <w:r>
              <w:rPr>
                <w:noProof/>
              </w:rPr>
              <w:t>D: Projets transfrontaliers et plurinationaux — Infrastructure et services européens communs de données</w:t>
            </w:r>
          </w:p>
        </w:tc>
        <w:tc>
          <w:tcPr>
            <w:tcW w:w="1651" w:type="dxa"/>
            <w:tcBorders>
              <w:top w:val="nil"/>
              <w:left w:val="nil"/>
              <w:bottom w:val="single" w:sz="4" w:space="0" w:color="auto"/>
              <w:right w:val="single" w:sz="4" w:space="0" w:color="auto"/>
            </w:tcBorders>
            <w:shd w:val="clear" w:color="auto" w:fill="C6EFCE"/>
            <w:noWrap/>
            <w:vAlign w:val="center"/>
          </w:tcPr>
          <w:p w14:paraId="6B1B2D5C" w14:textId="77777777" w:rsidR="003B6BD9" w:rsidRDefault="009E25E8">
            <w:pPr>
              <w:pStyle w:val="P68B1DB1-Normal18"/>
              <w:spacing w:before="0" w:after="0" w:line="276" w:lineRule="auto"/>
              <w:rPr>
                <w:rFonts w:eastAsia="Times New Roman"/>
                <w:noProof/>
              </w:rPr>
            </w:pPr>
            <w:r>
              <w:rPr>
                <w:noProof/>
              </w:rPr>
              <w:t>Jalon</w:t>
            </w:r>
          </w:p>
        </w:tc>
        <w:tc>
          <w:tcPr>
            <w:tcW w:w="4139" w:type="dxa"/>
            <w:tcBorders>
              <w:top w:val="nil"/>
              <w:left w:val="nil"/>
              <w:bottom w:val="single" w:sz="4" w:space="0" w:color="auto"/>
              <w:right w:val="single" w:sz="4" w:space="0" w:color="auto"/>
            </w:tcBorders>
            <w:shd w:val="clear" w:color="auto" w:fill="C6EFCE"/>
            <w:noWrap/>
            <w:vAlign w:val="center"/>
          </w:tcPr>
          <w:p w14:paraId="0CA80D46" w14:textId="77777777" w:rsidR="003B6BD9" w:rsidRDefault="009E25E8">
            <w:pPr>
              <w:pStyle w:val="P68B1DB1-Normal18"/>
              <w:spacing w:before="0" w:after="0" w:line="276" w:lineRule="auto"/>
              <w:rPr>
                <w:rFonts w:eastAsia="Times New Roman"/>
                <w:noProof/>
              </w:rPr>
            </w:pPr>
            <w:r>
              <w:rPr>
                <w:noProof/>
              </w:rPr>
              <w:t>Lancement de l’appel à manifestation d’intérêt pour un nouveau projet sur l’informatique en nuage de nouvelle génération.</w:t>
            </w:r>
          </w:p>
        </w:tc>
      </w:tr>
      <w:tr w:rsidR="003B6BD9" w14:paraId="0C3303AB"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869B967" w14:textId="77777777" w:rsidR="003B6BD9" w:rsidRDefault="009E25E8">
            <w:pPr>
              <w:pStyle w:val="P68B1DB1-Normal18"/>
              <w:spacing w:before="0" w:after="0" w:line="276" w:lineRule="auto"/>
              <w:jc w:val="center"/>
              <w:rPr>
                <w:rFonts w:eastAsia="Times New Roman"/>
                <w:noProof/>
              </w:rPr>
            </w:pPr>
            <w:r>
              <w:rPr>
                <w:noProof/>
              </w:rPr>
              <w:t>85</w:t>
            </w:r>
          </w:p>
        </w:tc>
        <w:tc>
          <w:tcPr>
            <w:tcW w:w="2715" w:type="dxa"/>
            <w:tcBorders>
              <w:top w:val="nil"/>
              <w:left w:val="nil"/>
              <w:bottom w:val="single" w:sz="4" w:space="0" w:color="auto"/>
              <w:right w:val="single" w:sz="4" w:space="0" w:color="auto"/>
            </w:tcBorders>
            <w:shd w:val="clear" w:color="auto" w:fill="C6EFCE"/>
            <w:noWrap/>
            <w:vAlign w:val="center"/>
          </w:tcPr>
          <w:p w14:paraId="2AFA72B8" w14:textId="77777777" w:rsidR="003B6BD9" w:rsidRDefault="009E25E8">
            <w:pPr>
              <w:pStyle w:val="P68B1DB1-Normal18"/>
              <w:spacing w:before="0" w:after="0" w:line="276" w:lineRule="auto"/>
              <w:rPr>
                <w:rFonts w:eastAsia="Times New Roman"/>
                <w:noProof/>
              </w:rPr>
            </w:pPr>
            <w:r>
              <w:rPr>
                <w:noProof/>
              </w:rPr>
              <w:t>E: Projets transfrontaliers et multinationaux — Processeurs de faible puissance et semi-conducteurs</w:t>
            </w:r>
          </w:p>
        </w:tc>
        <w:tc>
          <w:tcPr>
            <w:tcW w:w="1651" w:type="dxa"/>
            <w:tcBorders>
              <w:top w:val="nil"/>
              <w:left w:val="nil"/>
              <w:bottom w:val="single" w:sz="4" w:space="0" w:color="auto"/>
              <w:right w:val="single" w:sz="4" w:space="0" w:color="auto"/>
            </w:tcBorders>
            <w:shd w:val="clear" w:color="auto" w:fill="C6EFCE"/>
            <w:noWrap/>
            <w:vAlign w:val="center"/>
          </w:tcPr>
          <w:p w14:paraId="650FCF90" w14:textId="77777777" w:rsidR="003B6BD9" w:rsidRDefault="009E25E8">
            <w:pPr>
              <w:pStyle w:val="P68B1DB1-Normal18"/>
              <w:spacing w:before="0" w:after="0" w:line="276" w:lineRule="auto"/>
              <w:rPr>
                <w:rFonts w:eastAsia="Times New Roman"/>
                <w:noProof/>
              </w:rPr>
            </w:pPr>
            <w:r>
              <w:rPr>
                <w:noProof/>
              </w:rPr>
              <w:t>Jalon</w:t>
            </w:r>
          </w:p>
        </w:tc>
        <w:tc>
          <w:tcPr>
            <w:tcW w:w="4139" w:type="dxa"/>
            <w:tcBorders>
              <w:top w:val="nil"/>
              <w:left w:val="nil"/>
              <w:bottom w:val="single" w:sz="4" w:space="0" w:color="auto"/>
              <w:right w:val="single" w:sz="4" w:space="0" w:color="auto"/>
            </w:tcBorders>
            <w:shd w:val="clear" w:color="auto" w:fill="C6EFCE"/>
            <w:noWrap/>
            <w:vAlign w:val="center"/>
          </w:tcPr>
          <w:p w14:paraId="2A9AB589" w14:textId="77777777" w:rsidR="003B6BD9" w:rsidRDefault="009E25E8">
            <w:pPr>
              <w:pStyle w:val="P68B1DB1-Normal18"/>
              <w:spacing w:before="0" w:after="0" w:line="276" w:lineRule="auto"/>
              <w:rPr>
                <w:rFonts w:eastAsia="Times New Roman"/>
                <w:noProof/>
              </w:rPr>
            </w:pPr>
            <w:r>
              <w:rPr>
                <w:noProof/>
              </w:rPr>
              <w:t>Finalisation de la liste des participants potentiels au projet commun.</w:t>
            </w:r>
          </w:p>
        </w:tc>
      </w:tr>
      <w:tr w:rsidR="003B6BD9" w14:paraId="0B2B9F12"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C2061C2" w14:textId="77777777" w:rsidR="003B6BD9" w:rsidRDefault="009E25E8">
            <w:pPr>
              <w:pStyle w:val="P68B1DB1-Normal18"/>
              <w:spacing w:before="0" w:after="0" w:line="276" w:lineRule="auto"/>
              <w:jc w:val="center"/>
              <w:rPr>
                <w:rFonts w:eastAsia="Times New Roman"/>
                <w:noProof/>
              </w:rPr>
            </w:pPr>
            <w:r>
              <w:rPr>
                <w:noProof/>
              </w:rPr>
              <w:t>171</w:t>
            </w:r>
          </w:p>
        </w:tc>
        <w:tc>
          <w:tcPr>
            <w:tcW w:w="2715" w:type="dxa"/>
            <w:tcBorders>
              <w:top w:val="nil"/>
              <w:left w:val="nil"/>
              <w:bottom w:val="single" w:sz="4" w:space="0" w:color="auto"/>
              <w:right w:val="single" w:sz="4" w:space="0" w:color="auto"/>
            </w:tcBorders>
            <w:shd w:val="clear" w:color="auto" w:fill="C6EFCE"/>
            <w:noWrap/>
            <w:vAlign w:val="center"/>
          </w:tcPr>
          <w:p w14:paraId="21531084" w14:textId="77777777" w:rsidR="003B6BD9" w:rsidRDefault="009E25E8">
            <w:pPr>
              <w:pStyle w:val="P68B1DB1-Normal18"/>
              <w:spacing w:before="0" w:after="0" w:line="276" w:lineRule="auto"/>
              <w:rPr>
                <w:rFonts w:eastAsia="Times New Roman"/>
                <w:noProof/>
              </w:rPr>
            </w:pPr>
            <w:r>
              <w:rPr>
                <w:noProof/>
              </w:rPr>
              <w:t>A: Supprimer les obstacles administratifs</w:t>
            </w:r>
          </w:p>
        </w:tc>
        <w:tc>
          <w:tcPr>
            <w:tcW w:w="1651" w:type="dxa"/>
            <w:tcBorders>
              <w:top w:val="nil"/>
              <w:left w:val="nil"/>
              <w:bottom w:val="single" w:sz="4" w:space="0" w:color="auto"/>
              <w:right w:val="single" w:sz="4" w:space="0" w:color="auto"/>
            </w:tcBorders>
            <w:shd w:val="clear" w:color="auto" w:fill="C6EFCE"/>
            <w:noWrap/>
            <w:vAlign w:val="center"/>
          </w:tcPr>
          <w:p w14:paraId="0AAD64E8" w14:textId="77777777" w:rsidR="003B6BD9" w:rsidRDefault="009E25E8">
            <w:pPr>
              <w:pStyle w:val="P68B1DB1-Normal18"/>
              <w:spacing w:before="0" w:after="0" w:line="276" w:lineRule="auto"/>
              <w:rPr>
                <w:rFonts w:eastAsia="Times New Roman"/>
                <w:noProof/>
              </w:rPr>
            </w:pPr>
            <w:r>
              <w:rPr>
                <w:noProof/>
              </w:rPr>
              <w:t>Jalon</w:t>
            </w:r>
          </w:p>
        </w:tc>
        <w:tc>
          <w:tcPr>
            <w:tcW w:w="4139" w:type="dxa"/>
            <w:tcBorders>
              <w:top w:val="nil"/>
              <w:left w:val="nil"/>
              <w:bottom w:val="single" w:sz="4" w:space="0" w:color="auto"/>
              <w:right w:val="single" w:sz="4" w:space="0" w:color="auto"/>
            </w:tcBorders>
            <w:shd w:val="clear" w:color="auto" w:fill="C6EFCE"/>
            <w:noWrap/>
            <w:vAlign w:val="center"/>
          </w:tcPr>
          <w:p w14:paraId="3904E0AA" w14:textId="7F5E5A13" w:rsidR="003B6BD9" w:rsidRDefault="009E25E8">
            <w:pPr>
              <w:pStyle w:val="P68B1DB1-Normal18"/>
              <w:spacing w:before="0" w:after="0" w:line="276" w:lineRule="auto"/>
              <w:rPr>
                <w:rFonts w:eastAsia="Times New Roman"/>
                <w:noProof/>
              </w:rPr>
            </w:pPr>
            <w:r>
              <w:rPr>
                <w:noProof/>
              </w:rPr>
              <w:t>Entrée en vigueur de la loi sur la débureaucratisation</w:t>
            </w:r>
          </w:p>
        </w:tc>
      </w:tr>
      <w:tr w:rsidR="003B6BD9" w14:paraId="434B37DE"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238229B1" w14:textId="77777777" w:rsidR="003B6BD9" w:rsidRDefault="009E25E8">
            <w:pPr>
              <w:pStyle w:val="P68B1DB1-Normal18"/>
              <w:spacing w:before="0" w:after="0" w:line="276" w:lineRule="auto"/>
              <w:jc w:val="center"/>
              <w:rPr>
                <w:rFonts w:eastAsia="Times New Roman"/>
                <w:noProof/>
              </w:rPr>
            </w:pPr>
            <w:r>
              <w:rPr>
                <w:noProof/>
              </w:rPr>
              <w:t>77</w:t>
            </w:r>
          </w:p>
        </w:tc>
        <w:tc>
          <w:tcPr>
            <w:tcW w:w="2715" w:type="dxa"/>
            <w:tcBorders>
              <w:top w:val="nil"/>
              <w:left w:val="nil"/>
              <w:bottom w:val="single" w:sz="4" w:space="0" w:color="auto"/>
              <w:right w:val="single" w:sz="4" w:space="0" w:color="auto"/>
            </w:tcBorders>
            <w:shd w:val="clear" w:color="auto" w:fill="C6EFCE"/>
            <w:noWrap/>
            <w:vAlign w:val="center"/>
            <w:hideMark/>
          </w:tcPr>
          <w:p w14:paraId="5DC46E07" w14:textId="4460CCDA" w:rsidR="003B6BD9" w:rsidRDefault="009E25E8">
            <w:pPr>
              <w:pStyle w:val="P68B1DB1-Normal18"/>
              <w:spacing w:before="0" w:after="0" w:line="276" w:lineRule="auto"/>
              <w:rPr>
                <w:rFonts w:eastAsia="Times New Roman"/>
                <w:noProof/>
              </w:rPr>
            </w:pPr>
            <w:r>
              <w:rPr>
                <w:noProof/>
              </w:rPr>
              <w:t>A: Transformation numérique de l’économie (entreprises et industrie)</w:t>
            </w:r>
          </w:p>
        </w:tc>
        <w:tc>
          <w:tcPr>
            <w:tcW w:w="1651" w:type="dxa"/>
            <w:tcBorders>
              <w:top w:val="nil"/>
              <w:left w:val="nil"/>
              <w:bottom w:val="single" w:sz="4" w:space="0" w:color="auto"/>
              <w:right w:val="single" w:sz="4" w:space="0" w:color="auto"/>
            </w:tcBorders>
            <w:shd w:val="clear" w:color="auto" w:fill="C6EFCE"/>
            <w:noWrap/>
            <w:vAlign w:val="center"/>
            <w:hideMark/>
          </w:tcPr>
          <w:p w14:paraId="53BDFA81" w14:textId="77777777" w:rsidR="003B6BD9" w:rsidRDefault="009E25E8">
            <w:pPr>
              <w:pStyle w:val="P68B1DB1-Normal18"/>
              <w:spacing w:before="0" w:after="0" w:line="276" w:lineRule="auto"/>
              <w:rPr>
                <w:rFonts w:eastAsia="Times New Roman"/>
                <w:noProof/>
              </w:rPr>
            </w:pPr>
            <w:r>
              <w:rPr>
                <w:noProof/>
              </w:rPr>
              <w:t>Jalon</w:t>
            </w:r>
          </w:p>
        </w:tc>
        <w:tc>
          <w:tcPr>
            <w:tcW w:w="4139" w:type="dxa"/>
            <w:tcBorders>
              <w:top w:val="nil"/>
              <w:left w:val="nil"/>
              <w:bottom w:val="single" w:sz="4" w:space="0" w:color="auto"/>
              <w:right w:val="single" w:sz="4" w:space="0" w:color="auto"/>
            </w:tcBorders>
            <w:shd w:val="clear" w:color="auto" w:fill="C6EFCE"/>
            <w:noWrap/>
            <w:vAlign w:val="center"/>
            <w:hideMark/>
          </w:tcPr>
          <w:p w14:paraId="3A3FF949" w14:textId="77777777" w:rsidR="003B6BD9" w:rsidRDefault="009E25E8">
            <w:pPr>
              <w:pStyle w:val="P68B1DB1-Normal18"/>
              <w:spacing w:before="0" w:after="0" w:line="276" w:lineRule="auto"/>
              <w:rPr>
                <w:rFonts w:eastAsia="Times New Roman"/>
                <w:noProof/>
              </w:rPr>
            </w:pPr>
            <w:r>
              <w:rPr>
                <w:noProof/>
              </w:rPr>
              <w:t>Adoption d’une stratégie pour la transformation numérique des entreprises</w:t>
            </w:r>
          </w:p>
        </w:tc>
      </w:tr>
      <w:tr w:rsidR="003B6BD9" w14:paraId="11230A89"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37AB0B07" w14:textId="77777777" w:rsidR="003B6BD9" w:rsidRDefault="009E25E8">
            <w:pPr>
              <w:pStyle w:val="P68B1DB1-Normal18"/>
              <w:spacing w:before="0" w:after="0" w:line="276" w:lineRule="auto"/>
              <w:jc w:val="center"/>
              <w:rPr>
                <w:rFonts w:eastAsia="Times New Roman"/>
                <w:noProof/>
              </w:rPr>
            </w:pPr>
            <w:r>
              <w:rPr>
                <w:noProof/>
              </w:rPr>
              <w:t>90</w:t>
            </w:r>
          </w:p>
        </w:tc>
        <w:tc>
          <w:tcPr>
            <w:tcW w:w="2715" w:type="dxa"/>
            <w:tcBorders>
              <w:top w:val="nil"/>
              <w:left w:val="nil"/>
              <w:bottom w:val="single" w:sz="4" w:space="0" w:color="auto"/>
              <w:right w:val="single" w:sz="4" w:space="0" w:color="auto"/>
            </w:tcBorders>
            <w:shd w:val="clear" w:color="auto" w:fill="C6EFCE"/>
            <w:noWrap/>
            <w:vAlign w:val="center"/>
            <w:hideMark/>
          </w:tcPr>
          <w:p w14:paraId="37D2DB0B" w14:textId="77777777" w:rsidR="003B6BD9" w:rsidRDefault="009E25E8">
            <w:pPr>
              <w:pStyle w:val="P68B1DB1-Normal18"/>
              <w:spacing w:before="0" w:after="0" w:line="276" w:lineRule="auto"/>
              <w:rPr>
                <w:rFonts w:eastAsia="Times New Roman"/>
                <w:noProof/>
              </w:rPr>
            </w:pPr>
            <w:r>
              <w:rPr>
                <w:noProof/>
              </w:rPr>
              <w:t>A: Renforcer la gouvernance de la transformation numérique de l’administration publique</w:t>
            </w:r>
          </w:p>
        </w:tc>
        <w:tc>
          <w:tcPr>
            <w:tcW w:w="1651" w:type="dxa"/>
            <w:tcBorders>
              <w:top w:val="nil"/>
              <w:left w:val="nil"/>
              <w:bottom w:val="single" w:sz="4" w:space="0" w:color="auto"/>
              <w:right w:val="single" w:sz="4" w:space="0" w:color="auto"/>
            </w:tcBorders>
            <w:shd w:val="clear" w:color="auto" w:fill="C6EFCE"/>
            <w:noWrap/>
            <w:vAlign w:val="center"/>
            <w:hideMark/>
          </w:tcPr>
          <w:p w14:paraId="2F2A041F" w14:textId="77777777" w:rsidR="003B6BD9" w:rsidRDefault="009E25E8">
            <w:pPr>
              <w:pStyle w:val="P68B1DB1-Normal18"/>
              <w:spacing w:before="0" w:after="0" w:line="276" w:lineRule="auto"/>
              <w:rPr>
                <w:rFonts w:eastAsia="Times New Roman"/>
                <w:noProof/>
              </w:rPr>
            </w:pPr>
            <w:r>
              <w:rPr>
                <w:noProof/>
              </w:rPr>
              <w:t>Jalon</w:t>
            </w:r>
          </w:p>
        </w:tc>
        <w:tc>
          <w:tcPr>
            <w:tcW w:w="4139" w:type="dxa"/>
            <w:tcBorders>
              <w:top w:val="nil"/>
              <w:left w:val="nil"/>
              <w:bottom w:val="single" w:sz="4" w:space="0" w:color="auto"/>
              <w:right w:val="single" w:sz="4" w:space="0" w:color="auto"/>
            </w:tcBorders>
            <w:shd w:val="clear" w:color="auto" w:fill="C6EFCE"/>
            <w:noWrap/>
            <w:vAlign w:val="center"/>
            <w:hideMark/>
          </w:tcPr>
          <w:p w14:paraId="79ECEBE8" w14:textId="77777777" w:rsidR="003B6BD9" w:rsidRDefault="009E25E8">
            <w:pPr>
              <w:pStyle w:val="P68B1DB1-Normal18"/>
              <w:spacing w:before="0" w:after="0" w:line="276" w:lineRule="auto"/>
              <w:rPr>
                <w:rFonts w:eastAsia="Times New Roman"/>
                <w:noProof/>
              </w:rPr>
            </w:pPr>
            <w:r>
              <w:rPr>
                <w:noProof/>
              </w:rPr>
              <w:t>Création et fonctionnement du Conseil de développement informatique de l’administration de l’État</w:t>
            </w:r>
          </w:p>
        </w:tc>
      </w:tr>
      <w:tr w:rsidR="003B6BD9" w14:paraId="037785B3"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0857E8F0" w14:textId="77777777" w:rsidR="003B6BD9" w:rsidRDefault="009E25E8">
            <w:pPr>
              <w:pStyle w:val="P68B1DB1-Normal18"/>
              <w:spacing w:before="0" w:after="0" w:line="276" w:lineRule="auto"/>
              <w:jc w:val="center"/>
              <w:rPr>
                <w:rFonts w:eastAsia="Times New Roman"/>
                <w:noProof/>
              </w:rPr>
            </w:pPr>
            <w:r>
              <w:rPr>
                <w:noProof/>
              </w:rPr>
              <w:t>124</w:t>
            </w:r>
          </w:p>
        </w:tc>
        <w:tc>
          <w:tcPr>
            <w:tcW w:w="2715" w:type="dxa"/>
            <w:tcBorders>
              <w:top w:val="nil"/>
              <w:left w:val="nil"/>
              <w:bottom w:val="single" w:sz="4" w:space="0" w:color="auto"/>
              <w:right w:val="single" w:sz="4" w:space="0" w:color="auto"/>
            </w:tcBorders>
            <w:shd w:val="clear" w:color="auto" w:fill="C6EFCE"/>
            <w:noWrap/>
            <w:vAlign w:val="center"/>
            <w:hideMark/>
          </w:tcPr>
          <w:p w14:paraId="2F8FF763" w14:textId="77777777" w:rsidR="003B6BD9" w:rsidRDefault="009E25E8">
            <w:pPr>
              <w:pStyle w:val="P68B1DB1-Normal18"/>
              <w:spacing w:before="0" w:after="0" w:line="276" w:lineRule="auto"/>
              <w:rPr>
                <w:rFonts w:eastAsia="Times New Roman"/>
                <w:noProof/>
              </w:rPr>
            </w:pPr>
            <w:r>
              <w:rPr>
                <w:noProof/>
              </w:rPr>
              <w:t>A: Renforcer les marchés des capitaux</w:t>
            </w:r>
          </w:p>
        </w:tc>
        <w:tc>
          <w:tcPr>
            <w:tcW w:w="1651" w:type="dxa"/>
            <w:tcBorders>
              <w:top w:val="nil"/>
              <w:left w:val="nil"/>
              <w:bottom w:val="single" w:sz="4" w:space="0" w:color="auto"/>
              <w:right w:val="single" w:sz="4" w:space="0" w:color="auto"/>
            </w:tcBorders>
            <w:shd w:val="clear" w:color="auto" w:fill="C6EFCE"/>
            <w:noWrap/>
            <w:vAlign w:val="center"/>
            <w:hideMark/>
          </w:tcPr>
          <w:p w14:paraId="41124D48" w14:textId="77777777" w:rsidR="003B6BD9" w:rsidRDefault="009E25E8">
            <w:pPr>
              <w:pStyle w:val="P68B1DB1-Normal18"/>
              <w:spacing w:before="0" w:after="0" w:line="276" w:lineRule="auto"/>
              <w:rPr>
                <w:rFonts w:eastAsia="Times New Roman"/>
                <w:noProof/>
              </w:rPr>
            </w:pPr>
            <w:r>
              <w:rPr>
                <w:noProof/>
              </w:rPr>
              <w:t>Jalon</w:t>
            </w:r>
          </w:p>
        </w:tc>
        <w:tc>
          <w:tcPr>
            <w:tcW w:w="4139" w:type="dxa"/>
            <w:tcBorders>
              <w:top w:val="nil"/>
              <w:left w:val="nil"/>
              <w:bottom w:val="single" w:sz="4" w:space="0" w:color="auto"/>
              <w:right w:val="single" w:sz="4" w:space="0" w:color="auto"/>
            </w:tcBorders>
            <w:shd w:val="clear" w:color="auto" w:fill="C6EFCE"/>
            <w:noWrap/>
            <w:vAlign w:val="center"/>
            <w:hideMark/>
          </w:tcPr>
          <w:p w14:paraId="762BA576" w14:textId="77777777" w:rsidR="003B6BD9" w:rsidRDefault="009E25E8">
            <w:pPr>
              <w:pStyle w:val="P68B1DB1-Normal18"/>
              <w:spacing w:before="0" w:after="0" w:line="276" w:lineRule="auto"/>
              <w:rPr>
                <w:rFonts w:eastAsia="Times New Roman"/>
                <w:noProof/>
              </w:rPr>
            </w:pPr>
            <w:r>
              <w:rPr>
                <w:noProof/>
              </w:rPr>
              <w:t>Entrée en vigueur de la loi sur les formes de fonds d’investissement alternatifs</w:t>
            </w:r>
          </w:p>
        </w:tc>
      </w:tr>
      <w:tr w:rsidR="003B6BD9" w14:paraId="44E935F8"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B50D1D0" w14:textId="77777777" w:rsidR="003B6BD9" w:rsidRDefault="009E25E8">
            <w:pPr>
              <w:pStyle w:val="P68B1DB1-Normal18"/>
              <w:spacing w:before="0" w:after="0" w:line="276" w:lineRule="auto"/>
              <w:jc w:val="center"/>
              <w:rPr>
                <w:rFonts w:eastAsia="Times New Roman"/>
                <w:noProof/>
              </w:rPr>
            </w:pPr>
            <w:r>
              <w:rPr>
                <w:noProof/>
              </w:rPr>
              <w:t>126</w:t>
            </w:r>
          </w:p>
        </w:tc>
        <w:tc>
          <w:tcPr>
            <w:tcW w:w="2715" w:type="dxa"/>
            <w:tcBorders>
              <w:top w:val="nil"/>
              <w:left w:val="nil"/>
              <w:bottom w:val="single" w:sz="4" w:space="0" w:color="auto"/>
              <w:right w:val="single" w:sz="4" w:space="0" w:color="auto"/>
            </w:tcBorders>
            <w:shd w:val="clear" w:color="auto" w:fill="C6EFCE"/>
            <w:noWrap/>
            <w:vAlign w:val="center"/>
          </w:tcPr>
          <w:p w14:paraId="068DCB5E" w14:textId="61B28FE6" w:rsidR="003B6BD9" w:rsidRDefault="009E25E8">
            <w:pPr>
              <w:pStyle w:val="P68B1DB1-Normal18"/>
              <w:spacing w:before="0" w:after="0" w:line="276" w:lineRule="auto"/>
              <w:rPr>
                <w:rFonts w:eastAsia="Times New Roman"/>
                <w:noProof/>
              </w:rPr>
            </w:pPr>
            <w:r>
              <w:rPr>
                <w:noProof/>
              </w:rPr>
              <w:t>B: Une économie plus productive pour la transition numérique et écologique</w:t>
            </w:r>
          </w:p>
        </w:tc>
        <w:tc>
          <w:tcPr>
            <w:tcW w:w="1651" w:type="dxa"/>
            <w:tcBorders>
              <w:top w:val="nil"/>
              <w:left w:val="nil"/>
              <w:bottom w:val="single" w:sz="4" w:space="0" w:color="auto"/>
              <w:right w:val="single" w:sz="4" w:space="0" w:color="auto"/>
            </w:tcBorders>
            <w:shd w:val="clear" w:color="auto" w:fill="C6EFCE"/>
            <w:noWrap/>
            <w:vAlign w:val="center"/>
          </w:tcPr>
          <w:p w14:paraId="08BF8E79" w14:textId="77777777" w:rsidR="003B6BD9" w:rsidRDefault="009E25E8">
            <w:pPr>
              <w:pStyle w:val="P68B1DB1-Normal18"/>
              <w:spacing w:before="0" w:after="0" w:line="276" w:lineRule="auto"/>
              <w:rPr>
                <w:rFonts w:eastAsia="Times New Roman"/>
                <w:noProof/>
              </w:rPr>
            </w:pPr>
            <w:r>
              <w:rPr>
                <w:noProof/>
              </w:rPr>
              <w:t>Jalon</w:t>
            </w:r>
          </w:p>
        </w:tc>
        <w:tc>
          <w:tcPr>
            <w:tcW w:w="4139" w:type="dxa"/>
            <w:tcBorders>
              <w:top w:val="nil"/>
              <w:left w:val="nil"/>
              <w:bottom w:val="single" w:sz="4" w:space="0" w:color="auto"/>
              <w:right w:val="single" w:sz="4" w:space="0" w:color="auto"/>
            </w:tcBorders>
            <w:shd w:val="clear" w:color="auto" w:fill="C6EFCE"/>
            <w:noWrap/>
            <w:vAlign w:val="center"/>
          </w:tcPr>
          <w:p w14:paraId="37C969B6" w14:textId="77777777" w:rsidR="003B6BD9" w:rsidRDefault="009E25E8">
            <w:pPr>
              <w:pStyle w:val="P68B1DB1-Normal18"/>
              <w:spacing w:before="0" w:after="0" w:line="276" w:lineRule="auto"/>
              <w:rPr>
                <w:rFonts w:eastAsia="Times New Roman"/>
                <w:noProof/>
              </w:rPr>
            </w:pPr>
            <w:r>
              <w:rPr>
                <w:noProof/>
              </w:rPr>
              <w:t>Entrée en vigueur des modifications apportées à la loi sur la promotion des investissements dans le but de promouvoir la transition écologique</w:t>
            </w:r>
          </w:p>
        </w:tc>
      </w:tr>
      <w:tr w:rsidR="003B6BD9" w14:paraId="7B967288"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41C8568B" w14:textId="77777777" w:rsidR="003B6BD9" w:rsidRDefault="009E25E8">
            <w:pPr>
              <w:pStyle w:val="P68B1DB1-Normal18"/>
              <w:spacing w:before="0" w:after="0" w:line="276" w:lineRule="auto"/>
              <w:jc w:val="center"/>
              <w:rPr>
                <w:rFonts w:eastAsia="Times New Roman"/>
                <w:noProof/>
              </w:rPr>
            </w:pPr>
            <w:r>
              <w:rPr>
                <w:noProof/>
              </w:rPr>
              <w:t>149</w:t>
            </w:r>
          </w:p>
        </w:tc>
        <w:tc>
          <w:tcPr>
            <w:tcW w:w="2715" w:type="dxa"/>
            <w:tcBorders>
              <w:top w:val="nil"/>
              <w:left w:val="nil"/>
              <w:bottom w:val="single" w:sz="4" w:space="0" w:color="auto"/>
              <w:right w:val="single" w:sz="4" w:space="0" w:color="auto"/>
            </w:tcBorders>
            <w:shd w:val="clear" w:color="auto" w:fill="C6EFCE"/>
            <w:noWrap/>
            <w:vAlign w:val="center"/>
          </w:tcPr>
          <w:p w14:paraId="3DACD81B" w14:textId="77777777" w:rsidR="003B6BD9" w:rsidRDefault="009E25E8">
            <w:pPr>
              <w:pStyle w:val="P68B1DB1-Normal18"/>
              <w:spacing w:before="0" w:after="0" w:line="276" w:lineRule="auto"/>
              <w:rPr>
                <w:rFonts w:eastAsia="Times New Roman"/>
                <w:noProof/>
              </w:rPr>
            </w:pPr>
            <w:r>
              <w:rPr>
                <w:noProof/>
              </w:rPr>
              <w:t>A: Renforcer le développement durable du tourisme</w:t>
            </w:r>
          </w:p>
        </w:tc>
        <w:tc>
          <w:tcPr>
            <w:tcW w:w="1651" w:type="dxa"/>
            <w:tcBorders>
              <w:top w:val="nil"/>
              <w:left w:val="nil"/>
              <w:bottom w:val="single" w:sz="4" w:space="0" w:color="auto"/>
              <w:right w:val="single" w:sz="4" w:space="0" w:color="auto"/>
            </w:tcBorders>
            <w:shd w:val="clear" w:color="auto" w:fill="C6EFCE"/>
            <w:noWrap/>
            <w:vAlign w:val="center"/>
          </w:tcPr>
          <w:p w14:paraId="2AEB53D5" w14:textId="77777777" w:rsidR="003B6BD9" w:rsidRDefault="009E25E8">
            <w:pPr>
              <w:pStyle w:val="P68B1DB1-Normal18"/>
              <w:spacing w:before="0" w:after="0" w:line="276" w:lineRule="auto"/>
              <w:rPr>
                <w:rFonts w:eastAsia="Times New Roman"/>
                <w:noProof/>
              </w:rPr>
            </w:pPr>
            <w:r>
              <w:rPr>
                <w:noProof/>
              </w:rPr>
              <w:t>Jalon</w:t>
            </w:r>
          </w:p>
        </w:tc>
        <w:tc>
          <w:tcPr>
            <w:tcW w:w="4139" w:type="dxa"/>
            <w:tcBorders>
              <w:top w:val="nil"/>
              <w:left w:val="nil"/>
              <w:bottom w:val="single" w:sz="4" w:space="0" w:color="auto"/>
              <w:right w:val="single" w:sz="4" w:space="0" w:color="auto"/>
            </w:tcBorders>
            <w:shd w:val="clear" w:color="auto" w:fill="C6EFCE"/>
            <w:noWrap/>
            <w:vAlign w:val="center"/>
          </w:tcPr>
          <w:p w14:paraId="20FBEBEC" w14:textId="1A475448" w:rsidR="003B6BD9" w:rsidRDefault="009E25E8">
            <w:pPr>
              <w:pStyle w:val="P68B1DB1-Normal18"/>
              <w:spacing w:before="0" w:after="0" w:line="276" w:lineRule="auto"/>
              <w:rPr>
                <w:rFonts w:eastAsia="Times New Roman"/>
                <w:noProof/>
              </w:rPr>
            </w:pPr>
            <w:r>
              <w:rPr>
                <w:noProof/>
              </w:rPr>
              <w:t>Entrée en vigueur d’un décret sur les incitations au développement pour le tourisme</w:t>
            </w:r>
          </w:p>
        </w:tc>
      </w:tr>
      <w:tr w:rsidR="003B6BD9" w14:paraId="0A39FF1A"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328A32D0" w14:textId="420C0B9F" w:rsidR="003B6BD9" w:rsidRDefault="009E25E8">
            <w:pPr>
              <w:pStyle w:val="P68B1DB1-Normal18"/>
              <w:spacing w:before="0" w:after="0" w:line="276" w:lineRule="auto"/>
              <w:jc w:val="center"/>
              <w:rPr>
                <w:rFonts w:eastAsia="Times New Roman"/>
                <w:noProof/>
              </w:rPr>
            </w:pPr>
            <w:r>
              <w:rPr>
                <w:noProof/>
              </w:rPr>
              <w:t>174</w:t>
            </w:r>
          </w:p>
        </w:tc>
        <w:tc>
          <w:tcPr>
            <w:tcW w:w="2715" w:type="dxa"/>
            <w:tcBorders>
              <w:top w:val="nil"/>
              <w:left w:val="nil"/>
              <w:bottom w:val="single" w:sz="4" w:space="0" w:color="auto"/>
              <w:right w:val="single" w:sz="4" w:space="0" w:color="auto"/>
            </w:tcBorders>
            <w:shd w:val="clear" w:color="auto" w:fill="C6EFCE"/>
            <w:noWrap/>
            <w:vAlign w:val="center"/>
          </w:tcPr>
          <w:p w14:paraId="7ACC231C" w14:textId="77777777" w:rsidR="003B6BD9" w:rsidRDefault="009E25E8">
            <w:pPr>
              <w:pStyle w:val="P68B1DB1-Normal18"/>
              <w:spacing w:before="0" w:after="0" w:line="276" w:lineRule="auto"/>
              <w:rPr>
                <w:rFonts w:eastAsia="Times New Roman"/>
                <w:noProof/>
              </w:rPr>
            </w:pPr>
            <w:r>
              <w:rPr>
                <w:noProof/>
              </w:rPr>
              <w:t>C: Créer des conditions systémiques propices à la croissance des investissements</w:t>
            </w:r>
          </w:p>
        </w:tc>
        <w:tc>
          <w:tcPr>
            <w:tcW w:w="1651" w:type="dxa"/>
            <w:tcBorders>
              <w:top w:val="nil"/>
              <w:left w:val="nil"/>
              <w:bottom w:val="single" w:sz="4" w:space="0" w:color="auto"/>
              <w:right w:val="single" w:sz="4" w:space="0" w:color="auto"/>
            </w:tcBorders>
            <w:shd w:val="clear" w:color="auto" w:fill="C6EFCE"/>
            <w:noWrap/>
            <w:vAlign w:val="center"/>
          </w:tcPr>
          <w:p w14:paraId="046BE94E" w14:textId="77777777" w:rsidR="003B6BD9" w:rsidRDefault="009E25E8">
            <w:pPr>
              <w:pStyle w:val="P68B1DB1-Normal18"/>
              <w:spacing w:before="0" w:after="0" w:line="276" w:lineRule="auto"/>
              <w:rPr>
                <w:rFonts w:eastAsia="Times New Roman"/>
                <w:noProof/>
              </w:rPr>
            </w:pPr>
            <w:r>
              <w:rPr>
                <w:noProof/>
              </w:rPr>
              <w:t>Jalon</w:t>
            </w:r>
          </w:p>
        </w:tc>
        <w:tc>
          <w:tcPr>
            <w:tcW w:w="4139" w:type="dxa"/>
            <w:tcBorders>
              <w:top w:val="nil"/>
              <w:left w:val="nil"/>
              <w:bottom w:val="single" w:sz="4" w:space="0" w:color="auto"/>
              <w:right w:val="single" w:sz="4" w:space="0" w:color="auto"/>
            </w:tcBorders>
            <w:shd w:val="clear" w:color="auto" w:fill="C6EFCE"/>
            <w:noWrap/>
            <w:vAlign w:val="center"/>
          </w:tcPr>
          <w:p w14:paraId="3AE1F9D4" w14:textId="77777777" w:rsidR="003B6BD9" w:rsidRDefault="009E25E8">
            <w:pPr>
              <w:pStyle w:val="P68B1DB1-Normal18"/>
              <w:spacing w:before="0" w:after="0" w:line="276" w:lineRule="auto"/>
              <w:rPr>
                <w:rFonts w:eastAsia="Times New Roman"/>
                <w:noProof/>
              </w:rPr>
            </w:pPr>
            <w:r>
              <w:rPr>
                <w:noProof/>
              </w:rPr>
              <w:t>Entrée en vigueur de la modification de la loi sur les marchés publics</w:t>
            </w:r>
          </w:p>
        </w:tc>
      </w:tr>
      <w:tr w:rsidR="003B6BD9" w14:paraId="36CF8125"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3EE8DCBF" w14:textId="43EBA454" w:rsidR="003B6BD9" w:rsidRDefault="009E25E8">
            <w:pPr>
              <w:pStyle w:val="P68B1DB1-Normal18"/>
              <w:spacing w:before="0" w:after="0" w:line="276" w:lineRule="auto"/>
              <w:jc w:val="center"/>
              <w:rPr>
                <w:rFonts w:eastAsia="Times New Roman"/>
                <w:noProof/>
              </w:rPr>
            </w:pPr>
            <w:r>
              <w:rPr>
                <w:noProof/>
              </w:rPr>
              <w:t>178</w:t>
            </w:r>
          </w:p>
        </w:tc>
        <w:tc>
          <w:tcPr>
            <w:tcW w:w="2715" w:type="dxa"/>
            <w:tcBorders>
              <w:top w:val="nil"/>
              <w:left w:val="nil"/>
              <w:bottom w:val="single" w:sz="4" w:space="0" w:color="auto"/>
              <w:right w:val="single" w:sz="4" w:space="0" w:color="auto"/>
            </w:tcBorders>
            <w:shd w:val="clear" w:color="auto" w:fill="C6EFCE"/>
            <w:noWrap/>
            <w:vAlign w:val="center"/>
          </w:tcPr>
          <w:p w14:paraId="06695605" w14:textId="77777777" w:rsidR="003B6BD9" w:rsidRDefault="009E25E8">
            <w:pPr>
              <w:pStyle w:val="P68B1DB1-Normal18"/>
              <w:spacing w:before="0" w:after="0" w:line="276" w:lineRule="auto"/>
              <w:rPr>
                <w:rFonts w:eastAsia="Times New Roman"/>
                <w:noProof/>
              </w:rPr>
            </w:pPr>
            <w:r>
              <w:rPr>
                <w:noProof/>
              </w:rPr>
              <w:t>C: Créer des conditions systémiques propices à la croissance des investissements</w:t>
            </w:r>
          </w:p>
        </w:tc>
        <w:tc>
          <w:tcPr>
            <w:tcW w:w="1651" w:type="dxa"/>
            <w:tcBorders>
              <w:top w:val="nil"/>
              <w:left w:val="nil"/>
              <w:bottom w:val="single" w:sz="4" w:space="0" w:color="auto"/>
              <w:right w:val="single" w:sz="4" w:space="0" w:color="auto"/>
            </w:tcBorders>
            <w:shd w:val="clear" w:color="auto" w:fill="C6EFCE"/>
            <w:noWrap/>
            <w:vAlign w:val="center"/>
          </w:tcPr>
          <w:p w14:paraId="1215AE00" w14:textId="77777777" w:rsidR="003B6BD9" w:rsidRDefault="009E25E8">
            <w:pPr>
              <w:pStyle w:val="P68B1DB1-Normal18"/>
              <w:spacing w:before="0" w:after="0" w:line="276" w:lineRule="auto"/>
              <w:rPr>
                <w:rFonts w:eastAsia="Times New Roman"/>
                <w:noProof/>
              </w:rPr>
            </w:pPr>
            <w:r>
              <w:rPr>
                <w:noProof/>
              </w:rPr>
              <w:t>Jalon</w:t>
            </w:r>
          </w:p>
        </w:tc>
        <w:tc>
          <w:tcPr>
            <w:tcW w:w="4139" w:type="dxa"/>
            <w:tcBorders>
              <w:top w:val="nil"/>
              <w:left w:val="nil"/>
              <w:bottom w:val="single" w:sz="4" w:space="0" w:color="auto"/>
              <w:right w:val="single" w:sz="4" w:space="0" w:color="auto"/>
            </w:tcBorders>
            <w:shd w:val="clear" w:color="auto" w:fill="C6EFCE"/>
            <w:noWrap/>
            <w:vAlign w:val="center"/>
          </w:tcPr>
          <w:p w14:paraId="64C0E19B" w14:textId="77777777" w:rsidR="003B6BD9" w:rsidRDefault="009E25E8">
            <w:pPr>
              <w:pStyle w:val="P68B1DB1-Normal18"/>
              <w:spacing w:before="0" w:after="0" w:line="276" w:lineRule="auto"/>
              <w:rPr>
                <w:rFonts w:eastAsia="Times New Roman"/>
                <w:noProof/>
              </w:rPr>
            </w:pPr>
            <w:r>
              <w:rPr>
                <w:noProof/>
              </w:rPr>
              <w:t>Alignement des bases de données slovènes sur les marchés publics sur la base de données de la Commission européenne</w:t>
            </w:r>
          </w:p>
          <w:p w14:paraId="569BEC92" w14:textId="77777777" w:rsidR="003B6BD9" w:rsidRDefault="009E25E8">
            <w:pPr>
              <w:pStyle w:val="P68B1DB1-Normal18"/>
              <w:spacing w:before="0" w:after="0" w:line="276" w:lineRule="auto"/>
              <w:rPr>
                <w:rFonts w:eastAsia="Times New Roman"/>
                <w:noProof/>
              </w:rPr>
            </w:pPr>
            <w:r>
              <w:rPr>
                <w:noProof/>
              </w:rPr>
              <w:t>et transmission des données nécessaires à la publication intégrale des indicateurs relatifs aux marchés publics dans le tableau d’affichage du marché unique</w:t>
            </w:r>
          </w:p>
        </w:tc>
      </w:tr>
      <w:tr w:rsidR="003B6BD9" w14:paraId="23620D7D"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519A35B1" w14:textId="77777777" w:rsidR="003B6BD9" w:rsidRDefault="009E25E8">
            <w:pPr>
              <w:pStyle w:val="P68B1DB1-Normal18"/>
              <w:spacing w:before="0" w:after="0" w:line="256" w:lineRule="auto"/>
              <w:jc w:val="center"/>
              <w:rPr>
                <w:rFonts w:eastAsia="Times New Roman"/>
                <w:noProof/>
              </w:rPr>
            </w:pPr>
            <w:r>
              <w:rPr>
                <w:noProof/>
              </w:rPr>
              <w:t>181</w:t>
            </w:r>
          </w:p>
        </w:tc>
        <w:tc>
          <w:tcPr>
            <w:tcW w:w="2715" w:type="dxa"/>
            <w:tcBorders>
              <w:top w:val="nil"/>
              <w:left w:val="nil"/>
              <w:bottom w:val="single" w:sz="4" w:space="0" w:color="auto"/>
              <w:right w:val="single" w:sz="4" w:space="0" w:color="auto"/>
            </w:tcBorders>
            <w:shd w:val="clear" w:color="auto" w:fill="C6EFCE"/>
            <w:noWrap/>
            <w:vAlign w:val="center"/>
          </w:tcPr>
          <w:p w14:paraId="240AAB8F" w14:textId="77777777" w:rsidR="003B6BD9" w:rsidRDefault="009E25E8">
            <w:pPr>
              <w:pStyle w:val="P68B1DB1-Normal18"/>
              <w:spacing w:before="0" w:after="0" w:line="276" w:lineRule="auto"/>
              <w:rPr>
                <w:rFonts w:eastAsia="Times New Roman"/>
                <w:noProof/>
              </w:rPr>
            </w:pPr>
            <w:r>
              <w:rPr>
                <w:noProof/>
              </w:rPr>
              <w:t>D: Mise en œuvre du plan pour la reprise et la résilience — systèmes de contrôle et d’audit</w:t>
            </w:r>
          </w:p>
        </w:tc>
        <w:tc>
          <w:tcPr>
            <w:tcW w:w="1651" w:type="dxa"/>
            <w:tcBorders>
              <w:top w:val="nil"/>
              <w:left w:val="nil"/>
              <w:bottom w:val="single" w:sz="4" w:space="0" w:color="auto"/>
              <w:right w:val="single" w:sz="4" w:space="0" w:color="auto"/>
            </w:tcBorders>
            <w:shd w:val="clear" w:color="auto" w:fill="C6EFCE"/>
            <w:noWrap/>
            <w:vAlign w:val="center"/>
          </w:tcPr>
          <w:p w14:paraId="486441C6" w14:textId="77777777" w:rsidR="003B6BD9" w:rsidRDefault="009E25E8">
            <w:pPr>
              <w:pStyle w:val="P68B1DB1-Normal18"/>
              <w:spacing w:before="0" w:after="0" w:line="276" w:lineRule="auto"/>
              <w:rPr>
                <w:rFonts w:eastAsia="Times New Roman"/>
                <w:noProof/>
              </w:rPr>
            </w:pPr>
            <w:r>
              <w:rPr>
                <w:noProof/>
              </w:rPr>
              <w:t>Jalon</w:t>
            </w:r>
          </w:p>
        </w:tc>
        <w:tc>
          <w:tcPr>
            <w:tcW w:w="4139" w:type="dxa"/>
            <w:tcBorders>
              <w:top w:val="nil"/>
              <w:left w:val="nil"/>
              <w:bottom w:val="single" w:sz="4" w:space="0" w:color="auto"/>
              <w:right w:val="single" w:sz="4" w:space="0" w:color="auto"/>
            </w:tcBorders>
            <w:shd w:val="clear" w:color="auto" w:fill="C6EFCE"/>
            <w:noWrap/>
            <w:vAlign w:val="center"/>
          </w:tcPr>
          <w:p w14:paraId="493C24F1" w14:textId="22FA540A" w:rsidR="003B6BD9" w:rsidRDefault="009E25E8">
            <w:pPr>
              <w:pStyle w:val="P68B1DB1-Normal19"/>
              <w:spacing w:before="0" w:after="200" w:line="276" w:lineRule="auto"/>
              <w:rPr>
                <w:noProof/>
                <w:color w:val="006100"/>
              </w:rPr>
            </w:pPr>
            <w:r>
              <w:rPr>
                <w:noProof/>
                <w:color w:val="006100"/>
              </w:rPr>
              <w:t>Décret national décrivant la procédure de réalisation des audits et des contrôles conformément à la législation de l’Union et à la législation nationale applicables et aux lignes directrices de l’organisme de coordination adoptées par le gouvernement; création du bureau de mise en œuvre du plan pour la reprise et la résilience et du système de répertoire</w:t>
            </w:r>
            <w:r>
              <w:rPr>
                <w:noProof/>
                <w:color w:val="FF0000"/>
              </w:rPr>
              <w:t xml:space="preserve"> </w:t>
            </w:r>
            <w:r>
              <w:rPr>
                <w:noProof/>
                <w:color w:val="006100"/>
              </w:rPr>
              <w:t>modernisé pour l’audit et les contrôles: informations pour le suivi de la mise en œuvre de la FRR.</w:t>
            </w:r>
          </w:p>
        </w:tc>
      </w:tr>
      <w:tr w:rsidR="003B6BD9" w14:paraId="6E35E274"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0FC25A3C" w14:textId="6326BC2F" w:rsidR="003B6BD9" w:rsidRDefault="009E25E8">
            <w:pPr>
              <w:pStyle w:val="P68B1DB1-Normal18"/>
              <w:spacing w:before="0" w:after="0" w:line="256" w:lineRule="auto"/>
              <w:jc w:val="center"/>
              <w:rPr>
                <w:rFonts w:eastAsia="Times New Roman"/>
                <w:noProof/>
              </w:rPr>
            </w:pPr>
            <w:r>
              <w:rPr>
                <w:noProof/>
              </w:rPr>
              <w:t>196</w:t>
            </w:r>
          </w:p>
        </w:tc>
        <w:tc>
          <w:tcPr>
            <w:tcW w:w="2715" w:type="dxa"/>
            <w:tcBorders>
              <w:top w:val="nil"/>
              <w:left w:val="nil"/>
              <w:bottom w:val="single" w:sz="4" w:space="0" w:color="auto"/>
              <w:right w:val="single" w:sz="4" w:space="0" w:color="auto"/>
            </w:tcBorders>
            <w:shd w:val="clear" w:color="auto" w:fill="C6EFCE"/>
            <w:noWrap/>
            <w:vAlign w:val="center"/>
          </w:tcPr>
          <w:p w14:paraId="2E0C65AC" w14:textId="3D790CF2" w:rsidR="003B6BD9" w:rsidRDefault="009E25E8">
            <w:pPr>
              <w:pStyle w:val="P68B1DB1-Normal18"/>
              <w:spacing w:before="0" w:after="0" w:line="276" w:lineRule="auto"/>
              <w:rPr>
                <w:rFonts w:eastAsia="Times New Roman"/>
                <w:noProof/>
              </w:rPr>
            </w:pPr>
            <w:r>
              <w:rPr>
                <w:noProof/>
              </w:rPr>
              <w:t>A: Établir un système unique pour les soins de longue durée</w:t>
            </w:r>
          </w:p>
        </w:tc>
        <w:tc>
          <w:tcPr>
            <w:tcW w:w="1651" w:type="dxa"/>
            <w:tcBorders>
              <w:top w:val="nil"/>
              <w:left w:val="nil"/>
              <w:bottom w:val="single" w:sz="4" w:space="0" w:color="auto"/>
              <w:right w:val="single" w:sz="4" w:space="0" w:color="auto"/>
            </w:tcBorders>
            <w:shd w:val="clear" w:color="auto" w:fill="C6EFCE"/>
            <w:noWrap/>
            <w:vAlign w:val="center"/>
          </w:tcPr>
          <w:p w14:paraId="2CA541F7" w14:textId="77777777" w:rsidR="003B6BD9" w:rsidRDefault="009E25E8">
            <w:pPr>
              <w:pStyle w:val="P68B1DB1-Normal18"/>
              <w:spacing w:before="0" w:after="0" w:line="276" w:lineRule="auto"/>
              <w:rPr>
                <w:rFonts w:eastAsia="Times New Roman"/>
                <w:noProof/>
              </w:rPr>
            </w:pPr>
            <w:r>
              <w:rPr>
                <w:noProof/>
              </w:rPr>
              <w:t>Jalon</w:t>
            </w:r>
          </w:p>
        </w:tc>
        <w:tc>
          <w:tcPr>
            <w:tcW w:w="4139" w:type="dxa"/>
            <w:tcBorders>
              <w:top w:val="nil"/>
              <w:left w:val="nil"/>
              <w:bottom w:val="single" w:sz="4" w:space="0" w:color="auto"/>
              <w:right w:val="single" w:sz="4" w:space="0" w:color="auto"/>
            </w:tcBorders>
            <w:shd w:val="clear" w:color="auto" w:fill="C6EFCE"/>
            <w:noWrap/>
            <w:vAlign w:val="center"/>
          </w:tcPr>
          <w:p w14:paraId="5AE06956" w14:textId="77777777" w:rsidR="003B6BD9" w:rsidRDefault="009E25E8">
            <w:pPr>
              <w:pStyle w:val="P68B1DB1-Normal18"/>
              <w:spacing w:before="0" w:after="200" w:line="252" w:lineRule="auto"/>
              <w:rPr>
                <w:rFonts w:eastAsia="Times New Roman"/>
                <w:noProof/>
              </w:rPr>
            </w:pPr>
            <w:r>
              <w:rPr>
                <w:noProof/>
              </w:rPr>
              <w:t>Modèle national de suivi des indicateurs de qualité pour les prestataires de soins de longue durée</w:t>
            </w:r>
          </w:p>
        </w:tc>
      </w:tr>
      <w:tr w:rsidR="003B6BD9" w14:paraId="1A92DA30" w14:textId="77777777">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BA44F" w14:textId="77777777" w:rsidR="003B6BD9" w:rsidRDefault="003B6BD9">
            <w:pPr>
              <w:spacing w:before="0" w:after="0" w:line="276" w:lineRule="auto"/>
              <w:rPr>
                <w:rFonts w:eastAsia="Times New Roman"/>
                <w:noProof/>
                <w:color w:val="006100"/>
                <w:sz w:val="22"/>
              </w:rPr>
            </w:pPr>
          </w:p>
        </w:tc>
        <w:tc>
          <w:tcPr>
            <w:tcW w:w="2715" w:type="dxa"/>
            <w:tcBorders>
              <w:top w:val="single" w:sz="4" w:space="0" w:color="auto"/>
              <w:left w:val="nil"/>
              <w:bottom w:val="single" w:sz="4" w:space="0" w:color="auto"/>
              <w:right w:val="single" w:sz="4" w:space="0" w:color="auto"/>
            </w:tcBorders>
            <w:shd w:val="clear" w:color="auto" w:fill="C6EFCE"/>
            <w:noWrap/>
            <w:vAlign w:val="center"/>
          </w:tcPr>
          <w:p w14:paraId="1A9B418B" w14:textId="77777777" w:rsidR="003B6BD9" w:rsidRDefault="003B6BD9">
            <w:pPr>
              <w:spacing w:before="0" w:after="0" w:line="276" w:lineRule="auto"/>
              <w:rPr>
                <w:rFonts w:eastAsia="Times New Roman"/>
                <w:noProof/>
                <w:color w:val="006100"/>
                <w:sz w:val="22"/>
              </w:rPr>
            </w:pPr>
          </w:p>
        </w:tc>
        <w:tc>
          <w:tcPr>
            <w:tcW w:w="1651" w:type="dxa"/>
            <w:tcBorders>
              <w:top w:val="single" w:sz="4" w:space="0" w:color="auto"/>
              <w:left w:val="nil"/>
              <w:bottom w:val="single" w:sz="4" w:space="0" w:color="auto"/>
              <w:right w:val="single" w:sz="4" w:space="0" w:color="auto"/>
            </w:tcBorders>
            <w:shd w:val="clear" w:color="auto" w:fill="C6EFCE"/>
            <w:noWrap/>
            <w:vAlign w:val="center"/>
          </w:tcPr>
          <w:p w14:paraId="512E38FA" w14:textId="77777777" w:rsidR="003B6BD9" w:rsidRDefault="009E25E8">
            <w:pPr>
              <w:pStyle w:val="P68B1DB1-Normal20"/>
              <w:spacing w:before="0" w:after="0" w:line="276" w:lineRule="auto"/>
              <w:rPr>
                <w:rFonts w:eastAsia="Times New Roman"/>
                <w:noProof/>
              </w:rPr>
            </w:pPr>
            <w:r>
              <w:rPr>
                <w:noProof/>
              </w:rPr>
              <w:t>Montant de l’acompte</w:t>
            </w:r>
          </w:p>
        </w:tc>
        <w:tc>
          <w:tcPr>
            <w:tcW w:w="4139" w:type="dxa"/>
            <w:tcBorders>
              <w:top w:val="single" w:sz="4" w:space="0" w:color="auto"/>
              <w:left w:val="nil"/>
              <w:bottom w:val="single" w:sz="4" w:space="0" w:color="auto"/>
              <w:right w:val="single" w:sz="4" w:space="0" w:color="auto"/>
            </w:tcBorders>
            <w:shd w:val="clear" w:color="auto" w:fill="C6EFCE"/>
            <w:noWrap/>
            <w:vAlign w:val="center"/>
          </w:tcPr>
          <w:p w14:paraId="754CB399" w14:textId="287E9548" w:rsidR="003B6BD9" w:rsidRDefault="009E25E8">
            <w:pPr>
              <w:pStyle w:val="P68B1DB1-Normal20"/>
              <w:spacing w:before="0" w:after="0" w:line="276" w:lineRule="auto"/>
              <w:rPr>
                <w:rFonts w:eastAsia="Times New Roman"/>
                <w:noProof/>
              </w:rPr>
            </w:pPr>
            <w:r>
              <w:rPr>
                <w:noProof/>
              </w:rPr>
              <w:t>57 064 305 EUR</w:t>
            </w:r>
          </w:p>
        </w:tc>
      </w:tr>
    </w:tbl>
    <w:p w14:paraId="0EC9229B" w14:textId="77777777" w:rsidR="003B6BD9" w:rsidRDefault="003B6BD9">
      <w:pPr>
        <w:spacing w:before="0" w:after="200" w:line="276" w:lineRule="auto"/>
        <w:rPr>
          <w:rFonts w:ascii="Calibri" w:hAnsi="Calibri"/>
          <w:noProof/>
          <w:sz w:val="22"/>
        </w:rPr>
      </w:pPr>
    </w:p>
    <w:p w14:paraId="55414C81" w14:textId="2F634C20" w:rsidR="003B6BD9" w:rsidRDefault="009E25E8">
      <w:pPr>
        <w:numPr>
          <w:ilvl w:val="1"/>
          <w:numId w:val="18"/>
        </w:numPr>
        <w:spacing w:before="0" w:after="200" w:line="240" w:lineRule="auto"/>
        <w:jc w:val="both"/>
        <w:rPr>
          <w:noProof/>
        </w:rPr>
      </w:pPr>
      <w:r>
        <w:rPr>
          <w:noProof/>
        </w:rPr>
        <w:t xml:space="preserve">Deuxième tranche (soutien non remboursable):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3B6BD9" w14:paraId="4BE7D1ED" w14:textId="77777777">
        <w:trPr>
          <w:trHeight w:val="567"/>
          <w:tblHeader/>
        </w:trPr>
        <w:tc>
          <w:tcPr>
            <w:tcW w:w="1247" w:type="dxa"/>
            <w:vMerge w:val="restart"/>
            <w:shd w:val="clear" w:color="auto" w:fill="BDD7EE"/>
            <w:vAlign w:val="center"/>
            <w:hideMark/>
          </w:tcPr>
          <w:p w14:paraId="20BE9E76" w14:textId="687979FD" w:rsidR="003B6BD9" w:rsidRDefault="009E25E8">
            <w:pPr>
              <w:pStyle w:val="P68B1DB1-Normal17"/>
              <w:spacing w:before="0" w:after="0" w:line="276" w:lineRule="auto"/>
              <w:jc w:val="center"/>
              <w:rPr>
                <w:rFonts w:eastAsia="Times New Roman"/>
                <w:noProof/>
              </w:rPr>
            </w:pPr>
            <w:r>
              <w:rPr>
                <w:noProof/>
              </w:rPr>
              <w:t>Et suivants Non.</w:t>
            </w:r>
          </w:p>
        </w:tc>
        <w:tc>
          <w:tcPr>
            <w:tcW w:w="2715" w:type="dxa"/>
            <w:vMerge w:val="restart"/>
            <w:shd w:val="clear" w:color="auto" w:fill="BDD7EE"/>
            <w:vAlign w:val="center"/>
            <w:hideMark/>
          </w:tcPr>
          <w:p w14:paraId="4BD1D8D4" w14:textId="77777777" w:rsidR="003B6BD9" w:rsidRDefault="009E25E8">
            <w:pPr>
              <w:pStyle w:val="P68B1DB1-Normal17"/>
              <w:spacing w:before="0" w:after="0" w:line="276" w:lineRule="auto"/>
              <w:jc w:val="center"/>
              <w:rPr>
                <w:rFonts w:eastAsia="Times New Roman"/>
                <w:noProof/>
              </w:rPr>
            </w:pPr>
            <w:r>
              <w:rPr>
                <w:noProof/>
              </w:rPr>
              <w:t>Mesure connexe (réforme ou investissement)</w:t>
            </w:r>
          </w:p>
        </w:tc>
        <w:tc>
          <w:tcPr>
            <w:tcW w:w="1651" w:type="dxa"/>
            <w:vMerge w:val="restart"/>
            <w:shd w:val="clear" w:color="auto" w:fill="BDD7EE"/>
            <w:vAlign w:val="center"/>
            <w:hideMark/>
          </w:tcPr>
          <w:p w14:paraId="4C780D30" w14:textId="77777777" w:rsidR="003B6BD9" w:rsidRDefault="009E25E8">
            <w:pPr>
              <w:pStyle w:val="P68B1DB1-Normal17"/>
              <w:spacing w:before="0" w:after="0" w:line="276" w:lineRule="auto"/>
              <w:jc w:val="center"/>
              <w:rPr>
                <w:rFonts w:eastAsia="Times New Roman"/>
                <w:noProof/>
              </w:rPr>
            </w:pPr>
            <w:r>
              <w:rPr>
                <w:noProof/>
              </w:rPr>
              <w:t>Étape/Objectif</w:t>
            </w:r>
          </w:p>
        </w:tc>
        <w:tc>
          <w:tcPr>
            <w:tcW w:w="4139" w:type="dxa"/>
            <w:vMerge w:val="restart"/>
            <w:shd w:val="clear" w:color="auto" w:fill="BDD7EE"/>
            <w:vAlign w:val="center"/>
            <w:hideMark/>
          </w:tcPr>
          <w:p w14:paraId="349ED1EA" w14:textId="77777777" w:rsidR="003B6BD9" w:rsidRDefault="009E25E8">
            <w:pPr>
              <w:pStyle w:val="P68B1DB1-Normal17"/>
              <w:spacing w:before="0" w:after="0" w:line="276" w:lineRule="auto"/>
              <w:jc w:val="center"/>
              <w:rPr>
                <w:rFonts w:eastAsia="Times New Roman"/>
                <w:noProof/>
              </w:rPr>
            </w:pPr>
            <w:r>
              <w:rPr>
                <w:noProof/>
              </w:rPr>
              <w:t>Nom</w:t>
            </w:r>
          </w:p>
        </w:tc>
      </w:tr>
      <w:tr w:rsidR="003B6BD9" w14:paraId="5C717F4A" w14:textId="77777777">
        <w:trPr>
          <w:trHeight w:val="309"/>
          <w:tblHeader/>
        </w:trPr>
        <w:tc>
          <w:tcPr>
            <w:tcW w:w="1247" w:type="dxa"/>
            <w:vMerge/>
            <w:vAlign w:val="center"/>
            <w:hideMark/>
          </w:tcPr>
          <w:p w14:paraId="176D5BB9" w14:textId="77777777" w:rsidR="003B6BD9" w:rsidRDefault="003B6BD9">
            <w:pPr>
              <w:spacing w:before="0" w:after="0" w:line="276" w:lineRule="auto"/>
              <w:jc w:val="center"/>
              <w:rPr>
                <w:rFonts w:eastAsia="Times New Roman"/>
                <w:b/>
                <w:noProof/>
                <w:sz w:val="22"/>
                <w:szCs w:val="24"/>
              </w:rPr>
            </w:pPr>
          </w:p>
        </w:tc>
        <w:tc>
          <w:tcPr>
            <w:tcW w:w="2715" w:type="dxa"/>
            <w:vMerge/>
            <w:vAlign w:val="center"/>
            <w:hideMark/>
          </w:tcPr>
          <w:p w14:paraId="59648DE4" w14:textId="77777777" w:rsidR="003B6BD9" w:rsidRDefault="003B6BD9">
            <w:pPr>
              <w:spacing w:before="0" w:after="0" w:line="276" w:lineRule="auto"/>
              <w:rPr>
                <w:rFonts w:eastAsia="Times New Roman"/>
                <w:b/>
                <w:noProof/>
                <w:sz w:val="22"/>
                <w:szCs w:val="24"/>
              </w:rPr>
            </w:pPr>
          </w:p>
        </w:tc>
        <w:tc>
          <w:tcPr>
            <w:tcW w:w="1651" w:type="dxa"/>
            <w:vMerge/>
            <w:vAlign w:val="center"/>
            <w:hideMark/>
          </w:tcPr>
          <w:p w14:paraId="01A43AD3" w14:textId="77777777" w:rsidR="003B6BD9" w:rsidRDefault="003B6BD9">
            <w:pPr>
              <w:spacing w:before="0" w:after="0" w:line="276" w:lineRule="auto"/>
              <w:rPr>
                <w:rFonts w:eastAsia="Times New Roman"/>
                <w:b/>
                <w:noProof/>
                <w:sz w:val="22"/>
                <w:szCs w:val="24"/>
              </w:rPr>
            </w:pPr>
          </w:p>
        </w:tc>
        <w:tc>
          <w:tcPr>
            <w:tcW w:w="4139" w:type="dxa"/>
            <w:vMerge/>
            <w:vAlign w:val="center"/>
            <w:hideMark/>
          </w:tcPr>
          <w:p w14:paraId="14715FB6" w14:textId="77777777" w:rsidR="003B6BD9" w:rsidRDefault="003B6BD9">
            <w:pPr>
              <w:spacing w:before="0" w:after="0" w:line="276" w:lineRule="auto"/>
              <w:rPr>
                <w:rFonts w:eastAsia="Times New Roman"/>
                <w:b/>
                <w:noProof/>
                <w:sz w:val="22"/>
                <w:szCs w:val="24"/>
              </w:rPr>
            </w:pPr>
          </w:p>
        </w:tc>
      </w:tr>
      <w:tr w:rsidR="003B6BD9" w14:paraId="77685164" w14:textId="77777777">
        <w:trPr>
          <w:trHeight w:val="302"/>
        </w:trPr>
        <w:tc>
          <w:tcPr>
            <w:tcW w:w="1247" w:type="dxa"/>
            <w:shd w:val="clear" w:color="auto" w:fill="C6EFCE"/>
            <w:noWrap/>
            <w:vAlign w:val="center"/>
          </w:tcPr>
          <w:p w14:paraId="092D2BBD" w14:textId="6F14EB1E" w:rsidR="003B6BD9" w:rsidRDefault="009E25E8">
            <w:pPr>
              <w:pStyle w:val="P68B1DB1-Normal18"/>
              <w:spacing w:before="0" w:after="0" w:line="276" w:lineRule="auto"/>
              <w:jc w:val="center"/>
              <w:rPr>
                <w:rFonts w:eastAsia="Times New Roman"/>
                <w:noProof/>
              </w:rPr>
            </w:pPr>
            <w:r>
              <w:rPr>
                <w:noProof/>
              </w:rPr>
              <w:t>1</w:t>
            </w:r>
          </w:p>
        </w:tc>
        <w:tc>
          <w:tcPr>
            <w:tcW w:w="2715" w:type="dxa"/>
            <w:shd w:val="clear" w:color="auto" w:fill="C6EFCE"/>
            <w:noWrap/>
            <w:vAlign w:val="center"/>
          </w:tcPr>
          <w:p w14:paraId="24F3B865" w14:textId="00F17BF5" w:rsidR="003B6BD9" w:rsidRDefault="009E25E8">
            <w:pPr>
              <w:pStyle w:val="P68B1DB1-Normal18"/>
              <w:spacing w:before="0" w:after="0" w:line="276" w:lineRule="auto"/>
              <w:rPr>
                <w:rFonts w:eastAsia="Times New Roman"/>
                <w:noProof/>
              </w:rPr>
            </w:pPr>
            <w:r>
              <w:rPr>
                <w:noProof/>
              </w:rPr>
              <w:t>A: Réforme de la promotion des sources d’énergie renouvelables en Slovénie</w:t>
            </w:r>
          </w:p>
        </w:tc>
        <w:tc>
          <w:tcPr>
            <w:tcW w:w="1651" w:type="dxa"/>
            <w:shd w:val="clear" w:color="auto" w:fill="C6EFCE"/>
            <w:noWrap/>
            <w:vAlign w:val="center"/>
          </w:tcPr>
          <w:p w14:paraId="34F5C027" w14:textId="4B2D1A4E"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52D95A41" w14:textId="1C56F3F0" w:rsidR="003B6BD9" w:rsidRDefault="009E25E8">
            <w:pPr>
              <w:pStyle w:val="P68B1DB1-Normal18"/>
              <w:spacing w:before="0" w:after="0" w:line="276" w:lineRule="auto"/>
              <w:rPr>
                <w:rFonts w:eastAsia="Times New Roman"/>
                <w:noProof/>
              </w:rPr>
            </w:pPr>
            <w:r>
              <w:rPr>
                <w:noProof/>
              </w:rPr>
              <w:t xml:space="preserve">Entrée en vigueur de la loi sur la promotion de l’utilisation de l’énergie produite à partir de sources renouvelables </w:t>
            </w:r>
          </w:p>
        </w:tc>
      </w:tr>
      <w:tr w:rsidR="003B6BD9" w14:paraId="7B77C6BB" w14:textId="77777777">
        <w:trPr>
          <w:trHeight w:val="302"/>
        </w:trPr>
        <w:tc>
          <w:tcPr>
            <w:tcW w:w="1247" w:type="dxa"/>
            <w:shd w:val="clear" w:color="auto" w:fill="C6EFCE"/>
            <w:noWrap/>
            <w:vAlign w:val="center"/>
          </w:tcPr>
          <w:p w14:paraId="364AD5BF" w14:textId="108CC168" w:rsidR="003B6BD9" w:rsidRDefault="009E25E8">
            <w:pPr>
              <w:pStyle w:val="P68B1DB1-Normal18"/>
              <w:spacing w:before="0" w:after="0" w:line="276" w:lineRule="auto"/>
              <w:jc w:val="center"/>
              <w:rPr>
                <w:rFonts w:eastAsia="Times New Roman"/>
                <w:noProof/>
              </w:rPr>
            </w:pPr>
            <w:r>
              <w:rPr>
                <w:noProof/>
              </w:rPr>
              <w:t>54</w:t>
            </w:r>
          </w:p>
        </w:tc>
        <w:tc>
          <w:tcPr>
            <w:tcW w:w="2715" w:type="dxa"/>
            <w:shd w:val="clear" w:color="auto" w:fill="C6EFCE"/>
            <w:noWrap/>
            <w:vAlign w:val="center"/>
          </w:tcPr>
          <w:p w14:paraId="6FF6E311" w14:textId="59D706D4" w:rsidR="003B6BD9" w:rsidRDefault="009E25E8">
            <w:pPr>
              <w:pStyle w:val="P68B1DB1-Normal18"/>
              <w:spacing w:before="0" w:after="0" w:line="276" w:lineRule="auto"/>
              <w:rPr>
                <w:rFonts w:eastAsia="Times New Roman"/>
                <w:noProof/>
              </w:rPr>
            </w:pPr>
            <w:r>
              <w:rPr>
                <w:noProof/>
              </w:rPr>
              <w:t>A: Réforme de l’organisation des transports publics de voyageurs</w:t>
            </w:r>
          </w:p>
        </w:tc>
        <w:tc>
          <w:tcPr>
            <w:tcW w:w="1651" w:type="dxa"/>
            <w:shd w:val="clear" w:color="auto" w:fill="C6EFCE"/>
            <w:noWrap/>
            <w:vAlign w:val="center"/>
          </w:tcPr>
          <w:p w14:paraId="6D71E57B" w14:textId="292DE941"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457D8583" w14:textId="615A2E37" w:rsidR="003B6BD9" w:rsidRDefault="009E25E8">
            <w:pPr>
              <w:pStyle w:val="P68B1DB1-Normal18"/>
              <w:spacing w:before="0" w:after="0" w:line="276" w:lineRule="auto"/>
              <w:rPr>
                <w:rFonts w:eastAsia="Times New Roman"/>
                <w:noProof/>
              </w:rPr>
            </w:pPr>
            <w:r>
              <w:rPr>
                <w:noProof/>
              </w:rPr>
              <w:t>Entrée en vigueur de la loi établissant un opérateur intégré de transport public de voyageurs</w:t>
            </w:r>
          </w:p>
        </w:tc>
      </w:tr>
      <w:tr w:rsidR="003B6BD9" w14:paraId="179E2A39" w14:textId="77777777">
        <w:trPr>
          <w:trHeight w:val="302"/>
        </w:trPr>
        <w:tc>
          <w:tcPr>
            <w:tcW w:w="1247" w:type="dxa"/>
            <w:shd w:val="clear" w:color="auto" w:fill="C6EFCE"/>
            <w:noWrap/>
            <w:vAlign w:val="center"/>
          </w:tcPr>
          <w:p w14:paraId="0E65C25D" w14:textId="02E46EA7" w:rsidR="003B6BD9" w:rsidRDefault="009E25E8">
            <w:pPr>
              <w:pStyle w:val="P68B1DB1-Normal18"/>
              <w:spacing w:before="0" w:after="0" w:line="276" w:lineRule="auto"/>
              <w:jc w:val="center"/>
              <w:rPr>
                <w:rFonts w:eastAsia="Times New Roman"/>
                <w:noProof/>
              </w:rPr>
            </w:pPr>
            <w:r>
              <w:rPr>
                <w:noProof/>
              </w:rPr>
              <w:t>63</w:t>
            </w:r>
          </w:p>
        </w:tc>
        <w:tc>
          <w:tcPr>
            <w:tcW w:w="2715" w:type="dxa"/>
            <w:shd w:val="clear" w:color="auto" w:fill="C6EFCE"/>
            <w:noWrap/>
            <w:vAlign w:val="center"/>
          </w:tcPr>
          <w:p w14:paraId="70DE18FD" w14:textId="0D238358" w:rsidR="003B6BD9" w:rsidRDefault="009E25E8">
            <w:pPr>
              <w:pStyle w:val="P68B1DB1-Normal18"/>
              <w:spacing w:before="0" w:after="0" w:line="276" w:lineRule="auto"/>
              <w:rPr>
                <w:rFonts w:eastAsia="Times New Roman"/>
                <w:noProof/>
              </w:rPr>
            </w:pPr>
            <w:r>
              <w:rPr>
                <w:noProof/>
              </w:rPr>
              <w:t>B: Réforme du déploiement d’une infrastructure pour carburants alternatifs</w:t>
            </w:r>
          </w:p>
        </w:tc>
        <w:tc>
          <w:tcPr>
            <w:tcW w:w="1651" w:type="dxa"/>
            <w:shd w:val="clear" w:color="auto" w:fill="C6EFCE"/>
            <w:noWrap/>
            <w:vAlign w:val="center"/>
          </w:tcPr>
          <w:p w14:paraId="13718C63" w14:textId="0BDED8FB"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062369CA" w14:textId="26727D4B" w:rsidR="003B6BD9" w:rsidRDefault="009E25E8">
            <w:pPr>
              <w:pStyle w:val="P68B1DB1-Normal18"/>
              <w:spacing w:before="0" w:after="0" w:line="276" w:lineRule="auto"/>
              <w:rPr>
                <w:rFonts w:eastAsia="Times New Roman"/>
                <w:noProof/>
              </w:rPr>
            </w:pPr>
            <w:r>
              <w:rPr>
                <w:noProof/>
              </w:rPr>
              <w:t>Entrée en vigueur d’une loi sur les carburants alternatifs dans les transports</w:t>
            </w:r>
          </w:p>
        </w:tc>
      </w:tr>
      <w:tr w:rsidR="003B6BD9" w14:paraId="5E2C538A" w14:textId="77777777">
        <w:trPr>
          <w:trHeight w:val="302"/>
        </w:trPr>
        <w:tc>
          <w:tcPr>
            <w:tcW w:w="1247" w:type="dxa"/>
            <w:shd w:val="clear" w:color="auto" w:fill="C6EFCE"/>
            <w:noWrap/>
            <w:vAlign w:val="center"/>
          </w:tcPr>
          <w:p w14:paraId="2A1C493E" w14:textId="1075B52B" w:rsidR="003B6BD9" w:rsidRDefault="009E25E8">
            <w:pPr>
              <w:pStyle w:val="P68B1DB1-Normal18"/>
              <w:spacing w:before="0" w:after="0" w:line="276" w:lineRule="auto"/>
              <w:jc w:val="center"/>
              <w:rPr>
                <w:rFonts w:eastAsia="Times New Roman"/>
                <w:noProof/>
              </w:rPr>
            </w:pPr>
            <w:r>
              <w:rPr>
                <w:noProof/>
              </w:rPr>
              <w:t>71</w:t>
            </w:r>
          </w:p>
        </w:tc>
        <w:tc>
          <w:tcPr>
            <w:tcW w:w="2715" w:type="dxa"/>
            <w:shd w:val="clear" w:color="auto" w:fill="C6EFCE"/>
            <w:noWrap/>
            <w:vAlign w:val="center"/>
          </w:tcPr>
          <w:p w14:paraId="1A328C38" w14:textId="475C9788" w:rsidR="003B6BD9" w:rsidRDefault="009E25E8">
            <w:pPr>
              <w:pStyle w:val="P68B1DB1-Normal18"/>
              <w:spacing w:before="0" w:after="0" w:line="276" w:lineRule="auto"/>
              <w:rPr>
                <w:rFonts w:eastAsia="Times New Roman"/>
                <w:noProof/>
              </w:rPr>
            </w:pPr>
            <w:r>
              <w:rPr>
                <w:noProof/>
              </w:rPr>
              <w:t>A: Établir un cadre pour une transformation durable et écologique</w:t>
            </w:r>
          </w:p>
        </w:tc>
        <w:tc>
          <w:tcPr>
            <w:tcW w:w="1651" w:type="dxa"/>
            <w:shd w:val="clear" w:color="auto" w:fill="C6EFCE"/>
            <w:noWrap/>
            <w:vAlign w:val="center"/>
          </w:tcPr>
          <w:p w14:paraId="2039F8C4" w14:textId="462E1BF1"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6B09486C" w14:textId="71F2B6BA" w:rsidR="003B6BD9" w:rsidRDefault="009E25E8">
            <w:pPr>
              <w:pStyle w:val="P68B1DB1-Normal18"/>
              <w:spacing w:before="0" w:after="0" w:line="276" w:lineRule="auto"/>
              <w:rPr>
                <w:rFonts w:eastAsia="Times New Roman"/>
                <w:noProof/>
              </w:rPr>
            </w:pPr>
            <w:r>
              <w:rPr>
                <w:noProof/>
              </w:rPr>
              <w:t>Le guichet unique pour l’économie circulaire est opérationnel</w:t>
            </w:r>
          </w:p>
        </w:tc>
      </w:tr>
      <w:tr w:rsidR="003B6BD9" w14:paraId="1336E371" w14:textId="77777777">
        <w:trPr>
          <w:trHeight w:val="302"/>
        </w:trPr>
        <w:tc>
          <w:tcPr>
            <w:tcW w:w="1247" w:type="dxa"/>
            <w:shd w:val="clear" w:color="auto" w:fill="C6EFCE"/>
            <w:noWrap/>
            <w:vAlign w:val="center"/>
          </w:tcPr>
          <w:p w14:paraId="4C9A67ED" w14:textId="0EB3E474" w:rsidR="003B6BD9" w:rsidRDefault="009E25E8">
            <w:pPr>
              <w:pStyle w:val="P68B1DB1-Normal18"/>
              <w:spacing w:before="0" w:after="0" w:line="276" w:lineRule="auto"/>
              <w:jc w:val="center"/>
              <w:rPr>
                <w:rFonts w:eastAsia="Times New Roman"/>
                <w:noProof/>
              </w:rPr>
            </w:pPr>
            <w:r>
              <w:rPr>
                <w:noProof/>
              </w:rPr>
              <w:t>78</w:t>
            </w:r>
          </w:p>
        </w:tc>
        <w:tc>
          <w:tcPr>
            <w:tcW w:w="2715" w:type="dxa"/>
            <w:shd w:val="clear" w:color="auto" w:fill="C6EFCE"/>
            <w:noWrap/>
            <w:vAlign w:val="center"/>
          </w:tcPr>
          <w:p w14:paraId="5A91CD0E" w14:textId="3E0AA10C" w:rsidR="003B6BD9" w:rsidRDefault="009E25E8">
            <w:pPr>
              <w:pStyle w:val="P68B1DB1-Normal18"/>
              <w:spacing w:before="0" w:after="0" w:line="276" w:lineRule="auto"/>
              <w:rPr>
                <w:rFonts w:eastAsia="Times New Roman"/>
                <w:noProof/>
              </w:rPr>
            </w:pPr>
            <w:r>
              <w:rPr>
                <w:noProof/>
              </w:rPr>
              <w:t>A: Transformation numérique de l’économie (entreprises et industrie)</w:t>
            </w:r>
          </w:p>
        </w:tc>
        <w:tc>
          <w:tcPr>
            <w:tcW w:w="1651" w:type="dxa"/>
            <w:shd w:val="clear" w:color="auto" w:fill="C6EFCE"/>
            <w:noWrap/>
            <w:vAlign w:val="center"/>
          </w:tcPr>
          <w:p w14:paraId="267489C0" w14:textId="38D1181C"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5FD5414C" w14:textId="26B74D45" w:rsidR="003B6BD9" w:rsidRDefault="009E25E8">
            <w:pPr>
              <w:pStyle w:val="P68B1DB1-Normal18"/>
              <w:spacing w:before="0" w:after="0" w:line="276" w:lineRule="auto"/>
              <w:rPr>
                <w:rFonts w:eastAsia="Times New Roman"/>
                <w:noProof/>
              </w:rPr>
            </w:pPr>
            <w:r>
              <w:rPr>
                <w:noProof/>
              </w:rPr>
              <w:t>Lignes directrices pour les marchés publics innovants</w:t>
            </w:r>
          </w:p>
        </w:tc>
      </w:tr>
      <w:tr w:rsidR="003B6BD9" w14:paraId="24C17968" w14:textId="77777777">
        <w:trPr>
          <w:trHeight w:val="302"/>
        </w:trPr>
        <w:tc>
          <w:tcPr>
            <w:tcW w:w="1247" w:type="dxa"/>
            <w:shd w:val="clear" w:color="auto" w:fill="C6EFCE"/>
            <w:noWrap/>
            <w:vAlign w:val="center"/>
          </w:tcPr>
          <w:p w14:paraId="5B29D477" w14:textId="264FF89B" w:rsidR="003B6BD9" w:rsidRDefault="009E25E8">
            <w:pPr>
              <w:pStyle w:val="P68B1DB1-Normal18"/>
              <w:spacing w:before="0" w:after="0" w:line="276" w:lineRule="auto"/>
              <w:jc w:val="center"/>
              <w:rPr>
                <w:rFonts w:eastAsia="Times New Roman"/>
                <w:noProof/>
              </w:rPr>
            </w:pPr>
            <w:r>
              <w:rPr>
                <w:noProof/>
              </w:rPr>
              <w:t>80</w:t>
            </w:r>
          </w:p>
        </w:tc>
        <w:tc>
          <w:tcPr>
            <w:tcW w:w="2715" w:type="dxa"/>
            <w:shd w:val="clear" w:color="auto" w:fill="C6EFCE"/>
            <w:noWrap/>
            <w:vAlign w:val="center"/>
          </w:tcPr>
          <w:p w14:paraId="6EC8B28B" w14:textId="606F8ECA" w:rsidR="003B6BD9" w:rsidRDefault="009E25E8">
            <w:pPr>
              <w:pStyle w:val="P68B1DB1-Normal18"/>
              <w:spacing w:before="0" w:after="0" w:line="276" w:lineRule="auto"/>
              <w:rPr>
                <w:rFonts w:eastAsia="Times New Roman"/>
                <w:noProof/>
              </w:rPr>
            </w:pPr>
            <w:r>
              <w:rPr>
                <w:noProof/>
              </w:rPr>
              <w:t xml:space="preserve">B: Programme de transformation numérique de l’industrie/des entreprises </w:t>
            </w:r>
          </w:p>
        </w:tc>
        <w:tc>
          <w:tcPr>
            <w:tcW w:w="1651" w:type="dxa"/>
            <w:shd w:val="clear" w:color="auto" w:fill="C6EFCE"/>
            <w:noWrap/>
            <w:vAlign w:val="center"/>
          </w:tcPr>
          <w:p w14:paraId="24766C1E" w14:textId="32C5C987"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6E1E8AD8" w14:textId="68D11A54" w:rsidR="003B6BD9" w:rsidRDefault="009E25E8">
            <w:pPr>
              <w:pStyle w:val="P68B1DB1-Normal18"/>
              <w:spacing w:before="0" w:after="0" w:line="276" w:lineRule="auto"/>
              <w:rPr>
                <w:rFonts w:eastAsia="Times New Roman"/>
                <w:noProof/>
              </w:rPr>
            </w:pPr>
            <w:r>
              <w:rPr>
                <w:noProof/>
              </w:rPr>
              <w:t>Attribution de marchés pour des projets de transformation numérique des entreprises</w:t>
            </w:r>
          </w:p>
        </w:tc>
      </w:tr>
      <w:tr w:rsidR="003B6BD9" w14:paraId="73D59A23" w14:textId="77777777">
        <w:trPr>
          <w:trHeight w:val="302"/>
        </w:trPr>
        <w:tc>
          <w:tcPr>
            <w:tcW w:w="1247" w:type="dxa"/>
            <w:shd w:val="clear" w:color="auto" w:fill="C6EFCE"/>
            <w:noWrap/>
            <w:vAlign w:val="center"/>
          </w:tcPr>
          <w:p w14:paraId="3E68B90D" w14:textId="65010A34" w:rsidR="003B6BD9" w:rsidRDefault="009E25E8">
            <w:pPr>
              <w:pStyle w:val="P68B1DB1-Normal18"/>
              <w:spacing w:before="0" w:after="0" w:line="276" w:lineRule="auto"/>
              <w:jc w:val="center"/>
              <w:rPr>
                <w:rFonts w:eastAsia="Times New Roman"/>
                <w:noProof/>
              </w:rPr>
            </w:pPr>
            <w:r>
              <w:rPr>
                <w:noProof/>
              </w:rPr>
              <w:t>81</w:t>
            </w:r>
          </w:p>
        </w:tc>
        <w:tc>
          <w:tcPr>
            <w:tcW w:w="2715" w:type="dxa"/>
            <w:shd w:val="clear" w:color="auto" w:fill="C6EFCE"/>
            <w:noWrap/>
            <w:vAlign w:val="center"/>
          </w:tcPr>
          <w:p w14:paraId="52900FDF" w14:textId="3F8B2E3B" w:rsidR="003B6BD9" w:rsidRDefault="009E25E8">
            <w:pPr>
              <w:pStyle w:val="P68B1DB1-Normal18"/>
              <w:spacing w:before="0" w:after="0" w:line="276" w:lineRule="auto"/>
              <w:rPr>
                <w:rFonts w:eastAsia="Times New Roman"/>
                <w:noProof/>
              </w:rPr>
            </w:pPr>
            <w:r>
              <w:rPr>
                <w:noProof/>
              </w:rPr>
              <w:t xml:space="preserve">B: Stratégie de transformation numérique de l’industrie/des entreprises </w:t>
            </w:r>
          </w:p>
        </w:tc>
        <w:tc>
          <w:tcPr>
            <w:tcW w:w="1651" w:type="dxa"/>
            <w:shd w:val="clear" w:color="auto" w:fill="C6EFCE"/>
            <w:noWrap/>
            <w:vAlign w:val="center"/>
          </w:tcPr>
          <w:p w14:paraId="7BBDCA48" w14:textId="59796A6B" w:rsidR="003B6BD9" w:rsidRDefault="009E25E8">
            <w:pPr>
              <w:pStyle w:val="P68B1DB1-Normal18"/>
              <w:spacing w:before="0" w:after="0" w:line="276" w:lineRule="auto"/>
              <w:rPr>
                <w:rFonts w:eastAsia="Times New Roman"/>
                <w:noProof/>
              </w:rPr>
            </w:pPr>
            <w:r>
              <w:rPr>
                <w:noProof/>
              </w:rPr>
              <w:t>Cible</w:t>
            </w:r>
          </w:p>
        </w:tc>
        <w:tc>
          <w:tcPr>
            <w:tcW w:w="4139" w:type="dxa"/>
            <w:shd w:val="clear" w:color="auto" w:fill="C6EFCE"/>
            <w:noWrap/>
            <w:vAlign w:val="center"/>
          </w:tcPr>
          <w:p w14:paraId="3B06180E" w14:textId="21F474AC" w:rsidR="003B6BD9" w:rsidRDefault="009E25E8">
            <w:pPr>
              <w:pStyle w:val="P68B1DB1-Normal18"/>
              <w:spacing w:before="0" w:after="0" w:line="276" w:lineRule="auto"/>
              <w:rPr>
                <w:rFonts w:eastAsia="Times New Roman"/>
                <w:noProof/>
              </w:rPr>
            </w:pPr>
            <w:r>
              <w:rPr>
                <w:noProof/>
              </w:rPr>
              <w:t>Consortiums d’entreprises ayant élaboré une stratégie numérique</w:t>
            </w:r>
          </w:p>
        </w:tc>
      </w:tr>
      <w:tr w:rsidR="003B6BD9" w14:paraId="3B0F99A5" w14:textId="77777777">
        <w:trPr>
          <w:trHeight w:val="302"/>
        </w:trPr>
        <w:tc>
          <w:tcPr>
            <w:tcW w:w="1247" w:type="dxa"/>
            <w:shd w:val="clear" w:color="auto" w:fill="C6EFCE"/>
            <w:noWrap/>
            <w:vAlign w:val="center"/>
          </w:tcPr>
          <w:p w14:paraId="64B2C2CD" w14:textId="73F15A0F" w:rsidR="003B6BD9" w:rsidRDefault="009E25E8">
            <w:pPr>
              <w:pStyle w:val="P68B1DB1-Normal18"/>
              <w:spacing w:before="0" w:after="0" w:line="276" w:lineRule="auto"/>
              <w:jc w:val="center"/>
              <w:rPr>
                <w:rFonts w:eastAsia="Times New Roman"/>
                <w:noProof/>
              </w:rPr>
            </w:pPr>
            <w:r>
              <w:rPr>
                <w:noProof/>
              </w:rPr>
              <w:t>91</w:t>
            </w:r>
          </w:p>
        </w:tc>
        <w:tc>
          <w:tcPr>
            <w:tcW w:w="2715" w:type="dxa"/>
            <w:shd w:val="clear" w:color="auto" w:fill="C6EFCE"/>
            <w:noWrap/>
            <w:vAlign w:val="center"/>
          </w:tcPr>
          <w:p w14:paraId="38E82424" w14:textId="1F736B8E" w:rsidR="003B6BD9" w:rsidRDefault="009E25E8">
            <w:pPr>
              <w:pStyle w:val="P68B1DB1-Normal18"/>
              <w:spacing w:before="0" w:after="0" w:line="276" w:lineRule="auto"/>
              <w:rPr>
                <w:rFonts w:eastAsia="Times New Roman"/>
                <w:noProof/>
              </w:rPr>
            </w:pPr>
            <w:r>
              <w:rPr>
                <w:noProof/>
              </w:rPr>
              <w:t xml:space="preserve">B: Créer un environnement pour l’utilisation des services en ligne par l’administration publique </w:t>
            </w:r>
          </w:p>
        </w:tc>
        <w:tc>
          <w:tcPr>
            <w:tcW w:w="1651" w:type="dxa"/>
            <w:shd w:val="clear" w:color="auto" w:fill="C6EFCE"/>
            <w:noWrap/>
            <w:vAlign w:val="center"/>
          </w:tcPr>
          <w:p w14:paraId="3CBF419C" w14:textId="29F1F93C"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1044D0EC" w14:textId="42F333AF" w:rsidR="003B6BD9" w:rsidRDefault="009E25E8">
            <w:pPr>
              <w:pStyle w:val="P68B1DB1-Normal18"/>
              <w:spacing w:before="0" w:after="0" w:line="276" w:lineRule="auto"/>
              <w:rPr>
                <w:rFonts w:eastAsia="Times New Roman"/>
                <w:noProof/>
              </w:rPr>
            </w:pPr>
            <w:r>
              <w:rPr>
                <w:noProof/>
              </w:rPr>
              <w:t>Documents d’identité électroniques nationaux sécurisés</w:t>
            </w:r>
          </w:p>
        </w:tc>
      </w:tr>
      <w:tr w:rsidR="003B6BD9" w14:paraId="02927008" w14:textId="77777777">
        <w:trPr>
          <w:trHeight w:val="302"/>
        </w:trPr>
        <w:tc>
          <w:tcPr>
            <w:tcW w:w="1247" w:type="dxa"/>
            <w:shd w:val="clear" w:color="auto" w:fill="C6EFCE"/>
            <w:noWrap/>
            <w:vAlign w:val="center"/>
          </w:tcPr>
          <w:p w14:paraId="3D937672" w14:textId="0D18E43E" w:rsidR="003B6BD9" w:rsidRDefault="009E25E8">
            <w:pPr>
              <w:pStyle w:val="P68B1DB1-Normal18"/>
              <w:spacing w:before="0" w:after="0" w:line="276" w:lineRule="auto"/>
              <w:jc w:val="center"/>
              <w:rPr>
                <w:rFonts w:eastAsia="Times New Roman"/>
                <w:noProof/>
              </w:rPr>
            </w:pPr>
            <w:r>
              <w:rPr>
                <w:noProof/>
              </w:rPr>
              <w:t>94</w:t>
            </w:r>
          </w:p>
        </w:tc>
        <w:tc>
          <w:tcPr>
            <w:tcW w:w="2715" w:type="dxa"/>
            <w:shd w:val="clear" w:color="auto" w:fill="C6EFCE"/>
            <w:noWrap/>
            <w:vAlign w:val="center"/>
          </w:tcPr>
          <w:p w14:paraId="5D33D6EB" w14:textId="3CE1BF43" w:rsidR="003B6BD9" w:rsidRDefault="009E25E8">
            <w:pPr>
              <w:pStyle w:val="P68B1DB1-Normal18"/>
              <w:spacing w:before="0" w:after="0" w:line="276" w:lineRule="auto"/>
              <w:rPr>
                <w:rFonts w:eastAsia="Times New Roman"/>
                <w:noProof/>
              </w:rPr>
            </w:pPr>
            <w:r>
              <w:rPr>
                <w:noProof/>
              </w:rPr>
              <w:t>F: Transition vers la société du gigabit</w:t>
            </w:r>
          </w:p>
        </w:tc>
        <w:tc>
          <w:tcPr>
            <w:tcW w:w="1651" w:type="dxa"/>
            <w:shd w:val="clear" w:color="auto" w:fill="C6EFCE"/>
            <w:noWrap/>
            <w:vAlign w:val="center"/>
          </w:tcPr>
          <w:p w14:paraId="28C8D79B" w14:textId="3B734EF9"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3C040DCE" w14:textId="611C0C88" w:rsidR="003B6BD9" w:rsidRDefault="009E25E8">
            <w:pPr>
              <w:pStyle w:val="P68B1DB1-Normal18"/>
              <w:spacing w:before="0" w:after="0" w:line="276" w:lineRule="auto"/>
              <w:rPr>
                <w:rFonts w:eastAsia="Times New Roman"/>
                <w:noProof/>
              </w:rPr>
            </w:pPr>
            <w:r>
              <w:rPr>
                <w:noProof/>
              </w:rPr>
              <w:t>Adoption d’un plan en faveur du haut débit pour la période 2021-2025</w:t>
            </w:r>
          </w:p>
        </w:tc>
      </w:tr>
      <w:tr w:rsidR="003B6BD9" w14:paraId="1305A739" w14:textId="77777777">
        <w:trPr>
          <w:trHeight w:val="302"/>
        </w:trPr>
        <w:tc>
          <w:tcPr>
            <w:tcW w:w="1247" w:type="dxa"/>
            <w:shd w:val="clear" w:color="auto" w:fill="C6EFCE"/>
            <w:noWrap/>
            <w:vAlign w:val="center"/>
          </w:tcPr>
          <w:p w14:paraId="00A77AA9" w14:textId="0EF8DC7E" w:rsidR="003B6BD9" w:rsidRDefault="009E25E8">
            <w:pPr>
              <w:pStyle w:val="P68B1DB1-Normal18"/>
              <w:spacing w:before="0" w:after="0" w:line="276" w:lineRule="auto"/>
              <w:jc w:val="center"/>
              <w:rPr>
                <w:rFonts w:eastAsia="Times New Roman"/>
                <w:noProof/>
              </w:rPr>
            </w:pPr>
            <w:r>
              <w:rPr>
                <w:noProof/>
              </w:rPr>
              <w:t>110</w:t>
            </w:r>
          </w:p>
        </w:tc>
        <w:tc>
          <w:tcPr>
            <w:tcW w:w="2715" w:type="dxa"/>
            <w:shd w:val="clear" w:color="auto" w:fill="C6EFCE"/>
            <w:noWrap/>
            <w:vAlign w:val="center"/>
          </w:tcPr>
          <w:p w14:paraId="34195CFE" w14:textId="092C6BA2" w:rsidR="003B6BD9" w:rsidRDefault="009E25E8">
            <w:pPr>
              <w:pStyle w:val="P68B1DB1-Normal18"/>
              <w:spacing w:before="0" w:after="0" w:line="276" w:lineRule="auto"/>
              <w:rPr>
                <w:rFonts w:eastAsia="Times New Roman"/>
                <w:noProof/>
              </w:rPr>
            </w:pPr>
            <w:r>
              <w:rPr>
                <w:noProof/>
              </w:rPr>
              <w:t>A: Exploitation et gestion du système de RDI</w:t>
            </w:r>
          </w:p>
        </w:tc>
        <w:tc>
          <w:tcPr>
            <w:tcW w:w="1651" w:type="dxa"/>
            <w:shd w:val="clear" w:color="auto" w:fill="C6EFCE"/>
            <w:noWrap/>
            <w:vAlign w:val="center"/>
          </w:tcPr>
          <w:p w14:paraId="4C114D92" w14:textId="0829D0DD"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4ED9C273" w14:textId="0C19ADA7" w:rsidR="003B6BD9" w:rsidRDefault="009E25E8">
            <w:pPr>
              <w:pStyle w:val="P68B1DB1-Normal18"/>
              <w:spacing w:before="0" w:after="0" w:line="276" w:lineRule="auto"/>
              <w:rPr>
                <w:rFonts w:eastAsia="Times New Roman"/>
                <w:noProof/>
              </w:rPr>
            </w:pPr>
            <w:r>
              <w:rPr>
                <w:noProof/>
              </w:rPr>
              <w:t>Entrée en vigueur de la loi sur les activités de recherche, de développement et d’innovation</w:t>
            </w:r>
          </w:p>
        </w:tc>
      </w:tr>
      <w:tr w:rsidR="003B6BD9" w14:paraId="74D9DE93" w14:textId="77777777">
        <w:trPr>
          <w:trHeight w:val="302"/>
        </w:trPr>
        <w:tc>
          <w:tcPr>
            <w:tcW w:w="1247" w:type="dxa"/>
            <w:shd w:val="clear" w:color="auto" w:fill="C6EFCE"/>
            <w:noWrap/>
            <w:vAlign w:val="center"/>
          </w:tcPr>
          <w:p w14:paraId="603245CE" w14:textId="7C2F8990" w:rsidR="003B6BD9" w:rsidRDefault="009E25E8">
            <w:pPr>
              <w:pStyle w:val="P68B1DB1-Normal18"/>
              <w:spacing w:before="0" w:after="0" w:line="276" w:lineRule="auto"/>
              <w:jc w:val="center"/>
              <w:rPr>
                <w:rFonts w:eastAsia="Times New Roman"/>
                <w:noProof/>
              </w:rPr>
            </w:pPr>
            <w:r>
              <w:rPr>
                <w:noProof/>
              </w:rPr>
              <w:t>111</w:t>
            </w:r>
          </w:p>
        </w:tc>
        <w:tc>
          <w:tcPr>
            <w:tcW w:w="2715" w:type="dxa"/>
            <w:shd w:val="clear" w:color="auto" w:fill="C6EFCE"/>
            <w:noWrap/>
            <w:vAlign w:val="center"/>
          </w:tcPr>
          <w:p w14:paraId="03ACDF55" w14:textId="68707794" w:rsidR="003B6BD9" w:rsidRDefault="009E25E8">
            <w:pPr>
              <w:pStyle w:val="P68B1DB1-Normal18"/>
              <w:spacing w:before="0" w:after="0" w:line="276" w:lineRule="auto"/>
              <w:rPr>
                <w:rFonts w:eastAsia="Times New Roman"/>
                <w:noProof/>
              </w:rPr>
            </w:pPr>
            <w:r>
              <w:rPr>
                <w:noProof/>
              </w:rPr>
              <w:t>A: Exploitation et gestion du système de RDI</w:t>
            </w:r>
          </w:p>
        </w:tc>
        <w:tc>
          <w:tcPr>
            <w:tcW w:w="1651" w:type="dxa"/>
            <w:shd w:val="clear" w:color="auto" w:fill="C6EFCE"/>
            <w:noWrap/>
            <w:vAlign w:val="center"/>
          </w:tcPr>
          <w:p w14:paraId="1A007E26" w14:textId="3DA84F58"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1FF4291C" w14:textId="7CF8AFFE" w:rsidR="003B6BD9" w:rsidRDefault="009E25E8">
            <w:pPr>
              <w:pStyle w:val="P68B1DB1-Normal18"/>
              <w:spacing w:before="0" w:after="0" w:line="276" w:lineRule="auto"/>
              <w:rPr>
                <w:rFonts w:eastAsia="Times New Roman"/>
                <w:noProof/>
              </w:rPr>
            </w:pPr>
            <w:r>
              <w:rPr>
                <w:noProof/>
              </w:rPr>
              <w:t>Création et fonctionnement du comité mixte du programme</w:t>
            </w:r>
          </w:p>
        </w:tc>
      </w:tr>
      <w:tr w:rsidR="003B6BD9" w14:paraId="6F6C1D15" w14:textId="77777777">
        <w:trPr>
          <w:trHeight w:val="302"/>
        </w:trPr>
        <w:tc>
          <w:tcPr>
            <w:tcW w:w="1247" w:type="dxa"/>
            <w:shd w:val="clear" w:color="auto" w:fill="C6EFCE"/>
            <w:noWrap/>
            <w:vAlign w:val="center"/>
          </w:tcPr>
          <w:p w14:paraId="18E3FDCD" w14:textId="46BD5791" w:rsidR="003B6BD9" w:rsidRDefault="009E25E8">
            <w:pPr>
              <w:pStyle w:val="P68B1DB1-Normal18"/>
              <w:spacing w:before="0" w:after="0" w:line="276" w:lineRule="auto"/>
              <w:jc w:val="center"/>
              <w:rPr>
                <w:rFonts w:eastAsia="Times New Roman"/>
                <w:noProof/>
              </w:rPr>
            </w:pPr>
            <w:r>
              <w:rPr>
                <w:noProof/>
              </w:rPr>
              <w:t>125</w:t>
            </w:r>
          </w:p>
        </w:tc>
        <w:tc>
          <w:tcPr>
            <w:tcW w:w="2715" w:type="dxa"/>
            <w:shd w:val="clear" w:color="auto" w:fill="C6EFCE"/>
            <w:noWrap/>
            <w:vAlign w:val="center"/>
          </w:tcPr>
          <w:p w14:paraId="7D8C6701" w14:textId="3930F0EB" w:rsidR="003B6BD9" w:rsidRDefault="009E25E8">
            <w:pPr>
              <w:pStyle w:val="P68B1DB1-Normal18"/>
              <w:spacing w:before="0" w:after="0" w:line="276" w:lineRule="auto"/>
              <w:rPr>
                <w:rFonts w:eastAsia="Times New Roman"/>
                <w:noProof/>
              </w:rPr>
            </w:pPr>
            <w:r>
              <w:rPr>
                <w:noProof/>
              </w:rPr>
              <w:t>A: Renforcer les marchés des capitaux</w:t>
            </w:r>
          </w:p>
        </w:tc>
        <w:tc>
          <w:tcPr>
            <w:tcW w:w="1651" w:type="dxa"/>
            <w:shd w:val="clear" w:color="auto" w:fill="C6EFCE"/>
            <w:noWrap/>
            <w:vAlign w:val="center"/>
          </w:tcPr>
          <w:p w14:paraId="0E5880C9" w14:textId="25972A5C"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74515664" w14:textId="3340CDBC" w:rsidR="003B6BD9" w:rsidRDefault="009E25E8">
            <w:pPr>
              <w:pStyle w:val="P68B1DB1-Normal18"/>
              <w:spacing w:before="0" w:after="0" w:line="276" w:lineRule="auto"/>
              <w:rPr>
                <w:rFonts w:eastAsia="Times New Roman"/>
                <w:noProof/>
              </w:rPr>
            </w:pPr>
            <w:r>
              <w:rPr>
                <w:noProof/>
              </w:rPr>
              <w:t>Adoption d’une stratégie de développement des marchés des capitaux</w:t>
            </w:r>
          </w:p>
        </w:tc>
      </w:tr>
      <w:tr w:rsidR="003B6BD9" w14:paraId="008D1223" w14:textId="77777777">
        <w:trPr>
          <w:trHeight w:val="302"/>
        </w:trPr>
        <w:tc>
          <w:tcPr>
            <w:tcW w:w="1247" w:type="dxa"/>
            <w:shd w:val="clear" w:color="auto" w:fill="C6EFCE"/>
            <w:noWrap/>
            <w:vAlign w:val="center"/>
          </w:tcPr>
          <w:p w14:paraId="3B8B4DB2" w14:textId="68D5320F" w:rsidR="003B6BD9" w:rsidRDefault="009E25E8">
            <w:pPr>
              <w:pStyle w:val="P68B1DB1-Normal18"/>
              <w:spacing w:before="0" w:after="0" w:line="276" w:lineRule="auto"/>
              <w:jc w:val="center"/>
              <w:rPr>
                <w:rFonts w:eastAsia="Times New Roman"/>
                <w:noProof/>
              </w:rPr>
            </w:pPr>
            <w:r>
              <w:rPr>
                <w:noProof/>
              </w:rPr>
              <w:t>127</w:t>
            </w:r>
          </w:p>
        </w:tc>
        <w:tc>
          <w:tcPr>
            <w:tcW w:w="2715" w:type="dxa"/>
            <w:shd w:val="clear" w:color="auto" w:fill="C6EFCE"/>
            <w:noWrap/>
            <w:vAlign w:val="center"/>
          </w:tcPr>
          <w:p w14:paraId="6A307FE0" w14:textId="182CAE3E" w:rsidR="003B6BD9" w:rsidRDefault="009E25E8">
            <w:pPr>
              <w:pStyle w:val="P68B1DB1-Normal18"/>
              <w:spacing w:before="0" w:after="0" w:line="276" w:lineRule="auto"/>
              <w:rPr>
                <w:rFonts w:eastAsia="Times New Roman"/>
                <w:noProof/>
              </w:rPr>
            </w:pPr>
            <w:r>
              <w:rPr>
                <w:noProof/>
              </w:rPr>
              <w:t xml:space="preserve">B: Une économie plus productive pour la transition numérique et écologique </w:t>
            </w:r>
          </w:p>
        </w:tc>
        <w:tc>
          <w:tcPr>
            <w:tcW w:w="1651" w:type="dxa"/>
            <w:shd w:val="clear" w:color="auto" w:fill="C6EFCE"/>
            <w:noWrap/>
            <w:vAlign w:val="center"/>
          </w:tcPr>
          <w:p w14:paraId="61A6A8E3" w14:textId="05254589"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51A9F79D" w14:textId="01E9576A" w:rsidR="003B6BD9" w:rsidRDefault="009E25E8">
            <w:pPr>
              <w:pStyle w:val="P68B1DB1-Normal18"/>
              <w:spacing w:before="0" w:after="0" w:line="276" w:lineRule="auto"/>
              <w:rPr>
                <w:rFonts w:eastAsia="Times New Roman"/>
                <w:noProof/>
              </w:rPr>
            </w:pPr>
            <w:r>
              <w:rPr>
                <w:noProof/>
              </w:rPr>
              <w:t>Entrée en vigueur du règlement d’application de la loi sur la promotion des investissements</w:t>
            </w:r>
          </w:p>
        </w:tc>
      </w:tr>
      <w:tr w:rsidR="003B6BD9" w14:paraId="0FFAF2E2" w14:textId="77777777">
        <w:trPr>
          <w:trHeight w:val="302"/>
        </w:trPr>
        <w:tc>
          <w:tcPr>
            <w:tcW w:w="1247" w:type="dxa"/>
            <w:shd w:val="clear" w:color="auto" w:fill="C6EFCE"/>
            <w:noWrap/>
            <w:vAlign w:val="center"/>
          </w:tcPr>
          <w:p w14:paraId="76DE92D0" w14:textId="55EE683A" w:rsidR="003B6BD9" w:rsidRDefault="009E25E8">
            <w:pPr>
              <w:pStyle w:val="P68B1DB1-Normal18"/>
              <w:spacing w:before="0" w:after="0" w:line="276" w:lineRule="auto"/>
              <w:jc w:val="center"/>
              <w:rPr>
                <w:rFonts w:eastAsia="Times New Roman"/>
                <w:noProof/>
              </w:rPr>
            </w:pPr>
            <w:r>
              <w:rPr>
                <w:noProof/>
              </w:rPr>
              <w:t>128</w:t>
            </w:r>
          </w:p>
        </w:tc>
        <w:tc>
          <w:tcPr>
            <w:tcW w:w="2715" w:type="dxa"/>
            <w:shd w:val="clear" w:color="auto" w:fill="C6EFCE"/>
            <w:noWrap/>
            <w:vAlign w:val="center"/>
          </w:tcPr>
          <w:p w14:paraId="53B31C10" w14:textId="5AA4B61F" w:rsidR="003B6BD9" w:rsidRDefault="009E25E8">
            <w:pPr>
              <w:pStyle w:val="P68B1DB1-Normal18"/>
              <w:spacing w:before="0" w:after="0" w:line="276" w:lineRule="auto"/>
              <w:rPr>
                <w:rFonts w:eastAsia="Times New Roman"/>
                <w:noProof/>
              </w:rPr>
            </w:pPr>
            <w:r>
              <w:rPr>
                <w:noProof/>
              </w:rPr>
              <w:t>C: Soutien à la décarbonation, à la productivité et à la compétitivité des entreprises</w:t>
            </w:r>
          </w:p>
        </w:tc>
        <w:tc>
          <w:tcPr>
            <w:tcW w:w="1651" w:type="dxa"/>
            <w:shd w:val="clear" w:color="auto" w:fill="C6EFCE"/>
            <w:noWrap/>
            <w:vAlign w:val="center"/>
          </w:tcPr>
          <w:p w14:paraId="19487E3D" w14:textId="7BEB9947"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0D1F9745" w14:textId="502796E4" w:rsidR="003B6BD9" w:rsidRDefault="009E25E8">
            <w:pPr>
              <w:pStyle w:val="P68B1DB1-Normal18"/>
              <w:spacing w:before="0" w:after="0" w:line="276" w:lineRule="auto"/>
              <w:rPr>
                <w:rFonts w:eastAsia="Times New Roman"/>
                <w:noProof/>
              </w:rPr>
            </w:pPr>
            <w:r>
              <w:rPr>
                <w:noProof/>
              </w:rPr>
              <w:t>Octroi de subventions pour des projets de soutien au développement régional</w:t>
            </w:r>
          </w:p>
        </w:tc>
      </w:tr>
      <w:tr w:rsidR="003B6BD9" w14:paraId="5AF81E2B" w14:textId="77777777">
        <w:trPr>
          <w:trHeight w:val="302"/>
        </w:trPr>
        <w:tc>
          <w:tcPr>
            <w:tcW w:w="1247" w:type="dxa"/>
            <w:shd w:val="clear" w:color="auto" w:fill="C6EFCE"/>
            <w:noWrap/>
            <w:vAlign w:val="center"/>
          </w:tcPr>
          <w:p w14:paraId="0FC9100A" w14:textId="36215FCC" w:rsidR="003B6BD9" w:rsidRDefault="009E25E8">
            <w:pPr>
              <w:pStyle w:val="P68B1DB1-Normal18"/>
              <w:spacing w:before="0" w:after="0" w:line="276" w:lineRule="auto"/>
              <w:jc w:val="center"/>
              <w:rPr>
                <w:rFonts w:eastAsia="Times New Roman"/>
                <w:noProof/>
              </w:rPr>
            </w:pPr>
            <w:r>
              <w:rPr>
                <w:noProof/>
              </w:rPr>
              <w:t>133</w:t>
            </w:r>
          </w:p>
        </w:tc>
        <w:tc>
          <w:tcPr>
            <w:tcW w:w="2715" w:type="dxa"/>
            <w:shd w:val="clear" w:color="auto" w:fill="C6EFCE"/>
            <w:noWrap/>
            <w:vAlign w:val="center"/>
          </w:tcPr>
          <w:p w14:paraId="2F78FE51" w14:textId="546088FF" w:rsidR="003B6BD9" w:rsidRDefault="009E25E8">
            <w:pPr>
              <w:pStyle w:val="P68B1DB1-Normal18"/>
              <w:spacing w:before="0" w:after="0" w:line="276" w:lineRule="auto"/>
              <w:rPr>
                <w:rFonts w:eastAsia="Times New Roman"/>
                <w:noProof/>
              </w:rPr>
            </w:pPr>
            <w:r>
              <w:rPr>
                <w:noProof/>
              </w:rPr>
              <w:t>D: Fournir des écosystèmes innovants d’infrastructures économiques et commerciales</w:t>
            </w:r>
          </w:p>
        </w:tc>
        <w:tc>
          <w:tcPr>
            <w:tcW w:w="1651" w:type="dxa"/>
            <w:shd w:val="clear" w:color="auto" w:fill="C6EFCE"/>
            <w:noWrap/>
            <w:vAlign w:val="center"/>
          </w:tcPr>
          <w:p w14:paraId="4FC1231F" w14:textId="16747A0D"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3F6D30DB" w14:textId="19D47DA6" w:rsidR="003B6BD9" w:rsidRDefault="009E25E8">
            <w:pPr>
              <w:pStyle w:val="P68B1DB1-Normal18"/>
              <w:spacing w:before="0" w:after="0" w:line="276" w:lineRule="auto"/>
              <w:rPr>
                <w:rFonts w:eastAsia="Times New Roman"/>
                <w:noProof/>
              </w:rPr>
            </w:pPr>
            <w:r>
              <w:rPr>
                <w:noProof/>
              </w:rPr>
              <w:t>Octroi de subventions pour des écosystèmes innovants d’infrastructures commerciales</w:t>
            </w:r>
          </w:p>
        </w:tc>
      </w:tr>
      <w:tr w:rsidR="003B6BD9" w14:paraId="7E5B333F" w14:textId="77777777">
        <w:trPr>
          <w:trHeight w:val="302"/>
        </w:trPr>
        <w:tc>
          <w:tcPr>
            <w:tcW w:w="1247" w:type="dxa"/>
            <w:shd w:val="clear" w:color="auto" w:fill="C6EFCE"/>
            <w:noWrap/>
            <w:vAlign w:val="center"/>
          </w:tcPr>
          <w:p w14:paraId="21D4B9C2" w14:textId="3964F013" w:rsidR="003B6BD9" w:rsidRDefault="009E25E8">
            <w:pPr>
              <w:pStyle w:val="P68B1DB1-Normal18"/>
              <w:spacing w:before="0" w:after="0" w:line="276" w:lineRule="auto"/>
              <w:jc w:val="center"/>
              <w:rPr>
                <w:rFonts w:eastAsia="Times New Roman"/>
                <w:noProof/>
              </w:rPr>
            </w:pPr>
            <w:r>
              <w:rPr>
                <w:noProof/>
              </w:rPr>
              <w:t>160</w:t>
            </w:r>
          </w:p>
        </w:tc>
        <w:tc>
          <w:tcPr>
            <w:tcW w:w="2715" w:type="dxa"/>
            <w:shd w:val="clear" w:color="auto" w:fill="C6EFCE"/>
            <w:noWrap/>
            <w:vAlign w:val="center"/>
          </w:tcPr>
          <w:p w14:paraId="78E6FB53" w14:textId="19556B0D" w:rsidR="003B6BD9" w:rsidRDefault="009E25E8">
            <w:pPr>
              <w:pStyle w:val="P68B1DB1-Normal18"/>
              <w:spacing w:before="0" w:after="0" w:line="276" w:lineRule="auto"/>
              <w:rPr>
                <w:rFonts w:eastAsia="Times New Roman"/>
                <w:noProof/>
              </w:rPr>
            </w:pPr>
            <w:r>
              <w:rPr>
                <w:noProof/>
              </w:rPr>
              <w:t xml:space="preserve">F: Projets pilotes en faveur d’une réforme de l’enseignement supérieur pour une transition écologique et résiliente </w:t>
            </w:r>
          </w:p>
        </w:tc>
        <w:tc>
          <w:tcPr>
            <w:tcW w:w="1651" w:type="dxa"/>
            <w:shd w:val="clear" w:color="auto" w:fill="C6EFCE"/>
            <w:noWrap/>
            <w:vAlign w:val="center"/>
          </w:tcPr>
          <w:p w14:paraId="504493AA" w14:textId="7CF892FB"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71E1CBFA" w14:textId="672BAF67" w:rsidR="003B6BD9" w:rsidRDefault="009E25E8">
            <w:pPr>
              <w:pStyle w:val="P68B1DB1-Normal18"/>
              <w:spacing w:before="0" w:after="0" w:line="276" w:lineRule="auto"/>
              <w:rPr>
                <w:rFonts w:eastAsia="Times New Roman"/>
                <w:noProof/>
              </w:rPr>
            </w:pPr>
            <w:r>
              <w:rPr>
                <w:noProof/>
              </w:rPr>
              <w:t xml:space="preserve">Achèvement de la sélection des projets pilotes pour le renouvellement du processus d’enseignement supérieur </w:t>
            </w:r>
          </w:p>
        </w:tc>
      </w:tr>
      <w:tr w:rsidR="003B6BD9" w14:paraId="0282308A" w14:textId="77777777">
        <w:trPr>
          <w:trHeight w:val="302"/>
        </w:trPr>
        <w:tc>
          <w:tcPr>
            <w:tcW w:w="1247" w:type="dxa"/>
            <w:shd w:val="clear" w:color="auto" w:fill="C6EFCE"/>
            <w:noWrap/>
            <w:vAlign w:val="center"/>
          </w:tcPr>
          <w:p w14:paraId="2B53B3F7" w14:textId="705AD002" w:rsidR="003B6BD9" w:rsidRDefault="009E25E8">
            <w:pPr>
              <w:pStyle w:val="P68B1DB1-Normal18"/>
              <w:spacing w:before="0" w:after="0" w:line="276" w:lineRule="auto"/>
              <w:jc w:val="center"/>
              <w:rPr>
                <w:rFonts w:eastAsia="Times New Roman"/>
                <w:noProof/>
              </w:rPr>
            </w:pPr>
            <w:r>
              <w:rPr>
                <w:noProof/>
              </w:rPr>
              <w:t>172</w:t>
            </w:r>
          </w:p>
        </w:tc>
        <w:tc>
          <w:tcPr>
            <w:tcW w:w="2715" w:type="dxa"/>
            <w:shd w:val="clear" w:color="auto" w:fill="C6EFCE"/>
            <w:noWrap/>
            <w:vAlign w:val="center"/>
          </w:tcPr>
          <w:p w14:paraId="452BC64C" w14:textId="4CD83203" w:rsidR="003B6BD9" w:rsidRDefault="009E25E8">
            <w:pPr>
              <w:pStyle w:val="P68B1DB1-Normal18"/>
              <w:spacing w:before="0" w:after="0" w:line="276" w:lineRule="auto"/>
              <w:rPr>
                <w:rFonts w:eastAsia="Times New Roman"/>
                <w:noProof/>
              </w:rPr>
            </w:pPr>
            <w:r>
              <w:rPr>
                <w:noProof/>
              </w:rPr>
              <w:t>A: Supprimer les obstacles administratifs</w:t>
            </w:r>
          </w:p>
        </w:tc>
        <w:tc>
          <w:tcPr>
            <w:tcW w:w="1651" w:type="dxa"/>
            <w:shd w:val="clear" w:color="auto" w:fill="C6EFCE"/>
            <w:noWrap/>
            <w:vAlign w:val="center"/>
          </w:tcPr>
          <w:p w14:paraId="3B633AF6" w14:textId="1D03707D"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68D9B1AD" w14:textId="07E51476" w:rsidR="003B6BD9" w:rsidRDefault="009E25E8">
            <w:pPr>
              <w:pStyle w:val="P68B1DB1-Normal18"/>
              <w:spacing w:before="0" w:after="0" w:line="276" w:lineRule="auto"/>
              <w:rPr>
                <w:rFonts w:eastAsia="Times New Roman"/>
                <w:noProof/>
              </w:rPr>
            </w:pPr>
            <w:r>
              <w:rPr>
                <w:noProof/>
              </w:rPr>
              <w:t>Entrée en vigueur de la deuxième loi de débureaucratisation</w:t>
            </w:r>
          </w:p>
        </w:tc>
      </w:tr>
      <w:tr w:rsidR="003B6BD9" w14:paraId="7DF43B6E" w14:textId="77777777">
        <w:trPr>
          <w:trHeight w:val="302"/>
        </w:trPr>
        <w:tc>
          <w:tcPr>
            <w:tcW w:w="1247" w:type="dxa"/>
            <w:shd w:val="clear" w:color="auto" w:fill="C6EFCE"/>
            <w:noWrap/>
            <w:vAlign w:val="center"/>
          </w:tcPr>
          <w:p w14:paraId="68190A6E" w14:textId="2EAF8CD0" w:rsidR="003B6BD9" w:rsidRDefault="009E25E8">
            <w:pPr>
              <w:pStyle w:val="P68B1DB1-Normal18"/>
              <w:spacing w:before="0" w:after="0" w:line="276" w:lineRule="auto"/>
              <w:jc w:val="center"/>
              <w:rPr>
                <w:rFonts w:eastAsia="Times New Roman"/>
                <w:noProof/>
              </w:rPr>
            </w:pPr>
            <w:r>
              <w:rPr>
                <w:noProof/>
              </w:rPr>
              <w:t>176</w:t>
            </w:r>
          </w:p>
        </w:tc>
        <w:tc>
          <w:tcPr>
            <w:tcW w:w="2715" w:type="dxa"/>
            <w:shd w:val="clear" w:color="auto" w:fill="C6EFCE"/>
            <w:noWrap/>
            <w:vAlign w:val="center"/>
          </w:tcPr>
          <w:p w14:paraId="23B1FE05" w14:textId="1FB9CF46" w:rsidR="003B6BD9" w:rsidRDefault="009E25E8">
            <w:pPr>
              <w:pStyle w:val="P68B1DB1-Normal18"/>
              <w:spacing w:before="0" w:after="0" w:line="276" w:lineRule="auto"/>
              <w:rPr>
                <w:rFonts w:eastAsia="Times New Roman"/>
                <w:noProof/>
              </w:rPr>
            </w:pPr>
            <w:r>
              <w:rPr>
                <w:noProof/>
              </w:rPr>
              <w:t>C: Créer des conditions systémiques propices à la croissance des investissements</w:t>
            </w:r>
          </w:p>
        </w:tc>
        <w:tc>
          <w:tcPr>
            <w:tcW w:w="1651" w:type="dxa"/>
            <w:shd w:val="clear" w:color="auto" w:fill="C6EFCE"/>
            <w:noWrap/>
            <w:vAlign w:val="center"/>
          </w:tcPr>
          <w:p w14:paraId="7E6ADA68" w14:textId="36517464"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6449CAC1" w14:textId="6DEAF080" w:rsidR="003B6BD9" w:rsidRDefault="009E25E8">
            <w:pPr>
              <w:pStyle w:val="P68B1DB1-Normal18"/>
              <w:spacing w:before="0" w:after="0" w:line="276" w:lineRule="auto"/>
              <w:rPr>
                <w:rFonts w:eastAsia="Times New Roman"/>
                <w:noProof/>
              </w:rPr>
            </w:pPr>
            <w:r>
              <w:rPr>
                <w:noProof/>
              </w:rPr>
              <w:t>Assistance technique achevée pour soutenir la mise en œuvre des réformes des marchés publics.</w:t>
            </w:r>
          </w:p>
        </w:tc>
      </w:tr>
      <w:tr w:rsidR="003B6BD9" w14:paraId="182C262A" w14:textId="77777777">
        <w:trPr>
          <w:trHeight w:val="302"/>
        </w:trPr>
        <w:tc>
          <w:tcPr>
            <w:tcW w:w="1247" w:type="dxa"/>
            <w:shd w:val="clear" w:color="auto" w:fill="C6EFCE"/>
            <w:noWrap/>
            <w:vAlign w:val="center"/>
          </w:tcPr>
          <w:p w14:paraId="7008B5F9" w14:textId="66EAC506" w:rsidR="003B6BD9" w:rsidRDefault="009E25E8">
            <w:pPr>
              <w:pStyle w:val="P68B1DB1-Normal18"/>
              <w:spacing w:before="0" w:after="0" w:line="276" w:lineRule="auto"/>
              <w:jc w:val="center"/>
              <w:rPr>
                <w:rFonts w:eastAsia="Times New Roman"/>
                <w:noProof/>
              </w:rPr>
            </w:pPr>
            <w:r>
              <w:rPr>
                <w:noProof/>
              </w:rPr>
              <w:t>180</w:t>
            </w:r>
          </w:p>
        </w:tc>
        <w:tc>
          <w:tcPr>
            <w:tcW w:w="2715" w:type="dxa"/>
            <w:shd w:val="clear" w:color="auto" w:fill="C6EFCE"/>
            <w:noWrap/>
            <w:vAlign w:val="center"/>
          </w:tcPr>
          <w:p w14:paraId="193A05F9" w14:textId="1B352C28" w:rsidR="003B6BD9" w:rsidRDefault="009E25E8">
            <w:pPr>
              <w:pStyle w:val="P68B1DB1-Normal18"/>
              <w:spacing w:before="0" w:after="0" w:line="276" w:lineRule="auto"/>
              <w:rPr>
                <w:rFonts w:eastAsia="Times New Roman"/>
                <w:noProof/>
              </w:rPr>
            </w:pPr>
            <w:r>
              <w:rPr>
                <w:noProof/>
              </w:rPr>
              <w:t>C: Créer des conditions systémiques propices à la croissance des investissements</w:t>
            </w:r>
          </w:p>
        </w:tc>
        <w:tc>
          <w:tcPr>
            <w:tcW w:w="1651" w:type="dxa"/>
            <w:shd w:val="clear" w:color="auto" w:fill="C6EFCE"/>
            <w:noWrap/>
            <w:vAlign w:val="center"/>
          </w:tcPr>
          <w:p w14:paraId="6203E650" w14:textId="61EBBC17"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4AA7887E" w14:textId="2B9BBC16" w:rsidR="003B6BD9" w:rsidRDefault="009E25E8">
            <w:pPr>
              <w:pStyle w:val="P68B1DB1-Normal18"/>
              <w:spacing w:before="0" w:after="0" w:line="276" w:lineRule="auto"/>
              <w:rPr>
                <w:rFonts w:eastAsia="Times New Roman"/>
                <w:noProof/>
              </w:rPr>
            </w:pPr>
            <w:r>
              <w:rPr>
                <w:noProof/>
              </w:rPr>
              <w:t>Entrée en vigueur des modifications apportées à la loi sur la construction et à la loi sur l’aménagement du territoire</w:t>
            </w:r>
          </w:p>
        </w:tc>
      </w:tr>
      <w:tr w:rsidR="003B6BD9" w14:paraId="1690F977" w14:textId="77777777">
        <w:trPr>
          <w:trHeight w:val="302"/>
        </w:trPr>
        <w:tc>
          <w:tcPr>
            <w:tcW w:w="1247" w:type="dxa"/>
            <w:shd w:val="clear" w:color="auto" w:fill="C6EFCE"/>
            <w:noWrap/>
            <w:vAlign w:val="center"/>
          </w:tcPr>
          <w:p w14:paraId="0413A79D" w14:textId="77777777" w:rsidR="003B6BD9" w:rsidRDefault="003B6BD9">
            <w:pPr>
              <w:spacing w:before="0" w:after="0" w:line="276" w:lineRule="auto"/>
              <w:rPr>
                <w:rFonts w:eastAsia="Times New Roman"/>
                <w:noProof/>
                <w:color w:val="006100"/>
                <w:sz w:val="22"/>
              </w:rPr>
            </w:pPr>
          </w:p>
        </w:tc>
        <w:tc>
          <w:tcPr>
            <w:tcW w:w="2715" w:type="dxa"/>
            <w:shd w:val="clear" w:color="auto" w:fill="C6EFCE"/>
            <w:noWrap/>
            <w:vAlign w:val="center"/>
          </w:tcPr>
          <w:p w14:paraId="0111EAFC" w14:textId="77777777" w:rsidR="003B6BD9" w:rsidRDefault="003B6BD9">
            <w:pPr>
              <w:spacing w:before="0" w:after="0" w:line="276" w:lineRule="auto"/>
              <w:rPr>
                <w:rFonts w:eastAsia="Times New Roman"/>
                <w:noProof/>
                <w:color w:val="006100"/>
                <w:sz w:val="22"/>
              </w:rPr>
            </w:pPr>
          </w:p>
        </w:tc>
        <w:tc>
          <w:tcPr>
            <w:tcW w:w="1651" w:type="dxa"/>
            <w:shd w:val="clear" w:color="auto" w:fill="C6EFCE"/>
            <w:noWrap/>
            <w:vAlign w:val="center"/>
          </w:tcPr>
          <w:p w14:paraId="27707AD3" w14:textId="2D9CDDFA" w:rsidR="003B6BD9" w:rsidRDefault="009E25E8">
            <w:pPr>
              <w:pStyle w:val="P68B1DB1-Normal20"/>
              <w:spacing w:before="0" w:after="0" w:line="276" w:lineRule="auto"/>
              <w:rPr>
                <w:rFonts w:eastAsia="Times New Roman"/>
                <w:noProof/>
              </w:rPr>
            </w:pPr>
            <w:r>
              <w:rPr>
                <w:noProof/>
              </w:rPr>
              <w:t>Montant de l’acompte</w:t>
            </w:r>
          </w:p>
        </w:tc>
        <w:tc>
          <w:tcPr>
            <w:tcW w:w="4139" w:type="dxa"/>
            <w:shd w:val="clear" w:color="auto" w:fill="C6EFCE"/>
            <w:noWrap/>
            <w:vAlign w:val="center"/>
          </w:tcPr>
          <w:p w14:paraId="2124A9C0" w14:textId="2DEC07F0" w:rsidR="003B6BD9" w:rsidRDefault="009E25E8">
            <w:pPr>
              <w:pStyle w:val="P68B1DB1-Normal20"/>
              <w:spacing w:before="0" w:after="0" w:line="276" w:lineRule="auto"/>
              <w:rPr>
                <w:rFonts w:eastAsia="Times New Roman"/>
                <w:noProof/>
              </w:rPr>
            </w:pPr>
            <w:r>
              <w:rPr>
                <w:noProof/>
              </w:rPr>
              <w:t>147 498 852 EUR</w:t>
            </w:r>
          </w:p>
        </w:tc>
      </w:tr>
    </w:tbl>
    <w:p w14:paraId="79BD4B55" w14:textId="77777777" w:rsidR="003B6BD9" w:rsidRDefault="003B6BD9">
      <w:pPr>
        <w:spacing w:before="0" w:after="200" w:line="240" w:lineRule="auto"/>
        <w:ind w:left="850"/>
        <w:jc w:val="both"/>
        <w:rPr>
          <w:noProof/>
        </w:rPr>
      </w:pPr>
    </w:p>
    <w:p w14:paraId="5CCC5903" w14:textId="5BD79D60" w:rsidR="003B6BD9" w:rsidRDefault="009E25E8">
      <w:pPr>
        <w:numPr>
          <w:ilvl w:val="1"/>
          <w:numId w:val="18"/>
        </w:numPr>
        <w:spacing w:before="0" w:after="200" w:line="240" w:lineRule="auto"/>
        <w:jc w:val="both"/>
        <w:rPr>
          <w:noProof/>
        </w:rPr>
      </w:pPr>
      <w:r>
        <w:rPr>
          <w:noProof/>
        </w:rPr>
        <w:t>Troisième tranche (aide non remboursable):</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3B6BD9" w14:paraId="735BE94A" w14:textId="77777777">
        <w:trPr>
          <w:trHeight w:val="567"/>
          <w:tblHeader/>
        </w:trPr>
        <w:tc>
          <w:tcPr>
            <w:tcW w:w="1247" w:type="dxa"/>
            <w:vMerge w:val="restart"/>
            <w:shd w:val="clear" w:color="auto" w:fill="BDD7EE"/>
            <w:vAlign w:val="center"/>
            <w:hideMark/>
          </w:tcPr>
          <w:p w14:paraId="1AE4D77B" w14:textId="605256D1" w:rsidR="003B6BD9" w:rsidRDefault="009E25E8">
            <w:pPr>
              <w:pStyle w:val="P68B1DB1-Normal17"/>
              <w:spacing w:before="0" w:after="0" w:line="276" w:lineRule="auto"/>
              <w:jc w:val="center"/>
              <w:rPr>
                <w:rFonts w:eastAsia="Times New Roman"/>
                <w:noProof/>
              </w:rPr>
            </w:pPr>
            <w:r>
              <w:rPr>
                <w:noProof/>
              </w:rPr>
              <w:t>Et suivants Non.</w:t>
            </w:r>
          </w:p>
        </w:tc>
        <w:tc>
          <w:tcPr>
            <w:tcW w:w="2715" w:type="dxa"/>
            <w:vMerge w:val="restart"/>
            <w:shd w:val="clear" w:color="auto" w:fill="BDD7EE"/>
            <w:vAlign w:val="center"/>
            <w:hideMark/>
          </w:tcPr>
          <w:p w14:paraId="582B4A6C" w14:textId="6ED2F7A3" w:rsidR="003B6BD9" w:rsidRDefault="009E25E8">
            <w:pPr>
              <w:pStyle w:val="P68B1DB1-Normal17"/>
              <w:spacing w:before="0" w:after="0" w:line="276" w:lineRule="auto"/>
              <w:jc w:val="center"/>
              <w:rPr>
                <w:rFonts w:eastAsia="Times New Roman"/>
                <w:noProof/>
              </w:rPr>
            </w:pPr>
            <w:r>
              <w:rPr>
                <w:noProof/>
              </w:rPr>
              <w:t xml:space="preserve">Mesure connexe </w:t>
            </w:r>
            <w:r>
              <w:rPr>
                <w:noProof/>
              </w:rPr>
              <w:br/>
              <w:t>(Réforme ou investissement)</w:t>
            </w:r>
          </w:p>
        </w:tc>
        <w:tc>
          <w:tcPr>
            <w:tcW w:w="1651" w:type="dxa"/>
            <w:vMerge w:val="restart"/>
            <w:shd w:val="clear" w:color="auto" w:fill="BDD7EE"/>
            <w:vAlign w:val="center"/>
            <w:hideMark/>
          </w:tcPr>
          <w:p w14:paraId="0FD2E8AE" w14:textId="77777777" w:rsidR="003B6BD9" w:rsidRDefault="009E25E8">
            <w:pPr>
              <w:pStyle w:val="P68B1DB1-Normal17"/>
              <w:spacing w:before="0" w:after="0" w:line="276" w:lineRule="auto"/>
              <w:jc w:val="center"/>
              <w:rPr>
                <w:rFonts w:eastAsia="Times New Roman"/>
                <w:noProof/>
              </w:rPr>
            </w:pPr>
            <w:r>
              <w:rPr>
                <w:noProof/>
              </w:rPr>
              <w:t>Étape/Objectif</w:t>
            </w:r>
          </w:p>
        </w:tc>
        <w:tc>
          <w:tcPr>
            <w:tcW w:w="4139" w:type="dxa"/>
            <w:vMerge w:val="restart"/>
            <w:shd w:val="clear" w:color="auto" w:fill="BDD7EE"/>
            <w:vAlign w:val="center"/>
            <w:hideMark/>
          </w:tcPr>
          <w:p w14:paraId="29350DB7" w14:textId="77777777" w:rsidR="003B6BD9" w:rsidRDefault="009E25E8">
            <w:pPr>
              <w:pStyle w:val="P68B1DB1-Normal17"/>
              <w:spacing w:before="0" w:after="0" w:line="276" w:lineRule="auto"/>
              <w:jc w:val="center"/>
              <w:rPr>
                <w:rFonts w:eastAsia="Times New Roman"/>
                <w:noProof/>
              </w:rPr>
            </w:pPr>
            <w:r>
              <w:rPr>
                <w:noProof/>
              </w:rPr>
              <w:t>Nom</w:t>
            </w:r>
          </w:p>
        </w:tc>
      </w:tr>
      <w:tr w:rsidR="003B6BD9" w14:paraId="6F52B57F" w14:textId="77777777">
        <w:trPr>
          <w:trHeight w:val="309"/>
          <w:tblHeader/>
        </w:trPr>
        <w:tc>
          <w:tcPr>
            <w:tcW w:w="1247" w:type="dxa"/>
            <w:vMerge/>
            <w:vAlign w:val="center"/>
            <w:hideMark/>
          </w:tcPr>
          <w:p w14:paraId="2811A47C" w14:textId="77777777" w:rsidR="003B6BD9" w:rsidRDefault="003B6BD9">
            <w:pPr>
              <w:spacing w:before="0" w:after="0" w:line="276" w:lineRule="auto"/>
              <w:rPr>
                <w:rFonts w:eastAsia="Times New Roman"/>
                <w:b/>
                <w:noProof/>
                <w:sz w:val="22"/>
                <w:szCs w:val="24"/>
              </w:rPr>
            </w:pPr>
          </w:p>
        </w:tc>
        <w:tc>
          <w:tcPr>
            <w:tcW w:w="2715" w:type="dxa"/>
            <w:vMerge/>
            <w:vAlign w:val="center"/>
            <w:hideMark/>
          </w:tcPr>
          <w:p w14:paraId="47DFF267" w14:textId="77777777" w:rsidR="003B6BD9" w:rsidRDefault="003B6BD9">
            <w:pPr>
              <w:spacing w:before="0" w:after="0" w:line="276" w:lineRule="auto"/>
              <w:rPr>
                <w:rFonts w:eastAsia="Times New Roman"/>
                <w:b/>
                <w:noProof/>
                <w:sz w:val="22"/>
                <w:szCs w:val="24"/>
              </w:rPr>
            </w:pPr>
          </w:p>
        </w:tc>
        <w:tc>
          <w:tcPr>
            <w:tcW w:w="1651" w:type="dxa"/>
            <w:vMerge/>
            <w:vAlign w:val="center"/>
            <w:hideMark/>
          </w:tcPr>
          <w:p w14:paraId="75632C96" w14:textId="77777777" w:rsidR="003B6BD9" w:rsidRDefault="003B6BD9">
            <w:pPr>
              <w:spacing w:before="0" w:after="0" w:line="276" w:lineRule="auto"/>
              <w:rPr>
                <w:rFonts w:eastAsia="Times New Roman"/>
                <w:b/>
                <w:noProof/>
                <w:sz w:val="22"/>
                <w:szCs w:val="24"/>
              </w:rPr>
            </w:pPr>
          </w:p>
        </w:tc>
        <w:tc>
          <w:tcPr>
            <w:tcW w:w="4139" w:type="dxa"/>
            <w:vMerge/>
            <w:vAlign w:val="center"/>
            <w:hideMark/>
          </w:tcPr>
          <w:p w14:paraId="78B26828" w14:textId="77777777" w:rsidR="003B6BD9" w:rsidRDefault="003B6BD9">
            <w:pPr>
              <w:spacing w:before="0" w:after="0" w:line="276" w:lineRule="auto"/>
              <w:rPr>
                <w:rFonts w:eastAsia="Times New Roman"/>
                <w:b/>
                <w:noProof/>
                <w:sz w:val="22"/>
                <w:szCs w:val="24"/>
              </w:rPr>
            </w:pPr>
          </w:p>
        </w:tc>
      </w:tr>
      <w:tr w:rsidR="003B6BD9" w14:paraId="04C50C25" w14:textId="77777777">
        <w:trPr>
          <w:trHeight w:val="302"/>
        </w:trPr>
        <w:tc>
          <w:tcPr>
            <w:tcW w:w="1247" w:type="dxa"/>
            <w:shd w:val="clear" w:color="auto" w:fill="C6EFCE"/>
            <w:noWrap/>
            <w:vAlign w:val="center"/>
          </w:tcPr>
          <w:p w14:paraId="5309C9CA" w14:textId="673995E6" w:rsidR="003B6BD9" w:rsidRDefault="009E25E8">
            <w:pPr>
              <w:pStyle w:val="P68B1DB1-Normal18"/>
              <w:spacing w:before="0" w:after="0" w:line="276" w:lineRule="auto"/>
              <w:jc w:val="center"/>
              <w:rPr>
                <w:rFonts w:eastAsia="Times New Roman"/>
                <w:noProof/>
              </w:rPr>
            </w:pPr>
            <w:r>
              <w:rPr>
                <w:noProof/>
              </w:rPr>
              <w:t>2</w:t>
            </w:r>
          </w:p>
        </w:tc>
        <w:tc>
          <w:tcPr>
            <w:tcW w:w="2715" w:type="dxa"/>
            <w:shd w:val="clear" w:color="auto" w:fill="C6EFCE"/>
            <w:noWrap/>
            <w:vAlign w:val="center"/>
          </w:tcPr>
          <w:p w14:paraId="398F1F94" w14:textId="7E293884" w:rsidR="003B6BD9" w:rsidRDefault="009E25E8">
            <w:pPr>
              <w:pStyle w:val="P68B1DB1-Normal18"/>
              <w:spacing w:before="0" w:after="0" w:line="276" w:lineRule="auto"/>
              <w:rPr>
                <w:rFonts w:eastAsia="Times New Roman"/>
                <w:noProof/>
              </w:rPr>
            </w:pPr>
            <w:r>
              <w:rPr>
                <w:noProof/>
              </w:rPr>
              <w:t>A: Réforme de la promotion des sources d’énergie renouvelables en Slovénie</w:t>
            </w:r>
          </w:p>
        </w:tc>
        <w:tc>
          <w:tcPr>
            <w:tcW w:w="1651" w:type="dxa"/>
            <w:shd w:val="clear" w:color="auto" w:fill="C6EFCE"/>
            <w:noWrap/>
            <w:vAlign w:val="center"/>
          </w:tcPr>
          <w:p w14:paraId="42BB3866" w14:textId="0E6A1F1C"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236F6D69" w14:textId="18383217" w:rsidR="003B6BD9" w:rsidRDefault="009E25E8">
            <w:pPr>
              <w:pStyle w:val="P68B1DB1-Normal18"/>
              <w:spacing w:before="0" w:after="0" w:line="276" w:lineRule="auto"/>
              <w:rPr>
                <w:rFonts w:eastAsia="Times New Roman"/>
                <w:noProof/>
              </w:rPr>
            </w:pPr>
            <w:r>
              <w:rPr>
                <w:noProof/>
              </w:rPr>
              <w:t>Un point unique destiné à aider les investisseurs à obtenir des autorisations pour l’installation et le raccordement d’installations de production à des sources d’énergie renouvelables est opérationnel.</w:t>
            </w:r>
          </w:p>
        </w:tc>
      </w:tr>
      <w:tr w:rsidR="003B6BD9" w14:paraId="7FF1FCCE" w14:textId="77777777">
        <w:trPr>
          <w:trHeight w:val="302"/>
        </w:trPr>
        <w:tc>
          <w:tcPr>
            <w:tcW w:w="1247" w:type="dxa"/>
            <w:shd w:val="clear" w:color="auto" w:fill="C6EFCE"/>
            <w:noWrap/>
            <w:vAlign w:val="center"/>
          </w:tcPr>
          <w:p w14:paraId="166FA75C" w14:textId="2738764B" w:rsidR="003B6BD9" w:rsidRDefault="009E25E8">
            <w:pPr>
              <w:pStyle w:val="P68B1DB1-Normal18"/>
              <w:spacing w:before="0" w:after="0" w:line="276" w:lineRule="auto"/>
              <w:jc w:val="center"/>
              <w:rPr>
                <w:rFonts w:eastAsia="Times New Roman"/>
                <w:noProof/>
              </w:rPr>
            </w:pPr>
            <w:r>
              <w:rPr>
                <w:noProof/>
              </w:rPr>
              <w:t>4</w:t>
            </w:r>
          </w:p>
        </w:tc>
        <w:tc>
          <w:tcPr>
            <w:tcW w:w="2715" w:type="dxa"/>
            <w:shd w:val="clear" w:color="auto" w:fill="C6EFCE"/>
            <w:noWrap/>
            <w:vAlign w:val="center"/>
          </w:tcPr>
          <w:p w14:paraId="54742593" w14:textId="17693065" w:rsidR="003B6BD9" w:rsidRDefault="009E25E8">
            <w:pPr>
              <w:pStyle w:val="P68B1DB1-Normal18"/>
              <w:spacing w:before="0" w:after="0" w:line="276" w:lineRule="auto"/>
              <w:rPr>
                <w:rFonts w:eastAsia="Times New Roman"/>
                <w:noProof/>
              </w:rPr>
            </w:pPr>
            <w:r>
              <w:rPr>
                <w:noProof/>
              </w:rPr>
              <w:t>D: Restructuration efficace sur le plan énergétique des systèmes de chauffage urbain utilisant des sources d’énergie renouvelables</w:t>
            </w:r>
          </w:p>
        </w:tc>
        <w:tc>
          <w:tcPr>
            <w:tcW w:w="1651" w:type="dxa"/>
            <w:shd w:val="clear" w:color="auto" w:fill="C6EFCE"/>
            <w:noWrap/>
            <w:vAlign w:val="center"/>
          </w:tcPr>
          <w:p w14:paraId="06D2583D" w14:textId="397248B7"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4E8FDBD9" w14:textId="2AF61718" w:rsidR="003B6BD9" w:rsidRDefault="009E25E8">
            <w:pPr>
              <w:pStyle w:val="P68B1DB1-Normal18"/>
              <w:spacing w:before="0" w:after="0" w:line="276" w:lineRule="auto"/>
              <w:rPr>
                <w:noProof/>
              </w:rPr>
            </w:pPr>
            <w:r>
              <w:rPr>
                <w:noProof/>
              </w:rPr>
              <w:t>Lancement d’un appel à propositions pour les sources d’énergie renouvelables dans les systèmes de chauffage urbain</w:t>
            </w:r>
          </w:p>
        </w:tc>
      </w:tr>
      <w:tr w:rsidR="003B6BD9" w14:paraId="54315486" w14:textId="77777777">
        <w:trPr>
          <w:trHeight w:val="302"/>
        </w:trPr>
        <w:tc>
          <w:tcPr>
            <w:tcW w:w="1247" w:type="dxa"/>
            <w:shd w:val="clear" w:color="auto" w:fill="C6EFCE"/>
            <w:noWrap/>
            <w:vAlign w:val="center"/>
          </w:tcPr>
          <w:p w14:paraId="017C5709" w14:textId="05CDD96A" w:rsidR="003B6BD9" w:rsidRDefault="009E25E8">
            <w:pPr>
              <w:pStyle w:val="P68B1DB1-Normal18"/>
              <w:spacing w:before="0" w:after="0" w:line="276" w:lineRule="auto"/>
              <w:jc w:val="center"/>
              <w:rPr>
                <w:rFonts w:eastAsia="Times New Roman"/>
                <w:noProof/>
              </w:rPr>
            </w:pPr>
            <w:r>
              <w:rPr>
                <w:noProof/>
              </w:rPr>
              <w:t>6</w:t>
            </w:r>
          </w:p>
        </w:tc>
        <w:tc>
          <w:tcPr>
            <w:tcW w:w="2715" w:type="dxa"/>
            <w:shd w:val="clear" w:color="auto" w:fill="C6EFCE"/>
            <w:noWrap/>
            <w:vAlign w:val="center"/>
          </w:tcPr>
          <w:p w14:paraId="1A23B2D6" w14:textId="451A5F38" w:rsidR="003B6BD9" w:rsidRDefault="009E25E8">
            <w:pPr>
              <w:pStyle w:val="P68B1DB1-Normal18"/>
              <w:spacing w:before="0" w:after="0" w:line="276" w:lineRule="auto"/>
              <w:rPr>
                <w:rFonts w:eastAsia="Times New Roman"/>
                <w:noProof/>
              </w:rPr>
            </w:pPr>
            <w:r>
              <w:rPr>
                <w:noProof/>
              </w:rPr>
              <w:t>F: Renforcement du réseau de distribution d’électricité (stations de transformation)</w:t>
            </w:r>
          </w:p>
        </w:tc>
        <w:tc>
          <w:tcPr>
            <w:tcW w:w="1651" w:type="dxa"/>
            <w:shd w:val="clear" w:color="auto" w:fill="C6EFCE"/>
            <w:noWrap/>
            <w:vAlign w:val="center"/>
          </w:tcPr>
          <w:p w14:paraId="669088EB" w14:textId="1FC3CB86"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51E18828" w14:textId="0AC0D874" w:rsidR="003B6BD9" w:rsidRDefault="009E25E8">
            <w:pPr>
              <w:pStyle w:val="P68B1DB1-Normal18"/>
              <w:spacing w:before="0" w:after="0" w:line="276" w:lineRule="auto"/>
              <w:rPr>
                <w:noProof/>
              </w:rPr>
            </w:pPr>
            <w:r>
              <w:rPr>
                <w:noProof/>
              </w:rPr>
              <w:t>Ouverture d’un appel à propositions pour les stations de transformation de l’électricité</w:t>
            </w:r>
          </w:p>
        </w:tc>
      </w:tr>
      <w:tr w:rsidR="003B6BD9" w14:paraId="7DE605EE" w14:textId="77777777">
        <w:trPr>
          <w:trHeight w:val="302"/>
        </w:trPr>
        <w:tc>
          <w:tcPr>
            <w:tcW w:w="1247" w:type="dxa"/>
            <w:shd w:val="clear" w:color="auto" w:fill="C6EFCE"/>
            <w:noWrap/>
            <w:vAlign w:val="center"/>
          </w:tcPr>
          <w:p w14:paraId="63186B12" w14:textId="3C1ED7A4" w:rsidR="003B6BD9" w:rsidRDefault="009E25E8">
            <w:pPr>
              <w:pStyle w:val="P68B1DB1-Normal18"/>
              <w:spacing w:before="0" w:after="0" w:line="276" w:lineRule="auto"/>
              <w:jc w:val="center"/>
              <w:rPr>
                <w:rFonts w:eastAsia="Times New Roman"/>
                <w:noProof/>
              </w:rPr>
            </w:pPr>
            <w:r>
              <w:rPr>
                <w:noProof/>
              </w:rPr>
              <w:t>21</w:t>
            </w:r>
          </w:p>
        </w:tc>
        <w:tc>
          <w:tcPr>
            <w:tcW w:w="2715" w:type="dxa"/>
            <w:shd w:val="clear" w:color="auto" w:fill="C6EFCE"/>
            <w:noWrap/>
            <w:vAlign w:val="center"/>
          </w:tcPr>
          <w:p w14:paraId="3AD07AAA" w14:textId="7306AC38" w:rsidR="003B6BD9" w:rsidRDefault="009E25E8">
            <w:pPr>
              <w:pStyle w:val="P68B1DB1-Normal18"/>
              <w:spacing w:before="0" w:after="0" w:line="276" w:lineRule="auto"/>
              <w:rPr>
                <w:rFonts w:eastAsia="Times New Roman"/>
                <w:noProof/>
              </w:rPr>
            </w:pPr>
            <w:r>
              <w:rPr>
                <w:noProof/>
              </w:rPr>
              <w:t>B: Rénovation durable des bâtiments</w:t>
            </w:r>
          </w:p>
        </w:tc>
        <w:tc>
          <w:tcPr>
            <w:tcW w:w="1651" w:type="dxa"/>
            <w:shd w:val="clear" w:color="auto" w:fill="C6EFCE"/>
            <w:noWrap/>
            <w:vAlign w:val="center"/>
          </w:tcPr>
          <w:p w14:paraId="6AFE9F86" w14:textId="6209E2CB"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453ADABB" w14:textId="3DE0CBD6" w:rsidR="003B6BD9" w:rsidRDefault="009E25E8">
            <w:pPr>
              <w:pStyle w:val="P68B1DB1-Normal18"/>
              <w:spacing w:before="0" w:after="0" w:line="276" w:lineRule="auto"/>
              <w:rPr>
                <w:rFonts w:eastAsia="Times New Roman"/>
                <w:noProof/>
              </w:rPr>
            </w:pPr>
            <w:r>
              <w:rPr>
                <w:noProof/>
              </w:rPr>
              <w:t>Ouverture d’un appel à propositions pour la mise en œuvre de mises à niveau individuelles des systèmes techniques de bâtiment</w:t>
            </w:r>
          </w:p>
        </w:tc>
      </w:tr>
      <w:tr w:rsidR="003B6BD9" w14:paraId="7A24F021" w14:textId="77777777">
        <w:trPr>
          <w:trHeight w:val="302"/>
        </w:trPr>
        <w:tc>
          <w:tcPr>
            <w:tcW w:w="1247" w:type="dxa"/>
            <w:shd w:val="clear" w:color="auto" w:fill="C6EFCE"/>
            <w:noWrap/>
            <w:vAlign w:val="center"/>
          </w:tcPr>
          <w:p w14:paraId="7C7E7F08" w14:textId="0643717E" w:rsidR="003B6BD9" w:rsidRDefault="009E25E8">
            <w:pPr>
              <w:pStyle w:val="P68B1DB1-Normal18"/>
              <w:spacing w:before="0" w:after="0" w:line="276" w:lineRule="auto"/>
              <w:jc w:val="center"/>
              <w:rPr>
                <w:rFonts w:eastAsia="Times New Roman"/>
                <w:noProof/>
              </w:rPr>
            </w:pPr>
            <w:r>
              <w:rPr>
                <w:noProof/>
              </w:rPr>
              <w:t>22</w:t>
            </w:r>
          </w:p>
        </w:tc>
        <w:tc>
          <w:tcPr>
            <w:tcW w:w="2715" w:type="dxa"/>
            <w:shd w:val="clear" w:color="auto" w:fill="C6EFCE"/>
            <w:noWrap/>
            <w:vAlign w:val="center"/>
          </w:tcPr>
          <w:p w14:paraId="1BDC549D" w14:textId="7A4EAD75" w:rsidR="003B6BD9" w:rsidRDefault="009E25E8">
            <w:pPr>
              <w:pStyle w:val="P68B1DB1-Normal18"/>
              <w:spacing w:before="0" w:after="0" w:line="276" w:lineRule="auto"/>
              <w:rPr>
                <w:rFonts w:eastAsia="Times New Roman"/>
                <w:noProof/>
              </w:rPr>
            </w:pPr>
            <w:r>
              <w:rPr>
                <w:noProof/>
              </w:rPr>
              <w:t>B: Rénovation durable des bâtiments</w:t>
            </w:r>
          </w:p>
        </w:tc>
        <w:tc>
          <w:tcPr>
            <w:tcW w:w="1651" w:type="dxa"/>
            <w:shd w:val="clear" w:color="auto" w:fill="C6EFCE"/>
            <w:noWrap/>
            <w:vAlign w:val="center"/>
          </w:tcPr>
          <w:p w14:paraId="6EA6C481" w14:textId="0F2C5554"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0ECD6EEB" w14:textId="73F89B98" w:rsidR="003B6BD9" w:rsidRDefault="009E25E8">
            <w:pPr>
              <w:pStyle w:val="P68B1DB1-Normal18"/>
              <w:spacing w:before="0" w:after="0" w:line="276" w:lineRule="auto"/>
              <w:rPr>
                <w:rFonts w:eastAsia="Times New Roman"/>
                <w:noProof/>
              </w:rPr>
            </w:pPr>
            <w:r>
              <w:rPr>
                <w:noProof/>
              </w:rPr>
              <w:t>Ouverture d’une invitation publique pour la rénovation énergétique et durable des bâtiments publics de grande importance administrative et sociale</w:t>
            </w:r>
          </w:p>
        </w:tc>
      </w:tr>
      <w:tr w:rsidR="003B6BD9" w14:paraId="1979D51D" w14:textId="77777777">
        <w:trPr>
          <w:trHeight w:val="302"/>
        </w:trPr>
        <w:tc>
          <w:tcPr>
            <w:tcW w:w="1247" w:type="dxa"/>
            <w:shd w:val="clear" w:color="auto" w:fill="C6EFCE"/>
            <w:noWrap/>
            <w:vAlign w:val="center"/>
          </w:tcPr>
          <w:p w14:paraId="761D1C1E" w14:textId="6465AA1D" w:rsidR="003B6BD9" w:rsidRDefault="009E25E8">
            <w:pPr>
              <w:pStyle w:val="P68B1DB1-Normal18"/>
              <w:spacing w:before="0" w:after="0" w:line="276" w:lineRule="auto"/>
              <w:jc w:val="center"/>
              <w:rPr>
                <w:rFonts w:eastAsia="Times New Roman"/>
                <w:noProof/>
              </w:rPr>
            </w:pPr>
            <w:r>
              <w:rPr>
                <w:noProof/>
              </w:rPr>
              <w:t>23</w:t>
            </w:r>
          </w:p>
        </w:tc>
        <w:tc>
          <w:tcPr>
            <w:tcW w:w="2715" w:type="dxa"/>
            <w:shd w:val="clear" w:color="auto" w:fill="C6EFCE"/>
            <w:noWrap/>
            <w:vAlign w:val="center"/>
          </w:tcPr>
          <w:p w14:paraId="55CCAE19" w14:textId="7EA8A3D4" w:rsidR="003B6BD9" w:rsidRDefault="009E25E8">
            <w:pPr>
              <w:pStyle w:val="P68B1DB1-Normal18"/>
              <w:spacing w:before="0" w:after="0" w:line="276" w:lineRule="auto"/>
              <w:rPr>
                <w:rFonts w:eastAsia="Times New Roman"/>
                <w:noProof/>
              </w:rPr>
            </w:pPr>
            <w:r>
              <w:rPr>
                <w:noProof/>
              </w:rPr>
              <w:t>B: Rénovation durable des bâtiments</w:t>
            </w:r>
          </w:p>
        </w:tc>
        <w:tc>
          <w:tcPr>
            <w:tcW w:w="1651" w:type="dxa"/>
            <w:shd w:val="clear" w:color="auto" w:fill="C6EFCE"/>
            <w:noWrap/>
            <w:vAlign w:val="center"/>
          </w:tcPr>
          <w:p w14:paraId="283FD105" w14:textId="26A208BC"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334281C9" w14:textId="3761635B" w:rsidR="003B6BD9" w:rsidRDefault="009E25E8">
            <w:pPr>
              <w:pStyle w:val="P68B1DB1-Normal18"/>
              <w:spacing w:before="0" w:after="0" w:line="276" w:lineRule="auto"/>
              <w:rPr>
                <w:rFonts w:eastAsia="Times New Roman"/>
                <w:noProof/>
              </w:rPr>
            </w:pPr>
            <w:r>
              <w:rPr>
                <w:noProof/>
              </w:rPr>
              <w:t>Ouverture d’un appel à propositions pour l’énergie et la rénovation durable des bâtiments résidentiels publics.</w:t>
            </w:r>
          </w:p>
        </w:tc>
      </w:tr>
      <w:tr w:rsidR="003B6BD9" w14:paraId="0EB7661E" w14:textId="77777777">
        <w:trPr>
          <w:trHeight w:val="302"/>
        </w:trPr>
        <w:tc>
          <w:tcPr>
            <w:tcW w:w="1247" w:type="dxa"/>
            <w:shd w:val="clear" w:color="auto" w:fill="C6EFCE"/>
            <w:noWrap/>
            <w:vAlign w:val="center"/>
          </w:tcPr>
          <w:p w14:paraId="464A3934" w14:textId="2B3C1558" w:rsidR="003B6BD9" w:rsidRDefault="009E25E8">
            <w:pPr>
              <w:pStyle w:val="P68B1DB1-Normal18"/>
              <w:spacing w:before="0" w:after="0" w:line="276" w:lineRule="auto"/>
              <w:jc w:val="center"/>
              <w:rPr>
                <w:rFonts w:eastAsia="Times New Roman"/>
                <w:noProof/>
              </w:rPr>
            </w:pPr>
            <w:r>
              <w:rPr>
                <w:noProof/>
              </w:rPr>
              <w:t>36</w:t>
            </w:r>
          </w:p>
        </w:tc>
        <w:tc>
          <w:tcPr>
            <w:tcW w:w="2715" w:type="dxa"/>
            <w:shd w:val="clear" w:color="auto" w:fill="C6EFCE"/>
            <w:noWrap/>
            <w:vAlign w:val="center"/>
          </w:tcPr>
          <w:p w14:paraId="2881663F" w14:textId="770028A4" w:rsidR="003B6BD9" w:rsidRDefault="009E25E8">
            <w:pPr>
              <w:pStyle w:val="P68B1DB1-Normal18"/>
              <w:spacing w:before="0" w:after="0" w:line="276" w:lineRule="auto"/>
              <w:rPr>
                <w:rFonts w:eastAsia="Times New Roman"/>
                <w:noProof/>
              </w:rPr>
            </w:pPr>
            <w:r>
              <w:rPr>
                <w:noProof/>
              </w:rPr>
              <w:t>C: Restaurer et atténuer les effets du changement climatique et des catastrophes liées au climat sur la biodiversité forestière résiliente</w:t>
            </w:r>
          </w:p>
        </w:tc>
        <w:tc>
          <w:tcPr>
            <w:tcW w:w="1651" w:type="dxa"/>
            <w:shd w:val="clear" w:color="auto" w:fill="C6EFCE"/>
            <w:noWrap/>
            <w:vAlign w:val="center"/>
          </w:tcPr>
          <w:p w14:paraId="073C3703" w14:textId="5C242140"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2C172371" w14:textId="711C6FE2" w:rsidR="003B6BD9" w:rsidRDefault="009E25E8">
            <w:pPr>
              <w:pStyle w:val="P68B1DB1-Normal18"/>
              <w:spacing w:before="0" w:after="0" w:line="276" w:lineRule="auto"/>
              <w:rPr>
                <w:rFonts w:eastAsia="Times New Roman"/>
                <w:noProof/>
              </w:rPr>
            </w:pPr>
            <w:r>
              <w:rPr>
                <w:noProof/>
              </w:rPr>
              <w:t>Entrée en vigueur des modifications des règles relatives aux conditions d’inscription au registre des fournisseurs et aux autres obligations des fournisseurs, ainsi qu’aux exigences concernant la commercialisation des matériels forestiers de reproduction</w:t>
            </w:r>
          </w:p>
        </w:tc>
      </w:tr>
      <w:tr w:rsidR="003B6BD9" w14:paraId="46B6E344" w14:textId="77777777">
        <w:trPr>
          <w:trHeight w:val="302"/>
        </w:trPr>
        <w:tc>
          <w:tcPr>
            <w:tcW w:w="1247" w:type="dxa"/>
            <w:shd w:val="clear" w:color="auto" w:fill="C6EFCE"/>
            <w:noWrap/>
            <w:vAlign w:val="center"/>
          </w:tcPr>
          <w:p w14:paraId="2CD54BFD" w14:textId="3B0B9FA5" w:rsidR="003B6BD9" w:rsidRDefault="009E25E8">
            <w:pPr>
              <w:pStyle w:val="P68B1DB1-Normal18"/>
              <w:spacing w:before="0" w:after="0" w:line="276" w:lineRule="auto"/>
              <w:jc w:val="center"/>
              <w:rPr>
                <w:rFonts w:eastAsia="Times New Roman"/>
                <w:noProof/>
              </w:rPr>
            </w:pPr>
            <w:r>
              <w:rPr>
                <w:noProof/>
              </w:rPr>
              <w:t>38</w:t>
            </w:r>
          </w:p>
        </w:tc>
        <w:tc>
          <w:tcPr>
            <w:tcW w:w="2715" w:type="dxa"/>
            <w:shd w:val="clear" w:color="auto" w:fill="C6EFCE"/>
            <w:noWrap/>
            <w:vAlign w:val="center"/>
          </w:tcPr>
          <w:p w14:paraId="0DD10081" w14:textId="61DF9EBB" w:rsidR="003B6BD9" w:rsidRDefault="009E25E8">
            <w:pPr>
              <w:pStyle w:val="P68B1DB1-Normal18"/>
              <w:spacing w:before="0" w:after="0" w:line="276" w:lineRule="auto"/>
              <w:rPr>
                <w:rFonts w:eastAsia="Times New Roman"/>
                <w:noProof/>
              </w:rPr>
            </w:pPr>
            <w:r>
              <w:rPr>
                <w:noProof/>
              </w:rPr>
              <w:t>H: Projets de rejet et de traitement des eaux urbaines résiduaires</w:t>
            </w:r>
          </w:p>
        </w:tc>
        <w:tc>
          <w:tcPr>
            <w:tcW w:w="1651" w:type="dxa"/>
            <w:shd w:val="clear" w:color="auto" w:fill="C6EFCE"/>
            <w:noWrap/>
            <w:vAlign w:val="center"/>
          </w:tcPr>
          <w:p w14:paraId="260D154E" w14:textId="5AD954FB"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5EF70CE7" w14:textId="012AC2E2" w:rsidR="003B6BD9" w:rsidRDefault="009E25E8">
            <w:pPr>
              <w:pStyle w:val="P68B1DB1-Normal18"/>
              <w:spacing w:before="0" w:after="0" w:line="276" w:lineRule="auto"/>
              <w:rPr>
                <w:rFonts w:eastAsia="Times New Roman"/>
                <w:noProof/>
              </w:rPr>
            </w:pPr>
            <w:r>
              <w:rPr>
                <w:noProof/>
              </w:rPr>
              <w:t>Octroi de subventions pour des projets de rejet et de traitement des eaux urbaines résiduaires</w:t>
            </w:r>
          </w:p>
        </w:tc>
      </w:tr>
      <w:tr w:rsidR="003B6BD9" w14:paraId="52AC913D" w14:textId="77777777">
        <w:trPr>
          <w:trHeight w:val="302"/>
        </w:trPr>
        <w:tc>
          <w:tcPr>
            <w:tcW w:w="1247" w:type="dxa"/>
            <w:shd w:val="clear" w:color="auto" w:fill="C6EFCE"/>
            <w:noWrap/>
            <w:vAlign w:val="center"/>
          </w:tcPr>
          <w:p w14:paraId="71399060" w14:textId="47F84C24" w:rsidR="003B6BD9" w:rsidRDefault="009E25E8">
            <w:pPr>
              <w:pStyle w:val="P68B1DB1-Normal18"/>
              <w:spacing w:before="0" w:after="0" w:line="276" w:lineRule="auto"/>
              <w:jc w:val="center"/>
              <w:rPr>
                <w:rFonts w:eastAsia="Times New Roman"/>
                <w:noProof/>
              </w:rPr>
            </w:pPr>
            <w:r>
              <w:rPr>
                <w:noProof/>
              </w:rPr>
              <w:t>42</w:t>
            </w:r>
          </w:p>
        </w:tc>
        <w:tc>
          <w:tcPr>
            <w:tcW w:w="2715" w:type="dxa"/>
            <w:shd w:val="clear" w:color="auto" w:fill="C6EFCE"/>
            <w:noWrap/>
            <w:vAlign w:val="center"/>
          </w:tcPr>
          <w:p w14:paraId="4864A990" w14:textId="2413B754" w:rsidR="003B6BD9" w:rsidRDefault="009E25E8">
            <w:pPr>
              <w:pStyle w:val="P68B1DB1-Normal18"/>
              <w:spacing w:before="0" w:after="0" w:line="276" w:lineRule="auto"/>
              <w:rPr>
                <w:rFonts w:eastAsia="Times New Roman"/>
                <w:noProof/>
              </w:rPr>
            </w:pPr>
            <w:r>
              <w:rPr>
                <w:noProof/>
              </w:rPr>
              <w:t>I: Projets d’approvisionnement en eau potable et d’économies d’eau</w:t>
            </w:r>
          </w:p>
        </w:tc>
        <w:tc>
          <w:tcPr>
            <w:tcW w:w="1651" w:type="dxa"/>
            <w:shd w:val="clear" w:color="auto" w:fill="C6EFCE"/>
            <w:noWrap/>
            <w:vAlign w:val="center"/>
          </w:tcPr>
          <w:p w14:paraId="58C9C85C" w14:textId="236CE331"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50186376" w14:textId="60830FB2" w:rsidR="003B6BD9" w:rsidRDefault="009E25E8">
            <w:pPr>
              <w:pStyle w:val="P68B1DB1-Normal18"/>
              <w:spacing w:before="0" w:after="0" w:line="276" w:lineRule="auto"/>
              <w:rPr>
                <w:rFonts w:eastAsia="Times New Roman"/>
                <w:noProof/>
              </w:rPr>
            </w:pPr>
            <w:r>
              <w:rPr>
                <w:noProof/>
              </w:rPr>
              <w:t>Octroi de subventions pour des projets d’approvisionnement en eau potable</w:t>
            </w:r>
          </w:p>
        </w:tc>
      </w:tr>
      <w:tr w:rsidR="003B6BD9" w14:paraId="44B0834F" w14:textId="77777777">
        <w:trPr>
          <w:trHeight w:val="302"/>
        </w:trPr>
        <w:tc>
          <w:tcPr>
            <w:tcW w:w="1247" w:type="dxa"/>
            <w:shd w:val="clear" w:color="auto" w:fill="C6EFCE"/>
            <w:noWrap/>
            <w:vAlign w:val="center"/>
          </w:tcPr>
          <w:p w14:paraId="7C7214EE" w14:textId="1B8DDAB2" w:rsidR="003B6BD9" w:rsidRDefault="009E25E8">
            <w:pPr>
              <w:pStyle w:val="P68B1DB1-Normal18"/>
              <w:spacing w:before="0" w:after="0" w:line="276" w:lineRule="auto"/>
              <w:jc w:val="center"/>
              <w:rPr>
                <w:rFonts w:eastAsia="Times New Roman"/>
                <w:noProof/>
              </w:rPr>
            </w:pPr>
            <w:r>
              <w:rPr>
                <w:noProof/>
              </w:rPr>
              <w:t>57</w:t>
            </w:r>
          </w:p>
        </w:tc>
        <w:tc>
          <w:tcPr>
            <w:tcW w:w="2715" w:type="dxa"/>
            <w:shd w:val="clear" w:color="auto" w:fill="C6EFCE"/>
            <w:noWrap/>
            <w:vAlign w:val="center"/>
          </w:tcPr>
          <w:p w14:paraId="3F99FC27" w14:textId="13A3BB72" w:rsidR="003B6BD9" w:rsidRDefault="009E25E8">
            <w:pPr>
              <w:pStyle w:val="P68B1DB1-Normal18"/>
              <w:spacing w:before="0" w:after="0" w:line="276" w:lineRule="auto"/>
              <w:rPr>
                <w:rFonts w:eastAsia="Times New Roman"/>
                <w:noProof/>
              </w:rPr>
            </w:pPr>
            <w:r>
              <w:rPr>
                <w:noProof/>
              </w:rPr>
              <w:t>C: Augmenter les capacités de l’infrastructure ferroviaire</w:t>
            </w:r>
          </w:p>
        </w:tc>
        <w:tc>
          <w:tcPr>
            <w:tcW w:w="1651" w:type="dxa"/>
            <w:shd w:val="clear" w:color="auto" w:fill="C6EFCE"/>
            <w:noWrap/>
            <w:vAlign w:val="center"/>
          </w:tcPr>
          <w:p w14:paraId="116B2A3B" w14:textId="0B5AC634"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573FC68A" w14:textId="1F87DE74" w:rsidR="003B6BD9" w:rsidRDefault="009E25E8">
            <w:pPr>
              <w:pStyle w:val="P68B1DB1-Normal18"/>
              <w:spacing w:before="0" w:after="0" w:line="276" w:lineRule="auto"/>
              <w:rPr>
                <w:rFonts w:eastAsia="Times New Roman"/>
                <w:noProof/>
              </w:rPr>
            </w:pPr>
            <w:r>
              <w:rPr>
                <w:noProof/>
              </w:rPr>
              <w:t>Attribution de marchés pour la modernisation de tronçons ferroviaires</w:t>
            </w:r>
          </w:p>
        </w:tc>
      </w:tr>
      <w:tr w:rsidR="003B6BD9" w14:paraId="4AB48DDF" w14:textId="77777777">
        <w:trPr>
          <w:trHeight w:val="302"/>
        </w:trPr>
        <w:tc>
          <w:tcPr>
            <w:tcW w:w="1247" w:type="dxa"/>
            <w:shd w:val="clear" w:color="auto" w:fill="C6EFCE"/>
            <w:noWrap/>
            <w:vAlign w:val="center"/>
          </w:tcPr>
          <w:p w14:paraId="42AA4C1C" w14:textId="2C0B9B6F" w:rsidR="003B6BD9" w:rsidRDefault="009E25E8">
            <w:pPr>
              <w:pStyle w:val="P68B1DB1-Normal18"/>
              <w:spacing w:before="0" w:after="0" w:line="276" w:lineRule="auto"/>
              <w:jc w:val="center"/>
              <w:rPr>
                <w:rFonts w:eastAsia="Times New Roman"/>
                <w:noProof/>
              </w:rPr>
            </w:pPr>
            <w:r>
              <w:rPr>
                <w:noProof/>
              </w:rPr>
              <w:t>58</w:t>
            </w:r>
          </w:p>
        </w:tc>
        <w:tc>
          <w:tcPr>
            <w:tcW w:w="2715" w:type="dxa"/>
            <w:shd w:val="clear" w:color="auto" w:fill="C6EFCE"/>
            <w:noWrap/>
            <w:vAlign w:val="center"/>
          </w:tcPr>
          <w:p w14:paraId="1A36A2EB" w14:textId="25E1DB52" w:rsidR="003B6BD9" w:rsidRDefault="009E25E8">
            <w:pPr>
              <w:pStyle w:val="P68B1DB1-Normal18"/>
              <w:spacing w:before="0" w:after="0" w:line="276" w:lineRule="auto"/>
              <w:rPr>
                <w:rFonts w:eastAsia="Times New Roman"/>
                <w:noProof/>
              </w:rPr>
            </w:pPr>
            <w:r>
              <w:rPr>
                <w:noProof/>
              </w:rPr>
              <w:t>C: Augmenter les capacités de l’infrastructure ferroviaire</w:t>
            </w:r>
          </w:p>
        </w:tc>
        <w:tc>
          <w:tcPr>
            <w:tcW w:w="1651" w:type="dxa"/>
            <w:shd w:val="clear" w:color="auto" w:fill="C6EFCE"/>
            <w:noWrap/>
            <w:vAlign w:val="center"/>
          </w:tcPr>
          <w:p w14:paraId="3D14D58E" w14:textId="64A78E36"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63518DAA" w14:textId="3A6DDA7D" w:rsidR="003B6BD9" w:rsidRDefault="009E25E8">
            <w:pPr>
              <w:pStyle w:val="P68B1DB1-Normal18"/>
              <w:spacing w:before="0" w:after="0" w:line="276" w:lineRule="auto"/>
              <w:rPr>
                <w:rFonts w:eastAsia="Times New Roman"/>
                <w:noProof/>
              </w:rPr>
            </w:pPr>
            <w:r>
              <w:rPr>
                <w:noProof/>
              </w:rPr>
              <w:t>Attribution de marchés pour la modernisation des gares de Grosuplje et de Domžale</w:t>
            </w:r>
          </w:p>
        </w:tc>
      </w:tr>
      <w:tr w:rsidR="003B6BD9" w14:paraId="558DCBEE" w14:textId="77777777">
        <w:trPr>
          <w:trHeight w:val="302"/>
        </w:trPr>
        <w:tc>
          <w:tcPr>
            <w:tcW w:w="1247" w:type="dxa"/>
            <w:shd w:val="clear" w:color="auto" w:fill="C6EFCE"/>
            <w:noWrap/>
            <w:vAlign w:val="center"/>
          </w:tcPr>
          <w:p w14:paraId="0BB3790F" w14:textId="55866198" w:rsidR="003B6BD9" w:rsidRDefault="009E25E8">
            <w:pPr>
              <w:pStyle w:val="P68B1DB1-Normal18"/>
              <w:spacing w:before="0" w:after="0" w:line="276" w:lineRule="auto"/>
              <w:jc w:val="center"/>
              <w:rPr>
                <w:rFonts w:eastAsia="Times New Roman"/>
                <w:noProof/>
              </w:rPr>
            </w:pPr>
            <w:r>
              <w:rPr>
                <w:noProof/>
              </w:rPr>
              <w:t>69</w:t>
            </w:r>
          </w:p>
        </w:tc>
        <w:tc>
          <w:tcPr>
            <w:tcW w:w="2715" w:type="dxa"/>
            <w:shd w:val="clear" w:color="auto" w:fill="C6EFCE"/>
            <w:noWrap/>
            <w:vAlign w:val="center"/>
          </w:tcPr>
          <w:p w14:paraId="7F37EE24" w14:textId="6D630DCE" w:rsidR="003B6BD9" w:rsidRDefault="009E25E8">
            <w:pPr>
              <w:pStyle w:val="P68B1DB1-Normal18"/>
              <w:spacing w:before="0" w:after="0" w:line="276" w:lineRule="auto"/>
              <w:rPr>
                <w:rFonts w:eastAsia="Times New Roman"/>
                <w:noProof/>
              </w:rPr>
            </w:pPr>
            <w:r>
              <w:rPr>
                <w:noProof/>
              </w:rPr>
              <w:t>A: Établir un cadre pour une transformation durable et écologique</w:t>
            </w:r>
          </w:p>
        </w:tc>
        <w:tc>
          <w:tcPr>
            <w:tcW w:w="1651" w:type="dxa"/>
            <w:shd w:val="clear" w:color="auto" w:fill="C6EFCE"/>
            <w:noWrap/>
            <w:vAlign w:val="center"/>
          </w:tcPr>
          <w:p w14:paraId="1FB7D60A" w14:textId="0C158B87"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6A9AF3F4" w14:textId="2363B8CA" w:rsidR="003B6BD9" w:rsidRDefault="009E25E8">
            <w:pPr>
              <w:pStyle w:val="P68B1DB1-Normal18"/>
              <w:spacing w:before="0" w:after="0" w:line="276" w:lineRule="auto"/>
              <w:rPr>
                <w:rFonts w:eastAsia="Times New Roman"/>
                <w:noProof/>
              </w:rPr>
            </w:pPr>
            <w:r>
              <w:rPr>
                <w:noProof/>
              </w:rPr>
              <w:t>Entrée en vigueur des modifications relatives à la responsabilité élargie des producteurs et à la valorisation des déchets</w:t>
            </w:r>
          </w:p>
        </w:tc>
      </w:tr>
      <w:tr w:rsidR="003B6BD9" w14:paraId="4A23529C" w14:textId="77777777">
        <w:trPr>
          <w:trHeight w:val="302"/>
        </w:trPr>
        <w:tc>
          <w:tcPr>
            <w:tcW w:w="1247" w:type="dxa"/>
            <w:shd w:val="clear" w:color="auto" w:fill="C6EFCE"/>
            <w:noWrap/>
            <w:vAlign w:val="center"/>
          </w:tcPr>
          <w:p w14:paraId="05A7ADAD" w14:textId="5456B0B6" w:rsidR="003B6BD9" w:rsidRDefault="009E25E8">
            <w:pPr>
              <w:pStyle w:val="P68B1DB1-Normal18"/>
              <w:spacing w:before="0" w:after="0" w:line="276" w:lineRule="auto"/>
              <w:jc w:val="center"/>
              <w:rPr>
                <w:rFonts w:eastAsia="Times New Roman"/>
                <w:noProof/>
              </w:rPr>
            </w:pPr>
            <w:r>
              <w:rPr>
                <w:noProof/>
              </w:rPr>
              <w:t>93</w:t>
            </w:r>
          </w:p>
        </w:tc>
        <w:tc>
          <w:tcPr>
            <w:tcW w:w="2715" w:type="dxa"/>
            <w:shd w:val="clear" w:color="auto" w:fill="C6EFCE"/>
            <w:noWrap/>
            <w:vAlign w:val="center"/>
          </w:tcPr>
          <w:p w14:paraId="0CBE738F" w14:textId="6F7A2BE1" w:rsidR="003B6BD9" w:rsidRDefault="009E25E8">
            <w:pPr>
              <w:pStyle w:val="P68B1DB1-Normal18"/>
              <w:spacing w:before="0" w:after="0" w:line="276" w:lineRule="auto"/>
              <w:rPr>
                <w:rFonts w:eastAsia="Times New Roman"/>
                <w:noProof/>
              </w:rPr>
            </w:pPr>
            <w:r>
              <w:rPr>
                <w:noProof/>
              </w:rPr>
              <w:t>C: Moderniser les processus administratifs pour réussir la transformation numérique</w:t>
            </w:r>
          </w:p>
        </w:tc>
        <w:tc>
          <w:tcPr>
            <w:tcW w:w="1651" w:type="dxa"/>
            <w:shd w:val="clear" w:color="auto" w:fill="C6EFCE"/>
            <w:noWrap/>
            <w:vAlign w:val="center"/>
          </w:tcPr>
          <w:p w14:paraId="0163E0C9" w14:textId="3CF25080"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6FB33C75" w14:textId="37070F59" w:rsidR="003B6BD9" w:rsidRDefault="009E25E8">
            <w:pPr>
              <w:pStyle w:val="P68B1DB1-Normal18"/>
              <w:spacing w:before="0" w:after="0" w:line="276" w:lineRule="auto"/>
              <w:rPr>
                <w:rFonts w:eastAsia="Times New Roman"/>
                <w:noProof/>
              </w:rPr>
            </w:pPr>
            <w:r>
              <w:rPr>
                <w:noProof/>
              </w:rPr>
              <w:t>Suppression des obstacles juridiques et administratifs à la fourniture de services en ligne</w:t>
            </w:r>
          </w:p>
        </w:tc>
      </w:tr>
      <w:tr w:rsidR="003B6BD9" w14:paraId="127F6163" w14:textId="77777777">
        <w:trPr>
          <w:trHeight w:val="302"/>
        </w:trPr>
        <w:tc>
          <w:tcPr>
            <w:tcW w:w="1247" w:type="dxa"/>
            <w:shd w:val="clear" w:color="auto" w:fill="C6EFCE"/>
            <w:noWrap/>
            <w:vAlign w:val="center"/>
          </w:tcPr>
          <w:p w14:paraId="482504A9" w14:textId="1CC62996" w:rsidR="003B6BD9" w:rsidRDefault="009E25E8">
            <w:pPr>
              <w:pStyle w:val="P68B1DB1-Normal18"/>
              <w:spacing w:before="0" w:after="0" w:line="276" w:lineRule="auto"/>
              <w:jc w:val="center"/>
              <w:rPr>
                <w:rFonts w:eastAsia="Times New Roman"/>
                <w:noProof/>
              </w:rPr>
            </w:pPr>
            <w:r>
              <w:rPr>
                <w:noProof/>
              </w:rPr>
              <w:t>100</w:t>
            </w:r>
          </w:p>
        </w:tc>
        <w:tc>
          <w:tcPr>
            <w:tcW w:w="2715" w:type="dxa"/>
            <w:shd w:val="clear" w:color="auto" w:fill="C6EFCE"/>
            <w:noWrap/>
            <w:vAlign w:val="center"/>
          </w:tcPr>
          <w:p w14:paraId="4F30A701" w14:textId="0C4414F9" w:rsidR="003B6BD9" w:rsidRDefault="009E25E8">
            <w:pPr>
              <w:pStyle w:val="P68B1DB1-Normal18"/>
              <w:spacing w:before="0" w:after="0" w:line="276" w:lineRule="auto"/>
              <w:rPr>
                <w:rFonts w:eastAsia="Times New Roman"/>
                <w:noProof/>
              </w:rPr>
            </w:pPr>
            <w:r>
              <w:rPr>
                <w:noProof/>
              </w:rPr>
              <w:t>I. Numérisation de la sécurité intérieure</w:t>
            </w:r>
          </w:p>
        </w:tc>
        <w:tc>
          <w:tcPr>
            <w:tcW w:w="1651" w:type="dxa"/>
            <w:shd w:val="clear" w:color="auto" w:fill="C6EFCE"/>
            <w:noWrap/>
            <w:vAlign w:val="center"/>
          </w:tcPr>
          <w:p w14:paraId="1883A283" w14:textId="2AE53A73" w:rsidR="003B6BD9" w:rsidRDefault="009E25E8">
            <w:pPr>
              <w:pStyle w:val="P68B1DB1-Normal18"/>
              <w:spacing w:before="0" w:after="0" w:line="276" w:lineRule="auto"/>
              <w:rPr>
                <w:rFonts w:eastAsia="Times New Roman"/>
                <w:noProof/>
              </w:rPr>
            </w:pPr>
            <w:r>
              <w:rPr>
                <w:noProof/>
              </w:rPr>
              <w:t>Cible</w:t>
            </w:r>
          </w:p>
        </w:tc>
        <w:tc>
          <w:tcPr>
            <w:tcW w:w="4139" w:type="dxa"/>
            <w:shd w:val="clear" w:color="auto" w:fill="C6EFCE"/>
            <w:noWrap/>
            <w:vAlign w:val="center"/>
          </w:tcPr>
          <w:p w14:paraId="0CFE4A91" w14:textId="370004C7" w:rsidR="003B6BD9" w:rsidRDefault="009E25E8">
            <w:pPr>
              <w:pStyle w:val="P68B1DB1-Normal18"/>
              <w:spacing w:before="0" w:after="0" w:line="276" w:lineRule="auto"/>
              <w:rPr>
                <w:rFonts w:eastAsia="Times New Roman"/>
                <w:noProof/>
              </w:rPr>
            </w:pPr>
            <w:r>
              <w:rPr>
                <w:noProof/>
              </w:rPr>
              <w:t xml:space="preserve">Utilisateurs du nouveau réseau radio numérique de la police (TETRA) </w:t>
            </w:r>
          </w:p>
        </w:tc>
      </w:tr>
      <w:tr w:rsidR="003B6BD9" w14:paraId="3281FC73" w14:textId="77777777">
        <w:trPr>
          <w:trHeight w:val="302"/>
        </w:trPr>
        <w:tc>
          <w:tcPr>
            <w:tcW w:w="1247" w:type="dxa"/>
            <w:shd w:val="clear" w:color="auto" w:fill="C6EFCE"/>
            <w:noWrap/>
            <w:vAlign w:val="center"/>
          </w:tcPr>
          <w:p w14:paraId="626647B2" w14:textId="79360F71" w:rsidR="003B6BD9" w:rsidRDefault="009E25E8">
            <w:pPr>
              <w:pStyle w:val="P68B1DB1-Normal18"/>
              <w:spacing w:before="0" w:after="0" w:line="276" w:lineRule="auto"/>
              <w:jc w:val="center"/>
              <w:rPr>
                <w:rFonts w:eastAsia="Times New Roman"/>
                <w:noProof/>
              </w:rPr>
            </w:pPr>
            <w:r>
              <w:rPr>
                <w:noProof/>
              </w:rPr>
              <w:t>144</w:t>
            </w:r>
          </w:p>
        </w:tc>
        <w:tc>
          <w:tcPr>
            <w:tcW w:w="2715" w:type="dxa"/>
            <w:shd w:val="clear" w:color="auto" w:fill="C6EFCE"/>
            <w:noWrap/>
            <w:vAlign w:val="center"/>
          </w:tcPr>
          <w:p w14:paraId="08D97579" w14:textId="22B5EBCD" w:rsidR="003B6BD9" w:rsidRDefault="009E25E8">
            <w:pPr>
              <w:pStyle w:val="P68B1DB1-Normal18"/>
              <w:spacing w:before="0" w:after="0" w:line="276" w:lineRule="auto"/>
              <w:rPr>
                <w:rFonts w:eastAsia="Times New Roman"/>
                <w:noProof/>
              </w:rPr>
            </w:pPr>
            <w:r>
              <w:rPr>
                <w:noProof/>
              </w:rPr>
              <w:t>D: Accélérer l’entrée des jeunes sur le marché du travail</w:t>
            </w:r>
          </w:p>
        </w:tc>
        <w:tc>
          <w:tcPr>
            <w:tcW w:w="1651" w:type="dxa"/>
            <w:shd w:val="clear" w:color="auto" w:fill="C6EFCE"/>
            <w:noWrap/>
            <w:vAlign w:val="center"/>
          </w:tcPr>
          <w:p w14:paraId="197C5576" w14:textId="3823E16D" w:rsidR="003B6BD9" w:rsidRDefault="009E25E8">
            <w:pPr>
              <w:pStyle w:val="P68B1DB1-Normal18"/>
              <w:spacing w:before="0" w:after="0" w:line="276" w:lineRule="auto"/>
              <w:rPr>
                <w:rFonts w:eastAsia="Times New Roman"/>
                <w:noProof/>
              </w:rPr>
            </w:pPr>
            <w:r>
              <w:rPr>
                <w:noProof/>
              </w:rPr>
              <w:t>Cible</w:t>
            </w:r>
          </w:p>
        </w:tc>
        <w:tc>
          <w:tcPr>
            <w:tcW w:w="4139" w:type="dxa"/>
            <w:shd w:val="clear" w:color="auto" w:fill="C6EFCE"/>
            <w:noWrap/>
            <w:vAlign w:val="center"/>
          </w:tcPr>
          <w:p w14:paraId="51E753AD" w14:textId="538BF727" w:rsidR="003B6BD9" w:rsidRDefault="009E25E8">
            <w:pPr>
              <w:pStyle w:val="P68B1DB1-Normal18"/>
              <w:spacing w:before="0" w:after="0" w:line="276" w:lineRule="auto"/>
              <w:rPr>
                <w:rFonts w:eastAsia="Times New Roman"/>
                <w:noProof/>
              </w:rPr>
            </w:pPr>
            <w:r>
              <w:rPr>
                <w:noProof/>
              </w:rPr>
              <w:t>Nombre de jeunes supplémentaires occupant un emploi subventionné sur la base d’un contrat à durée indéterminée</w:t>
            </w:r>
          </w:p>
        </w:tc>
      </w:tr>
      <w:tr w:rsidR="003B6BD9" w14:paraId="7E83BD82" w14:textId="77777777">
        <w:trPr>
          <w:trHeight w:val="302"/>
        </w:trPr>
        <w:tc>
          <w:tcPr>
            <w:tcW w:w="1247" w:type="dxa"/>
            <w:shd w:val="clear" w:color="auto" w:fill="C6EFCE"/>
            <w:noWrap/>
            <w:vAlign w:val="center"/>
          </w:tcPr>
          <w:p w14:paraId="3FBE9122" w14:textId="29FB6BD8" w:rsidR="003B6BD9" w:rsidRDefault="009E25E8">
            <w:pPr>
              <w:pStyle w:val="P68B1DB1-Normal18"/>
              <w:spacing w:before="0" w:after="0" w:line="276" w:lineRule="auto"/>
              <w:jc w:val="center"/>
              <w:rPr>
                <w:rFonts w:eastAsia="Times New Roman"/>
                <w:noProof/>
              </w:rPr>
            </w:pPr>
            <w:r>
              <w:rPr>
                <w:noProof/>
              </w:rPr>
              <w:t>150</w:t>
            </w:r>
          </w:p>
        </w:tc>
        <w:tc>
          <w:tcPr>
            <w:tcW w:w="2715" w:type="dxa"/>
            <w:shd w:val="clear" w:color="auto" w:fill="C6EFCE"/>
            <w:noWrap/>
            <w:vAlign w:val="center"/>
          </w:tcPr>
          <w:p w14:paraId="0CD29887" w14:textId="409126C9" w:rsidR="003B6BD9" w:rsidRDefault="009E25E8">
            <w:pPr>
              <w:pStyle w:val="P68B1DB1-Normal18"/>
              <w:spacing w:before="0" w:after="0" w:line="276" w:lineRule="auto"/>
              <w:rPr>
                <w:rFonts w:eastAsia="Times New Roman"/>
                <w:noProof/>
              </w:rPr>
            </w:pPr>
            <w:r>
              <w:rPr>
                <w:noProof/>
              </w:rPr>
              <w:t xml:space="preserve">B: Développement durable de l’offre d’hébergement touristique slovène afin d’accroître la valeur ajoutée du tourisme </w:t>
            </w:r>
          </w:p>
        </w:tc>
        <w:tc>
          <w:tcPr>
            <w:tcW w:w="1651" w:type="dxa"/>
            <w:shd w:val="clear" w:color="auto" w:fill="C6EFCE"/>
            <w:noWrap/>
            <w:vAlign w:val="center"/>
          </w:tcPr>
          <w:p w14:paraId="063217FD" w14:textId="1B89B3FB"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4ACEE714" w14:textId="6BB51098" w:rsidR="003B6BD9" w:rsidRDefault="009E25E8">
            <w:pPr>
              <w:pStyle w:val="P68B1DB1-Normal18"/>
              <w:spacing w:before="0" w:after="0" w:line="276" w:lineRule="auto"/>
              <w:rPr>
                <w:rFonts w:eastAsia="Times New Roman"/>
                <w:noProof/>
              </w:rPr>
            </w:pPr>
            <w:r>
              <w:rPr>
                <w:noProof/>
              </w:rPr>
              <w:t xml:space="preserve">Octroi de subventions pour l’amélioration de l’efficacité énergétique des hébergements touristiques </w:t>
            </w:r>
          </w:p>
        </w:tc>
      </w:tr>
      <w:tr w:rsidR="003B6BD9" w14:paraId="0A27F6A5" w14:textId="77777777">
        <w:trPr>
          <w:trHeight w:val="302"/>
        </w:trPr>
        <w:tc>
          <w:tcPr>
            <w:tcW w:w="1247" w:type="dxa"/>
            <w:shd w:val="clear" w:color="auto" w:fill="C6EFCE"/>
            <w:noWrap/>
            <w:vAlign w:val="center"/>
          </w:tcPr>
          <w:p w14:paraId="1F0A1CDD" w14:textId="45E5D268" w:rsidR="003B6BD9" w:rsidRDefault="009E25E8">
            <w:pPr>
              <w:pStyle w:val="P68B1DB1-Normal18"/>
              <w:spacing w:before="0" w:after="0" w:line="276" w:lineRule="auto"/>
              <w:jc w:val="center"/>
              <w:rPr>
                <w:rFonts w:eastAsia="Times New Roman"/>
                <w:noProof/>
              </w:rPr>
            </w:pPr>
            <w:r>
              <w:rPr>
                <w:noProof/>
              </w:rPr>
              <w:t>154</w:t>
            </w:r>
          </w:p>
        </w:tc>
        <w:tc>
          <w:tcPr>
            <w:tcW w:w="2715" w:type="dxa"/>
            <w:shd w:val="clear" w:color="auto" w:fill="C6EFCE"/>
            <w:noWrap/>
            <w:vAlign w:val="center"/>
          </w:tcPr>
          <w:p w14:paraId="62020ED8" w14:textId="6DFE2B51" w:rsidR="003B6BD9" w:rsidRDefault="009E25E8">
            <w:pPr>
              <w:pStyle w:val="P68B1DB1-Normal18"/>
              <w:spacing w:before="0" w:after="0" w:line="276" w:lineRule="auto"/>
              <w:rPr>
                <w:rFonts w:eastAsia="Times New Roman"/>
                <w:noProof/>
              </w:rPr>
            </w:pPr>
            <w:r>
              <w:rPr>
                <w:noProof/>
              </w:rPr>
              <w:t xml:space="preserve">D: Restauration et revitalisation durables du patrimoine culturel et des infrastructures culturelles publiques </w:t>
            </w:r>
          </w:p>
        </w:tc>
        <w:tc>
          <w:tcPr>
            <w:tcW w:w="1651" w:type="dxa"/>
            <w:shd w:val="clear" w:color="auto" w:fill="C6EFCE"/>
            <w:noWrap/>
            <w:vAlign w:val="center"/>
          </w:tcPr>
          <w:p w14:paraId="04005608" w14:textId="4AD0C254"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1BF1110E" w14:textId="161CDD18" w:rsidR="003B6BD9" w:rsidRDefault="009E25E8">
            <w:pPr>
              <w:pStyle w:val="P68B1DB1-Normal18"/>
              <w:spacing w:before="0" w:after="0" w:line="276" w:lineRule="auto"/>
              <w:rPr>
                <w:rFonts w:eastAsia="Times New Roman"/>
                <w:noProof/>
              </w:rPr>
            </w:pPr>
            <w:r>
              <w:rPr>
                <w:noProof/>
              </w:rPr>
              <w:t>Octroi de subventions pour la rénovation de sites du patrimoine culturel</w:t>
            </w:r>
          </w:p>
        </w:tc>
      </w:tr>
      <w:tr w:rsidR="003B6BD9" w14:paraId="243D7EFA" w14:textId="77777777">
        <w:trPr>
          <w:trHeight w:val="302"/>
        </w:trPr>
        <w:tc>
          <w:tcPr>
            <w:tcW w:w="1247" w:type="dxa"/>
            <w:shd w:val="clear" w:color="auto" w:fill="C6EFCE"/>
            <w:noWrap/>
            <w:vAlign w:val="center"/>
          </w:tcPr>
          <w:p w14:paraId="4C26215C" w14:textId="77777777" w:rsidR="003B6BD9" w:rsidRDefault="003B6BD9">
            <w:pPr>
              <w:spacing w:before="0" w:after="0" w:line="276" w:lineRule="auto"/>
              <w:rPr>
                <w:rFonts w:eastAsia="Times New Roman"/>
                <w:noProof/>
                <w:color w:val="006100"/>
                <w:sz w:val="22"/>
              </w:rPr>
            </w:pPr>
          </w:p>
        </w:tc>
        <w:tc>
          <w:tcPr>
            <w:tcW w:w="2715" w:type="dxa"/>
            <w:shd w:val="clear" w:color="auto" w:fill="C6EFCE"/>
            <w:noWrap/>
            <w:vAlign w:val="center"/>
          </w:tcPr>
          <w:p w14:paraId="6DDA9E16" w14:textId="77777777" w:rsidR="003B6BD9" w:rsidRDefault="003B6BD9">
            <w:pPr>
              <w:spacing w:before="0" w:after="0" w:line="276" w:lineRule="auto"/>
              <w:rPr>
                <w:rFonts w:eastAsia="Times New Roman"/>
                <w:noProof/>
                <w:color w:val="006100"/>
                <w:sz w:val="22"/>
              </w:rPr>
            </w:pPr>
          </w:p>
        </w:tc>
        <w:tc>
          <w:tcPr>
            <w:tcW w:w="1651" w:type="dxa"/>
            <w:shd w:val="clear" w:color="auto" w:fill="C6EFCE"/>
            <w:noWrap/>
            <w:vAlign w:val="center"/>
          </w:tcPr>
          <w:p w14:paraId="76EF9FC2" w14:textId="3227D927" w:rsidR="003B6BD9" w:rsidRDefault="009E25E8">
            <w:pPr>
              <w:pStyle w:val="P68B1DB1-Normal20"/>
              <w:spacing w:before="0" w:after="0" w:line="276" w:lineRule="auto"/>
              <w:rPr>
                <w:rFonts w:eastAsia="Times New Roman"/>
                <w:noProof/>
              </w:rPr>
            </w:pPr>
            <w:r>
              <w:rPr>
                <w:noProof/>
              </w:rPr>
              <w:t>Montant de l’acompte</w:t>
            </w:r>
          </w:p>
        </w:tc>
        <w:tc>
          <w:tcPr>
            <w:tcW w:w="4139" w:type="dxa"/>
            <w:shd w:val="clear" w:color="auto" w:fill="C6EFCE"/>
            <w:noWrap/>
            <w:vAlign w:val="center"/>
          </w:tcPr>
          <w:p w14:paraId="61D0D9B9" w14:textId="11FF8245" w:rsidR="003B6BD9" w:rsidRDefault="009E25E8">
            <w:pPr>
              <w:pStyle w:val="P68B1DB1-Normal20"/>
              <w:spacing w:before="0" w:after="0" w:line="276" w:lineRule="auto"/>
              <w:rPr>
                <w:rFonts w:eastAsia="Times New Roman"/>
                <w:noProof/>
              </w:rPr>
            </w:pPr>
            <w:r>
              <w:rPr>
                <w:noProof/>
              </w:rPr>
              <w:t>156 822 253 EUR</w:t>
            </w:r>
          </w:p>
        </w:tc>
      </w:tr>
    </w:tbl>
    <w:p w14:paraId="67540586" w14:textId="77777777" w:rsidR="003B6BD9" w:rsidRDefault="003B6BD9">
      <w:pPr>
        <w:spacing w:before="0" w:after="200" w:line="276" w:lineRule="auto"/>
        <w:rPr>
          <w:rFonts w:ascii="Calibri" w:hAnsi="Calibri"/>
          <w:noProof/>
          <w:sz w:val="22"/>
        </w:rPr>
      </w:pPr>
    </w:p>
    <w:p w14:paraId="1D64C524" w14:textId="556DFCC9" w:rsidR="003B6BD9" w:rsidRDefault="009E25E8">
      <w:pPr>
        <w:numPr>
          <w:ilvl w:val="1"/>
          <w:numId w:val="18"/>
        </w:numPr>
        <w:spacing w:before="0" w:after="200" w:line="240" w:lineRule="auto"/>
        <w:jc w:val="both"/>
        <w:rPr>
          <w:noProof/>
        </w:rPr>
      </w:pPr>
      <w:r>
        <w:rPr>
          <w:noProof/>
        </w:rPr>
        <w:t xml:space="preserve">Quatrième tranche (aide non remboursable):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3B6BD9" w14:paraId="72BBCF52" w14:textId="77777777">
        <w:trPr>
          <w:trHeight w:val="567"/>
          <w:tblHeader/>
        </w:trPr>
        <w:tc>
          <w:tcPr>
            <w:tcW w:w="1247" w:type="dxa"/>
            <w:vMerge w:val="restart"/>
            <w:shd w:val="clear" w:color="auto" w:fill="BDD7EE"/>
            <w:vAlign w:val="center"/>
            <w:hideMark/>
          </w:tcPr>
          <w:p w14:paraId="1D7B6DEF" w14:textId="5FCF13E6" w:rsidR="003B6BD9" w:rsidRDefault="009E25E8">
            <w:pPr>
              <w:pStyle w:val="P68B1DB1-Normal17"/>
              <w:spacing w:before="0" w:after="0" w:line="276" w:lineRule="auto"/>
              <w:jc w:val="center"/>
              <w:rPr>
                <w:rFonts w:eastAsia="Times New Roman"/>
                <w:noProof/>
              </w:rPr>
            </w:pPr>
            <w:r>
              <w:rPr>
                <w:noProof/>
              </w:rPr>
              <w:t>Et suivants Non.</w:t>
            </w:r>
          </w:p>
        </w:tc>
        <w:tc>
          <w:tcPr>
            <w:tcW w:w="2715" w:type="dxa"/>
            <w:vMerge w:val="restart"/>
            <w:shd w:val="clear" w:color="auto" w:fill="BDD7EE"/>
            <w:vAlign w:val="center"/>
            <w:hideMark/>
          </w:tcPr>
          <w:p w14:paraId="23353E45" w14:textId="77777777" w:rsidR="003B6BD9" w:rsidRDefault="009E25E8">
            <w:pPr>
              <w:pStyle w:val="P68B1DB1-Normal17"/>
              <w:spacing w:before="0" w:after="0" w:line="276" w:lineRule="auto"/>
              <w:jc w:val="center"/>
              <w:rPr>
                <w:rFonts w:eastAsia="Times New Roman"/>
                <w:noProof/>
              </w:rPr>
            </w:pPr>
            <w:r>
              <w:rPr>
                <w:noProof/>
              </w:rPr>
              <w:t>Mesure connexe (réforme ou investissement)</w:t>
            </w:r>
          </w:p>
        </w:tc>
        <w:tc>
          <w:tcPr>
            <w:tcW w:w="1651" w:type="dxa"/>
            <w:vMerge w:val="restart"/>
            <w:shd w:val="clear" w:color="auto" w:fill="BDD7EE"/>
            <w:vAlign w:val="center"/>
            <w:hideMark/>
          </w:tcPr>
          <w:p w14:paraId="4CA2ABBE" w14:textId="77777777" w:rsidR="003B6BD9" w:rsidRDefault="009E25E8">
            <w:pPr>
              <w:pStyle w:val="P68B1DB1-Normal17"/>
              <w:spacing w:before="0" w:after="0" w:line="276" w:lineRule="auto"/>
              <w:jc w:val="center"/>
              <w:rPr>
                <w:rFonts w:eastAsia="Times New Roman"/>
                <w:noProof/>
              </w:rPr>
            </w:pPr>
            <w:r>
              <w:rPr>
                <w:noProof/>
              </w:rPr>
              <w:t>Étape/Objectif</w:t>
            </w:r>
          </w:p>
        </w:tc>
        <w:tc>
          <w:tcPr>
            <w:tcW w:w="4139" w:type="dxa"/>
            <w:vMerge w:val="restart"/>
            <w:shd w:val="clear" w:color="auto" w:fill="BDD7EE"/>
            <w:vAlign w:val="center"/>
            <w:hideMark/>
          </w:tcPr>
          <w:p w14:paraId="17A3673A" w14:textId="77777777" w:rsidR="003B6BD9" w:rsidRDefault="009E25E8">
            <w:pPr>
              <w:pStyle w:val="P68B1DB1-Normal17"/>
              <w:spacing w:before="0" w:after="0" w:line="276" w:lineRule="auto"/>
              <w:jc w:val="center"/>
              <w:rPr>
                <w:rFonts w:eastAsia="Times New Roman"/>
                <w:noProof/>
              </w:rPr>
            </w:pPr>
            <w:r>
              <w:rPr>
                <w:noProof/>
              </w:rPr>
              <w:t>Nom</w:t>
            </w:r>
          </w:p>
        </w:tc>
      </w:tr>
      <w:tr w:rsidR="003B6BD9" w14:paraId="48E77119" w14:textId="77777777">
        <w:trPr>
          <w:trHeight w:val="309"/>
          <w:tblHeader/>
        </w:trPr>
        <w:tc>
          <w:tcPr>
            <w:tcW w:w="1247" w:type="dxa"/>
            <w:vMerge/>
            <w:vAlign w:val="center"/>
            <w:hideMark/>
          </w:tcPr>
          <w:p w14:paraId="2A0D5FEC" w14:textId="77777777" w:rsidR="003B6BD9" w:rsidRDefault="003B6BD9">
            <w:pPr>
              <w:spacing w:before="0" w:after="0" w:line="276" w:lineRule="auto"/>
              <w:rPr>
                <w:rFonts w:eastAsia="Times New Roman"/>
                <w:b/>
                <w:noProof/>
                <w:sz w:val="22"/>
                <w:szCs w:val="24"/>
              </w:rPr>
            </w:pPr>
          </w:p>
        </w:tc>
        <w:tc>
          <w:tcPr>
            <w:tcW w:w="2715" w:type="dxa"/>
            <w:vMerge/>
            <w:vAlign w:val="center"/>
            <w:hideMark/>
          </w:tcPr>
          <w:p w14:paraId="5E25A032" w14:textId="77777777" w:rsidR="003B6BD9" w:rsidRDefault="003B6BD9">
            <w:pPr>
              <w:spacing w:before="0" w:after="0" w:line="276" w:lineRule="auto"/>
              <w:rPr>
                <w:rFonts w:eastAsia="Times New Roman"/>
                <w:b/>
                <w:noProof/>
                <w:sz w:val="22"/>
                <w:szCs w:val="24"/>
              </w:rPr>
            </w:pPr>
          </w:p>
        </w:tc>
        <w:tc>
          <w:tcPr>
            <w:tcW w:w="1651" w:type="dxa"/>
            <w:vMerge/>
            <w:vAlign w:val="center"/>
            <w:hideMark/>
          </w:tcPr>
          <w:p w14:paraId="647F9898" w14:textId="77777777" w:rsidR="003B6BD9" w:rsidRDefault="003B6BD9">
            <w:pPr>
              <w:spacing w:before="0" w:after="0" w:line="276" w:lineRule="auto"/>
              <w:rPr>
                <w:rFonts w:eastAsia="Times New Roman"/>
                <w:b/>
                <w:noProof/>
                <w:sz w:val="22"/>
                <w:szCs w:val="24"/>
              </w:rPr>
            </w:pPr>
          </w:p>
        </w:tc>
        <w:tc>
          <w:tcPr>
            <w:tcW w:w="4139" w:type="dxa"/>
            <w:vMerge/>
            <w:vAlign w:val="center"/>
            <w:hideMark/>
          </w:tcPr>
          <w:p w14:paraId="0E0DF7C8" w14:textId="77777777" w:rsidR="003B6BD9" w:rsidRDefault="003B6BD9">
            <w:pPr>
              <w:spacing w:before="0" w:after="0" w:line="276" w:lineRule="auto"/>
              <w:rPr>
                <w:rFonts w:eastAsia="Times New Roman"/>
                <w:b/>
                <w:noProof/>
                <w:sz w:val="22"/>
                <w:szCs w:val="24"/>
              </w:rPr>
            </w:pPr>
          </w:p>
        </w:tc>
      </w:tr>
      <w:tr w:rsidR="003B6BD9" w14:paraId="001CFDD3" w14:textId="77777777">
        <w:trPr>
          <w:trHeight w:val="302"/>
        </w:trPr>
        <w:tc>
          <w:tcPr>
            <w:tcW w:w="1247" w:type="dxa"/>
            <w:shd w:val="clear" w:color="auto" w:fill="C6EFCE"/>
            <w:noWrap/>
            <w:vAlign w:val="center"/>
          </w:tcPr>
          <w:p w14:paraId="71EAA3D2" w14:textId="2D6518CF" w:rsidR="003B6BD9" w:rsidRDefault="009E25E8">
            <w:pPr>
              <w:pStyle w:val="P68B1DB1-Normal18"/>
              <w:spacing w:before="0" w:after="0" w:line="276" w:lineRule="auto"/>
              <w:jc w:val="center"/>
              <w:rPr>
                <w:rFonts w:eastAsia="Times New Roman"/>
                <w:noProof/>
              </w:rPr>
            </w:pPr>
            <w:r>
              <w:rPr>
                <w:noProof/>
              </w:rPr>
              <w:t>19</w:t>
            </w:r>
          </w:p>
        </w:tc>
        <w:tc>
          <w:tcPr>
            <w:tcW w:w="2715" w:type="dxa"/>
            <w:shd w:val="clear" w:color="auto" w:fill="C6EFCE"/>
            <w:noWrap/>
            <w:vAlign w:val="center"/>
          </w:tcPr>
          <w:p w14:paraId="519BA407" w14:textId="6801A4D6" w:rsidR="003B6BD9" w:rsidRDefault="009E25E8">
            <w:pPr>
              <w:pStyle w:val="P68B1DB1-Normal18"/>
              <w:spacing w:before="0" w:after="0" w:line="276" w:lineRule="auto"/>
              <w:rPr>
                <w:rFonts w:eastAsia="Times New Roman"/>
                <w:noProof/>
              </w:rPr>
            </w:pPr>
            <w:r>
              <w:rPr>
                <w:noProof/>
              </w:rPr>
              <w:t>A: Réforme de la planification et du financement de la rénovation énergétique des bâtiments dans le secteur public</w:t>
            </w:r>
          </w:p>
        </w:tc>
        <w:tc>
          <w:tcPr>
            <w:tcW w:w="1651" w:type="dxa"/>
            <w:shd w:val="clear" w:color="auto" w:fill="C6EFCE"/>
            <w:noWrap/>
            <w:vAlign w:val="center"/>
          </w:tcPr>
          <w:p w14:paraId="5AF07A61" w14:textId="221D8534"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5693D346" w14:textId="618BDF19" w:rsidR="003B6BD9" w:rsidRDefault="009E25E8">
            <w:pPr>
              <w:pStyle w:val="P68B1DB1-Normal18"/>
              <w:spacing w:before="0" w:after="0" w:line="276" w:lineRule="auto"/>
              <w:rPr>
                <w:rFonts w:eastAsia="Times New Roman"/>
                <w:noProof/>
              </w:rPr>
            </w:pPr>
            <w:r>
              <w:rPr>
                <w:noProof/>
              </w:rPr>
              <w:t>Entrée en vigueur d’une interdiction de l’utilisation de combustibles fossiles pour le chauffage des bâtiments neufs</w:t>
            </w:r>
          </w:p>
        </w:tc>
      </w:tr>
      <w:tr w:rsidR="003B6BD9" w14:paraId="36FFD381" w14:textId="77777777">
        <w:trPr>
          <w:trHeight w:val="302"/>
        </w:trPr>
        <w:tc>
          <w:tcPr>
            <w:tcW w:w="1247" w:type="dxa"/>
            <w:shd w:val="clear" w:color="auto" w:fill="C6EFCE"/>
            <w:noWrap/>
            <w:vAlign w:val="center"/>
          </w:tcPr>
          <w:p w14:paraId="24D169D5" w14:textId="1A7580CA" w:rsidR="003B6BD9" w:rsidRDefault="009E25E8">
            <w:pPr>
              <w:pStyle w:val="P68B1DB1-Normal18"/>
              <w:spacing w:before="0" w:after="0" w:line="276" w:lineRule="auto"/>
              <w:jc w:val="center"/>
              <w:rPr>
                <w:rFonts w:eastAsia="Times New Roman"/>
                <w:noProof/>
              </w:rPr>
            </w:pPr>
            <w:r>
              <w:rPr>
                <w:noProof/>
              </w:rPr>
              <w:t>129</w:t>
            </w:r>
          </w:p>
        </w:tc>
        <w:tc>
          <w:tcPr>
            <w:tcW w:w="2715" w:type="dxa"/>
            <w:shd w:val="clear" w:color="auto" w:fill="C6EFCE"/>
            <w:noWrap/>
            <w:vAlign w:val="center"/>
          </w:tcPr>
          <w:p w14:paraId="10D5DA43" w14:textId="4B5D36CD" w:rsidR="003B6BD9" w:rsidRDefault="009E25E8">
            <w:pPr>
              <w:pStyle w:val="P68B1DB1-Normal18"/>
              <w:spacing w:before="0" w:after="0" w:line="276" w:lineRule="auto"/>
              <w:rPr>
                <w:rFonts w:eastAsia="Times New Roman"/>
                <w:noProof/>
              </w:rPr>
            </w:pPr>
            <w:r>
              <w:rPr>
                <w:noProof/>
              </w:rPr>
              <w:t>C: Soutien à la décarbonation, à la productivité et à la compétitivité des entreprises</w:t>
            </w:r>
          </w:p>
        </w:tc>
        <w:tc>
          <w:tcPr>
            <w:tcW w:w="1651" w:type="dxa"/>
            <w:shd w:val="clear" w:color="auto" w:fill="C6EFCE"/>
            <w:noWrap/>
            <w:vAlign w:val="center"/>
          </w:tcPr>
          <w:p w14:paraId="7722F38F" w14:textId="520C3D80"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12E6B022" w14:textId="07B91D60" w:rsidR="003B6BD9" w:rsidRDefault="009E25E8">
            <w:pPr>
              <w:pStyle w:val="P68B1DB1-Normal18"/>
              <w:spacing w:before="0" w:after="0" w:line="276" w:lineRule="auto"/>
              <w:rPr>
                <w:rFonts w:eastAsia="Times New Roman"/>
                <w:noProof/>
              </w:rPr>
            </w:pPr>
            <w:r>
              <w:rPr>
                <w:noProof/>
              </w:rPr>
              <w:t>Octroi de subventions pour des projets visant à promouvoir les investissements</w:t>
            </w:r>
          </w:p>
        </w:tc>
      </w:tr>
      <w:tr w:rsidR="003B6BD9" w14:paraId="725F1EB4" w14:textId="77777777">
        <w:trPr>
          <w:trHeight w:val="302"/>
        </w:trPr>
        <w:tc>
          <w:tcPr>
            <w:tcW w:w="1247" w:type="dxa"/>
            <w:shd w:val="clear" w:color="auto" w:fill="C6EFCE"/>
            <w:noWrap/>
            <w:vAlign w:val="center"/>
          </w:tcPr>
          <w:p w14:paraId="0F61DCD3" w14:textId="28DA72B7" w:rsidR="003B6BD9" w:rsidRDefault="009E25E8">
            <w:pPr>
              <w:pStyle w:val="P68B1DB1-Normal18"/>
              <w:spacing w:before="0" w:after="0" w:line="276" w:lineRule="auto"/>
              <w:jc w:val="center"/>
              <w:rPr>
                <w:rFonts w:eastAsia="Times New Roman"/>
                <w:noProof/>
              </w:rPr>
            </w:pPr>
            <w:r>
              <w:rPr>
                <w:noProof/>
              </w:rPr>
              <w:t>137</w:t>
            </w:r>
          </w:p>
        </w:tc>
        <w:tc>
          <w:tcPr>
            <w:tcW w:w="2715" w:type="dxa"/>
            <w:shd w:val="clear" w:color="auto" w:fill="C6EFCE"/>
            <w:noWrap/>
            <w:vAlign w:val="center"/>
          </w:tcPr>
          <w:p w14:paraId="38613FC7" w14:textId="444C00F4" w:rsidR="003B6BD9" w:rsidRDefault="009E25E8">
            <w:pPr>
              <w:pStyle w:val="P68B1DB1-Normal18"/>
              <w:spacing w:before="0" w:after="0" w:line="276" w:lineRule="auto"/>
              <w:rPr>
                <w:rFonts w:eastAsia="Times New Roman"/>
                <w:noProof/>
              </w:rPr>
            </w:pPr>
            <w:r>
              <w:rPr>
                <w:noProof/>
              </w:rPr>
              <w:t>A: Mesures structurelles visant à renforcer la résilience du marché du travail</w:t>
            </w:r>
          </w:p>
        </w:tc>
        <w:tc>
          <w:tcPr>
            <w:tcW w:w="1651" w:type="dxa"/>
            <w:shd w:val="clear" w:color="auto" w:fill="C6EFCE"/>
            <w:noWrap/>
            <w:vAlign w:val="center"/>
          </w:tcPr>
          <w:p w14:paraId="05D886D2" w14:textId="32CD6E9A"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5EB8CB61" w14:textId="77877D83" w:rsidR="003B6BD9" w:rsidRDefault="009E25E8">
            <w:pPr>
              <w:pStyle w:val="P68B1DB1-Normal18"/>
              <w:spacing w:before="0" w:after="0" w:line="276" w:lineRule="auto"/>
              <w:rPr>
                <w:rFonts w:eastAsia="Times New Roman"/>
                <w:noProof/>
              </w:rPr>
            </w:pPr>
            <w:r>
              <w:rPr>
                <w:noProof/>
              </w:rPr>
              <w:t>Projets de modifications de la législation sur les pensions pour consultation</w:t>
            </w:r>
          </w:p>
        </w:tc>
      </w:tr>
      <w:tr w:rsidR="003B6BD9" w14:paraId="235FBEEF" w14:textId="77777777">
        <w:trPr>
          <w:trHeight w:val="302"/>
        </w:trPr>
        <w:tc>
          <w:tcPr>
            <w:tcW w:w="1247" w:type="dxa"/>
            <w:shd w:val="clear" w:color="auto" w:fill="C6EFCE"/>
            <w:noWrap/>
            <w:vAlign w:val="center"/>
          </w:tcPr>
          <w:p w14:paraId="4629D0C2" w14:textId="5F6FAC32" w:rsidR="003B6BD9" w:rsidRDefault="009E25E8">
            <w:pPr>
              <w:pStyle w:val="P68B1DB1-Normal18"/>
              <w:spacing w:before="0" w:after="0" w:line="276" w:lineRule="auto"/>
              <w:jc w:val="center"/>
              <w:rPr>
                <w:rFonts w:eastAsia="Times New Roman"/>
                <w:noProof/>
              </w:rPr>
            </w:pPr>
            <w:r>
              <w:rPr>
                <w:noProof/>
              </w:rPr>
              <w:t>164</w:t>
            </w:r>
          </w:p>
        </w:tc>
        <w:tc>
          <w:tcPr>
            <w:tcW w:w="2715" w:type="dxa"/>
            <w:shd w:val="clear" w:color="auto" w:fill="C6EFCE"/>
            <w:noWrap/>
            <w:vAlign w:val="center"/>
          </w:tcPr>
          <w:p w14:paraId="4D3A7592" w14:textId="414DFF69" w:rsidR="003B6BD9" w:rsidRDefault="009E25E8">
            <w:pPr>
              <w:pStyle w:val="P68B1DB1-Normal18"/>
              <w:spacing w:before="0" w:after="0" w:line="276" w:lineRule="auto"/>
              <w:rPr>
                <w:rFonts w:eastAsia="Times New Roman"/>
                <w:noProof/>
              </w:rPr>
            </w:pPr>
            <w:r>
              <w:rPr>
                <w:noProof/>
              </w:rPr>
              <w:t>H: Écologisation des infrastructures éducatives en Slovénie</w:t>
            </w:r>
          </w:p>
        </w:tc>
        <w:tc>
          <w:tcPr>
            <w:tcW w:w="1651" w:type="dxa"/>
            <w:shd w:val="clear" w:color="auto" w:fill="C6EFCE"/>
            <w:noWrap/>
            <w:vAlign w:val="center"/>
          </w:tcPr>
          <w:p w14:paraId="56BD4CBC" w14:textId="684C3CBA"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3735BB50" w14:textId="4FC2A6C0" w:rsidR="003B6BD9" w:rsidRDefault="009E25E8">
            <w:pPr>
              <w:pStyle w:val="P68B1DB1-Normal18"/>
              <w:spacing w:before="0" w:after="0" w:line="276" w:lineRule="auto"/>
              <w:rPr>
                <w:rFonts w:eastAsia="Times New Roman"/>
                <w:noProof/>
              </w:rPr>
            </w:pPr>
            <w:r>
              <w:rPr>
                <w:noProof/>
              </w:rPr>
              <w:t>Achèvement de la sélection des projets d’investissement dans l’écologisation des infrastructures éducatives</w:t>
            </w:r>
          </w:p>
        </w:tc>
      </w:tr>
      <w:tr w:rsidR="003B6BD9" w14:paraId="349FB4C7" w14:textId="77777777">
        <w:trPr>
          <w:trHeight w:val="302"/>
        </w:trPr>
        <w:tc>
          <w:tcPr>
            <w:tcW w:w="1247" w:type="dxa"/>
            <w:shd w:val="clear" w:color="auto" w:fill="C6EFCE"/>
            <w:noWrap/>
            <w:vAlign w:val="center"/>
          </w:tcPr>
          <w:p w14:paraId="0DB8A77C" w14:textId="5A2DF293" w:rsidR="003B6BD9" w:rsidRDefault="009E25E8">
            <w:pPr>
              <w:pStyle w:val="P68B1DB1-Normal18"/>
              <w:spacing w:before="0" w:after="0" w:line="276" w:lineRule="auto"/>
              <w:jc w:val="center"/>
              <w:rPr>
                <w:rFonts w:eastAsia="Times New Roman"/>
                <w:noProof/>
              </w:rPr>
            </w:pPr>
            <w:r>
              <w:rPr>
                <w:noProof/>
              </w:rPr>
              <w:t>179</w:t>
            </w:r>
          </w:p>
        </w:tc>
        <w:tc>
          <w:tcPr>
            <w:tcW w:w="2715" w:type="dxa"/>
            <w:shd w:val="clear" w:color="auto" w:fill="C6EFCE"/>
            <w:noWrap/>
            <w:vAlign w:val="center"/>
          </w:tcPr>
          <w:p w14:paraId="7FFDF072" w14:textId="23134F6C" w:rsidR="003B6BD9" w:rsidRDefault="009E25E8">
            <w:pPr>
              <w:pStyle w:val="P68B1DB1-Normal18"/>
              <w:spacing w:before="0" w:after="0" w:line="276" w:lineRule="auto"/>
              <w:rPr>
                <w:rFonts w:eastAsia="Times New Roman"/>
                <w:noProof/>
              </w:rPr>
            </w:pPr>
            <w:r>
              <w:rPr>
                <w:noProof/>
              </w:rPr>
              <w:t>C: Créer des conditions systémiques propices à la croissance des investissements</w:t>
            </w:r>
          </w:p>
        </w:tc>
        <w:tc>
          <w:tcPr>
            <w:tcW w:w="1651" w:type="dxa"/>
            <w:shd w:val="clear" w:color="auto" w:fill="C6EFCE"/>
            <w:noWrap/>
            <w:vAlign w:val="center"/>
          </w:tcPr>
          <w:p w14:paraId="4BFE52A7" w14:textId="36DAAF30"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76B5B9A4" w14:textId="56A2B51E" w:rsidR="003B6BD9" w:rsidRDefault="009E25E8">
            <w:pPr>
              <w:pStyle w:val="P68B1DB1-Normal18"/>
              <w:spacing w:before="0" w:after="0" w:line="256" w:lineRule="auto"/>
              <w:rPr>
                <w:rFonts w:eastAsia="Times New Roman"/>
                <w:noProof/>
              </w:rPr>
            </w:pPr>
            <w:r>
              <w:rPr>
                <w:noProof/>
              </w:rPr>
              <w:t>L’Académie des marchés publics est opérationnelle</w:t>
            </w:r>
          </w:p>
        </w:tc>
      </w:tr>
      <w:tr w:rsidR="003B6BD9" w14:paraId="78DFB289" w14:textId="77777777">
        <w:trPr>
          <w:trHeight w:val="302"/>
        </w:trPr>
        <w:tc>
          <w:tcPr>
            <w:tcW w:w="1247" w:type="dxa"/>
            <w:shd w:val="clear" w:color="auto" w:fill="C6EFCE"/>
            <w:noWrap/>
            <w:vAlign w:val="center"/>
          </w:tcPr>
          <w:p w14:paraId="500AF773" w14:textId="77777777" w:rsidR="003B6BD9" w:rsidRDefault="003B6BD9">
            <w:pPr>
              <w:spacing w:before="0" w:after="0" w:line="276" w:lineRule="auto"/>
              <w:rPr>
                <w:rFonts w:eastAsia="Times New Roman"/>
                <w:noProof/>
                <w:color w:val="006100"/>
                <w:sz w:val="22"/>
              </w:rPr>
            </w:pPr>
          </w:p>
        </w:tc>
        <w:tc>
          <w:tcPr>
            <w:tcW w:w="2715" w:type="dxa"/>
            <w:shd w:val="clear" w:color="auto" w:fill="C6EFCE"/>
            <w:noWrap/>
            <w:vAlign w:val="center"/>
          </w:tcPr>
          <w:p w14:paraId="4FC3D20A" w14:textId="77777777" w:rsidR="003B6BD9" w:rsidRDefault="003B6BD9">
            <w:pPr>
              <w:spacing w:before="0" w:after="0" w:line="276" w:lineRule="auto"/>
              <w:rPr>
                <w:rFonts w:eastAsia="Times New Roman"/>
                <w:noProof/>
                <w:color w:val="006100"/>
                <w:sz w:val="22"/>
              </w:rPr>
            </w:pPr>
          </w:p>
        </w:tc>
        <w:tc>
          <w:tcPr>
            <w:tcW w:w="1651" w:type="dxa"/>
            <w:shd w:val="clear" w:color="auto" w:fill="C6EFCE"/>
            <w:noWrap/>
            <w:vAlign w:val="center"/>
          </w:tcPr>
          <w:p w14:paraId="265DAC9D" w14:textId="6847159A" w:rsidR="003B6BD9" w:rsidRDefault="009E25E8">
            <w:pPr>
              <w:pStyle w:val="P68B1DB1-Normal20"/>
              <w:spacing w:before="0" w:after="0" w:line="276" w:lineRule="auto"/>
              <w:rPr>
                <w:rFonts w:eastAsia="Times New Roman"/>
                <w:noProof/>
              </w:rPr>
            </w:pPr>
            <w:r>
              <w:rPr>
                <w:noProof/>
              </w:rPr>
              <w:t>Montant de l’acompte</w:t>
            </w:r>
          </w:p>
        </w:tc>
        <w:tc>
          <w:tcPr>
            <w:tcW w:w="4139" w:type="dxa"/>
            <w:shd w:val="clear" w:color="auto" w:fill="C6EFCE"/>
            <w:noWrap/>
            <w:vAlign w:val="center"/>
          </w:tcPr>
          <w:p w14:paraId="72B3DAD9" w14:textId="16DFA11B" w:rsidR="003B6BD9" w:rsidRDefault="009E25E8">
            <w:pPr>
              <w:pStyle w:val="P68B1DB1-Normal20"/>
              <w:spacing w:before="0" w:after="0" w:line="276" w:lineRule="auto"/>
              <w:rPr>
                <w:rFonts w:eastAsia="Times New Roman"/>
                <w:noProof/>
              </w:rPr>
            </w:pPr>
            <w:r>
              <w:rPr>
                <w:noProof/>
              </w:rPr>
              <w:t>163 730 733 EUR</w:t>
            </w:r>
          </w:p>
        </w:tc>
      </w:tr>
    </w:tbl>
    <w:p w14:paraId="6B13FF09" w14:textId="77777777" w:rsidR="003B6BD9" w:rsidRDefault="003B6BD9">
      <w:pPr>
        <w:spacing w:before="0" w:after="200" w:line="240" w:lineRule="auto"/>
        <w:jc w:val="both"/>
        <w:rPr>
          <w:noProof/>
        </w:rPr>
      </w:pPr>
    </w:p>
    <w:p w14:paraId="57E9408C" w14:textId="1D23377A" w:rsidR="003B6BD9" w:rsidRDefault="009E25E8">
      <w:pPr>
        <w:numPr>
          <w:ilvl w:val="1"/>
          <w:numId w:val="18"/>
        </w:numPr>
        <w:spacing w:before="0" w:after="200" w:line="240" w:lineRule="auto"/>
        <w:jc w:val="both"/>
        <w:rPr>
          <w:noProof/>
        </w:rPr>
      </w:pPr>
      <w:r>
        <w:rPr>
          <w:noProof/>
        </w:rPr>
        <w:t>Cinquième tranche (aide non remboursable):</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49"/>
        <w:gridCol w:w="4141"/>
      </w:tblGrid>
      <w:tr w:rsidR="003B6BD9" w14:paraId="321304C4" w14:textId="77777777">
        <w:trPr>
          <w:trHeight w:val="567"/>
          <w:tblHeader/>
        </w:trPr>
        <w:tc>
          <w:tcPr>
            <w:tcW w:w="1247" w:type="dxa"/>
            <w:vMerge w:val="restart"/>
            <w:shd w:val="clear" w:color="auto" w:fill="BDD7EE"/>
            <w:vAlign w:val="center"/>
            <w:hideMark/>
          </w:tcPr>
          <w:p w14:paraId="61DCE708" w14:textId="284A2226" w:rsidR="003B6BD9" w:rsidRDefault="009E25E8">
            <w:pPr>
              <w:pStyle w:val="P68B1DB1-Normal17"/>
              <w:spacing w:before="0" w:after="0" w:line="276" w:lineRule="auto"/>
              <w:jc w:val="center"/>
              <w:rPr>
                <w:rFonts w:eastAsia="Times New Roman"/>
                <w:noProof/>
              </w:rPr>
            </w:pPr>
            <w:r>
              <w:rPr>
                <w:noProof/>
              </w:rPr>
              <w:t>Et suivants Non.</w:t>
            </w:r>
          </w:p>
        </w:tc>
        <w:tc>
          <w:tcPr>
            <w:tcW w:w="2715" w:type="dxa"/>
            <w:vMerge w:val="restart"/>
            <w:shd w:val="clear" w:color="auto" w:fill="BDD7EE"/>
            <w:vAlign w:val="center"/>
            <w:hideMark/>
          </w:tcPr>
          <w:p w14:paraId="72981929" w14:textId="77777777" w:rsidR="003B6BD9" w:rsidRDefault="009E25E8">
            <w:pPr>
              <w:pStyle w:val="P68B1DB1-Normal17"/>
              <w:spacing w:before="0" w:after="0" w:line="276" w:lineRule="auto"/>
              <w:jc w:val="center"/>
              <w:rPr>
                <w:rFonts w:eastAsia="Times New Roman"/>
                <w:noProof/>
              </w:rPr>
            </w:pPr>
            <w:r>
              <w:rPr>
                <w:noProof/>
              </w:rPr>
              <w:t>Mesure connexe (réforme ou investissement)</w:t>
            </w:r>
          </w:p>
        </w:tc>
        <w:tc>
          <w:tcPr>
            <w:tcW w:w="1649" w:type="dxa"/>
            <w:vMerge w:val="restart"/>
            <w:shd w:val="clear" w:color="auto" w:fill="BDD7EE"/>
            <w:vAlign w:val="center"/>
            <w:hideMark/>
          </w:tcPr>
          <w:p w14:paraId="500A3261" w14:textId="77777777" w:rsidR="003B6BD9" w:rsidRDefault="009E25E8">
            <w:pPr>
              <w:pStyle w:val="P68B1DB1-Normal17"/>
              <w:spacing w:before="0" w:after="0" w:line="276" w:lineRule="auto"/>
              <w:jc w:val="center"/>
              <w:rPr>
                <w:rFonts w:eastAsia="Times New Roman"/>
                <w:noProof/>
              </w:rPr>
            </w:pPr>
            <w:r>
              <w:rPr>
                <w:noProof/>
              </w:rPr>
              <w:t>Étape/Objectif</w:t>
            </w:r>
          </w:p>
        </w:tc>
        <w:tc>
          <w:tcPr>
            <w:tcW w:w="4141" w:type="dxa"/>
            <w:vMerge w:val="restart"/>
            <w:shd w:val="clear" w:color="auto" w:fill="BDD7EE"/>
            <w:vAlign w:val="center"/>
            <w:hideMark/>
          </w:tcPr>
          <w:p w14:paraId="323B9013" w14:textId="77777777" w:rsidR="003B6BD9" w:rsidRDefault="009E25E8">
            <w:pPr>
              <w:pStyle w:val="P68B1DB1-Normal17"/>
              <w:spacing w:before="0" w:after="0" w:line="276" w:lineRule="auto"/>
              <w:jc w:val="center"/>
              <w:rPr>
                <w:rFonts w:eastAsia="Times New Roman"/>
                <w:noProof/>
              </w:rPr>
            </w:pPr>
            <w:r>
              <w:rPr>
                <w:noProof/>
              </w:rPr>
              <w:t>Nom</w:t>
            </w:r>
          </w:p>
        </w:tc>
      </w:tr>
      <w:tr w:rsidR="003B6BD9" w14:paraId="6CE61560" w14:textId="77777777">
        <w:trPr>
          <w:trHeight w:val="309"/>
          <w:tblHeader/>
        </w:trPr>
        <w:tc>
          <w:tcPr>
            <w:tcW w:w="1247" w:type="dxa"/>
            <w:vMerge/>
            <w:vAlign w:val="center"/>
            <w:hideMark/>
          </w:tcPr>
          <w:p w14:paraId="1EAAA135" w14:textId="77777777" w:rsidR="003B6BD9" w:rsidRDefault="003B6BD9">
            <w:pPr>
              <w:spacing w:before="0" w:after="0" w:line="276" w:lineRule="auto"/>
              <w:rPr>
                <w:rFonts w:eastAsia="Times New Roman"/>
                <w:b/>
                <w:noProof/>
                <w:sz w:val="22"/>
                <w:szCs w:val="24"/>
              </w:rPr>
            </w:pPr>
          </w:p>
        </w:tc>
        <w:tc>
          <w:tcPr>
            <w:tcW w:w="2715" w:type="dxa"/>
            <w:vMerge/>
            <w:vAlign w:val="center"/>
            <w:hideMark/>
          </w:tcPr>
          <w:p w14:paraId="12F7251B" w14:textId="77777777" w:rsidR="003B6BD9" w:rsidRDefault="003B6BD9">
            <w:pPr>
              <w:spacing w:before="0" w:after="0" w:line="276" w:lineRule="auto"/>
              <w:rPr>
                <w:rFonts w:eastAsia="Times New Roman"/>
                <w:b/>
                <w:noProof/>
                <w:sz w:val="22"/>
                <w:szCs w:val="24"/>
              </w:rPr>
            </w:pPr>
          </w:p>
        </w:tc>
        <w:tc>
          <w:tcPr>
            <w:tcW w:w="1649" w:type="dxa"/>
            <w:vMerge/>
            <w:vAlign w:val="center"/>
            <w:hideMark/>
          </w:tcPr>
          <w:p w14:paraId="2E572ECA" w14:textId="77777777" w:rsidR="003B6BD9" w:rsidRDefault="003B6BD9">
            <w:pPr>
              <w:spacing w:before="0" w:after="0" w:line="276" w:lineRule="auto"/>
              <w:rPr>
                <w:rFonts w:eastAsia="Times New Roman"/>
                <w:b/>
                <w:noProof/>
                <w:sz w:val="22"/>
                <w:szCs w:val="24"/>
              </w:rPr>
            </w:pPr>
          </w:p>
        </w:tc>
        <w:tc>
          <w:tcPr>
            <w:tcW w:w="4141" w:type="dxa"/>
            <w:vMerge/>
            <w:vAlign w:val="center"/>
            <w:hideMark/>
          </w:tcPr>
          <w:p w14:paraId="61AAB4C7" w14:textId="77777777" w:rsidR="003B6BD9" w:rsidRDefault="003B6BD9">
            <w:pPr>
              <w:spacing w:before="0" w:after="0" w:line="276" w:lineRule="auto"/>
              <w:rPr>
                <w:rFonts w:eastAsia="Times New Roman"/>
                <w:b/>
                <w:noProof/>
                <w:sz w:val="22"/>
                <w:szCs w:val="24"/>
              </w:rPr>
            </w:pPr>
          </w:p>
        </w:tc>
      </w:tr>
      <w:tr w:rsidR="003B6BD9" w14:paraId="07442803" w14:textId="77777777">
        <w:trPr>
          <w:trHeight w:val="302"/>
        </w:trPr>
        <w:tc>
          <w:tcPr>
            <w:tcW w:w="1247" w:type="dxa"/>
            <w:shd w:val="clear" w:color="auto" w:fill="C6EFCE"/>
            <w:noWrap/>
            <w:vAlign w:val="center"/>
          </w:tcPr>
          <w:p w14:paraId="51CEF0F8" w14:textId="7C81518F" w:rsidR="003B6BD9" w:rsidRDefault="009E25E8">
            <w:pPr>
              <w:pStyle w:val="P68B1DB1-Normal18"/>
              <w:spacing w:before="0" w:after="0" w:line="276" w:lineRule="auto"/>
              <w:jc w:val="center"/>
              <w:rPr>
                <w:rFonts w:eastAsia="Times New Roman"/>
                <w:noProof/>
              </w:rPr>
            </w:pPr>
            <w:r>
              <w:rPr>
                <w:noProof/>
              </w:rPr>
              <w:t>8</w:t>
            </w:r>
          </w:p>
        </w:tc>
        <w:tc>
          <w:tcPr>
            <w:tcW w:w="2715" w:type="dxa"/>
            <w:shd w:val="clear" w:color="auto" w:fill="C6EFCE"/>
            <w:noWrap/>
            <w:vAlign w:val="center"/>
          </w:tcPr>
          <w:p w14:paraId="0AFF45EB" w14:textId="07DD29D4" w:rsidR="003B6BD9" w:rsidRDefault="009E25E8">
            <w:pPr>
              <w:pStyle w:val="P68B1DB1-Normal18"/>
              <w:spacing w:before="0" w:after="0" w:line="276" w:lineRule="auto"/>
              <w:rPr>
                <w:rFonts w:eastAsia="Times New Roman"/>
                <w:noProof/>
              </w:rPr>
            </w:pPr>
            <w:r>
              <w:rPr>
                <w:noProof/>
              </w:rPr>
              <w:t xml:space="preserve">C: Efficacité énergétique dans l’économie </w:t>
            </w:r>
          </w:p>
        </w:tc>
        <w:tc>
          <w:tcPr>
            <w:tcW w:w="1649" w:type="dxa"/>
            <w:shd w:val="clear" w:color="auto" w:fill="C6EFCE"/>
            <w:noWrap/>
            <w:vAlign w:val="center"/>
          </w:tcPr>
          <w:p w14:paraId="7E2A0A74" w14:textId="3DFDB23A" w:rsidR="003B6BD9" w:rsidRDefault="009E25E8">
            <w:pPr>
              <w:pStyle w:val="P68B1DB1-Normal18"/>
              <w:spacing w:before="0" w:after="0" w:line="276" w:lineRule="auto"/>
              <w:rPr>
                <w:rFonts w:eastAsia="Times New Roman"/>
                <w:noProof/>
              </w:rPr>
            </w:pPr>
            <w:r>
              <w:rPr>
                <w:noProof/>
              </w:rPr>
              <w:t>Jalon</w:t>
            </w:r>
          </w:p>
        </w:tc>
        <w:tc>
          <w:tcPr>
            <w:tcW w:w="4141" w:type="dxa"/>
            <w:shd w:val="clear" w:color="auto" w:fill="C6EFCE"/>
            <w:noWrap/>
            <w:vAlign w:val="center"/>
          </w:tcPr>
          <w:p w14:paraId="2DE00C49" w14:textId="6B4C820C" w:rsidR="003B6BD9" w:rsidRDefault="009E25E8">
            <w:pPr>
              <w:pStyle w:val="P68B1DB1-Normal18"/>
              <w:spacing w:before="0" w:after="0" w:line="240" w:lineRule="auto"/>
              <w:rPr>
                <w:rFonts w:eastAsia="Times New Roman"/>
                <w:noProof/>
              </w:rPr>
            </w:pPr>
            <w:r>
              <w:rPr>
                <w:noProof/>
              </w:rPr>
              <w:t>Plan d’action pour la gestion de l’efficacité énergétique dans l’économie</w:t>
            </w:r>
          </w:p>
        </w:tc>
      </w:tr>
      <w:tr w:rsidR="003B6BD9" w14:paraId="3970439D" w14:textId="77777777">
        <w:trPr>
          <w:trHeight w:val="302"/>
        </w:trPr>
        <w:tc>
          <w:tcPr>
            <w:tcW w:w="1247" w:type="dxa"/>
            <w:shd w:val="clear" w:color="auto" w:fill="C6EFCE"/>
            <w:noWrap/>
            <w:vAlign w:val="center"/>
          </w:tcPr>
          <w:p w14:paraId="123CEA80" w14:textId="2FBFC746" w:rsidR="003B6BD9" w:rsidRDefault="009E25E8">
            <w:pPr>
              <w:pStyle w:val="P68B1DB1-Normal18"/>
              <w:spacing w:before="0" w:after="0" w:line="276" w:lineRule="auto"/>
              <w:jc w:val="center"/>
              <w:rPr>
                <w:rFonts w:eastAsia="Times New Roman"/>
                <w:noProof/>
              </w:rPr>
            </w:pPr>
            <w:r>
              <w:rPr>
                <w:noProof/>
              </w:rPr>
              <w:t>29</w:t>
            </w:r>
          </w:p>
        </w:tc>
        <w:tc>
          <w:tcPr>
            <w:tcW w:w="2715" w:type="dxa"/>
            <w:shd w:val="clear" w:color="auto" w:fill="C6EFCE"/>
            <w:noWrap/>
            <w:vAlign w:val="center"/>
          </w:tcPr>
          <w:p w14:paraId="45FCFD27" w14:textId="08A2CB63" w:rsidR="003B6BD9" w:rsidRDefault="009E25E8">
            <w:pPr>
              <w:pStyle w:val="P68B1DB1-Normal18"/>
              <w:spacing w:before="0" w:after="0" w:line="276" w:lineRule="auto"/>
              <w:rPr>
                <w:rFonts w:eastAsia="Times New Roman"/>
                <w:noProof/>
              </w:rPr>
            </w:pPr>
            <w:r>
              <w:rPr>
                <w:noProof/>
              </w:rPr>
              <w:t>A: Renforcer la préparation et la réaction en cas de catastrophes liées au climat</w:t>
            </w:r>
          </w:p>
        </w:tc>
        <w:tc>
          <w:tcPr>
            <w:tcW w:w="1649" w:type="dxa"/>
            <w:shd w:val="clear" w:color="auto" w:fill="C6EFCE"/>
            <w:noWrap/>
            <w:vAlign w:val="center"/>
          </w:tcPr>
          <w:p w14:paraId="1588940B" w14:textId="6861534E" w:rsidR="003B6BD9" w:rsidRDefault="009E25E8">
            <w:pPr>
              <w:pStyle w:val="P68B1DB1-Normal18"/>
              <w:spacing w:before="0" w:after="0" w:line="276" w:lineRule="auto"/>
              <w:rPr>
                <w:rFonts w:eastAsia="Times New Roman"/>
                <w:noProof/>
              </w:rPr>
            </w:pPr>
            <w:r>
              <w:rPr>
                <w:noProof/>
              </w:rPr>
              <w:t>Jalon</w:t>
            </w:r>
          </w:p>
        </w:tc>
        <w:tc>
          <w:tcPr>
            <w:tcW w:w="4141" w:type="dxa"/>
            <w:shd w:val="clear" w:color="auto" w:fill="C6EFCE"/>
            <w:noWrap/>
            <w:vAlign w:val="center"/>
          </w:tcPr>
          <w:p w14:paraId="33A4196D" w14:textId="78C5B5F8" w:rsidR="003B6BD9" w:rsidRDefault="009E25E8">
            <w:pPr>
              <w:pStyle w:val="P68B1DB1-Normal18"/>
              <w:spacing w:before="0" w:after="0" w:line="276" w:lineRule="auto"/>
              <w:rPr>
                <w:rFonts w:eastAsia="Times New Roman"/>
                <w:noProof/>
              </w:rPr>
            </w:pPr>
            <w:r>
              <w:rPr>
                <w:noProof/>
              </w:rPr>
              <w:t xml:space="preserve">Entrée en vigueur d’une résolution sur le programme national de protection contre les catastrophes naturelles et autres </w:t>
            </w:r>
          </w:p>
        </w:tc>
      </w:tr>
      <w:tr w:rsidR="003B6BD9" w14:paraId="5448B0B8" w14:textId="77777777">
        <w:trPr>
          <w:trHeight w:val="302"/>
        </w:trPr>
        <w:tc>
          <w:tcPr>
            <w:tcW w:w="1247" w:type="dxa"/>
            <w:shd w:val="clear" w:color="auto" w:fill="C6EFCE"/>
            <w:noWrap/>
            <w:vAlign w:val="center"/>
          </w:tcPr>
          <w:p w14:paraId="22DEAFC9" w14:textId="7125FA58" w:rsidR="003B6BD9" w:rsidRDefault="009E25E8">
            <w:pPr>
              <w:pStyle w:val="P68B1DB1-Normal18"/>
              <w:spacing w:before="0" w:after="0" w:line="276" w:lineRule="auto"/>
              <w:jc w:val="center"/>
              <w:rPr>
                <w:rFonts w:eastAsia="Times New Roman"/>
                <w:noProof/>
              </w:rPr>
            </w:pPr>
            <w:r>
              <w:rPr>
                <w:noProof/>
              </w:rPr>
              <w:t>55</w:t>
            </w:r>
          </w:p>
        </w:tc>
        <w:tc>
          <w:tcPr>
            <w:tcW w:w="2715" w:type="dxa"/>
            <w:shd w:val="clear" w:color="auto" w:fill="C6EFCE"/>
            <w:noWrap/>
            <w:vAlign w:val="center"/>
          </w:tcPr>
          <w:p w14:paraId="540A6C03" w14:textId="1BA5A633" w:rsidR="003B6BD9" w:rsidRDefault="009E25E8">
            <w:pPr>
              <w:pStyle w:val="P68B1DB1-Normal18"/>
              <w:spacing w:before="0" w:after="0" w:line="276" w:lineRule="auto"/>
              <w:rPr>
                <w:rFonts w:eastAsia="Times New Roman"/>
                <w:noProof/>
              </w:rPr>
            </w:pPr>
            <w:r>
              <w:rPr>
                <w:noProof/>
              </w:rPr>
              <w:t>A: Réforme de l’organisation des transports publics de voyageurs</w:t>
            </w:r>
          </w:p>
        </w:tc>
        <w:tc>
          <w:tcPr>
            <w:tcW w:w="1649" w:type="dxa"/>
            <w:shd w:val="clear" w:color="auto" w:fill="C6EFCE"/>
            <w:noWrap/>
            <w:vAlign w:val="center"/>
          </w:tcPr>
          <w:p w14:paraId="2EDE9F8F" w14:textId="3CE5BAD5" w:rsidR="003B6BD9" w:rsidRDefault="009E25E8">
            <w:pPr>
              <w:pStyle w:val="P68B1DB1-Normal18"/>
              <w:spacing w:before="0" w:after="0" w:line="276" w:lineRule="auto"/>
              <w:rPr>
                <w:rFonts w:eastAsia="Times New Roman"/>
                <w:noProof/>
              </w:rPr>
            </w:pPr>
            <w:r>
              <w:rPr>
                <w:noProof/>
              </w:rPr>
              <w:t>Jalon</w:t>
            </w:r>
          </w:p>
        </w:tc>
        <w:tc>
          <w:tcPr>
            <w:tcW w:w="4141" w:type="dxa"/>
            <w:shd w:val="clear" w:color="auto" w:fill="C6EFCE"/>
            <w:noWrap/>
            <w:vAlign w:val="center"/>
          </w:tcPr>
          <w:p w14:paraId="2D9BFD14" w14:textId="543D6215" w:rsidR="003B6BD9" w:rsidRDefault="009E25E8">
            <w:pPr>
              <w:pStyle w:val="P68B1DB1-Normal18"/>
              <w:spacing w:before="0" w:after="0" w:line="276" w:lineRule="auto"/>
              <w:rPr>
                <w:rFonts w:eastAsia="Times New Roman"/>
                <w:noProof/>
              </w:rPr>
            </w:pPr>
            <w:r>
              <w:rPr>
                <w:noProof/>
              </w:rPr>
              <w:t>Une société de gestion des transports publics de voyageurs est opérationnelle</w:t>
            </w:r>
          </w:p>
        </w:tc>
      </w:tr>
      <w:tr w:rsidR="003B6BD9" w14:paraId="7FF0D9B4" w14:textId="77777777">
        <w:trPr>
          <w:trHeight w:val="302"/>
        </w:trPr>
        <w:tc>
          <w:tcPr>
            <w:tcW w:w="1247" w:type="dxa"/>
            <w:shd w:val="clear" w:color="auto" w:fill="C6EFCE"/>
            <w:noWrap/>
            <w:vAlign w:val="center"/>
          </w:tcPr>
          <w:p w14:paraId="03B0757D" w14:textId="59020910" w:rsidR="003B6BD9" w:rsidRDefault="009E25E8">
            <w:pPr>
              <w:pStyle w:val="P68B1DB1-Normal18"/>
              <w:spacing w:before="0" w:after="0" w:line="276" w:lineRule="auto"/>
              <w:jc w:val="center"/>
              <w:rPr>
                <w:rFonts w:eastAsia="Times New Roman"/>
                <w:noProof/>
              </w:rPr>
            </w:pPr>
            <w:r>
              <w:rPr>
                <w:noProof/>
              </w:rPr>
              <w:t>70</w:t>
            </w:r>
          </w:p>
        </w:tc>
        <w:tc>
          <w:tcPr>
            <w:tcW w:w="2715" w:type="dxa"/>
            <w:shd w:val="clear" w:color="auto" w:fill="C6EFCE"/>
            <w:noWrap/>
            <w:vAlign w:val="center"/>
          </w:tcPr>
          <w:p w14:paraId="2397EC71" w14:textId="48E51D18" w:rsidR="003B6BD9" w:rsidRDefault="009E25E8">
            <w:pPr>
              <w:pStyle w:val="P68B1DB1-Normal18"/>
              <w:spacing w:before="0" w:after="0" w:line="276" w:lineRule="auto"/>
              <w:rPr>
                <w:rFonts w:eastAsia="Times New Roman"/>
                <w:noProof/>
              </w:rPr>
            </w:pPr>
            <w:r>
              <w:rPr>
                <w:noProof/>
              </w:rPr>
              <w:t>A: Établir un cadre pour une transformation durable et écologique</w:t>
            </w:r>
          </w:p>
        </w:tc>
        <w:tc>
          <w:tcPr>
            <w:tcW w:w="1649" w:type="dxa"/>
            <w:shd w:val="clear" w:color="auto" w:fill="C6EFCE"/>
            <w:noWrap/>
            <w:vAlign w:val="center"/>
          </w:tcPr>
          <w:p w14:paraId="16566F17" w14:textId="189A07EC" w:rsidR="003B6BD9" w:rsidRDefault="009E25E8">
            <w:pPr>
              <w:pStyle w:val="P68B1DB1-Normal18"/>
              <w:spacing w:before="0" w:after="0" w:line="276" w:lineRule="auto"/>
              <w:rPr>
                <w:rFonts w:eastAsia="Times New Roman"/>
                <w:noProof/>
              </w:rPr>
            </w:pPr>
            <w:r>
              <w:rPr>
                <w:noProof/>
              </w:rPr>
              <w:t>Jalon</w:t>
            </w:r>
          </w:p>
        </w:tc>
        <w:tc>
          <w:tcPr>
            <w:tcW w:w="4141" w:type="dxa"/>
            <w:shd w:val="clear" w:color="auto" w:fill="C6EFCE"/>
            <w:noWrap/>
            <w:vAlign w:val="center"/>
          </w:tcPr>
          <w:p w14:paraId="0CF07623" w14:textId="682EB948" w:rsidR="003B6BD9" w:rsidRDefault="009E25E8">
            <w:pPr>
              <w:pStyle w:val="P68B1DB1-Normal18"/>
              <w:spacing w:before="0" w:after="0" w:line="276" w:lineRule="auto"/>
              <w:rPr>
                <w:rFonts w:eastAsia="Times New Roman"/>
                <w:noProof/>
              </w:rPr>
            </w:pPr>
            <w:r>
              <w:rPr>
                <w:noProof/>
              </w:rPr>
              <w:t>Élaboration et application d’une méthode de planification budgétaire verte</w:t>
            </w:r>
          </w:p>
        </w:tc>
      </w:tr>
      <w:tr w:rsidR="003B6BD9" w14:paraId="126A6525" w14:textId="77777777">
        <w:trPr>
          <w:trHeight w:val="302"/>
        </w:trPr>
        <w:tc>
          <w:tcPr>
            <w:tcW w:w="1247" w:type="dxa"/>
            <w:shd w:val="clear" w:color="auto" w:fill="C6EFCE"/>
            <w:noWrap/>
            <w:vAlign w:val="center"/>
          </w:tcPr>
          <w:p w14:paraId="48AA013A" w14:textId="3E2297D5" w:rsidR="003B6BD9" w:rsidRDefault="009E25E8">
            <w:pPr>
              <w:pStyle w:val="P68B1DB1-Normal18"/>
              <w:spacing w:before="0" w:after="0" w:line="276" w:lineRule="auto"/>
              <w:jc w:val="center"/>
              <w:rPr>
                <w:rFonts w:eastAsia="Times New Roman"/>
                <w:noProof/>
              </w:rPr>
            </w:pPr>
            <w:r>
              <w:rPr>
                <w:noProof/>
              </w:rPr>
              <w:t>107</w:t>
            </w:r>
          </w:p>
        </w:tc>
        <w:tc>
          <w:tcPr>
            <w:tcW w:w="2715" w:type="dxa"/>
            <w:shd w:val="clear" w:color="auto" w:fill="C6EFCE"/>
            <w:noWrap/>
            <w:vAlign w:val="center"/>
          </w:tcPr>
          <w:p w14:paraId="3CFDE5A9" w14:textId="09E04639" w:rsidR="003B6BD9" w:rsidRDefault="009E25E8">
            <w:pPr>
              <w:pStyle w:val="P68B1DB1-Normal18"/>
              <w:spacing w:before="0" w:after="0" w:line="276" w:lineRule="auto"/>
              <w:rPr>
                <w:rFonts w:eastAsia="Times New Roman"/>
                <w:noProof/>
              </w:rPr>
            </w:pPr>
            <w:r>
              <w:rPr>
                <w:noProof/>
              </w:rPr>
              <w:t>J: Numérisation de l’éducation et des sciences</w:t>
            </w:r>
          </w:p>
        </w:tc>
        <w:tc>
          <w:tcPr>
            <w:tcW w:w="1649" w:type="dxa"/>
            <w:shd w:val="clear" w:color="auto" w:fill="C6EFCE"/>
            <w:noWrap/>
            <w:vAlign w:val="center"/>
          </w:tcPr>
          <w:p w14:paraId="73606B31" w14:textId="4CB5880F" w:rsidR="003B6BD9" w:rsidRDefault="009E25E8">
            <w:pPr>
              <w:pStyle w:val="P68B1DB1-Normal18"/>
              <w:spacing w:before="0" w:after="0" w:line="276" w:lineRule="auto"/>
              <w:rPr>
                <w:rFonts w:eastAsia="Times New Roman"/>
                <w:noProof/>
              </w:rPr>
            </w:pPr>
            <w:r>
              <w:rPr>
                <w:noProof/>
              </w:rPr>
              <w:t>Cible</w:t>
            </w:r>
          </w:p>
        </w:tc>
        <w:tc>
          <w:tcPr>
            <w:tcW w:w="4141" w:type="dxa"/>
            <w:shd w:val="clear" w:color="auto" w:fill="C6EFCE"/>
            <w:noWrap/>
            <w:vAlign w:val="center"/>
          </w:tcPr>
          <w:p w14:paraId="54FD3F18" w14:textId="6B318016" w:rsidR="003B6BD9" w:rsidRDefault="009E25E8">
            <w:pPr>
              <w:pStyle w:val="P68B1DB1-Normal18"/>
              <w:spacing w:before="0" w:after="0" w:line="276" w:lineRule="auto"/>
              <w:rPr>
                <w:rFonts w:eastAsia="Times New Roman"/>
                <w:noProof/>
              </w:rPr>
            </w:pPr>
            <w:r>
              <w:rPr>
                <w:noProof/>
              </w:rPr>
              <w:t>Connexions optiques dorsales supplémentaires de 100 Gbps</w:t>
            </w:r>
          </w:p>
        </w:tc>
      </w:tr>
      <w:tr w:rsidR="003B6BD9" w14:paraId="49EA8AEE" w14:textId="77777777">
        <w:trPr>
          <w:trHeight w:val="302"/>
        </w:trPr>
        <w:tc>
          <w:tcPr>
            <w:tcW w:w="1247" w:type="dxa"/>
            <w:shd w:val="clear" w:color="auto" w:fill="C6EFCE"/>
            <w:noWrap/>
            <w:vAlign w:val="center"/>
          </w:tcPr>
          <w:p w14:paraId="16B705B9" w14:textId="1CE0E302" w:rsidR="003B6BD9" w:rsidRDefault="009E25E8">
            <w:pPr>
              <w:pStyle w:val="P68B1DB1-Normal18"/>
              <w:spacing w:before="0" w:after="0" w:line="276" w:lineRule="auto"/>
              <w:jc w:val="center"/>
              <w:rPr>
                <w:rFonts w:eastAsia="Times New Roman"/>
                <w:noProof/>
              </w:rPr>
            </w:pPr>
            <w:r>
              <w:rPr>
                <w:noProof/>
              </w:rPr>
              <w:t>138</w:t>
            </w:r>
          </w:p>
        </w:tc>
        <w:tc>
          <w:tcPr>
            <w:tcW w:w="2715" w:type="dxa"/>
            <w:shd w:val="clear" w:color="auto" w:fill="C6EFCE"/>
            <w:noWrap/>
            <w:vAlign w:val="center"/>
          </w:tcPr>
          <w:p w14:paraId="0663566A" w14:textId="3F82FFFD" w:rsidR="003B6BD9" w:rsidRDefault="009E25E8">
            <w:pPr>
              <w:pStyle w:val="P68B1DB1-Normal18"/>
              <w:spacing w:before="0" w:after="0" w:line="276" w:lineRule="auto"/>
              <w:rPr>
                <w:rFonts w:eastAsia="Times New Roman"/>
                <w:noProof/>
              </w:rPr>
            </w:pPr>
            <w:r>
              <w:rPr>
                <w:noProof/>
              </w:rPr>
              <w:t>A: Mesures structurelles visant à renforcer la résilience du marché du travail</w:t>
            </w:r>
          </w:p>
        </w:tc>
        <w:tc>
          <w:tcPr>
            <w:tcW w:w="1649" w:type="dxa"/>
            <w:shd w:val="clear" w:color="auto" w:fill="C6EFCE"/>
            <w:noWrap/>
            <w:vAlign w:val="center"/>
          </w:tcPr>
          <w:p w14:paraId="2BF6C992" w14:textId="1FA3707E" w:rsidR="003B6BD9" w:rsidRDefault="009E25E8">
            <w:pPr>
              <w:pStyle w:val="P68B1DB1-Normal18"/>
              <w:spacing w:before="0" w:after="0" w:line="276" w:lineRule="auto"/>
              <w:rPr>
                <w:rFonts w:eastAsia="Times New Roman"/>
                <w:noProof/>
              </w:rPr>
            </w:pPr>
            <w:r>
              <w:rPr>
                <w:noProof/>
              </w:rPr>
              <w:t>Jalon</w:t>
            </w:r>
          </w:p>
        </w:tc>
        <w:tc>
          <w:tcPr>
            <w:tcW w:w="4141" w:type="dxa"/>
            <w:shd w:val="clear" w:color="auto" w:fill="C6EFCE"/>
            <w:noWrap/>
            <w:vAlign w:val="center"/>
          </w:tcPr>
          <w:p w14:paraId="359FAE32" w14:textId="23E70A45" w:rsidR="003B6BD9" w:rsidRDefault="009E25E8">
            <w:pPr>
              <w:pStyle w:val="P68B1DB1-Normal18"/>
              <w:spacing w:before="0" w:after="0" w:line="276" w:lineRule="auto"/>
              <w:rPr>
                <w:rFonts w:eastAsia="Times New Roman"/>
                <w:noProof/>
              </w:rPr>
            </w:pPr>
            <w:r>
              <w:rPr>
                <w:noProof/>
              </w:rPr>
              <w:t>Proposition législative de modifications globales de la loi sur l’assurance retraite et invalidité transmise à l’Assemblée nationale</w:t>
            </w:r>
          </w:p>
        </w:tc>
      </w:tr>
      <w:tr w:rsidR="003B6BD9" w14:paraId="391770C4" w14:textId="77777777">
        <w:trPr>
          <w:trHeight w:val="302"/>
        </w:trPr>
        <w:tc>
          <w:tcPr>
            <w:tcW w:w="1247" w:type="dxa"/>
            <w:shd w:val="clear" w:color="auto" w:fill="C6EFCE"/>
            <w:noWrap/>
            <w:vAlign w:val="center"/>
          </w:tcPr>
          <w:p w14:paraId="45E0B356" w14:textId="7A717EC4" w:rsidR="003B6BD9" w:rsidRDefault="009E25E8">
            <w:pPr>
              <w:pStyle w:val="P68B1DB1-Normal18"/>
              <w:spacing w:before="0" w:after="0" w:line="276" w:lineRule="auto"/>
              <w:jc w:val="center"/>
              <w:rPr>
                <w:rFonts w:eastAsia="Times New Roman"/>
                <w:noProof/>
              </w:rPr>
            </w:pPr>
            <w:r>
              <w:rPr>
                <w:noProof/>
              </w:rPr>
              <w:t>182</w:t>
            </w:r>
          </w:p>
        </w:tc>
        <w:tc>
          <w:tcPr>
            <w:tcW w:w="2715" w:type="dxa"/>
            <w:shd w:val="clear" w:color="auto" w:fill="C6EFCE"/>
            <w:noWrap/>
            <w:vAlign w:val="center"/>
          </w:tcPr>
          <w:p w14:paraId="584CD324" w14:textId="48BFCF6B" w:rsidR="003B6BD9" w:rsidRDefault="009E25E8">
            <w:pPr>
              <w:pStyle w:val="P68B1DB1-Normal18"/>
              <w:spacing w:before="0" w:after="0" w:line="276" w:lineRule="auto"/>
              <w:rPr>
                <w:rFonts w:eastAsia="Times New Roman"/>
                <w:noProof/>
              </w:rPr>
            </w:pPr>
            <w:r>
              <w:rPr>
                <w:noProof/>
              </w:rPr>
              <w:t>A: Réforme du système de soins de santé</w:t>
            </w:r>
          </w:p>
        </w:tc>
        <w:tc>
          <w:tcPr>
            <w:tcW w:w="1649" w:type="dxa"/>
            <w:shd w:val="clear" w:color="auto" w:fill="C6EFCE"/>
            <w:noWrap/>
            <w:vAlign w:val="center"/>
          </w:tcPr>
          <w:p w14:paraId="164CF14F" w14:textId="01850EAC" w:rsidR="003B6BD9" w:rsidRDefault="009E25E8">
            <w:pPr>
              <w:pStyle w:val="P68B1DB1-Normal18"/>
              <w:spacing w:before="0" w:after="0" w:line="276" w:lineRule="auto"/>
              <w:rPr>
                <w:rFonts w:eastAsia="Times New Roman"/>
                <w:noProof/>
              </w:rPr>
            </w:pPr>
            <w:r>
              <w:rPr>
                <w:noProof/>
              </w:rPr>
              <w:t>Jalon</w:t>
            </w:r>
          </w:p>
        </w:tc>
        <w:tc>
          <w:tcPr>
            <w:tcW w:w="4141" w:type="dxa"/>
            <w:shd w:val="clear" w:color="auto" w:fill="C6EFCE"/>
            <w:noWrap/>
            <w:vAlign w:val="center"/>
          </w:tcPr>
          <w:p w14:paraId="20D22663" w14:textId="689084F2" w:rsidR="003B6BD9" w:rsidRDefault="009E25E8">
            <w:pPr>
              <w:pStyle w:val="P68B1DB1-Normal18"/>
              <w:spacing w:before="0" w:after="0" w:line="276" w:lineRule="auto"/>
              <w:rPr>
                <w:rFonts w:eastAsia="Times New Roman"/>
                <w:noProof/>
              </w:rPr>
            </w:pPr>
            <w:r>
              <w:rPr>
                <w:noProof/>
              </w:rPr>
              <w:t xml:space="preserve">Mise en place d’un organisme indépendant chargé de surveiller et de contrôler la qualité du système de soins de santé </w:t>
            </w:r>
          </w:p>
        </w:tc>
      </w:tr>
      <w:tr w:rsidR="003B6BD9" w14:paraId="59436F91" w14:textId="77777777">
        <w:trPr>
          <w:trHeight w:val="302"/>
        </w:trPr>
        <w:tc>
          <w:tcPr>
            <w:tcW w:w="1247" w:type="dxa"/>
            <w:shd w:val="clear" w:color="auto" w:fill="C6EFCE"/>
            <w:noWrap/>
            <w:vAlign w:val="center"/>
          </w:tcPr>
          <w:p w14:paraId="0DCDEA46" w14:textId="6F192A7F" w:rsidR="003B6BD9" w:rsidRDefault="009E25E8">
            <w:pPr>
              <w:pStyle w:val="P68B1DB1-Normal18"/>
              <w:spacing w:before="0" w:after="0" w:line="276" w:lineRule="auto"/>
              <w:jc w:val="center"/>
              <w:rPr>
                <w:rFonts w:eastAsia="Times New Roman"/>
                <w:noProof/>
              </w:rPr>
            </w:pPr>
            <w:r>
              <w:rPr>
                <w:noProof/>
              </w:rPr>
              <w:t>190</w:t>
            </w:r>
          </w:p>
        </w:tc>
        <w:tc>
          <w:tcPr>
            <w:tcW w:w="2715" w:type="dxa"/>
            <w:shd w:val="clear" w:color="auto" w:fill="C6EFCE"/>
            <w:noWrap/>
            <w:vAlign w:val="center"/>
          </w:tcPr>
          <w:p w14:paraId="2FA12917" w14:textId="4B61D102" w:rsidR="003B6BD9" w:rsidRDefault="009E25E8">
            <w:pPr>
              <w:pStyle w:val="P68B1DB1-Normal18"/>
              <w:spacing w:before="0" w:after="0" w:line="276" w:lineRule="auto"/>
              <w:rPr>
                <w:rFonts w:eastAsia="Times New Roman"/>
                <w:noProof/>
              </w:rPr>
            </w:pPr>
            <w:r>
              <w:rPr>
                <w:noProof/>
              </w:rPr>
              <w:t>E: Traitement efficace des maladies transmissibles et chroniques</w:t>
            </w:r>
          </w:p>
        </w:tc>
        <w:tc>
          <w:tcPr>
            <w:tcW w:w="1649" w:type="dxa"/>
            <w:shd w:val="clear" w:color="auto" w:fill="C6EFCE"/>
            <w:noWrap/>
            <w:vAlign w:val="center"/>
          </w:tcPr>
          <w:p w14:paraId="54B230E5" w14:textId="363AE7AF" w:rsidR="003B6BD9" w:rsidRDefault="009E25E8">
            <w:pPr>
              <w:pStyle w:val="P68B1DB1-Normal18"/>
              <w:spacing w:before="0" w:after="0" w:line="276" w:lineRule="auto"/>
              <w:rPr>
                <w:rFonts w:eastAsia="Times New Roman"/>
                <w:noProof/>
              </w:rPr>
            </w:pPr>
            <w:r>
              <w:rPr>
                <w:noProof/>
              </w:rPr>
              <w:t>Jalon</w:t>
            </w:r>
          </w:p>
        </w:tc>
        <w:tc>
          <w:tcPr>
            <w:tcW w:w="4141" w:type="dxa"/>
            <w:shd w:val="clear" w:color="auto" w:fill="C6EFCE"/>
            <w:noWrap/>
            <w:vAlign w:val="center"/>
          </w:tcPr>
          <w:p w14:paraId="530A9D5A" w14:textId="0CD6E76A" w:rsidR="003B6BD9" w:rsidRDefault="009E25E8">
            <w:pPr>
              <w:pStyle w:val="P68B1DB1-Normal18"/>
              <w:spacing w:before="0" w:after="0" w:line="276" w:lineRule="auto"/>
              <w:rPr>
                <w:rFonts w:eastAsia="Times New Roman"/>
                <w:noProof/>
              </w:rPr>
            </w:pPr>
            <w:r>
              <w:rPr>
                <w:noProof/>
              </w:rPr>
              <w:t>Attribution d’un marché pour la construction de la clinique infectieuse de Ljubljana</w:t>
            </w:r>
          </w:p>
        </w:tc>
      </w:tr>
      <w:tr w:rsidR="003B6BD9" w14:paraId="387DF0D1" w14:textId="77777777">
        <w:trPr>
          <w:trHeight w:val="302"/>
        </w:trPr>
        <w:tc>
          <w:tcPr>
            <w:tcW w:w="1247" w:type="dxa"/>
            <w:shd w:val="clear" w:color="auto" w:fill="C6EFCE"/>
            <w:noWrap/>
            <w:vAlign w:val="center"/>
          </w:tcPr>
          <w:p w14:paraId="0B1C00C5" w14:textId="33804FBC" w:rsidR="003B6BD9" w:rsidRDefault="009E25E8">
            <w:pPr>
              <w:pStyle w:val="P68B1DB1-Normal18"/>
              <w:spacing w:before="0" w:after="0" w:line="276" w:lineRule="auto"/>
              <w:jc w:val="center"/>
              <w:rPr>
                <w:rFonts w:eastAsia="Times New Roman"/>
                <w:noProof/>
              </w:rPr>
            </w:pPr>
            <w:r>
              <w:rPr>
                <w:noProof/>
              </w:rPr>
              <w:t>197</w:t>
            </w:r>
          </w:p>
        </w:tc>
        <w:tc>
          <w:tcPr>
            <w:tcW w:w="2715" w:type="dxa"/>
            <w:shd w:val="clear" w:color="auto" w:fill="C6EFCE"/>
            <w:noWrap/>
            <w:vAlign w:val="center"/>
          </w:tcPr>
          <w:p w14:paraId="4C56390B" w14:textId="41FCD56C" w:rsidR="003B6BD9" w:rsidRDefault="009E25E8">
            <w:pPr>
              <w:pStyle w:val="P68B1DB1-Normal18"/>
              <w:spacing w:before="0" w:after="0" w:line="276" w:lineRule="auto"/>
              <w:rPr>
                <w:rFonts w:eastAsia="Times New Roman"/>
                <w:noProof/>
              </w:rPr>
            </w:pPr>
            <w:r>
              <w:rPr>
                <w:noProof/>
              </w:rPr>
              <w:t xml:space="preserve">A: Établir un système unique pour les soins de longue durée </w:t>
            </w:r>
          </w:p>
        </w:tc>
        <w:tc>
          <w:tcPr>
            <w:tcW w:w="1649" w:type="dxa"/>
            <w:shd w:val="clear" w:color="auto" w:fill="C6EFCE"/>
            <w:noWrap/>
            <w:vAlign w:val="center"/>
          </w:tcPr>
          <w:p w14:paraId="22D72CAC" w14:textId="1B9462F5" w:rsidR="003B6BD9" w:rsidRDefault="009E25E8">
            <w:pPr>
              <w:pStyle w:val="P68B1DB1-Normal18"/>
              <w:spacing w:before="0" w:after="0" w:line="276" w:lineRule="auto"/>
              <w:rPr>
                <w:rFonts w:eastAsia="Times New Roman"/>
                <w:noProof/>
              </w:rPr>
            </w:pPr>
            <w:r>
              <w:rPr>
                <w:noProof/>
              </w:rPr>
              <w:t>Jalon</w:t>
            </w:r>
          </w:p>
        </w:tc>
        <w:tc>
          <w:tcPr>
            <w:tcW w:w="4141" w:type="dxa"/>
            <w:shd w:val="clear" w:color="auto" w:fill="C6EFCE"/>
            <w:noWrap/>
            <w:vAlign w:val="center"/>
          </w:tcPr>
          <w:p w14:paraId="33D97583" w14:textId="7181C052" w:rsidR="003B6BD9" w:rsidRDefault="009E25E8">
            <w:pPr>
              <w:pStyle w:val="P68B1DB1-Normal18"/>
              <w:spacing w:before="0" w:after="0" w:line="256" w:lineRule="auto"/>
              <w:rPr>
                <w:noProof/>
              </w:rPr>
            </w:pPr>
            <w:r>
              <w:rPr>
                <w:noProof/>
              </w:rPr>
              <w:t>Entrée en vigueur de la loi sur les soins de longue durée, y compris les dispositions relatives à l’assurance obligatoire pour les soins de longue durée</w:t>
            </w:r>
          </w:p>
        </w:tc>
      </w:tr>
      <w:tr w:rsidR="003B6BD9" w14:paraId="5A3BCC36" w14:textId="77777777">
        <w:trPr>
          <w:trHeight w:val="302"/>
        </w:trPr>
        <w:tc>
          <w:tcPr>
            <w:tcW w:w="1247" w:type="dxa"/>
            <w:shd w:val="clear" w:color="auto" w:fill="C6EFCE"/>
            <w:noWrap/>
            <w:vAlign w:val="center"/>
          </w:tcPr>
          <w:p w14:paraId="528C4DAD" w14:textId="5C7FB40A" w:rsidR="003B6BD9" w:rsidRDefault="009E25E8">
            <w:pPr>
              <w:pStyle w:val="P68B1DB1-Normal18"/>
              <w:spacing w:before="0" w:after="0" w:line="276" w:lineRule="auto"/>
              <w:jc w:val="center"/>
              <w:rPr>
                <w:rFonts w:eastAsia="Times New Roman"/>
                <w:noProof/>
              </w:rPr>
            </w:pPr>
            <w:r>
              <w:rPr>
                <w:noProof/>
              </w:rPr>
              <w:t>198</w:t>
            </w:r>
          </w:p>
        </w:tc>
        <w:tc>
          <w:tcPr>
            <w:tcW w:w="2715" w:type="dxa"/>
            <w:shd w:val="clear" w:color="auto" w:fill="C6EFCE"/>
            <w:noWrap/>
            <w:vAlign w:val="center"/>
          </w:tcPr>
          <w:p w14:paraId="6B8CD830" w14:textId="795CA127" w:rsidR="003B6BD9" w:rsidRDefault="009E25E8">
            <w:pPr>
              <w:pStyle w:val="P68B1DB1-Normal18"/>
              <w:spacing w:before="0" w:after="0" w:line="276" w:lineRule="auto"/>
              <w:rPr>
                <w:rFonts w:eastAsia="Times New Roman"/>
                <w:noProof/>
              </w:rPr>
            </w:pPr>
            <w:r>
              <w:rPr>
                <w:noProof/>
              </w:rPr>
              <w:t xml:space="preserve">A: Établir un système unique pour les soins de longue durée </w:t>
            </w:r>
          </w:p>
        </w:tc>
        <w:tc>
          <w:tcPr>
            <w:tcW w:w="1649" w:type="dxa"/>
            <w:shd w:val="clear" w:color="auto" w:fill="C6EFCE"/>
            <w:noWrap/>
            <w:vAlign w:val="center"/>
          </w:tcPr>
          <w:p w14:paraId="154E8A53" w14:textId="719F487B" w:rsidR="003B6BD9" w:rsidRDefault="009E25E8">
            <w:pPr>
              <w:pStyle w:val="P68B1DB1-Normal18"/>
              <w:spacing w:before="0" w:after="0" w:line="276" w:lineRule="auto"/>
              <w:rPr>
                <w:rFonts w:eastAsia="Times New Roman"/>
                <w:noProof/>
              </w:rPr>
            </w:pPr>
            <w:r>
              <w:rPr>
                <w:noProof/>
              </w:rPr>
              <w:t>Jalon</w:t>
            </w:r>
          </w:p>
        </w:tc>
        <w:tc>
          <w:tcPr>
            <w:tcW w:w="4141" w:type="dxa"/>
            <w:shd w:val="clear" w:color="auto" w:fill="C6EFCE"/>
            <w:noWrap/>
            <w:vAlign w:val="center"/>
          </w:tcPr>
          <w:p w14:paraId="011D4063" w14:textId="19BC0007" w:rsidR="003B6BD9" w:rsidRDefault="009E25E8">
            <w:pPr>
              <w:pStyle w:val="P68B1DB1-Normal18"/>
              <w:spacing w:before="0" w:after="0" w:line="256" w:lineRule="auto"/>
              <w:rPr>
                <w:noProof/>
              </w:rPr>
            </w:pPr>
            <w:r>
              <w:rPr>
                <w:noProof/>
              </w:rPr>
              <w:t xml:space="preserve"> Entrée en vigueur des actes d’exécution et des lignes directrices au titre de la loi sur les soins de longue durée</w:t>
            </w:r>
          </w:p>
        </w:tc>
      </w:tr>
      <w:tr w:rsidR="003B6BD9" w14:paraId="3EDAD9DA" w14:textId="77777777">
        <w:trPr>
          <w:trHeight w:val="302"/>
        </w:trPr>
        <w:tc>
          <w:tcPr>
            <w:tcW w:w="1247" w:type="dxa"/>
            <w:shd w:val="clear" w:color="auto" w:fill="C6EFCE"/>
            <w:noWrap/>
            <w:vAlign w:val="center"/>
          </w:tcPr>
          <w:p w14:paraId="032B0175" w14:textId="59AFA8BF" w:rsidR="003B6BD9" w:rsidRDefault="009E25E8">
            <w:pPr>
              <w:pStyle w:val="P68B1DB1-Normal18"/>
              <w:spacing w:before="0" w:after="0" w:line="276" w:lineRule="auto"/>
              <w:jc w:val="center"/>
              <w:rPr>
                <w:rFonts w:eastAsia="Times New Roman"/>
                <w:noProof/>
              </w:rPr>
            </w:pPr>
            <w:r>
              <w:rPr>
                <w:noProof/>
              </w:rPr>
              <w:t>210</w:t>
            </w:r>
          </w:p>
        </w:tc>
        <w:tc>
          <w:tcPr>
            <w:tcW w:w="2715" w:type="dxa"/>
            <w:shd w:val="clear" w:color="auto" w:fill="C6EFCE"/>
            <w:noWrap/>
            <w:vAlign w:val="center"/>
          </w:tcPr>
          <w:p w14:paraId="23E38D85" w14:textId="68AF9D03" w:rsidR="003B6BD9" w:rsidRDefault="009E25E8">
            <w:pPr>
              <w:pStyle w:val="P68B1DB1-Normal18"/>
              <w:spacing w:before="0" w:after="0" w:line="276" w:lineRule="auto"/>
              <w:rPr>
                <w:rFonts w:eastAsia="Times New Roman"/>
                <w:noProof/>
              </w:rPr>
            </w:pPr>
            <w:r>
              <w:rPr>
                <w:noProof/>
              </w:rPr>
              <w:t>A: Réforme de la promotion des sources d’énergie renouvelables en Slovénie (renforcée)</w:t>
            </w:r>
          </w:p>
        </w:tc>
        <w:tc>
          <w:tcPr>
            <w:tcW w:w="1649" w:type="dxa"/>
            <w:shd w:val="clear" w:color="auto" w:fill="C6EFCE"/>
            <w:noWrap/>
            <w:vAlign w:val="center"/>
          </w:tcPr>
          <w:p w14:paraId="6BB8DAA4" w14:textId="34276105" w:rsidR="003B6BD9" w:rsidRDefault="009E25E8">
            <w:pPr>
              <w:pStyle w:val="P68B1DB1-Normal18"/>
              <w:spacing w:before="0" w:after="0" w:line="276" w:lineRule="auto"/>
              <w:rPr>
                <w:rFonts w:eastAsia="Times New Roman"/>
                <w:noProof/>
              </w:rPr>
            </w:pPr>
            <w:r>
              <w:rPr>
                <w:noProof/>
              </w:rPr>
              <w:t>Jalon</w:t>
            </w:r>
          </w:p>
        </w:tc>
        <w:tc>
          <w:tcPr>
            <w:tcW w:w="4141" w:type="dxa"/>
            <w:shd w:val="clear" w:color="auto" w:fill="C6EFCE"/>
            <w:noWrap/>
            <w:vAlign w:val="center"/>
          </w:tcPr>
          <w:p w14:paraId="2DA8C6AE" w14:textId="3CD7688C" w:rsidR="003B6BD9" w:rsidRDefault="009E25E8">
            <w:pPr>
              <w:pStyle w:val="P68B1DB1-Normal18"/>
              <w:spacing w:before="0" w:after="0" w:line="276" w:lineRule="auto"/>
              <w:rPr>
                <w:rFonts w:eastAsia="Times New Roman"/>
                <w:noProof/>
              </w:rPr>
            </w:pPr>
            <w:r>
              <w:rPr>
                <w:noProof/>
              </w:rPr>
              <w:t>Entrée en vigueur de la loi sur le déploiement d’installations de production d’électricité à partir de sources d’énergie renouvelables</w:t>
            </w:r>
          </w:p>
        </w:tc>
      </w:tr>
      <w:tr w:rsidR="003B6BD9" w14:paraId="5E8E876D" w14:textId="77777777">
        <w:trPr>
          <w:trHeight w:val="302"/>
        </w:trPr>
        <w:tc>
          <w:tcPr>
            <w:tcW w:w="1247" w:type="dxa"/>
            <w:shd w:val="clear" w:color="auto" w:fill="C6EFCE"/>
            <w:noWrap/>
            <w:vAlign w:val="center"/>
          </w:tcPr>
          <w:p w14:paraId="6CE45576" w14:textId="77777777" w:rsidR="003B6BD9" w:rsidRDefault="003B6BD9">
            <w:pPr>
              <w:spacing w:before="0" w:after="0" w:line="276" w:lineRule="auto"/>
              <w:rPr>
                <w:rFonts w:eastAsia="Times New Roman"/>
                <w:noProof/>
                <w:color w:val="006100"/>
                <w:sz w:val="22"/>
              </w:rPr>
            </w:pPr>
          </w:p>
        </w:tc>
        <w:tc>
          <w:tcPr>
            <w:tcW w:w="2715" w:type="dxa"/>
            <w:shd w:val="clear" w:color="auto" w:fill="C6EFCE"/>
            <w:noWrap/>
            <w:vAlign w:val="center"/>
          </w:tcPr>
          <w:p w14:paraId="0EAF84D5" w14:textId="77777777" w:rsidR="003B6BD9" w:rsidRDefault="003B6BD9">
            <w:pPr>
              <w:spacing w:before="0" w:after="0" w:line="276" w:lineRule="auto"/>
              <w:rPr>
                <w:rFonts w:eastAsia="Times New Roman"/>
                <w:noProof/>
                <w:color w:val="006100"/>
                <w:sz w:val="22"/>
              </w:rPr>
            </w:pPr>
          </w:p>
        </w:tc>
        <w:tc>
          <w:tcPr>
            <w:tcW w:w="1649" w:type="dxa"/>
            <w:shd w:val="clear" w:color="auto" w:fill="C6EFCE"/>
            <w:noWrap/>
            <w:vAlign w:val="center"/>
          </w:tcPr>
          <w:p w14:paraId="7E87A7AE" w14:textId="566EF28F" w:rsidR="003B6BD9" w:rsidRDefault="009E25E8">
            <w:pPr>
              <w:pStyle w:val="P68B1DB1-Normal20"/>
              <w:spacing w:before="0" w:after="0" w:line="276" w:lineRule="auto"/>
              <w:rPr>
                <w:rFonts w:eastAsia="Times New Roman"/>
                <w:noProof/>
              </w:rPr>
            </w:pPr>
            <w:r>
              <w:rPr>
                <w:noProof/>
              </w:rPr>
              <w:t>Montant de l’acompte</w:t>
            </w:r>
          </w:p>
        </w:tc>
        <w:tc>
          <w:tcPr>
            <w:tcW w:w="4141" w:type="dxa"/>
            <w:shd w:val="clear" w:color="auto" w:fill="C6EFCE"/>
            <w:noWrap/>
            <w:vAlign w:val="center"/>
          </w:tcPr>
          <w:p w14:paraId="3538C947" w14:textId="227099E8" w:rsidR="003B6BD9" w:rsidRDefault="009E25E8">
            <w:pPr>
              <w:pStyle w:val="P68B1DB1-Normal20"/>
              <w:spacing w:before="0" w:after="0" w:line="276" w:lineRule="auto"/>
              <w:rPr>
                <w:rFonts w:eastAsia="Times New Roman"/>
                <w:noProof/>
              </w:rPr>
            </w:pPr>
            <w:r>
              <w:rPr>
                <w:noProof/>
              </w:rPr>
              <w:t>232 175 896 EUR</w:t>
            </w:r>
          </w:p>
        </w:tc>
      </w:tr>
    </w:tbl>
    <w:p w14:paraId="422DA02C" w14:textId="77777777" w:rsidR="003B6BD9" w:rsidRDefault="003B6BD9">
      <w:pPr>
        <w:spacing w:before="0" w:after="200" w:line="240" w:lineRule="auto"/>
        <w:jc w:val="both"/>
        <w:rPr>
          <w:noProof/>
        </w:rPr>
      </w:pPr>
    </w:p>
    <w:p w14:paraId="3C3B6AF9" w14:textId="56B54F60" w:rsidR="003B6BD9" w:rsidRDefault="009E25E8">
      <w:pPr>
        <w:numPr>
          <w:ilvl w:val="1"/>
          <w:numId w:val="18"/>
        </w:numPr>
        <w:spacing w:before="0" w:after="200" w:line="240" w:lineRule="auto"/>
        <w:jc w:val="both"/>
        <w:rPr>
          <w:noProof/>
        </w:rPr>
      </w:pPr>
      <w:r>
        <w:rPr>
          <w:noProof/>
        </w:rPr>
        <w:t xml:space="preserve">Sixième tranche (aide non remboursable):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3B6BD9" w14:paraId="6DFAF60F" w14:textId="77777777">
        <w:trPr>
          <w:trHeight w:val="567"/>
          <w:tblHeader/>
        </w:trPr>
        <w:tc>
          <w:tcPr>
            <w:tcW w:w="1247" w:type="dxa"/>
            <w:vMerge w:val="restart"/>
            <w:shd w:val="clear" w:color="auto" w:fill="BDD7EE"/>
            <w:vAlign w:val="center"/>
            <w:hideMark/>
          </w:tcPr>
          <w:p w14:paraId="753E08F8" w14:textId="005C5906" w:rsidR="003B6BD9" w:rsidRDefault="009E25E8">
            <w:pPr>
              <w:pStyle w:val="P68B1DB1-Normal17"/>
              <w:spacing w:before="0" w:after="0" w:line="276" w:lineRule="auto"/>
              <w:jc w:val="center"/>
              <w:rPr>
                <w:rFonts w:eastAsia="Times New Roman"/>
                <w:noProof/>
              </w:rPr>
            </w:pPr>
            <w:r>
              <w:rPr>
                <w:noProof/>
              </w:rPr>
              <w:t>Et suivants Non.</w:t>
            </w:r>
          </w:p>
        </w:tc>
        <w:tc>
          <w:tcPr>
            <w:tcW w:w="2715" w:type="dxa"/>
            <w:vMerge w:val="restart"/>
            <w:shd w:val="clear" w:color="auto" w:fill="BDD7EE"/>
            <w:vAlign w:val="center"/>
            <w:hideMark/>
          </w:tcPr>
          <w:p w14:paraId="67EB1A16" w14:textId="77777777" w:rsidR="003B6BD9" w:rsidRDefault="009E25E8">
            <w:pPr>
              <w:pStyle w:val="P68B1DB1-Normal17"/>
              <w:spacing w:before="0" w:after="0" w:line="276" w:lineRule="auto"/>
              <w:rPr>
                <w:rFonts w:eastAsia="Times New Roman"/>
                <w:noProof/>
              </w:rPr>
            </w:pPr>
            <w:r>
              <w:rPr>
                <w:noProof/>
              </w:rPr>
              <w:t>Mesure connexe (réforme ou investissement)</w:t>
            </w:r>
          </w:p>
        </w:tc>
        <w:tc>
          <w:tcPr>
            <w:tcW w:w="1651" w:type="dxa"/>
            <w:vMerge w:val="restart"/>
            <w:shd w:val="clear" w:color="auto" w:fill="BDD7EE"/>
            <w:vAlign w:val="center"/>
            <w:hideMark/>
          </w:tcPr>
          <w:p w14:paraId="4154B1E8" w14:textId="77777777" w:rsidR="003B6BD9" w:rsidRDefault="009E25E8">
            <w:pPr>
              <w:pStyle w:val="P68B1DB1-Normal17"/>
              <w:spacing w:before="0" w:after="0" w:line="276" w:lineRule="auto"/>
              <w:rPr>
                <w:rFonts w:eastAsia="Times New Roman"/>
                <w:noProof/>
              </w:rPr>
            </w:pPr>
            <w:r>
              <w:rPr>
                <w:noProof/>
              </w:rPr>
              <w:t>Étape/Objectif</w:t>
            </w:r>
          </w:p>
        </w:tc>
        <w:tc>
          <w:tcPr>
            <w:tcW w:w="4139" w:type="dxa"/>
            <w:vMerge w:val="restart"/>
            <w:shd w:val="clear" w:color="auto" w:fill="BDD7EE"/>
            <w:vAlign w:val="center"/>
            <w:hideMark/>
          </w:tcPr>
          <w:p w14:paraId="6939EB0B" w14:textId="77777777" w:rsidR="003B6BD9" w:rsidRDefault="009E25E8">
            <w:pPr>
              <w:pStyle w:val="P68B1DB1-Normal17"/>
              <w:spacing w:before="0" w:after="0" w:line="276" w:lineRule="auto"/>
              <w:rPr>
                <w:rFonts w:eastAsia="Times New Roman"/>
                <w:noProof/>
              </w:rPr>
            </w:pPr>
            <w:r>
              <w:rPr>
                <w:noProof/>
              </w:rPr>
              <w:t>Nom</w:t>
            </w:r>
          </w:p>
        </w:tc>
      </w:tr>
      <w:tr w:rsidR="003B6BD9" w14:paraId="618A6E1E" w14:textId="77777777">
        <w:trPr>
          <w:trHeight w:val="309"/>
          <w:tblHeader/>
        </w:trPr>
        <w:tc>
          <w:tcPr>
            <w:tcW w:w="1247" w:type="dxa"/>
            <w:vMerge/>
            <w:vAlign w:val="center"/>
            <w:hideMark/>
          </w:tcPr>
          <w:p w14:paraId="4FBEA153" w14:textId="77777777" w:rsidR="003B6BD9" w:rsidRDefault="003B6BD9">
            <w:pPr>
              <w:spacing w:before="0" w:after="0" w:line="276" w:lineRule="auto"/>
              <w:jc w:val="center"/>
              <w:rPr>
                <w:rFonts w:eastAsia="Times New Roman"/>
                <w:b/>
                <w:noProof/>
                <w:sz w:val="22"/>
                <w:szCs w:val="24"/>
              </w:rPr>
            </w:pPr>
          </w:p>
        </w:tc>
        <w:tc>
          <w:tcPr>
            <w:tcW w:w="2715" w:type="dxa"/>
            <w:vMerge/>
            <w:vAlign w:val="center"/>
            <w:hideMark/>
          </w:tcPr>
          <w:p w14:paraId="5F3FBB00" w14:textId="77777777" w:rsidR="003B6BD9" w:rsidRDefault="003B6BD9">
            <w:pPr>
              <w:spacing w:before="0" w:after="0" w:line="276" w:lineRule="auto"/>
              <w:rPr>
                <w:rFonts w:eastAsia="Times New Roman"/>
                <w:b/>
                <w:noProof/>
                <w:sz w:val="22"/>
                <w:szCs w:val="24"/>
              </w:rPr>
            </w:pPr>
          </w:p>
        </w:tc>
        <w:tc>
          <w:tcPr>
            <w:tcW w:w="1651" w:type="dxa"/>
            <w:vMerge/>
            <w:vAlign w:val="center"/>
            <w:hideMark/>
          </w:tcPr>
          <w:p w14:paraId="2AF5E4A4" w14:textId="77777777" w:rsidR="003B6BD9" w:rsidRDefault="003B6BD9">
            <w:pPr>
              <w:spacing w:before="0" w:after="0" w:line="276" w:lineRule="auto"/>
              <w:rPr>
                <w:rFonts w:eastAsia="Times New Roman"/>
                <w:b/>
                <w:noProof/>
                <w:sz w:val="22"/>
                <w:szCs w:val="24"/>
              </w:rPr>
            </w:pPr>
          </w:p>
        </w:tc>
        <w:tc>
          <w:tcPr>
            <w:tcW w:w="4139" w:type="dxa"/>
            <w:vMerge/>
            <w:vAlign w:val="center"/>
            <w:hideMark/>
          </w:tcPr>
          <w:p w14:paraId="365121CC" w14:textId="77777777" w:rsidR="003B6BD9" w:rsidRDefault="003B6BD9">
            <w:pPr>
              <w:spacing w:before="0" w:after="0" w:line="276" w:lineRule="auto"/>
              <w:rPr>
                <w:rFonts w:eastAsia="Times New Roman"/>
                <w:b/>
                <w:noProof/>
                <w:sz w:val="22"/>
                <w:szCs w:val="24"/>
              </w:rPr>
            </w:pPr>
          </w:p>
        </w:tc>
      </w:tr>
      <w:tr w:rsidR="003B6BD9" w14:paraId="5B4B9A83" w14:textId="77777777">
        <w:trPr>
          <w:trHeight w:val="302"/>
        </w:trPr>
        <w:tc>
          <w:tcPr>
            <w:tcW w:w="1247" w:type="dxa"/>
            <w:shd w:val="clear" w:color="auto" w:fill="C6EFCE"/>
            <w:noWrap/>
            <w:vAlign w:val="center"/>
          </w:tcPr>
          <w:p w14:paraId="16AF5B07" w14:textId="389DC29D" w:rsidR="003B6BD9" w:rsidRDefault="009E25E8">
            <w:pPr>
              <w:pStyle w:val="P68B1DB1-Normal18"/>
              <w:spacing w:before="0" w:after="0" w:line="276" w:lineRule="auto"/>
              <w:jc w:val="center"/>
              <w:rPr>
                <w:rFonts w:eastAsia="Times New Roman"/>
                <w:noProof/>
              </w:rPr>
            </w:pPr>
            <w:r>
              <w:rPr>
                <w:noProof/>
              </w:rPr>
              <w:t>59</w:t>
            </w:r>
          </w:p>
        </w:tc>
        <w:tc>
          <w:tcPr>
            <w:tcW w:w="2715" w:type="dxa"/>
            <w:shd w:val="clear" w:color="auto" w:fill="C6EFCE"/>
            <w:noWrap/>
            <w:vAlign w:val="center"/>
          </w:tcPr>
          <w:p w14:paraId="6043E51F" w14:textId="55F5F1CD" w:rsidR="003B6BD9" w:rsidRDefault="009E25E8">
            <w:pPr>
              <w:pStyle w:val="P68B1DB1-Normal18"/>
              <w:spacing w:before="0" w:after="0" w:line="276" w:lineRule="auto"/>
              <w:rPr>
                <w:rFonts w:eastAsia="Times New Roman"/>
                <w:noProof/>
              </w:rPr>
            </w:pPr>
            <w:r>
              <w:rPr>
                <w:noProof/>
              </w:rPr>
              <w:t>C: Augmenter les capacités de l’infrastructure ferroviaire</w:t>
            </w:r>
          </w:p>
        </w:tc>
        <w:tc>
          <w:tcPr>
            <w:tcW w:w="1651" w:type="dxa"/>
            <w:shd w:val="clear" w:color="auto" w:fill="C6EFCE"/>
            <w:noWrap/>
            <w:vAlign w:val="center"/>
          </w:tcPr>
          <w:p w14:paraId="27B9BE57" w14:textId="574A2A53" w:rsidR="003B6BD9" w:rsidRDefault="009E25E8">
            <w:pPr>
              <w:pStyle w:val="P68B1DB1-Normal18"/>
              <w:spacing w:before="0" w:after="0" w:line="276" w:lineRule="auto"/>
              <w:rPr>
                <w:rFonts w:eastAsia="Times New Roman"/>
                <w:noProof/>
              </w:rPr>
            </w:pPr>
            <w:r>
              <w:rPr>
                <w:noProof/>
              </w:rPr>
              <w:t>Cible</w:t>
            </w:r>
          </w:p>
        </w:tc>
        <w:tc>
          <w:tcPr>
            <w:tcW w:w="4139" w:type="dxa"/>
            <w:shd w:val="clear" w:color="auto" w:fill="C6EFCE"/>
            <w:noWrap/>
            <w:vAlign w:val="center"/>
          </w:tcPr>
          <w:p w14:paraId="1BC7CE8C" w14:textId="3A137D5C" w:rsidR="003B6BD9" w:rsidRDefault="009E25E8">
            <w:pPr>
              <w:pStyle w:val="P68B1DB1-Normal18"/>
              <w:spacing w:before="0" w:after="0" w:line="276" w:lineRule="auto"/>
              <w:rPr>
                <w:rFonts w:eastAsia="Times New Roman"/>
                <w:noProof/>
              </w:rPr>
            </w:pPr>
            <w:r>
              <w:rPr>
                <w:noProof/>
              </w:rPr>
              <w:t>Gares ferroviaires modernisées</w:t>
            </w:r>
          </w:p>
        </w:tc>
      </w:tr>
      <w:tr w:rsidR="003B6BD9" w14:paraId="446C66D2" w14:textId="77777777">
        <w:trPr>
          <w:trHeight w:val="302"/>
        </w:trPr>
        <w:tc>
          <w:tcPr>
            <w:tcW w:w="1247" w:type="dxa"/>
            <w:shd w:val="clear" w:color="auto" w:fill="C6EFCE"/>
            <w:noWrap/>
            <w:vAlign w:val="center"/>
          </w:tcPr>
          <w:p w14:paraId="7E7382A1" w14:textId="0011B130" w:rsidR="003B6BD9" w:rsidRDefault="009E25E8">
            <w:pPr>
              <w:pStyle w:val="P68B1DB1-Normal18"/>
              <w:spacing w:before="0" w:after="0" w:line="276" w:lineRule="auto"/>
              <w:jc w:val="center"/>
              <w:rPr>
                <w:rFonts w:eastAsia="Times New Roman"/>
                <w:noProof/>
              </w:rPr>
            </w:pPr>
            <w:r>
              <w:rPr>
                <w:noProof/>
              </w:rPr>
              <w:t>72</w:t>
            </w:r>
          </w:p>
        </w:tc>
        <w:tc>
          <w:tcPr>
            <w:tcW w:w="2715" w:type="dxa"/>
            <w:shd w:val="clear" w:color="auto" w:fill="C6EFCE"/>
            <w:noWrap/>
            <w:vAlign w:val="center"/>
          </w:tcPr>
          <w:p w14:paraId="30676209" w14:textId="47121D50" w:rsidR="003B6BD9" w:rsidRDefault="009E25E8">
            <w:pPr>
              <w:pStyle w:val="P68B1DB1-Normal18"/>
              <w:spacing w:before="0" w:after="0" w:line="276" w:lineRule="auto"/>
              <w:rPr>
                <w:rFonts w:eastAsia="Times New Roman"/>
                <w:noProof/>
              </w:rPr>
            </w:pPr>
            <w:r>
              <w:rPr>
                <w:noProof/>
              </w:rPr>
              <w:t>B: Projet stratégique intégré visant à décarboner la Slovénie grâce à la transition vers une économie circulaire</w:t>
            </w:r>
          </w:p>
        </w:tc>
        <w:tc>
          <w:tcPr>
            <w:tcW w:w="1651" w:type="dxa"/>
            <w:shd w:val="clear" w:color="auto" w:fill="C6EFCE"/>
            <w:noWrap/>
            <w:vAlign w:val="center"/>
          </w:tcPr>
          <w:p w14:paraId="0928BD61" w14:textId="1CFB6DC4"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7AF5D800" w14:textId="4158360E" w:rsidR="003B6BD9" w:rsidRDefault="009E25E8">
            <w:pPr>
              <w:pStyle w:val="P68B1DB1-Normal18"/>
              <w:spacing w:before="0" w:after="0" w:line="276" w:lineRule="auto"/>
              <w:rPr>
                <w:rFonts w:eastAsia="Times New Roman"/>
                <w:noProof/>
              </w:rPr>
            </w:pPr>
            <w:r>
              <w:rPr>
                <w:noProof/>
              </w:rPr>
              <w:t>Octroi de subventions pour soutenir les entreprises dans la transition vers une économie circulaire</w:t>
            </w:r>
          </w:p>
        </w:tc>
      </w:tr>
      <w:tr w:rsidR="003B6BD9" w14:paraId="0B6D1738" w14:textId="77777777">
        <w:trPr>
          <w:trHeight w:val="302"/>
        </w:trPr>
        <w:tc>
          <w:tcPr>
            <w:tcW w:w="1247" w:type="dxa"/>
            <w:shd w:val="clear" w:color="auto" w:fill="C6EFCE"/>
            <w:noWrap/>
            <w:vAlign w:val="center"/>
          </w:tcPr>
          <w:p w14:paraId="1CB12466" w14:textId="3960D7A3" w:rsidR="003B6BD9" w:rsidRDefault="009E25E8">
            <w:pPr>
              <w:pStyle w:val="P68B1DB1-Normal18"/>
              <w:spacing w:before="0" w:after="0" w:line="276" w:lineRule="auto"/>
              <w:jc w:val="center"/>
              <w:rPr>
                <w:rFonts w:eastAsia="Times New Roman"/>
                <w:noProof/>
              </w:rPr>
            </w:pPr>
            <w:r>
              <w:rPr>
                <w:noProof/>
              </w:rPr>
              <w:t>82</w:t>
            </w:r>
          </w:p>
        </w:tc>
        <w:tc>
          <w:tcPr>
            <w:tcW w:w="2715" w:type="dxa"/>
            <w:shd w:val="clear" w:color="auto" w:fill="C6EFCE"/>
            <w:noWrap/>
            <w:vAlign w:val="center"/>
          </w:tcPr>
          <w:p w14:paraId="52CE1FAA" w14:textId="18BD0B24" w:rsidR="003B6BD9" w:rsidRDefault="009E25E8">
            <w:pPr>
              <w:pStyle w:val="P68B1DB1-Normal18"/>
              <w:spacing w:before="0" w:after="0" w:line="276" w:lineRule="auto"/>
              <w:rPr>
                <w:rFonts w:eastAsia="Times New Roman"/>
                <w:noProof/>
              </w:rPr>
            </w:pPr>
            <w:r>
              <w:rPr>
                <w:noProof/>
              </w:rPr>
              <w:t>B: Stratégie de transformation numérique de l’industrie/des entreprises</w:t>
            </w:r>
          </w:p>
        </w:tc>
        <w:tc>
          <w:tcPr>
            <w:tcW w:w="1651" w:type="dxa"/>
            <w:shd w:val="clear" w:color="auto" w:fill="C6EFCE"/>
            <w:noWrap/>
            <w:vAlign w:val="center"/>
          </w:tcPr>
          <w:p w14:paraId="48A1A8F4" w14:textId="7274E0F3" w:rsidR="003B6BD9" w:rsidRDefault="009E25E8">
            <w:pPr>
              <w:pStyle w:val="P68B1DB1-Normal18"/>
              <w:spacing w:before="0" w:after="0" w:line="276" w:lineRule="auto"/>
              <w:rPr>
                <w:rFonts w:eastAsia="Times New Roman"/>
                <w:noProof/>
              </w:rPr>
            </w:pPr>
            <w:r>
              <w:rPr>
                <w:noProof/>
              </w:rPr>
              <w:t>Cible</w:t>
            </w:r>
          </w:p>
        </w:tc>
        <w:tc>
          <w:tcPr>
            <w:tcW w:w="4139" w:type="dxa"/>
            <w:shd w:val="clear" w:color="auto" w:fill="C6EFCE"/>
            <w:noWrap/>
            <w:vAlign w:val="center"/>
          </w:tcPr>
          <w:p w14:paraId="7CDB7D91" w14:textId="08E6B3B5" w:rsidR="003B6BD9" w:rsidRDefault="009E25E8">
            <w:pPr>
              <w:pStyle w:val="P68B1DB1-Normal18"/>
              <w:spacing w:before="0" w:after="0" w:line="276" w:lineRule="auto"/>
              <w:rPr>
                <w:rFonts w:eastAsia="Times New Roman"/>
                <w:noProof/>
              </w:rPr>
            </w:pPr>
            <w:r>
              <w:rPr>
                <w:noProof/>
              </w:rPr>
              <w:t>Consortiums bénéficiant d’un soutien pour l’achèvement d’une transformation numérique complète</w:t>
            </w:r>
          </w:p>
        </w:tc>
      </w:tr>
      <w:tr w:rsidR="003B6BD9" w14:paraId="39F9BFA3" w14:textId="77777777">
        <w:trPr>
          <w:trHeight w:val="302"/>
        </w:trPr>
        <w:tc>
          <w:tcPr>
            <w:tcW w:w="1247" w:type="dxa"/>
            <w:shd w:val="clear" w:color="auto" w:fill="C6EFCE"/>
            <w:noWrap/>
            <w:vAlign w:val="center"/>
          </w:tcPr>
          <w:p w14:paraId="7320766A" w14:textId="41C73270" w:rsidR="003B6BD9" w:rsidRDefault="009E25E8">
            <w:pPr>
              <w:pStyle w:val="P68B1DB1-Normal18"/>
              <w:spacing w:before="0" w:after="0" w:line="276" w:lineRule="auto"/>
              <w:jc w:val="center"/>
              <w:rPr>
                <w:rFonts w:eastAsia="Times New Roman"/>
                <w:noProof/>
              </w:rPr>
            </w:pPr>
            <w:r>
              <w:rPr>
                <w:noProof/>
              </w:rPr>
              <w:t>86</w:t>
            </w:r>
          </w:p>
        </w:tc>
        <w:tc>
          <w:tcPr>
            <w:tcW w:w="2715" w:type="dxa"/>
            <w:shd w:val="clear" w:color="auto" w:fill="C6EFCE"/>
            <w:noWrap/>
            <w:vAlign w:val="center"/>
          </w:tcPr>
          <w:p w14:paraId="3F6BADC1" w14:textId="7BE77440" w:rsidR="003B6BD9" w:rsidRDefault="009E25E8">
            <w:pPr>
              <w:pStyle w:val="P68B1DB1-Normal18"/>
              <w:spacing w:before="0" w:after="0" w:line="276" w:lineRule="auto"/>
              <w:rPr>
                <w:rFonts w:eastAsia="Times New Roman"/>
                <w:noProof/>
              </w:rPr>
            </w:pPr>
            <w:r>
              <w:rPr>
                <w:noProof/>
              </w:rPr>
              <w:t>E: Projets transfrontaliers et multinationaux — Processeurs de faible puissance et semi-conducteurs</w:t>
            </w:r>
          </w:p>
        </w:tc>
        <w:tc>
          <w:tcPr>
            <w:tcW w:w="1651" w:type="dxa"/>
            <w:shd w:val="clear" w:color="auto" w:fill="C6EFCE"/>
            <w:noWrap/>
            <w:vAlign w:val="center"/>
          </w:tcPr>
          <w:p w14:paraId="20F598A9" w14:textId="7963AA24" w:rsidR="003B6BD9" w:rsidRDefault="009E25E8">
            <w:pPr>
              <w:pStyle w:val="P68B1DB1-Normal18"/>
              <w:spacing w:before="0" w:after="0" w:line="276" w:lineRule="auto"/>
              <w:rPr>
                <w:rFonts w:eastAsia="Times New Roman"/>
                <w:noProof/>
              </w:rPr>
            </w:pPr>
            <w:r>
              <w:rPr>
                <w:noProof/>
              </w:rPr>
              <w:t>Cible</w:t>
            </w:r>
          </w:p>
        </w:tc>
        <w:tc>
          <w:tcPr>
            <w:tcW w:w="4139" w:type="dxa"/>
            <w:shd w:val="clear" w:color="auto" w:fill="C6EFCE"/>
            <w:noWrap/>
            <w:vAlign w:val="center"/>
          </w:tcPr>
          <w:p w14:paraId="08EE532E" w14:textId="7F8320AF" w:rsidR="003B6BD9" w:rsidRDefault="009E25E8">
            <w:pPr>
              <w:pStyle w:val="P68B1DB1-Normal18"/>
              <w:spacing w:before="0" w:after="0" w:line="276" w:lineRule="auto"/>
              <w:rPr>
                <w:rFonts w:eastAsia="Times New Roman"/>
                <w:noProof/>
              </w:rPr>
            </w:pPr>
            <w:r>
              <w:rPr>
                <w:noProof/>
              </w:rPr>
              <w:t>Nombre de projets lancés</w:t>
            </w:r>
          </w:p>
        </w:tc>
      </w:tr>
      <w:tr w:rsidR="003B6BD9" w14:paraId="46FEC5F5" w14:textId="77777777">
        <w:trPr>
          <w:trHeight w:val="302"/>
        </w:trPr>
        <w:tc>
          <w:tcPr>
            <w:tcW w:w="1247" w:type="dxa"/>
            <w:shd w:val="clear" w:color="auto" w:fill="C6EFCE"/>
            <w:noWrap/>
            <w:vAlign w:val="center"/>
          </w:tcPr>
          <w:p w14:paraId="3D39A555" w14:textId="11E6CEC7" w:rsidR="003B6BD9" w:rsidRDefault="009E25E8">
            <w:pPr>
              <w:pStyle w:val="P68B1DB1-Normal18"/>
              <w:spacing w:before="0" w:after="0" w:line="276" w:lineRule="auto"/>
              <w:jc w:val="center"/>
              <w:rPr>
                <w:rFonts w:eastAsia="Times New Roman"/>
                <w:noProof/>
              </w:rPr>
            </w:pPr>
            <w:r>
              <w:rPr>
                <w:noProof/>
              </w:rPr>
              <w:t>92</w:t>
            </w:r>
          </w:p>
        </w:tc>
        <w:tc>
          <w:tcPr>
            <w:tcW w:w="2715" w:type="dxa"/>
            <w:shd w:val="clear" w:color="auto" w:fill="C6EFCE"/>
            <w:noWrap/>
            <w:vAlign w:val="center"/>
          </w:tcPr>
          <w:p w14:paraId="678894E7" w14:textId="6BDEB287" w:rsidR="003B6BD9" w:rsidRDefault="009E25E8">
            <w:pPr>
              <w:pStyle w:val="P68B1DB1-Normal18"/>
              <w:spacing w:before="0" w:after="0" w:line="276" w:lineRule="auto"/>
              <w:rPr>
                <w:rFonts w:eastAsia="Times New Roman"/>
                <w:noProof/>
              </w:rPr>
            </w:pPr>
            <w:r>
              <w:rPr>
                <w:noProof/>
              </w:rPr>
              <w:t>D: Création d’un Centre de compétences — Centre de ressources humaines et renforcement des compétences du personnel de l’administration publique</w:t>
            </w:r>
          </w:p>
        </w:tc>
        <w:tc>
          <w:tcPr>
            <w:tcW w:w="1651" w:type="dxa"/>
            <w:shd w:val="clear" w:color="auto" w:fill="C6EFCE"/>
            <w:noWrap/>
            <w:vAlign w:val="center"/>
          </w:tcPr>
          <w:p w14:paraId="7DC558C0" w14:textId="767E0A19"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16EAC11A" w14:textId="276119F4" w:rsidR="003B6BD9" w:rsidRDefault="009E25E8">
            <w:pPr>
              <w:pStyle w:val="P68B1DB1-Normal18"/>
              <w:spacing w:before="0" w:after="0" w:line="276" w:lineRule="auto"/>
              <w:rPr>
                <w:rFonts w:eastAsia="Times New Roman"/>
                <w:noProof/>
              </w:rPr>
            </w:pPr>
            <w:r>
              <w:rPr>
                <w:noProof/>
              </w:rPr>
              <w:t>Un centre de compétences — un centre de ressources humaines établi et opérationnel</w:t>
            </w:r>
          </w:p>
        </w:tc>
      </w:tr>
      <w:tr w:rsidR="003B6BD9" w14:paraId="6E89C40E" w14:textId="77777777">
        <w:trPr>
          <w:trHeight w:val="302"/>
        </w:trPr>
        <w:tc>
          <w:tcPr>
            <w:tcW w:w="1247" w:type="dxa"/>
            <w:shd w:val="clear" w:color="auto" w:fill="C6EFCE"/>
            <w:noWrap/>
            <w:vAlign w:val="center"/>
          </w:tcPr>
          <w:p w14:paraId="5DFD38C1" w14:textId="5E977278" w:rsidR="003B6BD9" w:rsidRDefault="009E25E8">
            <w:pPr>
              <w:pStyle w:val="P68B1DB1-Normal18"/>
              <w:spacing w:before="0" w:after="0" w:line="276" w:lineRule="auto"/>
              <w:jc w:val="center"/>
              <w:rPr>
                <w:rFonts w:eastAsia="Times New Roman"/>
                <w:noProof/>
              </w:rPr>
            </w:pPr>
            <w:r>
              <w:rPr>
                <w:noProof/>
              </w:rPr>
              <w:t>106</w:t>
            </w:r>
          </w:p>
        </w:tc>
        <w:tc>
          <w:tcPr>
            <w:tcW w:w="2715" w:type="dxa"/>
            <w:shd w:val="clear" w:color="auto" w:fill="C6EFCE"/>
            <w:noWrap/>
            <w:vAlign w:val="center"/>
          </w:tcPr>
          <w:p w14:paraId="567730AF" w14:textId="2EFDA61B" w:rsidR="003B6BD9" w:rsidRDefault="009E25E8">
            <w:pPr>
              <w:pStyle w:val="P68B1DB1-Normal18"/>
              <w:spacing w:before="0" w:after="0" w:line="276" w:lineRule="auto"/>
              <w:rPr>
                <w:rFonts w:eastAsia="Times New Roman"/>
                <w:noProof/>
                <w:u w:val="single"/>
              </w:rPr>
            </w:pPr>
            <w:r>
              <w:rPr>
                <w:noProof/>
              </w:rPr>
              <w:t>J: Numérisation de l’éducation et des sciences</w:t>
            </w:r>
          </w:p>
        </w:tc>
        <w:tc>
          <w:tcPr>
            <w:tcW w:w="1651" w:type="dxa"/>
            <w:shd w:val="clear" w:color="auto" w:fill="C6EFCE"/>
            <w:noWrap/>
            <w:vAlign w:val="center"/>
          </w:tcPr>
          <w:p w14:paraId="35938AFB" w14:textId="6F0813C3" w:rsidR="003B6BD9" w:rsidRDefault="009E25E8">
            <w:pPr>
              <w:pStyle w:val="P68B1DB1-Normal18"/>
              <w:spacing w:before="0" w:after="0" w:line="276" w:lineRule="auto"/>
              <w:rPr>
                <w:rFonts w:eastAsia="Times New Roman"/>
                <w:noProof/>
              </w:rPr>
            </w:pPr>
            <w:r>
              <w:rPr>
                <w:noProof/>
              </w:rPr>
              <w:t>Cible</w:t>
            </w:r>
          </w:p>
        </w:tc>
        <w:tc>
          <w:tcPr>
            <w:tcW w:w="4139" w:type="dxa"/>
            <w:shd w:val="clear" w:color="auto" w:fill="C6EFCE"/>
            <w:noWrap/>
            <w:vAlign w:val="center"/>
          </w:tcPr>
          <w:p w14:paraId="78479E1D" w14:textId="23EB090B" w:rsidR="003B6BD9" w:rsidRDefault="009E25E8">
            <w:pPr>
              <w:pStyle w:val="P68B1DB1-Normal18"/>
              <w:spacing w:before="0" w:after="0" w:line="276" w:lineRule="auto"/>
              <w:rPr>
                <w:rFonts w:eastAsia="Times New Roman"/>
                <w:noProof/>
              </w:rPr>
            </w:pPr>
            <w:r>
              <w:rPr>
                <w:noProof/>
              </w:rPr>
              <w:t>Établissements d’enseignement supplémentaires ayant des connexions optiques supérieures à 1 Gbps</w:t>
            </w:r>
          </w:p>
        </w:tc>
      </w:tr>
      <w:tr w:rsidR="003B6BD9" w14:paraId="3CA79E8B" w14:textId="77777777">
        <w:trPr>
          <w:trHeight w:val="302"/>
        </w:trPr>
        <w:tc>
          <w:tcPr>
            <w:tcW w:w="1247" w:type="dxa"/>
            <w:shd w:val="clear" w:color="auto" w:fill="C6EFCE"/>
            <w:noWrap/>
            <w:vAlign w:val="center"/>
          </w:tcPr>
          <w:p w14:paraId="36FD14BB" w14:textId="730F5F0D" w:rsidR="003B6BD9" w:rsidRDefault="009E25E8">
            <w:pPr>
              <w:pStyle w:val="P68B1DB1-Normal18"/>
              <w:spacing w:before="0" w:after="0" w:line="276" w:lineRule="auto"/>
              <w:jc w:val="center"/>
              <w:rPr>
                <w:rFonts w:eastAsia="Times New Roman"/>
                <w:noProof/>
              </w:rPr>
            </w:pPr>
            <w:r>
              <w:rPr>
                <w:noProof/>
              </w:rPr>
              <w:t>135</w:t>
            </w:r>
          </w:p>
        </w:tc>
        <w:tc>
          <w:tcPr>
            <w:tcW w:w="2715" w:type="dxa"/>
            <w:shd w:val="clear" w:color="auto" w:fill="C6EFCE"/>
            <w:noWrap/>
            <w:vAlign w:val="center"/>
          </w:tcPr>
          <w:p w14:paraId="261123C6" w14:textId="0EE8A7BA" w:rsidR="003B6BD9" w:rsidRDefault="009E25E8">
            <w:pPr>
              <w:pStyle w:val="P68B1DB1-Normal18"/>
              <w:spacing w:before="0" w:after="0" w:line="276" w:lineRule="auto"/>
              <w:rPr>
                <w:rFonts w:eastAsia="Times New Roman"/>
                <w:noProof/>
              </w:rPr>
            </w:pPr>
            <w:r>
              <w:rPr>
                <w:noProof/>
              </w:rPr>
              <w:t>A: Mesures structurelles visant à renforcer la résilience du marché du travail</w:t>
            </w:r>
          </w:p>
        </w:tc>
        <w:tc>
          <w:tcPr>
            <w:tcW w:w="1651" w:type="dxa"/>
            <w:shd w:val="clear" w:color="auto" w:fill="C6EFCE"/>
            <w:noWrap/>
            <w:vAlign w:val="center"/>
          </w:tcPr>
          <w:p w14:paraId="7A963499" w14:textId="0E774B89"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6F6CD155" w14:textId="532D701E" w:rsidR="003B6BD9" w:rsidRDefault="009E25E8">
            <w:pPr>
              <w:pStyle w:val="P68B1DB1-Normal18"/>
              <w:spacing w:before="0" w:after="0" w:line="276" w:lineRule="auto"/>
              <w:rPr>
                <w:rFonts w:eastAsia="Times New Roman"/>
                <w:noProof/>
              </w:rPr>
            </w:pPr>
            <w:r>
              <w:rPr>
                <w:noProof/>
              </w:rPr>
              <w:t>Entrée en vigueur de la loi établissant un dispositif de chômage partiel «de crise»</w:t>
            </w:r>
          </w:p>
        </w:tc>
      </w:tr>
      <w:tr w:rsidR="003B6BD9" w14:paraId="0DDE6E3A" w14:textId="77777777">
        <w:trPr>
          <w:trHeight w:val="302"/>
        </w:trPr>
        <w:tc>
          <w:tcPr>
            <w:tcW w:w="1247" w:type="dxa"/>
            <w:shd w:val="clear" w:color="auto" w:fill="C6EFCE"/>
            <w:noWrap/>
            <w:vAlign w:val="center"/>
          </w:tcPr>
          <w:p w14:paraId="057A0D4C" w14:textId="2FBE606C" w:rsidR="003B6BD9" w:rsidRDefault="009E25E8">
            <w:pPr>
              <w:pStyle w:val="P68B1DB1-Normal18"/>
              <w:spacing w:before="0" w:after="0" w:line="276" w:lineRule="auto"/>
              <w:jc w:val="center"/>
              <w:rPr>
                <w:rFonts w:eastAsia="Times New Roman"/>
                <w:noProof/>
              </w:rPr>
            </w:pPr>
            <w:r>
              <w:rPr>
                <w:noProof/>
              </w:rPr>
              <w:t>136</w:t>
            </w:r>
          </w:p>
        </w:tc>
        <w:tc>
          <w:tcPr>
            <w:tcW w:w="2715" w:type="dxa"/>
            <w:shd w:val="clear" w:color="auto" w:fill="C6EFCE"/>
            <w:noWrap/>
            <w:vAlign w:val="center"/>
          </w:tcPr>
          <w:p w14:paraId="365CC512" w14:textId="7A3C38E9" w:rsidR="003B6BD9" w:rsidRDefault="009E25E8">
            <w:pPr>
              <w:pStyle w:val="P68B1DB1-Normal18"/>
              <w:spacing w:before="0" w:after="0" w:line="276" w:lineRule="auto"/>
              <w:rPr>
                <w:rFonts w:eastAsia="Times New Roman"/>
                <w:noProof/>
              </w:rPr>
            </w:pPr>
            <w:r>
              <w:rPr>
                <w:noProof/>
              </w:rPr>
              <w:t>A: Mesures structurelles visant à renforcer la résilience du marché du travail</w:t>
            </w:r>
          </w:p>
        </w:tc>
        <w:tc>
          <w:tcPr>
            <w:tcW w:w="1651" w:type="dxa"/>
            <w:shd w:val="clear" w:color="auto" w:fill="C6EFCE"/>
            <w:noWrap/>
            <w:vAlign w:val="center"/>
          </w:tcPr>
          <w:p w14:paraId="200120AD" w14:textId="73604145"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664F5E38" w14:textId="11331DDF" w:rsidR="003B6BD9" w:rsidRDefault="009E25E8">
            <w:pPr>
              <w:pStyle w:val="P68B1DB1-Normal18"/>
              <w:spacing w:before="0" w:after="0" w:line="276" w:lineRule="auto"/>
              <w:rPr>
                <w:rFonts w:eastAsia="Times New Roman"/>
                <w:noProof/>
              </w:rPr>
            </w:pPr>
            <w:r>
              <w:rPr>
                <w:noProof/>
              </w:rPr>
              <w:t>Entrée en vigueur des modifications de la loi sur la réglementation du marché du travail</w:t>
            </w:r>
          </w:p>
        </w:tc>
      </w:tr>
      <w:tr w:rsidR="003B6BD9" w14:paraId="30B31AD9" w14:textId="77777777">
        <w:trPr>
          <w:trHeight w:val="302"/>
        </w:trPr>
        <w:tc>
          <w:tcPr>
            <w:tcW w:w="1247" w:type="dxa"/>
            <w:shd w:val="clear" w:color="auto" w:fill="C6EFCE"/>
            <w:noWrap/>
            <w:vAlign w:val="center"/>
          </w:tcPr>
          <w:p w14:paraId="2114C307" w14:textId="3585DBE3" w:rsidR="003B6BD9" w:rsidRDefault="009E25E8">
            <w:pPr>
              <w:pStyle w:val="P68B1DB1-Normal18"/>
              <w:spacing w:before="0" w:after="0" w:line="276" w:lineRule="auto"/>
              <w:jc w:val="center"/>
              <w:rPr>
                <w:rFonts w:eastAsia="Times New Roman"/>
                <w:noProof/>
              </w:rPr>
            </w:pPr>
            <w:r>
              <w:rPr>
                <w:noProof/>
              </w:rPr>
              <w:t>157</w:t>
            </w:r>
          </w:p>
        </w:tc>
        <w:tc>
          <w:tcPr>
            <w:tcW w:w="2715" w:type="dxa"/>
            <w:shd w:val="clear" w:color="auto" w:fill="C6EFCE"/>
            <w:noWrap/>
            <w:vAlign w:val="center"/>
          </w:tcPr>
          <w:p w14:paraId="348AB61D" w14:textId="11D2EAD4" w:rsidR="003B6BD9" w:rsidRDefault="009E25E8">
            <w:pPr>
              <w:pStyle w:val="P68B1DB1-Normal18"/>
              <w:spacing w:before="0" w:after="0" w:line="276" w:lineRule="auto"/>
              <w:rPr>
                <w:rFonts w:eastAsia="Times New Roman"/>
                <w:noProof/>
              </w:rPr>
            </w:pPr>
            <w:r>
              <w:rPr>
                <w:noProof/>
              </w:rPr>
              <w:t>E: La transformation globale de l’éducation verte et numérique</w:t>
            </w:r>
          </w:p>
        </w:tc>
        <w:tc>
          <w:tcPr>
            <w:tcW w:w="1651" w:type="dxa"/>
            <w:shd w:val="clear" w:color="auto" w:fill="C6EFCE"/>
            <w:noWrap/>
            <w:vAlign w:val="center"/>
          </w:tcPr>
          <w:p w14:paraId="487956D1" w14:textId="6387946A" w:rsidR="003B6BD9" w:rsidRDefault="009E25E8">
            <w:pPr>
              <w:pStyle w:val="P68B1DB1-Normal18"/>
              <w:spacing w:before="0" w:after="0" w:line="276" w:lineRule="auto"/>
              <w:rPr>
                <w:rFonts w:eastAsia="Times New Roman"/>
                <w:noProof/>
              </w:rPr>
            </w:pPr>
            <w:r>
              <w:rPr>
                <w:noProof/>
              </w:rPr>
              <w:t>Cible</w:t>
            </w:r>
          </w:p>
        </w:tc>
        <w:tc>
          <w:tcPr>
            <w:tcW w:w="4139" w:type="dxa"/>
            <w:shd w:val="clear" w:color="auto" w:fill="C6EFCE"/>
            <w:noWrap/>
            <w:vAlign w:val="center"/>
          </w:tcPr>
          <w:p w14:paraId="7204796C" w14:textId="635598B2" w:rsidR="003B6BD9" w:rsidRDefault="009E25E8">
            <w:pPr>
              <w:pStyle w:val="P68B1DB1-Normal18"/>
              <w:spacing w:before="0" w:after="0" w:line="276" w:lineRule="auto"/>
              <w:rPr>
                <w:rFonts w:eastAsia="Times New Roman"/>
                <w:noProof/>
              </w:rPr>
            </w:pPr>
            <w:r>
              <w:rPr>
                <w:noProof/>
              </w:rPr>
              <w:t>Professionnels et cadres ayant suivi une formation aux compétences en matière de développement numérique et durable</w:t>
            </w:r>
          </w:p>
        </w:tc>
      </w:tr>
      <w:tr w:rsidR="003B6BD9" w14:paraId="2503AFD6" w14:textId="77777777">
        <w:trPr>
          <w:trHeight w:val="302"/>
        </w:trPr>
        <w:tc>
          <w:tcPr>
            <w:tcW w:w="1247" w:type="dxa"/>
            <w:shd w:val="clear" w:color="auto" w:fill="C6EFCE"/>
            <w:noWrap/>
            <w:vAlign w:val="center"/>
          </w:tcPr>
          <w:p w14:paraId="6722C664" w14:textId="6B516655" w:rsidR="003B6BD9" w:rsidRDefault="009E25E8">
            <w:pPr>
              <w:pStyle w:val="P68B1DB1-Normal18"/>
              <w:spacing w:before="0" w:after="0" w:line="276" w:lineRule="auto"/>
              <w:jc w:val="center"/>
              <w:rPr>
                <w:rFonts w:eastAsia="Times New Roman"/>
                <w:noProof/>
              </w:rPr>
            </w:pPr>
            <w:r>
              <w:rPr>
                <w:noProof/>
              </w:rPr>
              <w:t>173</w:t>
            </w:r>
          </w:p>
        </w:tc>
        <w:tc>
          <w:tcPr>
            <w:tcW w:w="2715" w:type="dxa"/>
            <w:shd w:val="clear" w:color="auto" w:fill="C6EFCE"/>
            <w:noWrap/>
            <w:vAlign w:val="center"/>
          </w:tcPr>
          <w:p w14:paraId="3C21E476" w14:textId="5916B18C" w:rsidR="003B6BD9" w:rsidRDefault="009E25E8">
            <w:pPr>
              <w:pStyle w:val="P68B1DB1-Normal18"/>
              <w:spacing w:before="0" w:after="0" w:line="276" w:lineRule="auto"/>
              <w:rPr>
                <w:rFonts w:eastAsia="Times New Roman"/>
                <w:noProof/>
              </w:rPr>
            </w:pPr>
            <w:r>
              <w:rPr>
                <w:noProof/>
              </w:rPr>
              <w:t>B: Un secteur public moderne et résilient</w:t>
            </w:r>
          </w:p>
        </w:tc>
        <w:tc>
          <w:tcPr>
            <w:tcW w:w="1651" w:type="dxa"/>
            <w:shd w:val="clear" w:color="auto" w:fill="C6EFCE"/>
            <w:noWrap/>
            <w:vAlign w:val="center"/>
          </w:tcPr>
          <w:p w14:paraId="7B465F8D" w14:textId="56A6297D"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55CC9883" w14:textId="710DA7DC" w:rsidR="003B6BD9" w:rsidRDefault="009E25E8">
            <w:pPr>
              <w:pStyle w:val="P68B1DB1-Normal18"/>
              <w:spacing w:before="0" w:after="0" w:line="276" w:lineRule="auto"/>
              <w:rPr>
                <w:rFonts w:eastAsia="Times New Roman"/>
                <w:noProof/>
              </w:rPr>
            </w:pPr>
            <w:r>
              <w:rPr>
                <w:noProof/>
              </w:rPr>
              <w:t>Entrée en vigueur d’une loi régissant le système de rémunération dans le secteur public</w:t>
            </w:r>
          </w:p>
        </w:tc>
      </w:tr>
      <w:tr w:rsidR="003B6BD9" w14:paraId="29254E55" w14:textId="77777777">
        <w:trPr>
          <w:trHeight w:val="302"/>
        </w:trPr>
        <w:tc>
          <w:tcPr>
            <w:tcW w:w="1247" w:type="dxa"/>
            <w:shd w:val="clear" w:color="auto" w:fill="C6EFCE"/>
            <w:noWrap/>
            <w:vAlign w:val="center"/>
          </w:tcPr>
          <w:p w14:paraId="197D5AD8" w14:textId="2CCFC709" w:rsidR="003B6BD9" w:rsidRDefault="009E25E8">
            <w:pPr>
              <w:pStyle w:val="P68B1DB1-Normal18"/>
              <w:spacing w:before="0" w:after="0" w:line="276" w:lineRule="auto"/>
              <w:jc w:val="center"/>
              <w:rPr>
                <w:rFonts w:eastAsia="Times New Roman"/>
                <w:noProof/>
              </w:rPr>
            </w:pPr>
            <w:r>
              <w:rPr>
                <w:noProof/>
              </w:rPr>
              <w:t>185</w:t>
            </w:r>
          </w:p>
        </w:tc>
        <w:tc>
          <w:tcPr>
            <w:tcW w:w="2715" w:type="dxa"/>
            <w:shd w:val="clear" w:color="auto" w:fill="C6EFCE"/>
            <w:noWrap/>
            <w:vAlign w:val="center"/>
          </w:tcPr>
          <w:p w14:paraId="7912C97C" w14:textId="3EBC5536" w:rsidR="003B6BD9" w:rsidRDefault="009E25E8">
            <w:pPr>
              <w:pStyle w:val="P68B1DB1-Normal18"/>
              <w:spacing w:before="0" w:after="0" w:line="276" w:lineRule="auto"/>
              <w:rPr>
                <w:rFonts w:eastAsia="Times New Roman"/>
                <w:noProof/>
              </w:rPr>
            </w:pPr>
            <w:r>
              <w:rPr>
                <w:noProof/>
              </w:rPr>
              <w:t>C: Transformation numérique des soins de santé</w:t>
            </w:r>
          </w:p>
        </w:tc>
        <w:tc>
          <w:tcPr>
            <w:tcW w:w="1651" w:type="dxa"/>
            <w:shd w:val="clear" w:color="auto" w:fill="C6EFCE"/>
            <w:noWrap/>
            <w:vAlign w:val="center"/>
          </w:tcPr>
          <w:p w14:paraId="60C8A304" w14:textId="5A1DC9FD"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0C22ABCB" w14:textId="43DAD2CA" w:rsidR="003B6BD9" w:rsidRDefault="009E25E8">
            <w:pPr>
              <w:pStyle w:val="P68B1DB1-Normal18"/>
              <w:spacing w:before="0" w:after="0" w:line="276" w:lineRule="auto"/>
              <w:rPr>
                <w:rFonts w:eastAsia="Times New Roman"/>
                <w:noProof/>
              </w:rPr>
            </w:pPr>
            <w:r>
              <w:rPr>
                <w:noProof/>
              </w:rPr>
              <w:t>Attribution d’un marché pour un système national de télémédecine</w:t>
            </w:r>
          </w:p>
        </w:tc>
      </w:tr>
      <w:tr w:rsidR="003B6BD9" w14:paraId="60289CCF" w14:textId="77777777">
        <w:trPr>
          <w:trHeight w:val="302"/>
        </w:trPr>
        <w:tc>
          <w:tcPr>
            <w:tcW w:w="1247" w:type="dxa"/>
            <w:shd w:val="clear" w:color="auto" w:fill="C6EFCE"/>
            <w:noWrap/>
            <w:vAlign w:val="center"/>
          </w:tcPr>
          <w:p w14:paraId="173AE694" w14:textId="05EDC9DF" w:rsidR="003B6BD9" w:rsidRDefault="009E25E8">
            <w:pPr>
              <w:pStyle w:val="P68B1DB1-Normal18"/>
              <w:spacing w:before="0" w:after="0" w:line="276" w:lineRule="auto"/>
              <w:jc w:val="center"/>
              <w:rPr>
                <w:rFonts w:eastAsia="Times New Roman"/>
                <w:noProof/>
              </w:rPr>
            </w:pPr>
            <w:r>
              <w:rPr>
                <w:noProof/>
              </w:rPr>
              <w:t>211</w:t>
            </w:r>
          </w:p>
        </w:tc>
        <w:tc>
          <w:tcPr>
            <w:tcW w:w="2715" w:type="dxa"/>
            <w:shd w:val="clear" w:color="auto" w:fill="C6EFCE"/>
            <w:noWrap/>
            <w:vAlign w:val="center"/>
          </w:tcPr>
          <w:p w14:paraId="49AC6B1F" w14:textId="467B2285" w:rsidR="003B6BD9" w:rsidRDefault="009E25E8">
            <w:pPr>
              <w:pStyle w:val="P68B1DB1-Normal18"/>
              <w:spacing w:before="0" w:after="0" w:line="276" w:lineRule="auto"/>
              <w:rPr>
                <w:rFonts w:eastAsia="Times New Roman"/>
                <w:noProof/>
              </w:rPr>
            </w:pPr>
            <w:r>
              <w:rPr>
                <w:noProof/>
              </w:rPr>
              <w:t>A: Réforme de la promotion des sources d’énergie renouvelables en Slovénie (renforcée)</w:t>
            </w:r>
          </w:p>
        </w:tc>
        <w:tc>
          <w:tcPr>
            <w:tcW w:w="1651" w:type="dxa"/>
            <w:shd w:val="clear" w:color="auto" w:fill="C6EFCE"/>
            <w:noWrap/>
            <w:vAlign w:val="center"/>
          </w:tcPr>
          <w:p w14:paraId="7696564E" w14:textId="7CE82EE4"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0079EA92" w14:textId="725BD437" w:rsidR="003B6BD9" w:rsidRDefault="009E25E8">
            <w:pPr>
              <w:pStyle w:val="P68B1DB1-Normal18"/>
              <w:spacing w:before="0" w:after="0" w:line="276" w:lineRule="auto"/>
              <w:rPr>
                <w:rFonts w:eastAsia="Times New Roman"/>
                <w:noProof/>
              </w:rPr>
            </w:pPr>
            <w:r>
              <w:rPr>
                <w:noProof/>
              </w:rPr>
              <w:t>Adoption d’un arrêté fixant les modalités d’implantation des installations photovoltaïques</w:t>
            </w:r>
          </w:p>
        </w:tc>
      </w:tr>
      <w:tr w:rsidR="003B6BD9" w14:paraId="0187B5EF" w14:textId="77777777">
        <w:trPr>
          <w:trHeight w:val="302"/>
        </w:trPr>
        <w:tc>
          <w:tcPr>
            <w:tcW w:w="1247" w:type="dxa"/>
            <w:shd w:val="clear" w:color="auto" w:fill="C6EFCE"/>
            <w:noWrap/>
            <w:vAlign w:val="center"/>
          </w:tcPr>
          <w:p w14:paraId="4598BFA4" w14:textId="010D1155" w:rsidR="003B6BD9" w:rsidRDefault="009E25E8">
            <w:pPr>
              <w:pStyle w:val="P68B1DB1-Normal18"/>
              <w:spacing w:before="0" w:after="0" w:line="276" w:lineRule="auto"/>
              <w:jc w:val="center"/>
              <w:rPr>
                <w:rFonts w:eastAsia="Times New Roman"/>
                <w:noProof/>
              </w:rPr>
            </w:pPr>
            <w:r>
              <w:rPr>
                <w:noProof/>
              </w:rPr>
              <w:t>214</w:t>
            </w:r>
          </w:p>
        </w:tc>
        <w:tc>
          <w:tcPr>
            <w:tcW w:w="2715" w:type="dxa"/>
            <w:shd w:val="clear" w:color="auto" w:fill="C6EFCE"/>
            <w:noWrap/>
            <w:vAlign w:val="center"/>
          </w:tcPr>
          <w:p w14:paraId="0FFCDC56" w14:textId="33C37A02" w:rsidR="003B6BD9" w:rsidRDefault="009E25E8">
            <w:pPr>
              <w:pStyle w:val="P68B1DB1-Normal18"/>
              <w:spacing w:before="0" w:after="0" w:line="276" w:lineRule="auto"/>
              <w:rPr>
                <w:rFonts w:eastAsia="Times New Roman"/>
                <w:noProof/>
              </w:rPr>
            </w:pPr>
            <w:r>
              <w:rPr>
                <w:noProof/>
              </w:rPr>
              <w:t>C: Renforcement du réseau de distribution d’électricité (réseau à moyenne tension)</w:t>
            </w:r>
          </w:p>
        </w:tc>
        <w:tc>
          <w:tcPr>
            <w:tcW w:w="1651" w:type="dxa"/>
            <w:shd w:val="clear" w:color="auto" w:fill="C6EFCE"/>
            <w:noWrap/>
            <w:vAlign w:val="center"/>
          </w:tcPr>
          <w:p w14:paraId="729D75FA" w14:textId="751F4601"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1DC3F481" w14:textId="7EAEAF94" w:rsidR="003B6BD9" w:rsidRDefault="009E25E8">
            <w:pPr>
              <w:pStyle w:val="P68B1DB1-Normal18"/>
              <w:spacing w:before="0" w:after="0" w:line="276" w:lineRule="auto"/>
              <w:rPr>
                <w:rFonts w:eastAsia="Times New Roman"/>
                <w:noProof/>
              </w:rPr>
            </w:pPr>
            <w:r>
              <w:rPr>
                <w:noProof/>
              </w:rPr>
              <w:t>Lancement d’un appel d’offres pour un réseau de distribution à moyenne tension nouveau ou réaménagé</w:t>
            </w:r>
          </w:p>
        </w:tc>
      </w:tr>
      <w:tr w:rsidR="003B6BD9" w14:paraId="3FDF22D8" w14:textId="77777777">
        <w:trPr>
          <w:trHeight w:val="302"/>
        </w:trPr>
        <w:tc>
          <w:tcPr>
            <w:tcW w:w="1247" w:type="dxa"/>
            <w:shd w:val="clear" w:color="auto" w:fill="C6EFCE"/>
            <w:noWrap/>
            <w:vAlign w:val="center"/>
          </w:tcPr>
          <w:p w14:paraId="4E5B46B9" w14:textId="64260271" w:rsidR="003B6BD9" w:rsidRDefault="009E25E8">
            <w:pPr>
              <w:pStyle w:val="P68B1DB1-Normal18"/>
              <w:spacing w:before="0" w:after="0" w:line="276" w:lineRule="auto"/>
              <w:jc w:val="center"/>
              <w:rPr>
                <w:rFonts w:eastAsia="Times New Roman"/>
                <w:noProof/>
              </w:rPr>
            </w:pPr>
            <w:r>
              <w:rPr>
                <w:noProof/>
              </w:rPr>
              <w:t>216</w:t>
            </w:r>
          </w:p>
        </w:tc>
        <w:tc>
          <w:tcPr>
            <w:tcW w:w="2715" w:type="dxa"/>
            <w:shd w:val="clear" w:color="auto" w:fill="C6EFCE"/>
            <w:noWrap/>
            <w:vAlign w:val="center"/>
          </w:tcPr>
          <w:p w14:paraId="1EB50A31" w14:textId="2ED299ED" w:rsidR="003B6BD9" w:rsidRDefault="009E25E8">
            <w:pPr>
              <w:pStyle w:val="P68B1DB1-Normal18"/>
              <w:spacing w:before="0" w:after="0" w:line="276" w:lineRule="auto"/>
              <w:rPr>
                <w:rFonts w:eastAsia="Times New Roman"/>
                <w:noProof/>
              </w:rPr>
            </w:pPr>
            <w:r>
              <w:rPr>
                <w:noProof/>
              </w:rPr>
              <w:t>D: Efficacité énergétique et décarbonation de l’économie</w:t>
            </w:r>
          </w:p>
        </w:tc>
        <w:tc>
          <w:tcPr>
            <w:tcW w:w="1651" w:type="dxa"/>
            <w:shd w:val="clear" w:color="auto" w:fill="C6EFCE"/>
            <w:noWrap/>
            <w:vAlign w:val="center"/>
          </w:tcPr>
          <w:p w14:paraId="2254B6B8" w14:textId="3572C0AB"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26F27E2C" w14:textId="0E561F11" w:rsidR="003B6BD9" w:rsidRDefault="009E25E8">
            <w:pPr>
              <w:pStyle w:val="P68B1DB1-Normal18"/>
              <w:spacing w:before="0" w:after="0" w:line="276" w:lineRule="auto"/>
              <w:rPr>
                <w:rFonts w:eastAsia="Times New Roman"/>
                <w:noProof/>
              </w:rPr>
            </w:pPr>
            <w:r>
              <w:rPr>
                <w:noProof/>
              </w:rPr>
              <w:t>Lancement d’un régime de soutien à l’efficacité énergétique et à la décarbonation de l’économie</w:t>
            </w:r>
          </w:p>
        </w:tc>
      </w:tr>
      <w:tr w:rsidR="003B6BD9" w14:paraId="2EDBB34E" w14:textId="77777777">
        <w:trPr>
          <w:trHeight w:val="302"/>
        </w:trPr>
        <w:tc>
          <w:tcPr>
            <w:tcW w:w="1247" w:type="dxa"/>
            <w:shd w:val="clear" w:color="auto" w:fill="C6EFCE"/>
            <w:noWrap/>
            <w:vAlign w:val="center"/>
          </w:tcPr>
          <w:p w14:paraId="6E488F88" w14:textId="139A0D1E" w:rsidR="003B6BD9" w:rsidRDefault="009E25E8">
            <w:pPr>
              <w:pStyle w:val="P68B1DB1-Normal18"/>
              <w:spacing w:before="0" w:after="0" w:line="276" w:lineRule="auto"/>
              <w:jc w:val="center"/>
              <w:rPr>
                <w:rFonts w:eastAsia="Times New Roman"/>
                <w:noProof/>
              </w:rPr>
            </w:pPr>
            <w:r>
              <w:rPr>
                <w:noProof/>
              </w:rPr>
              <w:t>218</w:t>
            </w:r>
          </w:p>
        </w:tc>
        <w:tc>
          <w:tcPr>
            <w:tcW w:w="2715" w:type="dxa"/>
            <w:shd w:val="clear" w:color="auto" w:fill="C6EFCE"/>
            <w:noWrap/>
            <w:vAlign w:val="center"/>
          </w:tcPr>
          <w:p w14:paraId="70B75727" w14:textId="33ED9770" w:rsidR="003B6BD9" w:rsidRDefault="009E25E8">
            <w:pPr>
              <w:pStyle w:val="P68B1DB1-Normal18"/>
              <w:spacing w:before="0" w:after="0" w:line="276" w:lineRule="auto"/>
              <w:rPr>
                <w:rFonts w:eastAsia="Times New Roman"/>
                <w:noProof/>
              </w:rPr>
            </w:pPr>
            <w:r>
              <w:rPr>
                <w:noProof/>
              </w:rPr>
              <w:t>E: Promouvoir le déploiement d’infrastructures pour carburants alternatifs dans les transports (à plus grande échelle)</w:t>
            </w:r>
          </w:p>
        </w:tc>
        <w:tc>
          <w:tcPr>
            <w:tcW w:w="1651" w:type="dxa"/>
            <w:shd w:val="clear" w:color="auto" w:fill="C6EFCE"/>
            <w:noWrap/>
            <w:vAlign w:val="center"/>
          </w:tcPr>
          <w:p w14:paraId="44977206" w14:textId="10F75DE3"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00FE1797" w14:textId="6414C373" w:rsidR="003B6BD9" w:rsidRDefault="009E25E8">
            <w:pPr>
              <w:pStyle w:val="P68B1DB1-Normal18"/>
              <w:spacing w:before="0" w:after="0" w:line="276" w:lineRule="auto"/>
              <w:rPr>
                <w:rFonts w:eastAsia="Times New Roman"/>
                <w:noProof/>
              </w:rPr>
            </w:pPr>
            <w:r>
              <w:rPr>
                <w:noProof/>
              </w:rPr>
              <w:t>Publication d’un appel à propositions pour le déploiement d’infrastructures de recharge ou de ravitaillement</w:t>
            </w:r>
          </w:p>
        </w:tc>
      </w:tr>
      <w:tr w:rsidR="003B6BD9" w14:paraId="54906EEA" w14:textId="77777777">
        <w:trPr>
          <w:trHeight w:val="302"/>
        </w:trPr>
        <w:tc>
          <w:tcPr>
            <w:tcW w:w="1247" w:type="dxa"/>
            <w:shd w:val="clear" w:color="auto" w:fill="C6EFCE"/>
            <w:noWrap/>
            <w:vAlign w:val="center"/>
          </w:tcPr>
          <w:p w14:paraId="3D7A7AB3" w14:textId="77777777" w:rsidR="003B6BD9" w:rsidRDefault="003B6BD9">
            <w:pPr>
              <w:spacing w:before="0" w:after="0" w:line="276" w:lineRule="auto"/>
              <w:jc w:val="center"/>
              <w:rPr>
                <w:rFonts w:eastAsia="Times New Roman"/>
                <w:noProof/>
                <w:color w:val="006100"/>
                <w:sz w:val="22"/>
              </w:rPr>
            </w:pPr>
          </w:p>
        </w:tc>
        <w:tc>
          <w:tcPr>
            <w:tcW w:w="2715" w:type="dxa"/>
            <w:shd w:val="clear" w:color="auto" w:fill="C6EFCE"/>
            <w:noWrap/>
            <w:vAlign w:val="center"/>
          </w:tcPr>
          <w:p w14:paraId="1EC1EF52" w14:textId="77777777" w:rsidR="003B6BD9" w:rsidRDefault="003B6BD9">
            <w:pPr>
              <w:spacing w:before="0" w:after="0" w:line="276" w:lineRule="auto"/>
              <w:rPr>
                <w:rFonts w:eastAsia="Times New Roman"/>
                <w:noProof/>
                <w:color w:val="006100"/>
                <w:sz w:val="22"/>
              </w:rPr>
            </w:pPr>
          </w:p>
        </w:tc>
        <w:tc>
          <w:tcPr>
            <w:tcW w:w="1651" w:type="dxa"/>
            <w:shd w:val="clear" w:color="auto" w:fill="C6EFCE"/>
            <w:noWrap/>
            <w:vAlign w:val="center"/>
          </w:tcPr>
          <w:p w14:paraId="1106E71F" w14:textId="3FAD29CB" w:rsidR="003B6BD9" w:rsidRDefault="009E25E8">
            <w:pPr>
              <w:pStyle w:val="P68B1DB1-Normal20"/>
              <w:spacing w:before="0" w:after="0" w:line="276" w:lineRule="auto"/>
              <w:rPr>
                <w:rFonts w:eastAsia="Times New Roman"/>
                <w:noProof/>
              </w:rPr>
            </w:pPr>
            <w:r>
              <w:rPr>
                <w:noProof/>
              </w:rPr>
              <w:t>Montant de l’acompte</w:t>
            </w:r>
          </w:p>
        </w:tc>
        <w:tc>
          <w:tcPr>
            <w:tcW w:w="4139" w:type="dxa"/>
            <w:shd w:val="clear" w:color="auto" w:fill="C6EFCE"/>
            <w:noWrap/>
            <w:vAlign w:val="center"/>
          </w:tcPr>
          <w:p w14:paraId="50DD4AEE" w14:textId="6A4D9339" w:rsidR="003B6BD9" w:rsidRDefault="009E25E8">
            <w:pPr>
              <w:pStyle w:val="P68B1DB1-Normal20"/>
              <w:spacing w:before="0" w:after="0" w:line="276" w:lineRule="auto"/>
              <w:rPr>
                <w:rFonts w:eastAsia="Times New Roman"/>
                <w:noProof/>
              </w:rPr>
            </w:pPr>
            <w:r>
              <w:rPr>
                <w:noProof/>
              </w:rPr>
              <w:t>230 620 992 EUR</w:t>
            </w:r>
          </w:p>
        </w:tc>
      </w:tr>
    </w:tbl>
    <w:p w14:paraId="6700965C" w14:textId="77777777" w:rsidR="003B6BD9" w:rsidRDefault="003B6BD9">
      <w:pPr>
        <w:spacing w:line="240" w:lineRule="auto"/>
        <w:jc w:val="both"/>
        <w:rPr>
          <w:b/>
          <w:noProof/>
        </w:rPr>
      </w:pPr>
    </w:p>
    <w:p w14:paraId="1C952768" w14:textId="5921F003" w:rsidR="003B6BD9" w:rsidRDefault="009E25E8">
      <w:pPr>
        <w:numPr>
          <w:ilvl w:val="1"/>
          <w:numId w:val="18"/>
        </w:numPr>
        <w:spacing w:before="0" w:after="200" w:line="240" w:lineRule="auto"/>
        <w:jc w:val="both"/>
        <w:rPr>
          <w:b/>
          <w:noProof/>
        </w:rPr>
      </w:pPr>
      <w:r>
        <w:rPr>
          <w:noProof/>
        </w:rPr>
        <w:t>Septième tranche (aide non remboursable):</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80"/>
        <w:gridCol w:w="4080"/>
      </w:tblGrid>
      <w:tr w:rsidR="003B6BD9" w14:paraId="407EEEA0" w14:textId="77777777">
        <w:trPr>
          <w:trHeight w:val="567"/>
          <w:tblHeader/>
        </w:trPr>
        <w:tc>
          <w:tcPr>
            <w:tcW w:w="1247" w:type="dxa"/>
            <w:vMerge w:val="restart"/>
            <w:shd w:val="clear" w:color="auto" w:fill="BDD7EE"/>
            <w:vAlign w:val="center"/>
            <w:hideMark/>
          </w:tcPr>
          <w:p w14:paraId="558CED72" w14:textId="6845ABD4" w:rsidR="003B6BD9" w:rsidRDefault="009E25E8">
            <w:pPr>
              <w:pStyle w:val="P68B1DB1-Normal17"/>
              <w:spacing w:before="0" w:after="0" w:line="276" w:lineRule="auto"/>
              <w:jc w:val="center"/>
              <w:rPr>
                <w:rFonts w:eastAsia="Times New Roman"/>
                <w:noProof/>
              </w:rPr>
            </w:pPr>
            <w:r>
              <w:rPr>
                <w:noProof/>
              </w:rPr>
              <w:t>Et suivants Non.</w:t>
            </w:r>
          </w:p>
        </w:tc>
        <w:tc>
          <w:tcPr>
            <w:tcW w:w="2715" w:type="dxa"/>
            <w:vMerge w:val="restart"/>
            <w:shd w:val="clear" w:color="auto" w:fill="BDD7EE"/>
            <w:vAlign w:val="center"/>
            <w:hideMark/>
          </w:tcPr>
          <w:p w14:paraId="1A7E02F0" w14:textId="77777777" w:rsidR="003B6BD9" w:rsidRDefault="009E25E8">
            <w:pPr>
              <w:pStyle w:val="P68B1DB1-Normal17"/>
              <w:spacing w:before="0" w:after="0" w:line="276" w:lineRule="auto"/>
              <w:jc w:val="center"/>
              <w:rPr>
                <w:rFonts w:eastAsia="Times New Roman"/>
                <w:noProof/>
              </w:rPr>
            </w:pPr>
            <w:r>
              <w:rPr>
                <w:noProof/>
              </w:rPr>
              <w:t>Mesure connexe (réforme ou investissement)</w:t>
            </w:r>
          </w:p>
        </w:tc>
        <w:tc>
          <w:tcPr>
            <w:tcW w:w="1680" w:type="dxa"/>
            <w:vMerge w:val="restart"/>
            <w:shd w:val="clear" w:color="auto" w:fill="BDD7EE"/>
            <w:vAlign w:val="center"/>
            <w:hideMark/>
          </w:tcPr>
          <w:p w14:paraId="6F436077" w14:textId="77777777" w:rsidR="003B6BD9" w:rsidRDefault="009E25E8">
            <w:pPr>
              <w:pStyle w:val="P68B1DB1-Normal17"/>
              <w:spacing w:before="0" w:after="0" w:line="276" w:lineRule="auto"/>
              <w:jc w:val="center"/>
              <w:rPr>
                <w:rFonts w:eastAsia="Times New Roman"/>
                <w:noProof/>
              </w:rPr>
            </w:pPr>
            <w:r>
              <w:rPr>
                <w:noProof/>
              </w:rPr>
              <w:t>Étape/Objectif</w:t>
            </w:r>
          </w:p>
        </w:tc>
        <w:tc>
          <w:tcPr>
            <w:tcW w:w="4080" w:type="dxa"/>
            <w:vMerge w:val="restart"/>
            <w:shd w:val="clear" w:color="auto" w:fill="BDD7EE"/>
            <w:vAlign w:val="center"/>
            <w:hideMark/>
          </w:tcPr>
          <w:p w14:paraId="06D8A6AD" w14:textId="77777777" w:rsidR="003B6BD9" w:rsidRDefault="009E25E8">
            <w:pPr>
              <w:pStyle w:val="P68B1DB1-Normal17"/>
              <w:spacing w:before="0" w:after="0" w:line="276" w:lineRule="auto"/>
              <w:jc w:val="center"/>
              <w:rPr>
                <w:rFonts w:eastAsia="Times New Roman"/>
                <w:noProof/>
              </w:rPr>
            </w:pPr>
            <w:r>
              <w:rPr>
                <w:noProof/>
              </w:rPr>
              <w:t>Nom</w:t>
            </w:r>
          </w:p>
        </w:tc>
      </w:tr>
      <w:tr w:rsidR="003B6BD9" w14:paraId="7AE69778" w14:textId="77777777">
        <w:trPr>
          <w:trHeight w:val="309"/>
          <w:tblHeader/>
        </w:trPr>
        <w:tc>
          <w:tcPr>
            <w:tcW w:w="1247" w:type="dxa"/>
            <w:vMerge/>
            <w:vAlign w:val="center"/>
            <w:hideMark/>
          </w:tcPr>
          <w:p w14:paraId="6095374E" w14:textId="77777777" w:rsidR="003B6BD9" w:rsidRDefault="003B6BD9">
            <w:pPr>
              <w:spacing w:before="0" w:after="0" w:line="276" w:lineRule="auto"/>
              <w:rPr>
                <w:rFonts w:eastAsia="Times New Roman"/>
                <w:b/>
                <w:noProof/>
                <w:sz w:val="22"/>
                <w:szCs w:val="24"/>
              </w:rPr>
            </w:pPr>
          </w:p>
        </w:tc>
        <w:tc>
          <w:tcPr>
            <w:tcW w:w="2715" w:type="dxa"/>
            <w:vMerge/>
            <w:vAlign w:val="center"/>
            <w:hideMark/>
          </w:tcPr>
          <w:p w14:paraId="57779A9A" w14:textId="77777777" w:rsidR="003B6BD9" w:rsidRDefault="003B6BD9">
            <w:pPr>
              <w:spacing w:before="0" w:after="0" w:line="276" w:lineRule="auto"/>
              <w:rPr>
                <w:rFonts w:eastAsia="Times New Roman"/>
                <w:b/>
                <w:noProof/>
                <w:sz w:val="22"/>
                <w:szCs w:val="24"/>
              </w:rPr>
            </w:pPr>
          </w:p>
        </w:tc>
        <w:tc>
          <w:tcPr>
            <w:tcW w:w="1680" w:type="dxa"/>
            <w:vMerge/>
            <w:vAlign w:val="center"/>
            <w:hideMark/>
          </w:tcPr>
          <w:p w14:paraId="2272FC09" w14:textId="77777777" w:rsidR="003B6BD9" w:rsidRDefault="003B6BD9">
            <w:pPr>
              <w:spacing w:before="0" w:after="0" w:line="276" w:lineRule="auto"/>
              <w:rPr>
                <w:rFonts w:eastAsia="Times New Roman"/>
                <w:b/>
                <w:noProof/>
                <w:sz w:val="22"/>
                <w:szCs w:val="24"/>
              </w:rPr>
            </w:pPr>
          </w:p>
        </w:tc>
        <w:tc>
          <w:tcPr>
            <w:tcW w:w="4080" w:type="dxa"/>
            <w:vMerge/>
            <w:vAlign w:val="center"/>
            <w:hideMark/>
          </w:tcPr>
          <w:p w14:paraId="303BA2F0" w14:textId="77777777" w:rsidR="003B6BD9" w:rsidRDefault="003B6BD9">
            <w:pPr>
              <w:spacing w:before="0" w:after="0" w:line="276" w:lineRule="auto"/>
              <w:rPr>
                <w:rFonts w:eastAsia="Times New Roman"/>
                <w:b/>
                <w:noProof/>
                <w:sz w:val="22"/>
                <w:szCs w:val="24"/>
              </w:rPr>
            </w:pPr>
          </w:p>
        </w:tc>
      </w:tr>
      <w:tr w:rsidR="003B6BD9" w14:paraId="3196D1DF" w14:textId="77777777">
        <w:trPr>
          <w:trHeight w:val="302"/>
        </w:trPr>
        <w:tc>
          <w:tcPr>
            <w:tcW w:w="1247" w:type="dxa"/>
            <w:shd w:val="clear" w:color="auto" w:fill="C6EFCE"/>
            <w:noWrap/>
            <w:vAlign w:val="center"/>
          </w:tcPr>
          <w:p w14:paraId="7B4DBEF7" w14:textId="6067F57C" w:rsidR="003B6BD9" w:rsidRDefault="009E25E8">
            <w:pPr>
              <w:pStyle w:val="P68B1DB1-Normal18"/>
              <w:spacing w:before="0" w:after="0" w:line="276" w:lineRule="auto"/>
              <w:jc w:val="center"/>
              <w:rPr>
                <w:rFonts w:eastAsia="Times New Roman"/>
                <w:noProof/>
              </w:rPr>
            </w:pPr>
            <w:r>
              <w:rPr>
                <w:noProof/>
              </w:rPr>
              <w:t>3</w:t>
            </w:r>
          </w:p>
        </w:tc>
        <w:tc>
          <w:tcPr>
            <w:tcW w:w="2715" w:type="dxa"/>
            <w:shd w:val="clear" w:color="auto" w:fill="C6EFCE"/>
            <w:noWrap/>
            <w:vAlign w:val="center"/>
          </w:tcPr>
          <w:p w14:paraId="70A40AFB" w14:textId="5E5E8299" w:rsidR="003B6BD9" w:rsidRDefault="009E25E8">
            <w:pPr>
              <w:pStyle w:val="P68B1DB1-Normal18"/>
              <w:spacing w:before="0" w:after="0" w:line="276" w:lineRule="auto"/>
              <w:rPr>
                <w:rFonts w:eastAsia="Times New Roman"/>
                <w:noProof/>
              </w:rPr>
            </w:pPr>
            <w:r>
              <w:rPr>
                <w:noProof/>
              </w:rPr>
              <w:t>A: Réforme de la promotion des sources d’énergie renouvelables en Slovénie</w:t>
            </w:r>
          </w:p>
        </w:tc>
        <w:tc>
          <w:tcPr>
            <w:tcW w:w="1680" w:type="dxa"/>
            <w:shd w:val="clear" w:color="auto" w:fill="C6EFCE"/>
            <w:noWrap/>
            <w:vAlign w:val="center"/>
          </w:tcPr>
          <w:p w14:paraId="604625C2" w14:textId="6AC50936" w:rsidR="003B6BD9" w:rsidRDefault="009E25E8">
            <w:pPr>
              <w:pStyle w:val="P68B1DB1-Normal18"/>
              <w:spacing w:before="0" w:after="0" w:line="276" w:lineRule="auto"/>
              <w:rPr>
                <w:rFonts w:eastAsia="Times New Roman"/>
                <w:noProof/>
              </w:rPr>
            </w:pPr>
            <w:r>
              <w:rPr>
                <w:noProof/>
              </w:rPr>
              <w:t>Jalon</w:t>
            </w:r>
          </w:p>
        </w:tc>
        <w:tc>
          <w:tcPr>
            <w:tcW w:w="4080" w:type="dxa"/>
            <w:shd w:val="clear" w:color="auto" w:fill="C6EFCE"/>
            <w:noWrap/>
            <w:vAlign w:val="center"/>
          </w:tcPr>
          <w:p w14:paraId="7E2376F0" w14:textId="23FF5075" w:rsidR="003B6BD9" w:rsidRDefault="009E25E8">
            <w:pPr>
              <w:pStyle w:val="P68B1DB1-Normal18"/>
              <w:spacing w:before="0" w:after="0" w:line="276" w:lineRule="auto"/>
              <w:rPr>
                <w:rFonts w:eastAsia="Times New Roman"/>
                <w:noProof/>
              </w:rPr>
            </w:pPr>
            <w:r>
              <w:rPr>
                <w:noProof/>
              </w:rPr>
              <w:t>Entrée en vigueur d’un ou de plusieurs actes juridiques</w:t>
            </w:r>
          </w:p>
        </w:tc>
      </w:tr>
      <w:tr w:rsidR="003B6BD9" w14:paraId="2E77C632" w14:textId="77777777">
        <w:trPr>
          <w:trHeight w:val="302"/>
        </w:trPr>
        <w:tc>
          <w:tcPr>
            <w:tcW w:w="1247" w:type="dxa"/>
            <w:shd w:val="clear" w:color="auto" w:fill="C6EFCE"/>
            <w:noWrap/>
            <w:vAlign w:val="center"/>
          </w:tcPr>
          <w:p w14:paraId="126E2EE7" w14:textId="1B0C171A" w:rsidR="003B6BD9" w:rsidRDefault="009E25E8">
            <w:pPr>
              <w:pStyle w:val="P68B1DB1-Normal18"/>
              <w:spacing w:before="0" w:after="0" w:line="276" w:lineRule="auto"/>
              <w:jc w:val="center"/>
              <w:rPr>
                <w:rFonts w:eastAsia="Times New Roman"/>
                <w:noProof/>
              </w:rPr>
            </w:pPr>
            <w:r>
              <w:rPr>
                <w:noProof/>
              </w:rPr>
              <w:t>30</w:t>
            </w:r>
          </w:p>
        </w:tc>
        <w:tc>
          <w:tcPr>
            <w:tcW w:w="2715" w:type="dxa"/>
            <w:shd w:val="clear" w:color="auto" w:fill="C6EFCE"/>
            <w:noWrap/>
            <w:vAlign w:val="center"/>
          </w:tcPr>
          <w:p w14:paraId="280A1841" w14:textId="39DEFC3D" w:rsidR="003B6BD9" w:rsidRDefault="009E25E8">
            <w:pPr>
              <w:pStyle w:val="P68B1DB1-Normal18"/>
              <w:spacing w:before="0" w:after="0" w:line="276" w:lineRule="auto"/>
              <w:rPr>
                <w:noProof/>
              </w:rPr>
            </w:pPr>
            <w:r>
              <w:rPr>
                <w:noProof/>
              </w:rPr>
              <w:t>E: Résilience sociale et économique aux catastrophes liées au climat en République de Slovénie</w:t>
            </w:r>
          </w:p>
        </w:tc>
        <w:tc>
          <w:tcPr>
            <w:tcW w:w="1680" w:type="dxa"/>
            <w:shd w:val="clear" w:color="auto" w:fill="C6EFCE"/>
            <w:noWrap/>
            <w:vAlign w:val="center"/>
          </w:tcPr>
          <w:p w14:paraId="26514244" w14:textId="3A7F880D" w:rsidR="003B6BD9" w:rsidRDefault="009E25E8">
            <w:pPr>
              <w:pStyle w:val="P68B1DB1-Normal18"/>
              <w:spacing w:before="0" w:after="0" w:line="276" w:lineRule="auto"/>
              <w:rPr>
                <w:noProof/>
              </w:rPr>
            </w:pPr>
            <w:r>
              <w:rPr>
                <w:noProof/>
              </w:rPr>
              <w:t>Cible</w:t>
            </w:r>
          </w:p>
        </w:tc>
        <w:tc>
          <w:tcPr>
            <w:tcW w:w="4080" w:type="dxa"/>
            <w:shd w:val="clear" w:color="auto" w:fill="C6EFCE"/>
            <w:noWrap/>
            <w:vAlign w:val="center"/>
          </w:tcPr>
          <w:p w14:paraId="1667FD94" w14:textId="1E461D68" w:rsidR="003B6BD9" w:rsidRDefault="009E25E8">
            <w:pPr>
              <w:pStyle w:val="P68B1DB1-Normal18"/>
              <w:spacing w:before="0" w:after="0" w:line="276" w:lineRule="auto"/>
              <w:rPr>
                <w:noProof/>
              </w:rPr>
            </w:pPr>
            <w:r>
              <w:rPr>
                <w:noProof/>
              </w:rPr>
              <w:t>Construction d’un centre de formation des unités de protection civile et de secours en cas de catastrophe pour faire face aux incendies de forêt</w:t>
            </w:r>
          </w:p>
        </w:tc>
      </w:tr>
      <w:tr w:rsidR="003B6BD9" w14:paraId="7F33B01B" w14:textId="77777777">
        <w:trPr>
          <w:trHeight w:val="302"/>
        </w:trPr>
        <w:tc>
          <w:tcPr>
            <w:tcW w:w="1247" w:type="dxa"/>
            <w:shd w:val="clear" w:color="auto" w:fill="C6EFCE"/>
            <w:noWrap/>
            <w:vAlign w:val="center"/>
          </w:tcPr>
          <w:p w14:paraId="17A24C25" w14:textId="0F416E77" w:rsidR="003B6BD9" w:rsidRDefault="009E25E8">
            <w:pPr>
              <w:pStyle w:val="P68B1DB1-Normal18"/>
              <w:spacing w:before="0" w:after="0" w:line="276" w:lineRule="auto"/>
              <w:jc w:val="center"/>
              <w:rPr>
                <w:rFonts w:eastAsia="Times New Roman"/>
                <w:noProof/>
              </w:rPr>
            </w:pPr>
            <w:r>
              <w:rPr>
                <w:noProof/>
              </w:rPr>
              <w:t>32</w:t>
            </w:r>
          </w:p>
        </w:tc>
        <w:tc>
          <w:tcPr>
            <w:tcW w:w="2715" w:type="dxa"/>
            <w:shd w:val="clear" w:color="auto" w:fill="C6EFCE"/>
            <w:noWrap/>
            <w:vAlign w:val="center"/>
          </w:tcPr>
          <w:p w14:paraId="484FE8EE" w14:textId="0B9AFD8E" w:rsidR="003B6BD9" w:rsidRDefault="009E25E8">
            <w:pPr>
              <w:pStyle w:val="P68B1DB1-Normal18"/>
              <w:spacing w:before="0" w:after="0" w:line="276" w:lineRule="auto"/>
              <w:rPr>
                <w:rFonts w:eastAsia="Times New Roman"/>
                <w:noProof/>
              </w:rPr>
            </w:pPr>
            <w:r>
              <w:rPr>
                <w:noProof/>
              </w:rPr>
              <w:t xml:space="preserve">F: Réduction des risques d’inondation </w:t>
            </w:r>
          </w:p>
        </w:tc>
        <w:tc>
          <w:tcPr>
            <w:tcW w:w="1680" w:type="dxa"/>
            <w:shd w:val="clear" w:color="auto" w:fill="C6EFCE"/>
            <w:noWrap/>
            <w:vAlign w:val="center"/>
          </w:tcPr>
          <w:p w14:paraId="3CA7C2DC" w14:textId="0224CF74" w:rsidR="003B6BD9" w:rsidRDefault="009E25E8">
            <w:pPr>
              <w:pStyle w:val="P68B1DB1-Normal18"/>
              <w:spacing w:before="0" w:after="0" w:line="276" w:lineRule="auto"/>
              <w:rPr>
                <w:rFonts w:eastAsia="Times New Roman"/>
                <w:noProof/>
              </w:rPr>
            </w:pPr>
            <w:r>
              <w:rPr>
                <w:noProof/>
              </w:rPr>
              <w:t>Jalon</w:t>
            </w:r>
          </w:p>
        </w:tc>
        <w:tc>
          <w:tcPr>
            <w:tcW w:w="4080" w:type="dxa"/>
            <w:shd w:val="clear" w:color="auto" w:fill="C6EFCE"/>
            <w:noWrap/>
            <w:vAlign w:val="center"/>
          </w:tcPr>
          <w:p w14:paraId="0AEB47F1" w14:textId="14BE6B74" w:rsidR="003B6BD9" w:rsidRDefault="009E25E8">
            <w:pPr>
              <w:pStyle w:val="P68B1DB1-Normal18"/>
              <w:spacing w:before="0" w:after="0" w:line="276" w:lineRule="auto"/>
              <w:rPr>
                <w:rFonts w:eastAsia="Times New Roman"/>
                <w:noProof/>
              </w:rPr>
            </w:pPr>
            <w:r>
              <w:rPr>
                <w:noProof/>
              </w:rPr>
              <w:t>Attribution de marchés pour des projets de protection contre les inondations</w:t>
            </w:r>
          </w:p>
        </w:tc>
      </w:tr>
      <w:tr w:rsidR="003B6BD9" w14:paraId="309B94E0" w14:textId="77777777">
        <w:trPr>
          <w:trHeight w:val="302"/>
        </w:trPr>
        <w:tc>
          <w:tcPr>
            <w:tcW w:w="1247" w:type="dxa"/>
            <w:shd w:val="clear" w:color="auto" w:fill="C6EFCE"/>
            <w:noWrap/>
            <w:vAlign w:val="center"/>
          </w:tcPr>
          <w:p w14:paraId="148D1D44" w14:textId="5C378B98" w:rsidR="003B6BD9" w:rsidRDefault="009E25E8">
            <w:pPr>
              <w:pStyle w:val="P68B1DB1-Normal18"/>
              <w:spacing w:before="0" w:after="0" w:line="276" w:lineRule="auto"/>
              <w:jc w:val="center"/>
              <w:rPr>
                <w:rFonts w:eastAsia="Times New Roman"/>
                <w:noProof/>
              </w:rPr>
            </w:pPr>
            <w:r>
              <w:rPr>
                <w:noProof/>
              </w:rPr>
              <w:t>39</w:t>
            </w:r>
          </w:p>
        </w:tc>
        <w:tc>
          <w:tcPr>
            <w:tcW w:w="2715" w:type="dxa"/>
            <w:shd w:val="clear" w:color="auto" w:fill="C6EFCE"/>
            <w:noWrap/>
            <w:vAlign w:val="center"/>
          </w:tcPr>
          <w:p w14:paraId="04A8878F" w14:textId="1D06522A" w:rsidR="003B6BD9" w:rsidRDefault="009E25E8">
            <w:pPr>
              <w:pStyle w:val="P68B1DB1-Normal18"/>
              <w:spacing w:before="0" w:after="0" w:line="276" w:lineRule="auto"/>
              <w:rPr>
                <w:rFonts w:eastAsia="Times New Roman"/>
                <w:noProof/>
              </w:rPr>
            </w:pPr>
            <w:r>
              <w:rPr>
                <w:noProof/>
              </w:rPr>
              <w:t>H: Projets de rejet et de traitement des eaux urbaines résiduaires</w:t>
            </w:r>
          </w:p>
        </w:tc>
        <w:tc>
          <w:tcPr>
            <w:tcW w:w="1680" w:type="dxa"/>
            <w:shd w:val="clear" w:color="auto" w:fill="C6EFCE"/>
            <w:noWrap/>
            <w:vAlign w:val="center"/>
          </w:tcPr>
          <w:p w14:paraId="506521DC" w14:textId="168AD9BF" w:rsidR="003B6BD9" w:rsidRDefault="009E25E8">
            <w:pPr>
              <w:pStyle w:val="P68B1DB1-Normal18"/>
              <w:spacing w:before="0" w:after="0" w:line="276" w:lineRule="auto"/>
              <w:rPr>
                <w:rFonts w:eastAsia="Times New Roman"/>
                <w:noProof/>
              </w:rPr>
            </w:pPr>
            <w:r>
              <w:rPr>
                <w:noProof/>
              </w:rPr>
              <w:t>Cible</w:t>
            </w:r>
          </w:p>
        </w:tc>
        <w:tc>
          <w:tcPr>
            <w:tcW w:w="4080" w:type="dxa"/>
            <w:shd w:val="clear" w:color="auto" w:fill="C6EFCE"/>
            <w:noWrap/>
            <w:vAlign w:val="center"/>
          </w:tcPr>
          <w:p w14:paraId="52D0D581" w14:textId="682CF789" w:rsidR="003B6BD9" w:rsidRDefault="009E25E8">
            <w:pPr>
              <w:pStyle w:val="P68B1DB1-Normal18"/>
              <w:spacing w:before="0" w:after="0" w:line="276" w:lineRule="auto"/>
              <w:rPr>
                <w:rFonts w:eastAsia="Times New Roman"/>
                <w:noProof/>
              </w:rPr>
            </w:pPr>
            <w:r>
              <w:rPr>
                <w:noProof/>
              </w:rPr>
              <w:t xml:space="preserve">Nombre de </w:t>
            </w:r>
            <w:r>
              <w:rPr>
                <w:rFonts w:eastAsia="Times New Roman"/>
                <w:noProof/>
              </w:rPr>
              <w:t xml:space="preserve">nouveaux systèmes de traitement des eaux usées </w:t>
            </w:r>
            <w:r>
              <w:rPr>
                <w:noProof/>
              </w:rPr>
              <w:t>construits ou de systèmes existants reconstruits</w:t>
            </w:r>
          </w:p>
        </w:tc>
      </w:tr>
      <w:tr w:rsidR="003B6BD9" w14:paraId="7ED03730" w14:textId="77777777">
        <w:trPr>
          <w:trHeight w:val="302"/>
        </w:trPr>
        <w:tc>
          <w:tcPr>
            <w:tcW w:w="1247" w:type="dxa"/>
            <w:shd w:val="clear" w:color="auto" w:fill="C6EFCE"/>
            <w:noWrap/>
            <w:vAlign w:val="center"/>
          </w:tcPr>
          <w:p w14:paraId="5BAB1523" w14:textId="59F3212E" w:rsidR="003B6BD9" w:rsidRDefault="009E25E8">
            <w:pPr>
              <w:pStyle w:val="P68B1DB1-Normal18"/>
              <w:spacing w:before="0" w:after="0" w:line="276" w:lineRule="auto"/>
              <w:jc w:val="center"/>
              <w:rPr>
                <w:rFonts w:eastAsia="Times New Roman"/>
                <w:noProof/>
              </w:rPr>
            </w:pPr>
            <w:r>
              <w:rPr>
                <w:noProof/>
              </w:rPr>
              <w:t>43</w:t>
            </w:r>
          </w:p>
        </w:tc>
        <w:tc>
          <w:tcPr>
            <w:tcW w:w="2715" w:type="dxa"/>
            <w:shd w:val="clear" w:color="auto" w:fill="C6EFCE"/>
            <w:noWrap/>
            <w:vAlign w:val="center"/>
          </w:tcPr>
          <w:p w14:paraId="4D56CFA8" w14:textId="5484CCF1" w:rsidR="003B6BD9" w:rsidRDefault="009E25E8">
            <w:pPr>
              <w:pStyle w:val="P68B1DB1-Normal18"/>
              <w:spacing w:before="0" w:after="0" w:line="276" w:lineRule="auto"/>
              <w:rPr>
                <w:rFonts w:eastAsia="Times New Roman"/>
                <w:noProof/>
              </w:rPr>
            </w:pPr>
            <w:r>
              <w:rPr>
                <w:noProof/>
              </w:rPr>
              <w:t>I: Projets d’approvisionnement en eau potable et d’économies d’eau</w:t>
            </w:r>
          </w:p>
        </w:tc>
        <w:tc>
          <w:tcPr>
            <w:tcW w:w="1680" w:type="dxa"/>
            <w:shd w:val="clear" w:color="auto" w:fill="C6EFCE"/>
            <w:noWrap/>
            <w:vAlign w:val="center"/>
          </w:tcPr>
          <w:p w14:paraId="1669481C" w14:textId="05B72ED1" w:rsidR="003B6BD9" w:rsidRDefault="009E25E8">
            <w:pPr>
              <w:pStyle w:val="P68B1DB1-Normal18"/>
              <w:spacing w:before="0" w:after="0" w:line="276" w:lineRule="auto"/>
              <w:rPr>
                <w:rFonts w:eastAsia="Times New Roman"/>
                <w:noProof/>
              </w:rPr>
            </w:pPr>
            <w:r>
              <w:rPr>
                <w:noProof/>
              </w:rPr>
              <w:t>Cible</w:t>
            </w:r>
          </w:p>
        </w:tc>
        <w:tc>
          <w:tcPr>
            <w:tcW w:w="4080" w:type="dxa"/>
            <w:shd w:val="clear" w:color="auto" w:fill="C6EFCE"/>
            <w:noWrap/>
            <w:vAlign w:val="center"/>
          </w:tcPr>
          <w:p w14:paraId="6000191C" w14:textId="20213E07" w:rsidR="003B6BD9" w:rsidRDefault="009E25E8">
            <w:pPr>
              <w:pStyle w:val="P68B1DB1-Normal18"/>
              <w:spacing w:before="0" w:after="0" w:line="276" w:lineRule="auto"/>
              <w:rPr>
                <w:rFonts w:eastAsia="Times New Roman"/>
                <w:noProof/>
              </w:rPr>
            </w:pPr>
            <w:r>
              <w:rPr>
                <w:noProof/>
              </w:rPr>
              <w:t>Nombre de nouveaux systèmes d’approvisionnement en eau potable construits ou de systèmes d’approvisionnement en eau potable existants reconstruits</w:t>
            </w:r>
          </w:p>
        </w:tc>
      </w:tr>
      <w:tr w:rsidR="003B6BD9" w14:paraId="07BD31B4" w14:textId="77777777">
        <w:trPr>
          <w:trHeight w:val="302"/>
        </w:trPr>
        <w:tc>
          <w:tcPr>
            <w:tcW w:w="1247" w:type="dxa"/>
            <w:shd w:val="clear" w:color="auto" w:fill="C6EFCE"/>
            <w:noWrap/>
            <w:vAlign w:val="center"/>
          </w:tcPr>
          <w:p w14:paraId="40635524" w14:textId="2AF2E4F3" w:rsidR="003B6BD9" w:rsidRDefault="009E25E8">
            <w:pPr>
              <w:pStyle w:val="P68B1DB1-Normal18"/>
              <w:spacing w:before="0" w:after="0" w:line="276" w:lineRule="auto"/>
              <w:jc w:val="center"/>
              <w:rPr>
                <w:rFonts w:eastAsia="Times New Roman"/>
                <w:noProof/>
              </w:rPr>
            </w:pPr>
            <w:r>
              <w:rPr>
                <w:noProof/>
              </w:rPr>
              <w:t>60</w:t>
            </w:r>
          </w:p>
        </w:tc>
        <w:tc>
          <w:tcPr>
            <w:tcW w:w="2715" w:type="dxa"/>
            <w:shd w:val="clear" w:color="auto" w:fill="C6EFCE"/>
            <w:noWrap/>
            <w:vAlign w:val="center"/>
          </w:tcPr>
          <w:p w14:paraId="3DC61966" w14:textId="434609BB" w:rsidR="003B6BD9" w:rsidRDefault="009E25E8">
            <w:pPr>
              <w:pStyle w:val="P68B1DB1-Normal18"/>
              <w:spacing w:before="0" w:after="0" w:line="276" w:lineRule="auto"/>
              <w:rPr>
                <w:noProof/>
              </w:rPr>
            </w:pPr>
            <w:r>
              <w:rPr>
                <w:noProof/>
              </w:rPr>
              <w:t>C: Augmenter les capacités de l’infrastructure ferroviaire</w:t>
            </w:r>
          </w:p>
        </w:tc>
        <w:tc>
          <w:tcPr>
            <w:tcW w:w="1680" w:type="dxa"/>
            <w:shd w:val="clear" w:color="auto" w:fill="C6EFCE"/>
            <w:noWrap/>
            <w:vAlign w:val="center"/>
          </w:tcPr>
          <w:p w14:paraId="73C9374B" w14:textId="70F02166" w:rsidR="003B6BD9" w:rsidRDefault="009E25E8">
            <w:pPr>
              <w:pStyle w:val="P68B1DB1-Normal18"/>
              <w:spacing w:before="0" w:after="0" w:line="276" w:lineRule="auto"/>
              <w:rPr>
                <w:noProof/>
              </w:rPr>
            </w:pPr>
            <w:r>
              <w:rPr>
                <w:noProof/>
              </w:rPr>
              <w:t>Cible</w:t>
            </w:r>
          </w:p>
        </w:tc>
        <w:tc>
          <w:tcPr>
            <w:tcW w:w="4080" w:type="dxa"/>
            <w:shd w:val="clear" w:color="auto" w:fill="C6EFCE"/>
            <w:noWrap/>
            <w:vAlign w:val="center"/>
          </w:tcPr>
          <w:p w14:paraId="095B1EE7" w14:textId="473E376C" w:rsidR="003B6BD9" w:rsidRDefault="009E25E8">
            <w:pPr>
              <w:pStyle w:val="P68B1DB1-Normal18"/>
              <w:spacing w:before="0" w:after="0" w:line="276" w:lineRule="auto"/>
              <w:rPr>
                <w:noProof/>
              </w:rPr>
            </w:pPr>
            <w:r>
              <w:rPr>
                <w:noProof/>
              </w:rPr>
              <w:t>Longueur des lignes ferroviaires reconstruites</w:t>
            </w:r>
          </w:p>
        </w:tc>
      </w:tr>
      <w:tr w:rsidR="003B6BD9" w14:paraId="0C28B57F" w14:textId="77777777">
        <w:trPr>
          <w:trHeight w:val="302"/>
        </w:trPr>
        <w:tc>
          <w:tcPr>
            <w:tcW w:w="1247" w:type="dxa"/>
            <w:shd w:val="clear" w:color="auto" w:fill="C6EFCE"/>
            <w:noWrap/>
            <w:vAlign w:val="center"/>
          </w:tcPr>
          <w:p w14:paraId="14E21B7C" w14:textId="5F4CCF2E" w:rsidR="003B6BD9" w:rsidRDefault="009E25E8">
            <w:pPr>
              <w:pStyle w:val="P68B1DB1-Normal18"/>
              <w:spacing w:before="0" w:after="0" w:line="276" w:lineRule="auto"/>
              <w:jc w:val="center"/>
              <w:rPr>
                <w:rFonts w:eastAsia="Times New Roman"/>
                <w:noProof/>
              </w:rPr>
            </w:pPr>
            <w:r>
              <w:rPr>
                <w:noProof/>
              </w:rPr>
              <w:t>74</w:t>
            </w:r>
          </w:p>
        </w:tc>
        <w:tc>
          <w:tcPr>
            <w:tcW w:w="2715" w:type="dxa"/>
            <w:shd w:val="clear" w:color="auto" w:fill="C6EFCE"/>
            <w:noWrap/>
            <w:vAlign w:val="center"/>
          </w:tcPr>
          <w:p w14:paraId="41451F04" w14:textId="6C0C4863" w:rsidR="003B6BD9" w:rsidRDefault="009E25E8">
            <w:pPr>
              <w:pStyle w:val="P68B1DB1-Normal18"/>
              <w:spacing w:before="0" w:after="0" w:line="276" w:lineRule="auto"/>
              <w:rPr>
                <w:rFonts w:eastAsia="Times New Roman"/>
                <w:noProof/>
              </w:rPr>
            </w:pPr>
            <w:r>
              <w:rPr>
                <w:noProof/>
              </w:rPr>
              <w:t>C: Accroître la transformation du bois pour accélérer la transition vers une société neutre pour le climat</w:t>
            </w:r>
          </w:p>
        </w:tc>
        <w:tc>
          <w:tcPr>
            <w:tcW w:w="1680" w:type="dxa"/>
            <w:shd w:val="clear" w:color="auto" w:fill="C6EFCE"/>
            <w:noWrap/>
            <w:vAlign w:val="center"/>
          </w:tcPr>
          <w:p w14:paraId="13C3B46C" w14:textId="2E420057" w:rsidR="003B6BD9" w:rsidRDefault="009E25E8">
            <w:pPr>
              <w:pStyle w:val="P68B1DB1-Normal18"/>
              <w:spacing w:before="0" w:after="0" w:line="276" w:lineRule="auto"/>
              <w:rPr>
                <w:rFonts w:eastAsia="Times New Roman"/>
                <w:noProof/>
              </w:rPr>
            </w:pPr>
            <w:r>
              <w:rPr>
                <w:noProof/>
              </w:rPr>
              <w:t>Jalon</w:t>
            </w:r>
          </w:p>
        </w:tc>
        <w:tc>
          <w:tcPr>
            <w:tcW w:w="4080" w:type="dxa"/>
            <w:shd w:val="clear" w:color="auto" w:fill="C6EFCE"/>
            <w:noWrap/>
            <w:vAlign w:val="center"/>
          </w:tcPr>
          <w:p w14:paraId="55ED5026" w14:textId="365564AA" w:rsidR="003B6BD9" w:rsidRDefault="009E25E8">
            <w:pPr>
              <w:pStyle w:val="P68B1DB1-Normal18"/>
              <w:spacing w:before="0" w:after="0" w:line="276" w:lineRule="auto"/>
              <w:rPr>
                <w:rFonts w:eastAsia="Times New Roman"/>
                <w:noProof/>
              </w:rPr>
            </w:pPr>
            <w:r>
              <w:rPr>
                <w:noProof/>
              </w:rPr>
              <w:t>Décisions de subvention pour des projets en faveur de la transformation du bois</w:t>
            </w:r>
          </w:p>
        </w:tc>
      </w:tr>
      <w:tr w:rsidR="003B6BD9" w14:paraId="30467203" w14:textId="77777777">
        <w:trPr>
          <w:trHeight w:val="302"/>
        </w:trPr>
        <w:tc>
          <w:tcPr>
            <w:tcW w:w="1247" w:type="dxa"/>
            <w:shd w:val="clear" w:color="auto" w:fill="C6EFCE"/>
            <w:noWrap/>
            <w:vAlign w:val="center"/>
          </w:tcPr>
          <w:p w14:paraId="422AB429" w14:textId="20B50003" w:rsidR="003B6BD9" w:rsidRDefault="009E25E8">
            <w:pPr>
              <w:pStyle w:val="P68B1DB1-Normal18"/>
              <w:spacing w:before="0" w:after="0" w:line="276" w:lineRule="auto"/>
              <w:jc w:val="center"/>
              <w:rPr>
                <w:rFonts w:eastAsia="Times New Roman"/>
                <w:noProof/>
              </w:rPr>
            </w:pPr>
            <w:r>
              <w:rPr>
                <w:noProof/>
              </w:rPr>
              <w:t>75</w:t>
            </w:r>
          </w:p>
        </w:tc>
        <w:tc>
          <w:tcPr>
            <w:tcW w:w="2715" w:type="dxa"/>
            <w:shd w:val="clear" w:color="auto" w:fill="C6EFCE"/>
            <w:noWrap/>
            <w:vAlign w:val="center"/>
          </w:tcPr>
          <w:p w14:paraId="7B4E5445" w14:textId="468E1246" w:rsidR="003B6BD9" w:rsidRDefault="009E25E8">
            <w:pPr>
              <w:pStyle w:val="P68B1DB1-Normal18"/>
              <w:spacing w:before="0" w:after="0" w:line="276" w:lineRule="auto"/>
              <w:rPr>
                <w:noProof/>
              </w:rPr>
            </w:pPr>
            <w:r>
              <w:rPr>
                <w:noProof/>
              </w:rPr>
              <w:t>C: Accroître la transformation du bois pour accélérer la transition vers une société neutre pour le climat</w:t>
            </w:r>
          </w:p>
        </w:tc>
        <w:tc>
          <w:tcPr>
            <w:tcW w:w="1680" w:type="dxa"/>
            <w:shd w:val="clear" w:color="auto" w:fill="C6EFCE"/>
            <w:noWrap/>
            <w:vAlign w:val="center"/>
          </w:tcPr>
          <w:p w14:paraId="0703D0EF" w14:textId="535FEDC8" w:rsidR="003B6BD9" w:rsidRDefault="009E25E8">
            <w:pPr>
              <w:pStyle w:val="P68B1DB1-Normal18"/>
              <w:spacing w:before="0" w:after="0" w:line="276" w:lineRule="auto"/>
              <w:rPr>
                <w:noProof/>
              </w:rPr>
            </w:pPr>
            <w:r>
              <w:rPr>
                <w:noProof/>
              </w:rPr>
              <w:t>Cible</w:t>
            </w:r>
          </w:p>
        </w:tc>
        <w:tc>
          <w:tcPr>
            <w:tcW w:w="4080" w:type="dxa"/>
            <w:shd w:val="clear" w:color="auto" w:fill="C6EFCE"/>
            <w:noWrap/>
            <w:vAlign w:val="center"/>
          </w:tcPr>
          <w:p w14:paraId="387309A9" w14:textId="5C59D84B" w:rsidR="003B6BD9" w:rsidRDefault="009E25E8">
            <w:pPr>
              <w:pStyle w:val="P68B1DB1-Normal18"/>
              <w:spacing w:before="0" w:after="0" w:line="276" w:lineRule="auto"/>
              <w:rPr>
                <w:noProof/>
              </w:rPr>
            </w:pPr>
            <w:r>
              <w:rPr>
                <w:noProof/>
              </w:rPr>
              <w:t>Nombre de projets soutenant la transformation du bois</w:t>
            </w:r>
          </w:p>
        </w:tc>
      </w:tr>
      <w:tr w:rsidR="003B6BD9" w14:paraId="5F778693" w14:textId="77777777">
        <w:trPr>
          <w:trHeight w:val="302"/>
        </w:trPr>
        <w:tc>
          <w:tcPr>
            <w:tcW w:w="1247" w:type="dxa"/>
            <w:shd w:val="clear" w:color="auto" w:fill="C6EFCE"/>
            <w:noWrap/>
            <w:vAlign w:val="center"/>
          </w:tcPr>
          <w:p w14:paraId="77F420D1" w14:textId="2D89DEC4" w:rsidR="003B6BD9" w:rsidRDefault="009E25E8">
            <w:pPr>
              <w:pStyle w:val="P68B1DB1-Normal18"/>
              <w:spacing w:before="0" w:after="0" w:line="276" w:lineRule="auto"/>
              <w:jc w:val="center"/>
              <w:rPr>
                <w:rFonts w:eastAsia="Times New Roman"/>
                <w:noProof/>
              </w:rPr>
            </w:pPr>
            <w:r>
              <w:rPr>
                <w:noProof/>
              </w:rPr>
              <w:t>95</w:t>
            </w:r>
          </w:p>
        </w:tc>
        <w:tc>
          <w:tcPr>
            <w:tcW w:w="2715" w:type="dxa"/>
            <w:shd w:val="clear" w:color="auto" w:fill="C6EFCE"/>
            <w:noWrap/>
            <w:vAlign w:val="center"/>
          </w:tcPr>
          <w:p w14:paraId="6B9BE384" w14:textId="1D33C98A" w:rsidR="003B6BD9" w:rsidRDefault="009E25E8">
            <w:pPr>
              <w:pStyle w:val="P68B1DB1-Normal18"/>
              <w:spacing w:before="0" w:after="0" w:line="276" w:lineRule="auto"/>
              <w:rPr>
                <w:noProof/>
              </w:rPr>
            </w:pPr>
            <w:r>
              <w:rPr>
                <w:noProof/>
              </w:rPr>
              <w:t>E: Garantir la cybersécurité</w:t>
            </w:r>
          </w:p>
        </w:tc>
        <w:tc>
          <w:tcPr>
            <w:tcW w:w="1680" w:type="dxa"/>
            <w:shd w:val="clear" w:color="auto" w:fill="C6EFCE"/>
            <w:noWrap/>
            <w:vAlign w:val="center"/>
          </w:tcPr>
          <w:p w14:paraId="567426E1" w14:textId="66C77FC8" w:rsidR="003B6BD9" w:rsidRDefault="009E25E8">
            <w:pPr>
              <w:pStyle w:val="P68B1DB1-Normal18"/>
              <w:spacing w:before="0" w:after="0" w:line="276" w:lineRule="auto"/>
              <w:rPr>
                <w:noProof/>
              </w:rPr>
            </w:pPr>
            <w:r>
              <w:rPr>
                <w:noProof/>
              </w:rPr>
              <w:t>Jalon</w:t>
            </w:r>
          </w:p>
        </w:tc>
        <w:tc>
          <w:tcPr>
            <w:tcW w:w="4080" w:type="dxa"/>
            <w:shd w:val="clear" w:color="auto" w:fill="C6EFCE"/>
            <w:noWrap/>
            <w:vAlign w:val="center"/>
          </w:tcPr>
          <w:p w14:paraId="41045D2E" w14:textId="0E7E14E5" w:rsidR="003B6BD9" w:rsidRDefault="009E25E8">
            <w:pPr>
              <w:pStyle w:val="P68B1DB1-Normal18"/>
              <w:spacing w:before="0" w:after="0" w:line="276" w:lineRule="auto"/>
              <w:rPr>
                <w:noProof/>
              </w:rPr>
            </w:pPr>
            <w:r>
              <w:rPr>
                <w:noProof/>
              </w:rPr>
              <w:t xml:space="preserve">Législation renforçant la coopération en matière de cybersécurité nationale </w:t>
            </w:r>
          </w:p>
        </w:tc>
      </w:tr>
      <w:tr w:rsidR="003B6BD9" w14:paraId="24CAA4F7" w14:textId="77777777">
        <w:trPr>
          <w:trHeight w:val="302"/>
        </w:trPr>
        <w:tc>
          <w:tcPr>
            <w:tcW w:w="1247" w:type="dxa"/>
            <w:shd w:val="clear" w:color="auto" w:fill="C6EFCE"/>
            <w:noWrap/>
            <w:vAlign w:val="center"/>
          </w:tcPr>
          <w:p w14:paraId="325CC892" w14:textId="5ACE46EF" w:rsidR="003B6BD9" w:rsidRDefault="009E25E8">
            <w:pPr>
              <w:pStyle w:val="P68B1DB1-Normal18"/>
              <w:spacing w:before="0" w:after="0" w:line="276" w:lineRule="auto"/>
              <w:jc w:val="center"/>
              <w:rPr>
                <w:rFonts w:eastAsia="Times New Roman"/>
                <w:noProof/>
              </w:rPr>
            </w:pPr>
            <w:r>
              <w:rPr>
                <w:noProof/>
              </w:rPr>
              <w:t>139</w:t>
            </w:r>
          </w:p>
        </w:tc>
        <w:tc>
          <w:tcPr>
            <w:tcW w:w="2715" w:type="dxa"/>
            <w:shd w:val="clear" w:color="auto" w:fill="C6EFCE"/>
            <w:noWrap/>
            <w:vAlign w:val="center"/>
          </w:tcPr>
          <w:p w14:paraId="2C874C54" w14:textId="3BF1F23B" w:rsidR="003B6BD9" w:rsidRDefault="009E25E8">
            <w:pPr>
              <w:pStyle w:val="P68B1DB1-Normal18"/>
              <w:spacing w:before="0" w:after="0" w:line="276" w:lineRule="auto"/>
              <w:rPr>
                <w:rFonts w:eastAsia="Times New Roman"/>
                <w:noProof/>
              </w:rPr>
            </w:pPr>
            <w:r>
              <w:rPr>
                <w:noProof/>
              </w:rPr>
              <w:t>A: Mesures structurelles visant à renforcer la résilience du marché du travail</w:t>
            </w:r>
          </w:p>
        </w:tc>
        <w:tc>
          <w:tcPr>
            <w:tcW w:w="1680" w:type="dxa"/>
            <w:shd w:val="clear" w:color="auto" w:fill="C6EFCE"/>
            <w:noWrap/>
            <w:vAlign w:val="center"/>
          </w:tcPr>
          <w:p w14:paraId="5D87EA56" w14:textId="4BE69F52" w:rsidR="003B6BD9" w:rsidRDefault="009E25E8">
            <w:pPr>
              <w:pStyle w:val="P68B1DB1-Normal18"/>
              <w:spacing w:before="0" w:after="0" w:line="276" w:lineRule="auto"/>
              <w:rPr>
                <w:rFonts w:eastAsia="Times New Roman"/>
                <w:noProof/>
              </w:rPr>
            </w:pPr>
            <w:r>
              <w:rPr>
                <w:noProof/>
              </w:rPr>
              <w:t>Jalon</w:t>
            </w:r>
          </w:p>
        </w:tc>
        <w:tc>
          <w:tcPr>
            <w:tcW w:w="4080" w:type="dxa"/>
            <w:shd w:val="clear" w:color="auto" w:fill="C6EFCE"/>
            <w:noWrap/>
            <w:vAlign w:val="center"/>
          </w:tcPr>
          <w:p w14:paraId="4235CB72" w14:textId="0503AA99" w:rsidR="003B6BD9" w:rsidRDefault="009E25E8">
            <w:pPr>
              <w:pStyle w:val="P68B1DB1-Normal18"/>
              <w:spacing w:before="0" w:after="0" w:line="276" w:lineRule="auto"/>
              <w:rPr>
                <w:noProof/>
              </w:rPr>
            </w:pPr>
            <w:r>
              <w:rPr>
                <w:noProof/>
              </w:rPr>
              <w:t>Entrée en vigueur de la législation sur la réforme des retraites</w:t>
            </w:r>
          </w:p>
        </w:tc>
      </w:tr>
      <w:tr w:rsidR="003B6BD9" w14:paraId="0991CEC2" w14:textId="77777777">
        <w:trPr>
          <w:trHeight w:val="302"/>
        </w:trPr>
        <w:tc>
          <w:tcPr>
            <w:tcW w:w="1247" w:type="dxa"/>
            <w:shd w:val="clear" w:color="auto" w:fill="C6EFCE"/>
            <w:noWrap/>
            <w:vAlign w:val="center"/>
          </w:tcPr>
          <w:p w14:paraId="248FF0F8" w14:textId="062B927E" w:rsidR="003B6BD9" w:rsidRDefault="009E25E8">
            <w:pPr>
              <w:pStyle w:val="P68B1DB1-Normal18"/>
              <w:spacing w:before="0" w:after="0" w:line="276" w:lineRule="auto"/>
              <w:jc w:val="center"/>
              <w:rPr>
                <w:rFonts w:eastAsia="Times New Roman"/>
                <w:noProof/>
              </w:rPr>
            </w:pPr>
            <w:r>
              <w:rPr>
                <w:noProof/>
              </w:rPr>
              <w:t>143</w:t>
            </w:r>
          </w:p>
        </w:tc>
        <w:tc>
          <w:tcPr>
            <w:tcW w:w="2715" w:type="dxa"/>
            <w:shd w:val="clear" w:color="auto" w:fill="C6EFCE"/>
            <w:noWrap/>
            <w:vAlign w:val="center"/>
          </w:tcPr>
          <w:p w14:paraId="411C191C" w14:textId="36115CDA" w:rsidR="003B6BD9" w:rsidRDefault="009E25E8">
            <w:pPr>
              <w:pStyle w:val="P68B1DB1-Normal18"/>
              <w:spacing w:before="0" w:after="0" w:line="276" w:lineRule="auto"/>
              <w:rPr>
                <w:noProof/>
              </w:rPr>
            </w:pPr>
            <w:r>
              <w:rPr>
                <w:noProof/>
              </w:rPr>
              <w:t>C: Introduire des méthodes de travail plus souples et adaptées aux besoins des personnes handicapées dans les entreprises protégées et les centres pour l’emploi</w:t>
            </w:r>
          </w:p>
        </w:tc>
        <w:tc>
          <w:tcPr>
            <w:tcW w:w="1680" w:type="dxa"/>
            <w:shd w:val="clear" w:color="auto" w:fill="C6EFCE"/>
            <w:noWrap/>
            <w:vAlign w:val="center"/>
          </w:tcPr>
          <w:p w14:paraId="6DFC17CB" w14:textId="5323D8E8" w:rsidR="003B6BD9" w:rsidRDefault="009E25E8">
            <w:pPr>
              <w:pStyle w:val="P68B1DB1-Normal18"/>
              <w:spacing w:before="0" w:after="0" w:line="276" w:lineRule="auto"/>
              <w:rPr>
                <w:noProof/>
              </w:rPr>
            </w:pPr>
            <w:r>
              <w:rPr>
                <w:noProof/>
              </w:rPr>
              <w:t>Cible</w:t>
            </w:r>
          </w:p>
        </w:tc>
        <w:tc>
          <w:tcPr>
            <w:tcW w:w="4080" w:type="dxa"/>
            <w:shd w:val="clear" w:color="auto" w:fill="C6EFCE"/>
            <w:noWrap/>
            <w:vAlign w:val="center"/>
          </w:tcPr>
          <w:p w14:paraId="7B29B1AA" w14:textId="21452196" w:rsidR="003B6BD9" w:rsidRDefault="009E25E8">
            <w:pPr>
              <w:pStyle w:val="P68B1DB1-Normal18"/>
              <w:spacing w:before="0" w:after="0" w:line="276" w:lineRule="auto"/>
              <w:rPr>
                <w:noProof/>
              </w:rPr>
            </w:pPr>
            <w:r>
              <w:rPr>
                <w:noProof/>
              </w:rPr>
              <w:t>Subventions pour des projets soutenant des formules de travail plus souples pour les personnes handicapées</w:t>
            </w:r>
          </w:p>
        </w:tc>
      </w:tr>
      <w:tr w:rsidR="003B6BD9" w14:paraId="4A8DB3CE" w14:textId="77777777">
        <w:trPr>
          <w:trHeight w:val="302"/>
        </w:trPr>
        <w:tc>
          <w:tcPr>
            <w:tcW w:w="1247" w:type="dxa"/>
            <w:shd w:val="clear" w:color="auto" w:fill="C6EFCE"/>
            <w:noWrap/>
            <w:vAlign w:val="center"/>
          </w:tcPr>
          <w:p w14:paraId="26EDA950" w14:textId="509F9C07" w:rsidR="003B6BD9" w:rsidRDefault="009E25E8">
            <w:pPr>
              <w:pStyle w:val="P68B1DB1-Normal18"/>
              <w:spacing w:before="0" w:after="0" w:line="276" w:lineRule="auto"/>
              <w:jc w:val="center"/>
              <w:rPr>
                <w:rFonts w:eastAsia="Times New Roman"/>
                <w:noProof/>
              </w:rPr>
            </w:pPr>
            <w:r>
              <w:rPr>
                <w:noProof/>
              </w:rPr>
              <w:t>145</w:t>
            </w:r>
          </w:p>
        </w:tc>
        <w:tc>
          <w:tcPr>
            <w:tcW w:w="2715" w:type="dxa"/>
            <w:shd w:val="clear" w:color="auto" w:fill="C6EFCE"/>
            <w:noWrap/>
            <w:vAlign w:val="center"/>
          </w:tcPr>
          <w:p w14:paraId="06853AAB" w14:textId="004E2EC0" w:rsidR="003B6BD9" w:rsidRDefault="009E25E8">
            <w:pPr>
              <w:pStyle w:val="P68B1DB1-Normal18"/>
              <w:spacing w:before="0" w:after="0" w:line="276" w:lineRule="auto"/>
              <w:rPr>
                <w:rFonts w:eastAsia="Times New Roman"/>
                <w:noProof/>
              </w:rPr>
            </w:pPr>
            <w:r>
              <w:rPr>
                <w:noProof/>
              </w:rPr>
              <w:t>D: Accélérer l’entrée des jeunes sur le marché du travail</w:t>
            </w:r>
          </w:p>
        </w:tc>
        <w:tc>
          <w:tcPr>
            <w:tcW w:w="1680" w:type="dxa"/>
            <w:shd w:val="clear" w:color="auto" w:fill="C6EFCE"/>
            <w:noWrap/>
            <w:vAlign w:val="center"/>
          </w:tcPr>
          <w:p w14:paraId="402870B9" w14:textId="5264275C" w:rsidR="003B6BD9" w:rsidRDefault="009E25E8">
            <w:pPr>
              <w:pStyle w:val="P68B1DB1-Normal18"/>
              <w:spacing w:before="0" w:after="0" w:line="276" w:lineRule="auto"/>
              <w:rPr>
                <w:rFonts w:eastAsia="Times New Roman"/>
                <w:noProof/>
              </w:rPr>
            </w:pPr>
            <w:r>
              <w:rPr>
                <w:noProof/>
              </w:rPr>
              <w:t>Cible</w:t>
            </w:r>
          </w:p>
        </w:tc>
        <w:tc>
          <w:tcPr>
            <w:tcW w:w="4080" w:type="dxa"/>
            <w:shd w:val="clear" w:color="auto" w:fill="C6EFCE"/>
            <w:noWrap/>
            <w:vAlign w:val="center"/>
          </w:tcPr>
          <w:p w14:paraId="6A794D0C" w14:textId="3B96A4A1" w:rsidR="003B6BD9" w:rsidRDefault="009E25E8">
            <w:pPr>
              <w:pStyle w:val="P68B1DB1-Normal18"/>
              <w:spacing w:before="0" w:after="0" w:line="276" w:lineRule="auto"/>
              <w:rPr>
                <w:noProof/>
              </w:rPr>
            </w:pPr>
            <w:r>
              <w:rPr>
                <w:noProof/>
              </w:rPr>
              <w:t>Incitations financières pour les employeurs à embaucher des jeunes sous contrat à durée indéterminée.</w:t>
            </w:r>
          </w:p>
        </w:tc>
      </w:tr>
      <w:tr w:rsidR="003B6BD9" w14:paraId="76479C71" w14:textId="77777777">
        <w:trPr>
          <w:trHeight w:val="302"/>
        </w:trPr>
        <w:tc>
          <w:tcPr>
            <w:tcW w:w="1247" w:type="dxa"/>
            <w:shd w:val="clear" w:color="auto" w:fill="C6EFCE"/>
            <w:noWrap/>
            <w:vAlign w:val="center"/>
          </w:tcPr>
          <w:p w14:paraId="15CA6EB4" w14:textId="1631917C" w:rsidR="003B6BD9" w:rsidRDefault="009E25E8">
            <w:pPr>
              <w:pStyle w:val="P68B1DB1-Normal18"/>
              <w:spacing w:before="0" w:after="0" w:line="276" w:lineRule="auto"/>
              <w:jc w:val="center"/>
              <w:rPr>
                <w:rFonts w:eastAsia="Times New Roman"/>
                <w:noProof/>
              </w:rPr>
            </w:pPr>
            <w:r>
              <w:rPr>
                <w:noProof/>
              </w:rPr>
              <w:t>175</w:t>
            </w:r>
          </w:p>
        </w:tc>
        <w:tc>
          <w:tcPr>
            <w:tcW w:w="2715" w:type="dxa"/>
            <w:shd w:val="clear" w:color="auto" w:fill="C6EFCE"/>
            <w:noWrap/>
            <w:vAlign w:val="center"/>
          </w:tcPr>
          <w:p w14:paraId="1205BB72" w14:textId="315CE97B" w:rsidR="003B6BD9" w:rsidRDefault="009E25E8">
            <w:pPr>
              <w:pStyle w:val="P68B1DB1-Normal18"/>
              <w:spacing w:before="0" w:after="0" w:line="276" w:lineRule="auto"/>
              <w:rPr>
                <w:rFonts w:eastAsia="Times New Roman"/>
                <w:noProof/>
              </w:rPr>
            </w:pPr>
            <w:r>
              <w:rPr>
                <w:noProof/>
              </w:rPr>
              <w:t>C: Créer des conditions systémiques propices à la croissance des investissements</w:t>
            </w:r>
          </w:p>
        </w:tc>
        <w:tc>
          <w:tcPr>
            <w:tcW w:w="1680" w:type="dxa"/>
            <w:shd w:val="clear" w:color="auto" w:fill="C6EFCE"/>
            <w:noWrap/>
            <w:vAlign w:val="center"/>
          </w:tcPr>
          <w:p w14:paraId="00F4C5E8" w14:textId="5475ED5F" w:rsidR="003B6BD9" w:rsidRDefault="009E25E8">
            <w:pPr>
              <w:pStyle w:val="P68B1DB1-Normal18"/>
              <w:spacing w:before="0" w:after="0" w:line="276" w:lineRule="auto"/>
              <w:rPr>
                <w:rFonts w:eastAsia="Times New Roman"/>
                <w:noProof/>
              </w:rPr>
            </w:pPr>
            <w:r>
              <w:rPr>
                <w:noProof/>
              </w:rPr>
              <w:t>Cible</w:t>
            </w:r>
          </w:p>
        </w:tc>
        <w:tc>
          <w:tcPr>
            <w:tcW w:w="4080" w:type="dxa"/>
            <w:shd w:val="clear" w:color="auto" w:fill="C6EFCE"/>
            <w:noWrap/>
            <w:vAlign w:val="center"/>
          </w:tcPr>
          <w:p w14:paraId="4958FF51" w14:textId="65118339" w:rsidR="003B6BD9" w:rsidRDefault="009E25E8">
            <w:pPr>
              <w:pStyle w:val="P68B1DB1-Normal18"/>
              <w:spacing w:before="0" w:after="0" w:line="276" w:lineRule="auto"/>
              <w:rPr>
                <w:rFonts w:eastAsia="Times New Roman"/>
                <w:noProof/>
              </w:rPr>
            </w:pPr>
            <w:r>
              <w:rPr>
                <w:noProof/>
              </w:rPr>
              <w:t>Indicateur de non-appel d’offres</w:t>
            </w:r>
          </w:p>
        </w:tc>
      </w:tr>
      <w:tr w:rsidR="003B6BD9" w14:paraId="3356A730" w14:textId="77777777">
        <w:trPr>
          <w:trHeight w:val="302"/>
        </w:trPr>
        <w:tc>
          <w:tcPr>
            <w:tcW w:w="1247" w:type="dxa"/>
            <w:shd w:val="clear" w:color="auto" w:fill="C6EFCE"/>
            <w:noWrap/>
            <w:vAlign w:val="center"/>
          </w:tcPr>
          <w:p w14:paraId="34499470" w14:textId="06A70CD4" w:rsidR="003B6BD9" w:rsidRDefault="009E25E8">
            <w:pPr>
              <w:pStyle w:val="P68B1DB1-Normal18"/>
              <w:spacing w:before="0" w:after="0" w:line="276" w:lineRule="auto"/>
              <w:jc w:val="center"/>
              <w:rPr>
                <w:rFonts w:eastAsia="Times New Roman"/>
                <w:noProof/>
              </w:rPr>
            </w:pPr>
            <w:r>
              <w:rPr>
                <w:noProof/>
              </w:rPr>
              <w:t>177</w:t>
            </w:r>
          </w:p>
        </w:tc>
        <w:tc>
          <w:tcPr>
            <w:tcW w:w="2715" w:type="dxa"/>
            <w:shd w:val="clear" w:color="auto" w:fill="C6EFCE"/>
            <w:noWrap/>
            <w:vAlign w:val="center"/>
          </w:tcPr>
          <w:p w14:paraId="05D04A0F" w14:textId="7DAA745B" w:rsidR="003B6BD9" w:rsidRDefault="009E25E8">
            <w:pPr>
              <w:pStyle w:val="P68B1DB1-Normal18"/>
              <w:spacing w:before="0" w:after="0" w:line="276" w:lineRule="auto"/>
              <w:rPr>
                <w:rFonts w:eastAsia="Times New Roman"/>
                <w:noProof/>
              </w:rPr>
            </w:pPr>
            <w:r>
              <w:rPr>
                <w:noProof/>
              </w:rPr>
              <w:t>C: Créer des conditions systémiques propices à la croissance des investissements</w:t>
            </w:r>
          </w:p>
        </w:tc>
        <w:tc>
          <w:tcPr>
            <w:tcW w:w="1680" w:type="dxa"/>
            <w:shd w:val="clear" w:color="auto" w:fill="C6EFCE"/>
            <w:noWrap/>
            <w:vAlign w:val="center"/>
          </w:tcPr>
          <w:p w14:paraId="22B5CBDC" w14:textId="0F3EBC40" w:rsidR="003B6BD9" w:rsidRDefault="009E25E8">
            <w:pPr>
              <w:pStyle w:val="P68B1DB1-Normal18"/>
              <w:spacing w:before="0" w:after="0" w:line="276" w:lineRule="auto"/>
              <w:rPr>
                <w:rFonts w:eastAsia="Times New Roman"/>
                <w:noProof/>
              </w:rPr>
            </w:pPr>
            <w:r>
              <w:rPr>
                <w:noProof/>
              </w:rPr>
              <w:t>Jalon</w:t>
            </w:r>
          </w:p>
        </w:tc>
        <w:tc>
          <w:tcPr>
            <w:tcW w:w="4080" w:type="dxa"/>
            <w:shd w:val="clear" w:color="auto" w:fill="C6EFCE"/>
            <w:noWrap/>
            <w:vAlign w:val="center"/>
          </w:tcPr>
          <w:p w14:paraId="335A896B" w14:textId="60F7D4CB" w:rsidR="003B6BD9" w:rsidRDefault="009E25E8">
            <w:pPr>
              <w:pStyle w:val="P68B1DB1-Normal18"/>
              <w:spacing w:before="0" w:after="0" w:line="276" w:lineRule="auto"/>
              <w:rPr>
                <w:rFonts w:eastAsia="Times New Roman"/>
                <w:noProof/>
              </w:rPr>
            </w:pPr>
            <w:r>
              <w:rPr>
                <w:noProof/>
              </w:rPr>
              <w:t>Analyse des réformes des marchés publics</w:t>
            </w:r>
          </w:p>
        </w:tc>
      </w:tr>
      <w:tr w:rsidR="003B6BD9" w14:paraId="40A70C27" w14:textId="77777777">
        <w:trPr>
          <w:trHeight w:val="302"/>
        </w:trPr>
        <w:tc>
          <w:tcPr>
            <w:tcW w:w="1247" w:type="dxa"/>
            <w:shd w:val="clear" w:color="auto" w:fill="C6EFCE"/>
            <w:noWrap/>
            <w:vAlign w:val="center"/>
          </w:tcPr>
          <w:p w14:paraId="1E58A3B2" w14:textId="51A3DF21" w:rsidR="003B6BD9" w:rsidRDefault="009E25E8">
            <w:pPr>
              <w:pStyle w:val="P68B1DB1-Normal18"/>
              <w:spacing w:before="0" w:after="0" w:line="276" w:lineRule="auto"/>
              <w:jc w:val="center"/>
              <w:rPr>
                <w:rFonts w:eastAsia="Times New Roman"/>
                <w:noProof/>
              </w:rPr>
            </w:pPr>
            <w:r>
              <w:rPr>
                <w:noProof/>
              </w:rPr>
              <w:t>183</w:t>
            </w:r>
          </w:p>
        </w:tc>
        <w:tc>
          <w:tcPr>
            <w:tcW w:w="2715" w:type="dxa"/>
            <w:shd w:val="clear" w:color="auto" w:fill="C6EFCE"/>
            <w:noWrap/>
            <w:vAlign w:val="center"/>
          </w:tcPr>
          <w:p w14:paraId="498CB38A" w14:textId="584B05E5" w:rsidR="003B6BD9" w:rsidRDefault="009E25E8">
            <w:pPr>
              <w:pStyle w:val="P68B1DB1-Normal18"/>
              <w:spacing w:before="0" w:after="0" w:line="276" w:lineRule="auto"/>
              <w:rPr>
                <w:rFonts w:eastAsia="Times New Roman"/>
                <w:noProof/>
              </w:rPr>
            </w:pPr>
            <w:r>
              <w:rPr>
                <w:noProof/>
              </w:rPr>
              <w:t>A: Réforme du système de soins de santé</w:t>
            </w:r>
          </w:p>
        </w:tc>
        <w:tc>
          <w:tcPr>
            <w:tcW w:w="1680" w:type="dxa"/>
            <w:shd w:val="clear" w:color="auto" w:fill="C6EFCE"/>
            <w:noWrap/>
            <w:vAlign w:val="center"/>
          </w:tcPr>
          <w:p w14:paraId="35D080BD" w14:textId="512E0A91" w:rsidR="003B6BD9" w:rsidRDefault="009E25E8">
            <w:pPr>
              <w:pStyle w:val="P68B1DB1-Normal18"/>
              <w:spacing w:before="0" w:after="0" w:line="276" w:lineRule="auto"/>
              <w:rPr>
                <w:rFonts w:eastAsia="Times New Roman"/>
                <w:noProof/>
              </w:rPr>
            </w:pPr>
            <w:r>
              <w:rPr>
                <w:noProof/>
              </w:rPr>
              <w:t>Jalon</w:t>
            </w:r>
          </w:p>
        </w:tc>
        <w:tc>
          <w:tcPr>
            <w:tcW w:w="4080" w:type="dxa"/>
            <w:shd w:val="clear" w:color="auto" w:fill="C6EFCE"/>
            <w:noWrap/>
            <w:vAlign w:val="center"/>
          </w:tcPr>
          <w:p w14:paraId="1AE790B4" w14:textId="5183383D" w:rsidR="003B6BD9" w:rsidRDefault="009E25E8">
            <w:pPr>
              <w:pStyle w:val="P68B1DB1-Normal18"/>
              <w:spacing w:before="0" w:after="0" w:line="276" w:lineRule="auto"/>
              <w:rPr>
                <w:rFonts w:eastAsia="Times New Roman"/>
                <w:noProof/>
              </w:rPr>
            </w:pPr>
            <w:r>
              <w:rPr>
                <w:noProof/>
              </w:rPr>
              <w:t>Entrée en vigueur de la législation</w:t>
            </w:r>
          </w:p>
        </w:tc>
      </w:tr>
      <w:tr w:rsidR="003B6BD9" w14:paraId="48086772" w14:textId="77777777">
        <w:trPr>
          <w:trHeight w:val="302"/>
        </w:trPr>
        <w:tc>
          <w:tcPr>
            <w:tcW w:w="1247" w:type="dxa"/>
            <w:shd w:val="clear" w:color="auto" w:fill="C6EFCE"/>
            <w:noWrap/>
            <w:vAlign w:val="center"/>
          </w:tcPr>
          <w:p w14:paraId="638A07F0" w14:textId="16B3E515" w:rsidR="003B6BD9" w:rsidRDefault="009E25E8">
            <w:pPr>
              <w:pStyle w:val="P68B1DB1-Normal18"/>
              <w:spacing w:before="0" w:after="0" w:line="276" w:lineRule="auto"/>
              <w:jc w:val="center"/>
              <w:rPr>
                <w:rFonts w:eastAsia="Times New Roman"/>
                <w:noProof/>
              </w:rPr>
            </w:pPr>
            <w:r>
              <w:rPr>
                <w:noProof/>
              </w:rPr>
              <w:t>186</w:t>
            </w:r>
          </w:p>
        </w:tc>
        <w:tc>
          <w:tcPr>
            <w:tcW w:w="2715" w:type="dxa"/>
            <w:shd w:val="clear" w:color="auto" w:fill="C6EFCE"/>
            <w:noWrap/>
            <w:vAlign w:val="center"/>
          </w:tcPr>
          <w:p w14:paraId="415F5EE0" w14:textId="322C5EB0" w:rsidR="003B6BD9" w:rsidRDefault="009E25E8">
            <w:pPr>
              <w:pStyle w:val="P68B1DB1-Normal18"/>
              <w:spacing w:before="0" w:after="0" w:line="276" w:lineRule="auto"/>
              <w:rPr>
                <w:rFonts w:eastAsia="Times New Roman"/>
                <w:noProof/>
              </w:rPr>
            </w:pPr>
            <w:r>
              <w:rPr>
                <w:noProof/>
              </w:rPr>
              <w:t>C: Transformation numérique des soins de santé</w:t>
            </w:r>
          </w:p>
        </w:tc>
        <w:tc>
          <w:tcPr>
            <w:tcW w:w="1680" w:type="dxa"/>
            <w:shd w:val="clear" w:color="auto" w:fill="C6EFCE"/>
            <w:noWrap/>
            <w:vAlign w:val="center"/>
          </w:tcPr>
          <w:p w14:paraId="02C7854E" w14:textId="6B39464C" w:rsidR="003B6BD9" w:rsidRDefault="009E25E8">
            <w:pPr>
              <w:pStyle w:val="P68B1DB1-Normal18"/>
              <w:spacing w:before="0" w:after="0" w:line="276" w:lineRule="auto"/>
              <w:rPr>
                <w:rFonts w:eastAsia="Times New Roman"/>
                <w:noProof/>
              </w:rPr>
            </w:pPr>
            <w:r>
              <w:rPr>
                <w:noProof/>
              </w:rPr>
              <w:t>Cible</w:t>
            </w:r>
          </w:p>
        </w:tc>
        <w:tc>
          <w:tcPr>
            <w:tcW w:w="4080" w:type="dxa"/>
            <w:shd w:val="clear" w:color="auto" w:fill="C6EFCE"/>
            <w:noWrap/>
            <w:vAlign w:val="center"/>
          </w:tcPr>
          <w:p w14:paraId="3B51B137" w14:textId="0F4AD2F0" w:rsidR="003B6BD9" w:rsidRDefault="009E25E8">
            <w:pPr>
              <w:pStyle w:val="P68B1DB1-Normal18"/>
              <w:spacing w:before="0" w:after="0" w:line="276" w:lineRule="auto"/>
              <w:rPr>
                <w:rFonts w:eastAsia="Times New Roman"/>
                <w:noProof/>
              </w:rPr>
            </w:pPr>
            <w:r>
              <w:rPr>
                <w:noProof/>
              </w:rPr>
              <w:t>Établissements de santé utilisant le stockage central des images</w:t>
            </w:r>
          </w:p>
        </w:tc>
      </w:tr>
      <w:tr w:rsidR="003B6BD9" w14:paraId="5C85619C" w14:textId="77777777">
        <w:trPr>
          <w:trHeight w:val="302"/>
        </w:trPr>
        <w:tc>
          <w:tcPr>
            <w:tcW w:w="1247" w:type="dxa"/>
            <w:shd w:val="clear" w:color="auto" w:fill="C6EFCE"/>
            <w:noWrap/>
            <w:vAlign w:val="center"/>
          </w:tcPr>
          <w:p w14:paraId="0252CEA3" w14:textId="77777777" w:rsidR="003B6BD9" w:rsidRDefault="003B6BD9">
            <w:pPr>
              <w:spacing w:before="0" w:after="0" w:line="276" w:lineRule="auto"/>
              <w:rPr>
                <w:rFonts w:eastAsia="Times New Roman"/>
                <w:noProof/>
                <w:color w:val="006100"/>
                <w:sz w:val="22"/>
              </w:rPr>
            </w:pPr>
          </w:p>
        </w:tc>
        <w:tc>
          <w:tcPr>
            <w:tcW w:w="2715" w:type="dxa"/>
            <w:shd w:val="clear" w:color="auto" w:fill="C6EFCE"/>
            <w:noWrap/>
            <w:vAlign w:val="center"/>
          </w:tcPr>
          <w:p w14:paraId="3DCDF844" w14:textId="77777777" w:rsidR="003B6BD9" w:rsidRDefault="003B6BD9">
            <w:pPr>
              <w:spacing w:before="0" w:after="0" w:line="276" w:lineRule="auto"/>
              <w:rPr>
                <w:rFonts w:eastAsia="Times New Roman"/>
                <w:noProof/>
                <w:color w:val="006100"/>
                <w:sz w:val="22"/>
              </w:rPr>
            </w:pPr>
          </w:p>
        </w:tc>
        <w:tc>
          <w:tcPr>
            <w:tcW w:w="1680" w:type="dxa"/>
            <w:shd w:val="clear" w:color="auto" w:fill="C6EFCE"/>
            <w:noWrap/>
            <w:vAlign w:val="center"/>
          </w:tcPr>
          <w:p w14:paraId="21BA1343" w14:textId="2DC0E133" w:rsidR="003B6BD9" w:rsidRDefault="009E25E8">
            <w:pPr>
              <w:pStyle w:val="P68B1DB1-Normal20"/>
              <w:spacing w:before="0" w:after="0" w:line="276" w:lineRule="auto"/>
              <w:rPr>
                <w:rFonts w:eastAsia="Times New Roman"/>
                <w:noProof/>
              </w:rPr>
            </w:pPr>
            <w:r>
              <w:rPr>
                <w:noProof/>
              </w:rPr>
              <w:t>Montant de l’acompte</w:t>
            </w:r>
          </w:p>
        </w:tc>
        <w:tc>
          <w:tcPr>
            <w:tcW w:w="4080" w:type="dxa"/>
            <w:shd w:val="clear" w:color="auto" w:fill="C6EFCE"/>
            <w:noWrap/>
            <w:vAlign w:val="center"/>
          </w:tcPr>
          <w:p w14:paraId="7A81B18D" w14:textId="5929B58D" w:rsidR="003B6BD9" w:rsidRDefault="009E25E8">
            <w:pPr>
              <w:pStyle w:val="P68B1DB1-Normal20"/>
              <w:spacing w:before="0" w:after="0" w:line="276" w:lineRule="auto"/>
              <w:rPr>
                <w:rFonts w:eastAsia="Times New Roman"/>
                <w:noProof/>
              </w:rPr>
            </w:pPr>
            <w:r>
              <w:rPr>
                <w:noProof/>
              </w:rPr>
              <w:t>266 842 191 EUR</w:t>
            </w:r>
          </w:p>
        </w:tc>
      </w:tr>
    </w:tbl>
    <w:p w14:paraId="73A98234" w14:textId="70C3E10A" w:rsidR="003B6BD9" w:rsidRDefault="009E25E8">
      <w:pPr>
        <w:numPr>
          <w:ilvl w:val="1"/>
          <w:numId w:val="18"/>
        </w:numPr>
        <w:spacing w:before="0" w:after="200" w:line="240" w:lineRule="auto"/>
        <w:jc w:val="both"/>
        <w:rPr>
          <w:b/>
          <w:noProof/>
        </w:rPr>
      </w:pPr>
      <w:r>
        <w:rPr>
          <w:noProof/>
        </w:rPr>
        <w:t xml:space="preserve">Huitième tranches (aide non remboursable): </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3119"/>
        <w:gridCol w:w="1670"/>
        <w:gridCol w:w="3686"/>
      </w:tblGrid>
      <w:tr w:rsidR="003B6BD9" w14:paraId="394153A4" w14:textId="77777777">
        <w:trPr>
          <w:trHeight w:val="567"/>
          <w:tblHeader/>
        </w:trPr>
        <w:tc>
          <w:tcPr>
            <w:tcW w:w="1247" w:type="dxa"/>
            <w:vMerge w:val="restart"/>
            <w:shd w:val="clear" w:color="auto" w:fill="BDD7EE"/>
            <w:vAlign w:val="center"/>
            <w:hideMark/>
          </w:tcPr>
          <w:p w14:paraId="446BF7BA" w14:textId="7740167F" w:rsidR="003B6BD9" w:rsidRDefault="009E25E8">
            <w:pPr>
              <w:pStyle w:val="P68B1DB1-Normal17"/>
              <w:spacing w:before="0" w:after="0" w:line="276" w:lineRule="auto"/>
              <w:jc w:val="center"/>
              <w:rPr>
                <w:rFonts w:eastAsia="Times New Roman"/>
                <w:noProof/>
              </w:rPr>
            </w:pPr>
            <w:r>
              <w:rPr>
                <w:noProof/>
              </w:rPr>
              <w:t>Et suivants Non.</w:t>
            </w:r>
          </w:p>
        </w:tc>
        <w:tc>
          <w:tcPr>
            <w:tcW w:w="3119" w:type="dxa"/>
            <w:vMerge w:val="restart"/>
            <w:shd w:val="clear" w:color="auto" w:fill="BDD7EE"/>
            <w:vAlign w:val="center"/>
            <w:hideMark/>
          </w:tcPr>
          <w:p w14:paraId="7D0B723C" w14:textId="77777777" w:rsidR="003B6BD9" w:rsidRDefault="009E25E8">
            <w:pPr>
              <w:pStyle w:val="P68B1DB1-Normal17"/>
              <w:spacing w:before="0" w:after="0" w:line="276" w:lineRule="auto"/>
              <w:jc w:val="center"/>
              <w:rPr>
                <w:rFonts w:eastAsia="Times New Roman"/>
                <w:noProof/>
              </w:rPr>
            </w:pPr>
            <w:r>
              <w:rPr>
                <w:noProof/>
              </w:rPr>
              <w:t>Mesure connexe (réforme ou investissement)</w:t>
            </w:r>
          </w:p>
        </w:tc>
        <w:tc>
          <w:tcPr>
            <w:tcW w:w="1670" w:type="dxa"/>
            <w:vMerge w:val="restart"/>
            <w:shd w:val="clear" w:color="auto" w:fill="BDD7EE"/>
            <w:vAlign w:val="center"/>
            <w:hideMark/>
          </w:tcPr>
          <w:p w14:paraId="3B2A5591" w14:textId="77777777" w:rsidR="003B6BD9" w:rsidRDefault="009E25E8">
            <w:pPr>
              <w:pStyle w:val="P68B1DB1-Normal17"/>
              <w:spacing w:before="0" w:after="0" w:line="276" w:lineRule="auto"/>
              <w:jc w:val="center"/>
              <w:rPr>
                <w:rFonts w:eastAsia="Times New Roman"/>
                <w:noProof/>
              </w:rPr>
            </w:pPr>
            <w:r>
              <w:rPr>
                <w:noProof/>
              </w:rPr>
              <w:t>Étape/Objectif</w:t>
            </w:r>
          </w:p>
        </w:tc>
        <w:tc>
          <w:tcPr>
            <w:tcW w:w="3686" w:type="dxa"/>
            <w:vMerge w:val="restart"/>
            <w:shd w:val="clear" w:color="auto" w:fill="BDD7EE"/>
            <w:vAlign w:val="center"/>
            <w:hideMark/>
          </w:tcPr>
          <w:p w14:paraId="6221798F" w14:textId="77777777" w:rsidR="003B6BD9" w:rsidRDefault="009E25E8">
            <w:pPr>
              <w:pStyle w:val="P68B1DB1-Normal17"/>
              <w:spacing w:before="0" w:after="0" w:line="276" w:lineRule="auto"/>
              <w:jc w:val="center"/>
              <w:rPr>
                <w:rFonts w:eastAsia="Times New Roman"/>
                <w:noProof/>
              </w:rPr>
            </w:pPr>
            <w:r>
              <w:rPr>
                <w:noProof/>
              </w:rPr>
              <w:t>Nom</w:t>
            </w:r>
          </w:p>
        </w:tc>
      </w:tr>
      <w:tr w:rsidR="003B6BD9" w14:paraId="24874A7B" w14:textId="77777777">
        <w:trPr>
          <w:trHeight w:val="309"/>
          <w:tblHeader/>
        </w:trPr>
        <w:tc>
          <w:tcPr>
            <w:tcW w:w="1247" w:type="dxa"/>
            <w:vMerge/>
            <w:vAlign w:val="center"/>
            <w:hideMark/>
          </w:tcPr>
          <w:p w14:paraId="1A329B9D" w14:textId="77777777" w:rsidR="003B6BD9" w:rsidRDefault="003B6BD9">
            <w:pPr>
              <w:spacing w:before="0" w:after="0" w:line="276" w:lineRule="auto"/>
              <w:rPr>
                <w:rFonts w:eastAsia="Times New Roman"/>
                <w:b/>
                <w:noProof/>
                <w:sz w:val="22"/>
                <w:szCs w:val="24"/>
              </w:rPr>
            </w:pPr>
          </w:p>
        </w:tc>
        <w:tc>
          <w:tcPr>
            <w:tcW w:w="3119" w:type="dxa"/>
            <w:vMerge/>
            <w:vAlign w:val="center"/>
            <w:hideMark/>
          </w:tcPr>
          <w:p w14:paraId="22889221" w14:textId="77777777" w:rsidR="003B6BD9" w:rsidRDefault="003B6BD9">
            <w:pPr>
              <w:spacing w:before="0" w:after="0" w:line="276" w:lineRule="auto"/>
              <w:rPr>
                <w:rFonts w:eastAsia="Times New Roman"/>
                <w:b/>
                <w:noProof/>
                <w:sz w:val="22"/>
                <w:szCs w:val="24"/>
              </w:rPr>
            </w:pPr>
          </w:p>
        </w:tc>
        <w:tc>
          <w:tcPr>
            <w:tcW w:w="1670" w:type="dxa"/>
            <w:vMerge/>
            <w:vAlign w:val="center"/>
            <w:hideMark/>
          </w:tcPr>
          <w:p w14:paraId="6C5AC963" w14:textId="77777777" w:rsidR="003B6BD9" w:rsidRDefault="003B6BD9">
            <w:pPr>
              <w:spacing w:before="0" w:after="0" w:line="276" w:lineRule="auto"/>
              <w:rPr>
                <w:rFonts w:eastAsia="Times New Roman"/>
                <w:b/>
                <w:noProof/>
                <w:sz w:val="22"/>
                <w:szCs w:val="24"/>
              </w:rPr>
            </w:pPr>
          </w:p>
        </w:tc>
        <w:tc>
          <w:tcPr>
            <w:tcW w:w="3686" w:type="dxa"/>
            <w:vMerge/>
            <w:vAlign w:val="center"/>
            <w:hideMark/>
          </w:tcPr>
          <w:p w14:paraId="71ECCD27" w14:textId="77777777" w:rsidR="003B6BD9" w:rsidRDefault="003B6BD9">
            <w:pPr>
              <w:spacing w:before="0" w:after="0" w:line="276" w:lineRule="auto"/>
              <w:rPr>
                <w:rFonts w:eastAsia="Times New Roman"/>
                <w:b/>
                <w:noProof/>
                <w:sz w:val="22"/>
                <w:szCs w:val="24"/>
              </w:rPr>
            </w:pPr>
          </w:p>
        </w:tc>
      </w:tr>
      <w:tr w:rsidR="003B6BD9" w14:paraId="3B862FE7" w14:textId="77777777">
        <w:trPr>
          <w:trHeight w:val="302"/>
        </w:trPr>
        <w:tc>
          <w:tcPr>
            <w:tcW w:w="1247" w:type="dxa"/>
            <w:shd w:val="clear" w:color="auto" w:fill="C6EFCE"/>
            <w:noWrap/>
            <w:vAlign w:val="center"/>
          </w:tcPr>
          <w:p w14:paraId="4E9CCC20" w14:textId="452A5B24" w:rsidR="003B6BD9" w:rsidRDefault="009E25E8">
            <w:pPr>
              <w:pStyle w:val="P68B1DB1-Normal18"/>
              <w:spacing w:before="0" w:after="0" w:line="276" w:lineRule="auto"/>
              <w:jc w:val="center"/>
              <w:rPr>
                <w:noProof/>
              </w:rPr>
            </w:pPr>
            <w:r>
              <w:rPr>
                <w:noProof/>
              </w:rPr>
              <w:t>5</w:t>
            </w:r>
          </w:p>
        </w:tc>
        <w:tc>
          <w:tcPr>
            <w:tcW w:w="3119" w:type="dxa"/>
            <w:shd w:val="clear" w:color="auto" w:fill="C6EFCE"/>
            <w:noWrap/>
            <w:vAlign w:val="center"/>
          </w:tcPr>
          <w:p w14:paraId="704FCF2C" w14:textId="04F75411" w:rsidR="003B6BD9" w:rsidRDefault="009E25E8">
            <w:pPr>
              <w:pStyle w:val="P68B1DB1-Normal18"/>
              <w:spacing w:before="0" w:after="0" w:line="276" w:lineRule="auto"/>
              <w:rPr>
                <w:noProof/>
              </w:rPr>
            </w:pPr>
            <w:r>
              <w:rPr>
                <w:noProof/>
              </w:rPr>
              <w:t>D: Restructuration efficace sur le plan énergétique des systèmes de chauffage urbain utilisant des sources d’énergie renouvelables</w:t>
            </w:r>
          </w:p>
        </w:tc>
        <w:tc>
          <w:tcPr>
            <w:tcW w:w="1670" w:type="dxa"/>
            <w:shd w:val="clear" w:color="auto" w:fill="C6EFCE"/>
            <w:noWrap/>
            <w:vAlign w:val="center"/>
          </w:tcPr>
          <w:p w14:paraId="40CBCC3C" w14:textId="1F60B771" w:rsidR="003B6BD9" w:rsidRDefault="009E25E8">
            <w:pPr>
              <w:pStyle w:val="P68B1DB1-Normal18"/>
              <w:spacing w:before="0" w:after="0" w:line="276" w:lineRule="auto"/>
              <w:rPr>
                <w:noProof/>
              </w:rPr>
            </w:pPr>
            <w:r>
              <w:rPr>
                <w:noProof/>
              </w:rPr>
              <w:t>Cible</w:t>
            </w:r>
          </w:p>
        </w:tc>
        <w:tc>
          <w:tcPr>
            <w:tcW w:w="3686" w:type="dxa"/>
            <w:shd w:val="clear" w:color="auto" w:fill="C6EFCE"/>
            <w:noWrap/>
            <w:vAlign w:val="center"/>
          </w:tcPr>
          <w:p w14:paraId="6567005F" w14:textId="7DCBA795" w:rsidR="003B6BD9" w:rsidRDefault="009E25E8">
            <w:pPr>
              <w:pStyle w:val="P68B1DB1-Normal18"/>
              <w:spacing w:before="0" w:after="0" w:line="276" w:lineRule="auto"/>
              <w:rPr>
                <w:noProof/>
              </w:rPr>
            </w:pPr>
            <w:r>
              <w:rPr>
                <w:noProof/>
              </w:rPr>
              <w:t>Capacité installée d’énergie renouvelable dans les systèmes de chauffage urbain</w:t>
            </w:r>
          </w:p>
        </w:tc>
      </w:tr>
      <w:tr w:rsidR="003B6BD9" w14:paraId="4FDFB586" w14:textId="77777777">
        <w:trPr>
          <w:trHeight w:val="302"/>
        </w:trPr>
        <w:tc>
          <w:tcPr>
            <w:tcW w:w="1247" w:type="dxa"/>
            <w:shd w:val="clear" w:color="auto" w:fill="C6EFCE"/>
            <w:noWrap/>
            <w:vAlign w:val="center"/>
          </w:tcPr>
          <w:p w14:paraId="435B7E5D" w14:textId="0E682648" w:rsidR="003B6BD9" w:rsidRDefault="009E25E8">
            <w:pPr>
              <w:pStyle w:val="P68B1DB1-Normal18"/>
              <w:spacing w:before="0" w:after="0" w:line="276" w:lineRule="auto"/>
              <w:jc w:val="center"/>
              <w:rPr>
                <w:rFonts w:eastAsia="Times New Roman"/>
                <w:noProof/>
              </w:rPr>
            </w:pPr>
            <w:r>
              <w:rPr>
                <w:noProof/>
              </w:rPr>
              <w:t>26</w:t>
            </w:r>
          </w:p>
        </w:tc>
        <w:tc>
          <w:tcPr>
            <w:tcW w:w="3119" w:type="dxa"/>
            <w:shd w:val="clear" w:color="auto" w:fill="C6EFCE"/>
            <w:noWrap/>
            <w:vAlign w:val="center"/>
          </w:tcPr>
          <w:p w14:paraId="280B9FCF" w14:textId="5D0D3D9A" w:rsidR="003B6BD9" w:rsidRDefault="009E25E8">
            <w:pPr>
              <w:pStyle w:val="P68B1DB1-Normal18"/>
              <w:spacing w:before="0" w:after="0" w:line="276" w:lineRule="auto"/>
              <w:rPr>
                <w:rFonts w:eastAsia="Times New Roman"/>
                <w:noProof/>
              </w:rPr>
            </w:pPr>
            <w:r>
              <w:rPr>
                <w:noProof/>
              </w:rPr>
              <w:t>B: Rénovation durable des bâtiments</w:t>
            </w:r>
          </w:p>
        </w:tc>
        <w:tc>
          <w:tcPr>
            <w:tcW w:w="1670" w:type="dxa"/>
            <w:shd w:val="clear" w:color="auto" w:fill="C6EFCE"/>
            <w:noWrap/>
            <w:vAlign w:val="center"/>
          </w:tcPr>
          <w:p w14:paraId="60FEA2DC" w14:textId="600111FD" w:rsidR="003B6BD9" w:rsidRDefault="009E25E8">
            <w:pPr>
              <w:pStyle w:val="P68B1DB1-Normal18"/>
              <w:spacing w:before="0" w:after="0" w:line="276" w:lineRule="auto"/>
              <w:rPr>
                <w:rFonts w:eastAsia="Times New Roman"/>
                <w:noProof/>
              </w:rPr>
            </w:pPr>
            <w:r>
              <w:rPr>
                <w:noProof/>
              </w:rPr>
              <w:t>Cible</w:t>
            </w:r>
          </w:p>
        </w:tc>
        <w:tc>
          <w:tcPr>
            <w:tcW w:w="3686" w:type="dxa"/>
            <w:shd w:val="clear" w:color="auto" w:fill="C6EFCE"/>
            <w:noWrap/>
            <w:vAlign w:val="center"/>
          </w:tcPr>
          <w:p w14:paraId="23BAC9E2" w14:textId="17E6C0F3" w:rsidR="003B6BD9" w:rsidRDefault="009E25E8">
            <w:pPr>
              <w:pStyle w:val="P68B1DB1-Normal18"/>
              <w:spacing w:before="0" w:after="0" w:line="276" w:lineRule="auto"/>
              <w:rPr>
                <w:rFonts w:eastAsia="Times New Roman"/>
                <w:noProof/>
              </w:rPr>
            </w:pPr>
            <w:r>
              <w:rPr>
                <w:noProof/>
              </w:rPr>
              <w:t>Mise à niveau des systèmes techniques de bâtiment</w:t>
            </w:r>
          </w:p>
        </w:tc>
      </w:tr>
      <w:tr w:rsidR="003B6BD9" w14:paraId="21964EBE" w14:textId="77777777">
        <w:trPr>
          <w:trHeight w:val="302"/>
        </w:trPr>
        <w:tc>
          <w:tcPr>
            <w:tcW w:w="1247" w:type="dxa"/>
            <w:shd w:val="clear" w:color="auto" w:fill="C6EFCE"/>
            <w:noWrap/>
            <w:vAlign w:val="center"/>
          </w:tcPr>
          <w:p w14:paraId="0598E7D6" w14:textId="5671525E" w:rsidR="003B6BD9" w:rsidRDefault="009E25E8">
            <w:pPr>
              <w:pStyle w:val="P68B1DB1-Normal18"/>
              <w:spacing w:before="0" w:after="0" w:line="276" w:lineRule="auto"/>
              <w:jc w:val="center"/>
              <w:rPr>
                <w:rFonts w:eastAsia="Times New Roman"/>
                <w:noProof/>
              </w:rPr>
            </w:pPr>
            <w:r>
              <w:rPr>
                <w:noProof/>
              </w:rPr>
              <w:t>37</w:t>
            </w:r>
          </w:p>
        </w:tc>
        <w:tc>
          <w:tcPr>
            <w:tcW w:w="3119" w:type="dxa"/>
            <w:shd w:val="clear" w:color="auto" w:fill="C6EFCE"/>
            <w:noWrap/>
            <w:vAlign w:val="center"/>
          </w:tcPr>
          <w:p w14:paraId="5602B6E3" w14:textId="26FC9E1F" w:rsidR="003B6BD9" w:rsidRDefault="009E25E8">
            <w:pPr>
              <w:pStyle w:val="P68B1DB1-Normal18"/>
              <w:spacing w:before="0" w:after="0" w:line="276" w:lineRule="auto"/>
              <w:rPr>
                <w:rFonts w:eastAsia="Times New Roman"/>
                <w:noProof/>
              </w:rPr>
            </w:pPr>
            <w:r>
              <w:rPr>
                <w:noProof/>
              </w:rPr>
              <w:t>G: Centre pour les semences, les pépinières et la protection des forêts</w:t>
            </w:r>
          </w:p>
        </w:tc>
        <w:tc>
          <w:tcPr>
            <w:tcW w:w="1670" w:type="dxa"/>
            <w:shd w:val="clear" w:color="auto" w:fill="C6EFCE"/>
            <w:noWrap/>
            <w:vAlign w:val="center"/>
          </w:tcPr>
          <w:p w14:paraId="412EFA81" w14:textId="444ADD15" w:rsidR="003B6BD9" w:rsidRDefault="009E25E8">
            <w:pPr>
              <w:pStyle w:val="P68B1DB1-Normal18"/>
              <w:spacing w:before="0" w:after="0" w:line="276" w:lineRule="auto"/>
              <w:rPr>
                <w:rFonts w:eastAsia="Times New Roman"/>
                <w:noProof/>
              </w:rPr>
            </w:pPr>
            <w:r>
              <w:rPr>
                <w:noProof/>
              </w:rPr>
              <w:t>Cible</w:t>
            </w:r>
          </w:p>
        </w:tc>
        <w:tc>
          <w:tcPr>
            <w:tcW w:w="3686" w:type="dxa"/>
            <w:shd w:val="clear" w:color="auto" w:fill="C6EFCE"/>
            <w:noWrap/>
            <w:vAlign w:val="center"/>
          </w:tcPr>
          <w:p w14:paraId="424D111D" w14:textId="071055F5" w:rsidR="003B6BD9" w:rsidRDefault="009E25E8">
            <w:pPr>
              <w:pStyle w:val="P68B1DB1-Normal18"/>
              <w:spacing w:before="0" w:after="0" w:line="276" w:lineRule="auto"/>
              <w:rPr>
                <w:rFonts w:eastAsia="Times New Roman"/>
                <w:noProof/>
              </w:rPr>
            </w:pPr>
            <w:r>
              <w:rPr>
                <w:noProof/>
              </w:rPr>
              <w:t>Construction d’un centre pour les semences, les pépinières et la protection des forêts</w:t>
            </w:r>
          </w:p>
        </w:tc>
      </w:tr>
      <w:tr w:rsidR="003B6BD9" w14:paraId="4E2EBBA6" w14:textId="77777777">
        <w:trPr>
          <w:trHeight w:val="302"/>
        </w:trPr>
        <w:tc>
          <w:tcPr>
            <w:tcW w:w="1247" w:type="dxa"/>
            <w:shd w:val="clear" w:color="auto" w:fill="C6EFCE"/>
            <w:noWrap/>
            <w:vAlign w:val="center"/>
          </w:tcPr>
          <w:p w14:paraId="1E579442" w14:textId="5471BE7B" w:rsidR="003B6BD9" w:rsidRDefault="009E25E8">
            <w:pPr>
              <w:pStyle w:val="P68B1DB1-Normal18"/>
              <w:spacing w:before="0" w:after="0" w:line="276" w:lineRule="auto"/>
              <w:jc w:val="center"/>
              <w:rPr>
                <w:rFonts w:eastAsia="Times New Roman"/>
                <w:noProof/>
              </w:rPr>
            </w:pPr>
            <w:r>
              <w:rPr>
                <w:noProof/>
              </w:rPr>
              <w:t>40</w:t>
            </w:r>
          </w:p>
        </w:tc>
        <w:tc>
          <w:tcPr>
            <w:tcW w:w="3119" w:type="dxa"/>
            <w:shd w:val="clear" w:color="auto" w:fill="C6EFCE"/>
            <w:noWrap/>
            <w:vAlign w:val="center"/>
          </w:tcPr>
          <w:p w14:paraId="20DF7B86" w14:textId="01155B8E" w:rsidR="003B6BD9" w:rsidRDefault="009E25E8">
            <w:pPr>
              <w:pStyle w:val="P68B1DB1-Normal18"/>
              <w:spacing w:before="0" w:after="0" w:line="276" w:lineRule="auto"/>
              <w:rPr>
                <w:rFonts w:eastAsia="Times New Roman"/>
                <w:noProof/>
              </w:rPr>
            </w:pPr>
            <w:r>
              <w:rPr>
                <w:noProof/>
              </w:rPr>
              <w:t>H: Projets de rejet et de traitement des eaux urbaines résiduaires</w:t>
            </w:r>
          </w:p>
        </w:tc>
        <w:tc>
          <w:tcPr>
            <w:tcW w:w="1670" w:type="dxa"/>
            <w:shd w:val="clear" w:color="auto" w:fill="C6EFCE"/>
            <w:noWrap/>
            <w:vAlign w:val="center"/>
          </w:tcPr>
          <w:p w14:paraId="38928B76" w14:textId="2B65FB01" w:rsidR="003B6BD9" w:rsidRDefault="009E25E8">
            <w:pPr>
              <w:pStyle w:val="P68B1DB1-Normal18"/>
              <w:spacing w:before="0" w:after="0" w:line="276" w:lineRule="auto"/>
              <w:rPr>
                <w:rFonts w:eastAsia="Times New Roman"/>
                <w:noProof/>
              </w:rPr>
            </w:pPr>
            <w:r>
              <w:rPr>
                <w:noProof/>
              </w:rPr>
              <w:t>Cible</w:t>
            </w:r>
          </w:p>
        </w:tc>
        <w:tc>
          <w:tcPr>
            <w:tcW w:w="3686" w:type="dxa"/>
            <w:shd w:val="clear" w:color="auto" w:fill="C6EFCE"/>
            <w:noWrap/>
            <w:vAlign w:val="center"/>
          </w:tcPr>
          <w:p w14:paraId="68FD0827" w14:textId="5A287F69" w:rsidR="003B6BD9" w:rsidRDefault="009E25E8">
            <w:pPr>
              <w:pStyle w:val="P68B1DB1-Normal18"/>
              <w:spacing w:before="0" w:after="0" w:line="276" w:lineRule="auto"/>
              <w:rPr>
                <w:rFonts w:eastAsia="Times New Roman"/>
                <w:noProof/>
              </w:rPr>
            </w:pPr>
            <w:r>
              <w:rPr>
                <w:noProof/>
              </w:rPr>
              <w:t xml:space="preserve">Nombre de nouveaux systèmes de traitement des eaux usées construits ou de systèmes existants reconstruits </w:t>
            </w:r>
          </w:p>
        </w:tc>
      </w:tr>
      <w:tr w:rsidR="003B6BD9" w14:paraId="7EE10D7F" w14:textId="77777777">
        <w:trPr>
          <w:trHeight w:val="302"/>
        </w:trPr>
        <w:tc>
          <w:tcPr>
            <w:tcW w:w="1247" w:type="dxa"/>
            <w:shd w:val="clear" w:color="auto" w:fill="C6EFCE"/>
            <w:noWrap/>
            <w:vAlign w:val="center"/>
          </w:tcPr>
          <w:p w14:paraId="71E1B654" w14:textId="2AA568D3" w:rsidR="003B6BD9" w:rsidRDefault="009E25E8">
            <w:pPr>
              <w:pStyle w:val="P68B1DB1-Normal18"/>
              <w:spacing w:before="0" w:after="0" w:line="276" w:lineRule="auto"/>
              <w:jc w:val="center"/>
              <w:rPr>
                <w:rFonts w:eastAsia="Times New Roman"/>
                <w:noProof/>
              </w:rPr>
            </w:pPr>
            <w:r>
              <w:rPr>
                <w:noProof/>
              </w:rPr>
              <w:t>44</w:t>
            </w:r>
          </w:p>
        </w:tc>
        <w:tc>
          <w:tcPr>
            <w:tcW w:w="3119" w:type="dxa"/>
            <w:shd w:val="clear" w:color="auto" w:fill="C6EFCE"/>
            <w:noWrap/>
            <w:vAlign w:val="center"/>
          </w:tcPr>
          <w:p w14:paraId="7B1CAB59" w14:textId="519E71D9" w:rsidR="003B6BD9" w:rsidRDefault="009E25E8">
            <w:pPr>
              <w:pStyle w:val="P68B1DB1-Normal18"/>
              <w:spacing w:before="0" w:after="0" w:line="276" w:lineRule="auto"/>
              <w:rPr>
                <w:rFonts w:eastAsia="Times New Roman"/>
                <w:noProof/>
              </w:rPr>
            </w:pPr>
            <w:r>
              <w:rPr>
                <w:noProof/>
              </w:rPr>
              <w:t>I: Projets d’approvisionnement en eau potable et d’économies d’eau</w:t>
            </w:r>
          </w:p>
        </w:tc>
        <w:tc>
          <w:tcPr>
            <w:tcW w:w="1670" w:type="dxa"/>
            <w:shd w:val="clear" w:color="auto" w:fill="C6EFCE"/>
            <w:noWrap/>
            <w:vAlign w:val="center"/>
          </w:tcPr>
          <w:p w14:paraId="15E678D6" w14:textId="46827CFB" w:rsidR="003B6BD9" w:rsidRDefault="009E25E8">
            <w:pPr>
              <w:pStyle w:val="P68B1DB1-Normal18"/>
              <w:spacing w:before="0" w:after="0" w:line="276" w:lineRule="auto"/>
              <w:rPr>
                <w:rFonts w:eastAsia="Times New Roman"/>
                <w:noProof/>
              </w:rPr>
            </w:pPr>
            <w:r>
              <w:rPr>
                <w:noProof/>
              </w:rPr>
              <w:t>Cible</w:t>
            </w:r>
          </w:p>
        </w:tc>
        <w:tc>
          <w:tcPr>
            <w:tcW w:w="3686" w:type="dxa"/>
            <w:shd w:val="clear" w:color="auto" w:fill="C6EFCE"/>
            <w:noWrap/>
            <w:vAlign w:val="center"/>
          </w:tcPr>
          <w:p w14:paraId="45B654D3" w14:textId="5EACCA71" w:rsidR="003B6BD9" w:rsidRDefault="009E25E8">
            <w:pPr>
              <w:pStyle w:val="P68B1DB1-Normal18"/>
              <w:spacing w:before="0" w:after="0" w:line="276" w:lineRule="auto"/>
              <w:rPr>
                <w:rFonts w:eastAsia="Times New Roman"/>
                <w:noProof/>
              </w:rPr>
            </w:pPr>
            <w:r>
              <w:rPr>
                <w:noProof/>
              </w:rPr>
              <w:t>Nombre de nouveaux systèmes d’approvisionnement en eau potable construits ou de systèmes d’approvisionnement en eau potable existants reconstruits</w:t>
            </w:r>
          </w:p>
        </w:tc>
      </w:tr>
      <w:tr w:rsidR="003B6BD9" w14:paraId="3679DF40" w14:textId="77777777">
        <w:trPr>
          <w:trHeight w:val="302"/>
        </w:trPr>
        <w:tc>
          <w:tcPr>
            <w:tcW w:w="1247" w:type="dxa"/>
            <w:shd w:val="clear" w:color="auto" w:fill="C6EFCE"/>
            <w:noWrap/>
            <w:vAlign w:val="center"/>
          </w:tcPr>
          <w:p w14:paraId="38A71B03" w14:textId="431D51B5" w:rsidR="003B6BD9" w:rsidRDefault="009E25E8">
            <w:pPr>
              <w:pStyle w:val="P68B1DB1-Normal18"/>
              <w:spacing w:before="0" w:after="0" w:line="276" w:lineRule="auto"/>
              <w:jc w:val="center"/>
              <w:rPr>
                <w:rFonts w:eastAsia="Times New Roman"/>
                <w:noProof/>
              </w:rPr>
            </w:pPr>
            <w:r>
              <w:rPr>
                <w:noProof/>
              </w:rPr>
              <w:t>73</w:t>
            </w:r>
          </w:p>
        </w:tc>
        <w:tc>
          <w:tcPr>
            <w:tcW w:w="3119" w:type="dxa"/>
            <w:shd w:val="clear" w:color="auto" w:fill="C6EFCE"/>
            <w:noWrap/>
            <w:vAlign w:val="center"/>
          </w:tcPr>
          <w:p w14:paraId="7DC424D8" w14:textId="048843EE" w:rsidR="003B6BD9" w:rsidRDefault="009E25E8">
            <w:pPr>
              <w:pStyle w:val="P68B1DB1-Normal18"/>
              <w:spacing w:before="0" w:after="0" w:line="276" w:lineRule="auto"/>
              <w:rPr>
                <w:rFonts w:eastAsia="Times New Roman"/>
                <w:noProof/>
              </w:rPr>
            </w:pPr>
            <w:r>
              <w:rPr>
                <w:noProof/>
              </w:rPr>
              <w:t xml:space="preserve">B: Projet stratégique intégré visant à décarboner la Slovénie grâce à la transition vers une économie circulaire </w:t>
            </w:r>
          </w:p>
        </w:tc>
        <w:tc>
          <w:tcPr>
            <w:tcW w:w="1670" w:type="dxa"/>
            <w:shd w:val="clear" w:color="auto" w:fill="C6EFCE"/>
            <w:noWrap/>
            <w:vAlign w:val="center"/>
          </w:tcPr>
          <w:p w14:paraId="68C65BBE" w14:textId="7AA2AF77" w:rsidR="003B6BD9" w:rsidRDefault="009E25E8">
            <w:pPr>
              <w:pStyle w:val="P68B1DB1-Normal18"/>
              <w:spacing w:before="0" w:after="0" w:line="276" w:lineRule="auto"/>
              <w:rPr>
                <w:rFonts w:eastAsia="Times New Roman"/>
                <w:noProof/>
              </w:rPr>
            </w:pPr>
            <w:r>
              <w:rPr>
                <w:noProof/>
              </w:rPr>
              <w:t>Cible</w:t>
            </w:r>
          </w:p>
        </w:tc>
        <w:tc>
          <w:tcPr>
            <w:tcW w:w="3686" w:type="dxa"/>
            <w:shd w:val="clear" w:color="auto" w:fill="C6EFCE"/>
            <w:noWrap/>
            <w:vAlign w:val="center"/>
          </w:tcPr>
          <w:p w14:paraId="1CBA69CF" w14:textId="45BE7132" w:rsidR="003B6BD9" w:rsidRDefault="009E25E8">
            <w:pPr>
              <w:pStyle w:val="P68B1DB1-Normal18"/>
              <w:spacing w:before="0" w:after="0" w:line="276" w:lineRule="auto"/>
              <w:rPr>
                <w:rFonts w:eastAsia="Times New Roman"/>
                <w:noProof/>
              </w:rPr>
            </w:pPr>
            <w:r>
              <w:rPr>
                <w:noProof/>
              </w:rPr>
              <w:t>Nombre de projets ou d’activités visant à soutenir les entreprises dans la transition vers une économie circulaire</w:t>
            </w:r>
          </w:p>
        </w:tc>
      </w:tr>
      <w:tr w:rsidR="003B6BD9" w14:paraId="307F8AFC" w14:textId="77777777">
        <w:trPr>
          <w:trHeight w:val="302"/>
        </w:trPr>
        <w:tc>
          <w:tcPr>
            <w:tcW w:w="1247" w:type="dxa"/>
            <w:shd w:val="clear" w:color="auto" w:fill="C6EFCE"/>
            <w:noWrap/>
            <w:vAlign w:val="center"/>
          </w:tcPr>
          <w:p w14:paraId="7C7664CD" w14:textId="56D46B63" w:rsidR="003B6BD9" w:rsidRDefault="009E25E8">
            <w:pPr>
              <w:pStyle w:val="P68B1DB1-Normal18"/>
              <w:spacing w:before="0" w:after="0" w:line="276" w:lineRule="auto"/>
              <w:jc w:val="center"/>
              <w:rPr>
                <w:rFonts w:eastAsia="Times New Roman"/>
                <w:noProof/>
              </w:rPr>
            </w:pPr>
            <w:r>
              <w:rPr>
                <w:noProof/>
              </w:rPr>
              <w:t>97</w:t>
            </w:r>
          </w:p>
        </w:tc>
        <w:tc>
          <w:tcPr>
            <w:tcW w:w="3119" w:type="dxa"/>
            <w:shd w:val="clear" w:color="auto" w:fill="C6EFCE"/>
            <w:noWrap/>
            <w:vAlign w:val="center"/>
          </w:tcPr>
          <w:p w14:paraId="65060268" w14:textId="565F9697" w:rsidR="003B6BD9" w:rsidRDefault="009E25E8">
            <w:pPr>
              <w:pStyle w:val="P68B1DB1-Normal18"/>
              <w:spacing w:before="0" w:after="0" w:line="276" w:lineRule="auto"/>
              <w:rPr>
                <w:rFonts w:eastAsia="Times New Roman"/>
                <w:noProof/>
              </w:rPr>
            </w:pPr>
            <w:r>
              <w:rPr>
                <w:noProof/>
              </w:rPr>
              <w:t>G: Moderniser l’environnement numérique de l’administration publique</w:t>
            </w:r>
          </w:p>
        </w:tc>
        <w:tc>
          <w:tcPr>
            <w:tcW w:w="1670" w:type="dxa"/>
            <w:shd w:val="clear" w:color="auto" w:fill="C6EFCE"/>
            <w:noWrap/>
            <w:vAlign w:val="center"/>
          </w:tcPr>
          <w:p w14:paraId="32974C63" w14:textId="2C20F33A" w:rsidR="003B6BD9" w:rsidRDefault="009E25E8">
            <w:pPr>
              <w:pStyle w:val="P68B1DB1-Normal18"/>
              <w:spacing w:before="0" w:after="0" w:line="276" w:lineRule="auto"/>
              <w:rPr>
                <w:rFonts w:eastAsia="Times New Roman"/>
                <w:noProof/>
              </w:rPr>
            </w:pPr>
            <w:r>
              <w:rPr>
                <w:noProof/>
              </w:rPr>
              <w:t>Jalon</w:t>
            </w:r>
          </w:p>
        </w:tc>
        <w:tc>
          <w:tcPr>
            <w:tcW w:w="3686" w:type="dxa"/>
            <w:shd w:val="clear" w:color="auto" w:fill="C6EFCE"/>
            <w:noWrap/>
            <w:vAlign w:val="center"/>
          </w:tcPr>
          <w:p w14:paraId="715A4E6C" w14:textId="2FA8BD7C" w:rsidR="003B6BD9" w:rsidRDefault="009E25E8">
            <w:pPr>
              <w:pStyle w:val="P68B1DB1-Normal18"/>
              <w:spacing w:before="0" w:after="0" w:line="276" w:lineRule="auto"/>
              <w:rPr>
                <w:rFonts w:eastAsia="Times New Roman"/>
                <w:noProof/>
              </w:rPr>
            </w:pPr>
            <w:r>
              <w:rPr>
                <w:noProof/>
              </w:rPr>
              <w:t>Plateforme «Législation en ligne»</w:t>
            </w:r>
          </w:p>
        </w:tc>
      </w:tr>
      <w:tr w:rsidR="003B6BD9" w14:paraId="7FB8EC22" w14:textId="77777777">
        <w:trPr>
          <w:trHeight w:val="302"/>
        </w:trPr>
        <w:tc>
          <w:tcPr>
            <w:tcW w:w="1247" w:type="dxa"/>
            <w:shd w:val="clear" w:color="auto" w:fill="C6EFCE"/>
            <w:noWrap/>
            <w:vAlign w:val="center"/>
          </w:tcPr>
          <w:p w14:paraId="2803A1DE" w14:textId="2E289E9D" w:rsidR="003B6BD9" w:rsidRDefault="009E25E8">
            <w:pPr>
              <w:pStyle w:val="P68B1DB1-Normal18"/>
              <w:spacing w:before="0" w:after="0" w:line="276" w:lineRule="auto"/>
              <w:jc w:val="center"/>
              <w:rPr>
                <w:rFonts w:eastAsia="Times New Roman"/>
                <w:noProof/>
              </w:rPr>
            </w:pPr>
            <w:r>
              <w:rPr>
                <w:noProof/>
              </w:rPr>
              <w:t>101</w:t>
            </w:r>
          </w:p>
        </w:tc>
        <w:tc>
          <w:tcPr>
            <w:tcW w:w="3119" w:type="dxa"/>
            <w:shd w:val="clear" w:color="auto" w:fill="C6EFCE"/>
            <w:noWrap/>
            <w:vAlign w:val="center"/>
          </w:tcPr>
          <w:p w14:paraId="2E657D98" w14:textId="26B18C15" w:rsidR="003B6BD9" w:rsidRDefault="009E25E8">
            <w:pPr>
              <w:pStyle w:val="P68B1DB1-Normal18"/>
              <w:spacing w:before="0" w:after="0" w:line="276" w:lineRule="auto"/>
              <w:rPr>
                <w:rFonts w:eastAsia="Times New Roman"/>
                <w:noProof/>
              </w:rPr>
            </w:pPr>
            <w:r>
              <w:rPr>
                <w:noProof/>
              </w:rPr>
              <w:t>I. Numérisation de la sécurité intérieure</w:t>
            </w:r>
          </w:p>
        </w:tc>
        <w:tc>
          <w:tcPr>
            <w:tcW w:w="1670" w:type="dxa"/>
            <w:shd w:val="clear" w:color="auto" w:fill="C6EFCE"/>
            <w:noWrap/>
            <w:vAlign w:val="center"/>
          </w:tcPr>
          <w:p w14:paraId="068FEFB0" w14:textId="0457D5A1" w:rsidR="003B6BD9" w:rsidRDefault="009E25E8">
            <w:pPr>
              <w:pStyle w:val="P68B1DB1-Normal18"/>
              <w:spacing w:before="0" w:after="0" w:line="276" w:lineRule="auto"/>
              <w:rPr>
                <w:rFonts w:eastAsia="Times New Roman"/>
                <w:noProof/>
              </w:rPr>
            </w:pPr>
            <w:r>
              <w:rPr>
                <w:noProof/>
              </w:rPr>
              <w:t>Jalon</w:t>
            </w:r>
          </w:p>
        </w:tc>
        <w:tc>
          <w:tcPr>
            <w:tcW w:w="3686" w:type="dxa"/>
            <w:shd w:val="clear" w:color="auto" w:fill="C6EFCE"/>
            <w:noWrap/>
            <w:vAlign w:val="center"/>
          </w:tcPr>
          <w:p w14:paraId="5AEAE0A4" w14:textId="201326BD" w:rsidR="003B6BD9" w:rsidRDefault="009E25E8">
            <w:pPr>
              <w:pStyle w:val="P68B1DB1-Normal18"/>
              <w:spacing w:before="0" w:after="0" w:line="276" w:lineRule="auto"/>
              <w:rPr>
                <w:rFonts w:eastAsia="Times New Roman"/>
                <w:noProof/>
              </w:rPr>
            </w:pPr>
            <w:r>
              <w:rPr>
                <w:noProof/>
              </w:rPr>
              <w:t>Applications dans le nuage policier</w:t>
            </w:r>
          </w:p>
        </w:tc>
      </w:tr>
      <w:tr w:rsidR="003B6BD9" w14:paraId="7E144697" w14:textId="77777777">
        <w:trPr>
          <w:trHeight w:val="302"/>
        </w:trPr>
        <w:tc>
          <w:tcPr>
            <w:tcW w:w="1247" w:type="dxa"/>
            <w:shd w:val="clear" w:color="auto" w:fill="C6EFCE"/>
            <w:noWrap/>
            <w:vAlign w:val="center"/>
          </w:tcPr>
          <w:p w14:paraId="7447DE84" w14:textId="6759CB38" w:rsidR="003B6BD9" w:rsidRDefault="009E25E8">
            <w:pPr>
              <w:pStyle w:val="P68B1DB1-Normal18"/>
              <w:spacing w:before="0" w:after="0" w:line="276" w:lineRule="auto"/>
              <w:jc w:val="center"/>
              <w:rPr>
                <w:rFonts w:eastAsia="Times New Roman"/>
                <w:noProof/>
              </w:rPr>
            </w:pPr>
            <w:r>
              <w:rPr>
                <w:noProof/>
              </w:rPr>
              <w:t>102</w:t>
            </w:r>
          </w:p>
        </w:tc>
        <w:tc>
          <w:tcPr>
            <w:tcW w:w="3119" w:type="dxa"/>
            <w:shd w:val="clear" w:color="auto" w:fill="C6EFCE"/>
            <w:noWrap/>
            <w:vAlign w:val="center"/>
          </w:tcPr>
          <w:p w14:paraId="04306C10" w14:textId="6B5A24E2" w:rsidR="003B6BD9" w:rsidRDefault="009E25E8">
            <w:pPr>
              <w:pStyle w:val="P68B1DB1-Normal18"/>
              <w:spacing w:before="0" w:after="0" w:line="276" w:lineRule="auto"/>
              <w:rPr>
                <w:rFonts w:eastAsia="Times New Roman"/>
                <w:noProof/>
              </w:rPr>
            </w:pPr>
            <w:r>
              <w:rPr>
                <w:noProof/>
              </w:rPr>
              <w:t>K: Cadre d’implantation de la Slovénie verte</w:t>
            </w:r>
          </w:p>
        </w:tc>
        <w:tc>
          <w:tcPr>
            <w:tcW w:w="1670" w:type="dxa"/>
            <w:shd w:val="clear" w:color="auto" w:fill="C6EFCE"/>
            <w:noWrap/>
            <w:vAlign w:val="center"/>
          </w:tcPr>
          <w:p w14:paraId="50AE49E6" w14:textId="7C45E065" w:rsidR="003B6BD9" w:rsidRDefault="009E25E8">
            <w:pPr>
              <w:pStyle w:val="P68B1DB1-Normal18"/>
              <w:spacing w:before="0" w:after="0" w:line="276" w:lineRule="auto"/>
              <w:rPr>
                <w:rFonts w:eastAsia="Times New Roman"/>
                <w:noProof/>
              </w:rPr>
            </w:pPr>
            <w:r>
              <w:rPr>
                <w:noProof/>
              </w:rPr>
              <w:t>Cible</w:t>
            </w:r>
          </w:p>
        </w:tc>
        <w:tc>
          <w:tcPr>
            <w:tcW w:w="3686" w:type="dxa"/>
            <w:shd w:val="clear" w:color="auto" w:fill="C6EFCE"/>
            <w:noWrap/>
            <w:vAlign w:val="center"/>
          </w:tcPr>
          <w:p w14:paraId="4955DD36" w14:textId="3B8C990B" w:rsidR="003B6BD9" w:rsidRDefault="009E25E8">
            <w:pPr>
              <w:pStyle w:val="P68B1DB1-Normal18"/>
              <w:spacing w:before="0" w:after="0" w:line="276" w:lineRule="auto"/>
              <w:rPr>
                <w:rFonts w:eastAsia="Times New Roman"/>
                <w:noProof/>
              </w:rPr>
            </w:pPr>
            <w:r>
              <w:rPr>
                <w:noProof/>
              </w:rPr>
              <w:t>Solutions d’information spatiale et environnementale connectées</w:t>
            </w:r>
          </w:p>
        </w:tc>
      </w:tr>
      <w:tr w:rsidR="003B6BD9" w14:paraId="06A61274" w14:textId="77777777">
        <w:trPr>
          <w:trHeight w:val="302"/>
        </w:trPr>
        <w:tc>
          <w:tcPr>
            <w:tcW w:w="1247" w:type="dxa"/>
            <w:shd w:val="clear" w:color="auto" w:fill="C6EFCE"/>
            <w:noWrap/>
            <w:vAlign w:val="center"/>
          </w:tcPr>
          <w:p w14:paraId="6E4248DB" w14:textId="7AD6098B" w:rsidR="003B6BD9" w:rsidRDefault="009E25E8">
            <w:pPr>
              <w:pStyle w:val="P68B1DB1-Normal18"/>
              <w:spacing w:before="0" w:after="0" w:line="276" w:lineRule="auto"/>
              <w:jc w:val="center"/>
              <w:rPr>
                <w:rFonts w:eastAsia="Times New Roman"/>
                <w:noProof/>
              </w:rPr>
            </w:pPr>
            <w:r>
              <w:rPr>
                <w:noProof/>
              </w:rPr>
              <w:t>140</w:t>
            </w:r>
          </w:p>
        </w:tc>
        <w:tc>
          <w:tcPr>
            <w:tcW w:w="3119" w:type="dxa"/>
            <w:shd w:val="clear" w:color="auto" w:fill="C6EFCE"/>
            <w:noWrap/>
            <w:vAlign w:val="center"/>
          </w:tcPr>
          <w:p w14:paraId="7FF1E993" w14:textId="11F523A0" w:rsidR="003B6BD9" w:rsidRDefault="009E25E8">
            <w:pPr>
              <w:pStyle w:val="P68B1DB1-Normal18"/>
              <w:spacing w:before="0" w:after="0" w:line="276" w:lineRule="auto"/>
              <w:rPr>
                <w:noProof/>
              </w:rPr>
            </w:pPr>
            <w:r>
              <w:rPr>
                <w:noProof/>
              </w:rPr>
              <w:t>A: Mesures structurelles visant à renforcer la résilience du marché du travail</w:t>
            </w:r>
          </w:p>
        </w:tc>
        <w:tc>
          <w:tcPr>
            <w:tcW w:w="1670" w:type="dxa"/>
            <w:shd w:val="clear" w:color="auto" w:fill="C6EFCE"/>
            <w:noWrap/>
            <w:vAlign w:val="center"/>
          </w:tcPr>
          <w:p w14:paraId="7E9A9B84" w14:textId="04645E03" w:rsidR="003B6BD9" w:rsidRDefault="009E25E8">
            <w:pPr>
              <w:pStyle w:val="P68B1DB1-Normal18"/>
              <w:spacing w:before="0" w:after="0" w:line="276" w:lineRule="auto"/>
              <w:rPr>
                <w:noProof/>
              </w:rPr>
            </w:pPr>
            <w:r>
              <w:rPr>
                <w:noProof/>
              </w:rPr>
              <w:t>Jalon</w:t>
            </w:r>
          </w:p>
        </w:tc>
        <w:tc>
          <w:tcPr>
            <w:tcW w:w="3686" w:type="dxa"/>
            <w:shd w:val="clear" w:color="auto" w:fill="C6EFCE"/>
            <w:noWrap/>
            <w:vAlign w:val="center"/>
          </w:tcPr>
          <w:p w14:paraId="0C4D258C" w14:textId="08E90661" w:rsidR="003B6BD9" w:rsidRDefault="009E25E8">
            <w:pPr>
              <w:pStyle w:val="P68B1DB1-Normal18"/>
              <w:spacing w:before="0" w:after="0" w:line="276" w:lineRule="auto"/>
              <w:rPr>
                <w:noProof/>
              </w:rPr>
            </w:pPr>
            <w:r>
              <w:rPr>
                <w:noProof/>
              </w:rPr>
              <w:t>Adoption des lignes directrices pour la mise en œuvre de la politique active du marché du travail 2026-2030</w:t>
            </w:r>
          </w:p>
        </w:tc>
      </w:tr>
      <w:tr w:rsidR="003B6BD9" w14:paraId="75BCF8CD" w14:textId="77777777">
        <w:trPr>
          <w:trHeight w:val="302"/>
        </w:trPr>
        <w:tc>
          <w:tcPr>
            <w:tcW w:w="1247" w:type="dxa"/>
            <w:shd w:val="clear" w:color="auto" w:fill="C6EFCE"/>
            <w:noWrap/>
            <w:vAlign w:val="center"/>
          </w:tcPr>
          <w:p w14:paraId="5FC7F563" w14:textId="00391069" w:rsidR="003B6BD9" w:rsidRDefault="009E25E8">
            <w:pPr>
              <w:pStyle w:val="P68B1DB1-Normal18"/>
              <w:spacing w:before="0" w:after="0" w:line="276" w:lineRule="auto"/>
              <w:jc w:val="center"/>
              <w:rPr>
                <w:rFonts w:eastAsia="Times New Roman"/>
                <w:noProof/>
              </w:rPr>
            </w:pPr>
            <w:r>
              <w:rPr>
                <w:noProof/>
              </w:rPr>
              <w:t>148</w:t>
            </w:r>
          </w:p>
        </w:tc>
        <w:tc>
          <w:tcPr>
            <w:tcW w:w="3119" w:type="dxa"/>
            <w:shd w:val="clear" w:color="auto" w:fill="C6EFCE"/>
            <w:noWrap/>
            <w:vAlign w:val="center"/>
          </w:tcPr>
          <w:p w14:paraId="151DC5F0" w14:textId="1B91A5E8" w:rsidR="003B6BD9" w:rsidRDefault="009E25E8">
            <w:pPr>
              <w:pStyle w:val="P68B1DB1-Normal18"/>
              <w:spacing w:before="0" w:after="0" w:line="276" w:lineRule="auto"/>
              <w:rPr>
                <w:rFonts w:eastAsia="Times New Roman"/>
                <w:noProof/>
              </w:rPr>
            </w:pPr>
            <w:r>
              <w:rPr>
                <w:noProof/>
              </w:rPr>
              <w:t>A: Renforcer le développement durable du tourisme</w:t>
            </w:r>
          </w:p>
        </w:tc>
        <w:tc>
          <w:tcPr>
            <w:tcW w:w="1670" w:type="dxa"/>
            <w:shd w:val="clear" w:color="auto" w:fill="C6EFCE"/>
            <w:noWrap/>
            <w:vAlign w:val="center"/>
          </w:tcPr>
          <w:p w14:paraId="323F3C0A" w14:textId="3D966F93" w:rsidR="003B6BD9" w:rsidRDefault="009E25E8">
            <w:pPr>
              <w:pStyle w:val="P68B1DB1-Normal18"/>
              <w:spacing w:before="0" w:after="0" w:line="276" w:lineRule="auto"/>
              <w:rPr>
                <w:rFonts w:eastAsia="Times New Roman"/>
                <w:noProof/>
              </w:rPr>
            </w:pPr>
            <w:r>
              <w:rPr>
                <w:noProof/>
              </w:rPr>
              <w:t>Jalon</w:t>
            </w:r>
          </w:p>
        </w:tc>
        <w:tc>
          <w:tcPr>
            <w:tcW w:w="3686" w:type="dxa"/>
            <w:shd w:val="clear" w:color="auto" w:fill="C6EFCE"/>
            <w:noWrap/>
            <w:vAlign w:val="center"/>
          </w:tcPr>
          <w:p w14:paraId="3EEF19C9" w14:textId="4ACF70FC" w:rsidR="003B6BD9" w:rsidRDefault="009E25E8">
            <w:pPr>
              <w:pStyle w:val="P68B1DB1-Normal18"/>
              <w:spacing w:before="0" w:after="0" w:line="276" w:lineRule="auto"/>
              <w:rPr>
                <w:rFonts w:eastAsia="Times New Roman"/>
                <w:noProof/>
              </w:rPr>
            </w:pPr>
            <w:r>
              <w:rPr>
                <w:noProof/>
              </w:rPr>
              <w:t>Outil analytique pour les indicateurs du tourisme</w:t>
            </w:r>
          </w:p>
        </w:tc>
      </w:tr>
      <w:tr w:rsidR="003B6BD9" w14:paraId="746D8301" w14:textId="77777777">
        <w:trPr>
          <w:trHeight w:val="302"/>
        </w:trPr>
        <w:tc>
          <w:tcPr>
            <w:tcW w:w="1247" w:type="dxa"/>
            <w:shd w:val="clear" w:color="auto" w:fill="C6EFCE"/>
            <w:noWrap/>
            <w:vAlign w:val="center"/>
          </w:tcPr>
          <w:p w14:paraId="6DA1C6EF" w14:textId="283749D0" w:rsidR="003B6BD9" w:rsidRDefault="009E25E8">
            <w:pPr>
              <w:pStyle w:val="P68B1DB1-Normal18"/>
              <w:spacing w:before="0" w:after="0" w:line="276" w:lineRule="auto"/>
              <w:jc w:val="center"/>
              <w:rPr>
                <w:rFonts w:eastAsia="Times New Roman"/>
                <w:noProof/>
              </w:rPr>
            </w:pPr>
            <w:r>
              <w:rPr>
                <w:noProof/>
              </w:rPr>
              <w:t>153</w:t>
            </w:r>
          </w:p>
        </w:tc>
        <w:tc>
          <w:tcPr>
            <w:tcW w:w="3119" w:type="dxa"/>
            <w:shd w:val="clear" w:color="auto" w:fill="C6EFCE"/>
            <w:noWrap/>
            <w:vAlign w:val="center"/>
          </w:tcPr>
          <w:p w14:paraId="72599F67" w14:textId="08BF3119" w:rsidR="003B6BD9" w:rsidRDefault="009E25E8">
            <w:pPr>
              <w:pStyle w:val="P68B1DB1-Normal18"/>
              <w:spacing w:before="0" w:after="0" w:line="276" w:lineRule="auto"/>
              <w:rPr>
                <w:rFonts w:eastAsia="Times New Roman"/>
                <w:noProof/>
              </w:rPr>
            </w:pPr>
            <w:r>
              <w:rPr>
                <w:noProof/>
              </w:rPr>
              <w:t xml:space="preserve">C: Développement durable des infrastructures touristiques publiques et partagées et des attractions naturelles dans les destinations touristiques </w:t>
            </w:r>
          </w:p>
        </w:tc>
        <w:tc>
          <w:tcPr>
            <w:tcW w:w="1670" w:type="dxa"/>
            <w:shd w:val="clear" w:color="auto" w:fill="C6EFCE"/>
            <w:noWrap/>
            <w:vAlign w:val="center"/>
          </w:tcPr>
          <w:p w14:paraId="734537DD" w14:textId="29CB3153" w:rsidR="003B6BD9" w:rsidRDefault="009E25E8">
            <w:pPr>
              <w:pStyle w:val="P68B1DB1-Normal18"/>
              <w:spacing w:before="0" w:after="0" w:line="276" w:lineRule="auto"/>
              <w:rPr>
                <w:rFonts w:eastAsia="Times New Roman"/>
                <w:noProof/>
              </w:rPr>
            </w:pPr>
            <w:r>
              <w:rPr>
                <w:noProof/>
              </w:rPr>
              <w:t>Cible</w:t>
            </w:r>
          </w:p>
        </w:tc>
        <w:tc>
          <w:tcPr>
            <w:tcW w:w="3686" w:type="dxa"/>
            <w:shd w:val="clear" w:color="auto" w:fill="C6EFCE"/>
            <w:noWrap/>
            <w:vAlign w:val="center"/>
          </w:tcPr>
          <w:p w14:paraId="417D0675" w14:textId="6EA66577" w:rsidR="003B6BD9" w:rsidRDefault="009E25E8">
            <w:pPr>
              <w:pStyle w:val="P68B1DB1-Normal18"/>
              <w:spacing w:before="0" w:after="0" w:line="276" w:lineRule="auto"/>
              <w:rPr>
                <w:rFonts w:eastAsia="Times New Roman"/>
                <w:noProof/>
              </w:rPr>
            </w:pPr>
            <w:r>
              <w:rPr>
                <w:noProof/>
              </w:rPr>
              <w:t>Projets dans le domaine des infrastructures touristiques publiques</w:t>
            </w:r>
          </w:p>
        </w:tc>
      </w:tr>
      <w:tr w:rsidR="003B6BD9" w14:paraId="3980B121" w14:textId="77777777">
        <w:trPr>
          <w:trHeight w:val="302"/>
        </w:trPr>
        <w:tc>
          <w:tcPr>
            <w:tcW w:w="1247" w:type="dxa"/>
            <w:shd w:val="clear" w:color="auto" w:fill="C6EFCE"/>
            <w:noWrap/>
            <w:vAlign w:val="center"/>
          </w:tcPr>
          <w:p w14:paraId="2847A8AA" w14:textId="6C1776D8" w:rsidR="003B6BD9" w:rsidRDefault="009E25E8">
            <w:pPr>
              <w:pStyle w:val="P68B1DB1-Normal18"/>
              <w:spacing w:before="0" w:after="0" w:line="276" w:lineRule="auto"/>
              <w:jc w:val="center"/>
              <w:rPr>
                <w:rFonts w:eastAsia="Times New Roman"/>
                <w:noProof/>
              </w:rPr>
            </w:pPr>
            <w:r>
              <w:rPr>
                <w:noProof/>
              </w:rPr>
              <w:t>156</w:t>
            </w:r>
          </w:p>
        </w:tc>
        <w:tc>
          <w:tcPr>
            <w:tcW w:w="3119" w:type="dxa"/>
            <w:shd w:val="clear" w:color="auto" w:fill="C6EFCE"/>
            <w:noWrap/>
            <w:vAlign w:val="center"/>
          </w:tcPr>
          <w:p w14:paraId="601E396E" w14:textId="3BD8C335" w:rsidR="003B6BD9" w:rsidRDefault="009E25E8">
            <w:pPr>
              <w:pStyle w:val="P68B1DB1-Normal18"/>
              <w:spacing w:before="0" w:after="0" w:line="276" w:lineRule="auto"/>
              <w:rPr>
                <w:rFonts w:eastAsia="Times New Roman"/>
                <w:noProof/>
              </w:rPr>
            </w:pPr>
            <w:r>
              <w:rPr>
                <w:noProof/>
              </w:rPr>
              <w:t>A: Rénover le système éducatif pour les transitions écologique et numérique</w:t>
            </w:r>
          </w:p>
        </w:tc>
        <w:tc>
          <w:tcPr>
            <w:tcW w:w="1670" w:type="dxa"/>
            <w:shd w:val="clear" w:color="auto" w:fill="C6EFCE"/>
            <w:noWrap/>
            <w:vAlign w:val="center"/>
          </w:tcPr>
          <w:p w14:paraId="028E093B" w14:textId="26089E84" w:rsidR="003B6BD9" w:rsidRDefault="009E25E8">
            <w:pPr>
              <w:pStyle w:val="P68B1DB1-Normal18"/>
              <w:spacing w:before="0" w:after="0" w:line="276" w:lineRule="auto"/>
              <w:rPr>
                <w:rFonts w:eastAsia="Times New Roman"/>
                <w:noProof/>
              </w:rPr>
            </w:pPr>
            <w:r>
              <w:rPr>
                <w:noProof/>
              </w:rPr>
              <w:t>Jalon</w:t>
            </w:r>
          </w:p>
        </w:tc>
        <w:tc>
          <w:tcPr>
            <w:tcW w:w="3686" w:type="dxa"/>
            <w:shd w:val="clear" w:color="auto" w:fill="C6EFCE"/>
            <w:noWrap/>
            <w:vAlign w:val="center"/>
          </w:tcPr>
          <w:p w14:paraId="1E04CEDD" w14:textId="53FDDDD7" w:rsidR="003B6BD9" w:rsidRDefault="009E25E8">
            <w:pPr>
              <w:pStyle w:val="P68B1DB1-Normal18"/>
              <w:spacing w:before="0" w:after="0" w:line="276" w:lineRule="auto"/>
              <w:rPr>
                <w:rFonts w:eastAsia="Times New Roman"/>
                <w:noProof/>
              </w:rPr>
            </w:pPr>
            <w:r>
              <w:rPr>
                <w:noProof/>
              </w:rPr>
              <w:t>Programmes révisés pour l’éducation et l’accueil de la petite enfance, les écoles primaires et secondaires</w:t>
            </w:r>
          </w:p>
        </w:tc>
      </w:tr>
      <w:tr w:rsidR="003B6BD9" w14:paraId="3A632ED0" w14:textId="77777777">
        <w:trPr>
          <w:trHeight w:val="302"/>
        </w:trPr>
        <w:tc>
          <w:tcPr>
            <w:tcW w:w="1247" w:type="dxa"/>
            <w:shd w:val="clear" w:color="auto" w:fill="C6EFCE"/>
            <w:noWrap/>
            <w:vAlign w:val="center"/>
          </w:tcPr>
          <w:p w14:paraId="49C4E9DF" w14:textId="6FB53486" w:rsidR="003B6BD9" w:rsidRDefault="009E25E8">
            <w:pPr>
              <w:pStyle w:val="P68B1DB1-Normal18"/>
              <w:spacing w:before="0" w:after="0" w:line="276" w:lineRule="auto"/>
              <w:jc w:val="center"/>
              <w:rPr>
                <w:rFonts w:eastAsia="Times New Roman"/>
                <w:noProof/>
              </w:rPr>
            </w:pPr>
            <w:r>
              <w:rPr>
                <w:noProof/>
              </w:rPr>
              <w:t>184</w:t>
            </w:r>
          </w:p>
        </w:tc>
        <w:tc>
          <w:tcPr>
            <w:tcW w:w="3119" w:type="dxa"/>
            <w:shd w:val="clear" w:color="auto" w:fill="C6EFCE"/>
            <w:noWrap/>
            <w:vAlign w:val="center"/>
          </w:tcPr>
          <w:p w14:paraId="224CFC49" w14:textId="4FF4528B" w:rsidR="003B6BD9" w:rsidRDefault="009E25E8">
            <w:pPr>
              <w:pStyle w:val="P68B1DB1-Normal18"/>
              <w:spacing w:before="0" w:after="0" w:line="276" w:lineRule="auto"/>
              <w:rPr>
                <w:rFonts w:eastAsia="Times New Roman"/>
                <w:noProof/>
              </w:rPr>
            </w:pPr>
            <w:r>
              <w:rPr>
                <w:noProof/>
              </w:rPr>
              <w:t>B: Renforcer les compétences du personnel de santé pour garantir la qualité des soins</w:t>
            </w:r>
          </w:p>
        </w:tc>
        <w:tc>
          <w:tcPr>
            <w:tcW w:w="1670" w:type="dxa"/>
            <w:shd w:val="clear" w:color="auto" w:fill="C6EFCE"/>
            <w:noWrap/>
            <w:vAlign w:val="center"/>
          </w:tcPr>
          <w:p w14:paraId="7E77420D" w14:textId="509A2BE0" w:rsidR="003B6BD9" w:rsidRDefault="009E25E8">
            <w:pPr>
              <w:pStyle w:val="P68B1DB1-Normal18"/>
              <w:spacing w:before="0" w:after="0" w:line="276" w:lineRule="auto"/>
              <w:rPr>
                <w:rFonts w:eastAsia="Times New Roman"/>
                <w:noProof/>
              </w:rPr>
            </w:pPr>
            <w:r>
              <w:rPr>
                <w:noProof/>
              </w:rPr>
              <w:t>Cible</w:t>
            </w:r>
          </w:p>
        </w:tc>
        <w:tc>
          <w:tcPr>
            <w:tcW w:w="3686" w:type="dxa"/>
            <w:shd w:val="clear" w:color="auto" w:fill="C6EFCE"/>
            <w:noWrap/>
            <w:vAlign w:val="center"/>
          </w:tcPr>
          <w:p w14:paraId="402DDC24" w14:textId="20A3B035" w:rsidR="003B6BD9" w:rsidRDefault="009E25E8">
            <w:pPr>
              <w:pStyle w:val="P68B1DB1-Normal18"/>
              <w:spacing w:before="0" w:after="0" w:line="276" w:lineRule="auto"/>
              <w:rPr>
                <w:rFonts w:eastAsia="Times New Roman"/>
                <w:noProof/>
              </w:rPr>
            </w:pPr>
            <w:r>
              <w:rPr>
                <w:noProof/>
              </w:rPr>
              <w:t>Livraison de véhicules pour les équipes de soins palliatifs</w:t>
            </w:r>
          </w:p>
        </w:tc>
      </w:tr>
      <w:tr w:rsidR="003B6BD9" w14:paraId="4A2EDBB3" w14:textId="77777777">
        <w:trPr>
          <w:trHeight w:val="302"/>
        </w:trPr>
        <w:tc>
          <w:tcPr>
            <w:tcW w:w="1247" w:type="dxa"/>
            <w:shd w:val="clear" w:color="auto" w:fill="C6EFCE"/>
            <w:noWrap/>
            <w:vAlign w:val="center"/>
          </w:tcPr>
          <w:p w14:paraId="0A07C452" w14:textId="15ACED92" w:rsidR="003B6BD9" w:rsidRDefault="009E25E8">
            <w:pPr>
              <w:pStyle w:val="P68B1DB1-Normal18"/>
              <w:spacing w:before="0" w:after="0" w:line="276" w:lineRule="auto"/>
              <w:jc w:val="center"/>
              <w:rPr>
                <w:rFonts w:eastAsia="Times New Roman"/>
                <w:noProof/>
              </w:rPr>
            </w:pPr>
            <w:r>
              <w:rPr>
                <w:noProof/>
              </w:rPr>
              <w:t>187</w:t>
            </w:r>
          </w:p>
        </w:tc>
        <w:tc>
          <w:tcPr>
            <w:tcW w:w="3119" w:type="dxa"/>
            <w:shd w:val="clear" w:color="auto" w:fill="C6EFCE"/>
            <w:noWrap/>
            <w:vAlign w:val="center"/>
          </w:tcPr>
          <w:p w14:paraId="670340B3" w14:textId="36F158B5" w:rsidR="003B6BD9" w:rsidRDefault="009E25E8">
            <w:pPr>
              <w:pStyle w:val="P68B1DB1-Normal18"/>
              <w:spacing w:before="0" w:after="0" w:line="276" w:lineRule="auto"/>
              <w:rPr>
                <w:rFonts w:eastAsia="Times New Roman"/>
                <w:noProof/>
              </w:rPr>
            </w:pPr>
            <w:r>
              <w:rPr>
                <w:noProof/>
              </w:rPr>
              <w:t>C: Transformation numérique des soins de santé</w:t>
            </w:r>
          </w:p>
        </w:tc>
        <w:tc>
          <w:tcPr>
            <w:tcW w:w="1670" w:type="dxa"/>
            <w:shd w:val="clear" w:color="auto" w:fill="C6EFCE"/>
            <w:noWrap/>
            <w:vAlign w:val="center"/>
          </w:tcPr>
          <w:p w14:paraId="02D5F4BD" w14:textId="4D347638" w:rsidR="003B6BD9" w:rsidRDefault="009E25E8">
            <w:pPr>
              <w:pStyle w:val="P68B1DB1-Normal18"/>
              <w:spacing w:before="0" w:after="0" w:line="276" w:lineRule="auto"/>
              <w:rPr>
                <w:rFonts w:eastAsia="Times New Roman"/>
                <w:noProof/>
              </w:rPr>
            </w:pPr>
            <w:r>
              <w:rPr>
                <w:noProof/>
              </w:rPr>
              <w:t>Jalon</w:t>
            </w:r>
          </w:p>
        </w:tc>
        <w:tc>
          <w:tcPr>
            <w:tcW w:w="3686" w:type="dxa"/>
            <w:shd w:val="clear" w:color="auto" w:fill="C6EFCE"/>
            <w:noWrap/>
            <w:vAlign w:val="center"/>
          </w:tcPr>
          <w:p w14:paraId="651AA4BD" w14:textId="374A586F" w:rsidR="003B6BD9" w:rsidRDefault="009E25E8">
            <w:pPr>
              <w:pStyle w:val="P68B1DB1-Normal18"/>
              <w:spacing w:before="0" w:after="0" w:line="276" w:lineRule="auto"/>
              <w:rPr>
                <w:rFonts w:eastAsia="Times New Roman"/>
                <w:noProof/>
              </w:rPr>
            </w:pPr>
            <w:r>
              <w:rPr>
                <w:noProof/>
              </w:rPr>
              <w:t>Nouvelles fonctionnalités de télémédecine accessibles aux patients et aux médecins</w:t>
            </w:r>
          </w:p>
        </w:tc>
      </w:tr>
      <w:tr w:rsidR="003B6BD9" w14:paraId="43AF583C" w14:textId="77777777">
        <w:trPr>
          <w:trHeight w:val="302"/>
        </w:trPr>
        <w:tc>
          <w:tcPr>
            <w:tcW w:w="1247" w:type="dxa"/>
            <w:shd w:val="clear" w:color="auto" w:fill="C6EFCE"/>
            <w:noWrap/>
            <w:vAlign w:val="center"/>
          </w:tcPr>
          <w:p w14:paraId="71481E51" w14:textId="77777777" w:rsidR="003B6BD9" w:rsidRDefault="003B6BD9">
            <w:pPr>
              <w:spacing w:before="0" w:after="0" w:line="276" w:lineRule="auto"/>
              <w:rPr>
                <w:rFonts w:eastAsia="Times New Roman"/>
                <w:noProof/>
                <w:color w:val="006100"/>
                <w:sz w:val="22"/>
              </w:rPr>
            </w:pPr>
          </w:p>
        </w:tc>
        <w:tc>
          <w:tcPr>
            <w:tcW w:w="3119" w:type="dxa"/>
            <w:shd w:val="clear" w:color="auto" w:fill="C6EFCE"/>
            <w:noWrap/>
            <w:vAlign w:val="center"/>
          </w:tcPr>
          <w:p w14:paraId="76C007AD" w14:textId="77777777" w:rsidR="003B6BD9" w:rsidRDefault="003B6BD9">
            <w:pPr>
              <w:spacing w:before="0" w:after="0" w:line="276" w:lineRule="auto"/>
              <w:rPr>
                <w:rFonts w:eastAsia="Times New Roman"/>
                <w:noProof/>
                <w:color w:val="006100"/>
                <w:sz w:val="22"/>
              </w:rPr>
            </w:pPr>
          </w:p>
        </w:tc>
        <w:tc>
          <w:tcPr>
            <w:tcW w:w="1670" w:type="dxa"/>
            <w:shd w:val="clear" w:color="auto" w:fill="C6EFCE"/>
            <w:noWrap/>
            <w:vAlign w:val="center"/>
          </w:tcPr>
          <w:p w14:paraId="3FF37A99" w14:textId="1061948B" w:rsidR="003B6BD9" w:rsidRDefault="009E25E8">
            <w:pPr>
              <w:pStyle w:val="P68B1DB1-Normal20"/>
              <w:spacing w:before="0" w:after="0" w:line="276" w:lineRule="auto"/>
              <w:rPr>
                <w:rFonts w:eastAsia="Times New Roman"/>
                <w:noProof/>
              </w:rPr>
            </w:pPr>
            <w:r>
              <w:rPr>
                <w:noProof/>
              </w:rPr>
              <w:t>Montant de l’acompte</w:t>
            </w:r>
          </w:p>
        </w:tc>
        <w:tc>
          <w:tcPr>
            <w:tcW w:w="3686" w:type="dxa"/>
            <w:shd w:val="clear" w:color="auto" w:fill="C6EFCE"/>
            <w:noWrap/>
            <w:vAlign w:val="center"/>
          </w:tcPr>
          <w:p w14:paraId="4F353E11" w14:textId="5C3E21DC" w:rsidR="003B6BD9" w:rsidRDefault="009E25E8">
            <w:pPr>
              <w:pStyle w:val="P68B1DB1-Normal20"/>
              <w:spacing w:before="0" w:after="0" w:line="276" w:lineRule="auto"/>
              <w:rPr>
                <w:rFonts w:eastAsia="Times New Roman"/>
                <w:noProof/>
              </w:rPr>
            </w:pPr>
            <w:r>
              <w:rPr>
                <w:noProof/>
              </w:rPr>
              <w:t xml:space="preserve">89 526 623 EUR </w:t>
            </w:r>
          </w:p>
          <w:p w14:paraId="7AB31812" w14:textId="7BC12F14" w:rsidR="003B6BD9" w:rsidRDefault="003B6BD9">
            <w:pPr>
              <w:spacing w:before="0" w:after="0" w:line="276" w:lineRule="auto"/>
              <w:rPr>
                <w:rFonts w:eastAsia="Times New Roman"/>
                <w:noProof/>
                <w:color w:val="006100"/>
                <w:sz w:val="22"/>
              </w:rPr>
            </w:pPr>
          </w:p>
        </w:tc>
      </w:tr>
    </w:tbl>
    <w:p w14:paraId="45569793" w14:textId="77777777" w:rsidR="003B6BD9" w:rsidRDefault="003B6BD9">
      <w:pPr>
        <w:spacing w:before="0" w:after="200" w:line="240" w:lineRule="auto"/>
        <w:ind w:left="850"/>
        <w:jc w:val="both"/>
        <w:rPr>
          <w:b/>
          <w:noProof/>
        </w:rPr>
      </w:pPr>
    </w:p>
    <w:p w14:paraId="783A902B" w14:textId="5FD339A0" w:rsidR="003B6BD9" w:rsidRDefault="009E25E8">
      <w:pPr>
        <w:numPr>
          <w:ilvl w:val="1"/>
          <w:numId w:val="18"/>
        </w:numPr>
        <w:spacing w:before="0" w:after="200" w:line="240" w:lineRule="auto"/>
        <w:jc w:val="both"/>
        <w:rPr>
          <w:b/>
          <w:noProof/>
        </w:rPr>
      </w:pPr>
      <w:r>
        <w:rPr>
          <w:noProof/>
        </w:rPr>
        <w:t>Neuvième tranche (aide non remboursable):</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3119"/>
        <w:gridCol w:w="1636"/>
        <w:gridCol w:w="3720"/>
      </w:tblGrid>
      <w:tr w:rsidR="003B6BD9" w14:paraId="19B862CE" w14:textId="77777777">
        <w:trPr>
          <w:trHeight w:val="567"/>
          <w:tblHeader/>
        </w:trPr>
        <w:tc>
          <w:tcPr>
            <w:tcW w:w="1247" w:type="dxa"/>
            <w:vMerge w:val="restart"/>
            <w:shd w:val="clear" w:color="auto" w:fill="BDD7EE"/>
            <w:vAlign w:val="center"/>
            <w:hideMark/>
          </w:tcPr>
          <w:p w14:paraId="34221908" w14:textId="6466F86D" w:rsidR="003B6BD9" w:rsidRDefault="009E25E8">
            <w:pPr>
              <w:pStyle w:val="P68B1DB1-Normal17"/>
              <w:spacing w:before="0" w:after="0" w:line="276" w:lineRule="auto"/>
              <w:jc w:val="center"/>
              <w:rPr>
                <w:rFonts w:eastAsia="Times New Roman"/>
                <w:noProof/>
              </w:rPr>
            </w:pPr>
            <w:r>
              <w:rPr>
                <w:noProof/>
              </w:rPr>
              <w:t>Et suivants Non.</w:t>
            </w:r>
          </w:p>
        </w:tc>
        <w:tc>
          <w:tcPr>
            <w:tcW w:w="3119" w:type="dxa"/>
            <w:vMerge w:val="restart"/>
            <w:shd w:val="clear" w:color="auto" w:fill="BDD7EE"/>
            <w:vAlign w:val="center"/>
            <w:hideMark/>
          </w:tcPr>
          <w:p w14:paraId="1B271E3A" w14:textId="77777777" w:rsidR="003B6BD9" w:rsidRDefault="009E25E8">
            <w:pPr>
              <w:pStyle w:val="P68B1DB1-Normal17"/>
              <w:spacing w:before="0" w:after="0" w:line="276" w:lineRule="auto"/>
              <w:jc w:val="center"/>
              <w:rPr>
                <w:rFonts w:eastAsia="Times New Roman"/>
                <w:noProof/>
              </w:rPr>
            </w:pPr>
            <w:r>
              <w:rPr>
                <w:noProof/>
              </w:rPr>
              <w:t>Mesure connexe (réforme ou investissement)</w:t>
            </w:r>
          </w:p>
        </w:tc>
        <w:tc>
          <w:tcPr>
            <w:tcW w:w="1636" w:type="dxa"/>
            <w:vMerge w:val="restart"/>
            <w:shd w:val="clear" w:color="auto" w:fill="BDD7EE"/>
            <w:vAlign w:val="center"/>
            <w:hideMark/>
          </w:tcPr>
          <w:p w14:paraId="46BF5423" w14:textId="77777777" w:rsidR="003B6BD9" w:rsidRDefault="009E25E8">
            <w:pPr>
              <w:pStyle w:val="P68B1DB1-Normal17"/>
              <w:spacing w:before="0" w:after="0" w:line="276" w:lineRule="auto"/>
              <w:jc w:val="center"/>
              <w:rPr>
                <w:rFonts w:eastAsia="Times New Roman"/>
                <w:noProof/>
              </w:rPr>
            </w:pPr>
            <w:r>
              <w:rPr>
                <w:noProof/>
              </w:rPr>
              <w:t>Étape/Objectif</w:t>
            </w:r>
          </w:p>
        </w:tc>
        <w:tc>
          <w:tcPr>
            <w:tcW w:w="3720" w:type="dxa"/>
            <w:vMerge w:val="restart"/>
            <w:shd w:val="clear" w:color="auto" w:fill="BDD7EE"/>
            <w:vAlign w:val="center"/>
            <w:hideMark/>
          </w:tcPr>
          <w:p w14:paraId="350B9DFA" w14:textId="77777777" w:rsidR="003B6BD9" w:rsidRDefault="009E25E8">
            <w:pPr>
              <w:pStyle w:val="P68B1DB1-Normal17"/>
              <w:spacing w:before="0" w:after="0" w:line="276" w:lineRule="auto"/>
              <w:jc w:val="center"/>
              <w:rPr>
                <w:rFonts w:eastAsia="Times New Roman"/>
                <w:noProof/>
              </w:rPr>
            </w:pPr>
            <w:r>
              <w:rPr>
                <w:noProof/>
              </w:rPr>
              <w:t>Nom</w:t>
            </w:r>
          </w:p>
        </w:tc>
      </w:tr>
      <w:tr w:rsidR="003B6BD9" w14:paraId="6978F50C" w14:textId="77777777">
        <w:trPr>
          <w:trHeight w:val="309"/>
          <w:tblHeader/>
        </w:trPr>
        <w:tc>
          <w:tcPr>
            <w:tcW w:w="1247" w:type="dxa"/>
            <w:vMerge/>
            <w:vAlign w:val="center"/>
            <w:hideMark/>
          </w:tcPr>
          <w:p w14:paraId="51B32A4A" w14:textId="77777777" w:rsidR="003B6BD9" w:rsidRDefault="003B6BD9">
            <w:pPr>
              <w:spacing w:before="0" w:after="0" w:line="276" w:lineRule="auto"/>
              <w:rPr>
                <w:rFonts w:eastAsia="Times New Roman"/>
                <w:b/>
                <w:noProof/>
                <w:sz w:val="22"/>
                <w:szCs w:val="24"/>
              </w:rPr>
            </w:pPr>
          </w:p>
        </w:tc>
        <w:tc>
          <w:tcPr>
            <w:tcW w:w="3119" w:type="dxa"/>
            <w:vMerge/>
            <w:vAlign w:val="center"/>
            <w:hideMark/>
          </w:tcPr>
          <w:p w14:paraId="616A2E39" w14:textId="77777777" w:rsidR="003B6BD9" w:rsidRDefault="003B6BD9">
            <w:pPr>
              <w:spacing w:before="0" w:after="0" w:line="276" w:lineRule="auto"/>
              <w:rPr>
                <w:rFonts w:eastAsia="Times New Roman"/>
                <w:b/>
                <w:noProof/>
                <w:sz w:val="22"/>
                <w:szCs w:val="24"/>
              </w:rPr>
            </w:pPr>
          </w:p>
        </w:tc>
        <w:tc>
          <w:tcPr>
            <w:tcW w:w="1636" w:type="dxa"/>
            <w:vMerge/>
            <w:vAlign w:val="center"/>
            <w:hideMark/>
          </w:tcPr>
          <w:p w14:paraId="417C3CA3" w14:textId="77777777" w:rsidR="003B6BD9" w:rsidRDefault="003B6BD9">
            <w:pPr>
              <w:spacing w:before="0" w:after="0" w:line="276" w:lineRule="auto"/>
              <w:rPr>
                <w:rFonts w:eastAsia="Times New Roman"/>
                <w:b/>
                <w:noProof/>
                <w:sz w:val="22"/>
                <w:szCs w:val="24"/>
              </w:rPr>
            </w:pPr>
          </w:p>
        </w:tc>
        <w:tc>
          <w:tcPr>
            <w:tcW w:w="3720" w:type="dxa"/>
            <w:vMerge/>
            <w:vAlign w:val="center"/>
            <w:hideMark/>
          </w:tcPr>
          <w:p w14:paraId="562F23B0" w14:textId="77777777" w:rsidR="003B6BD9" w:rsidRDefault="003B6BD9">
            <w:pPr>
              <w:spacing w:before="0" w:after="0" w:line="276" w:lineRule="auto"/>
              <w:rPr>
                <w:rFonts w:eastAsia="Times New Roman"/>
                <w:b/>
                <w:noProof/>
                <w:sz w:val="22"/>
                <w:szCs w:val="24"/>
              </w:rPr>
            </w:pPr>
          </w:p>
        </w:tc>
      </w:tr>
      <w:tr w:rsidR="003B6BD9" w14:paraId="202BE6E8" w14:textId="77777777">
        <w:trPr>
          <w:trHeight w:val="302"/>
        </w:trPr>
        <w:tc>
          <w:tcPr>
            <w:tcW w:w="1247" w:type="dxa"/>
            <w:shd w:val="clear" w:color="auto" w:fill="C6EFCE"/>
            <w:noWrap/>
            <w:vAlign w:val="center"/>
          </w:tcPr>
          <w:p w14:paraId="605DAC97" w14:textId="1D785AD5" w:rsidR="003B6BD9" w:rsidRDefault="009E25E8">
            <w:pPr>
              <w:pStyle w:val="P68B1DB1-Normal18"/>
              <w:spacing w:before="0" w:after="0" w:line="276" w:lineRule="auto"/>
              <w:jc w:val="center"/>
              <w:rPr>
                <w:rFonts w:eastAsia="Times New Roman"/>
                <w:noProof/>
              </w:rPr>
            </w:pPr>
            <w:r>
              <w:rPr>
                <w:noProof/>
              </w:rPr>
              <w:t>7</w:t>
            </w:r>
          </w:p>
        </w:tc>
        <w:tc>
          <w:tcPr>
            <w:tcW w:w="3119" w:type="dxa"/>
            <w:shd w:val="clear" w:color="auto" w:fill="C6EFCE"/>
            <w:noWrap/>
            <w:vAlign w:val="center"/>
          </w:tcPr>
          <w:p w14:paraId="04B317E4" w14:textId="0C7AA7C0" w:rsidR="003B6BD9" w:rsidRDefault="009E25E8">
            <w:pPr>
              <w:pStyle w:val="P68B1DB1-Normal18"/>
              <w:spacing w:before="0" w:after="0" w:line="276" w:lineRule="auto"/>
              <w:rPr>
                <w:rFonts w:eastAsia="Times New Roman"/>
                <w:noProof/>
              </w:rPr>
            </w:pPr>
            <w:r>
              <w:rPr>
                <w:noProof/>
              </w:rPr>
              <w:t>F: Renforcement du réseau de distribution d’électricité (stations de transformation)</w:t>
            </w:r>
          </w:p>
        </w:tc>
        <w:tc>
          <w:tcPr>
            <w:tcW w:w="1636" w:type="dxa"/>
            <w:shd w:val="clear" w:color="auto" w:fill="C6EFCE"/>
            <w:noWrap/>
            <w:vAlign w:val="center"/>
          </w:tcPr>
          <w:p w14:paraId="65A8430B" w14:textId="12084A04"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0320E633" w14:textId="397E15C0" w:rsidR="003B6BD9" w:rsidRDefault="009E25E8">
            <w:pPr>
              <w:pStyle w:val="P68B1DB1-Normal18"/>
              <w:spacing w:before="0" w:after="0" w:line="276" w:lineRule="auto"/>
              <w:rPr>
                <w:rFonts w:eastAsia="Times New Roman"/>
                <w:noProof/>
              </w:rPr>
            </w:pPr>
            <w:r>
              <w:rPr>
                <w:noProof/>
              </w:rPr>
              <w:t xml:space="preserve">Nombre de nouvelles stations de transformation de l’électricité construites </w:t>
            </w:r>
          </w:p>
        </w:tc>
      </w:tr>
      <w:tr w:rsidR="003B6BD9" w14:paraId="01C62A96" w14:textId="77777777">
        <w:trPr>
          <w:trHeight w:val="302"/>
        </w:trPr>
        <w:tc>
          <w:tcPr>
            <w:tcW w:w="1247" w:type="dxa"/>
            <w:shd w:val="clear" w:color="auto" w:fill="C6EFCE"/>
            <w:noWrap/>
            <w:vAlign w:val="center"/>
          </w:tcPr>
          <w:p w14:paraId="3CC71878" w14:textId="53DA2AF0" w:rsidR="003B6BD9" w:rsidRDefault="009E25E8">
            <w:pPr>
              <w:pStyle w:val="P68B1DB1-Normal18"/>
              <w:spacing w:before="0" w:after="0" w:line="276" w:lineRule="auto"/>
              <w:jc w:val="center"/>
              <w:rPr>
                <w:rFonts w:eastAsia="Times New Roman"/>
                <w:noProof/>
              </w:rPr>
            </w:pPr>
            <w:r>
              <w:rPr>
                <w:noProof/>
              </w:rPr>
              <w:t>7 bis</w:t>
            </w:r>
          </w:p>
        </w:tc>
        <w:tc>
          <w:tcPr>
            <w:tcW w:w="3119" w:type="dxa"/>
            <w:shd w:val="clear" w:color="auto" w:fill="C6EFCE"/>
            <w:noWrap/>
            <w:vAlign w:val="center"/>
          </w:tcPr>
          <w:p w14:paraId="3D028305" w14:textId="0BA07E19" w:rsidR="003B6BD9" w:rsidRDefault="009E25E8">
            <w:pPr>
              <w:pStyle w:val="P68B1DB1-Normal18"/>
              <w:spacing w:before="0" w:after="0" w:line="276" w:lineRule="auto"/>
              <w:rPr>
                <w:noProof/>
              </w:rPr>
            </w:pPr>
            <w:r>
              <w:rPr>
                <w:noProof/>
              </w:rPr>
              <w:t>F: Renforcement du réseau de distribution d’électricité (stations de transformation et réseau basse tension)</w:t>
            </w:r>
          </w:p>
        </w:tc>
        <w:tc>
          <w:tcPr>
            <w:tcW w:w="1636" w:type="dxa"/>
            <w:shd w:val="clear" w:color="auto" w:fill="C6EFCE"/>
            <w:noWrap/>
            <w:vAlign w:val="center"/>
          </w:tcPr>
          <w:p w14:paraId="24691EF9" w14:textId="271242E6" w:rsidR="003B6BD9" w:rsidRDefault="009E25E8">
            <w:pPr>
              <w:pStyle w:val="P68B1DB1-Normal18"/>
              <w:spacing w:before="0" w:after="0" w:line="276" w:lineRule="auto"/>
              <w:rPr>
                <w:noProof/>
              </w:rPr>
            </w:pPr>
            <w:r>
              <w:rPr>
                <w:noProof/>
              </w:rPr>
              <w:t>Cible</w:t>
            </w:r>
          </w:p>
        </w:tc>
        <w:tc>
          <w:tcPr>
            <w:tcW w:w="3720" w:type="dxa"/>
            <w:shd w:val="clear" w:color="auto" w:fill="C6EFCE"/>
            <w:noWrap/>
            <w:vAlign w:val="center"/>
          </w:tcPr>
          <w:p w14:paraId="6FD60D39" w14:textId="35152E9B" w:rsidR="003B6BD9" w:rsidRDefault="009E25E8">
            <w:pPr>
              <w:pStyle w:val="P68B1DB1-Normal18"/>
              <w:spacing w:before="0" w:after="0" w:line="276" w:lineRule="auto"/>
              <w:rPr>
                <w:noProof/>
              </w:rPr>
            </w:pPr>
            <w:r>
              <w:rPr>
                <w:noProof/>
              </w:rPr>
              <w:t>Longueur du réseau de distribution (réseau basse tension) construit</w:t>
            </w:r>
          </w:p>
        </w:tc>
      </w:tr>
      <w:tr w:rsidR="003B6BD9" w14:paraId="16002BC7" w14:textId="77777777">
        <w:trPr>
          <w:trHeight w:val="302"/>
        </w:trPr>
        <w:tc>
          <w:tcPr>
            <w:tcW w:w="1247" w:type="dxa"/>
            <w:shd w:val="clear" w:color="auto" w:fill="C6EFCE"/>
            <w:noWrap/>
            <w:vAlign w:val="center"/>
          </w:tcPr>
          <w:p w14:paraId="7D5D968D" w14:textId="2D415966" w:rsidR="003B6BD9" w:rsidRDefault="009E25E8">
            <w:pPr>
              <w:pStyle w:val="P68B1DB1-Normal18"/>
              <w:spacing w:before="0" w:after="0" w:line="276" w:lineRule="auto"/>
              <w:jc w:val="center"/>
              <w:rPr>
                <w:rFonts w:eastAsia="Times New Roman"/>
                <w:noProof/>
              </w:rPr>
            </w:pPr>
            <w:r>
              <w:rPr>
                <w:noProof/>
              </w:rPr>
              <w:t>25</w:t>
            </w:r>
          </w:p>
        </w:tc>
        <w:tc>
          <w:tcPr>
            <w:tcW w:w="3119" w:type="dxa"/>
            <w:shd w:val="clear" w:color="auto" w:fill="C6EFCE"/>
            <w:noWrap/>
            <w:vAlign w:val="center"/>
          </w:tcPr>
          <w:p w14:paraId="0A6591B7" w14:textId="257DFBA0" w:rsidR="003B6BD9" w:rsidRDefault="009E25E8">
            <w:pPr>
              <w:pStyle w:val="P68B1DB1-Normal18"/>
              <w:spacing w:before="0" w:after="0" w:line="276" w:lineRule="auto"/>
              <w:rPr>
                <w:rFonts w:eastAsia="Times New Roman"/>
                <w:noProof/>
              </w:rPr>
            </w:pPr>
            <w:r>
              <w:rPr>
                <w:noProof/>
              </w:rPr>
              <w:t>B: Rénovation durable des bâtiments</w:t>
            </w:r>
          </w:p>
        </w:tc>
        <w:tc>
          <w:tcPr>
            <w:tcW w:w="1636" w:type="dxa"/>
            <w:shd w:val="clear" w:color="auto" w:fill="C6EFCE"/>
            <w:noWrap/>
            <w:vAlign w:val="center"/>
          </w:tcPr>
          <w:p w14:paraId="7593E1EF" w14:textId="25EF9179"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454F8077" w14:textId="32F745E3" w:rsidR="003B6BD9" w:rsidRDefault="009E25E8">
            <w:pPr>
              <w:pStyle w:val="P68B1DB1-Normal18"/>
              <w:spacing w:before="0" w:after="0" w:line="276" w:lineRule="auto"/>
              <w:rPr>
                <w:rFonts w:eastAsia="Times New Roman"/>
                <w:noProof/>
              </w:rPr>
            </w:pPr>
            <w:r>
              <w:rPr>
                <w:noProof/>
              </w:rPr>
              <w:t>Rénovation de bâtiments</w:t>
            </w:r>
          </w:p>
        </w:tc>
      </w:tr>
      <w:tr w:rsidR="003B6BD9" w14:paraId="43A54CC4" w14:textId="77777777">
        <w:trPr>
          <w:trHeight w:val="302"/>
        </w:trPr>
        <w:tc>
          <w:tcPr>
            <w:tcW w:w="1247" w:type="dxa"/>
            <w:shd w:val="clear" w:color="auto" w:fill="C6EFCE"/>
            <w:noWrap/>
            <w:vAlign w:val="center"/>
          </w:tcPr>
          <w:p w14:paraId="0A12F4FD" w14:textId="031DB0D1" w:rsidR="003B6BD9" w:rsidRDefault="009E25E8">
            <w:pPr>
              <w:pStyle w:val="P68B1DB1-Normal18"/>
              <w:spacing w:before="0" w:after="0" w:line="276" w:lineRule="auto"/>
              <w:jc w:val="center"/>
              <w:rPr>
                <w:noProof/>
              </w:rPr>
            </w:pPr>
            <w:r>
              <w:rPr>
                <w:noProof/>
              </w:rPr>
              <w:t>31</w:t>
            </w:r>
          </w:p>
        </w:tc>
        <w:tc>
          <w:tcPr>
            <w:tcW w:w="3119" w:type="dxa"/>
            <w:shd w:val="clear" w:color="auto" w:fill="C6EFCE"/>
            <w:noWrap/>
            <w:vAlign w:val="center"/>
          </w:tcPr>
          <w:p w14:paraId="144D4237" w14:textId="2514F615" w:rsidR="003B6BD9" w:rsidRDefault="009E25E8">
            <w:pPr>
              <w:pStyle w:val="P68B1DB1-Normal18"/>
              <w:spacing w:before="0" w:after="0" w:line="276" w:lineRule="auto"/>
              <w:rPr>
                <w:noProof/>
              </w:rPr>
            </w:pPr>
            <w:r>
              <w:rPr>
                <w:noProof/>
              </w:rPr>
              <w:t xml:space="preserve">E: Résilience sociale et économique aux catastrophes liées au climat en République de Slovénie </w:t>
            </w:r>
          </w:p>
        </w:tc>
        <w:tc>
          <w:tcPr>
            <w:tcW w:w="1636" w:type="dxa"/>
            <w:shd w:val="clear" w:color="auto" w:fill="C6EFCE"/>
            <w:noWrap/>
            <w:vAlign w:val="center"/>
          </w:tcPr>
          <w:p w14:paraId="72F1E336" w14:textId="303137ED" w:rsidR="003B6BD9" w:rsidRDefault="009E25E8">
            <w:pPr>
              <w:pStyle w:val="P68B1DB1-Normal18"/>
              <w:spacing w:before="0" w:after="0" w:line="276" w:lineRule="auto"/>
              <w:rPr>
                <w:noProof/>
              </w:rPr>
            </w:pPr>
            <w:r>
              <w:rPr>
                <w:noProof/>
              </w:rPr>
              <w:t>Cible</w:t>
            </w:r>
          </w:p>
        </w:tc>
        <w:tc>
          <w:tcPr>
            <w:tcW w:w="3720" w:type="dxa"/>
            <w:shd w:val="clear" w:color="auto" w:fill="C6EFCE"/>
            <w:noWrap/>
            <w:vAlign w:val="center"/>
          </w:tcPr>
          <w:p w14:paraId="44A68767" w14:textId="6B3B490D" w:rsidR="003B6BD9" w:rsidRDefault="009E25E8">
            <w:pPr>
              <w:pStyle w:val="P68B1DB1-Normal18"/>
              <w:spacing w:before="0" w:after="0" w:line="276" w:lineRule="auto"/>
              <w:rPr>
                <w:noProof/>
              </w:rPr>
            </w:pPr>
            <w:r>
              <w:rPr>
                <w:noProof/>
              </w:rPr>
              <w:t>Formation des participants à la lutte contre les incendies de forêt</w:t>
            </w:r>
          </w:p>
        </w:tc>
      </w:tr>
      <w:tr w:rsidR="003B6BD9" w14:paraId="794E3DB8" w14:textId="77777777">
        <w:trPr>
          <w:trHeight w:val="302"/>
        </w:trPr>
        <w:tc>
          <w:tcPr>
            <w:tcW w:w="1247" w:type="dxa"/>
            <w:shd w:val="clear" w:color="auto" w:fill="C6EFCE"/>
            <w:noWrap/>
            <w:vAlign w:val="center"/>
          </w:tcPr>
          <w:p w14:paraId="0EC15C98" w14:textId="3F0F647D" w:rsidR="003B6BD9" w:rsidRDefault="009E25E8">
            <w:pPr>
              <w:pStyle w:val="P68B1DB1-Normal18"/>
              <w:spacing w:before="0" w:after="0" w:line="276" w:lineRule="auto"/>
              <w:jc w:val="center"/>
              <w:rPr>
                <w:rFonts w:eastAsia="Times New Roman"/>
                <w:noProof/>
              </w:rPr>
            </w:pPr>
            <w:r>
              <w:rPr>
                <w:noProof/>
              </w:rPr>
              <w:t>35</w:t>
            </w:r>
          </w:p>
        </w:tc>
        <w:tc>
          <w:tcPr>
            <w:tcW w:w="3119" w:type="dxa"/>
            <w:shd w:val="clear" w:color="auto" w:fill="C6EFCE"/>
            <w:noWrap/>
            <w:vAlign w:val="center"/>
          </w:tcPr>
          <w:p w14:paraId="2B09F2C2" w14:textId="3D381C36" w:rsidR="003B6BD9" w:rsidRDefault="009E25E8">
            <w:pPr>
              <w:pStyle w:val="P68B1DB1-Normal18"/>
              <w:spacing w:before="0" w:after="0" w:line="276" w:lineRule="auto"/>
              <w:rPr>
                <w:noProof/>
              </w:rPr>
            </w:pPr>
            <w:r>
              <w:rPr>
                <w:noProof/>
              </w:rPr>
              <w:t>F: Réduction des risques d’inondation</w:t>
            </w:r>
          </w:p>
        </w:tc>
        <w:tc>
          <w:tcPr>
            <w:tcW w:w="1636" w:type="dxa"/>
            <w:shd w:val="clear" w:color="auto" w:fill="C6EFCE"/>
            <w:noWrap/>
            <w:vAlign w:val="center"/>
          </w:tcPr>
          <w:p w14:paraId="37B2D784" w14:textId="2C5F549C" w:rsidR="003B6BD9" w:rsidRDefault="009E25E8">
            <w:pPr>
              <w:pStyle w:val="P68B1DB1-Normal18"/>
              <w:spacing w:before="0" w:after="0" w:line="276" w:lineRule="auto"/>
              <w:rPr>
                <w:noProof/>
              </w:rPr>
            </w:pPr>
            <w:r>
              <w:rPr>
                <w:noProof/>
              </w:rPr>
              <w:t>Cible</w:t>
            </w:r>
          </w:p>
        </w:tc>
        <w:tc>
          <w:tcPr>
            <w:tcW w:w="3720" w:type="dxa"/>
            <w:shd w:val="clear" w:color="auto" w:fill="C6EFCE"/>
            <w:noWrap/>
            <w:vAlign w:val="center"/>
          </w:tcPr>
          <w:p w14:paraId="6302B107" w14:textId="4EEFD006" w:rsidR="003B6BD9" w:rsidRDefault="009E25E8">
            <w:pPr>
              <w:pStyle w:val="P68B1DB1-Normal18"/>
              <w:spacing w:before="0" w:after="0" w:line="276" w:lineRule="auto"/>
              <w:rPr>
                <w:noProof/>
              </w:rPr>
            </w:pPr>
            <w:r>
              <w:rPr>
                <w:noProof/>
              </w:rPr>
              <w:t>Construction d’infrastructures de protection contre les inondations</w:t>
            </w:r>
          </w:p>
        </w:tc>
      </w:tr>
      <w:tr w:rsidR="003B6BD9" w14:paraId="3FA0BBE0" w14:textId="77777777">
        <w:trPr>
          <w:trHeight w:val="302"/>
        </w:trPr>
        <w:tc>
          <w:tcPr>
            <w:tcW w:w="1247" w:type="dxa"/>
            <w:shd w:val="clear" w:color="auto" w:fill="C6EFCE"/>
            <w:noWrap/>
            <w:vAlign w:val="center"/>
          </w:tcPr>
          <w:p w14:paraId="029A1362" w14:textId="0ECAF2F2" w:rsidR="003B6BD9" w:rsidRDefault="009E25E8">
            <w:pPr>
              <w:pStyle w:val="P68B1DB1-Normal21"/>
              <w:spacing w:before="0" w:after="0" w:line="276" w:lineRule="auto"/>
              <w:jc w:val="center"/>
              <w:rPr>
                <w:noProof/>
              </w:rPr>
            </w:pPr>
            <w:r>
              <w:rPr>
                <w:noProof/>
              </w:rPr>
              <w:t>35 bis</w:t>
            </w:r>
          </w:p>
        </w:tc>
        <w:tc>
          <w:tcPr>
            <w:tcW w:w="3119" w:type="dxa"/>
            <w:shd w:val="clear" w:color="auto" w:fill="C6EFCE"/>
            <w:noWrap/>
            <w:vAlign w:val="center"/>
          </w:tcPr>
          <w:p w14:paraId="6BE657F0" w14:textId="2C9F0688" w:rsidR="003B6BD9" w:rsidRDefault="009E25E8">
            <w:pPr>
              <w:pStyle w:val="P68B1DB1-Normal18"/>
              <w:spacing w:before="0" w:after="0" w:line="276" w:lineRule="auto"/>
              <w:rPr>
                <w:noProof/>
              </w:rPr>
            </w:pPr>
            <w:r>
              <w:rPr>
                <w:noProof/>
              </w:rPr>
              <w:t>F: Réduction des risques d’inondation</w:t>
            </w:r>
          </w:p>
        </w:tc>
        <w:tc>
          <w:tcPr>
            <w:tcW w:w="1636" w:type="dxa"/>
            <w:shd w:val="clear" w:color="auto" w:fill="C6EFCE"/>
            <w:noWrap/>
            <w:vAlign w:val="center"/>
          </w:tcPr>
          <w:p w14:paraId="7EC87B03" w14:textId="67ACB039" w:rsidR="003B6BD9" w:rsidRDefault="009E25E8">
            <w:pPr>
              <w:pStyle w:val="P68B1DB1-Normal18"/>
              <w:spacing w:before="0" w:after="0" w:line="276" w:lineRule="auto"/>
              <w:rPr>
                <w:noProof/>
              </w:rPr>
            </w:pPr>
            <w:r>
              <w:rPr>
                <w:noProof/>
              </w:rPr>
              <w:t>Cible</w:t>
            </w:r>
          </w:p>
        </w:tc>
        <w:tc>
          <w:tcPr>
            <w:tcW w:w="3720" w:type="dxa"/>
            <w:shd w:val="clear" w:color="auto" w:fill="C6EFCE"/>
            <w:noWrap/>
            <w:vAlign w:val="center"/>
          </w:tcPr>
          <w:p w14:paraId="6C24175A" w14:textId="0806B865" w:rsidR="003B6BD9" w:rsidRDefault="009E25E8">
            <w:pPr>
              <w:pStyle w:val="P68B1DB1-Normal18"/>
              <w:spacing w:before="0" w:after="0" w:line="276" w:lineRule="auto"/>
              <w:rPr>
                <w:noProof/>
              </w:rPr>
            </w:pPr>
            <w:r>
              <w:rPr>
                <w:noProof/>
              </w:rPr>
              <w:t>Mise en place d’un centre national de contrôle de l’eau</w:t>
            </w:r>
          </w:p>
        </w:tc>
      </w:tr>
      <w:tr w:rsidR="003B6BD9" w14:paraId="44018D76" w14:textId="77777777">
        <w:trPr>
          <w:trHeight w:val="302"/>
        </w:trPr>
        <w:tc>
          <w:tcPr>
            <w:tcW w:w="1247" w:type="dxa"/>
            <w:shd w:val="clear" w:color="auto" w:fill="C6EFCE"/>
            <w:noWrap/>
            <w:vAlign w:val="center"/>
          </w:tcPr>
          <w:p w14:paraId="26D44BE3" w14:textId="4C8EDF5C" w:rsidR="003B6BD9" w:rsidRDefault="009E25E8">
            <w:pPr>
              <w:pStyle w:val="P68B1DB1-Normal18"/>
              <w:spacing w:before="0" w:after="0" w:line="276" w:lineRule="auto"/>
              <w:jc w:val="center"/>
              <w:rPr>
                <w:rFonts w:eastAsia="Times New Roman"/>
                <w:noProof/>
              </w:rPr>
            </w:pPr>
            <w:r>
              <w:rPr>
                <w:noProof/>
              </w:rPr>
              <w:t>41</w:t>
            </w:r>
          </w:p>
        </w:tc>
        <w:tc>
          <w:tcPr>
            <w:tcW w:w="3119" w:type="dxa"/>
            <w:shd w:val="clear" w:color="auto" w:fill="C6EFCE"/>
            <w:noWrap/>
            <w:vAlign w:val="center"/>
          </w:tcPr>
          <w:p w14:paraId="39700B52" w14:textId="3BF541C4" w:rsidR="003B6BD9" w:rsidRDefault="009E25E8">
            <w:pPr>
              <w:pStyle w:val="P68B1DB1-Normal18"/>
              <w:spacing w:before="0" w:after="0" w:line="276" w:lineRule="auto"/>
              <w:rPr>
                <w:rFonts w:eastAsia="Times New Roman"/>
                <w:noProof/>
              </w:rPr>
            </w:pPr>
            <w:r>
              <w:rPr>
                <w:noProof/>
              </w:rPr>
              <w:t>H: Projets de rejet et de traitement des eaux urbaines résiduaires</w:t>
            </w:r>
          </w:p>
        </w:tc>
        <w:tc>
          <w:tcPr>
            <w:tcW w:w="1636" w:type="dxa"/>
            <w:shd w:val="clear" w:color="auto" w:fill="C6EFCE"/>
            <w:noWrap/>
            <w:vAlign w:val="center"/>
          </w:tcPr>
          <w:p w14:paraId="1A6F2A0C" w14:textId="6114D96B"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35ACDF5C" w14:textId="4C9FCC4B" w:rsidR="003B6BD9" w:rsidRDefault="009E25E8">
            <w:pPr>
              <w:pStyle w:val="P68B1DB1-Normal18"/>
              <w:spacing w:before="0" w:after="0" w:line="276" w:lineRule="auto"/>
              <w:rPr>
                <w:rFonts w:eastAsia="Times New Roman"/>
                <w:noProof/>
              </w:rPr>
            </w:pPr>
            <w:r>
              <w:rPr>
                <w:noProof/>
              </w:rPr>
              <w:t>Nombre de nouveaux systèmes de traitement des eaux usées construits ou de systèmes existants reconstruits</w:t>
            </w:r>
          </w:p>
        </w:tc>
      </w:tr>
      <w:tr w:rsidR="003B6BD9" w14:paraId="714D92FF" w14:textId="77777777">
        <w:trPr>
          <w:trHeight w:val="302"/>
        </w:trPr>
        <w:tc>
          <w:tcPr>
            <w:tcW w:w="1247" w:type="dxa"/>
            <w:shd w:val="clear" w:color="auto" w:fill="C6EFCE"/>
            <w:noWrap/>
            <w:vAlign w:val="center"/>
          </w:tcPr>
          <w:p w14:paraId="0A9CB4D2" w14:textId="201B9EFF" w:rsidR="003B6BD9" w:rsidRDefault="009E25E8">
            <w:pPr>
              <w:pStyle w:val="P68B1DB1-Normal18"/>
              <w:spacing w:before="0" w:after="0" w:line="276" w:lineRule="auto"/>
              <w:jc w:val="center"/>
              <w:rPr>
                <w:rFonts w:eastAsia="Times New Roman"/>
                <w:noProof/>
              </w:rPr>
            </w:pPr>
            <w:r>
              <w:rPr>
                <w:noProof/>
              </w:rPr>
              <w:t>45</w:t>
            </w:r>
          </w:p>
        </w:tc>
        <w:tc>
          <w:tcPr>
            <w:tcW w:w="3119" w:type="dxa"/>
            <w:shd w:val="clear" w:color="auto" w:fill="C6EFCE"/>
            <w:noWrap/>
            <w:vAlign w:val="center"/>
          </w:tcPr>
          <w:p w14:paraId="38D1A4AC" w14:textId="241CDABE" w:rsidR="003B6BD9" w:rsidRDefault="009E25E8">
            <w:pPr>
              <w:pStyle w:val="P68B1DB1-Normal18"/>
              <w:spacing w:before="0" w:after="0" w:line="276" w:lineRule="auto"/>
              <w:rPr>
                <w:rFonts w:eastAsia="Times New Roman"/>
                <w:noProof/>
              </w:rPr>
            </w:pPr>
            <w:r>
              <w:rPr>
                <w:noProof/>
              </w:rPr>
              <w:t>I: Projets d’approvisionnement en eau potable et d’économies d’eau</w:t>
            </w:r>
          </w:p>
        </w:tc>
        <w:tc>
          <w:tcPr>
            <w:tcW w:w="1636" w:type="dxa"/>
            <w:shd w:val="clear" w:color="auto" w:fill="C6EFCE"/>
            <w:noWrap/>
            <w:vAlign w:val="center"/>
          </w:tcPr>
          <w:p w14:paraId="5DA71FCB" w14:textId="671E792A"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6F7B8942" w14:textId="1E5FE1ED" w:rsidR="003B6BD9" w:rsidRDefault="009E25E8">
            <w:pPr>
              <w:pStyle w:val="P68B1DB1-Normal18"/>
              <w:spacing w:before="0" w:after="0" w:line="276" w:lineRule="auto"/>
              <w:rPr>
                <w:rFonts w:eastAsia="Times New Roman"/>
                <w:noProof/>
              </w:rPr>
            </w:pPr>
            <w:r>
              <w:rPr>
                <w:noProof/>
              </w:rPr>
              <w:t>Nombre de nouveaux systèmes d’approvisionnement en eau potable construits ou de systèmes d’approvisionnement en eau potable existants reconstruits</w:t>
            </w:r>
          </w:p>
        </w:tc>
      </w:tr>
      <w:tr w:rsidR="003B6BD9" w14:paraId="2AEBAE98" w14:textId="77777777">
        <w:trPr>
          <w:trHeight w:val="302"/>
        </w:trPr>
        <w:tc>
          <w:tcPr>
            <w:tcW w:w="1247" w:type="dxa"/>
            <w:shd w:val="clear" w:color="auto" w:fill="C6EFCE"/>
            <w:noWrap/>
            <w:vAlign w:val="center"/>
          </w:tcPr>
          <w:p w14:paraId="364DCF41" w14:textId="5EAF568E" w:rsidR="003B6BD9" w:rsidRDefault="009E25E8">
            <w:pPr>
              <w:pStyle w:val="P68B1DB1-Normal18"/>
              <w:spacing w:before="0" w:after="0" w:line="276" w:lineRule="auto"/>
              <w:jc w:val="center"/>
              <w:rPr>
                <w:rFonts w:eastAsia="Times New Roman"/>
                <w:noProof/>
              </w:rPr>
            </w:pPr>
            <w:r>
              <w:rPr>
                <w:noProof/>
              </w:rPr>
              <w:t>62</w:t>
            </w:r>
          </w:p>
        </w:tc>
        <w:tc>
          <w:tcPr>
            <w:tcW w:w="3119" w:type="dxa"/>
            <w:shd w:val="clear" w:color="auto" w:fill="C6EFCE"/>
            <w:noWrap/>
            <w:vAlign w:val="center"/>
          </w:tcPr>
          <w:p w14:paraId="6214B83E" w14:textId="06BB69A2" w:rsidR="003B6BD9" w:rsidRDefault="009E25E8">
            <w:pPr>
              <w:pStyle w:val="P68B1DB1-Normal18"/>
              <w:spacing w:before="0" w:after="0" w:line="276" w:lineRule="auto"/>
              <w:rPr>
                <w:noProof/>
              </w:rPr>
            </w:pPr>
            <w:r>
              <w:rPr>
                <w:noProof/>
              </w:rPr>
              <w:t xml:space="preserve">D: Numérisation des infrastructures routières </w:t>
            </w:r>
          </w:p>
        </w:tc>
        <w:tc>
          <w:tcPr>
            <w:tcW w:w="1636" w:type="dxa"/>
            <w:shd w:val="clear" w:color="auto" w:fill="C6EFCE"/>
            <w:noWrap/>
            <w:vAlign w:val="center"/>
          </w:tcPr>
          <w:p w14:paraId="4FED153D" w14:textId="11BAE1F1" w:rsidR="003B6BD9" w:rsidRDefault="009E25E8">
            <w:pPr>
              <w:pStyle w:val="P68B1DB1-Normal18"/>
              <w:spacing w:before="0" w:after="0" w:line="276" w:lineRule="auto"/>
              <w:rPr>
                <w:noProof/>
              </w:rPr>
            </w:pPr>
            <w:r>
              <w:rPr>
                <w:noProof/>
              </w:rPr>
              <w:t>Cible</w:t>
            </w:r>
          </w:p>
        </w:tc>
        <w:tc>
          <w:tcPr>
            <w:tcW w:w="3720" w:type="dxa"/>
            <w:shd w:val="clear" w:color="auto" w:fill="C6EFCE"/>
            <w:noWrap/>
            <w:vAlign w:val="center"/>
          </w:tcPr>
          <w:p w14:paraId="5554A285" w14:textId="25BA659B" w:rsidR="003B6BD9" w:rsidRDefault="009E25E8">
            <w:pPr>
              <w:pStyle w:val="P68B1DB1-Normal18"/>
              <w:spacing w:before="0" w:after="0" w:line="276" w:lineRule="auto"/>
              <w:rPr>
                <w:noProof/>
              </w:rPr>
            </w:pPr>
            <w:r>
              <w:rPr>
                <w:noProof/>
              </w:rPr>
              <w:t>Routes couvertes par un système de contrôle et de gestion du trafic</w:t>
            </w:r>
          </w:p>
        </w:tc>
      </w:tr>
      <w:tr w:rsidR="003B6BD9" w14:paraId="1A92BEA5" w14:textId="77777777">
        <w:trPr>
          <w:trHeight w:val="302"/>
        </w:trPr>
        <w:tc>
          <w:tcPr>
            <w:tcW w:w="1247" w:type="dxa"/>
            <w:shd w:val="clear" w:color="auto" w:fill="C6EFCE"/>
            <w:noWrap/>
            <w:vAlign w:val="center"/>
          </w:tcPr>
          <w:p w14:paraId="545B597E" w14:textId="26B32EF6" w:rsidR="003B6BD9" w:rsidRDefault="009E25E8">
            <w:pPr>
              <w:pStyle w:val="P68B1DB1-Normal18"/>
              <w:spacing w:before="0" w:after="0" w:line="276" w:lineRule="auto"/>
              <w:jc w:val="center"/>
              <w:rPr>
                <w:rFonts w:eastAsia="Times New Roman"/>
                <w:noProof/>
              </w:rPr>
            </w:pPr>
            <w:r>
              <w:rPr>
                <w:noProof/>
              </w:rPr>
              <w:t>65</w:t>
            </w:r>
          </w:p>
        </w:tc>
        <w:tc>
          <w:tcPr>
            <w:tcW w:w="3119" w:type="dxa"/>
            <w:shd w:val="clear" w:color="auto" w:fill="C6EFCE"/>
            <w:noWrap/>
            <w:vAlign w:val="center"/>
          </w:tcPr>
          <w:p w14:paraId="348DD8A6" w14:textId="25DF2F16" w:rsidR="003B6BD9" w:rsidRDefault="009E25E8">
            <w:pPr>
              <w:pStyle w:val="P68B1DB1-Normal18"/>
              <w:spacing w:before="0" w:after="0" w:line="276" w:lineRule="auto"/>
              <w:rPr>
                <w:rFonts w:eastAsia="Times New Roman"/>
                <w:noProof/>
              </w:rPr>
            </w:pPr>
            <w:r>
              <w:rPr>
                <w:noProof/>
              </w:rPr>
              <w:t>E: Promouvoir les infrastructures pour carburants alternatifs dans les transports</w:t>
            </w:r>
          </w:p>
        </w:tc>
        <w:tc>
          <w:tcPr>
            <w:tcW w:w="1636" w:type="dxa"/>
            <w:shd w:val="clear" w:color="auto" w:fill="C6EFCE"/>
            <w:noWrap/>
            <w:vAlign w:val="center"/>
          </w:tcPr>
          <w:p w14:paraId="34E1F7E8" w14:textId="4458EB43"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438D314C" w14:textId="443FB2D5" w:rsidR="003B6BD9" w:rsidRDefault="009E25E8">
            <w:pPr>
              <w:pStyle w:val="P68B1DB1-Normal18"/>
              <w:spacing w:before="0" w:after="0" w:line="276" w:lineRule="auto"/>
              <w:rPr>
                <w:rFonts w:eastAsia="Times New Roman"/>
                <w:noProof/>
              </w:rPr>
            </w:pPr>
            <w:r>
              <w:rPr>
                <w:noProof/>
              </w:rPr>
              <w:t>Enregistrement des points de recharge pour véhicules à émission nulle dans le registre national des points de recharge</w:t>
            </w:r>
          </w:p>
        </w:tc>
      </w:tr>
      <w:tr w:rsidR="003B6BD9" w14:paraId="13AA23CF" w14:textId="77777777">
        <w:trPr>
          <w:trHeight w:val="302"/>
        </w:trPr>
        <w:tc>
          <w:tcPr>
            <w:tcW w:w="1247" w:type="dxa"/>
            <w:shd w:val="clear" w:color="auto" w:fill="C6EFCE"/>
            <w:noWrap/>
            <w:vAlign w:val="center"/>
          </w:tcPr>
          <w:p w14:paraId="61CFBA2A" w14:textId="07986F17" w:rsidR="003B6BD9" w:rsidRDefault="009E25E8">
            <w:pPr>
              <w:pStyle w:val="P68B1DB1-Normal18"/>
              <w:spacing w:before="0" w:after="0" w:line="276" w:lineRule="auto"/>
              <w:jc w:val="center"/>
              <w:rPr>
                <w:rFonts w:eastAsia="Times New Roman"/>
                <w:noProof/>
              </w:rPr>
            </w:pPr>
            <w:r>
              <w:rPr>
                <w:noProof/>
              </w:rPr>
              <w:t>76</w:t>
            </w:r>
          </w:p>
        </w:tc>
        <w:tc>
          <w:tcPr>
            <w:tcW w:w="3119" w:type="dxa"/>
            <w:shd w:val="clear" w:color="auto" w:fill="C6EFCE"/>
            <w:noWrap/>
            <w:vAlign w:val="center"/>
          </w:tcPr>
          <w:p w14:paraId="7925BBE4" w14:textId="156A3999" w:rsidR="003B6BD9" w:rsidRDefault="009E25E8">
            <w:pPr>
              <w:pStyle w:val="P68B1DB1-Normal18"/>
              <w:spacing w:before="0" w:after="0" w:line="276" w:lineRule="auto"/>
              <w:rPr>
                <w:rFonts w:eastAsia="Times New Roman"/>
                <w:noProof/>
              </w:rPr>
            </w:pPr>
            <w:r>
              <w:rPr>
                <w:noProof/>
              </w:rPr>
              <w:t>C: Accroître la transformation du bois pour accélérer la transition vers une société neutre pour le climat</w:t>
            </w:r>
          </w:p>
        </w:tc>
        <w:tc>
          <w:tcPr>
            <w:tcW w:w="1636" w:type="dxa"/>
            <w:shd w:val="clear" w:color="auto" w:fill="C6EFCE"/>
            <w:noWrap/>
            <w:vAlign w:val="center"/>
          </w:tcPr>
          <w:p w14:paraId="37A6037A" w14:textId="05D7FE50"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76E03DA7" w14:textId="6794A58C" w:rsidR="003B6BD9" w:rsidRDefault="009E25E8">
            <w:pPr>
              <w:pStyle w:val="P68B1DB1-Normal18"/>
              <w:spacing w:before="0" w:after="0" w:line="276" w:lineRule="auto"/>
              <w:rPr>
                <w:rFonts w:eastAsia="Times New Roman"/>
                <w:noProof/>
              </w:rPr>
            </w:pPr>
            <w:r>
              <w:rPr>
                <w:noProof/>
              </w:rPr>
              <w:t>Nombre de projets soutenant la transformation du bois</w:t>
            </w:r>
          </w:p>
        </w:tc>
      </w:tr>
      <w:tr w:rsidR="003B6BD9" w14:paraId="3C4EE15E" w14:textId="77777777">
        <w:trPr>
          <w:trHeight w:val="302"/>
        </w:trPr>
        <w:tc>
          <w:tcPr>
            <w:tcW w:w="1247" w:type="dxa"/>
            <w:shd w:val="clear" w:color="auto" w:fill="C6EFCE"/>
            <w:noWrap/>
            <w:vAlign w:val="center"/>
          </w:tcPr>
          <w:p w14:paraId="012C84A9" w14:textId="6FCC33CA" w:rsidR="003B6BD9" w:rsidRDefault="009E25E8">
            <w:pPr>
              <w:pStyle w:val="P68B1DB1-Normal18"/>
              <w:spacing w:before="0" w:after="0" w:line="276" w:lineRule="auto"/>
              <w:jc w:val="center"/>
              <w:rPr>
                <w:rFonts w:eastAsia="Times New Roman"/>
                <w:noProof/>
              </w:rPr>
            </w:pPr>
            <w:r>
              <w:rPr>
                <w:noProof/>
              </w:rPr>
              <w:t>84</w:t>
            </w:r>
          </w:p>
        </w:tc>
        <w:tc>
          <w:tcPr>
            <w:tcW w:w="3119" w:type="dxa"/>
            <w:shd w:val="clear" w:color="auto" w:fill="C6EFCE"/>
            <w:noWrap/>
            <w:vAlign w:val="center"/>
          </w:tcPr>
          <w:p w14:paraId="23E9ED4F" w14:textId="77713DB9" w:rsidR="003B6BD9" w:rsidRDefault="009E25E8">
            <w:pPr>
              <w:pStyle w:val="P68B1DB1-Normal18"/>
              <w:spacing w:before="0" w:after="0" w:line="276" w:lineRule="auto"/>
              <w:rPr>
                <w:rFonts w:eastAsia="Times New Roman"/>
                <w:noProof/>
              </w:rPr>
            </w:pPr>
            <w:r>
              <w:rPr>
                <w:noProof/>
              </w:rPr>
              <w:t>D: Projets transfrontaliers et plurinationaux — Infrastructure et services européens communs de données</w:t>
            </w:r>
          </w:p>
        </w:tc>
        <w:tc>
          <w:tcPr>
            <w:tcW w:w="1636" w:type="dxa"/>
            <w:shd w:val="clear" w:color="auto" w:fill="C6EFCE"/>
            <w:noWrap/>
            <w:vAlign w:val="center"/>
          </w:tcPr>
          <w:p w14:paraId="6041C617" w14:textId="67AEDAB7"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56595641" w14:textId="7AD8BB41" w:rsidR="003B6BD9" w:rsidRDefault="009E25E8">
            <w:pPr>
              <w:pStyle w:val="P68B1DB1-Normal18"/>
              <w:spacing w:before="0" w:after="0" w:line="276" w:lineRule="auto"/>
              <w:rPr>
                <w:rFonts w:eastAsia="Times New Roman"/>
                <w:noProof/>
              </w:rPr>
            </w:pPr>
            <w:r>
              <w:rPr>
                <w:noProof/>
              </w:rPr>
              <w:t>Rapports sur les solutions de traitement des données</w:t>
            </w:r>
          </w:p>
        </w:tc>
      </w:tr>
      <w:tr w:rsidR="003B6BD9" w14:paraId="75FB12C2" w14:textId="77777777">
        <w:trPr>
          <w:trHeight w:val="302"/>
        </w:trPr>
        <w:tc>
          <w:tcPr>
            <w:tcW w:w="1247" w:type="dxa"/>
            <w:shd w:val="clear" w:color="auto" w:fill="C6EFCE"/>
            <w:noWrap/>
            <w:vAlign w:val="center"/>
          </w:tcPr>
          <w:p w14:paraId="641B7935" w14:textId="296D2A52" w:rsidR="003B6BD9" w:rsidRDefault="009E25E8">
            <w:pPr>
              <w:pStyle w:val="P68B1DB1-Normal18"/>
              <w:spacing w:before="0" w:after="0" w:line="276" w:lineRule="auto"/>
              <w:jc w:val="center"/>
              <w:rPr>
                <w:rFonts w:eastAsia="Times New Roman"/>
                <w:noProof/>
              </w:rPr>
            </w:pPr>
            <w:r>
              <w:rPr>
                <w:noProof/>
              </w:rPr>
              <w:t>96</w:t>
            </w:r>
          </w:p>
        </w:tc>
        <w:tc>
          <w:tcPr>
            <w:tcW w:w="3119" w:type="dxa"/>
            <w:shd w:val="clear" w:color="auto" w:fill="C6EFCE"/>
            <w:noWrap/>
            <w:vAlign w:val="center"/>
          </w:tcPr>
          <w:p w14:paraId="0D05C292" w14:textId="53168DCB" w:rsidR="003B6BD9" w:rsidRDefault="009E25E8">
            <w:pPr>
              <w:pStyle w:val="P68B1DB1-Normal18"/>
              <w:spacing w:before="0" w:after="0" w:line="276" w:lineRule="auto"/>
              <w:rPr>
                <w:rFonts w:eastAsia="Times New Roman"/>
                <w:noProof/>
              </w:rPr>
            </w:pPr>
            <w:r>
              <w:rPr>
                <w:noProof/>
              </w:rPr>
              <w:t>G: Moderniser l’environnement numérique de l’administration publique</w:t>
            </w:r>
          </w:p>
        </w:tc>
        <w:tc>
          <w:tcPr>
            <w:tcW w:w="1636" w:type="dxa"/>
            <w:shd w:val="clear" w:color="auto" w:fill="C6EFCE"/>
            <w:noWrap/>
            <w:vAlign w:val="center"/>
          </w:tcPr>
          <w:p w14:paraId="31060620" w14:textId="01BD22C1"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4F25BE1C" w14:textId="6D67178E" w:rsidR="003B6BD9" w:rsidRDefault="009E25E8">
            <w:pPr>
              <w:pStyle w:val="P68B1DB1-Normal18"/>
              <w:spacing w:before="0" w:after="0" w:line="276" w:lineRule="auto"/>
              <w:rPr>
                <w:rFonts w:eastAsia="Times New Roman"/>
                <w:noProof/>
              </w:rPr>
            </w:pPr>
            <w:r>
              <w:rPr>
                <w:noProof/>
              </w:rPr>
              <w:t>Décaissement de</w:t>
            </w:r>
            <w:r>
              <w:rPr>
                <w:b/>
                <w:noProof/>
              </w:rPr>
              <w:t xml:space="preserve"> </w:t>
            </w:r>
            <w:r>
              <w:rPr>
                <w:noProof/>
              </w:rPr>
              <w:t>2</w:t>
            </w:r>
            <w:r>
              <w:rPr>
                <w:b/>
                <w:noProof/>
              </w:rPr>
              <w:t xml:space="preserve"> </w:t>
            </w:r>
            <w:r>
              <w:rPr>
                <w:noProof/>
              </w:rPr>
              <w:t>000</w:t>
            </w:r>
            <w:r>
              <w:rPr>
                <w:b/>
                <w:noProof/>
              </w:rPr>
              <w:t xml:space="preserve"> </w:t>
            </w:r>
            <w:r>
              <w:rPr>
                <w:noProof/>
              </w:rPr>
              <w:t>000 EUR</w:t>
            </w:r>
          </w:p>
        </w:tc>
      </w:tr>
      <w:tr w:rsidR="003B6BD9" w14:paraId="4D0E72D9" w14:textId="77777777">
        <w:trPr>
          <w:trHeight w:val="302"/>
        </w:trPr>
        <w:tc>
          <w:tcPr>
            <w:tcW w:w="1247" w:type="dxa"/>
            <w:shd w:val="clear" w:color="auto" w:fill="C6EFCE"/>
            <w:noWrap/>
            <w:vAlign w:val="center"/>
          </w:tcPr>
          <w:p w14:paraId="3C0B8D78" w14:textId="5BFD53CB" w:rsidR="003B6BD9" w:rsidRDefault="009E25E8">
            <w:pPr>
              <w:pStyle w:val="P68B1DB1-Normal18"/>
              <w:spacing w:before="0" w:after="0" w:line="276" w:lineRule="auto"/>
              <w:jc w:val="center"/>
              <w:rPr>
                <w:rFonts w:eastAsia="Times New Roman"/>
                <w:noProof/>
              </w:rPr>
            </w:pPr>
            <w:r>
              <w:rPr>
                <w:noProof/>
              </w:rPr>
              <w:t>98</w:t>
            </w:r>
          </w:p>
        </w:tc>
        <w:tc>
          <w:tcPr>
            <w:tcW w:w="3119" w:type="dxa"/>
            <w:shd w:val="clear" w:color="auto" w:fill="C6EFCE"/>
            <w:noWrap/>
            <w:vAlign w:val="center"/>
          </w:tcPr>
          <w:p w14:paraId="223F0B23" w14:textId="3131EC66" w:rsidR="003B6BD9" w:rsidRDefault="009E25E8">
            <w:pPr>
              <w:pStyle w:val="P68B1DB1-Normal18"/>
              <w:spacing w:before="0" w:after="0" w:line="276" w:lineRule="auto"/>
              <w:rPr>
                <w:rFonts w:eastAsia="Times New Roman"/>
                <w:noProof/>
              </w:rPr>
            </w:pPr>
            <w:r>
              <w:rPr>
                <w:noProof/>
              </w:rPr>
              <w:t>G: Moderniser l’environnement numérique de l’administration publique</w:t>
            </w:r>
          </w:p>
        </w:tc>
        <w:tc>
          <w:tcPr>
            <w:tcW w:w="1636" w:type="dxa"/>
            <w:shd w:val="clear" w:color="auto" w:fill="C6EFCE"/>
            <w:noWrap/>
            <w:vAlign w:val="center"/>
          </w:tcPr>
          <w:p w14:paraId="679B0FAF" w14:textId="30241166"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42B5A1D6" w14:textId="5A7C130F" w:rsidR="003B6BD9" w:rsidRDefault="009E25E8">
            <w:pPr>
              <w:pStyle w:val="P68B1DB1-Normal18"/>
              <w:spacing w:before="0" w:after="0" w:line="276" w:lineRule="auto"/>
              <w:rPr>
                <w:rFonts w:eastAsia="Times New Roman"/>
                <w:noProof/>
              </w:rPr>
            </w:pPr>
            <w:r>
              <w:rPr>
                <w:noProof/>
              </w:rPr>
              <w:t>Nombre de certificats délivrés pour des formations aux compétences numériques dans le secteur public</w:t>
            </w:r>
          </w:p>
        </w:tc>
      </w:tr>
      <w:tr w:rsidR="003B6BD9" w14:paraId="7182E0FF" w14:textId="77777777">
        <w:trPr>
          <w:trHeight w:val="302"/>
        </w:trPr>
        <w:tc>
          <w:tcPr>
            <w:tcW w:w="1247" w:type="dxa"/>
            <w:shd w:val="clear" w:color="auto" w:fill="C6EFCE"/>
            <w:noWrap/>
            <w:vAlign w:val="center"/>
          </w:tcPr>
          <w:p w14:paraId="3E58BC15" w14:textId="208481F1" w:rsidR="003B6BD9" w:rsidRDefault="009E25E8">
            <w:pPr>
              <w:pStyle w:val="P68B1DB1-Normal18"/>
              <w:spacing w:before="0" w:after="0" w:line="276" w:lineRule="auto"/>
              <w:jc w:val="center"/>
              <w:rPr>
                <w:rFonts w:eastAsia="Times New Roman"/>
                <w:noProof/>
              </w:rPr>
            </w:pPr>
            <w:r>
              <w:rPr>
                <w:noProof/>
              </w:rPr>
              <w:t>99</w:t>
            </w:r>
          </w:p>
        </w:tc>
        <w:tc>
          <w:tcPr>
            <w:tcW w:w="3119" w:type="dxa"/>
            <w:shd w:val="clear" w:color="auto" w:fill="C6EFCE"/>
            <w:noWrap/>
            <w:vAlign w:val="center"/>
          </w:tcPr>
          <w:p w14:paraId="6D3455E1" w14:textId="29972CAC" w:rsidR="003B6BD9" w:rsidRDefault="009E25E8">
            <w:pPr>
              <w:pStyle w:val="P68B1DB1-Normal18"/>
              <w:spacing w:before="0" w:after="0" w:line="276" w:lineRule="auto"/>
              <w:rPr>
                <w:rFonts w:eastAsia="Times New Roman"/>
                <w:noProof/>
              </w:rPr>
            </w:pPr>
            <w:r>
              <w:rPr>
                <w:noProof/>
              </w:rPr>
              <w:t>H: Infrastructures gigabit</w:t>
            </w:r>
          </w:p>
        </w:tc>
        <w:tc>
          <w:tcPr>
            <w:tcW w:w="1636" w:type="dxa"/>
            <w:shd w:val="clear" w:color="auto" w:fill="C6EFCE"/>
            <w:noWrap/>
            <w:vAlign w:val="center"/>
          </w:tcPr>
          <w:p w14:paraId="0BCF9A4B" w14:textId="4AC9F0ED"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365EE4F8" w14:textId="5496DC60" w:rsidR="003B6BD9" w:rsidRDefault="009E25E8">
            <w:pPr>
              <w:pStyle w:val="P68B1DB1-Normal18"/>
              <w:spacing w:before="0" w:after="0" w:line="276" w:lineRule="auto"/>
              <w:rPr>
                <w:rFonts w:eastAsia="Times New Roman"/>
                <w:noProof/>
              </w:rPr>
            </w:pPr>
            <w:r>
              <w:rPr>
                <w:noProof/>
              </w:rPr>
              <w:t>Ménages disposant d’un accès à large bande autorisé inclus dans les rapports de clôture des projets</w:t>
            </w:r>
          </w:p>
        </w:tc>
      </w:tr>
      <w:tr w:rsidR="003B6BD9" w14:paraId="392B10E4" w14:textId="77777777">
        <w:trPr>
          <w:trHeight w:val="302"/>
        </w:trPr>
        <w:tc>
          <w:tcPr>
            <w:tcW w:w="1247" w:type="dxa"/>
            <w:shd w:val="clear" w:color="auto" w:fill="C6EFCE"/>
            <w:noWrap/>
            <w:vAlign w:val="center"/>
          </w:tcPr>
          <w:p w14:paraId="44FE8DD9" w14:textId="1679C34F" w:rsidR="003B6BD9" w:rsidRDefault="009E25E8">
            <w:pPr>
              <w:pStyle w:val="P68B1DB1-Normal18"/>
              <w:spacing w:before="0" w:after="0" w:line="276" w:lineRule="auto"/>
              <w:jc w:val="center"/>
              <w:rPr>
                <w:rFonts w:eastAsia="Times New Roman"/>
                <w:noProof/>
              </w:rPr>
            </w:pPr>
            <w:r>
              <w:rPr>
                <w:noProof/>
              </w:rPr>
              <w:t>104</w:t>
            </w:r>
          </w:p>
        </w:tc>
        <w:tc>
          <w:tcPr>
            <w:tcW w:w="3119" w:type="dxa"/>
            <w:shd w:val="clear" w:color="auto" w:fill="C6EFCE"/>
            <w:noWrap/>
            <w:vAlign w:val="center"/>
          </w:tcPr>
          <w:p w14:paraId="7494975E" w14:textId="3A913261" w:rsidR="003B6BD9" w:rsidRDefault="009E25E8">
            <w:pPr>
              <w:pStyle w:val="P68B1DB1-Normal18"/>
              <w:spacing w:before="0" w:after="0" w:line="276" w:lineRule="auto"/>
              <w:rPr>
                <w:rFonts w:eastAsia="Times New Roman"/>
                <w:noProof/>
              </w:rPr>
            </w:pPr>
            <w:r>
              <w:rPr>
                <w:noProof/>
              </w:rPr>
              <w:t>L: La transition numérique dans l’agriculture, l’alimentation ou la sylviculture</w:t>
            </w:r>
          </w:p>
        </w:tc>
        <w:tc>
          <w:tcPr>
            <w:tcW w:w="1636" w:type="dxa"/>
            <w:shd w:val="clear" w:color="auto" w:fill="C6EFCE"/>
            <w:noWrap/>
            <w:vAlign w:val="center"/>
          </w:tcPr>
          <w:p w14:paraId="037FF3AD" w14:textId="6381B99A"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5EB3F782" w14:textId="55036399" w:rsidR="003B6BD9" w:rsidRDefault="009E25E8">
            <w:pPr>
              <w:pStyle w:val="P68B1DB1-Normal18"/>
              <w:spacing w:before="0" w:after="0" w:line="276" w:lineRule="auto"/>
              <w:rPr>
                <w:rFonts w:eastAsia="Times New Roman"/>
                <w:noProof/>
              </w:rPr>
            </w:pPr>
            <w:r>
              <w:rPr>
                <w:noProof/>
              </w:rPr>
              <w:t>Services en ligne dans l’agriculture, l’alimentation ou la sylviculture</w:t>
            </w:r>
          </w:p>
        </w:tc>
      </w:tr>
      <w:tr w:rsidR="003B6BD9" w14:paraId="42F930B7" w14:textId="77777777">
        <w:trPr>
          <w:trHeight w:val="302"/>
        </w:trPr>
        <w:tc>
          <w:tcPr>
            <w:tcW w:w="1247" w:type="dxa"/>
            <w:shd w:val="clear" w:color="auto" w:fill="C6EFCE"/>
            <w:noWrap/>
            <w:vAlign w:val="center"/>
          </w:tcPr>
          <w:p w14:paraId="4433CC6D" w14:textId="58466F7C" w:rsidR="003B6BD9" w:rsidRDefault="009E25E8">
            <w:pPr>
              <w:pStyle w:val="P68B1DB1-Normal18"/>
              <w:spacing w:before="0" w:after="0" w:line="276" w:lineRule="auto"/>
              <w:jc w:val="center"/>
              <w:rPr>
                <w:rFonts w:eastAsia="Times New Roman"/>
                <w:noProof/>
              </w:rPr>
            </w:pPr>
            <w:r>
              <w:rPr>
                <w:noProof/>
              </w:rPr>
              <w:t>105</w:t>
            </w:r>
          </w:p>
        </w:tc>
        <w:tc>
          <w:tcPr>
            <w:tcW w:w="3119" w:type="dxa"/>
            <w:shd w:val="clear" w:color="auto" w:fill="C6EFCE"/>
            <w:noWrap/>
            <w:vAlign w:val="center"/>
          </w:tcPr>
          <w:p w14:paraId="12364406" w14:textId="21BA5B00" w:rsidR="003B6BD9" w:rsidRDefault="009E25E8">
            <w:pPr>
              <w:pStyle w:val="P68B1DB1-Normal18"/>
              <w:spacing w:before="0" w:after="0" w:line="276" w:lineRule="auto"/>
              <w:rPr>
                <w:rFonts w:eastAsia="Times New Roman"/>
                <w:noProof/>
              </w:rPr>
            </w:pPr>
            <w:r>
              <w:rPr>
                <w:noProof/>
              </w:rPr>
              <w:t>N: Numérisation dans le domaine de la justice</w:t>
            </w:r>
          </w:p>
        </w:tc>
        <w:tc>
          <w:tcPr>
            <w:tcW w:w="1636" w:type="dxa"/>
            <w:shd w:val="clear" w:color="auto" w:fill="C6EFCE"/>
            <w:noWrap/>
            <w:vAlign w:val="center"/>
          </w:tcPr>
          <w:p w14:paraId="46DC462A" w14:textId="6002EEE5"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0B7C84A4" w14:textId="2B1BAC24" w:rsidR="003B6BD9" w:rsidRDefault="009E25E8">
            <w:pPr>
              <w:pStyle w:val="P68B1DB1-Normal18"/>
              <w:spacing w:before="0" w:after="0" w:line="276" w:lineRule="auto"/>
              <w:rPr>
                <w:rFonts w:eastAsia="Times New Roman"/>
                <w:noProof/>
              </w:rPr>
            </w:pPr>
            <w:r>
              <w:rPr>
                <w:noProof/>
              </w:rPr>
              <w:t>Systèmes informatiques dans le domaine de la justice</w:t>
            </w:r>
          </w:p>
        </w:tc>
      </w:tr>
      <w:tr w:rsidR="003B6BD9" w14:paraId="2093C438" w14:textId="77777777">
        <w:trPr>
          <w:trHeight w:val="302"/>
        </w:trPr>
        <w:tc>
          <w:tcPr>
            <w:tcW w:w="1247" w:type="dxa"/>
            <w:shd w:val="clear" w:color="auto" w:fill="C6EFCE"/>
            <w:noWrap/>
            <w:vAlign w:val="center"/>
          </w:tcPr>
          <w:p w14:paraId="014D1480" w14:textId="5FA79EBE" w:rsidR="003B6BD9" w:rsidRDefault="009E25E8">
            <w:pPr>
              <w:pStyle w:val="P68B1DB1-Normal18"/>
              <w:spacing w:before="0" w:after="0" w:line="276" w:lineRule="auto"/>
              <w:jc w:val="center"/>
              <w:rPr>
                <w:rFonts w:eastAsia="Times New Roman"/>
                <w:noProof/>
              </w:rPr>
            </w:pPr>
            <w:r>
              <w:rPr>
                <w:noProof/>
              </w:rPr>
              <w:t>108</w:t>
            </w:r>
          </w:p>
        </w:tc>
        <w:tc>
          <w:tcPr>
            <w:tcW w:w="3119" w:type="dxa"/>
            <w:shd w:val="clear" w:color="auto" w:fill="C6EFCE"/>
            <w:noWrap/>
            <w:vAlign w:val="center"/>
          </w:tcPr>
          <w:p w14:paraId="05182AA0" w14:textId="69492587" w:rsidR="003B6BD9" w:rsidRDefault="009E25E8">
            <w:pPr>
              <w:pStyle w:val="P68B1DB1-Normal18"/>
              <w:spacing w:before="0" w:after="0" w:line="276" w:lineRule="auto"/>
              <w:rPr>
                <w:noProof/>
              </w:rPr>
            </w:pPr>
            <w:r>
              <w:rPr>
                <w:noProof/>
              </w:rPr>
              <w:t>J: Numérisation de l’éducation et des sciences</w:t>
            </w:r>
          </w:p>
        </w:tc>
        <w:tc>
          <w:tcPr>
            <w:tcW w:w="1636" w:type="dxa"/>
            <w:shd w:val="clear" w:color="auto" w:fill="C6EFCE"/>
            <w:noWrap/>
            <w:vAlign w:val="center"/>
          </w:tcPr>
          <w:p w14:paraId="0B27F17B" w14:textId="363199F7" w:rsidR="003B6BD9" w:rsidRDefault="009E25E8">
            <w:pPr>
              <w:pStyle w:val="P68B1DB1-Normal18"/>
              <w:spacing w:before="0" w:after="0" w:line="276" w:lineRule="auto"/>
              <w:rPr>
                <w:noProof/>
              </w:rPr>
            </w:pPr>
            <w:r>
              <w:rPr>
                <w:noProof/>
              </w:rPr>
              <w:t>Cible</w:t>
            </w:r>
          </w:p>
        </w:tc>
        <w:tc>
          <w:tcPr>
            <w:tcW w:w="3720" w:type="dxa"/>
            <w:shd w:val="clear" w:color="auto" w:fill="C6EFCE"/>
            <w:noWrap/>
            <w:vAlign w:val="center"/>
          </w:tcPr>
          <w:p w14:paraId="1667A0E2" w14:textId="27EC5E1E" w:rsidR="003B6BD9" w:rsidRDefault="009E25E8">
            <w:pPr>
              <w:pStyle w:val="P68B1DB1-Normal18"/>
              <w:spacing w:before="0" w:after="0" w:line="276" w:lineRule="auto"/>
              <w:rPr>
                <w:noProof/>
              </w:rPr>
            </w:pPr>
            <w:r>
              <w:rPr>
                <w:noProof/>
              </w:rPr>
              <w:t>Demandes dans le domaine de l’éducation</w:t>
            </w:r>
          </w:p>
        </w:tc>
      </w:tr>
      <w:tr w:rsidR="003B6BD9" w14:paraId="7E2041C4" w14:textId="77777777">
        <w:trPr>
          <w:trHeight w:val="302"/>
        </w:trPr>
        <w:tc>
          <w:tcPr>
            <w:tcW w:w="1247" w:type="dxa"/>
            <w:shd w:val="clear" w:color="auto" w:fill="C6EFCE"/>
            <w:noWrap/>
            <w:vAlign w:val="center"/>
          </w:tcPr>
          <w:p w14:paraId="6CCEAB9A" w14:textId="212FD452" w:rsidR="003B6BD9" w:rsidRDefault="009E25E8">
            <w:pPr>
              <w:pStyle w:val="P68B1DB1-Normal18"/>
              <w:spacing w:before="0" w:after="0" w:line="276" w:lineRule="auto"/>
              <w:jc w:val="center"/>
              <w:rPr>
                <w:rFonts w:eastAsia="Times New Roman"/>
                <w:noProof/>
              </w:rPr>
            </w:pPr>
            <w:r>
              <w:rPr>
                <w:noProof/>
              </w:rPr>
              <w:t>109</w:t>
            </w:r>
          </w:p>
        </w:tc>
        <w:tc>
          <w:tcPr>
            <w:tcW w:w="3119" w:type="dxa"/>
            <w:shd w:val="clear" w:color="auto" w:fill="C6EFCE"/>
            <w:noWrap/>
            <w:vAlign w:val="center"/>
          </w:tcPr>
          <w:p w14:paraId="4F9A2BF4" w14:textId="2D6870F7" w:rsidR="003B6BD9" w:rsidRDefault="009E25E8">
            <w:pPr>
              <w:pStyle w:val="P68B1DB1-Normal18"/>
              <w:spacing w:before="0" w:after="0" w:line="276" w:lineRule="auto"/>
              <w:rPr>
                <w:rFonts w:eastAsia="Times New Roman"/>
                <w:noProof/>
              </w:rPr>
            </w:pPr>
            <w:r>
              <w:rPr>
                <w:noProof/>
              </w:rPr>
              <w:t>M: Numérisation dans le domaine de la culture</w:t>
            </w:r>
          </w:p>
        </w:tc>
        <w:tc>
          <w:tcPr>
            <w:tcW w:w="1636" w:type="dxa"/>
            <w:shd w:val="clear" w:color="auto" w:fill="C6EFCE"/>
            <w:noWrap/>
            <w:vAlign w:val="center"/>
          </w:tcPr>
          <w:p w14:paraId="689516F7" w14:textId="3BBE7275"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3A9EEE14" w14:textId="26FFA5DD" w:rsidR="003B6BD9" w:rsidRDefault="009E25E8">
            <w:pPr>
              <w:pStyle w:val="P68B1DB1-Normal18"/>
              <w:spacing w:before="0" w:after="0" w:line="276" w:lineRule="auto"/>
              <w:rPr>
                <w:rFonts w:eastAsia="Times New Roman"/>
                <w:noProof/>
              </w:rPr>
            </w:pPr>
            <w:r>
              <w:rPr>
                <w:noProof/>
              </w:rPr>
              <w:t>Services en ligne dans le domaine de la culture</w:t>
            </w:r>
          </w:p>
        </w:tc>
      </w:tr>
      <w:tr w:rsidR="003B6BD9" w14:paraId="239C7FA8" w14:textId="77777777">
        <w:trPr>
          <w:trHeight w:val="302"/>
        </w:trPr>
        <w:tc>
          <w:tcPr>
            <w:tcW w:w="1247" w:type="dxa"/>
            <w:shd w:val="clear" w:color="auto" w:fill="C6EFCE"/>
            <w:noWrap/>
            <w:vAlign w:val="center"/>
          </w:tcPr>
          <w:p w14:paraId="3687E780" w14:textId="357F2035" w:rsidR="003B6BD9" w:rsidRDefault="009E25E8">
            <w:pPr>
              <w:pStyle w:val="P68B1DB1-Normal18"/>
              <w:spacing w:before="0" w:after="0" w:line="276" w:lineRule="auto"/>
              <w:jc w:val="center"/>
              <w:rPr>
                <w:rFonts w:eastAsia="Times New Roman"/>
                <w:noProof/>
              </w:rPr>
            </w:pPr>
            <w:r>
              <w:rPr>
                <w:noProof/>
              </w:rPr>
              <w:t>115</w:t>
            </w:r>
          </w:p>
        </w:tc>
        <w:tc>
          <w:tcPr>
            <w:tcW w:w="3119" w:type="dxa"/>
            <w:shd w:val="clear" w:color="auto" w:fill="C6EFCE"/>
            <w:noWrap/>
            <w:vAlign w:val="center"/>
          </w:tcPr>
          <w:p w14:paraId="16C8F78A" w14:textId="1636B8E8" w:rsidR="003B6BD9" w:rsidRDefault="009E25E8">
            <w:pPr>
              <w:pStyle w:val="P68B1DB1-Normal18"/>
              <w:spacing w:before="0" w:after="0" w:line="276" w:lineRule="auto"/>
              <w:rPr>
                <w:rFonts w:eastAsia="Times New Roman"/>
                <w:noProof/>
              </w:rPr>
            </w:pPr>
            <w:r>
              <w:rPr>
                <w:noProof/>
              </w:rPr>
              <w:t>B: Cofinancement de projets de recherche et d’innovation à l’appui de la transition écologique et de la numérisation</w:t>
            </w:r>
          </w:p>
        </w:tc>
        <w:tc>
          <w:tcPr>
            <w:tcW w:w="1636" w:type="dxa"/>
            <w:shd w:val="clear" w:color="auto" w:fill="C6EFCE"/>
            <w:noWrap/>
            <w:vAlign w:val="center"/>
          </w:tcPr>
          <w:p w14:paraId="36CD1B09" w14:textId="256D9C53"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7593010E" w14:textId="7A16ADF2" w:rsidR="003B6BD9" w:rsidRDefault="009E25E8">
            <w:pPr>
              <w:pStyle w:val="P68B1DB1-Normal18"/>
              <w:spacing w:before="0" w:after="0" w:line="276" w:lineRule="auto"/>
              <w:rPr>
                <w:rFonts w:eastAsia="Times New Roman"/>
                <w:noProof/>
              </w:rPr>
            </w:pPr>
            <w:r>
              <w:rPr>
                <w:noProof/>
              </w:rPr>
              <w:t>Acceptation des rapports finaux du programme</w:t>
            </w:r>
          </w:p>
        </w:tc>
      </w:tr>
      <w:tr w:rsidR="003B6BD9" w14:paraId="421A82F5" w14:textId="77777777">
        <w:trPr>
          <w:trHeight w:val="302"/>
        </w:trPr>
        <w:tc>
          <w:tcPr>
            <w:tcW w:w="1247" w:type="dxa"/>
            <w:shd w:val="clear" w:color="auto" w:fill="C6EFCE"/>
            <w:noWrap/>
            <w:vAlign w:val="center"/>
          </w:tcPr>
          <w:p w14:paraId="4BCA88C7" w14:textId="69036EE9" w:rsidR="003B6BD9" w:rsidRDefault="009E25E8">
            <w:pPr>
              <w:pStyle w:val="P68B1DB1-Normal18"/>
              <w:spacing w:before="0" w:after="0" w:line="276" w:lineRule="auto"/>
              <w:jc w:val="center"/>
              <w:rPr>
                <w:rFonts w:eastAsia="Times New Roman"/>
                <w:noProof/>
              </w:rPr>
            </w:pPr>
            <w:r>
              <w:rPr>
                <w:noProof/>
              </w:rPr>
              <w:t>118</w:t>
            </w:r>
          </w:p>
        </w:tc>
        <w:tc>
          <w:tcPr>
            <w:tcW w:w="3119" w:type="dxa"/>
            <w:shd w:val="clear" w:color="auto" w:fill="C6EFCE"/>
            <w:noWrap/>
            <w:vAlign w:val="center"/>
          </w:tcPr>
          <w:p w14:paraId="33EE26DD" w14:textId="74AEB54D" w:rsidR="003B6BD9" w:rsidRDefault="009E25E8">
            <w:pPr>
              <w:pStyle w:val="P68B1DB1-Normal18"/>
              <w:spacing w:before="0" w:after="0" w:line="276" w:lineRule="auto"/>
              <w:rPr>
                <w:rFonts w:eastAsia="Times New Roman"/>
                <w:noProof/>
              </w:rPr>
            </w:pPr>
            <w:r>
              <w:rPr>
                <w:noProof/>
              </w:rPr>
              <w:t>B: Cofinancement de projets de recherche et d’innovation à l’appui de la transition écologique et de la numérisation</w:t>
            </w:r>
          </w:p>
        </w:tc>
        <w:tc>
          <w:tcPr>
            <w:tcW w:w="1636" w:type="dxa"/>
            <w:shd w:val="clear" w:color="auto" w:fill="C6EFCE"/>
            <w:noWrap/>
            <w:vAlign w:val="center"/>
          </w:tcPr>
          <w:p w14:paraId="5255CDB1" w14:textId="373C0931"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40C0DE3C" w14:textId="531C22CF" w:rsidR="003B6BD9" w:rsidRDefault="009E25E8">
            <w:pPr>
              <w:pStyle w:val="P68B1DB1-Normal18"/>
              <w:spacing w:before="0" w:after="0" w:line="276" w:lineRule="auto"/>
              <w:rPr>
                <w:rFonts w:eastAsia="Times New Roman"/>
                <w:noProof/>
              </w:rPr>
            </w:pPr>
            <w:r>
              <w:rPr>
                <w:noProof/>
              </w:rPr>
              <w:t>Acceptation des rapports finaux du projet</w:t>
            </w:r>
          </w:p>
        </w:tc>
      </w:tr>
      <w:tr w:rsidR="003B6BD9" w14:paraId="604C876A" w14:textId="77777777">
        <w:trPr>
          <w:trHeight w:val="302"/>
        </w:trPr>
        <w:tc>
          <w:tcPr>
            <w:tcW w:w="1247" w:type="dxa"/>
            <w:shd w:val="clear" w:color="auto" w:fill="C6EFCE"/>
            <w:noWrap/>
            <w:vAlign w:val="center"/>
          </w:tcPr>
          <w:p w14:paraId="0E1EBEB5" w14:textId="26837325" w:rsidR="003B6BD9" w:rsidRDefault="009E25E8">
            <w:pPr>
              <w:pStyle w:val="P68B1DB1-Normal18"/>
              <w:spacing w:before="0" w:after="0" w:line="276" w:lineRule="auto"/>
              <w:jc w:val="center"/>
              <w:rPr>
                <w:rFonts w:eastAsia="Times New Roman"/>
                <w:noProof/>
              </w:rPr>
            </w:pPr>
            <w:r>
              <w:rPr>
                <w:noProof/>
              </w:rPr>
              <w:t>119</w:t>
            </w:r>
          </w:p>
        </w:tc>
        <w:tc>
          <w:tcPr>
            <w:tcW w:w="3119" w:type="dxa"/>
            <w:shd w:val="clear" w:color="auto" w:fill="C6EFCE"/>
            <w:noWrap/>
            <w:vAlign w:val="center"/>
          </w:tcPr>
          <w:p w14:paraId="4C86E717" w14:textId="59820616" w:rsidR="003B6BD9" w:rsidRDefault="009E25E8">
            <w:pPr>
              <w:pStyle w:val="P68B1DB1-Normal18"/>
              <w:spacing w:before="0" w:after="0" w:line="276" w:lineRule="auto"/>
              <w:rPr>
                <w:rFonts w:eastAsia="Times New Roman"/>
                <w:noProof/>
              </w:rPr>
            </w:pPr>
            <w:r>
              <w:rPr>
                <w:noProof/>
              </w:rPr>
              <w:t xml:space="preserve">C: Cofinancement de projets visant à renforcer la mobilité internationale des chercheurs et des organismes de recherche slovènes et à promouvoir la participation internationale des candidats slovènes </w:t>
            </w:r>
          </w:p>
        </w:tc>
        <w:tc>
          <w:tcPr>
            <w:tcW w:w="1636" w:type="dxa"/>
            <w:shd w:val="clear" w:color="auto" w:fill="C6EFCE"/>
            <w:noWrap/>
            <w:vAlign w:val="center"/>
          </w:tcPr>
          <w:p w14:paraId="6E5C462D" w14:textId="16F58E11"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64FD30F8" w14:textId="388ACBC1" w:rsidR="003B6BD9" w:rsidRDefault="009E25E8">
            <w:pPr>
              <w:pStyle w:val="P68B1DB1-Normal18"/>
              <w:spacing w:before="0" w:after="0" w:line="276" w:lineRule="auto"/>
              <w:rPr>
                <w:rFonts w:eastAsia="Times New Roman"/>
                <w:noProof/>
              </w:rPr>
            </w:pPr>
            <w:r>
              <w:rPr>
                <w:noProof/>
              </w:rPr>
              <w:t>Nombre de chercheurs participant aux projets</w:t>
            </w:r>
          </w:p>
        </w:tc>
      </w:tr>
      <w:tr w:rsidR="003B6BD9" w14:paraId="1ADB2AD6" w14:textId="77777777">
        <w:trPr>
          <w:trHeight w:val="302"/>
        </w:trPr>
        <w:tc>
          <w:tcPr>
            <w:tcW w:w="1247" w:type="dxa"/>
            <w:shd w:val="clear" w:color="auto" w:fill="C6EFCE"/>
            <w:noWrap/>
            <w:vAlign w:val="center"/>
          </w:tcPr>
          <w:p w14:paraId="72F3C7DE" w14:textId="1BE50D6A" w:rsidR="003B6BD9" w:rsidRDefault="009E25E8">
            <w:pPr>
              <w:pStyle w:val="P68B1DB1-Normal18"/>
              <w:spacing w:before="0" w:after="0" w:line="276" w:lineRule="auto"/>
              <w:jc w:val="center"/>
              <w:rPr>
                <w:rFonts w:eastAsia="Times New Roman"/>
                <w:noProof/>
              </w:rPr>
            </w:pPr>
            <w:r>
              <w:rPr>
                <w:noProof/>
              </w:rPr>
              <w:t>122</w:t>
            </w:r>
          </w:p>
        </w:tc>
        <w:tc>
          <w:tcPr>
            <w:tcW w:w="3119" w:type="dxa"/>
            <w:shd w:val="clear" w:color="auto" w:fill="C6EFCE"/>
            <w:noWrap/>
            <w:vAlign w:val="center"/>
          </w:tcPr>
          <w:p w14:paraId="0D47921A" w14:textId="71F507B2" w:rsidR="003B6BD9" w:rsidRDefault="009E25E8">
            <w:pPr>
              <w:pStyle w:val="P68B1DB1-Normal18"/>
              <w:spacing w:before="0" w:after="0" w:line="276" w:lineRule="auto"/>
              <w:rPr>
                <w:rFonts w:eastAsia="Times New Roman"/>
                <w:noProof/>
              </w:rPr>
            </w:pPr>
            <w:r>
              <w:rPr>
                <w:noProof/>
              </w:rPr>
              <w:t>D: Cofinancement d’investissements dans des projets pilotes et de démonstration de RDI</w:t>
            </w:r>
          </w:p>
        </w:tc>
        <w:tc>
          <w:tcPr>
            <w:tcW w:w="1636" w:type="dxa"/>
            <w:shd w:val="clear" w:color="auto" w:fill="C6EFCE"/>
            <w:noWrap/>
            <w:vAlign w:val="center"/>
          </w:tcPr>
          <w:p w14:paraId="0DBCAC11" w14:textId="70FB5C04"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1A21B9A2" w14:textId="3D2176A3" w:rsidR="003B6BD9" w:rsidRDefault="009E25E8">
            <w:pPr>
              <w:pStyle w:val="P68B1DB1-Normal18"/>
              <w:spacing w:before="0" w:after="0" w:line="276" w:lineRule="auto"/>
              <w:rPr>
                <w:rFonts w:eastAsia="Times New Roman"/>
                <w:noProof/>
              </w:rPr>
            </w:pPr>
            <w:r>
              <w:rPr>
                <w:noProof/>
              </w:rPr>
              <w:t>Acceptation des rapports finaux du projet</w:t>
            </w:r>
          </w:p>
        </w:tc>
      </w:tr>
      <w:tr w:rsidR="003B6BD9" w14:paraId="3828C762" w14:textId="77777777">
        <w:trPr>
          <w:trHeight w:val="302"/>
        </w:trPr>
        <w:tc>
          <w:tcPr>
            <w:tcW w:w="1247" w:type="dxa"/>
            <w:shd w:val="clear" w:color="auto" w:fill="C6EFCE"/>
            <w:noWrap/>
            <w:vAlign w:val="center"/>
          </w:tcPr>
          <w:p w14:paraId="650702F2" w14:textId="3D404D1C" w:rsidR="003B6BD9" w:rsidRDefault="009E25E8">
            <w:pPr>
              <w:pStyle w:val="P68B1DB1-Normal18"/>
              <w:spacing w:before="0" w:after="0" w:line="276" w:lineRule="auto"/>
              <w:jc w:val="center"/>
              <w:rPr>
                <w:rFonts w:eastAsia="Times New Roman"/>
                <w:noProof/>
              </w:rPr>
            </w:pPr>
            <w:r>
              <w:rPr>
                <w:noProof/>
              </w:rPr>
              <w:t>130</w:t>
            </w:r>
          </w:p>
        </w:tc>
        <w:tc>
          <w:tcPr>
            <w:tcW w:w="3119" w:type="dxa"/>
            <w:shd w:val="clear" w:color="auto" w:fill="C6EFCE"/>
            <w:noWrap/>
            <w:vAlign w:val="center"/>
          </w:tcPr>
          <w:p w14:paraId="5908E863" w14:textId="371D882B" w:rsidR="003B6BD9" w:rsidRDefault="009E25E8">
            <w:pPr>
              <w:pStyle w:val="P68B1DB1-Normal18"/>
              <w:spacing w:before="0" w:after="0" w:line="276" w:lineRule="auto"/>
              <w:rPr>
                <w:rFonts w:eastAsia="Times New Roman"/>
                <w:noProof/>
              </w:rPr>
            </w:pPr>
            <w:r>
              <w:rPr>
                <w:noProof/>
              </w:rPr>
              <w:t>C: Soutien à la décarbonation, à la productivité et à la compétitivité des entreprises</w:t>
            </w:r>
          </w:p>
        </w:tc>
        <w:tc>
          <w:tcPr>
            <w:tcW w:w="1636" w:type="dxa"/>
            <w:shd w:val="clear" w:color="auto" w:fill="C6EFCE"/>
            <w:noWrap/>
            <w:vAlign w:val="center"/>
          </w:tcPr>
          <w:p w14:paraId="45C7FC13" w14:textId="56203279"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241E4423" w14:textId="47D1262D" w:rsidR="003B6BD9" w:rsidRDefault="009E25E8">
            <w:pPr>
              <w:pStyle w:val="P68B1DB1-Normal18"/>
              <w:spacing w:before="0" w:after="0" w:line="276" w:lineRule="auto"/>
              <w:rPr>
                <w:rFonts w:eastAsia="Times New Roman"/>
                <w:noProof/>
              </w:rPr>
            </w:pPr>
            <w:r>
              <w:rPr>
                <w:noProof/>
              </w:rPr>
              <w:t>Rapports finaux acceptés des projets</w:t>
            </w:r>
          </w:p>
        </w:tc>
      </w:tr>
      <w:tr w:rsidR="003B6BD9" w14:paraId="644D93EB" w14:textId="77777777">
        <w:trPr>
          <w:trHeight w:val="302"/>
        </w:trPr>
        <w:tc>
          <w:tcPr>
            <w:tcW w:w="1247" w:type="dxa"/>
            <w:shd w:val="clear" w:color="auto" w:fill="C6EFCE"/>
            <w:noWrap/>
            <w:vAlign w:val="center"/>
          </w:tcPr>
          <w:p w14:paraId="0F75DE2F" w14:textId="66DB0E73" w:rsidR="003B6BD9" w:rsidRDefault="009E25E8">
            <w:pPr>
              <w:pStyle w:val="P68B1DB1-Normal18"/>
              <w:spacing w:before="0" w:after="0" w:line="276" w:lineRule="auto"/>
              <w:jc w:val="center"/>
              <w:rPr>
                <w:rFonts w:eastAsia="Times New Roman"/>
                <w:noProof/>
              </w:rPr>
            </w:pPr>
            <w:r>
              <w:rPr>
                <w:noProof/>
              </w:rPr>
              <w:t>132</w:t>
            </w:r>
          </w:p>
        </w:tc>
        <w:tc>
          <w:tcPr>
            <w:tcW w:w="3119" w:type="dxa"/>
            <w:shd w:val="clear" w:color="auto" w:fill="C6EFCE"/>
            <w:noWrap/>
            <w:vAlign w:val="center"/>
          </w:tcPr>
          <w:p w14:paraId="37D973E9" w14:textId="1EAF53E6" w:rsidR="003B6BD9" w:rsidRDefault="009E25E8">
            <w:pPr>
              <w:pStyle w:val="P68B1DB1-Normal18"/>
              <w:spacing w:before="0" w:after="0" w:line="276" w:lineRule="auto"/>
              <w:rPr>
                <w:rFonts w:eastAsia="Times New Roman"/>
                <w:noProof/>
              </w:rPr>
            </w:pPr>
            <w:r>
              <w:rPr>
                <w:noProof/>
              </w:rPr>
              <w:t>C: Soutien à la décarbonation, à la productivité et à la compétitivité des entreprises</w:t>
            </w:r>
          </w:p>
        </w:tc>
        <w:tc>
          <w:tcPr>
            <w:tcW w:w="1636" w:type="dxa"/>
            <w:shd w:val="clear" w:color="auto" w:fill="C6EFCE"/>
            <w:noWrap/>
            <w:vAlign w:val="center"/>
          </w:tcPr>
          <w:p w14:paraId="2C408C62" w14:textId="73F446DF"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4356642B" w14:textId="3DB279D1" w:rsidR="003B6BD9" w:rsidRDefault="009E25E8">
            <w:pPr>
              <w:pStyle w:val="P68B1DB1-Normal18"/>
              <w:spacing w:before="0" w:after="0" w:line="276" w:lineRule="auto"/>
              <w:rPr>
                <w:rFonts w:eastAsia="Times New Roman"/>
                <w:noProof/>
              </w:rPr>
            </w:pPr>
            <w:r>
              <w:rPr>
                <w:noProof/>
              </w:rPr>
              <w:t>Rapports finaux acceptés des projets</w:t>
            </w:r>
          </w:p>
        </w:tc>
      </w:tr>
      <w:tr w:rsidR="003B6BD9" w14:paraId="0502FDA9" w14:textId="77777777">
        <w:trPr>
          <w:trHeight w:val="302"/>
        </w:trPr>
        <w:tc>
          <w:tcPr>
            <w:tcW w:w="1247" w:type="dxa"/>
            <w:shd w:val="clear" w:color="auto" w:fill="C6EFCE"/>
            <w:noWrap/>
            <w:vAlign w:val="center"/>
          </w:tcPr>
          <w:p w14:paraId="0F309775" w14:textId="7E459EBE" w:rsidR="003B6BD9" w:rsidRDefault="009E25E8">
            <w:pPr>
              <w:pStyle w:val="P68B1DB1-Normal18"/>
              <w:spacing w:before="0" w:after="0" w:line="276" w:lineRule="auto"/>
              <w:jc w:val="center"/>
              <w:rPr>
                <w:rFonts w:eastAsia="Times New Roman"/>
                <w:noProof/>
              </w:rPr>
            </w:pPr>
            <w:r>
              <w:rPr>
                <w:noProof/>
              </w:rPr>
              <w:t>134</w:t>
            </w:r>
          </w:p>
        </w:tc>
        <w:tc>
          <w:tcPr>
            <w:tcW w:w="3119" w:type="dxa"/>
            <w:shd w:val="clear" w:color="auto" w:fill="C6EFCE"/>
            <w:noWrap/>
            <w:vAlign w:val="center"/>
          </w:tcPr>
          <w:p w14:paraId="562F2B5C" w14:textId="79C3596A" w:rsidR="003B6BD9" w:rsidRDefault="009E25E8">
            <w:pPr>
              <w:pStyle w:val="P68B1DB1-Normal18"/>
              <w:spacing w:before="0" w:after="0" w:line="276" w:lineRule="auto"/>
              <w:rPr>
                <w:rFonts w:eastAsia="Times New Roman"/>
                <w:noProof/>
              </w:rPr>
            </w:pPr>
            <w:r>
              <w:rPr>
                <w:noProof/>
              </w:rPr>
              <w:t>D: Fournir des écosystèmes innovants d’infrastructures économiques et commerciales</w:t>
            </w:r>
          </w:p>
        </w:tc>
        <w:tc>
          <w:tcPr>
            <w:tcW w:w="1636" w:type="dxa"/>
            <w:shd w:val="clear" w:color="auto" w:fill="C6EFCE"/>
            <w:noWrap/>
            <w:vAlign w:val="center"/>
          </w:tcPr>
          <w:p w14:paraId="6A9F49AD" w14:textId="79A6C315"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7BDA6935" w14:textId="7CC64577" w:rsidR="003B6BD9" w:rsidRDefault="009E25E8">
            <w:pPr>
              <w:pStyle w:val="P68B1DB1-Normal18"/>
              <w:spacing w:before="0" w:after="0" w:line="240" w:lineRule="auto"/>
              <w:rPr>
                <w:rFonts w:eastAsia="Times New Roman"/>
                <w:noProof/>
              </w:rPr>
            </w:pPr>
            <w:r>
              <w:rPr>
                <w:noProof/>
              </w:rPr>
              <w:t>Construction de zones de développement des entreprises</w:t>
            </w:r>
          </w:p>
        </w:tc>
      </w:tr>
      <w:tr w:rsidR="003B6BD9" w14:paraId="0BAC0E20" w14:textId="77777777">
        <w:trPr>
          <w:trHeight w:val="302"/>
        </w:trPr>
        <w:tc>
          <w:tcPr>
            <w:tcW w:w="1247" w:type="dxa"/>
            <w:shd w:val="clear" w:color="auto" w:fill="C6EFCE"/>
            <w:noWrap/>
            <w:vAlign w:val="center"/>
          </w:tcPr>
          <w:p w14:paraId="04F1FCAB" w14:textId="5D63D174" w:rsidR="003B6BD9" w:rsidRDefault="009E25E8">
            <w:pPr>
              <w:pStyle w:val="P68B1DB1-Normal18"/>
              <w:spacing w:before="0" w:after="0" w:line="276" w:lineRule="auto"/>
              <w:jc w:val="center"/>
              <w:rPr>
                <w:rFonts w:eastAsia="Times New Roman"/>
                <w:noProof/>
              </w:rPr>
            </w:pPr>
            <w:r>
              <w:rPr>
                <w:noProof/>
              </w:rPr>
              <w:t>151</w:t>
            </w:r>
          </w:p>
        </w:tc>
        <w:tc>
          <w:tcPr>
            <w:tcW w:w="3119" w:type="dxa"/>
            <w:shd w:val="clear" w:color="auto" w:fill="C6EFCE"/>
            <w:noWrap/>
            <w:vAlign w:val="center"/>
          </w:tcPr>
          <w:p w14:paraId="5276D867" w14:textId="6F87E675" w:rsidR="003B6BD9" w:rsidRDefault="009E25E8">
            <w:pPr>
              <w:pStyle w:val="P68B1DB1-Normal18"/>
              <w:spacing w:before="0" w:after="0" w:line="276" w:lineRule="auto"/>
              <w:rPr>
                <w:rFonts w:eastAsia="Times New Roman"/>
                <w:noProof/>
              </w:rPr>
            </w:pPr>
            <w:r>
              <w:rPr>
                <w:noProof/>
              </w:rPr>
              <w:t xml:space="preserve">B: Développement durable de l’offre d’hébergement touristique slovène afin d’accroître la valeur ajoutée du tourisme </w:t>
            </w:r>
          </w:p>
        </w:tc>
        <w:tc>
          <w:tcPr>
            <w:tcW w:w="1636" w:type="dxa"/>
            <w:shd w:val="clear" w:color="auto" w:fill="C6EFCE"/>
            <w:noWrap/>
            <w:vAlign w:val="center"/>
          </w:tcPr>
          <w:p w14:paraId="3458CEAC" w14:textId="7E8C2883"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4DFD5B80" w14:textId="3F4A6537" w:rsidR="003B6BD9" w:rsidRDefault="009E25E8">
            <w:pPr>
              <w:pStyle w:val="P68B1DB1-Normal18"/>
              <w:spacing w:before="0" w:after="0" w:line="276" w:lineRule="auto"/>
              <w:rPr>
                <w:rFonts w:eastAsia="Times New Roman"/>
                <w:noProof/>
              </w:rPr>
            </w:pPr>
            <w:r>
              <w:rPr>
                <w:noProof/>
              </w:rPr>
              <w:t xml:space="preserve">Projets dans les hébergements touristiques </w:t>
            </w:r>
          </w:p>
        </w:tc>
      </w:tr>
      <w:tr w:rsidR="003B6BD9" w14:paraId="1A8D39CA" w14:textId="77777777">
        <w:trPr>
          <w:trHeight w:val="302"/>
        </w:trPr>
        <w:tc>
          <w:tcPr>
            <w:tcW w:w="1247" w:type="dxa"/>
            <w:shd w:val="clear" w:color="auto" w:fill="C6EFCE"/>
            <w:noWrap/>
            <w:vAlign w:val="center"/>
          </w:tcPr>
          <w:p w14:paraId="73D2ACD1" w14:textId="69E3301A" w:rsidR="003B6BD9" w:rsidRDefault="009E25E8">
            <w:pPr>
              <w:pStyle w:val="P68B1DB1-Normal18"/>
              <w:spacing w:before="0" w:after="0" w:line="276" w:lineRule="auto"/>
              <w:jc w:val="center"/>
              <w:rPr>
                <w:rFonts w:eastAsia="Times New Roman"/>
                <w:noProof/>
              </w:rPr>
            </w:pPr>
            <w:r>
              <w:rPr>
                <w:noProof/>
              </w:rPr>
              <w:t>155</w:t>
            </w:r>
          </w:p>
        </w:tc>
        <w:tc>
          <w:tcPr>
            <w:tcW w:w="3119" w:type="dxa"/>
            <w:shd w:val="clear" w:color="auto" w:fill="C6EFCE"/>
            <w:noWrap/>
            <w:vAlign w:val="center"/>
          </w:tcPr>
          <w:p w14:paraId="743CBADE" w14:textId="624D6810" w:rsidR="003B6BD9" w:rsidRDefault="009E25E8">
            <w:pPr>
              <w:pStyle w:val="P68B1DB1-Normal18"/>
              <w:spacing w:before="0" w:after="0" w:line="276" w:lineRule="auto"/>
              <w:rPr>
                <w:rFonts w:eastAsia="Times New Roman"/>
                <w:noProof/>
              </w:rPr>
            </w:pPr>
            <w:r>
              <w:rPr>
                <w:noProof/>
              </w:rPr>
              <w:t xml:space="preserve">D: Restauration et revitalisation durables du patrimoine culturel et des infrastructures culturelles publiques  </w:t>
            </w:r>
          </w:p>
        </w:tc>
        <w:tc>
          <w:tcPr>
            <w:tcW w:w="1636" w:type="dxa"/>
            <w:shd w:val="clear" w:color="auto" w:fill="C6EFCE"/>
            <w:noWrap/>
            <w:vAlign w:val="center"/>
          </w:tcPr>
          <w:p w14:paraId="58D9DB0C" w14:textId="11FD915B"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38B533B3" w14:textId="59672648" w:rsidR="003B6BD9" w:rsidRDefault="009E25E8">
            <w:pPr>
              <w:pStyle w:val="P68B1DB1-Normal18"/>
              <w:spacing w:before="0" w:after="0" w:line="240" w:lineRule="auto"/>
              <w:rPr>
                <w:rFonts w:eastAsia="Times New Roman"/>
                <w:noProof/>
              </w:rPr>
            </w:pPr>
            <w:r>
              <w:rPr>
                <w:noProof/>
              </w:rPr>
              <w:t>Sites du patrimoine culturel rénovés</w:t>
            </w:r>
          </w:p>
        </w:tc>
      </w:tr>
      <w:tr w:rsidR="003B6BD9" w14:paraId="17054064" w14:textId="77777777">
        <w:trPr>
          <w:trHeight w:val="302"/>
        </w:trPr>
        <w:tc>
          <w:tcPr>
            <w:tcW w:w="1247" w:type="dxa"/>
            <w:shd w:val="clear" w:color="auto" w:fill="C6EFCE"/>
            <w:noWrap/>
            <w:vAlign w:val="center"/>
          </w:tcPr>
          <w:p w14:paraId="5E2D7CD9" w14:textId="2E9080BE" w:rsidR="003B6BD9" w:rsidRDefault="009E25E8">
            <w:pPr>
              <w:pStyle w:val="P68B1DB1-Normal21"/>
              <w:spacing w:before="0" w:after="0" w:line="276" w:lineRule="auto"/>
              <w:jc w:val="center"/>
              <w:rPr>
                <w:noProof/>
              </w:rPr>
            </w:pPr>
            <w:r>
              <w:rPr>
                <w:noProof/>
              </w:rPr>
              <w:t>158 bis</w:t>
            </w:r>
          </w:p>
        </w:tc>
        <w:tc>
          <w:tcPr>
            <w:tcW w:w="3119" w:type="dxa"/>
            <w:shd w:val="clear" w:color="auto" w:fill="C6EFCE"/>
            <w:noWrap/>
            <w:vAlign w:val="center"/>
          </w:tcPr>
          <w:p w14:paraId="121B764A" w14:textId="422762D1" w:rsidR="003B6BD9" w:rsidRDefault="009E25E8">
            <w:pPr>
              <w:pStyle w:val="P68B1DB1-Normal18"/>
              <w:spacing w:before="0" w:after="0" w:line="276" w:lineRule="auto"/>
              <w:rPr>
                <w:noProof/>
              </w:rPr>
            </w:pPr>
            <w:r>
              <w:rPr>
                <w:noProof/>
              </w:rPr>
              <w:t>E: La transformation globale de l’éducation verte et numérique</w:t>
            </w:r>
          </w:p>
        </w:tc>
        <w:tc>
          <w:tcPr>
            <w:tcW w:w="1636" w:type="dxa"/>
            <w:shd w:val="clear" w:color="auto" w:fill="C6EFCE"/>
            <w:noWrap/>
            <w:vAlign w:val="center"/>
          </w:tcPr>
          <w:p w14:paraId="4295A61C" w14:textId="65F1D8FE" w:rsidR="003B6BD9" w:rsidRDefault="009E25E8">
            <w:pPr>
              <w:pStyle w:val="P68B1DB1-Normal18"/>
              <w:spacing w:before="0" w:after="0" w:line="276" w:lineRule="auto"/>
              <w:rPr>
                <w:noProof/>
              </w:rPr>
            </w:pPr>
            <w:r>
              <w:rPr>
                <w:noProof/>
              </w:rPr>
              <w:t>Cible</w:t>
            </w:r>
          </w:p>
        </w:tc>
        <w:tc>
          <w:tcPr>
            <w:tcW w:w="3720" w:type="dxa"/>
            <w:shd w:val="clear" w:color="auto" w:fill="C6EFCE"/>
            <w:noWrap/>
            <w:vAlign w:val="center"/>
          </w:tcPr>
          <w:p w14:paraId="021266FA" w14:textId="5518F1F0" w:rsidR="003B6BD9" w:rsidRDefault="009E25E8">
            <w:pPr>
              <w:pStyle w:val="P68B1DB1-Normal18"/>
              <w:spacing w:before="0" w:after="0" w:line="276" w:lineRule="auto"/>
              <w:rPr>
                <w:noProof/>
              </w:rPr>
            </w:pPr>
            <w:r>
              <w:rPr>
                <w:noProof/>
              </w:rPr>
              <w:t>Projets pour les compétences des apprenants en matière de numérique, de développement durable et de culture financière</w:t>
            </w:r>
          </w:p>
        </w:tc>
      </w:tr>
      <w:tr w:rsidR="003B6BD9" w14:paraId="79E6F76D" w14:textId="77777777">
        <w:trPr>
          <w:trHeight w:val="302"/>
        </w:trPr>
        <w:tc>
          <w:tcPr>
            <w:tcW w:w="1247" w:type="dxa"/>
            <w:shd w:val="clear" w:color="auto" w:fill="C6EFCE"/>
            <w:noWrap/>
            <w:vAlign w:val="center"/>
          </w:tcPr>
          <w:p w14:paraId="55DB2348" w14:textId="1925988E" w:rsidR="003B6BD9" w:rsidRDefault="009E25E8">
            <w:pPr>
              <w:pStyle w:val="P68B1DB1-Normal21"/>
              <w:spacing w:before="0" w:after="0" w:line="276" w:lineRule="auto"/>
              <w:jc w:val="center"/>
              <w:rPr>
                <w:noProof/>
              </w:rPr>
            </w:pPr>
            <w:r>
              <w:rPr>
                <w:noProof/>
              </w:rPr>
              <w:t>158 c</w:t>
            </w:r>
          </w:p>
        </w:tc>
        <w:tc>
          <w:tcPr>
            <w:tcW w:w="3119" w:type="dxa"/>
            <w:shd w:val="clear" w:color="auto" w:fill="C6EFCE"/>
            <w:noWrap/>
            <w:vAlign w:val="center"/>
          </w:tcPr>
          <w:p w14:paraId="52E57764" w14:textId="5BEE8B4B" w:rsidR="003B6BD9" w:rsidRDefault="009E25E8">
            <w:pPr>
              <w:pStyle w:val="P68B1DB1-Normal18"/>
              <w:spacing w:before="0" w:after="0" w:line="276" w:lineRule="auto"/>
              <w:rPr>
                <w:noProof/>
              </w:rPr>
            </w:pPr>
            <w:r>
              <w:rPr>
                <w:noProof/>
              </w:rPr>
              <w:t>E: La transformation globale de l’éducation verte et numérique</w:t>
            </w:r>
          </w:p>
        </w:tc>
        <w:tc>
          <w:tcPr>
            <w:tcW w:w="1636" w:type="dxa"/>
            <w:shd w:val="clear" w:color="auto" w:fill="C6EFCE"/>
            <w:noWrap/>
            <w:vAlign w:val="center"/>
          </w:tcPr>
          <w:p w14:paraId="4822294B" w14:textId="7171C6B6" w:rsidR="003B6BD9" w:rsidRDefault="009E25E8">
            <w:pPr>
              <w:pStyle w:val="P68B1DB1-Normal18"/>
              <w:spacing w:before="0" w:after="0" w:line="276" w:lineRule="auto"/>
              <w:rPr>
                <w:noProof/>
              </w:rPr>
            </w:pPr>
            <w:r>
              <w:rPr>
                <w:noProof/>
              </w:rPr>
              <w:t>Cible</w:t>
            </w:r>
          </w:p>
        </w:tc>
        <w:tc>
          <w:tcPr>
            <w:tcW w:w="3720" w:type="dxa"/>
            <w:shd w:val="clear" w:color="auto" w:fill="C6EFCE"/>
            <w:noWrap/>
            <w:vAlign w:val="center"/>
          </w:tcPr>
          <w:p w14:paraId="619706A6" w14:textId="1072EA25" w:rsidR="003B6BD9" w:rsidRDefault="009E25E8">
            <w:pPr>
              <w:pStyle w:val="P68B1DB1-Normal18"/>
              <w:spacing w:before="0" w:after="0" w:line="276" w:lineRule="auto"/>
              <w:rPr>
                <w:noProof/>
              </w:rPr>
            </w:pPr>
            <w:r>
              <w:rPr>
                <w:noProof/>
              </w:rPr>
              <w:t>Programmes de formation à l’éducation non formelle pour adultes dans le domaine de la culture financière</w:t>
            </w:r>
          </w:p>
        </w:tc>
      </w:tr>
      <w:tr w:rsidR="003B6BD9" w14:paraId="5A868288" w14:textId="77777777">
        <w:trPr>
          <w:trHeight w:val="302"/>
        </w:trPr>
        <w:tc>
          <w:tcPr>
            <w:tcW w:w="1247" w:type="dxa"/>
            <w:shd w:val="clear" w:color="auto" w:fill="C6EFCE"/>
            <w:noWrap/>
            <w:vAlign w:val="center"/>
          </w:tcPr>
          <w:p w14:paraId="41C52F05" w14:textId="641AE815" w:rsidR="003B6BD9" w:rsidRDefault="009E25E8">
            <w:pPr>
              <w:pStyle w:val="P68B1DB1-Normal18"/>
              <w:spacing w:before="0" w:after="0" w:line="276" w:lineRule="auto"/>
              <w:jc w:val="center"/>
              <w:rPr>
                <w:rFonts w:eastAsia="Times New Roman"/>
                <w:noProof/>
              </w:rPr>
            </w:pPr>
            <w:r>
              <w:rPr>
                <w:noProof/>
              </w:rPr>
              <w:t>159</w:t>
            </w:r>
          </w:p>
        </w:tc>
        <w:tc>
          <w:tcPr>
            <w:tcW w:w="3119" w:type="dxa"/>
            <w:shd w:val="clear" w:color="auto" w:fill="C6EFCE"/>
            <w:noWrap/>
            <w:vAlign w:val="center"/>
          </w:tcPr>
          <w:p w14:paraId="44A99DBF" w14:textId="62A2E50D" w:rsidR="003B6BD9" w:rsidRDefault="009E25E8">
            <w:pPr>
              <w:pStyle w:val="P68B1DB1-Normal18"/>
              <w:spacing w:before="0" w:after="0" w:line="276" w:lineRule="auto"/>
              <w:rPr>
                <w:rFonts w:eastAsia="Times New Roman"/>
                <w:noProof/>
              </w:rPr>
            </w:pPr>
            <w:r>
              <w:rPr>
                <w:noProof/>
              </w:rPr>
              <w:t xml:space="preserve">B: Réforme de l’enseignement supérieur pour une transition écologique et résiliente </w:t>
            </w:r>
          </w:p>
        </w:tc>
        <w:tc>
          <w:tcPr>
            <w:tcW w:w="1636" w:type="dxa"/>
            <w:shd w:val="clear" w:color="auto" w:fill="C6EFCE"/>
            <w:noWrap/>
            <w:vAlign w:val="center"/>
          </w:tcPr>
          <w:p w14:paraId="3A157471" w14:textId="345C30FB"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6420D489" w14:textId="3B23F0A2" w:rsidR="003B6BD9" w:rsidRDefault="009E25E8">
            <w:pPr>
              <w:pStyle w:val="P68B1DB1-Normal18"/>
              <w:spacing w:before="0" w:after="0" w:line="276" w:lineRule="auto"/>
              <w:rPr>
                <w:rFonts w:eastAsia="Times New Roman"/>
                <w:noProof/>
              </w:rPr>
            </w:pPr>
            <w:r>
              <w:rPr>
                <w:noProof/>
              </w:rPr>
              <w:t>Programmes révisés de l’enseignement supérieur</w:t>
            </w:r>
          </w:p>
        </w:tc>
      </w:tr>
      <w:tr w:rsidR="003B6BD9" w14:paraId="493B80A7" w14:textId="77777777">
        <w:trPr>
          <w:trHeight w:val="302"/>
        </w:trPr>
        <w:tc>
          <w:tcPr>
            <w:tcW w:w="1247" w:type="dxa"/>
            <w:shd w:val="clear" w:color="auto" w:fill="C6EFCE"/>
            <w:noWrap/>
            <w:vAlign w:val="center"/>
          </w:tcPr>
          <w:p w14:paraId="39C05509" w14:textId="5B37333B" w:rsidR="003B6BD9" w:rsidRDefault="009E25E8">
            <w:pPr>
              <w:pStyle w:val="P68B1DB1-Normal18"/>
              <w:spacing w:before="0" w:after="0" w:line="276" w:lineRule="auto"/>
              <w:jc w:val="center"/>
              <w:rPr>
                <w:rFonts w:eastAsia="Times New Roman"/>
                <w:noProof/>
              </w:rPr>
            </w:pPr>
            <w:r>
              <w:rPr>
                <w:noProof/>
              </w:rPr>
              <w:t>161</w:t>
            </w:r>
          </w:p>
        </w:tc>
        <w:tc>
          <w:tcPr>
            <w:tcW w:w="3119" w:type="dxa"/>
            <w:shd w:val="clear" w:color="auto" w:fill="C6EFCE"/>
            <w:noWrap/>
            <w:vAlign w:val="center"/>
          </w:tcPr>
          <w:p w14:paraId="3EA7747E" w14:textId="5F71437A" w:rsidR="003B6BD9" w:rsidRDefault="009E25E8">
            <w:pPr>
              <w:pStyle w:val="P68B1DB1-Normal18"/>
              <w:spacing w:before="0" w:after="0" w:line="276" w:lineRule="auto"/>
              <w:rPr>
                <w:rFonts w:eastAsia="Times New Roman"/>
                <w:noProof/>
              </w:rPr>
            </w:pPr>
            <w:r>
              <w:rPr>
                <w:noProof/>
              </w:rPr>
              <w:t xml:space="preserve">F: Projets pilotes en faveur d’une réforme de l’enseignement supérieur pour une transition écologique et résiliente </w:t>
            </w:r>
          </w:p>
        </w:tc>
        <w:tc>
          <w:tcPr>
            <w:tcW w:w="1636" w:type="dxa"/>
            <w:shd w:val="clear" w:color="auto" w:fill="C6EFCE"/>
            <w:noWrap/>
            <w:vAlign w:val="center"/>
          </w:tcPr>
          <w:p w14:paraId="497891EB" w14:textId="173676FD"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4DE3204B" w14:textId="51A2BC10" w:rsidR="003B6BD9" w:rsidRDefault="009E25E8">
            <w:pPr>
              <w:pStyle w:val="P68B1DB1-Normal18"/>
              <w:spacing w:before="0" w:after="0" w:line="276" w:lineRule="auto"/>
              <w:rPr>
                <w:rFonts w:eastAsia="Times New Roman"/>
                <w:noProof/>
              </w:rPr>
            </w:pPr>
            <w:r>
              <w:rPr>
                <w:noProof/>
              </w:rPr>
              <w:t>Projets pilotes pour le renouvellement du processus d’enseignement supérieur</w:t>
            </w:r>
          </w:p>
        </w:tc>
      </w:tr>
      <w:tr w:rsidR="003B6BD9" w14:paraId="22E5E235" w14:textId="77777777">
        <w:trPr>
          <w:trHeight w:val="302"/>
        </w:trPr>
        <w:tc>
          <w:tcPr>
            <w:tcW w:w="1247" w:type="dxa"/>
            <w:shd w:val="clear" w:color="auto" w:fill="C6EFCE"/>
            <w:noWrap/>
            <w:vAlign w:val="center"/>
          </w:tcPr>
          <w:p w14:paraId="754A716C" w14:textId="65347B82" w:rsidR="003B6BD9" w:rsidRDefault="009E25E8">
            <w:pPr>
              <w:pStyle w:val="P68B1DB1-Normal18"/>
              <w:spacing w:before="0" w:after="0" w:line="276" w:lineRule="auto"/>
              <w:jc w:val="center"/>
              <w:rPr>
                <w:rFonts w:eastAsia="Times New Roman"/>
                <w:noProof/>
              </w:rPr>
            </w:pPr>
            <w:r>
              <w:rPr>
                <w:noProof/>
              </w:rPr>
              <w:t>162</w:t>
            </w:r>
          </w:p>
        </w:tc>
        <w:tc>
          <w:tcPr>
            <w:tcW w:w="3119" w:type="dxa"/>
            <w:shd w:val="clear" w:color="auto" w:fill="C6EFCE"/>
            <w:noWrap/>
            <w:vAlign w:val="center"/>
          </w:tcPr>
          <w:p w14:paraId="43EE2A27" w14:textId="066C8A6C" w:rsidR="003B6BD9" w:rsidRDefault="009E25E8">
            <w:pPr>
              <w:pStyle w:val="P68B1DB1-Normal22"/>
              <w:spacing w:before="0" w:after="0" w:line="276" w:lineRule="auto"/>
              <w:rPr>
                <w:rFonts w:eastAsia="Times New Roman"/>
                <w:noProof/>
                <w:sz w:val="22"/>
              </w:rPr>
            </w:pPr>
            <w:r>
              <w:rPr>
                <w:noProof/>
                <w:sz w:val="22"/>
              </w:rPr>
              <w:t>C: Modernisation de l’enseignement secondaire professionnel et de la formation professionnelle</w:t>
            </w:r>
            <w:r>
              <w:rPr>
                <w:noProof/>
              </w:rPr>
              <w:t>, y compris l’apprentissage</w:t>
            </w:r>
          </w:p>
        </w:tc>
        <w:tc>
          <w:tcPr>
            <w:tcW w:w="1636" w:type="dxa"/>
            <w:shd w:val="clear" w:color="auto" w:fill="C6EFCE"/>
            <w:noWrap/>
            <w:vAlign w:val="center"/>
          </w:tcPr>
          <w:p w14:paraId="22D405FE" w14:textId="628B9D6F"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3AF6A35C" w14:textId="6E675D99" w:rsidR="003B6BD9" w:rsidRDefault="009E25E8">
            <w:pPr>
              <w:pStyle w:val="P68B1DB1-Normal18"/>
              <w:spacing w:before="0" w:after="0" w:line="276" w:lineRule="auto"/>
              <w:rPr>
                <w:rFonts w:eastAsia="Times New Roman"/>
                <w:noProof/>
              </w:rPr>
            </w:pPr>
            <w:r>
              <w:rPr>
                <w:noProof/>
              </w:rPr>
              <w:t xml:space="preserve">Programmes révisés d’enseignement et de formation professionnels </w:t>
            </w:r>
          </w:p>
        </w:tc>
      </w:tr>
      <w:tr w:rsidR="003B6BD9" w14:paraId="4F51ED30" w14:textId="77777777">
        <w:trPr>
          <w:trHeight w:val="302"/>
        </w:trPr>
        <w:tc>
          <w:tcPr>
            <w:tcW w:w="1247" w:type="dxa"/>
            <w:shd w:val="clear" w:color="auto" w:fill="C6EFCE"/>
            <w:noWrap/>
            <w:vAlign w:val="center"/>
          </w:tcPr>
          <w:p w14:paraId="6823C04D" w14:textId="297324E3" w:rsidR="003B6BD9" w:rsidRDefault="009E25E8">
            <w:pPr>
              <w:pStyle w:val="P68B1DB1-Normal18"/>
              <w:spacing w:before="0" w:after="0" w:line="276" w:lineRule="auto"/>
              <w:jc w:val="center"/>
              <w:rPr>
                <w:rFonts w:eastAsia="Times New Roman"/>
                <w:noProof/>
              </w:rPr>
            </w:pPr>
            <w:r>
              <w:rPr>
                <w:noProof/>
              </w:rPr>
              <w:t>163</w:t>
            </w:r>
          </w:p>
        </w:tc>
        <w:tc>
          <w:tcPr>
            <w:tcW w:w="3119" w:type="dxa"/>
            <w:shd w:val="clear" w:color="auto" w:fill="C6EFCE"/>
            <w:noWrap/>
            <w:vAlign w:val="center"/>
          </w:tcPr>
          <w:p w14:paraId="3E953AE4" w14:textId="7F536873" w:rsidR="003B6BD9" w:rsidRDefault="009E25E8">
            <w:pPr>
              <w:pStyle w:val="P68B1DB1-Normal18"/>
              <w:spacing w:before="0" w:after="0" w:line="276" w:lineRule="auto"/>
              <w:rPr>
                <w:rFonts w:eastAsia="Times New Roman"/>
                <w:noProof/>
              </w:rPr>
            </w:pPr>
            <w:r>
              <w:rPr>
                <w:noProof/>
              </w:rPr>
              <w:t>G: Renforcer la coopération entre le système éducatif et le marché du travail</w:t>
            </w:r>
          </w:p>
        </w:tc>
        <w:tc>
          <w:tcPr>
            <w:tcW w:w="1636" w:type="dxa"/>
            <w:shd w:val="clear" w:color="auto" w:fill="C6EFCE"/>
            <w:noWrap/>
            <w:vAlign w:val="center"/>
          </w:tcPr>
          <w:p w14:paraId="7E010C66" w14:textId="148B1913"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0945A184" w14:textId="63EB3A1F" w:rsidR="003B6BD9" w:rsidRDefault="009E25E8">
            <w:pPr>
              <w:pStyle w:val="P68B1DB1-Normal18"/>
              <w:spacing w:before="0" w:after="0" w:line="276" w:lineRule="auto"/>
              <w:rPr>
                <w:rFonts w:eastAsia="Times New Roman"/>
                <w:noProof/>
              </w:rPr>
            </w:pPr>
            <w:r>
              <w:rPr>
                <w:noProof/>
              </w:rPr>
              <w:t xml:space="preserve">Programmes de formation pour les mentors dans les entreprises </w:t>
            </w:r>
          </w:p>
        </w:tc>
      </w:tr>
      <w:tr w:rsidR="003B6BD9" w14:paraId="5B8886E0" w14:textId="77777777">
        <w:trPr>
          <w:trHeight w:val="302"/>
        </w:trPr>
        <w:tc>
          <w:tcPr>
            <w:tcW w:w="1247" w:type="dxa"/>
            <w:shd w:val="clear" w:color="auto" w:fill="C6EFCE"/>
            <w:noWrap/>
            <w:vAlign w:val="center"/>
          </w:tcPr>
          <w:p w14:paraId="15053909" w14:textId="415AD934" w:rsidR="003B6BD9" w:rsidRDefault="009E25E8">
            <w:pPr>
              <w:pStyle w:val="P68B1DB1-Normal18"/>
              <w:spacing w:before="0" w:after="0" w:line="276" w:lineRule="auto"/>
              <w:jc w:val="center"/>
              <w:rPr>
                <w:rFonts w:eastAsia="Times New Roman"/>
                <w:noProof/>
              </w:rPr>
            </w:pPr>
            <w:r>
              <w:rPr>
                <w:noProof/>
              </w:rPr>
              <w:t>166</w:t>
            </w:r>
          </w:p>
        </w:tc>
        <w:tc>
          <w:tcPr>
            <w:tcW w:w="3119" w:type="dxa"/>
            <w:shd w:val="clear" w:color="auto" w:fill="C6EFCE"/>
            <w:noWrap/>
            <w:vAlign w:val="center"/>
          </w:tcPr>
          <w:p w14:paraId="0469C5A5" w14:textId="49A99D67" w:rsidR="003B6BD9" w:rsidRDefault="009E25E8">
            <w:pPr>
              <w:pStyle w:val="P68B1DB1-Normal18"/>
              <w:spacing w:before="0" w:after="0" w:line="276" w:lineRule="auto"/>
              <w:rPr>
                <w:rFonts w:eastAsia="Times New Roman"/>
                <w:noProof/>
              </w:rPr>
            </w:pPr>
            <w:r>
              <w:rPr>
                <w:noProof/>
              </w:rPr>
              <w:t>H: Écologisation des infrastructures éducatives en Slovénie</w:t>
            </w:r>
          </w:p>
        </w:tc>
        <w:tc>
          <w:tcPr>
            <w:tcW w:w="1636" w:type="dxa"/>
            <w:shd w:val="clear" w:color="auto" w:fill="C6EFCE"/>
            <w:noWrap/>
            <w:vAlign w:val="center"/>
          </w:tcPr>
          <w:p w14:paraId="68D00755" w14:textId="580C4DE0"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0FB63128" w14:textId="6DAB87C2" w:rsidR="003B6BD9" w:rsidRDefault="009E25E8">
            <w:pPr>
              <w:pStyle w:val="P68B1DB1-Normal18"/>
              <w:spacing w:before="0" w:after="0" w:line="276" w:lineRule="auto"/>
              <w:rPr>
                <w:rFonts w:eastAsia="Times New Roman"/>
                <w:noProof/>
              </w:rPr>
            </w:pPr>
            <w:r>
              <w:rPr>
                <w:noProof/>
              </w:rPr>
              <w:t xml:space="preserve">Installations éducatives nouvelles ou rénovées </w:t>
            </w:r>
          </w:p>
        </w:tc>
      </w:tr>
      <w:tr w:rsidR="003B6BD9" w14:paraId="616EFEC1" w14:textId="77777777">
        <w:trPr>
          <w:trHeight w:val="302"/>
        </w:trPr>
        <w:tc>
          <w:tcPr>
            <w:tcW w:w="1247" w:type="dxa"/>
            <w:shd w:val="clear" w:color="auto" w:fill="C6EFCE"/>
            <w:noWrap/>
            <w:vAlign w:val="center"/>
          </w:tcPr>
          <w:p w14:paraId="316BB7D2" w14:textId="2EF8D956" w:rsidR="003B6BD9" w:rsidRDefault="009E25E8">
            <w:pPr>
              <w:pStyle w:val="P68B1DB1-Normal21"/>
              <w:spacing w:before="0" w:after="0" w:line="276" w:lineRule="auto"/>
              <w:jc w:val="center"/>
              <w:rPr>
                <w:noProof/>
              </w:rPr>
            </w:pPr>
            <w:r>
              <w:rPr>
                <w:noProof/>
              </w:rPr>
              <w:t>184 bis</w:t>
            </w:r>
          </w:p>
        </w:tc>
        <w:tc>
          <w:tcPr>
            <w:tcW w:w="3119" w:type="dxa"/>
            <w:shd w:val="clear" w:color="auto" w:fill="C6EFCE"/>
            <w:noWrap/>
            <w:vAlign w:val="center"/>
          </w:tcPr>
          <w:p w14:paraId="0C77CABC" w14:textId="1BB68F17" w:rsidR="003B6BD9" w:rsidRDefault="009E25E8">
            <w:pPr>
              <w:pStyle w:val="P68B1DB1-Normal18"/>
              <w:spacing w:before="0" w:after="0" w:line="276" w:lineRule="auto"/>
              <w:rPr>
                <w:noProof/>
              </w:rPr>
            </w:pPr>
            <w:r>
              <w:rPr>
                <w:noProof/>
              </w:rPr>
              <w:t>B: Renforcer les compétences du personnel de santé pour garantir la qualité des soins</w:t>
            </w:r>
          </w:p>
        </w:tc>
        <w:tc>
          <w:tcPr>
            <w:tcW w:w="1636" w:type="dxa"/>
            <w:shd w:val="clear" w:color="auto" w:fill="C6EFCE"/>
            <w:noWrap/>
            <w:vAlign w:val="center"/>
          </w:tcPr>
          <w:p w14:paraId="6AA940CC" w14:textId="459C1D7A" w:rsidR="003B6BD9" w:rsidRDefault="009E25E8">
            <w:pPr>
              <w:pStyle w:val="P68B1DB1-Normal18"/>
              <w:spacing w:before="0" w:after="0" w:line="276" w:lineRule="auto"/>
              <w:rPr>
                <w:noProof/>
              </w:rPr>
            </w:pPr>
            <w:r>
              <w:rPr>
                <w:noProof/>
              </w:rPr>
              <w:t>Cible</w:t>
            </w:r>
          </w:p>
        </w:tc>
        <w:tc>
          <w:tcPr>
            <w:tcW w:w="3720" w:type="dxa"/>
            <w:shd w:val="clear" w:color="auto" w:fill="C6EFCE"/>
            <w:noWrap/>
            <w:vAlign w:val="center"/>
          </w:tcPr>
          <w:p w14:paraId="7A27BC48" w14:textId="03C081D1" w:rsidR="003B6BD9" w:rsidRDefault="009E25E8">
            <w:pPr>
              <w:pStyle w:val="P68B1DB1-Normal18"/>
              <w:spacing w:before="0" w:after="0" w:line="276" w:lineRule="auto"/>
              <w:rPr>
                <w:noProof/>
              </w:rPr>
            </w:pPr>
            <w:r>
              <w:rPr>
                <w:noProof/>
              </w:rPr>
              <w:t>Formations dispensées sur les soins palliatifs, les troubles gériatriques, la santé mentale et les douleurs musculo-squelettiques</w:t>
            </w:r>
          </w:p>
        </w:tc>
      </w:tr>
      <w:tr w:rsidR="003B6BD9" w14:paraId="202F2BCB" w14:textId="77777777">
        <w:trPr>
          <w:trHeight w:val="302"/>
        </w:trPr>
        <w:tc>
          <w:tcPr>
            <w:tcW w:w="1247" w:type="dxa"/>
            <w:shd w:val="clear" w:color="auto" w:fill="C6EFCE"/>
            <w:noWrap/>
            <w:vAlign w:val="center"/>
          </w:tcPr>
          <w:p w14:paraId="376EA1C6" w14:textId="46438BD7" w:rsidR="003B6BD9" w:rsidRDefault="009E25E8">
            <w:pPr>
              <w:pStyle w:val="P68B1DB1-Normal21"/>
              <w:spacing w:before="0" w:after="0" w:line="276" w:lineRule="auto"/>
              <w:jc w:val="center"/>
              <w:rPr>
                <w:noProof/>
              </w:rPr>
            </w:pPr>
            <w:r>
              <w:rPr>
                <w:noProof/>
              </w:rPr>
              <w:t>188</w:t>
            </w:r>
          </w:p>
        </w:tc>
        <w:tc>
          <w:tcPr>
            <w:tcW w:w="3119" w:type="dxa"/>
            <w:shd w:val="clear" w:color="auto" w:fill="C6EFCE"/>
            <w:noWrap/>
            <w:vAlign w:val="center"/>
          </w:tcPr>
          <w:p w14:paraId="2A410697" w14:textId="54F76495" w:rsidR="003B6BD9" w:rsidRDefault="009E25E8">
            <w:pPr>
              <w:pStyle w:val="P68B1DB1-Normal18"/>
              <w:spacing w:before="0" w:after="0" w:line="276" w:lineRule="auto"/>
              <w:rPr>
                <w:noProof/>
              </w:rPr>
            </w:pPr>
            <w:r>
              <w:rPr>
                <w:noProof/>
              </w:rPr>
              <w:t>D: Accessibilité du système de santé</w:t>
            </w:r>
          </w:p>
        </w:tc>
        <w:tc>
          <w:tcPr>
            <w:tcW w:w="1636" w:type="dxa"/>
            <w:shd w:val="clear" w:color="auto" w:fill="C6EFCE"/>
            <w:noWrap/>
            <w:vAlign w:val="center"/>
          </w:tcPr>
          <w:p w14:paraId="1BA6AAA5" w14:textId="007E19E8" w:rsidR="003B6BD9" w:rsidRDefault="009E25E8">
            <w:pPr>
              <w:pStyle w:val="P68B1DB1-Normal18"/>
              <w:spacing w:before="0" w:after="0" w:line="276" w:lineRule="auto"/>
              <w:rPr>
                <w:noProof/>
              </w:rPr>
            </w:pPr>
            <w:r>
              <w:rPr>
                <w:noProof/>
              </w:rPr>
              <w:t>Cible</w:t>
            </w:r>
          </w:p>
        </w:tc>
        <w:tc>
          <w:tcPr>
            <w:tcW w:w="3720" w:type="dxa"/>
            <w:shd w:val="clear" w:color="auto" w:fill="C6EFCE"/>
            <w:noWrap/>
            <w:vAlign w:val="center"/>
          </w:tcPr>
          <w:p w14:paraId="63ED42F9" w14:textId="2ECF9705" w:rsidR="003B6BD9" w:rsidRDefault="009E25E8">
            <w:pPr>
              <w:pStyle w:val="P68B1DB1-Normal18"/>
              <w:spacing w:before="0" w:after="0" w:line="276" w:lineRule="auto"/>
              <w:rPr>
                <w:noProof/>
              </w:rPr>
            </w:pPr>
            <w:r>
              <w:rPr>
                <w:noProof/>
              </w:rPr>
              <w:t>Construction d’un héliport</w:t>
            </w:r>
          </w:p>
        </w:tc>
      </w:tr>
      <w:tr w:rsidR="003B6BD9" w14:paraId="494821C8" w14:textId="77777777">
        <w:trPr>
          <w:trHeight w:val="302"/>
        </w:trPr>
        <w:tc>
          <w:tcPr>
            <w:tcW w:w="1247" w:type="dxa"/>
            <w:shd w:val="clear" w:color="auto" w:fill="C6EFCE"/>
            <w:noWrap/>
            <w:vAlign w:val="center"/>
          </w:tcPr>
          <w:p w14:paraId="2EF8ED96" w14:textId="554B7755" w:rsidR="003B6BD9" w:rsidRDefault="009E25E8">
            <w:pPr>
              <w:pStyle w:val="P68B1DB1-Normal18"/>
              <w:spacing w:before="0" w:after="0" w:line="276" w:lineRule="auto"/>
              <w:jc w:val="center"/>
              <w:rPr>
                <w:rFonts w:eastAsia="Times New Roman"/>
                <w:noProof/>
              </w:rPr>
            </w:pPr>
            <w:r>
              <w:rPr>
                <w:noProof/>
              </w:rPr>
              <w:t>189</w:t>
            </w:r>
          </w:p>
        </w:tc>
        <w:tc>
          <w:tcPr>
            <w:tcW w:w="3119" w:type="dxa"/>
            <w:shd w:val="clear" w:color="auto" w:fill="C6EFCE"/>
            <w:noWrap/>
            <w:vAlign w:val="center"/>
          </w:tcPr>
          <w:p w14:paraId="1EBF65C4" w14:textId="23CED786" w:rsidR="003B6BD9" w:rsidRDefault="009E25E8">
            <w:pPr>
              <w:pStyle w:val="P68B1DB1-Normal18"/>
              <w:spacing w:before="0" w:after="0" w:line="276" w:lineRule="auto"/>
              <w:rPr>
                <w:noProof/>
              </w:rPr>
            </w:pPr>
            <w:r>
              <w:rPr>
                <w:noProof/>
              </w:rPr>
              <w:t>D: Accessibilité du système de santé</w:t>
            </w:r>
          </w:p>
        </w:tc>
        <w:tc>
          <w:tcPr>
            <w:tcW w:w="1636" w:type="dxa"/>
            <w:shd w:val="clear" w:color="auto" w:fill="C6EFCE"/>
            <w:noWrap/>
            <w:vAlign w:val="center"/>
          </w:tcPr>
          <w:p w14:paraId="2FAFD49D" w14:textId="512F0685" w:rsidR="003B6BD9" w:rsidRDefault="009E25E8">
            <w:pPr>
              <w:pStyle w:val="P68B1DB1-Normal18"/>
              <w:spacing w:before="0" w:after="0" w:line="276" w:lineRule="auto"/>
              <w:rPr>
                <w:noProof/>
              </w:rPr>
            </w:pPr>
            <w:r>
              <w:rPr>
                <w:noProof/>
              </w:rPr>
              <w:t>Cible</w:t>
            </w:r>
          </w:p>
        </w:tc>
        <w:tc>
          <w:tcPr>
            <w:tcW w:w="3720" w:type="dxa"/>
            <w:shd w:val="clear" w:color="auto" w:fill="C6EFCE"/>
            <w:noWrap/>
            <w:vAlign w:val="center"/>
          </w:tcPr>
          <w:p w14:paraId="077C5EA9" w14:textId="7672D83C" w:rsidR="003B6BD9" w:rsidRDefault="009E25E8">
            <w:pPr>
              <w:pStyle w:val="P68B1DB1-Normal18"/>
              <w:spacing w:before="0" w:after="0" w:line="276" w:lineRule="auto"/>
              <w:rPr>
                <w:noProof/>
              </w:rPr>
            </w:pPr>
            <w:r>
              <w:rPr>
                <w:noProof/>
              </w:rPr>
              <w:t>Livraison de véhicules pour l’assistance médicale d’urgence</w:t>
            </w:r>
          </w:p>
        </w:tc>
      </w:tr>
      <w:tr w:rsidR="003B6BD9" w14:paraId="026D2926" w14:textId="77777777">
        <w:trPr>
          <w:trHeight w:val="302"/>
        </w:trPr>
        <w:tc>
          <w:tcPr>
            <w:tcW w:w="1247" w:type="dxa"/>
            <w:shd w:val="clear" w:color="auto" w:fill="C6EFCE"/>
            <w:noWrap/>
            <w:vAlign w:val="center"/>
          </w:tcPr>
          <w:p w14:paraId="7E36E522" w14:textId="2C07EF79" w:rsidR="003B6BD9" w:rsidRDefault="009E25E8">
            <w:pPr>
              <w:pStyle w:val="P68B1DB1-Normal18"/>
              <w:spacing w:before="0" w:after="0" w:line="276" w:lineRule="auto"/>
              <w:jc w:val="center"/>
              <w:rPr>
                <w:noProof/>
              </w:rPr>
            </w:pPr>
            <w:r>
              <w:rPr>
                <w:noProof/>
              </w:rPr>
              <w:t>189 bis</w:t>
            </w:r>
          </w:p>
        </w:tc>
        <w:tc>
          <w:tcPr>
            <w:tcW w:w="3119" w:type="dxa"/>
            <w:shd w:val="clear" w:color="auto" w:fill="C6EFCE"/>
            <w:noWrap/>
            <w:vAlign w:val="center"/>
          </w:tcPr>
          <w:p w14:paraId="1B0148BB" w14:textId="48541C3D" w:rsidR="003B6BD9" w:rsidRDefault="009E25E8">
            <w:pPr>
              <w:pStyle w:val="P68B1DB1-Normal18"/>
              <w:spacing w:before="0" w:after="0" w:line="276" w:lineRule="auto"/>
              <w:rPr>
                <w:noProof/>
              </w:rPr>
            </w:pPr>
            <w:r>
              <w:rPr>
                <w:noProof/>
              </w:rPr>
              <w:t>D: Accessibilité du système de santé</w:t>
            </w:r>
          </w:p>
        </w:tc>
        <w:tc>
          <w:tcPr>
            <w:tcW w:w="1636" w:type="dxa"/>
            <w:shd w:val="clear" w:color="auto" w:fill="C6EFCE"/>
            <w:noWrap/>
            <w:vAlign w:val="center"/>
          </w:tcPr>
          <w:p w14:paraId="1B4FFFAF" w14:textId="74CBE8C6" w:rsidR="003B6BD9" w:rsidRDefault="009E25E8">
            <w:pPr>
              <w:pStyle w:val="P68B1DB1-Normal18"/>
              <w:spacing w:before="0" w:after="0" w:line="276" w:lineRule="auto"/>
              <w:rPr>
                <w:noProof/>
              </w:rPr>
            </w:pPr>
            <w:r>
              <w:rPr>
                <w:noProof/>
              </w:rPr>
              <w:t>Cible</w:t>
            </w:r>
          </w:p>
        </w:tc>
        <w:tc>
          <w:tcPr>
            <w:tcW w:w="3720" w:type="dxa"/>
            <w:shd w:val="clear" w:color="auto" w:fill="C6EFCE"/>
            <w:noWrap/>
            <w:vAlign w:val="center"/>
          </w:tcPr>
          <w:p w14:paraId="67109691" w14:textId="04DE608E" w:rsidR="003B6BD9" w:rsidRDefault="009E25E8">
            <w:pPr>
              <w:pStyle w:val="P68B1DB1-Normal18"/>
              <w:spacing w:before="0" w:after="0" w:line="276" w:lineRule="auto"/>
              <w:rPr>
                <w:noProof/>
              </w:rPr>
            </w:pPr>
            <w:r>
              <w:rPr>
                <w:noProof/>
              </w:rPr>
              <w:t>Achat d’équipement pour la circulation sanguine extracorporelle</w:t>
            </w:r>
          </w:p>
        </w:tc>
      </w:tr>
      <w:tr w:rsidR="003B6BD9" w14:paraId="0F357055" w14:textId="77777777">
        <w:trPr>
          <w:trHeight w:val="302"/>
        </w:trPr>
        <w:tc>
          <w:tcPr>
            <w:tcW w:w="1247" w:type="dxa"/>
            <w:shd w:val="clear" w:color="auto" w:fill="C6EFCE"/>
            <w:noWrap/>
            <w:vAlign w:val="center"/>
          </w:tcPr>
          <w:p w14:paraId="25E5EFF3" w14:textId="41BE4E3F" w:rsidR="003B6BD9" w:rsidRDefault="009E25E8">
            <w:pPr>
              <w:pStyle w:val="P68B1DB1-Normal21"/>
              <w:spacing w:before="0" w:after="0" w:line="276" w:lineRule="auto"/>
              <w:jc w:val="center"/>
              <w:rPr>
                <w:noProof/>
              </w:rPr>
            </w:pPr>
            <w:r>
              <w:rPr>
                <w:noProof/>
              </w:rPr>
              <w:t>191</w:t>
            </w:r>
          </w:p>
        </w:tc>
        <w:tc>
          <w:tcPr>
            <w:tcW w:w="3119" w:type="dxa"/>
            <w:shd w:val="clear" w:color="auto" w:fill="C6EFCE"/>
            <w:noWrap/>
            <w:vAlign w:val="center"/>
          </w:tcPr>
          <w:p w14:paraId="01330D61" w14:textId="6B560193" w:rsidR="003B6BD9" w:rsidRDefault="009E25E8">
            <w:pPr>
              <w:pStyle w:val="P68B1DB1-Normal18"/>
              <w:spacing w:before="0" w:after="0" w:line="276" w:lineRule="auto"/>
              <w:rPr>
                <w:noProof/>
              </w:rPr>
            </w:pPr>
            <w:r>
              <w:rPr>
                <w:noProof/>
              </w:rPr>
              <w:t>E: Traitement efficace des maladies transmissibles et chroniques</w:t>
            </w:r>
          </w:p>
        </w:tc>
        <w:tc>
          <w:tcPr>
            <w:tcW w:w="1636" w:type="dxa"/>
            <w:shd w:val="clear" w:color="auto" w:fill="C6EFCE"/>
            <w:noWrap/>
            <w:vAlign w:val="center"/>
          </w:tcPr>
          <w:p w14:paraId="1E94FC63" w14:textId="5D87577E" w:rsidR="003B6BD9" w:rsidRDefault="009E25E8">
            <w:pPr>
              <w:pStyle w:val="P68B1DB1-Normal18"/>
              <w:spacing w:before="0" w:after="0" w:line="276" w:lineRule="auto"/>
              <w:rPr>
                <w:noProof/>
              </w:rPr>
            </w:pPr>
            <w:r>
              <w:rPr>
                <w:noProof/>
              </w:rPr>
              <w:t>Cible</w:t>
            </w:r>
          </w:p>
        </w:tc>
        <w:tc>
          <w:tcPr>
            <w:tcW w:w="3720" w:type="dxa"/>
            <w:shd w:val="clear" w:color="auto" w:fill="C6EFCE"/>
            <w:noWrap/>
            <w:vAlign w:val="center"/>
          </w:tcPr>
          <w:p w14:paraId="54A313A4" w14:textId="300EA6FA" w:rsidR="003B6BD9" w:rsidRDefault="009E25E8">
            <w:pPr>
              <w:pStyle w:val="P68B1DB1-Normal18"/>
              <w:spacing w:before="0" w:after="0" w:line="276" w:lineRule="auto"/>
              <w:rPr>
                <w:noProof/>
              </w:rPr>
            </w:pPr>
            <w:r>
              <w:rPr>
                <w:noProof/>
              </w:rPr>
              <w:t>Livraison d’accélérateurs linéaires pour UKC Maribor</w:t>
            </w:r>
          </w:p>
        </w:tc>
      </w:tr>
      <w:tr w:rsidR="003B6BD9" w14:paraId="5F4C7E7F" w14:textId="77777777">
        <w:trPr>
          <w:trHeight w:val="302"/>
        </w:trPr>
        <w:tc>
          <w:tcPr>
            <w:tcW w:w="1247" w:type="dxa"/>
            <w:shd w:val="clear" w:color="auto" w:fill="C6EFCE"/>
            <w:noWrap/>
            <w:vAlign w:val="center"/>
          </w:tcPr>
          <w:p w14:paraId="1FAB13D2" w14:textId="4B2DD0BE" w:rsidR="003B6BD9" w:rsidRDefault="009E25E8">
            <w:pPr>
              <w:pStyle w:val="P68B1DB1-Normal21"/>
              <w:spacing w:before="0" w:after="0" w:line="276" w:lineRule="auto"/>
              <w:jc w:val="center"/>
              <w:rPr>
                <w:noProof/>
              </w:rPr>
            </w:pPr>
            <w:r>
              <w:rPr>
                <w:noProof/>
              </w:rPr>
              <w:t>192</w:t>
            </w:r>
          </w:p>
        </w:tc>
        <w:tc>
          <w:tcPr>
            <w:tcW w:w="3119" w:type="dxa"/>
            <w:shd w:val="clear" w:color="auto" w:fill="C6EFCE"/>
            <w:noWrap/>
            <w:vAlign w:val="center"/>
          </w:tcPr>
          <w:p w14:paraId="01242DF8" w14:textId="1FE05677" w:rsidR="003B6BD9" w:rsidRDefault="009E25E8">
            <w:pPr>
              <w:pStyle w:val="P68B1DB1-Normal18"/>
              <w:spacing w:before="0" w:after="0" w:line="276" w:lineRule="auto"/>
              <w:rPr>
                <w:rFonts w:eastAsia="Times New Roman"/>
                <w:noProof/>
              </w:rPr>
            </w:pPr>
            <w:r>
              <w:rPr>
                <w:noProof/>
              </w:rPr>
              <w:t>E: Traitement efficace des maladies transmissibles et chroniques</w:t>
            </w:r>
          </w:p>
        </w:tc>
        <w:tc>
          <w:tcPr>
            <w:tcW w:w="1636" w:type="dxa"/>
            <w:shd w:val="clear" w:color="auto" w:fill="C6EFCE"/>
            <w:noWrap/>
            <w:vAlign w:val="center"/>
          </w:tcPr>
          <w:p w14:paraId="64042BEE" w14:textId="4AE1ECC5" w:rsidR="003B6BD9" w:rsidRDefault="009E25E8">
            <w:pPr>
              <w:pStyle w:val="P68B1DB1-Normal18"/>
              <w:spacing w:before="0" w:after="0" w:line="276" w:lineRule="auto"/>
              <w:rPr>
                <w:rFonts w:eastAsia="Times New Roman"/>
                <w:noProof/>
              </w:rPr>
            </w:pPr>
            <w:r>
              <w:rPr>
                <w:noProof/>
              </w:rPr>
              <w:t>Jalon</w:t>
            </w:r>
          </w:p>
        </w:tc>
        <w:tc>
          <w:tcPr>
            <w:tcW w:w="3720" w:type="dxa"/>
            <w:shd w:val="clear" w:color="auto" w:fill="C6EFCE"/>
            <w:noWrap/>
            <w:vAlign w:val="center"/>
          </w:tcPr>
          <w:p w14:paraId="0F162314" w14:textId="5DAA0AA1" w:rsidR="003B6BD9" w:rsidRDefault="009E25E8">
            <w:pPr>
              <w:pStyle w:val="P68B1DB1-Normal18"/>
              <w:spacing w:before="0" w:after="0" w:line="276" w:lineRule="auto"/>
              <w:rPr>
                <w:rFonts w:eastAsia="Times New Roman"/>
                <w:noProof/>
              </w:rPr>
            </w:pPr>
            <w:r>
              <w:rPr>
                <w:noProof/>
              </w:rPr>
              <w:t>Construction de la clinique infectieuse de Ljubljana jusqu’à la troisième phase de construction et certains des travaux d’accompagnement des quatrième et cinquième phases de construction</w:t>
            </w:r>
          </w:p>
        </w:tc>
      </w:tr>
      <w:tr w:rsidR="003B6BD9" w14:paraId="6CB87D89" w14:textId="77777777">
        <w:trPr>
          <w:trHeight w:val="302"/>
        </w:trPr>
        <w:tc>
          <w:tcPr>
            <w:tcW w:w="1247" w:type="dxa"/>
            <w:shd w:val="clear" w:color="auto" w:fill="C6EFCE"/>
            <w:noWrap/>
            <w:vAlign w:val="center"/>
          </w:tcPr>
          <w:p w14:paraId="36392C4E" w14:textId="7AA92D9C" w:rsidR="003B6BD9" w:rsidRDefault="009E25E8">
            <w:pPr>
              <w:pStyle w:val="P68B1DB1-Normal18"/>
              <w:spacing w:before="0" w:after="0" w:line="276" w:lineRule="auto"/>
              <w:jc w:val="center"/>
              <w:rPr>
                <w:rFonts w:eastAsia="Times New Roman"/>
                <w:noProof/>
              </w:rPr>
            </w:pPr>
            <w:r>
              <w:rPr>
                <w:noProof/>
              </w:rPr>
              <w:t>215</w:t>
            </w:r>
          </w:p>
        </w:tc>
        <w:tc>
          <w:tcPr>
            <w:tcW w:w="3119" w:type="dxa"/>
            <w:shd w:val="clear" w:color="auto" w:fill="C6EFCE"/>
            <w:noWrap/>
            <w:vAlign w:val="center"/>
          </w:tcPr>
          <w:p w14:paraId="4A656CB3" w14:textId="09293FD5" w:rsidR="003B6BD9" w:rsidRDefault="009E25E8">
            <w:pPr>
              <w:pStyle w:val="P68B1DB1-Normal18"/>
              <w:spacing w:before="0" w:after="0" w:line="276" w:lineRule="auto"/>
              <w:rPr>
                <w:rFonts w:eastAsia="Times New Roman"/>
                <w:noProof/>
              </w:rPr>
            </w:pPr>
            <w:r>
              <w:rPr>
                <w:noProof/>
              </w:rPr>
              <w:t>C: Renforcement du réseau de distribution d’électricité (réseau à moyenne tension)</w:t>
            </w:r>
          </w:p>
        </w:tc>
        <w:tc>
          <w:tcPr>
            <w:tcW w:w="1636" w:type="dxa"/>
            <w:shd w:val="clear" w:color="auto" w:fill="C6EFCE"/>
            <w:noWrap/>
            <w:vAlign w:val="center"/>
          </w:tcPr>
          <w:p w14:paraId="3007E9FE" w14:textId="748DFA65"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3AA87C62" w14:textId="69B2018E" w:rsidR="003B6BD9" w:rsidRDefault="009E25E8">
            <w:pPr>
              <w:pStyle w:val="P68B1DB1-Normal18"/>
              <w:spacing w:before="0" w:after="0" w:line="276" w:lineRule="auto"/>
              <w:rPr>
                <w:rFonts w:eastAsia="Times New Roman"/>
                <w:noProof/>
              </w:rPr>
            </w:pPr>
            <w:r>
              <w:rPr>
                <w:noProof/>
              </w:rPr>
              <w:t>Longueur du réseau de distribution</w:t>
            </w:r>
          </w:p>
        </w:tc>
      </w:tr>
      <w:tr w:rsidR="003B6BD9" w14:paraId="3C0C86A6" w14:textId="77777777">
        <w:trPr>
          <w:trHeight w:val="302"/>
        </w:trPr>
        <w:tc>
          <w:tcPr>
            <w:tcW w:w="1247" w:type="dxa"/>
            <w:shd w:val="clear" w:color="auto" w:fill="C6EFCE"/>
            <w:noWrap/>
            <w:vAlign w:val="center"/>
          </w:tcPr>
          <w:p w14:paraId="66A3068E" w14:textId="220F4207" w:rsidR="003B6BD9" w:rsidRDefault="009E25E8">
            <w:pPr>
              <w:pStyle w:val="P68B1DB1-Normal18"/>
              <w:spacing w:before="0" w:after="0" w:line="276" w:lineRule="auto"/>
              <w:jc w:val="center"/>
              <w:rPr>
                <w:noProof/>
              </w:rPr>
            </w:pPr>
            <w:r>
              <w:rPr>
                <w:noProof/>
              </w:rPr>
              <w:t>215 bis</w:t>
            </w:r>
          </w:p>
        </w:tc>
        <w:tc>
          <w:tcPr>
            <w:tcW w:w="3119" w:type="dxa"/>
            <w:shd w:val="clear" w:color="auto" w:fill="C6EFCE"/>
            <w:noWrap/>
            <w:vAlign w:val="center"/>
          </w:tcPr>
          <w:p w14:paraId="173F5D70" w14:textId="1B88FC04" w:rsidR="003B6BD9" w:rsidRDefault="009E25E8">
            <w:pPr>
              <w:pStyle w:val="P68B1DB1-Normal18"/>
              <w:spacing w:before="0" w:after="0" w:line="276" w:lineRule="auto"/>
              <w:rPr>
                <w:noProof/>
              </w:rPr>
            </w:pPr>
            <w:r>
              <w:rPr>
                <w:noProof/>
              </w:rPr>
              <w:t>C: Renforcement du réseau de distribution d’électricité (réseau moyenne tension et réseau basse tension)</w:t>
            </w:r>
          </w:p>
        </w:tc>
        <w:tc>
          <w:tcPr>
            <w:tcW w:w="1636" w:type="dxa"/>
            <w:shd w:val="clear" w:color="auto" w:fill="C6EFCE"/>
            <w:noWrap/>
            <w:vAlign w:val="center"/>
          </w:tcPr>
          <w:p w14:paraId="74F06215" w14:textId="7138EE5B" w:rsidR="003B6BD9" w:rsidRDefault="009E25E8">
            <w:pPr>
              <w:pStyle w:val="P68B1DB1-Normal18"/>
              <w:spacing w:before="0" w:after="0" w:line="276" w:lineRule="auto"/>
              <w:rPr>
                <w:noProof/>
              </w:rPr>
            </w:pPr>
            <w:r>
              <w:rPr>
                <w:noProof/>
              </w:rPr>
              <w:t>Cible</w:t>
            </w:r>
          </w:p>
        </w:tc>
        <w:tc>
          <w:tcPr>
            <w:tcW w:w="3720" w:type="dxa"/>
            <w:shd w:val="clear" w:color="auto" w:fill="C6EFCE"/>
            <w:noWrap/>
            <w:vAlign w:val="center"/>
          </w:tcPr>
          <w:p w14:paraId="44EFBC03" w14:textId="32A8D691" w:rsidR="003B6BD9" w:rsidRDefault="009E25E8">
            <w:pPr>
              <w:pStyle w:val="P68B1DB1-Normal18"/>
              <w:spacing w:before="0" w:after="0" w:line="276" w:lineRule="auto"/>
              <w:rPr>
                <w:noProof/>
              </w:rPr>
            </w:pPr>
            <w:r>
              <w:rPr>
                <w:noProof/>
              </w:rPr>
              <w:t>Longueur du réseau de distribution (basse tension)</w:t>
            </w:r>
          </w:p>
        </w:tc>
      </w:tr>
      <w:tr w:rsidR="003B6BD9" w14:paraId="0FF0A58F" w14:textId="77777777">
        <w:trPr>
          <w:trHeight w:val="302"/>
        </w:trPr>
        <w:tc>
          <w:tcPr>
            <w:tcW w:w="1247" w:type="dxa"/>
            <w:shd w:val="clear" w:color="auto" w:fill="C6EFCE"/>
            <w:noWrap/>
            <w:vAlign w:val="center"/>
          </w:tcPr>
          <w:p w14:paraId="7CB4EAF9" w14:textId="391BC52C" w:rsidR="003B6BD9" w:rsidRDefault="009E25E8">
            <w:pPr>
              <w:pStyle w:val="P68B1DB1-Normal18"/>
              <w:spacing w:before="0" w:after="0" w:line="276" w:lineRule="auto"/>
              <w:jc w:val="center"/>
              <w:rPr>
                <w:rFonts w:eastAsia="Times New Roman"/>
                <w:noProof/>
              </w:rPr>
            </w:pPr>
            <w:r>
              <w:rPr>
                <w:noProof/>
              </w:rPr>
              <w:t>217</w:t>
            </w:r>
          </w:p>
        </w:tc>
        <w:tc>
          <w:tcPr>
            <w:tcW w:w="3119" w:type="dxa"/>
            <w:shd w:val="clear" w:color="auto" w:fill="C6EFCE"/>
            <w:noWrap/>
            <w:vAlign w:val="center"/>
          </w:tcPr>
          <w:p w14:paraId="43A75C8D" w14:textId="2CC15F95" w:rsidR="003B6BD9" w:rsidRDefault="009E25E8">
            <w:pPr>
              <w:pStyle w:val="P68B1DB1-Normal18"/>
              <w:spacing w:before="0" w:after="0" w:line="276" w:lineRule="auto"/>
              <w:rPr>
                <w:rFonts w:eastAsia="Times New Roman"/>
                <w:noProof/>
              </w:rPr>
            </w:pPr>
            <w:r>
              <w:rPr>
                <w:noProof/>
              </w:rPr>
              <w:t>D: Efficacité énergétique et décarbonation de l’économie</w:t>
            </w:r>
          </w:p>
        </w:tc>
        <w:tc>
          <w:tcPr>
            <w:tcW w:w="1636" w:type="dxa"/>
            <w:shd w:val="clear" w:color="auto" w:fill="C6EFCE"/>
            <w:noWrap/>
            <w:vAlign w:val="center"/>
          </w:tcPr>
          <w:p w14:paraId="06965E13" w14:textId="6C173E07"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51A3B201" w14:textId="07F6DF2E" w:rsidR="003B6BD9" w:rsidRDefault="009E25E8">
            <w:pPr>
              <w:pStyle w:val="P68B1DB1-Normal18"/>
              <w:spacing w:before="0" w:after="0" w:line="276" w:lineRule="auto"/>
              <w:rPr>
                <w:rFonts w:eastAsia="Times New Roman"/>
                <w:noProof/>
              </w:rPr>
            </w:pPr>
            <w:r>
              <w:rPr>
                <w:noProof/>
              </w:rPr>
              <w:t>Nombre de systèmes de stockage d’électricité cofinancés</w:t>
            </w:r>
          </w:p>
        </w:tc>
      </w:tr>
      <w:tr w:rsidR="003B6BD9" w14:paraId="1458E7C9" w14:textId="77777777">
        <w:trPr>
          <w:trHeight w:val="302"/>
        </w:trPr>
        <w:tc>
          <w:tcPr>
            <w:tcW w:w="1247" w:type="dxa"/>
            <w:shd w:val="clear" w:color="auto" w:fill="C6EFCE"/>
            <w:noWrap/>
            <w:vAlign w:val="center"/>
          </w:tcPr>
          <w:p w14:paraId="529B5DBF" w14:textId="7C5D400E" w:rsidR="003B6BD9" w:rsidRDefault="009E25E8">
            <w:pPr>
              <w:pStyle w:val="P68B1DB1-Normal18"/>
              <w:spacing w:before="0" w:after="0" w:line="276" w:lineRule="auto"/>
              <w:jc w:val="center"/>
              <w:rPr>
                <w:rFonts w:eastAsia="Times New Roman"/>
                <w:noProof/>
              </w:rPr>
            </w:pPr>
            <w:r>
              <w:rPr>
                <w:noProof/>
              </w:rPr>
              <w:t>219</w:t>
            </w:r>
          </w:p>
        </w:tc>
        <w:tc>
          <w:tcPr>
            <w:tcW w:w="3119" w:type="dxa"/>
            <w:shd w:val="clear" w:color="auto" w:fill="C6EFCE"/>
            <w:noWrap/>
            <w:vAlign w:val="center"/>
          </w:tcPr>
          <w:p w14:paraId="2D684E71" w14:textId="123C4149" w:rsidR="003B6BD9" w:rsidRDefault="009E25E8">
            <w:pPr>
              <w:pStyle w:val="P68B1DB1-Normal18"/>
              <w:spacing w:before="0" w:after="0" w:line="276" w:lineRule="auto"/>
              <w:rPr>
                <w:rFonts w:eastAsia="Times New Roman"/>
                <w:noProof/>
              </w:rPr>
            </w:pPr>
            <w:r>
              <w:rPr>
                <w:noProof/>
              </w:rPr>
              <w:t>E: Promouvoir les infrastructures pour carburants alternatifs dans les transports (renforcement)</w:t>
            </w:r>
          </w:p>
        </w:tc>
        <w:tc>
          <w:tcPr>
            <w:tcW w:w="1636" w:type="dxa"/>
            <w:shd w:val="clear" w:color="auto" w:fill="C6EFCE"/>
            <w:noWrap/>
            <w:vAlign w:val="center"/>
          </w:tcPr>
          <w:p w14:paraId="159607AA" w14:textId="454EA890"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37B0CA98" w14:textId="0E7EAD0C" w:rsidR="003B6BD9" w:rsidRDefault="009E25E8">
            <w:pPr>
              <w:pStyle w:val="P68B1DB1-Normal18"/>
              <w:spacing w:before="0" w:after="0" w:line="276" w:lineRule="auto"/>
              <w:rPr>
                <w:rFonts w:eastAsia="Times New Roman"/>
                <w:noProof/>
              </w:rPr>
            </w:pPr>
            <w:r>
              <w:rPr>
                <w:noProof/>
              </w:rPr>
              <w:t>Points de recharge enregistrés pour les véhicules à émissions nulles</w:t>
            </w:r>
          </w:p>
        </w:tc>
      </w:tr>
      <w:tr w:rsidR="003B6BD9" w14:paraId="251229AE" w14:textId="77777777">
        <w:trPr>
          <w:trHeight w:val="302"/>
        </w:trPr>
        <w:tc>
          <w:tcPr>
            <w:tcW w:w="1247" w:type="dxa"/>
            <w:shd w:val="clear" w:color="auto" w:fill="C6EFCE"/>
            <w:noWrap/>
            <w:vAlign w:val="center"/>
          </w:tcPr>
          <w:p w14:paraId="50950E81" w14:textId="10A142C3" w:rsidR="003B6BD9" w:rsidRDefault="009E25E8">
            <w:pPr>
              <w:pStyle w:val="P68B1DB1-Normal18"/>
              <w:spacing w:before="0" w:after="0" w:line="276" w:lineRule="auto"/>
              <w:jc w:val="center"/>
              <w:rPr>
                <w:rFonts w:eastAsia="Times New Roman"/>
                <w:noProof/>
              </w:rPr>
            </w:pPr>
            <w:r>
              <w:rPr>
                <w:noProof/>
              </w:rPr>
              <w:t>220</w:t>
            </w:r>
          </w:p>
        </w:tc>
        <w:tc>
          <w:tcPr>
            <w:tcW w:w="3119" w:type="dxa"/>
            <w:shd w:val="clear" w:color="auto" w:fill="C6EFCE"/>
            <w:noWrap/>
            <w:vAlign w:val="center"/>
          </w:tcPr>
          <w:p w14:paraId="015A48C1" w14:textId="2CA1415F" w:rsidR="003B6BD9" w:rsidRDefault="009E25E8">
            <w:pPr>
              <w:pStyle w:val="P68B1DB1-Normal18"/>
              <w:spacing w:before="0" w:after="0" w:line="240" w:lineRule="auto"/>
              <w:rPr>
                <w:rFonts w:eastAsia="Times New Roman"/>
                <w:noProof/>
              </w:rPr>
            </w:pPr>
            <w:r>
              <w:rPr>
                <w:noProof/>
              </w:rPr>
              <w:t>E: Promouvoir les infrastructures pour carburants alternatifs dans les transports (renforcement)</w:t>
            </w:r>
          </w:p>
        </w:tc>
        <w:tc>
          <w:tcPr>
            <w:tcW w:w="1636" w:type="dxa"/>
            <w:shd w:val="clear" w:color="auto" w:fill="C6EFCE"/>
            <w:noWrap/>
            <w:vAlign w:val="center"/>
          </w:tcPr>
          <w:p w14:paraId="7FA5B813" w14:textId="4BF06E80"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1393B84D" w14:textId="5BDB0782" w:rsidR="003B6BD9" w:rsidRDefault="009E25E8">
            <w:pPr>
              <w:pStyle w:val="P68B1DB1-Normal18"/>
              <w:spacing w:before="0" w:after="0" w:line="276" w:lineRule="auto"/>
              <w:rPr>
                <w:rFonts w:eastAsia="Times New Roman"/>
                <w:noProof/>
              </w:rPr>
            </w:pPr>
            <w:r>
              <w:rPr>
                <w:noProof/>
              </w:rPr>
              <w:t>Bus électriques et à hydrogène livrés</w:t>
            </w:r>
          </w:p>
        </w:tc>
      </w:tr>
      <w:tr w:rsidR="003B6BD9" w14:paraId="717E0837" w14:textId="77777777">
        <w:trPr>
          <w:trHeight w:val="302"/>
        </w:trPr>
        <w:tc>
          <w:tcPr>
            <w:tcW w:w="1247" w:type="dxa"/>
            <w:shd w:val="clear" w:color="auto" w:fill="C6EFCE"/>
            <w:noWrap/>
            <w:vAlign w:val="center"/>
          </w:tcPr>
          <w:p w14:paraId="29D94BBE" w14:textId="21393FB4" w:rsidR="003B6BD9" w:rsidRDefault="009E25E8">
            <w:pPr>
              <w:pStyle w:val="P68B1DB1-Normal18"/>
              <w:spacing w:before="0" w:after="0" w:line="276" w:lineRule="auto"/>
              <w:jc w:val="center"/>
              <w:rPr>
                <w:rFonts w:eastAsia="Times New Roman"/>
                <w:noProof/>
              </w:rPr>
            </w:pPr>
            <w:r>
              <w:rPr>
                <w:noProof/>
              </w:rPr>
              <w:t>221</w:t>
            </w:r>
          </w:p>
        </w:tc>
        <w:tc>
          <w:tcPr>
            <w:tcW w:w="3119" w:type="dxa"/>
            <w:shd w:val="clear" w:color="auto" w:fill="C6EFCE"/>
            <w:noWrap/>
            <w:vAlign w:val="center"/>
          </w:tcPr>
          <w:p w14:paraId="103B844E" w14:textId="7CBBE60E" w:rsidR="003B6BD9" w:rsidRDefault="009E25E8">
            <w:pPr>
              <w:pStyle w:val="P68B1DB1-Normal18"/>
              <w:spacing w:before="0" w:after="0" w:line="276" w:lineRule="auto"/>
              <w:rPr>
                <w:rFonts w:eastAsia="Times New Roman"/>
                <w:noProof/>
              </w:rPr>
            </w:pPr>
            <w:r>
              <w:rPr>
                <w:noProof/>
              </w:rPr>
              <w:t>E: Promouvoir les infrastructures pour carburants alternatifs dans les transports (renforcement)</w:t>
            </w:r>
          </w:p>
        </w:tc>
        <w:tc>
          <w:tcPr>
            <w:tcW w:w="1636" w:type="dxa"/>
            <w:shd w:val="clear" w:color="auto" w:fill="C6EFCE"/>
            <w:noWrap/>
            <w:vAlign w:val="center"/>
          </w:tcPr>
          <w:p w14:paraId="564F545D" w14:textId="752D853B" w:rsidR="003B6BD9" w:rsidRDefault="009E25E8">
            <w:pPr>
              <w:pStyle w:val="P68B1DB1-Normal18"/>
              <w:spacing w:before="0" w:after="0" w:line="276" w:lineRule="auto"/>
              <w:rPr>
                <w:rFonts w:eastAsia="Times New Roman"/>
                <w:noProof/>
              </w:rPr>
            </w:pPr>
            <w:r>
              <w:rPr>
                <w:noProof/>
              </w:rPr>
              <w:t>Cible</w:t>
            </w:r>
          </w:p>
        </w:tc>
        <w:tc>
          <w:tcPr>
            <w:tcW w:w="3720" w:type="dxa"/>
            <w:shd w:val="clear" w:color="auto" w:fill="C6EFCE"/>
            <w:noWrap/>
            <w:vAlign w:val="center"/>
          </w:tcPr>
          <w:p w14:paraId="3C645E2F" w14:textId="4F75B380" w:rsidR="003B6BD9" w:rsidRDefault="009E25E8">
            <w:pPr>
              <w:pStyle w:val="P68B1DB1-Normal18"/>
              <w:spacing w:before="0" w:after="0" w:line="276" w:lineRule="auto"/>
              <w:rPr>
                <w:rFonts w:eastAsia="Times New Roman"/>
                <w:noProof/>
              </w:rPr>
            </w:pPr>
            <w:r>
              <w:rPr>
                <w:noProof/>
              </w:rPr>
              <w:t>Véhicules à émission nulle cofinancés</w:t>
            </w:r>
          </w:p>
        </w:tc>
      </w:tr>
      <w:tr w:rsidR="003B6BD9" w14:paraId="3BE931AB" w14:textId="77777777">
        <w:trPr>
          <w:trHeight w:val="302"/>
        </w:trPr>
        <w:tc>
          <w:tcPr>
            <w:tcW w:w="1247" w:type="dxa"/>
            <w:shd w:val="clear" w:color="auto" w:fill="C6EFCE"/>
            <w:noWrap/>
            <w:vAlign w:val="center"/>
          </w:tcPr>
          <w:p w14:paraId="2C531F6A" w14:textId="77777777" w:rsidR="003B6BD9" w:rsidRDefault="003B6BD9">
            <w:pPr>
              <w:spacing w:before="0" w:after="0" w:line="276" w:lineRule="auto"/>
              <w:rPr>
                <w:rFonts w:eastAsia="Times New Roman"/>
                <w:noProof/>
                <w:color w:val="006100"/>
                <w:sz w:val="22"/>
              </w:rPr>
            </w:pPr>
          </w:p>
        </w:tc>
        <w:tc>
          <w:tcPr>
            <w:tcW w:w="3119" w:type="dxa"/>
            <w:shd w:val="clear" w:color="auto" w:fill="C6EFCE"/>
            <w:noWrap/>
            <w:vAlign w:val="center"/>
          </w:tcPr>
          <w:p w14:paraId="0BE8E247" w14:textId="77777777" w:rsidR="003B6BD9" w:rsidRDefault="003B6BD9">
            <w:pPr>
              <w:spacing w:before="0" w:after="0" w:line="276" w:lineRule="auto"/>
              <w:rPr>
                <w:rFonts w:eastAsia="Times New Roman"/>
                <w:noProof/>
                <w:color w:val="006100"/>
                <w:sz w:val="22"/>
              </w:rPr>
            </w:pPr>
          </w:p>
        </w:tc>
        <w:tc>
          <w:tcPr>
            <w:tcW w:w="1636" w:type="dxa"/>
            <w:shd w:val="clear" w:color="auto" w:fill="C6EFCE"/>
            <w:noWrap/>
            <w:vAlign w:val="center"/>
          </w:tcPr>
          <w:p w14:paraId="003D7D30" w14:textId="07B31DF8" w:rsidR="003B6BD9" w:rsidRDefault="009E25E8">
            <w:pPr>
              <w:pStyle w:val="P68B1DB1-Normal20"/>
              <w:spacing w:before="0" w:after="0" w:line="276" w:lineRule="auto"/>
              <w:rPr>
                <w:rFonts w:eastAsia="Times New Roman"/>
                <w:noProof/>
              </w:rPr>
            </w:pPr>
            <w:r>
              <w:rPr>
                <w:noProof/>
              </w:rPr>
              <w:t>Montant de l’acompte</w:t>
            </w:r>
          </w:p>
        </w:tc>
        <w:tc>
          <w:tcPr>
            <w:tcW w:w="3720" w:type="dxa"/>
            <w:shd w:val="clear" w:color="auto" w:fill="C6EFCE"/>
            <w:noWrap/>
            <w:vAlign w:val="center"/>
          </w:tcPr>
          <w:p w14:paraId="3D6FC146" w14:textId="5910ECD5" w:rsidR="003B6BD9" w:rsidRDefault="009E25E8">
            <w:pPr>
              <w:pStyle w:val="P68B1DB1-Normal20"/>
              <w:spacing w:before="0" w:after="0" w:line="276" w:lineRule="auto"/>
              <w:rPr>
                <w:rFonts w:eastAsia="Times New Roman"/>
                <w:noProof/>
              </w:rPr>
            </w:pPr>
            <w:r>
              <w:rPr>
                <w:noProof/>
              </w:rPr>
              <w:t xml:space="preserve">268 666 495 EUR </w:t>
            </w:r>
          </w:p>
          <w:p w14:paraId="51F8412D" w14:textId="6278D7E7" w:rsidR="003B6BD9" w:rsidRDefault="003B6BD9">
            <w:pPr>
              <w:spacing w:before="0" w:after="0" w:line="276" w:lineRule="auto"/>
              <w:rPr>
                <w:rFonts w:eastAsia="Times New Roman"/>
                <w:noProof/>
                <w:color w:val="006100"/>
                <w:sz w:val="22"/>
              </w:rPr>
            </w:pPr>
          </w:p>
        </w:tc>
      </w:tr>
    </w:tbl>
    <w:p w14:paraId="3ED404BB" w14:textId="75CF3404" w:rsidR="003B6BD9" w:rsidRDefault="003B6BD9">
      <w:pPr>
        <w:spacing w:line="240" w:lineRule="auto"/>
        <w:jc w:val="both"/>
        <w:rPr>
          <w:b/>
          <w:noProof/>
        </w:rPr>
      </w:pPr>
    </w:p>
    <w:p w14:paraId="290B85D3" w14:textId="77777777" w:rsidR="003B6BD9" w:rsidRDefault="009E25E8">
      <w:pPr>
        <w:spacing w:before="0" w:after="0" w:line="240" w:lineRule="auto"/>
        <w:rPr>
          <w:b/>
          <w:noProof/>
        </w:rPr>
      </w:pPr>
      <w:r>
        <w:rPr>
          <w:noProof/>
        </w:rPr>
        <w:br w:type="page"/>
      </w:r>
    </w:p>
    <w:p w14:paraId="66C655F2" w14:textId="6AF1F948" w:rsidR="003B6BD9" w:rsidRDefault="009E25E8">
      <w:pPr>
        <w:pStyle w:val="P68B1DB1-Normal2"/>
        <w:numPr>
          <w:ilvl w:val="0"/>
          <w:numId w:val="18"/>
        </w:numPr>
        <w:spacing w:before="0" w:after="200" w:line="240" w:lineRule="auto"/>
        <w:jc w:val="both"/>
        <w:rPr>
          <w:noProof/>
        </w:rPr>
      </w:pPr>
      <w:r>
        <w:rPr>
          <w:noProof/>
        </w:rPr>
        <w:t xml:space="preserve">Prêt </w:t>
      </w:r>
    </w:p>
    <w:p w14:paraId="61DC00D9" w14:textId="77777777" w:rsidR="003B6BD9" w:rsidRDefault="009E25E8">
      <w:pPr>
        <w:spacing w:line="240" w:lineRule="auto"/>
        <w:ind w:left="850"/>
        <w:jc w:val="both"/>
        <w:rPr>
          <w:noProof/>
        </w:rPr>
      </w:pPr>
      <w:r>
        <w:rPr>
          <w:noProof/>
        </w:rPr>
        <w:t>Les tranches visées à l’article 3, paragraphe 2, sont organisées de la manière suivante:</w:t>
      </w:r>
    </w:p>
    <w:p w14:paraId="5019802A" w14:textId="77777777" w:rsidR="003B6BD9" w:rsidRDefault="003B6BD9">
      <w:pPr>
        <w:spacing w:line="240" w:lineRule="auto"/>
        <w:ind w:left="850"/>
        <w:jc w:val="both"/>
        <w:rPr>
          <w:noProof/>
        </w:rPr>
      </w:pPr>
    </w:p>
    <w:p w14:paraId="7D56A458" w14:textId="77777777" w:rsidR="003B6BD9" w:rsidRDefault="009E25E8">
      <w:pPr>
        <w:numPr>
          <w:ilvl w:val="1"/>
          <w:numId w:val="18"/>
        </w:numPr>
        <w:spacing w:before="0" w:after="200" w:line="240" w:lineRule="auto"/>
        <w:jc w:val="both"/>
        <w:rPr>
          <w:noProof/>
        </w:rPr>
      </w:pPr>
      <w:r>
        <w:rPr>
          <w:noProof/>
        </w:rPr>
        <w:t xml:space="preserve">Première tranche (soutien sous forme de prêt):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955"/>
        <w:gridCol w:w="1597"/>
        <w:gridCol w:w="4139"/>
      </w:tblGrid>
      <w:tr w:rsidR="003B6BD9" w14:paraId="3AAC8764" w14:textId="77777777">
        <w:trPr>
          <w:trHeight w:val="567"/>
          <w:tblHeader/>
        </w:trPr>
        <w:tc>
          <w:tcPr>
            <w:tcW w:w="1247" w:type="dxa"/>
            <w:vMerge w:val="restart"/>
            <w:shd w:val="clear" w:color="auto" w:fill="BDD7EE"/>
            <w:vAlign w:val="center"/>
            <w:hideMark/>
          </w:tcPr>
          <w:p w14:paraId="6193F1CF" w14:textId="6A578723" w:rsidR="003B6BD9" w:rsidRDefault="009E25E8">
            <w:pPr>
              <w:pStyle w:val="P68B1DB1-Normal17"/>
              <w:spacing w:before="0" w:after="0" w:line="276" w:lineRule="auto"/>
              <w:jc w:val="center"/>
              <w:rPr>
                <w:rFonts w:eastAsia="Times New Roman"/>
                <w:noProof/>
              </w:rPr>
            </w:pPr>
            <w:r>
              <w:rPr>
                <w:noProof/>
              </w:rPr>
              <w:t>Et suivants Non.</w:t>
            </w:r>
          </w:p>
        </w:tc>
        <w:tc>
          <w:tcPr>
            <w:tcW w:w="2955" w:type="dxa"/>
            <w:vMerge w:val="restart"/>
            <w:shd w:val="clear" w:color="auto" w:fill="BDD7EE"/>
            <w:vAlign w:val="center"/>
            <w:hideMark/>
          </w:tcPr>
          <w:p w14:paraId="03B06BE4" w14:textId="77777777" w:rsidR="003B6BD9" w:rsidRDefault="009E25E8">
            <w:pPr>
              <w:pStyle w:val="P68B1DB1-Normal17"/>
              <w:spacing w:before="0" w:after="0" w:line="276" w:lineRule="auto"/>
              <w:jc w:val="center"/>
              <w:rPr>
                <w:rFonts w:eastAsia="Times New Roman"/>
                <w:noProof/>
              </w:rPr>
            </w:pPr>
            <w:r>
              <w:rPr>
                <w:noProof/>
              </w:rPr>
              <w:t>Mesure connexe (réforme ou investissement)</w:t>
            </w:r>
          </w:p>
        </w:tc>
        <w:tc>
          <w:tcPr>
            <w:tcW w:w="1411" w:type="dxa"/>
            <w:vMerge w:val="restart"/>
            <w:shd w:val="clear" w:color="auto" w:fill="BDD7EE"/>
            <w:vAlign w:val="center"/>
            <w:hideMark/>
          </w:tcPr>
          <w:p w14:paraId="2227CD91" w14:textId="77777777" w:rsidR="003B6BD9" w:rsidRDefault="009E25E8">
            <w:pPr>
              <w:pStyle w:val="P68B1DB1-Normal17"/>
              <w:spacing w:before="0" w:after="0" w:line="276" w:lineRule="auto"/>
              <w:jc w:val="center"/>
              <w:rPr>
                <w:rFonts w:eastAsia="Times New Roman"/>
                <w:noProof/>
              </w:rPr>
            </w:pPr>
            <w:r>
              <w:rPr>
                <w:noProof/>
              </w:rPr>
              <w:t>Étape/Objectif</w:t>
            </w:r>
          </w:p>
        </w:tc>
        <w:tc>
          <w:tcPr>
            <w:tcW w:w="4139" w:type="dxa"/>
            <w:vMerge w:val="restart"/>
            <w:shd w:val="clear" w:color="auto" w:fill="BDD7EE"/>
            <w:vAlign w:val="center"/>
            <w:hideMark/>
          </w:tcPr>
          <w:p w14:paraId="6C05EEF1" w14:textId="77777777" w:rsidR="003B6BD9" w:rsidRDefault="009E25E8">
            <w:pPr>
              <w:pStyle w:val="P68B1DB1-Normal17"/>
              <w:spacing w:before="0" w:after="0" w:line="276" w:lineRule="auto"/>
              <w:jc w:val="center"/>
              <w:rPr>
                <w:rFonts w:eastAsia="Times New Roman"/>
                <w:noProof/>
              </w:rPr>
            </w:pPr>
            <w:r>
              <w:rPr>
                <w:noProof/>
              </w:rPr>
              <w:t>Nom</w:t>
            </w:r>
          </w:p>
        </w:tc>
      </w:tr>
      <w:tr w:rsidR="003B6BD9" w14:paraId="3D2909DB" w14:textId="77777777">
        <w:trPr>
          <w:trHeight w:val="309"/>
          <w:tblHeader/>
        </w:trPr>
        <w:tc>
          <w:tcPr>
            <w:tcW w:w="1247" w:type="dxa"/>
            <w:vMerge/>
            <w:vAlign w:val="center"/>
            <w:hideMark/>
          </w:tcPr>
          <w:p w14:paraId="07D2DA47" w14:textId="77777777" w:rsidR="003B6BD9" w:rsidRDefault="003B6BD9">
            <w:pPr>
              <w:spacing w:before="0" w:after="0" w:line="276" w:lineRule="auto"/>
              <w:rPr>
                <w:rFonts w:eastAsia="Times New Roman"/>
                <w:b/>
                <w:noProof/>
                <w:sz w:val="22"/>
                <w:szCs w:val="24"/>
              </w:rPr>
            </w:pPr>
          </w:p>
        </w:tc>
        <w:tc>
          <w:tcPr>
            <w:tcW w:w="2955" w:type="dxa"/>
            <w:vMerge/>
            <w:vAlign w:val="center"/>
            <w:hideMark/>
          </w:tcPr>
          <w:p w14:paraId="3F0C8C31" w14:textId="77777777" w:rsidR="003B6BD9" w:rsidRDefault="003B6BD9">
            <w:pPr>
              <w:spacing w:before="0" w:after="0" w:line="276" w:lineRule="auto"/>
              <w:rPr>
                <w:rFonts w:eastAsia="Times New Roman"/>
                <w:b/>
                <w:noProof/>
                <w:sz w:val="22"/>
                <w:szCs w:val="24"/>
              </w:rPr>
            </w:pPr>
          </w:p>
        </w:tc>
        <w:tc>
          <w:tcPr>
            <w:tcW w:w="1411" w:type="dxa"/>
            <w:vMerge/>
            <w:vAlign w:val="center"/>
            <w:hideMark/>
          </w:tcPr>
          <w:p w14:paraId="5F6B08B1" w14:textId="77777777" w:rsidR="003B6BD9" w:rsidRDefault="003B6BD9">
            <w:pPr>
              <w:spacing w:before="0" w:after="0" w:line="276" w:lineRule="auto"/>
              <w:rPr>
                <w:rFonts w:eastAsia="Times New Roman"/>
                <w:b/>
                <w:noProof/>
                <w:sz w:val="22"/>
                <w:szCs w:val="24"/>
              </w:rPr>
            </w:pPr>
          </w:p>
        </w:tc>
        <w:tc>
          <w:tcPr>
            <w:tcW w:w="4139" w:type="dxa"/>
            <w:vMerge/>
            <w:vAlign w:val="center"/>
            <w:hideMark/>
          </w:tcPr>
          <w:p w14:paraId="283966CA" w14:textId="77777777" w:rsidR="003B6BD9" w:rsidRDefault="003B6BD9">
            <w:pPr>
              <w:spacing w:before="0" w:after="0" w:line="276" w:lineRule="auto"/>
              <w:rPr>
                <w:rFonts w:eastAsia="Times New Roman"/>
                <w:b/>
                <w:noProof/>
                <w:sz w:val="22"/>
                <w:szCs w:val="24"/>
              </w:rPr>
            </w:pPr>
          </w:p>
        </w:tc>
      </w:tr>
      <w:tr w:rsidR="003B6BD9" w14:paraId="72E352EE" w14:textId="77777777">
        <w:trPr>
          <w:trHeight w:val="302"/>
        </w:trPr>
        <w:tc>
          <w:tcPr>
            <w:tcW w:w="1247" w:type="dxa"/>
            <w:shd w:val="clear" w:color="auto" w:fill="C6EFCE"/>
            <w:noWrap/>
            <w:vAlign w:val="center"/>
          </w:tcPr>
          <w:p w14:paraId="6A6BF26B" w14:textId="4155A7AA" w:rsidR="003B6BD9" w:rsidRDefault="009E25E8">
            <w:pPr>
              <w:pStyle w:val="P68B1DB1-Normal18"/>
              <w:spacing w:before="0" w:after="0" w:line="276" w:lineRule="auto"/>
              <w:jc w:val="center"/>
              <w:rPr>
                <w:rFonts w:eastAsia="Times New Roman"/>
                <w:noProof/>
              </w:rPr>
            </w:pPr>
            <w:r>
              <w:rPr>
                <w:noProof/>
              </w:rPr>
              <w:t>13</w:t>
            </w:r>
          </w:p>
        </w:tc>
        <w:tc>
          <w:tcPr>
            <w:tcW w:w="2955" w:type="dxa"/>
            <w:shd w:val="clear" w:color="auto" w:fill="C6EFCE"/>
            <w:noWrap/>
            <w:vAlign w:val="center"/>
          </w:tcPr>
          <w:p w14:paraId="4A3FE73C" w14:textId="59C9B30E" w:rsidR="003B6BD9" w:rsidRDefault="009E25E8">
            <w:pPr>
              <w:pStyle w:val="P68B1DB1-Normal18"/>
              <w:spacing w:before="0" w:after="0" w:line="276" w:lineRule="auto"/>
              <w:rPr>
                <w:rFonts w:eastAsia="Times New Roman"/>
                <w:noProof/>
              </w:rPr>
            </w:pPr>
            <w:r>
              <w:rPr>
                <w:noProof/>
              </w:rPr>
              <w:t>B: Réforme de l’approvisionnement en électricité pour promouvoir les sources d’énergie renouvelables</w:t>
            </w:r>
          </w:p>
        </w:tc>
        <w:tc>
          <w:tcPr>
            <w:tcW w:w="1411" w:type="dxa"/>
            <w:shd w:val="clear" w:color="auto" w:fill="C6EFCE"/>
            <w:noWrap/>
            <w:vAlign w:val="center"/>
          </w:tcPr>
          <w:p w14:paraId="1096C603" w14:textId="29E6F50E"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03371312" w14:textId="1C53F32E" w:rsidR="003B6BD9" w:rsidRDefault="009E25E8">
            <w:pPr>
              <w:pStyle w:val="P68B1DB1-Normal18"/>
              <w:spacing w:before="0" w:after="0" w:line="276" w:lineRule="auto"/>
              <w:rPr>
                <w:rFonts w:eastAsia="Times New Roman"/>
                <w:noProof/>
              </w:rPr>
            </w:pPr>
            <w:r>
              <w:rPr>
                <w:noProof/>
              </w:rPr>
              <w:t xml:space="preserve">Entrée en vigueur de la loi sur la fourniture d’électricité </w:t>
            </w:r>
          </w:p>
        </w:tc>
      </w:tr>
      <w:tr w:rsidR="003B6BD9" w14:paraId="4F29C54E" w14:textId="77777777">
        <w:trPr>
          <w:trHeight w:val="302"/>
        </w:trPr>
        <w:tc>
          <w:tcPr>
            <w:tcW w:w="1247" w:type="dxa"/>
            <w:shd w:val="clear" w:color="auto" w:fill="C6EFCE"/>
            <w:noWrap/>
            <w:vAlign w:val="center"/>
          </w:tcPr>
          <w:p w14:paraId="15F179EA" w14:textId="0E0DE98C" w:rsidR="003B6BD9" w:rsidRDefault="009E25E8">
            <w:pPr>
              <w:pStyle w:val="P68B1DB1-Normal18"/>
              <w:spacing w:before="0" w:after="0" w:line="276" w:lineRule="auto"/>
              <w:jc w:val="center"/>
              <w:rPr>
                <w:rFonts w:eastAsia="Times New Roman"/>
                <w:noProof/>
              </w:rPr>
            </w:pPr>
            <w:r>
              <w:rPr>
                <w:noProof/>
              </w:rPr>
              <w:t>17</w:t>
            </w:r>
          </w:p>
        </w:tc>
        <w:tc>
          <w:tcPr>
            <w:tcW w:w="2955" w:type="dxa"/>
            <w:shd w:val="clear" w:color="auto" w:fill="C6EFCE"/>
            <w:noWrap/>
            <w:vAlign w:val="center"/>
          </w:tcPr>
          <w:p w14:paraId="6BDEBD61" w14:textId="01BE0535" w:rsidR="003B6BD9" w:rsidRDefault="009E25E8">
            <w:pPr>
              <w:pStyle w:val="P68B1DB1-Normal18"/>
              <w:spacing w:before="0" w:after="0" w:line="276" w:lineRule="auto"/>
              <w:rPr>
                <w:rFonts w:eastAsia="Times New Roman"/>
                <w:noProof/>
              </w:rPr>
            </w:pPr>
            <w:r>
              <w:rPr>
                <w:noProof/>
              </w:rPr>
              <w:t>F: Poursuite du renforcement du réseau de distribution d’électricité</w:t>
            </w:r>
          </w:p>
        </w:tc>
        <w:tc>
          <w:tcPr>
            <w:tcW w:w="1411" w:type="dxa"/>
            <w:shd w:val="clear" w:color="auto" w:fill="C6EFCE"/>
            <w:noWrap/>
            <w:vAlign w:val="center"/>
          </w:tcPr>
          <w:p w14:paraId="5B1414FE" w14:textId="71DA647E"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2C763DB3" w14:textId="50FF97C7" w:rsidR="003B6BD9" w:rsidRDefault="009E25E8">
            <w:pPr>
              <w:pStyle w:val="P68B1DB1-Normal18"/>
              <w:spacing w:before="0" w:after="0" w:line="276" w:lineRule="auto"/>
              <w:rPr>
                <w:rFonts w:eastAsia="Times New Roman"/>
                <w:noProof/>
              </w:rPr>
            </w:pPr>
            <w:r>
              <w:rPr>
                <w:noProof/>
              </w:rPr>
              <w:t>Ouverture d’un appel à propositions pour un nouveau réseau de distribution basse tension</w:t>
            </w:r>
          </w:p>
        </w:tc>
      </w:tr>
      <w:tr w:rsidR="003B6BD9" w14:paraId="1AC23935" w14:textId="77777777">
        <w:trPr>
          <w:trHeight w:val="302"/>
        </w:trPr>
        <w:tc>
          <w:tcPr>
            <w:tcW w:w="1247" w:type="dxa"/>
            <w:shd w:val="clear" w:color="auto" w:fill="C6EFCE"/>
            <w:noWrap/>
            <w:vAlign w:val="center"/>
          </w:tcPr>
          <w:p w14:paraId="108333E8" w14:textId="46C54998" w:rsidR="003B6BD9" w:rsidRDefault="009E25E8">
            <w:pPr>
              <w:pStyle w:val="P68B1DB1-Normal18"/>
              <w:spacing w:before="0" w:after="0" w:line="276" w:lineRule="auto"/>
              <w:jc w:val="center"/>
              <w:rPr>
                <w:rFonts w:eastAsia="Times New Roman"/>
                <w:noProof/>
              </w:rPr>
            </w:pPr>
            <w:r>
              <w:rPr>
                <w:noProof/>
              </w:rPr>
              <w:t>46</w:t>
            </w:r>
          </w:p>
        </w:tc>
        <w:tc>
          <w:tcPr>
            <w:tcW w:w="2955" w:type="dxa"/>
            <w:shd w:val="clear" w:color="auto" w:fill="C6EFCE"/>
            <w:noWrap/>
            <w:vAlign w:val="center"/>
          </w:tcPr>
          <w:p w14:paraId="146AF458" w14:textId="4E2290F8" w:rsidR="003B6BD9" w:rsidRDefault="009E25E8">
            <w:pPr>
              <w:pStyle w:val="P68B1DB1-Normal18"/>
              <w:spacing w:before="0" w:after="0" w:line="276" w:lineRule="auto"/>
              <w:rPr>
                <w:rFonts w:eastAsia="Times New Roman"/>
                <w:noProof/>
              </w:rPr>
            </w:pPr>
            <w:r>
              <w:rPr>
                <w:noProof/>
              </w:rPr>
              <w:t>B: Renforcer la prévention pour accroître la sécurité contre les inondations</w:t>
            </w:r>
          </w:p>
        </w:tc>
        <w:tc>
          <w:tcPr>
            <w:tcW w:w="1411" w:type="dxa"/>
            <w:shd w:val="clear" w:color="auto" w:fill="C6EFCE"/>
            <w:noWrap/>
            <w:vAlign w:val="center"/>
          </w:tcPr>
          <w:p w14:paraId="662C9C1F" w14:textId="1F2068D7"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586E4E64" w14:textId="3962C56A" w:rsidR="003B6BD9" w:rsidRDefault="009E25E8">
            <w:pPr>
              <w:pStyle w:val="P68B1DB1-Normal18"/>
              <w:spacing w:before="0" w:after="0" w:line="276" w:lineRule="auto"/>
              <w:rPr>
                <w:rFonts w:eastAsia="Times New Roman"/>
                <w:noProof/>
              </w:rPr>
            </w:pPr>
            <w:r>
              <w:rPr>
                <w:noProof/>
              </w:rPr>
              <w:t xml:space="preserve">Entrée en vigueur d’un nouveau plan de gestion des risques d’inondation </w:t>
            </w:r>
          </w:p>
        </w:tc>
      </w:tr>
      <w:tr w:rsidR="003B6BD9" w14:paraId="37CF18B9" w14:textId="77777777">
        <w:trPr>
          <w:trHeight w:val="302"/>
        </w:trPr>
        <w:tc>
          <w:tcPr>
            <w:tcW w:w="1247" w:type="dxa"/>
            <w:shd w:val="clear" w:color="auto" w:fill="C6EFCE"/>
            <w:noWrap/>
            <w:vAlign w:val="center"/>
          </w:tcPr>
          <w:p w14:paraId="47AAB71A" w14:textId="19A52CBB" w:rsidR="003B6BD9" w:rsidRDefault="009E25E8">
            <w:pPr>
              <w:pStyle w:val="P68B1DB1-Normal18"/>
              <w:spacing w:before="0" w:after="0" w:line="276" w:lineRule="auto"/>
              <w:jc w:val="center"/>
              <w:rPr>
                <w:rFonts w:eastAsia="Times New Roman"/>
                <w:noProof/>
              </w:rPr>
            </w:pPr>
            <w:r>
              <w:rPr>
                <w:noProof/>
              </w:rPr>
              <w:t>50</w:t>
            </w:r>
          </w:p>
        </w:tc>
        <w:tc>
          <w:tcPr>
            <w:tcW w:w="2955" w:type="dxa"/>
            <w:shd w:val="clear" w:color="auto" w:fill="C6EFCE"/>
            <w:noWrap/>
            <w:vAlign w:val="center"/>
          </w:tcPr>
          <w:p w14:paraId="7B3F3AF5" w14:textId="7E594978" w:rsidR="003B6BD9" w:rsidRDefault="009E25E8">
            <w:pPr>
              <w:pStyle w:val="P68B1DB1-Normal18"/>
              <w:spacing w:before="0" w:after="0" w:line="276" w:lineRule="auto"/>
              <w:rPr>
                <w:rFonts w:eastAsia="Times New Roman"/>
                <w:noProof/>
              </w:rPr>
            </w:pPr>
            <w:r>
              <w:rPr>
                <w:noProof/>
              </w:rPr>
              <w:t xml:space="preserve">H: Autres projets de rejet et de traitement des eaux urbaines résiduaires  </w:t>
            </w:r>
          </w:p>
        </w:tc>
        <w:tc>
          <w:tcPr>
            <w:tcW w:w="1411" w:type="dxa"/>
            <w:shd w:val="clear" w:color="auto" w:fill="C6EFCE"/>
            <w:noWrap/>
            <w:vAlign w:val="center"/>
          </w:tcPr>
          <w:p w14:paraId="43C5B307" w14:textId="79528A8F"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1271EE49" w14:textId="2258D38B" w:rsidR="003B6BD9" w:rsidRDefault="009E25E8">
            <w:pPr>
              <w:pStyle w:val="P68B1DB1-Normal18"/>
              <w:spacing w:before="0" w:after="0" w:line="276" w:lineRule="auto"/>
              <w:rPr>
                <w:rFonts w:eastAsia="Times New Roman"/>
                <w:noProof/>
              </w:rPr>
            </w:pPr>
            <w:r>
              <w:rPr>
                <w:noProof/>
              </w:rPr>
              <w:t>Octroi de subventions pour des projets de rejet et de traitement des eaux urbaines résiduaires</w:t>
            </w:r>
          </w:p>
        </w:tc>
      </w:tr>
      <w:tr w:rsidR="003B6BD9" w14:paraId="3AB5D8AC" w14:textId="77777777">
        <w:trPr>
          <w:trHeight w:val="302"/>
        </w:trPr>
        <w:tc>
          <w:tcPr>
            <w:tcW w:w="1247" w:type="dxa"/>
            <w:shd w:val="clear" w:color="auto" w:fill="C6EFCE"/>
            <w:noWrap/>
            <w:vAlign w:val="center"/>
          </w:tcPr>
          <w:p w14:paraId="1EF43F82" w14:textId="70B1B39C" w:rsidR="003B6BD9" w:rsidRDefault="009E25E8">
            <w:pPr>
              <w:pStyle w:val="P68B1DB1-Normal18"/>
              <w:spacing w:before="0" w:after="0" w:line="276" w:lineRule="auto"/>
              <w:jc w:val="center"/>
              <w:rPr>
                <w:rFonts w:eastAsia="Times New Roman"/>
                <w:noProof/>
              </w:rPr>
            </w:pPr>
            <w:r>
              <w:rPr>
                <w:noProof/>
              </w:rPr>
              <w:t>52</w:t>
            </w:r>
          </w:p>
        </w:tc>
        <w:tc>
          <w:tcPr>
            <w:tcW w:w="2955" w:type="dxa"/>
            <w:shd w:val="clear" w:color="auto" w:fill="C6EFCE"/>
            <w:noWrap/>
            <w:vAlign w:val="center"/>
          </w:tcPr>
          <w:p w14:paraId="1B3530F3" w14:textId="7339F026" w:rsidR="003B6BD9" w:rsidRDefault="009E25E8">
            <w:pPr>
              <w:pStyle w:val="P68B1DB1-Normal18"/>
              <w:spacing w:before="0" w:after="0" w:line="276" w:lineRule="auto"/>
              <w:rPr>
                <w:rFonts w:eastAsia="Times New Roman"/>
                <w:noProof/>
              </w:rPr>
            </w:pPr>
            <w:r>
              <w:rPr>
                <w:noProof/>
              </w:rPr>
              <w:t>I: Autres projets d’approvisionnement en eau potable et d’économies d’eau</w:t>
            </w:r>
          </w:p>
        </w:tc>
        <w:tc>
          <w:tcPr>
            <w:tcW w:w="1411" w:type="dxa"/>
            <w:shd w:val="clear" w:color="auto" w:fill="C6EFCE"/>
            <w:noWrap/>
            <w:vAlign w:val="center"/>
          </w:tcPr>
          <w:p w14:paraId="62A3A222" w14:textId="10BED353"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3A8FD39C" w14:textId="44B82D66" w:rsidR="003B6BD9" w:rsidRDefault="009E25E8">
            <w:pPr>
              <w:pStyle w:val="P68B1DB1-Normal18"/>
              <w:spacing w:before="0" w:after="0" w:line="276" w:lineRule="auto"/>
              <w:rPr>
                <w:rFonts w:eastAsia="Times New Roman"/>
                <w:noProof/>
              </w:rPr>
            </w:pPr>
            <w:r>
              <w:rPr>
                <w:noProof/>
              </w:rPr>
              <w:t>Octroi de subventions pour des projets d’approvisionnement en eau potable</w:t>
            </w:r>
          </w:p>
        </w:tc>
      </w:tr>
      <w:tr w:rsidR="003B6BD9" w14:paraId="62878236" w14:textId="77777777">
        <w:trPr>
          <w:trHeight w:val="302"/>
        </w:trPr>
        <w:tc>
          <w:tcPr>
            <w:tcW w:w="1247" w:type="dxa"/>
            <w:shd w:val="clear" w:color="auto" w:fill="C6EFCE"/>
            <w:noWrap/>
            <w:vAlign w:val="center"/>
          </w:tcPr>
          <w:p w14:paraId="6D45FF85" w14:textId="6C4451EB" w:rsidR="003B6BD9" w:rsidRDefault="009E25E8">
            <w:pPr>
              <w:pStyle w:val="P68B1DB1-Normal18"/>
              <w:spacing w:before="0" w:after="0" w:line="276" w:lineRule="auto"/>
              <w:jc w:val="center"/>
              <w:rPr>
                <w:rFonts w:eastAsia="Times New Roman"/>
                <w:noProof/>
              </w:rPr>
            </w:pPr>
            <w:r>
              <w:rPr>
                <w:noProof/>
              </w:rPr>
              <w:t>167</w:t>
            </w:r>
          </w:p>
        </w:tc>
        <w:tc>
          <w:tcPr>
            <w:tcW w:w="2955" w:type="dxa"/>
            <w:shd w:val="clear" w:color="auto" w:fill="C6EFCE"/>
            <w:noWrap/>
            <w:vAlign w:val="center"/>
          </w:tcPr>
          <w:p w14:paraId="316884A2" w14:textId="7A810C35" w:rsidR="003B6BD9" w:rsidRDefault="009E25E8">
            <w:pPr>
              <w:pStyle w:val="P68B1DB1-Normal18"/>
              <w:spacing w:before="0" w:after="0" w:line="276" w:lineRule="auto"/>
              <w:rPr>
                <w:rFonts w:eastAsia="Times New Roman"/>
                <w:noProof/>
              </w:rPr>
            </w:pPr>
            <w:r>
              <w:rPr>
                <w:noProof/>
              </w:rPr>
              <w:t>D: Stratégie d’écologisation des infrastructures d’éducation et de recherche en Slovénie</w:t>
            </w:r>
          </w:p>
        </w:tc>
        <w:tc>
          <w:tcPr>
            <w:tcW w:w="1411" w:type="dxa"/>
            <w:shd w:val="clear" w:color="auto" w:fill="C6EFCE"/>
            <w:noWrap/>
            <w:vAlign w:val="center"/>
          </w:tcPr>
          <w:p w14:paraId="11B5034F" w14:textId="43BE4690"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684CB9F9" w14:textId="75A5DF25" w:rsidR="003B6BD9" w:rsidRDefault="009E25E8">
            <w:pPr>
              <w:pStyle w:val="P68B1DB1-Normal18"/>
              <w:spacing w:before="0" w:after="0" w:line="276" w:lineRule="auto"/>
              <w:rPr>
                <w:rFonts w:eastAsia="Times New Roman"/>
                <w:noProof/>
              </w:rPr>
            </w:pPr>
            <w:r>
              <w:rPr>
                <w:noProof/>
              </w:rPr>
              <w:t>Adoption de la stratégie pour l’écologisation de l’éducation et des infrastructures de recherche</w:t>
            </w:r>
          </w:p>
        </w:tc>
      </w:tr>
      <w:tr w:rsidR="003B6BD9" w14:paraId="5A7E8881" w14:textId="77777777">
        <w:trPr>
          <w:trHeight w:val="302"/>
        </w:trPr>
        <w:tc>
          <w:tcPr>
            <w:tcW w:w="1247" w:type="dxa"/>
            <w:shd w:val="clear" w:color="auto" w:fill="C6EFCE"/>
            <w:noWrap/>
            <w:vAlign w:val="center"/>
          </w:tcPr>
          <w:p w14:paraId="039B3C05" w14:textId="776E90AA" w:rsidR="003B6BD9" w:rsidRDefault="009E25E8">
            <w:pPr>
              <w:pStyle w:val="P68B1DB1-Normal18"/>
              <w:spacing w:before="0" w:after="0" w:line="276" w:lineRule="auto"/>
              <w:jc w:val="center"/>
              <w:rPr>
                <w:rFonts w:eastAsia="Times New Roman"/>
                <w:noProof/>
              </w:rPr>
            </w:pPr>
            <w:r>
              <w:rPr>
                <w:noProof/>
              </w:rPr>
              <w:t>205</w:t>
            </w:r>
          </w:p>
        </w:tc>
        <w:tc>
          <w:tcPr>
            <w:tcW w:w="2955" w:type="dxa"/>
            <w:shd w:val="clear" w:color="auto" w:fill="C6EFCE"/>
            <w:noWrap/>
            <w:vAlign w:val="center"/>
          </w:tcPr>
          <w:p w14:paraId="755A3C98" w14:textId="67B0BE45" w:rsidR="003B6BD9" w:rsidRDefault="009E25E8">
            <w:pPr>
              <w:pStyle w:val="P68B1DB1-Normal18"/>
              <w:spacing w:before="0" w:after="0" w:line="276" w:lineRule="auto"/>
              <w:rPr>
                <w:rFonts w:eastAsia="Times New Roman"/>
                <w:noProof/>
              </w:rPr>
            </w:pPr>
            <w:r>
              <w:rPr>
                <w:noProof/>
              </w:rPr>
              <w:t xml:space="preserve">Renforcement du parc de logements locatifs publics </w:t>
            </w:r>
          </w:p>
        </w:tc>
        <w:tc>
          <w:tcPr>
            <w:tcW w:w="1411" w:type="dxa"/>
            <w:shd w:val="clear" w:color="auto" w:fill="C6EFCE"/>
            <w:noWrap/>
            <w:vAlign w:val="center"/>
          </w:tcPr>
          <w:p w14:paraId="21D37693" w14:textId="0280484B"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4878B9D9" w14:textId="0E6215F4" w:rsidR="003B6BD9" w:rsidRDefault="009E25E8">
            <w:pPr>
              <w:pStyle w:val="P68B1DB1-Normal18"/>
              <w:spacing w:before="0" w:after="0" w:line="276" w:lineRule="auto"/>
              <w:rPr>
                <w:rFonts w:eastAsia="Times New Roman"/>
                <w:noProof/>
              </w:rPr>
            </w:pPr>
            <w:r>
              <w:rPr>
                <w:noProof/>
              </w:rPr>
              <w:t>Entrée en vigueur des modifications de la loi sur le logement</w:t>
            </w:r>
          </w:p>
        </w:tc>
      </w:tr>
      <w:tr w:rsidR="003B6BD9" w14:paraId="00600A2F" w14:textId="77777777">
        <w:trPr>
          <w:trHeight w:val="302"/>
        </w:trPr>
        <w:tc>
          <w:tcPr>
            <w:tcW w:w="1247" w:type="dxa"/>
            <w:shd w:val="clear" w:color="auto" w:fill="C6EFCE"/>
            <w:noWrap/>
            <w:vAlign w:val="center"/>
          </w:tcPr>
          <w:p w14:paraId="4347B26D" w14:textId="14079418" w:rsidR="003B6BD9" w:rsidRDefault="009E25E8">
            <w:pPr>
              <w:pStyle w:val="P68B1DB1-Normal18"/>
              <w:spacing w:before="0" w:after="0" w:line="276" w:lineRule="auto"/>
              <w:jc w:val="center"/>
              <w:rPr>
                <w:rFonts w:eastAsia="Times New Roman"/>
                <w:noProof/>
              </w:rPr>
            </w:pPr>
            <w:r>
              <w:rPr>
                <w:noProof/>
              </w:rPr>
              <w:t>207</w:t>
            </w:r>
          </w:p>
        </w:tc>
        <w:tc>
          <w:tcPr>
            <w:tcW w:w="2955" w:type="dxa"/>
            <w:shd w:val="clear" w:color="auto" w:fill="C6EFCE"/>
            <w:noWrap/>
            <w:vAlign w:val="center"/>
          </w:tcPr>
          <w:p w14:paraId="3094D937" w14:textId="574E2002" w:rsidR="003B6BD9" w:rsidRDefault="009E25E8">
            <w:pPr>
              <w:pStyle w:val="P68B1DB1-Normal18"/>
              <w:spacing w:before="0" w:after="0" w:line="276" w:lineRule="auto"/>
              <w:rPr>
                <w:rFonts w:eastAsia="Times New Roman"/>
                <w:noProof/>
              </w:rPr>
            </w:pPr>
            <w:r>
              <w:rPr>
                <w:noProof/>
              </w:rPr>
              <w:t>Mise à disposition de logements locatifs publics</w:t>
            </w:r>
          </w:p>
        </w:tc>
        <w:tc>
          <w:tcPr>
            <w:tcW w:w="1411" w:type="dxa"/>
            <w:shd w:val="clear" w:color="auto" w:fill="C6EFCE"/>
            <w:noWrap/>
            <w:vAlign w:val="center"/>
          </w:tcPr>
          <w:p w14:paraId="595DCFBF" w14:textId="6B2EC883" w:rsidR="003B6BD9" w:rsidRDefault="009E25E8">
            <w:pPr>
              <w:pStyle w:val="P68B1DB1-Normal18"/>
              <w:spacing w:before="0" w:after="0" w:line="276" w:lineRule="auto"/>
              <w:rPr>
                <w:rFonts w:eastAsia="Times New Roman"/>
                <w:noProof/>
              </w:rPr>
            </w:pPr>
            <w:r>
              <w:rPr>
                <w:noProof/>
              </w:rPr>
              <w:t>Jalon</w:t>
            </w:r>
          </w:p>
        </w:tc>
        <w:tc>
          <w:tcPr>
            <w:tcW w:w="4139" w:type="dxa"/>
            <w:shd w:val="clear" w:color="auto" w:fill="C6EFCE"/>
            <w:noWrap/>
            <w:vAlign w:val="center"/>
          </w:tcPr>
          <w:p w14:paraId="7EF7B823" w14:textId="68B27AD8" w:rsidR="003B6BD9" w:rsidRDefault="009E25E8">
            <w:pPr>
              <w:pStyle w:val="P68B1DB1-Normal18"/>
              <w:spacing w:before="0" w:after="0" w:line="276" w:lineRule="auto"/>
              <w:rPr>
                <w:rFonts w:eastAsia="Times New Roman"/>
                <w:noProof/>
              </w:rPr>
            </w:pPr>
            <w:r>
              <w:rPr>
                <w:noProof/>
              </w:rPr>
              <w:t>Octroi de subventions pour la mise à disposition de logements locatifs publics</w:t>
            </w:r>
          </w:p>
        </w:tc>
      </w:tr>
      <w:tr w:rsidR="003B6BD9" w14:paraId="2D6794D9" w14:textId="77777777">
        <w:trPr>
          <w:trHeight w:val="302"/>
        </w:trPr>
        <w:tc>
          <w:tcPr>
            <w:tcW w:w="1247" w:type="dxa"/>
            <w:shd w:val="clear" w:color="auto" w:fill="C6EFCE"/>
            <w:noWrap/>
            <w:vAlign w:val="center"/>
          </w:tcPr>
          <w:p w14:paraId="7F735D1A" w14:textId="77777777" w:rsidR="003B6BD9" w:rsidRDefault="003B6BD9">
            <w:pPr>
              <w:spacing w:before="0" w:after="0" w:line="276" w:lineRule="auto"/>
              <w:rPr>
                <w:rFonts w:eastAsia="Times New Roman"/>
                <w:noProof/>
                <w:color w:val="006100"/>
                <w:sz w:val="22"/>
              </w:rPr>
            </w:pPr>
          </w:p>
        </w:tc>
        <w:tc>
          <w:tcPr>
            <w:tcW w:w="2955" w:type="dxa"/>
            <w:shd w:val="clear" w:color="auto" w:fill="C6EFCE"/>
            <w:noWrap/>
            <w:vAlign w:val="center"/>
          </w:tcPr>
          <w:p w14:paraId="07C798D9" w14:textId="77777777" w:rsidR="003B6BD9" w:rsidRDefault="003B6BD9">
            <w:pPr>
              <w:spacing w:before="0" w:after="0" w:line="276" w:lineRule="auto"/>
              <w:rPr>
                <w:rFonts w:eastAsia="Times New Roman"/>
                <w:noProof/>
                <w:color w:val="006100"/>
                <w:sz w:val="22"/>
              </w:rPr>
            </w:pPr>
          </w:p>
        </w:tc>
        <w:tc>
          <w:tcPr>
            <w:tcW w:w="1411" w:type="dxa"/>
            <w:shd w:val="clear" w:color="auto" w:fill="C6EFCE"/>
            <w:noWrap/>
            <w:vAlign w:val="center"/>
          </w:tcPr>
          <w:p w14:paraId="0F3F7C00" w14:textId="347D42E1" w:rsidR="003B6BD9" w:rsidRDefault="009E25E8">
            <w:pPr>
              <w:pStyle w:val="P68B1DB1-Normal20"/>
              <w:spacing w:before="0" w:after="0" w:line="276" w:lineRule="auto"/>
              <w:rPr>
                <w:rFonts w:eastAsia="Times New Roman"/>
                <w:noProof/>
              </w:rPr>
            </w:pPr>
            <w:r>
              <w:rPr>
                <w:noProof/>
              </w:rPr>
              <w:t>Montant de l’acompte</w:t>
            </w:r>
          </w:p>
        </w:tc>
        <w:tc>
          <w:tcPr>
            <w:tcW w:w="4139" w:type="dxa"/>
            <w:shd w:val="clear" w:color="auto" w:fill="C6EFCE"/>
            <w:noWrap/>
            <w:vAlign w:val="center"/>
          </w:tcPr>
          <w:p w14:paraId="1184C433" w14:textId="2593224A" w:rsidR="003B6BD9" w:rsidRDefault="009E25E8">
            <w:pPr>
              <w:pStyle w:val="P68B1DB1-Normal20"/>
              <w:spacing w:before="0" w:after="0" w:line="276" w:lineRule="auto"/>
              <w:rPr>
                <w:rFonts w:eastAsia="Times New Roman"/>
                <w:noProof/>
              </w:rPr>
            </w:pPr>
            <w:r>
              <w:rPr>
                <w:noProof/>
              </w:rPr>
              <w:t>310 091 602 EUR</w:t>
            </w:r>
          </w:p>
        </w:tc>
      </w:tr>
    </w:tbl>
    <w:p w14:paraId="4D195ABA" w14:textId="77777777" w:rsidR="003B6BD9" w:rsidRDefault="003B6BD9">
      <w:pPr>
        <w:spacing w:before="0" w:after="200" w:line="276" w:lineRule="auto"/>
        <w:rPr>
          <w:rFonts w:ascii="Calibri" w:hAnsi="Calibri"/>
          <w:noProof/>
          <w:sz w:val="22"/>
        </w:rPr>
      </w:pPr>
    </w:p>
    <w:p w14:paraId="60BA6B55" w14:textId="77777777" w:rsidR="003B6BD9" w:rsidRDefault="009E25E8">
      <w:pPr>
        <w:numPr>
          <w:ilvl w:val="1"/>
          <w:numId w:val="18"/>
        </w:numPr>
        <w:spacing w:before="0" w:after="200" w:line="240" w:lineRule="auto"/>
        <w:jc w:val="both"/>
        <w:rPr>
          <w:noProof/>
        </w:rPr>
      </w:pPr>
      <w:r>
        <w:rPr>
          <w:noProof/>
        </w:rPr>
        <w:t xml:space="preserve">Deuxième tranche (soutien sous forme de prêt): </w:t>
      </w:r>
    </w:p>
    <w:tbl>
      <w:tblPr>
        <w:tblW w:w="9751" w:type="dxa"/>
        <w:tblInd w:w="113" w:type="dxa"/>
        <w:tblLook w:val="04A0" w:firstRow="1" w:lastRow="0" w:firstColumn="1" w:lastColumn="0" w:noHBand="0" w:noVBand="1"/>
      </w:tblPr>
      <w:tblGrid>
        <w:gridCol w:w="1247"/>
        <w:gridCol w:w="2955"/>
        <w:gridCol w:w="1597"/>
        <w:gridCol w:w="4139"/>
      </w:tblGrid>
      <w:tr w:rsidR="003B6BD9" w14:paraId="32CA3E4E" w14:textId="77777777">
        <w:trPr>
          <w:trHeight w:val="906"/>
          <w:tblHeader/>
        </w:trPr>
        <w:tc>
          <w:tcPr>
            <w:tcW w:w="1247"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AB48CF2" w14:textId="23D833A7" w:rsidR="003B6BD9" w:rsidRDefault="009E25E8">
            <w:pPr>
              <w:pStyle w:val="P68B1DB1-Normal17"/>
              <w:spacing w:before="0" w:after="0" w:line="276" w:lineRule="auto"/>
              <w:jc w:val="center"/>
              <w:rPr>
                <w:rFonts w:eastAsia="Times New Roman"/>
                <w:noProof/>
              </w:rPr>
            </w:pPr>
            <w:r>
              <w:rPr>
                <w:noProof/>
              </w:rPr>
              <w:t>Et suivants Non.</w:t>
            </w:r>
          </w:p>
        </w:tc>
        <w:tc>
          <w:tcPr>
            <w:tcW w:w="295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B8FFD6D" w14:textId="77777777" w:rsidR="003B6BD9" w:rsidRDefault="009E25E8">
            <w:pPr>
              <w:pStyle w:val="P68B1DB1-Normal17"/>
              <w:spacing w:before="0" w:after="0" w:line="276" w:lineRule="auto"/>
              <w:jc w:val="center"/>
              <w:rPr>
                <w:rFonts w:eastAsia="Times New Roman"/>
                <w:noProof/>
              </w:rPr>
            </w:pPr>
            <w:r>
              <w:rPr>
                <w:noProof/>
              </w:rPr>
              <w:t>Mesure connexe (réforme ou investissement)</w:t>
            </w:r>
          </w:p>
        </w:tc>
        <w:tc>
          <w:tcPr>
            <w:tcW w:w="141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DFA0C73" w14:textId="77777777" w:rsidR="003B6BD9" w:rsidRDefault="009E25E8">
            <w:pPr>
              <w:pStyle w:val="P68B1DB1-Normal17"/>
              <w:spacing w:before="0" w:after="0" w:line="276" w:lineRule="auto"/>
              <w:jc w:val="center"/>
              <w:rPr>
                <w:rFonts w:eastAsia="Times New Roman"/>
                <w:noProof/>
              </w:rPr>
            </w:pPr>
            <w:r>
              <w:rPr>
                <w:noProof/>
              </w:rPr>
              <w:t>Étape/Objectif</w:t>
            </w:r>
          </w:p>
        </w:tc>
        <w:tc>
          <w:tcPr>
            <w:tcW w:w="4139" w:type="dxa"/>
            <w:vMerge w:val="restart"/>
            <w:tcBorders>
              <w:top w:val="single" w:sz="4" w:space="0" w:color="auto"/>
              <w:left w:val="nil"/>
              <w:bottom w:val="single" w:sz="4" w:space="0" w:color="000000"/>
              <w:right w:val="single" w:sz="4" w:space="0" w:color="auto"/>
            </w:tcBorders>
            <w:shd w:val="clear" w:color="auto" w:fill="BDD7EE"/>
            <w:vAlign w:val="center"/>
            <w:hideMark/>
          </w:tcPr>
          <w:p w14:paraId="0CBC670E" w14:textId="77777777" w:rsidR="003B6BD9" w:rsidRDefault="009E25E8">
            <w:pPr>
              <w:pStyle w:val="P68B1DB1-Normal17"/>
              <w:spacing w:before="0" w:after="0" w:line="276" w:lineRule="auto"/>
              <w:jc w:val="center"/>
              <w:rPr>
                <w:rFonts w:eastAsia="Times New Roman"/>
                <w:noProof/>
              </w:rPr>
            </w:pPr>
            <w:r>
              <w:rPr>
                <w:noProof/>
              </w:rPr>
              <w:t>Nom</w:t>
            </w:r>
          </w:p>
        </w:tc>
      </w:tr>
      <w:tr w:rsidR="003B6BD9" w14:paraId="2B32AAE6" w14:textId="77777777">
        <w:trPr>
          <w:trHeight w:val="309"/>
        </w:trPr>
        <w:tc>
          <w:tcPr>
            <w:tcW w:w="1247" w:type="dxa"/>
            <w:vMerge/>
            <w:tcBorders>
              <w:top w:val="single" w:sz="4" w:space="0" w:color="auto"/>
              <w:left w:val="single" w:sz="4" w:space="0" w:color="auto"/>
              <w:bottom w:val="single" w:sz="4" w:space="0" w:color="000000"/>
              <w:right w:val="single" w:sz="4" w:space="0" w:color="auto"/>
            </w:tcBorders>
            <w:vAlign w:val="center"/>
            <w:hideMark/>
          </w:tcPr>
          <w:p w14:paraId="13C51559" w14:textId="77777777" w:rsidR="003B6BD9" w:rsidRDefault="003B6BD9">
            <w:pPr>
              <w:spacing w:before="0" w:after="0" w:line="276" w:lineRule="auto"/>
              <w:jc w:val="center"/>
              <w:rPr>
                <w:rFonts w:eastAsia="Times New Roman"/>
                <w:b/>
                <w:noProof/>
                <w:sz w:val="22"/>
                <w:szCs w:val="24"/>
              </w:rPr>
            </w:pPr>
          </w:p>
        </w:tc>
        <w:tc>
          <w:tcPr>
            <w:tcW w:w="2955" w:type="dxa"/>
            <w:vMerge/>
            <w:tcBorders>
              <w:top w:val="single" w:sz="4" w:space="0" w:color="auto"/>
              <w:left w:val="single" w:sz="4" w:space="0" w:color="auto"/>
              <w:bottom w:val="single" w:sz="4" w:space="0" w:color="000000"/>
              <w:right w:val="single" w:sz="4" w:space="0" w:color="auto"/>
            </w:tcBorders>
            <w:vAlign w:val="center"/>
            <w:hideMark/>
          </w:tcPr>
          <w:p w14:paraId="0AD0B719" w14:textId="77777777" w:rsidR="003B6BD9" w:rsidRDefault="003B6BD9">
            <w:pPr>
              <w:spacing w:before="0" w:after="0" w:line="276" w:lineRule="auto"/>
              <w:rPr>
                <w:rFonts w:eastAsia="Times New Roman"/>
                <w:b/>
                <w:noProof/>
                <w:sz w:val="22"/>
                <w:szCs w:val="24"/>
              </w:rPr>
            </w:pPr>
          </w:p>
        </w:tc>
        <w:tc>
          <w:tcPr>
            <w:tcW w:w="1410" w:type="dxa"/>
            <w:vMerge/>
            <w:tcBorders>
              <w:top w:val="single" w:sz="4" w:space="0" w:color="auto"/>
              <w:left w:val="single" w:sz="4" w:space="0" w:color="auto"/>
              <w:bottom w:val="single" w:sz="4" w:space="0" w:color="000000"/>
              <w:right w:val="single" w:sz="4" w:space="0" w:color="auto"/>
            </w:tcBorders>
            <w:vAlign w:val="center"/>
            <w:hideMark/>
          </w:tcPr>
          <w:p w14:paraId="040D03AA" w14:textId="77777777" w:rsidR="003B6BD9" w:rsidRDefault="003B6BD9">
            <w:pPr>
              <w:spacing w:before="0" w:after="0" w:line="276" w:lineRule="auto"/>
              <w:rPr>
                <w:rFonts w:eastAsia="Times New Roman"/>
                <w:b/>
                <w:noProof/>
                <w:sz w:val="22"/>
                <w:szCs w:val="24"/>
              </w:rPr>
            </w:pPr>
          </w:p>
        </w:tc>
        <w:tc>
          <w:tcPr>
            <w:tcW w:w="4139" w:type="dxa"/>
            <w:vMerge/>
            <w:tcBorders>
              <w:top w:val="single" w:sz="4" w:space="0" w:color="auto"/>
              <w:left w:val="nil"/>
              <w:bottom w:val="single" w:sz="4" w:space="0" w:color="000000"/>
              <w:right w:val="single" w:sz="4" w:space="0" w:color="auto"/>
            </w:tcBorders>
            <w:vAlign w:val="center"/>
            <w:hideMark/>
          </w:tcPr>
          <w:p w14:paraId="02525279" w14:textId="77777777" w:rsidR="003B6BD9" w:rsidRDefault="003B6BD9">
            <w:pPr>
              <w:spacing w:before="0" w:after="0" w:line="276" w:lineRule="auto"/>
              <w:rPr>
                <w:rFonts w:eastAsia="Times New Roman"/>
                <w:b/>
                <w:noProof/>
                <w:sz w:val="22"/>
                <w:szCs w:val="24"/>
              </w:rPr>
            </w:pPr>
          </w:p>
        </w:tc>
      </w:tr>
      <w:tr w:rsidR="003B6BD9" w14:paraId="44207FC9"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271F4F6" w14:textId="64EC7DDB" w:rsidR="003B6BD9" w:rsidRDefault="009E25E8">
            <w:pPr>
              <w:pStyle w:val="P68B1DB1-Normal18"/>
              <w:spacing w:before="0" w:after="0" w:line="276" w:lineRule="auto"/>
              <w:jc w:val="center"/>
              <w:rPr>
                <w:rFonts w:eastAsia="Times New Roman"/>
                <w:noProof/>
              </w:rPr>
            </w:pPr>
            <w:r>
              <w:rPr>
                <w:noProof/>
              </w:rPr>
              <w:t>67ter</w:t>
            </w:r>
          </w:p>
        </w:tc>
        <w:tc>
          <w:tcPr>
            <w:tcW w:w="2955" w:type="dxa"/>
            <w:tcBorders>
              <w:top w:val="nil"/>
              <w:left w:val="nil"/>
              <w:bottom w:val="single" w:sz="4" w:space="0" w:color="auto"/>
              <w:right w:val="single" w:sz="4" w:space="0" w:color="auto"/>
            </w:tcBorders>
            <w:shd w:val="clear" w:color="auto" w:fill="C6EFCE"/>
            <w:noWrap/>
            <w:vAlign w:val="center"/>
          </w:tcPr>
          <w:p w14:paraId="38CF3944" w14:textId="253CF23C" w:rsidR="003B6BD9" w:rsidRDefault="009E25E8">
            <w:pPr>
              <w:pStyle w:val="P68B1DB1-Normal18"/>
              <w:spacing w:before="0" w:after="0" w:line="276" w:lineRule="auto"/>
              <w:rPr>
                <w:noProof/>
              </w:rPr>
            </w:pPr>
            <w:r>
              <w:rPr>
                <w:noProof/>
              </w:rPr>
              <w:t xml:space="preserve">F: Réforme sur la poursuite du déploiement d’une infrastructure pour carburants alternatifs </w:t>
            </w:r>
          </w:p>
        </w:tc>
        <w:tc>
          <w:tcPr>
            <w:tcW w:w="1410" w:type="dxa"/>
            <w:tcBorders>
              <w:top w:val="nil"/>
              <w:left w:val="nil"/>
              <w:bottom w:val="single" w:sz="4" w:space="0" w:color="auto"/>
              <w:right w:val="single" w:sz="4" w:space="0" w:color="auto"/>
            </w:tcBorders>
            <w:shd w:val="clear" w:color="auto" w:fill="C6EFCE"/>
            <w:noWrap/>
            <w:vAlign w:val="center"/>
          </w:tcPr>
          <w:p w14:paraId="00D4AC84" w14:textId="79266006" w:rsidR="003B6BD9" w:rsidRDefault="009E25E8">
            <w:pPr>
              <w:pStyle w:val="P68B1DB1-Normal18"/>
              <w:spacing w:before="0" w:after="0" w:line="276" w:lineRule="auto"/>
              <w:rPr>
                <w:noProof/>
              </w:rPr>
            </w:pPr>
            <w:r>
              <w:rPr>
                <w:noProof/>
              </w:rPr>
              <w:t>Jalon</w:t>
            </w:r>
          </w:p>
        </w:tc>
        <w:tc>
          <w:tcPr>
            <w:tcW w:w="4139" w:type="dxa"/>
            <w:tcBorders>
              <w:top w:val="nil"/>
              <w:left w:val="nil"/>
              <w:bottom w:val="single" w:sz="4" w:space="0" w:color="auto"/>
              <w:right w:val="single" w:sz="4" w:space="0" w:color="auto"/>
            </w:tcBorders>
            <w:shd w:val="clear" w:color="auto" w:fill="C6EFCE"/>
            <w:noWrap/>
            <w:vAlign w:val="center"/>
          </w:tcPr>
          <w:p w14:paraId="79EAEA03" w14:textId="7C1011DB" w:rsidR="003B6BD9" w:rsidRDefault="009E25E8">
            <w:pPr>
              <w:pStyle w:val="P68B1DB1-Normal18"/>
              <w:spacing w:before="0" w:after="0" w:line="240" w:lineRule="auto"/>
              <w:rPr>
                <w:noProof/>
              </w:rPr>
            </w:pPr>
            <w:r>
              <w:rPr>
                <w:noProof/>
              </w:rPr>
              <w:t>Entrée en vigueur de la loi sur les infrastructures pour carburants alternatifs et promotion de la transition vers des carburants alternatifs dans les transports</w:t>
            </w:r>
          </w:p>
        </w:tc>
      </w:tr>
      <w:tr w:rsidR="003B6BD9" w14:paraId="31CB1806"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53447816" w14:textId="01C9099B" w:rsidR="003B6BD9" w:rsidRDefault="009E25E8">
            <w:pPr>
              <w:pStyle w:val="P68B1DB1-Normal18"/>
              <w:spacing w:before="0" w:after="0" w:line="276" w:lineRule="auto"/>
              <w:jc w:val="center"/>
              <w:rPr>
                <w:rFonts w:eastAsia="Times New Roman"/>
                <w:noProof/>
              </w:rPr>
            </w:pPr>
            <w:r>
              <w:rPr>
                <w:noProof/>
              </w:rPr>
              <w:t>168</w:t>
            </w:r>
          </w:p>
        </w:tc>
        <w:tc>
          <w:tcPr>
            <w:tcW w:w="2955" w:type="dxa"/>
            <w:tcBorders>
              <w:top w:val="nil"/>
              <w:left w:val="nil"/>
              <w:bottom w:val="single" w:sz="4" w:space="0" w:color="auto"/>
              <w:right w:val="single" w:sz="4" w:space="0" w:color="auto"/>
            </w:tcBorders>
            <w:shd w:val="clear" w:color="auto" w:fill="C6EFCE"/>
            <w:noWrap/>
            <w:vAlign w:val="center"/>
            <w:hideMark/>
          </w:tcPr>
          <w:p w14:paraId="04BFD536" w14:textId="4F2DF967" w:rsidR="003B6BD9" w:rsidRDefault="009E25E8">
            <w:pPr>
              <w:pStyle w:val="P68B1DB1-Normal22"/>
              <w:spacing w:before="0" w:after="0" w:line="276" w:lineRule="auto"/>
              <w:rPr>
                <w:rFonts w:eastAsia="Times New Roman"/>
                <w:noProof/>
                <w:sz w:val="22"/>
              </w:rPr>
            </w:pPr>
            <w:r>
              <w:rPr>
                <w:noProof/>
              </w:rPr>
              <w:t>H</w:t>
            </w:r>
            <w:r>
              <w:rPr>
                <w:noProof/>
                <w:sz w:val="22"/>
              </w:rPr>
              <w:t>: Poursuivre l’écologisation des infrastructures éducatives en Slovénie</w:t>
            </w:r>
          </w:p>
        </w:tc>
        <w:tc>
          <w:tcPr>
            <w:tcW w:w="1410" w:type="dxa"/>
            <w:tcBorders>
              <w:top w:val="nil"/>
              <w:left w:val="nil"/>
              <w:bottom w:val="single" w:sz="4" w:space="0" w:color="auto"/>
              <w:right w:val="single" w:sz="4" w:space="0" w:color="auto"/>
            </w:tcBorders>
            <w:shd w:val="clear" w:color="auto" w:fill="C6EFCE"/>
            <w:noWrap/>
            <w:vAlign w:val="center"/>
            <w:hideMark/>
          </w:tcPr>
          <w:p w14:paraId="4E633DB3" w14:textId="77777777" w:rsidR="003B6BD9" w:rsidRDefault="009E25E8">
            <w:pPr>
              <w:pStyle w:val="P68B1DB1-Normal18"/>
              <w:spacing w:before="0" w:after="0" w:line="276" w:lineRule="auto"/>
              <w:rPr>
                <w:rFonts w:eastAsia="Times New Roman"/>
                <w:noProof/>
              </w:rPr>
            </w:pPr>
            <w:r>
              <w:rPr>
                <w:noProof/>
              </w:rPr>
              <w:t>Jalon</w:t>
            </w:r>
          </w:p>
        </w:tc>
        <w:tc>
          <w:tcPr>
            <w:tcW w:w="4139" w:type="dxa"/>
            <w:tcBorders>
              <w:top w:val="nil"/>
              <w:left w:val="nil"/>
              <w:bottom w:val="single" w:sz="4" w:space="0" w:color="auto"/>
              <w:right w:val="single" w:sz="4" w:space="0" w:color="auto"/>
            </w:tcBorders>
            <w:shd w:val="clear" w:color="auto" w:fill="C6EFCE"/>
            <w:noWrap/>
            <w:vAlign w:val="center"/>
            <w:hideMark/>
          </w:tcPr>
          <w:p w14:paraId="5042E800" w14:textId="77777777" w:rsidR="003B6BD9" w:rsidRDefault="009E25E8">
            <w:pPr>
              <w:pStyle w:val="P68B1DB1-Normal18"/>
              <w:spacing w:before="0" w:after="0" w:line="276" w:lineRule="auto"/>
              <w:rPr>
                <w:rFonts w:eastAsia="Times New Roman"/>
                <w:noProof/>
              </w:rPr>
            </w:pPr>
            <w:r>
              <w:rPr>
                <w:noProof/>
              </w:rPr>
              <w:t>Achèvement de la sélection des projets d’investissement dans l’écologisation des infrastructures éducatives</w:t>
            </w:r>
          </w:p>
        </w:tc>
      </w:tr>
      <w:tr w:rsidR="003B6BD9" w14:paraId="013CB216"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6AAEAA01" w14:textId="77777777" w:rsidR="003B6BD9" w:rsidRDefault="009E25E8">
            <w:pPr>
              <w:pStyle w:val="P68B1DB1-Normal18"/>
              <w:spacing w:before="0" w:after="0" w:line="276" w:lineRule="auto"/>
              <w:jc w:val="center"/>
              <w:rPr>
                <w:rFonts w:eastAsia="Times New Roman"/>
                <w:noProof/>
              </w:rPr>
            </w:pPr>
            <w:r>
              <w:rPr>
                <w:noProof/>
              </w:rPr>
              <w:t>203</w:t>
            </w:r>
          </w:p>
        </w:tc>
        <w:tc>
          <w:tcPr>
            <w:tcW w:w="2955" w:type="dxa"/>
            <w:tcBorders>
              <w:top w:val="nil"/>
              <w:left w:val="nil"/>
              <w:bottom w:val="single" w:sz="4" w:space="0" w:color="auto"/>
              <w:right w:val="single" w:sz="4" w:space="0" w:color="auto"/>
            </w:tcBorders>
            <w:shd w:val="clear" w:color="auto" w:fill="C6EFCE"/>
            <w:noWrap/>
            <w:vAlign w:val="center"/>
            <w:hideMark/>
          </w:tcPr>
          <w:p w14:paraId="49BCD23D" w14:textId="77777777" w:rsidR="003B6BD9" w:rsidRDefault="009E25E8">
            <w:pPr>
              <w:pStyle w:val="P68B1DB1-Normal18"/>
              <w:spacing w:before="0" w:after="0" w:line="276" w:lineRule="auto"/>
              <w:rPr>
                <w:rFonts w:eastAsia="Times New Roman"/>
                <w:noProof/>
              </w:rPr>
            </w:pPr>
            <w:r>
              <w:rPr>
                <w:noProof/>
              </w:rPr>
              <w:t>C: Garantir un cadre de vie sûr aux personnes dépendantes</w:t>
            </w:r>
          </w:p>
        </w:tc>
        <w:tc>
          <w:tcPr>
            <w:tcW w:w="1410" w:type="dxa"/>
            <w:tcBorders>
              <w:top w:val="nil"/>
              <w:left w:val="nil"/>
              <w:bottom w:val="single" w:sz="4" w:space="0" w:color="auto"/>
              <w:right w:val="single" w:sz="4" w:space="0" w:color="auto"/>
            </w:tcBorders>
            <w:shd w:val="clear" w:color="auto" w:fill="C6EFCE"/>
            <w:noWrap/>
            <w:vAlign w:val="center"/>
            <w:hideMark/>
          </w:tcPr>
          <w:p w14:paraId="6BDA3AE2" w14:textId="77777777" w:rsidR="003B6BD9" w:rsidRDefault="009E25E8">
            <w:pPr>
              <w:pStyle w:val="P68B1DB1-Normal18"/>
              <w:spacing w:before="0" w:after="0" w:line="276" w:lineRule="auto"/>
              <w:rPr>
                <w:rFonts w:eastAsia="Times New Roman"/>
                <w:noProof/>
              </w:rPr>
            </w:pPr>
            <w:r>
              <w:rPr>
                <w:noProof/>
              </w:rPr>
              <w:t>Jalon</w:t>
            </w:r>
          </w:p>
        </w:tc>
        <w:tc>
          <w:tcPr>
            <w:tcW w:w="4139" w:type="dxa"/>
            <w:tcBorders>
              <w:top w:val="nil"/>
              <w:left w:val="nil"/>
              <w:bottom w:val="single" w:sz="4" w:space="0" w:color="auto"/>
              <w:right w:val="single" w:sz="4" w:space="0" w:color="auto"/>
            </w:tcBorders>
            <w:shd w:val="clear" w:color="auto" w:fill="C6EFCE"/>
            <w:noWrap/>
            <w:vAlign w:val="center"/>
            <w:hideMark/>
          </w:tcPr>
          <w:p w14:paraId="2E11F04E" w14:textId="30711A35" w:rsidR="003B6BD9" w:rsidRDefault="009E25E8">
            <w:pPr>
              <w:pStyle w:val="P68B1DB1-Normal18"/>
              <w:spacing w:before="0" w:after="0" w:line="276" w:lineRule="auto"/>
              <w:rPr>
                <w:rFonts w:eastAsia="Times New Roman"/>
                <w:noProof/>
              </w:rPr>
            </w:pPr>
            <w:r>
              <w:rPr>
                <w:noProof/>
              </w:rPr>
              <w:t>Octroi de subventions pour la construction de nouvelles structures d’accueil institutionnelles</w:t>
            </w:r>
          </w:p>
        </w:tc>
      </w:tr>
      <w:tr w:rsidR="003B6BD9" w14:paraId="26F63134" w14:textId="77777777">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88AFFD" w14:textId="77777777" w:rsidR="003B6BD9" w:rsidRDefault="003B6BD9">
            <w:pPr>
              <w:spacing w:before="0" w:after="0" w:line="276" w:lineRule="auto"/>
              <w:jc w:val="center"/>
              <w:rPr>
                <w:rFonts w:eastAsia="Times New Roman"/>
                <w:noProof/>
                <w:color w:val="006100"/>
                <w:sz w:val="22"/>
              </w:rPr>
            </w:pPr>
          </w:p>
        </w:tc>
        <w:tc>
          <w:tcPr>
            <w:tcW w:w="2955" w:type="dxa"/>
            <w:tcBorders>
              <w:top w:val="single" w:sz="4" w:space="0" w:color="auto"/>
              <w:left w:val="nil"/>
              <w:bottom w:val="single" w:sz="4" w:space="0" w:color="auto"/>
              <w:right w:val="single" w:sz="4" w:space="0" w:color="auto"/>
            </w:tcBorders>
            <w:shd w:val="clear" w:color="auto" w:fill="C6EFCE"/>
            <w:noWrap/>
            <w:vAlign w:val="center"/>
          </w:tcPr>
          <w:p w14:paraId="66D44703" w14:textId="77777777" w:rsidR="003B6BD9" w:rsidRDefault="003B6BD9">
            <w:pPr>
              <w:spacing w:before="0" w:after="0" w:line="276" w:lineRule="auto"/>
              <w:rPr>
                <w:rFonts w:eastAsia="Times New Roman"/>
                <w:noProof/>
                <w:color w:val="006100"/>
                <w:sz w:val="22"/>
              </w:rPr>
            </w:pP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78B53C14" w14:textId="77777777" w:rsidR="003B6BD9" w:rsidRDefault="009E25E8">
            <w:pPr>
              <w:pStyle w:val="P68B1DB1-Normal20"/>
              <w:spacing w:before="0" w:after="0" w:line="276" w:lineRule="auto"/>
              <w:rPr>
                <w:rFonts w:eastAsia="Times New Roman"/>
                <w:noProof/>
              </w:rPr>
            </w:pPr>
            <w:r>
              <w:rPr>
                <w:noProof/>
              </w:rPr>
              <w:t>Montant de l’acompte</w:t>
            </w:r>
          </w:p>
        </w:tc>
        <w:tc>
          <w:tcPr>
            <w:tcW w:w="4139" w:type="dxa"/>
            <w:tcBorders>
              <w:top w:val="single" w:sz="4" w:space="0" w:color="auto"/>
              <w:left w:val="nil"/>
              <w:bottom w:val="single" w:sz="4" w:space="0" w:color="auto"/>
              <w:right w:val="single" w:sz="4" w:space="0" w:color="auto"/>
            </w:tcBorders>
            <w:shd w:val="clear" w:color="auto" w:fill="C6EFCE"/>
            <w:noWrap/>
            <w:vAlign w:val="center"/>
          </w:tcPr>
          <w:p w14:paraId="5BCEC8B2" w14:textId="5EAA4819" w:rsidR="003B6BD9" w:rsidRDefault="009E25E8">
            <w:pPr>
              <w:pStyle w:val="P68B1DB1-Normal20"/>
              <w:spacing w:before="0" w:after="0" w:line="276" w:lineRule="auto"/>
              <w:rPr>
                <w:rFonts w:eastAsia="Times New Roman"/>
                <w:noProof/>
              </w:rPr>
            </w:pPr>
            <w:r>
              <w:rPr>
                <w:noProof/>
              </w:rPr>
              <w:t xml:space="preserve">116 127 827 EUR </w:t>
            </w:r>
          </w:p>
        </w:tc>
      </w:tr>
    </w:tbl>
    <w:p w14:paraId="789625A8" w14:textId="1EFAD950" w:rsidR="003B6BD9" w:rsidRDefault="003B6BD9">
      <w:pPr>
        <w:spacing w:before="0" w:after="200" w:line="276" w:lineRule="auto"/>
        <w:rPr>
          <w:rFonts w:ascii="Calibri" w:hAnsi="Calibri"/>
          <w:noProof/>
          <w:sz w:val="22"/>
        </w:rPr>
      </w:pPr>
    </w:p>
    <w:p w14:paraId="70B3F8C5" w14:textId="1EFAD950" w:rsidR="003B6BD9" w:rsidRDefault="009E25E8">
      <w:pPr>
        <w:numPr>
          <w:ilvl w:val="1"/>
          <w:numId w:val="18"/>
        </w:numPr>
        <w:spacing w:before="0" w:after="200" w:line="240" w:lineRule="auto"/>
        <w:jc w:val="both"/>
        <w:rPr>
          <w:noProof/>
        </w:rPr>
      </w:pPr>
      <w:r>
        <w:rPr>
          <w:noProof/>
        </w:rPr>
        <w:t>Troisième tranche (soutien sous forme de prêt):</w:t>
      </w:r>
    </w:p>
    <w:tbl>
      <w:tblPr>
        <w:tblW w:w="9751" w:type="dxa"/>
        <w:tblInd w:w="113" w:type="dxa"/>
        <w:tblLook w:val="04A0" w:firstRow="1" w:lastRow="0" w:firstColumn="1" w:lastColumn="0" w:noHBand="0" w:noVBand="1"/>
      </w:tblPr>
      <w:tblGrid>
        <w:gridCol w:w="1247"/>
        <w:gridCol w:w="2955"/>
        <w:gridCol w:w="1597"/>
        <w:gridCol w:w="4139"/>
      </w:tblGrid>
      <w:tr w:rsidR="003B6BD9" w14:paraId="2C2456D5" w14:textId="77777777">
        <w:trPr>
          <w:trHeight w:val="906"/>
          <w:tblHeader/>
        </w:trPr>
        <w:tc>
          <w:tcPr>
            <w:tcW w:w="1247"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6B044CF" w14:textId="5D36FDB6" w:rsidR="003B6BD9" w:rsidRDefault="009E25E8">
            <w:pPr>
              <w:pStyle w:val="P68B1DB1-Normal17"/>
              <w:spacing w:before="0" w:after="0" w:line="276" w:lineRule="auto"/>
              <w:jc w:val="center"/>
              <w:rPr>
                <w:rFonts w:eastAsia="Times New Roman"/>
                <w:noProof/>
              </w:rPr>
            </w:pPr>
            <w:r>
              <w:rPr>
                <w:noProof/>
              </w:rPr>
              <w:t>Et suivants Non.</w:t>
            </w:r>
          </w:p>
        </w:tc>
        <w:tc>
          <w:tcPr>
            <w:tcW w:w="295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34C8914" w14:textId="77777777" w:rsidR="003B6BD9" w:rsidRDefault="009E25E8">
            <w:pPr>
              <w:pStyle w:val="P68B1DB1-Normal17"/>
              <w:spacing w:before="0" w:after="0" w:line="276" w:lineRule="auto"/>
              <w:jc w:val="center"/>
              <w:rPr>
                <w:rFonts w:eastAsia="Times New Roman"/>
                <w:noProof/>
              </w:rPr>
            </w:pPr>
            <w:r>
              <w:rPr>
                <w:noProof/>
              </w:rPr>
              <w:t>Mesure connexe (réforme ou investissement)</w:t>
            </w:r>
          </w:p>
        </w:tc>
        <w:tc>
          <w:tcPr>
            <w:tcW w:w="141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A336982" w14:textId="77777777" w:rsidR="003B6BD9" w:rsidRDefault="009E25E8">
            <w:pPr>
              <w:pStyle w:val="P68B1DB1-Normal17"/>
              <w:spacing w:before="0" w:after="0" w:line="276" w:lineRule="auto"/>
              <w:jc w:val="center"/>
              <w:rPr>
                <w:rFonts w:eastAsia="Times New Roman"/>
                <w:noProof/>
              </w:rPr>
            </w:pPr>
            <w:r>
              <w:rPr>
                <w:noProof/>
              </w:rPr>
              <w:t>Étape/Objectif</w:t>
            </w:r>
          </w:p>
        </w:tc>
        <w:tc>
          <w:tcPr>
            <w:tcW w:w="4139" w:type="dxa"/>
            <w:vMerge w:val="restart"/>
            <w:tcBorders>
              <w:top w:val="single" w:sz="4" w:space="0" w:color="auto"/>
              <w:left w:val="nil"/>
              <w:bottom w:val="single" w:sz="4" w:space="0" w:color="000000"/>
              <w:right w:val="single" w:sz="4" w:space="0" w:color="auto"/>
            </w:tcBorders>
            <w:shd w:val="clear" w:color="auto" w:fill="BDD7EE"/>
            <w:vAlign w:val="center"/>
            <w:hideMark/>
          </w:tcPr>
          <w:p w14:paraId="11635E46" w14:textId="77777777" w:rsidR="003B6BD9" w:rsidRDefault="009E25E8">
            <w:pPr>
              <w:pStyle w:val="P68B1DB1-Normal17"/>
              <w:spacing w:before="0" w:after="0" w:line="276" w:lineRule="auto"/>
              <w:jc w:val="center"/>
              <w:rPr>
                <w:rFonts w:eastAsia="Times New Roman"/>
                <w:noProof/>
              </w:rPr>
            </w:pPr>
            <w:r>
              <w:rPr>
                <w:noProof/>
              </w:rPr>
              <w:t>Nom</w:t>
            </w:r>
          </w:p>
        </w:tc>
      </w:tr>
      <w:tr w:rsidR="003B6BD9" w14:paraId="1C1C86E2" w14:textId="77777777">
        <w:trPr>
          <w:trHeight w:val="309"/>
        </w:trPr>
        <w:tc>
          <w:tcPr>
            <w:tcW w:w="1247" w:type="dxa"/>
            <w:vMerge/>
            <w:tcBorders>
              <w:top w:val="single" w:sz="4" w:space="0" w:color="auto"/>
              <w:left w:val="single" w:sz="4" w:space="0" w:color="auto"/>
              <w:bottom w:val="single" w:sz="4" w:space="0" w:color="000000"/>
              <w:right w:val="single" w:sz="4" w:space="0" w:color="auto"/>
            </w:tcBorders>
            <w:vAlign w:val="center"/>
            <w:hideMark/>
          </w:tcPr>
          <w:p w14:paraId="0923F416" w14:textId="77777777" w:rsidR="003B6BD9" w:rsidRDefault="003B6BD9">
            <w:pPr>
              <w:spacing w:before="0" w:after="0" w:line="276" w:lineRule="auto"/>
              <w:jc w:val="center"/>
              <w:rPr>
                <w:rFonts w:eastAsia="Times New Roman"/>
                <w:b/>
                <w:noProof/>
                <w:sz w:val="22"/>
                <w:szCs w:val="24"/>
              </w:rPr>
            </w:pPr>
          </w:p>
        </w:tc>
        <w:tc>
          <w:tcPr>
            <w:tcW w:w="2955" w:type="dxa"/>
            <w:vMerge/>
            <w:tcBorders>
              <w:top w:val="single" w:sz="4" w:space="0" w:color="auto"/>
              <w:left w:val="single" w:sz="4" w:space="0" w:color="auto"/>
              <w:bottom w:val="single" w:sz="4" w:space="0" w:color="000000"/>
              <w:right w:val="single" w:sz="4" w:space="0" w:color="auto"/>
            </w:tcBorders>
            <w:vAlign w:val="center"/>
            <w:hideMark/>
          </w:tcPr>
          <w:p w14:paraId="4357A724" w14:textId="77777777" w:rsidR="003B6BD9" w:rsidRDefault="003B6BD9">
            <w:pPr>
              <w:spacing w:before="0" w:after="0" w:line="276" w:lineRule="auto"/>
              <w:rPr>
                <w:rFonts w:eastAsia="Times New Roman"/>
                <w:b/>
                <w:noProof/>
                <w:sz w:val="22"/>
                <w:szCs w:val="24"/>
              </w:rPr>
            </w:pPr>
          </w:p>
        </w:tc>
        <w:tc>
          <w:tcPr>
            <w:tcW w:w="1410" w:type="dxa"/>
            <w:vMerge/>
            <w:tcBorders>
              <w:top w:val="single" w:sz="4" w:space="0" w:color="auto"/>
              <w:left w:val="single" w:sz="4" w:space="0" w:color="auto"/>
              <w:bottom w:val="single" w:sz="4" w:space="0" w:color="000000"/>
              <w:right w:val="single" w:sz="4" w:space="0" w:color="auto"/>
            </w:tcBorders>
            <w:vAlign w:val="center"/>
            <w:hideMark/>
          </w:tcPr>
          <w:p w14:paraId="14B3DDEE" w14:textId="77777777" w:rsidR="003B6BD9" w:rsidRDefault="003B6BD9">
            <w:pPr>
              <w:spacing w:before="0" w:after="0" w:line="276" w:lineRule="auto"/>
              <w:rPr>
                <w:rFonts w:eastAsia="Times New Roman"/>
                <w:b/>
                <w:noProof/>
                <w:sz w:val="22"/>
                <w:szCs w:val="24"/>
              </w:rPr>
            </w:pPr>
          </w:p>
        </w:tc>
        <w:tc>
          <w:tcPr>
            <w:tcW w:w="4139" w:type="dxa"/>
            <w:vMerge/>
            <w:tcBorders>
              <w:top w:val="single" w:sz="4" w:space="0" w:color="auto"/>
              <w:left w:val="nil"/>
              <w:bottom w:val="single" w:sz="4" w:space="0" w:color="000000"/>
              <w:right w:val="single" w:sz="4" w:space="0" w:color="auto"/>
            </w:tcBorders>
            <w:vAlign w:val="center"/>
            <w:hideMark/>
          </w:tcPr>
          <w:p w14:paraId="5355C2BC" w14:textId="77777777" w:rsidR="003B6BD9" w:rsidRDefault="003B6BD9">
            <w:pPr>
              <w:spacing w:before="0" w:after="0" w:line="276" w:lineRule="auto"/>
              <w:rPr>
                <w:rFonts w:eastAsia="Times New Roman"/>
                <w:b/>
                <w:noProof/>
                <w:sz w:val="22"/>
                <w:szCs w:val="24"/>
              </w:rPr>
            </w:pPr>
          </w:p>
        </w:tc>
      </w:tr>
      <w:tr w:rsidR="003B6BD9" w14:paraId="230B56A4"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10844689" w14:textId="006BAAAC" w:rsidR="003B6BD9" w:rsidRDefault="009E25E8">
            <w:pPr>
              <w:pStyle w:val="P68B1DB1-Normal18"/>
              <w:spacing w:before="0" w:after="0" w:line="276" w:lineRule="auto"/>
              <w:jc w:val="center"/>
              <w:rPr>
                <w:rFonts w:eastAsia="Times New Roman"/>
                <w:noProof/>
              </w:rPr>
            </w:pPr>
            <w:r>
              <w:rPr>
                <w:noProof/>
              </w:rPr>
              <w:t>49</w:t>
            </w:r>
          </w:p>
        </w:tc>
        <w:tc>
          <w:tcPr>
            <w:tcW w:w="2955" w:type="dxa"/>
            <w:tcBorders>
              <w:top w:val="nil"/>
              <w:left w:val="nil"/>
              <w:bottom w:val="single" w:sz="4" w:space="0" w:color="auto"/>
              <w:right w:val="single" w:sz="4" w:space="0" w:color="auto"/>
            </w:tcBorders>
            <w:shd w:val="clear" w:color="auto" w:fill="C6EFCE"/>
            <w:noWrap/>
            <w:vAlign w:val="center"/>
            <w:hideMark/>
          </w:tcPr>
          <w:p w14:paraId="3D92B77C" w14:textId="2961A2C1" w:rsidR="003B6BD9" w:rsidRDefault="009E25E8">
            <w:pPr>
              <w:pStyle w:val="P68B1DB1-Normal18"/>
              <w:spacing w:before="0" w:after="0" w:line="276" w:lineRule="auto"/>
              <w:rPr>
                <w:rFonts w:eastAsia="Times New Roman"/>
                <w:noProof/>
              </w:rPr>
            </w:pPr>
            <w:r>
              <w:rPr>
                <w:noProof/>
              </w:rPr>
              <w:t>D: Améliorer l’efficacité du fonctionnement des services publics de protection de l’environnement</w:t>
            </w:r>
          </w:p>
        </w:tc>
        <w:tc>
          <w:tcPr>
            <w:tcW w:w="1410" w:type="dxa"/>
            <w:tcBorders>
              <w:top w:val="nil"/>
              <w:left w:val="nil"/>
              <w:bottom w:val="single" w:sz="4" w:space="0" w:color="auto"/>
              <w:right w:val="single" w:sz="4" w:space="0" w:color="auto"/>
            </w:tcBorders>
            <w:shd w:val="clear" w:color="auto" w:fill="C6EFCE"/>
            <w:noWrap/>
            <w:vAlign w:val="center"/>
            <w:hideMark/>
          </w:tcPr>
          <w:p w14:paraId="4095DA7D" w14:textId="02626630" w:rsidR="003B6BD9" w:rsidRDefault="009E25E8">
            <w:pPr>
              <w:pStyle w:val="P68B1DB1-Normal18"/>
              <w:spacing w:before="0" w:after="0" w:line="276" w:lineRule="auto"/>
              <w:rPr>
                <w:rFonts w:eastAsia="Times New Roman"/>
                <w:noProof/>
              </w:rPr>
            </w:pPr>
            <w:r>
              <w:rPr>
                <w:noProof/>
              </w:rPr>
              <w:t>Jalon</w:t>
            </w:r>
          </w:p>
        </w:tc>
        <w:tc>
          <w:tcPr>
            <w:tcW w:w="4139" w:type="dxa"/>
            <w:tcBorders>
              <w:top w:val="nil"/>
              <w:left w:val="nil"/>
              <w:bottom w:val="single" w:sz="4" w:space="0" w:color="auto"/>
              <w:right w:val="single" w:sz="4" w:space="0" w:color="auto"/>
            </w:tcBorders>
            <w:shd w:val="clear" w:color="auto" w:fill="C6EFCE"/>
            <w:noWrap/>
            <w:vAlign w:val="center"/>
            <w:hideMark/>
          </w:tcPr>
          <w:p w14:paraId="4FEBC5AD" w14:textId="21B00ECE" w:rsidR="003B6BD9" w:rsidRDefault="009E25E8">
            <w:pPr>
              <w:pStyle w:val="P68B1DB1-Normal18"/>
              <w:spacing w:before="0" w:after="0" w:line="276" w:lineRule="auto"/>
              <w:rPr>
                <w:rFonts w:eastAsia="Times New Roman"/>
                <w:noProof/>
              </w:rPr>
            </w:pPr>
            <w:r>
              <w:rPr>
                <w:noProof/>
              </w:rPr>
              <w:t>Entrée en vigueur du ou des actes législatifs et du ou des règlements relatifs à la mise en œuvre des services publics de protection de l’environnement</w:t>
            </w:r>
          </w:p>
        </w:tc>
      </w:tr>
      <w:tr w:rsidR="003B6BD9" w14:paraId="608B1E4A" w14:textId="77777777">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CE326C" w14:textId="77777777" w:rsidR="003B6BD9" w:rsidRDefault="003B6BD9">
            <w:pPr>
              <w:spacing w:before="0" w:after="0" w:line="276" w:lineRule="auto"/>
              <w:jc w:val="center"/>
              <w:rPr>
                <w:rFonts w:eastAsia="Times New Roman"/>
                <w:noProof/>
                <w:color w:val="006100"/>
                <w:sz w:val="22"/>
              </w:rPr>
            </w:pPr>
          </w:p>
        </w:tc>
        <w:tc>
          <w:tcPr>
            <w:tcW w:w="2955" w:type="dxa"/>
            <w:tcBorders>
              <w:top w:val="single" w:sz="4" w:space="0" w:color="auto"/>
              <w:left w:val="nil"/>
              <w:bottom w:val="single" w:sz="4" w:space="0" w:color="auto"/>
              <w:right w:val="single" w:sz="4" w:space="0" w:color="auto"/>
            </w:tcBorders>
            <w:shd w:val="clear" w:color="auto" w:fill="C6EFCE"/>
            <w:noWrap/>
            <w:vAlign w:val="center"/>
          </w:tcPr>
          <w:p w14:paraId="7C712B6D" w14:textId="77777777" w:rsidR="003B6BD9" w:rsidRDefault="003B6BD9">
            <w:pPr>
              <w:spacing w:before="0" w:after="0" w:line="276" w:lineRule="auto"/>
              <w:rPr>
                <w:rFonts w:eastAsia="Times New Roman"/>
                <w:noProof/>
                <w:color w:val="006100"/>
                <w:sz w:val="22"/>
              </w:rPr>
            </w:pP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C9BFEC5" w14:textId="02BE6DC5" w:rsidR="003B6BD9" w:rsidRDefault="009E25E8">
            <w:pPr>
              <w:pStyle w:val="P68B1DB1-Normal20"/>
              <w:spacing w:before="0" w:after="0" w:line="276" w:lineRule="auto"/>
              <w:rPr>
                <w:rFonts w:eastAsia="Times New Roman"/>
                <w:noProof/>
              </w:rPr>
            </w:pPr>
            <w:r>
              <w:rPr>
                <w:noProof/>
              </w:rPr>
              <w:t>Montant de l’acompte</w:t>
            </w:r>
          </w:p>
        </w:tc>
        <w:tc>
          <w:tcPr>
            <w:tcW w:w="4139" w:type="dxa"/>
            <w:tcBorders>
              <w:top w:val="single" w:sz="4" w:space="0" w:color="auto"/>
              <w:left w:val="nil"/>
              <w:bottom w:val="single" w:sz="4" w:space="0" w:color="auto"/>
              <w:right w:val="single" w:sz="4" w:space="0" w:color="auto"/>
            </w:tcBorders>
            <w:shd w:val="clear" w:color="auto" w:fill="C6EFCE"/>
            <w:noWrap/>
            <w:vAlign w:val="center"/>
          </w:tcPr>
          <w:p w14:paraId="27897CF2" w14:textId="65800E71" w:rsidR="003B6BD9" w:rsidRDefault="009E25E8">
            <w:pPr>
              <w:pStyle w:val="P68B1DB1-Normal20"/>
              <w:spacing w:before="0" w:after="0" w:line="276" w:lineRule="auto"/>
              <w:rPr>
                <w:rFonts w:eastAsia="Times New Roman"/>
                <w:noProof/>
              </w:rPr>
            </w:pPr>
            <w:r>
              <w:rPr>
                <w:noProof/>
              </w:rPr>
              <w:t>39 564 351 EUR</w:t>
            </w:r>
          </w:p>
        </w:tc>
      </w:tr>
    </w:tbl>
    <w:p w14:paraId="7ADE2E6F" w14:textId="1EFAD950" w:rsidR="003B6BD9" w:rsidRDefault="003B6BD9">
      <w:pPr>
        <w:spacing w:line="240" w:lineRule="auto"/>
        <w:jc w:val="both"/>
        <w:rPr>
          <w:rFonts w:eastAsia="Times New Roman"/>
          <w:b/>
          <w:i/>
          <w:noProof/>
          <w:color w:val="4F81BD"/>
        </w:rPr>
      </w:pPr>
    </w:p>
    <w:p w14:paraId="2CA0F78B" w14:textId="4E3C3F31" w:rsidR="003B6BD9" w:rsidRDefault="009E25E8">
      <w:pPr>
        <w:numPr>
          <w:ilvl w:val="1"/>
          <w:numId w:val="18"/>
        </w:numPr>
        <w:spacing w:before="0" w:after="200" w:line="240" w:lineRule="auto"/>
        <w:jc w:val="both"/>
        <w:rPr>
          <w:b/>
          <w:noProof/>
        </w:rPr>
      </w:pPr>
      <w:r>
        <w:rPr>
          <w:noProof/>
        </w:rPr>
        <w:t>Quatrième tranche (soutien sous forme de prêt):</w:t>
      </w:r>
    </w:p>
    <w:tbl>
      <w:tblPr>
        <w:tblW w:w="9722" w:type="dxa"/>
        <w:tblInd w:w="113" w:type="dxa"/>
        <w:tblLook w:val="04A0" w:firstRow="1" w:lastRow="0" w:firstColumn="1" w:lastColumn="0" w:noHBand="0" w:noVBand="1"/>
      </w:tblPr>
      <w:tblGrid>
        <w:gridCol w:w="1247"/>
        <w:gridCol w:w="3118"/>
        <w:gridCol w:w="1670"/>
        <w:gridCol w:w="3687"/>
      </w:tblGrid>
      <w:tr w:rsidR="003B6BD9" w14:paraId="1510679F" w14:textId="77777777">
        <w:trPr>
          <w:trHeight w:val="906"/>
          <w:tblHeader/>
        </w:trPr>
        <w:tc>
          <w:tcPr>
            <w:tcW w:w="124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31F062" w14:textId="1600A02F" w:rsidR="003B6BD9" w:rsidRDefault="009E25E8">
            <w:pPr>
              <w:pStyle w:val="P68B1DB1-Normal17"/>
              <w:spacing w:before="0" w:after="0" w:line="276" w:lineRule="auto"/>
              <w:jc w:val="center"/>
              <w:rPr>
                <w:rFonts w:eastAsia="Times New Roman"/>
                <w:noProof/>
              </w:rPr>
            </w:pPr>
            <w:r>
              <w:rPr>
                <w:noProof/>
              </w:rPr>
              <w:t>Et suivants Non.</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DFA97C" w14:textId="77777777" w:rsidR="003B6BD9" w:rsidRDefault="009E25E8">
            <w:pPr>
              <w:pStyle w:val="P68B1DB1-Normal17"/>
              <w:spacing w:before="0" w:after="0" w:line="276" w:lineRule="auto"/>
              <w:jc w:val="center"/>
              <w:rPr>
                <w:rFonts w:eastAsia="Times New Roman"/>
                <w:noProof/>
              </w:rPr>
            </w:pPr>
            <w:r>
              <w:rPr>
                <w:noProof/>
              </w:rPr>
              <w:t>Mesure connexe (réforme ou investissement)</w:t>
            </w:r>
          </w:p>
        </w:tc>
        <w:tc>
          <w:tcPr>
            <w:tcW w:w="16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75B145" w14:textId="77777777" w:rsidR="003B6BD9" w:rsidRDefault="009E25E8">
            <w:pPr>
              <w:pStyle w:val="P68B1DB1-Normal17"/>
              <w:spacing w:before="0" w:after="0" w:line="276" w:lineRule="auto"/>
              <w:jc w:val="center"/>
              <w:rPr>
                <w:rFonts w:eastAsia="Times New Roman"/>
                <w:noProof/>
              </w:rPr>
            </w:pPr>
            <w:r>
              <w:rPr>
                <w:noProof/>
              </w:rPr>
              <w:t>Étape/Objectif</w:t>
            </w:r>
          </w:p>
        </w:tc>
        <w:tc>
          <w:tcPr>
            <w:tcW w:w="368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1E78E2" w14:textId="77777777" w:rsidR="003B6BD9" w:rsidRDefault="009E25E8">
            <w:pPr>
              <w:pStyle w:val="P68B1DB1-Normal17"/>
              <w:spacing w:before="0" w:after="0" w:line="276" w:lineRule="auto"/>
              <w:jc w:val="center"/>
              <w:rPr>
                <w:rFonts w:eastAsia="Times New Roman"/>
                <w:noProof/>
              </w:rPr>
            </w:pPr>
            <w:r>
              <w:rPr>
                <w:noProof/>
              </w:rPr>
              <w:t>Nom</w:t>
            </w:r>
          </w:p>
        </w:tc>
      </w:tr>
      <w:tr w:rsidR="003B6BD9" w14:paraId="43D460EC" w14:textId="77777777">
        <w:trPr>
          <w:trHeight w:val="309"/>
        </w:trPr>
        <w:tc>
          <w:tcPr>
            <w:tcW w:w="1247" w:type="dxa"/>
            <w:vMerge/>
            <w:tcBorders>
              <w:top w:val="single" w:sz="4" w:space="0" w:color="auto"/>
              <w:left w:val="single" w:sz="4" w:space="0" w:color="auto"/>
              <w:bottom w:val="single" w:sz="4" w:space="0" w:color="auto"/>
              <w:right w:val="single" w:sz="4" w:space="0" w:color="auto"/>
            </w:tcBorders>
            <w:vAlign w:val="center"/>
            <w:hideMark/>
          </w:tcPr>
          <w:p w14:paraId="3163F96F" w14:textId="77777777" w:rsidR="003B6BD9" w:rsidRDefault="003B6BD9">
            <w:pPr>
              <w:spacing w:before="0" w:after="0" w:line="276" w:lineRule="auto"/>
              <w:jc w:val="center"/>
              <w:rPr>
                <w:rFonts w:eastAsia="Times New Roman"/>
                <w:b/>
                <w:noProof/>
                <w:sz w:val="22"/>
                <w:szCs w:val="24"/>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6364D36A" w14:textId="77777777" w:rsidR="003B6BD9" w:rsidRDefault="003B6BD9">
            <w:pPr>
              <w:spacing w:before="0" w:after="0" w:line="276" w:lineRule="auto"/>
              <w:rPr>
                <w:rFonts w:eastAsia="Times New Roman"/>
                <w:b/>
                <w:noProof/>
                <w:sz w:val="22"/>
                <w:szCs w:val="24"/>
              </w:rPr>
            </w:pPr>
          </w:p>
        </w:tc>
        <w:tc>
          <w:tcPr>
            <w:tcW w:w="1670" w:type="dxa"/>
            <w:vMerge/>
            <w:tcBorders>
              <w:top w:val="single" w:sz="4" w:space="0" w:color="auto"/>
              <w:left w:val="single" w:sz="4" w:space="0" w:color="auto"/>
              <w:bottom w:val="single" w:sz="4" w:space="0" w:color="auto"/>
              <w:right w:val="single" w:sz="4" w:space="0" w:color="auto"/>
            </w:tcBorders>
            <w:vAlign w:val="center"/>
            <w:hideMark/>
          </w:tcPr>
          <w:p w14:paraId="2E0F7D46" w14:textId="77777777" w:rsidR="003B6BD9" w:rsidRDefault="003B6BD9">
            <w:pPr>
              <w:spacing w:before="0" w:after="0" w:line="276" w:lineRule="auto"/>
              <w:rPr>
                <w:rFonts w:eastAsia="Times New Roman"/>
                <w:b/>
                <w:noProof/>
                <w:sz w:val="22"/>
                <w:szCs w:val="24"/>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14:paraId="2345B242" w14:textId="77777777" w:rsidR="003B6BD9" w:rsidRDefault="003B6BD9">
            <w:pPr>
              <w:spacing w:before="0" w:after="0" w:line="276" w:lineRule="auto"/>
              <w:rPr>
                <w:rFonts w:eastAsia="Times New Roman"/>
                <w:b/>
                <w:noProof/>
                <w:sz w:val="22"/>
                <w:szCs w:val="24"/>
              </w:rPr>
            </w:pPr>
          </w:p>
        </w:tc>
      </w:tr>
      <w:tr w:rsidR="003B6BD9" w14:paraId="5E440BA0" w14:textId="77777777">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44B807" w14:textId="3D7F41F4" w:rsidR="003B6BD9" w:rsidRDefault="009E25E8">
            <w:pPr>
              <w:pStyle w:val="P68B1DB1-Normal18"/>
              <w:spacing w:before="0" w:after="0" w:line="276" w:lineRule="auto"/>
              <w:jc w:val="center"/>
              <w:rPr>
                <w:rFonts w:eastAsia="Times New Roman"/>
                <w:noProof/>
              </w:rPr>
            </w:pPr>
            <w:r>
              <w:rPr>
                <w:noProof/>
              </w:rPr>
              <w:t>16</w:t>
            </w:r>
          </w:p>
        </w:tc>
        <w:tc>
          <w:tcPr>
            <w:tcW w:w="3118" w:type="dxa"/>
            <w:tcBorders>
              <w:top w:val="single" w:sz="4" w:space="0" w:color="auto"/>
              <w:left w:val="nil"/>
              <w:bottom w:val="single" w:sz="4" w:space="0" w:color="auto"/>
              <w:right w:val="single" w:sz="4" w:space="0" w:color="auto"/>
            </w:tcBorders>
            <w:shd w:val="clear" w:color="auto" w:fill="C6EFCE"/>
            <w:noWrap/>
            <w:vAlign w:val="center"/>
            <w:hideMark/>
          </w:tcPr>
          <w:p w14:paraId="0F54C162" w14:textId="77777777" w:rsidR="003B6BD9" w:rsidRDefault="009E25E8">
            <w:pPr>
              <w:pStyle w:val="P68B1DB1-Normal18"/>
              <w:spacing w:before="0" w:after="0" w:line="276" w:lineRule="auto"/>
              <w:rPr>
                <w:rFonts w:eastAsia="Times New Roman"/>
                <w:noProof/>
              </w:rPr>
            </w:pPr>
            <w:r>
              <w:rPr>
                <w:noProof/>
              </w:rPr>
              <w:t>E: Production d’électricité à partir de sources d’énergie renouvelables</w:t>
            </w:r>
          </w:p>
        </w:tc>
        <w:tc>
          <w:tcPr>
            <w:tcW w:w="1670" w:type="dxa"/>
            <w:tcBorders>
              <w:top w:val="single" w:sz="4" w:space="0" w:color="auto"/>
              <w:left w:val="nil"/>
              <w:bottom w:val="single" w:sz="4" w:space="0" w:color="auto"/>
              <w:right w:val="single" w:sz="4" w:space="0" w:color="auto"/>
            </w:tcBorders>
            <w:shd w:val="clear" w:color="auto" w:fill="C6EFCE"/>
            <w:noWrap/>
            <w:vAlign w:val="center"/>
            <w:hideMark/>
          </w:tcPr>
          <w:p w14:paraId="418B821A" w14:textId="77777777" w:rsidR="003B6BD9" w:rsidRDefault="009E25E8">
            <w:pPr>
              <w:pStyle w:val="P68B1DB1-Normal18"/>
              <w:spacing w:before="0" w:after="0" w:line="276" w:lineRule="auto"/>
              <w:rPr>
                <w:rFonts w:eastAsia="Times New Roman"/>
                <w:noProof/>
              </w:rPr>
            </w:pPr>
            <w:r>
              <w:rPr>
                <w:noProof/>
              </w:rPr>
              <w:t>Cible</w:t>
            </w:r>
          </w:p>
        </w:tc>
        <w:tc>
          <w:tcPr>
            <w:tcW w:w="3687" w:type="dxa"/>
            <w:tcBorders>
              <w:top w:val="single" w:sz="4" w:space="0" w:color="auto"/>
              <w:left w:val="nil"/>
              <w:bottom w:val="single" w:sz="4" w:space="0" w:color="auto"/>
              <w:right w:val="single" w:sz="4" w:space="0" w:color="auto"/>
            </w:tcBorders>
            <w:shd w:val="clear" w:color="auto" w:fill="C6EFCE"/>
            <w:noWrap/>
            <w:vAlign w:val="center"/>
            <w:hideMark/>
          </w:tcPr>
          <w:p w14:paraId="200AED73" w14:textId="0F89F9BE" w:rsidR="003B6BD9" w:rsidRDefault="009E25E8">
            <w:pPr>
              <w:pStyle w:val="P68B1DB1-Normal18"/>
              <w:spacing w:before="0" w:after="0" w:line="276" w:lineRule="auto"/>
              <w:rPr>
                <w:rFonts w:eastAsia="Times New Roman"/>
                <w:noProof/>
              </w:rPr>
            </w:pPr>
            <w:r>
              <w:rPr>
                <w:noProof/>
              </w:rPr>
              <w:t>Capacité installée en matière d’énergies renouvelables</w:t>
            </w:r>
          </w:p>
        </w:tc>
      </w:tr>
      <w:tr w:rsidR="003B6BD9" w14:paraId="753BDBEE"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A3DF05E" w14:textId="420920FB" w:rsidR="003B6BD9" w:rsidRDefault="009E25E8">
            <w:pPr>
              <w:pStyle w:val="P68B1DB1-Normal18"/>
              <w:spacing w:before="0" w:after="0" w:line="276" w:lineRule="auto"/>
              <w:jc w:val="center"/>
              <w:rPr>
                <w:rFonts w:eastAsia="Times New Roman"/>
                <w:noProof/>
              </w:rPr>
            </w:pPr>
            <w:r>
              <w:rPr>
                <w:noProof/>
              </w:rPr>
              <w:t>27 bis</w:t>
            </w:r>
          </w:p>
        </w:tc>
        <w:tc>
          <w:tcPr>
            <w:tcW w:w="3118" w:type="dxa"/>
            <w:tcBorders>
              <w:top w:val="nil"/>
              <w:left w:val="nil"/>
              <w:bottom w:val="single" w:sz="4" w:space="0" w:color="auto"/>
              <w:right w:val="single" w:sz="4" w:space="0" w:color="auto"/>
            </w:tcBorders>
            <w:shd w:val="clear" w:color="auto" w:fill="C6EFCE"/>
            <w:noWrap/>
            <w:vAlign w:val="center"/>
          </w:tcPr>
          <w:p w14:paraId="553B1785" w14:textId="32C08444" w:rsidR="003B6BD9" w:rsidRDefault="009E25E8">
            <w:pPr>
              <w:pStyle w:val="P68B1DB1-Normal18"/>
              <w:spacing w:before="0" w:after="0" w:line="276" w:lineRule="auto"/>
              <w:rPr>
                <w:rFonts w:eastAsia="Times New Roman"/>
                <w:noProof/>
              </w:rPr>
            </w:pPr>
            <w:r>
              <w:rPr>
                <w:noProof/>
              </w:rPr>
              <w:t>B: Poursuite de la rénovation durable des bâtiments</w:t>
            </w:r>
          </w:p>
        </w:tc>
        <w:tc>
          <w:tcPr>
            <w:tcW w:w="1670" w:type="dxa"/>
            <w:tcBorders>
              <w:top w:val="nil"/>
              <w:left w:val="nil"/>
              <w:bottom w:val="single" w:sz="4" w:space="0" w:color="auto"/>
              <w:right w:val="single" w:sz="4" w:space="0" w:color="auto"/>
            </w:tcBorders>
            <w:shd w:val="clear" w:color="auto" w:fill="C6EFCE"/>
            <w:noWrap/>
            <w:vAlign w:val="center"/>
          </w:tcPr>
          <w:p w14:paraId="57022D32" w14:textId="1E9EE4FE" w:rsidR="003B6BD9" w:rsidRDefault="009E25E8">
            <w:pPr>
              <w:pStyle w:val="P68B1DB1-Normal18"/>
              <w:spacing w:before="0" w:after="0" w:line="276" w:lineRule="auto"/>
              <w:rPr>
                <w:rFonts w:eastAsia="Times New Roman"/>
                <w:noProof/>
              </w:rPr>
            </w:pPr>
            <w:r>
              <w:rPr>
                <w:noProof/>
              </w:rPr>
              <w:t>Cible</w:t>
            </w:r>
          </w:p>
        </w:tc>
        <w:tc>
          <w:tcPr>
            <w:tcW w:w="3687" w:type="dxa"/>
            <w:tcBorders>
              <w:top w:val="nil"/>
              <w:left w:val="nil"/>
              <w:bottom w:val="single" w:sz="4" w:space="0" w:color="auto"/>
              <w:right w:val="single" w:sz="4" w:space="0" w:color="auto"/>
            </w:tcBorders>
            <w:shd w:val="clear" w:color="auto" w:fill="C6EFCE"/>
            <w:noWrap/>
            <w:vAlign w:val="center"/>
          </w:tcPr>
          <w:p w14:paraId="098CB5E1" w14:textId="5F1A12F8" w:rsidR="003B6BD9" w:rsidRDefault="009E25E8">
            <w:pPr>
              <w:pStyle w:val="P68B1DB1-Normal18"/>
              <w:spacing w:before="0" w:after="0" w:line="276" w:lineRule="auto"/>
              <w:rPr>
                <w:rFonts w:eastAsia="Times New Roman"/>
                <w:noProof/>
              </w:rPr>
            </w:pPr>
            <w:r>
              <w:rPr>
                <w:noProof/>
              </w:rPr>
              <w:t>Rénovation de bâtiments</w:t>
            </w:r>
          </w:p>
        </w:tc>
      </w:tr>
      <w:tr w:rsidR="003B6BD9" w14:paraId="1283197F"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6BA9662F" w14:textId="6DBD8B08" w:rsidR="003B6BD9" w:rsidRDefault="009E25E8">
            <w:pPr>
              <w:pStyle w:val="P68B1DB1-Normal18"/>
              <w:spacing w:before="0" w:after="0" w:line="276" w:lineRule="auto"/>
              <w:jc w:val="center"/>
              <w:rPr>
                <w:rFonts w:eastAsia="Times New Roman"/>
                <w:noProof/>
              </w:rPr>
            </w:pPr>
            <w:r>
              <w:rPr>
                <w:noProof/>
              </w:rPr>
              <w:t>27ter</w:t>
            </w:r>
          </w:p>
        </w:tc>
        <w:tc>
          <w:tcPr>
            <w:tcW w:w="3118" w:type="dxa"/>
            <w:tcBorders>
              <w:top w:val="nil"/>
              <w:left w:val="nil"/>
              <w:bottom w:val="single" w:sz="4" w:space="0" w:color="auto"/>
              <w:right w:val="single" w:sz="4" w:space="0" w:color="auto"/>
            </w:tcBorders>
            <w:shd w:val="clear" w:color="auto" w:fill="C6EFCE"/>
            <w:noWrap/>
            <w:vAlign w:val="center"/>
          </w:tcPr>
          <w:p w14:paraId="5CC20379" w14:textId="120EF72D" w:rsidR="003B6BD9" w:rsidRDefault="009E25E8">
            <w:pPr>
              <w:pStyle w:val="P68B1DB1-Normal18"/>
              <w:spacing w:before="0" w:after="0" w:line="276" w:lineRule="auto"/>
              <w:rPr>
                <w:rFonts w:eastAsia="Times New Roman"/>
                <w:noProof/>
              </w:rPr>
            </w:pPr>
            <w:r>
              <w:rPr>
                <w:noProof/>
              </w:rPr>
              <w:t>B: Poursuite de la rénovation durable des bâtiments</w:t>
            </w:r>
          </w:p>
        </w:tc>
        <w:tc>
          <w:tcPr>
            <w:tcW w:w="1670" w:type="dxa"/>
            <w:tcBorders>
              <w:top w:val="nil"/>
              <w:left w:val="nil"/>
              <w:bottom w:val="single" w:sz="4" w:space="0" w:color="auto"/>
              <w:right w:val="single" w:sz="4" w:space="0" w:color="auto"/>
            </w:tcBorders>
            <w:shd w:val="clear" w:color="auto" w:fill="C6EFCE"/>
            <w:noWrap/>
            <w:vAlign w:val="center"/>
          </w:tcPr>
          <w:p w14:paraId="1A0C1E7D" w14:textId="632D2A6D" w:rsidR="003B6BD9" w:rsidRDefault="009E25E8">
            <w:pPr>
              <w:pStyle w:val="P68B1DB1-Normal18"/>
              <w:spacing w:before="0" w:after="0" w:line="276" w:lineRule="auto"/>
              <w:rPr>
                <w:rFonts w:eastAsia="Times New Roman"/>
                <w:noProof/>
              </w:rPr>
            </w:pPr>
            <w:r>
              <w:rPr>
                <w:noProof/>
              </w:rPr>
              <w:t>Cible</w:t>
            </w:r>
          </w:p>
        </w:tc>
        <w:tc>
          <w:tcPr>
            <w:tcW w:w="3687" w:type="dxa"/>
            <w:tcBorders>
              <w:top w:val="nil"/>
              <w:left w:val="nil"/>
              <w:bottom w:val="single" w:sz="4" w:space="0" w:color="auto"/>
              <w:right w:val="single" w:sz="4" w:space="0" w:color="auto"/>
            </w:tcBorders>
            <w:shd w:val="clear" w:color="auto" w:fill="C6EFCE"/>
            <w:noWrap/>
            <w:vAlign w:val="center"/>
          </w:tcPr>
          <w:p w14:paraId="5DFA599B" w14:textId="43EE6035" w:rsidR="003B6BD9" w:rsidRDefault="009E25E8">
            <w:pPr>
              <w:pStyle w:val="P68B1DB1-Normal18"/>
              <w:spacing w:before="0" w:after="0" w:line="276" w:lineRule="auto"/>
              <w:rPr>
                <w:rFonts w:eastAsia="Times New Roman"/>
                <w:noProof/>
              </w:rPr>
            </w:pPr>
            <w:r>
              <w:rPr>
                <w:noProof/>
              </w:rPr>
              <w:t>Mise à niveau des systèmes techniques de bâtiment</w:t>
            </w:r>
          </w:p>
        </w:tc>
      </w:tr>
      <w:tr w:rsidR="003B6BD9" w14:paraId="3723CDF5"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25898731" w14:textId="561213B1" w:rsidR="003B6BD9" w:rsidRDefault="009E25E8">
            <w:pPr>
              <w:pStyle w:val="P68B1DB1-Normal18"/>
              <w:spacing w:before="0" w:after="0" w:line="276" w:lineRule="auto"/>
              <w:jc w:val="center"/>
              <w:rPr>
                <w:noProof/>
              </w:rPr>
            </w:pPr>
            <w:r>
              <w:rPr>
                <w:noProof/>
              </w:rPr>
              <w:t>33</w:t>
            </w:r>
          </w:p>
        </w:tc>
        <w:tc>
          <w:tcPr>
            <w:tcW w:w="3118" w:type="dxa"/>
            <w:tcBorders>
              <w:top w:val="nil"/>
              <w:left w:val="nil"/>
              <w:bottom w:val="single" w:sz="4" w:space="0" w:color="auto"/>
              <w:right w:val="single" w:sz="4" w:space="0" w:color="auto"/>
            </w:tcBorders>
            <w:shd w:val="clear" w:color="auto" w:fill="C6EFCE"/>
            <w:noWrap/>
            <w:vAlign w:val="center"/>
          </w:tcPr>
          <w:p w14:paraId="2814203E" w14:textId="6DA570AB" w:rsidR="003B6BD9" w:rsidRDefault="009E25E8">
            <w:pPr>
              <w:pStyle w:val="P68B1DB1-Normal18"/>
              <w:spacing w:before="0" w:after="0" w:line="276" w:lineRule="auto"/>
              <w:rPr>
                <w:noProof/>
              </w:rPr>
            </w:pPr>
            <w:r>
              <w:rPr>
                <w:noProof/>
              </w:rPr>
              <w:t xml:space="preserve">F: Réduire les risques d’inondation et réduire les risques liés à d’autres catastrophes liées au climat </w:t>
            </w:r>
          </w:p>
        </w:tc>
        <w:tc>
          <w:tcPr>
            <w:tcW w:w="1670" w:type="dxa"/>
            <w:tcBorders>
              <w:top w:val="nil"/>
              <w:left w:val="nil"/>
              <w:bottom w:val="single" w:sz="4" w:space="0" w:color="auto"/>
              <w:right w:val="single" w:sz="4" w:space="0" w:color="auto"/>
            </w:tcBorders>
            <w:shd w:val="clear" w:color="auto" w:fill="C6EFCE"/>
            <w:noWrap/>
            <w:vAlign w:val="center"/>
          </w:tcPr>
          <w:p w14:paraId="2725C244" w14:textId="7EE03A71" w:rsidR="003B6BD9" w:rsidRDefault="009E25E8">
            <w:pPr>
              <w:pStyle w:val="P68B1DB1-Normal18"/>
              <w:spacing w:before="0" w:after="0" w:line="276" w:lineRule="auto"/>
              <w:rPr>
                <w:noProof/>
              </w:rPr>
            </w:pPr>
            <w:r>
              <w:rPr>
                <w:noProof/>
              </w:rPr>
              <w:t>Cible</w:t>
            </w:r>
          </w:p>
        </w:tc>
        <w:tc>
          <w:tcPr>
            <w:tcW w:w="3687" w:type="dxa"/>
            <w:tcBorders>
              <w:top w:val="nil"/>
              <w:left w:val="nil"/>
              <w:bottom w:val="single" w:sz="4" w:space="0" w:color="auto"/>
              <w:right w:val="single" w:sz="4" w:space="0" w:color="auto"/>
            </w:tcBorders>
            <w:shd w:val="clear" w:color="auto" w:fill="C6EFCE"/>
            <w:noWrap/>
            <w:vAlign w:val="center"/>
          </w:tcPr>
          <w:p w14:paraId="6E9A7913" w14:textId="4428650F" w:rsidR="003B6BD9" w:rsidRDefault="009E25E8">
            <w:pPr>
              <w:pStyle w:val="P68B1DB1-Normal18"/>
              <w:spacing w:before="0" w:after="0" w:line="276" w:lineRule="auto"/>
              <w:rPr>
                <w:noProof/>
              </w:rPr>
            </w:pPr>
            <w:r>
              <w:rPr>
                <w:noProof/>
              </w:rPr>
              <w:t>Infrastructures construites ou établies pour réduire au minimum les menaces de glissements de terrain</w:t>
            </w:r>
          </w:p>
        </w:tc>
      </w:tr>
      <w:tr w:rsidR="003B6BD9" w14:paraId="2E27B392"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5A632966" w14:textId="77777777" w:rsidR="003B6BD9" w:rsidRDefault="009E25E8">
            <w:pPr>
              <w:pStyle w:val="P68B1DB1-Normal18"/>
              <w:spacing w:before="0" w:after="0" w:line="276" w:lineRule="auto"/>
              <w:jc w:val="center"/>
              <w:rPr>
                <w:rFonts w:eastAsia="Times New Roman"/>
                <w:noProof/>
              </w:rPr>
            </w:pPr>
            <w:r>
              <w:rPr>
                <w:noProof/>
              </w:rPr>
              <w:t>48</w:t>
            </w:r>
          </w:p>
        </w:tc>
        <w:tc>
          <w:tcPr>
            <w:tcW w:w="3118" w:type="dxa"/>
            <w:tcBorders>
              <w:top w:val="nil"/>
              <w:left w:val="nil"/>
              <w:bottom w:val="single" w:sz="4" w:space="0" w:color="auto"/>
              <w:right w:val="single" w:sz="4" w:space="0" w:color="auto"/>
            </w:tcBorders>
            <w:shd w:val="clear" w:color="auto" w:fill="C6EFCE"/>
            <w:noWrap/>
            <w:vAlign w:val="center"/>
          </w:tcPr>
          <w:p w14:paraId="29380520" w14:textId="77777777" w:rsidR="003B6BD9" w:rsidRDefault="009E25E8">
            <w:pPr>
              <w:pStyle w:val="P68B1DB1-Normal18"/>
              <w:spacing w:before="0" w:after="0" w:line="276" w:lineRule="auto"/>
              <w:rPr>
                <w:rFonts w:eastAsia="Times New Roman"/>
                <w:noProof/>
              </w:rPr>
            </w:pPr>
            <w:r>
              <w:rPr>
                <w:noProof/>
              </w:rPr>
              <w:t xml:space="preserve">F: Poursuivre la réduction des risques d’inondation et des risques liés à d’autres catastrophes liées au climat </w:t>
            </w:r>
          </w:p>
        </w:tc>
        <w:tc>
          <w:tcPr>
            <w:tcW w:w="1670" w:type="dxa"/>
            <w:tcBorders>
              <w:top w:val="nil"/>
              <w:left w:val="nil"/>
              <w:bottom w:val="single" w:sz="4" w:space="0" w:color="auto"/>
              <w:right w:val="single" w:sz="4" w:space="0" w:color="auto"/>
            </w:tcBorders>
            <w:shd w:val="clear" w:color="auto" w:fill="C6EFCE"/>
            <w:noWrap/>
            <w:vAlign w:val="center"/>
          </w:tcPr>
          <w:p w14:paraId="652952A5" w14:textId="77777777" w:rsidR="003B6BD9" w:rsidRDefault="009E25E8">
            <w:pPr>
              <w:pStyle w:val="P68B1DB1-Normal18"/>
              <w:spacing w:before="0" w:after="0" w:line="276" w:lineRule="auto"/>
              <w:rPr>
                <w:rFonts w:eastAsia="Times New Roman"/>
                <w:noProof/>
              </w:rPr>
            </w:pPr>
            <w:r>
              <w:rPr>
                <w:noProof/>
              </w:rPr>
              <w:t>Cible</w:t>
            </w:r>
          </w:p>
        </w:tc>
        <w:tc>
          <w:tcPr>
            <w:tcW w:w="3687" w:type="dxa"/>
            <w:tcBorders>
              <w:top w:val="nil"/>
              <w:left w:val="nil"/>
              <w:bottom w:val="single" w:sz="4" w:space="0" w:color="auto"/>
              <w:right w:val="single" w:sz="4" w:space="0" w:color="auto"/>
            </w:tcBorders>
            <w:shd w:val="clear" w:color="auto" w:fill="C6EFCE"/>
            <w:noWrap/>
            <w:vAlign w:val="center"/>
          </w:tcPr>
          <w:p w14:paraId="7D5482B7" w14:textId="1E3046CA" w:rsidR="003B6BD9" w:rsidRDefault="009E25E8">
            <w:pPr>
              <w:pStyle w:val="P68B1DB1-Normal18"/>
              <w:spacing w:before="0" w:after="0" w:line="276" w:lineRule="auto"/>
              <w:rPr>
                <w:rFonts w:eastAsia="Times New Roman"/>
                <w:noProof/>
              </w:rPr>
            </w:pPr>
            <w:r>
              <w:rPr>
                <w:noProof/>
              </w:rPr>
              <w:t xml:space="preserve">Construction d’infrastructures de protection contre les inondations </w:t>
            </w:r>
          </w:p>
        </w:tc>
      </w:tr>
      <w:tr w:rsidR="003B6BD9" w14:paraId="11F8D155"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011D5DC9" w14:textId="5879D3DA" w:rsidR="003B6BD9" w:rsidRDefault="009E25E8">
            <w:pPr>
              <w:pStyle w:val="P68B1DB1-Normal21"/>
              <w:spacing w:before="0" w:after="0" w:line="276" w:lineRule="auto"/>
              <w:jc w:val="center"/>
              <w:rPr>
                <w:noProof/>
              </w:rPr>
            </w:pPr>
            <w:r>
              <w:rPr>
                <w:noProof/>
              </w:rPr>
              <w:t>48 bis</w:t>
            </w:r>
          </w:p>
        </w:tc>
        <w:tc>
          <w:tcPr>
            <w:tcW w:w="3118" w:type="dxa"/>
            <w:tcBorders>
              <w:top w:val="nil"/>
              <w:left w:val="nil"/>
              <w:bottom w:val="single" w:sz="4" w:space="0" w:color="auto"/>
              <w:right w:val="single" w:sz="4" w:space="0" w:color="auto"/>
            </w:tcBorders>
            <w:shd w:val="clear" w:color="auto" w:fill="C6EFCE"/>
            <w:noWrap/>
            <w:vAlign w:val="center"/>
          </w:tcPr>
          <w:p w14:paraId="5EA386D0" w14:textId="68DA707C" w:rsidR="003B6BD9" w:rsidRDefault="009E25E8">
            <w:pPr>
              <w:pStyle w:val="P68B1DB1-Normal18"/>
              <w:spacing w:before="0" w:after="0" w:line="276" w:lineRule="auto"/>
              <w:rPr>
                <w:noProof/>
              </w:rPr>
            </w:pPr>
            <w:r>
              <w:rPr>
                <w:noProof/>
              </w:rPr>
              <w:t>F: Poursuivre la réduction des risques d’inondation et des risques liés à d’autres catastrophes liées au climat</w:t>
            </w:r>
          </w:p>
        </w:tc>
        <w:tc>
          <w:tcPr>
            <w:tcW w:w="1670" w:type="dxa"/>
            <w:tcBorders>
              <w:top w:val="nil"/>
              <w:left w:val="nil"/>
              <w:bottom w:val="single" w:sz="4" w:space="0" w:color="auto"/>
              <w:right w:val="single" w:sz="4" w:space="0" w:color="auto"/>
            </w:tcBorders>
            <w:shd w:val="clear" w:color="auto" w:fill="C6EFCE"/>
            <w:noWrap/>
            <w:vAlign w:val="center"/>
          </w:tcPr>
          <w:p w14:paraId="4277CC81" w14:textId="340ADAAE" w:rsidR="003B6BD9" w:rsidRDefault="009E25E8">
            <w:pPr>
              <w:pStyle w:val="P68B1DB1-Normal18"/>
              <w:spacing w:before="0" w:after="0" w:line="276" w:lineRule="auto"/>
              <w:rPr>
                <w:noProof/>
              </w:rPr>
            </w:pPr>
            <w:r>
              <w:rPr>
                <w:noProof/>
              </w:rPr>
              <w:t>Jalon</w:t>
            </w:r>
          </w:p>
        </w:tc>
        <w:tc>
          <w:tcPr>
            <w:tcW w:w="3687" w:type="dxa"/>
            <w:tcBorders>
              <w:top w:val="nil"/>
              <w:left w:val="nil"/>
              <w:bottom w:val="single" w:sz="4" w:space="0" w:color="auto"/>
              <w:right w:val="single" w:sz="4" w:space="0" w:color="auto"/>
            </w:tcBorders>
            <w:shd w:val="clear" w:color="auto" w:fill="C6EFCE"/>
            <w:noWrap/>
            <w:vAlign w:val="center"/>
          </w:tcPr>
          <w:p w14:paraId="08ED483C" w14:textId="40E434EB" w:rsidR="003B6BD9" w:rsidRDefault="009E25E8">
            <w:pPr>
              <w:pStyle w:val="P68B1DB1-Normal18"/>
              <w:spacing w:before="0" w:after="0" w:line="276" w:lineRule="auto"/>
              <w:rPr>
                <w:noProof/>
              </w:rPr>
            </w:pPr>
            <w:r>
              <w:rPr>
                <w:noProof/>
              </w:rPr>
              <w:t>Évaluation des risques d’inondation dans les bassins hydrographiques de la République de Slovénie</w:t>
            </w:r>
          </w:p>
        </w:tc>
      </w:tr>
      <w:tr w:rsidR="003B6BD9" w14:paraId="27BDC9B1"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72F581C8" w14:textId="0E8A61BE" w:rsidR="003B6BD9" w:rsidRDefault="009E25E8">
            <w:pPr>
              <w:pStyle w:val="P68B1DB1-Normal18"/>
              <w:spacing w:before="0" w:after="0" w:line="276" w:lineRule="auto"/>
              <w:jc w:val="center"/>
              <w:rPr>
                <w:rFonts w:eastAsia="Times New Roman"/>
                <w:noProof/>
              </w:rPr>
            </w:pPr>
            <w:r>
              <w:rPr>
                <w:noProof/>
              </w:rPr>
              <w:t>51</w:t>
            </w:r>
          </w:p>
        </w:tc>
        <w:tc>
          <w:tcPr>
            <w:tcW w:w="3118" w:type="dxa"/>
            <w:tcBorders>
              <w:top w:val="nil"/>
              <w:left w:val="nil"/>
              <w:bottom w:val="single" w:sz="4" w:space="0" w:color="auto"/>
              <w:right w:val="single" w:sz="4" w:space="0" w:color="auto"/>
            </w:tcBorders>
            <w:shd w:val="clear" w:color="auto" w:fill="C6EFCE"/>
            <w:noWrap/>
            <w:vAlign w:val="center"/>
          </w:tcPr>
          <w:p w14:paraId="4F80D03D" w14:textId="1CD750E9" w:rsidR="003B6BD9" w:rsidRDefault="009E25E8">
            <w:pPr>
              <w:pStyle w:val="P68B1DB1-Normal18"/>
              <w:spacing w:before="0" w:after="0" w:line="276" w:lineRule="auto"/>
              <w:rPr>
                <w:rFonts w:eastAsia="Times New Roman"/>
                <w:noProof/>
              </w:rPr>
            </w:pPr>
            <w:r>
              <w:rPr>
                <w:noProof/>
              </w:rPr>
              <w:t>H: Autres projets de rejet et de traitement des eaux urbaines résiduaires</w:t>
            </w:r>
          </w:p>
        </w:tc>
        <w:tc>
          <w:tcPr>
            <w:tcW w:w="1670" w:type="dxa"/>
            <w:tcBorders>
              <w:top w:val="nil"/>
              <w:left w:val="nil"/>
              <w:bottom w:val="single" w:sz="4" w:space="0" w:color="auto"/>
              <w:right w:val="single" w:sz="4" w:space="0" w:color="auto"/>
            </w:tcBorders>
            <w:shd w:val="clear" w:color="auto" w:fill="C6EFCE"/>
            <w:noWrap/>
            <w:vAlign w:val="center"/>
          </w:tcPr>
          <w:p w14:paraId="1BC1944C" w14:textId="77777777" w:rsidR="003B6BD9" w:rsidRDefault="009E25E8">
            <w:pPr>
              <w:pStyle w:val="P68B1DB1-Normal18"/>
              <w:spacing w:before="0" w:after="0" w:line="276" w:lineRule="auto"/>
              <w:rPr>
                <w:rFonts w:eastAsia="Times New Roman"/>
                <w:noProof/>
              </w:rPr>
            </w:pPr>
            <w:r>
              <w:rPr>
                <w:noProof/>
              </w:rPr>
              <w:t>Cible</w:t>
            </w:r>
          </w:p>
        </w:tc>
        <w:tc>
          <w:tcPr>
            <w:tcW w:w="3687" w:type="dxa"/>
            <w:tcBorders>
              <w:top w:val="nil"/>
              <w:left w:val="nil"/>
              <w:bottom w:val="single" w:sz="4" w:space="0" w:color="auto"/>
              <w:right w:val="single" w:sz="4" w:space="0" w:color="auto"/>
            </w:tcBorders>
            <w:shd w:val="clear" w:color="auto" w:fill="C6EFCE"/>
            <w:noWrap/>
            <w:vAlign w:val="center"/>
          </w:tcPr>
          <w:p w14:paraId="6C62DCCE" w14:textId="0DCEED92" w:rsidR="003B6BD9" w:rsidRDefault="009E25E8">
            <w:pPr>
              <w:pStyle w:val="P68B1DB1-Normal18"/>
              <w:spacing w:before="0" w:after="0" w:line="276" w:lineRule="auto"/>
              <w:rPr>
                <w:rFonts w:eastAsia="Times New Roman"/>
                <w:noProof/>
              </w:rPr>
            </w:pPr>
            <w:r>
              <w:rPr>
                <w:noProof/>
              </w:rPr>
              <w:t>Nombre de nouveaux systèmes de traitement des eaux usées construits ou de systèmes existants reconstruits</w:t>
            </w:r>
          </w:p>
        </w:tc>
      </w:tr>
      <w:tr w:rsidR="003B6BD9" w14:paraId="012482C5"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67A8C909" w14:textId="6DD473D6" w:rsidR="003B6BD9" w:rsidRDefault="009E25E8">
            <w:pPr>
              <w:pStyle w:val="P68B1DB1-Normal18"/>
              <w:spacing w:before="0" w:after="0" w:line="276" w:lineRule="auto"/>
              <w:jc w:val="center"/>
              <w:rPr>
                <w:rFonts w:eastAsia="Times New Roman"/>
                <w:noProof/>
              </w:rPr>
            </w:pPr>
            <w:r>
              <w:rPr>
                <w:noProof/>
              </w:rPr>
              <w:t>53</w:t>
            </w:r>
          </w:p>
        </w:tc>
        <w:tc>
          <w:tcPr>
            <w:tcW w:w="3118" w:type="dxa"/>
            <w:tcBorders>
              <w:top w:val="nil"/>
              <w:left w:val="nil"/>
              <w:bottom w:val="single" w:sz="4" w:space="0" w:color="auto"/>
              <w:right w:val="single" w:sz="4" w:space="0" w:color="auto"/>
            </w:tcBorders>
            <w:shd w:val="clear" w:color="auto" w:fill="C6EFCE"/>
            <w:noWrap/>
            <w:vAlign w:val="center"/>
          </w:tcPr>
          <w:p w14:paraId="5135436C" w14:textId="77777777" w:rsidR="003B6BD9" w:rsidRDefault="009E25E8">
            <w:pPr>
              <w:pStyle w:val="P68B1DB1-Normal18"/>
              <w:spacing w:before="0" w:after="0" w:line="276" w:lineRule="auto"/>
              <w:rPr>
                <w:rFonts w:eastAsia="Times New Roman"/>
                <w:noProof/>
              </w:rPr>
            </w:pPr>
            <w:r>
              <w:rPr>
                <w:noProof/>
              </w:rPr>
              <w:t>I: Autres projets d’approvisionnement en eau potable et d’économies d’eau</w:t>
            </w:r>
          </w:p>
        </w:tc>
        <w:tc>
          <w:tcPr>
            <w:tcW w:w="1670" w:type="dxa"/>
            <w:tcBorders>
              <w:top w:val="nil"/>
              <w:left w:val="nil"/>
              <w:bottom w:val="single" w:sz="4" w:space="0" w:color="auto"/>
              <w:right w:val="single" w:sz="4" w:space="0" w:color="auto"/>
            </w:tcBorders>
            <w:shd w:val="clear" w:color="auto" w:fill="C6EFCE"/>
            <w:noWrap/>
            <w:vAlign w:val="center"/>
          </w:tcPr>
          <w:p w14:paraId="03686852" w14:textId="77777777" w:rsidR="003B6BD9" w:rsidRDefault="009E25E8">
            <w:pPr>
              <w:pStyle w:val="P68B1DB1-Normal18"/>
              <w:spacing w:before="0" w:after="0" w:line="276" w:lineRule="auto"/>
              <w:rPr>
                <w:rFonts w:eastAsia="Times New Roman"/>
                <w:noProof/>
              </w:rPr>
            </w:pPr>
            <w:r>
              <w:rPr>
                <w:noProof/>
              </w:rPr>
              <w:t>Cible</w:t>
            </w:r>
          </w:p>
        </w:tc>
        <w:tc>
          <w:tcPr>
            <w:tcW w:w="3687" w:type="dxa"/>
            <w:tcBorders>
              <w:top w:val="nil"/>
              <w:left w:val="nil"/>
              <w:bottom w:val="single" w:sz="4" w:space="0" w:color="auto"/>
              <w:right w:val="single" w:sz="4" w:space="0" w:color="auto"/>
            </w:tcBorders>
            <w:shd w:val="clear" w:color="auto" w:fill="C6EFCE"/>
            <w:noWrap/>
            <w:vAlign w:val="center"/>
          </w:tcPr>
          <w:p w14:paraId="5776BC59" w14:textId="567CB77B" w:rsidR="003B6BD9" w:rsidRDefault="009E25E8">
            <w:pPr>
              <w:pStyle w:val="P68B1DB1-Normal18"/>
              <w:spacing w:before="0" w:after="0" w:line="276" w:lineRule="auto"/>
              <w:rPr>
                <w:rFonts w:eastAsia="Times New Roman"/>
                <w:noProof/>
              </w:rPr>
            </w:pPr>
            <w:r>
              <w:rPr>
                <w:noProof/>
              </w:rPr>
              <w:t>Nombre de nouveaux systèmes d’approvisionnement en eau potable construits ou de systèmes d’approvisionnement en eau potable existants reconstruits</w:t>
            </w:r>
          </w:p>
        </w:tc>
      </w:tr>
      <w:tr w:rsidR="003B6BD9" w14:paraId="23E77CCE"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6765A5EA" w14:textId="0A6CD354" w:rsidR="003B6BD9" w:rsidRDefault="009E25E8">
            <w:pPr>
              <w:pStyle w:val="P68B1DB1-Normal18"/>
              <w:spacing w:before="0" w:after="0" w:line="276" w:lineRule="auto"/>
              <w:jc w:val="center"/>
              <w:rPr>
                <w:rFonts w:eastAsia="Times New Roman"/>
                <w:noProof/>
              </w:rPr>
            </w:pPr>
            <w:r>
              <w:rPr>
                <w:noProof/>
              </w:rPr>
              <w:t>68</w:t>
            </w:r>
          </w:p>
        </w:tc>
        <w:tc>
          <w:tcPr>
            <w:tcW w:w="3118" w:type="dxa"/>
            <w:tcBorders>
              <w:top w:val="nil"/>
              <w:left w:val="nil"/>
              <w:bottom w:val="single" w:sz="4" w:space="0" w:color="auto"/>
              <w:right w:val="single" w:sz="4" w:space="0" w:color="auto"/>
            </w:tcBorders>
            <w:shd w:val="clear" w:color="auto" w:fill="C6EFCE"/>
            <w:noWrap/>
            <w:vAlign w:val="center"/>
          </w:tcPr>
          <w:p w14:paraId="419AF70C" w14:textId="19029698" w:rsidR="003B6BD9" w:rsidRDefault="009E25E8">
            <w:pPr>
              <w:pStyle w:val="P68B1DB1-Normal22"/>
              <w:spacing w:before="0" w:after="0" w:line="276" w:lineRule="auto"/>
              <w:rPr>
                <w:rFonts w:eastAsia="Times New Roman"/>
                <w:noProof/>
                <w:sz w:val="22"/>
              </w:rPr>
            </w:pPr>
            <w:r>
              <w:rPr>
                <w:noProof/>
              </w:rPr>
              <w:t xml:space="preserve">C: </w:t>
            </w:r>
            <w:r>
              <w:rPr>
                <w:noProof/>
                <w:sz w:val="22"/>
              </w:rPr>
              <w:t>Poursuivre l’augmentation des capacités de l’infrastructure ferroviaire</w:t>
            </w:r>
          </w:p>
        </w:tc>
        <w:tc>
          <w:tcPr>
            <w:tcW w:w="1670" w:type="dxa"/>
            <w:tcBorders>
              <w:top w:val="nil"/>
              <w:left w:val="nil"/>
              <w:bottom w:val="single" w:sz="4" w:space="0" w:color="auto"/>
              <w:right w:val="single" w:sz="4" w:space="0" w:color="auto"/>
            </w:tcBorders>
            <w:shd w:val="clear" w:color="auto" w:fill="C6EFCE"/>
            <w:noWrap/>
            <w:vAlign w:val="center"/>
          </w:tcPr>
          <w:p w14:paraId="4E798590" w14:textId="77777777" w:rsidR="003B6BD9" w:rsidRDefault="009E25E8">
            <w:pPr>
              <w:pStyle w:val="P68B1DB1-Normal18"/>
              <w:spacing w:before="0" w:after="0" w:line="276" w:lineRule="auto"/>
              <w:rPr>
                <w:rFonts w:eastAsia="Times New Roman"/>
                <w:noProof/>
              </w:rPr>
            </w:pPr>
            <w:r>
              <w:rPr>
                <w:noProof/>
              </w:rPr>
              <w:t>Jalon</w:t>
            </w:r>
          </w:p>
        </w:tc>
        <w:tc>
          <w:tcPr>
            <w:tcW w:w="3687" w:type="dxa"/>
            <w:tcBorders>
              <w:top w:val="nil"/>
              <w:left w:val="nil"/>
              <w:bottom w:val="single" w:sz="4" w:space="0" w:color="auto"/>
              <w:right w:val="single" w:sz="4" w:space="0" w:color="auto"/>
            </w:tcBorders>
            <w:shd w:val="clear" w:color="auto" w:fill="C6EFCE"/>
            <w:noWrap/>
            <w:vAlign w:val="center"/>
          </w:tcPr>
          <w:p w14:paraId="2705C872" w14:textId="3B3EB92D" w:rsidR="003B6BD9" w:rsidRDefault="009E25E8">
            <w:pPr>
              <w:pStyle w:val="P68B1DB1-Normal18"/>
              <w:spacing w:before="0" w:after="0" w:line="276" w:lineRule="auto"/>
              <w:rPr>
                <w:noProof/>
              </w:rPr>
            </w:pPr>
            <w:r>
              <w:rPr>
                <w:noProof/>
              </w:rPr>
              <w:t>Stations ferroviaires rénovées Ljubljana (franchissement de la phase A de Dunajska) et Nova Gorica</w:t>
            </w:r>
          </w:p>
        </w:tc>
      </w:tr>
      <w:tr w:rsidR="003B6BD9" w14:paraId="41036122"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2236604C" w14:textId="29628715" w:rsidR="003B6BD9" w:rsidRDefault="009E25E8">
            <w:pPr>
              <w:pStyle w:val="P68B1DB1-Normal18"/>
              <w:spacing w:before="0" w:after="0" w:line="276" w:lineRule="auto"/>
              <w:jc w:val="center"/>
              <w:rPr>
                <w:rFonts w:eastAsia="Times New Roman"/>
                <w:noProof/>
              </w:rPr>
            </w:pPr>
            <w:r>
              <w:rPr>
                <w:noProof/>
              </w:rPr>
              <w:t>170</w:t>
            </w:r>
          </w:p>
        </w:tc>
        <w:tc>
          <w:tcPr>
            <w:tcW w:w="3118" w:type="dxa"/>
            <w:tcBorders>
              <w:top w:val="nil"/>
              <w:left w:val="nil"/>
              <w:bottom w:val="single" w:sz="4" w:space="0" w:color="auto"/>
              <w:right w:val="single" w:sz="4" w:space="0" w:color="auto"/>
            </w:tcBorders>
            <w:shd w:val="clear" w:color="auto" w:fill="C6EFCE"/>
            <w:noWrap/>
            <w:vAlign w:val="center"/>
          </w:tcPr>
          <w:p w14:paraId="1B190F84" w14:textId="14595414" w:rsidR="003B6BD9" w:rsidRDefault="009E25E8">
            <w:pPr>
              <w:pStyle w:val="P68B1DB1-Normal22"/>
              <w:spacing w:before="0" w:after="0" w:line="276" w:lineRule="auto"/>
              <w:rPr>
                <w:rFonts w:eastAsia="Times New Roman"/>
                <w:noProof/>
                <w:sz w:val="22"/>
              </w:rPr>
            </w:pPr>
            <w:r>
              <w:rPr>
                <w:noProof/>
              </w:rPr>
              <w:t>H</w:t>
            </w:r>
            <w:r>
              <w:rPr>
                <w:noProof/>
                <w:sz w:val="22"/>
              </w:rPr>
              <w:t>: Poursuivre l’écologisation des infrastructures éducatives en Slovénie</w:t>
            </w:r>
          </w:p>
        </w:tc>
        <w:tc>
          <w:tcPr>
            <w:tcW w:w="1670" w:type="dxa"/>
            <w:tcBorders>
              <w:top w:val="nil"/>
              <w:left w:val="nil"/>
              <w:bottom w:val="single" w:sz="4" w:space="0" w:color="auto"/>
              <w:right w:val="single" w:sz="4" w:space="0" w:color="auto"/>
            </w:tcBorders>
            <w:shd w:val="clear" w:color="auto" w:fill="C6EFCE"/>
            <w:noWrap/>
            <w:vAlign w:val="center"/>
          </w:tcPr>
          <w:p w14:paraId="2B74EE81" w14:textId="77777777" w:rsidR="003B6BD9" w:rsidRDefault="009E25E8">
            <w:pPr>
              <w:pStyle w:val="P68B1DB1-Normal18"/>
              <w:spacing w:before="0" w:after="0" w:line="256" w:lineRule="auto"/>
              <w:rPr>
                <w:rFonts w:eastAsia="Times New Roman"/>
                <w:noProof/>
              </w:rPr>
            </w:pPr>
            <w:r>
              <w:rPr>
                <w:noProof/>
              </w:rPr>
              <w:t>Cible</w:t>
            </w:r>
          </w:p>
        </w:tc>
        <w:tc>
          <w:tcPr>
            <w:tcW w:w="3687" w:type="dxa"/>
            <w:tcBorders>
              <w:top w:val="nil"/>
              <w:left w:val="nil"/>
              <w:bottom w:val="single" w:sz="4" w:space="0" w:color="auto"/>
              <w:right w:val="single" w:sz="4" w:space="0" w:color="auto"/>
            </w:tcBorders>
            <w:shd w:val="clear" w:color="auto" w:fill="C6EFCE"/>
            <w:noWrap/>
            <w:vAlign w:val="center"/>
          </w:tcPr>
          <w:p w14:paraId="3FEEA381" w14:textId="0F0E4AC5" w:rsidR="003B6BD9" w:rsidRDefault="009E25E8">
            <w:pPr>
              <w:pStyle w:val="P68B1DB1-Normal18"/>
              <w:spacing w:before="0" w:after="0" w:line="276" w:lineRule="auto"/>
              <w:rPr>
                <w:rFonts w:eastAsia="Times New Roman"/>
                <w:noProof/>
              </w:rPr>
            </w:pPr>
            <w:r>
              <w:rPr>
                <w:noProof/>
              </w:rPr>
              <w:t xml:space="preserve">Installations éducatives nouvelles ou rénovées </w:t>
            </w:r>
          </w:p>
        </w:tc>
      </w:tr>
      <w:tr w:rsidR="003B6BD9" w14:paraId="2B06C13A"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5CD4723C" w14:textId="43E5091F" w:rsidR="003B6BD9" w:rsidRDefault="009E25E8">
            <w:pPr>
              <w:pStyle w:val="P68B1DB1-Normal18"/>
              <w:spacing w:before="0" w:after="0" w:line="276" w:lineRule="auto"/>
              <w:jc w:val="center"/>
              <w:rPr>
                <w:rFonts w:eastAsia="Times New Roman"/>
                <w:noProof/>
              </w:rPr>
            </w:pPr>
            <w:r>
              <w:rPr>
                <w:noProof/>
              </w:rPr>
              <w:t>204</w:t>
            </w:r>
          </w:p>
        </w:tc>
        <w:tc>
          <w:tcPr>
            <w:tcW w:w="3118" w:type="dxa"/>
            <w:tcBorders>
              <w:top w:val="nil"/>
              <w:left w:val="nil"/>
              <w:bottom w:val="single" w:sz="4" w:space="0" w:color="auto"/>
              <w:right w:val="single" w:sz="4" w:space="0" w:color="auto"/>
            </w:tcBorders>
            <w:shd w:val="clear" w:color="auto" w:fill="C6EFCE"/>
            <w:noWrap/>
            <w:vAlign w:val="center"/>
          </w:tcPr>
          <w:p w14:paraId="5D2F4980" w14:textId="77777777" w:rsidR="003B6BD9" w:rsidRDefault="009E25E8">
            <w:pPr>
              <w:pStyle w:val="P68B1DB1-Normal18"/>
              <w:spacing w:before="0" w:after="0" w:line="276" w:lineRule="auto"/>
              <w:rPr>
                <w:rFonts w:eastAsia="Times New Roman"/>
                <w:noProof/>
              </w:rPr>
            </w:pPr>
            <w:r>
              <w:rPr>
                <w:noProof/>
              </w:rPr>
              <w:t>C: Garantir un cadre de vie sûr aux personnes dépendantes</w:t>
            </w:r>
          </w:p>
        </w:tc>
        <w:tc>
          <w:tcPr>
            <w:tcW w:w="1670" w:type="dxa"/>
            <w:tcBorders>
              <w:top w:val="nil"/>
              <w:left w:val="nil"/>
              <w:bottom w:val="single" w:sz="4" w:space="0" w:color="auto"/>
              <w:right w:val="single" w:sz="4" w:space="0" w:color="auto"/>
            </w:tcBorders>
            <w:shd w:val="clear" w:color="auto" w:fill="C6EFCE"/>
            <w:noWrap/>
            <w:vAlign w:val="center"/>
          </w:tcPr>
          <w:p w14:paraId="7A23AE4E" w14:textId="77777777" w:rsidR="003B6BD9" w:rsidRDefault="009E25E8">
            <w:pPr>
              <w:pStyle w:val="P68B1DB1-Normal18"/>
              <w:spacing w:before="0" w:after="0" w:line="256" w:lineRule="auto"/>
              <w:rPr>
                <w:rFonts w:eastAsia="Times New Roman"/>
                <w:noProof/>
              </w:rPr>
            </w:pPr>
            <w:r>
              <w:rPr>
                <w:noProof/>
              </w:rPr>
              <w:t>Cible</w:t>
            </w:r>
          </w:p>
        </w:tc>
        <w:tc>
          <w:tcPr>
            <w:tcW w:w="3687" w:type="dxa"/>
            <w:tcBorders>
              <w:top w:val="nil"/>
              <w:left w:val="nil"/>
              <w:bottom w:val="single" w:sz="4" w:space="0" w:color="auto"/>
              <w:right w:val="single" w:sz="4" w:space="0" w:color="auto"/>
            </w:tcBorders>
            <w:shd w:val="clear" w:color="auto" w:fill="C6EFCE"/>
            <w:noWrap/>
            <w:vAlign w:val="center"/>
          </w:tcPr>
          <w:p w14:paraId="45E2DB60" w14:textId="7052D44D" w:rsidR="003B6BD9" w:rsidRDefault="009E25E8">
            <w:pPr>
              <w:pStyle w:val="P68B1DB1-Normal18"/>
              <w:spacing w:before="0" w:after="0" w:line="276" w:lineRule="auto"/>
              <w:rPr>
                <w:rFonts w:eastAsia="Times New Roman"/>
                <w:noProof/>
              </w:rPr>
            </w:pPr>
            <w:r>
              <w:rPr>
                <w:noProof/>
              </w:rPr>
              <w:t>Lits dans des établissements de soins nouvellement construits</w:t>
            </w:r>
          </w:p>
        </w:tc>
      </w:tr>
      <w:tr w:rsidR="003B6BD9" w14:paraId="1ABE2A1A"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2C4DCE66" w14:textId="03EEE127" w:rsidR="003B6BD9" w:rsidRDefault="009E25E8">
            <w:pPr>
              <w:pStyle w:val="P68B1DB1-Normal18"/>
              <w:spacing w:before="0" w:after="0" w:line="276" w:lineRule="auto"/>
              <w:jc w:val="center"/>
              <w:rPr>
                <w:rFonts w:eastAsia="Times New Roman"/>
                <w:noProof/>
              </w:rPr>
            </w:pPr>
            <w:r>
              <w:rPr>
                <w:noProof/>
              </w:rPr>
              <w:t>208</w:t>
            </w:r>
          </w:p>
        </w:tc>
        <w:tc>
          <w:tcPr>
            <w:tcW w:w="3118" w:type="dxa"/>
            <w:tcBorders>
              <w:top w:val="nil"/>
              <w:left w:val="nil"/>
              <w:bottom w:val="single" w:sz="4" w:space="0" w:color="auto"/>
              <w:right w:val="single" w:sz="4" w:space="0" w:color="auto"/>
            </w:tcBorders>
            <w:shd w:val="clear" w:color="auto" w:fill="C6EFCE"/>
            <w:noWrap/>
            <w:vAlign w:val="center"/>
          </w:tcPr>
          <w:p w14:paraId="3FF3D920" w14:textId="7E4034EF" w:rsidR="003B6BD9" w:rsidRDefault="009E25E8">
            <w:pPr>
              <w:pStyle w:val="P68B1DB1-Normal22"/>
              <w:spacing w:before="0" w:after="0" w:line="276" w:lineRule="auto"/>
              <w:rPr>
                <w:noProof/>
                <w:sz w:val="22"/>
              </w:rPr>
            </w:pPr>
            <w:r>
              <w:rPr>
                <w:noProof/>
              </w:rPr>
              <w:t xml:space="preserve">B: </w:t>
            </w:r>
            <w:r>
              <w:rPr>
                <w:noProof/>
                <w:sz w:val="22"/>
              </w:rPr>
              <w:t>Mise à disposition de logements locatifs publics</w:t>
            </w:r>
          </w:p>
        </w:tc>
        <w:tc>
          <w:tcPr>
            <w:tcW w:w="1670" w:type="dxa"/>
            <w:tcBorders>
              <w:top w:val="nil"/>
              <w:left w:val="nil"/>
              <w:bottom w:val="single" w:sz="4" w:space="0" w:color="auto"/>
              <w:right w:val="single" w:sz="4" w:space="0" w:color="auto"/>
            </w:tcBorders>
            <w:shd w:val="clear" w:color="auto" w:fill="C6EFCE"/>
            <w:noWrap/>
            <w:vAlign w:val="center"/>
          </w:tcPr>
          <w:p w14:paraId="08DD71B3" w14:textId="003BB5A1" w:rsidR="003B6BD9" w:rsidRDefault="009E25E8">
            <w:pPr>
              <w:pStyle w:val="P68B1DB1-Normal18"/>
              <w:spacing w:before="0" w:after="0" w:line="256" w:lineRule="auto"/>
              <w:rPr>
                <w:noProof/>
              </w:rPr>
            </w:pPr>
            <w:r>
              <w:rPr>
                <w:noProof/>
              </w:rPr>
              <w:t>Cible</w:t>
            </w:r>
          </w:p>
        </w:tc>
        <w:tc>
          <w:tcPr>
            <w:tcW w:w="3687" w:type="dxa"/>
            <w:tcBorders>
              <w:top w:val="nil"/>
              <w:left w:val="nil"/>
              <w:bottom w:val="single" w:sz="4" w:space="0" w:color="auto"/>
              <w:right w:val="single" w:sz="4" w:space="0" w:color="auto"/>
            </w:tcBorders>
            <w:shd w:val="clear" w:color="auto" w:fill="C6EFCE"/>
            <w:noWrap/>
            <w:vAlign w:val="center"/>
          </w:tcPr>
          <w:p w14:paraId="325FA809" w14:textId="34A78FD3" w:rsidR="003B6BD9" w:rsidRDefault="009E25E8">
            <w:pPr>
              <w:pStyle w:val="P68B1DB1-Normal18"/>
              <w:spacing w:before="0" w:after="0" w:line="256" w:lineRule="auto"/>
              <w:rPr>
                <w:noProof/>
              </w:rPr>
            </w:pPr>
            <w:r>
              <w:rPr>
                <w:noProof/>
              </w:rPr>
              <w:t>Logements publics locatifs supplémentaires</w:t>
            </w:r>
          </w:p>
        </w:tc>
      </w:tr>
      <w:tr w:rsidR="003B6BD9" w14:paraId="239811A6" w14:textId="77777777">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049ED1" w14:textId="77777777" w:rsidR="003B6BD9" w:rsidRDefault="003B6BD9">
            <w:pPr>
              <w:spacing w:before="0" w:after="0" w:line="276" w:lineRule="auto"/>
              <w:jc w:val="center"/>
              <w:rPr>
                <w:rFonts w:eastAsia="Times New Roman"/>
                <w:noProof/>
                <w:color w:val="006100"/>
                <w:sz w:val="22"/>
              </w:rPr>
            </w:pPr>
          </w:p>
        </w:tc>
        <w:tc>
          <w:tcPr>
            <w:tcW w:w="3118" w:type="dxa"/>
            <w:tcBorders>
              <w:top w:val="single" w:sz="4" w:space="0" w:color="auto"/>
              <w:left w:val="nil"/>
              <w:bottom w:val="single" w:sz="4" w:space="0" w:color="auto"/>
              <w:right w:val="single" w:sz="4" w:space="0" w:color="auto"/>
            </w:tcBorders>
            <w:shd w:val="clear" w:color="auto" w:fill="C6EFCE"/>
            <w:noWrap/>
            <w:vAlign w:val="center"/>
          </w:tcPr>
          <w:p w14:paraId="664DA279" w14:textId="77777777" w:rsidR="003B6BD9" w:rsidRDefault="003B6BD9">
            <w:pPr>
              <w:spacing w:before="0" w:after="0" w:line="276" w:lineRule="auto"/>
              <w:rPr>
                <w:rFonts w:eastAsia="Times New Roman"/>
                <w:noProof/>
                <w:color w:val="006100"/>
                <w:sz w:val="22"/>
              </w:rPr>
            </w:pPr>
          </w:p>
        </w:tc>
        <w:tc>
          <w:tcPr>
            <w:tcW w:w="1670" w:type="dxa"/>
            <w:tcBorders>
              <w:top w:val="single" w:sz="4" w:space="0" w:color="auto"/>
              <w:left w:val="nil"/>
              <w:bottom w:val="single" w:sz="4" w:space="0" w:color="auto"/>
              <w:right w:val="single" w:sz="4" w:space="0" w:color="auto"/>
            </w:tcBorders>
            <w:shd w:val="clear" w:color="auto" w:fill="C6EFCE"/>
            <w:noWrap/>
            <w:vAlign w:val="center"/>
          </w:tcPr>
          <w:p w14:paraId="4B5EE109" w14:textId="77777777" w:rsidR="003B6BD9" w:rsidRDefault="009E25E8">
            <w:pPr>
              <w:pStyle w:val="P68B1DB1-Normal20"/>
              <w:spacing w:before="0" w:after="0" w:line="276" w:lineRule="auto"/>
              <w:rPr>
                <w:rFonts w:eastAsia="Times New Roman"/>
                <w:noProof/>
              </w:rPr>
            </w:pPr>
            <w:r>
              <w:rPr>
                <w:noProof/>
              </w:rPr>
              <w:t>Montant de l’acompte</w:t>
            </w:r>
          </w:p>
        </w:tc>
        <w:tc>
          <w:tcPr>
            <w:tcW w:w="3687" w:type="dxa"/>
            <w:tcBorders>
              <w:top w:val="single" w:sz="4" w:space="0" w:color="auto"/>
              <w:left w:val="nil"/>
              <w:bottom w:val="single" w:sz="4" w:space="0" w:color="auto"/>
              <w:right w:val="single" w:sz="4" w:space="0" w:color="auto"/>
            </w:tcBorders>
            <w:shd w:val="clear" w:color="auto" w:fill="C6EFCE"/>
            <w:noWrap/>
            <w:vAlign w:val="center"/>
          </w:tcPr>
          <w:p w14:paraId="11EBF163" w14:textId="00B1A6FB" w:rsidR="003B6BD9" w:rsidRDefault="009E25E8">
            <w:pPr>
              <w:pStyle w:val="P68B1DB1-Normal20"/>
              <w:spacing w:before="0" w:after="0" w:line="276" w:lineRule="auto"/>
              <w:rPr>
                <w:rFonts w:eastAsia="Times New Roman"/>
                <w:noProof/>
              </w:rPr>
            </w:pPr>
            <w:r>
              <w:rPr>
                <w:noProof/>
              </w:rPr>
              <w:t>3 053 069 EUR</w:t>
            </w:r>
          </w:p>
        </w:tc>
      </w:tr>
    </w:tbl>
    <w:p w14:paraId="1BE9C701" w14:textId="5C247F87" w:rsidR="003B6BD9" w:rsidRDefault="003B6BD9">
      <w:pPr>
        <w:spacing w:line="240" w:lineRule="auto"/>
        <w:jc w:val="both"/>
        <w:rPr>
          <w:noProof/>
        </w:rPr>
      </w:pPr>
    </w:p>
    <w:p w14:paraId="7F3D3269" w14:textId="77777777" w:rsidR="003B6BD9" w:rsidRDefault="009E25E8">
      <w:pPr>
        <w:spacing w:before="0" w:after="0" w:line="240" w:lineRule="auto"/>
        <w:rPr>
          <w:noProof/>
        </w:rPr>
      </w:pPr>
      <w:r>
        <w:rPr>
          <w:noProof/>
        </w:rPr>
        <w:br w:type="page"/>
      </w:r>
    </w:p>
    <w:p w14:paraId="51BCE6D4" w14:textId="310DD8DB" w:rsidR="003B6BD9" w:rsidRDefault="009E25E8">
      <w:pPr>
        <w:pStyle w:val="P68B1DB1-Normal2"/>
        <w:spacing w:before="0" w:after="200" w:line="276" w:lineRule="auto"/>
        <w:jc w:val="center"/>
        <w:rPr>
          <w:noProof/>
        </w:rPr>
      </w:pPr>
      <w:r>
        <w:rPr>
          <w:noProof/>
        </w:rPr>
        <w:t>SECTION 3: DISPOSITIONS SUPPLÉMENTAIRES</w:t>
      </w:r>
    </w:p>
    <w:p w14:paraId="56F04056" w14:textId="014FFA0D" w:rsidR="003B6BD9" w:rsidRDefault="009E25E8">
      <w:pPr>
        <w:pStyle w:val="P68B1DB1-Normal2"/>
        <w:numPr>
          <w:ilvl w:val="0"/>
          <w:numId w:val="8"/>
        </w:numPr>
        <w:spacing w:before="0" w:after="200" w:line="240" w:lineRule="auto"/>
        <w:jc w:val="both"/>
        <w:rPr>
          <w:noProof/>
        </w:rPr>
      </w:pPr>
      <w:r>
        <w:rPr>
          <w:noProof/>
        </w:rPr>
        <w:t>Modalités de suivi et de mise en œuvre du plan pour la reprise et la résilience</w:t>
      </w:r>
    </w:p>
    <w:p w14:paraId="59E0FD9B" w14:textId="77777777" w:rsidR="003B6BD9" w:rsidRDefault="009E25E8">
      <w:pPr>
        <w:spacing w:line="240" w:lineRule="auto"/>
        <w:jc w:val="both"/>
        <w:rPr>
          <w:noProof/>
        </w:rPr>
      </w:pPr>
      <w:r>
        <w:rPr>
          <w:noProof/>
        </w:rPr>
        <w:t xml:space="preserve">Le suivi et la mise en œuvre du plan pour la reprise et la résilience de la Slovénie s’effectuent selon les modalités suivantes: </w:t>
      </w:r>
    </w:p>
    <w:p w14:paraId="276DFF66" w14:textId="6EC7D2C2" w:rsidR="003B6BD9" w:rsidRDefault="009E25E8">
      <w:pPr>
        <w:numPr>
          <w:ilvl w:val="0"/>
          <w:numId w:val="31"/>
        </w:numPr>
        <w:spacing w:before="0" w:after="200" w:line="240" w:lineRule="auto"/>
        <w:ind w:left="360"/>
        <w:jc w:val="both"/>
        <w:rPr>
          <w:noProof/>
        </w:rPr>
      </w:pPr>
      <w:r>
        <w:rPr>
          <w:noProof/>
        </w:rPr>
        <w:t>Le bureau de mise en œuvre du plan pour la reprise et la résilience, ministère des finances, est l’autorité de coordination et assume la responsabilité globale du suivi et de la mise en œuvre du plan dans son ensemble. Il surveille, vérifie et valide la réalisation des valeurs intermédiaires et des valeurs cibles et prépare et signe la déclaration de gestion. Il est responsable des paiements au niveau national ainsi que de la préparation et de la présentation des demandes de paiement à la Commission européenne.</w:t>
      </w:r>
    </w:p>
    <w:p w14:paraId="41EBA899" w14:textId="77777777" w:rsidR="003B6BD9" w:rsidRDefault="009E25E8">
      <w:pPr>
        <w:numPr>
          <w:ilvl w:val="0"/>
          <w:numId w:val="31"/>
        </w:numPr>
        <w:spacing w:before="0" w:after="200" w:line="240" w:lineRule="auto"/>
        <w:ind w:left="360"/>
        <w:jc w:val="both"/>
        <w:rPr>
          <w:noProof/>
        </w:rPr>
      </w:pPr>
      <w:r>
        <w:rPr>
          <w:noProof/>
        </w:rPr>
        <w:t xml:space="preserve">Les ministères compétents sont responsables de la mise en œuvre des différents volets du plan pour la reprise et la résilience de la Slovénie. Ils rendent compte à l’autorité de coordination de l’état d’avancement de la mise en œuvre et de la réalisation des valeurs intermédiaires et des valeurs cibles. </w:t>
      </w:r>
    </w:p>
    <w:p w14:paraId="533E0351" w14:textId="3FD2A9A4" w:rsidR="003B6BD9" w:rsidRDefault="009E25E8">
      <w:pPr>
        <w:numPr>
          <w:ilvl w:val="0"/>
          <w:numId w:val="31"/>
        </w:numPr>
        <w:spacing w:before="0" w:after="200" w:line="240" w:lineRule="auto"/>
        <w:ind w:left="360"/>
        <w:jc w:val="both"/>
        <w:rPr>
          <w:noProof/>
        </w:rPr>
      </w:pPr>
      <w:r>
        <w:rPr>
          <w:noProof/>
        </w:rPr>
        <w:t xml:space="preserve">Coordinateur national des coûts, ministère des finances, département de la gestion des fonds de l’UE: le coordinateur est responsable de l’examen ex ante et de l’approbation de l’estimation du coût des mesures en cas de modification du plan. </w:t>
      </w:r>
    </w:p>
    <w:p w14:paraId="5A5C436D" w14:textId="77777777" w:rsidR="003B6BD9" w:rsidRDefault="009E25E8">
      <w:pPr>
        <w:numPr>
          <w:ilvl w:val="0"/>
          <w:numId w:val="31"/>
        </w:numPr>
        <w:spacing w:before="0" w:after="200" w:line="240" w:lineRule="auto"/>
        <w:ind w:left="360"/>
        <w:jc w:val="both"/>
        <w:rPr>
          <w:noProof/>
        </w:rPr>
      </w:pPr>
      <w:r>
        <w:rPr>
          <w:noProof/>
        </w:rPr>
        <w:t xml:space="preserve">Le bureau de contrôle budgétaire du ministère des finances, en sa qualité de coordinateur national de l’audit, est chargé de la réalisation des audits et de l’établissement d’un résumé des audits. </w:t>
      </w:r>
    </w:p>
    <w:p w14:paraId="55E71060" w14:textId="77777777" w:rsidR="003B6BD9" w:rsidRDefault="009E25E8">
      <w:pPr>
        <w:pStyle w:val="P68B1DB1-Normal2"/>
        <w:numPr>
          <w:ilvl w:val="0"/>
          <w:numId w:val="8"/>
        </w:numPr>
        <w:spacing w:before="0" w:after="200" w:line="240" w:lineRule="auto"/>
        <w:jc w:val="both"/>
        <w:rPr>
          <w:noProof/>
        </w:rPr>
      </w:pPr>
      <w:r>
        <w:rPr>
          <w:noProof/>
        </w:rPr>
        <w:t>Modalités permettant à la Commission d’accéder pleinement aux données sous-jacentes</w:t>
      </w:r>
    </w:p>
    <w:p w14:paraId="1C6C2598" w14:textId="77777777" w:rsidR="003B6BD9" w:rsidRDefault="009E25E8">
      <w:pPr>
        <w:spacing w:line="240" w:lineRule="auto"/>
        <w:jc w:val="both"/>
        <w:rPr>
          <w:noProof/>
        </w:rPr>
      </w:pPr>
      <w:r>
        <w:rPr>
          <w:noProof/>
        </w:rPr>
        <w:t>Afin de permettre à la Commission d’accéder pleinement aux données pertinentes sous-jacentes, la Slovénie met en place les modalités suivantes:</w:t>
      </w:r>
    </w:p>
    <w:p w14:paraId="7BEAEF36" w14:textId="05819804" w:rsidR="003B6BD9" w:rsidRDefault="009E25E8">
      <w:pPr>
        <w:spacing w:line="240" w:lineRule="auto"/>
        <w:jc w:val="both"/>
        <w:rPr>
          <w:noProof/>
        </w:rPr>
      </w:pPr>
      <w:r>
        <w:rPr>
          <w:noProof/>
        </w:rPr>
        <w:t>Le ministère des finances, le bureau de mise en œuvre du PRR, en tant qu’organisme central de coordination du plan pour la reprise et la résilience de la Slovénie et de sa mise en œuvre, est responsable de la coordination globale et du suivi du plan. En particulier, il agit en tant qu’organe de coordination pour le suivi des progrès accomplis en ce qui concerne les valeurs intermédiaires et les valeurs cibles. Les contrôles sont effectués par l’autorité de coordination et les ministères de tutelle, tandis que les audits relèvent de la responsabilité du coordinateur d’audit national. Il coordonne la communication des valeurs intermédiaires et des valeurs cibles, de tous les indicateurs pertinents, mais aussi des informations financières qualitatives et d’autres données, par exemple sur les bénéficiaires finaux. L’encodage des données a lieu dans le système informatique du ministère des finances — MFERAC.</w:t>
      </w:r>
    </w:p>
    <w:p w14:paraId="7EE7F741" w14:textId="38BACB2C" w:rsidR="003B6BD9" w:rsidRDefault="009E25E8">
      <w:pPr>
        <w:spacing w:line="240" w:lineRule="auto"/>
        <w:jc w:val="both"/>
        <w:rPr>
          <w:noProof/>
        </w:rPr>
      </w:pPr>
      <w:r>
        <w:rPr>
          <w:noProof/>
        </w:rPr>
        <w:t>Conformément à l’article 24, paragraphe 2, du règlement (UE) 2021/241, une fois que les jalons et cibles pertinents convenus à la section 2.1 de la présente annexe ont été atteints, la Slovénie présente à la Commission une demande dûment justifiée de paiement de la contribution financière et, le cas échéant, du prêt. La Slovénie veille à ce que, sur demande, la Commission ait pleinement accès aux données pertinentes sous-jacentes qui étayent dûment la demande de paiement, tant aux fins de l’évaluation de la demande de paiement conformément à l’article 24, paragraphe 3, du règlement (UE) 2021/241 qu’à des fins d’audit et de contrôle.»</w:t>
      </w:r>
    </w:p>
    <w:sectPr w:rsidR="003B6BD9">
      <w:headerReference w:type="even" r:id="rId290"/>
      <w:headerReference w:type="default" r:id="rId291"/>
      <w:footerReference w:type="even" r:id="rId292"/>
      <w:footerReference w:type="default" r:id="rId293"/>
      <w:headerReference w:type="first" r:id="rId294"/>
      <w:footerReference w:type="first" r:id="rId295"/>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4621B7" w14:textId="77777777" w:rsidR="0091617B" w:rsidRDefault="0091617B">
      <w:pPr>
        <w:spacing w:before="0" w:after="0" w:line="240" w:lineRule="auto"/>
      </w:pPr>
      <w:r>
        <w:separator/>
      </w:r>
    </w:p>
    <w:p w14:paraId="0C88334A" w14:textId="77777777" w:rsidR="0091617B" w:rsidRDefault="0091617B"/>
  </w:endnote>
  <w:endnote w:type="continuationSeparator" w:id="0">
    <w:p w14:paraId="6BD66DA7" w14:textId="77777777" w:rsidR="0091617B" w:rsidRDefault="0091617B">
      <w:pPr>
        <w:spacing w:before="0" w:after="0" w:line="240" w:lineRule="auto"/>
      </w:pPr>
      <w:r>
        <w:continuationSeparator/>
      </w:r>
    </w:p>
    <w:p w14:paraId="1C3990D0" w14:textId="77777777" w:rsidR="0091617B" w:rsidRDefault="0091617B"/>
  </w:endnote>
  <w:endnote w:type="continuationNotice" w:id="1">
    <w:p w14:paraId="173851AF" w14:textId="77777777" w:rsidR="0091617B" w:rsidRDefault="0091617B">
      <w:pPr>
        <w:spacing w:before="0" w:after="0" w:line="240" w:lineRule="auto"/>
      </w:pPr>
    </w:p>
    <w:p w14:paraId="66A26DFB" w14:textId="77777777" w:rsidR="0091617B" w:rsidRDefault="009161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1FF15" w14:textId="13633C1F" w:rsidR="00064669" w:rsidRPr="00064669" w:rsidRDefault="00064669" w:rsidP="00064669">
    <w:pPr>
      <w:pStyle w:val="FooterCoverPage"/>
      <w:rPr>
        <w:rFonts w:ascii="Arial" w:hAnsi="Arial" w:cs="Arial"/>
        <w:b/>
        <w:sz w:val="48"/>
      </w:rPr>
    </w:pPr>
    <w:r w:rsidRPr="00064669">
      <w:rPr>
        <w:rFonts w:ascii="Arial" w:hAnsi="Arial" w:cs="Arial"/>
        <w:b/>
        <w:sz w:val="48"/>
      </w:rPr>
      <w:t>FR</w:t>
    </w:r>
    <w:r w:rsidRPr="00064669">
      <w:rPr>
        <w:rFonts w:ascii="Arial" w:hAnsi="Arial" w:cs="Arial"/>
        <w:b/>
        <w:sz w:val="48"/>
      </w:rPr>
      <w:tab/>
    </w:r>
    <w:r w:rsidRPr="00064669">
      <w:rPr>
        <w:rFonts w:ascii="Arial" w:hAnsi="Arial" w:cs="Arial"/>
        <w:b/>
        <w:sz w:val="48"/>
      </w:rPr>
      <w:tab/>
    </w:r>
    <w:r w:rsidRPr="00064669">
      <w:tab/>
    </w:r>
    <w:r w:rsidRPr="0006466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5C969" w14:textId="63A2F3D1" w:rsidR="00064669" w:rsidRPr="00064669" w:rsidRDefault="00064669" w:rsidP="00064669">
    <w:pPr>
      <w:pStyle w:val="FooterCoverPage"/>
      <w:rPr>
        <w:rFonts w:ascii="Arial" w:hAnsi="Arial" w:cs="Arial"/>
        <w:b/>
        <w:sz w:val="48"/>
      </w:rPr>
    </w:pPr>
    <w:r w:rsidRPr="00064669">
      <w:rPr>
        <w:rFonts w:ascii="Arial" w:hAnsi="Arial" w:cs="Arial"/>
        <w:b/>
        <w:sz w:val="48"/>
      </w:rPr>
      <w:t>FR</w:t>
    </w:r>
    <w:r w:rsidRPr="00064669">
      <w:rPr>
        <w:rFonts w:ascii="Arial" w:hAnsi="Arial" w:cs="Arial"/>
        <w:b/>
        <w:sz w:val="48"/>
      </w:rPr>
      <w:tab/>
    </w:r>
    <w:r w:rsidRPr="00064669">
      <w:rPr>
        <w:rFonts w:ascii="Arial" w:hAnsi="Arial" w:cs="Arial"/>
        <w:b/>
        <w:sz w:val="48"/>
      </w:rPr>
      <w:tab/>
    </w:r>
    <w:r w:rsidRPr="00064669">
      <w:tab/>
    </w:r>
    <w:r w:rsidRPr="0006466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47ECC" w14:textId="77777777" w:rsidR="00064669" w:rsidRPr="00064669" w:rsidRDefault="00064669" w:rsidP="0006466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0987D" w14:textId="77777777" w:rsidR="003B6BD9" w:rsidRDefault="003B6BD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5089506"/>
      <w:docPartObj>
        <w:docPartGallery w:val="Page Numbers (Bottom of Page)"/>
        <w:docPartUnique/>
      </w:docPartObj>
    </w:sdtPr>
    <w:sdtEndPr/>
    <w:sdtContent>
      <w:p w14:paraId="66FBB36B" w14:textId="0D8E41C0" w:rsidR="003B6BD9" w:rsidRDefault="009E25E8">
        <w:pPr>
          <w:pStyle w:val="Footer"/>
          <w:jc w:val="center"/>
        </w:pPr>
        <w:r>
          <w:fldChar w:fldCharType="begin"/>
        </w:r>
        <w:r>
          <w:instrText xml:space="preserve"> PAGE   \* MERGEFORMAT </w:instrText>
        </w:r>
        <w:r>
          <w:fldChar w:fldCharType="separate"/>
        </w:r>
        <w:r w:rsidR="00064669">
          <w:rPr>
            <w:noProof/>
          </w:rPr>
          <w:t>2</w:t>
        </w:r>
        <w:r>
          <w:fldChar w:fldCharType="end"/>
        </w:r>
      </w:p>
    </w:sdtContent>
  </w:sdt>
  <w:p w14:paraId="442BF1D8" w14:textId="77777777" w:rsidR="003B6BD9" w:rsidRDefault="003B6BD9">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3D96E" w14:textId="77777777" w:rsidR="003B6BD9" w:rsidRDefault="003B6BD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29AC7" w14:textId="77777777" w:rsidR="003B6BD9" w:rsidRDefault="003B6BD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2620773"/>
      <w:docPartObj>
        <w:docPartGallery w:val="Page Numbers (Bottom of Page)"/>
        <w:docPartUnique/>
      </w:docPartObj>
    </w:sdtPr>
    <w:sdtEndPr/>
    <w:sdtContent>
      <w:p w14:paraId="01168C20" w14:textId="09B745B7" w:rsidR="003B6BD9" w:rsidRDefault="009E25E8">
        <w:pPr>
          <w:pStyle w:val="Footer"/>
          <w:jc w:val="center"/>
        </w:pPr>
        <w:r>
          <w:fldChar w:fldCharType="begin"/>
        </w:r>
        <w:r>
          <w:instrText xml:space="preserve"> PAGE   \* MERGEFORMAT </w:instrText>
        </w:r>
        <w:r>
          <w:fldChar w:fldCharType="separate"/>
        </w:r>
        <w:r w:rsidR="00064669">
          <w:rPr>
            <w:noProof/>
          </w:rPr>
          <w:t>4</w:t>
        </w:r>
        <w:r>
          <w:fldChar w:fldCharType="end"/>
        </w:r>
      </w:p>
    </w:sdtContent>
  </w:sdt>
  <w:p w14:paraId="1A99D287" w14:textId="77777777" w:rsidR="003B6BD9" w:rsidRDefault="003B6BD9">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07C0E" w14:textId="77777777" w:rsidR="003B6BD9" w:rsidRDefault="003B6BD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E7CAE" w14:textId="77777777" w:rsidR="003B6BD9" w:rsidRDefault="003B6BD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2210867"/>
      <w:docPartObj>
        <w:docPartGallery w:val="Page Numbers (Bottom of Page)"/>
        <w:docPartUnique/>
      </w:docPartObj>
    </w:sdtPr>
    <w:sdtEndPr/>
    <w:sdtContent>
      <w:p w14:paraId="552C73BD" w14:textId="01B77659" w:rsidR="003B6BD9" w:rsidRDefault="009E25E8">
        <w:pPr>
          <w:pStyle w:val="Footer"/>
          <w:jc w:val="center"/>
        </w:pPr>
        <w:r>
          <w:fldChar w:fldCharType="begin"/>
        </w:r>
        <w:r>
          <w:instrText xml:space="preserve"> PAGE   \* MERGEFORMAT </w:instrText>
        </w:r>
        <w:r>
          <w:fldChar w:fldCharType="separate"/>
        </w:r>
        <w:r w:rsidR="00064669">
          <w:rPr>
            <w:noProof/>
          </w:rPr>
          <w:t>6</w:t>
        </w:r>
        <w:r>
          <w:fldChar w:fldCharType="end"/>
        </w:r>
      </w:p>
    </w:sdtContent>
  </w:sdt>
  <w:p w14:paraId="71235BF7" w14:textId="77777777" w:rsidR="003B6BD9" w:rsidRDefault="003B6BD9">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F28C4" w14:textId="77777777" w:rsidR="003B6BD9" w:rsidRDefault="003B6BD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CD085" w14:textId="77777777" w:rsidR="003B6BD9" w:rsidRDefault="003B6BD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658822"/>
      <w:docPartObj>
        <w:docPartGallery w:val="Page Numbers (Bottom of Page)"/>
        <w:docPartUnique/>
      </w:docPartObj>
    </w:sdtPr>
    <w:sdtEndPr/>
    <w:sdtContent>
      <w:p w14:paraId="0F75E3F0" w14:textId="299572F8" w:rsidR="003B6BD9" w:rsidRDefault="009E25E8">
        <w:pPr>
          <w:pStyle w:val="Footer"/>
          <w:jc w:val="center"/>
        </w:pPr>
        <w:r>
          <w:fldChar w:fldCharType="begin"/>
        </w:r>
        <w:r>
          <w:instrText xml:space="preserve"> PAGE   \* MERGEFORMAT </w:instrText>
        </w:r>
        <w:r>
          <w:fldChar w:fldCharType="separate"/>
        </w:r>
        <w:r w:rsidR="00064669">
          <w:rPr>
            <w:noProof/>
          </w:rPr>
          <w:t>8</w:t>
        </w:r>
        <w:r>
          <w:fldChar w:fldCharType="end"/>
        </w:r>
      </w:p>
    </w:sdtContent>
  </w:sdt>
  <w:p w14:paraId="2279F495" w14:textId="77777777" w:rsidR="003B6BD9" w:rsidRDefault="003B6BD9">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119AE" w14:textId="77777777" w:rsidR="003B6BD9" w:rsidRDefault="003B6BD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832D7" w14:textId="77777777" w:rsidR="003B6BD9" w:rsidRDefault="003B6BD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8729"/>
      <w:docPartObj>
        <w:docPartGallery w:val="Page Numbers (Bottom of Page)"/>
        <w:docPartUnique/>
      </w:docPartObj>
    </w:sdtPr>
    <w:sdtEndPr/>
    <w:sdtContent>
      <w:p w14:paraId="6D0D57EF" w14:textId="49CBC368" w:rsidR="003B6BD9" w:rsidRDefault="009E25E8">
        <w:pPr>
          <w:pStyle w:val="Footer"/>
          <w:jc w:val="center"/>
        </w:pPr>
        <w:r>
          <w:fldChar w:fldCharType="begin"/>
        </w:r>
        <w:r>
          <w:instrText xml:space="preserve"> PAGE   \* MERGEFORMAT </w:instrText>
        </w:r>
        <w:r>
          <w:fldChar w:fldCharType="separate"/>
        </w:r>
        <w:r w:rsidR="00064669">
          <w:rPr>
            <w:noProof/>
          </w:rPr>
          <w:t>9</w:t>
        </w:r>
        <w:r>
          <w:fldChar w:fldCharType="end"/>
        </w:r>
      </w:p>
    </w:sdtContent>
  </w:sdt>
  <w:p w14:paraId="5CA7B184" w14:textId="77777777" w:rsidR="003B6BD9" w:rsidRDefault="003B6BD9">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E3360" w14:textId="77777777" w:rsidR="003B6BD9" w:rsidRDefault="003B6BD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2C903" w14:textId="77777777" w:rsidR="003B6BD9" w:rsidRDefault="003B6BD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958345"/>
      <w:docPartObj>
        <w:docPartGallery w:val="Page Numbers (Bottom of Page)"/>
        <w:docPartUnique/>
      </w:docPartObj>
    </w:sdtPr>
    <w:sdtEndPr/>
    <w:sdtContent>
      <w:p w14:paraId="4A16F33E" w14:textId="25314B2C" w:rsidR="003B6BD9" w:rsidRDefault="009E25E8">
        <w:pPr>
          <w:pStyle w:val="Footer"/>
          <w:jc w:val="center"/>
        </w:pPr>
        <w:r>
          <w:fldChar w:fldCharType="begin"/>
        </w:r>
        <w:r>
          <w:instrText xml:space="preserve"> PAGE   \* MERGEFORMAT </w:instrText>
        </w:r>
        <w:r>
          <w:fldChar w:fldCharType="separate"/>
        </w:r>
        <w:r w:rsidR="00064669">
          <w:rPr>
            <w:noProof/>
          </w:rPr>
          <w:t>11</w:t>
        </w:r>
        <w:r>
          <w:fldChar w:fldCharType="end"/>
        </w:r>
      </w:p>
    </w:sdtContent>
  </w:sdt>
  <w:p w14:paraId="03A96C71" w14:textId="77777777" w:rsidR="003B6BD9" w:rsidRDefault="003B6BD9">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2554A" w14:textId="77777777" w:rsidR="003B6BD9" w:rsidRDefault="003B6BD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0A3A5" w14:textId="77777777" w:rsidR="003B6BD9" w:rsidRDefault="003B6BD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931915"/>
      <w:docPartObj>
        <w:docPartGallery w:val="Page Numbers (Bottom of Page)"/>
        <w:docPartUnique/>
      </w:docPartObj>
    </w:sdtPr>
    <w:sdtEndPr/>
    <w:sdtContent>
      <w:p w14:paraId="116090A5" w14:textId="2E8534CC" w:rsidR="003B6BD9" w:rsidRDefault="009E25E8">
        <w:pPr>
          <w:pStyle w:val="Footer"/>
          <w:jc w:val="center"/>
        </w:pPr>
        <w:r>
          <w:fldChar w:fldCharType="begin"/>
        </w:r>
        <w:r>
          <w:instrText xml:space="preserve"> PAGE   \* MERGEFORMAT </w:instrText>
        </w:r>
        <w:r>
          <w:fldChar w:fldCharType="separate"/>
        </w:r>
        <w:r w:rsidR="000841F0">
          <w:rPr>
            <w:noProof/>
          </w:rPr>
          <w:t>12</w:t>
        </w:r>
        <w:r>
          <w:fldChar w:fldCharType="end"/>
        </w:r>
      </w:p>
    </w:sdtContent>
  </w:sdt>
  <w:p w14:paraId="748296FE" w14:textId="77777777" w:rsidR="003B6BD9" w:rsidRDefault="003B6BD9">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01D9F" w14:textId="77777777" w:rsidR="003B6BD9" w:rsidRDefault="003B6BD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B0B8C" w14:textId="77777777" w:rsidR="003B6BD9" w:rsidRDefault="003B6BD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3326747"/>
      <w:docPartObj>
        <w:docPartGallery w:val="Page Numbers (Bottom of Page)"/>
        <w:docPartUnique/>
      </w:docPartObj>
    </w:sdtPr>
    <w:sdtEndPr/>
    <w:sdtContent>
      <w:p w14:paraId="2A898E6D" w14:textId="5E4E4EFE" w:rsidR="003B6BD9" w:rsidRDefault="009E25E8">
        <w:pPr>
          <w:pStyle w:val="Footer"/>
          <w:jc w:val="center"/>
        </w:pPr>
        <w:r>
          <w:fldChar w:fldCharType="begin"/>
        </w:r>
        <w:r>
          <w:instrText xml:space="preserve"> PAGE   \* MERGEFORMAT </w:instrText>
        </w:r>
        <w:r>
          <w:fldChar w:fldCharType="separate"/>
        </w:r>
        <w:r w:rsidR="000841F0">
          <w:rPr>
            <w:noProof/>
          </w:rPr>
          <w:t>13</w:t>
        </w:r>
        <w:r>
          <w:fldChar w:fldCharType="end"/>
        </w:r>
      </w:p>
    </w:sdtContent>
  </w:sdt>
  <w:p w14:paraId="74B10067" w14:textId="77777777" w:rsidR="003B6BD9" w:rsidRDefault="003B6BD9">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D9F87" w14:textId="77777777" w:rsidR="003B6BD9" w:rsidRDefault="003B6BD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0DA05" w14:textId="77777777" w:rsidR="003B6BD9" w:rsidRDefault="003B6BD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4452433"/>
      <w:docPartObj>
        <w:docPartGallery w:val="Page Numbers (Bottom of Page)"/>
        <w:docPartUnique/>
      </w:docPartObj>
    </w:sdtPr>
    <w:sdtEndPr/>
    <w:sdtContent>
      <w:p w14:paraId="23E0EFF5" w14:textId="09E570C0" w:rsidR="003B6BD9" w:rsidRDefault="009E25E8">
        <w:pPr>
          <w:pStyle w:val="Footer"/>
          <w:jc w:val="center"/>
        </w:pPr>
        <w:r>
          <w:fldChar w:fldCharType="begin"/>
        </w:r>
        <w:r>
          <w:instrText xml:space="preserve"> PAGE   \* MERGEFORMAT </w:instrText>
        </w:r>
        <w:r>
          <w:fldChar w:fldCharType="separate"/>
        </w:r>
        <w:r w:rsidR="000841F0">
          <w:rPr>
            <w:noProof/>
          </w:rPr>
          <w:t>16</w:t>
        </w:r>
        <w:r>
          <w:fldChar w:fldCharType="end"/>
        </w:r>
      </w:p>
    </w:sdtContent>
  </w:sdt>
  <w:p w14:paraId="14CFCD92" w14:textId="77777777" w:rsidR="003B6BD9" w:rsidRDefault="003B6BD9">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EFDC5" w14:textId="77777777" w:rsidR="003B6BD9" w:rsidRDefault="003B6BD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E134C" w14:textId="77777777" w:rsidR="003B6BD9" w:rsidRDefault="003B6BD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3249358"/>
      <w:docPartObj>
        <w:docPartGallery w:val="Page Numbers (Bottom of Page)"/>
        <w:docPartUnique/>
      </w:docPartObj>
    </w:sdtPr>
    <w:sdtEndPr/>
    <w:sdtContent>
      <w:p w14:paraId="1DFFCC02" w14:textId="5714FE1A" w:rsidR="003B6BD9" w:rsidRDefault="009E25E8">
        <w:pPr>
          <w:pStyle w:val="Footer"/>
          <w:jc w:val="center"/>
        </w:pPr>
        <w:r>
          <w:fldChar w:fldCharType="begin"/>
        </w:r>
        <w:r>
          <w:instrText xml:space="preserve"> PAGE   \* MERGEFORMAT </w:instrText>
        </w:r>
        <w:r>
          <w:fldChar w:fldCharType="separate"/>
        </w:r>
        <w:r w:rsidR="000841F0">
          <w:rPr>
            <w:noProof/>
          </w:rPr>
          <w:t>21</w:t>
        </w:r>
        <w:r>
          <w:fldChar w:fldCharType="end"/>
        </w:r>
      </w:p>
    </w:sdtContent>
  </w:sdt>
  <w:p w14:paraId="00B3A9E1" w14:textId="77777777" w:rsidR="003B6BD9" w:rsidRDefault="003B6BD9">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D14D" w14:textId="77777777" w:rsidR="003B6BD9" w:rsidRDefault="003B6BD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01E9F" w14:textId="77777777" w:rsidR="003B6BD9" w:rsidRDefault="003B6BD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782489"/>
      <w:docPartObj>
        <w:docPartGallery w:val="Page Numbers (Bottom of Page)"/>
        <w:docPartUnique/>
      </w:docPartObj>
    </w:sdtPr>
    <w:sdtEndPr/>
    <w:sdtContent>
      <w:p w14:paraId="122E8F31" w14:textId="29591C30" w:rsidR="003B6BD9" w:rsidRDefault="009E25E8">
        <w:pPr>
          <w:pStyle w:val="Footer"/>
          <w:jc w:val="center"/>
        </w:pPr>
        <w:r>
          <w:fldChar w:fldCharType="begin"/>
        </w:r>
        <w:r>
          <w:instrText xml:space="preserve"> PAGE   \* MERGEFORMAT </w:instrText>
        </w:r>
        <w:r>
          <w:fldChar w:fldCharType="separate"/>
        </w:r>
        <w:r>
          <w:t>33</w:t>
        </w:r>
        <w:r>
          <w:fldChar w:fldCharType="end"/>
        </w:r>
      </w:p>
    </w:sdtContent>
  </w:sdt>
  <w:p w14:paraId="11D6721B" w14:textId="77777777" w:rsidR="003B6BD9" w:rsidRDefault="003B6BD9">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CD660" w14:textId="77777777" w:rsidR="003B6BD9" w:rsidRDefault="003B6BD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D9953" w14:textId="77777777" w:rsidR="003B6BD9" w:rsidRDefault="003B6BD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364660"/>
      <w:docPartObj>
        <w:docPartGallery w:val="Page Numbers (Bottom of Page)"/>
        <w:docPartUnique/>
      </w:docPartObj>
    </w:sdtPr>
    <w:sdtEndPr/>
    <w:sdtContent>
      <w:p w14:paraId="17F72330" w14:textId="1700D001" w:rsidR="003B6BD9" w:rsidRDefault="009E25E8">
        <w:pPr>
          <w:pStyle w:val="Footer"/>
          <w:jc w:val="center"/>
        </w:pPr>
        <w:r>
          <w:fldChar w:fldCharType="begin"/>
        </w:r>
        <w:r>
          <w:instrText xml:space="preserve"> PAGE   \* MERGEFORMAT </w:instrText>
        </w:r>
        <w:r>
          <w:fldChar w:fldCharType="separate"/>
        </w:r>
        <w:r>
          <w:t>37</w:t>
        </w:r>
        <w:r>
          <w:fldChar w:fldCharType="end"/>
        </w:r>
      </w:p>
    </w:sdtContent>
  </w:sdt>
  <w:p w14:paraId="0CE1B1E6" w14:textId="77777777" w:rsidR="003B6BD9" w:rsidRDefault="003B6BD9">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B9BBD" w14:textId="77777777" w:rsidR="003B6BD9" w:rsidRDefault="003B6BD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61662" w14:textId="77777777" w:rsidR="003B6BD9" w:rsidRDefault="003B6BD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6328634"/>
      <w:docPartObj>
        <w:docPartGallery w:val="Page Numbers (Bottom of Page)"/>
        <w:docPartUnique/>
      </w:docPartObj>
    </w:sdtPr>
    <w:sdtEndPr/>
    <w:sdtContent>
      <w:p w14:paraId="72505D9E" w14:textId="4D55A05D" w:rsidR="003B6BD9" w:rsidRDefault="009E25E8">
        <w:pPr>
          <w:pStyle w:val="Footer"/>
          <w:jc w:val="center"/>
        </w:pPr>
        <w:r>
          <w:fldChar w:fldCharType="begin"/>
        </w:r>
        <w:r>
          <w:instrText xml:space="preserve"> PAGE   \* MERGEFORMAT </w:instrText>
        </w:r>
        <w:r>
          <w:fldChar w:fldCharType="separate"/>
        </w:r>
        <w:r>
          <w:t>40</w:t>
        </w:r>
        <w:r>
          <w:fldChar w:fldCharType="end"/>
        </w:r>
      </w:p>
    </w:sdtContent>
  </w:sdt>
  <w:p w14:paraId="7A29876A" w14:textId="77777777" w:rsidR="003B6BD9" w:rsidRDefault="003B6BD9">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EBA10" w14:textId="77777777" w:rsidR="003B6BD9" w:rsidRDefault="003B6BD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AC876" w14:textId="77777777" w:rsidR="003B6BD9" w:rsidRDefault="003B6BD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8078787"/>
      <w:docPartObj>
        <w:docPartGallery w:val="Page Numbers (Bottom of Page)"/>
        <w:docPartUnique/>
      </w:docPartObj>
    </w:sdtPr>
    <w:sdtEndPr/>
    <w:sdtContent>
      <w:p w14:paraId="6E48F982" w14:textId="46B3D423" w:rsidR="003B6BD9" w:rsidRDefault="009E25E8">
        <w:pPr>
          <w:pStyle w:val="Footer"/>
          <w:jc w:val="center"/>
        </w:pPr>
        <w:r>
          <w:fldChar w:fldCharType="begin"/>
        </w:r>
        <w:r>
          <w:instrText xml:space="preserve"> PAGE   \* MERGEFORMAT </w:instrText>
        </w:r>
        <w:r>
          <w:fldChar w:fldCharType="separate"/>
        </w:r>
        <w:r>
          <w:t>45</w:t>
        </w:r>
        <w:r>
          <w:fldChar w:fldCharType="end"/>
        </w:r>
      </w:p>
    </w:sdtContent>
  </w:sdt>
  <w:p w14:paraId="476013BE" w14:textId="77777777" w:rsidR="003B6BD9" w:rsidRDefault="003B6BD9">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97ACB" w14:textId="77777777" w:rsidR="003B6BD9" w:rsidRDefault="003B6BD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C2CEA" w14:textId="77777777" w:rsidR="003B6BD9" w:rsidRDefault="003B6BD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4433930"/>
      <w:docPartObj>
        <w:docPartGallery w:val="Page Numbers (Bottom of Page)"/>
        <w:docPartUnique/>
      </w:docPartObj>
    </w:sdtPr>
    <w:sdtEndPr/>
    <w:sdtContent>
      <w:p w14:paraId="0B71B6C7" w14:textId="2F7168DD" w:rsidR="003B6BD9" w:rsidRDefault="009E25E8">
        <w:pPr>
          <w:pStyle w:val="Footer"/>
          <w:jc w:val="center"/>
        </w:pPr>
        <w:r>
          <w:fldChar w:fldCharType="begin"/>
        </w:r>
        <w:r>
          <w:instrText xml:space="preserve"> PAGE   \* MERGEFORMAT </w:instrText>
        </w:r>
        <w:r>
          <w:fldChar w:fldCharType="separate"/>
        </w:r>
        <w:r>
          <w:t>47</w:t>
        </w:r>
        <w:r>
          <w:fldChar w:fldCharType="end"/>
        </w:r>
      </w:p>
    </w:sdtContent>
  </w:sdt>
  <w:p w14:paraId="06BD8BA5" w14:textId="77777777" w:rsidR="003B6BD9" w:rsidRDefault="003B6BD9">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121B5" w14:textId="77777777" w:rsidR="003B6BD9" w:rsidRDefault="003B6BD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D24EB" w14:textId="77777777" w:rsidR="003B6BD9" w:rsidRDefault="003B6BD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377933"/>
      <w:docPartObj>
        <w:docPartGallery w:val="Page Numbers (Bottom of Page)"/>
        <w:docPartUnique/>
      </w:docPartObj>
    </w:sdtPr>
    <w:sdtEndPr/>
    <w:sdtContent>
      <w:p w14:paraId="31DD5D97" w14:textId="0561471D" w:rsidR="003B6BD9" w:rsidRDefault="009E25E8">
        <w:pPr>
          <w:pStyle w:val="Footer"/>
          <w:jc w:val="center"/>
        </w:pPr>
        <w:r>
          <w:fldChar w:fldCharType="begin"/>
        </w:r>
        <w:r>
          <w:instrText xml:space="preserve"> PAGE   \* MERGEFORMAT </w:instrText>
        </w:r>
        <w:r>
          <w:fldChar w:fldCharType="separate"/>
        </w:r>
        <w:r>
          <w:t>50</w:t>
        </w:r>
        <w:r>
          <w:fldChar w:fldCharType="end"/>
        </w:r>
      </w:p>
    </w:sdtContent>
  </w:sdt>
  <w:p w14:paraId="1FC169B4" w14:textId="77777777" w:rsidR="003B6BD9" w:rsidRDefault="003B6BD9">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E98EF" w14:textId="77777777" w:rsidR="003B6BD9" w:rsidRDefault="003B6BD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E4D78" w14:textId="77777777" w:rsidR="003B6BD9" w:rsidRDefault="003B6BD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1595009"/>
      <w:docPartObj>
        <w:docPartGallery w:val="Page Numbers (Bottom of Page)"/>
        <w:docPartUnique/>
      </w:docPartObj>
    </w:sdtPr>
    <w:sdtEndPr/>
    <w:sdtContent>
      <w:p w14:paraId="5CB7AD46" w14:textId="330D1154" w:rsidR="003B6BD9" w:rsidRDefault="009E25E8">
        <w:pPr>
          <w:pStyle w:val="Footer"/>
          <w:jc w:val="center"/>
        </w:pPr>
        <w:r>
          <w:fldChar w:fldCharType="begin"/>
        </w:r>
        <w:r>
          <w:instrText xml:space="preserve"> PAGE   \* MERGEFORMAT </w:instrText>
        </w:r>
        <w:r>
          <w:fldChar w:fldCharType="separate"/>
        </w:r>
        <w:r>
          <w:t>52</w:t>
        </w:r>
        <w:r>
          <w:fldChar w:fldCharType="end"/>
        </w:r>
      </w:p>
    </w:sdtContent>
  </w:sdt>
  <w:p w14:paraId="74A45986" w14:textId="77777777" w:rsidR="003B6BD9" w:rsidRDefault="003B6BD9">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1E2A8" w14:textId="77777777" w:rsidR="003B6BD9" w:rsidRDefault="003B6BD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4D5D7" w14:textId="77777777" w:rsidR="003B6BD9" w:rsidRDefault="003B6BD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728813"/>
      <w:docPartObj>
        <w:docPartGallery w:val="Page Numbers (Bottom of Page)"/>
        <w:docPartUnique/>
      </w:docPartObj>
    </w:sdtPr>
    <w:sdtEndPr/>
    <w:sdtContent>
      <w:p w14:paraId="0A0BD20B" w14:textId="297476FD" w:rsidR="003B6BD9" w:rsidRDefault="009E25E8">
        <w:pPr>
          <w:pStyle w:val="Footer"/>
          <w:jc w:val="center"/>
        </w:pPr>
        <w:r>
          <w:fldChar w:fldCharType="begin"/>
        </w:r>
        <w:r>
          <w:instrText xml:space="preserve"> PAGE   \* MERGEFORMAT </w:instrText>
        </w:r>
        <w:r>
          <w:fldChar w:fldCharType="separate"/>
        </w:r>
        <w:r>
          <w:t>56</w:t>
        </w:r>
        <w:r>
          <w:fldChar w:fldCharType="end"/>
        </w:r>
      </w:p>
    </w:sdtContent>
  </w:sdt>
  <w:p w14:paraId="20ECE814" w14:textId="77777777" w:rsidR="003B6BD9" w:rsidRDefault="003B6BD9">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4BE79" w14:textId="77777777" w:rsidR="003B6BD9" w:rsidRDefault="003B6BD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807A2" w14:textId="77777777" w:rsidR="003B6BD9" w:rsidRDefault="003B6BD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965892"/>
      <w:docPartObj>
        <w:docPartGallery w:val="Page Numbers (Bottom of Page)"/>
        <w:docPartUnique/>
      </w:docPartObj>
    </w:sdtPr>
    <w:sdtEndPr/>
    <w:sdtContent>
      <w:p w14:paraId="39142738" w14:textId="2B21AACF" w:rsidR="003B6BD9" w:rsidRDefault="009E25E8">
        <w:pPr>
          <w:pStyle w:val="Footer"/>
          <w:jc w:val="center"/>
        </w:pPr>
        <w:r>
          <w:fldChar w:fldCharType="begin"/>
        </w:r>
        <w:r>
          <w:instrText xml:space="preserve"> PAGE   \* MERGEFORMAT </w:instrText>
        </w:r>
        <w:r>
          <w:fldChar w:fldCharType="separate"/>
        </w:r>
        <w:r>
          <w:t>58</w:t>
        </w:r>
        <w:r>
          <w:fldChar w:fldCharType="end"/>
        </w:r>
      </w:p>
    </w:sdtContent>
  </w:sdt>
  <w:p w14:paraId="364AB97B" w14:textId="77777777" w:rsidR="003B6BD9" w:rsidRDefault="003B6BD9">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074E0" w14:textId="77777777" w:rsidR="003B6BD9" w:rsidRDefault="003B6BD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DFECC" w14:textId="77777777" w:rsidR="003B6BD9" w:rsidRDefault="003B6BD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2693551"/>
      <w:docPartObj>
        <w:docPartGallery w:val="Page Numbers (Bottom of Page)"/>
        <w:docPartUnique/>
      </w:docPartObj>
    </w:sdtPr>
    <w:sdtEndPr/>
    <w:sdtContent>
      <w:p w14:paraId="7886A79E" w14:textId="5EA03610" w:rsidR="003B6BD9" w:rsidRDefault="009E25E8">
        <w:pPr>
          <w:pStyle w:val="Footer"/>
          <w:jc w:val="center"/>
        </w:pPr>
        <w:r>
          <w:fldChar w:fldCharType="begin"/>
        </w:r>
        <w:r>
          <w:instrText xml:space="preserve"> PAGE   \* MERGEFORMAT </w:instrText>
        </w:r>
        <w:r>
          <w:fldChar w:fldCharType="separate"/>
        </w:r>
        <w:r>
          <w:t>62</w:t>
        </w:r>
        <w:r>
          <w:fldChar w:fldCharType="end"/>
        </w:r>
      </w:p>
    </w:sdtContent>
  </w:sdt>
  <w:p w14:paraId="3A136FE7" w14:textId="77777777" w:rsidR="003B6BD9" w:rsidRDefault="003B6BD9">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F1EE4" w14:textId="77777777" w:rsidR="003B6BD9" w:rsidRDefault="003B6BD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2A766" w14:textId="77777777" w:rsidR="003B6BD9" w:rsidRDefault="003B6BD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376695"/>
      <w:docPartObj>
        <w:docPartGallery w:val="Page Numbers (Bottom of Page)"/>
        <w:docPartUnique/>
      </w:docPartObj>
    </w:sdtPr>
    <w:sdtEndPr/>
    <w:sdtContent>
      <w:p w14:paraId="60C29F10" w14:textId="3380BB76" w:rsidR="003B6BD9" w:rsidRDefault="009E25E8">
        <w:pPr>
          <w:pStyle w:val="Footer"/>
          <w:jc w:val="center"/>
        </w:pPr>
        <w:r>
          <w:fldChar w:fldCharType="begin"/>
        </w:r>
        <w:r>
          <w:instrText xml:space="preserve"> PAGE   \* MERGEFORMAT </w:instrText>
        </w:r>
        <w:r>
          <w:fldChar w:fldCharType="separate"/>
        </w:r>
        <w:r>
          <w:t>67</w:t>
        </w:r>
        <w:r>
          <w:fldChar w:fldCharType="end"/>
        </w:r>
      </w:p>
    </w:sdtContent>
  </w:sdt>
  <w:p w14:paraId="20B32242" w14:textId="77777777" w:rsidR="003B6BD9" w:rsidRDefault="003B6BD9">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578EE" w14:textId="77777777" w:rsidR="003B6BD9" w:rsidRDefault="003B6BD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3A791" w14:textId="77777777" w:rsidR="003B6BD9" w:rsidRDefault="003B6BD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6123398"/>
      <w:docPartObj>
        <w:docPartGallery w:val="Page Numbers (Bottom of Page)"/>
        <w:docPartUnique/>
      </w:docPartObj>
    </w:sdtPr>
    <w:sdtEndPr/>
    <w:sdtContent>
      <w:p w14:paraId="12C3EE09" w14:textId="26DACD7B" w:rsidR="003B6BD9" w:rsidRDefault="009E25E8">
        <w:pPr>
          <w:pStyle w:val="Footer"/>
          <w:jc w:val="center"/>
        </w:pPr>
        <w:r>
          <w:fldChar w:fldCharType="begin"/>
        </w:r>
        <w:r>
          <w:instrText xml:space="preserve"> PAGE   \* MERGEFORMAT </w:instrText>
        </w:r>
        <w:r>
          <w:fldChar w:fldCharType="separate"/>
        </w:r>
        <w:r>
          <w:t>78</w:t>
        </w:r>
        <w:r>
          <w:fldChar w:fldCharType="end"/>
        </w:r>
      </w:p>
    </w:sdtContent>
  </w:sdt>
  <w:p w14:paraId="1F56FBAA" w14:textId="77777777" w:rsidR="003B6BD9" w:rsidRDefault="003B6BD9">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E7FAF" w14:textId="77777777" w:rsidR="003B6BD9" w:rsidRDefault="003B6BD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11EE6" w14:textId="77777777" w:rsidR="003B6BD9" w:rsidRDefault="003B6BD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6192566"/>
      <w:docPartObj>
        <w:docPartGallery w:val="Page Numbers (Bottom of Page)"/>
        <w:docPartUnique/>
      </w:docPartObj>
    </w:sdtPr>
    <w:sdtEndPr/>
    <w:sdtContent>
      <w:p w14:paraId="3056CA29" w14:textId="65EB007F" w:rsidR="003B6BD9" w:rsidRDefault="009E25E8">
        <w:pPr>
          <w:pStyle w:val="Footer"/>
          <w:jc w:val="center"/>
        </w:pPr>
        <w:r>
          <w:fldChar w:fldCharType="begin"/>
        </w:r>
        <w:r>
          <w:instrText xml:space="preserve"> PAGE   \* MERGEFORMAT </w:instrText>
        </w:r>
        <w:r>
          <w:fldChar w:fldCharType="separate"/>
        </w:r>
        <w:r>
          <w:t>80</w:t>
        </w:r>
        <w:r>
          <w:fldChar w:fldCharType="end"/>
        </w:r>
      </w:p>
    </w:sdtContent>
  </w:sdt>
  <w:p w14:paraId="3EF3763F" w14:textId="77777777" w:rsidR="003B6BD9" w:rsidRDefault="003B6BD9">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676F2" w14:textId="77777777" w:rsidR="003B6BD9" w:rsidRDefault="003B6BD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4CEE8" w14:textId="77777777" w:rsidR="003B6BD9" w:rsidRDefault="003B6BD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2477742"/>
      <w:docPartObj>
        <w:docPartGallery w:val="Page Numbers (Bottom of Page)"/>
        <w:docPartUnique/>
      </w:docPartObj>
    </w:sdtPr>
    <w:sdtEndPr/>
    <w:sdtContent>
      <w:p w14:paraId="4E58C23B" w14:textId="348220E5" w:rsidR="003B6BD9" w:rsidRDefault="009E25E8">
        <w:pPr>
          <w:pStyle w:val="Footer"/>
          <w:jc w:val="center"/>
        </w:pPr>
        <w:r>
          <w:fldChar w:fldCharType="begin"/>
        </w:r>
        <w:r>
          <w:instrText xml:space="preserve"> PAGE   \* MERGEFORMAT </w:instrText>
        </w:r>
        <w:r>
          <w:fldChar w:fldCharType="separate"/>
        </w:r>
        <w:r>
          <w:t>81</w:t>
        </w:r>
        <w:r>
          <w:fldChar w:fldCharType="end"/>
        </w:r>
      </w:p>
    </w:sdtContent>
  </w:sdt>
  <w:p w14:paraId="7CCC7316" w14:textId="77777777" w:rsidR="003B6BD9" w:rsidRDefault="003B6BD9">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AC0B8" w14:textId="77777777" w:rsidR="003B6BD9" w:rsidRDefault="003B6BD9">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7F259" w14:textId="77777777" w:rsidR="003B6BD9" w:rsidRDefault="003B6BD9">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3791649"/>
      <w:docPartObj>
        <w:docPartGallery w:val="Page Numbers (Bottom of Page)"/>
        <w:docPartUnique/>
      </w:docPartObj>
    </w:sdtPr>
    <w:sdtEndPr/>
    <w:sdtContent>
      <w:p w14:paraId="0488E039" w14:textId="454A0ED2" w:rsidR="003B6BD9" w:rsidRDefault="009E25E8">
        <w:pPr>
          <w:pStyle w:val="Footer"/>
          <w:jc w:val="center"/>
        </w:pPr>
        <w:r>
          <w:fldChar w:fldCharType="begin"/>
        </w:r>
        <w:r>
          <w:instrText xml:space="preserve"> PAGE   \* MERGEFORMAT </w:instrText>
        </w:r>
        <w:r>
          <w:fldChar w:fldCharType="separate"/>
        </w:r>
        <w:r>
          <w:t>94</w:t>
        </w:r>
        <w:r>
          <w:fldChar w:fldCharType="end"/>
        </w:r>
      </w:p>
    </w:sdtContent>
  </w:sdt>
  <w:p w14:paraId="6F38CC81" w14:textId="77777777" w:rsidR="003B6BD9" w:rsidRDefault="003B6BD9">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1ABBF" w14:textId="77777777" w:rsidR="003B6BD9" w:rsidRDefault="003B6BD9">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417603"/>
      <w:docPartObj>
        <w:docPartGallery w:val="Page Numbers (Bottom of Page)"/>
        <w:docPartUnique/>
      </w:docPartObj>
    </w:sdtPr>
    <w:sdtEndPr/>
    <w:sdtContent>
      <w:p w14:paraId="2705D494" w14:textId="77777777" w:rsidR="003B6BD9" w:rsidRDefault="009E25E8">
        <w:pPr>
          <w:pStyle w:val="Footer"/>
          <w:jc w:val="center"/>
        </w:pPr>
        <w:r>
          <w:fldChar w:fldCharType="begin"/>
        </w:r>
        <w:r>
          <w:instrText xml:space="preserve"> PAGE   \* MERGEFORMAT </w:instrText>
        </w:r>
        <w:r>
          <w:fldChar w:fldCharType="separate"/>
        </w:r>
        <w:r>
          <w:t>94</w:t>
        </w:r>
        <w:r>
          <w:fldChar w:fldCharType="end"/>
        </w:r>
      </w:p>
    </w:sdtContent>
  </w:sdt>
  <w:p w14:paraId="25B8FD72" w14:textId="77777777" w:rsidR="003B6BD9" w:rsidRDefault="003B6BD9">
    <w:pPr>
      <w:pStyle w:val="FooterCouncil"/>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D88F1" w14:textId="77777777" w:rsidR="003B6BD9" w:rsidRDefault="003B6BD9">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271396"/>
      <w:docPartObj>
        <w:docPartGallery w:val="Page Numbers (Bottom of Page)"/>
        <w:docPartUnique/>
      </w:docPartObj>
    </w:sdtPr>
    <w:sdtEndPr/>
    <w:sdtContent>
      <w:p w14:paraId="74A36956" w14:textId="1C7F604B" w:rsidR="003B6BD9" w:rsidRDefault="009E25E8">
        <w:pPr>
          <w:pStyle w:val="Footer"/>
          <w:jc w:val="center"/>
        </w:pPr>
        <w:r>
          <w:fldChar w:fldCharType="begin"/>
        </w:r>
        <w:r>
          <w:instrText xml:space="preserve"> PAGE   \* MERGEFORMAT </w:instrText>
        </w:r>
        <w:r>
          <w:fldChar w:fldCharType="separate"/>
        </w:r>
        <w:r>
          <w:t>97</w:t>
        </w:r>
        <w:r>
          <w:fldChar w:fldCharType="end"/>
        </w:r>
      </w:p>
    </w:sdtContent>
  </w:sdt>
  <w:p w14:paraId="3328E2F8" w14:textId="77777777" w:rsidR="003B6BD9" w:rsidRDefault="003B6BD9">
    <w:pPr>
      <w:pStyle w:val="FooterCouncil"/>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1DFC8" w14:textId="77777777" w:rsidR="003B6BD9" w:rsidRDefault="003B6BD9">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EA3F3" w14:textId="77777777" w:rsidR="003B6BD9" w:rsidRDefault="003B6BD9">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320905"/>
      <w:docPartObj>
        <w:docPartGallery w:val="Page Numbers (Bottom of Page)"/>
        <w:docPartUnique/>
      </w:docPartObj>
    </w:sdtPr>
    <w:sdtEndPr/>
    <w:sdtContent>
      <w:p w14:paraId="63C1B861" w14:textId="546CB622" w:rsidR="003B6BD9" w:rsidRDefault="009E25E8">
        <w:pPr>
          <w:pStyle w:val="Footer"/>
          <w:jc w:val="center"/>
        </w:pPr>
        <w:r>
          <w:fldChar w:fldCharType="begin"/>
        </w:r>
        <w:r>
          <w:instrText xml:space="preserve"> PAGE   \* MERGEFORMAT </w:instrText>
        </w:r>
        <w:r>
          <w:fldChar w:fldCharType="separate"/>
        </w:r>
        <w:r>
          <w:t>103</w:t>
        </w:r>
        <w:r>
          <w:fldChar w:fldCharType="end"/>
        </w:r>
      </w:p>
    </w:sdtContent>
  </w:sdt>
  <w:p w14:paraId="152D7A3C" w14:textId="77777777" w:rsidR="003B6BD9" w:rsidRDefault="003B6BD9">
    <w:pPr>
      <w:pStyle w:val="FooterCouncil"/>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02A49" w14:textId="77777777" w:rsidR="003B6BD9" w:rsidRDefault="003B6BD9">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7BD4E" w14:textId="77777777" w:rsidR="003B6BD9" w:rsidRDefault="003B6BD9">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5105422"/>
      <w:docPartObj>
        <w:docPartGallery w:val="Page Numbers (Bottom of Page)"/>
        <w:docPartUnique/>
      </w:docPartObj>
    </w:sdtPr>
    <w:sdtEndPr/>
    <w:sdtContent>
      <w:p w14:paraId="23FF2FBB" w14:textId="5011ADC6" w:rsidR="003B6BD9" w:rsidRDefault="009E25E8">
        <w:pPr>
          <w:pStyle w:val="Footer"/>
          <w:jc w:val="center"/>
        </w:pPr>
        <w:r>
          <w:fldChar w:fldCharType="begin"/>
        </w:r>
        <w:r>
          <w:instrText xml:space="preserve"> PAGE   \* MERGEFORMAT </w:instrText>
        </w:r>
        <w:r>
          <w:fldChar w:fldCharType="separate"/>
        </w:r>
        <w:r>
          <w:t>105</w:t>
        </w:r>
        <w:r>
          <w:fldChar w:fldCharType="end"/>
        </w:r>
      </w:p>
    </w:sdtContent>
  </w:sdt>
  <w:p w14:paraId="7173A554" w14:textId="77777777" w:rsidR="003B6BD9" w:rsidRDefault="003B6BD9">
    <w:pPr>
      <w:pStyle w:val="FooterCouncil"/>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1CF99" w14:textId="77777777" w:rsidR="003B6BD9" w:rsidRDefault="003B6BD9">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38DA9" w14:textId="77777777" w:rsidR="003B6BD9" w:rsidRDefault="003B6BD9">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101434"/>
      <w:docPartObj>
        <w:docPartGallery w:val="Page Numbers (Bottom of Page)"/>
        <w:docPartUnique/>
      </w:docPartObj>
    </w:sdtPr>
    <w:sdtEndPr/>
    <w:sdtContent>
      <w:p w14:paraId="71969A6D" w14:textId="61529A34" w:rsidR="003B6BD9" w:rsidRDefault="009E25E8">
        <w:pPr>
          <w:pStyle w:val="Footer"/>
          <w:jc w:val="center"/>
        </w:pPr>
        <w:r>
          <w:fldChar w:fldCharType="begin"/>
        </w:r>
        <w:r>
          <w:instrText xml:space="preserve"> PAGE   \* MERGEFORMAT </w:instrText>
        </w:r>
        <w:r>
          <w:fldChar w:fldCharType="separate"/>
        </w:r>
        <w:r>
          <w:t>109</w:t>
        </w:r>
        <w:r>
          <w:fldChar w:fldCharType="end"/>
        </w:r>
      </w:p>
    </w:sdtContent>
  </w:sdt>
  <w:p w14:paraId="5BDEABF6" w14:textId="77777777" w:rsidR="003B6BD9" w:rsidRDefault="003B6BD9">
    <w:pPr>
      <w:pStyle w:val="FooterCouncil"/>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C4EF7" w14:textId="77777777" w:rsidR="003B6BD9" w:rsidRDefault="003B6BD9">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70720" w14:textId="77777777" w:rsidR="003B6BD9" w:rsidRDefault="003B6BD9">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5488287"/>
      <w:docPartObj>
        <w:docPartGallery w:val="Page Numbers (Bottom of Page)"/>
        <w:docPartUnique/>
      </w:docPartObj>
    </w:sdtPr>
    <w:sdtEndPr/>
    <w:sdtContent>
      <w:p w14:paraId="47D0E022" w14:textId="5469834D" w:rsidR="003B6BD9" w:rsidRDefault="009E25E8">
        <w:pPr>
          <w:pStyle w:val="Footer"/>
          <w:jc w:val="center"/>
        </w:pPr>
        <w:r>
          <w:fldChar w:fldCharType="begin"/>
        </w:r>
        <w:r>
          <w:instrText xml:space="preserve"> PAGE   \* MERGEFORMAT </w:instrText>
        </w:r>
        <w:r>
          <w:fldChar w:fldCharType="separate"/>
        </w:r>
        <w:r>
          <w:t>110</w:t>
        </w:r>
        <w:r>
          <w:fldChar w:fldCharType="end"/>
        </w:r>
      </w:p>
    </w:sdtContent>
  </w:sdt>
  <w:p w14:paraId="15D8A41F" w14:textId="77777777" w:rsidR="003B6BD9" w:rsidRDefault="003B6BD9">
    <w:pPr>
      <w:pStyle w:val="FooterCouncil"/>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369ED" w14:textId="77777777" w:rsidR="003B6BD9" w:rsidRDefault="003B6BD9">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45668" w14:textId="77777777" w:rsidR="003B6BD9" w:rsidRDefault="003B6BD9">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688665"/>
      <w:docPartObj>
        <w:docPartGallery w:val="Page Numbers (Bottom of Page)"/>
        <w:docPartUnique/>
      </w:docPartObj>
    </w:sdtPr>
    <w:sdtEndPr/>
    <w:sdtContent>
      <w:p w14:paraId="77E03328" w14:textId="56DC5BDD" w:rsidR="003B6BD9" w:rsidRDefault="009E25E8">
        <w:pPr>
          <w:pStyle w:val="Footer"/>
          <w:jc w:val="center"/>
        </w:pPr>
        <w:r>
          <w:fldChar w:fldCharType="begin"/>
        </w:r>
        <w:r>
          <w:instrText xml:space="preserve"> PAGE   \* MERGEFORMAT </w:instrText>
        </w:r>
        <w:r>
          <w:fldChar w:fldCharType="separate"/>
        </w:r>
        <w:r>
          <w:t>118</w:t>
        </w:r>
        <w:r>
          <w:fldChar w:fldCharType="end"/>
        </w:r>
      </w:p>
    </w:sdtContent>
  </w:sdt>
  <w:p w14:paraId="56EF731D" w14:textId="77777777" w:rsidR="003B6BD9" w:rsidRDefault="003B6BD9">
    <w:pPr>
      <w:pStyle w:val="FooterCouncil"/>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E8CAD" w14:textId="77777777" w:rsidR="003B6BD9" w:rsidRDefault="003B6BD9">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AD2F4" w14:textId="77777777" w:rsidR="003B6BD9" w:rsidRDefault="003B6BD9">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82826"/>
      <w:docPartObj>
        <w:docPartGallery w:val="Page Numbers (Bottom of Page)"/>
        <w:docPartUnique/>
      </w:docPartObj>
    </w:sdtPr>
    <w:sdtEndPr/>
    <w:sdtContent>
      <w:p w14:paraId="3D0C8160" w14:textId="1A542A69" w:rsidR="003B6BD9" w:rsidRDefault="009E25E8">
        <w:pPr>
          <w:pStyle w:val="Footer"/>
          <w:jc w:val="center"/>
        </w:pPr>
        <w:r>
          <w:fldChar w:fldCharType="begin"/>
        </w:r>
        <w:r>
          <w:instrText xml:space="preserve"> PAGE   \* MERGEFORMAT </w:instrText>
        </w:r>
        <w:r>
          <w:fldChar w:fldCharType="separate"/>
        </w:r>
        <w:r>
          <w:t>119</w:t>
        </w:r>
        <w:r>
          <w:fldChar w:fldCharType="end"/>
        </w:r>
      </w:p>
    </w:sdtContent>
  </w:sdt>
  <w:p w14:paraId="4A0D7BC5" w14:textId="77777777" w:rsidR="003B6BD9" w:rsidRDefault="003B6BD9">
    <w:pPr>
      <w:pStyle w:val="FooterCouncil"/>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A604" w14:textId="77777777" w:rsidR="003B6BD9" w:rsidRDefault="003B6BD9">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692F1" w14:textId="77777777" w:rsidR="003B6BD9" w:rsidRDefault="003B6BD9">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57308"/>
      <w:docPartObj>
        <w:docPartGallery w:val="Page Numbers (Bottom of Page)"/>
        <w:docPartUnique/>
      </w:docPartObj>
    </w:sdtPr>
    <w:sdtEndPr/>
    <w:sdtContent>
      <w:p w14:paraId="7117B336" w14:textId="6A5FE46C" w:rsidR="003B6BD9" w:rsidRDefault="009E25E8">
        <w:pPr>
          <w:pStyle w:val="Footer"/>
          <w:jc w:val="center"/>
        </w:pPr>
        <w:r>
          <w:fldChar w:fldCharType="begin"/>
        </w:r>
        <w:r>
          <w:instrText xml:space="preserve"> PAGE   \* MERGEFORMAT </w:instrText>
        </w:r>
        <w:r>
          <w:fldChar w:fldCharType="separate"/>
        </w:r>
        <w:r>
          <w:t>120</w:t>
        </w:r>
        <w:r>
          <w:fldChar w:fldCharType="end"/>
        </w:r>
      </w:p>
    </w:sdtContent>
  </w:sdt>
  <w:p w14:paraId="6092FF68" w14:textId="77777777" w:rsidR="003B6BD9" w:rsidRDefault="003B6BD9">
    <w:pPr>
      <w:pStyle w:val="FooterCouncil"/>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2E8CB" w14:textId="77777777" w:rsidR="003B6BD9" w:rsidRDefault="003B6BD9">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DFDBB" w14:textId="77777777" w:rsidR="003B6BD9" w:rsidRDefault="003B6BD9">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117922"/>
      <w:docPartObj>
        <w:docPartGallery w:val="Page Numbers (Bottom of Page)"/>
        <w:docPartUnique/>
      </w:docPartObj>
    </w:sdtPr>
    <w:sdtEndPr/>
    <w:sdtContent>
      <w:p w14:paraId="40B231D0" w14:textId="6D7278A1" w:rsidR="003B6BD9" w:rsidRDefault="009E25E8">
        <w:pPr>
          <w:pStyle w:val="Footer"/>
          <w:jc w:val="center"/>
        </w:pPr>
        <w:r>
          <w:fldChar w:fldCharType="begin"/>
        </w:r>
        <w:r>
          <w:instrText xml:space="preserve"> PAGE   \* MERGEFORMAT </w:instrText>
        </w:r>
        <w:r>
          <w:fldChar w:fldCharType="separate"/>
        </w:r>
        <w:r>
          <w:t>122</w:t>
        </w:r>
        <w:r>
          <w:fldChar w:fldCharType="end"/>
        </w:r>
      </w:p>
    </w:sdtContent>
  </w:sdt>
  <w:p w14:paraId="74B14816" w14:textId="77777777" w:rsidR="003B6BD9" w:rsidRDefault="003B6BD9">
    <w:pPr>
      <w:pStyle w:val="FooterCouncil"/>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6C27C" w14:textId="77777777" w:rsidR="003B6BD9" w:rsidRDefault="003B6BD9">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8C361" w14:textId="77777777" w:rsidR="003B6BD9" w:rsidRDefault="003B6BD9">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866681"/>
      <w:docPartObj>
        <w:docPartGallery w:val="Page Numbers (Bottom of Page)"/>
        <w:docPartUnique/>
      </w:docPartObj>
    </w:sdtPr>
    <w:sdtEndPr/>
    <w:sdtContent>
      <w:p w14:paraId="480C2E65" w14:textId="5B01A85B" w:rsidR="003B6BD9" w:rsidRDefault="009E25E8">
        <w:pPr>
          <w:pStyle w:val="Footer"/>
          <w:jc w:val="center"/>
        </w:pPr>
        <w:r>
          <w:fldChar w:fldCharType="begin"/>
        </w:r>
        <w:r>
          <w:instrText xml:space="preserve"> PAGE   \* MERGEFORMAT </w:instrText>
        </w:r>
        <w:r>
          <w:fldChar w:fldCharType="separate"/>
        </w:r>
        <w:r>
          <w:t>123</w:t>
        </w:r>
        <w:r>
          <w:fldChar w:fldCharType="end"/>
        </w:r>
      </w:p>
    </w:sdtContent>
  </w:sdt>
  <w:p w14:paraId="61DFE58F" w14:textId="77777777" w:rsidR="003B6BD9" w:rsidRDefault="003B6BD9">
    <w:pPr>
      <w:pStyle w:val="FooterCouncil"/>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09238" w14:textId="77777777" w:rsidR="003B6BD9" w:rsidRDefault="003B6BD9">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3BFB8" w14:textId="77777777" w:rsidR="003B6BD9" w:rsidRDefault="003B6BD9">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5863092"/>
      <w:docPartObj>
        <w:docPartGallery w:val="Page Numbers (Bottom of Page)"/>
        <w:docPartUnique/>
      </w:docPartObj>
    </w:sdtPr>
    <w:sdtEndPr/>
    <w:sdtContent>
      <w:p w14:paraId="03B06153" w14:textId="4F3B014D" w:rsidR="003B6BD9" w:rsidRDefault="009E25E8">
        <w:pPr>
          <w:pStyle w:val="Footer"/>
          <w:jc w:val="center"/>
        </w:pPr>
        <w:r>
          <w:fldChar w:fldCharType="begin"/>
        </w:r>
        <w:r>
          <w:instrText xml:space="preserve"> PAGE   \* MERGEFORMAT </w:instrText>
        </w:r>
        <w:r>
          <w:fldChar w:fldCharType="separate"/>
        </w:r>
        <w:r>
          <w:t>135</w:t>
        </w:r>
        <w:r>
          <w:fldChar w:fldCharType="end"/>
        </w:r>
      </w:p>
    </w:sdtContent>
  </w:sdt>
  <w:p w14:paraId="7272A31F" w14:textId="77777777" w:rsidR="003B6BD9" w:rsidRDefault="003B6BD9">
    <w:pPr>
      <w:pStyle w:val="FooterCouncil"/>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B77A4" w14:textId="77777777" w:rsidR="003B6BD9" w:rsidRDefault="003B6BD9">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42511" w14:textId="77777777" w:rsidR="003B6BD9" w:rsidRDefault="003B6BD9">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7318972"/>
      <w:docPartObj>
        <w:docPartGallery w:val="Page Numbers (Bottom of Page)"/>
        <w:docPartUnique/>
      </w:docPartObj>
    </w:sdtPr>
    <w:sdtEndPr/>
    <w:sdtContent>
      <w:p w14:paraId="4C859E80" w14:textId="2A847181" w:rsidR="003B6BD9" w:rsidRDefault="009E25E8">
        <w:pPr>
          <w:pStyle w:val="Footer"/>
          <w:jc w:val="center"/>
        </w:pPr>
        <w:r>
          <w:fldChar w:fldCharType="begin"/>
        </w:r>
        <w:r>
          <w:instrText xml:space="preserve"> PAGE   \* MERGEFORMAT </w:instrText>
        </w:r>
        <w:r>
          <w:fldChar w:fldCharType="separate"/>
        </w:r>
        <w:r>
          <w:t>140</w:t>
        </w:r>
        <w:r>
          <w:fldChar w:fldCharType="end"/>
        </w:r>
      </w:p>
    </w:sdtContent>
  </w:sdt>
  <w:p w14:paraId="6E16823F" w14:textId="77777777" w:rsidR="003B6BD9" w:rsidRDefault="003B6BD9">
    <w:pPr>
      <w:pStyle w:val="FooterCouncil"/>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FB227" w14:textId="77777777" w:rsidR="003B6BD9" w:rsidRDefault="003B6BD9">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74974" w14:textId="77777777" w:rsidR="003B6BD9" w:rsidRDefault="003B6BD9">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8672193"/>
      <w:docPartObj>
        <w:docPartGallery w:val="Page Numbers (Bottom of Page)"/>
        <w:docPartUnique/>
      </w:docPartObj>
    </w:sdtPr>
    <w:sdtEndPr/>
    <w:sdtContent>
      <w:p w14:paraId="2CDA9F58" w14:textId="65D99F9E" w:rsidR="003B6BD9" w:rsidRDefault="009E25E8">
        <w:pPr>
          <w:pStyle w:val="Footer"/>
          <w:jc w:val="center"/>
        </w:pPr>
        <w:r>
          <w:fldChar w:fldCharType="begin"/>
        </w:r>
        <w:r>
          <w:instrText xml:space="preserve"> PAGE   \* MERGEFORMAT </w:instrText>
        </w:r>
        <w:r>
          <w:fldChar w:fldCharType="separate"/>
        </w:r>
        <w:r>
          <w:t>141</w:t>
        </w:r>
        <w:r>
          <w:fldChar w:fldCharType="end"/>
        </w:r>
      </w:p>
    </w:sdtContent>
  </w:sdt>
  <w:p w14:paraId="24DBFA95" w14:textId="77777777" w:rsidR="003B6BD9" w:rsidRDefault="003B6BD9">
    <w:pPr>
      <w:pStyle w:val="FooterCouncil"/>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5308F" w14:textId="77777777" w:rsidR="003B6BD9" w:rsidRDefault="003B6BD9">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8C519" w14:textId="77777777" w:rsidR="003B6BD9" w:rsidRDefault="003B6BD9">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790708"/>
      <w:docPartObj>
        <w:docPartGallery w:val="Page Numbers (Bottom of Page)"/>
        <w:docPartUnique/>
      </w:docPartObj>
    </w:sdtPr>
    <w:sdtEndPr/>
    <w:sdtContent>
      <w:p w14:paraId="6FBE9E6C" w14:textId="55FC5D92" w:rsidR="003B6BD9" w:rsidRDefault="009E25E8">
        <w:pPr>
          <w:pStyle w:val="Footer"/>
          <w:jc w:val="center"/>
        </w:pPr>
        <w:r>
          <w:fldChar w:fldCharType="begin"/>
        </w:r>
        <w:r>
          <w:instrText xml:space="preserve"> PAGE   \* MERGEFORMAT </w:instrText>
        </w:r>
        <w:r>
          <w:fldChar w:fldCharType="separate"/>
        </w:r>
        <w:r>
          <w:t>143</w:t>
        </w:r>
        <w:r>
          <w:fldChar w:fldCharType="end"/>
        </w:r>
      </w:p>
    </w:sdtContent>
  </w:sdt>
  <w:p w14:paraId="29549B9F" w14:textId="77777777" w:rsidR="003B6BD9" w:rsidRDefault="003B6BD9">
    <w:pPr>
      <w:pStyle w:val="FooterCouncil"/>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84CAF" w14:textId="77777777" w:rsidR="003B6BD9" w:rsidRDefault="003B6BD9">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A7A46" w14:textId="77777777" w:rsidR="003B6BD9" w:rsidRDefault="003B6BD9">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1683860"/>
      <w:docPartObj>
        <w:docPartGallery w:val="Page Numbers (Bottom of Page)"/>
        <w:docPartUnique/>
      </w:docPartObj>
    </w:sdtPr>
    <w:sdtEndPr/>
    <w:sdtContent>
      <w:p w14:paraId="7B654219" w14:textId="1754596E" w:rsidR="003B6BD9" w:rsidRDefault="009E25E8">
        <w:pPr>
          <w:pStyle w:val="Footer"/>
          <w:jc w:val="center"/>
        </w:pPr>
        <w:r>
          <w:fldChar w:fldCharType="begin"/>
        </w:r>
        <w:r>
          <w:instrText xml:space="preserve"> PAGE   \* MERGEFORMAT </w:instrText>
        </w:r>
        <w:r>
          <w:fldChar w:fldCharType="separate"/>
        </w:r>
        <w:r>
          <w:t>144</w:t>
        </w:r>
        <w:r>
          <w:fldChar w:fldCharType="end"/>
        </w:r>
      </w:p>
    </w:sdtContent>
  </w:sdt>
  <w:p w14:paraId="6B491FB6" w14:textId="77777777" w:rsidR="003B6BD9" w:rsidRDefault="003B6BD9">
    <w:pPr>
      <w:pStyle w:val="FooterCouncil"/>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31E1E" w14:textId="77777777" w:rsidR="003B6BD9" w:rsidRDefault="003B6BD9">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68C35" w14:textId="77777777" w:rsidR="003B6BD9" w:rsidRDefault="003B6BD9">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906060"/>
      <w:docPartObj>
        <w:docPartGallery w:val="Page Numbers (Bottom of Page)"/>
        <w:docPartUnique/>
      </w:docPartObj>
    </w:sdtPr>
    <w:sdtEndPr/>
    <w:sdtContent>
      <w:p w14:paraId="77775E4C" w14:textId="20DF88F1" w:rsidR="003B6BD9" w:rsidRDefault="009E25E8">
        <w:pPr>
          <w:pStyle w:val="Footer"/>
          <w:jc w:val="center"/>
        </w:pPr>
        <w:r>
          <w:fldChar w:fldCharType="begin"/>
        </w:r>
        <w:r>
          <w:instrText xml:space="preserve"> PAGE   \* MERGEFORMAT </w:instrText>
        </w:r>
        <w:r>
          <w:fldChar w:fldCharType="separate"/>
        </w:r>
        <w:r>
          <w:t>145</w:t>
        </w:r>
        <w:r>
          <w:fldChar w:fldCharType="end"/>
        </w:r>
      </w:p>
    </w:sdtContent>
  </w:sdt>
  <w:p w14:paraId="452F4870" w14:textId="77777777" w:rsidR="003B6BD9" w:rsidRDefault="003B6BD9">
    <w:pPr>
      <w:pStyle w:val="FooterCouncil"/>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9FB88" w14:textId="77777777" w:rsidR="003B6BD9" w:rsidRDefault="003B6BD9">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1A480" w14:textId="77777777" w:rsidR="003B6BD9" w:rsidRDefault="003B6BD9">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1914054"/>
      <w:docPartObj>
        <w:docPartGallery w:val="Page Numbers (Bottom of Page)"/>
        <w:docPartUnique/>
      </w:docPartObj>
    </w:sdtPr>
    <w:sdtEndPr/>
    <w:sdtContent>
      <w:p w14:paraId="34F47516" w14:textId="3A585163" w:rsidR="003B6BD9" w:rsidRDefault="009E25E8">
        <w:pPr>
          <w:pStyle w:val="Footer"/>
          <w:jc w:val="center"/>
        </w:pPr>
        <w:r>
          <w:fldChar w:fldCharType="begin"/>
        </w:r>
        <w:r>
          <w:instrText xml:space="preserve"> PAGE   \* MERGEFORMAT </w:instrText>
        </w:r>
        <w:r>
          <w:fldChar w:fldCharType="separate"/>
        </w:r>
        <w:r>
          <w:t>147</w:t>
        </w:r>
        <w:r>
          <w:fldChar w:fldCharType="end"/>
        </w:r>
      </w:p>
    </w:sdtContent>
  </w:sdt>
  <w:p w14:paraId="5F2F3FEB" w14:textId="77777777" w:rsidR="003B6BD9" w:rsidRDefault="003B6BD9">
    <w:pPr>
      <w:pStyle w:val="FooterCouncil"/>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A89B6" w14:textId="77777777" w:rsidR="003B6BD9" w:rsidRDefault="003B6BD9">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99778" w14:textId="77777777" w:rsidR="003B6BD9" w:rsidRDefault="003B6BD9">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381765"/>
      <w:docPartObj>
        <w:docPartGallery w:val="Page Numbers (Bottom of Page)"/>
        <w:docPartUnique/>
      </w:docPartObj>
    </w:sdtPr>
    <w:sdtEndPr/>
    <w:sdtContent>
      <w:p w14:paraId="387E6041" w14:textId="07660D2D" w:rsidR="003B6BD9" w:rsidRDefault="009E25E8">
        <w:pPr>
          <w:pStyle w:val="Footer"/>
          <w:jc w:val="center"/>
        </w:pPr>
        <w:r>
          <w:fldChar w:fldCharType="begin"/>
        </w:r>
        <w:r>
          <w:instrText xml:space="preserve"> PAGE   \* MERGEFORMAT </w:instrText>
        </w:r>
        <w:r>
          <w:fldChar w:fldCharType="separate"/>
        </w:r>
        <w:r>
          <w:t>149</w:t>
        </w:r>
        <w:r>
          <w:fldChar w:fldCharType="end"/>
        </w:r>
      </w:p>
    </w:sdtContent>
  </w:sdt>
  <w:p w14:paraId="7C8C8522" w14:textId="77777777" w:rsidR="003B6BD9" w:rsidRDefault="003B6BD9">
    <w:pPr>
      <w:pStyle w:val="FooterCouncil"/>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BD499" w14:textId="77777777" w:rsidR="003B6BD9" w:rsidRDefault="003B6BD9">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C88E5" w14:textId="77777777" w:rsidR="003B6BD9" w:rsidRDefault="003B6BD9">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4783201"/>
      <w:docPartObj>
        <w:docPartGallery w:val="Page Numbers (Bottom of Page)"/>
        <w:docPartUnique/>
      </w:docPartObj>
    </w:sdtPr>
    <w:sdtEndPr/>
    <w:sdtContent>
      <w:p w14:paraId="2F0D2313" w14:textId="495EAE2B" w:rsidR="003B6BD9" w:rsidRDefault="009E25E8">
        <w:pPr>
          <w:pStyle w:val="Footer"/>
          <w:jc w:val="center"/>
        </w:pPr>
        <w:r>
          <w:fldChar w:fldCharType="begin"/>
        </w:r>
        <w:r>
          <w:instrText xml:space="preserve"> PAGE   \* MERGEFORMAT </w:instrText>
        </w:r>
        <w:r>
          <w:fldChar w:fldCharType="separate"/>
        </w:r>
        <w:r>
          <w:t>152</w:t>
        </w:r>
        <w:r>
          <w:fldChar w:fldCharType="end"/>
        </w:r>
      </w:p>
    </w:sdtContent>
  </w:sdt>
  <w:p w14:paraId="4FB2FBFB" w14:textId="77777777" w:rsidR="003B6BD9" w:rsidRDefault="003B6BD9">
    <w:pPr>
      <w:pStyle w:val="FooterCouncil"/>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85DCD" w14:textId="77777777" w:rsidR="003B6BD9" w:rsidRDefault="003B6BD9">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D41B3" w14:textId="77777777" w:rsidR="003B6BD9" w:rsidRDefault="003B6BD9">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940217"/>
      <w:docPartObj>
        <w:docPartGallery w:val="Page Numbers (Bottom of Page)"/>
        <w:docPartUnique/>
      </w:docPartObj>
    </w:sdtPr>
    <w:sdtEndPr/>
    <w:sdtContent>
      <w:p w14:paraId="2320162B" w14:textId="45066D8A" w:rsidR="003B6BD9" w:rsidRDefault="009E25E8">
        <w:pPr>
          <w:pStyle w:val="Footer"/>
          <w:jc w:val="center"/>
        </w:pPr>
        <w:r>
          <w:fldChar w:fldCharType="begin"/>
        </w:r>
        <w:r>
          <w:instrText xml:space="preserve"> PAGE   \* MERGEFORMAT </w:instrText>
        </w:r>
        <w:r>
          <w:fldChar w:fldCharType="separate"/>
        </w:r>
        <w:r>
          <w:t>157</w:t>
        </w:r>
        <w:r>
          <w:fldChar w:fldCharType="end"/>
        </w:r>
      </w:p>
    </w:sdtContent>
  </w:sdt>
  <w:p w14:paraId="2F745E34" w14:textId="77777777" w:rsidR="003B6BD9" w:rsidRDefault="003B6BD9">
    <w:pPr>
      <w:pStyle w:val="FooterCouncil"/>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7988A" w14:textId="77777777" w:rsidR="003B6BD9" w:rsidRDefault="003B6BD9">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DDCDC" w14:textId="77777777" w:rsidR="003B6BD9" w:rsidRDefault="003B6BD9">
    <w:pPr>
      <w:pStyle w:val="Footer"/>
    </w:pPr>
  </w:p>
  <w:p w14:paraId="6B4932EE" w14:textId="77777777" w:rsidR="003B6BD9" w:rsidRDefault="003B6BD9"/>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4672416"/>
      <w:docPartObj>
        <w:docPartGallery w:val="Page Numbers (Bottom of Page)"/>
        <w:docPartUnique/>
      </w:docPartObj>
    </w:sdtPr>
    <w:sdtEndPr/>
    <w:sdtContent>
      <w:p w14:paraId="2C253F8D" w14:textId="32C84C6D" w:rsidR="003B6BD9" w:rsidRDefault="009E25E8">
        <w:pPr>
          <w:pStyle w:val="Footer"/>
          <w:jc w:val="center"/>
        </w:pPr>
        <w:r>
          <w:fldChar w:fldCharType="begin"/>
        </w:r>
        <w:r>
          <w:instrText xml:space="preserve"> PAGE   \* MERGEFORMAT </w:instrText>
        </w:r>
        <w:r>
          <w:fldChar w:fldCharType="separate"/>
        </w:r>
        <w:r>
          <w:t>164</w:t>
        </w:r>
        <w:r>
          <w:fldChar w:fldCharType="end"/>
        </w:r>
      </w:p>
    </w:sdtContent>
  </w:sdt>
  <w:p w14:paraId="6E4142BC" w14:textId="77777777" w:rsidR="003B6BD9" w:rsidRDefault="003B6BD9">
    <w:pPr>
      <w:pStyle w:val="FooterCouncil"/>
    </w:pPr>
  </w:p>
  <w:p w14:paraId="436FB2A2" w14:textId="77777777" w:rsidR="003B6BD9" w:rsidRDefault="003B6BD9"/>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DAFBC" w14:textId="77777777" w:rsidR="003B6BD9" w:rsidRDefault="003B6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6C3681" w14:textId="77777777" w:rsidR="0091617B" w:rsidRDefault="0091617B">
      <w:r>
        <w:separator/>
      </w:r>
    </w:p>
  </w:footnote>
  <w:footnote w:type="continuationSeparator" w:id="0">
    <w:p w14:paraId="7D491905" w14:textId="77777777" w:rsidR="0091617B" w:rsidRDefault="0091617B">
      <w:pPr>
        <w:spacing w:before="0" w:after="0" w:line="240" w:lineRule="auto"/>
      </w:pPr>
      <w:r>
        <w:continuationSeparator/>
      </w:r>
    </w:p>
    <w:p w14:paraId="7851E01B" w14:textId="77777777" w:rsidR="0091617B" w:rsidRDefault="0091617B"/>
  </w:footnote>
  <w:footnote w:type="continuationNotice" w:id="1">
    <w:p w14:paraId="00CC9691" w14:textId="77777777" w:rsidR="0091617B" w:rsidRDefault="0091617B">
      <w:pPr>
        <w:spacing w:before="0" w:after="0" w:line="240" w:lineRule="auto"/>
      </w:pPr>
    </w:p>
    <w:p w14:paraId="43B8F48B" w14:textId="77777777" w:rsidR="0091617B" w:rsidRDefault="0091617B"/>
  </w:footnote>
  <w:footnote w:id="2">
    <w:p w14:paraId="3A564000" w14:textId="58050B15" w:rsidR="003B6BD9" w:rsidRDefault="009E25E8">
      <w:pPr>
        <w:pStyle w:val="FootnoteText"/>
        <w:ind w:left="0" w:firstLine="0"/>
      </w:pPr>
      <w:r>
        <w:rPr>
          <w:rStyle w:val="FootnoteReference"/>
        </w:rPr>
        <w:footnoteRef/>
      </w:r>
      <w:r>
        <w:t xml:space="preserve"> </w:t>
      </w:r>
      <w:r>
        <w:rPr>
          <w:sz w:val="20"/>
        </w:rPr>
        <w:t>Lorsque l’activité soutenue permet d’obtenir des projections d’émissions de gaz à effet de serre qui ne sont pas sensiblement inférieures aux référentiels pertinents, il convient de fournir une explication des raisons pour lesquelles cela n’est pas possible.</w:t>
      </w:r>
    </w:p>
  </w:footnote>
  <w:footnote w:id="3">
    <w:p w14:paraId="19E20CA7" w14:textId="2C24374E" w:rsidR="003B6BD9" w:rsidRDefault="009E25E8">
      <w:pPr>
        <w:pStyle w:val="FootnoteText"/>
        <w:ind w:left="0" w:firstLine="0"/>
      </w:pPr>
      <w:r>
        <w:rPr>
          <w:rStyle w:val="FootnoteReference"/>
        </w:rPr>
        <w:footnoteRef/>
      </w:r>
      <w:r>
        <w:t xml:space="preserve"> </w:t>
      </w:r>
      <w:r>
        <w:rPr>
          <w:sz w:val="20"/>
        </w:rPr>
        <w:t>Conformément à la recommandation (UE) 2020/1307 de la Commission concernant une boîte à outils commune au niveau de l’Union en vue de réduire le coût du déploiement de réseaux à très haute capacité et de garantir un accès rapide au spectre radioélectrique 5G dans un climat propice aux investissements, afin de favoriser la connectivité à l’appui de la reprise économique après la crise de la COVID-19 dans l’Union</w:t>
      </w:r>
      <w:r>
        <w:t>.</w:t>
      </w:r>
    </w:p>
  </w:footnote>
  <w:footnote w:id="4">
    <w:p w14:paraId="32D05679" w14:textId="2286142F" w:rsidR="003B6BD9" w:rsidRDefault="009E25E8">
      <w:pPr>
        <w:pStyle w:val="FootnoteText"/>
        <w:ind w:left="0" w:firstLine="0"/>
      </w:pPr>
      <w:r>
        <w:rPr>
          <w:rStyle w:val="FootnoteReference"/>
        </w:rPr>
        <w:footnoteRef/>
      </w:r>
      <w:r>
        <w:t xml:space="preserve"> </w:t>
      </w:r>
      <w:r>
        <w:rPr>
          <w:sz w:val="20"/>
        </w:rPr>
        <w:t>Conformément à la recommandation (UE) 2020/1307 de la Commission concernant une boîte à outils commune au niveau de l’Union en vue de réduire le coût du déploiement de réseaux à très haute capacité et de garantir un accès rapide au spectre radioélectrique 5G dans un climat propice aux investissements, afin de favoriser la connectivité à l’appui de la reprise économique après la crise de la COVID-19 dans l’Union.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C3612" w14:textId="77777777" w:rsidR="00064669" w:rsidRPr="00064669" w:rsidRDefault="00064669" w:rsidP="0006466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29BB6" w14:textId="77777777" w:rsidR="00064669" w:rsidRPr="00064669" w:rsidRDefault="00064669" w:rsidP="0006466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2726B" w14:textId="77777777" w:rsidR="00064669" w:rsidRPr="00064669" w:rsidRDefault="00064669" w:rsidP="0006466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29AC0" w14:textId="77777777" w:rsidR="003B6BD9" w:rsidRDefault="003B6B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AEBAF" w14:textId="3E3FA882" w:rsidR="003B6BD9" w:rsidRDefault="003B6B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3D055" w14:textId="77777777" w:rsidR="003B6BD9" w:rsidRDefault="003B6BD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69007" w14:textId="77777777" w:rsidR="003B6BD9" w:rsidRDefault="003B6BD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3F6ED" w14:textId="77777777" w:rsidR="003B6BD9" w:rsidRDefault="003B6BD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E0068" w14:textId="77777777" w:rsidR="003B6BD9" w:rsidRDefault="003B6BD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1DC07" w14:textId="77777777" w:rsidR="003B6BD9" w:rsidRDefault="003B6BD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8BDD2" w14:textId="77777777" w:rsidR="003B6BD9" w:rsidRDefault="003B6BD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AB5CF" w14:textId="77777777" w:rsidR="003B6BD9" w:rsidRDefault="003B6BD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3D941" w14:textId="77777777" w:rsidR="003B6BD9" w:rsidRDefault="003B6BD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01FFB" w14:textId="77777777" w:rsidR="003B6BD9" w:rsidRDefault="003B6BD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2D951" w14:textId="77777777" w:rsidR="003B6BD9" w:rsidRDefault="003B6BD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04669" w14:textId="77777777" w:rsidR="003B6BD9" w:rsidRDefault="003B6BD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20148" w14:textId="77777777" w:rsidR="003B6BD9" w:rsidRDefault="003B6BD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77237" w14:textId="77777777" w:rsidR="003B6BD9" w:rsidRDefault="003B6BD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CC13D" w14:textId="77777777" w:rsidR="003B6BD9" w:rsidRDefault="003B6BD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E4567" w14:textId="77777777" w:rsidR="003B6BD9" w:rsidRDefault="003B6BD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EAE00" w14:textId="77777777" w:rsidR="003B6BD9" w:rsidRDefault="003B6BD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B9A31" w14:textId="77777777" w:rsidR="003B6BD9" w:rsidRDefault="003B6BD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C4CEE" w14:textId="77777777" w:rsidR="003B6BD9" w:rsidRDefault="003B6BD9">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E4B3B" w14:textId="77777777" w:rsidR="003B6BD9" w:rsidRDefault="003B6BD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CB592" w14:textId="77777777" w:rsidR="003B6BD9" w:rsidRDefault="003B6BD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833B3" w14:textId="77777777" w:rsidR="003B6BD9" w:rsidRDefault="003B6BD9">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B16E3" w14:textId="77777777" w:rsidR="003B6BD9" w:rsidRDefault="003B6BD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C686F" w14:textId="77777777" w:rsidR="003B6BD9" w:rsidRDefault="003B6BD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B206F" w14:textId="77777777" w:rsidR="003B6BD9" w:rsidRDefault="003B6BD9">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63148" w14:textId="77777777" w:rsidR="003B6BD9" w:rsidRDefault="003B6BD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8AD1E" w14:textId="77777777" w:rsidR="003B6BD9" w:rsidRDefault="003B6BD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41FE4" w14:textId="77777777" w:rsidR="003B6BD9" w:rsidRDefault="003B6BD9">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36E52" w14:textId="77777777" w:rsidR="003B6BD9" w:rsidRDefault="003B6BD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37603" w14:textId="77777777" w:rsidR="003B6BD9" w:rsidRDefault="003B6BD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2163F" w14:textId="77777777" w:rsidR="003B6BD9" w:rsidRDefault="003B6BD9">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E78A5" w14:textId="77777777" w:rsidR="003B6BD9" w:rsidRDefault="003B6BD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4E292" w14:textId="77777777" w:rsidR="003B6BD9" w:rsidRDefault="003B6BD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AFE9C" w14:textId="77777777" w:rsidR="003B6BD9" w:rsidRDefault="003B6BD9">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62668" w14:textId="77777777" w:rsidR="003B6BD9" w:rsidRDefault="003B6BD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67730" w14:textId="77777777" w:rsidR="003B6BD9" w:rsidRDefault="003B6BD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A3886" w14:textId="77777777" w:rsidR="003B6BD9" w:rsidRDefault="003B6BD9">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6AC84" w14:textId="77777777" w:rsidR="003B6BD9" w:rsidRDefault="003B6BD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DDE1C" w14:textId="77777777" w:rsidR="003B6BD9" w:rsidRDefault="003B6BD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74300" w14:textId="77777777" w:rsidR="003B6BD9" w:rsidRDefault="003B6BD9">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A536A" w14:textId="77777777" w:rsidR="003B6BD9" w:rsidRDefault="003B6BD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7ED1D" w14:textId="77777777" w:rsidR="003B6BD9" w:rsidRDefault="003B6BD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0F834" w14:textId="77777777" w:rsidR="003B6BD9" w:rsidRDefault="003B6BD9">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BC01E" w14:textId="77777777" w:rsidR="003B6BD9" w:rsidRDefault="003B6BD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D4B0" w14:textId="77777777" w:rsidR="003B6BD9" w:rsidRDefault="003B6BD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0202A" w14:textId="77777777" w:rsidR="003B6BD9" w:rsidRDefault="003B6BD9">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5496D" w14:textId="77777777" w:rsidR="003B6BD9" w:rsidRDefault="003B6BD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791FB" w14:textId="77777777" w:rsidR="003B6BD9" w:rsidRDefault="003B6BD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DD13C" w14:textId="77777777" w:rsidR="003B6BD9" w:rsidRDefault="003B6BD9">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DB9D5" w14:textId="77777777" w:rsidR="003B6BD9" w:rsidRDefault="003B6BD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354ED" w14:textId="77777777" w:rsidR="003B6BD9" w:rsidRDefault="003B6BD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0E420" w14:textId="77777777" w:rsidR="003B6BD9" w:rsidRDefault="003B6BD9">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D7B6A" w14:textId="77777777" w:rsidR="003B6BD9" w:rsidRDefault="003B6BD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889B9" w14:textId="77777777" w:rsidR="003B6BD9" w:rsidRDefault="003B6BD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3F23A" w14:textId="77777777" w:rsidR="003B6BD9" w:rsidRDefault="003B6BD9">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37632" w14:textId="77777777" w:rsidR="003B6BD9" w:rsidRDefault="003B6BD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2E372" w14:textId="77777777" w:rsidR="003B6BD9" w:rsidRDefault="003B6BD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F0A17" w14:textId="77777777" w:rsidR="003B6BD9" w:rsidRDefault="003B6BD9">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56D8F" w14:textId="77777777" w:rsidR="003B6BD9" w:rsidRDefault="003B6BD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4F119" w14:textId="77777777" w:rsidR="003B6BD9" w:rsidRDefault="003B6BD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BE8D5" w14:textId="77777777" w:rsidR="003B6BD9" w:rsidRDefault="003B6BD9">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A14DF" w14:textId="77777777" w:rsidR="003B6BD9" w:rsidRDefault="003B6BD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F940F" w14:textId="77777777" w:rsidR="003B6BD9" w:rsidRDefault="003B6BD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99D75" w14:textId="77777777" w:rsidR="003B6BD9" w:rsidRDefault="003B6BD9">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EB250" w14:textId="77777777" w:rsidR="003B6BD9" w:rsidRDefault="003B6BD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AC10D" w14:textId="77777777" w:rsidR="003B6BD9" w:rsidRDefault="003B6BD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01459" w14:textId="77777777" w:rsidR="003B6BD9" w:rsidRDefault="003B6BD9">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5157F" w14:textId="77777777" w:rsidR="003B6BD9" w:rsidRDefault="003B6BD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68613" w14:textId="77777777" w:rsidR="003B6BD9" w:rsidRDefault="003B6BD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624B1" w14:textId="77777777" w:rsidR="003B6BD9" w:rsidRDefault="003B6BD9">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04756" w14:textId="77777777" w:rsidR="003B6BD9" w:rsidRDefault="003B6BD9">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1AB7E" w14:textId="77777777" w:rsidR="003B6BD9" w:rsidRDefault="003B6BD9">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C4327" w14:textId="77777777" w:rsidR="003B6BD9" w:rsidRDefault="003B6BD9">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A7C3C" w14:textId="77777777" w:rsidR="003B6BD9" w:rsidRDefault="003B6BD9">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9E4C0" w14:textId="77777777" w:rsidR="003B6BD9" w:rsidRDefault="003B6BD9">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54BDF" w14:textId="77777777" w:rsidR="003B6BD9" w:rsidRDefault="003B6BD9">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18C0D" w14:textId="77777777" w:rsidR="003B6BD9" w:rsidRDefault="003B6BD9">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0A57C" w14:textId="77777777" w:rsidR="003B6BD9" w:rsidRDefault="003B6BD9">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C155E" w14:textId="77777777" w:rsidR="003B6BD9" w:rsidRDefault="003B6BD9">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90230" w14:textId="77777777" w:rsidR="003B6BD9" w:rsidRDefault="003B6BD9">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811DD" w14:textId="77777777" w:rsidR="003B6BD9" w:rsidRDefault="003B6BD9">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6AB82" w14:textId="77777777" w:rsidR="003B6BD9" w:rsidRDefault="003B6BD9">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DEDE1" w14:textId="77777777" w:rsidR="003B6BD9" w:rsidRDefault="003B6BD9">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01744" w14:textId="77777777" w:rsidR="003B6BD9" w:rsidRDefault="003B6BD9">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DC98B" w14:textId="77777777" w:rsidR="003B6BD9" w:rsidRDefault="003B6BD9">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8AC39" w14:textId="77777777" w:rsidR="003B6BD9" w:rsidRDefault="003B6BD9">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4FDC3" w14:textId="77777777" w:rsidR="003B6BD9" w:rsidRDefault="003B6BD9">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2FDC7" w14:textId="77777777" w:rsidR="003B6BD9" w:rsidRDefault="003B6BD9">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C156D" w14:textId="77777777" w:rsidR="003B6BD9" w:rsidRDefault="003B6BD9">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55D4" w14:textId="77777777" w:rsidR="003B6BD9" w:rsidRDefault="003B6BD9">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21AA8" w14:textId="77777777" w:rsidR="003B6BD9" w:rsidRDefault="003B6BD9">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0A4FB" w14:textId="77777777" w:rsidR="003B6BD9" w:rsidRDefault="003B6BD9">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107E9" w14:textId="77777777" w:rsidR="003B6BD9" w:rsidRDefault="003B6BD9">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53922" w14:textId="77777777" w:rsidR="003B6BD9" w:rsidRDefault="003B6BD9">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EA1A9" w14:textId="77777777" w:rsidR="003B6BD9" w:rsidRDefault="003B6BD9">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01F41" w14:textId="77777777" w:rsidR="003B6BD9" w:rsidRDefault="003B6BD9">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51D60" w14:textId="77777777" w:rsidR="003B6BD9" w:rsidRDefault="003B6BD9">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34EB1" w14:textId="77777777" w:rsidR="003B6BD9" w:rsidRDefault="003B6BD9">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96680" w14:textId="77777777" w:rsidR="003B6BD9" w:rsidRDefault="003B6BD9">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CCAC8" w14:textId="77777777" w:rsidR="003B6BD9" w:rsidRDefault="003B6BD9">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03539" w14:textId="77777777" w:rsidR="003B6BD9" w:rsidRDefault="003B6BD9">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AF62C" w14:textId="77777777" w:rsidR="003B6BD9" w:rsidRDefault="003B6BD9">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B720E" w14:textId="77777777" w:rsidR="003B6BD9" w:rsidRDefault="003B6BD9">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EE0CE" w14:textId="77777777" w:rsidR="003B6BD9" w:rsidRDefault="003B6BD9">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4C212" w14:textId="77777777" w:rsidR="003B6BD9" w:rsidRDefault="003B6BD9">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394E5" w14:textId="77777777" w:rsidR="003B6BD9" w:rsidRDefault="003B6BD9">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A478A" w14:textId="77777777" w:rsidR="003B6BD9" w:rsidRDefault="003B6BD9">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BE956" w14:textId="77777777" w:rsidR="003B6BD9" w:rsidRDefault="003B6BD9">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A6C6E" w14:textId="77777777" w:rsidR="003B6BD9" w:rsidRDefault="003B6BD9">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BB05D" w14:textId="77777777" w:rsidR="003B6BD9" w:rsidRDefault="003B6BD9">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42C22" w14:textId="77777777" w:rsidR="003B6BD9" w:rsidRDefault="003B6BD9">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06F72" w14:textId="77777777" w:rsidR="003B6BD9" w:rsidRDefault="003B6BD9">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05FBB" w14:textId="77777777" w:rsidR="003B6BD9" w:rsidRDefault="003B6BD9">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8EF4E" w14:textId="77777777" w:rsidR="003B6BD9" w:rsidRDefault="003B6BD9">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53094" w14:textId="77777777" w:rsidR="003B6BD9" w:rsidRDefault="003B6BD9">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EB2B1" w14:textId="77777777" w:rsidR="003B6BD9" w:rsidRDefault="003B6BD9">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D5D6C" w14:textId="77777777" w:rsidR="003B6BD9" w:rsidRDefault="003B6BD9">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14A58" w14:textId="77777777" w:rsidR="003B6BD9" w:rsidRDefault="003B6BD9">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D55E4" w14:textId="77777777" w:rsidR="003B6BD9" w:rsidRDefault="003B6BD9">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4AE78" w14:textId="77777777" w:rsidR="003B6BD9" w:rsidRDefault="003B6BD9">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85782" w14:textId="77777777" w:rsidR="003B6BD9" w:rsidRDefault="003B6BD9">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33CFB" w14:textId="77777777" w:rsidR="003B6BD9" w:rsidRDefault="003B6BD9">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0DD89" w14:textId="77777777" w:rsidR="003B6BD9" w:rsidRDefault="003B6BD9">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68335" w14:textId="77777777" w:rsidR="003B6BD9" w:rsidRDefault="003B6BD9">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646C7" w14:textId="77777777" w:rsidR="003B6BD9" w:rsidRDefault="003B6BD9">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E25B5" w14:textId="77777777" w:rsidR="003B6BD9" w:rsidRDefault="003B6BD9">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1A72A" w14:textId="77777777" w:rsidR="003B6BD9" w:rsidRDefault="003B6BD9">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0A7AA" w14:textId="77777777" w:rsidR="003B6BD9" w:rsidRDefault="003B6BD9">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10F62" w14:textId="77777777" w:rsidR="003B6BD9" w:rsidRDefault="003B6BD9">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051C7" w14:textId="77777777" w:rsidR="003B6BD9" w:rsidRDefault="003B6BD9">
    <w:pPr>
      <w:pStyle w:val="Header"/>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069CF" w14:textId="77777777" w:rsidR="003B6BD9" w:rsidRDefault="003B6BD9">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3D883" w14:textId="77777777" w:rsidR="003B6BD9" w:rsidRDefault="003B6BD9">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04B05" w14:textId="77777777" w:rsidR="003B6BD9" w:rsidRDefault="003B6BD9">
    <w:pPr>
      <w:pStyle w:val="Header"/>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358B8" w14:textId="77777777" w:rsidR="003B6BD9" w:rsidRDefault="003B6BD9">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B7EBC" w14:textId="77777777" w:rsidR="003B6BD9" w:rsidRDefault="003B6BD9">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E2D3A" w14:textId="77777777" w:rsidR="003B6BD9" w:rsidRDefault="003B6BD9">
    <w:pPr>
      <w:pStyle w:val="Header"/>
    </w:pPr>
  </w:p>
  <w:p w14:paraId="40C5E38D" w14:textId="77777777" w:rsidR="003B6BD9" w:rsidRDefault="003B6BD9"/>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F138B" w14:textId="77777777" w:rsidR="003B6BD9" w:rsidRDefault="003B6BD9">
    <w:pPr>
      <w:pStyle w:val="Header"/>
    </w:pPr>
  </w:p>
  <w:p w14:paraId="5B43015D" w14:textId="77777777" w:rsidR="003B6BD9" w:rsidRDefault="003B6BD9"/>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34263" w14:textId="77777777" w:rsidR="003B6BD9" w:rsidRDefault="003B6B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2FEE303"/>
    <w:multiLevelType w:val="hybridMultilevel"/>
    <w:tmpl w:val="AFD8938C"/>
    <w:lvl w:ilvl="0" w:tplc="0FD6F8F8">
      <w:start w:val="1"/>
      <w:numFmt w:val="bullet"/>
      <w:lvlText w:val="-"/>
      <w:lvlJc w:val="left"/>
      <w:pPr>
        <w:ind w:left="720" w:hanging="360"/>
      </w:pPr>
      <w:rPr>
        <w:rFonts w:ascii="Calibri" w:hAnsi="Calibri" w:hint="default"/>
      </w:rPr>
    </w:lvl>
    <w:lvl w:ilvl="1" w:tplc="EE92FD26">
      <w:start w:val="1"/>
      <w:numFmt w:val="bullet"/>
      <w:lvlText w:val="o"/>
      <w:lvlJc w:val="left"/>
      <w:pPr>
        <w:ind w:left="1440" w:hanging="360"/>
      </w:pPr>
      <w:rPr>
        <w:rFonts w:ascii="Courier New" w:hAnsi="Courier New" w:hint="default"/>
      </w:rPr>
    </w:lvl>
    <w:lvl w:ilvl="2" w:tplc="48C4E92E">
      <w:start w:val="1"/>
      <w:numFmt w:val="bullet"/>
      <w:lvlText w:val=""/>
      <w:lvlJc w:val="left"/>
      <w:pPr>
        <w:ind w:left="2160" w:hanging="360"/>
      </w:pPr>
      <w:rPr>
        <w:rFonts w:ascii="Wingdings" w:hAnsi="Wingdings" w:hint="default"/>
      </w:rPr>
    </w:lvl>
    <w:lvl w:ilvl="3" w:tplc="187E03E8">
      <w:start w:val="1"/>
      <w:numFmt w:val="bullet"/>
      <w:lvlText w:val=""/>
      <w:lvlJc w:val="left"/>
      <w:pPr>
        <w:ind w:left="2880" w:hanging="360"/>
      </w:pPr>
      <w:rPr>
        <w:rFonts w:ascii="Symbol" w:hAnsi="Symbol" w:hint="default"/>
      </w:rPr>
    </w:lvl>
    <w:lvl w:ilvl="4" w:tplc="3B28CD62">
      <w:start w:val="1"/>
      <w:numFmt w:val="bullet"/>
      <w:lvlText w:val="o"/>
      <w:lvlJc w:val="left"/>
      <w:pPr>
        <w:ind w:left="3600" w:hanging="360"/>
      </w:pPr>
      <w:rPr>
        <w:rFonts w:ascii="Courier New" w:hAnsi="Courier New" w:hint="default"/>
      </w:rPr>
    </w:lvl>
    <w:lvl w:ilvl="5" w:tplc="CA3AAE0A">
      <w:start w:val="1"/>
      <w:numFmt w:val="bullet"/>
      <w:lvlText w:val=""/>
      <w:lvlJc w:val="left"/>
      <w:pPr>
        <w:ind w:left="4320" w:hanging="360"/>
      </w:pPr>
      <w:rPr>
        <w:rFonts w:ascii="Wingdings" w:hAnsi="Wingdings" w:hint="default"/>
      </w:rPr>
    </w:lvl>
    <w:lvl w:ilvl="6" w:tplc="5C86D38C">
      <w:start w:val="1"/>
      <w:numFmt w:val="bullet"/>
      <w:lvlText w:val=""/>
      <w:lvlJc w:val="left"/>
      <w:pPr>
        <w:ind w:left="5040" w:hanging="360"/>
      </w:pPr>
      <w:rPr>
        <w:rFonts w:ascii="Symbol" w:hAnsi="Symbol" w:hint="default"/>
      </w:rPr>
    </w:lvl>
    <w:lvl w:ilvl="7" w:tplc="4CAAAB94">
      <w:start w:val="1"/>
      <w:numFmt w:val="bullet"/>
      <w:lvlText w:val="o"/>
      <w:lvlJc w:val="left"/>
      <w:pPr>
        <w:ind w:left="5760" w:hanging="360"/>
      </w:pPr>
      <w:rPr>
        <w:rFonts w:ascii="Courier New" w:hAnsi="Courier New" w:hint="default"/>
      </w:rPr>
    </w:lvl>
    <w:lvl w:ilvl="8" w:tplc="D2C42F8A">
      <w:start w:val="1"/>
      <w:numFmt w:val="bullet"/>
      <w:lvlText w:val=""/>
      <w:lvlJc w:val="left"/>
      <w:pPr>
        <w:ind w:left="6480" w:hanging="360"/>
      </w:pPr>
      <w:rPr>
        <w:rFonts w:ascii="Wingdings" w:hAnsi="Wingdings" w:hint="default"/>
      </w:rPr>
    </w:lvl>
  </w:abstractNum>
  <w:abstractNum w:abstractNumId="9" w15:restartNumberingAfterBreak="0">
    <w:nsid w:val="04EA43F5"/>
    <w:multiLevelType w:val="hybridMultilevel"/>
    <w:tmpl w:val="C4B6F452"/>
    <w:lvl w:ilvl="0" w:tplc="B050929C">
      <w:start w:val="1"/>
      <w:numFmt w:val="decimal"/>
      <w:lvlText w:val="%1."/>
      <w:lvlJc w:val="left"/>
      <w:pPr>
        <w:ind w:left="1440" w:hanging="360"/>
      </w:pPr>
    </w:lvl>
    <w:lvl w:ilvl="1" w:tplc="FC2E056E">
      <w:start w:val="1"/>
      <w:numFmt w:val="decimal"/>
      <w:lvlText w:val="%2."/>
      <w:lvlJc w:val="left"/>
      <w:pPr>
        <w:ind w:left="1440" w:hanging="360"/>
      </w:pPr>
    </w:lvl>
    <w:lvl w:ilvl="2" w:tplc="CD06EF08">
      <w:start w:val="1"/>
      <w:numFmt w:val="decimal"/>
      <w:lvlText w:val="%3."/>
      <w:lvlJc w:val="left"/>
      <w:pPr>
        <w:ind w:left="1440" w:hanging="360"/>
      </w:pPr>
    </w:lvl>
    <w:lvl w:ilvl="3" w:tplc="C9A2DAC0">
      <w:start w:val="1"/>
      <w:numFmt w:val="decimal"/>
      <w:lvlText w:val="%4."/>
      <w:lvlJc w:val="left"/>
      <w:pPr>
        <w:ind w:left="1440" w:hanging="360"/>
      </w:pPr>
    </w:lvl>
    <w:lvl w:ilvl="4" w:tplc="991419FE">
      <w:start w:val="1"/>
      <w:numFmt w:val="decimal"/>
      <w:lvlText w:val="%5."/>
      <w:lvlJc w:val="left"/>
      <w:pPr>
        <w:ind w:left="1440" w:hanging="360"/>
      </w:pPr>
    </w:lvl>
    <w:lvl w:ilvl="5" w:tplc="8E1EA176">
      <w:start w:val="1"/>
      <w:numFmt w:val="decimal"/>
      <w:lvlText w:val="%6."/>
      <w:lvlJc w:val="left"/>
      <w:pPr>
        <w:ind w:left="1440" w:hanging="360"/>
      </w:pPr>
    </w:lvl>
    <w:lvl w:ilvl="6" w:tplc="AB184454">
      <w:start w:val="1"/>
      <w:numFmt w:val="decimal"/>
      <w:lvlText w:val="%7."/>
      <w:lvlJc w:val="left"/>
      <w:pPr>
        <w:ind w:left="1440" w:hanging="360"/>
      </w:pPr>
    </w:lvl>
    <w:lvl w:ilvl="7" w:tplc="B8481E6A">
      <w:start w:val="1"/>
      <w:numFmt w:val="decimal"/>
      <w:lvlText w:val="%8."/>
      <w:lvlJc w:val="left"/>
      <w:pPr>
        <w:ind w:left="1440" w:hanging="360"/>
      </w:pPr>
    </w:lvl>
    <w:lvl w:ilvl="8" w:tplc="2098CFFA">
      <w:start w:val="1"/>
      <w:numFmt w:val="decimal"/>
      <w:lvlText w:val="%9."/>
      <w:lvlJc w:val="left"/>
      <w:pPr>
        <w:ind w:left="1440" w:hanging="360"/>
      </w:pPr>
    </w:lvl>
  </w:abstractNum>
  <w:abstractNum w:abstractNumId="10" w15:restartNumberingAfterBreak="0">
    <w:nsid w:val="05850043"/>
    <w:multiLevelType w:val="multilevel"/>
    <w:tmpl w:val="D722DF54"/>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77241A"/>
    <w:multiLevelType w:val="hybridMultilevel"/>
    <w:tmpl w:val="5A4C996C"/>
    <w:lvl w:ilvl="0" w:tplc="58F085E4">
      <w:start w:val="1"/>
      <w:numFmt w:val="decimal"/>
      <w:lvlText w:val="%1."/>
      <w:lvlJc w:val="left"/>
      <w:pPr>
        <w:ind w:left="720" w:hanging="360"/>
      </w:pPr>
    </w:lvl>
    <w:lvl w:ilvl="1" w:tplc="10DC27DA">
      <w:start w:val="1"/>
      <w:numFmt w:val="decimal"/>
      <w:lvlText w:val="%2."/>
      <w:lvlJc w:val="left"/>
      <w:pPr>
        <w:ind w:left="720" w:hanging="360"/>
      </w:pPr>
    </w:lvl>
    <w:lvl w:ilvl="2" w:tplc="44200C44">
      <w:start w:val="1"/>
      <w:numFmt w:val="decimal"/>
      <w:lvlText w:val="%3."/>
      <w:lvlJc w:val="left"/>
      <w:pPr>
        <w:ind w:left="720" w:hanging="360"/>
      </w:pPr>
    </w:lvl>
    <w:lvl w:ilvl="3" w:tplc="C8D4F996">
      <w:start w:val="1"/>
      <w:numFmt w:val="decimal"/>
      <w:lvlText w:val="%4."/>
      <w:lvlJc w:val="left"/>
      <w:pPr>
        <w:ind w:left="720" w:hanging="360"/>
      </w:pPr>
    </w:lvl>
    <w:lvl w:ilvl="4" w:tplc="762A97AE">
      <w:start w:val="1"/>
      <w:numFmt w:val="decimal"/>
      <w:lvlText w:val="%5."/>
      <w:lvlJc w:val="left"/>
      <w:pPr>
        <w:ind w:left="720" w:hanging="360"/>
      </w:pPr>
    </w:lvl>
    <w:lvl w:ilvl="5" w:tplc="736A368A">
      <w:start w:val="1"/>
      <w:numFmt w:val="decimal"/>
      <w:lvlText w:val="%6."/>
      <w:lvlJc w:val="left"/>
      <w:pPr>
        <w:ind w:left="720" w:hanging="360"/>
      </w:pPr>
    </w:lvl>
    <w:lvl w:ilvl="6" w:tplc="AEB4C282">
      <w:start w:val="1"/>
      <w:numFmt w:val="decimal"/>
      <w:lvlText w:val="%7."/>
      <w:lvlJc w:val="left"/>
      <w:pPr>
        <w:ind w:left="720" w:hanging="360"/>
      </w:pPr>
    </w:lvl>
    <w:lvl w:ilvl="7" w:tplc="A0B48ABA">
      <w:start w:val="1"/>
      <w:numFmt w:val="decimal"/>
      <w:lvlText w:val="%8."/>
      <w:lvlJc w:val="left"/>
      <w:pPr>
        <w:ind w:left="720" w:hanging="360"/>
      </w:pPr>
    </w:lvl>
    <w:lvl w:ilvl="8" w:tplc="885A4518">
      <w:start w:val="1"/>
      <w:numFmt w:val="decimal"/>
      <w:lvlText w:val="%9."/>
      <w:lvlJc w:val="left"/>
      <w:pPr>
        <w:ind w:left="720" w:hanging="360"/>
      </w:pPr>
    </w:lvl>
  </w:abstractNum>
  <w:abstractNum w:abstractNumId="12" w15:restartNumberingAfterBreak="0">
    <w:nsid w:val="0DB64310"/>
    <w:multiLevelType w:val="hybridMultilevel"/>
    <w:tmpl w:val="E93E8F08"/>
    <w:lvl w:ilvl="0" w:tplc="08090001">
      <w:start w:val="1"/>
      <w:numFmt w:val="bullet"/>
      <w:lvlText w:val=""/>
      <w:lvlJc w:val="left"/>
      <w:pPr>
        <w:ind w:left="1575" w:hanging="360"/>
      </w:pPr>
      <w:rPr>
        <w:rFonts w:ascii="Symbol" w:hAnsi="Symbol" w:hint="default"/>
      </w:rPr>
    </w:lvl>
    <w:lvl w:ilvl="1" w:tplc="08090003" w:tentative="1">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13" w15:restartNumberingAfterBreak="0">
    <w:nsid w:val="0EF20EE6"/>
    <w:multiLevelType w:val="hybridMultilevel"/>
    <w:tmpl w:val="84844496"/>
    <w:lvl w:ilvl="0" w:tplc="794E26CE">
      <w:start w:val="1"/>
      <w:numFmt w:val="decimal"/>
      <w:lvlText w:val="%1."/>
      <w:lvlJc w:val="left"/>
      <w:pPr>
        <w:ind w:left="1440" w:hanging="360"/>
      </w:pPr>
    </w:lvl>
    <w:lvl w:ilvl="1" w:tplc="F0A6C342">
      <w:start w:val="1"/>
      <w:numFmt w:val="decimal"/>
      <w:lvlText w:val="%2."/>
      <w:lvlJc w:val="left"/>
      <w:pPr>
        <w:ind w:left="1440" w:hanging="360"/>
      </w:pPr>
    </w:lvl>
    <w:lvl w:ilvl="2" w:tplc="5560C4D4">
      <w:start w:val="1"/>
      <w:numFmt w:val="decimal"/>
      <w:lvlText w:val="%3."/>
      <w:lvlJc w:val="left"/>
      <w:pPr>
        <w:ind w:left="1440" w:hanging="360"/>
      </w:pPr>
    </w:lvl>
    <w:lvl w:ilvl="3" w:tplc="7068DC62">
      <w:start w:val="1"/>
      <w:numFmt w:val="decimal"/>
      <w:lvlText w:val="%4."/>
      <w:lvlJc w:val="left"/>
      <w:pPr>
        <w:ind w:left="1440" w:hanging="360"/>
      </w:pPr>
    </w:lvl>
    <w:lvl w:ilvl="4" w:tplc="355EB3BC">
      <w:start w:val="1"/>
      <w:numFmt w:val="decimal"/>
      <w:lvlText w:val="%5."/>
      <w:lvlJc w:val="left"/>
      <w:pPr>
        <w:ind w:left="1440" w:hanging="360"/>
      </w:pPr>
    </w:lvl>
    <w:lvl w:ilvl="5" w:tplc="B434AC1C">
      <w:start w:val="1"/>
      <w:numFmt w:val="decimal"/>
      <w:lvlText w:val="%6."/>
      <w:lvlJc w:val="left"/>
      <w:pPr>
        <w:ind w:left="1440" w:hanging="360"/>
      </w:pPr>
    </w:lvl>
    <w:lvl w:ilvl="6" w:tplc="5606BF6E">
      <w:start w:val="1"/>
      <w:numFmt w:val="decimal"/>
      <w:lvlText w:val="%7."/>
      <w:lvlJc w:val="left"/>
      <w:pPr>
        <w:ind w:left="1440" w:hanging="360"/>
      </w:pPr>
    </w:lvl>
    <w:lvl w:ilvl="7" w:tplc="85E08116">
      <w:start w:val="1"/>
      <w:numFmt w:val="decimal"/>
      <w:lvlText w:val="%8."/>
      <w:lvlJc w:val="left"/>
      <w:pPr>
        <w:ind w:left="1440" w:hanging="360"/>
      </w:pPr>
    </w:lvl>
    <w:lvl w:ilvl="8" w:tplc="BFEC389C">
      <w:start w:val="1"/>
      <w:numFmt w:val="decimal"/>
      <w:lvlText w:val="%9."/>
      <w:lvlJc w:val="left"/>
      <w:pPr>
        <w:ind w:left="1440" w:hanging="360"/>
      </w:pPr>
    </w:lvl>
  </w:abstractNum>
  <w:abstractNum w:abstractNumId="14" w15:restartNumberingAfterBreak="0">
    <w:nsid w:val="0FEE3F91"/>
    <w:multiLevelType w:val="hybridMultilevel"/>
    <w:tmpl w:val="D91ECDC2"/>
    <w:lvl w:ilvl="0" w:tplc="2012A9A2">
      <w:start w:val="1"/>
      <w:numFmt w:val="bullet"/>
      <w:lvlText w:val=""/>
      <w:lvlJc w:val="left"/>
      <w:pPr>
        <w:ind w:left="720" w:hanging="360"/>
      </w:pPr>
      <w:rPr>
        <w:rFonts w:ascii="Symbol" w:hAnsi="Symbol"/>
      </w:rPr>
    </w:lvl>
    <w:lvl w:ilvl="1" w:tplc="2B6407B6">
      <w:start w:val="1"/>
      <w:numFmt w:val="bullet"/>
      <w:lvlText w:val=""/>
      <w:lvlJc w:val="left"/>
      <w:pPr>
        <w:ind w:left="720" w:hanging="360"/>
      </w:pPr>
      <w:rPr>
        <w:rFonts w:ascii="Symbol" w:hAnsi="Symbol"/>
      </w:rPr>
    </w:lvl>
    <w:lvl w:ilvl="2" w:tplc="4380DB88">
      <w:start w:val="1"/>
      <w:numFmt w:val="bullet"/>
      <w:lvlText w:val=""/>
      <w:lvlJc w:val="left"/>
      <w:pPr>
        <w:ind w:left="720" w:hanging="360"/>
      </w:pPr>
      <w:rPr>
        <w:rFonts w:ascii="Symbol" w:hAnsi="Symbol"/>
      </w:rPr>
    </w:lvl>
    <w:lvl w:ilvl="3" w:tplc="A260B100">
      <w:start w:val="1"/>
      <w:numFmt w:val="bullet"/>
      <w:lvlText w:val=""/>
      <w:lvlJc w:val="left"/>
      <w:pPr>
        <w:ind w:left="720" w:hanging="360"/>
      </w:pPr>
      <w:rPr>
        <w:rFonts w:ascii="Symbol" w:hAnsi="Symbol"/>
      </w:rPr>
    </w:lvl>
    <w:lvl w:ilvl="4" w:tplc="C166FEB2">
      <w:start w:val="1"/>
      <w:numFmt w:val="bullet"/>
      <w:lvlText w:val=""/>
      <w:lvlJc w:val="left"/>
      <w:pPr>
        <w:ind w:left="720" w:hanging="360"/>
      </w:pPr>
      <w:rPr>
        <w:rFonts w:ascii="Symbol" w:hAnsi="Symbol"/>
      </w:rPr>
    </w:lvl>
    <w:lvl w:ilvl="5" w:tplc="A9FCBCC6">
      <w:start w:val="1"/>
      <w:numFmt w:val="bullet"/>
      <w:lvlText w:val=""/>
      <w:lvlJc w:val="left"/>
      <w:pPr>
        <w:ind w:left="720" w:hanging="360"/>
      </w:pPr>
      <w:rPr>
        <w:rFonts w:ascii="Symbol" w:hAnsi="Symbol"/>
      </w:rPr>
    </w:lvl>
    <w:lvl w:ilvl="6" w:tplc="AD423CAA">
      <w:start w:val="1"/>
      <w:numFmt w:val="bullet"/>
      <w:lvlText w:val=""/>
      <w:lvlJc w:val="left"/>
      <w:pPr>
        <w:ind w:left="720" w:hanging="360"/>
      </w:pPr>
      <w:rPr>
        <w:rFonts w:ascii="Symbol" w:hAnsi="Symbol"/>
      </w:rPr>
    </w:lvl>
    <w:lvl w:ilvl="7" w:tplc="B54CA15A">
      <w:start w:val="1"/>
      <w:numFmt w:val="bullet"/>
      <w:lvlText w:val=""/>
      <w:lvlJc w:val="left"/>
      <w:pPr>
        <w:ind w:left="720" w:hanging="360"/>
      </w:pPr>
      <w:rPr>
        <w:rFonts w:ascii="Symbol" w:hAnsi="Symbol"/>
      </w:rPr>
    </w:lvl>
    <w:lvl w:ilvl="8" w:tplc="73645116">
      <w:start w:val="1"/>
      <w:numFmt w:val="bullet"/>
      <w:lvlText w:val=""/>
      <w:lvlJc w:val="left"/>
      <w:pPr>
        <w:ind w:left="720" w:hanging="360"/>
      </w:pPr>
      <w:rPr>
        <w:rFonts w:ascii="Symbol" w:hAnsi="Symbol"/>
      </w:rPr>
    </w:lvl>
  </w:abstractNum>
  <w:abstractNum w:abstractNumId="15" w15:restartNumberingAfterBreak="0">
    <w:nsid w:val="129E6DB8"/>
    <w:multiLevelType w:val="hybridMultilevel"/>
    <w:tmpl w:val="DE644204"/>
    <w:lvl w:ilvl="0" w:tplc="F15CF73A">
      <w:start w:val="1"/>
      <w:numFmt w:val="decimal"/>
      <w:lvlText w:val="%1."/>
      <w:lvlJc w:val="left"/>
      <w:pPr>
        <w:ind w:left="720" w:hanging="360"/>
      </w:pPr>
    </w:lvl>
    <w:lvl w:ilvl="1" w:tplc="0352B642">
      <w:start w:val="1"/>
      <w:numFmt w:val="decimal"/>
      <w:lvlText w:val="%2."/>
      <w:lvlJc w:val="left"/>
      <w:pPr>
        <w:ind w:left="720" w:hanging="360"/>
      </w:pPr>
    </w:lvl>
    <w:lvl w:ilvl="2" w:tplc="B7188DA8">
      <w:start w:val="1"/>
      <w:numFmt w:val="decimal"/>
      <w:lvlText w:val="%3."/>
      <w:lvlJc w:val="left"/>
      <w:pPr>
        <w:ind w:left="720" w:hanging="360"/>
      </w:pPr>
    </w:lvl>
    <w:lvl w:ilvl="3" w:tplc="111A8516">
      <w:start w:val="1"/>
      <w:numFmt w:val="decimal"/>
      <w:lvlText w:val="%4."/>
      <w:lvlJc w:val="left"/>
      <w:pPr>
        <w:ind w:left="720" w:hanging="360"/>
      </w:pPr>
    </w:lvl>
    <w:lvl w:ilvl="4" w:tplc="3E6C2B72">
      <w:start w:val="1"/>
      <w:numFmt w:val="decimal"/>
      <w:lvlText w:val="%5."/>
      <w:lvlJc w:val="left"/>
      <w:pPr>
        <w:ind w:left="720" w:hanging="360"/>
      </w:pPr>
    </w:lvl>
    <w:lvl w:ilvl="5" w:tplc="332A3550">
      <w:start w:val="1"/>
      <w:numFmt w:val="decimal"/>
      <w:lvlText w:val="%6."/>
      <w:lvlJc w:val="left"/>
      <w:pPr>
        <w:ind w:left="720" w:hanging="360"/>
      </w:pPr>
    </w:lvl>
    <w:lvl w:ilvl="6" w:tplc="B32670DA">
      <w:start w:val="1"/>
      <w:numFmt w:val="decimal"/>
      <w:lvlText w:val="%7."/>
      <w:lvlJc w:val="left"/>
      <w:pPr>
        <w:ind w:left="720" w:hanging="360"/>
      </w:pPr>
    </w:lvl>
    <w:lvl w:ilvl="7" w:tplc="C82CEAF0">
      <w:start w:val="1"/>
      <w:numFmt w:val="decimal"/>
      <w:lvlText w:val="%8."/>
      <w:lvlJc w:val="left"/>
      <w:pPr>
        <w:ind w:left="720" w:hanging="360"/>
      </w:pPr>
    </w:lvl>
    <w:lvl w:ilvl="8" w:tplc="96524764">
      <w:start w:val="1"/>
      <w:numFmt w:val="decimal"/>
      <w:lvlText w:val="%9."/>
      <w:lvlJc w:val="left"/>
      <w:pPr>
        <w:ind w:left="720" w:hanging="360"/>
      </w:pPr>
    </w:lvl>
  </w:abstractNum>
  <w:abstractNum w:abstractNumId="16" w15:restartNumberingAfterBreak="0">
    <w:nsid w:val="19877AF1"/>
    <w:multiLevelType w:val="hybridMultilevel"/>
    <w:tmpl w:val="6AEA1B5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1A3E05CB"/>
    <w:multiLevelType w:val="hybridMultilevel"/>
    <w:tmpl w:val="DB746C40"/>
    <w:lvl w:ilvl="0" w:tplc="653C248A">
      <w:start w:val="1"/>
      <w:numFmt w:val="decimal"/>
      <w:lvlText w:val="%1."/>
      <w:lvlJc w:val="left"/>
      <w:pPr>
        <w:ind w:left="720" w:hanging="360"/>
      </w:pPr>
    </w:lvl>
    <w:lvl w:ilvl="1" w:tplc="0B70187C">
      <w:start w:val="1"/>
      <w:numFmt w:val="decimal"/>
      <w:lvlText w:val="%2."/>
      <w:lvlJc w:val="left"/>
      <w:pPr>
        <w:ind w:left="720" w:hanging="360"/>
      </w:pPr>
    </w:lvl>
    <w:lvl w:ilvl="2" w:tplc="BDE4786C">
      <w:start w:val="1"/>
      <w:numFmt w:val="decimal"/>
      <w:lvlText w:val="%3."/>
      <w:lvlJc w:val="left"/>
      <w:pPr>
        <w:ind w:left="720" w:hanging="360"/>
      </w:pPr>
    </w:lvl>
    <w:lvl w:ilvl="3" w:tplc="6650976E">
      <w:start w:val="1"/>
      <w:numFmt w:val="decimal"/>
      <w:lvlText w:val="%4."/>
      <w:lvlJc w:val="left"/>
      <w:pPr>
        <w:ind w:left="720" w:hanging="360"/>
      </w:pPr>
    </w:lvl>
    <w:lvl w:ilvl="4" w:tplc="EAE4D126">
      <w:start w:val="1"/>
      <w:numFmt w:val="decimal"/>
      <w:lvlText w:val="%5."/>
      <w:lvlJc w:val="left"/>
      <w:pPr>
        <w:ind w:left="720" w:hanging="360"/>
      </w:pPr>
    </w:lvl>
    <w:lvl w:ilvl="5" w:tplc="4294A528">
      <w:start w:val="1"/>
      <w:numFmt w:val="decimal"/>
      <w:lvlText w:val="%6."/>
      <w:lvlJc w:val="left"/>
      <w:pPr>
        <w:ind w:left="720" w:hanging="360"/>
      </w:pPr>
    </w:lvl>
    <w:lvl w:ilvl="6" w:tplc="97B207C6">
      <w:start w:val="1"/>
      <w:numFmt w:val="decimal"/>
      <w:lvlText w:val="%7."/>
      <w:lvlJc w:val="left"/>
      <w:pPr>
        <w:ind w:left="720" w:hanging="360"/>
      </w:pPr>
    </w:lvl>
    <w:lvl w:ilvl="7" w:tplc="79CAD7D4">
      <w:start w:val="1"/>
      <w:numFmt w:val="decimal"/>
      <w:lvlText w:val="%8."/>
      <w:lvlJc w:val="left"/>
      <w:pPr>
        <w:ind w:left="720" w:hanging="360"/>
      </w:pPr>
    </w:lvl>
    <w:lvl w:ilvl="8" w:tplc="7510740E">
      <w:start w:val="1"/>
      <w:numFmt w:val="decimal"/>
      <w:lvlText w:val="%9."/>
      <w:lvlJc w:val="left"/>
      <w:pPr>
        <w:ind w:left="720" w:hanging="360"/>
      </w:pPr>
    </w:lvl>
  </w:abstractNum>
  <w:abstractNum w:abstractNumId="1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15:restartNumberingAfterBreak="0">
    <w:nsid w:val="1C8D0702"/>
    <w:multiLevelType w:val="hybridMultilevel"/>
    <w:tmpl w:val="1FDA4E20"/>
    <w:lvl w:ilvl="0" w:tplc="94B21132">
      <w:start w:val="1"/>
      <w:numFmt w:val="decimal"/>
      <w:lvlText w:val="%1)"/>
      <w:lvlJc w:val="left"/>
      <w:pPr>
        <w:ind w:left="720" w:hanging="360"/>
      </w:pPr>
    </w:lvl>
    <w:lvl w:ilvl="1" w:tplc="1EBA3E7E">
      <w:start w:val="1"/>
      <w:numFmt w:val="decimal"/>
      <w:lvlText w:val="%2)"/>
      <w:lvlJc w:val="left"/>
      <w:pPr>
        <w:ind w:left="720" w:hanging="360"/>
      </w:pPr>
    </w:lvl>
    <w:lvl w:ilvl="2" w:tplc="D3EA67A4">
      <w:start w:val="1"/>
      <w:numFmt w:val="decimal"/>
      <w:lvlText w:val="%3)"/>
      <w:lvlJc w:val="left"/>
      <w:pPr>
        <w:ind w:left="720" w:hanging="360"/>
      </w:pPr>
    </w:lvl>
    <w:lvl w:ilvl="3" w:tplc="7B34EEC2">
      <w:start w:val="1"/>
      <w:numFmt w:val="decimal"/>
      <w:lvlText w:val="%4)"/>
      <w:lvlJc w:val="left"/>
      <w:pPr>
        <w:ind w:left="720" w:hanging="360"/>
      </w:pPr>
    </w:lvl>
    <w:lvl w:ilvl="4" w:tplc="16200918">
      <w:start w:val="1"/>
      <w:numFmt w:val="decimal"/>
      <w:lvlText w:val="%5)"/>
      <w:lvlJc w:val="left"/>
      <w:pPr>
        <w:ind w:left="720" w:hanging="360"/>
      </w:pPr>
    </w:lvl>
    <w:lvl w:ilvl="5" w:tplc="1F3EF486">
      <w:start w:val="1"/>
      <w:numFmt w:val="decimal"/>
      <w:lvlText w:val="%6)"/>
      <w:lvlJc w:val="left"/>
      <w:pPr>
        <w:ind w:left="720" w:hanging="360"/>
      </w:pPr>
    </w:lvl>
    <w:lvl w:ilvl="6" w:tplc="608654EE">
      <w:start w:val="1"/>
      <w:numFmt w:val="decimal"/>
      <w:lvlText w:val="%7)"/>
      <w:lvlJc w:val="left"/>
      <w:pPr>
        <w:ind w:left="720" w:hanging="360"/>
      </w:pPr>
    </w:lvl>
    <w:lvl w:ilvl="7" w:tplc="B3264350">
      <w:start w:val="1"/>
      <w:numFmt w:val="decimal"/>
      <w:lvlText w:val="%8)"/>
      <w:lvlJc w:val="left"/>
      <w:pPr>
        <w:ind w:left="720" w:hanging="360"/>
      </w:pPr>
    </w:lvl>
    <w:lvl w:ilvl="8" w:tplc="B486E8D0">
      <w:start w:val="1"/>
      <w:numFmt w:val="decimal"/>
      <w:lvlText w:val="%9)"/>
      <w:lvlJc w:val="left"/>
      <w:pPr>
        <w:ind w:left="720" w:hanging="360"/>
      </w:pPr>
    </w:lvl>
  </w:abstractNum>
  <w:abstractNum w:abstractNumId="20" w15:restartNumberingAfterBreak="0">
    <w:nsid w:val="1CB57BC2"/>
    <w:multiLevelType w:val="hybridMultilevel"/>
    <w:tmpl w:val="28606D4A"/>
    <w:lvl w:ilvl="0" w:tplc="07AEDAA4">
      <w:start w:val="1"/>
      <w:numFmt w:val="bullet"/>
      <w:lvlText w:val=""/>
      <w:lvlJc w:val="left"/>
      <w:pPr>
        <w:ind w:left="720" w:hanging="360"/>
      </w:pPr>
      <w:rPr>
        <w:rFonts w:ascii="Symbol" w:hAnsi="Symbol"/>
      </w:rPr>
    </w:lvl>
    <w:lvl w:ilvl="1" w:tplc="788ADBF4">
      <w:start w:val="1"/>
      <w:numFmt w:val="bullet"/>
      <w:lvlText w:val=""/>
      <w:lvlJc w:val="left"/>
      <w:pPr>
        <w:ind w:left="720" w:hanging="360"/>
      </w:pPr>
      <w:rPr>
        <w:rFonts w:ascii="Symbol" w:hAnsi="Symbol"/>
      </w:rPr>
    </w:lvl>
    <w:lvl w:ilvl="2" w:tplc="DA4C50E8">
      <w:start w:val="1"/>
      <w:numFmt w:val="bullet"/>
      <w:lvlText w:val=""/>
      <w:lvlJc w:val="left"/>
      <w:pPr>
        <w:ind w:left="720" w:hanging="360"/>
      </w:pPr>
      <w:rPr>
        <w:rFonts w:ascii="Symbol" w:hAnsi="Symbol"/>
      </w:rPr>
    </w:lvl>
    <w:lvl w:ilvl="3" w:tplc="6C8A8C78">
      <w:start w:val="1"/>
      <w:numFmt w:val="bullet"/>
      <w:lvlText w:val=""/>
      <w:lvlJc w:val="left"/>
      <w:pPr>
        <w:ind w:left="720" w:hanging="360"/>
      </w:pPr>
      <w:rPr>
        <w:rFonts w:ascii="Symbol" w:hAnsi="Symbol"/>
      </w:rPr>
    </w:lvl>
    <w:lvl w:ilvl="4" w:tplc="48FC6BAC">
      <w:start w:val="1"/>
      <w:numFmt w:val="bullet"/>
      <w:lvlText w:val=""/>
      <w:lvlJc w:val="left"/>
      <w:pPr>
        <w:ind w:left="720" w:hanging="360"/>
      </w:pPr>
      <w:rPr>
        <w:rFonts w:ascii="Symbol" w:hAnsi="Symbol"/>
      </w:rPr>
    </w:lvl>
    <w:lvl w:ilvl="5" w:tplc="31722BC0">
      <w:start w:val="1"/>
      <w:numFmt w:val="bullet"/>
      <w:lvlText w:val=""/>
      <w:lvlJc w:val="left"/>
      <w:pPr>
        <w:ind w:left="720" w:hanging="360"/>
      </w:pPr>
      <w:rPr>
        <w:rFonts w:ascii="Symbol" w:hAnsi="Symbol"/>
      </w:rPr>
    </w:lvl>
    <w:lvl w:ilvl="6" w:tplc="E6EA51DE">
      <w:start w:val="1"/>
      <w:numFmt w:val="bullet"/>
      <w:lvlText w:val=""/>
      <w:lvlJc w:val="left"/>
      <w:pPr>
        <w:ind w:left="720" w:hanging="360"/>
      </w:pPr>
      <w:rPr>
        <w:rFonts w:ascii="Symbol" w:hAnsi="Symbol"/>
      </w:rPr>
    </w:lvl>
    <w:lvl w:ilvl="7" w:tplc="2282449E">
      <w:start w:val="1"/>
      <w:numFmt w:val="bullet"/>
      <w:lvlText w:val=""/>
      <w:lvlJc w:val="left"/>
      <w:pPr>
        <w:ind w:left="720" w:hanging="360"/>
      </w:pPr>
      <w:rPr>
        <w:rFonts w:ascii="Symbol" w:hAnsi="Symbol"/>
      </w:rPr>
    </w:lvl>
    <w:lvl w:ilvl="8" w:tplc="ECE6E3DC">
      <w:start w:val="1"/>
      <w:numFmt w:val="bullet"/>
      <w:lvlText w:val=""/>
      <w:lvlJc w:val="left"/>
      <w:pPr>
        <w:ind w:left="720" w:hanging="360"/>
      </w:pPr>
      <w:rPr>
        <w:rFonts w:ascii="Symbol" w:hAnsi="Symbol"/>
      </w:rPr>
    </w:lvl>
  </w:abstractNum>
  <w:abstractNum w:abstractNumId="21" w15:restartNumberingAfterBreak="0">
    <w:nsid w:val="1F472081"/>
    <w:multiLevelType w:val="hybridMultilevel"/>
    <w:tmpl w:val="0114A894"/>
    <w:lvl w:ilvl="0" w:tplc="1F8A506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F6C6B9D"/>
    <w:multiLevelType w:val="hybridMultilevel"/>
    <w:tmpl w:val="FFFFFFFF"/>
    <w:lvl w:ilvl="0" w:tplc="0ADA960C">
      <w:start w:val="1"/>
      <w:numFmt w:val="bullet"/>
      <w:lvlText w:val="·"/>
      <w:lvlJc w:val="left"/>
      <w:pPr>
        <w:ind w:left="720" w:hanging="360"/>
      </w:pPr>
      <w:rPr>
        <w:rFonts w:ascii="Symbol" w:hAnsi="Symbol" w:hint="default"/>
      </w:rPr>
    </w:lvl>
    <w:lvl w:ilvl="1" w:tplc="DAF22D8E">
      <w:start w:val="1"/>
      <w:numFmt w:val="bullet"/>
      <w:lvlText w:val="o"/>
      <w:lvlJc w:val="left"/>
      <w:pPr>
        <w:ind w:left="1440" w:hanging="360"/>
      </w:pPr>
      <w:rPr>
        <w:rFonts w:ascii="Courier New" w:hAnsi="Courier New" w:hint="default"/>
      </w:rPr>
    </w:lvl>
    <w:lvl w:ilvl="2" w:tplc="F13AEA22">
      <w:start w:val="1"/>
      <w:numFmt w:val="bullet"/>
      <w:lvlText w:val=""/>
      <w:lvlJc w:val="left"/>
      <w:pPr>
        <w:ind w:left="2160" w:hanging="360"/>
      </w:pPr>
      <w:rPr>
        <w:rFonts w:ascii="Wingdings" w:hAnsi="Wingdings" w:hint="default"/>
      </w:rPr>
    </w:lvl>
    <w:lvl w:ilvl="3" w:tplc="C3C2999A">
      <w:start w:val="1"/>
      <w:numFmt w:val="bullet"/>
      <w:lvlText w:val=""/>
      <w:lvlJc w:val="left"/>
      <w:pPr>
        <w:ind w:left="2880" w:hanging="360"/>
      </w:pPr>
      <w:rPr>
        <w:rFonts w:ascii="Symbol" w:hAnsi="Symbol" w:hint="default"/>
      </w:rPr>
    </w:lvl>
    <w:lvl w:ilvl="4" w:tplc="4AB2078A">
      <w:start w:val="1"/>
      <w:numFmt w:val="bullet"/>
      <w:lvlText w:val="o"/>
      <w:lvlJc w:val="left"/>
      <w:pPr>
        <w:ind w:left="3600" w:hanging="360"/>
      </w:pPr>
      <w:rPr>
        <w:rFonts w:ascii="Courier New" w:hAnsi="Courier New" w:hint="default"/>
      </w:rPr>
    </w:lvl>
    <w:lvl w:ilvl="5" w:tplc="82207D62">
      <w:start w:val="1"/>
      <w:numFmt w:val="bullet"/>
      <w:lvlText w:val=""/>
      <w:lvlJc w:val="left"/>
      <w:pPr>
        <w:ind w:left="4320" w:hanging="360"/>
      </w:pPr>
      <w:rPr>
        <w:rFonts w:ascii="Wingdings" w:hAnsi="Wingdings" w:hint="default"/>
      </w:rPr>
    </w:lvl>
    <w:lvl w:ilvl="6" w:tplc="9F922916">
      <w:start w:val="1"/>
      <w:numFmt w:val="bullet"/>
      <w:lvlText w:val=""/>
      <w:lvlJc w:val="left"/>
      <w:pPr>
        <w:ind w:left="5040" w:hanging="360"/>
      </w:pPr>
      <w:rPr>
        <w:rFonts w:ascii="Symbol" w:hAnsi="Symbol" w:hint="default"/>
      </w:rPr>
    </w:lvl>
    <w:lvl w:ilvl="7" w:tplc="753C1D62">
      <w:start w:val="1"/>
      <w:numFmt w:val="bullet"/>
      <w:lvlText w:val="o"/>
      <w:lvlJc w:val="left"/>
      <w:pPr>
        <w:ind w:left="5760" w:hanging="360"/>
      </w:pPr>
      <w:rPr>
        <w:rFonts w:ascii="Courier New" w:hAnsi="Courier New" w:hint="default"/>
      </w:rPr>
    </w:lvl>
    <w:lvl w:ilvl="8" w:tplc="C200121E">
      <w:start w:val="1"/>
      <w:numFmt w:val="bullet"/>
      <w:lvlText w:val=""/>
      <w:lvlJc w:val="left"/>
      <w:pPr>
        <w:ind w:left="6480" w:hanging="360"/>
      </w:pPr>
      <w:rPr>
        <w:rFonts w:ascii="Wingdings" w:hAnsi="Wingdings" w:hint="default"/>
      </w:rPr>
    </w:lvl>
  </w:abstractNum>
  <w:abstractNum w:abstractNumId="23" w15:restartNumberingAfterBreak="0">
    <w:nsid w:val="22E44180"/>
    <w:multiLevelType w:val="multilevel"/>
    <w:tmpl w:val="A14AFCE2"/>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rPr>
        <w:b w:val="0"/>
      </w:r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62C1454"/>
    <w:multiLevelType w:val="multilevel"/>
    <w:tmpl w:val="A46090B2"/>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5" w15:restartNumberingAfterBreak="0">
    <w:nsid w:val="29025D13"/>
    <w:multiLevelType w:val="hybridMultilevel"/>
    <w:tmpl w:val="F9DCFCA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8" w15:restartNumberingAfterBreak="0">
    <w:nsid w:val="3A4C2C56"/>
    <w:multiLevelType w:val="hybridMultilevel"/>
    <w:tmpl w:val="30800B50"/>
    <w:lvl w:ilvl="0" w:tplc="7CE252F8">
      <w:start w:val="1"/>
      <w:numFmt w:val="bullet"/>
      <w:lvlText w:val=""/>
      <w:lvlJc w:val="left"/>
      <w:pPr>
        <w:ind w:left="720" w:hanging="360"/>
      </w:pPr>
      <w:rPr>
        <w:rFonts w:ascii="Symbol" w:hAnsi="Symbol"/>
      </w:rPr>
    </w:lvl>
    <w:lvl w:ilvl="1" w:tplc="7ADE1238">
      <w:start w:val="1"/>
      <w:numFmt w:val="bullet"/>
      <w:lvlText w:val=""/>
      <w:lvlJc w:val="left"/>
      <w:pPr>
        <w:ind w:left="720" w:hanging="360"/>
      </w:pPr>
      <w:rPr>
        <w:rFonts w:ascii="Symbol" w:hAnsi="Symbol"/>
      </w:rPr>
    </w:lvl>
    <w:lvl w:ilvl="2" w:tplc="31AC2108">
      <w:start w:val="1"/>
      <w:numFmt w:val="bullet"/>
      <w:lvlText w:val=""/>
      <w:lvlJc w:val="left"/>
      <w:pPr>
        <w:ind w:left="720" w:hanging="360"/>
      </w:pPr>
      <w:rPr>
        <w:rFonts w:ascii="Symbol" w:hAnsi="Symbol"/>
      </w:rPr>
    </w:lvl>
    <w:lvl w:ilvl="3" w:tplc="B5749D24">
      <w:start w:val="1"/>
      <w:numFmt w:val="bullet"/>
      <w:lvlText w:val=""/>
      <w:lvlJc w:val="left"/>
      <w:pPr>
        <w:ind w:left="720" w:hanging="360"/>
      </w:pPr>
      <w:rPr>
        <w:rFonts w:ascii="Symbol" w:hAnsi="Symbol"/>
      </w:rPr>
    </w:lvl>
    <w:lvl w:ilvl="4" w:tplc="D908BE64">
      <w:start w:val="1"/>
      <w:numFmt w:val="bullet"/>
      <w:lvlText w:val=""/>
      <w:lvlJc w:val="left"/>
      <w:pPr>
        <w:ind w:left="720" w:hanging="360"/>
      </w:pPr>
      <w:rPr>
        <w:rFonts w:ascii="Symbol" w:hAnsi="Symbol"/>
      </w:rPr>
    </w:lvl>
    <w:lvl w:ilvl="5" w:tplc="A140C50A">
      <w:start w:val="1"/>
      <w:numFmt w:val="bullet"/>
      <w:lvlText w:val=""/>
      <w:lvlJc w:val="left"/>
      <w:pPr>
        <w:ind w:left="720" w:hanging="360"/>
      </w:pPr>
      <w:rPr>
        <w:rFonts w:ascii="Symbol" w:hAnsi="Symbol"/>
      </w:rPr>
    </w:lvl>
    <w:lvl w:ilvl="6" w:tplc="C722D846">
      <w:start w:val="1"/>
      <w:numFmt w:val="bullet"/>
      <w:lvlText w:val=""/>
      <w:lvlJc w:val="left"/>
      <w:pPr>
        <w:ind w:left="720" w:hanging="360"/>
      </w:pPr>
      <w:rPr>
        <w:rFonts w:ascii="Symbol" w:hAnsi="Symbol"/>
      </w:rPr>
    </w:lvl>
    <w:lvl w:ilvl="7" w:tplc="AF386A98">
      <w:start w:val="1"/>
      <w:numFmt w:val="bullet"/>
      <w:lvlText w:val=""/>
      <w:lvlJc w:val="left"/>
      <w:pPr>
        <w:ind w:left="720" w:hanging="360"/>
      </w:pPr>
      <w:rPr>
        <w:rFonts w:ascii="Symbol" w:hAnsi="Symbol"/>
      </w:rPr>
    </w:lvl>
    <w:lvl w:ilvl="8" w:tplc="C1544A7A">
      <w:start w:val="1"/>
      <w:numFmt w:val="bullet"/>
      <w:lvlText w:val=""/>
      <w:lvlJc w:val="left"/>
      <w:pPr>
        <w:ind w:left="720" w:hanging="360"/>
      </w:pPr>
      <w:rPr>
        <w:rFonts w:ascii="Symbol" w:hAnsi="Symbol"/>
      </w:rPr>
    </w:lvl>
  </w:abstractNum>
  <w:abstractNum w:abstractNumId="29" w15:restartNumberingAfterBreak="0">
    <w:nsid w:val="400B39DA"/>
    <w:multiLevelType w:val="hybridMultilevel"/>
    <w:tmpl w:val="DEFE74E8"/>
    <w:lvl w:ilvl="0" w:tplc="897E4346">
      <w:start w:val="1"/>
      <w:numFmt w:val="bullet"/>
      <w:lvlText w:val="-"/>
      <w:lvlJc w:val="left"/>
      <w:pPr>
        <w:ind w:left="720" w:hanging="360"/>
      </w:pPr>
      <w:rPr>
        <w:rFonts w:ascii="Calibri" w:hAnsi="Calibri" w:hint="default"/>
      </w:rPr>
    </w:lvl>
    <w:lvl w:ilvl="1" w:tplc="2A427B08">
      <w:start w:val="1"/>
      <w:numFmt w:val="bullet"/>
      <w:lvlText w:val="o"/>
      <w:lvlJc w:val="left"/>
      <w:pPr>
        <w:ind w:left="1440" w:hanging="360"/>
      </w:pPr>
      <w:rPr>
        <w:rFonts w:ascii="Courier New" w:hAnsi="Courier New" w:hint="default"/>
      </w:rPr>
    </w:lvl>
    <w:lvl w:ilvl="2" w:tplc="5D04C222">
      <w:start w:val="1"/>
      <w:numFmt w:val="bullet"/>
      <w:lvlText w:val=""/>
      <w:lvlJc w:val="left"/>
      <w:pPr>
        <w:ind w:left="2160" w:hanging="360"/>
      </w:pPr>
      <w:rPr>
        <w:rFonts w:ascii="Wingdings" w:hAnsi="Wingdings" w:hint="default"/>
      </w:rPr>
    </w:lvl>
    <w:lvl w:ilvl="3" w:tplc="122A4B3A">
      <w:start w:val="1"/>
      <w:numFmt w:val="bullet"/>
      <w:lvlText w:val=""/>
      <w:lvlJc w:val="left"/>
      <w:pPr>
        <w:ind w:left="2880" w:hanging="360"/>
      </w:pPr>
      <w:rPr>
        <w:rFonts w:ascii="Symbol" w:hAnsi="Symbol" w:hint="default"/>
      </w:rPr>
    </w:lvl>
    <w:lvl w:ilvl="4" w:tplc="7F2E8884">
      <w:start w:val="1"/>
      <w:numFmt w:val="bullet"/>
      <w:lvlText w:val="o"/>
      <w:lvlJc w:val="left"/>
      <w:pPr>
        <w:ind w:left="3600" w:hanging="360"/>
      </w:pPr>
      <w:rPr>
        <w:rFonts w:ascii="Courier New" w:hAnsi="Courier New" w:hint="default"/>
      </w:rPr>
    </w:lvl>
    <w:lvl w:ilvl="5" w:tplc="BFA219EA">
      <w:start w:val="1"/>
      <w:numFmt w:val="bullet"/>
      <w:lvlText w:val=""/>
      <w:lvlJc w:val="left"/>
      <w:pPr>
        <w:ind w:left="4320" w:hanging="360"/>
      </w:pPr>
      <w:rPr>
        <w:rFonts w:ascii="Wingdings" w:hAnsi="Wingdings" w:hint="default"/>
      </w:rPr>
    </w:lvl>
    <w:lvl w:ilvl="6" w:tplc="72DE2366">
      <w:start w:val="1"/>
      <w:numFmt w:val="bullet"/>
      <w:lvlText w:val=""/>
      <w:lvlJc w:val="left"/>
      <w:pPr>
        <w:ind w:left="5040" w:hanging="360"/>
      </w:pPr>
      <w:rPr>
        <w:rFonts w:ascii="Symbol" w:hAnsi="Symbol" w:hint="default"/>
      </w:rPr>
    </w:lvl>
    <w:lvl w:ilvl="7" w:tplc="533EE712">
      <w:start w:val="1"/>
      <w:numFmt w:val="bullet"/>
      <w:lvlText w:val="o"/>
      <w:lvlJc w:val="left"/>
      <w:pPr>
        <w:ind w:left="5760" w:hanging="360"/>
      </w:pPr>
      <w:rPr>
        <w:rFonts w:ascii="Courier New" w:hAnsi="Courier New" w:hint="default"/>
      </w:rPr>
    </w:lvl>
    <w:lvl w:ilvl="8" w:tplc="2494936A">
      <w:start w:val="1"/>
      <w:numFmt w:val="bullet"/>
      <w:lvlText w:val=""/>
      <w:lvlJc w:val="left"/>
      <w:pPr>
        <w:ind w:left="6480" w:hanging="360"/>
      </w:pPr>
      <w:rPr>
        <w:rFonts w:ascii="Wingdings" w:hAnsi="Wingdings" w:hint="default"/>
      </w:rPr>
    </w:lvl>
  </w:abstractNum>
  <w:abstractNum w:abstractNumId="30" w15:restartNumberingAfterBreak="0">
    <w:nsid w:val="41C0295C"/>
    <w:multiLevelType w:val="hybridMultilevel"/>
    <w:tmpl w:val="C88645EC"/>
    <w:lvl w:ilvl="0" w:tplc="DDBAC1B2">
      <w:start w:val="1"/>
      <w:numFmt w:val="decimal"/>
      <w:lvlText w:val="%1."/>
      <w:lvlJc w:val="left"/>
      <w:pPr>
        <w:ind w:left="1440" w:hanging="360"/>
      </w:pPr>
    </w:lvl>
    <w:lvl w:ilvl="1" w:tplc="6470A7C6">
      <w:start w:val="1"/>
      <w:numFmt w:val="decimal"/>
      <w:lvlText w:val="%2."/>
      <w:lvlJc w:val="left"/>
      <w:pPr>
        <w:ind w:left="1440" w:hanging="360"/>
      </w:pPr>
    </w:lvl>
    <w:lvl w:ilvl="2" w:tplc="C882E152">
      <w:start w:val="1"/>
      <w:numFmt w:val="decimal"/>
      <w:lvlText w:val="%3."/>
      <w:lvlJc w:val="left"/>
      <w:pPr>
        <w:ind w:left="1440" w:hanging="360"/>
      </w:pPr>
    </w:lvl>
    <w:lvl w:ilvl="3" w:tplc="B3E4C0F2">
      <w:start w:val="1"/>
      <w:numFmt w:val="decimal"/>
      <w:lvlText w:val="%4."/>
      <w:lvlJc w:val="left"/>
      <w:pPr>
        <w:ind w:left="1440" w:hanging="360"/>
      </w:pPr>
    </w:lvl>
    <w:lvl w:ilvl="4" w:tplc="86BA1BA0">
      <w:start w:val="1"/>
      <w:numFmt w:val="decimal"/>
      <w:lvlText w:val="%5."/>
      <w:lvlJc w:val="left"/>
      <w:pPr>
        <w:ind w:left="1440" w:hanging="360"/>
      </w:pPr>
    </w:lvl>
    <w:lvl w:ilvl="5" w:tplc="48F8BDCA">
      <w:start w:val="1"/>
      <w:numFmt w:val="decimal"/>
      <w:lvlText w:val="%6."/>
      <w:lvlJc w:val="left"/>
      <w:pPr>
        <w:ind w:left="1440" w:hanging="360"/>
      </w:pPr>
    </w:lvl>
    <w:lvl w:ilvl="6" w:tplc="8D00A38E">
      <w:start w:val="1"/>
      <w:numFmt w:val="decimal"/>
      <w:lvlText w:val="%7."/>
      <w:lvlJc w:val="left"/>
      <w:pPr>
        <w:ind w:left="1440" w:hanging="360"/>
      </w:pPr>
    </w:lvl>
    <w:lvl w:ilvl="7" w:tplc="235A801C">
      <w:start w:val="1"/>
      <w:numFmt w:val="decimal"/>
      <w:lvlText w:val="%8."/>
      <w:lvlJc w:val="left"/>
      <w:pPr>
        <w:ind w:left="1440" w:hanging="360"/>
      </w:pPr>
    </w:lvl>
    <w:lvl w:ilvl="8" w:tplc="0F92B346">
      <w:start w:val="1"/>
      <w:numFmt w:val="decimal"/>
      <w:lvlText w:val="%9."/>
      <w:lvlJc w:val="left"/>
      <w:pPr>
        <w:ind w:left="1440" w:hanging="360"/>
      </w:pPr>
    </w:lvl>
  </w:abstractNum>
  <w:abstractNum w:abstractNumId="3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3" w15:restartNumberingAfterBreak="0">
    <w:nsid w:val="43060505"/>
    <w:multiLevelType w:val="hybridMultilevel"/>
    <w:tmpl w:val="85EC3644"/>
    <w:lvl w:ilvl="0" w:tplc="5704C7B4">
      <w:start w:val="1"/>
      <w:numFmt w:val="decimal"/>
      <w:lvlText w:val="%1)"/>
      <w:lvlJc w:val="left"/>
      <w:pPr>
        <w:ind w:left="1020" w:hanging="360"/>
      </w:pPr>
    </w:lvl>
    <w:lvl w:ilvl="1" w:tplc="C6B80BC8">
      <w:start w:val="1"/>
      <w:numFmt w:val="decimal"/>
      <w:lvlText w:val="%2)"/>
      <w:lvlJc w:val="left"/>
      <w:pPr>
        <w:ind w:left="1020" w:hanging="360"/>
      </w:pPr>
    </w:lvl>
    <w:lvl w:ilvl="2" w:tplc="7DC6A95C">
      <w:start w:val="1"/>
      <w:numFmt w:val="decimal"/>
      <w:lvlText w:val="%3)"/>
      <w:lvlJc w:val="left"/>
      <w:pPr>
        <w:ind w:left="1020" w:hanging="360"/>
      </w:pPr>
    </w:lvl>
    <w:lvl w:ilvl="3" w:tplc="D56E6BB4">
      <w:start w:val="1"/>
      <w:numFmt w:val="decimal"/>
      <w:lvlText w:val="%4)"/>
      <w:lvlJc w:val="left"/>
      <w:pPr>
        <w:ind w:left="1020" w:hanging="360"/>
      </w:pPr>
    </w:lvl>
    <w:lvl w:ilvl="4" w:tplc="54440986">
      <w:start w:val="1"/>
      <w:numFmt w:val="decimal"/>
      <w:lvlText w:val="%5)"/>
      <w:lvlJc w:val="left"/>
      <w:pPr>
        <w:ind w:left="1020" w:hanging="360"/>
      </w:pPr>
    </w:lvl>
    <w:lvl w:ilvl="5" w:tplc="9DCACC24">
      <w:start w:val="1"/>
      <w:numFmt w:val="decimal"/>
      <w:lvlText w:val="%6)"/>
      <w:lvlJc w:val="left"/>
      <w:pPr>
        <w:ind w:left="1020" w:hanging="360"/>
      </w:pPr>
    </w:lvl>
    <w:lvl w:ilvl="6" w:tplc="10A62190">
      <w:start w:val="1"/>
      <w:numFmt w:val="decimal"/>
      <w:lvlText w:val="%7)"/>
      <w:lvlJc w:val="left"/>
      <w:pPr>
        <w:ind w:left="1020" w:hanging="360"/>
      </w:pPr>
    </w:lvl>
    <w:lvl w:ilvl="7" w:tplc="0574A14A">
      <w:start w:val="1"/>
      <w:numFmt w:val="decimal"/>
      <w:lvlText w:val="%8)"/>
      <w:lvlJc w:val="left"/>
      <w:pPr>
        <w:ind w:left="1020" w:hanging="360"/>
      </w:pPr>
    </w:lvl>
    <w:lvl w:ilvl="8" w:tplc="4496B640">
      <w:start w:val="1"/>
      <w:numFmt w:val="decimal"/>
      <w:lvlText w:val="%9)"/>
      <w:lvlJc w:val="left"/>
      <w:pPr>
        <w:ind w:left="1020" w:hanging="360"/>
      </w:pPr>
    </w:lvl>
  </w:abstractNum>
  <w:abstractNum w:abstractNumId="3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5" w15:restartNumberingAfterBreak="0">
    <w:nsid w:val="46461C3B"/>
    <w:multiLevelType w:val="hybridMultilevel"/>
    <w:tmpl w:val="6220ED0A"/>
    <w:lvl w:ilvl="0" w:tplc="51244CD6">
      <w:start w:val="1"/>
      <w:numFmt w:val="decimal"/>
      <w:lvlText w:val="%1)"/>
      <w:lvlJc w:val="left"/>
      <w:pPr>
        <w:ind w:left="720" w:hanging="360"/>
      </w:pPr>
    </w:lvl>
    <w:lvl w:ilvl="1" w:tplc="441C3AFE">
      <w:start w:val="1"/>
      <w:numFmt w:val="decimal"/>
      <w:lvlText w:val="%2)"/>
      <w:lvlJc w:val="left"/>
      <w:pPr>
        <w:ind w:left="720" w:hanging="360"/>
      </w:pPr>
    </w:lvl>
    <w:lvl w:ilvl="2" w:tplc="983CD098">
      <w:start w:val="1"/>
      <w:numFmt w:val="decimal"/>
      <w:lvlText w:val="%3)"/>
      <w:lvlJc w:val="left"/>
      <w:pPr>
        <w:ind w:left="720" w:hanging="360"/>
      </w:pPr>
    </w:lvl>
    <w:lvl w:ilvl="3" w:tplc="FB8CC21E">
      <w:start w:val="1"/>
      <w:numFmt w:val="decimal"/>
      <w:lvlText w:val="%4)"/>
      <w:lvlJc w:val="left"/>
      <w:pPr>
        <w:ind w:left="720" w:hanging="360"/>
      </w:pPr>
    </w:lvl>
    <w:lvl w:ilvl="4" w:tplc="9F24A5EE">
      <w:start w:val="1"/>
      <w:numFmt w:val="decimal"/>
      <w:lvlText w:val="%5)"/>
      <w:lvlJc w:val="left"/>
      <w:pPr>
        <w:ind w:left="720" w:hanging="360"/>
      </w:pPr>
    </w:lvl>
    <w:lvl w:ilvl="5" w:tplc="0FDAA482">
      <w:start w:val="1"/>
      <w:numFmt w:val="decimal"/>
      <w:lvlText w:val="%6)"/>
      <w:lvlJc w:val="left"/>
      <w:pPr>
        <w:ind w:left="720" w:hanging="360"/>
      </w:pPr>
    </w:lvl>
    <w:lvl w:ilvl="6" w:tplc="8E086362">
      <w:start w:val="1"/>
      <w:numFmt w:val="decimal"/>
      <w:lvlText w:val="%7)"/>
      <w:lvlJc w:val="left"/>
      <w:pPr>
        <w:ind w:left="720" w:hanging="360"/>
      </w:pPr>
    </w:lvl>
    <w:lvl w:ilvl="7" w:tplc="027C88FE">
      <w:start w:val="1"/>
      <w:numFmt w:val="decimal"/>
      <w:lvlText w:val="%8)"/>
      <w:lvlJc w:val="left"/>
      <w:pPr>
        <w:ind w:left="720" w:hanging="360"/>
      </w:pPr>
    </w:lvl>
    <w:lvl w:ilvl="8" w:tplc="DD661420">
      <w:start w:val="1"/>
      <w:numFmt w:val="decimal"/>
      <w:lvlText w:val="%9)"/>
      <w:lvlJc w:val="left"/>
      <w:pPr>
        <w:ind w:left="720" w:hanging="360"/>
      </w:pPr>
    </w:lvl>
  </w:abstractNum>
  <w:abstractNum w:abstractNumId="36" w15:restartNumberingAfterBreak="0">
    <w:nsid w:val="46CD5962"/>
    <w:multiLevelType w:val="hybridMultilevel"/>
    <w:tmpl w:val="BFB2C022"/>
    <w:lvl w:ilvl="0" w:tplc="93049F5A">
      <w:start w:val="1"/>
      <w:numFmt w:val="decimal"/>
      <w:lvlText w:val="%1)"/>
      <w:lvlJc w:val="left"/>
      <w:pPr>
        <w:ind w:left="720" w:hanging="360"/>
      </w:pPr>
    </w:lvl>
    <w:lvl w:ilvl="1" w:tplc="D13811EC">
      <w:start w:val="1"/>
      <w:numFmt w:val="decimal"/>
      <w:lvlText w:val="%2)"/>
      <w:lvlJc w:val="left"/>
      <w:pPr>
        <w:ind w:left="720" w:hanging="360"/>
      </w:pPr>
    </w:lvl>
    <w:lvl w:ilvl="2" w:tplc="D5F82A54">
      <w:start w:val="1"/>
      <w:numFmt w:val="decimal"/>
      <w:lvlText w:val="%3)"/>
      <w:lvlJc w:val="left"/>
      <w:pPr>
        <w:ind w:left="720" w:hanging="360"/>
      </w:pPr>
    </w:lvl>
    <w:lvl w:ilvl="3" w:tplc="393AF71E">
      <w:start w:val="1"/>
      <w:numFmt w:val="decimal"/>
      <w:lvlText w:val="%4)"/>
      <w:lvlJc w:val="left"/>
      <w:pPr>
        <w:ind w:left="720" w:hanging="360"/>
      </w:pPr>
    </w:lvl>
    <w:lvl w:ilvl="4" w:tplc="F55C811E">
      <w:start w:val="1"/>
      <w:numFmt w:val="decimal"/>
      <w:lvlText w:val="%5)"/>
      <w:lvlJc w:val="left"/>
      <w:pPr>
        <w:ind w:left="720" w:hanging="360"/>
      </w:pPr>
    </w:lvl>
    <w:lvl w:ilvl="5" w:tplc="0390EEE0">
      <w:start w:val="1"/>
      <w:numFmt w:val="decimal"/>
      <w:lvlText w:val="%6)"/>
      <w:lvlJc w:val="left"/>
      <w:pPr>
        <w:ind w:left="720" w:hanging="360"/>
      </w:pPr>
    </w:lvl>
    <w:lvl w:ilvl="6" w:tplc="C31ECC8E">
      <w:start w:val="1"/>
      <w:numFmt w:val="decimal"/>
      <w:lvlText w:val="%7)"/>
      <w:lvlJc w:val="left"/>
      <w:pPr>
        <w:ind w:left="720" w:hanging="360"/>
      </w:pPr>
    </w:lvl>
    <w:lvl w:ilvl="7" w:tplc="16529D54">
      <w:start w:val="1"/>
      <w:numFmt w:val="decimal"/>
      <w:lvlText w:val="%8)"/>
      <w:lvlJc w:val="left"/>
      <w:pPr>
        <w:ind w:left="720" w:hanging="360"/>
      </w:pPr>
    </w:lvl>
    <w:lvl w:ilvl="8" w:tplc="33C68314">
      <w:start w:val="1"/>
      <w:numFmt w:val="decimal"/>
      <w:lvlText w:val="%9)"/>
      <w:lvlJc w:val="left"/>
      <w:pPr>
        <w:ind w:left="720" w:hanging="360"/>
      </w:pPr>
    </w:lvl>
  </w:abstractNum>
  <w:abstractNum w:abstractNumId="37" w15:restartNumberingAfterBreak="0">
    <w:nsid w:val="472D551B"/>
    <w:multiLevelType w:val="multilevel"/>
    <w:tmpl w:val="5628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BE19EB"/>
    <w:multiLevelType w:val="hybridMultilevel"/>
    <w:tmpl w:val="EF948BDC"/>
    <w:lvl w:ilvl="0" w:tplc="22706B78">
      <w:start w:val="1"/>
      <w:numFmt w:val="lowerRoman"/>
      <w:lvlText w:val="%1."/>
      <w:lvlJc w:val="right"/>
      <w:pPr>
        <w:ind w:left="720" w:hanging="360"/>
      </w:pPr>
    </w:lvl>
    <w:lvl w:ilvl="1" w:tplc="47167FAE">
      <w:start w:val="1"/>
      <w:numFmt w:val="lowerRoman"/>
      <w:lvlText w:val="%2."/>
      <w:lvlJc w:val="right"/>
      <w:pPr>
        <w:ind w:left="720" w:hanging="360"/>
      </w:pPr>
    </w:lvl>
    <w:lvl w:ilvl="2" w:tplc="D3865910">
      <w:start w:val="1"/>
      <w:numFmt w:val="lowerRoman"/>
      <w:lvlText w:val="%3."/>
      <w:lvlJc w:val="right"/>
      <w:pPr>
        <w:ind w:left="720" w:hanging="360"/>
      </w:pPr>
    </w:lvl>
    <w:lvl w:ilvl="3" w:tplc="4A5040CA">
      <w:start w:val="1"/>
      <w:numFmt w:val="lowerRoman"/>
      <w:lvlText w:val="%4."/>
      <w:lvlJc w:val="right"/>
      <w:pPr>
        <w:ind w:left="720" w:hanging="360"/>
      </w:pPr>
    </w:lvl>
    <w:lvl w:ilvl="4" w:tplc="FA2882EA">
      <w:start w:val="1"/>
      <w:numFmt w:val="lowerRoman"/>
      <w:lvlText w:val="%5."/>
      <w:lvlJc w:val="right"/>
      <w:pPr>
        <w:ind w:left="720" w:hanging="360"/>
      </w:pPr>
    </w:lvl>
    <w:lvl w:ilvl="5" w:tplc="EB2C8A98">
      <w:start w:val="1"/>
      <w:numFmt w:val="lowerRoman"/>
      <w:lvlText w:val="%6."/>
      <w:lvlJc w:val="right"/>
      <w:pPr>
        <w:ind w:left="720" w:hanging="360"/>
      </w:pPr>
    </w:lvl>
    <w:lvl w:ilvl="6" w:tplc="8A7A0B0C">
      <w:start w:val="1"/>
      <w:numFmt w:val="lowerRoman"/>
      <w:lvlText w:val="%7."/>
      <w:lvlJc w:val="right"/>
      <w:pPr>
        <w:ind w:left="720" w:hanging="360"/>
      </w:pPr>
    </w:lvl>
    <w:lvl w:ilvl="7" w:tplc="4B4C0DDC">
      <w:start w:val="1"/>
      <w:numFmt w:val="lowerRoman"/>
      <w:lvlText w:val="%8."/>
      <w:lvlJc w:val="right"/>
      <w:pPr>
        <w:ind w:left="720" w:hanging="360"/>
      </w:pPr>
    </w:lvl>
    <w:lvl w:ilvl="8" w:tplc="FCEC7050">
      <w:start w:val="1"/>
      <w:numFmt w:val="lowerRoman"/>
      <w:lvlText w:val="%9."/>
      <w:lvlJc w:val="right"/>
      <w:pPr>
        <w:ind w:left="720" w:hanging="360"/>
      </w:pPr>
    </w:lvl>
  </w:abstractNum>
  <w:abstractNum w:abstractNumId="39" w15:restartNumberingAfterBreak="0">
    <w:nsid w:val="4E612497"/>
    <w:multiLevelType w:val="hybridMultilevel"/>
    <w:tmpl w:val="C82CBB40"/>
    <w:lvl w:ilvl="0" w:tplc="17A6C3AE">
      <w:start w:val="1"/>
      <w:numFmt w:val="decimal"/>
      <w:lvlText w:val="%1)"/>
      <w:lvlJc w:val="left"/>
      <w:pPr>
        <w:ind w:left="720" w:hanging="360"/>
      </w:pPr>
    </w:lvl>
    <w:lvl w:ilvl="1" w:tplc="78FA77AC">
      <w:start w:val="1"/>
      <w:numFmt w:val="decimal"/>
      <w:lvlText w:val="%2)"/>
      <w:lvlJc w:val="left"/>
      <w:pPr>
        <w:ind w:left="720" w:hanging="360"/>
      </w:pPr>
    </w:lvl>
    <w:lvl w:ilvl="2" w:tplc="996A2816">
      <w:start w:val="1"/>
      <w:numFmt w:val="decimal"/>
      <w:lvlText w:val="%3)"/>
      <w:lvlJc w:val="left"/>
      <w:pPr>
        <w:ind w:left="720" w:hanging="360"/>
      </w:pPr>
    </w:lvl>
    <w:lvl w:ilvl="3" w:tplc="48F2DD1C">
      <w:start w:val="1"/>
      <w:numFmt w:val="decimal"/>
      <w:lvlText w:val="%4)"/>
      <w:lvlJc w:val="left"/>
      <w:pPr>
        <w:ind w:left="720" w:hanging="360"/>
      </w:pPr>
    </w:lvl>
    <w:lvl w:ilvl="4" w:tplc="132CED3C">
      <w:start w:val="1"/>
      <w:numFmt w:val="decimal"/>
      <w:lvlText w:val="%5)"/>
      <w:lvlJc w:val="left"/>
      <w:pPr>
        <w:ind w:left="720" w:hanging="360"/>
      </w:pPr>
    </w:lvl>
    <w:lvl w:ilvl="5" w:tplc="AEE4F174">
      <w:start w:val="1"/>
      <w:numFmt w:val="decimal"/>
      <w:lvlText w:val="%6)"/>
      <w:lvlJc w:val="left"/>
      <w:pPr>
        <w:ind w:left="720" w:hanging="360"/>
      </w:pPr>
    </w:lvl>
    <w:lvl w:ilvl="6" w:tplc="9B988CF8">
      <w:start w:val="1"/>
      <w:numFmt w:val="decimal"/>
      <w:lvlText w:val="%7)"/>
      <w:lvlJc w:val="left"/>
      <w:pPr>
        <w:ind w:left="720" w:hanging="360"/>
      </w:pPr>
    </w:lvl>
    <w:lvl w:ilvl="7" w:tplc="7070148A">
      <w:start w:val="1"/>
      <w:numFmt w:val="decimal"/>
      <w:lvlText w:val="%8)"/>
      <w:lvlJc w:val="left"/>
      <w:pPr>
        <w:ind w:left="720" w:hanging="360"/>
      </w:pPr>
    </w:lvl>
    <w:lvl w:ilvl="8" w:tplc="5F54B04E">
      <w:start w:val="1"/>
      <w:numFmt w:val="decimal"/>
      <w:lvlText w:val="%9)"/>
      <w:lvlJc w:val="left"/>
      <w:pPr>
        <w:ind w:left="720" w:hanging="360"/>
      </w:pPr>
    </w:lvl>
  </w:abstractNum>
  <w:abstractNum w:abstractNumId="40" w15:restartNumberingAfterBreak="0">
    <w:nsid w:val="503B1C91"/>
    <w:multiLevelType w:val="hybridMultilevel"/>
    <w:tmpl w:val="60CE281E"/>
    <w:lvl w:ilvl="0" w:tplc="53844A56">
      <w:start w:val="1"/>
      <w:numFmt w:val="decimal"/>
      <w:lvlText w:val="(%1)"/>
      <w:lvlJc w:val="left"/>
      <w:pPr>
        <w:ind w:left="1440" w:hanging="360"/>
      </w:pPr>
    </w:lvl>
    <w:lvl w:ilvl="1" w:tplc="44A84826">
      <w:start w:val="1"/>
      <w:numFmt w:val="decimal"/>
      <w:lvlText w:val="(%2)"/>
      <w:lvlJc w:val="left"/>
      <w:pPr>
        <w:ind w:left="1440" w:hanging="360"/>
      </w:pPr>
    </w:lvl>
    <w:lvl w:ilvl="2" w:tplc="5E2AE73C">
      <w:start w:val="1"/>
      <w:numFmt w:val="decimal"/>
      <w:lvlText w:val="(%3)"/>
      <w:lvlJc w:val="left"/>
      <w:pPr>
        <w:ind w:left="1440" w:hanging="360"/>
      </w:pPr>
    </w:lvl>
    <w:lvl w:ilvl="3" w:tplc="AF2E0E0C">
      <w:start w:val="1"/>
      <w:numFmt w:val="decimal"/>
      <w:lvlText w:val="(%4)"/>
      <w:lvlJc w:val="left"/>
      <w:pPr>
        <w:ind w:left="1440" w:hanging="360"/>
      </w:pPr>
    </w:lvl>
    <w:lvl w:ilvl="4" w:tplc="401AB498">
      <w:start w:val="1"/>
      <w:numFmt w:val="decimal"/>
      <w:lvlText w:val="(%5)"/>
      <w:lvlJc w:val="left"/>
      <w:pPr>
        <w:ind w:left="1440" w:hanging="360"/>
      </w:pPr>
    </w:lvl>
    <w:lvl w:ilvl="5" w:tplc="9D7E898E">
      <w:start w:val="1"/>
      <w:numFmt w:val="decimal"/>
      <w:lvlText w:val="(%6)"/>
      <w:lvlJc w:val="left"/>
      <w:pPr>
        <w:ind w:left="1440" w:hanging="360"/>
      </w:pPr>
    </w:lvl>
    <w:lvl w:ilvl="6" w:tplc="A3E2C344">
      <w:start w:val="1"/>
      <w:numFmt w:val="decimal"/>
      <w:lvlText w:val="(%7)"/>
      <w:lvlJc w:val="left"/>
      <w:pPr>
        <w:ind w:left="1440" w:hanging="360"/>
      </w:pPr>
    </w:lvl>
    <w:lvl w:ilvl="7" w:tplc="9844EA1E">
      <w:start w:val="1"/>
      <w:numFmt w:val="decimal"/>
      <w:lvlText w:val="(%8)"/>
      <w:lvlJc w:val="left"/>
      <w:pPr>
        <w:ind w:left="1440" w:hanging="360"/>
      </w:pPr>
    </w:lvl>
    <w:lvl w:ilvl="8" w:tplc="3CC80E98">
      <w:start w:val="1"/>
      <w:numFmt w:val="decimal"/>
      <w:lvlText w:val="(%9)"/>
      <w:lvlJc w:val="left"/>
      <w:pPr>
        <w:ind w:left="1440" w:hanging="360"/>
      </w:pPr>
    </w:lvl>
  </w:abstractNum>
  <w:abstractNum w:abstractNumId="41" w15:restartNumberingAfterBreak="0">
    <w:nsid w:val="512E133B"/>
    <w:multiLevelType w:val="hybridMultilevel"/>
    <w:tmpl w:val="DE9A5BC8"/>
    <w:lvl w:ilvl="0" w:tplc="8AE2AB6C">
      <w:start w:val="1"/>
      <w:numFmt w:val="lowerLetter"/>
      <w:lvlText w:val="%1)"/>
      <w:lvlJc w:val="left"/>
      <w:pPr>
        <w:ind w:left="1020" w:hanging="360"/>
      </w:pPr>
    </w:lvl>
    <w:lvl w:ilvl="1" w:tplc="CD389ACE">
      <w:start w:val="1"/>
      <w:numFmt w:val="lowerLetter"/>
      <w:lvlText w:val="%2)"/>
      <w:lvlJc w:val="left"/>
      <w:pPr>
        <w:ind w:left="1020" w:hanging="360"/>
      </w:pPr>
    </w:lvl>
    <w:lvl w:ilvl="2" w:tplc="7A963F4E">
      <w:start w:val="1"/>
      <w:numFmt w:val="lowerLetter"/>
      <w:lvlText w:val="%3)"/>
      <w:lvlJc w:val="left"/>
      <w:pPr>
        <w:ind w:left="1020" w:hanging="360"/>
      </w:pPr>
    </w:lvl>
    <w:lvl w:ilvl="3" w:tplc="09C2BA2C">
      <w:start w:val="1"/>
      <w:numFmt w:val="lowerLetter"/>
      <w:lvlText w:val="%4)"/>
      <w:lvlJc w:val="left"/>
      <w:pPr>
        <w:ind w:left="1020" w:hanging="360"/>
      </w:pPr>
    </w:lvl>
    <w:lvl w:ilvl="4" w:tplc="98DE110C">
      <w:start w:val="1"/>
      <w:numFmt w:val="lowerLetter"/>
      <w:lvlText w:val="%5)"/>
      <w:lvlJc w:val="left"/>
      <w:pPr>
        <w:ind w:left="1020" w:hanging="360"/>
      </w:pPr>
    </w:lvl>
    <w:lvl w:ilvl="5" w:tplc="78EC6AE0">
      <w:start w:val="1"/>
      <w:numFmt w:val="lowerLetter"/>
      <w:lvlText w:val="%6)"/>
      <w:lvlJc w:val="left"/>
      <w:pPr>
        <w:ind w:left="1020" w:hanging="360"/>
      </w:pPr>
    </w:lvl>
    <w:lvl w:ilvl="6" w:tplc="B5B2169E">
      <w:start w:val="1"/>
      <w:numFmt w:val="lowerLetter"/>
      <w:lvlText w:val="%7)"/>
      <w:lvlJc w:val="left"/>
      <w:pPr>
        <w:ind w:left="1020" w:hanging="360"/>
      </w:pPr>
    </w:lvl>
    <w:lvl w:ilvl="7" w:tplc="31701ED4">
      <w:start w:val="1"/>
      <w:numFmt w:val="lowerLetter"/>
      <w:lvlText w:val="%8)"/>
      <w:lvlJc w:val="left"/>
      <w:pPr>
        <w:ind w:left="1020" w:hanging="360"/>
      </w:pPr>
    </w:lvl>
    <w:lvl w:ilvl="8" w:tplc="0FF812D8">
      <w:start w:val="1"/>
      <w:numFmt w:val="lowerLetter"/>
      <w:lvlText w:val="%9)"/>
      <w:lvlJc w:val="left"/>
      <w:pPr>
        <w:ind w:left="1020" w:hanging="360"/>
      </w:pPr>
    </w:lvl>
  </w:abstractNum>
  <w:abstractNum w:abstractNumId="42" w15:restartNumberingAfterBreak="0">
    <w:nsid w:val="522C1D48"/>
    <w:multiLevelType w:val="hybridMultilevel"/>
    <w:tmpl w:val="22FC9B4C"/>
    <w:lvl w:ilvl="0" w:tplc="1F34934E">
      <w:start w:val="1"/>
      <w:numFmt w:val="decimal"/>
      <w:lvlText w:val="%1."/>
      <w:lvlJc w:val="left"/>
      <w:pPr>
        <w:ind w:left="720" w:hanging="360"/>
      </w:pPr>
    </w:lvl>
    <w:lvl w:ilvl="1" w:tplc="B7C81664">
      <w:start w:val="1"/>
      <w:numFmt w:val="decimal"/>
      <w:lvlText w:val="%2."/>
      <w:lvlJc w:val="left"/>
      <w:pPr>
        <w:ind w:left="720" w:hanging="360"/>
      </w:pPr>
    </w:lvl>
    <w:lvl w:ilvl="2" w:tplc="80A83700">
      <w:start w:val="1"/>
      <w:numFmt w:val="decimal"/>
      <w:lvlText w:val="%3."/>
      <w:lvlJc w:val="left"/>
      <w:pPr>
        <w:ind w:left="720" w:hanging="360"/>
      </w:pPr>
    </w:lvl>
    <w:lvl w:ilvl="3" w:tplc="4C5CBD44">
      <w:start w:val="1"/>
      <w:numFmt w:val="decimal"/>
      <w:lvlText w:val="%4."/>
      <w:lvlJc w:val="left"/>
      <w:pPr>
        <w:ind w:left="720" w:hanging="360"/>
      </w:pPr>
    </w:lvl>
    <w:lvl w:ilvl="4" w:tplc="816CA0F0">
      <w:start w:val="1"/>
      <w:numFmt w:val="decimal"/>
      <w:lvlText w:val="%5."/>
      <w:lvlJc w:val="left"/>
      <w:pPr>
        <w:ind w:left="720" w:hanging="360"/>
      </w:pPr>
    </w:lvl>
    <w:lvl w:ilvl="5" w:tplc="83BE844E">
      <w:start w:val="1"/>
      <w:numFmt w:val="decimal"/>
      <w:lvlText w:val="%6."/>
      <w:lvlJc w:val="left"/>
      <w:pPr>
        <w:ind w:left="720" w:hanging="360"/>
      </w:pPr>
    </w:lvl>
    <w:lvl w:ilvl="6" w:tplc="32CAD98A">
      <w:start w:val="1"/>
      <w:numFmt w:val="decimal"/>
      <w:lvlText w:val="%7."/>
      <w:lvlJc w:val="left"/>
      <w:pPr>
        <w:ind w:left="720" w:hanging="360"/>
      </w:pPr>
    </w:lvl>
    <w:lvl w:ilvl="7" w:tplc="08B2F28A">
      <w:start w:val="1"/>
      <w:numFmt w:val="decimal"/>
      <w:lvlText w:val="%8."/>
      <w:lvlJc w:val="left"/>
      <w:pPr>
        <w:ind w:left="720" w:hanging="360"/>
      </w:pPr>
    </w:lvl>
    <w:lvl w:ilvl="8" w:tplc="2DC43502">
      <w:start w:val="1"/>
      <w:numFmt w:val="decimal"/>
      <w:lvlText w:val="%9."/>
      <w:lvlJc w:val="left"/>
      <w:pPr>
        <w:ind w:left="720" w:hanging="360"/>
      </w:pPr>
    </w:lvl>
  </w:abstractNum>
  <w:abstractNum w:abstractNumId="43" w15:restartNumberingAfterBreak="0">
    <w:nsid w:val="523575AF"/>
    <w:multiLevelType w:val="hybridMultilevel"/>
    <w:tmpl w:val="F9DCFCA0"/>
    <w:lvl w:ilvl="0" w:tplc="18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4" w15:restartNumberingAfterBreak="0">
    <w:nsid w:val="5334352A"/>
    <w:multiLevelType w:val="hybridMultilevel"/>
    <w:tmpl w:val="70969C0A"/>
    <w:lvl w:ilvl="0" w:tplc="9D069308">
      <w:start w:val="1"/>
      <w:numFmt w:val="decimal"/>
      <w:lvlText w:val="%1."/>
      <w:lvlJc w:val="left"/>
      <w:pPr>
        <w:ind w:left="720" w:hanging="360"/>
      </w:pPr>
    </w:lvl>
    <w:lvl w:ilvl="1" w:tplc="3E849E7E">
      <w:start w:val="1"/>
      <w:numFmt w:val="decimal"/>
      <w:lvlText w:val="%2."/>
      <w:lvlJc w:val="left"/>
      <w:pPr>
        <w:ind w:left="720" w:hanging="360"/>
      </w:pPr>
    </w:lvl>
    <w:lvl w:ilvl="2" w:tplc="EC4A5E34">
      <w:start w:val="1"/>
      <w:numFmt w:val="decimal"/>
      <w:lvlText w:val="%3."/>
      <w:lvlJc w:val="left"/>
      <w:pPr>
        <w:ind w:left="720" w:hanging="360"/>
      </w:pPr>
    </w:lvl>
    <w:lvl w:ilvl="3" w:tplc="53683C4E">
      <w:start w:val="1"/>
      <w:numFmt w:val="decimal"/>
      <w:lvlText w:val="%4."/>
      <w:lvlJc w:val="left"/>
      <w:pPr>
        <w:ind w:left="720" w:hanging="360"/>
      </w:pPr>
    </w:lvl>
    <w:lvl w:ilvl="4" w:tplc="E66E9960">
      <w:start w:val="1"/>
      <w:numFmt w:val="decimal"/>
      <w:lvlText w:val="%5."/>
      <w:lvlJc w:val="left"/>
      <w:pPr>
        <w:ind w:left="720" w:hanging="360"/>
      </w:pPr>
    </w:lvl>
    <w:lvl w:ilvl="5" w:tplc="6F8E185A">
      <w:start w:val="1"/>
      <w:numFmt w:val="decimal"/>
      <w:lvlText w:val="%6."/>
      <w:lvlJc w:val="left"/>
      <w:pPr>
        <w:ind w:left="720" w:hanging="360"/>
      </w:pPr>
    </w:lvl>
    <w:lvl w:ilvl="6" w:tplc="90D84A5C">
      <w:start w:val="1"/>
      <w:numFmt w:val="decimal"/>
      <w:lvlText w:val="%7."/>
      <w:lvlJc w:val="left"/>
      <w:pPr>
        <w:ind w:left="720" w:hanging="360"/>
      </w:pPr>
    </w:lvl>
    <w:lvl w:ilvl="7" w:tplc="2C621FE8">
      <w:start w:val="1"/>
      <w:numFmt w:val="decimal"/>
      <w:lvlText w:val="%8."/>
      <w:lvlJc w:val="left"/>
      <w:pPr>
        <w:ind w:left="720" w:hanging="360"/>
      </w:pPr>
    </w:lvl>
    <w:lvl w:ilvl="8" w:tplc="751C1808">
      <w:start w:val="1"/>
      <w:numFmt w:val="decimal"/>
      <w:lvlText w:val="%9."/>
      <w:lvlJc w:val="left"/>
      <w:pPr>
        <w:ind w:left="720" w:hanging="360"/>
      </w:pPr>
    </w:lvl>
  </w:abstractNum>
  <w:abstractNum w:abstractNumId="4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46" w15:restartNumberingAfterBreak="0">
    <w:nsid w:val="5AD447AC"/>
    <w:multiLevelType w:val="hybridMultilevel"/>
    <w:tmpl w:val="A95845AE"/>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47" w15:restartNumberingAfterBreak="0">
    <w:nsid w:val="5ADF6514"/>
    <w:multiLevelType w:val="hybridMultilevel"/>
    <w:tmpl w:val="1876AC1A"/>
    <w:lvl w:ilvl="0" w:tplc="CBE21128">
      <w:start w:val="1"/>
      <w:numFmt w:val="bullet"/>
      <w:lvlText w:val=""/>
      <w:lvlJc w:val="left"/>
      <w:pPr>
        <w:ind w:left="720" w:hanging="360"/>
      </w:pPr>
      <w:rPr>
        <w:rFonts w:ascii="Symbol" w:hAnsi="Symbol"/>
      </w:rPr>
    </w:lvl>
    <w:lvl w:ilvl="1" w:tplc="8A06861C">
      <w:start w:val="1"/>
      <w:numFmt w:val="bullet"/>
      <w:lvlText w:val=""/>
      <w:lvlJc w:val="left"/>
      <w:pPr>
        <w:ind w:left="720" w:hanging="360"/>
      </w:pPr>
      <w:rPr>
        <w:rFonts w:ascii="Symbol" w:hAnsi="Symbol"/>
      </w:rPr>
    </w:lvl>
    <w:lvl w:ilvl="2" w:tplc="6AC0CD5E">
      <w:start w:val="1"/>
      <w:numFmt w:val="bullet"/>
      <w:lvlText w:val=""/>
      <w:lvlJc w:val="left"/>
      <w:pPr>
        <w:ind w:left="720" w:hanging="360"/>
      </w:pPr>
      <w:rPr>
        <w:rFonts w:ascii="Symbol" w:hAnsi="Symbol"/>
      </w:rPr>
    </w:lvl>
    <w:lvl w:ilvl="3" w:tplc="09463428">
      <w:start w:val="1"/>
      <w:numFmt w:val="bullet"/>
      <w:lvlText w:val=""/>
      <w:lvlJc w:val="left"/>
      <w:pPr>
        <w:ind w:left="720" w:hanging="360"/>
      </w:pPr>
      <w:rPr>
        <w:rFonts w:ascii="Symbol" w:hAnsi="Symbol"/>
      </w:rPr>
    </w:lvl>
    <w:lvl w:ilvl="4" w:tplc="67AC9A7C">
      <w:start w:val="1"/>
      <w:numFmt w:val="bullet"/>
      <w:lvlText w:val=""/>
      <w:lvlJc w:val="left"/>
      <w:pPr>
        <w:ind w:left="720" w:hanging="360"/>
      </w:pPr>
      <w:rPr>
        <w:rFonts w:ascii="Symbol" w:hAnsi="Symbol"/>
      </w:rPr>
    </w:lvl>
    <w:lvl w:ilvl="5" w:tplc="22A8FDF0">
      <w:start w:val="1"/>
      <w:numFmt w:val="bullet"/>
      <w:lvlText w:val=""/>
      <w:lvlJc w:val="left"/>
      <w:pPr>
        <w:ind w:left="720" w:hanging="360"/>
      </w:pPr>
      <w:rPr>
        <w:rFonts w:ascii="Symbol" w:hAnsi="Symbol"/>
      </w:rPr>
    </w:lvl>
    <w:lvl w:ilvl="6" w:tplc="A0349462">
      <w:start w:val="1"/>
      <w:numFmt w:val="bullet"/>
      <w:lvlText w:val=""/>
      <w:lvlJc w:val="left"/>
      <w:pPr>
        <w:ind w:left="720" w:hanging="360"/>
      </w:pPr>
      <w:rPr>
        <w:rFonts w:ascii="Symbol" w:hAnsi="Symbol"/>
      </w:rPr>
    </w:lvl>
    <w:lvl w:ilvl="7" w:tplc="0B4A5C9C">
      <w:start w:val="1"/>
      <w:numFmt w:val="bullet"/>
      <w:lvlText w:val=""/>
      <w:lvlJc w:val="left"/>
      <w:pPr>
        <w:ind w:left="720" w:hanging="360"/>
      </w:pPr>
      <w:rPr>
        <w:rFonts w:ascii="Symbol" w:hAnsi="Symbol"/>
      </w:rPr>
    </w:lvl>
    <w:lvl w:ilvl="8" w:tplc="5F500B8E">
      <w:start w:val="1"/>
      <w:numFmt w:val="bullet"/>
      <w:lvlText w:val=""/>
      <w:lvlJc w:val="left"/>
      <w:pPr>
        <w:ind w:left="720" w:hanging="360"/>
      </w:pPr>
      <w:rPr>
        <w:rFonts w:ascii="Symbol" w:hAnsi="Symbol"/>
      </w:rPr>
    </w:lvl>
  </w:abstractNum>
  <w:abstractNum w:abstractNumId="48" w15:restartNumberingAfterBreak="0">
    <w:nsid w:val="5AE6724C"/>
    <w:multiLevelType w:val="multilevel"/>
    <w:tmpl w:val="464E7246"/>
    <w:lvl w:ilvl="0">
      <w:start w:val="1"/>
      <w:numFmt w:val="bullet"/>
      <w:lvlText w:val=""/>
      <w:lvlJc w:val="left"/>
      <w:pPr>
        <w:tabs>
          <w:tab w:val="num" w:pos="850"/>
        </w:tabs>
        <w:ind w:left="850" w:hanging="850"/>
      </w:pPr>
      <w:rPr>
        <w:rFonts w:ascii="Symbol" w:hAnsi="Symbol" w:hint="default"/>
      </w:rPr>
    </w:lvl>
    <w:lvl w:ilvl="1">
      <w:start w:val="1"/>
      <w:numFmt w:val="decimal"/>
      <w:lvlText w:val="%1.%2."/>
      <w:lvlJc w:val="left"/>
      <w:pPr>
        <w:tabs>
          <w:tab w:val="num" w:pos="850"/>
        </w:tabs>
        <w:ind w:left="850" w:hanging="850"/>
      </w:pPr>
      <w:rPr>
        <w:b w:val="0"/>
      </w:r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2" w15:restartNumberingAfterBreak="0">
    <w:nsid w:val="63CF3A1B"/>
    <w:multiLevelType w:val="hybridMultilevel"/>
    <w:tmpl w:val="B40A91C4"/>
    <w:lvl w:ilvl="0" w:tplc="93E2BB4E">
      <w:start w:val="1"/>
      <w:numFmt w:val="decimal"/>
      <w:lvlText w:val="%1)"/>
      <w:lvlJc w:val="left"/>
      <w:pPr>
        <w:ind w:left="720" w:hanging="360"/>
      </w:pPr>
    </w:lvl>
    <w:lvl w:ilvl="1" w:tplc="31B435B2">
      <w:start w:val="1"/>
      <w:numFmt w:val="decimal"/>
      <w:lvlText w:val="%2)"/>
      <w:lvlJc w:val="left"/>
      <w:pPr>
        <w:ind w:left="720" w:hanging="360"/>
      </w:pPr>
    </w:lvl>
    <w:lvl w:ilvl="2" w:tplc="6C5C87A0">
      <w:start w:val="1"/>
      <w:numFmt w:val="decimal"/>
      <w:lvlText w:val="%3)"/>
      <w:lvlJc w:val="left"/>
      <w:pPr>
        <w:ind w:left="720" w:hanging="360"/>
      </w:pPr>
    </w:lvl>
    <w:lvl w:ilvl="3" w:tplc="A10E115E">
      <w:start w:val="1"/>
      <w:numFmt w:val="decimal"/>
      <w:lvlText w:val="%4)"/>
      <w:lvlJc w:val="left"/>
      <w:pPr>
        <w:ind w:left="720" w:hanging="360"/>
      </w:pPr>
    </w:lvl>
    <w:lvl w:ilvl="4" w:tplc="A41A0C66">
      <w:start w:val="1"/>
      <w:numFmt w:val="decimal"/>
      <w:lvlText w:val="%5)"/>
      <w:lvlJc w:val="left"/>
      <w:pPr>
        <w:ind w:left="720" w:hanging="360"/>
      </w:pPr>
    </w:lvl>
    <w:lvl w:ilvl="5" w:tplc="F34C5CA2">
      <w:start w:val="1"/>
      <w:numFmt w:val="decimal"/>
      <w:lvlText w:val="%6)"/>
      <w:lvlJc w:val="left"/>
      <w:pPr>
        <w:ind w:left="720" w:hanging="360"/>
      </w:pPr>
    </w:lvl>
    <w:lvl w:ilvl="6" w:tplc="3F3AFEB0">
      <w:start w:val="1"/>
      <w:numFmt w:val="decimal"/>
      <w:lvlText w:val="%7)"/>
      <w:lvlJc w:val="left"/>
      <w:pPr>
        <w:ind w:left="720" w:hanging="360"/>
      </w:pPr>
    </w:lvl>
    <w:lvl w:ilvl="7" w:tplc="5046FBBA">
      <w:start w:val="1"/>
      <w:numFmt w:val="decimal"/>
      <w:lvlText w:val="%8)"/>
      <w:lvlJc w:val="left"/>
      <w:pPr>
        <w:ind w:left="720" w:hanging="360"/>
      </w:pPr>
    </w:lvl>
    <w:lvl w:ilvl="8" w:tplc="90AA650C">
      <w:start w:val="1"/>
      <w:numFmt w:val="decimal"/>
      <w:lvlText w:val="%9)"/>
      <w:lvlJc w:val="left"/>
      <w:pPr>
        <w:ind w:left="720" w:hanging="360"/>
      </w:pPr>
    </w:lvl>
  </w:abstractNum>
  <w:abstractNum w:abstractNumId="5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65054F3D"/>
    <w:multiLevelType w:val="hybridMultilevel"/>
    <w:tmpl w:val="39002242"/>
    <w:lvl w:ilvl="0" w:tplc="A3C666BC">
      <w:start w:val="1"/>
      <w:numFmt w:val="bullet"/>
      <w:lvlText w:val=""/>
      <w:lvlJc w:val="left"/>
      <w:pPr>
        <w:ind w:left="720" w:hanging="360"/>
      </w:pPr>
      <w:rPr>
        <w:rFonts w:ascii="Symbol" w:hAnsi="Symbol"/>
      </w:rPr>
    </w:lvl>
    <w:lvl w:ilvl="1" w:tplc="D33C4588">
      <w:start w:val="1"/>
      <w:numFmt w:val="bullet"/>
      <w:lvlText w:val=""/>
      <w:lvlJc w:val="left"/>
      <w:pPr>
        <w:ind w:left="720" w:hanging="360"/>
      </w:pPr>
      <w:rPr>
        <w:rFonts w:ascii="Symbol" w:hAnsi="Symbol"/>
      </w:rPr>
    </w:lvl>
    <w:lvl w:ilvl="2" w:tplc="F6EE9D94">
      <w:start w:val="1"/>
      <w:numFmt w:val="bullet"/>
      <w:lvlText w:val=""/>
      <w:lvlJc w:val="left"/>
      <w:pPr>
        <w:ind w:left="720" w:hanging="360"/>
      </w:pPr>
      <w:rPr>
        <w:rFonts w:ascii="Symbol" w:hAnsi="Symbol"/>
      </w:rPr>
    </w:lvl>
    <w:lvl w:ilvl="3" w:tplc="BE22C5FC">
      <w:start w:val="1"/>
      <w:numFmt w:val="bullet"/>
      <w:lvlText w:val=""/>
      <w:lvlJc w:val="left"/>
      <w:pPr>
        <w:ind w:left="720" w:hanging="360"/>
      </w:pPr>
      <w:rPr>
        <w:rFonts w:ascii="Symbol" w:hAnsi="Symbol"/>
      </w:rPr>
    </w:lvl>
    <w:lvl w:ilvl="4" w:tplc="D7CAE9FC">
      <w:start w:val="1"/>
      <w:numFmt w:val="bullet"/>
      <w:lvlText w:val=""/>
      <w:lvlJc w:val="left"/>
      <w:pPr>
        <w:ind w:left="720" w:hanging="360"/>
      </w:pPr>
      <w:rPr>
        <w:rFonts w:ascii="Symbol" w:hAnsi="Symbol"/>
      </w:rPr>
    </w:lvl>
    <w:lvl w:ilvl="5" w:tplc="256A9E3C">
      <w:start w:val="1"/>
      <w:numFmt w:val="bullet"/>
      <w:lvlText w:val=""/>
      <w:lvlJc w:val="left"/>
      <w:pPr>
        <w:ind w:left="720" w:hanging="360"/>
      </w:pPr>
      <w:rPr>
        <w:rFonts w:ascii="Symbol" w:hAnsi="Symbol"/>
      </w:rPr>
    </w:lvl>
    <w:lvl w:ilvl="6" w:tplc="D1E4ABF2">
      <w:start w:val="1"/>
      <w:numFmt w:val="bullet"/>
      <w:lvlText w:val=""/>
      <w:lvlJc w:val="left"/>
      <w:pPr>
        <w:ind w:left="720" w:hanging="360"/>
      </w:pPr>
      <w:rPr>
        <w:rFonts w:ascii="Symbol" w:hAnsi="Symbol"/>
      </w:rPr>
    </w:lvl>
    <w:lvl w:ilvl="7" w:tplc="058658B6">
      <w:start w:val="1"/>
      <w:numFmt w:val="bullet"/>
      <w:lvlText w:val=""/>
      <w:lvlJc w:val="left"/>
      <w:pPr>
        <w:ind w:left="720" w:hanging="360"/>
      </w:pPr>
      <w:rPr>
        <w:rFonts w:ascii="Symbol" w:hAnsi="Symbol"/>
      </w:rPr>
    </w:lvl>
    <w:lvl w:ilvl="8" w:tplc="AF26DAC6">
      <w:start w:val="1"/>
      <w:numFmt w:val="bullet"/>
      <w:lvlText w:val=""/>
      <w:lvlJc w:val="left"/>
      <w:pPr>
        <w:ind w:left="720" w:hanging="360"/>
      </w:pPr>
      <w:rPr>
        <w:rFonts w:ascii="Symbol" w:hAnsi="Symbol"/>
      </w:rPr>
    </w:lvl>
  </w:abstractNum>
  <w:abstractNum w:abstractNumId="55" w15:restartNumberingAfterBreak="0">
    <w:nsid w:val="67796C5F"/>
    <w:multiLevelType w:val="hybridMultilevel"/>
    <w:tmpl w:val="854E657A"/>
    <w:lvl w:ilvl="0" w:tplc="08090001">
      <w:start w:val="1"/>
      <w:numFmt w:val="bullet"/>
      <w:lvlText w:val=""/>
      <w:lvlJc w:val="left"/>
      <w:pPr>
        <w:ind w:left="1690" w:hanging="360"/>
      </w:pPr>
      <w:rPr>
        <w:rFonts w:ascii="Symbol" w:hAnsi="Symbol" w:hint="default"/>
      </w:rPr>
    </w:lvl>
    <w:lvl w:ilvl="1" w:tplc="08090003" w:tentative="1">
      <w:start w:val="1"/>
      <w:numFmt w:val="bullet"/>
      <w:lvlText w:val="o"/>
      <w:lvlJc w:val="left"/>
      <w:pPr>
        <w:ind w:left="2410" w:hanging="360"/>
      </w:pPr>
      <w:rPr>
        <w:rFonts w:ascii="Courier New" w:hAnsi="Courier New" w:cs="Courier New" w:hint="default"/>
      </w:rPr>
    </w:lvl>
    <w:lvl w:ilvl="2" w:tplc="08090005" w:tentative="1">
      <w:start w:val="1"/>
      <w:numFmt w:val="bullet"/>
      <w:lvlText w:val=""/>
      <w:lvlJc w:val="left"/>
      <w:pPr>
        <w:ind w:left="3130" w:hanging="360"/>
      </w:pPr>
      <w:rPr>
        <w:rFonts w:ascii="Wingdings" w:hAnsi="Wingdings" w:hint="default"/>
      </w:rPr>
    </w:lvl>
    <w:lvl w:ilvl="3" w:tplc="08090001" w:tentative="1">
      <w:start w:val="1"/>
      <w:numFmt w:val="bullet"/>
      <w:lvlText w:val=""/>
      <w:lvlJc w:val="left"/>
      <w:pPr>
        <w:ind w:left="3850" w:hanging="360"/>
      </w:pPr>
      <w:rPr>
        <w:rFonts w:ascii="Symbol" w:hAnsi="Symbol" w:hint="default"/>
      </w:rPr>
    </w:lvl>
    <w:lvl w:ilvl="4" w:tplc="08090003" w:tentative="1">
      <w:start w:val="1"/>
      <w:numFmt w:val="bullet"/>
      <w:lvlText w:val="o"/>
      <w:lvlJc w:val="left"/>
      <w:pPr>
        <w:ind w:left="4570" w:hanging="360"/>
      </w:pPr>
      <w:rPr>
        <w:rFonts w:ascii="Courier New" w:hAnsi="Courier New" w:cs="Courier New" w:hint="default"/>
      </w:rPr>
    </w:lvl>
    <w:lvl w:ilvl="5" w:tplc="08090005" w:tentative="1">
      <w:start w:val="1"/>
      <w:numFmt w:val="bullet"/>
      <w:lvlText w:val=""/>
      <w:lvlJc w:val="left"/>
      <w:pPr>
        <w:ind w:left="5290" w:hanging="360"/>
      </w:pPr>
      <w:rPr>
        <w:rFonts w:ascii="Wingdings" w:hAnsi="Wingdings" w:hint="default"/>
      </w:rPr>
    </w:lvl>
    <w:lvl w:ilvl="6" w:tplc="08090001" w:tentative="1">
      <w:start w:val="1"/>
      <w:numFmt w:val="bullet"/>
      <w:lvlText w:val=""/>
      <w:lvlJc w:val="left"/>
      <w:pPr>
        <w:ind w:left="6010" w:hanging="360"/>
      </w:pPr>
      <w:rPr>
        <w:rFonts w:ascii="Symbol" w:hAnsi="Symbol" w:hint="default"/>
      </w:rPr>
    </w:lvl>
    <w:lvl w:ilvl="7" w:tplc="08090003" w:tentative="1">
      <w:start w:val="1"/>
      <w:numFmt w:val="bullet"/>
      <w:lvlText w:val="o"/>
      <w:lvlJc w:val="left"/>
      <w:pPr>
        <w:ind w:left="6730" w:hanging="360"/>
      </w:pPr>
      <w:rPr>
        <w:rFonts w:ascii="Courier New" w:hAnsi="Courier New" w:cs="Courier New" w:hint="default"/>
      </w:rPr>
    </w:lvl>
    <w:lvl w:ilvl="8" w:tplc="08090005" w:tentative="1">
      <w:start w:val="1"/>
      <w:numFmt w:val="bullet"/>
      <w:lvlText w:val=""/>
      <w:lvlJc w:val="left"/>
      <w:pPr>
        <w:ind w:left="7450" w:hanging="360"/>
      </w:pPr>
      <w:rPr>
        <w:rFonts w:ascii="Wingdings" w:hAnsi="Wingdings" w:hint="default"/>
      </w:rPr>
    </w:lvl>
  </w:abstractNum>
  <w:abstractNum w:abstractNumId="5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57" w15:restartNumberingAfterBreak="0">
    <w:nsid w:val="67F85A8A"/>
    <w:multiLevelType w:val="hybridMultilevel"/>
    <w:tmpl w:val="2F509150"/>
    <w:lvl w:ilvl="0" w:tplc="080C0001">
      <w:start w:val="1"/>
      <w:numFmt w:val="bullet"/>
      <w:lvlText w:val=""/>
      <w:lvlJc w:val="left"/>
      <w:pPr>
        <w:ind w:left="1570" w:hanging="360"/>
      </w:pPr>
      <w:rPr>
        <w:rFonts w:ascii="Symbol" w:hAnsi="Symbol" w:hint="default"/>
      </w:rPr>
    </w:lvl>
    <w:lvl w:ilvl="1" w:tplc="080C0003">
      <w:start w:val="1"/>
      <w:numFmt w:val="bullet"/>
      <w:lvlText w:val="o"/>
      <w:lvlJc w:val="left"/>
      <w:pPr>
        <w:ind w:left="2290" w:hanging="360"/>
      </w:pPr>
      <w:rPr>
        <w:rFonts w:ascii="Courier New" w:hAnsi="Courier New" w:cs="Courier New" w:hint="default"/>
      </w:rPr>
    </w:lvl>
    <w:lvl w:ilvl="2" w:tplc="080C0005">
      <w:start w:val="1"/>
      <w:numFmt w:val="bullet"/>
      <w:lvlText w:val=""/>
      <w:lvlJc w:val="left"/>
      <w:pPr>
        <w:ind w:left="3010" w:hanging="360"/>
      </w:pPr>
      <w:rPr>
        <w:rFonts w:ascii="Wingdings" w:hAnsi="Wingdings" w:hint="default"/>
      </w:rPr>
    </w:lvl>
    <w:lvl w:ilvl="3" w:tplc="080C0001">
      <w:start w:val="1"/>
      <w:numFmt w:val="bullet"/>
      <w:lvlText w:val=""/>
      <w:lvlJc w:val="left"/>
      <w:pPr>
        <w:ind w:left="3730" w:hanging="360"/>
      </w:pPr>
      <w:rPr>
        <w:rFonts w:ascii="Symbol" w:hAnsi="Symbol" w:hint="default"/>
      </w:rPr>
    </w:lvl>
    <w:lvl w:ilvl="4" w:tplc="080C0003">
      <w:start w:val="1"/>
      <w:numFmt w:val="bullet"/>
      <w:lvlText w:val="o"/>
      <w:lvlJc w:val="left"/>
      <w:pPr>
        <w:ind w:left="4450" w:hanging="360"/>
      </w:pPr>
      <w:rPr>
        <w:rFonts w:ascii="Courier New" w:hAnsi="Courier New" w:cs="Courier New" w:hint="default"/>
      </w:rPr>
    </w:lvl>
    <w:lvl w:ilvl="5" w:tplc="080C0005">
      <w:start w:val="1"/>
      <w:numFmt w:val="bullet"/>
      <w:lvlText w:val=""/>
      <w:lvlJc w:val="left"/>
      <w:pPr>
        <w:ind w:left="5170" w:hanging="360"/>
      </w:pPr>
      <w:rPr>
        <w:rFonts w:ascii="Wingdings" w:hAnsi="Wingdings" w:hint="default"/>
      </w:rPr>
    </w:lvl>
    <w:lvl w:ilvl="6" w:tplc="080C0001">
      <w:start w:val="1"/>
      <w:numFmt w:val="bullet"/>
      <w:lvlText w:val=""/>
      <w:lvlJc w:val="left"/>
      <w:pPr>
        <w:ind w:left="5890" w:hanging="360"/>
      </w:pPr>
      <w:rPr>
        <w:rFonts w:ascii="Symbol" w:hAnsi="Symbol" w:hint="default"/>
      </w:rPr>
    </w:lvl>
    <w:lvl w:ilvl="7" w:tplc="080C0003">
      <w:start w:val="1"/>
      <w:numFmt w:val="bullet"/>
      <w:lvlText w:val="o"/>
      <w:lvlJc w:val="left"/>
      <w:pPr>
        <w:ind w:left="6610" w:hanging="360"/>
      </w:pPr>
      <w:rPr>
        <w:rFonts w:ascii="Courier New" w:hAnsi="Courier New" w:cs="Courier New" w:hint="default"/>
      </w:rPr>
    </w:lvl>
    <w:lvl w:ilvl="8" w:tplc="080C0005">
      <w:start w:val="1"/>
      <w:numFmt w:val="bullet"/>
      <w:lvlText w:val=""/>
      <w:lvlJc w:val="left"/>
      <w:pPr>
        <w:ind w:left="7330" w:hanging="360"/>
      </w:pPr>
      <w:rPr>
        <w:rFonts w:ascii="Wingdings" w:hAnsi="Wingdings" w:hint="default"/>
      </w:rPr>
    </w:lvl>
  </w:abstractNum>
  <w:abstractNum w:abstractNumId="58" w15:restartNumberingAfterBreak="0">
    <w:nsid w:val="68BE8DEA"/>
    <w:multiLevelType w:val="hybridMultilevel"/>
    <w:tmpl w:val="B4E8AF08"/>
    <w:lvl w:ilvl="0" w:tplc="4588EC56">
      <w:start w:val="1"/>
      <w:numFmt w:val="bullet"/>
      <w:lvlText w:val="-"/>
      <w:lvlJc w:val="left"/>
      <w:pPr>
        <w:ind w:left="720" w:hanging="360"/>
      </w:pPr>
      <w:rPr>
        <w:rFonts w:ascii="Calibri" w:hAnsi="Calibri" w:hint="default"/>
      </w:rPr>
    </w:lvl>
    <w:lvl w:ilvl="1" w:tplc="34DC3836">
      <w:start w:val="1"/>
      <w:numFmt w:val="bullet"/>
      <w:lvlText w:val="o"/>
      <w:lvlJc w:val="left"/>
      <w:pPr>
        <w:ind w:left="1440" w:hanging="360"/>
      </w:pPr>
      <w:rPr>
        <w:rFonts w:ascii="Courier New" w:hAnsi="Courier New" w:hint="default"/>
      </w:rPr>
    </w:lvl>
    <w:lvl w:ilvl="2" w:tplc="F14EBFF2">
      <w:start w:val="1"/>
      <w:numFmt w:val="bullet"/>
      <w:lvlText w:val=""/>
      <w:lvlJc w:val="left"/>
      <w:pPr>
        <w:ind w:left="2160" w:hanging="360"/>
      </w:pPr>
      <w:rPr>
        <w:rFonts w:ascii="Wingdings" w:hAnsi="Wingdings" w:hint="default"/>
      </w:rPr>
    </w:lvl>
    <w:lvl w:ilvl="3" w:tplc="3DD68504">
      <w:start w:val="1"/>
      <w:numFmt w:val="bullet"/>
      <w:lvlText w:val=""/>
      <w:lvlJc w:val="left"/>
      <w:pPr>
        <w:ind w:left="2880" w:hanging="360"/>
      </w:pPr>
      <w:rPr>
        <w:rFonts w:ascii="Symbol" w:hAnsi="Symbol" w:hint="default"/>
      </w:rPr>
    </w:lvl>
    <w:lvl w:ilvl="4" w:tplc="65865542">
      <w:start w:val="1"/>
      <w:numFmt w:val="bullet"/>
      <w:lvlText w:val="o"/>
      <w:lvlJc w:val="left"/>
      <w:pPr>
        <w:ind w:left="3600" w:hanging="360"/>
      </w:pPr>
      <w:rPr>
        <w:rFonts w:ascii="Courier New" w:hAnsi="Courier New" w:hint="default"/>
      </w:rPr>
    </w:lvl>
    <w:lvl w:ilvl="5" w:tplc="5BFEA0CE">
      <w:start w:val="1"/>
      <w:numFmt w:val="bullet"/>
      <w:lvlText w:val=""/>
      <w:lvlJc w:val="left"/>
      <w:pPr>
        <w:ind w:left="4320" w:hanging="360"/>
      </w:pPr>
      <w:rPr>
        <w:rFonts w:ascii="Wingdings" w:hAnsi="Wingdings" w:hint="default"/>
      </w:rPr>
    </w:lvl>
    <w:lvl w:ilvl="6" w:tplc="A3B83A52">
      <w:start w:val="1"/>
      <w:numFmt w:val="bullet"/>
      <w:lvlText w:val=""/>
      <w:lvlJc w:val="left"/>
      <w:pPr>
        <w:ind w:left="5040" w:hanging="360"/>
      </w:pPr>
      <w:rPr>
        <w:rFonts w:ascii="Symbol" w:hAnsi="Symbol" w:hint="default"/>
      </w:rPr>
    </w:lvl>
    <w:lvl w:ilvl="7" w:tplc="D9B2168C">
      <w:start w:val="1"/>
      <w:numFmt w:val="bullet"/>
      <w:lvlText w:val="o"/>
      <w:lvlJc w:val="left"/>
      <w:pPr>
        <w:ind w:left="5760" w:hanging="360"/>
      </w:pPr>
      <w:rPr>
        <w:rFonts w:ascii="Courier New" w:hAnsi="Courier New" w:hint="default"/>
      </w:rPr>
    </w:lvl>
    <w:lvl w:ilvl="8" w:tplc="70C243FE">
      <w:start w:val="1"/>
      <w:numFmt w:val="bullet"/>
      <w:lvlText w:val=""/>
      <w:lvlJc w:val="left"/>
      <w:pPr>
        <w:ind w:left="6480" w:hanging="360"/>
      </w:pPr>
      <w:rPr>
        <w:rFonts w:ascii="Wingdings" w:hAnsi="Wingdings" w:hint="default"/>
      </w:rPr>
    </w:lvl>
  </w:abstractNum>
  <w:abstractNum w:abstractNumId="59" w15:restartNumberingAfterBreak="0">
    <w:nsid w:val="6C7E6900"/>
    <w:multiLevelType w:val="hybridMultilevel"/>
    <w:tmpl w:val="D1B005AC"/>
    <w:lvl w:ilvl="0" w:tplc="FC0027D4">
      <w:start w:val="1"/>
      <w:numFmt w:val="decimal"/>
      <w:lvlText w:val="%1)"/>
      <w:lvlJc w:val="left"/>
      <w:pPr>
        <w:ind w:left="720" w:hanging="360"/>
      </w:pPr>
    </w:lvl>
    <w:lvl w:ilvl="1" w:tplc="4796ACB2">
      <w:start w:val="1"/>
      <w:numFmt w:val="decimal"/>
      <w:lvlText w:val="%2)"/>
      <w:lvlJc w:val="left"/>
      <w:pPr>
        <w:ind w:left="720" w:hanging="360"/>
      </w:pPr>
    </w:lvl>
    <w:lvl w:ilvl="2" w:tplc="9F88C5EE">
      <w:start w:val="1"/>
      <w:numFmt w:val="decimal"/>
      <w:lvlText w:val="%3)"/>
      <w:lvlJc w:val="left"/>
      <w:pPr>
        <w:ind w:left="720" w:hanging="360"/>
      </w:pPr>
    </w:lvl>
    <w:lvl w:ilvl="3" w:tplc="BA109AF2">
      <w:start w:val="1"/>
      <w:numFmt w:val="decimal"/>
      <w:lvlText w:val="%4)"/>
      <w:lvlJc w:val="left"/>
      <w:pPr>
        <w:ind w:left="720" w:hanging="360"/>
      </w:pPr>
    </w:lvl>
    <w:lvl w:ilvl="4" w:tplc="B2DC56DE">
      <w:start w:val="1"/>
      <w:numFmt w:val="decimal"/>
      <w:lvlText w:val="%5)"/>
      <w:lvlJc w:val="left"/>
      <w:pPr>
        <w:ind w:left="720" w:hanging="360"/>
      </w:pPr>
    </w:lvl>
    <w:lvl w:ilvl="5" w:tplc="139232AE">
      <w:start w:val="1"/>
      <w:numFmt w:val="decimal"/>
      <w:lvlText w:val="%6)"/>
      <w:lvlJc w:val="left"/>
      <w:pPr>
        <w:ind w:left="720" w:hanging="360"/>
      </w:pPr>
    </w:lvl>
    <w:lvl w:ilvl="6" w:tplc="855EEAF8">
      <w:start w:val="1"/>
      <w:numFmt w:val="decimal"/>
      <w:lvlText w:val="%7)"/>
      <w:lvlJc w:val="left"/>
      <w:pPr>
        <w:ind w:left="720" w:hanging="360"/>
      </w:pPr>
    </w:lvl>
    <w:lvl w:ilvl="7" w:tplc="C8F0201A">
      <w:start w:val="1"/>
      <w:numFmt w:val="decimal"/>
      <w:lvlText w:val="%8)"/>
      <w:lvlJc w:val="left"/>
      <w:pPr>
        <w:ind w:left="720" w:hanging="360"/>
      </w:pPr>
    </w:lvl>
    <w:lvl w:ilvl="8" w:tplc="D79ACCA6">
      <w:start w:val="1"/>
      <w:numFmt w:val="decimal"/>
      <w:lvlText w:val="%9)"/>
      <w:lvlJc w:val="left"/>
      <w:pPr>
        <w:ind w:left="720" w:hanging="360"/>
      </w:pPr>
    </w:lvl>
  </w:abstractNum>
  <w:abstractNum w:abstractNumId="60" w15:restartNumberingAfterBreak="0">
    <w:nsid w:val="6F0C73EE"/>
    <w:multiLevelType w:val="multilevel"/>
    <w:tmpl w:val="C03E83A4"/>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07A3AC2"/>
    <w:multiLevelType w:val="hybridMultilevel"/>
    <w:tmpl w:val="AD6213DE"/>
    <w:lvl w:ilvl="0" w:tplc="9EB87ED4">
      <w:start w:val="1"/>
      <w:numFmt w:val="decimal"/>
      <w:lvlText w:val="(%1)"/>
      <w:lvlJc w:val="left"/>
      <w:pPr>
        <w:ind w:left="1440" w:hanging="360"/>
      </w:pPr>
    </w:lvl>
    <w:lvl w:ilvl="1" w:tplc="1936ABE6">
      <w:start w:val="1"/>
      <w:numFmt w:val="decimal"/>
      <w:lvlText w:val="(%2)"/>
      <w:lvlJc w:val="left"/>
      <w:pPr>
        <w:ind w:left="1440" w:hanging="360"/>
      </w:pPr>
    </w:lvl>
    <w:lvl w:ilvl="2" w:tplc="378C86E0">
      <w:start w:val="1"/>
      <w:numFmt w:val="decimal"/>
      <w:lvlText w:val="(%3)"/>
      <w:lvlJc w:val="left"/>
      <w:pPr>
        <w:ind w:left="1440" w:hanging="360"/>
      </w:pPr>
    </w:lvl>
    <w:lvl w:ilvl="3" w:tplc="C22A7680">
      <w:start w:val="1"/>
      <w:numFmt w:val="decimal"/>
      <w:lvlText w:val="(%4)"/>
      <w:lvlJc w:val="left"/>
      <w:pPr>
        <w:ind w:left="1440" w:hanging="360"/>
      </w:pPr>
    </w:lvl>
    <w:lvl w:ilvl="4" w:tplc="7A0A5C50">
      <w:start w:val="1"/>
      <w:numFmt w:val="decimal"/>
      <w:lvlText w:val="(%5)"/>
      <w:lvlJc w:val="left"/>
      <w:pPr>
        <w:ind w:left="1440" w:hanging="360"/>
      </w:pPr>
    </w:lvl>
    <w:lvl w:ilvl="5" w:tplc="EF820ED0">
      <w:start w:val="1"/>
      <w:numFmt w:val="decimal"/>
      <w:lvlText w:val="(%6)"/>
      <w:lvlJc w:val="left"/>
      <w:pPr>
        <w:ind w:left="1440" w:hanging="360"/>
      </w:pPr>
    </w:lvl>
    <w:lvl w:ilvl="6" w:tplc="803CF16C">
      <w:start w:val="1"/>
      <w:numFmt w:val="decimal"/>
      <w:lvlText w:val="(%7)"/>
      <w:lvlJc w:val="left"/>
      <w:pPr>
        <w:ind w:left="1440" w:hanging="360"/>
      </w:pPr>
    </w:lvl>
    <w:lvl w:ilvl="7" w:tplc="56FA4BA4">
      <w:start w:val="1"/>
      <w:numFmt w:val="decimal"/>
      <w:lvlText w:val="(%8)"/>
      <w:lvlJc w:val="left"/>
      <w:pPr>
        <w:ind w:left="1440" w:hanging="360"/>
      </w:pPr>
    </w:lvl>
    <w:lvl w:ilvl="8" w:tplc="2892DE4E">
      <w:start w:val="1"/>
      <w:numFmt w:val="decimal"/>
      <w:lvlText w:val="(%9)"/>
      <w:lvlJc w:val="left"/>
      <w:pPr>
        <w:ind w:left="1440" w:hanging="360"/>
      </w:pPr>
    </w:lvl>
  </w:abstractNum>
  <w:abstractNum w:abstractNumId="62" w15:restartNumberingAfterBreak="0">
    <w:nsid w:val="70CD4698"/>
    <w:multiLevelType w:val="hybridMultilevel"/>
    <w:tmpl w:val="CE56451C"/>
    <w:lvl w:ilvl="0" w:tplc="BE3A705C">
      <w:start w:val="1"/>
      <w:numFmt w:val="bullet"/>
      <w:lvlText w:val=""/>
      <w:lvlJc w:val="left"/>
      <w:pPr>
        <w:ind w:left="720" w:hanging="360"/>
      </w:pPr>
      <w:rPr>
        <w:rFonts w:ascii="Symbol" w:hAnsi="Symbol"/>
      </w:rPr>
    </w:lvl>
    <w:lvl w:ilvl="1" w:tplc="EB20E5B8">
      <w:start w:val="1"/>
      <w:numFmt w:val="bullet"/>
      <w:lvlText w:val=""/>
      <w:lvlJc w:val="left"/>
      <w:pPr>
        <w:ind w:left="720" w:hanging="360"/>
      </w:pPr>
      <w:rPr>
        <w:rFonts w:ascii="Symbol" w:hAnsi="Symbol"/>
      </w:rPr>
    </w:lvl>
    <w:lvl w:ilvl="2" w:tplc="6D3CF54C">
      <w:start w:val="1"/>
      <w:numFmt w:val="bullet"/>
      <w:lvlText w:val=""/>
      <w:lvlJc w:val="left"/>
      <w:pPr>
        <w:ind w:left="720" w:hanging="360"/>
      </w:pPr>
      <w:rPr>
        <w:rFonts w:ascii="Symbol" w:hAnsi="Symbol"/>
      </w:rPr>
    </w:lvl>
    <w:lvl w:ilvl="3" w:tplc="F61A0E00">
      <w:start w:val="1"/>
      <w:numFmt w:val="bullet"/>
      <w:lvlText w:val=""/>
      <w:lvlJc w:val="left"/>
      <w:pPr>
        <w:ind w:left="720" w:hanging="360"/>
      </w:pPr>
      <w:rPr>
        <w:rFonts w:ascii="Symbol" w:hAnsi="Symbol"/>
      </w:rPr>
    </w:lvl>
    <w:lvl w:ilvl="4" w:tplc="823CBD18">
      <w:start w:val="1"/>
      <w:numFmt w:val="bullet"/>
      <w:lvlText w:val=""/>
      <w:lvlJc w:val="left"/>
      <w:pPr>
        <w:ind w:left="720" w:hanging="360"/>
      </w:pPr>
      <w:rPr>
        <w:rFonts w:ascii="Symbol" w:hAnsi="Symbol"/>
      </w:rPr>
    </w:lvl>
    <w:lvl w:ilvl="5" w:tplc="BD9C7990">
      <w:start w:val="1"/>
      <w:numFmt w:val="bullet"/>
      <w:lvlText w:val=""/>
      <w:lvlJc w:val="left"/>
      <w:pPr>
        <w:ind w:left="720" w:hanging="360"/>
      </w:pPr>
      <w:rPr>
        <w:rFonts w:ascii="Symbol" w:hAnsi="Symbol"/>
      </w:rPr>
    </w:lvl>
    <w:lvl w:ilvl="6" w:tplc="1F0E9D9E">
      <w:start w:val="1"/>
      <w:numFmt w:val="bullet"/>
      <w:lvlText w:val=""/>
      <w:lvlJc w:val="left"/>
      <w:pPr>
        <w:ind w:left="720" w:hanging="360"/>
      </w:pPr>
      <w:rPr>
        <w:rFonts w:ascii="Symbol" w:hAnsi="Symbol"/>
      </w:rPr>
    </w:lvl>
    <w:lvl w:ilvl="7" w:tplc="23D05AD2">
      <w:start w:val="1"/>
      <w:numFmt w:val="bullet"/>
      <w:lvlText w:val=""/>
      <w:lvlJc w:val="left"/>
      <w:pPr>
        <w:ind w:left="720" w:hanging="360"/>
      </w:pPr>
      <w:rPr>
        <w:rFonts w:ascii="Symbol" w:hAnsi="Symbol"/>
      </w:rPr>
    </w:lvl>
    <w:lvl w:ilvl="8" w:tplc="9FE463AE">
      <w:start w:val="1"/>
      <w:numFmt w:val="bullet"/>
      <w:lvlText w:val=""/>
      <w:lvlJc w:val="left"/>
      <w:pPr>
        <w:ind w:left="720" w:hanging="360"/>
      </w:pPr>
      <w:rPr>
        <w:rFonts w:ascii="Symbol" w:hAnsi="Symbol"/>
      </w:rPr>
    </w:lvl>
  </w:abstractNum>
  <w:abstractNum w:abstractNumId="63" w15:restartNumberingAfterBreak="0">
    <w:nsid w:val="71DD6D8C"/>
    <w:multiLevelType w:val="hybridMultilevel"/>
    <w:tmpl w:val="AE3CE78A"/>
    <w:lvl w:ilvl="0" w:tplc="4B485B4E">
      <w:start w:val="1"/>
      <w:numFmt w:val="decimal"/>
      <w:lvlText w:val="%1)"/>
      <w:lvlJc w:val="left"/>
      <w:pPr>
        <w:ind w:left="720" w:hanging="360"/>
      </w:pPr>
    </w:lvl>
    <w:lvl w:ilvl="1" w:tplc="55A0413C">
      <w:start w:val="1"/>
      <w:numFmt w:val="decimal"/>
      <w:lvlText w:val="%2)"/>
      <w:lvlJc w:val="left"/>
      <w:pPr>
        <w:ind w:left="720" w:hanging="360"/>
      </w:pPr>
    </w:lvl>
    <w:lvl w:ilvl="2" w:tplc="2D3A69F4">
      <w:start w:val="1"/>
      <w:numFmt w:val="decimal"/>
      <w:lvlText w:val="%3)"/>
      <w:lvlJc w:val="left"/>
      <w:pPr>
        <w:ind w:left="720" w:hanging="360"/>
      </w:pPr>
    </w:lvl>
    <w:lvl w:ilvl="3" w:tplc="24263338">
      <w:start w:val="1"/>
      <w:numFmt w:val="decimal"/>
      <w:lvlText w:val="%4)"/>
      <w:lvlJc w:val="left"/>
      <w:pPr>
        <w:ind w:left="720" w:hanging="360"/>
      </w:pPr>
    </w:lvl>
    <w:lvl w:ilvl="4" w:tplc="39060D8C">
      <w:start w:val="1"/>
      <w:numFmt w:val="decimal"/>
      <w:lvlText w:val="%5)"/>
      <w:lvlJc w:val="left"/>
      <w:pPr>
        <w:ind w:left="720" w:hanging="360"/>
      </w:pPr>
    </w:lvl>
    <w:lvl w:ilvl="5" w:tplc="1652BA44">
      <w:start w:val="1"/>
      <w:numFmt w:val="decimal"/>
      <w:lvlText w:val="%6)"/>
      <w:lvlJc w:val="left"/>
      <w:pPr>
        <w:ind w:left="720" w:hanging="360"/>
      </w:pPr>
    </w:lvl>
    <w:lvl w:ilvl="6" w:tplc="5332F52A">
      <w:start w:val="1"/>
      <w:numFmt w:val="decimal"/>
      <w:lvlText w:val="%7)"/>
      <w:lvlJc w:val="left"/>
      <w:pPr>
        <w:ind w:left="720" w:hanging="360"/>
      </w:pPr>
    </w:lvl>
    <w:lvl w:ilvl="7" w:tplc="D9C4B4E0">
      <w:start w:val="1"/>
      <w:numFmt w:val="decimal"/>
      <w:lvlText w:val="%8)"/>
      <w:lvlJc w:val="left"/>
      <w:pPr>
        <w:ind w:left="720" w:hanging="360"/>
      </w:pPr>
    </w:lvl>
    <w:lvl w:ilvl="8" w:tplc="81CE1BD0">
      <w:start w:val="1"/>
      <w:numFmt w:val="decimal"/>
      <w:lvlText w:val="%9)"/>
      <w:lvlJc w:val="left"/>
      <w:pPr>
        <w:ind w:left="720" w:hanging="360"/>
      </w:pPr>
    </w:lvl>
  </w:abstractNum>
  <w:abstractNum w:abstractNumId="64" w15:restartNumberingAfterBreak="0">
    <w:nsid w:val="72E63885"/>
    <w:multiLevelType w:val="hybridMultilevel"/>
    <w:tmpl w:val="F11C5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3D16882"/>
    <w:multiLevelType w:val="hybridMultilevel"/>
    <w:tmpl w:val="26C6F618"/>
    <w:lvl w:ilvl="0" w:tplc="988E092C">
      <w:start w:val="1"/>
      <w:numFmt w:val="lowerRoman"/>
      <w:lvlText w:val="%1."/>
      <w:lvlJc w:val="right"/>
      <w:pPr>
        <w:ind w:left="720" w:hanging="360"/>
      </w:pPr>
    </w:lvl>
    <w:lvl w:ilvl="1" w:tplc="608A1B44">
      <w:start w:val="1"/>
      <w:numFmt w:val="lowerRoman"/>
      <w:lvlText w:val="%2."/>
      <w:lvlJc w:val="right"/>
      <w:pPr>
        <w:ind w:left="720" w:hanging="360"/>
      </w:pPr>
    </w:lvl>
    <w:lvl w:ilvl="2" w:tplc="83782ABA">
      <w:start w:val="1"/>
      <w:numFmt w:val="lowerRoman"/>
      <w:lvlText w:val="%3."/>
      <w:lvlJc w:val="right"/>
      <w:pPr>
        <w:ind w:left="720" w:hanging="360"/>
      </w:pPr>
    </w:lvl>
    <w:lvl w:ilvl="3" w:tplc="9DB81E7E">
      <w:start w:val="1"/>
      <w:numFmt w:val="lowerRoman"/>
      <w:lvlText w:val="%4."/>
      <w:lvlJc w:val="right"/>
      <w:pPr>
        <w:ind w:left="720" w:hanging="360"/>
      </w:pPr>
    </w:lvl>
    <w:lvl w:ilvl="4" w:tplc="49F6ECC8">
      <w:start w:val="1"/>
      <w:numFmt w:val="lowerRoman"/>
      <w:lvlText w:val="%5."/>
      <w:lvlJc w:val="right"/>
      <w:pPr>
        <w:ind w:left="720" w:hanging="360"/>
      </w:pPr>
    </w:lvl>
    <w:lvl w:ilvl="5" w:tplc="54129702">
      <w:start w:val="1"/>
      <w:numFmt w:val="lowerRoman"/>
      <w:lvlText w:val="%6."/>
      <w:lvlJc w:val="right"/>
      <w:pPr>
        <w:ind w:left="720" w:hanging="360"/>
      </w:pPr>
    </w:lvl>
    <w:lvl w:ilvl="6" w:tplc="B394E678">
      <w:start w:val="1"/>
      <w:numFmt w:val="lowerRoman"/>
      <w:lvlText w:val="%7."/>
      <w:lvlJc w:val="right"/>
      <w:pPr>
        <w:ind w:left="720" w:hanging="360"/>
      </w:pPr>
    </w:lvl>
    <w:lvl w:ilvl="7" w:tplc="07409448">
      <w:start w:val="1"/>
      <w:numFmt w:val="lowerRoman"/>
      <w:lvlText w:val="%8."/>
      <w:lvlJc w:val="right"/>
      <w:pPr>
        <w:ind w:left="720" w:hanging="360"/>
      </w:pPr>
    </w:lvl>
    <w:lvl w:ilvl="8" w:tplc="240A0ACC">
      <w:start w:val="1"/>
      <w:numFmt w:val="lowerRoman"/>
      <w:lvlText w:val="%9."/>
      <w:lvlJc w:val="right"/>
      <w:pPr>
        <w:ind w:left="720" w:hanging="360"/>
      </w:pPr>
    </w:lvl>
  </w:abstractNum>
  <w:abstractNum w:abstractNumId="66" w15:restartNumberingAfterBreak="0">
    <w:nsid w:val="744F4CAB"/>
    <w:multiLevelType w:val="hybridMultilevel"/>
    <w:tmpl w:val="1EDC2C1A"/>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67" w15:restartNumberingAfterBreak="0">
    <w:nsid w:val="776C2981"/>
    <w:multiLevelType w:val="hybridMultilevel"/>
    <w:tmpl w:val="EC8A2B06"/>
    <w:lvl w:ilvl="0" w:tplc="CBE6E428">
      <w:start w:val="1"/>
      <w:numFmt w:val="decimal"/>
      <w:lvlText w:val="%1."/>
      <w:lvlJc w:val="left"/>
      <w:pPr>
        <w:ind w:left="720" w:hanging="360"/>
      </w:pPr>
    </w:lvl>
    <w:lvl w:ilvl="1" w:tplc="67300EDE">
      <w:start w:val="1"/>
      <w:numFmt w:val="decimal"/>
      <w:lvlText w:val="%2."/>
      <w:lvlJc w:val="left"/>
      <w:pPr>
        <w:ind w:left="720" w:hanging="360"/>
      </w:pPr>
    </w:lvl>
    <w:lvl w:ilvl="2" w:tplc="CCF2D8F8">
      <w:start w:val="1"/>
      <w:numFmt w:val="decimal"/>
      <w:lvlText w:val="%3."/>
      <w:lvlJc w:val="left"/>
      <w:pPr>
        <w:ind w:left="720" w:hanging="360"/>
      </w:pPr>
    </w:lvl>
    <w:lvl w:ilvl="3" w:tplc="59AC71D4">
      <w:start w:val="1"/>
      <w:numFmt w:val="decimal"/>
      <w:lvlText w:val="%4."/>
      <w:lvlJc w:val="left"/>
      <w:pPr>
        <w:ind w:left="720" w:hanging="360"/>
      </w:pPr>
    </w:lvl>
    <w:lvl w:ilvl="4" w:tplc="5BF2B2C6">
      <w:start w:val="1"/>
      <w:numFmt w:val="decimal"/>
      <w:lvlText w:val="%5."/>
      <w:lvlJc w:val="left"/>
      <w:pPr>
        <w:ind w:left="720" w:hanging="360"/>
      </w:pPr>
    </w:lvl>
    <w:lvl w:ilvl="5" w:tplc="F50694A6">
      <w:start w:val="1"/>
      <w:numFmt w:val="decimal"/>
      <w:lvlText w:val="%6."/>
      <w:lvlJc w:val="left"/>
      <w:pPr>
        <w:ind w:left="720" w:hanging="360"/>
      </w:pPr>
    </w:lvl>
    <w:lvl w:ilvl="6" w:tplc="0C64B544">
      <w:start w:val="1"/>
      <w:numFmt w:val="decimal"/>
      <w:lvlText w:val="%7."/>
      <w:lvlJc w:val="left"/>
      <w:pPr>
        <w:ind w:left="720" w:hanging="360"/>
      </w:pPr>
    </w:lvl>
    <w:lvl w:ilvl="7" w:tplc="66CC1B1C">
      <w:start w:val="1"/>
      <w:numFmt w:val="decimal"/>
      <w:lvlText w:val="%8."/>
      <w:lvlJc w:val="left"/>
      <w:pPr>
        <w:ind w:left="720" w:hanging="360"/>
      </w:pPr>
    </w:lvl>
    <w:lvl w:ilvl="8" w:tplc="3FEA894A">
      <w:start w:val="1"/>
      <w:numFmt w:val="decimal"/>
      <w:lvlText w:val="%9."/>
      <w:lvlJc w:val="left"/>
      <w:pPr>
        <w:ind w:left="720" w:hanging="360"/>
      </w:pPr>
    </w:lvl>
  </w:abstractNum>
  <w:abstractNum w:abstractNumId="68" w15:restartNumberingAfterBreak="0">
    <w:nsid w:val="7B19367C"/>
    <w:multiLevelType w:val="hybridMultilevel"/>
    <w:tmpl w:val="07FA5EE8"/>
    <w:lvl w:ilvl="0" w:tplc="65C48FFA">
      <w:start w:val="1"/>
      <w:numFmt w:val="bullet"/>
      <w:lvlText w:val=""/>
      <w:lvlJc w:val="left"/>
      <w:pPr>
        <w:ind w:left="720" w:hanging="360"/>
      </w:pPr>
      <w:rPr>
        <w:rFonts w:ascii="Symbol" w:hAnsi="Symbol"/>
      </w:rPr>
    </w:lvl>
    <w:lvl w:ilvl="1" w:tplc="F774E3AE">
      <w:start w:val="1"/>
      <w:numFmt w:val="bullet"/>
      <w:lvlText w:val=""/>
      <w:lvlJc w:val="left"/>
      <w:pPr>
        <w:ind w:left="720" w:hanging="360"/>
      </w:pPr>
      <w:rPr>
        <w:rFonts w:ascii="Symbol" w:hAnsi="Symbol"/>
      </w:rPr>
    </w:lvl>
    <w:lvl w:ilvl="2" w:tplc="4B542B0E">
      <w:start w:val="1"/>
      <w:numFmt w:val="bullet"/>
      <w:lvlText w:val=""/>
      <w:lvlJc w:val="left"/>
      <w:pPr>
        <w:ind w:left="720" w:hanging="360"/>
      </w:pPr>
      <w:rPr>
        <w:rFonts w:ascii="Symbol" w:hAnsi="Symbol"/>
      </w:rPr>
    </w:lvl>
    <w:lvl w:ilvl="3" w:tplc="1804C25E">
      <w:start w:val="1"/>
      <w:numFmt w:val="bullet"/>
      <w:lvlText w:val=""/>
      <w:lvlJc w:val="left"/>
      <w:pPr>
        <w:ind w:left="720" w:hanging="360"/>
      </w:pPr>
      <w:rPr>
        <w:rFonts w:ascii="Symbol" w:hAnsi="Symbol"/>
      </w:rPr>
    </w:lvl>
    <w:lvl w:ilvl="4" w:tplc="3466B6F2">
      <w:start w:val="1"/>
      <w:numFmt w:val="bullet"/>
      <w:lvlText w:val=""/>
      <w:lvlJc w:val="left"/>
      <w:pPr>
        <w:ind w:left="720" w:hanging="360"/>
      </w:pPr>
      <w:rPr>
        <w:rFonts w:ascii="Symbol" w:hAnsi="Symbol"/>
      </w:rPr>
    </w:lvl>
    <w:lvl w:ilvl="5" w:tplc="D500DF4C">
      <w:start w:val="1"/>
      <w:numFmt w:val="bullet"/>
      <w:lvlText w:val=""/>
      <w:lvlJc w:val="left"/>
      <w:pPr>
        <w:ind w:left="720" w:hanging="360"/>
      </w:pPr>
      <w:rPr>
        <w:rFonts w:ascii="Symbol" w:hAnsi="Symbol"/>
      </w:rPr>
    </w:lvl>
    <w:lvl w:ilvl="6" w:tplc="0F581B26">
      <w:start w:val="1"/>
      <w:numFmt w:val="bullet"/>
      <w:lvlText w:val=""/>
      <w:lvlJc w:val="left"/>
      <w:pPr>
        <w:ind w:left="720" w:hanging="360"/>
      </w:pPr>
      <w:rPr>
        <w:rFonts w:ascii="Symbol" w:hAnsi="Symbol"/>
      </w:rPr>
    </w:lvl>
    <w:lvl w:ilvl="7" w:tplc="017A259A">
      <w:start w:val="1"/>
      <w:numFmt w:val="bullet"/>
      <w:lvlText w:val=""/>
      <w:lvlJc w:val="left"/>
      <w:pPr>
        <w:ind w:left="720" w:hanging="360"/>
      </w:pPr>
      <w:rPr>
        <w:rFonts w:ascii="Symbol" w:hAnsi="Symbol"/>
      </w:rPr>
    </w:lvl>
    <w:lvl w:ilvl="8" w:tplc="DD1652FE">
      <w:start w:val="1"/>
      <w:numFmt w:val="bullet"/>
      <w:lvlText w:val=""/>
      <w:lvlJc w:val="left"/>
      <w:pPr>
        <w:ind w:left="720" w:hanging="360"/>
      </w:pPr>
      <w:rPr>
        <w:rFonts w:ascii="Symbol" w:hAnsi="Symbol"/>
      </w:rPr>
    </w:lvl>
  </w:abstractNum>
  <w:abstractNum w:abstractNumId="69" w15:restartNumberingAfterBreak="0">
    <w:nsid w:val="7BC201F7"/>
    <w:multiLevelType w:val="hybridMultilevel"/>
    <w:tmpl w:val="38521886"/>
    <w:lvl w:ilvl="0" w:tplc="4692DCDC">
      <w:start w:val="1"/>
      <w:numFmt w:val="bullet"/>
      <w:lvlText w:val=""/>
      <w:lvlJc w:val="left"/>
      <w:pPr>
        <w:ind w:left="720" w:hanging="360"/>
      </w:pPr>
      <w:rPr>
        <w:rFonts w:ascii="Symbol" w:hAnsi="Symbol"/>
      </w:rPr>
    </w:lvl>
    <w:lvl w:ilvl="1" w:tplc="6AD048EE">
      <w:start w:val="1"/>
      <w:numFmt w:val="bullet"/>
      <w:lvlText w:val=""/>
      <w:lvlJc w:val="left"/>
      <w:pPr>
        <w:ind w:left="720" w:hanging="360"/>
      </w:pPr>
      <w:rPr>
        <w:rFonts w:ascii="Symbol" w:hAnsi="Symbol"/>
      </w:rPr>
    </w:lvl>
    <w:lvl w:ilvl="2" w:tplc="2A882606">
      <w:start w:val="1"/>
      <w:numFmt w:val="bullet"/>
      <w:lvlText w:val=""/>
      <w:lvlJc w:val="left"/>
      <w:pPr>
        <w:ind w:left="720" w:hanging="360"/>
      </w:pPr>
      <w:rPr>
        <w:rFonts w:ascii="Symbol" w:hAnsi="Symbol"/>
      </w:rPr>
    </w:lvl>
    <w:lvl w:ilvl="3" w:tplc="081ED9DE">
      <w:start w:val="1"/>
      <w:numFmt w:val="bullet"/>
      <w:lvlText w:val=""/>
      <w:lvlJc w:val="left"/>
      <w:pPr>
        <w:ind w:left="720" w:hanging="360"/>
      </w:pPr>
      <w:rPr>
        <w:rFonts w:ascii="Symbol" w:hAnsi="Symbol"/>
      </w:rPr>
    </w:lvl>
    <w:lvl w:ilvl="4" w:tplc="C6125AB6">
      <w:start w:val="1"/>
      <w:numFmt w:val="bullet"/>
      <w:lvlText w:val=""/>
      <w:lvlJc w:val="left"/>
      <w:pPr>
        <w:ind w:left="720" w:hanging="360"/>
      </w:pPr>
      <w:rPr>
        <w:rFonts w:ascii="Symbol" w:hAnsi="Symbol"/>
      </w:rPr>
    </w:lvl>
    <w:lvl w:ilvl="5" w:tplc="802CB33A">
      <w:start w:val="1"/>
      <w:numFmt w:val="bullet"/>
      <w:lvlText w:val=""/>
      <w:lvlJc w:val="left"/>
      <w:pPr>
        <w:ind w:left="720" w:hanging="360"/>
      </w:pPr>
      <w:rPr>
        <w:rFonts w:ascii="Symbol" w:hAnsi="Symbol"/>
      </w:rPr>
    </w:lvl>
    <w:lvl w:ilvl="6" w:tplc="2960BB02">
      <w:start w:val="1"/>
      <w:numFmt w:val="bullet"/>
      <w:lvlText w:val=""/>
      <w:lvlJc w:val="left"/>
      <w:pPr>
        <w:ind w:left="720" w:hanging="360"/>
      </w:pPr>
      <w:rPr>
        <w:rFonts w:ascii="Symbol" w:hAnsi="Symbol"/>
      </w:rPr>
    </w:lvl>
    <w:lvl w:ilvl="7" w:tplc="E69C98A2">
      <w:start w:val="1"/>
      <w:numFmt w:val="bullet"/>
      <w:lvlText w:val=""/>
      <w:lvlJc w:val="left"/>
      <w:pPr>
        <w:ind w:left="720" w:hanging="360"/>
      </w:pPr>
      <w:rPr>
        <w:rFonts w:ascii="Symbol" w:hAnsi="Symbol"/>
      </w:rPr>
    </w:lvl>
    <w:lvl w:ilvl="8" w:tplc="24761360">
      <w:start w:val="1"/>
      <w:numFmt w:val="bullet"/>
      <w:lvlText w:val=""/>
      <w:lvlJc w:val="left"/>
      <w:pPr>
        <w:ind w:left="720" w:hanging="360"/>
      </w:pPr>
      <w:rPr>
        <w:rFonts w:ascii="Symbol" w:hAnsi="Symbol"/>
      </w:rPr>
    </w:lvl>
  </w:abstractNum>
  <w:abstractNum w:abstractNumId="7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1" w15:restartNumberingAfterBreak="0">
    <w:nsid w:val="7D35326A"/>
    <w:multiLevelType w:val="hybridMultilevel"/>
    <w:tmpl w:val="713EC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8"/>
  </w:num>
  <w:num w:numId="3">
    <w:abstractNumId w:val="58"/>
  </w:num>
  <w:num w:numId="4">
    <w:abstractNumId w:val="7"/>
  </w:num>
  <w:num w:numId="5">
    <w:abstractNumId w:val="5"/>
  </w:num>
  <w:num w:numId="6">
    <w:abstractNumId w:val="4"/>
  </w:num>
  <w:num w:numId="7">
    <w:abstractNumId w:val="3"/>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1"/>
  </w:num>
  <w:num w:numId="12">
    <w:abstractNumId w:val="0"/>
  </w:num>
  <w:num w:numId="13">
    <w:abstractNumId w:val="51"/>
  </w:num>
  <w:num w:numId="14">
    <w:abstractNumId w:val="31"/>
  </w:num>
  <w:num w:numId="15">
    <w:abstractNumId w:val="56"/>
  </w:num>
  <w:num w:numId="16">
    <w:abstractNumId w:val="27"/>
  </w:num>
  <w:num w:numId="17">
    <w:abstractNumId w:val="32"/>
  </w:num>
  <w:num w:numId="18">
    <w:abstractNumId w:val="23"/>
  </w:num>
  <w:num w:numId="19">
    <w:abstractNumId w:val="53"/>
  </w:num>
  <w:num w:numId="20">
    <w:abstractNumId w:val="18"/>
  </w:num>
  <w:num w:numId="21">
    <w:abstractNumId w:val="34"/>
  </w:num>
  <w:num w:numId="22">
    <w:abstractNumId w:val="49"/>
  </w:num>
  <w:num w:numId="23">
    <w:abstractNumId w:val="50"/>
  </w:num>
  <w:num w:numId="24">
    <w:abstractNumId w:val="26"/>
  </w:num>
  <w:num w:numId="25">
    <w:abstractNumId w:val="45"/>
  </w:num>
  <w:num w:numId="26">
    <w:abstractNumId w:val="70"/>
  </w:num>
  <w:num w:numId="27">
    <w:abstractNumId w:val="57"/>
  </w:num>
  <w:num w:numId="28">
    <w:abstractNumId w:val="66"/>
  </w:num>
  <w:num w:numId="29">
    <w:abstractNumId w:val="46"/>
  </w:num>
  <w:num w:numId="30">
    <w:abstractNumId w:val="12"/>
  </w:num>
  <w:num w:numId="31">
    <w:abstractNumId w:val="55"/>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22"/>
  </w:num>
  <w:num w:numId="35">
    <w:abstractNumId w:val="48"/>
  </w:num>
  <w:num w:numId="36">
    <w:abstractNumId w:val="64"/>
  </w:num>
  <w:num w:numId="37">
    <w:abstractNumId w:val="71"/>
  </w:num>
  <w:num w:numId="38">
    <w:abstractNumId w:val="54"/>
  </w:num>
  <w:num w:numId="39">
    <w:abstractNumId w:val="14"/>
  </w:num>
  <w:num w:numId="40">
    <w:abstractNumId w:val="68"/>
  </w:num>
  <w:num w:numId="41">
    <w:abstractNumId w:val="69"/>
  </w:num>
  <w:num w:numId="42">
    <w:abstractNumId w:val="47"/>
  </w:num>
  <w:num w:numId="43">
    <w:abstractNumId w:val="28"/>
  </w:num>
  <w:num w:numId="44">
    <w:abstractNumId w:val="15"/>
  </w:num>
  <w:num w:numId="45">
    <w:abstractNumId w:val="67"/>
  </w:num>
  <w:num w:numId="46">
    <w:abstractNumId w:val="44"/>
  </w:num>
  <w:num w:numId="47">
    <w:abstractNumId w:val="17"/>
  </w:num>
  <w:num w:numId="48">
    <w:abstractNumId w:val="11"/>
  </w:num>
  <w:num w:numId="49">
    <w:abstractNumId w:val="25"/>
  </w:num>
  <w:num w:numId="50">
    <w:abstractNumId w:val="20"/>
  </w:num>
  <w:num w:numId="51">
    <w:abstractNumId w:val="62"/>
  </w:num>
  <w:num w:numId="52">
    <w:abstractNumId w:val="65"/>
  </w:num>
  <w:num w:numId="53">
    <w:abstractNumId w:val="38"/>
  </w:num>
  <w:num w:numId="54">
    <w:abstractNumId w:val="37"/>
  </w:num>
  <w:num w:numId="55">
    <w:abstractNumId w:val="60"/>
  </w:num>
  <w:num w:numId="56">
    <w:abstractNumId w:val="10"/>
  </w:num>
  <w:num w:numId="57">
    <w:abstractNumId w:val="21"/>
  </w:num>
  <w:num w:numId="58">
    <w:abstractNumId w:val="16"/>
  </w:num>
  <w:num w:numId="59">
    <w:abstractNumId w:val="41"/>
  </w:num>
  <w:num w:numId="60">
    <w:abstractNumId w:val="9"/>
  </w:num>
  <w:num w:numId="61">
    <w:abstractNumId w:val="61"/>
  </w:num>
  <w:num w:numId="62">
    <w:abstractNumId w:val="13"/>
  </w:num>
  <w:num w:numId="63">
    <w:abstractNumId w:val="40"/>
  </w:num>
  <w:num w:numId="64">
    <w:abstractNumId w:val="30"/>
  </w:num>
  <w:num w:numId="65">
    <w:abstractNumId w:val="33"/>
  </w:num>
  <w:num w:numId="66">
    <w:abstractNumId w:val="42"/>
  </w:num>
  <w:num w:numId="67">
    <w:abstractNumId w:val="35"/>
  </w:num>
  <w:num w:numId="68">
    <w:abstractNumId w:val="19"/>
  </w:num>
  <w:num w:numId="69">
    <w:abstractNumId w:val="63"/>
  </w:num>
  <w:num w:numId="70">
    <w:abstractNumId w:val="52"/>
  </w:num>
  <w:num w:numId="71">
    <w:abstractNumId w:val="36"/>
  </w:num>
  <w:num w:numId="72">
    <w:abstractNumId w:val="39"/>
  </w:num>
  <w:num w:numId="73">
    <w:abstractNumId w:val="5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ctiveWritingStyle w:appName="MSWord" w:lang="fr-BE" w:vendorID="64" w:dllVersion="0" w:nlCheck="1" w:checkStyle="0"/>
  <w:activeWritingStyle w:appName="MSWord" w:lang="en-IE" w:vendorID="64" w:dllVersion="0" w:nlCheck="1" w:checkStyle="0"/>
  <w:activeWritingStyle w:appName="MSWord" w:lang="fr-FR" w:vendorID="64" w:dllVersion="0" w:nlCheck="1" w:checkStyle="0"/>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list_Path" w:val="\\at100\user\wk\SEILEG\DocuWrite\Copylist\Template"/>
    <w:docVar w:name="Council" w:val="true"/>
    <w:docVar w:name="DocStatus" w:val="Green"/>
    <w:docVar w:name="DocuWriteMetaData" w:val="&lt;metadataset docuwriteversion=&quot;4.6.5&quot; technicalblockguid=&quot;5396720746757667099&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 /&gt;_x000d__x000a_  &lt;/metadata&gt;_x000d__x000a_  &lt;metadata key=&quot;md_UniqueHeading&quot;&gt;_x000d__x000a_    &lt;basicdatatype&gt;_x000d__x000a_      &lt;heading key=&quot;uh_26&quot; text=&quot;LEGISLATIVE ACTS AND OTHER INSTRUMENTS: CORRIGENDUM/RECTIFICATIF&quot; /&gt;_x000d__x000a_    &lt;/basicdatatype&gt;_x000d__x000a_  &lt;/metadata&gt;_x000d__x000a_  &lt;metadata key=&quot;md_HeadingText&quot;&gt;_x000d__x000a_    &lt;headingtext text=&quot;LEGISLATIVE ACTS AND OTHER INSTRUMENTS: CORRIGENDUM/RECTIFICATIF&quot;&gt;_x000d__x000a_      &lt;formattedtext&gt;_x000d__x000a_        &lt;xaml text=&quot;LEGISLATIVE ACTS AND OTHER INSTRUMENTS: CORRIGENDUM/RECTIFICATIF&quot;&gt;&amp;lt;FlowDocument xmlns=&quot;http://schemas.microsoft.com/winfx/2006/xaml/presentation&quot;&amp;gt;&amp;lt;Paragraph&amp;gt;LEGISLATIVE ACTS AND OTHER INSTRUMENTS: CORRIGENDUM/RECTIFICATIF&amp;lt;/Paragraph&amp;gt;&amp;lt;/FlowDocument&amp;gt;&lt;/xaml&gt;_x000d__x000a_      &lt;/formattedtext&gt;_x000d__x000a_    &lt;/headingtext&gt;_x000d__x000a_  &lt;/metadata&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2-05-31&lt;/text&gt;_x000d__x000a_  &lt;/metadata&gt;_x000d__x000a_  &lt;metadata key=&quot;md_Prefix&quot;&gt;_x000d__x000a_    &lt;text&gt;&lt;/text&gt;_x000d__x000a_  &lt;/metadata&gt;_x000d__x000a_  &lt;metadata key=&quot;md_DocumentNumber&quot;&gt;_x000d__x000a_    &lt;text&gt;8390&lt;/text&gt;_x000d__x000a_  &lt;/metadata&gt;_x000d__x000a_  &lt;metadata key=&quot;md_YearDocumentNumber&quot;&gt;_x000d__x000a_    &lt;text&gt;2022&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JUR 252&lt;/text&gt;_x000d__x000a_      &lt;text&gt;ECOFIN 366&lt;/text&gt;_x000d__x000a_      &lt;text&gt;CADREFIN 56&lt;/text&gt;_x000d__x000a_      &lt;text&gt;UEM 78&lt;/text&gt;_x000d__x000a_      &lt;text&gt;FIN 459&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1/0192 (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on the approval of the assessment of the recovery and resilience plan for Slovenia&quot;&gt;&amp;lt;FlowDocument FontFamily=&quot;Segoe UI&quot; FontSize=&quot;12&quot; LineHeight=&quot;6&quot; PageWidth=&quot;329&quot; PagePadding=&quot;5,0,5,0&quot; AllowDrop=&quot;False&quot; xmlns=&quot;http://schemas.microsoft.com/winfx/2006/xaml/presentation&quot;&amp;gt;&amp;lt;Paragraph LineHeight=&quot;6&quot; FontFamily=&quot;Arial Unicode MS&quot; FontSize=&quot;12&quot;&amp;gt;A&amp;lt;Run xml:lang=&quot;fr-be&quot;&amp;gt;nnex&amp;lt;/Run&amp;gt; to the Council Implementing Decision on the approval of the assessment of the recovery and resilience plan for Slovenia&amp;lt;/Paragraph&amp;gt;&amp;lt;/FlowDocument&amp;gt;&lt;/xaml&gt;_x000d__x000a_  &lt;/metadata&gt;_x000d__x000a_  &lt;metadata key=&quot;md_SubjectFootnote&quot; /&gt;_x000d__x000a_  &lt;metadata key=&quot;md_DG&quot;&gt;_x000d__x000a_    &lt;text&gt;JUR.7&lt;/text&gt;_x000d__x000a_  &lt;/metadata&gt;_x000d__x000a_  &lt;metadata key=&quot;md_Initials&quot;&gt;_x000d__x000a_    &lt;text&gt;&lt;/text&gt;_x000d__x000a_  &lt;/metadata&gt;_x000d__x000a_  &lt;metadata key=&quot;md_RectifProcedureType&quot;&gt;_x000d__x000a_    &lt;basicdatatype&gt;_x000d__x000a_      &lt;rectifprocedure key=&quot;rect_proc_2c&quot; text=&quot;Procedure 2c)&quot; /&gt;_x000d__x000a_    &lt;/basicdatatype&gt;_x000d__x000a_  &lt;/metadata&gt;_x000d__x000a_  &lt;metadata key=&quot;md_RectifLanguagesBase&quot;&gt;_x000d__x000a_    &lt;text&gt;24&lt;/text&gt;_x000d__x000a_  &lt;/metadata&gt;_x000d__x000a_  &lt;metadata key=&quot;md_RectifLanguagesConcerned&quot;&gt;_x000d__x000a_    &lt;text&gt;;BG;ES;CS;DA;DE;ET;EL;EN;FR;HR;IT;LV;LT;HU;MT;NL;PL;PT;RO;SK;SL;FI;SV;&lt;/text&gt;_x000d__x000a_  &lt;/metadata&gt;_x000d__x000a_  &lt;metadata key=&quot;md_RectifIsLangSpec&quot;&gt;_x000d__x000a_    &lt;text&gt;true&lt;/text&gt;_x000d__x000a_  &lt;/metadata&gt;_x000d__x000a_  &lt;metadata key=&quot;md_RectifLangSpecValue&quot;&gt;_x000d__x000a_    &lt;text&gt;EN&lt;/text&gt;_x000d__x000a_  &lt;/metadata&gt;_x000d__x000a_  &lt;metadata key=&quot;md_RectifNumberOfMistakes&quot;&gt;_x000d__x000a_    &lt;text&gt;Num_More&lt;/text&gt;_x000d__x000a_  &lt;/metadata&gt;_x000d__x000a_  &lt;metadata key=&quot;md_RectifHasRemarks&quot;&gt;_x000d__x000a_    &lt;text&gt;False&lt;/text&gt;_x000d__x000a_  &lt;/metadata&gt;_x000d__x000a_  &lt;metadata key=&quot;md_RectifUseDocRef&quot;&gt;_x000d__x000a_    &lt;text&gt;True&lt;/text&gt;_x000d__x000a_  &lt;/metadata&gt;_x000d__x000a_  &lt;metadata key=&quot;md_RectifDocRefNumber&quot;&gt;_x000d__x000a_    &lt;text&gt;ST 10612/21 ADD 1&lt;/text&gt;_x000d__x000a_  &lt;/metadata&gt;_x000d__x000a_  &lt;metadata key=&quot;md_RectifDocRefDate&quot;&gt;_x000d__x000a_    &lt;text&gt;2021-07-20T00:00:00&lt;/text&gt;_x000d__x000a_  &lt;/metadata&gt;_x000d__x000a_  &lt;metadata key=&quot;md_RectifUseOJRef&quot;&gt;_x000d__x000a_    &lt;text&gt;False&lt;/text&gt;_x000d__x000a_  &lt;/metadata&gt;_x000d__x000a_  &lt;metadata key=&quot;md_RectifOJRefType&quot;&gt;_x000d__x000a_    &lt;text&gt;&lt;/text&gt;_x000d__x000a_  &lt;/metadata&gt;_x000d__x000a_  &lt;metadata key=&quot;md_RectifOJLRefNumber&quot; /&gt;_x000d__x000a_  &lt;metadata key=&quot;md_RectifOJCRefNumber&quot;&gt;_x000d__x000a_    &lt;text&gt;&lt;/text&gt;_x000d__x000a_  &lt;/metadata&gt;_x000d__x000a_  &lt;metadata key=&quot;md_RectifOJLRefDate&quot; /&gt;_x000d__x000a_  &lt;metadata key=&quot;md_RectifOJCRefDate&quot;&gt;_x000d__x000a_    &lt;text&gt;&lt;/text&gt;_x000d__x000a_  &lt;/metadata&gt;_x000d__x000a_  &lt;metadata key=&quot;md_RectifOJLRefPage&quot; /&gt;_x000d__x000a_  &lt;metadata key=&quot;md_RectifOJCRefPage&quot;&gt;_x000d__x000a_    &lt;text&gt;&lt;/text&gt;_x000d__x000a_  &lt;/metadata&gt;_x000d__x000a_  &lt;metadata key=&quot;md_RectifUseOJCorRef&quot;&gt;_x000d__x000a_    &lt;text&gt;False&lt;/text&gt;_x000d__x000a_  &lt;/metadata&gt;_x000d__x000a_  &lt;metadata key=&quot;md_RectifOJCorRefNumber&quot;&gt;_x000d__x000a_    &lt;text&gt;&lt;/text&gt;_x000d__x000a_  &lt;/metadata&gt;_x000d__x000a_  &lt;metadata key=&quot;md_RectifOJCorRefDate&quot;&gt;_x000d__x000a_    &lt;text&gt;&lt;/text&gt;_x000d__x000a_  &lt;/metadata&gt;_x000d__x000a_  &lt;metadata key=&quot;md_RectifOJCorRefPage&quot;&gt;_x000d__x000a_    &lt;text&gt;&lt;/text&gt;_x000d__x000a_  &lt;/metadata&gt;_x000d__x000a_  &lt;metadata key=&quot;md_RectifTimeLimit&quot;&gt;_x000d__x000a_    &lt;text&gt;8&lt;/text&gt;_x000d__x000a_  &lt;/metadata&gt;_x000d__x000a_  &lt;metadata key=&quot;md_RectifCodecision&quot;&gt;_x000d__x000a_    &lt;text&gt;False&lt;/text&gt;_x000d__x000a_  &lt;/metadata&gt;_x000d__x000a_  &lt;metadata key=&quot;md_RectifCorrectionNewLang&quot;&gt;_x000d__x000a_    &lt;text&gt;False&lt;/text&gt;_x000d__x000a_  &lt;/metadata&gt;_x000d__x000a_  &lt;metadata key=&quot;md_RectifAgreement&quot;&gt;_x000d__x000a_    &lt;text&gt;False&lt;/text&gt;_x000d__x000a_  &lt;/metadata&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2&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2&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No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RECTIF"/>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85063296-5612-4DF4-A986-E10CE388E370"/>
    <w:docVar w:name="LW_COVERPAGE_TYPE" w:val="1"/>
    <w:docVar w:name="LW_CROSSREFERENCE" w:val="{SWD(2026) 97 final}"/>
    <w:docVar w:name="LW_DocType" w:val="DW_RECTIF"/>
    <w:docVar w:name="LW_EMISSION" w:val="26.3.2026"/>
    <w:docVar w:name="LW_EMISSION_ISODATE" w:val="2026-03-26"/>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Conseil du 28 juillet 2021 relative à l\u8217?approbation de l\u8217?évaluation du plan pour la reprise et la résilience pour la Slovénie"/>
    <w:docVar w:name="LW_PART_NBR" w:val="1"/>
    <w:docVar w:name="LW_PART_NBR_TOTAL" w:val="1"/>
    <w:docVar w:name="LW_REF.INST.NEW" w:val="COM"/>
    <w:docVar w:name="LW_REF.INST.NEW_ADOPTED" w:val="final"/>
    <w:docVar w:name="LW_REF.INST.NEW_TEXT" w:val="(2026) 1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
    <w:docVar w:name="LwApiVersions" w:val="LW4CoDe 1.24.5.0; LW 9.2, Build 20251112"/>
    <w:docVar w:name="VSSDB_IniPath" w:val="\\at100\user\wovo\SEILEG\vss\srcsafe.ini"/>
    <w:docVar w:name="VSSDB_ProjectPath" w:val="$/DocuWrite/DOT/DW_RECTIF"/>
  </w:docVars>
  <w:rsids>
    <w:rsidRoot w:val="00EB0D1F"/>
    <w:rsid w:val="0000001D"/>
    <w:rsid w:val="0000008A"/>
    <w:rsid w:val="0000017D"/>
    <w:rsid w:val="000001D9"/>
    <w:rsid w:val="0000027E"/>
    <w:rsid w:val="0000028A"/>
    <w:rsid w:val="000002A9"/>
    <w:rsid w:val="000002F5"/>
    <w:rsid w:val="000002FC"/>
    <w:rsid w:val="00000312"/>
    <w:rsid w:val="0000031C"/>
    <w:rsid w:val="00000374"/>
    <w:rsid w:val="000003AF"/>
    <w:rsid w:val="0000040C"/>
    <w:rsid w:val="000004F5"/>
    <w:rsid w:val="000005E7"/>
    <w:rsid w:val="00000610"/>
    <w:rsid w:val="0000065F"/>
    <w:rsid w:val="000006C3"/>
    <w:rsid w:val="00000806"/>
    <w:rsid w:val="00000870"/>
    <w:rsid w:val="000008E0"/>
    <w:rsid w:val="000008E6"/>
    <w:rsid w:val="0000093A"/>
    <w:rsid w:val="00000A91"/>
    <w:rsid w:val="00000AB6"/>
    <w:rsid w:val="00000AE4"/>
    <w:rsid w:val="00000B95"/>
    <w:rsid w:val="00000C66"/>
    <w:rsid w:val="00000C97"/>
    <w:rsid w:val="00000CDC"/>
    <w:rsid w:val="00000CE3"/>
    <w:rsid w:val="00000D04"/>
    <w:rsid w:val="00000D0D"/>
    <w:rsid w:val="00000D8B"/>
    <w:rsid w:val="00000DB2"/>
    <w:rsid w:val="00000DD3"/>
    <w:rsid w:val="00000E13"/>
    <w:rsid w:val="00000E2E"/>
    <w:rsid w:val="00000E6F"/>
    <w:rsid w:val="00000EDC"/>
    <w:rsid w:val="00000EE4"/>
    <w:rsid w:val="00000EEE"/>
    <w:rsid w:val="00000FCC"/>
    <w:rsid w:val="0000107A"/>
    <w:rsid w:val="000010A3"/>
    <w:rsid w:val="000010A9"/>
    <w:rsid w:val="00001118"/>
    <w:rsid w:val="0000112B"/>
    <w:rsid w:val="000011A3"/>
    <w:rsid w:val="000011C7"/>
    <w:rsid w:val="000011E8"/>
    <w:rsid w:val="0000120A"/>
    <w:rsid w:val="0000120F"/>
    <w:rsid w:val="00001226"/>
    <w:rsid w:val="0000138B"/>
    <w:rsid w:val="000013A3"/>
    <w:rsid w:val="000013BA"/>
    <w:rsid w:val="000013EB"/>
    <w:rsid w:val="00001450"/>
    <w:rsid w:val="0000158E"/>
    <w:rsid w:val="00001617"/>
    <w:rsid w:val="0000162E"/>
    <w:rsid w:val="000016AC"/>
    <w:rsid w:val="000016F6"/>
    <w:rsid w:val="00001721"/>
    <w:rsid w:val="00001739"/>
    <w:rsid w:val="0000174D"/>
    <w:rsid w:val="000018E7"/>
    <w:rsid w:val="00001905"/>
    <w:rsid w:val="00001906"/>
    <w:rsid w:val="000019A6"/>
    <w:rsid w:val="000019AB"/>
    <w:rsid w:val="000019D8"/>
    <w:rsid w:val="00001A70"/>
    <w:rsid w:val="00001B5F"/>
    <w:rsid w:val="00001BB6"/>
    <w:rsid w:val="00001C00"/>
    <w:rsid w:val="00001CCF"/>
    <w:rsid w:val="00001D47"/>
    <w:rsid w:val="00001DD7"/>
    <w:rsid w:val="00001DD8"/>
    <w:rsid w:val="00001DF0"/>
    <w:rsid w:val="00001E0A"/>
    <w:rsid w:val="00001E23"/>
    <w:rsid w:val="00001E89"/>
    <w:rsid w:val="00001FA0"/>
    <w:rsid w:val="00001FC9"/>
    <w:rsid w:val="00001FFE"/>
    <w:rsid w:val="000020B2"/>
    <w:rsid w:val="0000215A"/>
    <w:rsid w:val="000021A6"/>
    <w:rsid w:val="000021AC"/>
    <w:rsid w:val="0000220C"/>
    <w:rsid w:val="00002272"/>
    <w:rsid w:val="000022CC"/>
    <w:rsid w:val="000022E7"/>
    <w:rsid w:val="000022F5"/>
    <w:rsid w:val="00002304"/>
    <w:rsid w:val="00002308"/>
    <w:rsid w:val="00002337"/>
    <w:rsid w:val="00002349"/>
    <w:rsid w:val="0000243F"/>
    <w:rsid w:val="0000244C"/>
    <w:rsid w:val="0000248C"/>
    <w:rsid w:val="000025A1"/>
    <w:rsid w:val="000025BE"/>
    <w:rsid w:val="000025E8"/>
    <w:rsid w:val="000025FC"/>
    <w:rsid w:val="0000267D"/>
    <w:rsid w:val="00002740"/>
    <w:rsid w:val="0000277A"/>
    <w:rsid w:val="00002783"/>
    <w:rsid w:val="00002804"/>
    <w:rsid w:val="000028BB"/>
    <w:rsid w:val="00002934"/>
    <w:rsid w:val="00002A4B"/>
    <w:rsid w:val="00002ABD"/>
    <w:rsid w:val="00002B6A"/>
    <w:rsid w:val="00002B9E"/>
    <w:rsid w:val="00002C45"/>
    <w:rsid w:val="00002C51"/>
    <w:rsid w:val="00002CEC"/>
    <w:rsid w:val="00002CFA"/>
    <w:rsid w:val="00002E3B"/>
    <w:rsid w:val="00002EE8"/>
    <w:rsid w:val="00002F01"/>
    <w:rsid w:val="00002F6B"/>
    <w:rsid w:val="00002F6D"/>
    <w:rsid w:val="00002F78"/>
    <w:rsid w:val="00002F8A"/>
    <w:rsid w:val="00002FA6"/>
    <w:rsid w:val="0000303A"/>
    <w:rsid w:val="0000305A"/>
    <w:rsid w:val="00003079"/>
    <w:rsid w:val="0000307F"/>
    <w:rsid w:val="000030DD"/>
    <w:rsid w:val="00003139"/>
    <w:rsid w:val="00003166"/>
    <w:rsid w:val="00003169"/>
    <w:rsid w:val="00003186"/>
    <w:rsid w:val="000031A4"/>
    <w:rsid w:val="000031BD"/>
    <w:rsid w:val="000031F1"/>
    <w:rsid w:val="00003295"/>
    <w:rsid w:val="000032A8"/>
    <w:rsid w:val="000032B8"/>
    <w:rsid w:val="0000346E"/>
    <w:rsid w:val="000034EF"/>
    <w:rsid w:val="00003529"/>
    <w:rsid w:val="00003551"/>
    <w:rsid w:val="0000357E"/>
    <w:rsid w:val="000035BA"/>
    <w:rsid w:val="000035F3"/>
    <w:rsid w:val="00003610"/>
    <w:rsid w:val="00003653"/>
    <w:rsid w:val="00003752"/>
    <w:rsid w:val="00003768"/>
    <w:rsid w:val="0000377F"/>
    <w:rsid w:val="000037DD"/>
    <w:rsid w:val="00003850"/>
    <w:rsid w:val="0000388C"/>
    <w:rsid w:val="000038AB"/>
    <w:rsid w:val="00003951"/>
    <w:rsid w:val="00003AAD"/>
    <w:rsid w:val="00003ADB"/>
    <w:rsid w:val="00003B1C"/>
    <w:rsid w:val="00003B1F"/>
    <w:rsid w:val="00003B5A"/>
    <w:rsid w:val="00003CB4"/>
    <w:rsid w:val="00003CC8"/>
    <w:rsid w:val="00003D2D"/>
    <w:rsid w:val="00003D57"/>
    <w:rsid w:val="00003D5B"/>
    <w:rsid w:val="00003D67"/>
    <w:rsid w:val="00003E9B"/>
    <w:rsid w:val="00003EC9"/>
    <w:rsid w:val="00003F1A"/>
    <w:rsid w:val="00003F61"/>
    <w:rsid w:val="00003F75"/>
    <w:rsid w:val="00004001"/>
    <w:rsid w:val="00004013"/>
    <w:rsid w:val="0000404D"/>
    <w:rsid w:val="000040D7"/>
    <w:rsid w:val="000040EA"/>
    <w:rsid w:val="00004111"/>
    <w:rsid w:val="00004184"/>
    <w:rsid w:val="000041F7"/>
    <w:rsid w:val="00004238"/>
    <w:rsid w:val="0000425B"/>
    <w:rsid w:val="00004263"/>
    <w:rsid w:val="000042B0"/>
    <w:rsid w:val="00004327"/>
    <w:rsid w:val="00004343"/>
    <w:rsid w:val="000043D3"/>
    <w:rsid w:val="000043FF"/>
    <w:rsid w:val="00004452"/>
    <w:rsid w:val="00004492"/>
    <w:rsid w:val="000044C4"/>
    <w:rsid w:val="000044CF"/>
    <w:rsid w:val="000044D6"/>
    <w:rsid w:val="0000450E"/>
    <w:rsid w:val="00004521"/>
    <w:rsid w:val="0000454F"/>
    <w:rsid w:val="000046CF"/>
    <w:rsid w:val="00004704"/>
    <w:rsid w:val="00004708"/>
    <w:rsid w:val="000047B7"/>
    <w:rsid w:val="000047D7"/>
    <w:rsid w:val="00004812"/>
    <w:rsid w:val="00004837"/>
    <w:rsid w:val="00004871"/>
    <w:rsid w:val="00004968"/>
    <w:rsid w:val="0000499A"/>
    <w:rsid w:val="000049A3"/>
    <w:rsid w:val="00004A57"/>
    <w:rsid w:val="00004AC3"/>
    <w:rsid w:val="00004B0C"/>
    <w:rsid w:val="00004B21"/>
    <w:rsid w:val="00004B31"/>
    <w:rsid w:val="00004B80"/>
    <w:rsid w:val="00004B9C"/>
    <w:rsid w:val="00004CE7"/>
    <w:rsid w:val="00004D44"/>
    <w:rsid w:val="00004D68"/>
    <w:rsid w:val="00004FFE"/>
    <w:rsid w:val="00005003"/>
    <w:rsid w:val="000050FB"/>
    <w:rsid w:val="0000514A"/>
    <w:rsid w:val="0000515B"/>
    <w:rsid w:val="000051A3"/>
    <w:rsid w:val="0000522C"/>
    <w:rsid w:val="00005429"/>
    <w:rsid w:val="00005453"/>
    <w:rsid w:val="00005471"/>
    <w:rsid w:val="000054A3"/>
    <w:rsid w:val="000054A6"/>
    <w:rsid w:val="000054DA"/>
    <w:rsid w:val="000055B0"/>
    <w:rsid w:val="00005652"/>
    <w:rsid w:val="0000572A"/>
    <w:rsid w:val="00005733"/>
    <w:rsid w:val="00005763"/>
    <w:rsid w:val="00005807"/>
    <w:rsid w:val="00005843"/>
    <w:rsid w:val="0000588C"/>
    <w:rsid w:val="000058C2"/>
    <w:rsid w:val="0000590D"/>
    <w:rsid w:val="00005911"/>
    <w:rsid w:val="0000596A"/>
    <w:rsid w:val="00005A04"/>
    <w:rsid w:val="00005A2E"/>
    <w:rsid w:val="00005ACB"/>
    <w:rsid w:val="00005AE1"/>
    <w:rsid w:val="00005B0F"/>
    <w:rsid w:val="00005B67"/>
    <w:rsid w:val="00005BD1"/>
    <w:rsid w:val="00005BD5"/>
    <w:rsid w:val="00005CC1"/>
    <w:rsid w:val="00005CC6"/>
    <w:rsid w:val="00005CD6"/>
    <w:rsid w:val="00005CD9"/>
    <w:rsid w:val="00005CDD"/>
    <w:rsid w:val="00005D1C"/>
    <w:rsid w:val="00005D7F"/>
    <w:rsid w:val="00005DB8"/>
    <w:rsid w:val="00005DFD"/>
    <w:rsid w:val="00005EFC"/>
    <w:rsid w:val="00005F8C"/>
    <w:rsid w:val="00005FDF"/>
    <w:rsid w:val="00006052"/>
    <w:rsid w:val="00006061"/>
    <w:rsid w:val="00006087"/>
    <w:rsid w:val="000060F4"/>
    <w:rsid w:val="0000612B"/>
    <w:rsid w:val="00006148"/>
    <w:rsid w:val="00006163"/>
    <w:rsid w:val="000061D5"/>
    <w:rsid w:val="0000623A"/>
    <w:rsid w:val="0000626B"/>
    <w:rsid w:val="000062BE"/>
    <w:rsid w:val="000062F7"/>
    <w:rsid w:val="00006325"/>
    <w:rsid w:val="00006372"/>
    <w:rsid w:val="0000638B"/>
    <w:rsid w:val="0000639D"/>
    <w:rsid w:val="000064B7"/>
    <w:rsid w:val="000064D8"/>
    <w:rsid w:val="0000650F"/>
    <w:rsid w:val="000066E0"/>
    <w:rsid w:val="00006745"/>
    <w:rsid w:val="000067BA"/>
    <w:rsid w:val="0000680B"/>
    <w:rsid w:val="00006830"/>
    <w:rsid w:val="00006856"/>
    <w:rsid w:val="00006891"/>
    <w:rsid w:val="000068B8"/>
    <w:rsid w:val="000068F9"/>
    <w:rsid w:val="00006933"/>
    <w:rsid w:val="00006AC6"/>
    <w:rsid w:val="00006B52"/>
    <w:rsid w:val="00006B6B"/>
    <w:rsid w:val="00006BAB"/>
    <w:rsid w:val="00006BBE"/>
    <w:rsid w:val="00006C09"/>
    <w:rsid w:val="00006C40"/>
    <w:rsid w:val="00006CF9"/>
    <w:rsid w:val="00006DAC"/>
    <w:rsid w:val="00006E0B"/>
    <w:rsid w:val="00006E2B"/>
    <w:rsid w:val="00006E6E"/>
    <w:rsid w:val="00006F4A"/>
    <w:rsid w:val="00006F99"/>
    <w:rsid w:val="00006FC8"/>
    <w:rsid w:val="00007027"/>
    <w:rsid w:val="0000703E"/>
    <w:rsid w:val="00007040"/>
    <w:rsid w:val="0000718F"/>
    <w:rsid w:val="0000720B"/>
    <w:rsid w:val="00007241"/>
    <w:rsid w:val="00007290"/>
    <w:rsid w:val="000072D8"/>
    <w:rsid w:val="0000730E"/>
    <w:rsid w:val="000073B0"/>
    <w:rsid w:val="00007438"/>
    <w:rsid w:val="0000766D"/>
    <w:rsid w:val="0000768C"/>
    <w:rsid w:val="00007792"/>
    <w:rsid w:val="00007830"/>
    <w:rsid w:val="0000794D"/>
    <w:rsid w:val="00007A27"/>
    <w:rsid w:val="00007AAC"/>
    <w:rsid w:val="00007ABB"/>
    <w:rsid w:val="00007B05"/>
    <w:rsid w:val="00007BB1"/>
    <w:rsid w:val="00007BC9"/>
    <w:rsid w:val="00007BFA"/>
    <w:rsid w:val="00007C43"/>
    <w:rsid w:val="00007C75"/>
    <w:rsid w:val="00007D45"/>
    <w:rsid w:val="00007D90"/>
    <w:rsid w:val="00007D98"/>
    <w:rsid w:val="00007DA2"/>
    <w:rsid w:val="00007E48"/>
    <w:rsid w:val="00007EA0"/>
    <w:rsid w:val="00010052"/>
    <w:rsid w:val="000100D3"/>
    <w:rsid w:val="00010104"/>
    <w:rsid w:val="00010108"/>
    <w:rsid w:val="000101E8"/>
    <w:rsid w:val="00010275"/>
    <w:rsid w:val="00010323"/>
    <w:rsid w:val="000103E5"/>
    <w:rsid w:val="000103F7"/>
    <w:rsid w:val="00010451"/>
    <w:rsid w:val="000104B4"/>
    <w:rsid w:val="000104B8"/>
    <w:rsid w:val="000104BE"/>
    <w:rsid w:val="0001050D"/>
    <w:rsid w:val="00010537"/>
    <w:rsid w:val="000105E4"/>
    <w:rsid w:val="0001062F"/>
    <w:rsid w:val="00010793"/>
    <w:rsid w:val="000108D1"/>
    <w:rsid w:val="0001093A"/>
    <w:rsid w:val="000109F1"/>
    <w:rsid w:val="00010A03"/>
    <w:rsid w:val="00010A25"/>
    <w:rsid w:val="00010A9B"/>
    <w:rsid w:val="00010AD5"/>
    <w:rsid w:val="00010AE6"/>
    <w:rsid w:val="00010B62"/>
    <w:rsid w:val="00010BC8"/>
    <w:rsid w:val="00010C3E"/>
    <w:rsid w:val="00010C8C"/>
    <w:rsid w:val="00010CC1"/>
    <w:rsid w:val="00010CED"/>
    <w:rsid w:val="00010CF7"/>
    <w:rsid w:val="00010D5C"/>
    <w:rsid w:val="00010E05"/>
    <w:rsid w:val="00010E55"/>
    <w:rsid w:val="00010E9D"/>
    <w:rsid w:val="00010EC0"/>
    <w:rsid w:val="00010F1B"/>
    <w:rsid w:val="00010F2F"/>
    <w:rsid w:val="00011046"/>
    <w:rsid w:val="00011047"/>
    <w:rsid w:val="0001105B"/>
    <w:rsid w:val="00011087"/>
    <w:rsid w:val="0001115B"/>
    <w:rsid w:val="000111A7"/>
    <w:rsid w:val="00011254"/>
    <w:rsid w:val="00011286"/>
    <w:rsid w:val="000112A6"/>
    <w:rsid w:val="000112D9"/>
    <w:rsid w:val="000112F0"/>
    <w:rsid w:val="0001133A"/>
    <w:rsid w:val="0001136F"/>
    <w:rsid w:val="00011396"/>
    <w:rsid w:val="00011398"/>
    <w:rsid w:val="000113A7"/>
    <w:rsid w:val="000113B7"/>
    <w:rsid w:val="000113B8"/>
    <w:rsid w:val="0001144A"/>
    <w:rsid w:val="000114AF"/>
    <w:rsid w:val="000114C2"/>
    <w:rsid w:val="00011508"/>
    <w:rsid w:val="000115E0"/>
    <w:rsid w:val="00011629"/>
    <w:rsid w:val="00011633"/>
    <w:rsid w:val="000117CC"/>
    <w:rsid w:val="0001188D"/>
    <w:rsid w:val="000118CB"/>
    <w:rsid w:val="0001196D"/>
    <w:rsid w:val="0001198B"/>
    <w:rsid w:val="00011A7E"/>
    <w:rsid w:val="00011AA6"/>
    <w:rsid w:val="00011AA7"/>
    <w:rsid w:val="00011ACA"/>
    <w:rsid w:val="00011B9D"/>
    <w:rsid w:val="00011C14"/>
    <w:rsid w:val="00011C69"/>
    <w:rsid w:val="00011CA8"/>
    <w:rsid w:val="00011CD5"/>
    <w:rsid w:val="00011DD1"/>
    <w:rsid w:val="00011DFF"/>
    <w:rsid w:val="00011E4A"/>
    <w:rsid w:val="00011E71"/>
    <w:rsid w:val="00011ECB"/>
    <w:rsid w:val="00011F95"/>
    <w:rsid w:val="0001200C"/>
    <w:rsid w:val="0001208E"/>
    <w:rsid w:val="000120D8"/>
    <w:rsid w:val="000120DC"/>
    <w:rsid w:val="000120E3"/>
    <w:rsid w:val="000120F2"/>
    <w:rsid w:val="000120F3"/>
    <w:rsid w:val="0001215F"/>
    <w:rsid w:val="000122ED"/>
    <w:rsid w:val="00012337"/>
    <w:rsid w:val="0001234E"/>
    <w:rsid w:val="00012369"/>
    <w:rsid w:val="00012390"/>
    <w:rsid w:val="0001247A"/>
    <w:rsid w:val="000125D2"/>
    <w:rsid w:val="00012666"/>
    <w:rsid w:val="000126E1"/>
    <w:rsid w:val="0001270F"/>
    <w:rsid w:val="0001271C"/>
    <w:rsid w:val="0001272D"/>
    <w:rsid w:val="00012743"/>
    <w:rsid w:val="000127FD"/>
    <w:rsid w:val="0001286A"/>
    <w:rsid w:val="000128BF"/>
    <w:rsid w:val="00012912"/>
    <w:rsid w:val="00012C7C"/>
    <w:rsid w:val="00012C97"/>
    <w:rsid w:val="00012CA6"/>
    <w:rsid w:val="00012CC5"/>
    <w:rsid w:val="00012CDF"/>
    <w:rsid w:val="00012D28"/>
    <w:rsid w:val="00012D31"/>
    <w:rsid w:val="00012DAC"/>
    <w:rsid w:val="00012DB3"/>
    <w:rsid w:val="00012DC9"/>
    <w:rsid w:val="00012DE6"/>
    <w:rsid w:val="00012DFE"/>
    <w:rsid w:val="00012E3E"/>
    <w:rsid w:val="00012E46"/>
    <w:rsid w:val="00012E77"/>
    <w:rsid w:val="00012F2D"/>
    <w:rsid w:val="00012F58"/>
    <w:rsid w:val="00012F75"/>
    <w:rsid w:val="00012FC1"/>
    <w:rsid w:val="00012FFD"/>
    <w:rsid w:val="00013038"/>
    <w:rsid w:val="000130E7"/>
    <w:rsid w:val="0001310E"/>
    <w:rsid w:val="00013173"/>
    <w:rsid w:val="00013181"/>
    <w:rsid w:val="0001319C"/>
    <w:rsid w:val="00013239"/>
    <w:rsid w:val="0001331B"/>
    <w:rsid w:val="000133E5"/>
    <w:rsid w:val="000133EF"/>
    <w:rsid w:val="0001347D"/>
    <w:rsid w:val="000134FE"/>
    <w:rsid w:val="0001356D"/>
    <w:rsid w:val="00013581"/>
    <w:rsid w:val="00013585"/>
    <w:rsid w:val="00013597"/>
    <w:rsid w:val="00013619"/>
    <w:rsid w:val="000136E5"/>
    <w:rsid w:val="00013725"/>
    <w:rsid w:val="0001373D"/>
    <w:rsid w:val="0001377C"/>
    <w:rsid w:val="000137C2"/>
    <w:rsid w:val="000137CA"/>
    <w:rsid w:val="000137E2"/>
    <w:rsid w:val="000137F2"/>
    <w:rsid w:val="000138DE"/>
    <w:rsid w:val="000138E2"/>
    <w:rsid w:val="000138E8"/>
    <w:rsid w:val="00013936"/>
    <w:rsid w:val="000139AE"/>
    <w:rsid w:val="00013A3B"/>
    <w:rsid w:val="00013ACD"/>
    <w:rsid w:val="00013B73"/>
    <w:rsid w:val="00013C81"/>
    <w:rsid w:val="00013D06"/>
    <w:rsid w:val="00013E67"/>
    <w:rsid w:val="00013E92"/>
    <w:rsid w:val="00013E9A"/>
    <w:rsid w:val="00013E9E"/>
    <w:rsid w:val="00013F1A"/>
    <w:rsid w:val="00013F1B"/>
    <w:rsid w:val="00013FBA"/>
    <w:rsid w:val="00013FF2"/>
    <w:rsid w:val="00014045"/>
    <w:rsid w:val="000140A9"/>
    <w:rsid w:val="000140D9"/>
    <w:rsid w:val="00014107"/>
    <w:rsid w:val="0001420B"/>
    <w:rsid w:val="00014273"/>
    <w:rsid w:val="000142B3"/>
    <w:rsid w:val="00014361"/>
    <w:rsid w:val="0001439B"/>
    <w:rsid w:val="00014450"/>
    <w:rsid w:val="00014489"/>
    <w:rsid w:val="000144B1"/>
    <w:rsid w:val="000144EB"/>
    <w:rsid w:val="00014566"/>
    <w:rsid w:val="00014591"/>
    <w:rsid w:val="000145EF"/>
    <w:rsid w:val="0001467B"/>
    <w:rsid w:val="0001468A"/>
    <w:rsid w:val="00014696"/>
    <w:rsid w:val="000146AB"/>
    <w:rsid w:val="0001473D"/>
    <w:rsid w:val="0001479E"/>
    <w:rsid w:val="000147B6"/>
    <w:rsid w:val="00014810"/>
    <w:rsid w:val="000148B6"/>
    <w:rsid w:val="0001491E"/>
    <w:rsid w:val="000149A3"/>
    <w:rsid w:val="000149E9"/>
    <w:rsid w:val="00014A27"/>
    <w:rsid w:val="00014A5D"/>
    <w:rsid w:val="00014A77"/>
    <w:rsid w:val="00014ADD"/>
    <w:rsid w:val="00014B79"/>
    <w:rsid w:val="00014B86"/>
    <w:rsid w:val="00014C35"/>
    <w:rsid w:val="00014C6A"/>
    <w:rsid w:val="00014CE3"/>
    <w:rsid w:val="00014CEA"/>
    <w:rsid w:val="00014DAC"/>
    <w:rsid w:val="00014F46"/>
    <w:rsid w:val="00014F7A"/>
    <w:rsid w:val="00014F8D"/>
    <w:rsid w:val="00014FC4"/>
    <w:rsid w:val="00015064"/>
    <w:rsid w:val="000150D2"/>
    <w:rsid w:val="00015103"/>
    <w:rsid w:val="00015221"/>
    <w:rsid w:val="000152C2"/>
    <w:rsid w:val="000152D5"/>
    <w:rsid w:val="0001534C"/>
    <w:rsid w:val="00015366"/>
    <w:rsid w:val="00015385"/>
    <w:rsid w:val="0001542E"/>
    <w:rsid w:val="0001555B"/>
    <w:rsid w:val="0001556C"/>
    <w:rsid w:val="00015586"/>
    <w:rsid w:val="00015669"/>
    <w:rsid w:val="0001569C"/>
    <w:rsid w:val="000156F3"/>
    <w:rsid w:val="000156F9"/>
    <w:rsid w:val="00015789"/>
    <w:rsid w:val="00015791"/>
    <w:rsid w:val="000157A4"/>
    <w:rsid w:val="000158C8"/>
    <w:rsid w:val="000158CB"/>
    <w:rsid w:val="00015971"/>
    <w:rsid w:val="00015974"/>
    <w:rsid w:val="00015A69"/>
    <w:rsid w:val="00015B78"/>
    <w:rsid w:val="00015B9E"/>
    <w:rsid w:val="00015C90"/>
    <w:rsid w:val="00015CC0"/>
    <w:rsid w:val="00015CE4"/>
    <w:rsid w:val="00015D3E"/>
    <w:rsid w:val="00015D5B"/>
    <w:rsid w:val="00015D88"/>
    <w:rsid w:val="00015E1D"/>
    <w:rsid w:val="00015E34"/>
    <w:rsid w:val="00015E56"/>
    <w:rsid w:val="00015E6D"/>
    <w:rsid w:val="00015EFC"/>
    <w:rsid w:val="00015F31"/>
    <w:rsid w:val="00015F39"/>
    <w:rsid w:val="00015F60"/>
    <w:rsid w:val="00015FCC"/>
    <w:rsid w:val="00016069"/>
    <w:rsid w:val="00016099"/>
    <w:rsid w:val="000160C2"/>
    <w:rsid w:val="0001610B"/>
    <w:rsid w:val="0001615A"/>
    <w:rsid w:val="00016179"/>
    <w:rsid w:val="000161E1"/>
    <w:rsid w:val="00016207"/>
    <w:rsid w:val="0001622C"/>
    <w:rsid w:val="000162E0"/>
    <w:rsid w:val="0001634E"/>
    <w:rsid w:val="000163C7"/>
    <w:rsid w:val="000164C9"/>
    <w:rsid w:val="000164E7"/>
    <w:rsid w:val="000164F3"/>
    <w:rsid w:val="00016541"/>
    <w:rsid w:val="000166F3"/>
    <w:rsid w:val="000166FA"/>
    <w:rsid w:val="00016741"/>
    <w:rsid w:val="00016764"/>
    <w:rsid w:val="00016770"/>
    <w:rsid w:val="000167B6"/>
    <w:rsid w:val="00016807"/>
    <w:rsid w:val="00016818"/>
    <w:rsid w:val="000168FC"/>
    <w:rsid w:val="00016913"/>
    <w:rsid w:val="00016932"/>
    <w:rsid w:val="00016979"/>
    <w:rsid w:val="0001699F"/>
    <w:rsid w:val="00016A64"/>
    <w:rsid w:val="00016A6F"/>
    <w:rsid w:val="00016AAE"/>
    <w:rsid w:val="00016B31"/>
    <w:rsid w:val="00016C79"/>
    <w:rsid w:val="00016CC7"/>
    <w:rsid w:val="00016CCB"/>
    <w:rsid w:val="00016D1C"/>
    <w:rsid w:val="00016D3A"/>
    <w:rsid w:val="00016E94"/>
    <w:rsid w:val="00016EDF"/>
    <w:rsid w:val="00016F7C"/>
    <w:rsid w:val="00016FC5"/>
    <w:rsid w:val="00017078"/>
    <w:rsid w:val="000170A6"/>
    <w:rsid w:val="000170FC"/>
    <w:rsid w:val="00017104"/>
    <w:rsid w:val="00017115"/>
    <w:rsid w:val="0001713F"/>
    <w:rsid w:val="0001716C"/>
    <w:rsid w:val="0001719A"/>
    <w:rsid w:val="000171D8"/>
    <w:rsid w:val="00017281"/>
    <w:rsid w:val="000172FC"/>
    <w:rsid w:val="00017315"/>
    <w:rsid w:val="0001736B"/>
    <w:rsid w:val="00017394"/>
    <w:rsid w:val="000173AA"/>
    <w:rsid w:val="000173BD"/>
    <w:rsid w:val="0001740A"/>
    <w:rsid w:val="000174CD"/>
    <w:rsid w:val="0001766B"/>
    <w:rsid w:val="00017677"/>
    <w:rsid w:val="000177C6"/>
    <w:rsid w:val="0001789C"/>
    <w:rsid w:val="000178B4"/>
    <w:rsid w:val="000178CF"/>
    <w:rsid w:val="000178FA"/>
    <w:rsid w:val="00017988"/>
    <w:rsid w:val="000179B6"/>
    <w:rsid w:val="000179E9"/>
    <w:rsid w:val="00017A37"/>
    <w:rsid w:val="00017A40"/>
    <w:rsid w:val="00017A5E"/>
    <w:rsid w:val="00017A7D"/>
    <w:rsid w:val="00017A7F"/>
    <w:rsid w:val="00017A9A"/>
    <w:rsid w:val="00017AB9"/>
    <w:rsid w:val="00017B12"/>
    <w:rsid w:val="00017B16"/>
    <w:rsid w:val="00017B81"/>
    <w:rsid w:val="00017BEF"/>
    <w:rsid w:val="00017C77"/>
    <w:rsid w:val="00017CCA"/>
    <w:rsid w:val="00017D0A"/>
    <w:rsid w:val="00017D30"/>
    <w:rsid w:val="00017D80"/>
    <w:rsid w:val="00017E61"/>
    <w:rsid w:val="00017E7A"/>
    <w:rsid w:val="00017E89"/>
    <w:rsid w:val="00017EC0"/>
    <w:rsid w:val="00017F29"/>
    <w:rsid w:val="00017F30"/>
    <w:rsid w:val="00017F77"/>
    <w:rsid w:val="000200C7"/>
    <w:rsid w:val="0002010C"/>
    <w:rsid w:val="0002011E"/>
    <w:rsid w:val="00020136"/>
    <w:rsid w:val="000201CB"/>
    <w:rsid w:val="00020210"/>
    <w:rsid w:val="0002023A"/>
    <w:rsid w:val="000202B2"/>
    <w:rsid w:val="00020342"/>
    <w:rsid w:val="000203BE"/>
    <w:rsid w:val="00020475"/>
    <w:rsid w:val="00020488"/>
    <w:rsid w:val="000204B3"/>
    <w:rsid w:val="00020576"/>
    <w:rsid w:val="000205A4"/>
    <w:rsid w:val="000206E2"/>
    <w:rsid w:val="00020743"/>
    <w:rsid w:val="00020871"/>
    <w:rsid w:val="00020885"/>
    <w:rsid w:val="00020899"/>
    <w:rsid w:val="0002095D"/>
    <w:rsid w:val="000209E9"/>
    <w:rsid w:val="00020A47"/>
    <w:rsid w:val="00020A75"/>
    <w:rsid w:val="00020B57"/>
    <w:rsid w:val="00020B84"/>
    <w:rsid w:val="00020B88"/>
    <w:rsid w:val="00020B97"/>
    <w:rsid w:val="00020BF6"/>
    <w:rsid w:val="00020C88"/>
    <w:rsid w:val="00020CF0"/>
    <w:rsid w:val="00020D41"/>
    <w:rsid w:val="00020D84"/>
    <w:rsid w:val="00020DAE"/>
    <w:rsid w:val="00020E49"/>
    <w:rsid w:val="00020E57"/>
    <w:rsid w:val="00020FA3"/>
    <w:rsid w:val="00020FDA"/>
    <w:rsid w:val="000210D9"/>
    <w:rsid w:val="000210F1"/>
    <w:rsid w:val="000211B5"/>
    <w:rsid w:val="000211B9"/>
    <w:rsid w:val="00021213"/>
    <w:rsid w:val="00021220"/>
    <w:rsid w:val="000212D7"/>
    <w:rsid w:val="000212E8"/>
    <w:rsid w:val="00021373"/>
    <w:rsid w:val="000213A6"/>
    <w:rsid w:val="000213D2"/>
    <w:rsid w:val="00021444"/>
    <w:rsid w:val="0002148C"/>
    <w:rsid w:val="00021490"/>
    <w:rsid w:val="000214D6"/>
    <w:rsid w:val="00021560"/>
    <w:rsid w:val="0002159E"/>
    <w:rsid w:val="0002161F"/>
    <w:rsid w:val="00021649"/>
    <w:rsid w:val="00021685"/>
    <w:rsid w:val="0002169C"/>
    <w:rsid w:val="000216A5"/>
    <w:rsid w:val="000216DE"/>
    <w:rsid w:val="000216F4"/>
    <w:rsid w:val="00021703"/>
    <w:rsid w:val="000217E4"/>
    <w:rsid w:val="00021823"/>
    <w:rsid w:val="0002182B"/>
    <w:rsid w:val="00021909"/>
    <w:rsid w:val="00021A05"/>
    <w:rsid w:val="00021A0E"/>
    <w:rsid w:val="00021A69"/>
    <w:rsid w:val="00021BF2"/>
    <w:rsid w:val="00021BFF"/>
    <w:rsid w:val="00021C36"/>
    <w:rsid w:val="00021C4E"/>
    <w:rsid w:val="00021D2A"/>
    <w:rsid w:val="00021E3E"/>
    <w:rsid w:val="00021E8C"/>
    <w:rsid w:val="00021F7D"/>
    <w:rsid w:val="000221D5"/>
    <w:rsid w:val="00022209"/>
    <w:rsid w:val="00022260"/>
    <w:rsid w:val="00022272"/>
    <w:rsid w:val="0002227E"/>
    <w:rsid w:val="000222D5"/>
    <w:rsid w:val="0002231D"/>
    <w:rsid w:val="000223F4"/>
    <w:rsid w:val="000224C4"/>
    <w:rsid w:val="00022680"/>
    <w:rsid w:val="000226B4"/>
    <w:rsid w:val="000226D5"/>
    <w:rsid w:val="00022752"/>
    <w:rsid w:val="000227CF"/>
    <w:rsid w:val="00022886"/>
    <w:rsid w:val="000228E3"/>
    <w:rsid w:val="00022945"/>
    <w:rsid w:val="000229C6"/>
    <w:rsid w:val="00022A46"/>
    <w:rsid w:val="00022A78"/>
    <w:rsid w:val="00022ADB"/>
    <w:rsid w:val="00022BD9"/>
    <w:rsid w:val="00022BFA"/>
    <w:rsid w:val="00022C27"/>
    <w:rsid w:val="00022C2A"/>
    <w:rsid w:val="00022C46"/>
    <w:rsid w:val="00022C60"/>
    <w:rsid w:val="00022C67"/>
    <w:rsid w:val="00022CAA"/>
    <w:rsid w:val="00022CD4"/>
    <w:rsid w:val="00022D99"/>
    <w:rsid w:val="00022DAD"/>
    <w:rsid w:val="00022E2A"/>
    <w:rsid w:val="00022E4A"/>
    <w:rsid w:val="00022E7F"/>
    <w:rsid w:val="00022E87"/>
    <w:rsid w:val="00022E93"/>
    <w:rsid w:val="00022F4C"/>
    <w:rsid w:val="00022FAA"/>
    <w:rsid w:val="0002300F"/>
    <w:rsid w:val="000230CE"/>
    <w:rsid w:val="0002315D"/>
    <w:rsid w:val="000231D1"/>
    <w:rsid w:val="000231DB"/>
    <w:rsid w:val="0002324E"/>
    <w:rsid w:val="000232E6"/>
    <w:rsid w:val="00023325"/>
    <w:rsid w:val="0002336C"/>
    <w:rsid w:val="000233E4"/>
    <w:rsid w:val="000233F6"/>
    <w:rsid w:val="0002340F"/>
    <w:rsid w:val="0002341D"/>
    <w:rsid w:val="0002343B"/>
    <w:rsid w:val="000234C7"/>
    <w:rsid w:val="00023505"/>
    <w:rsid w:val="00023514"/>
    <w:rsid w:val="0002355F"/>
    <w:rsid w:val="00023617"/>
    <w:rsid w:val="00023649"/>
    <w:rsid w:val="00023666"/>
    <w:rsid w:val="00023670"/>
    <w:rsid w:val="00023675"/>
    <w:rsid w:val="000236F4"/>
    <w:rsid w:val="00023759"/>
    <w:rsid w:val="000237CB"/>
    <w:rsid w:val="000237DA"/>
    <w:rsid w:val="00023815"/>
    <w:rsid w:val="0002388C"/>
    <w:rsid w:val="00023892"/>
    <w:rsid w:val="000238F6"/>
    <w:rsid w:val="00023954"/>
    <w:rsid w:val="000239DF"/>
    <w:rsid w:val="000239E9"/>
    <w:rsid w:val="00023A2D"/>
    <w:rsid w:val="00023A9C"/>
    <w:rsid w:val="00023B1A"/>
    <w:rsid w:val="00023B1E"/>
    <w:rsid w:val="00023B8E"/>
    <w:rsid w:val="00023BFC"/>
    <w:rsid w:val="00023C0F"/>
    <w:rsid w:val="00023D00"/>
    <w:rsid w:val="00023D37"/>
    <w:rsid w:val="00023D89"/>
    <w:rsid w:val="00023E31"/>
    <w:rsid w:val="00023E69"/>
    <w:rsid w:val="00023E6F"/>
    <w:rsid w:val="00023EF0"/>
    <w:rsid w:val="00023F72"/>
    <w:rsid w:val="00023FA0"/>
    <w:rsid w:val="0002409A"/>
    <w:rsid w:val="0002418B"/>
    <w:rsid w:val="000241C1"/>
    <w:rsid w:val="000241C5"/>
    <w:rsid w:val="000241C8"/>
    <w:rsid w:val="00024211"/>
    <w:rsid w:val="00024273"/>
    <w:rsid w:val="00024282"/>
    <w:rsid w:val="0002429B"/>
    <w:rsid w:val="000242A4"/>
    <w:rsid w:val="000242B7"/>
    <w:rsid w:val="00024415"/>
    <w:rsid w:val="0002447B"/>
    <w:rsid w:val="000244ED"/>
    <w:rsid w:val="00024557"/>
    <w:rsid w:val="0002457F"/>
    <w:rsid w:val="0002461E"/>
    <w:rsid w:val="0002467B"/>
    <w:rsid w:val="000246F7"/>
    <w:rsid w:val="0002474D"/>
    <w:rsid w:val="00024761"/>
    <w:rsid w:val="0002479E"/>
    <w:rsid w:val="000247BC"/>
    <w:rsid w:val="000247CB"/>
    <w:rsid w:val="00024820"/>
    <w:rsid w:val="000248FF"/>
    <w:rsid w:val="00024905"/>
    <w:rsid w:val="00024945"/>
    <w:rsid w:val="000249B6"/>
    <w:rsid w:val="000249D1"/>
    <w:rsid w:val="00024B88"/>
    <w:rsid w:val="00024BA7"/>
    <w:rsid w:val="00024BC4"/>
    <w:rsid w:val="00024C31"/>
    <w:rsid w:val="00024CEF"/>
    <w:rsid w:val="00024DD8"/>
    <w:rsid w:val="00024E7D"/>
    <w:rsid w:val="00024E95"/>
    <w:rsid w:val="00024EC6"/>
    <w:rsid w:val="00024FBD"/>
    <w:rsid w:val="00025013"/>
    <w:rsid w:val="000250F4"/>
    <w:rsid w:val="00025241"/>
    <w:rsid w:val="0002524D"/>
    <w:rsid w:val="0002526A"/>
    <w:rsid w:val="00025373"/>
    <w:rsid w:val="0002540E"/>
    <w:rsid w:val="0002543F"/>
    <w:rsid w:val="00025503"/>
    <w:rsid w:val="0002552B"/>
    <w:rsid w:val="00025599"/>
    <w:rsid w:val="0002559F"/>
    <w:rsid w:val="0002562C"/>
    <w:rsid w:val="00025686"/>
    <w:rsid w:val="00025698"/>
    <w:rsid w:val="000256BC"/>
    <w:rsid w:val="00025746"/>
    <w:rsid w:val="000257E6"/>
    <w:rsid w:val="0002580E"/>
    <w:rsid w:val="0002588C"/>
    <w:rsid w:val="000258DD"/>
    <w:rsid w:val="000259AE"/>
    <w:rsid w:val="000259F6"/>
    <w:rsid w:val="00025A59"/>
    <w:rsid w:val="00025C7C"/>
    <w:rsid w:val="00025D47"/>
    <w:rsid w:val="00025D7B"/>
    <w:rsid w:val="00025D94"/>
    <w:rsid w:val="00025DDA"/>
    <w:rsid w:val="00025EA3"/>
    <w:rsid w:val="00025F02"/>
    <w:rsid w:val="00025F55"/>
    <w:rsid w:val="00025F5D"/>
    <w:rsid w:val="00025F9C"/>
    <w:rsid w:val="00025FE0"/>
    <w:rsid w:val="00026007"/>
    <w:rsid w:val="0002621F"/>
    <w:rsid w:val="00026299"/>
    <w:rsid w:val="00026315"/>
    <w:rsid w:val="0002637B"/>
    <w:rsid w:val="000263F7"/>
    <w:rsid w:val="0002641C"/>
    <w:rsid w:val="00026421"/>
    <w:rsid w:val="000264F8"/>
    <w:rsid w:val="0002656A"/>
    <w:rsid w:val="00026583"/>
    <w:rsid w:val="00026631"/>
    <w:rsid w:val="00026648"/>
    <w:rsid w:val="000266CC"/>
    <w:rsid w:val="00026713"/>
    <w:rsid w:val="00026715"/>
    <w:rsid w:val="00026794"/>
    <w:rsid w:val="000267B8"/>
    <w:rsid w:val="000267F1"/>
    <w:rsid w:val="000267FE"/>
    <w:rsid w:val="00026886"/>
    <w:rsid w:val="0002688C"/>
    <w:rsid w:val="000268CC"/>
    <w:rsid w:val="0002690F"/>
    <w:rsid w:val="00026969"/>
    <w:rsid w:val="0002696B"/>
    <w:rsid w:val="000269A8"/>
    <w:rsid w:val="00026A4D"/>
    <w:rsid w:val="00026A8E"/>
    <w:rsid w:val="00026AFB"/>
    <w:rsid w:val="00026B00"/>
    <w:rsid w:val="00026B75"/>
    <w:rsid w:val="00026BC4"/>
    <w:rsid w:val="00026D66"/>
    <w:rsid w:val="00026DB8"/>
    <w:rsid w:val="00026DD6"/>
    <w:rsid w:val="00026EE4"/>
    <w:rsid w:val="00026FA7"/>
    <w:rsid w:val="00026FB4"/>
    <w:rsid w:val="00026FBB"/>
    <w:rsid w:val="00027045"/>
    <w:rsid w:val="00027060"/>
    <w:rsid w:val="000270A2"/>
    <w:rsid w:val="000270EB"/>
    <w:rsid w:val="0002719D"/>
    <w:rsid w:val="00027312"/>
    <w:rsid w:val="00027340"/>
    <w:rsid w:val="00027385"/>
    <w:rsid w:val="000273FC"/>
    <w:rsid w:val="00027481"/>
    <w:rsid w:val="000274BA"/>
    <w:rsid w:val="000274DD"/>
    <w:rsid w:val="00027548"/>
    <w:rsid w:val="00027593"/>
    <w:rsid w:val="000275FD"/>
    <w:rsid w:val="0002767B"/>
    <w:rsid w:val="000276BF"/>
    <w:rsid w:val="000276F3"/>
    <w:rsid w:val="00027890"/>
    <w:rsid w:val="000278D3"/>
    <w:rsid w:val="000278FF"/>
    <w:rsid w:val="0002799D"/>
    <w:rsid w:val="000279A6"/>
    <w:rsid w:val="000279E8"/>
    <w:rsid w:val="00027A05"/>
    <w:rsid w:val="00027A40"/>
    <w:rsid w:val="00027A43"/>
    <w:rsid w:val="00027A97"/>
    <w:rsid w:val="00027AFF"/>
    <w:rsid w:val="00027B40"/>
    <w:rsid w:val="00027B85"/>
    <w:rsid w:val="00027BC1"/>
    <w:rsid w:val="00027C13"/>
    <w:rsid w:val="00027C4C"/>
    <w:rsid w:val="00027C5C"/>
    <w:rsid w:val="00027C86"/>
    <w:rsid w:val="00027CF5"/>
    <w:rsid w:val="00027D44"/>
    <w:rsid w:val="00027D99"/>
    <w:rsid w:val="00027DB3"/>
    <w:rsid w:val="00027DFB"/>
    <w:rsid w:val="00027E7C"/>
    <w:rsid w:val="00027E98"/>
    <w:rsid w:val="00027EAE"/>
    <w:rsid w:val="00027EE6"/>
    <w:rsid w:val="00027F53"/>
    <w:rsid w:val="00027F5B"/>
    <w:rsid w:val="00027F61"/>
    <w:rsid w:val="00027F90"/>
    <w:rsid w:val="00030038"/>
    <w:rsid w:val="000300DB"/>
    <w:rsid w:val="00030112"/>
    <w:rsid w:val="000301D8"/>
    <w:rsid w:val="00030246"/>
    <w:rsid w:val="0003029F"/>
    <w:rsid w:val="000302B5"/>
    <w:rsid w:val="00030361"/>
    <w:rsid w:val="0003040E"/>
    <w:rsid w:val="000304B5"/>
    <w:rsid w:val="00030523"/>
    <w:rsid w:val="000305B0"/>
    <w:rsid w:val="000305F5"/>
    <w:rsid w:val="000306E3"/>
    <w:rsid w:val="00030749"/>
    <w:rsid w:val="0003074B"/>
    <w:rsid w:val="00030773"/>
    <w:rsid w:val="000307DB"/>
    <w:rsid w:val="00030857"/>
    <w:rsid w:val="00030865"/>
    <w:rsid w:val="0003088D"/>
    <w:rsid w:val="00030898"/>
    <w:rsid w:val="00030982"/>
    <w:rsid w:val="0003098B"/>
    <w:rsid w:val="00030A2E"/>
    <w:rsid w:val="00030A7F"/>
    <w:rsid w:val="00030AA0"/>
    <w:rsid w:val="00030B06"/>
    <w:rsid w:val="00030BA4"/>
    <w:rsid w:val="00030C1B"/>
    <w:rsid w:val="00030C3B"/>
    <w:rsid w:val="00030C5B"/>
    <w:rsid w:val="00030C8E"/>
    <w:rsid w:val="00030C93"/>
    <w:rsid w:val="00030C9A"/>
    <w:rsid w:val="00030CA4"/>
    <w:rsid w:val="00030CD9"/>
    <w:rsid w:val="00030D56"/>
    <w:rsid w:val="00030DE2"/>
    <w:rsid w:val="00030E6A"/>
    <w:rsid w:val="00030E86"/>
    <w:rsid w:val="00030ED0"/>
    <w:rsid w:val="00030EE8"/>
    <w:rsid w:val="00030F87"/>
    <w:rsid w:val="00030FBD"/>
    <w:rsid w:val="00030FCC"/>
    <w:rsid w:val="00031018"/>
    <w:rsid w:val="000310AD"/>
    <w:rsid w:val="0003112C"/>
    <w:rsid w:val="00031136"/>
    <w:rsid w:val="00031179"/>
    <w:rsid w:val="000311CE"/>
    <w:rsid w:val="000311DF"/>
    <w:rsid w:val="000311EB"/>
    <w:rsid w:val="00031251"/>
    <w:rsid w:val="00031348"/>
    <w:rsid w:val="0003135F"/>
    <w:rsid w:val="000313B4"/>
    <w:rsid w:val="00031517"/>
    <w:rsid w:val="00031605"/>
    <w:rsid w:val="000316C3"/>
    <w:rsid w:val="000316E1"/>
    <w:rsid w:val="00031708"/>
    <w:rsid w:val="0003176A"/>
    <w:rsid w:val="0003176B"/>
    <w:rsid w:val="00031785"/>
    <w:rsid w:val="00031879"/>
    <w:rsid w:val="000318D0"/>
    <w:rsid w:val="000318D4"/>
    <w:rsid w:val="00031902"/>
    <w:rsid w:val="0003191F"/>
    <w:rsid w:val="00031945"/>
    <w:rsid w:val="000319BA"/>
    <w:rsid w:val="00031AE1"/>
    <w:rsid w:val="00031B3F"/>
    <w:rsid w:val="00031BA8"/>
    <w:rsid w:val="00031BDB"/>
    <w:rsid w:val="00031C66"/>
    <w:rsid w:val="00031CD2"/>
    <w:rsid w:val="00031CFD"/>
    <w:rsid w:val="00031D15"/>
    <w:rsid w:val="00031DDD"/>
    <w:rsid w:val="00031E38"/>
    <w:rsid w:val="00031E83"/>
    <w:rsid w:val="00031EA1"/>
    <w:rsid w:val="00031F3F"/>
    <w:rsid w:val="00031F73"/>
    <w:rsid w:val="00031FA5"/>
    <w:rsid w:val="00031FB9"/>
    <w:rsid w:val="00031FC8"/>
    <w:rsid w:val="00031FF5"/>
    <w:rsid w:val="00032112"/>
    <w:rsid w:val="0003223D"/>
    <w:rsid w:val="00032253"/>
    <w:rsid w:val="00032297"/>
    <w:rsid w:val="0003229B"/>
    <w:rsid w:val="000322FD"/>
    <w:rsid w:val="0003234C"/>
    <w:rsid w:val="00032355"/>
    <w:rsid w:val="000323C5"/>
    <w:rsid w:val="000323C9"/>
    <w:rsid w:val="000324AD"/>
    <w:rsid w:val="000324D0"/>
    <w:rsid w:val="0003252A"/>
    <w:rsid w:val="0003255B"/>
    <w:rsid w:val="000325E7"/>
    <w:rsid w:val="000325F9"/>
    <w:rsid w:val="00032665"/>
    <w:rsid w:val="00032668"/>
    <w:rsid w:val="0003269E"/>
    <w:rsid w:val="000327E9"/>
    <w:rsid w:val="000327FB"/>
    <w:rsid w:val="00032818"/>
    <w:rsid w:val="000328C0"/>
    <w:rsid w:val="000328CB"/>
    <w:rsid w:val="0003293E"/>
    <w:rsid w:val="00032943"/>
    <w:rsid w:val="00032979"/>
    <w:rsid w:val="0003298B"/>
    <w:rsid w:val="00032A1C"/>
    <w:rsid w:val="00032A32"/>
    <w:rsid w:val="00032A3E"/>
    <w:rsid w:val="00032A50"/>
    <w:rsid w:val="00032A78"/>
    <w:rsid w:val="00032BD2"/>
    <w:rsid w:val="00032C02"/>
    <w:rsid w:val="00032C36"/>
    <w:rsid w:val="00032D6D"/>
    <w:rsid w:val="00032D80"/>
    <w:rsid w:val="00032D81"/>
    <w:rsid w:val="00032DE4"/>
    <w:rsid w:val="00032DFB"/>
    <w:rsid w:val="00032E76"/>
    <w:rsid w:val="00032EB2"/>
    <w:rsid w:val="00032EF1"/>
    <w:rsid w:val="00032F5A"/>
    <w:rsid w:val="00032F66"/>
    <w:rsid w:val="00032F95"/>
    <w:rsid w:val="00032FA3"/>
    <w:rsid w:val="00033064"/>
    <w:rsid w:val="0003306E"/>
    <w:rsid w:val="00033171"/>
    <w:rsid w:val="00033206"/>
    <w:rsid w:val="00033234"/>
    <w:rsid w:val="00033258"/>
    <w:rsid w:val="00033299"/>
    <w:rsid w:val="000332C9"/>
    <w:rsid w:val="000332E1"/>
    <w:rsid w:val="0003331C"/>
    <w:rsid w:val="0003333C"/>
    <w:rsid w:val="0003335C"/>
    <w:rsid w:val="00033387"/>
    <w:rsid w:val="000334FE"/>
    <w:rsid w:val="00033514"/>
    <w:rsid w:val="0003357D"/>
    <w:rsid w:val="000335D8"/>
    <w:rsid w:val="00033619"/>
    <w:rsid w:val="000336FF"/>
    <w:rsid w:val="0003379E"/>
    <w:rsid w:val="000338D9"/>
    <w:rsid w:val="000339AB"/>
    <w:rsid w:val="00033A7F"/>
    <w:rsid w:val="00033B43"/>
    <w:rsid w:val="00033C2F"/>
    <w:rsid w:val="00033C43"/>
    <w:rsid w:val="00033C93"/>
    <w:rsid w:val="00033C97"/>
    <w:rsid w:val="00033C98"/>
    <w:rsid w:val="00033CBE"/>
    <w:rsid w:val="00033CE0"/>
    <w:rsid w:val="00033D78"/>
    <w:rsid w:val="00033E24"/>
    <w:rsid w:val="00033E4F"/>
    <w:rsid w:val="00033EF8"/>
    <w:rsid w:val="00033EF9"/>
    <w:rsid w:val="00033FFF"/>
    <w:rsid w:val="00034008"/>
    <w:rsid w:val="00034069"/>
    <w:rsid w:val="000340C0"/>
    <w:rsid w:val="000340E9"/>
    <w:rsid w:val="00034119"/>
    <w:rsid w:val="00034125"/>
    <w:rsid w:val="00034255"/>
    <w:rsid w:val="0003427E"/>
    <w:rsid w:val="00034283"/>
    <w:rsid w:val="000342ED"/>
    <w:rsid w:val="000342EE"/>
    <w:rsid w:val="0003434F"/>
    <w:rsid w:val="000343E9"/>
    <w:rsid w:val="000343F2"/>
    <w:rsid w:val="00034541"/>
    <w:rsid w:val="00034597"/>
    <w:rsid w:val="000345F3"/>
    <w:rsid w:val="00034612"/>
    <w:rsid w:val="000346B2"/>
    <w:rsid w:val="000346B4"/>
    <w:rsid w:val="00034745"/>
    <w:rsid w:val="00034779"/>
    <w:rsid w:val="000347CF"/>
    <w:rsid w:val="000347DB"/>
    <w:rsid w:val="000347DD"/>
    <w:rsid w:val="000347E7"/>
    <w:rsid w:val="0003488A"/>
    <w:rsid w:val="00034923"/>
    <w:rsid w:val="00034A15"/>
    <w:rsid w:val="00034A7D"/>
    <w:rsid w:val="00034A9A"/>
    <w:rsid w:val="00034ACC"/>
    <w:rsid w:val="00034BAF"/>
    <w:rsid w:val="00034BD5"/>
    <w:rsid w:val="00034C9C"/>
    <w:rsid w:val="00034CA6"/>
    <w:rsid w:val="00034CF3"/>
    <w:rsid w:val="00034CF7"/>
    <w:rsid w:val="00034D1C"/>
    <w:rsid w:val="00034D29"/>
    <w:rsid w:val="00034D4A"/>
    <w:rsid w:val="00034E47"/>
    <w:rsid w:val="00034E4A"/>
    <w:rsid w:val="00034FA3"/>
    <w:rsid w:val="00034FAB"/>
    <w:rsid w:val="00034FAF"/>
    <w:rsid w:val="00034FB3"/>
    <w:rsid w:val="00035039"/>
    <w:rsid w:val="00035084"/>
    <w:rsid w:val="00035116"/>
    <w:rsid w:val="0003511F"/>
    <w:rsid w:val="00035182"/>
    <w:rsid w:val="00035276"/>
    <w:rsid w:val="000352F7"/>
    <w:rsid w:val="000353E7"/>
    <w:rsid w:val="000353EC"/>
    <w:rsid w:val="00035433"/>
    <w:rsid w:val="00035442"/>
    <w:rsid w:val="000354BC"/>
    <w:rsid w:val="00035537"/>
    <w:rsid w:val="000355C1"/>
    <w:rsid w:val="0003560C"/>
    <w:rsid w:val="0003561D"/>
    <w:rsid w:val="00035689"/>
    <w:rsid w:val="000356AD"/>
    <w:rsid w:val="000356C8"/>
    <w:rsid w:val="000356DD"/>
    <w:rsid w:val="000357C4"/>
    <w:rsid w:val="00035859"/>
    <w:rsid w:val="00035936"/>
    <w:rsid w:val="000359EB"/>
    <w:rsid w:val="000359EF"/>
    <w:rsid w:val="00035B5E"/>
    <w:rsid w:val="00035BA9"/>
    <w:rsid w:val="00035BD7"/>
    <w:rsid w:val="00035C97"/>
    <w:rsid w:val="00035D43"/>
    <w:rsid w:val="00035D66"/>
    <w:rsid w:val="00035E41"/>
    <w:rsid w:val="00035F0B"/>
    <w:rsid w:val="00035F45"/>
    <w:rsid w:val="00036006"/>
    <w:rsid w:val="00036009"/>
    <w:rsid w:val="00036129"/>
    <w:rsid w:val="00036147"/>
    <w:rsid w:val="0003615D"/>
    <w:rsid w:val="0003624D"/>
    <w:rsid w:val="00036257"/>
    <w:rsid w:val="0003629B"/>
    <w:rsid w:val="0003634A"/>
    <w:rsid w:val="0003634F"/>
    <w:rsid w:val="0003646B"/>
    <w:rsid w:val="00036499"/>
    <w:rsid w:val="000364CD"/>
    <w:rsid w:val="00036534"/>
    <w:rsid w:val="00036584"/>
    <w:rsid w:val="000365D3"/>
    <w:rsid w:val="000365F4"/>
    <w:rsid w:val="000365FA"/>
    <w:rsid w:val="000369BD"/>
    <w:rsid w:val="00036A9B"/>
    <w:rsid w:val="00036B15"/>
    <w:rsid w:val="00036B5B"/>
    <w:rsid w:val="00036BE8"/>
    <w:rsid w:val="00036C32"/>
    <w:rsid w:val="00036C98"/>
    <w:rsid w:val="00036D33"/>
    <w:rsid w:val="00036D91"/>
    <w:rsid w:val="00036D9E"/>
    <w:rsid w:val="00036E77"/>
    <w:rsid w:val="00036E9D"/>
    <w:rsid w:val="00036EF5"/>
    <w:rsid w:val="00036F3F"/>
    <w:rsid w:val="00036F4A"/>
    <w:rsid w:val="00036FD6"/>
    <w:rsid w:val="00037027"/>
    <w:rsid w:val="00037078"/>
    <w:rsid w:val="00037144"/>
    <w:rsid w:val="00037145"/>
    <w:rsid w:val="0003716E"/>
    <w:rsid w:val="00037174"/>
    <w:rsid w:val="000372BE"/>
    <w:rsid w:val="00037318"/>
    <w:rsid w:val="00037412"/>
    <w:rsid w:val="00037427"/>
    <w:rsid w:val="00037480"/>
    <w:rsid w:val="000374A2"/>
    <w:rsid w:val="00037510"/>
    <w:rsid w:val="0003756C"/>
    <w:rsid w:val="000375AE"/>
    <w:rsid w:val="000375C0"/>
    <w:rsid w:val="000375DF"/>
    <w:rsid w:val="00037644"/>
    <w:rsid w:val="00037700"/>
    <w:rsid w:val="00037771"/>
    <w:rsid w:val="00037800"/>
    <w:rsid w:val="00037819"/>
    <w:rsid w:val="000378DD"/>
    <w:rsid w:val="00037932"/>
    <w:rsid w:val="0003796A"/>
    <w:rsid w:val="000379BA"/>
    <w:rsid w:val="000379C1"/>
    <w:rsid w:val="00037AEA"/>
    <w:rsid w:val="00037BB4"/>
    <w:rsid w:val="00037C37"/>
    <w:rsid w:val="00037C3C"/>
    <w:rsid w:val="00037C99"/>
    <w:rsid w:val="00037CB3"/>
    <w:rsid w:val="00037CB8"/>
    <w:rsid w:val="00037D55"/>
    <w:rsid w:val="00037D94"/>
    <w:rsid w:val="00037E6C"/>
    <w:rsid w:val="00037E99"/>
    <w:rsid w:val="00037EC3"/>
    <w:rsid w:val="00037FA3"/>
    <w:rsid w:val="00040011"/>
    <w:rsid w:val="000400FE"/>
    <w:rsid w:val="0004012E"/>
    <w:rsid w:val="00040138"/>
    <w:rsid w:val="0004028E"/>
    <w:rsid w:val="00040296"/>
    <w:rsid w:val="000402A6"/>
    <w:rsid w:val="000402B0"/>
    <w:rsid w:val="000402F9"/>
    <w:rsid w:val="0004043B"/>
    <w:rsid w:val="00040495"/>
    <w:rsid w:val="000404FC"/>
    <w:rsid w:val="00040538"/>
    <w:rsid w:val="00040552"/>
    <w:rsid w:val="00040553"/>
    <w:rsid w:val="000405D7"/>
    <w:rsid w:val="000406D3"/>
    <w:rsid w:val="000406EA"/>
    <w:rsid w:val="00040716"/>
    <w:rsid w:val="00040748"/>
    <w:rsid w:val="00040765"/>
    <w:rsid w:val="00040769"/>
    <w:rsid w:val="00040792"/>
    <w:rsid w:val="00040796"/>
    <w:rsid w:val="000407B6"/>
    <w:rsid w:val="000408DD"/>
    <w:rsid w:val="00040966"/>
    <w:rsid w:val="00040967"/>
    <w:rsid w:val="000409E4"/>
    <w:rsid w:val="00040A29"/>
    <w:rsid w:val="00040A39"/>
    <w:rsid w:val="00040A78"/>
    <w:rsid w:val="00040AA4"/>
    <w:rsid w:val="00040B42"/>
    <w:rsid w:val="00040C5C"/>
    <w:rsid w:val="00040D91"/>
    <w:rsid w:val="00040D98"/>
    <w:rsid w:val="00040E32"/>
    <w:rsid w:val="00040F27"/>
    <w:rsid w:val="00040F7B"/>
    <w:rsid w:val="00040F97"/>
    <w:rsid w:val="00040FBE"/>
    <w:rsid w:val="0004102D"/>
    <w:rsid w:val="0004109C"/>
    <w:rsid w:val="0004111F"/>
    <w:rsid w:val="00041140"/>
    <w:rsid w:val="0004114B"/>
    <w:rsid w:val="000412AA"/>
    <w:rsid w:val="000412E0"/>
    <w:rsid w:val="00041320"/>
    <w:rsid w:val="00041389"/>
    <w:rsid w:val="000413A1"/>
    <w:rsid w:val="000413B3"/>
    <w:rsid w:val="000413B6"/>
    <w:rsid w:val="000413C1"/>
    <w:rsid w:val="000413CE"/>
    <w:rsid w:val="000413DE"/>
    <w:rsid w:val="000413E6"/>
    <w:rsid w:val="0004140A"/>
    <w:rsid w:val="00041481"/>
    <w:rsid w:val="00041514"/>
    <w:rsid w:val="00041542"/>
    <w:rsid w:val="00041559"/>
    <w:rsid w:val="0004155D"/>
    <w:rsid w:val="00041561"/>
    <w:rsid w:val="000415B2"/>
    <w:rsid w:val="000415BF"/>
    <w:rsid w:val="00041670"/>
    <w:rsid w:val="000416A2"/>
    <w:rsid w:val="000416DB"/>
    <w:rsid w:val="0004173D"/>
    <w:rsid w:val="0004177A"/>
    <w:rsid w:val="00041873"/>
    <w:rsid w:val="00041961"/>
    <w:rsid w:val="000419B5"/>
    <w:rsid w:val="000419E9"/>
    <w:rsid w:val="00041A3B"/>
    <w:rsid w:val="00041A4C"/>
    <w:rsid w:val="00041A6B"/>
    <w:rsid w:val="00041A89"/>
    <w:rsid w:val="00041A91"/>
    <w:rsid w:val="00041A92"/>
    <w:rsid w:val="00041AE7"/>
    <w:rsid w:val="00041BA1"/>
    <w:rsid w:val="00041C2D"/>
    <w:rsid w:val="00041C43"/>
    <w:rsid w:val="00041D40"/>
    <w:rsid w:val="00041D72"/>
    <w:rsid w:val="00041D75"/>
    <w:rsid w:val="00041E1F"/>
    <w:rsid w:val="00041EF2"/>
    <w:rsid w:val="00041F2A"/>
    <w:rsid w:val="00041F5D"/>
    <w:rsid w:val="00041F98"/>
    <w:rsid w:val="00041FB9"/>
    <w:rsid w:val="00041FFA"/>
    <w:rsid w:val="00042055"/>
    <w:rsid w:val="0004205A"/>
    <w:rsid w:val="00042062"/>
    <w:rsid w:val="0004209F"/>
    <w:rsid w:val="000420B7"/>
    <w:rsid w:val="000420EF"/>
    <w:rsid w:val="000421CE"/>
    <w:rsid w:val="0004223E"/>
    <w:rsid w:val="0004224C"/>
    <w:rsid w:val="0004225F"/>
    <w:rsid w:val="00042286"/>
    <w:rsid w:val="00042295"/>
    <w:rsid w:val="000422A0"/>
    <w:rsid w:val="0004231C"/>
    <w:rsid w:val="00042345"/>
    <w:rsid w:val="0004234B"/>
    <w:rsid w:val="000423F2"/>
    <w:rsid w:val="00042524"/>
    <w:rsid w:val="00042547"/>
    <w:rsid w:val="00042574"/>
    <w:rsid w:val="00042645"/>
    <w:rsid w:val="00042688"/>
    <w:rsid w:val="0004268B"/>
    <w:rsid w:val="000426C2"/>
    <w:rsid w:val="000426E7"/>
    <w:rsid w:val="00042724"/>
    <w:rsid w:val="00042803"/>
    <w:rsid w:val="0004293E"/>
    <w:rsid w:val="00042970"/>
    <w:rsid w:val="00042A4D"/>
    <w:rsid w:val="00042AD7"/>
    <w:rsid w:val="00042B0D"/>
    <w:rsid w:val="00042BF2"/>
    <w:rsid w:val="00042C0C"/>
    <w:rsid w:val="00042C10"/>
    <w:rsid w:val="00042CA1"/>
    <w:rsid w:val="00042CA6"/>
    <w:rsid w:val="00042CAE"/>
    <w:rsid w:val="00042CD2"/>
    <w:rsid w:val="00042CFA"/>
    <w:rsid w:val="00042DAA"/>
    <w:rsid w:val="00042ED5"/>
    <w:rsid w:val="00042EFB"/>
    <w:rsid w:val="00042F02"/>
    <w:rsid w:val="00042F4F"/>
    <w:rsid w:val="00042FCA"/>
    <w:rsid w:val="0004303A"/>
    <w:rsid w:val="00043074"/>
    <w:rsid w:val="000430CC"/>
    <w:rsid w:val="00043101"/>
    <w:rsid w:val="00043105"/>
    <w:rsid w:val="00043154"/>
    <w:rsid w:val="0004322C"/>
    <w:rsid w:val="00043236"/>
    <w:rsid w:val="00043239"/>
    <w:rsid w:val="0004329D"/>
    <w:rsid w:val="00043378"/>
    <w:rsid w:val="000433E8"/>
    <w:rsid w:val="000433FE"/>
    <w:rsid w:val="0004341D"/>
    <w:rsid w:val="00043435"/>
    <w:rsid w:val="0004343A"/>
    <w:rsid w:val="000435AA"/>
    <w:rsid w:val="0004361D"/>
    <w:rsid w:val="00043656"/>
    <w:rsid w:val="0004369C"/>
    <w:rsid w:val="000436A9"/>
    <w:rsid w:val="0004373F"/>
    <w:rsid w:val="00043742"/>
    <w:rsid w:val="0004374C"/>
    <w:rsid w:val="0004384F"/>
    <w:rsid w:val="00043878"/>
    <w:rsid w:val="000438AB"/>
    <w:rsid w:val="000438C0"/>
    <w:rsid w:val="000438F9"/>
    <w:rsid w:val="0004395A"/>
    <w:rsid w:val="000439F3"/>
    <w:rsid w:val="00043A98"/>
    <w:rsid w:val="00043ACD"/>
    <w:rsid w:val="00043B30"/>
    <w:rsid w:val="00043B61"/>
    <w:rsid w:val="00043BAB"/>
    <w:rsid w:val="00043CC0"/>
    <w:rsid w:val="00043E28"/>
    <w:rsid w:val="00043E70"/>
    <w:rsid w:val="00043EE5"/>
    <w:rsid w:val="00043EFE"/>
    <w:rsid w:val="00043F0D"/>
    <w:rsid w:val="00043F63"/>
    <w:rsid w:val="0004404F"/>
    <w:rsid w:val="0004409F"/>
    <w:rsid w:val="000440B1"/>
    <w:rsid w:val="000440BD"/>
    <w:rsid w:val="000440C1"/>
    <w:rsid w:val="00044137"/>
    <w:rsid w:val="00044180"/>
    <w:rsid w:val="00044186"/>
    <w:rsid w:val="000441DF"/>
    <w:rsid w:val="000442E2"/>
    <w:rsid w:val="0004441F"/>
    <w:rsid w:val="00044447"/>
    <w:rsid w:val="00044462"/>
    <w:rsid w:val="00044535"/>
    <w:rsid w:val="0004456B"/>
    <w:rsid w:val="00044581"/>
    <w:rsid w:val="000446DE"/>
    <w:rsid w:val="000446E8"/>
    <w:rsid w:val="000446F4"/>
    <w:rsid w:val="00044716"/>
    <w:rsid w:val="0004471F"/>
    <w:rsid w:val="0004472B"/>
    <w:rsid w:val="0004476E"/>
    <w:rsid w:val="00044797"/>
    <w:rsid w:val="000448A9"/>
    <w:rsid w:val="000448AC"/>
    <w:rsid w:val="000448C7"/>
    <w:rsid w:val="00044914"/>
    <w:rsid w:val="0004492D"/>
    <w:rsid w:val="00044985"/>
    <w:rsid w:val="00044A8E"/>
    <w:rsid w:val="00044A92"/>
    <w:rsid w:val="00044AA9"/>
    <w:rsid w:val="00044B07"/>
    <w:rsid w:val="00044B28"/>
    <w:rsid w:val="00044BDF"/>
    <w:rsid w:val="00044C05"/>
    <w:rsid w:val="00044C10"/>
    <w:rsid w:val="00044CCC"/>
    <w:rsid w:val="00044D6F"/>
    <w:rsid w:val="00044DF9"/>
    <w:rsid w:val="00044E16"/>
    <w:rsid w:val="00044E3A"/>
    <w:rsid w:val="00044E63"/>
    <w:rsid w:val="00044F5D"/>
    <w:rsid w:val="00044FC9"/>
    <w:rsid w:val="00045117"/>
    <w:rsid w:val="00045153"/>
    <w:rsid w:val="0004518A"/>
    <w:rsid w:val="00045194"/>
    <w:rsid w:val="0004538D"/>
    <w:rsid w:val="000453E2"/>
    <w:rsid w:val="00045423"/>
    <w:rsid w:val="0004546E"/>
    <w:rsid w:val="000454AD"/>
    <w:rsid w:val="00045509"/>
    <w:rsid w:val="00045547"/>
    <w:rsid w:val="000455A6"/>
    <w:rsid w:val="0004567C"/>
    <w:rsid w:val="000456DF"/>
    <w:rsid w:val="000457C7"/>
    <w:rsid w:val="00045838"/>
    <w:rsid w:val="000458C8"/>
    <w:rsid w:val="000458CD"/>
    <w:rsid w:val="0004590D"/>
    <w:rsid w:val="000459D4"/>
    <w:rsid w:val="00045A23"/>
    <w:rsid w:val="00045AA6"/>
    <w:rsid w:val="00045AD0"/>
    <w:rsid w:val="00045B00"/>
    <w:rsid w:val="00045B04"/>
    <w:rsid w:val="00045B0B"/>
    <w:rsid w:val="00045B32"/>
    <w:rsid w:val="00045B94"/>
    <w:rsid w:val="00045BDD"/>
    <w:rsid w:val="00045BDE"/>
    <w:rsid w:val="00045C70"/>
    <w:rsid w:val="00045CA0"/>
    <w:rsid w:val="00045D93"/>
    <w:rsid w:val="00045DC7"/>
    <w:rsid w:val="00045E5F"/>
    <w:rsid w:val="00045E7D"/>
    <w:rsid w:val="00045FD9"/>
    <w:rsid w:val="00046001"/>
    <w:rsid w:val="00046016"/>
    <w:rsid w:val="000460B0"/>
    <w:rsid w:val="000461B9"/>
    <w:rsid w:val="000461FB"/>
    <w:rsid w:val="00046247"/>
    <w:rsid w:val="00046283"/>
    <w:rsid w:val="00046285"/>
    <w:rsid w:val="000462E3"/>
    <w:rsid w:val="000463B4"/>
    <w:rsid w:val="000463B7"/>
    <w:rsid w:val="000463FB"/>
    <w:rsid w:val="00046428"/>
    <w:rsid w:val="0004647F"/>
    <w:rsid w:val="000464AE"/>
    <w:rsid w:val="000464FE"/>
    <w:rsid w:val="0004650F"/>
    <w:rsid w:val="000465AB"/>
    <w:rsid w:val="0004663F"/>
    <w:rsid w:val="000466C3"/>
    <w:rsid w:val="000466E9"/>
    <w:rsid w:val="00046737"/>
    <w:rsid w:val="0004676F"/>
    <w:rsid w:val="00046786"/>
    <w:rsid w:val="000467A9"/>
    <w:rsid w:val="000467FF"/>
    <w:rsid w:val="0004684C"/>
    <w:rsid w:val="00046916"/>
    <w:rsid w:val="0004693E"/>
    <w:rsid w:val="00046A0E"/>
    <w:rsid w:val="00046A1C"/>
    <w:rsid w:val="00046A22"/>
    <w:rsid w:val="00046B03"/>
    <w:rsid w:val="00046B0F"/>
    <w:rsid w:val="00046B1F"/>
    <w:rsid w:val="00046B26"/>
    <w:rsid w:val="00046B2F"/>
    <w:rsid w:val="00046B55"/>
    <w:rsid w:val="00046B77"/>
    <w:rsid w:val="00046BA4"/>
    <w:rsid w:val="00046C08"/>
    <w:rsid w:val="00046C52"/>
    <w:rsid w:val="00046CDA"/>
    <w:rsid w:val="00046D60"/>
    <w:rsid w:val="00046D62"/>
    <w:rsid w:val="00046DA5"/>
    <w:rsid w:val="00046DE9"/>
    <w:rsid w:val="00046DF2"/>
    <w:rsid w:val="00046E72"/>
    <w:rsid w:val="00046E9D"/>
    <w:rsid w:val="00046EBD"/>
    <w:rsid w:val="00046EDC"/>
    <w:rsid w:val="00046FBC"/>
    <w:rsid w:val="000470C4"/>
    <w:rsid w:val="000470DA"/>
    <w:rsid w:val="00047125"/>
    <w:rsid w:val="00047145"/>
    <w:rsid w:val="000471BF"/>
    <w:rsid w:val="00047240"/>
    <w:rsid w:val="00047290"/>
    <w:rsid w:val="000473F9"/>
    <w:rsid w:val="00047422"/>
    <w:rsid w:val="00047427"/>
    <w:rsid w:val="000474F0"/>
    <w:rsid w:val="000475AA"/>
    <w:rsid w:val="000477A5"/>
    <w:rsid w:val="000477B6"/>
    <w:rsid w:val="000477D6"/>
    <w:rsid w:val="000477ED"/>
    <w:rsid w:val="000477FB"/>
    <w:rsid w:val="00047851"/>
    <w:rsid w:val="0004787A"/>
    <w:rsid w:val="00047880"/>
    <w:rsid w:val="000478A7"/>
    <w:rsid w:val="000478BD"/>
    <w:rsid w:val="00047918"/>
    <w:rsid w:val="0004795F"/>
    <w:rsid w:val="00047A1B"/>
    <w:rsid w:val="00047A6A"/>
    <w:rsid w:val="00047B05"/>
    <w:rsid w:val="00047B7B"/>
    <w:rsid w:val="00047B98"/>
    <w:rsid w:val="00047C47"/>
    <w:rsid w:val="00047C6D"/>
    <w:rsid w:val="00047D04"/>
    <w:rsid w:val="00047D45"/>
    <w:rsid w:val="00047D5E"/>
    <w:rsid w:val="00047D66"/>
    <w:rsid w:val="00047D6E"/>
    <w:rsid w:val="00047D82"/>
    <w:rsid w:val="00047EBF"/>
    <w:rsid w:val="00047EE0"/>
    <w:rsid w:val="00047F05"/>
    <w:rsid w:val="00047F60"/>
    <w:rsid w:val="00047F80"/>
    <w:rsid w:val="00047F8F"/>
    <w:rsid w:val="000500B2"/>
    <w:rsid w:val="0005019E"/>
    <w:rsid w:val="000501F7"/>
    <w:rsid w:val="00050289"/>
    <w:rsid w:val="000502A4"/>
    <w:rsid w:val="000502AA"/>
    <w:rsid w:val="000502BD"/>
    <w:rsid w:val="000502C7"/>
    <w:rsid w:val="000502EA"/>
    <w:rsid w:val="000502F8"/>
    <w:rsid w:val="0005031B"/>
    <w:rsid w:val="000503D7"/>
    <w:rsid w:val="0005040E"/>
    <w:rsid w:val="00050446"/>
    <w:rsid w:val="00050496"/>
    <w:rsid w:val="000504A0"/>
    <w:rsid w:val="000504BC"/>
    <w:rsid w:val="00050504"/>
    <w:rsid w:val="00050510"/>
    <w:rsid w:val="0005058C"/>
    <w:rsid w:val="00050592"/>
    <w:rsid w:val="000505E8"/>
    <w:rsid w:val="00050633"/>
    <w:rsid w:val="0005065B"/>
    <w:rsid w:val="000506AB"/>
    <w:rsid w:val="000507CB"/>
    <w:rsid w:val="00050808"/>
    <w:rsid w:val="000509CF"/>
    <w:rsid w:val="000509F9"/>
    <w:rsid w:val="00050A08"/>
    <w:rsid w:val="00050A0D"/>
    <w:rsid w:val="00050A3D"/>
    <w:rsid w:val="00050A7D"/>
    <w:rsid w:val="00050ABC"/>
    <w:rsid w:val="00050ADD"/>
    <w:rsid w:val="00050B22"/>
    <w:rsid w:val="00050B45"/>
    <w:rsid w:val="00050BCD"/>
    <w:rsid w:val="00050C46"/>
    <w:rsid w:val="00050CBA"/>
    <w:rsid w:val="00050DC4"/>
    <w:rsid w:val="00050E7D"/>
    <w:rsid w:val="00050F52"/>
    <w:rsid w:val="00050FCB"/>
    <w:rsid w:val="00050FE5"/>
    <w:rsid w:val="0005101D"/>
    <w:rsid w:val="000510CE"/>
    <w:rsid w:val="000510EA"/>
    <w:rsid w:val="000512AD"/>
    <w:rsid w:val="000512FE"/>
    <w:rsid w:val="00051341"/>
    <w:rsid w:val="00051419"/>
    <w:rsid w:val="00051420"/>
    <w:rsid w:val="00051426"/>
    <w:rsid w:val="00051562"/>
    <w:rsid w:val="00051643"/>
    <w:rsid w:val="000516CD"/>
    <w:rsid w:val="00051784"/>
    <w:rsid w:val="0005178A"/>
    <w:rsid w:val="0005179D"/>
    <w:rsid w:val="000517E2"/>
    <w:rsid w:val="0005181B"/>
    <w:rsid w:val="0005188E"/>
    <w:rsid w:val="00051891"/>
    <w:rsid w:val="000518DA"/>
    <w:rsid w:val="0005191C"/>
    <w:rsid w:val="0005191F"/>
    <w:rsid w:val="000519BE"/>
    <w:rsid w:val="000519EE"/>
    <w:rsid w:val="00051A56"/>
    <w:rsid w:val="00051AEC"/>
    <w:rsid w:val="00051B5A"/>
    <w:rsid w:val="00051BE8"/>
    <w:rsid w:val="00051C8B"/>
    <w:rsid w:val="00051CB4"/>
    <w:rsid w:val="00051CE2"/>
    <w:rsid w:val="00051CF8"/>
    <w:rsid w:val="00051D78"/>
    <w:rsid w:val="00051DF3"/>
    <w:rsid w:val="00051E56"/>
    <w:rsid w:val="00051EAE"/>
    <w:rsid w:val="00051EB8"/>
    <w:rsid w:val="00051EE2"/>
    <w:rsid w:val="0005206F"/>
    <w:rsid w:val="000520AF"/>
    <w:rsid w:val="00052103"/>
    <w:rsid w:val="0005211B"/>
    <w:rsid w:val="00052151"/>
    <w:rsid w:val="00052251"/>
    <w:rsid w:val="00052261"/>
    <w:rsid w:val="000522E7"/>
    <w:rsid w:val="000522EF"/>
    <w:rsid w:val="000522F3"/>
    <w:rsid w:val="000523E9"/>
    <w:rsid w:val="000523FE"/>
    <w:rsid w:val="000524D4"/>
    <w:rsid w:val="00052556"/>
    <w:rsid w:val="000525CE"/>
    <w:rsid w:val="000525F5"/>
    <w:rsid w:val="000526B0"/>
    <w:rsid w:val="00052724"/>
    <w:rsid w:val="0005273D"/>
    <w:rsid w:val="00052778"/>
    <w:rsid w:val="000527B3"/>
    <w:rsid w:val="00052818"/>
    <w:rsid w:val="0005281F"/>
    <w:rsid w:val="00052861"/>
    <w:rsid w:val="000528A0"/>
    <w:rsid w:val="0005294F"/>
    <w:rsid w:val="000529C3"/>
    <w:rsid w:val="00052A68"/>
    <w:rsid w:val="00052AAC"/>
    <w:rsid w:val="00052B2A"/>
    <w:rsid w:val="00052B57"/>
    <w:rsid w:val="00052B63"/>
    <w:rsid w:val="00052B76"/>
    <w:rsid w:val="00052B81"/>
    <w:rsid w:val="00052BA1"/>
    <w:rsid w:val="00052BC2"/>
    <w:rsid w:val="00052C06"/>
    <w:rsid w:val="00052C0F"/>
    <w:rsid w:val="00052C12"/>
    <w:rsid w:val="00052C3D"/>
    <w:rsid w:val="00052CE8"/>
    <w:rsid w:val="00052D1B"/>
    <w:rsid w:val="00052D53"/>
    <w:rsid w:val="00052D8B"/>
    <w:rsid w:val="00052EBB"/>
    <w:rsid w:val="00052EDC"/>
    <w:rsid w:val="00052F2C"/>
    <w:rsid w:val="00052F2E"/>
    <w:rsid w:val="00052F5A"/>
    <w:rsid w:val="00052FB2"/>
    <w:rsid w:val="00052FD4"/>
    <w:rsid w:val="00053090"/>
    <w:rsid w:val="0005309E"/>
    <w:rsid w:val="000530E2"/>
    <w:rsid w:val="0005313F"/>
    <w:rsid w:val="00053152"/>
    <w:rsid w:val="00053197"/>
    <w:rsid w:val="00053283"/>
    <w:rsid w:val="000532FE"/>
    <w:rsid w:val="00053348"/>
    <w:rsid w:val="00053456"/>
    <w:rsid w:val="00053466"/>
    <w:rsid w:val="000534D7"/>
    <w:rsid w:val="000534FA"/>
    <w:rsid w:val="000535B0"/>
    <w:rsid w:val="000535B4"/>
    <w:rsid w:val="000535BF"/>
    <w:rsid w:val="000535F1"/>
    <w:rsid w:val="0005368F"/>
    <w:rsid w:val="000536A8"/>
    <w:rsid w:val="000536C6"/>
    <w:rsid w:val="000536CB"/>
    <w:rsid w:val="000536FF"/>
    <w:rsid w:val="00053777"/>
    <w:rsid w:val="000537C5"/>
    <w:rsid w:val="00053916"/>
    <w:rsid w:val="0005399A"/>
    <w:rsid w:val="000539BD"/>
    <w:rsid w:val="000539C9"/>
    <w:rsid w:val="00053B25"/>
    <w:rsid w:val="00053B5A"/>
    <w:rsid w:val="00053B95"/>
    <w:rsid w:val="00053BBB"/>
    <w:rsid w:val="00053BCE"/>
    <w:rsid w:val="00053BF7"/>
    <w:rsid w:val="00053C45"/>
    <w:rsid w:val="00053C5A"/>
    <w:rsid w:val="00053CC0"/>
    <w:rsid w:val="00053CD3"/>
    <w:rsid w:val="00053D17"/>
    <w:rsid w:val="00053D87"/>
    <w:rsid w:val="00053DDA"/>
    <w:rsid w:val="00053DE5"/>
    <w:rsid w:val="00053E56"/>
    <w:rsid w:val="00053EA5"/>
    <w:rsid w:val="00053EC2"/>
    <w:rsid w:val="00053EE4"/>
    <w:rsid w:val="00053F3B"/>
    <w:rsid w:val="00053F44"/>
    <w:rsid w:val="00053F94"/>
    <w:rsid w:val="00053FAD"/>
    <w:rsid w:val="00053FBE"/>
    <w:rsid w:val="00053FE6"/>
    <w:rsid w:val="00054041"/>
    <w:rsid w:val="000541BC"/>
    <w:rsid w:val="000541FE"/>
    <w:rsid w:val="0005422E"/>
    <w:rsid w:val="000542B3"/>
    <w:rsid w:val="000542BB"/>
    <w:rsid w:val="000542C5"/>
    <w:rsid w:val="000542E7"/>
    <w:rsid w:val="00054340"/>
    <w:rsid w:val="00054342"/>
    <w:rsid w:val="00054397"/>
    <w:rsid w:val="000543D7"/>
    <w:rsid w:val="00054454"/>
    <w:rsid w:val="0005447E"/>
    <w:rsid w:val="000544F4"/>
    <w:rsid w:val="0005455E"/>
    <w:rsid w:val="00054560"/>
    <w:rsid w:val="0005457B"/>
    <w:rsid w:val="0005457E"/>
    <w:rsid w:val="000545DB"/>
    <w:rsid w:val="00054631"/>
    <w:rsid w:val="0005463E"/>
    <w:rsid w:val="00054845"/>
    <w:rsid w:val="00054849"/>
    <w:rsid w:val="000548BF"/>
    <w:rsid w:val="00054924"/>
    <w:rsid w:val="00054932"/>
    <w:rsid w:val="00054A34"/>
    <w:rsid w:val="00054A7B"/>
    <w:rsid w:val="00054AC7"/>
    <w:rsid w:val="00054AF1"/>
    <w:rsid w:val="00054B2E"/>
    <w:rsid w:val="00054B5A"/>
    <w:rsid w:val="00054B97"/>
    <w:rsid w:val="00054C10"/>
    <w:rsid w:val="00054C41"/>
    <w:rsid w:val="00054C45"/>
    <w:rsid w:val="00054C55"/>
    <w:rsid w:val="00054C8A"/>
    <w:rsid w:val="00054D59"/>
    <w:rsid w:val="00054E8F"/>
    <w:rsid w:val="00054F5E"/>
    <w:rsid w:val="00054FA2"/>
    <w:rsid w:val="00054FFB"/>
    <w:rsid w:val="00055009"/>
    <w:rsid w:val="00055033"/>
    <w:rsid w:val="0005506B"/>
    <w:rsid w:val="000550C2"/>
    <w:rsid w:val="0005514B"/>
    <w:rsid w:val="0005522A"/>
    <w:rsid w:val="000552F0"/>
    <w:rsid w:val="000552F9"/>
    <w:rsid w:val="00055360"/>
    <w:rsid w:val="000553DC"/>
    <w:rsid w:val="000553F4"/>
    <w:rsid w:val="00055422"/>
    <w:rsid w:val="00055515"/>
    <w:rsid w:val="0005559F"/>
    <w:rsid w:val="000555DE"/>
    <w:rsid w:val="0005560C"/>
    <w:rsid w:val="00055615"/>
    <w:rsid w:val="0005563B"/>
    <w:rsid w:val="000556FF"/>
    <w:rsid w:val="00055753"/>
    <w:rsid w:val="0005578F"/>
    <w:rsid w:val="000557D3"/>
    <w:rsid w:val="0005581B"/>
    <w:rsid w:val="00055844"/>
    <w:rsid w:val="000558C2"/>
    <w:rsid w:val="000558E7"/>
    <w:rsid w:val="0005599D"/>
    <w:rsid w:val="00055A20"/>
    <w:rsid w:val="00055A42"/>
    <w:rsid w:val="00055ADC"/>
    <w:rsid w:val="00055B2D"/>
    <w:rsid w:val="00055B94"/>
    <w:rsid w:val="00055BB7"/>
    <w:rsid w:val="00055C66"/>
    <w:rsid w:val="00055C80"/>
    <w:rsid w:val="00055CF5"/>
    <w:rsid w:val="00055D03"/>
    <w:rsid w:val="00055D2C"/>
    <w:rsid w:val="00055D75"/>
    <w:rsid w:val="00055F40"/>
    <w:rsid w:val="00055F62"/>
    <w:rsid w:val="00055FBA"/>
    <w:rsid w:val="00055FDA"/>
    <w:rsid w:val="00055FE1"/>
    <w:rsid w:val="00056017"/>
    <w:rsid w:val="0005604E"/>
    <w:rsid w:val="000560EB"/>
    <w:rsid w:val="0005615C"/>
    <w:rsid w:val="000561AB"/>
    <w:rsid w:val="000561D7"/>
    <w:rsid w:val="00056301"/>
    <w:rsid w:val="00056486"/>
    <w:rsid w:val="000565A0"/>
    <w:rsid w:val="0005661D"/>
    <w:rsid w:val="00056674"/>
    <w:rsid w:val="000566D0"/>
    <w:rsid w:val="00056725"/>
    <w:rsid w:val="00056745"/>
    <w:rsid w:val="0005674C"/>
    <w:rsid w:val="0005687D"/>
    <w:rsid w:val="000568E3"/>
    <w:rsid w:val="00056A4F"/>
    <w:rsid w:val="00056A84"/>
    <w:rsid w:val="00056B66"/>
    <w:rsid w:val="00056B78"/>
    <w:rsid w:val="00056C4A"/>
    <w:rsid w:val="00056C66"/>
    <w:rsid w:val="00056D1D"/>
    <w:rsid w:val="00056D24"/>
    <w:rsid w:val="00056D9A"/>
    <w:rsid w:val="00056DA8"/>
    <w:rsid w:val="00056DEC"/>
    <w:rsid w:val="00056E29"/>
    <w:rsid w:val="00056EB0"/>
    <w:rsid w:val="00056F3B"/>
    <w:rsid w:val="00056FEE"/>
    <w:rsid w:val="000570C8"/>
    <w:rsid w:val="00057189"/>
    <w:rsid w:val="000571D7"/>
    <w:rsid w:val="0005720A"/>
    <w:rsid w:val="0005725F"/>
    <w:rsid w:val="00057288"/>
    <w:rsid w:val="000572CB"/>
    <w:rsid w:val="000572D4"/>
    <w:rsid w:val="000572E5"/>
    <w:rsid w:val="0005730A"/>
    <w:rsid w:val="000573A6"/>
    <w:rsid w:val="0005742E"/>
    <w:rsid w:val="000574D1"/>
    <w:rsid w:val="000575AB"/>
    <w:rsid w:val="000575E5"/>
    <w:rsid w:val="000575E8"/>
    <w:rsid w:val="000576AC"/>
    <w:rsid w:val="000576BB"/>
    <w:rsid w:val="000576C5"/>
    <w:rsid w:val="000576D2"/>
    <w:rsid w:val="000576F7"/>
    <w:rsid w:val="000576F9"/>
    <w:rsid w:val="00057717"/>
    <w:rsid w:val="00057749"/>
    <w:rsid w:val="0005779A"/>
    <w:rsid w:val="000577FA"/>
    <w:rsid w:val="00057825"/>
    <w:rsid w:val="00057859"/>
    <w:rsid w:val="000578ED"/>
    <w:rsid w:val="00057904"/>
    <w:rsid w:val="00057928"/>
    <w:rsid w:val="000579C0"/>
    <w:rsid w:val="00057ABA"/>
    <w:rsid w:val="00057AC2"/>
    <w:rsid w:val="00057B01"/>
    <w:rsid w:val="00057B04"/>
    <w:rsid w:val="00057B0A"/>
    <w:rsid w:val="00057B14"/>
    <w:rsid w:val="00057B1F"/>
    <w:rsid w:val="00057C6B"/>
    <w:rsid w:val="00057CA7"/>
    <w:rsid w:val="00057CB5"/>
    <w:rsid w:val="00057CEC"/>
    <w:rsid w:val="00057D71"/>
    <w:rsid w:val="00057DA5"/>
    <w:rsid w:val="00057DBA"/>
    <w:rsid w:val="00057DBE"/>
    <w:rsid w:val="00057E09"/>
    <w:rsid w:val="00057F6F"/>
    <w:rsid w:val="00057FA1"/>
    <w:rsid w:val="00057FB9"/>
    <w:rsid w:val="0006003D"/>
    <w:rsid w:val="0006003F"/>
    <w:rsid w:val="00060042"/>
    <w:rsid w:val="0006005C"/>
    <w:rsid w:val="00060071"/>
    <w:rsid w:val="00060138"/>
    <w:rsid w:val="00060140"/>
    <w:rsid w:val="0006019E"/>
    <w:rsid w:val="000601B4"/>
    <w:rsid w:val="0006021A"/>
    <w:rsid w:val="00060251"/>
    <w:rsid w:val="00060255"/>
    <w:rsid w:val="000602FA"/>
    <w:rsid w:val="00060359"/>
    <w:rsid w:val="0006039C"/>
    <w:rsid w:val="0006040B"/>
    <w:rsid w:val="00060418"/>
    <w:rsid w:val="0006047E"/>
    <w:rsid w:val="00060493"/>
    <w:rsid w:val="000604CC"/>
    <w:rsid w:val="0006061D"/>
    <w:rsid w:val="00060627"/>
    <w:rsid w:val="0006063B"/>
    <w:rsid w:val="00060693"/>
    <w:rsid w:val="000606B7"/>
    <w:rsid w:val="000606E9"/>
    <w:rsid w:val="00060717"/>
    <w:rsid w:val="0006076C"/>
    <w:rsid w:val="0006078B"/>
    <w:rsid w:val="000607D1"/>
    <w:rsid w:val="00060881"/>
    <w:rsid w:val="00060897"/>
    <w:rsid w:val="000608CC"/>
    <w:rsid w:val="00060913"/>
    <w:rsid w:val="00060940"/>
    <w:rsid w:val="000609C2"/>
    <w:rsid w:val="00060A03"/>
    <w:rsid w:val="00060A56"/>
    <w:rsid w:val="00060A9A"/>
    <w:rsid w:val="00060AA6"/>
    <w:rsid w:val="00060B1C"/>
    <w:rsid w:val="00060B22"/>
    <w:rsid w:val="00060B52"/>
    <w:rsid w:val="00060B74"/>
    <w:rsid w:val="00060B9B"/>
    <w:rsid w:val="00060C4B"/>
    <w:rsid w:val="00060CF1"/>
    <w:rsid w:val="00060D20"/>
    <w:rsid w:val="00060E20"/>
    <w:rsid w:val="00060EC6"/>
    <w:rsid w:val="00060ECE"/>
    <w:rsid w:val="00060F2F"/>
    <w:rsid w:val="00060F49"/>
    <w:rsid w:val="00060FAE"/>
    <w:rsid w:val="00061027"/>
    <w:rsid w:val="00061047"/>
    <w:rsid w:val="0006129D"/>
    <w:rsid w:val="000612BD"/>
    <w:rsid w:val="00061376"/>
    <w:rsid w:val="0006141D"/>
    <w:rsid w:val="00061421"/>
    <w:rsid w:val="0006142B"/>
    <w:rsid w:val="00061440"/>
    <w:rsid w:val="00061490"/>
    <w:rsid w:val="000614AA"/>
    <w:rsid w:val="000614C7"/>
    <w:rsid w:val="0006155A"/>
    <w:rsid w:val="0006155C"/>
    <w:rsid w:val="0006156A"/>
    <w:rsid w:val="000616DA"/>
    <w:rsid w:val="00061706"/>
    <w:rsid w:val="00061710"/>
    <w:rsid w:val="00061728"/>
    <w:rsid w:val="00061747"/>
    <w:rsid w:val="0006178A"/>
    <w:rsid w:val="00061833"/>
    <w:rsid w:val="0006183A"/>
    <w:rsid w:val="000618AC"/>
    <w:rsid w:val="000618C8"/>
    <w:rsid w:val="00061AAB"/>
    <w:rsid w:val="00061B25"/>
    <w:rsid w:val="00061B36"/>
    <w:rsid w:val="00061B5F"/>
    <w:rsid w:val="00061BD4"/>
    <w:rsid w:val="00061C22"/>
    <w:rsid w:val="00061C45"/>
    <w:rsid w:val="00061CF6"/>
    <w:rsid w:val="00061D6A"/>
    <w:rsid w:val="00061EC9"/>
    <w:rsid w:val="00061EDF"/>
    <w:rsid w:val="00061F18"/>
    <w:rsid w:val="00062007"/>
    <w:rsid w:val="00062069"/>
    <w:rsid w:val="00062082"/>
    <w:rsid w:val="00062091"/>
    <w:rsid w:val="0006222E"/>
    <w:rsid w:val="000622C1"/>
    <w:rsid w:val="000622DF"/>
    <w:rsid w:val="0006231B"/>
    <w:rsid w:val="00062380"/>
    <w:rsid w:val="0006238D"/>
    <w:rsid w:val="000623DE"/>
    <w:rsid w:val="000623FF"/>
    <w:rsid w:val="00062498"/>
    <w:rsid w:val="000624B9"/>
    <w:rsid w:val="000624D3"/>
    <w:rsid w:val="000624E2"/>
    <w:rsid w:val="00062514"/>
    <w:rsid w:val="0006256A"/>
    <w:rsid w:val="000625EC"/>
    <w:rsid w:val="00062632"/>
    <w:rsid w:val="0006264C"/>
    <w:rsid w:val="0006271A"/>
    <w:rsid w:val="00062766"/>
    <w:rsid w:val="000627A8"/>
    <w:rsid w:val="0006282E"/>
    <w:rsid w:val="00062850"/>
    <w:rsid w:val="00062883"/>
    <w:rsid w:val="000628AB"/>
    <w:rsid w:val="000628D3"/>
    <w:rsid w:val="00062992"/>
    <w:rsid w:val="000629DA"/>
    <w:rsid w:val="00062A0A"/>
    <w:rsid w:val="00062A25"/>
    <w:rsid w:val="00062A93"/>
    <w:rsid w:val="00062B15"/>
    <w:rsid w:val="00062C14"/>
    <w:rsid w:val="00062C31"/>
    <w:rsid w:val="00062C35"/>
    <w:rsid w:val="00062C42"/>
    <w:rsid w:val="00062D0F"/>
    <w:rsid w:val="00062D9F"/>
    <w:rsid w:val="00062E2C"/>
    <w:rsid w:val="00062E56"/>
    <w:rsid w:val="00062E91"/>
    <w:rsid w:val="00062EAF"/>
    <w:rsid w:val="00062FAE"/>
    <w:rsid w:val="00062FDD"/>
    <w:rsid w:val="00063014"/>
    <w:rsid w:val="00063092"/>
    <w:rsid w:val="000632B8"/>
    <w:rsid w:val="000632DD"/>
    <w:rsid w:val="00063371"/>
    <w:rsid w:val="00063388"/>
    <w:rsid w:val="000633F1"/>
    <w:rsid w:val="000634D1"/>
    <w:rsid w:val="0006362A"/>
    <w:rsid w:val="0006366D"/>
    <w:rsid w:val="00063690"/>
    <w:rsid w:val="000636E2"/>
    <w:rsid w:val="00063723"/>
    <w:rsid w:val="00063752"/>
    <w:rsid w:val="00063829"/>
    <w:rsid w:val="0006387D"/>
    <w:rsid w:val="00063896"/>
    <w:rsid w:val="000638FD"/>
    <w:rsid w:val="0006399F"/>
    <w:rsid w:val="00063A39"/>
    <w:rsid w:val="00063AC1"/>
    <w:rsid w:val="00063B09"/>
    <w:rsid w:val="00063B6E"/>
    <w:rsid w:val="00063B96"/>
    <w:rsid w:val="00063BAC"/>
    <w:rsid w:val="00063C2E"/>
    <w:rsid w:val="00063E5F"/>
    <w:rsid w:val="00063E91"/>
    <w:rsid w:val="00063F4C"/>
    <w:rsid w:val="00063F67"/>
    <w:rsid w:val="00063F8B"/>
    <w:rsid w:val="00063FBA"/>
    <w:rsid w:val="00063FD9"/>
    <w:rsid w:val="000640BA"/>
    <w:rsid w:val="00064100"/>
    <w:rsid w:val="000641EC"/>
    <w:rsid w:val="000641F4"/>
    <w:rsid w:val="00064200"/>
    <w:rsid w:val="00064286"/>
    <w:rsid w:val="00064288"/>
    <w:rsid w:val="000642E6"/>
    <w:rsid w:val="00064337"/>
    <w:rsid w:val="00064348"/>
    <w:rsid w:val="00064350"/>
    <w:rsid w:val="000643DF"/>
    <w:rsid w:val="000643EA"/>
    <w:rsid w:val="000644B5"/>
    <w:rsid w:val="000644FF"/>
    <w:rsid w:val="0006461C"/>
    <w:rsid w:val="00064669"/>
    <w:rsid w:val="00064737"/>
    <w:rsid w:val="000647A1"/>
    <w:rsid w:val="000647B8"/>
    <w:rsid w:val="000647C3"/>
    <w:rsid w:val="000647ED"/>
    <w:rsid w:val="000647F4"/>
    <w:rsid w:val="00064804"/>
    <w:rsid w:val="00064841"/>
    <w:rsid w:val="000648AA"/>
    <w:rsid w:val="000648FA"/>
    <w:rsid w:val="0006494C"/>
    <w:rsid w:val="0006494E"/>
    <w:rsid w:val="00064967"/>
    <w:rsid w:val="000649B7"/>
    <w:rsid w:val="00064A88"/>
    <w:rsid w:val="00064AE1"/>
    <w:rsid w:val="00064B16"/>
    <w:rsid w:val="00064B5E"/>
    <w:rsid w:val="00064B62"/>
    <w:rsid w:val="00064BA8"/>
    <w:rsid w:val="00064BEE"/>
    <w:rsid w:val="00064C38"/>
    <w:rsid w:val="00064D4F"/>
    <w:rsid w:val="00064DB6"/>
    <w:rsid w:val="00064DCA"/>
    <w:rsid w:val="00064E60"/>
    <w:rsid w:val="00064EE1"/>
    <w:rsid w:val="00064F7E"/>
    <w:rsid w:val="00064FCE"/>
    <w:rsid w:val="0006500D"/>
    <w:rsid w:val="00065036"/>
    <w:rsid w:val="000650E2"/>
    <w:rsid w:val="00065130"/>
    <w:rsid w:val="00065283"/>
    <w:rsid w:val="000653DD"/>
    <w:rsid w:val="00065463"/>
    <w:rsid w:val="0006553F"/>
    <w:rsid w:val="00065562"/>
    <w:rsid w:val="00065597"/>
    <w:rsid w:val="000655C6"/>
    <w:rsid w:val="000655E2"/>
    <w:rsid w:val="00065608"/>
    <w:rsid w:val="0006563D"/>
    <w:rsid w:val="000656DA"/>
    <w:rsid w:val="000657CC"/>
    <w:rsid w:val="00065864"/>
    <w:rsid w:val="000658D5"/>
    <w:rsid w:val="000658E9"/>
    <w:rsid w:val="00065910"/>
    <w:rsid w:val="00065934"/>
    <w:rsid w:val="00065945"/>
    <w:rsid w:val="0006597C"/>
    <w:rsid w:val="0006597E"/>
    <w:rsid w:val="000659D0"/>
    <w:rsid w:val="00065A7D"/>
    <w:rsid w:val="00065AB1"/>
    <w:rsid w:val="00065ABE"/>
    <w:rsid w:val="00065B92"/>
    <w:rsid w:val="00065CF5"/>
    <w:rsid w:val="00065D82"/>
    <w:rsid w:val="00065D97"/>
    <w:rsid w:val="00065DC3"/>
    <w:rsid w:val="00065E05"/>
    <w:rsid w:val="00065E71"/>
    <w:rsid w:val="00065EA0"/>
    <w:rsid w:val="00065F11"/>
    <w:rsid w:val="00065F27"/>
    <w:rsid w:val="00065F8A"/>
    <w:rsid w:val="000660AE"/>
    <w:rsid w:val="00066134"/>
    <w:rsid w:val="00066286"/>
    <w:rsid w:val="00066290"/>
    <w:rsid w:val="00066299"/>
    <w:rsid w:val="000662AF"/>
    <w:rsid w:val="000662E7"/>
    <w:rsid w:val="0006630D"/>
    <w:rsid w:val="0006632F"/>
    <w:rsid w:val="00066370"/>
    <w:rsid w:val="000663BE"/>
    <w:rsid w:val="00066434"/>
    <w:rsid w:val="00066447"/>
    <w:rsid w:val="0006647B"/>
    <w:rsid w:val="000665A6"/>
    <w:rsid w:val="0006663B"/>
    <w:rsid w:val="000666CF"/>
    <w:rsid w:val="00066704"/>
    <w:rsid w:val="00066797"/>
    <w:rsid w:val="00066830"/>
    <w:rsid w:val="0006684B"/>
    <w:rsid w:val="000668B1"/>
    <w:rsid w:val="000668C4"/>
    <w:rsid w:val="000668D2"/>
    <w:rsid w:val="000669AC"/>
    <w:rsid w:val="00066A81"/>
    <w:rsid w:val="00066B19"/>
    <w:rsid w:val="00066BAF"/>
    <w:rsid w:val="00066BDC"/>
    <w:rsid w:val="00066C8E"/>
    <w:rsid w:val="00066DE9"/>
    <w:rsid w:val="00066E2E"/>
    <w:rsid w:val="00066E79"/>
    <w:rsid w:val="00066F90"/>
    <w:rsid w:val="00066FA1"/>
    <w:rsid w:val="00067079"/>
    <w:rsid w:val="00067162"/>
    <w:rsid w:val="000671CD"/>
    <w:rsid w:val="000671F9"/>
    <w:rsid w:val="00067208"/>
    <w:rsid w:val="00067253"/>
    <w:rsid w:val="00067321"/>
    <w:rsid w:val="00067343"/>
    <w:rsid w:val="00067401"/>
    <w:rsid w:val="000674F4"/>
    <w:rsid w:val="0006751C"/>
    <w:rsid w:val="0006756C"/>
    <w:rsid w:val="00067580"/>
    <w:rsid w:val="000675B8"/>
    <w:rsid w:val="000675CA"/>
    <w:rsid w:val="0006762A"/>
    <w:rsid w:val="0006763C"/>
    <w:rsid w:val="00067652"/>
    <w:rsid w:val="00067671"/>
    <w:rsid w:val="00067706"/>
    <w:rsid w:val="00067731"/>
    <w:rsid w:val="000677C5"/>
    <w:rsid w:val="00067839"/>
    <w:rsid w:val="000678D1"/>
    <w:rsid w:val="00067994"/>
    <w:rsid w:val="00067A34"/>
    <w:rsid w:val="00067A6E"/>
    <w:rsid w:val="00067AAA"/>
    <w:rsid w:val="00067ACA"/>
    <w:rsid w:val="00067B5C"/>
    <w:rsid w:val="00067BC8"/>
    <w:rsid w:val="00067BFA"/>
    <w:rsid w:val="00067CE3"/>
    <w:rsid w:val="00067D9C"/>
    <w:rsid w:val="00067DCB"/>
    <w:rsid w:val="00067E15"/>
    <w:rsid w:val="00067E1C"/>
    <w:rsid w:val="00067E5D"/>
    <w:rsid w:val="00067E74"/>
    <w:rsid w:val="00067EAA"/>
    <w:rsid w:val="00067F64"/>
    <w:rsid w:val="0007000E"/>
    <w:rsid w:val="0007006A"/>
    <w:rsid w:val="000701CC"/>
    <w:rsid w:val="0007034A"/>
    <w:rsid w:val="000703B5"/>
    <w:rsid w:val="000703D6"/>
    <w:rsid w:val="00070433"/>
    <w:rsid w:val="00070441"/>
    <w:rsid w:val="0007044B"/>
    <w:rsid w:val="00070458"/>
    <w:rsid w:val="000704AD"/>
    <w:rsid w:val="000704B9"/>
    <w:rsid w:val="0007053C"/>
    <w:rsid w:val="0007054A"/>
    <w:rsid w:val="00070555"/>
    <w:rsid w:val="00070588"/>
    <w:rsid w:val="000705F3"/>
    <w:rsid w:val="0007060D"/>
    <w:rsid w:val="00070698"/>
    <w:rsid w:val="000706FF"/>
    <w:rsid w:val="00070762"/>
    <w:rsid w:val="00070768"/>
    <w:rsid w:val="000707C7"/>
    <w:rsid w:val="000707F6"/>
    <w:rsid w:val="0007081D"/>
    <w:rsid w:val="0007089F"/>
    <w:rsid w:val="000708CB"/>
    <w:rsid w:val="000708EA"/>
    <w:rsid w:val="00070975"/>
    <w:rsid w:val="000709CC"/>
    <w:rsid w:val="000709D4"/>
    <w:rsid w:val="00070A28"/>
    <w:rsid w:val="00070A48"/>
    <w:rsid w:val="00070AAC"/>
    <w:rsid w:val="00070ABB"/>
    <w:rsid w:val="00070AC8"/>
    <w:rsid w:val="00070B72"/>
    <w:rsid w:val="00070B86"/>
    <w:rsid w:val="00070CA3"/>
    <w:rsid w:val="00070CFB"/>
    <w:rsid w:val="00070D08"/>
    <w:rsid w:val="00070DDF"/>
    <w:rsid w:val="00070E5D"/>
    <w:rsid w:val="00070EB3"/>
    <w:rsid w:val="00070EFB"/>
    <w:rsid w:val="00070F67"/>
    <w:rsid w:val="00070F82"/>
    <w:rsid w:val="00070FC8"/>
    <w:rsid w:val="0007102B"/>
    <w:rsid w:val="0007108E"/>
    <w:rsid w:val="000710CD"/>
    <w:rsid w:val="000710D3"/>
    <w:rsid w:val="0007118C"/>
    <w:rsid w:val="00071192"/>
    <w:rsid w:val="000711AA"/>
    <w:rsid w:val="000711D0"/>
    <w:rsid w:val="00071208"/>
    <w:rsid w:val="0007121D"/>
    <w:rsid w:val="0007124F"/>
    <w:rsid w:val="0007126C"/>
    <w:rsid w:val="00071478"/>
    <w:rsid w:val="000714A4"/>
    <w:rsid w:val="00071502"/>
    <w:rsid w:val="00071550"/>
    <w:rsid w:val="00071569"/>
    <w:rsid w:val="000715AC"/>
    <w:rsid w:val="000715AD"/>
    <w:rsid w:val="000715B6"/>
    <w:rsid w:val="0007171A"/>
    <w:rsid w:val="0007174F"/>
    <w:rsid w:val="000717B7"/>
    <w:rsid w:val="000717C5"/>
    <w:rsid w:val="000717CF"/>
    <w:rsid w:val="0007184A"/>
    <w:rsid w:val="0007189B"/>
    <w:rsid w:val="000718A5"/>
    <w:rsid w:val="000718AB"/>
    <w:rsid w:val="00071949"/>
    <w:rsid w:val="000719E6"/>
    <w:rsid w:val="00071A3B"/>
    <w:rsid w:val="00071A6B"/>
    <w:rsid w:val="00071B21"/>
    <w:rsid w:val="00071B90"/>
    <w:rsid w:val="00071C67"/>
    <w:rsid w:val="00071CC8"/>
    <w:rsid w:val="00071CE1"/>
    <w:rsid w:val="00071D40"/>
    <w:rsid w:val="00071D5B"/>
    <w:rsid w:val="00071DB6"/>
    <w:rsid w:val="00071DD3"/>
    <w:rsid w:val="00071E30"/>
    <w:rsid w:val="00071E54"/>
    <w:rsid w:val="00071E95"/>
    <w:rsid w:val="00071EAC"/>
    <w:rsid w:val="00071F01"/>
    <w:rsid w:val="00071F58"/>
    <w:rsid w:val="00072104"/>
    <w:rsid w:val="000721A5"/>
    <w:rsid w:val="0007228B"/>
    <w:rsid w:val="00072292"/>
    <w:rsid w:val="000722C5"/>
    <w:rsid w:val="00072326"/>
    <w:rsid w:val="00072384"/>
    <w:rsid w:val="00072398"/>
    <w:rsid w:val="000723D4"/>
    <w:rsid w:val="000723DC"/>
    <w:rsid w:val="000723EE"/>
    <w:rsid w:val="00072455"/>
    <w:rsid w:val="0007246D"/>
    <w:rsid w:val="000724C8"/>
    <w:rsid w:val="000724D6"/>
    <w:rsid w:val="00072535"/>
    <w:rsid w:val="00072551"/>
    <w:rsid w:val="000725C4"/>
    <w:rsid w:val="000725DA"/>
    <w:rsid w:val="0007266B"/>
    <w:rsid w:val="000726CE"/>
    <w:rsid w:val="000726FF"/>
    <w:rsid w:val="00072724"/>
    <w:rsid w:val="00072761"/>
    <w:rsid w:val="00072773"/>
    <w:rsid w:val="00072797"/>
    <w:rsid w:val="0007279C"/>
    <w:rsid w:val="000727AB"/>
    <w:rsid w:val="000727DD"/>
    <w:rsid w:val="000728F1"/>
    <w:rsid w:val="0007291F"/>
    <w:rsid w:val="00072928"/>
    <w:rsid w:val="00072992"/>
    <w:rsid w:val="00072997"/>
    <w:rsid w:val="00072A9C"/>
    <w:rsid w:val="00072A9F"/>
    <w:rsid w:val="00072AE2"/>
    <w:rsid w:val="00072B02"/>
    <w:rsid w:val="00072B3B"/>
    <w:rsid w:val="00072BD8"/>
    <w:rsid w:val="00072C83"/>
    <w:rsid w:val="00072C8F"/>
    <w:rsid w:val="00072D02"/>
    <w:rsid w:val="00072D3F"/>
    <w:rsid w:val="00072E40"/>
    <w:rsid w:val="00072E91"/>
    <w:rsid w:val="00072ECA"/>
    <w:rsid w:val="00072F00"/>
    <w:rsid w:val="00072F39"/>
    <w:rsid w:val="00072F9B"/>
    <w:rsid w:val="00072FBD"/>
    <w:rsid w:val="00072FCA"/>
    <w:rsid w:val="00072FEA"/>
    <w:rsid w:val="00073155"/>
    <w:rsid w:val="0007319E"/>
    <w:rsid w:val="000731D4"/>
    <w:rsid w:val="00073231"/>
    <w:rsid w:val="0007329C"/>
    <w:rsid w:val="000734E0"/>
    <w:rsid w:val="00073514"/>
    <w:rsid w:val="0007360D"/>
    <w:rsid w:val="0007372D"/>
    <w:rsid w:val="0007377E"/>
    <w:rsid w:val="000737DF"/>
    <w:rsid w:val="000738FE"/>
    <w:rsid w:val="00073927"/>
    <w:rsid w:val="0007393F"/>
    <w:rsid w:val="0007394B"/>
    <w:rsid w:val="00073A2D"/>
    <w:rsid w:val="00073A4D"/>
    <w:rsid w:val="00073A99"/>
    <w:rsid w:val="00073B31"/>
    <w:rsid w:val="00073B5B"/>
    <w:rsid w:val="00073BBF"/>
    <w:rsid w:val="00073BC7"/>
    <w:rsid w:val="00073C8A"/>
    <w:rsid w:val="00073CBF"/>
    <w:rsid w:val="00073CED"/>
    <w:rsid w:val="00073D08"/>
    <w:rsid w:val="00073D0B"/>
    <w:rsid w:val="00073E0A"/>
    <w:rsid w:val="00073E42"/>
    <w:rsid w:val="00073E53"/>
    <w:rsid w:val="00073E5C"/>
    <w:rsid w:val="00073E81"/>
    <w:rsid w:val="00073E9D"/>
    <w:rsid w:val="00073EFB"/>
    <w:rsid w:val="00073EFC"/>
    <w:rsid w:val="00073F3F"/>
    <w:rsid w:val="00073FB3"/>
    <w:rsid w:val="00073FF0"/>
    <w:rsid w:val="0007400F"/>
    <w:rsid w:val="0007406D"/>
    <w:rsid w:val="0007407E"/>
    <w:rsid w:val="0007409F"/>
    <w:rsid w:val="000740A0"/>
    <w:rsid w:val="0007414F"/>
    <w:rsid w:val="0007415B"/>
    <w:rsid w:val="00074240"/>
    <w:rsid w:val="00074279"/>
    <w:rsid w:val="0007431E"/>
    <w:rsid w:val="00074370"/>
    <w:rsid w:val="000743D2"/>
    <w:rsid w:val="000743EB"/>
    <w:rsid w:val="000743F9"/>
    <w:rsid w:val="0007441E"/>
    <w:rsid w:val="00074433"/>
    <w:rsid w:val="00074538"/>
    <w:rsid w:val="000745C7"/>
    <w:rsid w:val="00074698"/>
    <w:rsid w:val="000746B7"/>
    <w:rsid w:val="000746DC"/>
    <w:rsid w:val="000746E7"/>
    <w:rsid w:val="00074798"/>
    <w:rsid w:val="000747A7"/>
    <w:rsid w:val="000747B9"/>
    <w:rsid w:val="0007481B"/>
    <w:rsid w:val="0007490C"/>
    <w:rsid w:val="0007496F"/>
    <w:rsid w:val="00074971"/>
    <w:rsid w:val="00074A69"/>
    <w:rsid w:val="00074AE0"/>
    <w:rsid w:val="00074AE1"/>
    <w:rsid w:val="00074AF4"/>
    <w:rsid w:val="00074CE8"/>
    <w:rsid w:val="00074D0A"/>
    <w:rsid w:val="00074D80"/>
    <w:rsid w:val="00074DCF"/>
    <w:rsid w:val="00074DF9"/>
    <w:rsid w:val="00074E22"/>
    <w:rsid w:val="00074EDC"/>
    <w:rsid w:val="00074F48"/>
    <w:rsid w:val="00074F4C"/>
    <w:rsid w:val="00074FA3"/>
    <w:rsid w:val="0007502C"/>
    <w:rsid w:val="00075043"/>
    <w:rsid w:val="0007506A"/>
    <w:rsid w:val="00075080"/>
    <w:rsid w:val="0007509C"/>
    <w:rsid w:val="0007511A"/>
    <w:rsid w:val="000751C8"/>
    <w:rsid w:val="0007525A"/>
    <w:rsid w:val="0007529E"/>
    <w:rsid w:val="000752D5"/>
    <w:rsid w:val="00075367"/>
    <w:rsid w:val="00075393"/>
    <w:rsid w:val="00075477"/>
    <w:rsid w:val="00075515"/>
    <w:rsid w:val="00075563"/>
    <w:rsid w:val="000755C5"/>
    <w:rsid w:val="00075617"/>
    <w:rsid w:val="00075622"/>
    <w:rsid w:val="00075763"/>
    <w:rsid w:val="00075785"/>
    <w:rsid w:val="000757E7"/>
    <w:rsid w:val="00075848"/>
    <w:rsid w:val="00075919"/>
    <w:rsid w:val="00075970"/>
    <w:rsid w:val="0007598A"/>
    <w:rsid w:val="000759C2"/>
    <w:rsid w:val="000759F4"/>
    <w:rsid w:val="00075A08"/>
    <w:rsid w:val="00075A3F"/>
    <w:rsid w:val="00075B39"/>
    <w:rsid w:val="00075B5E"/>
    <w:rsid w:val="00075C05"/>
    <w:rsid w:val="00075C6A"/>
    <w:rsid w:val="00075C96"/>
    <w:rsid w:val="00075CBC"/>
    <w:rsid w:val="00075CE0"/>
    <w:rsid w:val="00075CF1"/>
    <w:rsid w:val="00075D07"/>
    <w:rsid w:val="00075D11"/>
    <w:rsid w:val="00075D42"/>
    <w:rsid w:val="00075D59"/>
    <w:rsid w:val="00075D72"/>
    <w:rsid w:val="00075E02"/>
    <w:rsid w:val="00075E03"/>
    <w:rsid w:val="00075E87"/>
    <w:rsid w:val="00075EBF"/>
    <w:rsid w:val="00075ED2"/>
    <w:rsid w:val="00075F24"/>
    <w:rsid w:val="00075F6E"/>
    <w:rsid w:val="00075F8B"/>
    <w:rsid w:val="00075FC4"/>
    <w:rsid w:val="00075FDC"/>
    <w:rsid w:val="00075FF2"/>
    <w:rsid w:val="000760D3"/>
    <w:rsid w:val="0007613B"/>
    <w:rsid w:val="00076215"/>
    <w:rsid w:val="0007622C"/>
    <w:rsid w:val="0007623F"/>
    <w:rsid w:val="0007624A"/>
    <w:rsid w:val="00076286"/>
    <w:rsid w:val="000762C5"/>
    <w:rsid w:val="000762D6"/>
    <w:rsid w:val="00076334"/>
    <w:rsid w:val="00076352"/>
    <w:rsid w:val="0007635D"/>
    <w:rsid w:val="0007644E"/>
    <w:rsid w:val="000766A5"/>
    <w:rsid w:val="00076733"/>
    <w:rsid w:val="00076790"/>
    <w:rsid w:val="000767B1"/>
    <w:rsid w:val="00076949"/>
    <w:rsid w:val="00076966"/>
    <w:rsid w:val="00076A53"/>
    <w:rsid w:val="00076A76"/>
    <w:rsid w:val="00076AAC"/>
    <w:rsid w:val="00076AC6"/>
    <w:rsid w:val="00076BB6"/>
    <w:rsid w:val="00076BCC"/>
    <w:rsid w:val="00076C60"/>
    <w:rsid w:val="00076C8F"/>
    <w:rsid w:val="00076CCB"/>
    <w:rsid w:val="00076D8F"/>
    <w:rsid w:val="00076F62"/>
    <w:rsid w:val="00076FA7"/>
    <w:rsid w:val="0007704B"/>
    <w:rsid w:val="000770B7"/>
    <w:rsid w:val="000770EE"/>
    <w:rsid w:val="000771BB"/>
    <w:rsid w:val="000771F7"/>
    <w:rsid w:val="0007726F"/>
    <w:rsid w:val="00077295"/>
    <w:rsid w:val="000772E0"/>
    <w:rsid w:val="00077312"/>
    <w:rsid w:val="0007735F"/>
    <w:rsid w:val="000773A7"/>
    <w:rsid w:val="000773AB"/>
    <w:rsid w:val="0007746F"/>
    <w:rsid w:val="0007747A"/>
    <w:rsid w:val="0007749D"/>
    <w:rsid w:val="000774A7"/>
    <w:rsid w:val="000774B8"/>
    <w:rsid w:val="000774EA"/>
    <w:rsid w:val="0007752F"/>
    <w:rsid w:val="0007753A"/>
    <w:rsid w:val="00077542"/>
    <w:rsid w:val="000775AC"/>
    <w:rsid w:val="000775C9"/>
    <w:rsid w:val="000776F5"/>
    <w:rsid w:val="0007771D"/>
    <w:rsid w:val="0007773C"/>
    <w:rsid w:val="00077762"/>
    <w:rsid w:val="00077767"/>
    <w:rsid w:val="00077787"/>
    <w:rsid w:val="000777CC"/>
    <w:rsid w:val="000777D7"/>
    <w:rsid w:val="000778AF"/>
    <w:rsid w:val="000778BF"/>
    <w:rsid w:val="000779B9"/>
    <w:rsid w:val="000779DB"/>
    <w:rsid w:val="00077A42"/>
    <w:rsid w:val="00077A6A"/>
    <w:rsid w:val="00077BF8"/>
    <w:rsid w:val="00077C3B"/>
    <w:rsid w:val="00077CD7"/>
    <w:rsid w:val="00077D35"/>
    <w:rsid w:val="00077D54"/>
    <w:rsid w:val="00077D90"/>
    <w:rsid w:val="00077D94"/>
    <w:rsid w:val="00077E37"/>
    <w:rsid w:val="00077EA2"/>
    <w:rsid w:val="00077EBB"/>
    <w:rsid w:val="00077ED6"/>
    <w:rsid w:val="00077F1F"/>
    <w:rsid w:val="00077F51"/>
    <w:rsid w:val="00077F72"/>
    <w:rsid w:val="00077FE9"/>
    <w:rsid w:val="00080008"/>
    <w:rsid w:val="000800AC"/>
    <w:rsid w:val="0008015A"/>
    <w:rsid w:val="0008016E"/>
    <w:rsid w:val="000801BB"/>
    <w:rsid w:val="000801BF"/>
    <w:rsid w:val="000801F0"/>
    <w:rsid w:val="00080221"/>
    <w:rsid w:val="0008023C"/>
    <w:rsid w:val="00080337"/>
    <w:rsid w:val="00080357"/>
    <w:rsid w:val="0008039D"/>
    <w:rsid w:val="000803BC"/>
    <w:rsid w:val="00080410"/>
    <w:rsid w:val="00080416"/>
    <w:rsid w:val="00080418"/>
    <w:rsid w:val="00080481"/>
    <w:rsid w:val="00080492"/>
    <w:rsid w:val="0008058E"/>
    <w:rsid w:val="000805B0"/>
    <w:rsid w:val="000805C7"/>
    <w:rsid w:val="000805CC"/>
    <w:rsid w:val="000805CD"/>
    <w:rsid w:val="000805E0"/>
    <w:rsid w:val="000805EA"/>
    <w:rsid w:val="000805F2"/>
    <w:rsid w:val="0008060E"/>
    <w:rsid w:val="0008067E"/>
    <w:rsid w:val="000806B2"/>
    <w:rsid w:val="00080737"/>
    <w:rsid w:val="0008075A"/>
    <w:rsid w:val="0008089B"/>
    <w:rsid w:val="000808F2"/>
    <w:rsid w:val="00080906"/>
    <w:rsid w:val="00080910"/>
    <w:rsid w:val="000809A7"/>
    <w:rsid w:val="00080A6F"/>
    <w:rsid w:val="00080A80"/>
    <w:rsid w:val="00080AF7"/>
    <w:rsid w:val="00080B41"/>
    <w:rsid w:val="00080C42"/>
    <w:rsid w:val="00080CA7"/>
    <w:rsid w:val="00080DE7"/>
    <w:rsid w:val="00080E06"/>
    <w:rsid w:val="00080EFD"/>
    <w:rsid w:val="00080F23"/>
    <w:rsid w:val="00080F46"/>
    <w:rsid w:val="00080FE6"/>
    <w:rsid w:val="000810BC"/>
    <w:rsid w:val="000810D0"/>
    <w:rsid w:val="0008118A"/>
    <w:rsid w:val="00081262"/>
    <w:rsid w:val="000812DA"/>
    <w:rsid w:val="000812DB"/>
    <w:rsid w:val="00081309"/>
    <w:rsid w:val="0008130F"/>
    <w:rsid w:val="00081358"/>
    <w:rsid w:val="00081380"/>
    <w:rsid w:val="00081384"/>
    <w:rsid w:val="000813DF"/>
    <w:rsid w:val="000814A2"/>
    <w:rsid w:val="000814AE"/>
    <w:rsid w:val="000814F7"/>
    <w:rsid w:val="00081547"/>
    <w:rsid w:val="000815B5"/>
    <w:rsid w:val="000815F4"/>
    <w:rsid w:val="00081637"/>
    <w:rsid w:val="00081638"/>
    <w:rsid w:val="000816F5"/>
    <w:rsid w:val="0008172E"/>
    <w:rsid w:val="000818DE"/>
    <w:rsid w:val="000818E2"/>
    <w:rsid w:val="00081983"/>
    <w:rsid w:val="000819AF"/>
    <w:rsid w:val="00081A2A"/>
    <w:rsid w:val="00081A43"/>
    <w:rsid w:val="00081B36"/>
    <w:rsid w:val="00081B5C"/>
    <w:rsid w:val="00081C71"/>
    <w:rsid w:val="00081CED"/>
    <w:rsid w:val="00081CFC"/>
    <w:rsid w:val="00081D7E"/>
    <w:rsid w:val="00081D82"/>
    <w:rsid w:val="00081D95"/>
    <w:rsid w:val="00081E3F"/>
    <w:rsid w:val="00081FD7"/>
    <w:rsid w:val="0008200D"/>
    <w:rsid w:val="00082042"/>
    <w:rsid w:val="00082090"/>
    <w:rsid w:val="00082135"/>
    <w:rsid w:val="000821F7"/>
    <w:rsid w:val="000822A2"/>
    <w:rsid w:val="000822CF"/>
    <w:rsid w:val="000822D3"/>
    <w:rsid w:val="00082384"/>
    <w:rsid w:val="000823AE"/>
    <w:rsid w:val="000823BB"/>
    <w:rsid w:val="000823F3"/>
    <w:rsid w:val="0008240A"/>
    <w:rsid w:val="00082413"/>
    <w:rsid w:val="0008244B"/>
    <w:rsid w:val="00082484"/>
    <w:rsid w:val="00082497"/>
    <w:rsid w:val="000824A8"/>
    <w:rsid w:val="000824AE"/>
    <w:rsid w:val="00082555"/>
    <w:rsid w:val="0008257A"/>
    <w:rsid w:val="000825E8"/>
    <w:rsid w:val="00082644"/>
    <w:rsid w:val="00082727"/>
    <w:rsid w:val="00082770"/>
    <w:rsid w:val="0008278E"/>
    <w:rsid w:val="00082792"/>
    <w:rsid w:val="000827ED"/>
    <w:rsid w:val="00082804"/>
    <w:rsid w:val="0008288D"/>
    <w:rsid w:val="000828DD"/>
    <w:rsid w:val="00082931"/>
    <w:rsid w:val="00082942"/>
    <w:rsid w:val="0008294E"/>
    <w:rsid w:val="0008298C"/>
    <w:rsid w:val="000829AC"/>
    <w:rsid w:val="00082A18"/>
    <w:rsid w:val="00082A30"/>
    <w:rsid w:val="00082A74"/>
    <w:rsid w:val="00082AB1"/>
    <w:rsid w:val="00082B4D"/>
    <w:rsid w:val="00082B51"/>
    <w:rsid w:val="00082B52"/>
    <w:rsid w:val="00082B56"/>
    <w:rsid w:val="00082B7E"/>
    <w:rsid w:val="00082BB8"/>
    <w:rsid w:val="00082BEF"/>
    <w:rsid w:val="00082BF6"/>
    <w:rsid w:val="00082C49"/>
    <w:rsid w:val="00082CA6"/>
    <w:rsid w:val="00082CF2"/>
    <w:rsid w:val="00082D34"/>
    <w:rsid w:val="00082D7C"/>
    <w:rsid w:val="00082EB1"/>
    <w:rsid w:val="00082F15"/>
    <w:rsid w:val="00082F55"/>
    <w:rsid w:val="00082F74"/>
    <w:rsid w:val="0008300D"/>
    <w:rsid w:val="00083014"/>
    <w:rsid w:val="0008316B"/>
    <w:rsid w:val="000831DC"/>
    <w:rsid w:val="0008324B"/>
    <w:rsid w:val="00083258"/>
    <w:rsid w:val="00083341"/>
    <w:rsid w:val="0008335A"/>
    <w:rsid w:val="000833A6"/>
    <w:rsid w:val="000833F6"/>
    <w:rsid w:val="0008344E"/>
    <w:rsid w:val="000834CC"/>
    <w:rsid w:val="000834D5"/>
    <w:rsid w:val="0008359A"/>
    <w:rsid w:val="000835A4"/>
    <w:rsid w:val="000835D4"/>
    <w:rsid w:val="0008363E"/>
    <w:rsid w:val="0008367A"/>
    <w:rsid w:val="0008368E"/>
    <w:rsid w:val="00083690"/>
    <w:rsid w:val="000836A1"/>
    <w:rsid w:val="000836D5"/>
    <w:rsid w:val="000837AB"/>
    <w:rsid w:val="000837B3"/>
    <w:rsid w:val="0008384A"/>
    <w:rsid w:val="000838CC"/>
    <w:rsid w:val="000838E7"/>
    <w:rsid w:val="0008392A"/>
    <w:rsid w:val="00083942"/>
    <w:rsid w:val="0008398A"/>
    <w:rsid w:val="000839B1"/>
    <w:rsid w:val="000839E9"/>
    <w:rsid w:val="00083A64"/>
    <w:rsid w:val="00083A7C"/>
    <w:rsid w:val="00083B90"/>
    <w:rsid w:val="00083BAE"/>
    <w:rsid w:val="00083BD2"/>
    <w:rsid w:val="00083BF9"/>
    <w:rsid w:val="00083C35"/>
    <w:rsid w:val="00083C4F"/>
    <w:rsid w:val="00083D63"/>
    <w:rsid w:val="00083D89"/>
    <w:rsid w:val="00083DC7"/>
    <w:rsid w:val="00083DE9"/>
    <w:rsid w:val="00083E16"/>
    <w:rsid w:val="00083F3D"/>
    <w:rsid w:val="00083F47"/>
    <w:rsid w:val="00083F4D"/>
    <w:rsid w:val="00084025"/>
    <w:rsid w:val="0008414A"/>
    <w:rsid w:val="00084176"/>
    <w:rsid w:val="000841D0"/>
    <w:rsid w:val="000841F0"/>
    <w:rsid w:val="00084266"/>
    <w:rsid w:val="0008428F"/>
    <w:rsid w:val="000842BB"/>
    <w:rsid w:val="00084313"/>
    <w:rsid w:val="000843C9"/>
    <w:rsid w:val="000843E6"/>
    <w:rsid w:val="00084436"/>
    <w:rsid w:val="0008450D"/>
    <w:rsid w:val="000845BF"/>
    <w:rsid w:val="00084683"/>
    <w:rsid w:val="00084699"/>
    <w:rsid w:val="000846A1"/>
    <w:rsid w:val="00084706"/>
    <w:rsid w:val="00084710"/>
    <w:rsid w:val="0008475D"/>
    <w:rsid w:val="000847AB"/>
    <w:rsid w:val="000847C1"/>
    <w:rsid w:val="000847C8"/>
    <w:rsid w:val="00084806"/>
    <w:rsid w:val="00084850"/>
    <w:rsid w:val="0008486B"/>
    <w:rsid w:val="000848EA"/>
    <w:rsid w:val="00084944"/>
    <w:rsid w:val="000849A9"/>
    <w:rsid w:val="00084ACD"/>
    <w:rsid w:val="00084AEE"/>
    <w:rsid w:val="00084B19"/>
    <w:rsid w:val="00084B95"/>
    <w:rsid w:val="00084BA6"/>
    <w:rsid w:val="00084C23"/>
    <w:rsid w:val="00084C35"/>
    <w:rsid w:val="00084C75"/>
    <w:rsid w:val="00084CB2"/>
    <w:rsid w:val="00084E30"/>
    <w:rsid w:val="00084E84"/>
    <w:rsid w:val="00084EE2"/>
    <w:rsid w:val="00084F40"/>
    <w:rsid w:val="00084FBF"/>
    <w:rsid w:val="00084FD8"/>
    <w:rsid w:val="00084FF5"/>
    <w:rsid w:val="000850AB"/>
    <w:rsid w:val="00085113"/>
    <w:rsid w:val="0008520F"/>
    <w:rsid w:val="00085243"/>
    <w:rsid w:val="0008524A"/>
    <w:rsid w:val="00085276"/>
    <w:rsid w:val="00085417"/>
    <w:rsid w:val="0008541C"/>
    <w:rsid w:val="000854B9"/>
    <w:rsid w:val="000854EC"/>
    <w:rsid w:val="0008550D"/>
    <w:rsid w:val="0008557F"/>
    <w:rsid w:val="0008569E"/>
    <w:rsid w:val="00085717"/>
    <w:rsid w:val="0008572F"/>
    <w:rsid w:val="00085730"/>
    <w:rsid w:val="000857F9"/>
    <w:rsid w:val="0008581F"/>
    <w:rsid w:val="00085883"/>
    <w:rsid w:val="00085902"/>
    <w:rsid w:val="00085926"/>
    <w:rsid w:val="0008592E"/>
    <w:rsid w:val="00085937"/>
    <w:rsid w:val="00085945"/>
    <w:rsid w:val="0008596A"/>
    <w:rsid w:val="00085986"/>
    <w:rsid w:val="0008599F"/>
    <w:rsid w:val="000859D3"/>
    <w:rsid w:val="00085A32"/>
    <w:rsid w:val="00085A4C"/>
    <w:rsid w:val="00085A4E"/>
    <w:rsid w:val="00085A84"/>
    <w:rsid w:val="00085AEC"/>
    <w:rsid w:val="00085AFC"/>
    <w:rsid w:val="00085B49"/>
    <w:rsid w:val="00085BA7"/>
    <w:rsid w:val="00085BBC"/>
    <w:rsid w:val="00085C68"/>
    <w:rsid w:val="00085CED"/>
    <w:rsid w:val="00085D4A"/>
    <w:rsid w:val="00085DED"/>
    <w:rsid w:val="00085ED2"/>
    <w:rsid w:val="00085ED4"/>
    <w:rsid w:val="00085F3D"/>
    <w:rsid w:val="00085F94"/>
    <w:rsid w:val="00085F9C"/>
    <w:rsid w:val="00085FE5"/>
    <w:rsid w:val="0008605E"/>
    <w:rsid w:val="000860FB"/>
    <w:rsid w:val="00086149"/>
    <w:rsid w:val="00086175"/>
    <w:rsid w:val="000861C6"/>
    <w:rsid w:val="000861E4"/>
    <w:rsid w:val="00086233"/>
    <w:rsid w:val="00086288"/>
    <w:rsid w:val="000862B5"/>
    <w:rsid w:val="000862DC"/>
    <w:rsid w:val="000862FD"/>
    <w:rsid w:val="00086327"/>
    <w:rsid w:val="00086343"/>
    <w:rsid w:val="00086361"/>
    <w:rsid w:val="00086383"/>
    <w:rsid w:val="00086564"/>
    <w:rsid w:val="0008659E"/>
    <w:rsid w:val="00086629"/>
    <w:rsid w:val="0008664E"/>
    <w:rsid w:val="0008669B"/>
    <w:rsid w:val="000866BD"/>
    <w:rsid w:val="000867A1"/>
    <w:rsid w:val="000867B8"/>
    <w:rsid w:val="000867BA"/>
    <w:rsid w:val="000867BB"/>
    <w:rsid w:val="0008680C"/>
    <w:rsid w:val="000868C3"/>
    <w:rsid w:val="00086983"/>
    <w:rsid w:val="000869BD"/>
    <w:rsid w:val="00086A02"/>
    <w:rsid w:val="00086A3F"/>
    <w:rsid w:val="00086ACD"/>
    <w:rsid w:val="00086ADF"/>
    <w:rsid w:val="00086AF1"/>
    <w:rsid w:val="00086B93"/>
    <w:rsid w:val="00086CD1"/>
    <w:rsid w:val="00086D22"/>
    <w:rsid w:val="00086D66"/>
    <w:rsid w:val="00086D7A"/>
    <w:rsid w:val="00086DCC"/>
    <w:rsid w:val="00086DF1"/>
    <w:rsid w:val="00086E35"/>
    <w:rsid w:val="00086E45"/>
    <w:rsid w:val="00086E49"/>
    <w:rsid w:val="00086EC3"/>
    <w:rsid w:val="00086EDF"/>
    <w:rsid w:val="00086EEB"/>
    <w:rsid w:val="00086F7E"/>
    <w:rsid w:val="000870CB"/>
    <w:rsid w:val="00087237"/>
    <w:rsid w:val="000872B3"/>
    <w:rsid w:val="000872BA"/>
    <w:rsid w:val="0008731C"/>
    <w:rsid w:val="0008738C"/>
    <w:rsid w:val="00087466"/>
    <w:rsid w:val="0008747B"/>
    <w:rsid w:val="000874B2"/>
    <w:rsid w:val="000875EF"/>
    <w:rsid w:val="00087666"/>
    <w:rsid w:val="00087699"/>
    <w:rsid w:val="000876A3"/>
    <w:rsid w:val="000876B8"/>
    <w:rsid w:val="000876E7"/>
    <w:rsid w:val="00087711"/>
    <w:rsid w:val="0008775B"/>
    <w:rsid w:val="0008778E"/>
    <w:rsid w:val="000877BB"/>
    <w:rsid w:val="0008785D"/>
    <w:rsid w:val="000878DE"/>
    <w:rsid w:val="00087931"/>
    <w:rsid w:val="000879C9"/>
    <w:rsid w:val="000879EB"/>
    <w:rsid w:val="00087A14"/>
    <w:rsid w:val="00087A1A"/>
    <w:rsid w:val="00087A8F"/>
    <w:rsid w:val="00087AB1"/>
    <w:rsid w:val="00087AE6"/>
    <w:rsid w:val="00087B3C"/>
    <w:rsid w:val="00087B4F"/>
    <w:rsid w:val="00087B7F"/>
    <w:rsid w:val="00087BC2"/>
    <w:rsid w:val="00087C34"/>
    <w:rsid w:val="00087C6A"/>
    <w:rsid w:val="00087CB2"/>
    <w:rsid w:val="00087D43"/>
    <w:rsid w:val="00087EC2"/>
    <w:rsid w:val="00087ED4"/>
    <w:rsid w:val="00087F6C"/>
    <w:rsid w:val="00087FC5"/>
    <w:rsid w:val="00090095"/>
    <w:rsid w:val="000900D7"/>
    <w:rsid w:val="00090102"/>
    <w:rsid w:val="00090141"/>
    <w:rsid w:val="000901EC"/>
    <w:rsid w:val="000901FD"/>
    <w:rsid w:val="00090220"/>
    <w:rsid w:val="00090266"/>
    <w:rsid w:val="00090271"/>
    <w:rsid w:val="0009031F"/>
    <w:rsid w:val="0009035C"/>
    <w:rsid w:val="0009038F"/>
    <w:rsid w:val="000903CD"/>
    <w:rsid w:val="00090452"/>
    <w:rsid w:val="0009046B"/>
    <w:rsid w:val="000904F5"/>
    <w:rsid w:val="00090517"/>
    <w:rsid w:val="00090555"/>
    <w:rsid w:val="00090644"/>
    <w:rsid w:val="00090667"/>
    <w:rsid w:val="00090730"/>
    <w:rsid w:val="00090752"/>
    <w:rsid w:val="00090784"/>
    <w:rsid w:val="0009078C"/>
    <w:rsid w:val="000907B7"/>
    <w:rsid w:val="00090830"/>
    <w:rsid w:val="000908AE"/>
    <w:rsid w:val="000908C4"/>
    <w:rsid w:val="0009097C"/>
    <w:rsid w:val="000909B1"/>
    <w:rsid w:val="00090A23"/>
    <w:rsid w:val="00090A92"/>
    <w:rsid w:val="00090AB8"/>
    <w:rsid w:val="00090ABE"/>
    <w:rsid w:val="00090AF0"/>
    <w:rsid w:val="00090B37"/>
    <w:rsid w:val="00090B40"/>
    <w:rsid w:val="00090B60"/>
    <w:rsid w:val="00090C49"/>
    <w:rsid w:val="00090C4C"/>
    <w:rsid w:val="00090C98"/>
    <w:rsid w:val="00090CE4"/>
    <w:rsid w:val="00090CFC"/>
    <w:rsid w:val="00090D6B"/>
    <w:rsid w:val="00090DCF"/>
    <w:rsid w:val="00090DD2"/>
    <w:rsid w:val="00090DF2"/>
    <w:rsid w:val="00090DFC"/>
    <w:rsid w:val="00090E42"/>
    <w:rsid w:val="00090ECF"/>
    <w:rsid w:val="00090F0B"/>
    <w:rsid w:val="00090F27"/>
    <w:rsid w:val="00090F59"/>
    <w:rsid w:val="00090F8D"/>
    <w:rsid w:val="00090FD1"/>
    <w:rsid w:val="00091038"/>
    <w:rsid w:val="0009104B"/>
    <w:rsid w:val="00091107"/>
    <w:rsid w:val="00091167"/>
    <w:rsid w:val="00091190"/>
    <w:rsid w:val="000911BB"/>
    <w:rsid w:val="0009120D"/>
    <w:rsid w:val="0009125B"/>
    <w:rsid w:val="00091272"/>
    <w:rsid w:val="000912B5"/>
    <w:rsid w:val="000913ED"/>
    <w:rsid w:val="00091449"/>
    <w:rsid w:val="000914AE"/>
    <w:rsid w:val="00091527"/>
    <w:rsid w:val="00091584"/>
    <w:rsid w:val="00091621"/>
    <w:rsid w:val="0009167B"/>
    <w:rsid w:val="00091682"/>
    <w:rsid w:val="00091684"/>
    <w:rsid w:val="000916EE"/>
    <w:rsid w:val="00091771"/>
    <w:rsid w:val="00091786"/>
    <w:rsid w:val="000917C3"/>
    <w:rsid w:val="000917FA"/>
    <w:rsid w:val="00091831"/>
    <w:rsid w:val="000918DA"/>
    <w:rsid w:val="0009197F"/>
    <w:rsid w:val="00091A24"/>
    <w:rsid w:val="00091A3C"/>
    <w:rsid w:val="00091A6B"/>
    <w:rsid w:val="00091A79"/>
    <w:rsid w:val="00091AC6"/>
    <w:rsid w:val="00091AC7"/>
    <w:rsid w:val="00091AF7"/>
    <w:rsid w:val="00091B0E"/>
    <w:rsid w:val="00091B35"/>
    <w:rsid w:val="00091BB5"/>
    <w:rsid w:val="00091BC7"/>
    <w:rsid w:val="00091C25"/>
    <w:rsid w:val="00091CF2"/>
    <w:rsid w:val="00091DF3"/>
    <w:rsid w:val="00091E5E"/>
    <w:rsid w:val="00091ECD"/>
    <w:rsid w:val="00091FF4"/>
    <w:rsid w:val="000920A3"/>
    <w:rsid w:val="000920DF"/>
    <w:rsid w:val="00092183"/>
    <w:rsid w:val="000921B0"/>
    <w:rsid w:val="000921B5"/>
    <w:rsid w:val="00092232"/>
    <w:rsid w:val="00092267"/>
    <w:rsid w:val="0009229F"/>
    <w:rsid w:val="000922A0"/>
    <w:rsid w:val="0009230F"/>
    <w:rsid w:val="00092377"/>
    <w:rsid w:val="000923E7"/>
    <w:rsid w:val="000923F2"/>
    <w:rsid w:val="00092478"/>
    <w:rsid w:val="000924E9"/>
    <w:rsid w:val="0009253E"/>
    <w:rsid w:val="000925B3"/>
    <w:rsid w:val="000925E8"/>
    <w:rsid w:val="00092601"/>
    <w:rsid w:val="0009276B"/>
    <w:rsid w:val="00092864"/>
    <w:rsid w:val="00092904"/>
    <w:rsid w:val="0009298F"/>
    <w:rsid w:val="000929F3"/>
    <w:rsid w:val="00092A31"/>
    <w:rsid w:val="00092A3B"/>
    <w:rsid w:val="00092A48"/>
    <w:rsid w:val="00092A6C"/>
    <w:rsid w:val="00092A96"/>
    <w:rsid w:val="00092AB2"/>
    <w:rsid w:val="00092B67"/>
    <w:rsid w:val="00092B94"/>
    <w:rsid w:val="00092BDA"/>
    <w:rsid w:val="00092BEB"/>
    <w:rsid w:val="00092BED"/>
    <w:rsid w:val="00092C95"/>
    <w:rsid w:val="00092CC0"/>
    <w:rsid w:val="00092D98"/>
    <w:rsid w:val="00092DB4"/>
    <w:rsid w:val="00092E72"/>
    <w:rsid w:val="00092E8F"/>
    <w:rsid w:val="00092ECA"/>
    <w:rsid w:val="00092F26"/>
    <w:rsid w:val="00092F66"/>
    <w:rsid w:val="00092F6E"/>
    <w:rsid w:val="0009302C"/>
    <w:rsid w:val="00093172"/>
    <w:rsid w:val="000931F1"/>
    <w:rsid w:val="000932B3"/>
    <w:rsid w:val="000932BC"/>
    <w:rsid w:val="000932EF"/>
    <w:rsid w:val="000932F4"/>
    <w:rsid w:val="0009330E"/>
    <w:rsid w:val="0009332C"/>
    <w:rsid w:val="0009334D"/>
    <w:rsid w:val="000933DF"/>
    <w:rsid w:val="00093498"/>
    <w:rsid w:val="000934AE"/>
    <w:rsid w:val="00093599"/>
    <w:rsid w:val="00093639"/>
    <w:rsid w:val="0009369A"/>
    <w:rsid w:val="000936A6"/>
    <w:rsid w:val="000936B1"/>
    <w:rsid w:val="00093779"/>
    <w:rsid w:val="00093790"/>
    <w:rsid w:val="000937F8"/>
    <w:rsid w:val="0009385D"/>
    <w:rsid w:val="000939C1"/>
    <w:rsid w:val="00093B53"/>
    <w:rsid w:val="00093B70"/>
    <w:rsid w:val="00093BA1"/>
    <w:rsid w:val="00093BF7"/>
    <w:rsid w:val="00093C5F"/>
    <w:rsid w:val="00093C67"/>
    <w:rsid w:val="00093D43"/>
    <w:rsid w:val="00093D4C"/>
    <w:rsid w:val="00093D55"/>
    <w:rsid w:val="00093E57"/>
    <w:rsid w:val="00093ED1"/>
    <w:rsid w:val="00093F67"/>
    <w:rsid w:val="00093FD7"/>
    <w:rsid w:val="0009401F"/>
    <w:rsid w:val="0009403F"/>
    <w:rsid w:val="0009405D"/>
    <w:rsid w:val="00094081"/>
    <w:rsid w:val="0009427A"/>
    <w:rsid w:val="000942C8"/>
    <w:rsid w:val="000943D1"/>
    <w:rsid w:val="000943D5"/>
    <w:rsid w:val="00094429"/>
    <w:rsid w:val="00094474"/>
    <w:rsid w:val="000944F2"/>
    <w:rsid w:val="00094527"/>
    <w:rsid w:val="00094551"/>
    <w:rsid w:val="0009468F"/>
    <w:rsid w:val="000946DD"/>
    <w:rsid w:val="0009471D"/>
    <w:rsid w:val="0009472E"/>
    <w:rsid w:val="00094741"/>
    <w:rsid w:val="00094775"/>
    <w:rsid w:val="00094846"/>
    <w:rsid w:val="000948F0"/>
    <w:rsid w:val="00094995"/>
    <w:rsid w:val="000949CA"/>
    <w:rsid w:val="00094AD3"/>
    <w:rsid w:val="00094AEB"/>
    <w:rsid w:val="00094B3C"/>
    <w:rsid w:val="00094B42"/>
    <w:rsid w:val="00094B44"/>
    <w:rsid w:val="00094B45"/>
    <w:rsid w:val="00094B55"/>
    <w:rsid w:val="00094BAE"/>
    <w:rsid w:val="00094BC5"/>
    <w:rsid w:val="00094C3F"/>
    <w:rsid w:val="00094CAB"/>
    <w:rsid w:val="00094D0E"/>
    <w:rsid w:val="00094D11"/>
    <w:rsid w:val="00094D89"/>
    <w:rsid w:val="00094DC2"/>
    <w:rsid w:val="00094DD5"/>
    <w:rsid w:val="00094DFB"/>
    <w:rsid w:val="00094ECB"/>
    <w:rsid w:val="00094F22"/>
    <w:rsid w:val="00094FCC"/>
    <w:rsid w:val="00095065"/>
    <w:rsid w:val="0009513F"/>
    <w:rsid w:val="00095160"/>
    <w:rsid w:val="00095174"/>
    <w:rsid w:val="00095198"/>
    <w:rsid w:val="000951E9"/>
    <w:rsid w:val="00095201"/>
    <w:rsid w:val="0009526B"/>
    <w:rsid w:val="00095288"/>
    <w:rsid w:val="000952CC"/>
    <w:rsid w:val="000952D7"/>
    <w:rsid w:val="00095301"/>
    <w:rsid w:val="0009539A"/>
    <w:rsid w:val="0009548C"/>
    <w:rsid w:val="000954DF"/>
    <w:rsid w:val="0009550B"/>
    <w:rsid w:val="0009551E"/>
    <w:rsid w:val="0009552B"/>
    <w:rsid w:val="00095547"/>
    <w:rsid w:val="0009557E"/>
    <w:rsid w:val="000955C1"/>
    <w:rsid w:val="0009576B"/>
    <w:rsid w:val="00095857"/>
    <w:rsid w:val="000958C0"/>
    <w:rsid w:val="00095908"/>
    <w:rsid w:val="00095926"/>
    <w:rsid w:val="000959DC"/>
    <w:rsid w:val="00095A67"/>
    <w:rsid w:val="00095A76"/>
    <w:rsid w:val="00095A9A"/>
    <w:rsid w:val="00095A9E"/>
    <w:rsid w:val="00095AA1"/>
    <w:rsid w:val="00095ACB"/>
    <w:rsid w:val="00095B06"/>
    <w:rsid w:val="00095B20"/>
    <w:rsid w:val="00095B5A"/>
    <w:rsid w:val="00095B69"/>
    <w:rsid w:val="00095BAC"/>
    <w:rsid w:val="00095C01"/>
    <w:rsid w:val="00095C89"/>
    <w:rsid w:val="00095D00"/>
    <w:rsid w:val="00095DE5"/>
    <w:rsid w:val="00095E20"/>
    <w:rsid w:val="00095E62"/>
    <w:rsid w:val="00095F72"/>
    <w:rsid w:val="00096033"/>
    <w:rsid w:val="00096037"/>
    <w:rsid w:val="0009609D"/>
    <w:rsid w:val="000960A5"/>
    <w:rsid w:val="000960A7"/>
    <w:rsid w:val="000960BF"/>
    <w:rsid w:val="000960D9"/>
    <w:rsid w:val="000960EF"/>
    <w:rsid w:val="00096109"/>
    <w:rsid w:val="00096119"/>
    <w:rsid w:val="000961C5"/>
    <w:rsid w:val="0009622A"/>
    <w:rsid w:val="00096341"/>
    <w:rsid w:val="0009637E"/>
    <w:rsid w:val="000963BB"/>
    <w:rsid w:val="00096477"/>
    <w:rsid w:val="00096494"/>
    <w:rsid w:val="00096551"/>
    <w:rsid w:val="00096612"/>
    <w:rsid w:val="00096619"/>
    <w:rsid w:val="0009664B"/>
    <w:rsid w:val="0009665C"/>
    <w:rsid w:val="00096750"/>
    <w:rsid w:val="0009676C"/>
    <w:rsid w:val="0009689F"/>
    <w:rsid w:val="000968AA"/>
    <w:rsid w:val="000968D4"/>
    <w:rsid w:val="00096907"/>
    <w:rsid w:val="00096935"/>
    <w:rsid w:val="00096976"/>
    <w:rsid w:val="0009698B"/>
    <w:rsid w:val="00096993"/>
    <w:rsid w:val="000969C1"/>
    <w:rsid w:val="00096AAF"/>
    <w:rsid w:val="00096B09"/>
    <w:rsid w:val="00096B70"/>
    <w:rsid w:val="00096BFC"/>
    <w:rsid w:val="00096C2B"/>
    <w:rsid w:val="00096C61"/>
    <w:rsid w:val="00096C72"/>
    <w:rsid w:val="00096C90"/>
    <w:rsid w:val="00096DAC"/>
    <w:rsid w:val="00096DBA"/>
    <w:rsid w:val="00096E23"/>
    <w:rsid w:val="00096EB8"/>
    <w:rsid w:val="00096F3A"/>
    <w:rsid w:val="00096F49"/>
    <w:rsid w:val="00096F91"/>
    <w:rsid w:val="00096FCE"/>
    <w:rsid w:val="00096FD9"/>
    <w:rsid w:val="0009700F"/>
    <w:rsid w:val="00097033"/>
    <w:rsid w:val="00097054"/>
    <w:rsid w:val="00097091"/>
    <w:rsid w:val="0009709D"/>
    <w:rsid w:val="000970AE"/>
    <w:rsid w:val="0009712C"/>
    <w:rsid w:val="00097197"/>
    <w:rsid w:val="0009727C"/>
    <w:rsid w:val="0009735B"/>
    <w:rsid w:val="00097442"/>
    <w:rsid w:val="00097479"/>
    <w:rsid w:val="0009747B"/>
    <w:rsid w:val="00097491"/>
    <w:rsid w:val="00097534"/>
    <w:rsid w:val="00097587"/>
    <w:rsid w:val="000975CB"/>
    <w:rsid w:val="000975D1"/>
    <w:rsid w:val="00097605"/>
    <w:rsid w:val="0009781F"/>
    <w:rsid w:val="00097889"/>
    <w:rsid w:val="0009792A"/>
    <w:rsid w:val="00097A28"/>
    <w:rsid w:val="00097A61"/>
    <w:rsid w:val="00097B47"/>
    <w:rsid w:val="00097BE7"/>
    <w:rsid w:val="00097C12"/>
    <w:rsid w:val="00097C28"/>
    <w:rsid w:val="00097C3D"/>
    <w:rsid w:val="00097C96"/>
    <w:rsid w:val="00097D31"/>
    <w:rsid w:val="00097D4F"/>
    <w:rsid w:val="00097EC0"/>
    <w:rsid w:val="000A0094"/>
    <w:rsid w:val="000A009B"/>
    <w:rsid w:val="000A00A2"/>
    <w:rsid w:val="000A011D"/>
    <w:rsid w:val="000A018C"/>
    <w:rsid w:val="000A01A2"/>
    <w:rsid w:val="000A0213"/>
    <w:rsid w:val="000A02B0"/>
    <w:rsid w:val="000A02C2"/>
    <w:rsid w:val="000A0317"/>
    <w:rsid w:val="000A03E1"/>
    <w:rsid w:val="000A054F"/>
    <w:rsid w:val="000A05E1"/>
    <w:rsid w:val="000A0609"/>
    <w:rsid w:val="000A060B"/>
    <w:rsid w:val="000A0632"/>
    <w:rsid w:val="000A068E"/>
    <w:rsid w:val="000A06F6"/>
    <w:rsid w:val="000A0758"/>
    <w:rsid w:val="000A076B"/>
    <w:rsid w:val="000A07CA"/>
    <w:rsid w:val="000A0888"/>
    <w:rsid w:val="000A08AB"/>
    <w:rsid w:val="000A0987"/>
    <w:rsid w:val="000A09BC"/>
    <w:rsid w:val="000A09D4"/>
    <w:rsid w:val="000A0A25"/>
    <w:rsid w:val="000A0A58"/>
    <w:rsid w:val="000A0A75"/>
    <w:rsid w:val="000A0A80"/>
    <w:rsid w:val="000A0A83"/>
    <w:rsid w:val="000A0B30"/>
    <w:rsid w:val="000A0B72"/>
    <w:rsid w:val="000A0C22"/>
    <w:rsid w:val="000A0CB5"/>
    <w:rsid w:val="000A0CE2"/>
    <w:rsid w:val="000A0E2A"/>
    <w:rsid w:val="000A0E89"/>
    <w:rsid w:val="000A0EA1"/>
    <w:rsid w:val="000A0EB8"/>
    <w:rsid w:val="000A0EB9"/>
    <w:rsid w:val="000A0ED8"/>
    <w:rsid w:val="000A0F0E"/>
    <w:rsid w:val="000A0F4D"/>
    <w:rsid w:val="000A0F73"/>
    <w:rsid w:val="000A10E6"/>
    <w:rsid w:val="000A1104"/>
    <w:rsid w:val="000A116E"/>
    <w:rsid w:val="000A11B2"/>
    <w:rsid w:val="000A11DB"/>
    <w:rsid w:val="000A124E"/>
    <w:rsid w:val="000A1250"/>
    <w:rsid w:val="000A12DA"/>
    <w:rsid w:val="000A12E1"/>
    <w:rsid w:val="000A131D"/>
    <w:rsid w:val="000A1346"/>
    <w:rsid w:val="000A1388"/>
    <w:rsid w:val="000A1399"/>
    <w:rsid w:val="000A13AF"/>
    <w:rsid w:val="000A143C"/>
    <w:rsid w:val="000A1468"/>
    <w:rsid w:val="000A151C"/>
    <w:rsid w:val="000A156A"/>
    <w:rsid w:val="000A1597"/>
    <w:rsid w:val="000A1635"/>
    <w:rsid w:val="000A1656"/>
    <w:rsid w:val="000A169A"/>
    <w:rsid w:val="000A171D"/>
    <w:rsid w:val="000A1802"/>
    <w:rsid w:val="000A184D"/>
    <w:rsid w:val="000A1850"/>
    <w:rsid w:val="000A1860"/>
    <w:rsid w:val="000A186E"/>
    <w:rsid w:val="000A191C"/>
    <w:rsid w:val="000A1937"/>
    <w:rsid w:val="000A199F"/>
    <w:rsid w:val="000A19B1"/>
    <w:rsid w:val="000A19E3"/>
    <w:rsid w:val="000A1A2D"/>
    <w:rsid w:val="000A1B5C"/>
    <w:rsid w:val="000A1B95"/>
    <w:rsid w:val="000A1B9B"/>
    <w:rsid w:val="000A1BCA"/>
    <w:rsid w:val="000A1C09"/>
    <w:rsid w:val="000A1C15"/>
    <w:rsid w:val="000A1C28"/>
    <w:rsid w:val="000A1C51"/>
    <w:rsid w:val="000A1C55"/>
    <w:rsid w:val="000A1C57"/>
    <w:rsid w:val="000A1CBE"/>
    <w:rsid w:val="000A1CD9"/>
    <w:rsid w:val="000A1D08"/>
    <w:rsid w:val="000A1D22"/>
    <w:rsid w:val="000A1E32"/>
    <w:rsid w:val="000A1E56"/>
    <w:rsid w:val="000A1E82"/>
    <w:rsid w:val="000A1EC6"/>
    <w:rsid w:val="000A1F39"/>
    <w:rsid w:val="000A1FCD"/>
    <w:rsid w:val="000A2010"/>
    <w:rsid w:val="000A2030"/>
    <w:rsid w:val="000A205F"/>
    <w:rsid w:val="000A206B"/>
    <w:rsid w:val="000A20AB"/>
    <w:rsid w:val="000A2101"/>
    <w:rsid w:val="000A2198"/>
    <w:rsid w:val="000A21C9"/>
    <w:rsid w:val="000A21F1"/>
    <w:rsid w:val="000A2206"/>
    <w:rsid w:val="000A2209"/>
    <w:rsid w:val="000A2266"/>
    <w:rsid w:val="000A227F"/>
    <w:rsid w:val="000A234A"/>
    <w:rsid w:val="000A2351"/>
    <w:rsid w:val="000A23EC"/>
    <w:rsid w:val="000A2485"/>
    <w:rsid w:val="000A2486"/>
    <w:rsid w:val="000A2570"/>
    <w:rsid w:val="000A2616"/>
    <w:rsid w:val="000A2640"/>
    <w:rsid w:val="000A267A"/>
    <w:rsid w:val="000A26C2"/>
    <w:rsid w:val="000A26DD"/>
    <w:rsid w:val="000A2703"/>
    <w:rsid w:val="000A2772"/>
    <w:rsid w:val="000A2815"/>
    <w:rsid w:val="000A28BD"/>
    <w:rsid w:val="000A28F0"/>
    <w:rsid w:val="000A2934"/>
    <w:rsid w:val="000A2960"/>
    <w:rsid w:val="000A2969"/>
    <w:rsid w:val="000A29A8"/>
    <w:rsid w:val="000A29EE"/>
    <w:rsid w:val="000A2A34"/>
    <w:rsid w:val="000A2B12"/>
    <w:rsid w:val="000A2C6C"/>
    <w:rsid w:val="000A2CAA"/>
    <w:rsid w:val="000A2CF8"/>
    <w:rsid w:val="000A2CFB"/>
    <w:rsid w:val="000A2DEE"/>
    <w:rsid w:val="000A2E01"/>
    <w:rsid w:val="000A2EDC"/>
    <w:rsid w:val="000A2FDB"/>
    <w:rsid w:val="000A300C"/>
    <w:rsid w:val="000A314C"/>
    <w:rsid w:val="000A31CC"/>
    <w:rsid w:val="000A3201"/>
    <w:rsid w:val="000A3312"/>
    <w:rsid w:val="000A334C"/>
    <w:rsid w:val="000A33F0"/>
    <w:rsid w:val="000A3403"/>
    <w:rsid w:val="000A3416"/>
    <w:rsid w:val="000A347B"/>
    <w:rsid w:val="000A349B"/>
    <w:rsid w:val="000A34B2"/>
    <w:rsid w:val="000A3539"/>
    <w:rsid w:val="000A361D"/>
    <w:rsid w:val="000A361E"/>
    <w:rsid w:val="000A3694"/>
    <w:rsid w:val="000A3747"/>
    <w:rsid w:val="000A383E"/>
    <w:rsid w:val="000A3842"/>
    <w:rsid w:val="000A391D"/>
    <w:rsid w:val="000A3928"/>
    <w:rsid w:val="000A393D"/>
    <w:rsid w:val="000A3974"/>
    <w:rsid w:val="000A39A7"/>
    <w:rsid w:val="000A39C1"/>
    <w:rsid w:val="000A3B49"/>
    <w:rsid w:val="000A3B65"/>
    <w:rsid w:val="000A3B77"/>
    <w:rsid w:val="000A3D00"/>
    <w:rsid w:val="000A3DAF"/>
    <w:rsid w:val="000A3DB5"/>
    <w:rsid w:val="000A3E03"/>
    <w:rsid w:val="000A3E59"/>
    <w:rsid w:val="000A3ED5"/>
    <w:rsid w:val="000A3EF8"/>
    <w:rsid w:val="000A3F22"/>
    <w:rsid w:val="000A3F71"/>
    <w:rsid w:val="000A3FC2"/>
    <w:rsid w:val="000A4091"/>
    <w:rsid w:val="000A40A1"/>
    <w:rsid w:val="000A40B5"/>
    <w:rsid w:val="000A40D9"/>
    <w:rsid w:val="000A4164"/>
    <w:rsid w:val="000A41EC"/>
    <w:rsid w:val="000A4211"/>
    <w:rsid w:val="000A4293"/>
    <w:rsid w:val="000A4320"/>
    <w:rsid w:val="000A437D"/>
    <w:rsid w:val="000A43DD"/>
    <w:rsid w:val="000A4490"/>
    <w:rsid w:val="000A44C5"/>
    <w:rsid w:val="000A44D3"/>
    <w:rsid w:val="000A4514"/>
    <w:rsid w:val="000A452A"/>
    <w:rsid w:val="000A45AC"/>
    <w:rsid w:val="000A45B5"/>
    <w:rsid w:val="000A45EA"/>
    <w:rsid w:val="000A4613"/>
    <w:rsid w:val="000A468A"/>
    <w:rsid w:val="000A46BC"/>
    <w:rsid w:val="000A4738"/>
    <w:rsid w:val="000A47CC"/>
    <w:rsid w:val="000A4886"/>
    <w:rsid w:val="000A496A"/>
    <w:rsid w:val="000A496B"/>
    <w:rsid w:val="000A49BC"/>
    <w:rsid w:val="000A4A59"/>
    <w:rsid w:val="000A4A68"/>
    <w:rsid w:val="000A4B28"/>
    <w:rsid w:val="000A4B5D"/>
    <w:rsid w:val="000A4B85"/>
    <w:rsid w:val="000A4C51"/>
    <w:rsid w:val="000A4DE3"/>
    <w:rsid w:val="000A4E8E"/>
    <w:rsid w:val="000A4EB6"/>
    <w:rsid w:val="000A4EFF"/>
    <w:rsid w:val="000A4F44"/>
    <w:rsid w:val="000A4F84"/>
    <w:rsid w:val="000A4F9E"/>
    <w:rsid w:val="000A5020"/>
    <w:rsid w:val="000A507D"/>
    <w:rsid w:val="000A50C7"/>
    <w:rsid w:val="000A50E8"/>
    <w:rsid w:val="000A5148"/>
    <w:rsid w:val="000A518B"/>
    <w:rsid w:val="000A51A1"/>
    <w:rsid w:val="000A51D2"/>
    <w:rsid w:val="000A530E"/>
    <w:rsid w:val="000A5318"/>
    <w:rsid w:val="000A5365"/>
    <w:rsid w:val="000A53C0"/>
    <w:rsid w:val="000A53DB"/>
    <w:rsid w:val="000A5424"/>
    <w:rsid w:val="000A5453"/>
    <w:rsid w:val="000A550E"/>
    <w:rsid w:val="000A5548"/>
    <w:rsid w:val="000A554A"/>
    <w:rsid w:val="000A55C6"/>
    <w:rsid w:val="000A55E3"/>
    <w:rsid w:val="000A5602"/>
    <w:rsid w:val="000A5654"/>
    <w:rsid w:val="000A577A"/>
    <w:rsid w:val="000A5817"/>
    <w:rsid w:val="000A58DE"/>
    <w:rsid w:val="000A5912"/>
    <w:rsid w:val="000A5969"/>
    <w:rsid w:val="000A5978"/>
    <w:rsid w:val="000A59B2"/>
    <w:rsid w:val="000A59F8"/>
    <w:rsid w:val="000A5A01"/>
    <w:rsid w:val="000A5A62"/>
    <w:rsid w:val="000A5A85"/>
    <w:rsid w:val="000A5AD8"/>
    <w:rsid w:val="000A5B34"/>
    <w:rsid w:val="000A5B3F"/>
    <w:rsid w:val="000A5B97"/>
    <w:rsid w:val="000A5BC9"/>
    <w:rsid w:val="000A5C2D"/>
    <w:rsid w:val="000A5C64"/>
    <w:rsid w:val="000A5CA0"/>
    <w:rsid w:val="000A5CB2"/>
    <w:rsid w:val="000A5CDF"/>
    <w:rsid w:val="000A5D80"/>
    <w:rsid w:val="000A5E3A"/>
    <w:rsid w:val="000A5EF1"/>
    <w:rsid w:val="000A5F08"/>
    <w:rsid w:val="000A5F28"/>
    <w:rsid w:val="000A600C"/>
    <w:rsid w:val="000A6035"/>
    <w:rsid w:val="000A6116"/>
    <w:rsid w:val="000A6139"/>
    <w:rsid w:val="000A615C"/>
    <w:rsid w:val="000A6184"/>
    <w:rsid w:val="000A61A3"/>
    <w:rsid w:val="000A620A"/>
    <w:rsid w:val="000A6211"/>
    <w:rsid w:val="000A622A"/>
    <w:rsid w:val="000A6240"/>
    <w:rsid w:val="000A6286"/>
    <w:rsid w:val="000A62AC"/>
    <w:rsid w:val="000A62CE"/>
    <w:rsid w:val="000A62D7"/>
    <w:rsid w:val="000A633A"/>
    <w:rsid w:val="000A637F"/>
    <w:rsid w:val="000A6382"/>
    <w:rsid w:val="000A63AD"/>
    <w:rsid w:val="000A6430"/>
    <w:rsid w:val="000A64BC"/>
    <w:rsid w:val="000A64C5"/>
    <w:rsid w:val="000A64EC"/>
    <w:rsid w:val="000A6504"/>
    <w:rsid w:val="000A6519"/>
    <w:rsid w:val="000A65A3"/>
    <w:rsid w:val="000A65B3"/>
    <w:rsid w:val="000A664A"/>
    <w:rsid w:val="000A6758"/>
    <w:rsid w:val="000A6761"/>
    <w:rsid w:val="000A6833"/>
    <w:rsid w:val="000A683C"/>
    <w:rsid w:val="000A68B1"/>
    <w:rsid w:val="000A6A00"/>
    <w:rsid w:val="000A6A18"/>
    <w:rsid w:val="000A6AC9"/>
    <w:rsid w:val="000A6AE0"/>
    <w:rsid w:val="000A6B02"/>
    <w:rsid w:val="000A6BC8"/>
    <w:rsid w:val="000A6C01"/>
    <w:rsid w:val="000A6C44"/>
    <w:rsid w:val="000A6CCB"/>
    <w:rsid w:val="000A6D64"/>
    <w:rsid w:val="000A6E1E"/>
    <w:rsid w:val="000A6E88"/>
    <w:rsid w:val="000A6EEE"/>
    <w:rsid w:val="000A6F31"/>
    <w:rsid w:val="000A6FB4"/>
    <w:rsid w:val="000A706C"/>
    <w:rsid w:val="000A7077"/>
    <w:rsid w:val="000A70D7"/>
    <w:rsid w:val="000A70FB"/>
    <w:rsid w:val="000A7135"/>
    <w:rsid w:val="000A713C"/>
    <w:rsid w:val="000A7154"/>
    <w:rsid w:val="000A71BD"/>
    <w:rsid w:val="000A7210"/>
    <w:rsid w:val="000A7218"/>
    <w:rsid w:val="000A729E"/>
    <w:rsid w:val="000A72CF"/>
    <w:rsid w:val="000A7316"/>
    <w:rsid w:val="000A73C0"/>
    <w:rsid w:val="000A73E0"/>
    <w:rsid w:val="000A7427"/>
    <w:rsid w:val="000A7458"/>
    <w:rsid w:val="000A7530"/>
    <w:rsid w:val="000A75CF"/>
    <w:rsid w:val="000A75D1"/>
    <w:rsid w:val="000A75F7"/>
    <w:rsid w:val="000A762D"/>
    <w:rsid w:val="000A767E"/>
    <w:rsid w:val="000A76C9"/>
    <w:rsid w:val="000A76D9"/>
    <w:rsid w:val="000A76DA"/>
    <w:rsid w:val="000A773C"/>
    <w:rsid w:val="000A7757"/>
    <w:rsid w:val="000A7761"/>
    <w:rsid w:val="000A77BD"/>
    <w:rsid w:val="000A77C7"/>
    <w:rsid w:val="000A78D6"/>
    <w:rsid w:val="000A78E4"/>
    <w:rsid w:val="000A7920"/>
    <w:rsid w:val="000A79BE"/>
    <w:rsid w:val="000A79D0"/>
    <w:rsid w:val="000A7ADF"/>
    <w:rsid w:val="000A7AE2"/>
    <w:rsid w:val="000A7B9D"/>
    <w:rsid w:val="000A7BCF"/>
    <w:rsid w:val="000A7C81"/>
    <w:rsid w:val="000A7C93"/>
    <w:rsid w:val="000A7CA4"/>
    <w:rsid w:val="000A7CCF"/>
    <w:rsid w:val="000A7CF2"/>
    <w:rsid w:val="000A7D36"/>
    <w:rsid w:val="000A7D54"/>
    <w:rsid w:val="000A7E4F"/>
    <w:rsid w:val="000A7EA2"/>
    <w:rsid w:val="000A7EC7"/>
    <w:rsid w:val="000A7F36"/>
    <w:rsid w:val="000A7F40"/>
    <w:rsid w:val="000A7F62"/>
    <w:rsid w:val="000A7F6A"/>
    <w:rsid w:val="000A7FA0"/>
    <w:rsid w:val="000B001D"/>
    <w:rsid w:val="000B0064"/>
    <w:rsid w:val="000B010C"/>
    <w:rsid w:val="000B01A7"/>
    <w:rsid w:val="000B01E8"/>
    <w:rsid w:val="000B021A"/>
    <w:rsid w:val="000B02C6"/>
    <w:rsid w:val="000B0346"/>
    <w:rsid w:val="000B03F1"/>
    <w:rsid w:val="000B0410"/>
    <w:rsid w:val="000B049C"/>
    <w:rsid w:val="000B052B"/>
    <w:rsid w:val="000B0538"/>
    <w:rsid w:val="000B05A4"/>
    <w:rsid w:val="000B0667"/>
    <w:rsid w:val="000B06B2"/>
    <w:rsid w:val="000B0722"/>
    <w:rsid w:val="000B074F"/>
    <w:rsid w:val="000B07A3"/>
    <w:rsid w:val="000B07F3"/>
    <w:rsid w:val="000B0844"/>
    <w:rsid w:val="000B0862"/>
    <w:rsid w:val="000B08A0"/>
    <w:rsid w:val="000B0983"/>
    <w:rsid w:val="000B0A25"/>
    <w:rsid w:val="000B0AE8"/>
    <w:rsid w:val="000B0B09"/>
    <w:rsid w:val="000B0B5B"/>
    <w:rsid w:val="000B0CD2"/>
    <w:rsid w:val="000B0D06"/>
    <w:rsid w:val="000B0D71"/>
    <w:rsid w:val="000B0D83"/>
    <w:rsid w:val="000B0DDA"/>
    <w:rsid w:val="000B0F37"/>
    <w:rsid w:val="000B0FA0"/>
    <w:rsid w:val="000B0FDF"/>
    <w:rsid w:val="000B1045"/>
    <w:rsid w:val="000B106A"/>
    <w:rsid w:val="000B10B9"/>
    <w:rsid w:val="000B1182"/>
    <w:rsid w:val="000B121B"/>
    <w:rsid w:val="000B12E2"/>
    <w:rsid w:val="000B1330"/>
    <w:rsid w:val="000B142A"/>
    <w:rsid w:val="000B144A"/>
    <w:rsid w:val="000B147B"/>
    <w:rsid w:val="000B149F"/>
    <w:rsid w:val="000B14F6"/>
    <w:rsid w:val="000B15DB"/>
    <w:rsid w:val="000B16A3"/>
    <w:rsid w:val="000B16F7"/>
    <w:rsid w:val="000B17D9"/>
    <w:rsid w:val="000B17DA"/>
    <w:rsid w:val="000B17E4"/>
    <w:rsid w:val="000B1803"/>
    <w:rsid w:val="000B1809"/>
    <w:rsid w:val="000B181A"/>
    <w:rsid w:val="000B187F"/>
    <w:rsid w:val="000B1898"/>
    <w:rsid w:val="000B1935"/>
    <w:rsid w:val="000B194D"/>
    <w:rsid w:val="000B19D0"/>
    <w:rsid w:val="000B1A0C"/>
    <w:rsid w:val="000B1AAD"/>
    <w:rsid w:val="000B1AC0"/>
    <w:rsid w:val="000B1CBD"/>
    <w:rsid w:val="000B1D3A"/>
    <w:rsid w:val="000B1D86"/>
    <w:rsid w:val="000B1DF6"/>
    <w:rsid w:val="000B1E22"/>
    <w:rsid w:val="000B1EFB"/>
    <w:rsid w:val="000B1F0D"/>
    <w:rsid w:val="000B1F74"/>
    <w:rsid w:val="000B1F75"/>
    <w:rsid w:val="000B20BB"/>
    <w:rsid w:val="000B2109"/>
    <w:rsid w:val="000B2124"/>
    <w:rsid w:val="000B2179"/>
    <w:rsid w:val="000B21D1"/>
    <w:rsid w:val="000B21FC"/>
    <w:rsid w:val="000B229F"/>
    <w:rsid w:val="000B2370"/>
    <w:rsid w:val="000B23CA"/>
    <w:rsid w:val="000B250D"/>
    <w:rsid w:val="000B2519"/>
    <w:rsid w:val="000B2544"/>
    <w:rsid w:val="000B25A3"/>
    <w:rsid w:val="000B25DA"/>
    <w:rsid w:val="000B261C"/>
    <w:rsid w:val="000B2622"/>
    <w:rsid w:val="000B2704"/>
    <w:rsid w:val="000B2757"/>
    <w:rsid w:val="000B281A"/>
    <w:rsid w:val="000B283E"/>
    <w:rsid w:val="000B2847"/>
    <w:rsid w:val="000B285F"/>
    <w:rsid w:val="000B287E"/>
    <w:rsid w:val="000B28A3"/>
    <w:rsid w:val="000B290B"/>
    <w:rsid w:val="000B294C"/>
    <w:rsid w:val="000B297A"/>
    <w:rsid w:val="000B298D"/>
    <w:rsid w:val="000B2A03"/>
    <w:rsid w:val="000B2A91"/>
    <w:rsid w:val="000B2AA0"/>
    <w:rsid w:val="000B2BFA"/>
    <w:rsid w:val="000B2BFE"/>
    <w:rsid w:val="000B2C19"/>
    <w:rsid w:val="000B2C2F"/>
    <w:rsid w:val="000B2D37"/>
    <w:rsid w:val="000B2D42"/>
    <w:rsid w:val="000B2D53"/>
    <w:rsid w:val="000B2DCE"/>
    <w:rsid w:val="000B2E3D"/>
    <w:rsid w:val="000B2E50"/>
    <w:rsid w:val="000B2EAB"/>
    <w:rsid w:val="000B2F32"/>
    <w:rsid w:val="000B2F94"/>
    <w:rsid w:val="000B3038"/>
    <w:rsid w:val="000B3071"/>
    <w:rsid w:val="000B308A"/>
    <w:rsid w:val="000B30A4"/>
    <w:rsid w:val="000B30BE"/>
    <w:rsid w:val="000B323B"/>
    <w:rsid w:val="000B32DF"/>
    <w:rsid w:val="000B3304"/>
    <w:rsid w:val="000B330D"/>
    <w:rsid w:val="000B333B"/>
    <w:rsid w:val="000B33C4"/>
    <w:rsid w:val="000B350B"/>
    <w:rsid w:val="000B3591"/>
    <w:rsid w:val="000B35B3"/>
    <w:rsid w:val="000B35F0"/>
    <w:rsid w:val="000B3618"/>
    <w:rsid w:val="000B369C"/>
    <w:rsid w:val="000B36B6"/>
    <w:rsid w:val="000B36C8"/>
    <w:rsid w:val="000B3728"/>
    <w:rsid w:val="000B3738"/>
    <w:rsid w:val="000B3777"/>
    <w:rsid w:val="000B37A1"/>
    <w:rsid w:val="000B37AD"/>
    <w:rsid w:val="000B37BF"/>
    <w:rsid w:val="000B37CB"/>
    <w:rsid w:val="000B3879"/>
    <w:rsid w:val="000B38C8"/>
    <w:rsid w:val="000B38E5"/>
    <w:rsid w:val="000B38EA"/>
    <w:rsid w:val="000B38F0"/>
    <w:rsid w:val="000B3903"/>
    <w:rsid w:val="000B3932"/>
    <w:rsid w:val="000B39C2"/>
    <w:rsid w:val="000B39D6"/>
    <w:rsid w:val="000B39EC"/>
    <w:rsid w:val="000B3A71"/>
    <w:rsid w:val="000B3B31"/>
    <w:rsid w:val="000B3B4B"/>
    <w:rsid w:val="000B3BFA"/>
    <w:rsid w:val="000B3CC5"/>
    <w:rsid w:val="000B3D52"/>
    <w:rsid w:val="000B3D79"/>
    <w:rsid w:val="000B3DF1"/>
    <w:rsid w:val="000B3E31"/>
    <w:rsid w:val="000B3E4F"/>
    <w:rsid w:val="000B3ECB"/>
    <w:rsid w:val="000B3F25"/>
    <w:rsid w:val="000B3FE1"/>
    <w:rsid w:val="000B4003"/>
    <w:rsid w:val="000B4040"/>
    <w:rsid w:val="000B408E"/>
    <w:rsid w:val="000B40C0"/>
    <w:rsid w:val="000B4109"/>
    <w:rsid w:val="000B420F"/>
    <w:rsid w:val="000B42E1"/>
    <w:rsid w:val="000B431C"/>
    <w:rsid w:val="000B436B"/>
    <w:rsid w:val="000B437D"/>
    <w:rsid w:val="000B4390"/>
    <w:rsid w:val="000B440B"/>
    <w:rsid w:val="000B4482"/>
    <w:rsid w:val="000B44AF"/>
    <w:rsid w:val="000B45FD"/>
    <w:rsid w:val="000B4701"/>
    <w:rsid w:val="000B4724"/>
    <w:rsid w:val="000B4768"/>
    <w:rsid w:val="000B4798"/>
    <w:rsid w:val="000B4862"/>
    <w:rsid w:val="000B488B"/>
    <w:rsid w:val="000B4ABF"/>
    <w:rsid w:val="000B4B4C"/>
    <w:rsid w:val="000B4BE8"/>
    <w:rsid w:val="000B4C44"/>
    <w:rsid w:val="000B4DCC"/>
    <w:rsid w:val="000B4E33"/>
    <w:rsid w:val="000B4E42"/>
    <w:rsid w:val="000B4E94"/>
    <w:rsid w:val="000B4EB9"/>
    <w:rsid w:val="000B4F11"/>
    <w:rsid w:val="000B4F8E"/>
    <w:rsid w:val="000B5114"/>
    <w:rsid w:val="000B513D"/>
    <w:rsid w:val="000B5141"/>
    <w:rsid w:val="000B518D"/>
    <w:rsid w:val="000B5193"/>
    <w:rsid w:val="000B51DD"/>
    <w:rsid w:val="000B52CD"/>
    <w:rsid w:val="000B5375"/>
    <w:rsid w:val="000B53D6"/>
    <w:rsid w:val="000B53EC"/>
    <w:rsid w:val="000B5417"/>
    <w:rsid w:val="000B5443"/>
    <w:rsid w:val="000B54CF"/>
    <w:rsid w:val="000B54F6"/>
    <w:rsid w:val="000B5521"/>
    <w:rsid w:val="000B5540"/>
    <w:rsid w:val="000B55BA"/>
    <w:rsid w:val="000B5633"/>
    <w:rsid w:val="000B563B"/>
    <w:rsid w:val="000B5644"/>
    <w:rsid w:val="000B56C0"/>
    <w:rsid w:val="000B5767"/>
    <w:rsid w:val="000B579F"/>
    <w:rsid w:val="000B57C5"/>
    <w:rsid w:val="000B57E7"/>
    <w:rsid w:val="000B5850"/>
    <w:rsid w:val="000B58A4"/>
    <w:rsid w:val="000B58E8"/>
    <w:rsid w:val="000B58EC"/>
    <w:rsid w:val="000B5924"/>
    <w:rsid w:val="000B5958"/>
    <w:rsid w:val="000B598F"/>
    <w:rsid w:val="000B59A6"/>
    <w:rsid w:val="000B59D5"/>
    <w:rsid w:val="000B5A4B"/>
    <w:rsid w:val="000B5A5E"/>
    <w:rsid w:val="000B5B8E"/>
    <w:rsid w:val="000B5B99"/>
    <w:rsid w:val="000B5C0C"/>
    <w:rsid w:val="000B5C46"/>
    <w:rsid w:val="000B5C77"/>
    <w:rsid w:val="000B5C83"/>
    <w:rsid w:val="000B5D2B"/>
    <w:rsid w:val="000B5D32"/>
    <w:rsid w:val="000B5E1D"/>
    <w:rsid w:val="000B5E47"/>
    <w:rsid w:val="000B5E5C"/>
    <w:rsid w:val="000B5E65"/>
    <w:rsid w:val="000B5E7E"/>
    <w:rsid w:val="000B5ED1"/>
    <w:rsid w:val="000B5EDB"/>
    <w:rsid w:val="000B5EE5"/>
    <w:rsid w:val="000B601E"/>
    <w:rsid w:val="000B6023"/>
    <w:rsid w:val="000B60D9"/>
    <w:rsid w:val="000B6108"/>
    <w:rsid w:val="000B616F"/>
    <w:rsid w:val="000B6191"/>
    <w:rsid w:val="000B61E4"/>
    <w:rsid w:val="000B61E5"/>
    <w:rsid w:val="000B6225"/>
    <w:rsid w:val="000B623D"/>
    <w:rsid w:val="000B62AF"/>
    <w:rsid w:val="000B62EF"/>
    <w:rsid w:val="000B642A"/>
    <w:rsid w:val="000B644F"/>
    <w:rsid w:val="000B646B"/>
    <w:rsid w:val="000B6470"/>
    <w:rsid w:val="000B64A0"/>
    <w:rsid w:val="000B64B0"/>
    <w:rsid w:val="000B650D"/>
    <w:rsid w:val="000B6590"/>
    <w:rsid w:val="000B6592"/>
    <w:rsid w:val="000B6656"/>
    <w:rsid w:val="000B66F2"/>
    <w:rsid w:val="000B673E"/>
    <w:rsid w:val="000B67C9"/>
    <w:rsid w:val="000B681E"/>
    <w:rsid w:val="000B6829"/>
    <w:rsid w:val="000B6868"/>
    <w:rsid w:val="000B68AB"/>
    <w:rsid w:val="000B68C9"/>
    <w:rsid w:val="000B6958"/>
    <w:rsid w:val="000B69C5"/>
    <w:rsid w:val="000B6AFF"/>
    <w:rsid w:val="000B6B17"/>
    <w:rsid w:val="000B6B48"/>
    <w:rsid w:val="000B6B71"/>
    <w:rsid w:val="000B6B81"/>
    <w:rsid w:val="000B6BD4"/>
    <w:rsid w:val="000B6BDB"/>
    <w:rsid w:val="000B6C13"/>
    <w:rsid w:val="000B6D5E"/>
    <w:rsid w:val="000B6D60"/>
    <w:rsid w:val="000B6D83"/>
    <w:rsid w:val="000B6E10"/>
    <w:rsid w:val="000B6E24"/>
    <w:rsid w:val="000B6E29"/>
    <w:rsid w:val="000B6F79"/>
    <w:rsid w:val="000B6FB7"/>
    <w:rsid w:val="000B7102"/>
    <w:rsid w:val="000B7141"/>
    <w:rsid w:val="000B715D"/>
    <w:rsid w:val="000B7235"/>
    <w:rsid w:val="000B7264"/>
    <w:rsid w:val="000B726A"/>
    <w:rsid w:val="000B72D6"/>
    <w:rsid w:val="000B72DE"/>
    <w:rsid w:val="000B72F1"/>
    <w:rsid w:val="000B7366"/>
    <w:rsid w:val="000B73A8"/>
    <w:rsid w:val="000B73F2"/>
    <w:rsid w:val="000B7427"/>
    <w:rsid w:val="000B749E"/>
    <w:rsid w:val="000B7538"/>
    <w:rsid w:val="000B7611"/>
    <w:rsid w:val="000B764B"/>
    <w:rsid w:val="000B76B8"/>
    <w:rsid w:val="000B76CB"/>
    <w:rsid w:val="000B76D2"/>
    <w:rsid w:val="000B7700"/>
    <w:rsid w:val="000B774D"/>
    <w:rsid w:val="000B77DB"/>
    <w:rsid w:val="000B7801"/>
    <w:rsid w:val="000B7814"/>
    <w:rsid w:val="000B7839"/>
    <w:rsid w:val="000B7861"/>
    <w:rsid w:val="000B786B"/>
    <w:rsid w:val="000B78D5"/>
    <w:rsid w:val="000B78FA"/>
    <w:rsid w:val="000B7906"/>
    <w:rsid w:val="000B7969"/>
    <w:rsid w:val="000B7A06"/>
    <w:rsid w:val="000B7A1D"/>
    <w:rsid w:val="000B7A29"/>
    <w:rsid w:val="000B7A84"/>
    <w:rsid w:val="000B7AC0"/>
    <w:rsid w:val="000B7B30"/>
    <w:rsid w:val="000B7C4E"/>
    <w:rsid w:val="000B7C51"/>
    <w:rsid w:val="000B7C9F"/>
    <w:rsid w:val="000B7D60"/>
    <w:rsid w:val="000B7DD2"/>
    <w:rsid w:val="000B7EC6"/>
    <w:rsid w:val="000B7EF9"/>
    <w:rsid w:val="000B7F2A"/>
    <w:rsid w:val="000B7F4E"/>
    <w:rsid w:val="000B7FC4"/>
    <w:rsid w:val="000B7FF3"/>
    <w:rsid w:val="000BC2EE"/>
    <w:rsid w:val="000C0045"/>
    <w:rsid w:val="000C006F"/>
    <w:rsid w:val="000C020C"/>
    <w:rsid w:val="000C026A"/>
    <w:rsid w:val="000C0294"/>
    <w:rsid w:val="000C0296"/>
    <w:rsid w:val="000C02AB"/>
    <w:rsid w:val="000C0364"/>
    <w:rsid w:val="000C0503"/>
    <w:rsid w:val="000C0512"/>
    <w:rsid w:val="000C051D"/>
    <w:rsid w:val="000C0534"/>
    <w:rsid w:val="000C053A"/>
    <w:rsid w:val="000C0556"/>
    <w:rsid w:val="000C059A"/>
    <w:rsid w:val="000C0656"/>
    <w:rsid w:val="000C0716"/>
    <w:rsid w:val="000C0731"/>
    <w:rsid w:val="000C0733"/>
    <w:rsid w:val="000C078C"/>
    <w:rsid w:val="000C0839"/>
    <w:rsid w:val="000C08B3"/>
    <w:rsid w:val="000C090B"/>
    <w:rsid w:val="000C0946"/>
    <w:rsid w:val="000C099D"/>
    <w:rsid w:val="000C0A01"/>
    <w:rsid w:val="000C0AC8"/>
    <w:rsid w:val="000C0ACB"/>
    <w:rsid w:val="000C0B9B"/>
    <w:rsid w:val="000C0BCF"/>
    <w:rsid w:val="000C0BE1"/>
    <w:rsid w:val="000C0C1D"/>
    <w:rsid w:val="000C0D67"/>
    <w:rsid w:val="000C0DB4"/>
    <w:rsid w:val="000C0E79"/>
    <w:rsid w:val="000C0ED3"/>
    <w:rsid w:val="000C0FB9"/>
    <w:rsid w:val="000C0FEB"/>
    <w:rsid w:val="000C1017"/>
    <w:rsid w:val="000C1094"/>
    <w:rsid w:val="000C1128"/>
    <w:rsid w:val="000C1182"/>
    <w:rsid w:val="000C11B8"/>
    <w:rsid w:val="000C11D4"/>
    <w:rsid w:val="000C1227"/>
    <w:rsid w:val="000C1377"/>
    <w:rsid w:val="000C13B2"/>
    <w:rsid w:val="000C13CF"/>
    <w:rsid w:val="000C1402"/>
    <w:rsid w:val="000C140A"/>
    <w:rsid w:val="000C1493"/>
    <w:rsid w:val="000C15DC"/>
    <w:rsid w:val="000C1757"/>
    <w:rsid w:val="000C1774"/>
    <w:rsid w:val="000C17A6"/>
    <w:rsid w:val="000C17DB"/>
    <w:rsid w:val="000C1844"/>
    <w:rsid w:val="000C1885"/>
    <w:rsid w:val="000C18F3"/>
    <w:rsid w:val="000C1917"/>
    <w:rsid w:val="000C198E"/>
    <w:rsid w:val="000C1A25"/>
    <w:rsid w:val="000C1A48"/>
    <w:rsid w:val="000C1A8D"/>
    <w:rsid w:val="000C1B37"/>
    <w:rsid w:val="000C1B6F"/>
    <w:rsid w:val="000C1C1F"/>
    <w:rsid w:val="000C1C2F"/>
    <w:rsid w:val="000C1CDC"/>
    <w:rsid w:val="000C1CF9"/>
    <w:rsid w:val="000C1D9B"/>
    <w:rsid w:val="000C1DAB"/>
    <w:rsid w:val="000C1E0E"/>
    <w:rsid w:val="000C1E7D"/>
    <w:rsid w:val="000C1E81"/>
    <w:rsid w:val="000C1FCD"/>
    <w:rsid w:val="000C2005"/>
    <w:rsid w:val="000C2054"/>
    <w:rsid w:val="000C2094"/>
    <w:rsid w:val="000C2144"/>
    <w:rsid w:val="000C2145"/>
    <w:rsid w:val="000C219F"/>
    <w:rsid w:val="000C21CB"/>
    <w:rsid w:val="000C220D"/>
    <w:rsid w:val="000C2238"/>
    <w:rsid w:val="000C22F0"/>
    <w:rsid w:val="000C2300"/>
    <w:rsid w:val="000C23E7"/>
    <w:rsid w:val="000C244D"/>
    <w:rsid w:val="000C2498"/>
    <w:rsid w:val="000C257E"/>
    <w:rsid w:val="000C25D2"/>
    <w:rsid w:val="000C25E8"/>
    <w:rsid w:val="000C260C"/>
    <w:rsid w:val="000C264C"/>
    <w:rsid w:val="000C2651"/>
    <w:rsid w:val="000C26C1"/>
    <w:rsid w:val="000C2712"/>
    <w:rsid w:val="000C2760"/>
    <w:rsid w:val="000C276D"/>
    <w:rsid w:val="000C27D8"/>
    <w:rsid w:val="000C27FF"/>
    <w:rsid w:val="000C280D"/>
    <w:rsid w:val="000C2874"/>
    <w:rsid w:val="000C2898"/>
    <w:rsid w:val="000C28E5"/>
    <w:rsid w:val="000C2967"/>
    <w:rsid w:val="000C29A6"/>
    <w:rsid w:val="000C29BC"/>
    <w:rsid w:val="000C2A75"/>
    <w:rsid w:val="000C2A89"/>
    <w:rsid w:val="000C2AA9"/>
    <w:rsid w:val="000C2B29"/>
    <w:rsid w:val="000C2BC9"/>
    <w:rsid w:val="000C2BE5"/>
    <w:rsid w:val="000C2C1E"/>
    <w:rsid w:val="000C2C3D"/>
    <w:rsid w:val="000C2CC2"/>
    <w:rsid w:val="000C2DAC"/>
    <w:rsid w:val="000C2E77"/>
    <w:rsid w:val="000C2FCC"/>
    <w:rsid w:val="000C30B5"/>
    <w:rsid w:val="000C30B6"/>
    <w:rsid w:val="000C30F1"/>
    <w:rsid w:val="000C3116"/>
    <w:rsid w:val="000C3159"/>
    <w:rsid w:val="000C3185"/>
    <w:rsid w:val="000C31AE"/>
    <w:rsid w:val="000C3318"/>
    <w:rsid w:val="000C331A"/>
    <w:rsid w:val="000C335F"/>
    <w:rsid w:val="000C33BC"/>
    <w:rsid w:val="000C33C4"/>
    <w:rsid w:val="000C3497"/>
    <w:rsid w:val="000C34B2"/>
    <w:rsid w:val="000C3500"/>
    <w:rsid w:val="000C3502"/>
    <w:rsid w:val="000C35F2"/>
    <w:rsid w:val="000C3652"/>
    <w:rsid w:val="000C3663"/>
    <w:rsid w:val="000C367C"/>
    <w:rsid w:val="000C36D5"/>
    <w:rsid w:val="000C36E7"/>
    <w:rsid w:val="000C36FF"/>
    <w:rsid w:val="000C3741"/>
    <w:rsid w:val="000C37DA"/>
    <w:rsid w:val="000C3829"/>
    <w:rsid w:val="000C3849"/>
    <w:rsid w:val="000C38AC"/>
    <w:rsid w:val="000C38AF"/>
    <w:rsid w:val="000C3951"/>
    <w:rsid w:val="000C3976"/>
    <w:rsid w:val="000C3977"/>
    <w:rsid w:val="000C3AFC"/>
    <w:rsid w:val="000C3B2B"/>
    <w:rsid w:val="000C3BC0"/>
    <w:rsid w:val="000C3BC9"/>
    <w:rsid w:val="000C3BDF"/>
    <w:rsid w:val="000C3C3D"/>
    <w:rsid w:val="000C3C80"/>
    <w:rsid w:val="000C3D16"/>
    <w:rsid w:val="000C3DCE"/>
    <w:rsid w:val="000C3F79"/>
    <w:rsid w:val="000C3FAC"/>
    <w:rsid w:val="000C3FE5"/>
    <w:rsid w:val="000C4005"/>
    <w:rsid w:val="000C404D"/>
    <w:rsid w:val="000C4082"/>
    <w:rsid w:val="000C4106"/>
    <w:rsid w:val="000C4198"/>
    <w:rsid w:val="000C41FD"/>
    <w:rsid w:val="000C4239"/>
    <w:rsid w:val="000C4289"/>
    <w:rsid w:val="000C43A7"/>
    <w:rsid w:val="000C43EB"/>
    <w:rsid w:val="000C43F8"/>
    <w:rsid w:val="000C4445"/>
    <w:rsid w:val="000C444B"/>
    <w:rsid w:val="000C447A"/>
    <w:rsid w:val="000C4571"/>
    <w:rsid w:val="000C457A"/>
    <w:rsid w:val="000C45A6"/>
    <w:rsid w:val="000C4618"/>
    <w:rsid w:val="000C46B0"/>
    <w:rsid w:val="000C46EB"/>
    <w:rsid w:val="000C473F"/>
    <w:rsid w:val="000C47F3"/>
    <w:rsid w:val="000C486B"/>
    <w:rsid w:val="000C4875"/>
    <w:rsid w:val="000C48F6"/>
    <w:rsid w:val="000C4907"/>
    <w:rsid w:val="000C49C3"/>
    <w:rsid w:val="000C49C7"/>
    <w:rsid w:val="000C4A0E"/>
    <w:rsid w:val="000C4A10"/>
    <w:rsid w:val="000C4A3B"/>
    <w:rsid w:val="000C4AE9"/>
    <w:rsid w:val="000C4B41"/>
    <w:rsid w:val="000C4BB7"/>
    <w:rsid w:val="000C4C5F"/>
    <w:rsid w:val="000C4D38"/>
    <w:rsid w:val="000C4D60"/>
    <w:rsid w:val="000C4DC8"/>
    <w:rsid w:val="000C4DF1"/>
    <w:rsid w:val="000C4E21"/>
    <w:rsid w:val="000C4E48"/>
    <w:rsid w:val="000C4E8E"/>
    <w:rsid w:val="000C4F2C"/>
    <w:rsid w:val="000C4F94"/>
    <w:rsid w:val="000C4FB4"/>
    <w:rsid w:val="000C4FBB"/>
    <w:rsid w:val="000C4FF8"/>
    <w:rsid w:val="000C5085"/>
    <w:rsid w:val="000C5105"/>
    <w:rsid w:val="000C522E"/>
    <w:rsid w:val="000C5260"/>
    <w:rsid w:val="000C528F"/>
    <w:rsid w:val="000C52A1"/>
    <w:rsid w:val="000C530D"/>
    <w:rsid w:val="000C5319"/>
    <w:rsid w:val="000C532F"/>
    <w:rsid w:val="000C5454"/>
    <w:rsid w:val="000C5596"/>
    <w:rsid w:val="000C55A8"/>
    <w:rsid w:val="000C55CC"/>
    <w:rsid w:val="000C55DB"/>
    <w:rsid w:val="000C56A9"/>
    <w:rsid w:val="000C56ED"/>
    <w:rsid w:val="000C5788"/>
    <w:rsid w:val="000C57B5"/>
    <w:rsid w:val="000C5842"/>
    <w:rsid w:val="000C5849"/>
    <w:rsid w:val="000C587C"/>
    <w:rsid w:val="000C58A6"/>
    <w:rsid w:val="000C58D3"/>
    <w:rsid w:val="000C599B"/>
    <w:rsid w:val="000C5A03"/>
    <w:rsid w:val="000C5A1F"/>
    <w:rsid w:val="000C5ACE"/>
    <w:rsid w:val="000C5AD3"/>
    <w:rsid w:val="000C5B49"/>
    <w:rsid w:val="000C5BA0"/>
    <w:rsid w:val="000C5BA1"/>
    <w:rsid w:val="000C5C2C"/>
    <w:rsid w:val="000C5CAA"/>
    <w:rsid w:val="000C5CBC"/>
    <w:rsid w:val="000C5CDF"/>
    <w:rsid w:val="000C5CE0"/>
    <w:rsid w:val="000C5CE2"/>
    <w:rsid w:val="000C5D6B"/>
    <w:rsid w:val="000C5DB3"/>
    <w:rsid w:val="000C5DB8"/>
    <w:rsid w:val="000C5DD8"/>
    <w:rsid w:val="000C5DEF"/>
    <w:rsid w:val="000C5E26"/>
    <w:rsid w:val="000C5E7A"/>
    <w:rsid w:val="000C5EB4"/>
    <w:rsid w:val="000C5EF3"/>
    <w:rsid w:val="000C5F1D"/>
    <w:rsid w:val="000C5F30"/>
    <w:rsid w:val="000C5F3F"/>
    <w:rsid w:val="000C5F47"/>
    <w:rsid w:val="000C5FC4"/>
    <w:rsid w:val="000C5FEC"/>
    <w:rsid w:val="000C6015"/>
    <w:rsid w:val="000C6241"/>
    <w:rsid w:val="000C625E"/>
    <w:rsid w:val="000C6264"/>
    <w:rsid w:val="000C62A6"/>
    <w:rsid w:val="000C62FD"/>
    <w:rsid w:val="000C6381"/>
    <w:rsid w:val="000C64EE"/>
    <w:rsid w:val="000C6530"/>
    <w:rsid w:val="000C6569"/>
    <w:rsid w:val="000C65D0"/>
    <w:rsid w:val="000C6661"/>
    <w:rsid w:val="000C6665"/>
    <w:rsid w:val="000C6704"/>
    <w:rsid w:val="000C671D"/>
    <w:rsid w:val="000C6729"/>
    <w:rsid w:val="000C6758"/>
    <w:rsid w:val="000C6765"/>
    <w:rsid w:val="000C67D2"/>
    <w:rsid w:val="000C67FE"/>
    <w:rsid w:val="000C6859"/>
    <w:rsid w:val="000C6863"/>
    <w:rsid w:val="000C6885"/>
    <w:rsid w:val="000C68D9"/>
    <w:rsid w:val="000C68FB"/>
    <w:rsid w:val="000C69A0"/>
    <w:rsid w:val="000C6A1C"/>
    <w:rsid w:val="000C6AAA"/>
    <w:rsid w:val="000C6B3D"/>
    <w:rsid w:val="000C6B76"/>
    <w:rsid w:val="000C6BB4"/>
    <w:rsid w:val="000C6C02"/>
    <w:rsid w:val="000C6C25"/>
    <w:rsid w:val="000C6C45"/>
    <w:rsid w:val="000C6D0E"/>
    <w:rsid w:val="000C6D2B"/>
    <w:rsid w:val="000C6D40"/>
    <w:rsid w:val="000C6E0D"/>
    <w:rsid w:val="000C6E1A"/>
    <w:rsid w:val="000C6EFA"/>
    <w:rsid w:val="000C6F66"/>
    <w:rsid w:val="000C7044"/>
    <w:rsid w:val="000C7061"/>
    <w:rsid w:val="000C70AD"/>
    <w:rsid w:val="000C70C8"/>
    <w:rsid w:val="000C70D8"/>
    <w:rsid w:val="000C71B8"/>
    <w:rsid w:val="000C71CF"/>
    <w:rsid w:val="000C7254"/>
    <w:rsid w:val="000C7305"/>
    <w:rsid w:val="000C7328"/>
    <w:rsid w:val="000C7353"/>
    <w:rsid w:val="000C7395"/>
    <w:rsid w:val="000C73D6"/>
    <w:rsid w:val="000C7443"/>
    <w:rsid w:val="000C7479"/>
    <w:rsid w:val="000C7570"/>
    <w:rsid w:val="000C75BC"/>
    <w:rsid w:val="000C765A"/>
    <w:rsid w:val="000C7690"/>
    <w:rsid w:val="000C76AD"/>
    <w:rsid w:val="000C7708"/>
    <w:rsid w:val="000C78A4"/>
    <w:rsid w:val="000C7945"/>
    <w:rsid w:val="000C794C"/>
    <w:rsid w:val="000C7973"/>
    <w:rsid w:val="000C7A24"/>
    <w:rsid w:val="000C7AD7"/>
    <w:rsid w:val="000C7AD9"/>
    <w:rsid w:val="000C7BAB"/>
    <w:rsid w:val="000C7C08"/>
    <w:rsid w:val="000C7C56"/>
    <w:rsid w:val="000C7D1F"/>
    <w:rsid w:val="000C7DEA"/>
    <w:rsid w:val="000C7DF1"/>
    <w:rsid w:val="000C7ECF"/>
    <w:rsid w:val="000C7FD4"/>
    <w:rsid w:val="000D005A"/>
    <w:rsid w:val="000D0100"/>
    <w:rsid w:val="000D0101"/>
    <w:rsid w:val="000D01E0"/>
    <w:rsid w:val="000D0200"/>
    <w:rsid w:val="000D0227"/>
    <w:rsid w:val="000D0324"/>
    <w:rsid w:val="000D0339"/>
    <w:rsid w:val="000D034E"/>
    <w:rsid w:val="000D03EA"/>
    <w:rsid w:val="000D0466"/>
    <w:rsid w:val="000D053B"/>
    <w:rsid w:val="000D059F"/>
    <w:rsid w:val="000D0656"/>
    <w:rsid w:val="000D0674"/>
    <w:rsid w:val="000D06B1"/>
    <w:rsid w:val="000D0700"/>
    <w:rsid w:val="000D07D2"/>
    <w:rsid w:val="000D0815"/>
    <w:rsid w:val="000D086A"/>
    <w:rsid w:val="000D086F"/>
    <w:rsid w:val="000D08A9"/>
    <w:rsid w:val="000D08F2"/>
    <w:rsid w:val="000D08FB"/>
    <w:rsid w:val="000D0936"/>
    <w:rsid w:val="000D0946"/>
    <w:rsid w:val="000D0964"/>
    <w:rsid w:val="000D0978"/>
    <w:rsid w:val="000D0A79"/>
    <w:rsid w:val="000D0AD0"/>
    <w:rsid w:val="000D0AEF"/>
    <w:rsid w:val="000D0B55"/>
    <w:rsid w:val="000D0B61"/>
    <w:rsid w:val="000D0B7E"/>
    <w:rsid w:val="000D0B9D"/>
    <w:rsid w:val="000D0BBC"/>
    <w:rsid w:val="000D0BEF"/>
    <w:rsid w:val="000D0C19"/>
    <w:rsid w:val="000D0C2A"/>
    <w:rsid w:val="000D0C4C"/>
    <w:rsid w:val="000D0CC0"/>
    <w:rsid w:val="000D0D49"/>
    <w:rsid w:val="000D0D6F"/>
    <w:rsid w:val="000D0D77"/>
    <w:rsid w:val="000D0D8A"/>
    <w:rsid w:val="000D0EDC"/>
    <w:rsid w:val="000D0F30"/>
    <w:rsid w:val="000D0F39"/>
    <w:rsid w:val="000D0F4F"/>
    <w:rsid w:val="000D0F75"/>
    <w:rsid w:val="000D0F77"/>
    <w:rsid w:val="000D0FB5"/>
    <w:rsid w:val="000D0FE3"/>
    <w:rsid w:val="000D1048"/>
    <w:rsid w:val="000D1071"/>
    <w:rsid w:val="000D108C"/>
    <w:rsid w:val="000D10DD"/>
    <w:rsid w:val="000D10FF"/>
    <w:rsid w:val="000D1104"/>
    <w:rsid w:val="000D1140"/>
    <w:rsid w:val="000D11A3"/>
    <w:rsid w:val="000D11C1"/>
    <w:rsid w:val="000D11EC"/>
    <w:rsid w:val="000D1330"/>
    <w:rsid w:val="000D1398"/>
    <w:rsid w:val="000D1499"/>
    <w:rsid w:val="000D15E3"/>
    <w:rsid w:val="000D1603"/>
    <w:rsid w:val="000D162E"/>
    <w:rsid w:val="000D1667"/>
    <w:rsid w:val="000D168F"/>
    <w:rsid w:val="000D16D8"/>
    <w:rsid w:val="000D1802"/>
    <w:rsid w:val="000D1844"/>
    <w:rsid w:val="000D186B"/>
    <w:rsid w:val="000D1964"/>
    <w:rsid w:val="000D1995"/>
    <w:rsid w:val="000D199E"/>
    <w:rsid w:val="000D1A03"/>
    <w:rsid w:val="000D1A3D"/>
    <w:rsid w:val="000D1AAF"/>
    <w:rsid w:val="000D1D1E"/>
    <w:rsid w:val="000D1D5C"/>
    <w:rsid w:val="000D1E20"/>
    <w:rsid w:val="000D1E8F"/>
    <w:rsid w:val="000D1EC7"/>
    <w:rsid w:val="000D1F93"/>
    <w:rsid w:val="000D1F9A"/>
    <w:rsid w:val="000D1FA1"/>
    <w:rsid w:val="000D1FE2"/>
    <w:rsid w:val="000D2017"/>
    <w:rsid w:val="000D2049"/>
    <w:rsid w:val="000D2083"/>
    <w:rsid w:val="000D20D3"/>
    <w:rsid w:val="000D20D6"/>
    <w:rsid w:val="000D2191"/>
    <w:rsid w:val="000D2198"/>
    <w:rsid w:val="000D21A0"/>
    <w:rsid w:val="000D2234"/>
    <w:rsid w:val="000D2276"/>
    <w:rsid w:val="000D22DC"/>
    <w:rsid w:val="000D2337"/>
    <w:rsid w:val="000D2370"/>
    <w:rsid w:val="000D23B8"/>
    <w:rsid w:val="000D2428"/>
    <w:rsid w:val="000D2433"/>
    <w:rsid w:val="000D2467"/>
    <w:rsid w:val="000D24EE"/>
    <w:rsid w:val="000D250F"/>
    <w:rsid w:val="000D254C"/>
    <w:rsid w:val="000D25D3"/>
    <w:rsid w:val="000D2616"/>
    <w:rsid w:val="000D2670"/>
    <w:rsid w:val="000D2687"/>
    <w:rsid w:val="000D26C8"/>
    <w:rsid w:val="000D26E5"/>
    <w:rsid w:val="000D27EC"/>
    <w:rsid w:val="000D2851"/>
    <w:rsid w:val="000D2947"/>
    <w:rsid w:val="000D296E"/>
    <w:rsid w:val="000D29DD"/>
    <w:rsid w:val="000D2A4F"/>
    <w:rsid w:val="000D2A72"/>
    <w:rsid w:val="000D2ABC"/>
    <w:rsid w:val="000D2ACB"/>
    <w:rsid w:val="000D2B1E"/>
    <w:rsid w:val="000D2B1F"/>
    <w:rsid w:val="000D2B4E"/>
    <w:rsid w:val="000D2B70"/>
    <w:rsid w:val="000D2BD0"/>
    <w:rsid w:val="000D2BF6"/>
    <w:rsid w:val="000D2C4D"/>
    <w:rsid w:val="000D2CD7"/>
    <w:rsid w:val="000D2D5E"/>
    <w:rsid w:val="000D2E3D"/>
    <w:rsid w:val="000D2E98"/>
    <w:rsid w:val="000D2EA6"/>
    <w:rsid w:val="000D2F0C"/>
    <w:rsid w:val="000D2FCC"/>
    <w:rsid w:val="000D303B"/>
    <w:rsid w:val="000D30BE"/>
    <w:rsid w:val="000D30CB"/>
    <w:rsid w:val="000D30E5"/>
    <w:rsid w:val="000D30FF"/>
    <w:rsid w:val="000D3173"/>
    <w:rsid w:val="000D318A"/>
    <w:rsid w:val="000D31BF"/>
    <w:rsid w:val="000D3220"/>
    <w:rsid w:val="000D3248"/>
    <w:rsid w:val="000D3275"/>
    <w:rsid w:val="000D329C"/>
    <w:rsid w:val="000D329E"/>
    <w:rsid w:val="000D32F9"/>
    <w:rsid w:val="000D3418"/>
    <w:rsid w:val="000D3454"/>
    <w:rsid w:val="000D3471"/>
    <w:rsid w:val="000D349D"/>
    <w:rsid w:val="000D34BC"/>
    <w:rsid w:val="000D34E7"/>
    <w:rsid w:val="000D3501"/>
    <w:rsid w:val="000D3524"/>
    <w:rsid w:val="000D35E7"/>
    <w:rsid w:val="000D3652"/>
    <w:rsid w:val="000D367D"/>
    <w:rsid w:val="000D374F"/>
    <w:rsid w:val="000D3803"/>
    <w:rsid w:val="000D3823"/>
    <w:rsid w:val="000D387B"/>
    <w:rsid w:val="000D3902"/>
    <w:rsid w:val="000D39BA"/>
    <w:rsid w:val="000D39EC"/>
    <w:rsid w:val="000D3A36"/>
    <w:rsid w:val="000D3ACA"/>
    <w:rsid w:val="000D3B7E"/>
    <w:rsid w:val="000D3C3D"/>
    <w:rsid w:val="000D3CEB"/>
    <w:rsid w:val="000D3CFB"/>
    <w:rsid w:val="000D3E28"/>
    <w:rsid w:val="000D3E43"/>
    <w:rsid w:val="000D3E4E"/>
    <w:rsid w:val="000D3EEC"/>
    <w:rsid w:val="000D3F4A"/>
    <w:rsid w:val="000D3FE1"/>
    <w:rsid w:val="000D3FF1"/>
    <w:rsid w:val="000D4002"/>
    <w:rsid w:val="000D40E8"/>
    <w:rsid w:val="000D40F1"/>
    <w:rsid w:val="000D4116"/>
    <w:rsid w:val="000D418F"/>
    <w:rsid w:val="000D41F8"/>
    <w:rsid w:val="000D4233"/>
    <w:rsid w:val="000D42A2"/>
    <w:rsid w:val="000D42B9"/>
    <w:rsid w:val="000D42C5"/>
    <w:rsid w:val="000D42CA"/>
    <w:rsid w:val="000D434D"/>
    <w:rsid w:val="000D4380"/>
    <w:rsid w:val="000D44E1"/>
    <w:rsid w:val="000D44E7"/>
    <w:rsid w:val="000D44F7"/>
    <w:rsid w:val="000D4515"/>
    <w:rsid w:val="000D4539"/>
    <w:rsid w:val="000D4551"/>
    <w:rsid w:val="000D45B4"/>
    <w:rsid w:val="000D45B8"/>
    <w:rsid w:val="000D45DA"/>
    <w:rsid w:val="000D4608"/>
    <w:rsid w:val="000D462B"/>
    <w:rsid w:val="000D470A"/>
    <w:rsid w:val="000D4726"/>
    <w:rsid w:val="000D4790"/>
    <w:rsid w:val="000D480B"/>
    <w:rsid w:val="000D4859"/>
    <w:rsid w:val="000D48B3"/>
    <w:rsid w:val="000D48BE"/>
    <w:rsid w:val="000D48CD"/>
    <w:rsid w:val="000D4938"/>
    <w:rsid w:val="000D4957"/>
    <w:rsid w:val="000D497C"/>
    <w:rsid w:val="000D49E0"/>
    <w:rsid w:val="000D4A5B"/>
    <w:rsid w:val="000D4A6A"/>
    <w:rsid w:val="000D4AF3"/>
    <w:rsid w:val="000D4B11"/>
    <w:rsid w:val="000D4B70"/>
    <w:rsid w:val="000D4CB0"/>
    <w:rsid w:val="000D4CE0"/>
    <w:rsid w:val="000D4D1E"/>
    <w:rsid w:val="000D4D22"/>
    <w:rsid w:val="000D4D7A"/>
    <w:rsid w:val="000D4DFB"/>
    <w:rsid w:val="000D4EDE"/>
    <w:rsid w:val="000D4F41"/>
    <w:rsid w:val="000D4F43"/>
    <w:rsid w:val="000D4F5B"/>
    <w:rsid w:val="000D4F74"/>
    <w:rsid w:val="000D4FF7"/>
    <w:rsid w:val="000D5035"/>
    <w:rsid w:val="000D505C"/>
    <w:rsid w:val="000D50BF"/>
    <w:rsid w:val="000D50D7"/>
    <w:rsid w:val="000D5235"/>
    <w:rsid w:val="000D52F0"/>
    <w:rsid w:val="000D534C"/>
    <w:rsid w:val="000D5355"/>
    <w:rsid w:val="000D53BD"/>
    <w:rsid w:val="000D53C1"/>
    <w:rsid w:val="000D53CE"/>
    <w:rsid w:val="000D5421"/>
    <w:rsid w:val="000D5428"/>
    <w:rsid w:val="000D5490"/>
    <w:rsid w:val="000D54E0"/>
    <w:rsid w:val="000D54E4"/>
    <w:rsid w:val="000D5542"/>
    <w:rsid w:val="000D5572"/>
    <w:rsid w:val="000D55C8"/>
    <w:rsid w:val="000D55D8"/>
    <w:rsid w:val="000D5718"/>
    <w:rsid w:val="000D5775"/>
    <w:rsid w:val="000D57D5"/>
    <w:rsid w:val="000D5856"/>
    <w:rsid w:val="000D58E0"/>
    <w:rsid w:val="000D592D"/>
    <w:rsid w:val="000D5A2C"/>
    <w:rsid w:val="000D5A5A"/>
    <w:rsid w:val="000D5A62"/>
    <w:rsid w:val="000D5AE9"/>
    <w:rsid w:val="000D5B8E"/>
    <w:rsid w:val="000D5B8F"/>
    <w:rsid w:val="000D5BB4"/>
    <w:rsid w:val="000D5CD4"/>
    <w:rsid w:val="000D5CDF"/>
    <w:rsid w:val="000D5CFA"/>
    <w:rsid w:val="000D5D1C"/>
    <w:rsid w:val="000D5DA6"/>
    <w:rsid w:val="000D5DEE"/>
    <w:rsid w:val="000D5E03"/>
    <w:rsid w:val="000D5E41"/>
    <w:rsid w:val="000D5EA7"/>
    <w:rsid w:val="000D5EEF"/>
    <w:rsid w:val="000D5F3D"/>
    <w:rsid w:val="000D5F42"/>
    <w:rsid w:val="000D5F67"/>
    <w:rsid w:val="000D5FEA"/>
    <w:rsid w:val="000D60AF"/>
    <w:rsid w:val="000D60C2"/>
    <w:rsid w:val="000D612D"/>
    <w:rsid w:val="000D61C3"/>
    <w:rsid w:val="000D61D5"/>
    <w:rsid w:val="000D6202"/>
    <w:rsid w:val="000D6285"/>
    <w:rsid w:val="000D6338"/>
    <w:rsid w:val="000D63AE"/>
    <w:rsid w:val="000D63C7"/>
    <w:rsid w:val="000D63D9"/>
    <w:rsid w:val="000D63EB"/>
    <w:rsid w:val="000D6480"/>
    <w:rsid w:val="000D6527"/>
    <w:rsid w:val="000D6557"/>
    <w:rsid w:val="000D65D4"/>
    <w:rsid w:val="000D66BE"/>
    <w:rsid w:val="000D6769"/>
    <w:rsid w:val="000D6858"/>
    <w:rsid w:val="000D68BB"/>
    <w:rsid w:val="000D68C6"/>
    <w:rsid w:val="000D6966"/>
    <w:rsid w:val="000D69A2"/>
    <w:rsid w:val="000D69BF"/>
    <w:rsid w:val="000D69EE"/>
    <w:rsid w:val="000D6A07"/>
    <w:rsid w:val="000D6A72"/>
    <w:rsid w:val="000D6AD3"/>
    <w:rsid w:val="000D6B19"/>
    <w:rsid w:val="000D6C1B"/>
    <w:rsid w:val="000D6CAC"/>
    <w:rsid w:val="000D6CB6"/>
    <w:rsid w:val="000D6D10"/>
    <w:rsid w:val="000D6D41"/>
    <w:rsid w:val="000D6D5F"/>
    <w:rsid w:val="000D6DD5"/>
    <w:rsid w:val="000D6E5F"/>
    <w:rsid w:val="000D6E8B"/>
    <w:rsid w:val="000D6EE7"/>
    <w:rsid w:val="000D6EF0"/>
    <w:rsid w:val="000D701C"/>
    <w:rsid w:val="000D7094"/>
    <w:rsid w:val="000D7095"/>
    <w:rsid w:val="000D7130"/>
    <w:rsid w:val="000D7166"/>
    <w:rsid w:val="000D71CF"/>
    <w:rsid w:val="000D71D2"/>
    <w:rsid w:val="000D725C"/>
    <w:rsid w:val="000D72CE"/>
    <w:rsid w:val="000D7357"/>
    <w:rsid w:val="000D7393"/>
    <w:rsid w:val="000D7396"/>
    <w:rsid w:val="000D739A"/>
    <w:rsid w:val="000D73A7"/>
    <w:rsid w:val="000D7418"/>
    <w:rsid w:val="000D7444"/>
    <w:rsid w:val="000D7492"/>
    <w:rsid w:val="000D74A9"/>
    <w:rsid w:val="000D7585"/>
    <w:rsid w:val="000D759A"/>
    <w:rsid w:val="000D75D6"/>
    <w:rsid w:val="000D7664"/>
    <w:rsid w:val="000D767E"/>
    <w:rsid w:val="000D7686"/>
    <w:rsid w:val="000D7768"/>
    <w:rsid w:val="000D778F"/>
    <w:rsid w:val="000D7837"/>
    <w:rsid w:val="000D7897"/>
    <w:rsid w:val="000D78C0"/>
    <w:rsid w:val="000D7A2E"/>
    <w:rsid w:val="000D7A3A"/>
    <w:rsid w:val="000D7B1B"/>
    <w:rsid w:val="000D7B35"/>
    <w:rsid w:val="000D7B64"/>
    <w:rsid w:val="000D7B89"/>
    <w:rsid w:val="000D7BB1"/>
    <w:rsid w:val="000D7BBF"/>
    <w:rsid w:val="000D7C18"/>
    <w:rsid w:val="000D7C35"/>
    <w:rsid w:val="000D7C68"/>
    <w:rsid w:val="000D7CC0"/>
    <w:rsid w:val="000D7CCA"/>
    <w:rsid w:val="000D7CD1"/>
    <w:rsid w:val="000D7CDB"/>
    <w:rsid w:val="000D7D11"/>
    <w:rsid w:val="000D7DA7"/>
    <w:rsid w:val="000D7DD6"/>
    <w:rsid w:val="000D7E07"/>
    <w:rsid w:val="000D7E54"/>
    <w:rsid w:val="000D7E9C"/>
    <w:rsid w:val="000D7F31"/>
    <w:rsid w:val="000D7F58"/>
    <w:rsid w:val="000E00EC"/>
    <w:rsid w:val="000E011E"/>
    <w:rsid w:val="000E013D"/>
    <w:rsid w:val="000E017F"/>
    <w:rsid w:val="000E01A8"/>
    <w:rsid w:val="000E01BC"/>
    <w:rsid w:val="000E01ED"/>
    <w:rsid w:val="000E01EF"/>
    <w:rsid w:val="000E025C"/>
    <w:rsid w:val="000E032E"/>
    <w:rsid w:val="000E0366"/>
    <w:rsid w:val="000E036F"/>
    <w:rsid w:val="000E03B3"/>
    <w:rsid w:val="000E04DD"/>
    <w:rsid w:val="000E052B"/>
    <w:rsid w:val="000E053E"/>
    <w:rsid w:val="000E0561"/>
    <w:rsid w:val="000E05CF"/>
    <w:rsid w:val="000E05E7"/>
    <w:rsid w:val="000E0624"/>
    <w:rsid w:val="000E0628"/>
    <w:rsid w:val="000E066D"/>
    <w:rsid w:val="000E06EE"/>
    <w:rsid w:val="000E0722"/>
    <w:rsid w:val="000E07AA"/>
    <w:rsid w:val="000E07B5"/>
    <w:rsid w:val="000E07D5"/>
    <w:rsid w:val="000E08E0"/>
    <w:rsid w:val="000E092D"/>
    <w:rsid w:val="000E0937"/>
    <w:rsid w:val="000E097D"/>
    <w:rsid w:val="000E099D"/>
    <w:rsid w:val="000E0A08"/>
    <w:rsid w:val="000E0A12"/>
    <w:rsid w:val="000E0A17"/>
    <w:rsid w:val="000E0AA4"/>
    <w:rsid w:val="000E0AC0"/>
    <w:rsid w:val="000E0BDB"/>
    <w:rsid w:val="000E0C05"/>
    <w:rsid w:val="000E0C22"/>
    <w:rsid w:val="000E0D20"/>
    <w:rsid w:val="000E0D2E"/>
    <w:rsid w:val="000E0DB0"/>
    <w:rsid w:val="000E0E9D"/>
    <w:rsid w:val="000E0ED6"/>
    <w:rsid w:val="000E0EEC"/>
    <w:rsid w:val="000E0F2A"/>
    <w:rsid w:val="000E0F92"/>
    <w:rsid w:val="000E103E"/>
    <w:rsid w:val="000E1081"/>
    <w:rsid w:val="000E1092"/>
    <w:rsid w:val="000E10B2"/>
    <w:rsid w:val="000E10D3"/>
    <w:rsid w:val="000E116E"/>
    <w:rsid w:val="000E11DC"/>
    <w:rsid w:val="000E1253"/>
    <w:rsid w:val="000E128F"/>
    <w:rsid w:val="000E12B4"/>
    <w:rsid w:val="000E12BE"/>
    <w:rsid w:val="000E12FC"/>
    <w:rsid w:val="000E1310"/>
    <w:rsid w:val="000E1334"/>
    <w:rsid w:val="000E1348"/>
    <w:rsid w:val="000E13A0"/>
    <w:rsid w:val="000E1452"/>
    <w:rsid w:val="000E14F0"/>
    <w:rsid w:val="000E1510"/>
    <w:rsid w:val="000E1550"/>
    <w:rsid w:val="000E15AA"/>
    <w:rsid w:val="000E161A"/>
    <w:rsid w:val="000E16A0"/>
    <w:rsid w:val="000E1707"/>
    <w:rsid w:val="000E1751"/>
    <w:rsid w:val="000E178C"/>
    <w:rsid w:val="000E17A7"/>
    <w:rsid w:val="000E1859"/>
    <w:rsid w:val="000E185E"/>
    <w:rsid w:val="000E18EA"/>
    <w:rsid w:val="000E195A"/>
    <w:rsid w:val="000E1ADD"/>
    <w:rsid w:val="000E1B31"/>
    <w:rsid w:val="000E1BD4"/>
    <w:rsid w:val="000E1BF1"/>
    <w:rsid w:val="000E1C5F"/>
    <w:rsid w:val="000E1C60"/>
    <w:rsid w:val="000E1D42"/>
    <w:rsid w:val="000E1D83"/>
    <w:rsid w:val="000E1E46"/>
    <w:rsid w:val="000E206D"/>
    <w:rsid w:val="000E2172"/>
    <w:rsid w:val="000E2175"/>
    <w:rsid w:val="000E21A4"/>
    <w:rsid w:val="000E21CF"/>
    <w:rsid w:val="000E2202"/>
    <w:rsid w:val="000E222D"/>
    <w:rsid w:val="000E22F0"/>
    <w:rsid w:val="000E2308"/>
    <w:rsid w:val="000E2483"/>
    <w:rsid w:val="000E2514"/>
    <w:rsid w:val="000E258C"/>
    <w:rsid w:val="000E25F7"/>
    <w:rsid w:val="000E26F5"/>
    <w:rsid w:val="000E2768"/>
    <w:rsid w:val="000E2781"/>
    <w:rsid w:val="000E2786"/>
    <w:rsid w:val="000E27A0"/>
    <w:rsid w:val="000E27DC"/>
    <w:rsid w:val="000E288C"/>
    <w:rsid w:val="000E289C"/>
    <w:rsid w:val="000E28B6"/>
    <w:rsid w:val="000E28D3"/>
    <w:rsid w:val="000E29B4"/>
    <w:rsid w:val="000E2A10"/>
    <w:rsid w:val="000E2A42"/>
    <w:rsid w:val="000E2A43"/>
    <w:rsid w:val="000E2AA0"/>
    <w:rsid w:val="000E2AE5"/>
    <w:rsid w:val="000E2B22"/>
    <w:rsid w:val="000E2B2E"/>
    <w:rsid w:val="000E2B51"/>
    <w:rsid w:val="000E2B6F"/>
    <w:rsid w:val="000E2C5B"/>
    <w:rsid w:val="000E2CFF"/>
    <w:rsid w:val="000E2D66"/>
    <w:rsid w:val="000E2D74"/>
    <w:rsid w:val="000E2D95"/>
    <w:rsid w:val="000E2DA3"/>
    <w:rsid w:val="000E2E38"/>
    <w:rsid w:val="000E2E9C"/>
    <w:rsid w:val="000E2ED5"/>
    <w:rsid w:val="000E2EEF"/>
    <w:rsid w:val="000E2EF0"/>
    <w:rsid w:val="000E2F11"/>
    <w:rsid w:val="000E2F21"/>
    <w:rsid w:val="000E2F96"/>
    <w:rsid w:val="000E2FC1"/>
    <w:rsid w:val="000E2FCC"/>
    <w:rsid w:val="000E300F"/>
    <w:rsid w:val="000E3016"/>
    <w:rsid w:val="000E301E"/>
    <w:rsid w:val="000E305B"/>
    <w:rsid w:val="000E3196"/>
    <w:rsid w:val="000E31FE"/>
    <w:rsid w:val="000E3211"/>
    <w:rsid w:val="000E32B2"/>
    <w:rsid w:val="000E32C1"/>
    <w:rsid w:val="000E3303"/>
    <w:rsid w:val="000E3365"/>
    <w:rsid w:val="000E345D"/>
    <w:rsid w:val="000E34DB"/>
    <w:rsid w:val="000E351D"/>
    <w:rsid w:val="000E353D"/>
    <w:rsid w:val="000E3593"/>
    <w:rsid w:val="000E36ED"/>
    <w:rsid w:val="000E3774"/>
    <w:rsid w:val="000E378A"/>
    <w:rsid w:val="000E381C"/>
    <w:rsid w:val="000E391A"/>
    <w:rsid w:val="000E3937"/>
    <w:rsid w:val="000E3942"/>
    <w:rsid w:val="000E3969"/>
    <w:rsid w:val="000E3996"/>
    <w:rsid w:val="000E39C6"/>
    <w:rsid w:val="000E39E0"/>
    <w:rsid w:val="000E3A69"/>
    <w:rsid w:val="000E3B03"/>
    <w:rsid w:val="000E3B0E"/>
    <w:rsid w:val="000E3B4F"/>
    <w:rsid w:val="000E3B58"/>
    <w:rsid w:val="000E3BD1"/>
    <w:rsid w:val="000E3BDD"/>
    <w:rsid w:val="000E3C09"/>
    <w:rsid w:val="000E3C61"/>
    <w:rsid w:val="000E3C7B"/>
    <w:rsid w:val="000E3C7C"/>
    <w:rsid w:val="000E3CD5"/>
    <w:rsid w:val="000E3CDC"/>
    <w:rsid w:val="000E3D27"/>
    <w:rsid w:val="000E3D38"/>
    <w:rsid w:val="000E3D66"/>
    <w:rsid w:val="000E3DAB"/>
    <w:rsid w:val="000E3E91"/>
    <w:rsid w:val="000E4199"/>
    <w:rsid w:val="000E41EA"/>
    <w:rsid w:val="000E4238"/>
    <w:rsid w:val="000E4253"/>
    <w:rsid w:val="000E42A7"/>
    <w:rsid w:val="000E4342"/>
    <w:rsid w:val="000E4389"/>
    <w:rsid w:val="000E43EB"/>
    <w:rsid w:val="000E4430"/>
    <w:rsid w:val="000E4439"/>
    <w:rsid w:val="000E443B"/>
    <w:rsid w:val="000E445F"/>
    <w:rsid w:val="000E4490"/>
    <w:rsid w:val="000E44A3"/>
    <w:rsid w:val="000E44B7"/>
    <w:rsid w:val="000E44C4"/>
    <w:rsid w:val="000E4544"/>
    <w:rsid w:val="000E470B"/>
    <w:rsid w:val="000E47A9"/>
    <w:rsid w:val="000E47E0"/>
    <w:rsid w:val="000E49A8"/>
    <w:rsid w:val="000E49B2"/>
    <w:rsid w:val="000E4ABA"/>
    <w:rsid w:val="000E4ADF"/>
    <w:rsid w:val="000E4B35"/>
    <w:rsid w:val="000E4B55"/>
    <w:rsid w:val="000E4BA7"/>
    <w:rsid w:val="000E4BA9"/>
    <w:rsid w:val="000E4BB2"/>
    <w:rsid w:val="000E4C02"/>
    <w:rsid w:val="000E4C1B"/>
    <w:rsid w:val="000E4C71"/>
    <w:rsid w:val="000E4C89"/>
    <w:rsid w:val="000E4CB5"/>
    <w:rsid w:val="000E4CDC"/>
    <w:rsid w:val="000E4D00"/>
    <w:rsid w:val="000E4D13"/>
    <w:rsid w:val="000E4D4D"/>
    <w:rsid w:val="000E4D6A"/>
    <w:rsid w:val="000E4D7E"/>
    <w:rsid w:val="000E4DD8"/>
    <w:rsid w:val="000E4E22"/>
    <w:rsid w:val="000E4EA1"/>
    <w:rsid w:val="000E4EBE"/>
    <w:rsid w:val="000E4F66"/>
    <w:rsid w:val="000E5011"/>
    <w:rsid w:val="000E502D"/>
    <w:rsid w:val="000E504D"/>
    <w:rsid w:val="000E5059"/>
    <w:rsid w:val="000E50C9"/>
    <w:rsid w:val="000E50E2"/>
    <w:rsid w:val="000E50FF"/>
    <w:rsid w:val="000E5119"/>
    <w:rsid w:val="000E5136"/>
    <w:rsid w:val="000E513C"/>
    <w:rsid w:val="000E5155"/>
    <w:rsid w:val="000E5181"/>
    <w:rsid w:val="000E5211"/>
    <w:rsid w:val="000E52CE"/>
    <w:rsid w:val="000E5324"/>
    <w:rsid w:val="000E5364"/>
    <w:rsid w:val="000E5413"/>
    <w:rsid w:val="000E5481"/>
    <w:rsid w:val="000E551B"/>
    <w:rsid w:val="000E5551"/>
    <w:rsid w:val="000E5559"/>
    <w:rsid w:val="000E55A3"/>
    <w:rsid w:val="000E55CF"/>
    <w:rsid w:val="000E563F"/>
    <w:rsid w:val="000E5656"/>
    <w:rsid w:val="000E56ED"/>
    <w:rsid w:val="000E5700"/>
    <w:rsid w:val="000E589D"/>
    <w:rsid w:val="000E589E"/>
    <w:rsid w:val="000E590A"/>
    <w:rsid w:val="000E5945"/>
    <w:rsid w:val="000E5954"/>
    <w:rsid w:val="000E595C"/>
    <w:rsid w:val="000E5963"/>
    <w:rsid w:val="000E5A1C"/>
    <w:rsid w:val="000E5B23"/>
    <w:rsid w:val="000E5B2F"/>
    <w:rsid w:val="000E5B5A"/>
    <w:rsid w:val="000E5C4C"/>
    <w:rsid w:val="000E5CF3"/>
    <w:rsid w:val="000E5D19"/>
    <w:rsid w:val="000E5E21"/>
    <w:rsid w:val="000E5E56"/>
    <w:rsid w:val="000E5FF2"/>
    <w:rsid w:val="000E6079"/>
    <w:rsid w:val="000E6089"/>
    <w:rsid w:val="000E610C"/>
    <w:rsid w:val="000E6195"/>
    <w:rsid w:val="000E622C"/>
    <w:rsid w:val="000E626B"/>
    <w:rsid w:val="000E629C"/>
    <w:rsid w:val="000E632E"/>
    <w:rsid w:val="000E6360"/>
    <w:rsid w:val="000E63AD"/>
    <w:rsid w:val="000E643F"/>
    <w:rsid w:val="000E647B"/>
    <w:rsid w:val="000E649E"/>
    <w:rsid w:val="000E64B4"/>
    <w:rsid w:val="000E65F0"/>
    <w:rsid w:val="000E65F6"/>
    <w:rsid w:val="000E65F7"/>
    <w:rsid w:val="000E668F"/>
    <w:rsid w:val="000E66AC"/>
    <w:rsid w:val="000E66DB"/>
    <w:rsid w:val="000E67C4"/>
    <w:rsid w:val="000E6804"/>
    <w:rsid w:val="000E6894"/>
    <w:rsid w:val="000E68BB"/>
    <w:rsid w:val="000E68CE"/>
    <w:rsid w:val="000E68FB"/>
    <w:rsid w:val="000E6A24"/>
    <w:rsid w:val="000E6A6A"/>
    <w:rsid w:val="000E6BCD"/>
    <w:rsid w:val="000E6BDB"/>
    <w:rsid w:val="000E6BE0"/>
    <w:rsid w:val="000E6BFA"/>
    <w:rsid w:val="000E6C39"/>
    <w:rsid w:val="000E6C73"/>
    <w:rsid w:val="000E6D56"/>
    <w:rsid w:val="000E6D71"/>
    <w:rsid w:val="000E6DC7"/>
    <w:rsid w:val="000E6EB7"/>
    <w:rsid w:val="000E6F22"/>
    <w:rsid w:val="000E6F61"/>
    <w:rsid w:val="000E6FD0"/>
    <w:rsid w:val="000E7023"/>
    <w:rsid w:val="000E7054"/>
    <w:rsid w:val="000E7143"/>
    <w:rsid w:val="000E714A"/>
    <w:rsid w:val="000E730E"/>
    <w:rsid w:val="000E7327"/>
    <w:rsid w:val="000E7334"/>
    <w:rsid w:val="000E7387"/>
    <w:rsid w:val="000E73D0"/>
    <w:rsid w:val="000E7401"/>
    <w:rsid w:val="000E740B"/>
    <w:rsid w:val="000E7421"/>
    <w:rsid w:val="000E746D"/>
    <w:rsid w:val="000E748A"/>
    <w:rsid w:val="000E7491"/>
    <w:rsid w:val="000E74DB"/>
    <w:rsid w:val="000E7518"/>
    <w:rsid w:val="000E75B2"/>
    <w:rsid w:val="000E75C4"/>
    <w:rsid w:val="000E763B"/>
    <w:rsid w:val="000E7649"/>
    <w:rsid w:val="000E7661"/>
    <w:rsid w:val="000E7685"/>
    <w:rsid w:val="000E768A"/>
    <w:rsid w:val="000E7698"/>
    <w:rsid w:val="000E76FB"/>
    <w:rsid w:val="000E77D7"/>
    <w:rsid w:val="000E77EB"/>
    <w:rsid w:val="000E7833"/>
    <w:rsid w:val="000E784F"/>
    <w:rsid w:val="000E78AF"/>
    <w:rsid w:val="000E790E"/>
    <w:rsid w:val="000E79CA"/>
    <w:rsid w:val="000E79E8"/>
    <w:rsid w:val="000E7A14"/>
    <w:rsid w:val="000E7A91"/>
    <w:rsid w:val="000E7B04"/>
    <w:rsid w:val="000E7B68"/>
    <w:rsid w:val="000E7C0F"/>
    <w:rsid w:val="000E7C5B"/>
    <w:rsid w:val="000E7CFC"/>
    <w:rsid w:val="000E7EBD"/>
    <w:rsid w:val="000E7F75"/>
    <w:rsid w:val="000E7FA8"/>
    <w:rsid w:val="000E7FBF"/>
    <w:rsid w:val="000E7FE1"/>
    <w:rsid w:val="000F0027"/>
    <w:rsid w:val="000F00A4"/>
    <w:rsid w:val="000F00DC"/>
    <w:rsid w:val="000F0185"/>
    <w:rsid w:val="000F01A7"/>
    <w:rsid w:val="000F0202"/>
    <w:rsid w:val="000F023C"/>
    <w:rsid w:val="000F029B"/>
    <w:rsid w:val="000F030B"/>
    <w:rsid w:val="000F030F"/>
    <w:rsid w:val="000F0371"/>
    <w:rsid w:val="000F03AE"/>
    <w:rsid w:val="000F03B0"/>
    <w:rsid w:val="000F03EC"/>
    <w:rsid w:val="000F0421"/>
    <w:rsid w:val="000F045C"/>
    <w:rsid w:val="000F04CD"/>
    <w:rsid w:val="000F04D8"/>
    <w:rsid w:val="000F05BF"/>
    <w:rsid w:val="000F06A8"/>
    <w:rsid w:val="000F0704"/>
    <w:rsid w:val="000F0799"/>
    <w:rsid w:val="000F07AF"/>
    <w:rsid w:val="000F07E5"/>
    <w:rsid w:val="000F09ED"/>
    <w:rsid w:val="000F0A3F"/>
    <w:rsid w:val="000F0A5D"/>
    <w:rsid w:val="000F0A77"/>
    <w:rsid w:val="000F0A8C"/>
    <w:rsid w:val="000F0B2E"/>
    <w:rsid w:val="000F0B78"/>
    <w:rsid w:val="000F0BD0"/>
    <w:rsid w:val="000F0C12"/>
    <w:rsid w:val="000F0C5B"/>
    <w:rsid w:val="000F0C74"/>
    <w:rsid w:val="000F0C94"/>
    <w:rsid w:val="000F0C99"/>
    <w:rsid w:val="000F0CD2"/>
    <w:rsid w:val="000F0CDB"/>
    <w:rsid w:val="000F0CE0"/>
    <w:rsid w:val="000F0D4F"/>
    <w:rsid w:val="000F0D81"/>
    <w:rsid w:val="000F0E8E"/>
    <w:rsid w:val="000F0F57"/>
    <w:rsid w:val="000F0F98"/>
    <w:rsid w:val="000F0FA6"/>
    <w:rsid w:val="000F0FBC"/>
    <w:rsid w:val="000F0FD3"/>
    <w:rsid w:val="000F0FD4"/>
    <w:rsid w:val="000F0FEA"/>
    <w:rsid w:val="000F1025"/>
    <w:rsid w:val="000F105A"/>
    <w:rsid w:val="000F1081"/>
    <w:rsid w:val="000F1192"/>
    <w:rsid w:val="000F11BF"/>
    <w:rsid w:val="000F11FA"/>
    <w:rsid w:val="000F1203"/>
    <w:rsid w:val="000F12A1"/>
    <w:rsid w:val="000F12A9"/>
    <w:rsid w:val="000F12DD"/>
    <w:rsid w:val="000F1354"/>
    <w:rsid w:val="000F140A"/>
    <w:rsid w:val="000F1441"/>
    <w:rsid w:val="000F14A2"/>
    <w:rsid w:val="000F152D"/>
    <w:rsid w:val="000F1587"/>
    <w:rsid w:val="000F15C6"/>
    <w:rsid w:val="000F15FF"/>
    <w:rsid w:val="000F16CF"/>
    <w:rsid w:val="000F170A"/>
    <w:rsid w:val="000F17AF"/>
    <w:rsid w:val="000F180F"/>
    <w:rsid w:val="000F1986"/>
    <w:rsid w:val="000F1A35"/>
    <w:rsid w:val="000F1A3D"/>
    <w:rsid w:val="000F1A92"/>
    <w:rsid w:val="000F1A93"/>
    <w:rsid w:val="000F1ABE"/>
    <w:rsid w:val="000F1B58"/>
    <w:rsid w:val="000F1B7B"/>
    <w:rsid w:val="000F1C78"/>
    <w:rsid w:val="000F1CCB"/>
    <w:rsid w:val="000F1D43"/>
    <w:rsid w:val="000F1DE4"/>
    <w:rsid w:val="000F1EB6"/>
    <w:rsid w:val="000F1EF5"/>
    <w:rsid w:val="000F1F5A"/>
    <w:rsid w:val="000F1FEB"/>
    <w:rsid w:val="000F2011"/>
    <w:rsid w:val="000F2064"/>
    <w:rsid w:val="000F20A5"/>
    <w:rsid w:val="000F2100"/>
    <w:rsid w:val="000F2106"/>
    <w:rsid w:val="000F225D"/>
    <w:rsid w:val="000F2301"/>
    <w:rsid w:val="000F230C"/>
    <w:rsid w:val="000F238A"/>
    <w:rsid w:val="000F23AA"/>
    <w:rsid w:val="000F23BA"/>
    <w:rsid w:val="000F2460"/>
    <w:rsid w:val="000F24A7"/>
    <w:rsid w:val="000F2534"/>
    <w:rsid w:val="000F2626"/>
    <w:rsid w:val="000F2664"/>
    <w:rsid w:val="000F2670"/>
    <w:rsid w:val="000F26A1"/>
    <w:rsid w:val="000F2756"/>
    <w:rsid w:val="000F275B"/>
    <w:rsid w:val="000F275E"/>
    <w:rsid w:val="000F27B2"/>
    <w:rsid w:val="000F27B8"/>
    <w:rsid w:val="000F27ED"/>
    <w:rsid w:val="000F2807"/>
    <w:rsid w:val="000F284F"/>
    <w:rsid w:val="000F287C"/>
    <w:rsid w:val="000F28B8"/>
    <w:rsid w:val="000F28CF"/>
    <w:rsid w:val="000F2906"/>
    <w:rsid w:val="000F2A46"/>
    <w:rsid w:val="000F2A6A"/>
    <w:rsid w:val="000F2A98"/>
    <w:rsid w:val="000F2B19"/>
    <w:rsid w:val="000F2BAA"/>
    <w:rsid w:val="000F2BBF"/>
    <w:rsid w:val="000F2C81"/>
    <w:rsid w:val="000F2D61"/>
    <w:rsid w:val="000F2D83"/>
    <w:rsid w:val="000F2D99"/>
    <w:rsid w:val="000F2DBD"/>
    <w:rsid w:val="000F2DDD"/>
    <w:rsid w:val="000F2E7D"/>
    <w:rsid w:val="000F2E84"/>
    <w:rsid w:val="000F2F45"/>
    <w:rsid w:val="000F301D"/>
    <w:rsid w:val="000F3039"/>
    <w:rsid w:val="000F303A"/>
    <w:rsid w:val="000F3072"/>
    <w:rsid w:val="000F308E"/>
    <w:rsid w:val="000F30E5"/>
    <w:rsid w:val="000F3103"/>
    <w:rsid w:val="000F312B"/>
    <w:rsid w:val="000F3178"/>
    <w:rsid w:val="000F32D8"/>
    <w:rsid w:val="000F3367"/>
    <w:rsid w:val="000F338E"/>
    <w:rsid w:val="000F3484"/>
    <w:rsid w:val="000F350F"/>
    <w:rsid w:val="000F3525"/>
    <w:rsid w:val="000F3555"/>
    <w:rsid w:val="000F365A"/>
    <w:rsid w:val="000F36E6"/>
    <w:rsid w:val="000F3705"/>
    <w:rsid w:val="000F3842"/>
    <w:rsid w:val="000F38FD"/>
    <w:rsid w:val="000F39F7"/>
    <w:rsid w:val="000F3A8A"/>
    <w:rsid w:val="000F3A96"/>
    <w:rsid w:val="000F3BCC"/>
    <w:rsid w:val="000F3D30"/>
    <w:rsid w:val="000F3DA4"/>
    <w:rsid w:val="000F3FD9"/>
    <w:rsid w:val="000F400B"/>
    <w:rsid w:val="000F4022"/>
    <w:rsid w:val="000F4056"/>
    <w:rsid w:val="000F4094"/>
    <w:rsid w:val="000F40D4"/>
    <w:rsid w:val="000F4171"/>
    <w:rsid w:val="000F4198"/>
    <w:rsid w:val="000F426A"/>
    <w:rsid w:val="000F4289"/>
    <w:rsid w:val="000F4297"/>
    <w:rsid w:val="000F42C8"/>
    <w:rsid w:val="000F43EC"/>
    <w:rsid w:val="000F43F1"/>
    <w:rsid w:val="000F4400"/>
    <w:rsid w:val="000F442B"/>
    <w:rsid w:val="000F4469"/>
    <w:rsid w:val="000F44CB"/>
    <w:rsid w:val="000F44FE"/>
    <w:rsid w:val="000F4560"/>
    <w:rsid w:val="000F4650"/>
    <w:rsid w:val="000F46CE"/>
    <w:rsid w:val="000F46DF"/>
    <w:rsid w:val="000F4770"/>
    <w:rsid w:val="000F4814"/>
    <w:rsid w:val="000F482E"/>
    <w:rsid w:val="000F4867"/>
    <w:rsid w:val="000F4991"/>
    <w:rsid w:val="000F4A55"/>
    <w:rsid w:val="000F4AC1"/>
    <w:rsid w:val="000F4AC2"/>
    <w:rsid w:val="000F4B0A"/>
    <w:rsid w:val="000F4B19"/>
    <w:rsid w:val="000F4B4A"/>
    <w:rsid w:val="000F4B72"/>
    <w:rsid w:val="000F4C27"/>
    <w:rsid w:val="000F4D33"/>
    <w:rsid w:val="000F4E21"/>
    <w:rsid w:val="000F4E56"/>
    <w:rsid w:val="000F4E8E"/>
    <w:rsid w:val="000F4E95"/>
    <w:rsid w:val="000F4EC2"/>
    <w:rsid w:val="000F4EF8"/>
    <w:rsid w:val="000F4FE2"/>
    <w:rsid w:val="000F50A1"/>
    <w:rsid w:val="000F511B"/>
    <w:rsid w:val="000F515E"/>
    <w:rsid w:val="000F5185"/>
    <w:rsid w:val="000F51B6"/>
    <w:rsid w:val="000F51BD"/>
    <w:rsid w:val="000F520E"/>
    <w:rsid w:val="000F5251"/>
    <w:rsid w:val="000F529B"/>
    <w:rsid w:val="000F53DD"/>
    <w:rsid w:val="000F543E"/>
    <w:rsid w:val="000F5482"/>
    <w:rsid w:val="000F5520"/>
    <w:rsid w:val="000F5547"/>
    <w:rsid w:val="000F558E"/>
    <w:rsid w:val="000F55BF"/>
    <w:rsid w:val="000F562B"/>
    <w:rsid w:val="000F5669"/>
    <w:rsid w:val="000F5696"/>
    <w:rsid w:val="000F56A6"/>
    <w:rsid w:val="000F56BB"/>
    <w:rsid w:val="000F5720"/>
    <w:rsid w:val="000F5753"/>
    <w:rsid w:val="000F5765"/>
    <w:rsid w:val="000F5782"/>
    <w:rsid w:val="000F57A0"/>
    <w:rsid w:val="000F584D"/>
    <w:rsid w:val="000F585B"/>
    <w:rsid w:val="000F5869"/>
    <w:rsid w:val="000F58E2"/>
    <w:rsid w:val="000F598F"/>
    <w:rsid w:val="000F59B3"/>
    <w:rsid w:val="000F59CA"/>
    <w:rsid w:val="000F5A50"/>
    <w:rsid w:val="000F5A8E"/>
    <w:rsid w:val="000F5AF6"/>
    <w:rsid w:val="000F5B12"/>
    <w:rsid w:val="000F5B3A"/>
    <w:rsid w:val="000F5B60"/>
    <w:rsid w:val="000F5BDB"/>
    <w:rsid w:val="000F5BDF"/>
    <w:rsid w:val="000F5BE6"/>
    <w:rsid w:val="000F5C81"/>
    <w:rsid w:val="000F5C91"/>
    <w:rsid w:val="000F5CDF"/>
    <w:rsid w:val="000F5CE4"/>
    <w:rsid w:val="000F5CE8"/>
    <w:rsid w:val="000F5D0A"/>
    <w:rsid w:val="000F5D62"/>
    <w:rsid w:val="000F5D7F"/>
    <w:rsid w:val="000F5D85"/>
    <w:rsid w:val="000F5DA8"/>
    <w:rsid w:val="000F5E1D"/>
    <w:rsid w:val="000F5E5D"/>
    <w:rsid w:val="000F5EB0"/>
    <w:rsid w:val="000F5EDC"/>
    <w:rsid w:val="000F5F14"/>
    <w:rsid w:val="000F5F46"/>
    <w:rsid w:val="000F5F5F"/>
    <w:rsid w:val="000F5FA4"/>
    <w:rsid w:val="000F5FBE"/>
    <w:rsid w:val="000F6022"/>
    <w:rsid w:val="000F61C4"/>
    <w:rsid w:val="000F61F3"/>
    <w:rsid w:val="000F6222"/>
    <w:rsid w:val="000F6246"/>
    <w:rsid w:val="000F6389"/>
    <w:rsid w:val="000F63F3"/>
    <w:rsid w:val="000F6408"/>
    <w:rsid w:val="000F6423"/>
    <w:rsid w:val="000F646B"/>
    <w:rsid w:val="000F64CC"/>
    <w:rsid w:val="000F6534"/>
    <w:rsid w:val="000F6537"/>
    <w:rsid w:val="000F657A"/>
    <w:rsid w:val="000F657F"/>
    <w:rsid w:val="000F65F5"/>
    <w:rsid w:val="000F6695"/>
    <w:rsid w:val="000F66DF"/>
    <w:rsid w:val="000F670C"/>
    <w:rsid w:val="000F6781"/>
    <w:rsid w:val="000F678A"/>
    <w:rsid w:val="000F67A0"/>
    <w:rsid w:val="000F67C2"/>
    <w:rsid w:val="000F6832"/>
    <w:rsid w:val="000F6838"/>
    <w:rsid w:val="000F68A4"/>
    <w:rsid w:val="000F68AD"/>
    <w:rsid w:val="000F69D8"/>
    <w:rsid w:val="000F6D9B"/>
    <w:rsid w:val="000F6DCC"/>
    <w:rsid w:val="000F6EF5"/>
    <w:rsid w:val="000F6F02"/>
    <w:rsid w:val="000F6F0F"/>
    <w:rsid w:val="000F7037"/>
    <w:rsid w:val="000F7040"/>
    <w:rsid w:val="000F70D4"/>
    <w:rsid w:val="000F715D"/>
    <w:rsid w:val="000F7185"/>
    <w:rsid w:val="000F71A3"/>
    <w:rsid w:val="000F71D9"/>
    <w:rsid w:val="000F72E5"/>
    <w:rsid w:val="000F730D"/>
    <w:rsid w:val="000F735B"/>
    <w:rsid w:val="000F7365"/>
    <w:rsid w:val="000F73E8"/>
    <w:rsid w:val="000F7444"/>
    <w:rsid w:val="000F747A"/>
    <w:rsid w:val="000F74DF"/>
    <w:rsid w:val="000F74FE"/>
    <w:rsid w:val="000F750F"/>
    <w:rsid w:val="000F751B"/>
    <w:rsid w:val="000F751E"/>
    <w:rsid w:val="000F7583"/>
    <w:rsid w:val="000F75E3"/>
    <w:rsid w:val="000F76A7"/>
    <w:rsid w:val="000F76B9"/>
    <w:rsid w:val="000F76C2"/>
    <w:rsid w:val="000F7714"/>
    <w:rsid w:val="000F775F"/>
    <w:rsid w:val="000F7819"/>
    <w:rsid w:val="000F7879"/>
    <w:rsid w:val="000F78E9"/>
    <w:rsid w:val="000F795B"/>
    <w:rsid w:val="000F7963"/>
    <w:rsid w:val="000F79BA"/>
    <w:rsid w:val="000F7A5D"/>
    <w:rsid w:val="000F7AAA"/>
    <w:rsid w:val="000F7C33"/>
    <w:rsid w:val="000F7C94"/>
    <w:rsid w:val="000F7CFA"/>
    <w:rsid w:val="000F7D1C"/>
    <w:rsid w:val="000F7D84"/>
    <w:rsid w:val="000F7DAA"/>
    <w:rsid w:val="000F7E56"/>
    <w:rsid w:val="000F7F34"/>
    <w:rsid w:val="000F7FD4"/>
    <w:rsid w:val="000F7FD8"/>
    <w:rsid w:val="000F7FE0"/>
    <w:rsid w:val="00100055"/>
    <w:rsid w:val="00100156"/>
    <w:rsid w:val="0010016E"/>
    <w:rsid w:val="00100181"/>
    <w:rsid w:val="00100217"/>
    <w:rsid w:val="00100351"/>
    <w:rsid w:val="001003F3"/>
    <w:rsid w:val="0010041B"/>
    <w:rsid w:val="00100452"/>
    <w:rsid w:val="00100453"/>
    <w:rsid w:val="0010048A"/>
    <w:rsid w:val="001004A2"/>
    <w:rsid w:val="001004DF"/>
    <w:rsid w:val="001004E8"/>
    <w:rsid w:val="0010056E"/>
    <w:rsid w:val="001005BA"/>
    <w:rsid w:val="00100686"/>
    <w:rsid w:val="001006DE"/>
    <w:rsid w:val="00100705"/>
    <w:rsid w:val="00100752"/>
    <w:rsid w:val="00100811"/>
    <w:rsid w:val="00100849"/>
    <w:rsid w:val="0010084C"/>
    <w:rsid w:val="00100854"/>
    <w:rsid w:val="0010089A"/>
    <w:rsid w:val="0010089B"/>
    <w:rsid w:val="001008E7"/>
    <w:rsid w:val="001008F7"/>
    <w:rsid w:val="00100906"/>
    <w:rsid w:val="00100976"/>
    <w:rsid w:val="00100A8B"/>
    <w:rsid w:val="00100AA4"/>
    <w:rsid w:val="00100BDD"/>
    <w:rsid w:val="00100C77"/>
    <w:rsid w:val="00100C86"/>
    <w:rsid w:val="00100DA9"/>
    <w:rsid w:val="00100E50"/>
    <w:rsid w:val="00100F08"/>
    <w:rsid w:val="00100F5F"/>
    <w:rsid w:val="00100F77"/>
    <w:rsid w:val="00100FB4"/>
    <w:rsid w:val="00100FBA"/>
    <w:rsid w:val="00101075"/>
    <w:rsid w:val="0010107D"/>
    <w:rsid w:val="00101151"/>
    <w:rsid w:val="001011C8"/>
    <w:rsid w:val="00101222"/>
    <w:rsid w:val="00101287"/>
    <w:rsid w:val="00101338"/>
    <w:rsid w:val="00101343"/>
    <w:rsid w:val="001013A5"/>
    <w:rsid w:val="001013F1"/>
    <w:rsid w:val="0010143F"/>
    <w:rsid w:val="00101464"/>
    <w:rsid w:val="00101481"/>
    <w:rsid w:val="001015BE"/>
    <w:rsid w:val="00101659"/>
    <w:rsid w:val="00101732"/>
    <w:rsid w:val="00101776"/>
    <w:rsid w:val="001017A0"/>
    <w:rsid w:val="001018A7"/>
    <w:rsid w:val="001018A8"/>
    <w:rsid w:val="001018D7"/>
    <w:rsid w:val="001018F4"/>
    <w:rsid w:val="0010191B"/>
    <w:rsid w:val="00101953"/>
    <w:rsid w:val="00101975"/>
    <w:rsid w:val="001019D5"/>
    <w:rsid w:val="00101A9A"/>
    <w:rsid w:val="00101AF0"/>
    <w:rsid w:val="00101B4C"/>
    <w:rsid w:val="00101BAC"/>
    <w:rsid w:val="00101C41"/>
    <w:rsid w:val="00101C99"/>
    <w:rsid w:val="00101CEA"/>
    <w:rsid w:val="00101D63"/>
    <w:rsid w:val="00101DD5"/>
    <w:rsid w:val="00101DE2"/>
    <w:rsid w:val="00101F1C"/>
    <w:rsid w:val="00101F26"/>
    <w:rsid w:val="00101F69"/>
    <w:rsid w:val="00101FC1"/>
    <w:rsid w:val="00101FDC"/>
    <w:rsid w:val="00102013"/>
    <w:rsid w:val="00102073"/>
    <w:rsid w:val="001020DF"/>
    <w:rsid w:val="001020E3"/>
    <w:rsid w:val="001020EE"/>
    <w:rsid w:val="00102202"/>
    <w:rsid w:val="001022BA"/>
    <w:rsid w:val="00102355"/>
    <w:rsid w:val="00102405"/>
    <w:rsid w:val="00102506"/>
    <w:rsid w:val="0010255B"/>
    <w:rsid w:val="00102589"/>
    <w:rsid w:val="001025FA"/>
    <w:rsid w:val="0010265E"/>
    <w:rsid w:val="0010266F"/>
    <w:rsid w:val="001026C8"/>
    <w:rsid w:val="001026F6"/>
    <w:rsid w:val="0010271A"/>
    <w:rsid w:val="00102730"/>
    <w:rsid w:val="00102738"/>
    <w:rsid w:val="0010284C"/>
    <w:rsid w:val="00102876"/>
    <w:rsid w:val="001028A5"/>
    <w:rsid w:val="001028CE"/>
    <w:rsid w:val="001028E6"/>
    <w:rsid w:val="00102919"/>
    <w:rsid w:val="001029F9"/>
    <w:rsid w:val="00102A03"/>
    <w:rsid w:val="00102A37"/>
    <w:rsid w:val="00102A8B"/>
    <w:rsid w:val="00102C1A"/>
    <w:rsid w:val="00102DF6"/>
    <w:rsid w:val="00102E1C"/>
    <w:rsid w:val="00102E68"/>
    <w:rsid w:val="00102ECC"/>
    <w:rsid w:val="00102F0A"/>
    <w:rsid w:val="00102F98"/>
    <w:rsid w:val="0010303E"/>
    <w:rsid w:val="00103062"/>
    <w:rsid w:val="00103082"/>
    <w:rsid w:val="001030BF"/>
    <w:rsid w:val="001031AB"/>
    <w:rsid w:val="001031FD"/>
    <w:rsid w:val="00103209"/>
    <w:rsid w:val="00103233"/>
    <w:rsid w:val="00103259"/>
    <w:rsid w:val="001032BE"/>
    <w:rsid w:val="001032D6"/>
    <w:rsid w:val="001032D9"/>
    <w:rsid w:val="0010335A"/>
    <w:rsid w:val="00103398"/>
    <w:rsid w:val="001033BE"/>
    <w:rsid w:val="00103429"/>
    <w:rsid w:val="00103532"/>
    <w:rsid w:val="0010353A"/>
    <w:rsid w:val="0010357D"/>
    <w:rsid w:val="001035BE"/>
    <w:rsid w:val="001035FD"/>
    <w:rsid w:val="00103657"/>
    <w:rsid w:val="00103667"/>
    <w:rsid w:val="001036B7"/>
    <w:rsid w:val="0010372B"/>
    <w:rsid w:val="00103770"/>
    <w:rsid w:val="0010379B"/>
    <w:rsid w:val="001038F5"/>
    <w:rsid w:val="00103941"/>
    <w:rsid w:val="00103985"/>
    <w:rsid w:val="001039C1"/>
    <w:rsid w:val="001039C2"/>
    <w:rsid w:val="001039E7"/>
    <w:rsid w:val="00103A0F"/>
    <w:rsid w:val="00103A1A"/>
    <w:rsid w:val="00103A87"/>
    <w:rsid w:val="00103AB2"/>
    <w:rsid w:val="00103B1A"/>
    <w:rsid w:val="00103B96"/>
    <w:rsid w:val="00103C3B"/>
    <w:rsid w:val="00103C4A"/>
    <w:rsid w:val="00103C6E"/>
    <w:rsid w:val="00103CA7"/>
    <w:rsid w:val="00103CC0"/>
    <w:rsid w:val="00103CCD"/>
    <w:rsid w:val="00103CDC"/>
    <w:rsid w:val="00103D0D"/>
    <w:rsid w:val="00103D99"/>
    <w:rsid w:val="00103DEC"/>
    <w:rsid w:val="00103E10"/>
    <w:rsid w:val="00103E4F"/>
    <w:rsid w:val="00103E79"/>
    <w:rsid w:val="00103EA6"/>
    <w:rsid w:val="00103FEF"/>
    <w:rsid w:val="0010401D"/>
    <w:rsid w:val="001040F8"/>
    <w:rsid w:val="00104109"/>
    <w:rsid w:val="001041A2"/>
    <w:rsid w:val="001041DE"/>
    <w:rsid w:val="00104227"/>
    <w:rsid w:val="0010427C"/>
    <w:rsid w:val="001042D7"/>
    <w:rsid w:val="00104330"/>
    <w:rsid w:val="0010433A"/>
    <w:rsid w:val="0010433C"/>
    <w:rsid w:val="00104350"/>
    <w:rsid w:val="001043ED"/>
    <w:rsid w:val="001043F7"/>
    <w:rsid w:val="00104426"/>
    <w:rsid w:val="00104443"/>
    <w:rsid w:val="0010448D"/>
    <w:rsid w:val="001044CA"/>
    <w:rsid w:val="0010455C"/>
    <w:rsid w:val="00104561"/>
    <w:rsid w:val="001045E3"/>
    <w:rsid w:val="001045EC"/>
    <w:rsid w:val="001046A8"/>
    <w:rsid w:val="001046AC"/>
    <w:rsid w:val="001046EF"/>
    <w:rsid w:val="0010473F"/>
    <w:rsid w:val="001047AC"/>
    <w:rsid w:val="001047CE"/>
    <w:rsid w:val="00104812"/>
    <w:rsid w:val="00104857"/>
    <w:rsid w:val="001048B8"/>
    <w:rsid w:val="001048D6"/>
    <w:rsid w:val="00104950"/>
    <w:rsid w:val="00104A0F"/>
    <w:rsid w:val="00104A2C"/>
    <w:rsid w:val="00104AF0"/>
    <w:rsid w:val="00104B73"/>
    <w:rsid w:val="00104B76"/>
    <w:rsid w:val="00104B92"/>
    <w:rsid w:val="00104BAA"/>
    <w:rsid w:val="00104BB0"/>
    <w:rsid w:val="00104BB3"/>
    <w:rsid w:val="00104BB5"/>
    <w:rsid w:val="00104BFD"/>
    <w:rsid w:val="00104C13"/>
    <w:rsid w:val="00104C69"/>
    <w:rsid w:val="00104C6D"/>
    <w:rsid w:val="00104C81"/>
    <w:rsid w:val="00104CA5"/>
    <w:rsid w:val="00104CC6"/>
    <w:rsid w:val="00104D1E"/>
    <w:rsid w:val="00104D8F"/>
    <w:rsid w:val="00104DA4"/>
    <w:rsid w:val="00104DCF"/>
    <w:rsid w:val="00104DFF"/>
    <w:rsid w:val="00104E01"/>
    <w:rsid w:val="00104E51"/>
    <w:rsid w:val="00104EFF"/>
    <w:rsid w:val="00104F83"/>
    <w:rsid w:val="00104F84"/>
    <w:rsid w:val="00104FCA"/>
    <w:rsid w:val="00104FD6"/>
    <w:rsid w:val="00104FDB"/>
    <w:rsid w:val="00104FE1"/>
    <w:rsid w:val="00105012"/>
    <w:rsid w:val="0010509E"/>
    <w:rsid w:val="001050BB"/>
    <w:rsid w:val="0010513A"/>
    <w:rsid w:val="001052E5"/>
    <w:rsid w:val="00105316"/>
    <w:rsid w:val="0010533D"/>
    <w:rsid w:val="0010535E"/>
    <w:rsid w:val="001053BB"/>
    <w:rsid w:val="001053FD"/>
    <w:rsid w:val="00105440"/>
    <w:rsid w:val="001054E7"/>
    <w:rsid w:val="001054E9"/>
    <w:rsid w:val="00105507"/>
    <w:rsid w:val="0010553C"/>
    <w:rsid w:val="001055FF"/>
    <w:rsid w:val="00105612"/>
    <w:rsid w:val="0010563E"/>
    <w:rsid w:val="001056D1"/>
    <w:rsid w:val="0010570F"/>
    <w:rsid w:val="0010579D"/>
    <w:rsid w:val="0010585C"/>
    <w:rsid w:val="00105891"/>
    <w:rsid w:val="00105934"/>
    <w:rsid w:val="00105971"/>
    <w:rsid w:val="00105A12"/>
    <w:rsid w:val="00105A6D"/>
    <w:rsid w:val="00105ACC"/>
    <w:rsid w:val="00105B86"/>
    <w:rsid w:val="00105B94"/>
    <w:rsid w:val="00105BBF"/>
    <w:rsid w:val="00105BCA"/>
    <w:rsid w:val="00105C29"/>
    <w:rsid w:val="00105C66"/>
    <w:rsid w:val="00105CDD"/>
    <w:rsid w:val="00105D16"/>
    <w:rsid w:val="00105D99"/>
    <w:rsid w:val="00105DAD"/>
    <w:rsid w:val="00105E2B"/>
    <w:rsid w:val="00105EB2"/>
    <w:rsid w:val="00105F3F"/>
    <w:rsid w:val="00105FEF"/>
    <w:rsid w:val="00106001"/>
    <w:rsid w:val="00106072"/>
    <w:rsid w:val="00106085"/>
    <w:rsid w:val="00106151"/>
    <w:rsid w:val="00106175"/>
    <w:rsid w:val="001061DB"/>
    <w:rsid w:val="00106205"/>
    <w:rsid w:val="00106221"/>
    <w:rsid w:val="001062A3"/>
    <w:rsid w:val="001062E1"/>
    <w:rsid w:val="0010641E"/>
    <w:rsid w:val="0010663D"/>
    <w:rsid w:val="001066A3"/>
    <w:rsid w:val="0010675A"/>
    <w:rsid w:val="001068B3"/>
    <w:rsid w:val="001068FE"/>
    <w:rsid w:val="00106929"/>
    <w:rsid w:val="00106932"/>
    <w:rsid w:val="00106992"/>
    <w:rsid w:val="00106997"/>
    <w:rsid w:val="00106A29"/>
    <w:rsid w:val="00106A59"/>
    <w:rsid w:val="00106A65"/>
    <w:rsid w:val="00106A86"/>
    <w:rsid w:val="00106B31"/>
    <w:rsid w:val="00106B60"/>
    <w:rsid w:val="00106BC1"/>
    <w:rsid w:val="00106C70"/>
    <w:rsid w:val="00106D01"/>
    <w:rsid w:val="00106D24"/>
    <w:rsid w:val="00106D75"/>
    <w:rsid w:val="00106DD0"/>
    <w:rsid w:val="00106E59"/>
    <w:rsid w:val="00106E9C"/>
    <w:rsid w:val="00106ED7"/>
    <w:rsid w:val="00106FB2"/>
    <w:rsid w:val="00106FBA"/>
    <w:rsid w:val="00106FBE"/>
    <w:rsid w:val="00107004"/>
    <w:rsid w:val="00107008"/>
    <w:rsid w:val="00107012"/>
    <w:rsid w:val="00107049"/>
    <w:rsid w:val="00107054"/>
    <w:rsid w:val="00107055"/>
    <w:rsid w:val="0010706B"/>
    <w:rsid w:val="001070D1"/>
    <w:rsid w:val="001070EE"/>
    <w:rsid w:val="0010717D"/>
    <w:rsid w:val="00107182"/>
    <w:rsid w:val="001071AD"/>
    <w:rsid w:val="001071AF"/>
    <w:rsid w:val="001071E7"/>
    <w:rsid w:val="00107267"/>
    <w:rsid w:val="001072D3"/>
    <w:rsid w:val="00107363"/>
    <w:rsid w:val="0010737C"/>
    <w:rsid w:val="00107395"/>
    <w:rsid w:val="0010742C"/>
    <w:rsid w:val="001074E5"/>
    <w:rsid w:val="001074FA"/>
    <w:rsid w:val="0010751D"/>
    <w:rsid w:val="00107584"/>
    <w:rsid w:val="00107664"/>
    <w:rsid w:val="00107675"/>
    <w:rsid w:val="001076A2"/>
    <w:rsid w:val="001076BC"/>
    <w:rsid w:val="00107882"/>
    <w:rsid w:val="001078E1"/>
    <w:rsid w:val="00107956"/>
    <w:rsid w:val="00107985"/>
    <w:rsid w:val="001079B5"/>
    <w:rsid w:val="001079EB"/>
    <w:rsid w:val="00107AE0"/>
    <w:rsid w:val="00107B01"/>
    <w:rsid w:val="00107B3D"/>
    <w:rsid w:val="00107BE9"/>
    <w:rsid w:val="00107C28"/>
    <w:rsid w:val="00107C76"/>
    <w:rsid w:val="00107C9F"/>
    <w:rsid w:val="00107CA8"/>
    <w:rsid w:val="00107CD8"/>
    <w:rsid w:val="00107D2B"/>
    <w:rsid w:val="00107D7F"/>
    <w:rsid w:val="00107DD7"/>
    <w:rsid w:val="00107DF3"/>
    <w:rsid w:val="00107DFE"/>
    <w:rsid w:val="00107E2D"/>
    <w:rsid w:val="00107E70"/>
    <w:rsid w:val="00107F61"/>
    <w:rsid w:val="00107FB8"/>
    <w:rsid w:val="00107FCE"/>
    <w:rsid w:val="001103DC"/>
    <w:rsid w:val="001103F2"/>
    <w:rsid w:val="0011042A"/>
    <w:rsid w:val="0011049B"/>
    <w:rsid w:val="001104A2"/>
    <w:rsid w:val="001104D0"/>
    <w:rsid w:val="00110554"/>
    <w:rsid w:val="00110579"/>
    <w:rsid w:val="001105FE"/>
    <w:rsid w:val="00110601"/>
    <w:rsid w:val="00110613"/>
    <w:rsid w:val="00110616"/>
    <w:rsid w:val="00110692"/>
    <w:rsid w:val="001106C0"/>
    <w:rsid w:val="00110710"/>
    <w:rsid w:val="00110716"/>
    <w:rsid w:val="00110753"/>
    <w:rsid w:val="00110803"/>
    <w:rsid w:val="00110830"/>
    <w:rsid w:val="00110841"/>
    <w:rsid w:val="0011085E"/>
    <w:rsid w:val="001108A4"/>
    <w:rsid w:val="001108FD"/>
    <w:rsid w:val="00110903"/>
    <w:rsid w:val="00110952"/>
    <w:rsid w:val="00110977"/>
    <w:rsid w:val="0011098B"/>
    <w:rsid w:val="00110A31"/>
    <w:rsid w:val="00110A42"/>
    <w:rsid w:val="00110A80"/>
    <w:rsid w:val="00110A82"/>
    <w:rsid w:val="00110C4F"/>
    <w:rsid w:val="00110C5C"/>
    <w:rsid w:val="00110C73"/>
    <w:rsid w:val="00110CD2"/>
    <w:rsid w:val="00110CE2"/>
    <w:rsid w:val="00110CEC"/>
    <w:rsid w:val="00110D79"/>
    <w:rsid w:val="00110D9A"/>
    <w:rsid w:val="00110E94"/>
    <w:rsid w:val="00110F1B"/>
    <w:rsid w:val="00110FAC"/>
    <w:rsid w:val="0011100B"/>
    <w:rsid w:val="0011101A"/>
    <w:rsid w:val="0011104F"/>
    <w:rsid w:val="00111120"/>
    <w:rsid w:val="001111BF"/>
    <w:rsid w:val="0011123B"/>
    <w:rsid w:val="00111300"/>
    <w:rsid w:val="0011131A"/>
    <w:rsid w:val="001113A0"/>
    <w:rsid w:val="0011147B"/>
    <w:rsid w:val="0011156D"/>
    <w:rsid w:val="00111575"/>
    <w:rsid w:val="00111593"/>
    <w:rsid w:val="001115A4"/>
    <w:rsid w:val="0011163C"/>
    <w:rsid w:val="00111661"/>
    <w:rsid w:val="001116E0"/>
    <w:rsid w:val="00111713"/>
    <w:rsid w:val="00111745"/>
    <w:rsid w:val="001117A7"/>
    <w:rsid w:val="001117B4"/>
    <w:rsid w:val="001117B8"/>
    <w:rsid w:val="001117C2"/>
    <w:rsid w:val="0011181E"/>
    <w:rsid w:val="00111A1C"/>
    <w:rsid w:val="00111A33"/>
    <w:rsid w:val="00111A9C"/>
    <w:rsid w:val="00111AF6"/>
    <w:rsid w:val="00111B78"/>
    <w:rsid w:val="00111BB8"/>
    <w:rsid w:val="00111CAD"/>
    <w:rsid w:val="00111CD2"/>
    <w:rsid w:val="00111D19"/>
    <w:rsid w:val="00111D33"/>
    <w:rsid w:val="00111D7A"/>
    <w:rsid w:val="00111DAE"/>
    <w:rsid w:val="00111DBB"/>
    <w:rsid w:val="00111DC4"/>
    <w:rsid w:val="00111ECE"/>
    <w:rsid w:val="00111ED8"/>
    <w:rsid w:val="00111FB4"/>
    <w:rsid w:val="00111FC8"/>
    <w:rsid w:val="00112166"/>
    <w:rsid w:val="001123A9"/>
    <w:rsid w:val="001123C4"/>
    <w:rsid w:val="00112402"/>
    <w:rsid w:val="00112441"/>
    <w:rsid w:val="00112470"/>
    <w:rsid w:val="001124A8"/>
    <w:rsid w:val="001124B4"/>
    <w:rsid w:val="001124CE"/>
    <w:rsid w:val="001124DE"/>
    <w:rsid w:val="00112507"/>
    <w:rsid w:val="00112522"/>
    <w:rsid w:val="00112563"/>
    <w:rsid w:val="001125B1"/>
    <w:rsid w:val="001125D9"/>
    <w:rsid w:val="001125F4"/>
    <w:rsid w:val="0011263A"/>
    <w:rsid w:val="001126AC"/>
    <w:rsid w:val="00112747"/>
    <w:rsid w:val="00112767"/>
    <w:rsid w:val="0011279B"/>
    <w:rsid w:val="001128B6"/>
    <w:rsid w:val="0011295D"/>
    <w:rsid w:val="00112BE6"/>
    <w:rsid w:val="00112C1E"/>
    <w:rsid w:val="00112CA8"/>
    <w:rsid w:val="00112CCF"/>
    <w:rsid w:val="00112D24"/>
    <w:rsid w:val="00112D9A"/>
    <w:rsid w:val="00112DE9"/>
    <w:rsid w:val="00112EAB"/>
    <w:rsid w:val="00112F38"/>
    <w:rsid w:val="00112FD8"/>
    <w:rsid w:val="0011301D"/>
    <w:rsid w:val="001130FC"/>
    <w:rsid w:val="00113108"/>
    <w:rsid w:val="00113125"/>
    <w:rsid w:val="0011318A"/>
    <w:rsid w:val="00113190"/>
    <w:rsid w:val="00113196"/>
    <w:rsid w:val="001131E2"/>
    <w:rsid w:val="001132A9"/>
    <w:rsid w:val="0011333D"/>
    <w:rsid w:val="001133D6"/>
    <w:rsid w:val="001134C7"/>
    <w:rsid w:val="001134D9"/>
    <w:rsid w:val="0011354A"/>
    <w:rsid w:val="00113555"/>
    <w:rsid w:val="001136E0"/>
    <w:rsid w:val="001136E5"/>
    <w:rsid w:val="001137A3"/>
    <w:rsid w:val="001137B6"/>
    <w:rsid w:val="001137EE"/>
    <w:rsid w:val="001137F8"/>
    <w:rsid w:val="00113817"/>
    <w:rsid w:val="00113852"/>
    <w:rsid w:val="0011385C"/>
    <w:rsid w:val="001138BA"/>
    <w:rsid w:val="00113910"/>
    <w:rsid w:val="00113916"/>
    <w:rsid w:val="00113986"/>
    <w:rsid w:val="001139D3"/>
    <w:rsid w:val="001139DC"/>
    <w:rsid w:val="00113A28"/>
    <w:rsid w:val="00113A42"/>
    <w:rsid w:val="00113A6F"/>
    <w:rsid w:val="00113AA5"/>
    <w:rsid w:val="00113B76"/>
    <w:rsid w:val="00113BE2"/>
    <w:rsid w:val="00113BEC"/>
    <w:rsid w:val="00113C10"/>
    <w:rsid w:val="00113C29"/>
    <w:rsid w:val="00113CB2"/>
    <w:rsid w:val="00113CD8"/>
    <w:rsid w:val="00113D36"/>
    <w:rsid w:val="00113D76"/>
    <w:rsid w:val="00113E2A"/>
    <w:rsid w:val="0011402B"/>
    <w:rsid w:val="001140C2"/>
    <w:rsid w:val="00114113"/>
    <w:rsid w:val="00114170"/>
    <w:rsid w:val="00114172"/>
    <w:rsid w:val="0011424B"/>
    <w:rsid w:val="0011425B"/>
    <w:rsid w:val="001142E3"/>
    <w:rsid w:val="0011430C"/>
    <w:rsid w:val="001143C8"/>
    <w:rsid w:val="0011441C"/>
    <w:rsid w:val="00114459"/>
    <w:rsid w:val="00114480"/>
    <w:rsid w:val="00114492"/>
    <w:rsid w:val="001144F1"/>
    <w:rsid w:val="001144F5"/>
    <w:rsid w:val="0011454D"/>
    <w:rsid w:val="00114596"/>
    <w:rsid w:val="001145BC"/>
    <w:rsid w:val="001145E5"/>
    <w:rsid w:val="001145F5"/>
    <w:rsid w:val="001146A0"/>
    <w:rsid w:val="001146B8"/>
    <w:rsid w:val="001146E8"/>
    <w:rsid w:val="00114714"/>
    <w:rsid w:val="0011473C"/>
    <w:rsid w:val="00114769"/>
    <w:rsid w:val="001147A2"/>
    <w:rsid w:val="001148F3"/>
    <w:rsid w:val="001149FB"/>
    <w:rsid w:val="00114A0B"/>
    <w:rsid w:val="00114A36"/>
    <w:rsid w:val="00114A57"/>
    <w:rsid w:val="00114A9D"/>
    <w:rsid w:val="00114B5F"/>
    <w:rsid w:val="00114C3A"/>
    <w:rsid w:val="00114C5F"/>
    <w:rsid w:val="00114C78"/>
    <w:rsid w:val="00114CA5"/>
    <w:rsid w:val="00114D79"/>
    <w:rsid w:val="00114D9E"/>
    <w:rsid w:val="00114DDF"/>
    <w:rsid w:val="00114E49"/>
    <w:rsid w:val="00114EC2"/>
    <w:rsid w:val="00114F3B"/>
    <w:rsid w:val="00114FD6"/>
    <w:rsid w:val="00114FF4"/>
    <w:rsid w:val="0011501B"/>
    <w:rsid w:val="0011501F"/>
    <w:rsid w:val="0011502A"/>
    <w:rsid w:val="00115145"/>
    <w:rsid w:val="0011515A"/>
    <w:rsid w:val="0011517F"/>
    <w:rsid w:val="001151BD"/>
    <w:rsid w:val="001151FF"/>
    <w:rsid w:val="00115246"/>
    <w:rsid w:val="0011529D"/>
    <w:rsid w:val="00115335"/>
    <w:rsid w:val="0011548A"/>
    <w:rsid w:val="0011555E"/>
    <w:rsid w:val="0011557D"/>
    <w:rsid w:val="001155D3"/>
    <w:rsid w:val="001155F3"/>
    <w:rsid w:val="001156C9"/>
    <w:rsid w:val="001156F8"/>
    <w:rsid w:val="001157C2"/>
    <w:rsid w:val="001157E2"/>
    <w:rsid w:val="00115807"/>
    <w:rsid w:val="0011582A"/>
    <w:rsid w:val="00115944"/>
    <w:rsid w:val="0011596B"/>
    <w:rsid w:val="00115A18"/>
    <w:rsid w:val="00115A22"/>
    <w:rsid w:val="00115A33"/>
    <w:rsid w:val="00115A59"/>
    <w:rsid w:val="00115B8F"/>
    <w:rsid w:val="00115BC5"/>
    <w:rsid w:val="00115BE3"/>
    <w:rsid w:val="00115C65"/>
    <w:rsid w:val="00115CC5"/>
    <w:rsid w:val="00115D1E"/>
    <w:rsid w:val="00115D2F"/>
    <w:rsid w:val="00115D8E"/>
    <w:rsid w:val="00115DC3"/>
    <w:rsid w:val="00115E30"/>
    <w:rsid w:val="00115E35"/>
    <w:rsid w:val="00115E60"/>
    <w:rsid w:val="00115F04"/>
    <w:rsid w:val="00115F60"/>
    <w:rsid w:val="00115FB9"/>
    <w:rsid w:val="00116050"/>
    <w:rsid w:val="001160BF"/>
    <w:rsid w:val="001160FF"/>
    <w:rsid w:val="00116134"/>
    <w:rsid w:val="0011613C"/>
    <w:rsid w:val="00116188"/>
    <w:rsid w:val="00116234"/>
    <w:rsid w:val="00116242"/>
    <w:rsid w:val="0011624A"/>
    <w:rsid w:val="00116289"/>
    <w:rsid w:val="0011636D"/>
    <w:rsid w:val="001164F9"/>
    <w:rsid w:val="001165C8"/>
    <w:rsid w:val="0011663C"/>
    <w:rsid w:val="00116771"/>
    <w:rsid w:val="001167B5"/>
    <w:rsid w:val="00116826"/>
    <w:rsid w:val="0011689C"/>
    <w:rsid w:val="0011695C"/>
    <w:rsid w:val="0011698B"/>
    <w:rsid w:val="001169D9"/>
    <w:rsid w:val="001169FE"/>
    <w:rsid w:val="00116A2C"/>
    <w:rsid w:val="00116A4B"/>
    <w:rsid w:val="00116A9C"/>
    <w:rsid w:val="00116AAC"/>
    <w:rsid w:val="00116B29"/>
    <w:rsid w:val="00116B88"/>
    <w:rsid w:val="00116B90"/>
    <w:rsid w:val="00116B9A"/>
    <w:rsid w:val="00116C1F"/>
    <w:rsid w:val="00116C3D"/>
    <w:rsid w:val="00116C56"/>
    <w:rsid w:val="00116C5C"/>
    <w:rsid w:val="00116CCB"/>
    <w:rsid w:val="00116D34"/>
    <w:rsid w:val="00116DCC"/>
    <w:rsid w:val="00116E96"/>
    <w:rsid w:val="00116EE2"/>
    <w:rsid w:val="00116F03"/>
    <w:rsid w:val="00116F38"/>
    <w:rsid w:val="00116FC8"/>
    <w:rsid w:val="00117052"/>
    <w:rsid w:val="00117060"/>
    <w:rsid w:val="0011711D"/>
    <w:rsid w:val="00117172"/>
    <w:rsid w:val="00117231"/>
    <w:rsid w:val="0011729D"/>
    <w:rsid w:val="001172F6"/>
    <w:rsid w:val="0011730D"/>
    <w:rsid w:val="0011730F"/>
    <w:rsid w:val="00117318"/>
    <w:rsid w:val="0011739F"/>
    <w:rsid w:val="001173DA"/>
    <w:rsid w:val="0011742F"/>
    <w:rsid w:val="0011749D"/>
    <w:rsid w:val="0011750F"/>
    <w:rsid w:val="00117596"/>
    <w:rsid w:val="001175AF"/>
    <w:rsid w:val="0011761A"/>
    <w:rsid w:val="00117687"/>
    <w:rsid w:val="001176AB"/>
    <w:rsid w:val="0011770C"/>
    <w:rsid w:val="00117712"/>
    <w:rsid w:val="0011773A"/>
    <w:rsid w:val="00117909"/>
    <w:rsid w:val="0011790A"/>
    <w:rsid w:val="00117934"/>
    <w:rsid w:val="00117A5B"/>
    <w:rsid w:val="00117AE0"/>
    <w:rsid w:val="00117B2A"/>
    <w:rsid w:val="00117B97"/>
    <w:rsid w:val="00117BBA"/>
    <w:rsid w:val="00117CF6"/>
    <w:rsid w:val="00117D7C"/>
    <w:rsid w:val="00117D95"/>
    <w:rsid w:val="00117DB5"/>
    <w:rsid w:val="00117DBB"/>
    <w:rsid w:val="00117DD2"/>
    <w:rsid w:val="00117DEF"/>
    <w:rsid w:val="00117DFA"/>
    <w:rsid w:val="00117EAB"/>
    <w:rsid w:val="00117F35"/>
    <w:rsid w:val="00117FC6"/>
    <w:rsid w:val="001200EA"/>
    <w:rsid w:val="00120108"/>
    <w:rsid w:val="0012010B"/>
    <w:rsid w:val="001201D8"/>
    <w:rsid w:val="001201F4"/>
    <w:rsid w:val="00120215"/>
    <w:rsid w:val="00120242"/>
    <w:rsid w:val="001202B9"/>
    <w:rsid w:val="00120343"/>
    <w:rsid w:val="0012038B"/>
    <w:rsid w:val="001203DC"/>
    <w:rsid w:val="001203EB"/>
    <w:rsid w:val="0012046E"/>
    <w:rsid w:val="0012047F"/>
    <w:rsid w:val="001205AB"/>
    <w:rsid w:val="00120611"/>
    <w:rsid w:val="00120654"/>
    <w:rsid w:val="00120689"/>
    <w:rsid w:val="001206F6"/>
    <w:rsid w:val="001207FF"/>
    <w:rsid w:val="0012088E"/>
    <w:rsid w:val="00120959"/>
    <w:rsid w:val="001209AE"/>
    <w:rsid w:val="001209B1"/>
    <w:rsid w:val="001209B3"/>
    <w:rsid w:val="00120A71"/>
    <w:rsid w:val="00120A8B"/>
    <w:rsid w:val="00120A94"/>
    <w:rsid w:val="00120A95"/>
    <w:rsid w:val="00120BD4"/>
    <w:rsid w:val="00120C03"/>
    <w:rsid w:val="00120C75"/>
    <w:rsid w:val="00120C95"/>
    <w:rsid w:val="00120CC9"/>
    <w:rsid w:val="00120D4F"/>
    <w:rsid w:val="00120D7D"/>
    <w:rsid w:val="00120D98"/>
    <w:rsid w:val="00120DC5"/>
    <w:rsid w:val="00120E77"/>
    <w:rsid w:val="00120EA6"/>
    <w:rsid w:val="00120F08"/>
    <w:rsid w:val="00120F19"/>
    <w:rsid w:val="00120F27"/>
    <w:rsid w:val="00120F88"/>
    <w:rsid w:val="00121049"/>
    <w:rsid w:val="00121075"/>
    <w:rsid w:val="00121089"/>
    <w:rsid w:val="00121125"/>
    <w:rsid w:val="00121143"/>
    <w:rsid w:val="00121162"/>
    <w:rsid w:val="00121164"/>
    <w:rsid w:val="001211B3"/>
    <w:rsid w:val="0012120B"/>
    <w:rsid w:val="00121220"/>
    <w:rsid w:val="0012122D"/>
    <w:rsid w:val="0012131D"/>
    <w:rsid w:val="00121375"/>
    <w:rsid w:val="001213A1"/>
    <w:rsid w:val="001213F2"/>
    <w:rsid w:val="0012143A"/>
    <w:rsid w:val="0012146D"/>
    <w:rsid w:val="001214D0"/>
    <w:rsid w:val="001214E7"/>
    <w:rsid w:val="0012158D"/>
    <w:rsid w:val="001215BE"/>
    <w:rsid w:val="00121692"/>
    <w:rsid w:val="001218A7"/>
    <w:rsid w:val="001218CC"/>
    <w:rsid w:val="001218E8"/>
    <w:rsid w:val="001219AD"/>
    <w:rsid w:val="00121A18"/>
    <w:rsid w:val="00121A1E"/>
    <w:rsid w:val="00121A31"/>
    <w:rsid w:val="00121AAC"/>
    <w:rsid w:val="00121ADB"/>
    <w:rsid w:val="00121AFE"/>
    <w:rsid w:val="00121B9E"/>
    <w:rsid w:val="00121C72"/>
    <w:rsid w:val="00121D28"/>
    <w:rsid w:val="00121DE4"/>
    <w:rsid w:val="00121DF1"/>
    <w:rsid w:val="00121DF2"/>
    <w:rsid w:val="00121E7E"/>
    <w:rsid w:val="00121E98"/>
    <w:rsid w:val="00121F87"/>
    <w:rsid w:val="00121F8E"/>
    <w:rsid w:val="00121FA4"/>
    <w:rsid w:val="00122009"/>
    <w:rsid w:val="0012209A"/>
    <w:rsid w:val="001220CF"/>
    <w:rsid w:val="0012210F"/>
    <w:rsid w:val="0012212C"/>
    <w:rsid w:val="0012219B"/>
    <w:rsid w:val="001221D6"/>
    <w:rsid w:val="001221DD"/>
    <w:rsid w:val="001221FF"/>
    <w:rsid w:val="0012220A"/>
    <w:rsid w:val="001222A0"/>
    <w:rsid w:val="001222C0"/>
    <w:rsid w:val="001222D4"/>
    <w:rsid w:val="00122307"/>
    <w:rsid w:val="001223CD"/>
    <w:rsid w:val="0012242C"/>
    <w:rsid w:val="0012242D"/>
    <w:rsid w:val="0012250C"/>
    <w:rsid w:val="00122520"/>
    <w:rsid w:val="00122559"/>
    <w:rsid w:val="001225BD"/>
    <w:rsid w:val="001225CE"/>
    <w:rsid w:val="001225FA"/>
    <w:rsid w:val="00122640"/>
    <w:rsid w:val="00122648"/>
    <w:rsid w:val="00122659"/>
    <w:rsid w:val="00122663"/>
    <w:rsid w:val="001226A7"/>
    <w:rsid w:val="00122769"/>
    <w:rsid w:val="001227ED"/>
    <w:rsid w:val="00122891"/>
    <w:rsid w:val="001228D9"/>
    <w:rsid w:val="0012295F"/>
    <w:rsid w:val="001229AE"/>
    <w:rsid w:val="001229DF"/>
    <w:rsid w:val="00122A02"/>
    <w:rsid w:val="00122A53"/>
    <w:rsid w:val="00122A7C"/>
    <w:rsid w:val="00122AC0"/>
    <w:rsid w:val="00122AC5"/>
    <w:rsid w:val="00122AD8"/>
    <w:rsid w:val="00122AFB"/>
    <w:rsid w:val="00122B25"/>
    <w:rsid w:val="00122B4C"/>
    <w:rsid w:val="00122BE9"/>
    <w:rsid w:val="00122C29"/>
    <w:rsid w:val="00122C32"/>
    <w:rsid w:val="00122C5C"/>
    <w:rsid w:val="00122C6B"/>
    <w:rsid w:val="00122C6C"/>
    <w:rsid w:val="00122CA4"/>
    <w:rsid w:val="00122CCD"/>
    <w:rsid w:val="00122D79"/>
    <w:rsid w:val="00122D9B"/>
    <w:rsid w:val="00122E20"/>
    <w:rsid w:val="00122E31"/>
    <w:rsid w:val="00122E4A"/>
    <w:rsid w:val="00122F57"/>
    <w:rsid w:val="00122FEB"/>
    <w:rsid w:val="001230E4"/>
    <w:rsid w:val="001231B1"/>
    <w:rsid w:val="001231E2"/>
    <w:rsid w:val="0012327C"/>
    <w:rsid w:val="00123308"/>
    <w:rsid w:val="00123332"/>
    <w:rsid w:val="0012339C"/>
    <w:rsid w:val="001233AB"/>
    <w:rsid w:val="00123524"/>
    <w:rsid w:val="001235B3"/>
    <w:rsid w:val="001236DC"/>
    <w:rsid w:val="0012370F"/>
    <w:rsid w:val="00123783"/>
    <w:rsid w:val="00123810"/>
    <w:rsid w:val="0012385E"/>
    <w:rsid w:val="00123862"/>
    <w:rsid w:val="0012396A"/>
    <w:rsid w:val="0012399B"/>
    <w:rsid w:val="001239CE"/>
    <w:rsid w:val="001239F9"/>
    <w:rsid w:val="00123B08"/>
    <w:rsid w:val="00123B13"/>
    <w:rsid w:val="00123B62"/>
    <w:rsid w:val="00123B95"/>
    <w:rsid w:val="00123BC8"/>
    <w:rsid w:val="00123C5A"/>
    <w:rsid w:val="00123C9B"/>
    <w:rsid w:val="00123CAA"/>
    <w:rsid w:val="00123CCB"/>
    <w:rsid w:val="00123D54"/>
    <w:rsid w:val="00123DC3"/>
    <w:rsid w:val="00123E56"/>
    <w:rsid w:val="00123E5A"/>
    <w:rsid w:val="00123EAA"/>
    <w:rsid w:val="00123EAD"/>
    <w:rsid w:val="00123F29"/>
    <w:rsid w:val="00123FA5"/>
    <w:rsid w:val="00124093"/>
    <w:rsid w:val="00124098"/>
    <w:rsid w:val="001240AC"/>
    <w:rsid w:val="00124169"/>
    <w:rsid w:val="00124249"/>
    <w:rsid w:val="00124282"/>
    <w:rsid w:val="00124289"/>
    <w:rsid w:val="001242EE"/>
    <w:rsid w:val="001243B5"/>
    <w:rsid w:val="001243CC"/>
    <w:rsid w:val="001243DD"/>
    <w:rsid w:val="001243E2"/>
    <w:rsid w:val="00124415"/>
    <w:rsid w:val="0012446F"/>
    <w:rsid w:val="00124539"/>
    <w:rsid w:val="001245E7"/>
    <w:rsid w:val="001245F6"/>
    <w:rsid w:val="00124634"/>
    <w:rsid w:val="001246E7"/>
    <w:rsid w:val="00124730"/>
    <w:rsid w:val="00124772"/>
    <w:rsid w:val="001247B0"/>
    <w:rsid w:val="001247BE"/>
    <w:rsid w:val="00124878"/>
    <w:rsid w:val="001248F8"/>
    <w:rsid w:val="0012494B"/>
    <w:rsid w:val="001249E9"/>
    <w:rsid w:val="00124A59"/>
    <w:rsid w:val="00124A84"/>
    <w:rsid w:val="00124AC2"/>
    <w:rsid w:val="00124B5F"/>
    <w:rsid w:val="00124B93"/>
    <w:rsid w:val="00124CB2"/>
    <w:rsid w:val="00124D71"/>
    <w:rsid w:val="00124D74"/>
    <w:rsid w:val="00124DE0"/>
    <w:rsid w:val="00124E79"/>
    <w:rsid w:val="00124F20"/>
    <w:rsid w:val="00124F5C"/>
    <w:rsid w:val="00124F65"/>
    <w:rsid w:val="00124F8B"/>
    <w:rsid w:val="00124FDA"/>
    <w:rsid w:val="0012508A"/>
    <w:rsid w:val="001250BA"/>
    <w:rsid w:val="00125205"/>
    <w:rsid w:val="00125216"/>
    <w:rsid w:val="0012526C"/>
    <w:rsid w:val="00125332"/>
    <w:rsid w:val="00125334"/>
    <w:rsid w:val="0012534A"/>
    <w:rsid w:val="0012541F"/>
    <w:rsid w:val="00125509"/>
    <w:rsid w:val="00125552"/>
    <w:rsid w:val="001255D8"/>
    <w:rsid w:val="001255F4"/>
    <w:rsid w:val="001255FF"/>
    <w:rsid w:val="00125606"/>
    <w:rsid w:val="00125668"/>
    <w:rsid w:val="00125804"/>
    <w:rsid w:val="0012580C"/>
    <w:rsid w:val="00125848"/>
    <w:rsid w:val="00125868"/>
    <w:rsid w:val="0012586F"/>
    <w:rsid w:val="00125885"/>
    <w:rsid w:val="001258A4"/>
    <w:rsid w:val="0012594D"/>
    <w:rsid w:val="001259B4"/>
    <w:rsid w:val="001259B9"/>
    <w:rsid w:val="001259DF"/>
    <w:rsid w:val="001259E3"/>
    <w:rsid w:val="001259F7"/>
    <w:rsid w:val="00125A44"/>
    <w:rsid w:val="00125A61"/>
    <w:rsid w:val="00125A74"/>
    <w:rsid w:val="00125A90"/>
    <w:rsid w:val="00125B71"/>
    <w:rsid w:val="00125BC8"/>
    <w:rsid w:val="00125C1E"/>
    <w:rsid w:val="00125C8D"/>
    <w:rsid w:val="00125CB9"/>
    <w:rsid w:val="00125CC1"/>
    <w:rsid w:val="00125D47"/>
    <w:rsid w:val="00125D4B"/>
    <w:rsid w:val="00125D64"/>
    <w:rsid w:val="00125DC3"/>
    <w:rsid w:val="00125EB1"/>
    <w:rsid w:val="00125F21"/>
    <w:rsid w:val="00125F8E"/>
    <w:rsid w:val="00125F91"/>
    <w:rsid w:val="00125FA6"/>
    <w:rsid w:val="00125FE6"/>
    <w:rsid w:val="00126055"/>
    <w:rsid w:val="00126270"/>
    <w:rsid w:val="00126285"/>
    <w:rsid w:val="0012629B"/>
    <w:rsid w:val="001262B1"/>
    <w:rsid w:val="001262DC"/>
    <w:rsid w:val="001263B4"/>
    <w:rsid w:val="001263BF"/>
    <w:rsid w:val="00126435"/>
    <w:rsid w:val="0012646C"/>
    <w:rsid w:val="00126560"/>
    <w:rsid w:val="00126583"/>
    <w:rsid w:val="00126587"/>
    <w:rsid w:val="00126624"/>
    <w:rsid w:val="00126647"/>
    <w:rsid w:val="0012669A"/>
    <w:rsid w:val="0012673C"/>
    <w:rsid w:val="00126784"/>
    <w:rsid w:val="0012679C"/>
    <w:rsid w:val="001267B8"/>
    <w:rsid w:val="001267C0"/>
    <w:rsid w:val="001267D2"/>
    <w:rsid w:val="00126832"/>
    <w:rsid w:val="00126876"/>
    <w:rsid w:val="001268B8"/>
    <w:rsid w:val="001268C7"/>
    <w:rsid w:val="00126920"/>
    <w:rsid w:val="00126A72"/>
    <w:rsid w:val="00126B10"/>
    <w:rsid w:val="00126B3D"/>
    <w:rsid w:val="00126BB0"/>
    <w:rsid w:val="00126BC8"/>
    <w:rsid w:val="00126C96"/>
    <w:rsid w:val="00126C9D"/>
    <w:rsid w:val="00126CF9"/>
    <w:rsid w:val="00126CFA"/>
    <w:rsid w:val="00126E15"/>
    <w:rsid w:val="00126E30"/>
    <w:rsid w:val="00126E34"/>
    <w:rsid w:val="00126E70"/>
    <w:rsid w:val="00126EF3"/>
    <w:rsid w:val="00126F0E"/>
    <w:rsid w:val="00126F3B"/>
    <w:rsid w:val="00126F66"/>
    <w:rsid w:val="00126FA2"/>
    <w:rsid w:val="00126FD2"/>
    <w:rsid w:val="00127020"/>
    <w:rsid w:val="00127027"/>
    <w:rsid w:val="0012703F"/>
    <w:rsid w:val="001270FD"/>
    <w:rsid w:val="00127171"/>
    <w:rsid w:val="00127207"/>
    <w:rsid w:val="001272DE"/>
    <w:rsid w:val="001273FE"/>
    <w:rsid w:val="00127403"/>
    <w:rsid w:val="00127444"/>
    <w:rsid w:val="00127451"/>
    <w:rsid w:val="0012745B"/>
    <w:rsid w:val="00127478"/>
    <w:rsid w:val="0012751A"/>
    <w:rsid w:val="0012756A"/>
    <w:rsid w:val="00127577"/>
    <w:rsid w:val="00127652"/>
    <w:rsid w:val="001276A4"/>
    <w:rsid w:val="0012773D"/>
    <w:rsid w:val="00127746"/>
    <w:rsid w:val="00127779"/>
    <w:rsid w:val="001277AE"/>
    <w:rsid w:val="00127885"/>
    <w:rsid w:val="001278F0"/>
    <w:rsid w:val="001278FC"/>
    <w:rsid w:val="00127A1D"/>
    <w:rsid w:val="00127A32"/>
    <w:rsid w:val="00127A56"/>
    <w:rsid w:val="00127A89"/>
    <w:rsid w:val="00127AC0"/>
    <w:rsid w:val="00127ACD"/>
    <w:rsid w:val="00127AF5"/>
    <w:rsid w:val="00127B05"/>
    <w:rsid w:val="00127C5D"/>
    <w:rsid w:val="00127CAE"/>
    <w:rsid w:val="00127D56"/>
    <w:rsid w:val="00127D62"/>
    <w:rsid w:val="00127D69"/>
    <w:rsid w:val="00127DD1"/>
    <w:rsid w:val="00127E2F"/>
    <w:rsid w:val="00127E5C"/>
    <w:rsid w:val="00127EBC"/>
    <w:rsid w:val="00127FEB"/>
    <w:rsid w:val="0013005E"/>
    <w:rsid w:val="00130086"/>
    <w:rsid w:val="0013010E"/>
    <w:rsid w:val="00130169"/>
    <w:rsid w:val="001301B7"/>
    <w:rsid w:val="00130259"/>
    <w:rsid w:val="00130260"/>
    <w:rsid w:val="00130264"/>
    <w:rsid w:val="00130313"/>
    <w:rsid w:val="00130365"/>
    <w:rsid w:val="0013037A"/>
    <w:rsid w:val="001303C6"/>
    <w:rsid w:val="001303DF"/>
    <w:rsid w:val="0013046B"/>
    <w:rsid w:val="001304CB"/>
    <w:rsid w:val="0013062C"/>
    <w:rsid w:val="00130720"/>
    <w:rsid w:val="00130827"/>
    <w:rsid w:val="00130845"/>
    <w:rsid w:val="0013085F"/>
    <w:rsid w:val="00130881"/>
    <w:rsid w:val="0013094C"/>
    <w:rsid w:val="001309D8"/>
    <w:rsid w:val="001309F6"/>
    <w:rsid w:val="00130A90"/>
    <w:rsid w:val="00130B2B"/>
    <w:rsid w:val="00130B33"/>
    <w:rsid w:val="00130B87"/>
    <w:rsid w:val="00130BC4"/>
    <w:rsid w:val="00130C32"/>
    <w:rsid w:val="00130CE3"/>
    <w:rsid w:val="00130D94"/>
    <w:rsid w:val="00130E05"/>
    <w:rsid w:val="00130EA6"/>
    <w:rsid w:val="00130EC2"/>
    <w:rsid w:val="00130F47"/>
    <w:rsid w:val="0013106E"/>
    <w:rsid w:val="00131081"/>
    <w:rsid w:val="0013111D"/>
    <w:rsid w:val="00131176"/>
    <w:rsid w:val="0013124D"/>
    <w:rsid w:val="00131396"/>
    <w:rsid w:val="001313A0"/>
    <w:rsid w:val="00131429"/>
    <w:rsid w:val="00131480"/>
    <w:rsid w:val="0013150E"/>
    <w:rsid w:val="00131520"/>
    <w:rsid w:val="00131527"/>
    <w:rsid w:val="0013157E"/>
    <w:rsid w:val="00131582"/>
    <w:rsid w:val="001315B2"/>
    <w:rsid w:val="00131649"/>
    <w:rsid w:val="00131660"/>
    <w:rsid w:val="0013168E"/>
    <w:rsid w:val="0013173D"/>
    <w:rsid w:val="001317D2"/>
    <w:rsid w:val="0013181B"/>
    <w:rsid w:val="00131880"/>
    <w:rsid w:val="001318B9"/>
    <w:rsid w:val="00131916"/>
    <w:rsid w:val="001319A6"/>
    <w:rsid w:val="001319D9"/>
    <w:rsid w:val="001319F7"/>
    <w:rsid w:val="001319F8"/>
    <w:rsid w:val="001319FA"/>
    <w:rsid w:val="00131A1F"/>
    <w:rsid w:val="00131AE6"/>
    <w:rsid w:val="00131B06"/>
    <w:rsid w:val="00131B09"/>
    <w:rsid w:val="00131B9F"/>
    <w:rsid w:val="00131C0B"/>
    <w:rsid w:val="00131C45"/>
    <w:rsid w:val="00131C76"/>
    <w:rsid w:val="00131C7C"/>
    <w:rsid w:val="00131C8B"/>
    <w:rsid w:val="00131CA4"/>
    <w:rsid w:val="00131CF4"/>
    <w:rsid w:val="00131D2A"/>
    <w:rsid w:val="00131D84"/>
    <w:rsid w:val="00131DB5"/>
    <w:rsid w:val="00131DCE"/>
    <w:rsid w:val="00131E1E"/>
    <w:rsid w:val="00131E98"/>
    <w:rsid w:val="00131EFC"/>
    <w:rsid w:val="00131F48"/>
    <w:rsid w:val="00131FB6"/>
    <w:rsid w:val="00132146"/>
    <w:rsid w:val="0013215A"/>
    <w:rsid w:val="001321E1"/>
    <w:rsid w:val="001322C6"/>
    <w:rsid w:val="0013231B"/>
    <w:rsid w:val="00132321"/>
    <w:rsid w:val="0013239A"/>
    <w:rsid w:val="001323B8"/>
    <w:rsid w:val="001323D0"/>
    <w:rsid w:val="001323E6"/>
    <w:rsid w:val="001323F3"/>
    <w:rsid w:val="001324D8"/>
    <w:rsid w:val="001324E4"/>
    <w:rsid w:val="0013253A"/>
    <w:rsid w:val="0013256C"/>
    <w:rsid w:val="00132689"/>
    <w:rsid w:val="0013268E"/>
    <w:rsid w:val="00132692"/>
    <w:rsid w:val="001326A5"/>
    <w:rsid w:val="001326D6"/>
    <w:rsid w:val="001326EF"/>
    <w:rsid w:val="001327BD"/>
    <w:rsid w:val="001327EE"/>
    <w:rsid w:val="00132823"/>
    <w:rsid w:val="0013286E"/>
    <w:rsid w:val="00132870"/>
    <w:rsid w:val="001328BB"/>
    <w:rsid w:val="001328EC"/>
    <w:rsid w:val="001328F3"/>
    <w:rsid w:val="001328F7"/>
    <w:rsid w:val="0013293C"/>
    <w:rsid w:val="00132941"/>
    <w:rsid w:val="001329AD"/>
    <w:rsid w:val="00132B76"/>
    <w:rsid w:val="00132B9D"/>
    <w:rsid w:val="00132C41"/>
    <w:rsid w:val="00132C72"/>
    <w:rsid w:val="00132CC0"/>
    <w:rsid w:val="00132D08"/>
    <w:rsid w:val="00132DE3"/>
    <w:rsid w:val="00132E8A"/>
    <w:rsid w:val="00132E9C"/>
    <w:rsid w:val="00132F61"/>
    <w:rsid w:val="00133025"/>
    <w:rsid w:val="00133049"/>
    <w:rsid w:val="00133088"/>
    <w:rsid w:val="001330DD"/>
    <w:rsid w:val="0013312B"/>
    <w:rsid w:val="00133198"/>
    <w:rsid w:val="0013319F"/>
    <w:rsid w:val="0013322D"/>
    <w:rsid w:val="0013323B"/>
    <w:rsid w:val="0013328A"/>
    <w:rsid w:val="001332C5"/>
    <w:rsid w:val="001332D4"/>
    <w:rsid w:val="001332F7"/>
    <w:rsid w:val="0013332A"/>
    <w:rsid w:val="00133348"/>
    <w:rsid w:val="0013334F"/>
    <w:rsid w:val="001333FD"/>
    <w:rsid w:val="001334C8"/>
    <w:rsid w:val="001334CD"/>
    <w:rsid w:val="0013356B"/>
    <w:rsid w:val="001335AC"/>
    <w:rsid w:val="00133622"/>
    <w:rsid w:val="00133683"/>
    <w:rsid w:val="001336C0"/>
    <w:rsid w:val="001336D6"/>
    <w:rsid w:val="0013373F"/>
    <w:rsid w:val="0013374C"/>
    <w:rsid w:val="0013374E"/>
    <w:rsid w:val="0013376A"/>
    <w:rsid w:val="001337AA"/>
    <w:rsid w:val="0013389D"/>
    <w:rsid w:val="001338B1"/>
    <w:rsid w:val="00133ABF"/>
    <w:rsid w:val="00133ADA"/>
    <w:rsid w:val="00133C4F"/>
    <w:rsid w:val="00133CCA"/>
    <w:rsid w:val="00133D8C"/>
    <w:rsid w:val="00133DAA"/>
    <w:rsid w:val="00133DFF"/>
    <w:rsid w:val="00133E1C"/>
    <w:rsid w:val="00133E37"/>
    <w:rsid w:val="00133E7F"/>
    <w:rsid w:val="00133EC8"/>
    <w:rsid w:val="00133F0A"/>
    <w:rsid w:val="00133F26"/>
    <w:rsid w:val="00133F2E"/>
    <w:rsid w:val="00133F3C"/>
    <w:rsid w:val="00133FA6"/>
    <w:rsid w:val="00133FF8"/>
    <w:rsid w:val="001340BE"/>
    <w:rsid w:val="001340EE"/>
    <w:rsid w:val="001341F4"/>
    <w:rsid w:val="00134210"/>
    <w:rsid w:val="00134220"/>
    <w:rsid w:val="00134282"/>
    <w:rsid w:val="001342A8"/>
    <w:rsid w:val="001342CF"/>
    <w:rsid w:val="00134322"/>
    <w:rsid w:val="0013432A"/>
    <w:rsid w:val="0013434C"/>
    <w:rsid w:val="001343AA"/>
    <w:rsid w:val="001343ED"/>
    <w:rsid w:val="00134452"/>
    <w:rsid w:val="0013448A"/>
    <w:rsid w:val="00134508"/>
    <w:rsid w:val="00134516"/>
    <w:rsid w:val="0013459D"/>
    <w:rsid w:val="001345DE"/>
    <w:rsid w:val="001346D3"/>
    <w:rsid w:val="0013470F"/>
    <w:rsid w:val="00134710"/>
    <w:rsid w:val="00134753"/>
    <w:rsid w:val="0013478A"/>
    <w:rsid w:val="001347A5"/>
    <w:rsid w:val="001347FA"/>
    <w:rsid w:val="00134872"/>
    <w:rsid w:val="00134911"/>
    <w:rsid w:val="0013499F"/>
    <w:rsid w:val="00134AA3"/>
    <w:rsid w:val="00134AD4"/>
    <w:rsid w:val="00134B36"/>
    <w:rsid w:val="00134B6F"/>
    <w:rsid w:val="00134B96"/>
    <w:rsid w:val="00134C9C"/>
    <w:rsid w:val="00134CBF"/>
    <w:rsid w:val="00134D6F"/>
    <w:rsid w:val="00134DFA"/>
    <w:rsid w:val="00134FA5"/>
    <w:rsid w:val="0013502C"/>
    <w:rsid w:val="0013505C"/>
    <w:rsid w:val="001350AF"/>
    <w:rsid w:val="001350F3"/>
    <w:rsid w:val="00135221"/>
    <w:rsid w:val="001352C5"/>
    <w:rsid w:val="001352CF"/>
    <w:rsid w:val="00135364"/>
    <w:rsid w:val="0013538D"/>
    <w:rsid w:val="00135471"/>
    <w:rsid w:val="00135513"/>
    <w:rsid w:val="00135548"/>
    <w:rsid w:val="00135550"/>
    <w:rsid w:val="00135600"/>
    <w:rsid w:val="0013560F"/>
    <w:rsid w:val="00135665"/>
    <w:rsid w:val="00135679"/>
    <w:rsid w:val="001356FE"/>
    <w:rsid w:val="0013572A"/>
    <w:rsid w:val="00135766"/>
    <w:rsid w:val="001357A4"/>
    <w:rsid w:val="001357F6"/>
    <w:rsid w:val="00135845"/>
    <w:rsid w:val="0013584A"/>
    <w:rsid w:val="001358E5"/>
    <w:rsid w:val="00135955"/>
    <w:rsid w:val="0013598A"/>
    <w:rsid w:val="00135A5F"/>
    <w:rsid w:val="00135A94"/>
    <w:rsid w:val="00135AB0"/>
    <w:rsid w:val="00135AEE"/>
    <w:rsid w:val="00135B26"/>
    <w:rsid w:val="00135C8A"/>
    <w:rsid w:val="00135CBD"/>
    <w:rsid w:val="00135D4E"/>
    <w:rsid w:val="00135D79"/>
    <w:rsid w:val="00135DAA"/>
    <w:rsid w:val="00135DDF"/>
    <w:rsid w:val="00135F3A"/>
    <w:rsid w:val="00135F60"/>
    <w:rsid w:val="0013605F"/>
    <w:rsid w:val="001360BC"/>
    <w:rsid w:val="00136104"/>
    <w:rsid w:val="00136184"/>
    <w:rsid w:val="0013618F"/>
    <w:rsid w:val="0013621C"/>
    <w:rsid w:val="001362B1"/>
    <w:rsid w:val="00136305"/>
    <w:rsid w:val="0013635B"/>
    <w:rsid w:val="001363D3"/>
    <w:rsid w:val="001363FA"/>
    <w:rsid w:val="0013648C"/>
    <w:rsid w:val="001364EF"/>
    <w:rsid w:val="00136569"/>
    <w:rsid w:val="0013663B"/>
    <w:rsid w:val="00136774"/>
    <w:rsid w:val="00136872"/>
    <w:rsid w:val="001368B6"/>
    <w:rsid w:val="001368EE"/>
    <w:rsid w:val="0013693A"/>
    <w:rsid w:val="0013696D"/>
    <w:rsid w:val="001369BD"/>
    <w:rsid w:val="001369D6"/>
    <w:rsid w:val="00136A2A"/>
    <w:rsid w:val="00136A40"/>
    <w:rsid w:val="00136A8A"/>
    <w:rsid w:val="00136ABE"/>
    <w:rsid w:val="00136AD4"/>
    <w:rsid w:val="00136AD7"/>
    <w:rsid w:val="00136B63"/>
    <w:rsid w:val="00136B66"/>
    <w:rsid w:val="00136B6B"/>
    <w:rsid w:val="00136B91"/>
    <w:rsid w:val="00136BCE"/>
    <w:rsid w:val="00136C05"/>
    <w:rsid w:val="00136C2E"/>
    <w:rsid w:val="00136C81"/>
    <w:rsid w:val="00136C8D"/>
    <w:rsid w:val="00136D54"/>
    <w:rsid w:val="00136D73"/>
    <w:rsid w:val="00136E0C"/>
    <w:rsid w:val="00136E4D"/>
    <w:rsid w:val="00136E6B"/>
    <w:rsid w:val="00136EFB"/>
    <w:rsid w:val="00136F4E"/>
    <w:rsid w:val="00136F8E"/>
    <w:rsid w:val="0013701F"/>
    <w:rsid w:val="0013705B"/>
    <w:rsid w:val="001370F9"/>
    <w:rsid w:val="001371D2"/>
    <w:rsid w:val="001371D3"/>
    <w:rsid w:val="001371D5"/>
    <w:rsid w:val="001372EA"/>
    <w:rsid w:val="00137325"/>
    <w:rsid w:val="0013732C"/>
    <w:rsid w:val="00137468"/>
    <w:rsid w:val="0013748E"/>
    <w:rsid w:val="00137501"/>
    <w:rsid w:val="0013760F"/>
    <w:rsid w:val="001376C2"/>
    <w:rsid w:val="001377A0"/>
    <w:rsid w:val="001377D6"/>
    <w:rsid w:val="001377DB"/>
    <w:rsid w:val="0013782F"/>
    <w:rsid w:val="0013783D"/>
    <w:rsid w:val="0013796B"/>
    <w:rsid w:val="0013796D"/>
    <w:rsid w:val="001379DA"/>
    <w:rsid w:val="001379FA"/>
    <w:rsid w:val="00137A8B"/>
    <w:rsid w:val="00137AC6"/>
    <w:rsid w:val="00137AFE"/>
    <w:rsid w:val="00137B04"/>
    <w:rsid w:val="00137B5F"/>
    <w:rsid w:val="00137B7A"/>
    <w:rsid w:val="00137B93"/>
    <w:rsid w:val="00137BAC"/>
    <w:rsid w:val="00137BBA"/>
    <w:rsid w:val="00137C36"/>
    <w:rsid w:val="00137C98"/>
    <w:rsid w:val="00137CBE"/>
    <w:rsid w:val="00137D8C"/>
    <w:rsid w:val="00137E02"/>
    <w:rsid w:val="00137E18"/>
    <w:rsid w:val="00137E31"/>
    <w:rsid w:val="00137E32"/>
    <w:rsid w:val="00137E96"/>
    <w:rsid w:val="00137E98"/>
    <w:rsid w:val="00137E99"/>
    <w:rsid w:val="00137F1A"/>
    <w:rsid w:val="00137F68"/>
    <w:rsid w:val="00137F7B"/>
    <w:rsid w:val="0014002B"/>
    <w:rsid w:val="001400DD"/>
    <w:rsid w:val="001400EE"/>
    <w:rsid w:val="0014016C"/>
    <w:rsid w:val="00140347"/>
    <w:rsid w:val="00140355"/>
    <w:rsid w:val="00140378"/>
    <w:rsid w:val="001403AC"/>
    <w:rsid w:val="001403DB"/>
    <w:rsid w:val="00140436"/>
    <w:rsid w:val="0014044C"/>
    <w:rsid w:val="001404DE"/>
    <w:rsid w:val="0014051B"/>
    <w:rsid w:val="001405C2"/>
    <w:rsid w:val="00140631"/>
    <w:rsid w:val="0014069F"/>
    <w:rsid w:val="00140804"/>
    <w:rsid w:val="00140836"/>
    <w:rsid w:val="0014084F"/>
    <w:rsid w:val="0014095A"/>
    <w:rsid w:val="001409B9"/>
    <w:rsid w:val="001409E5"/>
    <w:rsid w:val="001409FC"/>
    <w:rsid w:val="00140A32"/>
    <w:rsid w:val="00140AA2"/>
    <w:rsid w:val="00140B1D"/>
    <w:rsid w:val="00140BA0"/>
    <w:rsid w:val="00140BC3"/>
    <w:rsid w:val="00140BCA"/>
    <w:rsid w:val="00140BFB"/>
    <w:rsid w:val="00140C3A"/>
    <w:rsid w:val="00140C3E"/>
    <w:rsid w:val="00140CEB"/>
    <w:rsid w:val="00140D56"/>
    <w:rsid w:val="00140D9D"/>
    <w:rsid w:val="00140DAC"/>
    <w:rsid w:val="00140DFD"/>
    <w:rsid w:val="00140E13"/>
    <w:rsid w:val="00140E81"/>
    <w:rsid w:val="00140EB6"/>
    <w:rsid w:val="00140F0E"/>
    <w:rsid w:val="00140F8F"/>
    <w:rsid w:val="00140F9A"/>
    <w:rsid w:val="0014102A"/>
    <w:rsid w:val="00141068"/>
    <w:rsid w:val="00141124"/>
    <w:rsid w:val="00141129"/>
    <w:rsid w:val="00141154"/>
    <w:rsid w:val="00141182"/>
    <w:rsid w:val="001411EB"/>
    <w:rsid w:val="00141236"/>
    <w:rsid w:val="0014124B"/>
    <w:rsid w:val="00141261"/>
    <w:rsid w:val="00141268"/>
    <w:rsid w:val="0014135A"/>
    <w:rsid w:val="00141365"/>
    <w:rsid w:val="0014137C"/>
    <w:rsid w:val="0014139B"/>
    <w:rsid w:val="001413C4"/>
    <w:rsid w:val="00141457"/>
    <w:rsid w:val="0014149F"/>
    <w:rsid w:val="0014166B"/>
    <w:rsid w:val="001416AE"/>
    <w:rsid w:val="001416B9"/>
    <w:rsid w:val="001416DC"/>
    <w:rsid w:val="001416E0"/>
    <w:rsid w:val="00141733"/>
    <w:rsid w:val="00141744"/>
    <w:rsid w:val="00141760"/>
    <w:rsid w:val="00141856"/>
    <w:rsid w:val="00141877"/>
    <w:rsid w:val="001418B0"/>
    <w:rsid w:val="001418C9"/>
    <w:rsid w:val="001419D4"/>
    <w:rsid w:val="00141A37"/>
    <w:rsid w:val="00141A40"/>
    <w:rsid w:val="00141AA9"/>
    <w:rsid w:val="00141AFC"/>
    <w:rsid w:val="00141B2C"/>
    <w:rsid w:val="00141BA7"/>
    <w:rsid w:val="00141BF7"/>
    <w:rsid w:val="00141C09"/>
    <w:rsid w:val="00141C13"/>
    <w:rsid w:val="00141C6D"/>
    <w:rsid w:val="00141C9D"/>
    <w:rsid w:val="00141CB9"/>
    <w:rsid w:val="00141CC9"/>
    <w:rsid w:val="00141D3C"/>
    <w:rsid w:val="00141D54"/>
    <w:rsid w:val="00141D71"/>
    <w:rsid w:val="00141D79"/>
    <w:rsid w:val="00141D97"/>
    <w:rsid w:val="00141DB6"/>
    <w:rsid w:val="00141DD6"/>
    <w:rsid w:val="00141DF8"/>
    <w:rsid w:val="00141E2D"/>
    <w:rsid w:val="00141EFF"/>
    <w:rsid w:val="00141F4D"/>
    <w:rsid w:val="00141F58"/>
    <w:rsid w:val="00141F85"/>
    <w:rsid w:val="00142045"/>
    <w:rsid w:val="001420D0"/>
    <w:rsid w:val="0014216C"/>
    <w:rsid w:val="001421DF"/>
    <w:rsid w:val="001421EB"/>
    <w:rsid w:val="001422CF"/>
    <w:rsid w:val="00142318"/>
    <w:rsid w:val="00142550"/>
    <w:rsid w:val="001425DA"/>
    <w:rsid w:val="0014266A"/>
    <w:rsid w:val="001426D1"/>
    <w:rsid w:val="001426E8"/>
    <w:rsid w:val="00142717"/>
    <w:rsid w:val="00142816"/>
    <w:rsid w:val="001428BB"/>
    <w:rsid w:val="00142958"/>
    <w:rsid w:val="001429B8"/>
    <w:rsid w:val="001429DC"/>
    <w:rsid w:val="00142A16"/>
    <w:rsid w:val="00142A44"/>
    <w:rsid w:val="00142ACD"/>
    <w:rsid w:val="00142AF4"/>
    <w:rsid w:val="00142B09"/>
    <w:rsid w:val="00142B7A"/>
    <w:rsid w:val="00142BE2"/>
    <w:rsid w:val="00142C21"/>
    <w:rsid w:val="00142C4A"/>
    <w:rsid w:val="00142C9F"/>
    <w:rsid w:val="00142CA6"/>
    <w:rsid w:val="00142CBB"/>
    <w:rsid w:val="00142CD3"/>
    <w:rsid w:val="00142D93"/>
    <w:rsid w:val="00142D96"/>
    <w:rsid w:val="00142EEC"/>
    <w:rsid w:val="00142F15"/>
    <w:rsid w:val="00142F21"/>
    <w:rsid w:val="00142F6E"/>
    <w:rsid w:val="00142F84"/>
    <w:rsid w:val="00142FB3"/>
    <w:rsid w:val="00142FBF"/>
    <w:rsid w:val="00142FC8"/>
    <w:rsid w:val="001430B3"/>
    <w:rsid w:val="001430FD"/>
    <w:rsid w:val="00143119"/>
    <w:rsid w:val="001431A0"/>
    <w:rsid w:val="00143206"/>
    <w:rsid w:val="0014324D"/>
    <w:rsid w:val="0014326A"/>
    <w:rsid w:val="0014329E"/>
    <w:rsid w:val="001432B0"/>
    <w:rsid w:val="001432BA"/>
    <w:rsid w:val="001432C3"/>
    <w:rsid w:val="0014332D"/>
    <w:rsid w:val="001433DA"/>
    <w:rsid w:val="0014347E"/>
    <w:rsid w:val="00143484"/>
    <w:rsid w:val="001434B0"/>
    <w:rsid w:val="001434C3"/>
    <w:rsid w:val="00143590"/>
    <w:rsid w:val="001435CF"/>
    <w:rsid w:val="001435E2"/>
    <w:rsid w:val="0014361B"/>
    <w:rsid w:val="0014363B"/>
    <w:rsid w:val="00143668"/>
    <w:rsid w:val="001436EB"/>
    <w:rsid w:val="001436FE"/>
    <w:rsid w:val="00143720"/>
    <w:rsid w:val="0014378B"/>
    <w:rsid w:val="001437A4"/>
    <w:rsid w:val="001437DB"/>
    <w:rsid w:val="00143822"/>
    <w:rsid w:val="00143840"/>
    <w:rsid w:val="00143841"/>
    <w:rsid w:val="00143939"/>
    <w:rsid w:val="00143967"/>
    <w:rsid w:val="0014396D"/>
    <w:rsid w:val="00143A09"/>
    <w:rsid w:val="00143C9A"/>
    <w:rsid w:val="00143D34"/>
    <w:rsid w:val="00143DA7"/>
    <w:rsid w:val="00143DD9"/>
    <w:rsid w:val="00143FAC"/>
    <w:rsid w:val="00144007"/>
    <w:rsid w:val="00144037"/>
    <w:rsid w:val="0014405C"/>
    <w:rsid w:val="00144069"/>
    <w:rsid w:val="00144133"/>
    <w:rsid w:val="0014413B"/>
    <w:rsid w:val="001441B4"/>
    <w:rsid w:val="00144219"/>
    <w:rsid w:val="00144239"/>
    <w:rsid w:val="00144245"/>
    <w:rsid w:val="00144252"/>
    <w:rsid w:val="0014425D"/>
    <w:rsid w:val="001442D2"/>
    <w:rsid w:val="00144302"/>
    <w:rsid w:val="001443C3"/>
    <w:rsid w:val="001443E6"/>
    <w:rsid w:val="00144512"/>
    <w:rsid w:val="0014452A"/>
    <w:rsid w:val="0014467A"/>
    <w:rsid w:val="00144716"/>
    <w:rsid w:val="00144765"/>
    <w:rsid w:val="0014478F"/>
    <w:rsid w:val="001447A0"/>
    <w:rsid w:val="001447B7"/>
    <w:rsid w:val="001448E7"/>
    <w:rsid w:val="001449B3"/>
    <w:rsid w:val="001449B5"/>
    <w:rsid w:val="00144A03"/>
    <w:rsid w:val="00144AB1"/>
    <w:rsid w:val="00144AD6"/>
    <w:rsid w:val="00144B17"/>
    <w:rsid w:val="00144B8C"/>
    <w:rsid w:val="00144B96"/>
    <w:rsid w:val="00144BB7"/>
    <w:rsid w:val="00144BD1"/>
    <w:rsid w:val="00144C0F"/>
    <w:rsid w:val="00144C20"/>
    <w:rsid w:val="00144C3D"/>
    <w:rsid w:val="00144C8D"/>
    <w:rsid w:val="00144CC7"/>
    <w:rsid w:val="00144CEE"/>
    <w:rsid w:val="00144D0D"/>
    <w:rsid w:val="00144DBC"/>
    <w:rsid w:val="00144DF2"/>
    <w:rsid w:val="00145038"/>
    <w:rsid w:val="00145041"/>
    <w:rsid w:val="00145083"/>
    <w:rsid w:val="001450C4"/>
    <w:rsid w:val="001450FE"/>
    <w:rsid w:val="00145132"/>
    <w:rsid w:val="00145198"/>
    <w:rsid w:val="0014524C"/>
    <w:rsid w:val="00145271"/>
    <w:rsid w:val="00145284"/>
    <w:rsid w:val="001452D3"/>
    <w:rsid w:val="00145399"/>
    <w:rsid w:val="001454BE"/>
    <w:rsid w:val="001455D1"/>
    <w:rsid w:val="001455DE"/>
    <w:rsid w:val="0014561A"/>
    <w:rsid w:val="0014567D"/>
    <w:rsid w:val="0014569F"/>
    <w:rsid w:val="0014571C"/>
    <w:rsid w:val="001457BB"/>
    <w:rsid w:val="001458D4"/>
    <w:rsid w:val="001458F3"/>
    <w:rsid w:val="0014593B"/>
    <w:rsid w:val="00145952"/>
    <w:rsid w:val="00145961"/>
    <w:rsid w:val="001459D3"/>
    <w:rsid w:val="00145A2D"/>
    <w:rsid w:val="00145A7E"/>
    <w:rsid w:val="00145ACB"/>
    <w:rsid w:val="00145AFB"/>
    <w:rsid w:val="00145B5A"/>
    <w:rsid w:val="00145C9A"/>
    <w:rsid w:val="00145CED"/>
    <w:rsid w:val="00145DA9"/>
    <w:rsid w:val="00145DAC"/>
    <w:rsid w:val="00145E1D"/>
    <w:rsid w:val="00145E3D"/>
    <w:rsid w:val="00145EBB"/>
    <w:rsid w:val="00145ECB"/>
    <w:rsid w:val="00145F2D"/>
    <w:rsid w:val="00145F8B"/>
    <w:rsid w:val="00145FEC"/>
    <w:rsid w:val="00146039"/>
    <w:rsid w:val="001460A9"/>
    <w:rsid w:val="001460C3"/>
    <w:rsid w:val="0014611C"/>
    <w:rsid w:val="001461BA"/>
    <w:rsid w:val="001462AB"/>
    <w:rsid w:val="001462D0"/>
    <w:rsid w:val="001462D5"/>
    <w:rsid w:val="001462EF"/>
    <w:rsid w:val="00146348"/>
    <w:rsid w:val="00146363"/>
    <w:rsid w:val="00146395"/>
    <w:rsid w:val="0014639D"/>
    <w:rsid w:val="001463A2"/>
    <w:rsid w:val="001463C9"/>
    <w:rsid w:val="001463D8"/>
    <w:rsid w:val="001463E5"/>
    <w:rsid w:val="00146436"/>
    <w:rsid w:val="001464CC"/>
    <w:rsid w:val="0014656F"/>
    <w:rsid w:val="0014658B"/>
    <w:rsid w:val="001465BD"/>
    <w:rsid w:val="00146673"/>
    <w:rsid w:val="00146697"/>
    <w:rsid w:val="00146799"/>
    <w:rsid w:val="001467A8"/>
    <w:rsid w:val="001467D9"/>
    <w:rsid w:val="00146821"/>
    <w:rsid w:val="00146851"/>
    <w:rsid w:val="001468D0"/>
    <w:rsid w:val="001468E4"/>
    <w:rsid w:val="0014697F"/>
    <w:rsid w:val="00146A21"/>
    <w:rsid w:val="00146A8A"/>
    <w:rsid w:val="00146A90"/>
    <w:rsid w:val="00146AF3"/>
    <w:rsid w:val="00146B61"/>
    <w:rsid w:val="00146B6F"/>
    <w:rsid w:val="00146BC1"/>
    <w:rsid w:val="00146BD9"/>
    <w:rsid w:val="00146C71"/>
    <w:rsid w:val="00146C84"/>
    <w:rsid w:val="00146D70"/>
    <w:rsid w:val="00146E59"/>
    <w:rsid w:val="00146ECF"/>
    <w:rsid w:val="00146EE5"/>
    <w:rsid w:val="00146F4A"/>
    <w:rsid w:val="001471E9"/>
    <w:rsid w:val="001472B9"/>
    <w:rsid w:val="00147315"/>
    <w:rsid w:val="001473A4"/>
    <w:rsid w:val="0014740A"/>
    <w:rsid w:val="0014754F"/>
    <w:rsid w:val="001475A2"/>
    <w:rsid w:val="001475AE"/>
    <w:rsid w:val="00147670"/>
    <w:rsid w:val="0014768B"/>
    <w:rsid w:val="00147693"/>
    <w:rsid w:val="001476A5"/>
    <w:rsid w:val="001477D5"/>
    <w:rsid w:val="00147810"/>
    <w:rsid w:val="00147862"/>
    <w:rsid w:val="001478AA"/>
    <w:rsid w:val="001478D2"/>
    <w:rsid w:val="001478DC"/>
    <w:rsid w:val="00147905"/>
    <w:rsid w:val="001479C9"/>
    <w:rsid w:val="001479EA"/>
    <w:rsid w:val="00147A09"/>
    <w:rsid w:val="00147A31"/>
    <w:rsid w:val="00147A6F"/>
    <w:rsid w:val="00147A91"/>
    <w:rsid w:val="00147ACD"/>
    <w:rsid w:val="00147B4C"/>
    <w:rsid w:val="00147BBD"/>
    <w:rsid w:val="00147BFD"/>
    <w:rsid w:val="00147C11"/>
    <w:rsid w:val="00147C29"/>
    <w:rsid w:val="00147C72"/>
    <w:rsid w:val="00147C7B"/>
    <w:rsid w:val="00147CB6"/>
    <w:rsid w:val="00147D07"/>
    <w:rsid w:val="00147D0A"/>
    <w:rsid w:val="00147D3D"/>
    <w:rsid w:val="00147D6B"/>
    <w:rsid w:val="00147E2B"/>
    <w:rsid w:val="00147E7E"/>
    <w:rsid w:val="00147EF6"/>
    <w:rsid w:val="00147F52"/>
    <w:rsid w:val="00147F57"/>
    <w:rsid w:val="00147F96"/>
    <w:rsid w:val="0014C374"/>
    <w:rsid w:val="0015013E"/>
    <w:rsid w:val="0015015D"/>
    <w:rsid w:val="0015019F"/>
    <w:rsid w:val="001501C2"/>
    <w:rsid w:val="001501E2"/>
    <w:rsid w:val="00150279"/>
    <w:rsid w:val="001502E3"/>
    <w:rsid w:val="001502FA"/>
    <w:rsid w:val="0015034B"/>
    <w:rsid w:val="0015036A"/>
    <w:rsid w:val="0015041E"/>
    <w:rsid w:val="0015043C"/>
    <w:rsid w:val="00150473"/>
    <w:rsid w:val="001504A2"/>
    <w:rsid w:val="001504D5"/>
    <w:rsid w:val="001504D6"/>
    <w:rsid w:val="001504E9"/>
    <w:rsid w:val="00150523"/>
    <w:rsid w:val="0015053B"/>
    <w:rsid w:val="0015062A"/>
    <w:rsid w:val="0015069F"/>
    <w:rsid w:val="001506C2"/>
    <w:rsid w:val="001506DD"/>
    <w:rsid w:val="00150707"/>
    <w:rsid w:val="0015070E"/>
    <w:rsid w:val="0015072C"/>
    <w:rsid w:val="0015084F"/>
    <w:rsid w:val="00150859"/>
    <w:rsid w:val="0015090B"/>
    <w:rsid w:val="00150957"/>
    <w:rsid w:val="00150977"/>
    <w:rsid w:val="00150A3B"/>
    <w:rsid w:val="00150A65"/>
    <w:rsid w:val="00150A8B"/>
    <w:rsid w:val="00150AE3"/>
    <w:rsid w:val="00150AE6"/>
    <w:rsid w:val="00150B10"/>
    <w:rsid w:val="00150B25"/>
    <w:rsid w:val="00150BA4"/>
    <w:rsid w:val="00150BF5"/>
    <w:rsid w:val="00150C07"/>
    <w:rsid w:val="00150C27"/>
    <w:rsid w:val="00150D66"/>
    <w:rsid w:val="00150DC9"/>
    <w:rsid w:val="00150DE9"/>
    <w:rsid w:val="00150DF5"/>
    <w:rsid w:val="00150E60"/>
    <w:rsid w:val="00150E68"/>
    <w:rsid w:val="00150E92"/>
    <w:rsid w:val="00150EF2"/>
    <w:rsid w:val="00150F5F"/>
    <w:rsid w:val="00150F7C"/>
    <w:rsid w:val="00150FC3"/>
    <w:rsid w:val="00150FF0"/>
    <w:rsid w:val="0015104E"/>
    <w:rsid w:val="00151139"/>
    <w:rsid w:val="00151155"/>
    <w:rsid w:val="001511F4"/>
    <w:rsid w:val="00151222"/>
    <w:rsid w:val="001512E9"/>
    <w:rsid w:val="0015137A"/>
    <w:rsid w:val="001513EF"/>
    <w:rsid w:val="00151436"/>
    <w:rsid w:val="00151491"/>
    <w:rsid w:val="001514D3"/>
    <w:rsid w:val="001514EB"/>
    <w:rsid w:val="001515BD"/>
    <w:rsid w:val="001515DC"/>
    <w:rsid w:val="0015166D"/>
    <w:rsid w:val="0015168B"/>
    <w:rsid w:val="001516BE"/>
    <w:rsid w:val="001516ED"/>
    <w:rsid w:val="00151819"/>
    <w:rsid w:val="00151879"/>
    <w:rsid w:val="001518AF"/>
    <w:rsid w:val="001518F2"/>
    <w:rsid w:val="0015194A"/>
    <w:rsid w:val="00151970"/>
    <w:rsid w:val="00151A2D"/>
    <w:rsid w:val="00151AD5"/>
    <w:rsid w:val="00151B43"/>
    <w:rsid w:val="00151BAC"/>
    <w:rsid w:val="00151BE2"/>
    <w:rsid w:val="00151BE4"/>
    <w:rsid w:val="00151BE6"/>
    <w:rsid w:val="00151BFC"/>
    <w:rsid w:val="00151C0E"/>
    <w:rsid w:val="00151C12"/>
    <w:rsid w:val="00151C14"/>
    <w:rsid w:val="00151C16"/>
    <w:rsid w:val="00151C3F"/>
    <w:rsid w:val="00151D09"/>
    <w:rsid w:val="00151D2D"/>
    <w:rsid w:val="00151E3B"/>
    <w:rsid w:val="00151E40"/>
    <w:rsid w:val="00151E55"/>
    <w:rsid w:val="00151E72"/>
    <w:rsid w:val="00151E7C"/>
    <w:rsid w:val="00151F9C"/>
    <w:rsid w:val="0015209B"/>
    <w:rsid w:val="00152177"/>
    <w:rsid w:val="0015218D"/>
    <w:rsid w:val="001521EA"/>
    <w:rsid w:val="001521F5"/>
    <w:rsid w:val="0015220B"/>
    <w:rsid w:val="0015221A"/>
    <w:rsid w:val="00152229"/>
    <w:rsid w:val="00152238"/>
    <w:rsid w:val="001522CB"/>
    <w:rsid w:val="001522D7"/>
    <w:rsid w:val="00152374"/>
    <w:rsid w:val="001523B1"/>
    <w:rsid w:val="001523D7"/>
    <w:rsid w:val="001523E2"/>
    <w:rsid w:val="001524B8"/>
    <w:rsid w:val="001524EF"/>
    <w:rsid w:val="001525A7"/>
    <w:rsid w:val="001525DF"/>
    <w:rsid w:val="0015262E"/>
    <w:rsid w:val="0015267C"/>
    <w:rsid w:val="001526F3"/>
    <w:rsid w:val="001526FC"/>
    <w:rsid w:val="00152729"/>
    <w:rsid w:val="00152738"/>
    <w:rsid w:val="0015273E"/>
    <w:rsid w:val="00152741"/>
    <w:rsid w:val="001527CB"/>
    <w:rsid w:val="00152816"/>
    <w:rsid w:val="0015282C"/>
    <w:rsid w:val="001528FB"/>
    <w:rsid w:val="00152934"/>
    <w:rsid w:val="001529A6"/>
    <w:rsid w:val="001529CB"/>
    <w:rsid w:val="00152B43"/>
    <w:rsid w:val="00152BBE"/>
    <w:rsid w:val="00152C5E"/>
    <w:rsid w:val="00152C70"/>
    <w:rsid w:val="00152C76"/>
    <w:rsid w:val="00152C97"/>
    <w:rsid w:val="00152D23"/>
    <w:rsid w:val="00152DB5"/>
    <w:rsid w:val="00152DC8"/>
    <w:rsid w:val="00152E3F"/>
    <w:rsid w:val="00152E91"/>
    <w:rsid w:val="00152ECB"/>
    <w:rsid w:val="00152F6A"/>
    <w:rsid w:val="00152F76"/>
    <w:rsid w:val="00152FA5"/>
    <w:rsid w:val="00152FDC"/>
    <w:rsid w:val="00152FDD"/>
    <w:rsid w:val="0015301C"/>
    <w:rsid w:val="0015309E"/>
    <w:rsid w:val="00153180"/>
    <w:rsid w:val="001531F2"/>
    <w:rsid w:val="00153254"/>
    <w:rsid w:val="00153294"/>
    <w:rsid w:val="001532A5"/>
    <w:rsid w:val="00153320"/>
    <w:rsid w:val="00153345"/>
    <w:rsid w:val="0015335A"/>
    <w:rsid w:val="00153361"/>
    <w:rsid w:val="001533A0"/>
    <w:rsid w:val="001533A4"/>
    <w:rsid w:val="001533D1"/>
    <w:rsid w:val="00153414"/>
    <w:rsid w:val="00153501"/>
    <w:rsid w:val="0015367C"/>
    <w:rsid w:val="00153700"/>
    <w:rsid w:val="0015374C"/>
    <w:rsid w:val="00153756"/>
    <w:rsid w:val="00153797"/>
    <w:rsid w:val="001537B9"/>
    <w:rsid w:val="001537DB"/>
    <w:rsid w:val="001537E5"/>
    <w:rsid w:val="001537EE"/>
    <w:rsid w:val="00153873"/>
    <w:rsid w:val="00153964"/>
    <w:rsid w:val="0015398E"/>
    <w:rsid w:val="001539E1"/>
    <w:rsid w:val="001539EC"/>
    <w:rsid w:val="00153A65"/>
    <w:rsid w:val="00153A9C"/>
    <w:rsid w:val="00153ABD"/>
    <w:rsid w:val="00153AFD"/>
    <w:rsid w:val="00153B4F"/>
    <w:rsid w:val="00153B6E"/>
    <w:rsid w:val="00153B6F"/>
    <w:rsid w:val="00153BC7"/>
    <w:rsid w:val="00153C63"/>
    <w:rsid w:val="00153CD7"/>
    <w:rsid w:val="00153DE7"/>
    <w:rsid w:val="00153DF2"/>
    <w:rsid w:val="00153F05"/>
    <w:rsid w:val="00153F16"/>
    <w:rsid w:val="00153FDB"/>
    <w:rsid w:val="00153FE4"/>
    <w:rsid w:val="00154014"/>
    <w:rsid w:val="0015411A"/>
    <w:rsid w:val="0015411C"/>
    <w:rsid w:val="0015418D"/>
    <w:rsid w:val="0015419C"/>
    <w:rsid w:val="00154243"/>
    <w:rsid w:val="0015427A"/>
    <w:rsid w:val="001542F9"/>
    <w:rsid w:val="001543F5"/>
    <w:rsid w:val="00154467"/>
    <w:rsid w:val="001544B6"/>
    <w:rsid w:val="001544CB"/>
    <w:rsid w:val="001544F1"/>
    <w:rsid w:val="001545D3"/>
    <w:rsid w:val="00154653"/>
    <w:rsid w:val="00154674"/>
    <w:rsid w:val="0015467D"/>
    <w:rsid w:val="001546E4"/>
    <w:rsid w:val="0015472B"/>
    <w:rsid w:val="0015480B"/>
    <w:rsid w:val="00154861"/>
    <w:rsid w:val="001548AD"/>
    <w:rsid w:val="00154991"/>
    <w:rsid w:val="00154BE5"/>
    <w:rsid w:val="00154C53"/>
    <w:rsid w:val="00154D3C"/>
    <w:rsid w:val="00154D92"/>
    <w:rsid w:val="00154DF9"/>
    <w:rsid w:val="00154E3F"/>
    <w:rsid w:val="00154EDD"/>
    <w:rsid w:val="00154EF6"/>
    <w:rsid w:val="00154F0C"/>
    <w:rsid w:val="00154FD0"/>
    <w:rsid w:val="00154FD2"/>
    <w:rsid w:val="00154FDD"/>
    <w:rsid w:val="00154FE7"/>
    <w:rsid w:val="00155014"/>
    <w:rsid w:val="001550BB"/>
    <w:rsid w:val="001550DC"/>
    <w:rsid w:val="0015518E"/>
    <w:rsid w:val="00155196"/>
    <w:rsid w:val="001551B1"/>
    <w:rsid w:val="001551C9"/>
    <w:rsid w:val="001551CD"/>
    <w:rsid w:val="001552D3"/>
    <w:rsid w:val="0015535B"/>
    <w:rsid w:val="00155393"/>
    <w:rsid w:val="001553BA"/>
    <w:rsid w:val="001553F0"/>
    <w:rsid w:val="001553F6"/>
    <w:rsid w:val="00155490"/>
    <w:rsid w:val="00155496"/>
    <w:rsid w:val="001554F6"/>
    <w:rsid w:val="001554FD"/>
    <w:rsid w:val="00155582"/>
    <w:rsid w:val="001555A9"/>
    <w:rsid w:val="00155611"/>
    <w:rsid w:val="0015570B"/>
    <w:rsid w:val="001557A5"/>
    <w:rsid w:val="001557DD"/>
    <w:rsid w:val="00155840"/>
    <w:rsid w:val="00155926"/>
    <w:rsid w:val="001559AE"/>
    <w:rsid w:val="00155A97"/>
    <w:rsid w:val="00155AA6"/>
    <w:rsid w:val="00155B2A"/>
    <w:rsid w:val="00155B7C"/>
    <w:rsid w:val="00155BAA"/>
    <w:rsid w:val="00155BD1"/>
    <w:rsid w:val="00155BE5"/>
    <w:rsid w:val="00155BF5"/>
    <w:rsid w:val="00155C87"/>
    <w:rsid w:val="00155C97"/>
    <w:rsid w:val="00155D11"/>
    <w:rsid w:val="00155D24"/>
    <w:rsid w:val="00155D92"/>
    <w:rsid w:val="00155E07"/>
    <w:rsid w:val="00155E34"/>
    <w:rsid w:val="00155E7E"/>
    <w:rsid w:val="00155E94"/>
    <w:rsid w:val="00155E9E"/>
    <w:rsid w:val="00155F3C"/>
    <w:rsid w:val="0015605F"/>
    <w:rsid w:val="00156092"/>
    <w:rsid w:val="00156138"/>
    <w:rsid w:val="001561EC"/>
    <w:rsid w:val="00156261"/>
    <w:rsid w:val="0015629E"/>
    <w:rsid w:val="00156330"/>
    <w:rsid w:val="00156442"/>
    <w:rsid w:val="00156478"/>
    <w:rsid w:val="0015648A"/>
    <w:rsid w:val="00156525"/>
    <w:rsid w:val="0015670A"/>
    <w:rsid w:val="00156710"/>
    <w:rsid w:val="0015675C"/>
    <w:rsid w:val="0015676E"/>
    <w:rsid w:val="001568EF"/>
    <w:rsid w:val="00156912"/>
    <w:rsid w:val="00156925"/>
    <w:rsid w:val="00156976"/>
    <w:rsid w:val="00156A69"/>
    <w:rsid w:val="00156AAC"/>
    <w:rsid w:val="00156AE0"/>
    <w:rsid w:val="00156B26"/>
    <w:rsid w:val="00156B51"/>
    <w:rsid w:val="00156B6B"/>
    <w:rsid w:val="00156B70"/>
    <w:rsid w:val="00156C05"/>
    <w:rsid w:val="00156C27"/>
    <w:rsid w:val="00156C7B"/>
    <w:rsid w:val="00156C92"/>
    <w:rsid w:val="00156CBF"/>
    <w:rsid w:val="00156DA2"/>
    <w:rsid w:val="00156DA9"/>
    <w:rsid w:val="00156EB9"/>
    <w:rsid w:val="00156FCA"/>
    <w:rsid w:val="0015701B"/>
    <w:rsid w:val="0015712B"/>
    <w:rsid w:val="0015713E"/>
    <w:rsid w:val="00157234"/>
    <w:rsid w:val="00157244"/>
    <w:rsid w:val="001572D4"/>
    <w:rsid w:val="00157324"/>
    <w:rsid w:val="0015732B"/>
    <w:rsid w:val="00157371"/>
    <w:rsid w:val="001573EA"/>
    <w:rsid w:val="001574A4"/>
    <w:rsid w:val="001574B8"/>
    <w:rsid w:val="001574C5"/>
    <w:rsid w:val="00157569"/>
    <w:rsid w:val="00157571"/>
    <w:rsid w:val="0015759F"/>
    <w:rsid w:val="001575E1"/>
    <w:rsid w:val="0015767F"/>
    <w:rsid w:val="0015769A"/>
    <w:rsid w:val="001576CC"/>
    <w:rsid w:val="00157805"/>
    <w:rsid w:val="00157810"/>
    <w:rsid w:val="0015785D"/>
    <w:rsid w:val="001578CB"/>
    <w:rsid w:val="00157955"/>
    <w:rsid w:val="00157989"/>
    <w:rsid w:val="00157996"/>
    <w:rsid w:val="001579F4"/>
    <w:rsid w:val="00157A58"/>
    <w:rsid w:val="00157AA4"/>
    <w:rsid w:val="00157BA9"/>
    <w:rsid w:val="00157BC8"/>
    <w:rsid w:val="00157BDF"/>
    <w:rsid w:val="00157BE6"/>
    <w:rsid w:val="00157C4E"/>
    <w:rsid w:val="00157D58"/>
    <w:rsid w:val="00157D6D"/>
    <w:rsid w:val="00157D7E"/>
    <w:rsid w:val="00157D8A"/>
    <w:rsid w:val="00157D9B"/>
    <w:rsid w:val="00157E30"/>
    <w:rsid w:val="00157E43"/>
    <w:rsid w:val="00157E6D"/>
    <w:rsid w:val="00157ED6"/>
    <w:rsid w:val="00157ED9"/>
    <w:rsid w:val="00157FDC"/>
    <w:rsid w:val="00160106"/>
    <w:rsid w:val="0016011C"/>
    <w:rsid w:val="0016025E"/>
    <w:rsid w:val="0016033D"/>
    <w:rsid w:val="00160371"/>
    <w:rsid w:val="00160387"/>
    <w:rsid w:val="001603B4"/>
    <w:rsid w:val="001603F2"/>
    <w:rsid w:val="00160421"/>
    <w:rsid w:val="0016048F"/>
    <w:rsid w:val="001604AF"/>
    <w:rsid w:val="001604C6"/>
    <w:rsid w:val="00160529"/>
    <w:rsid w:val="00160579"/>
    <w:rsid w:val="00160632"/>
    <w:rsid w:val="0016066A"/>
    <w:rsid w:val="0016068D"/>
    <w:rsid w:val="00160732"/>
    <w:rsid w:val="00160820"/>
    <w:rsid w:val="0016084A"/>
    <w:rsid w:val="0016089C"/>
    <w:rsid w:val="001608B1"/>
    <w:rsid w:val="00160900"/>
    <w:rsid w:val="0016091E"/>
    <w:rsid w:val="001609C9"/>
    <w:rsid w:val="00160A47"/>
    <w:rsid w:val="00160B2E"/>
    <w:rsid w:val="00160C35"/>
    <w:rsid w:val="00160C98"/>
    <w:rsid w:val="00160D1C"/>
    <w:rsid w:val="00160D44"/>
    <w:rsid w:val="00160DDC"/>
    <w:rsid w:val="00160DE0"/>
    <w:rsid w:val="00160E97"/>
    <w:rsid w:val="00160EE6"/>
    <w:rsid w:val="00160F0D"/>
    <w:rsid w:val="0016102A"/>
    <w:rsid w:val="001610D5"/>
    <w:rsid w:val="001610F2"/>
    <w:rsid w:val="001610FF"/>
    <w:rsid w:val="00161173"/>
    <w:rsid w:val="0016118D"/>
    <w:rsid w:val="001611AB"/>
    <w:rsid w:val="001611DD"/>
    <w:rsid w:val="0016124B"/>
    <w:rsid w:val="00161294"/>
    <w:rsid w:val="001612CE"/>
    <w:rsid w:val="00161317"/>
    <w:rsid w:val="00161436"/>
    <w:rsid w:val="00161440"/>
    <w:rsid w:val="00161450"/>
    <w:rsid w:val="00161572"/>
    <w:rsid w:val="001615B5"/>
    <w:rsid w:val="001615DC"/>
    <w:rsid w:val="001615E4"/>
    <w:rsid w:val="00161695"/>
    <w:rsid w:val="001616E4"/>
    <w:rsid w:val="001617F1"/>
    <w:rsid w:val="00161879"/>
    <w:rsid w:val="0016187B"/>
    <w:rsid w:val="00161920"/>
    <w:rsid w:val="00161998"/>
    <w:rsid w:val="001619B4"/>
    <w:rsid w:val="001619C1"/>
    <w:rsid w:val="00161A60"/>
    <w:rsid w:val="00161B0D"/>
    <w:rsid w:val="00161B10"/>
    <w:rsid w:val="00161B55"/>
    <w:rsid w:val="00161B9B"/>
    <w:rsid w:val="00161C46"/>
    <w:rsid w:val="00161CA9"/>
    <w:rsid w:val="00161CDF"/>
    <w:rsid w:val="00161D89"/>
    <w:rsid w:val="00161E11"/>
    <w:rsid w:val="00161E16"/>
    <w:rsid w:val="00161E37"/>
    <w:rsid w:val="00161E65"/>
    <w:rsid w:val="00161EDB"/>
    <w:rsid w:val="00161F62"/>
    <w:rsid w:val="00161F86"/>
    <w:rsid w:val="00161FC6"/>
    <w:rsid w:val="00161FD9"/>
    <w:rsid w:val="0016203B"/>
    <w:rsid w:val="001620FA"/>
    <w:rsid w:val="00162119"/>
    <w:rsid w:val="0016215B"/>
    <w:rsid w:val="0016217D"/>
    <w:rsid w:val="001621A6"/>
    <w:rsid w:val="001621AB"/>
    <w:rsid w:val="001621CB"/>
    <w:rsid w:val="001621D9"/>
    <w:rsid w:val="00162274"/>
    <w:rsid w:val="0016236A"/>
    <w:rsid w:val="0016245D"/>
    <w:rsid w:val="0016245F"/>
    <w:rsid w:val="00162582"/>
    <w:rsid w:val="001625AA"/>
    <w:rsid w:val="00162614"/>
    <w:rsid w:val="00162667"/>
    <w:rsid w:val="001626EE"/>
    <w:rsid w:val="001627F3"/>
    <w:rsid w:val="00162815"/>
    <w:rsid w:val="00162848"/>
    <w:rsid w:val="00162855"/>
    <w:rsid w:val="001629EE"/>
    <w:rsid w:val="00162A40"/>
    <w:rsid w:val="00162A7C"/>
    <w:rsid w:val="00162B5C"/>
    <w:rsid w:val="00162C14"/>
    <w:rsid w:val="00162C31"/>
    <w:rsid w:val="00162CA5"/>
    <w:rsid w:val="00162CA7"/>
    <w:rsid w:val="00162CEF"/>
    <w:rsid w:val="00162D26"/>
    <w:rsid w:val="00162DA6"/>
    <w:rsid w:val="00162DDE"/>
    <w:rsid w:val="00162EE2"/>
    <w:rsid w:val="00162F01"/>
    <w:rsid w:val="00162F15"/>
    <w:rsid w:val="00162F30"/>
    <w:rsid w:val="00162FD4"/>
    <w:rsid w:val="0016309E"/>
    <w:rsid w:val="001630C3"/>
    <w:rsid w:val="00163266"/>
    <w:rsid w:val="0016327D"/>
    <w:rsid w:val="001632AD"/>
    <w:rsid w:val="0016330E"/>
    <w:rsid w:val="00163312"/>
    <w:rsid w:val="0016332A"/>
    <w:rsid w:val="00163390"/>
    <w:rsid w:val="00163396"/>
    <w:rsid w:val="001633DA"/>
    <w:rsid w:val="0016358D"/>
    <w:rsid w:val="001635BE"/>
    <w:rsid w:val="001635CF"/>
    <w:rsid w:val="001635E2"/>
    <w:rsid w:val="001637E4"/>
    <w:rsid w:val="001637FB"/>
    <w:rsid w:val="001638A9"/>
    <w:rsid w:val="001638D9"/>
    <w:rsid w:val="00163957"/>
    <w:rsid w:val="00163998"/>
    <w:rsid w:val="001639CF"/>
    <w:rsid w:val="00163A3B"/>
    <w:rsid w:val="00163A73"/>
    <w:rsid w:val="00163A94"/>
    <w:rsid w:val="00163A9C"/>
    <w:rsid w:val="00163BE9"/>
    <w:rsid w:val="00163C58"/>
    <w:rsid w:val="00163C60"/>
    <w:rsid w:val="00163D08"/>
    <w:rsid w:val="00163D09"/>
    <w:rsid w:val="00163D47"/>
    <w:rsid w:val="00163DAA"/>
    <w:rsid w:val="00163E1B"/>
    <w:rsid w:val="00163E41"/>
    <w:rsid w:val="00163F34"/>
    <w:rsid w:val="00163F6B"/>
    <w:rsid w:val="00163F77"/>
    <w:rsid w:val="0016409D"/>
    <w:rsid w:val="001640CF"/>
    <w:rsid w:val="00164151"/>
    <w:rsid w:val="0016427D"/>
    <w:rsid w:val="00164320"/>
    <w:rsid w:val="0016437C"/>
    <w:rsid w:val="00164389"/>
    <w:rsid w:val="001643CA"/>
    <w:rsid w:val="00164416"/>
    <w:rsid w:val="00164445"/>
    <w:rsid w:val="00164451"/>
    <w:rsid w:val="0016449D"/>
    <w:rsid w:val="001644D9"/>
    <w:rsid w:val="00164501"/>
    <w:rsid w:val="00164587"/>
    <w:rsid w:val="00164616"/>
    <w:rsid w:val="00164631"/>
    <w:rsid w:val="0016463F"/>
    <w:rsid w:val="0016465D"/>
    <w:rsid w:val="00164693"/>
    <w:rsid w:val="0016472A"/>
    <w:rsid w:val="00164734"/>
    <w:rsid w:val="0016476F"/>
    <w:rsid w:val="00164795"/>
    <w:rsid w:val="001647F9"/>
    <w:rsid w:val="00164830"/>
    <w:rsid w:val="001648E9"/>
    <w:rsid w:val="001648F4"/>
    <w:rsid w:val="00164903"/>
    <w:rsid w:val="0016491C"/>
    <w:rsid w:val="00164977"/>
    <w:rsid w:val="001649DB"/>
    <w:rsid w:val="001649E8"/>
    <w:rsid w:val="00164A47"/>
    <w:rsid w:val="00164A5C"/>
    <w:rsid w:val="00164A6E"/>
    <w:rsid w:val="00164AC5"/>
    <w:rsid w:val="00164AD6"/>
    <w:rsid w:val="00164AEA"/>
    <w:rsid w:val="00164AFD"/>
    <w:rsid w:val="00164B0D"/>
    <w:rsid w:val="00164B7C"/>
    <w:rsid w:val="00164BCC"/>
    <w:rsid w:val="00164C03"/>
    <w:rsid w:val="00164C15"/>
    <w:rsid w:val="00164C1F"/>
    <w:rsid w:val="00164C45"/>
    <w:rsid w:val="00164C72"/>
    <w:rsid w:val="00164C92"/>
    <w:rsid w:val="00164DD0"/>
    <w:rsid w:val="00164E0E"/>
    <w:rsid w:val="00164E87"/>
    <w:rsid w:val="00164E93"/>
    <w:rsid w:val="00164EB1"/>
    <w:rsid w:val="00164F17"/>
    <w:rsid w:val="00164F43"/>
    <w:rsid w:val="00165109"/>
    <w:rsid w:val="0016529E"/>
    <w:rsid w:val="00165327"/>
    <w:rsid w:val="00165339"/>
    <w:rsid w:val="00165361"/>
    <w:rsid w:val="00165369"/>
    <w:rsid w:val="001653C7"/>
    <w:rsid w:val="00165477"/>
    <w:rsid w:val="001654FC"/>
    <w:rsid w:val="00165519"/>
    <w:rsid w:val="00165536"/>
    <w:rsid w:val="00165552"/>
    <w:rsid w:val="001655A2"/>
    <w:rsid w:val="00165604"/>
    <w:rsid w:val="00165631"/>
    <w:rsid w:val="00165634"/>
    <w:rsid w:val="001656A8"/>
    <w:rsid w:val="001656D3"/>
    <w:rsid w:val="001656DC"/>
    <w:rsid w:val="00165719"/>
    <w:rsid w:val="0016571B"/>
    <w:rsid w:val="00165735"/>
    <w:rsid w:val="00165747"/>
    <w:rsid w:val="00165763"/>
    <w:rsid w:val="00165786"/>
    <w:rsid w:val="00165836"/>
    <w:rsid w:val="001658F3"/>
    <w:rsid w:val="00165905"/>
    <w:rsid w:val="0016593D"/>
    <w:rsid w:val="00165978"/>
    <w:rsid w:val="00165992"/>
    <w:rsid w:val="001659F2"/>
    <w:rsid w:val="00165A3C"/>
    <w:rsid w:val="00165A78"/>
    <w:rsid w:val="00165A85"/>
    <w:rsid w:val="00165A96"/>
    <w:rsid w:val="00165B20"/>
    <w:rsid w:val="00165BDC"/>
    <w:rsid w:val="00165C03"/>
    <w:rsid w:val="00165C68"/>
    <w:rsid w:val="00165C8D"/>
    <w:rsid w:val="00165D9D"/>
    <w:rsid w:val="00165DCA"/>
    <w:rsid w:val="00165EB4"/>
    <w:rsid w:val="00165EEE"/>
    <w:rsid w:val="00165FEC"/>
    <w:rsid w:val="0016605F"/>
    <w:rsid w:val="001660C5"/>
    <w:rsid w:val="00166174"/>
    <w:rsid w:val="00166181"/>
    <w:rsid w:val="001661E4"/>
    <w:rsid w:val="0016621A"/>
    <w:rsid w:val="00166223"/>
    <w:rsid w:val="0016629B"/>
    <w:rsid w:val="001662D7"/>
    <w:rsid w:val="00166444"/>
    <w:rsid w:val="001664F9"/>
    <w:rsid w:val="00166517"/>
    <w:rsid w:val="00166536"/>
    <w:rsid w:val="0016654B"/>
    <w:rsid w:val="0016655C"/>
    <w:rsid w:val="001665A6"/>
    <w:rsid w:val="001665A7"/>
    <w:rsid w:val="001665AE"/>
    <w:rsid w:val="001666F7"/>
    <w:rsid w:val="00166732"/>
    <w:rsid w:val="00166737"/>
    <w:rsid w:val="001667FF"/>
    <w:rsid w:val="00166912"/>
    <w:rsid w:val="001669D9"/>
    <w:rsid w:val="001669F2"/>
    <w:rsid w:val="00166A48"/>
    <w:rsid w:val="00166A7E"/>
    <w:rsid w:val="00166B29"/>
    <w:rsid w:val="00166B2F"/>
    <w:rsid w:val="00166B92"/>
    <w:rsid w:val="00166C0A"/>
    <w:rsid w:val="00166C1E"/>
    <w:rsid w:val="00166C3E"/>
    <w:rsid w:val="00166CB4"/>
    <w:rsid w:val="00166D0D"/>
    <w:rsid w:val="00166D1C"/>
    <w:rsid w:val="00166D27"/>
    <w:rsid w:val="00166D4B"/>
    <w:rsid w:val="00166E4A"/>
    <w:rsid w:val="00166E74"/>
    <w:rsid w:val="00166E95"/>
    <w:rsid w:val="00166EF8"/>
    <w:rsid w:val="00166F34"/>
    <w:rsid w:val="00166F9B"/>
    <w:rsid w:val="00166FA6"/>
    <w:rsid w:val="00166FF0"/>
    <w:rsid w:val="0016705D"/>
    <w:rsid w:val="00167077"/>
    <w:rsid w:val="0016708F"/>
    <w:rsid w:val="001670D7"/>
    <w:rsid w:val="0016713F"/>
    <w:rsid w:val="00167156"/>
    <w:rsid w:val="00167198"/>
    <w:rsid w:val="00167221"/>
    <w:rsid w:val="00167269"/>
    <w:rsid w:val="001672AB"/>
    <w:rsid w:val="001672B9"/>
    <w:rsid w:val="00167409"/>
    <w:rsid w:val="00167433"/>
    <w:rsid w:val="001674B7"/>
    <w:rsid w:val="001674F2"/>
    <w:rsid w:val="001675A4"/>
    <w:rsid w:val="001675B1"/>
    <w:rsid w:val="001676AA"/>
    <w:rsid w:val="0016778B"/>
    <w:rsid w:val="00167795"/>
    <w:rsid w:val="001677DF"/>
    <w:rsid w:val="0016785F"/>
    <w:rsid w:val="0016798D"/>
    <w:rsid w:val="001679E7"/>
    <w:rsid w:val="001679F4"/>
    <w:rsid w:val="001679FF"/>
    <w:rsid w:val="00167AA3"/>
    <w:rsid w:val="00167ACE"/>
    <w:rsid w:val="00167B66"/>
    <w:rsid w:val="00167B86"/>
    <w:rsid w:val="00167BDC"/>
    <w:rsid w:val="00167BF8"/>
    <w:rsid w:val="00167C4A"/>
    <w:rsid w:val="00167C75"/>
    <w:rsid w:val="00167C7D"/>
    <w:rsid w:val="00167C90"/>
    <w:rsid w:val="00167D0C"/>
    <w:rsid w:val="00167D48"/>
    <w:rsid w:val="00167D9D"/>
    <w:rsid w:val="00167E45"/>
    <w:rsid w:val="00167F29"/>
    <w:rsid w:val="00167F5F"/>
    <w:rsid w:val="00167FF2"/>
    <w:rsid w:val="0017002A"/>
    <w:rsid w:val="00170038"/>
    <w:rsid w:val="00170074"/>
    <w:rsid w:val="00170105"/>
    <w:rsid w:val="00170116"/>
    <w:rsid w:val="0017014D"/>
    <w:rsid w:val="0017017B"/>
    <w:rsid w:val="001701EA"/>
    <w:rsid w:val="0017028F"/>
    <w:rsid w:val="0017029C"/>
    <w:rsid w:val="001702AF"/>
    <w:rsid w:val="001703AB"/>
    <w:rsid w:val="00170415"/>
    <w:rsid w:val="00170457"/>
    <w:rsid w:val="0017047A"/>
    <w:rsid w:val="001704D9"/>
    <w:rsid w:val="001704E1"/>
    <w:rsid w:val="00170522"/>
    <w:rsid w:val="001705E6"/>
    <w:rsid w:val="001705FC"/>
    <w:rsid w:val="00170602"/>
    <w:rsid w:val="001706B0"/>
    <w:rsid w:val="001706E2"/>
    <w:rsid w:val="001706E7"/>
    <w:rsid w:val="00170708"/>
    <w:rsid w:val="001707B3"/>
    <w:rsid w:val="001707B6"/>
    <w:rsid w:val="001707E0"/>
    <w:rsid w:val="0017084D"/>
    <w:rsid w:val="00170876"/>
    <w:rsid w:val="001708DC"/>
    <w:rsid w:val="001708FC"/>
    <w:rsid w:val="0017093F"/>
    <w:rsid w:val="0017094B"/>
    <w:rsid w:val="00170959"/>
    <w:rsid w:val="0017098B"/>
    <w:rsid w:val="00170A38"/>
    <w:rsid w:val="00170A99"/>
    <w:rsid w:val="00170ABB"/>
    <w:rsid w:val="00170AE7"/>
    <w:rsid w:val="00170B2F"/>
    <w:rsid w:val="00170B4E"/>
    <w:rsid w:val="00170BBD"/>
    <w:rsid w:val="00170BDF"/>
    <w:rsid w:val="00170BFA"/>
    <w:rsid w:val="00170C01"/>
    <w:rsid w:val="00170C21"/>
    <w:rsid w:val="00170C4A"/>
    <w:rsid w:val="00170CCF"/>
    <w:rsid w:val="00170CEE"/>
    <w:rsid w:val="00170DE2"/>
    <w:rsid w:val="00170E95"/>
    <w:rsid w:val="00170EF6"/>
    <w:rsid w:val="00170F72"/>
    <w:rsid w:val="00170F73"/>
    <w:rsid w:val="00170F84"/>
    <w:rsid w:val="00170FF1"/>
    <w:rsid w:val="00170FFC"/>
    <w:rsid w:val="00171009"/>
    <w:rsid w:val="00171081"/>
    <w:rsid w:val="001710A8"/>
    <w:rsid w:val="0017118E"/>
    <w:rsid w:val="001711A2"/>
    <w:rsid w:val="0017125B"/>
    <w:rsid w:val="001712A7"/>
    <w:rsid w:val="00171365"/>
    <w:rsid w:val="00171393"/>
    <w:rsid w:val="0017139B"/>
    <w:rsid w:val="001713A2"/>
    <w:rsid w:val="001713AA"/>
    <w:rsid w:val="001713ED"/>
    <w:rsid w:val="00171402"/>
    <w:rsid w:val="001714FA"/>
    <w:rsid w:val="0017150A"/>
    <w:rsid w:val="0017177C"/>
    <w:rsid w:val="001717E8"/>
    <w:rsid w:val="00171988"/>
    <w:rsid w:val="001719F7"/>
    <w:rsid w:val="00171AD7"/>
    <w:rsid w:val="00171C3B"/>
    <w:rsid w:val="00171D3B"/>
    <w:rsid w:val="00171D52"/>
    <w:rsid w:val="00171D67"/>
    <w:rsid w:val="00171D6F"/>
    <w:rsid w:val="00171D8D"/>
    <w:rsid w:val="00171DE1"/>
    <w:rsid w:val="00171E1F"/>
    <w:rsid w:val="00171E77"/>
    <w:rsid w:val="00171EA9"/>
    <w:rsid w:val="00171F2A"/>
    <w:rsid w:val="00171FF0"/>
    <w:rsid w:val="00172029"/>
    <w:rsid w:val="00172039"/>
    <w:rsid w:val="0017205A"/>
    <w:rsid w:val="00172137"/>
    <w:rsid w:val="00172148"/>
    <w:rsid w:val="001721B0"/>
    <w:rsid w:val="001721E5"/>
    <w:rsid w:val="001721F9"/>
    <w:rsid w:val="00172233"/>
    <w:rsid w:val="00172295"/>
    <w:rsid w:val="001722BD"/>
    <w:rsid w:val="001722F0"/>
    <w:rsid w:val="00172395"/>
    <w:rsid w:val="001723E8"/>
    <w:rsid w:val="001724F0"/>
    <w:rsid w:val="00172540"/>
    <w:rsid w:val="0017255F"/>
    <w:rsid w:val="0017256B"/>
    <w:rsid w:val="00172626"/>
    <w:rsid w:val="001726AE"/>
    <w:rsid w:val="00172738"/>
    <w:rsid w:val="0017274E"/>
    <w:rsid w:val="0017283C"/>
    <w:rsid w:val="00172872"/>
    <w:rsid w:val="00172878"/>
    <w:rsid w:val="0017294D"/>
    <w:rsid w:val="00172964"/>
    <w:rsid w:val="0017296C"/>
    <w:rsid w:val="001729D0"/>
    <w:rsid w:val="00172A7F"/>
    <w:rsid w:val="00172ABC"/>
    <w:rsid w:val="00172AD3"/>
    <w:rsid w:val="00172B7B"/>
    <w:rsid w:val="00172BB6"/>
    <w:rsid w:val="00172BD1"/>
    <w:rsid w:val="00172BD2"/>
    <w:rsid w:val="00172BE2"/>
    <w:rsid w:val="00172C46"/>
    <w:rsid w:val="00172C65"/>
    <w:rsid w:val="00172CC8"/>
    <w:rsid w:val="00172D36"/>
    <w:rsid w:val="00172D53"/>
    <w:rsid w:val="00172D79"/>
    <w:rsid w:val="00172DB6"/>
    <w:rsid w:val="00172DD3"/>
    <w:rsid w:val="00172E43"/>
    <w:rsid w:val="00172E4C"/>
    <w:rsid w:val="00172F5B"/>
    <w:rsid w:val="0017300C"/>
    <w:rsid w:val="00173068"/>
    <w:rsid w:val="001730B3"/>
    <w:rsid w:val="00173213"/>
    <w:rsid w:val="00173256"/>
    <w:rsid w:val="00173272"/>
    <w:rsid w:val="00173293"/>
    <w:rsid w:val="00173327"/>
    <w:rsid w:val="0017337D"/>
    <w:rsid w:val="00173393"/>
    <w:rsid w:val="0017343B"/>
    <w:rsid w:val="00173452"/>
    <w:rsid w:val="00173519"/>
    <w:rsid w:val="00173543"/>
    <w:rsid w:val="001735A0"/>
    <w:rsid w:val="001735F6"/>
    <w:rsid w:val="00173774"/>
    <w:rsid w:val="00173791"/>
    <w:rsid w:val="001737D5"/>
    <w:rsid w:val="00173844"/>
    <w:rsid w:val="001738ED"/>
    <w:rsid w:val="00173986"/>
    <w:rsid w:val="00173A6B"/>
    <w:rsid w:val="00173AB5"/>
    <w:rsid w:val="00173AC4"/>
    <w:rsid w:val="00173AF4"/>
    <w:rsid w:val="00173B90"/>
    <w:rsid w:val="00173C17"/>
    <w:rsid w:val="00173C98"/>
    <w:rsid w:val="00173CC1"/>
    <w:rsid w:val="00173DAA"/>
    <w:rsid w:val="00173EA5"/>
    <w:rsid w:val="00173F6D"/>
    <w:rsid w:val="00173FA5"/>
    <w:rsid w:val="00173FD4"/>
    <w:rsid w:val="00173FE7"/>
    <w:rsid w:val="00173FEE"/>
    <w:rsid w:val="001740E6"/>
    <w:rsid w:val="00174104"/>
    <w:rsid w:val="0017419E"/>
    <w:rsid w:val="00174212"/>
    <w:rsid w:val="00174213"/>
    <w:rsid w:val="00174277"/>
    <w:rsid w:val="00174293"/>
    <w:rsid w:val="001742B0"/>
    <w:rsid w:val="0017433D"/>
    <w:rsid w:val="00174359"/>
    <w:rsid w:val="00174370"/>
    <w:rsid w:val="00174375"/>
    <w:rsid w:val="001744F3"/>
    <w:rsid w:val="0017450C"/>
    <w:rsid w:val="0017451D"/>
    <w:rsid w:val="00174546"/>
    <w:rsid w:val="00174550"/>
    <w:rsid w:val="001745E1"/>
    <w:rsid w:val="001745E9"/>
    <w:rsid w:val="00174604"/>
    <w:rsid w:val="00174649"/>
    <w:rsid w:val="00174656"/>
    <w:rsid w:val="001746FE"/>
    <w:rsid w:val="00174784"/>
    <w:rsid w:val="0017479D"/>
    <w:rsid w:val="00174834"/>
    <w:rsid w:val="0017485A"/>
    <w:rsid w:val="0017487E"/>
    <w:rsid w:val="00174965"/>
    <w:rsid w:val="001749CA"/>
    <w:rsid w:val="00174A49"/>
    <w:rsid w:val="00174A74"/>
    <w:rsid w:val="00174A7D"/>
    <w:rsid w:val="00174AA0"/>
    <w:rsid w:val="00174B6B"/>
    <w:rsid w:val="00174C7E"/>
    <w:rsid w:val="00174C95"/>
    <w:rsid w:val="00174CEB"/>
    <w:rsid w:val="00174D7E"/>
    <w:rsid w:val="00174D80"/>
    <w:rsid w:val="00174F9C"/>
    <w:rsid w:val="00174FA4"/>
    <w:rsid w:val="00174FC5"/>
    <w:rsid w:val="001750A7"/>
    <w:rsid w:val="001750EE"/>
    <w:rsid w:val="0017517C"/>
    <w:rsid w:val="001751CF"/>
    <w:rsid w:val="00175203"/>
    <w:rsid w:val="0017523B"/>
    <w:rsid w:val="001752E5"/>
    <w:rsid w:val="001753AE"/>
    <w:rsid w:val="001754E8"/>
    <w:rsid w:val="0017552E"/>
    <w:rsid w:val="0017553A"/>
    <w:rsid w:val="001755E7"/>
    <w:rsid w:val="00175605"/>
    <w:rsid w:val="00175613"/>
    <w:rsid w:val="0017561B"/>
    <w:rsid w:val="00175640"/>
    <w:rsid w:val="001756AD"/>
    <w:rsid w:val="00175721"/>
    <w:rsid w:val="00175764"/>
    <w:rsid w:val="00175787"/>
    <w:rsid w:val="001757CE"/>
    <w:rsid w:val="00175912"/>
    <w:rsid w:val="0017594B"/>
    <w:rsid w:val="00175961"/>
    <w:rsid w:val="0017598A"/>
    <w:rsid w:val="00175A29"/>
    <w:rsid w:val="00175B5D"/>
    <w:rsid w:val="00175BEA"/>
    <w:rsid w:val="00175CA0"/>
    <w:rsid w:val="00175D2F"/>
    <w:rsid w:val="00175D51"/>
    <w:rsid w:val="00175DB3"/>
    <w:rsid w:val="00175DD2"/>
    <w:rsid w:val="00175DE7"/>
    <w:rsid w:val="00175E22"/>
    <w:rsid w:val="00175E2D"/>
    <w:rsid w:val="00175E6B"/>
    <w:rsid w:val="00175E85"/>
    <w:rsid w:val="00175F43"/>
    <w:rsid w:val="00175FA4"/>
    <w:rsid w:val="00175FB7"/>
    <w:rsid w:val="00175FBE"/>
    <w:rsid w:val="0017600A"/>
    <w:rsid w:val="00176175"/>
    <w:rsid w:val="00176179"/>
    <w:rsid w:val="001761C5"/>
    <w:rsid w:val="001761CE"/>
    <w:rsid w:val="00176231"/>
    <w:rsid w:val="00176247"/>
    <w:rsid w:val="00176340"/>
    <w:rsid w:val="00176380"/>
    <w:rsid w:val="001763F8"/>
    <w:rsid w:val="0017647B"/>
    <w:rsid w:val="0017649D"/>
    <w:rsid w:val="001764C1"/>
    <w:rsid w:val="001764C9"/>
    <w:rsid w:val="0017650B"/>
    <w:rsid w:val="00176570"/>
    <w:rsid w:val="0017658D"/>
    <w:rsid w:val="001765DB"/>
    <w:rsid w:val="0017667A"/>
    <w:rsid w:val="00176686"/>
    <w:rsid w:val="001766F2"/>
    <w:rsid w:val="00176717"/>
    <w:rsid w:val="0017672E"/>
    <w:rsid w:val="0017675C"/>
    <w:rsid w:val="00176763"/>
    <w:rsid w:val="001767B5"/>
    <w:rsid w:val="001768C2"/>
    <w:rsid w:val="00176961"/>
    <w:rsid w:val="0017697D"/>
    <w:rsid w:val="00176998"/>
    <w:rsid w:val="001769F8"/>
    <w:rsid w:val="00176A0D"/>
    <w:rsid w:val="00176A10"/>
    <w:rsid w:val="00176B47"/>
    <w:rsid w:val="00176BBA"/>
    <w:rsid w:val="00176C8A"/>
    <w:rsid w:val="00176C8C"/>
    <w:rsid w:val="00176D0C"/>
    <w:rsid w:val="00176D72"/>
    <w:rsid w:val="00176D94"/>
    <w:rsid w:val="00176DB2"/>
    <w:rsid w:val="00176E2A"/>
    <w:rsid w:val="00176E68"/>
    <w:rsid w:val="00176E9C"/>
    <w:rsid w:val="00176ED2"/>
    <w:rsid w:val="00176F95"/>
    <w:rsid w:val="00176FB9"/>
    <w:rsid w:val="00177022"/>
    <w:rsid w:val="00177027"/>
    <w:rsid w:val="0017708C"/>
    <w:rsid w:val="001770FF"/>
    <w:rsid w:val="0017713B"/>
    <w:rsid w:val="00177217"/>
    <w:rsid w:val="0017729A"/>
    <w:rsid w:val="00177309"/>
    <w:rsid w:val="0017732C"/>
    <w:rsid w:val="00177354"/>
    <w:rsid w:val="001773AC"/>
    <w:rsid w:val="00177490"/>
    <w:rsid w:val="00177575"/>
    <w:rsid w:val="001775A1"/>
    <w:rsid w:val="001775F1"/>
    <w:rsid w:val="00177619"/>
    <w:rsid w:val="00177626"/>
    <w:rsid w:val="0017762F"/>
    <w:rsid w:val="001776C3"/>
    <w:rsid w:val="001776F4"/>
    <w:rsid w:val="00177713"/>
    <w:rsid w:val="0017771C"/>
    <w:rsid w:val="001777B1"/>
    <w:rsid w:val="00177813"/>
    <w:rsid w:val="00177883"/>
    <w:rsid w:val="00177888"/>
    <w:rsid w:val="0017790E"/>
    <w:rsid w:val="0017792A"/>
    <w:rsid w:val="0017792C"/>
    <w:rsid w:val="001779BC"/>
    <w:rsid w:val="00177A6A"/>
    <w:rsid w:val="00177C8F"/>
    <w:rsid w:val="00177CC0"/>
    <w:rsid w:val="00177D2A"/>
    <w:rsid w:val="00177DC2"/>
    <w:rsid w:val="00177E46"/>
    <w:rsid w:val="00177F00"/>
    <w:rsid w:val="00177F18"/>
    <w:rsid w:val="00177F3D"/>
    <w:rsid w:val="00177FB5"/>
    <w:rsid w:val="00177FF7"/>
    <w:rsid w:val="0018004C"/>
    <w:rsid w:val="00180059"/>
    <w:rsid w:val="001800C9"/>
    <w:rsid w:val="0018011C"/>
    <w:rsid w:val="0018012E"/>
    <w:rsid w:val="00180155"/>
    <w:rsid w:val="00180195"/>
    <w:rsid w:val="00180215"/>
    <w:rsid w:val="00180238"/>
    <w:rsid w:val="00180301"/>
    <w:rsid w:val="00180331"/>
    <w:rsid w:val="001803FA"/>
    <w:rsid w:val="00180464"/>
    <w:rsid w:val="0018050C"/>
    <w:rsid w:val="0018061C"/>
    <w:rsid w:val="0018061E"/>
    <w:rsid w:val="00180632"/>
    <w:rsid w:val="00180646"/>
    <w:rsid w:val="00180689"/>
    <w:rsid w:val="0018069A"/>
    <w:rsid w:val="00180706"/>
    <w:rsid w:val="00180738"/>
    <w:rsid w:val="0018075B"/>
    <w:rsid w:val="001807BF"/>
    <w:rsid w:val="001807FE"/>
    <w:rsid w:val="00180801"/>
    <w:rsid w:val="00180823"/>
    <w:rsid w:val="00180832"/>
    <w:rsid w:val="00180890"/>
    <w:rsid w:val="001808F7"/>
    <w:rsid w:val="00180996"/>
    <w:rsid w:val="00180A05"/>
    <w:rsid w:val="00180A69"/>
    <w:rsid w:val="00180A6E"/>
    <w:rsid w:val="00180A77"/>
    <w:rsid w:val="00180AA7"/>
    <w:rsid w:val="00180B0F"/>
    <w:rsid w:val="00180B34"/>
    <w:rsid w:val="00180B9D"/>
    <w:rsid w:val="00180BBC"/>
    <w:rsid w:val="00180BE6"/>
    <w:rsid w:val="00180BE8"/>
    <w:rsid w:val="00180CEE"/>
    <w:rsid w:val="00180D3A"/>
    <w:rsid w:val="00180DBF"/>
    <w:rsid w:val="00180DDF"/>
    <w:rsid w:val="00180E5D"/>
    <w:rsid w:val="00180EA8"/>
    <w:rsid w:val="00180F18"/>
    <w:rsid w:val="00180FAF"/>
    <w:rsid w:val="00181033"/>
    <w:rsid w:val="0018104F"/>
    <w:rsid w:val="0018105C"/>
    <w:rsid w:val="0018105E"/>
    <w:rsid w:val="0018106D"/>
    <w:rsid w:val="001810D6"/>
    <w:rsid w:val="001810F1"/>
    <w:rsid w:val="00181139"/>
    <w:rsid w:val="0018113C"/>
    <w:rsid w:val="0018113E"/>
    <w:rsid w:val="00181208"/>
    <w:rsid w:val="0018120D"/>
    <w:rsid w:val="00181267"/>
    <w:rsid w:val="0018129C"/>
    <w:rsid w:val="001812AE"/>
    <w:rsid w:val="001812C8"/>
    <w:rsid w:val="001812ED"/>
    <w:rsid w:val="0018130B"/>
    <w:rsid w:val="00181330"/>
    <w:rsid w:val="00181452"/>
    <w:rsid w:val="00181493"/>
    <w:rsid w:val="001814B6"/>
    <w:rsid w:val="00181585"/>
    <w:rsid w:val="001815D6"/>
    <w:rsid w:val="0018161E"/>
    <w:rsid w:val="00181680"/>
    <w:rsid w:val="001816B7"/>
    <w:rsid w:val="0018170C"/>
    <w:rsid w:val="0018179F"/>
    <w:rsid w:val="001817C1"/>
    <w:rsid w:val="00181868"/>
    <w:rsid w:val="001819C0"/>
    <w:rsid w:val="00181AC6"/>
    <w:rsid w:val="00181AF3"/>
    <w:rsid w:val="00181BA7"/>
    <w:rsid w:val="00181BD2"/>
    <w:rsid w:val="00181C22"/>
    <w:rsid w:val="00181C84"/>
    <w:rsid w:val="00181CC6"/>
    <w:rsid w:val="00181E48"/>
    <w:rsid w:val="00181EAD"/>
    <w:rsid w:val="00181EF0"/>
    <w:rsid w:val="0018203E"/>
    <w:rsid w:val="00182080"/>
    <w:rsid w:val="001820E4"/>
    <w:rsid w:val="001820FF"/>
    <w:rsid w:val="0018212D"/>
    <w:rsid w:val="00182131"/>
    <w:rsid w:val="00182296"/>
    <w:rsid w:val="001822BE"/>
    <w:rsid w:val="001822C6"/>
    <w:rsid w:val="0018239B"/>
    <w:rsid w:val="001823A6"/>
    <w:rsid w:val="001823FC"/>
    <w:rsid w:val="001824AB"/>
    <w:rsid w:val="001825F1"/>
    <w:rsid w:val="001826D0"/>
    <w:rsid w:val="0018272D"/>
    <w:rsid w:val="00182785"/>
    <w:rsid w:val="001827A6"/>
    <w:rsid w:val="001827D6"/>
    <w:rsid w:val="001827ED"/>
    <w:rsid w:val="001828AF"/>
    <w:rsid w:val="001828C8"/>
    <w:rsid w:val="001828F1"/>
    <w:rsid w:val="0018290D"/>
    <w:rsid w:val="00182968"/>
    <w:rsid w:val="00182971"/>
    <w:rsid w:val="001829B2"/>
    <w:rsid w:val="00182B37"/>
    <w:rsid w:val="00182B79"/>
    <w:rsid w:val="00182BA3"/>
    <w:rsid w:val="00182C2E"/>
    <w:rsid w:val="00182C30"/>
    <w:rsid w:val="00182C3D"/>
    <w:rsid w:val="00182CB7"/>
    <w:rsid w:val="00182D18"/>
    <w:rsid w:val="00182D44"/>
    <w:rsid w:val="00182D75"/>
    <w:rsid w:val="00182F97"/>
    <w:rsid w:val="001830D1"/>
    <w:rsid w:val="0018314D"/>
    <w:rsid w:val="00183174"/>
    <w:rsid w:val="00183286"/>
    <w:rsid w:val="0018331D"/>
    <w:rsid w:val="00183330"/>
    <w:rsid w:val="00183347"/>
    <w:rsid w:val="00183411"/>
    <w:rsid w:val="00183418"/>
    <w:rsid w:val="00183621"/>
    <w:rsid w:val="00183702"/>
    <w:rsid w:val="00183754"/>
    <w:rsid w:val="00183756"/>
    <w:rsid w:val="00183780"/>
    <w:rsid w:val="0018378D"/>
    <w:rsid w:val="0018380F"/>
    <w:rsid w:val="001838AE"/>
    <w:rsid w:val="0018390A"/>
    <w:rsid w:val="00183942"/>
    <w:rsid w:val="00183945"/>
    <w:rsid w:val="0018395A"/>
    <w:rsid w:val="001839AF"/>
    <w:rsid w:val="00183A16"/>
    <w:rsid w:val="00183A1A"/>
    <w:rsid w:val="00183A60"/>
    <w:rsid w:val="00183A7F"/>
    <w:rsid w:val="00183AEC"/>
    <w:rsid w:val="00183B30"/>
    <w:rsid w:val="00183C20"/>
    <w:rsid w:val="00183C43"/>
    <w:rsid w:val="00183C6A"/>
    <w:rsid w:val="00183CE0"/>
    <w:rsid w:val="00183D25"/>
    <w:rsid w:val="00183D68"/>
    <w:rsid w:val="00183D74"/>
    <w:rsid w:val="00183E1B"/>
    <w:rsid w:val="00183E56"/>
    <w:rsid w:val="00183E6A"/>
    <w:rsid w:val="00183EEB"/>
    <w:rsid w:val="00183F13"/>
    <w:rsid w:val="00183F3C"/>
    <w:rsid w:val="0018415A"/>
    <w:rsid w:val="00184190"/>
    <w:rsid w:val="001843C9"/>
    <w:rsid w:val="00184443"/>
    <w:rsid w:val="001844BF"/>
    <w:rsid w:val="001844E2"/>
    <w:rsid w:val="0018458D"/>
    <w:rsid w:val="001845C3"/>
    <w:rsid w:val="001845C6"/>
    <w:rsid w:val="00184628"/>
    <w:rsid w:val="001846A3"/>
    <w:rsid w:val="001846C6"/>
    <w:rsid w:val="00184717"/>
    <w:rsid w:val="0018481E"/>
    <w:rsid w:val="00184830"/>
    <w:rsid w:val="0018484E"/>
    <w:rsid w:val="0018489C"/>
    <w:rsid w:val="001848C5"/>
    <w:rsid w:val="001848D6"/>
    <w:rsid w:val="00184945"/>
    <w:rsid w:val="0018497A"/>
    <w:rsid w:val="001849A8"/>
    <w:rsid w:val="001849EB"/>
    <w:rsid w:val="00184A27"/>
    <w:rsid w:val="00184A51"/>
    <w:rsid w:val="00184A62"/>
    <w:rsid w:val="00184B05"/>
    <w:rsid w:val="00184B43"/>
    <w:rsid w:val="00184BC3"/>
    <w:rsid w:val="00184BC9"/>
    <w:rsid w:val="00184C8F"/>
    <w:rsid w:val="00184CE3"/>
    <w:rsid w:val="00184D30"/>
    <w:rsid w:val="00184D47"/>
    <w:rsid w:val="00184D53"/>
    <w:rsid w:val="00184D7A"/>
    <w:rsid w:val="00184DD5"/>
    <w:rsid w:val="00184EB1"/>
    <w:rsid w:val="00184F03"/>
    <w:rsid w:val="00184F79"/>
    <w:rsid w:val="00184FC0"/>
    <w:rsid w:val="0018500E"/>
    <w:rsid w:val="0018503C"/>
    <w:rsid w:val="0018506A"/>
    <w:rsid w:val="00185118"/>
    <w:rsid w:val="00185124"/>
    <w:rsid w:val="0018517A"/>
    <w:rsid w:val="00185284"/>
    <w:rsid w:val="00185362"/>
    <w:rsid w:val="0018541B"/>
    <w:rsid w:val="0018546D"/>
    <w:rsid w:val="001854F1"/>
    <w:rsid w:val="0018552D"/>
    <w:rsid w:val="0018557D"/>
    <w:rsid w:val="001855AC"/>
    <w:rsid w:val="0018562A"/>
    <w:rsid w:val="0018567C"/>
    <w:rsid w:val="00185791"/>
    <w:rsid w:val="001857D2"/>
    <w:rsid w:val="00185841"/>
    <w:rsid w:val="00185847"/>
    <w:rsid w:val="0018585A"/>
    <w:rsid w:val="00185882"/>
    <w:rsid w:val="001858A4"/>
    <w:rsid w:val="001858C2"/>
    <w:rsid w:val="001858EB"/>
    <w:rsid w:val="001858FB"/>
    <w:rsid w:val="0018594B"/>
    <w:rsid w:val="001859D1"/>
    <w:rsid w:val="00185A13"/>
    <w:rsid w:val="00185A6A"/>
    <w:rsid w:val="00185ACF"/>
    <w:rsid w:val="00185BA3"/>
    <w:rsid w:val="00185BD3"/>
    <w:rsid w:val="00185BF8"/>
    <w:rsid w:val="00185CFC"/>
    <w:rsid w:val="00185D17"/>
    <w:rsid w:val="00185D3F"/>
    <w:rsid w:val="00185E11"/>
    <w:rsid w:val="00185E4F"/>
    <w:rsid w:val="00185E82"/>
    <w:rsid w:val="00185ED0"/>
    <w:rsid w:val="00185EFB"/>
    <w:rsid w:val="00185EFC"/>
    <w:rsid w:val="00185F8F"/>
    <w:rsid w:val="00185FC0"/>
    <w:rsid w:val="00185FC2"/>
    <w:rsid w:val="00185FD3"/>
    <w:rsid w:val="00186047"/>
    <w:rsid w:val="00186083"/>
    <w:rsid w:val="001860E0"/>
    <w:rsid w:val="0018611B"/>
    <w:rsid w:val="001861DC"/>
    <w:rsid w:val="001861F3"/>
    <w:rsid w:val="0018628E"/>
    <w:rsid w:val="001862D9"/>
    <w:rsid w:val="00186305"/>
    <w:rsid w:val="001863F1"/>
    <w:rsid w:val="0018646F"/>
    <w:rsid w:val="00186507"/>
    <w:rsid w:val="00186711"/>
    <w:rsid w:val="0018674A"/>
    <w:rsid w:val="00186785"/>
    <w:rsid w:val="001867AF"/>
    <w:rsid w:val="001867B7"/>
    <w:rsid w:val="001867FD"/>
    <w:rsid w:val="00186803"/>
    <w:rsid w:val="00186897"/>
    <w:rsid w:val="001868C9"/>
    <w:rsid w:val="00186906"/>
    <w:rsid w:val="0018691C"/>
    <w:rsid w:val="0018692A"/>
    <w:rsid w:val="0018694A"/>
    <w:rsid w:val="00186A1A"/>
    <w:rsid w:val="00186AA3"/>
    <w:rsid w:val="00186AA5"/>
    <w:rsid w:val="00186B5F"/>
    <w:rsid w:val="00186B89"/>
    <w:rsid w:val="00186C77"/>
    <w:rsid w:val="00186CD5"/>
    <w:rsid w:val="00186D37"/>
    <w:rsid w:val="00186D8C"/>
    <w:rsid w:val="00186E42"/>
    <w:rsid w:val="00186E4E"/>
    <w:rsid w:val="00186E97"/>
    <w:rsid w:val="00186EA1"/>
    <w:rsid w:val="00186EE0"/>
    <w:rsid w:val="00186F5A"/>
    <w:rsid w:val="00186F9A"/>
    <w:rsid w:val="00187089"/>
    <w:rsid w:val="001870AE"/>
    <w:rsid w:val="001870AF"/>
    <w:rsid w:val="001870E8"/>
    <w:rsid w:val="0018713C"/>
    <w:rsid w:val="00187151"/>
    <w:rsid w:val="00187201"/>
    <w:rsid w:val="00187202"/>
    <w:rsid w:val="00187207"/>
    <w:rsid w:val="00187266"/>
    <w:rsid w:val="00187277"/>
    <w:rsid w:val="001872E0"/>
    <w:rsid w:val="00187307"/>
    <w:rsid w:val="0018735A"/>
    <w:rsid w:val="0018735E"/>
    <w:rsid w:val="0018736C"/>
    <w:rsid w:val="001873A1"/>
    <w:rsid w:val="00187425"/>
    <w:rsid w:val="00187433"/>
    <w:rsid w:val="0018745C"/>
    <w:rsid w:val="001875DD"/>
    <w:rsid w:val="001875EE"/>
    <w:rsid w:val="00187676"/>
    <w:rsid w:val="0018768C"/>
    <w:rsid w:val="001876D5"/>
    <w:rsid w:val="0018770B"/>
    <w:rsid w:val="00187754"/>
    <w:rsid w:val="0018775B"/>
    <w:rsid w:val="0018779E"/>
    <w:rsid w:val="001877D9"/>
    <w:rsid w:val="00187873"/>
    <w:rsid w:val="001878BA"/>
    <w:rsid w:val="001878C3"/>
    <w:rsid w:val="001878E3"/>
    <w:rsid w:val="00187953"/>
    <w:rsid w:val="00187962"/>
    <w:rsid w:val="00187995"/>
    <w:rsid w:val="001879E0"/>
    <w:rsid w:val="00187A89"/>
    <w:rsid w:val="00187A8D"/>
    <w:rsid w:val="00187ABD"/>
    <w:rsid w:val="00187AD4"/>
    <w:rsid w:val="00187BBC"/>
    <w:rsid w:val="00187C0D"/>
    <w:rsid w:val="00187C89"/>
    <w:rsid w:val="00187CA3"/>
    <w:rsid w:val="00187D1F"/>
    <w:rsid w:val="00187D38"/>
    <w:rsid w:val="00187EC1"/>
    <w:rsid w:val="00187F84"/>
    <w:rsid w:val="00187FA2"/>
    <w:rsid w:val="00187FB4"/>
    <w:rsid w:val="00187FCC"/>
    <w:rsid w:val="00190017"/>
    <w:rsid w:val="001900B3"/>
    <w:rsid w:val="001900C3"/>
    <w:rsid w:val="001901FB"/>
    <w:rsid w:val="00190266"/>
    <w:rsid w:val="00190289"/>
    <w:rsid w:val="00190404"/>
    <w:rsid w:val="00190414"/>
    <w:rsid w:val="00190438"/>
    <w:rsid w:val="00190493"/>
    <w:rsid w:val="0019049A"/>
    <w:rsid w:val="00190503"/>
    <w:rsid w:val="00190558"/>
    <w:rsid w:val="00190568"/>
    <w:rsid w:val="001905A1"/>
    <w:rsid w:val="0019071C"/>
    <w:rsid w:val="00190846"/>
    <w:rsid w:val="00190850"/>
    <w:rsid w:val="0019086F"/>
    <w:rsid w:val="0019088B"/>
    <w:rsid w:val="0019092F"/>
    <w:rsid w:val="00190935"/>
    <w:rsid w:val="00190961"/>
    <w:rsid w:val="00190A55"/>
    <w:rsid w:val="00190A8F"/>
    <w:rsid w:val="00190B06"/>
    <w:rsid w:val="00190BB4"/>
    <w:rsid w:val="00190C33"/>
    <w:rsid w:val="00190C7A"/>
    <w:rsid w:val="00190E31"/>
    <w:rsid w:val="00190E74"/>
    <w:rsid w:val="00190EA7"/>
    <w:rsid w:val="00190ECA"/>
    <w:rsid w:val="00190ED5"/>
    <w:rsid w:val="00190F10"/>
    <w:rsid w:val="00190F49"/>
    <w:rsid w:val="00191014"/>
    <w:rsid w:val="001910A2"/>
    <w:rsid w:val="0019116C"/>
    <w:rsid w:val="00191199"/>
    <w:rsid w:val="001911AA"/>
    <w:rsid w:val="00191201"/>
    <w:rsid w:val="00191278"/>
    <w:rsid w:val="00191288"/>
    <w:rsid w:val="001913AB"/>
    <w:rsid w:val="00191472"/>
    <w:rsid w:val="00191476"/>
    <w:rsid w:val="001914A6"/>
    <w:rsid w:val="001914D7"/>
    <w:rsid w:val="001914E0"/>
    <w:rsid w:val="00191507"/>
    <w:rsid w:val="00191575"/>
    <w:rsid w:val="0019157F"/>
    <w:rsid w:val="001917C9"/>
    <w:rsid w:val="00191819"/>
    <w:rsid w:val="001918F1"/>
    <w:rsid w:val="001919A9"/>
    <w:rsid w:val="001919D7"/>
    <w:rsid w:val="00191ADB"/>
    <w:rsid w:val="00191AFE"/>
    <w:rsid w:val="00191BF9"/>
    <w:rsid w:val="00191C4C"/>
    <w:rsid w:val="00191C88"/>
    <w:rsid w:val="00191CC1"/>
    <w:rsid w:val="00191D69"/>
    <w:rsid w:val="00191D6E"/>
    <w:rsid w:val="00191DC5"/>
    <w:rsid w:val="00191DF3"/>
    <w:rsid w:val="00191DF9"/>
    <w:rsid w:val="00191E13"/>
    <w:rsid w:val="00191E16"/>
    <w:rsid w:val="00191E44"/>
    <w:rsid w:val="00191E99"/>
    <w:rsid w:val="00191E9D"/>
    <w:rsid w:val="00191EED"/>
    <w:rsid w:val="00191FC3"/>
    <w:rsid w:val="00192017"/>
    <w:rsid w:val="0019203A"/>
    <w:rsid w:val="001920A1"/>
    <w:rsid w:val="001920BE"/>
    <w:rsid w:val="0019215A"/>
    <w:rsid w:val="0019215D"/>
    <w:rsid w:val="001921A9"/>
    <w:rsid w:val="001921E7"/>
    <w:rsid w:val="001922A9"/>
    <w:rsid w:val="001922C4"/>
    <w:rsid w:val="00192333"/>
    <w:rsid w:val="0019239F"/>
    <w:rsid w:val="001923A5"/>
    <w:rsid w:val="001923EA"/>
    <w:rsid w:val="00192435"/>
    <w:rsid w:val="00192464"/>
    <w:rsid w:val="00192523"/>
    <w:rsid w:val="0019255B"/>
    <w:rsid w:val="00192567"/>
    <w:rsid w:val="001926B6"/>
    <w:rsid w:val="0019274D"/>
    <w:rsid w:val="00192762"/>
    <w:rsid w:val="00192885"/>
    <w:rsid w:val="001928D3"/>
    <w:rsid w:val="001928F7"/>
    <w:rsid w:val="0019293F"/>
    <w:rsid w:val="001929AA"/>
    <w:rsid w:val="001929DD"/>
    <w:rsid w:val="00192A19"/>
    <w:rsid w:val="00192A44"/>
    <w:rsid w:val="00192B04"/>
    <w:rsid w:val="00192B3F"/>
    <w:rsid w:val="00192B4E"/>
    <w:rsid w:val="00192B8B"/>
    <w:rsid w:val="00192C30"/>
    <w:rsid w:val="00192CEB"/>
    <w:rsid w:val="00192D13"/>
    <w:rsid w:val="00192E91"/>
    <w:rsid w:val="00192F57"/>
    <w:rsid w:val="00192FB1"/>
    <w:rsid w:val="00192FCD"/>
    <w:rsid w:val="00193046"/>
    <w:rsid w:val="001930A6"/>
    <w:rsid w:val="001930F5"/>
    <w:rsid w:val="0019316A"/>
    <w:rsid w:val="00193175"/>
    <w:rsid w:val="00193186"/>
    <w:rsid w:val="001931DD"/>
    <w:rsid w:val="0019321F"/>
    <w:rsid w:val="0019328C"/>
    <w:rsid w:val="001933D3"/>
    <w:rsid w:val="00193456"/>
    <w:rsid w:val="00193464"/>
    <w:rsid w:val="00193499"/>
    <w:rsid w:val="00193516"/>
    <w:rsid w:val="00193592"/>
    <w:rsid w:val="001935A2"/>
    <w:rsid w:val="001935E0"/>
    <w:rsid w:val="0019362C"/>
    <w:rsid w:val="0019365D"/>
    <w:rsid w:val="00193674"/>
    <w:rsid w:val="0019373F"/>
    <w:rsid w:val="0019382F"/>
    <w:rsid w:val="0019387D"/>
    <w:rsid w:val="00193912"/>
    <w:rsid w:val="00193997"/>
    <w:rsid w:val="001939E1"/>
    <w:rsid w:val="00193A28"/>
    <w:rsid w:val="00193AB2"/>
    <w:rsid w:val="00193AD4"/>
    <w:rsid w:val="00193BA7"/>
    <w:rsid w:val="00193BC9"/>
    <w:rsid w:val="00193C0B"/>
    <w:rsid w:val="00193C4E"/>
    <w:rsid w:val="00193D29"/>
    <w:rsid w:val="00193DD3"/>
    <w:rsid w:val="00193DE1"/>
    <w:rsid w:val="00193DF6"/>
    <w:rsid w:val="00193E77"/>
    <w:rsid w:val="00193E80"/>
    <w:rsid w:val="00193EC5"/>
    <w:rsid w:val="00193F38"/>
    <w:rsid w:val="00193F61"/>
    <w:rsid w:val="00193FDA"/>
    <w:rsid w:val="0019405F"/>
    <w:rsid w:val="0019406E"/>
    <w:rsid w:val="0019407B"/>
    <w:rsid w:val="00194096"/>
    <w:rsid w:val="00194183"/>
    <w:rsid w:val="00194196"/>
    <w:rsid w:val="001941BB"/>
    <w:rsid w:val="001941E6"/>
    <w:rsid w:val="0019422F"/>
    <w:rsid w:val="001942BF"/>
    <w:rsid w:val="001942C8"/>
    <w:rsid w:val="00194346"/>
    <w:rsid w:val="001943CC"/>
    <w:rsid w:val="001944C4"/>
    <w:rsid w:val="00194514"/>
    <w:rsid w:val="0019453E"/>
    <w:rsid w:val="00194546"/>
    <w:rsid w:val="001945EA"/>
    <w:rsid w:val="00194671"/>
    <w:rsid w:val="00194679"/>
    <w:rsid w:val="0019467E"/>
    <w:rsid w:val="00194697"/>
    <w:rsid w:val="001946F4"/>
    <w:rsid w:val="0019470C"/>
    <w:rsid w:val="0019472E"/>
    <w:rsid w:val="0019473D"/>
    <w:rsid w:val="00194816"/>
    <w:rsid w:val="0019486A"/>
    <w:rsid w:val="00194883"/>
    <w:rsid w:val="0019489B"/>
    <w:rsid w:val="001948CC"/>
    <w:rsid w:val="00194A22"/>
    <w:rsid w:val="00194A9C"/>
    <w:rsid w:val="00194AA5"/>
    <w:rsid w:val="00194B18"/>
    <w:rsid w:val="00194B95"/>
    <w:rsid w:val="00194C35"/>
    <w:rsid w:val="00194C3E"/>
    <w:rsid w:val="00194C52"/>
    <w:rsid w:val="00194C72"/>
    <w:rsid w:val="00194C9C"/>
    <w:rsid w:val="00194D55"/>
    <w:rsid w:val="00194DC9"/>
    <w:rsid w:val="00194DFC"/>
    <w:rsid w:val="00194E61"/>
    <w:rsid w:val="00194F41"/>
    <w:rsid w:val="00194F4B"/>
    <w:rsid w:val="00194F4E"/>
    <w:rsid w:val="00194F87"/>
    <w:rsid w:val="00194FB0"/>
    <w:rsid w:val="0019500F"/>
    <w:rsid w:val="00195065"/>
    <w:rsid w:val="00195092"/>
    <w:rsid w:val="001950D8"/>
    <w:rsid w:val="001950F3"/>
    <w:rsid w:val="00195150"/>
    <w:rsid w:val="0019515D"/>
    <w:rsid w:val="0019519E"/>
    <w:rsid w:val="00195278"/>
    <w:rsid w:val="001952AB"/>
    <w:rsid w:val="001952BD"/>
    <w:rsid w:val="00195324"/>
    <w:rsid w:val="00195372"/>
    <w:rsid w:val="0019538E"/>
    <w:rsid w:val="001953B0"/>
    <w:rsid w:val="00195485"/>
    <w:rsid w:val="00195540"/>
    <w:rsid w:val="00195661"/>
    <w:rsid w:val="00195746"/>
    <w:rsid w:val="0019576B"/>
    <w:rsid w:val="001957FB"/>
    <w:rsid w:val="00195881"/>
    <w:rsid w:val="00195907"/>
    <w:rsid w:val="001959D9"/>
    <w:rsid w:val="00195B65"/>
    <w:rsid w:val="00195BC2"/>
    <w:rsid w:val="00195BD2"/>
    <w:rsid w:val="00195BD7"/>
    <w:rsid w:val="00195BE0"/>
    <w:rsid w:val="00195BFC"/>
    <w:rsid w:val="00195C58"/>
    <w:rsid w:val="00195C5F"/>
    <w:rsid w:val="00195CC9"/>
    <w:rsid w:val="00195D06"/>
    <w:rsid w:val="00195DCB"/>
    <w:rsid w:val="00195E68"/>
    <w:rsid w:val="00195E9F"/>
    <w:rsid w:val="00195F2D"/>
    <w:rsid w:val="00195FCC"/>
    <w:rsid w:val="00196032"/>
    <w:rsid w:val="0019604B"/>
    <w:rsid w:val="00196053"/>
    <w:rsid w:val="001960B9"/>
    <w:rsid w:val="001960CB"/>
    <w:rsid w:val="00196114"/>
    <w:rsid w:val="00196154"/>
    <w:rsid w:val="00196190"/>
    <w:rsid w:val="001961AF"/>
    <w:rsid w:val="00196265"/>
    <w:rsid w:val="0019635B"/>
    <w:rsid w:val="001964E2"/>
    <w:rsid w:val="001965A0"/>
    <w:rsid w:val="00196686"/>
    <w:rsid w:val="001966B2"/>
    <w:rsid w:val="0019673C"/>
    <w:rsid w:val="0019677A"/>
    <w:rsid w:val="00196800"/>
    <w:rsid w:val="00196833"/>
    <w:rsid w:val="0019688E"/>
    <w:rsid w:val="00196991"/>
    <w:rsid w:val="00196A35"/>
    <w:rsid w:val="00196A5B"/>
    <w:rsid w:val="00196AE3"/>
    <w:rsid w:val="00196B23"/>
    <w:rsid w:val="00196B81"/>
    <w:rsid w:val="00196B8B"/>
    <w:rsid w:val="00196C01"/>
    <w:rsid w:val="00196CA3"/>
    <w:rsid w:val="00196CEA"/>
    <w:rsid w:val="00196D2C"/>
    <w:rsid w:val="00196D49"/>
    <w:rsid w:val="00196D4C"/>
    <w:rsid w:val="00196E3F"/>
    <w:rsid w:val="00196EA7"/>
    <w:rsid w:val="00196EF4"/>
    <w:rsid w:val="00196F0D"/>
    <w:rsid w:val="00196F23"/>
    <w:rsid w:val="00196FA4"/>
    <w:rsid w:val="0019700C"/>
    <w:rsid w:val="0019706D"/>
    <w:rsid w:val="001970B6"/>
    <w:rsid w:val="00197152"/>
    <w:rsid w:val="001971DB"/>
    <w:rsid w:val="001972E4"/>
    <w:rsid w:val="001972EF"/>
    <w:rsid w:val="00197354"/>
    <w:rsid w:val="00197374"/>
    <w:rsid w:val="00197383"/>
    <w:rsid w:val="0019739B"/>
    <w:rsid w:val="001973C6"/>
    <w:rsid w:val="0019742F"/>
    <w:rsid w:val="001974D6"/>
    <w:rsid w:val="001974F3"/>
    <w:rsid w:val="001975F4"/>
    <w:rsid w:val="001975F9"/>
    <w:rsid w:val="001976C6"/>
    <w:rsid w:val="00197716"/>
    <w:rsid w:val="00197735"/>
    <w:rsid w:val="0019776F"/>
    <w:rsid w:val="00197789"/>
    <w:rsid w:val="001977B2"/>
    <w:rsid w:val="00197887"/>
    <w:rsid w:val="001979BF"/>
    <w:rsid w:val="00197A74"/>
    <w:rsid w:val="00197B01"/>
    <w:rsid w:val="00197BAB"/>
    <w:rsid w:val="00197BAE"/>
    <w:rsid w:val="00197C31"/>
    <w:rsid w:val="00197C92"/>
    <w:rsid w:val="00197CAF"/>
    <w:rsid w:val="00197D77"/>
    <w:rsid w:val="00197D99"/>
    <w:rsid w:val="00197DA0"/>
    <w:rsid w:val="00197DD7"/>
    <w:rsid w:val="00197E41"/>
    <w:rsid w:val="00197E83"/>
    <w:rsid w:val="00197E94"/>
    <w:rsid w:val="00197EAE"/>
    <w:rsid w:val="00197ECE"/>
    <w:rsid w:val="00197FBC"/>
    <w:rsid w:val="001A004D"/>
    <w:rsid w:val="001A0080"/>
    <w:rsid w:val="001A0130"/>
    <w:rsid w:val="001A0133"/>
    <w:rsid w:val="001A01B7"/>
    <w:rsid w:val="001A0211"/>
    <w:rsid w:val="001A0274"/>
    <w:rsid w:val="001A02BD"/>
    <w:rsid w:val="001A02F9"/>
    <w:rsid w:val="001A036A"/>
    <w:rsid w:val="001A036F"/>
    <w:rsid w:val="001A03DD"/>
    <w:rsid w:val="001A047A"/>
    <w:rsid w:val="001A051C"/>
    <w:rsid w:val="001A0591"/>
    <w:rsid w:val="001A059E"/>
    <w:rsid w:val="001A05C7"/>
    <w:rsid w:val="001A0650"/>
    <w:rsid w:val="001A06ED"/>
    <w:rsid w:val="001A06FF"/>
    <w:rsid w:val="001A0760"/>
    <w:rsid w:val="001A083C"/>
    <w:rsid w:val="001A0872"/>
    <w:rsid w:val="001A0889"/>
    <w:rsid w:val="001A0992"/>
    <w:rsid w:val="001A09E6"/>
    <w:rsid w:val="001A0A87"/>
    <w:rsid w:val="001A0B2C"/>
    <w:rsid w:val="001A0B9B"/>
    <w:rsid w:val="001A0BB6"/>
    <w:rsid w:val="001A0BDD"/>
    <w:rsid w:val="001A0C91"/>
    <w:rsid w:val="001A0CC2"/>
    <w:rsid w:val="001A0EA7"/>
    <w:rsid w:val="001A0F3C"/>
    <w:rsid w:val="001A0F55"/>
    <w:rsid w:val="001A0FBA"/>
    <w:rsid w:val="001A103C"/>
    <w:rsid w:val="001A10AE"/>
    <w:rsid w:val="001A10D8"/>
    <w:rsid w:val="001A10DE"/>
    <w:rsid w:val="001A113A"/>
    <w:rsid w:val="001A126F"/>
    <w:rsid w:val="001A127D"/>
    <w:rsid w:val="001A130D"/>
    <w:rsid w:val="001A13CB"/>
    <w:rsid w:val="001A13D7"/>
    <w:rsid w:val="001A1424"/>
    <w:rsid w:val="001A1453"/>
    <w:rsid w:val="001A163C"/>
    <w:rsid w:val="001A167F"/>
    <w:rsid w:val="001A16C5"/>
    <w:rsid w:val="001A171C"/>
    <w:rsid w:val="001A1737"/>
    <w:rsid w:val="001A1781"/>
    <w:rsid w:val="001A178B"/>
    <w:rsid w:val="001A180E"/>
    <w:rsid w:val="001A189C"/>
    <w:rsid w:val="001A18E6"/>
    <w:rsid w:val="001A18E9"/>
    <w:rsid w:val="001A18F9"/>
    <w:rsid w:val="001A1961"/>
    <w:rsid w:val="001A19E8"/>
    <w:rsid w:val="001A1A2A"/>
    <w:rsid w:val="001A1AE7"/>
    <w:rsid w:val="001A1AFD"/>
    <w:rsid w:val="001A1B1D"/>
    <w:rsid w:val="001A1BAF"/>
    <w:rsid w:val="001A1C50"/>
    <w:rsid w:val="001A1C5A"/>
    <w:rsid w:val="001A1C96"/>
    <w:rsid w:val="001A1D7A"/>
    <w:rsid w:val="001A1E72"/>
    <w:rsid w:val="001A1F12"/>
    <w:rsid w:val="001A1F51"/>
    <w:rsid w:val="001A2073"/>
    <w:rsid w:val="001A207E"/>
    <w:rsid w:val="001A20C0"/>
    <w:rsid w:val="001A20D8"/>
    <w:rsid w:val="001A2116"/>
    <w:rsid w:val="001A212B"/>
    <w:rsid w:val="001A2169"/>
    <w:rsid w:val="001A2219"/>
    <w:rsid w:val="001A22F0"/>
    <w:rsid w:val="001A24B9"/>
    <w:rsid w:val="001A2572"/>
    <w:rsid w:val="001A2599"/>
    <w:rsid w:val="001A268F"/>
    <w:rsid w:val="001A271E"/>
    <w:rsid w:val="001A2757"/>
    <w:rsid w:val="001A27BC"/>
    <w:rsid w:val="001A283D"/>
    <w:rsid w:val="001A2894"/>
    <w:rsid w:val="001A29C4"/>
    <w:rsid w:val="001A2A7D"/>
    <w:rsid w:val="001A2AE9"/>
    <w:rsid w:val="001A2AF5"/>
    <w:rsid w:val="001A2B1F"/>
    <w:rsid w:val="001A2C5A"/>
    <w:rsid w:val="001A2C5E"/>
    <w:rsid w:val="001A2CD5"/>
    <w:rsid w:val="001A2CF1"/>
    <w:rsid w:val="001A2DFF"/>
    <w:rsid w:val="001A2E14"/>
    <w:rsid w:val="001A2E68"/>
    <w:rsid w:val="001A2EFF"/>
    <w:rsid w:val="001A2F23"/>
    <w:rsid w:val="001A2F53"/>
    <w:rsid w:val="001A2F61"/>
    <w:rsid w:val="001A3056"/>
    <w:rsid w:val="001A30F2"/>
    <w:rsid w:val="001A30FF"/>
    <w:rsid w:val="001A3107"/>
    <w:rsid w:val="001A312A"/>
    <w:rsid w:val="001A314E"/>
    <w:rsid w:val="001A3280"/>
    <w:rsid w:val="001A337D"/>
    <w:rsid w:val="001A35A8"/>
    <w:rsid w:val="001A35CC"/>
    <w:rsid w:val="001A3636"/>
    <w:rsid w:val="001A363C"/>
    <w:rsid w:val="001A36BD"/>
    <w:rsid w:val="001A3721"/>
    <w:rsid w:val="001A378B"/>
    <w:rsid w:val="001A38AB"/>
    <w:rsid w:val="001A38F2"/>
    <w:rsid w:val="001A3939"/>
    <w:rsid w:val="001A3953"/>
    <w:rsid w:val="001A3A3F"/>
    <w:rsid w:val="001A3ABC"/>
    <w:rsid w:val="001A3B07"/>
    <w:rsid w:val="001A3B90"/>
    <w:rsid w:val="001A3BF5"/>
    <w:rsid w:val="001A3C60"/>
    <w:rsid w:val="001A3C67"/>
    <w:rsid w:val="001A3CFC"/>
    <w:rsid w:val="001A3D42"/>
    <w:rsid w:val="001A3D6C"/>
    <w:rsid w:val="001A3E2A"/>
    <w:rsid w:val="001A3F4F"/>
    <w:rsid w:val="001A416B"/>
    <w:rsid w:val="001A417F"/>
    <w:rsid w:val="001A41A5"/>
    <w:rsid w:val="001A41BF"/>
    <w:rsid w:val="001A425B"/>
    <w:rsid w:val="001A42C3"/>
    <w:rsid w:val="001A4342"/>
    <w:rsid w:val="001A439B"/>
    <w:rsid w:val="001A450E"/>
    <w:rsid w:val="001A455C"/>
    <w:rsid w:val="001A45C1"/>
    <w:rsid w:val="001A4663"/>
    <w:rsid w:val="001A46ED"/>
    <w:rsid w:val="001A473A"/>
    <w:rsid w:val="001A47F0"/>
    <w:rsid w:val="001A4802"/>
    <w:rsid w:val="001A48A4"/>
    <w:rsid w:val="001A49AA"/>
    <w:rsid w:val="001A49B9"/>
    <w:rsid w:val="001A4A98"/>
    <w:rsid w:val="001A4AF1"/>
    <w:rsid w:val="001A4BE3"/>
    <w:rsid w:val="001A4C05"/>
    <w:rsid w:val="001A4C08"/>
    <w:rsid w:val="001A4CB5"/>
    <w:rsid w:val="001A4CF9"/>
    <w:rsid w:val="001A4D30"/>
    <w:rsid w:val="001A4D40"/>
    <w:rsid w:val="001A4D4A"/>
    <w:rsid w:val="001A4D84"/>
    <w:rsid w:val="001A4D92"/>
    <w:rsid w:val="001A4EA3"/>
    <w:rsid w:val="001A4EAE"/>
    <w:rsid w:val="001A4F09"/>
    <w:rsid w:val="001A4F2E"/>
    <w:rsid w:val="001A4F67"/>
    <w:rsid w:val="001A4F6D"/>
    <w:rsid w:val="001A4F93"/>
    <w:rsid w:val="001A4F9A"/>
    <w:rsid w:val="001A4FBE"/>
    <w:rsid w:val="001A507D"/>
    <w:rsid w:val="001A508E"/>
    <w:rsid w:val="001A50A8"/>
    <w:rsid w:val="001A5109"/>
    <w:rsid w:val="001A511B"/>
    <w:rsid w:val="001A512F"/>
    <w:rsid w:val="001A513F"/>
    <w:rsid w:val="001A514A"/>
    <w:rsid w:val="001A5167"/>
    <w:rsid w:val="001A517A"/>
    <w:rsid w:val="001A5194"/>
    <w:rsid w:val="001A5412"/>
    <w:rsid w:val="001A5413"/>
    <w:rsid w:val="001A5477"/>
    <w:rsid w:val="001A54A6"/>
    <w:rsid w:val="001A54FC"/>
    <w:rsid w:val="001A5521"/>
    <w:rsid w:val="001A5540"/>
    <w:rsid w:val="001A5641"/>
    <w:rsid w:val="001A577F"/>
    <w:rsid w:val="001A5821"/>
    <w:rsid w:val="001A5853"/>
    <w:rsid w:val="001A589A"/>
    <w:rsid w:val="001A59C5"/>
    <w:rsid w:val="001A5A7C"/>
    <w:rsid w:val="001A5B48"/>
    <w:rsid w:val="001A5B6A"/>
    <w:rsid w:val="001A5B6E"/>
    <w:rsid w:val="001A5BB3"/>
    <w:rsid w:val="001A5BBF"/>
    <w:rsid w:val="001A5BEE"/>
    <w:rsid w:val="001A5C0C"/>
    <w:rsid w:val="001A5C12"/>
    <w:rsid w:val="001A5C1C"/>
    <w:rsid w:val="001A5C2C"/>
    <w:rsid w:val="001A5C69"/>
    <w:rsid w:val="001A5C6B"/>
    <w:rsid w:val="001A5CDF"/>
    <w:rsid w:val="001A5D89"/>
    <w:rsid w:val="001A5DFB"/>
    <w:rsid w:val="001A5E0D"/>
    <w:rsid w:val="001A5E2F"/>
    <w:rsid w:val="001A5E4B"/>
    <w:rsid w:val="001A5F90"/>
    <w:rsid w:val="001A6025"/>
    <w:rsid w:val="001A6042"/>
    <w:rsid w:val="001A60F5"/>
    <w:rsid w:val="001A60FC"/>
    <w:rsid w:val="001A61D8"/>
    <w:rsid w:val="001A620B"/>
    <w:rsid w:val="001A6257"/>
    <w:rsid w:val="001A6260"/>
    <w:rsid w:val="001A62DF"/>
    <w:rsid w:val="001A6335"/>
    <w:rsid w:val="001A6358"/>
    <w:rsid w:val="001A6364"/>
    <w:rsid w:val="001A6368"/>
    <w:rsid w:val="001A640D"/>
    <w:rsid w:val="001A6415"/>
    <w:rsid w:val="001A641B"/>
    <w:rsid w:val="001A6483"/>
    <w:rsid w:val="001A6493"/>
    <w:rsid w:val="001A64A0"/>
    <w:rsid w:val="001A64E9"/>
    <w:rsid w:val="001A6510"/>
    <w:rsid w:val="001A66C4"/>
    <w:rsid w:val="001A676E"/>
    <w:rsid w:val="001A678A"/>
    <w:rsid w:val="001A67DE"/>
    <w:rsid w:val="001A682C"/>
    <w:rsid w:val="001A687E"/>
    <w:rsid w:val="001A693D"/>
    <w:rsid w:val="001A6947"/>
    <w:rsid w:val="001A698A"/>
    <w:rsid w:val="001A6B73"/>
    <w:rsid w:val="001A6BF2"/>
    <w:rsid w:val="001A6C46"/>
    <w:rsid w:val="001A6ECE"/>
    <w:rsid w:val="001A6F1E"/>
    <w:rsid w:val="001A6FF5"/>
    <w:rsid w:val="001A709A"/>
    <w:rsid w:val="001A70D8"/>
    <w:rsid w:val="001A711D"/>
    <w:rsid w:val="001A712A"/>
    <w:rsid w:val="001A7272"/>
    <w:rsid w:val="001A72D1"/>
    <w:rsid w:val="001A7316"/>
    <w:rsid w:val="001A7331"/>
    <w:rsid w:val="001A7472"/>
    <w:rsid w:val="001A74B2"/>
    <w:rsid w:val="001A7622"/>
    <w:rsid w:val="001A76D4"/>
    <w:rsid w:val="001A772E"/>
    <w:rsid w:val="001A78C5"/>
    <w:rsid w:val="001A78D0"/>
    <w:rsid w:val="001A78E6"/>
    <w:rsid w:val="001A790E"/>
    <w:rsid w:val="001A791F"/>
    <w:rsid w:val="001A7937"/>
    <w:rsid w:val="001A79DF"/>
    <w:rsid w:val="001A7A16"/>
    <w:rsid w:val="001A7A26"/>
    <w:rsid w:val="001A7A31"/>
    <w:rsid w:val="001A7A7E"/>
    <w:rsid w:val="001A7A97"/>
    <w:rsid w:val="001A7ADB"/>
    <w:rsid w:val="001A7B71"/>
    <w:rsid w:val="001A7BDA"/>
    <w:rsid w:val="001A7BF2"/>
    <w:rsid w:val="001A7C23"/>
    <w:rsid w:val="001A7C6B"/>
    <w:rsid w:val="001A7C6F"/>
    <w:rsid w:val="001A7C73"/>
    <w:rsid w:val="001A7C7B"/>
    <w:rsid w:val="001A7CBA"/>
    <w:rsid w:val="001A7D6A"/>
    <w:rsid w:val="001A7DCF"/>
    <w:rsid w:val="001A7E4D"/>
    <w:rsid w:val="001A7E90"/>
    <w:rsid w:val="001A7E97"/>
    <w:rsid w:val="001A7ED1"/>
    <w:rsid w:val="001A7EE9"/>
    <w:rsid w:val="001A7F69"/>
    <w:rsid w:val="001A7FF0"/>
    <w:rsid w:val="001B001F"/>
    <w:rsid w:val="001B0020"/>
    <w:rsid w:val="001B008E"/>
    <w:rsid w:val="001B009D"/>
    <w:rsid w:val="001B014E"/>
    <w:rsid w:val="001B01C7"/>
    <w:rsid w:val="001B01CC"/>
    <w:rsid w:val="001B0203"/>
    <w:rsid w:val="001B029F"/>
    <w:rsid w:val="001B0345"/>
    <w:rsid w:val="001B03B0"/>
    <w:rsid w:val="001B041F"/>
    <w:rsid w:val="001B0451"/>
    <w:rsid w:val="001B04B5"/>
    <w:rsid w:val="001B04C9"/>
    <w:rsid w:val="001B04FA"/>
    <w:rsid w:val="001B06A3"/>
    <w:rsid w:val="001B07DA"/>
    <w:rsid w:val="001B07F2"/>
    <w:rsid w:val="001B0877"/>
    <w:rsid w:val="001B0933"/>
    <w:rsid w:val="001B0A17"/>
    <w:rsid w:val="001B0A18"/>
    <w:rsid w:val="001B0A8B"/>
    <w:rsid w:val="001B0AFD"/>
    <w:rsid w:val="001B0B50"/>
    <w:rsid w:val="001B0BEE"/>
    <w:rsid w:val="001B0CB8"/>
    <w:rsid w:val="001B0D7E"/>
    <w:rsid w:val="001B0DD8"/>
    <w:rsid w:val="001B0E32"/>
    <w:rsid w:val="001B0E3B"/>
    <w:rsid w:val="001B0E81"/>
    <w:rsid w:val="001B0E97"/>
    <w:rsid w:val="001B0F0C"/>
    <w:rsid w:val="001B0F13"/>
    <w:rsid w:val="001B0F2E"/>
    <w:rsid w:val="001B0F58"/>
    <w:rsid w:val="001B0FBD"/>
    <w:rsid w:val="001B1037"/>
    <w:rsid w:val="001B1044"/>
    <w:rsid w:val="001B104E"/>
    <w:rsid w:val="001B10C4"/>
    <w:rsid w:val="001B110C"/>
    <w:rsid w:val="001B118C"/>
    <w:rsid w:val="001B118D"/>
    <w:rsid w:val="001B122F"/>
    <w:rsid w:val="001B1259"/>
    <w:rsid w:val="001B1285"/>
    <w:rsid w:val="001B13B7"/>
    <w:rsid w:val="001B14A0"/>
    <w:rsid w:val="001B1522"/>
    <w:rsid w:val="001B158D"/>
    <w:rsid w:val="001B161A"/>
    <w:rsid w:val="001B166C"/>
    <w:rsid w:val="001B16BA"/>
    <w:rsid w:val="001B16E2"/>
    <w:rsid w:val="001B1794"/>
    <w:rsid w:val="001B1831"/>
    <w:rsid w:val="001B1954"/>
    <w:rsid w:val="001B1956"/>
    <w:rsid w:val="001B196C"/>
    <w:rsid w:val="001B1974"/>
    <w:rsid w:val="001B19EA"/>
    <w:rsid w:val="001B1A34"/>
    <w:rsid w:val="001B1AE7"/>
    <w:rsid w:val="001B1B61"/>
    <w:rsid w:val="001B1B62"/>
    <w:rsid w:val="001B1C8A"/>
    <w:rsid w:val="001B1DB4"/>
    <w:rsid w:val="001B1DC6"/>
    <w:rsid w:val="001B1DF5"/>
    <w:rsid w:val="001B1E24"/>
    <w:rsid w:val="001B1E46"/>
    <w:rsid w:val="001B1F01"/>
    <w:rsid w:val="001B1F06"/>
    <w:rsid w:val="001B207E"/>
    <w:rsid w:val="001B20B1"/>
    <w:rsid w:val="001B20F0"/>
    <w:rsid w:val="001B2103"/>
    <w:rsid w:val="001B2104"/>
    <w:rsid w:val="001B212B"/>
    <w:rsid w:val="001B2192"/>
    <w:rsid w:val="001B2264"/>
    <w:rsid w:val="001B226A"/>
    <w:rsid w:val="001B22F2"/>
    <w:rsid w:val="001B2315"/>
    <w:rsid w:val="001B2361"/>
    <w:rsid w:val="001B239C"/>
    <w:rsid w:val="001B24C5"/>
    <w:rsid w:val="001B2547"/>
    <w:rsid w:val="001B2593"/>
    <w:rsid w:val="001B25C2"/>
    <w:rsid w:val="001B261E"/>
    <w:rsid w:val="001B268F"/>
    <w:rsid w:val="001B26A1"/>
    <w:rsid w:val="001B26C4"/>
    <w:rsid w:val="001B26F2"/>
    <w:rsid w:val="001B278C"/>
    <w:rsid w:val="001B27D0"/>
    <w:rsid w:val="001B2823"/>
    <w:rsid w:val="001B2826"/>
    <w:rsid w:val="001B287A"/>
    <w:rsid w:val="001B28B7"/>
    <w:rsid w:val="001B28C0"/>
    <w:rsid w:val="001B29AD"/>
    <w:rsid w:val="001B2A57"/>
    <w:rsid w:val="001B2A59"/>
    <w:rsid w:val="001B2A7A"/>
    <w:rsid w:val="001B2A99"/>
    <w:rsid w:val="001B2B59"/>
    <w:rsid w:val="001B2B93"/>
    <w:rsid w:val="001B2BD5"/>
    <w:rsid w:val="001B2C27"/>
    <w:rsid w:val="001B2C97"/>
    <w:rsid w:val="001B2CCE"/>
    <w:rsid w:val="001B2D3B"/>
    <w:rsid w:val="001B2D68"/>
    <w:rsid w:val="001B2D93"/>
    <w:rsid w:val="001B2DC0"/>
    <w:rsid w:val="001B2E62"/>
    <w:rsid w:val="001B2EB1"/>
    <w:rsid w:val="001B2F34"/>
    <w:rsid w:val="001B2F84"/>
    <w:rsid w:val="001B2F92"/>
    <w:rsid w:val="001B2FD7"/>
    <w:rsid w:val="001B2FF9"/>
    <w:rsid w:val="001B300D"/>
    <w:rsid w:val="001B3052"/>
    <w:rsid w:val="001B30A2"/>
    <w:rsid w:val="001B317A"/>
    <w:rsid w:val="001B3183"/>
    <w:rsid w:val="001B32F0"/>
    <w:rsid w:val="001B332F"/>
    <w:rsid w:val="001B33A9"/>
    <w:rsid w:val="001B33DA"/>
    <w:rsid w:val="001B34B5"/>
    <w:rsid w:val="001B3520"/>
    <w:rsid w:val="001B3536"/>
    <w:rsid w:val="001B356A"/>
    <w:rsid w:val="001B3574"/>
    <w:rsid w:val="001B357F"/>
    <w:rsid w:val="001B3625"/>
    <w:rsid w:val="001B3695"/>
    <w:rsid w:val="001B370D"/>
    <w:rsid w:val="001B372E"/>
    <w:rsid w:val="001B374E"/>
    <w:rsid w:val="001B380D"/>
    <w:rsid w:val="001B3859"/>
    <w:rsid w:val="001B38DF"/>
    <w:rsid w:val="001B3944"/>
    <w:rsid w:val="001B3946"/>
    <w:rsid w:val="001B3B63"/>
    <w:rsid w:val="001B3C20"/>
    <w:rsid w:val="001B3D51"/>
    <w:rsid w:val="001B3DE4"/>
    <w:rsid w:val="001B3DE5"/>
    <w:rsid w:val="001B3E34"/>
    <w:rsid w:val="001B3E43"/>
    <w:rsid w:val="001B3E50"/>
    <w:rsid w:val="001B3E85"/>
    <w:rsid w:val="001B3EB8"/>
    <w:rsid w:val="001B3EBB"/>
    <w:rsid w:val="001B3F01"/>
    <w:rsid w:val="001B3F6D"/>
    <w:rsid w:val="001B3F80"/>
    <w:rsid w:val="001B3FBC"/>
    <w:rsid w:val="001B3FD3"/>
    <w:rsid w:val="001B408F"/>
    <w:rsid w:val="001B40E4"/>
    <w:rsid w:val="001B40F6"/>
    <w:rsid w:val="001B4123"/>
    <w:rsid w:val="001B41AE"/>
    <w:rsid w:val="001B41DA"/>
    <w:rsid w:val="001B4257"/>
    <w:rsid w:val="001B4284"/>
    <w:rsid w:val="001B42F5"/>
    <w:rsid w:val="001B430C"/>
    <w:rsid w:val="001B438B"/>
    <w:rsid w:val="001B43BA"/>
    <w:rsid w:val="001B43C2"/>
    <w:rsid w:val="001B43DB"/>
    <w:rsid w:val="001B43FC"/>
    <w:rsid w:val="001B4402"/>
    <w:rsid w:val="001B4403"/>
    <w:rsid w:val="001B447D"/>
    <w:rsid w:val="001B44F4"/>
    <w:rsid w:val="001B461B"/>
    <w:rsid w:val="001B466B"/>
    <w:rsid w:val="001B472F"/>
    <w:rsid w:val="001B4891"/>
    <w:rsid w:val="001B48A6"/>
    <w:rsid w:val="001B48B1"/>
    <w:rsid w:val="001B48E6"/>
    <w:rsid w:val="001B490F"/>
    <w:rsid w:val="001B492E"/>
    <w:rsid w:val="001B4AD9"/>
    <w:rsid w:val="001B4B62"/>
    <w:rsid w:val="001B4BB2"/>
    <w:rsid w:val="001B4BF8"/>
    <w:rsid w:val="001B4C5E"/>
    <w:rsid w:val="001B4C6B"/>
    <w:rsid w:val="001B4C74"/>
    <w:rsid w:val="001B4D09"/>
    <w:rsid w:val="001B4D1E"/>
    <w:rsid w:val="001B4D67"/>
    <w:rsid w:val="001B4D94"/>
    <w:rsid w:val="001B4DB6"/>
    <w:rsid w:val="001B4DEC"/>
    <w:rsid w:val="001B4E38"/>
    <w:rsid w:val="001B4E8C"/>
    <w:rsid w:val="001B4F60"/>
    <w:rsid w:val="001B5096"/>
    <w:rsid w:val="001B50E4"/>
    <w:rsid w:val="001B5116"/>
    <w:rsid w:val="001B5144"/>
    <w:rsid w:val="001B51C9"/>
    <w:rsid w:val="001B51CF"/>
    <w:rsid w:val="001B526E"/>
    <w:rsid w:val="001B5272"/>
    <w:rsid w:val="001B52D8"/>
    <w:rsid w:val="001B52EA"/>
    <w:rsid w:val="001B5317"/>
    <w:rsid w:val="001B543E"/>
    <w:rsid w:val="001B5464"/>
    <w:rsid w:val="001B54B5"/>
    <w:rsid w:val="001B54C8"/>
    <w:rsid w:val="001B5546"/>
    <w:rsid w:val="001B5636"/>
    <w:rsid w:val="001B564E"/>
    <w:rsid w:val="001B56F9"/>
    <w:rsid w:val="001B58AC"/>
    <w:rsid w:val="001B58BD"/>
    <w:rsid w:val="001B58C2"/>
    <w:rsid w:val="001B58C6"/>
    <w:rsid w:val="001B592D"/>
    <w:rsid w:val="001B5932"/>
    <w:rsid w:val="001B595C"/>
    <w:rsid w:val="001B597A"/>
    <w:rsid w:val="001B599E"/>
    <w:rsid w:val="001B59E2"/>
    <w:rsid w:val="001B5A9B"/>
    <w:rsid w:val="001B5B26"/>
    <w:rsid w:val="001B5B58"/>
    <w:rsid w:val="001B5C1B"/>
    <w:rsid w:val="001B5C29"/>
    <w:rsid w:val="001B5C78"/>
    <w:rsid w:val="001B5CCA"/>
    <w:rsid w:val="001B5D20"/>
    <w:rsid w:val="001B5D43"/>
    <w:rsid w:val="001B5D4E"/>
    <w:rsid w:val="001B5E54"/>
    <w:rsid w:val="001B5F01"/>
    <w:rsid w:val="001B5F13"/>
    <w:rsid w:val="001B5F2C"/>
    <w:rsid w:val="001B5F33"/>
    <w:rsid w:val="001B60A6"/>
    <w:rsid w:val="001B60BF"/>
    <w:rsid w:val="001B6104"/>
    <w:rsid w:val="001B61E5"/>
    <w:rsid w:val="001B6228"/>
    <w:rsid w:val="001B625A"/>
    <w:rsid w:val="001B629D"/>
    <w:rsid w:val="001B6323"/>
    <w:rsid w:val="001B63BB"/>
    <w:rsid w:val="001B6471"/>
    <w:rsid w:val="001B64A0"/>
    <w:rsid w:val="001B64FB"/>
    <w:rsid w:val="001B6513"/>
    <w:rsid w:val="001B6590"/>
    <w:rsid w:val="001B6613"/>
    <w:rsid w:val="001B671F"/>
    <w:rsid w:val="001B6740"/>
    <w:rsid w:val="001B678B"/>
    <w:rsid w:val="001B67F6"/>
    <w:rsid w:val="001B687A"/>
    <w:rsid w:val="001B689B"/>
    <w:rsid w:val="001B6918"/>
    <w:rsid w:val="001B6955"/>
    <w:rsid w:val="001B698B"/>
    <w:rsid w:val="001B69E3"/>
    <w:rsid w:val="001B6A22"/>
    <w:rsid w:val="001B6A55"/>
    <w:rsid w:val="001B6AF3"/>
    <w:rsid w:val="001B6AF8"/>
    <w:rsid w:val="001B6B17"/>
    <w:rsid w:val="001B6B25"/>
    <w:rsid w:val="001B6BB1"/>
    <w:rsid w:val="001B6C23"/>
    <w:rsid w:val="001B6D01"/>
    <w:rsid w:val="001B6D1E"/>
    <w:rsid w:val="001B6DE6"/>
    <w:rsid w:val="001B6E5D"/>
    <w:rsid w:val="001B6E9E"/>
    <w:rsid w:val="001B6EA4"/>
    <w:rsid w:val="001B6EAD"/>
    <w:rsid w:val="001B6ED7"/>
    <w:rsid w:val="001B6F25"/>
    <w:rsid w:val="001B6F8F"/>
    <w:rsid w:val="001B6F9F"/>
    <w:rsid w:val="001B6FDC"/>
    <w:rsid w:val="001B7003"/>
    <w:rsid w:val="001B703C"/>
    <w:rsid w:val="001B70AA"/>
    <w:rsid w:val="001B70DF"/>
    <w:rsid w:val="001B70EE"/>
    <w:rsid w:val="001B7147"/>
    <w:rsid w:val="001B7177"/>
    <w:rsid w:val="001B7198"/>
    <w:rsid w:val="001B71EC"/>
    <w:rsid w:val="001B723D"/>
    <w:rsid w:val="001B7254"/>
    <w:rsid w:val="001B7259"/>
    <w:rsid w:val="001B7281"/>
    <w:rsid w:val="001B7331"/>
    <w:rsid w:val="001B73CF"/>
    <w:rsid w:val="001B73E9"/>
    <w:rsid w:val="001B7456"/>
    <w:rsid w:val="001B75BF"/>
    <w:rsid w:val="001B7697"/>
    <w:rsid w:val="001B76B0"/>
    <w:rsid w:val="001B7799"/>
    <w:rsid w:val="001B77AC"/>
    <w:rsid w:val="001B77D6"/>
    <w:rsid w:val="001B783D"/>
    <w:rsid w:val="001B7858"/>
    <w:rsid w:val="001B7914"/>
    <w:rsid w:val="001B7AA7"/>
    <w:rsid w:val="001B7AF5"/>
    <w:rsid w:val="001B7C0B"/>
    <w:rsid w:val="001B7C44"/>
    <w:rsid w:val="001B7D1F"/>
    <w:rsid w:val="001B7D28"/>
    <w:rsid w:val="001B7D36"/>
    <w:rsid w:val="001B7D39"/>
    <w:rsid w:val="001B7D67"/>
    <w:rsid w:val="001B7DC9"/>
    <w:rsid w:val="001B7E1B"/>
    <w:rsid w:val="001B7E43"/>
    <w:rsid w:val="001B7F25"/>
    <w:rsid w:val="001B7F72"/>
    <w:rsid w:val="001B7F75"/>
    <w:rsid w:val="001B7FD6"/>
    <w:rsid w:val="001C00FD"/>
    <w:rsid w:val="001C0212"/>
    <w:rsid w:val="001C0213"/>
    <w:rsid w:val="001C0268"/>
    <w:rsid w:val="001C02B6"/>
    <w:rsid w:val="001C02FA"/>
    <w:rsid w:val="001C032D"/>
    <w:rsid w:val="001C03D5"/>
    <w:rsid w:val="001C03F0"/>
    <w:rsid w:val="001C046A"/>
    <w:rsid w:val="001C04BB"/>
    <w:rsid w:val="001C054E"/>
    <w:rsid w:val="001C0572"/>
    <w:rsid w:val="001C0624"/>
    <w:rsid w:val="001C0675"/>
    <w:rsid w:val="001C076F"/>
    <w:rsid w:val="001C084C"/>
    <w:rsid w:val="001C088C"/>
    <w:rsid w:val="001C08C9"/>
    <w:rsid w:val="001C08CA"/>
    <w:rsid w:val="001C091D"/>
    <w:rsid w:val="001C093E"/>
    <w:rsid w:val="001C097A"/>
    <w:rsid w:val="001C0A24"/>
    <w:rsid w:val="001C0A8A"/>
    <w:rsid w:val="001C0B24"/>
    <w:rsid w:val="001C0BFA"/>
    <w:rsid w:val="001C0C61"/>
    <w:rsid w:val="001C0C92"/>
    <w:rsid w:val="001C0CC0"/>
    <w:rsid w:val="001C0E70"/>
    <w:rsid w:val="001C0FDB"/>
    <w:rsid w:val="001C0FF0"/>
    <w:rsid w:val="001C10D0"/>
    <w:rsid w:val="001C1102"/>
    <w:rsid w:val="001C11F7"/>
    <w:rsid w:val="001C12A9"/>
    <w:rsid w:val="001C12F3"/>
    <w:rsid w:val="001C133B"/>
    <w:rsid w:val="001C13B0"/>
    <w:rsid w:val="001C13F9"/>
    <w:rsid w:val="001C1458"/>
    <w:rsid w:val="001C14B9"/>
    <w:rsid w:val="001C159A"/>
    <w:rsid w:val="001C15FE"/>
    <w:rsid w:val="001C1600"/>
    <w:rsid w:val="001C162E"/>
    <w:rsid w:val="001C1667"/>
    <w:rsid w:val="001C169F"/>
    <w:rsid w:val="001C16D0"/>
    <w:rsid w:val="001C16D2"/>
    <w:rsid w:val="001C16F4"/>
    <w:rsid w:val="001C1721"/>
    <w:rsid w:val="001C1722"/>
    <w:rsid w:val="001C1755"/>
    <w:rsid w:val="001C17A3"/>
    <w:rsid w:val="001C17CB"/>
    <w:rsid w:val="001C17E5"/>
    <w:rsid w:val="001C18EE"/>
    <w:rsid w:val="001C190E"/>
    <w:rsid w:val="001C1942"/>
    <w:rsid w:val="001C1952"/>
    <w:rsid w:val="001C19B4"/>
    <w:rsid w:val="001C1A44"/>
    <w:rsid w:val="001C1AA6"/>
    <w:rsid w:val="001C1B05"/>
    <w:rsid w:val="001C1B0E"/>
    <w:rsid w:val="001C1B98"/>
    <w:rsid w:val="001C1BD5"/>
    <w:rsid w:val="001C1E27"/>
    <w:rsid w:val="001C1E4B"/>
    <w:rsid w:val="001C1E6D"/>
    <w:rsid w:val="001C1E92"/>
    <w:rsid w:val="001C1EE5"/>
    <w:rsid w:val="001C1F1A"/>
    <w:rsid w:val="001C1F44"/>
    <w:rsid w:val="001C1F7E"/>
    <w:rsid w:val="001C1FA9"/>
    <w:rsid w:val="001C1FB7"/>
    <w:rsid w:val="001C1FD0"/>
    <w:rsid w:val="001C203A"/>
    <w:rsid w:val="001C208E"/>
    <w:rsid w:val="001C2144"/>
    <w:rsid w:val="001C2167"/>
    <w:rsid w:val="001C21B6"/>
    <w:rsid w:val="001C224F"/>
    <w:rsid w:val="001C239A"/>
    <w:rsid w:val="001C239E"/>
    <w:rsid w:val="001C2462"/>
    <w:rsid w:val="001C2473"/>
    <w:rsid w:val="001C2479"/>
    <w:rsid w:val="001C247F"/>
    <w:rsid w:val="001C2505"/>
    <w:rsid w:val="001C250E"/>
    <w:rsid w:val="001C2519"/>
    <w:rsid w:val="001C2529"/>
    <w:rsid w:val="001C254C"/>
    <w:rsid w:val="001C2572"/>
    <w:rsid w:val="001C2669"/>
    <w:rsid w:val="001C269A"/>
    <w:rsid w:val="001C26AD"/>
    <w:rsid w:val="001C271C"/>
    <w:rsid w:val="001C2731"/>
    <w:rsid w:val="001C2800"/>
    <w:rsid w:val="001C2802"/>
    <w:rsid w:val="001C2817"/>
    <w:rsid w:val="001C2818"/>
    <w:rsid w:val="001C284B"/>
    <w:rsid w:val="001C284C"/>
    <w:rsid w:val="001C2857"/>
    <w:rsid w:val="001C288B"/>
    <w:rsid w:val="001C2894"/>
    <w:rsid w:val="001C298A"/>
    <w:rsid w:val="001C29C1"/>
    <w:rsid w:val="001C29D7"/>
    <w:rsid w:val="001C2A00"/>
    <w:rsid w:val="001C2B15"/>
    <w:rsid w:val="001C2B5E"/>
    <w:rsid w:val="001C2B7C"/>
    <w:rsid w:val="001C2B7D"/>
    <w:rsid w:val="001C2BE7"/>
    <w:rsid w:val="001C2C33"/>
    <w:rsid w:val="001C2C9D"/>
    <w:rsid w:val="001C2D3A"/>
    <w:rsid w:val="001C2E02"/>
    <w:rsid w:val="001C2E44"/>
    <w:rsid w:val="001C2E51"/>
    <w:rsid w:val="001C2E92"/>
    <w:rsid w:val="001C2F05"/>
    <w:rsid w:val="001C2F4C"/>
    <w:rsid w:val="001C2F50"/>
    <w:rsid w:val="001C2F65"/>
    <w:rsid w:val="001C301E"/>
    <w:rsid w:val="001C3022"/>
    <w:rsid w:val="001C306F"/>
    <w:rsid w:val="001C3084"/>
    <w:rsid w:val="001C309F"/>
    <w:rsid w:val="001C30D0"/>
    <w:rsid w:val="001C312A"/>
    <w:rsid w:val="001C3159"/>
    <w:rsid w:val="001C31C5"/>
    <w:rsid w:val="001C31CF"/>
    <w:rsid w:val="001C327B"/>
    <w:rsid w:val="001C32F8"/>
    <w:rsid w:val="001C3374"/>
    <w:rsid w:val="001C3390"/>
    <w:rsid w:val="001C33DE"/>
    <w:rsid w:val="001C341D"/>
    <w:rsid w:val="001C349F"/>
    <w:rsid w:val="001C34A9"/>
    <w:rsid w:val="001C34D3"/>
    <w:rsid w:val="001C35CB"/>
    <w:rsid w:val="001C3634"/>
    <w:rsid w:val="001C367A"/>
    <w:rsid w:val="001C36CD"/>
    <w:rsid w:val="001C36DA"/>
    <w:rsid w:val="001C36F0"/>
    <w:rsid w:val="001C36F9"/>
    <w:rsid w:val="001C37C7"/>
    <w:rsid w:val="001C3884"/>
    <w:rsid w:val="001C38CC"/>
    <w:rsid w:val="001C3975"/>
    <w:rsid w:val="001C39BD"/>
    <w:rsid w:val="001C3A27"/>
    <w:rsid w:val="001C3B08"/>
    <w:rsid w:val="001C3B43"/>
    <w:rsid w:val="001C3B56"/>
    <w:rsid w:val="001C3B58"/>
    <w:rsid w:val="001C3B66"/>
    <w:rsid w:val="001C3BB8"/>
    <w:rsid w:val="001C3CD5"/>
    <w:rsid w:val="001C3D56"/>
    <w:rsid w:val="001C3D8C"/>
    <w:rsid w:val="001C3DD4"/>
    <w:rsid w:val="001C3DED"/>
    <w:rsid w:val="001C3EA9"/>
    <w:rsid w:val="001C3F56"/>
    <w:rsid w:val="001C3F84"/>
    <w:rsid w:val="001C3FA7"/>
    <w:rsid w:val="001C3FA8"/>
    <w:rsid w:val="001C4068"/>
    <w:rsid w:val="001C40BC"/>
    <w:rsid w:val="001C4109"/>
    <w:rsid w:val="001C415E"/>
    <w:rsid w:val="001C41C1"/>
    <w:rsid w:val="001C421B"/>
    <w:rsid w:val="001C424B"/>
    <w:rsid w:val="001C428D"/>
    <w:rsid w:val="001C42D4"/>
    <w:rsid w:val="001C435E"/>
    <w:rsid w:val="001C4491"/>
    <w:rsid w:val="001C4550"/>
    <w:rsid w:val="001C45AC"/>
    <w:rsid w:val="001C4634"/>
    <w:rsid w:val="001C465B"/>
    <w:rsid w:val="001C4696"/>
    <w:rsid w:val="001C46C6"/>
    <w:rsid w:val="001C46EF"/>
    <w:rsid w:val="001C4811"/>
    <w:rsid w:val="001C4868"/>
    <w:rsid w:val="001C486A"/>
    <w:rsid w:val="001C48D1"/>
    <w:rsid w:val="001C48D9"/>
    <w:rsid w:val="001C48F3"/>
    <w:rsid w:val="001C4907"/>
    <w:rsid w:val="001C4942"/>
    <w:rsid w:val="001C4ABE"/>
    <w:rsid w:val="001C4ACD"/>
    <w:rsid w:val="001C4B29"/>
    <w:rsid w:val="001C4B4A"/>
    <w:rsid w:val="001C4B59"/>
    <w:rsid w:val="001C4C07"/>
    <w:rsid w:val="001C4C28"/>
    <w:rsid w:val="001C4C86"/>
    <w:rsid w:val="001C4D3F"/>
    <w:rsid w:val="001C4D58"/>
    <w:rsid w:val="001C4DFA"/>
    <w:rsid w:val="001C4F83"/>
    <w:rsid w:val="001C500D"/>
    <w:rsid w:val="001C5052"/>
    <w:rsid w:val="001C5076"/>
    <w:rsid w:val="001C50B6"/>
    <w:rsid w:val="001C50E3"/>
    <w:rsid w:val="001C50FD"/>
    <w:rsid w:val="001C5150"/>
    <w:rsid w:val="001C51FA"/>
    <w:rsid w:val="001C51FF"/>
    <w:rsid w:val="001C5312"/>
    <w:rsid w:val="001C53B0"/>
    <w:rsid w:val="001C541C"/>
    <w:rsid w:val="001C545E"/>
    <w:rsid w:val="001C5469"/>
    <w:rsid w:val="001C54DB"/>
    <w:rsid w:val="001C551A"/>
    <w:rsid w:val="001C5591"/>
    <w:rsid w:val="001C55EB"/>
    <w:rsid w:val="001C56B3"/>
    <w:rsid w:val="001C56FE"/>
    <w:rsid w:val="001C5736"/>
    <w:rsid w:val="001C57D0"/>
    <w:rsid w:val="001C57F9"/>
    <w:rsid w:val="001C58A2"/>
    <w:rsid w:val="001C58EF"/>
    <w:rsid w:val="001C5974"/>
    <w:rsid w:val="001C59B4"/>
    <w:rsid w:val="001C59C8"/>
    <w:rsid w:val="001C59F7"/>
    <w:rsid w:val="001C5A50"/>
    <w:rsid w:val="001C5BC5"/>
    <w:rsid w:val="001C5BC9"/>
    <w:rsid w:val="001C5BCA"/>
    <w:rsid w:val="001C5C1E"/>
    <w:rsid w:val="001C5C51"/>
    <w:rsid w:val="001C5C82"/>
    <w:rsid w:val="001C5C9F"/>
    <w:rsid w:val="001C5E4E"/>
    <w:rsid w:val="001C5EEF"/>
    <w:rsid w:val="001C5F60"/>
    <w:rsid w:val="001C601F"/>
    <w:rsid w:val="001C603D"/>
    <w:rsid w:val="001C604B"/>
    <w:rsid w:val="001C604E"/>
    <w:rsid w:val="001C6058"/>
    <w:rsid w:val="001C6075"/>
    <w:rsid w:val="001C60C6"/>
    <w:rsid w:val="001C610F"/>
    <w:rsid w:val="001C61A7"/>
    <w:rsid w:val="001C61D3"/>
    <w:rsid w:val="001C6226"/>
    <w:rsid w:val="001C6262"/>
    <w:rsid w:val="001C6280"/>
    <w:rsid w:val="001C62F0"/>
    <w:rsid w:val="001C633E"/>
    <w:rsid w:val="001C6350"/>
    <w:rsid w:val="001C635B"/>
    <w:rsid w:val="001C635D"/>
    <w:rsid w:val="001C63FC"/>
    <w:rsid w:val="001C6422"/>
    <w:rsid w:val="001C6425"/>
    <w:rsid w:val="001C643F"/>
    <w:rsid w:val="001C64AE"/>
    <w:rsid w:val="001C6512"/>
    <w:rsid w:val="001C653F"/>
    <w:rsid w:val="001C6545"/>
    <w:rsid w:val="001C65BE"/>
    <w:rsid w:val="001C663A"/>
    <w:rsid w:val="001C66DF"/>
    <w:rsid w:val="001C671B"/>
    <w:rsid w:val="001C6726"/>
    <w:rsid w:val="001C6762"/>
    <w:rsid w:val="001C6793"/>
    <w:rsid w:val="001C6806"/>
    <w:rsid w:val="001C6876"/>
    <w:rsid w:val="001C688A"/>
    <w:rsid w:val="001C68D1"/>
    <w:rsid w:val="001C68D4"/>
    <w:rsid w:val="001C68D9"/>
    <w:rsid w:val="001C6903"/>
    <w:rsid w:val="001C692C"/>
    <w:rsid w:val="001C692D"/>
    <w:rsid w:val="001C694E"/>
    <w:rsid w:val="001C698D"/>
    <w:rsid w:val="001C6998"/>
    <w:rsid w:val="001C6A48"/>
    <w:rsid w:val="001C6AA1"/>
    <w:rsid w:val="001C6B19"/>
    <w:rsid w:val="001C6C42"/>
    <w:rsid w:val="001C6CBD"/>
    <w:rsid w:val="001C6D32"/>
    <w:rsid w:val="001C6DBD"/>
    <w:rsid w:val="001C6E00"/>
    <w:rsid w:val="001C6E11"/>
    <w:rsid w:val="001C6ED4"/>
    <w:rsid w:val="001C6F26"/>
    <w:rsid w:val="001C6F82"/>
    <w:rsid w:val="001C7019"/>
    <w:rsid w:val="001C70DE"/>
    <w:rsid w:val="001C7145"/>
    <w:rsid w:val="001C719C"/>
    <w:rsid w:val="001C7296"/>
    <w:rsid w:val="001C7299"/>
    <w:rsid w:val="001C72A3"/>
    <w:rsid w:val="001C72DB"/>
    <w:rsid w:val="001C734E"/>
    <w:rsid w:val="001C73F7"/>
    <w:rsid w:val="001C742E"/>
    <w:rsid w:val="001C7450"/>
    <w:rsid w:val="001C749A"/>
    <w:rsid w:val="001C74FC"/>
    <w:rsid w:val="001C751E"/>
    <w:rsid w:val="001C753C"/>
    <w:rsid w:val="001C7549"/>
    <w:rsid w:val="001C755C"/>
    <w:rsid w:val="001C7563"/>
    <w:rsid w:val="001C7574"/>
    <w:rsid w:val="001C75ED"/>
    <w:rsid w:val="001C7630"/>
    <w:rsid w:val="001C7682"/>
    <w:rsid w:val="001C76C6"/>
    <w:rsid w:val="001C76DD"/>
    <w:rsid w:val="001C7721"/>
    <w:rsid w:val="001C774E"/>
    <w:rsid w:val="001C7840"/>
    <w:rsid w:val="001C78F9"/>
    <w:rsid w:val="001C7940"/>
    <w:rsid w:val="001C797B"/>
    <w:rsid w:val="001C798A"/>
    <w:rsid w:val="001C79E3"/>
    <w:rsid w:val="001C7A4A"/>
    <w:rsid w:val="001C7AF2"/>
    <w:rsid w:val="001C7B01"/>
    <w:rsid w:val="001C7BFA"/>
    <w:rsid w:val="001C7C09"/>
    <w:rsid w:val="001C7C31"/>
    <w:rsid w:val="001C7C7A"/>
    <w:rsid w:val="001C7CC9"/>
    <w:rsid w:val="001C7D18"/>
    <w:rsid w:val="001C7D1B"/>
    <w:rsid w:val="001C7D51"/>
    <w:rsid w:val="001C7D70"/>
    <w:rsid w:val="001C7E21"/>
    <w:rsid w:val="001C7E41"/>
    <w:rsid w:val="001C7EA2"/>
    <w:rsid w:val="001C7EC2"/>
    <w:rsid w:val="001C7FE5"/>
    <w:rsid w:val="001D0051"/>
    <w:rsid w:val="001D005A"/>
    <w:rsid w:val="001D009F"/>
    <w:rsid w:val="001D00F4"/>
    <w:rsid w:val="001D0111"/>
    <w:rsid w:val="001D022C"/>
    <w:rsid w:val="001D0277"/>
    <w:rsid w:val="001D027D"/>
    <w:rsid w:val="001D030E"/>
    <w:rsid w:val="001D033F"/>
    <w:rsid w:val="001D03B1"/>
    <w:rsid w:val="001D03EC"/>
    <w:rsid w:val="001D041B"/>
    <w:rsid w:val="001D0441"/>
    <w:rsid w:val="001D0469"/>
    <w:rsid w:val="001D0585"/>
    <w:rsid w:val="001D0672"/>
    <w:rsid w:val="001D0679"/>
    <w:rsid w:val="001D06C9"/>
    <w:rsid w:val="001D06D6"/>
    <w:rsid w:val="001D072E"/>
    <w:rsid w:val="001D0758"/>
    <w:rsid w:val="001D0790"/>
    <w:rsid w:val="001D07A9"/>
    <w:rsid w:val="001D07BD"/>
    <w:rsid w:val="001D0811"/>
    <w:rsid w:val="001D082B"/>
    <w:rsid w:val="001D0844"/>
    <w:rsid w:val="001D08E3"/>
    <w:rsid w:val="001D08EC"/>
    <w:rsid w:val="001D08F1"/>
    <w:rsid w:val="001D0963"/>
    <w:rsid w:val="001D0A77"/>
    <w:rsid w:val="001D0A96"/>
    <w:rsid w:val="001D0AC0"/>
    <w:rsid w:val="001D0B53"/>
    <w:rsid w:val="001D0E7B"/>
    <w:rsid w:val="001D0EA7"/>
    <w:rsid w:val="001D0ECE"/>
    <w:rsid w:val="001D0ED8"/>
    <w:rsid w:val="001D0F5B"/>
    <w:rsid w:val="001D0FA1"/>
    <w:rsid w:val="001D0FCC"/>
    <w:rsid w:val="001D103A"/>
    <w:rsid w:val="001D105D"/>
    <w:rsid w:val="001D110E"/>
    <w:rsid w:val="001D1172"/>
    <w:rsid w:val="001D11C5"/>
    <w:rsid w:val="001D1252"/>
    <w:rsid w:val="001D1289"/>
    <w:rsid w:val="001D12A4"/>
    <w:rsid w:val="001D12CE"/>
    <w:rsid w:val="001D135D"/>
    <w:rsid w:val="001D1383"/>
    <w:rsid w:val="001D14B4"/>
    <w:rsid w:val="001D14DA"/>
    <w:rsid w:val="001D1589"/>
    <w:rsid w:val="001D15A7"/>
    <w:rsid w:val="001D15AA"/>
    <w:rsid w:val="001D1635"/>
    <w:rsid w:val="001D17DF"/>
    <w:rsid w:val="001D1811"/>
    <w:rsid w:val="001D184C"/>
    <w:rsid w:val="001D185E"/>
    <w:rsid w:val="001D1862"/>
    <w:rsid w:val="001D1870"/>
    <w:rsid w:val="001D18BE"/>
    <w:rsid w:val="001D18FD"/>
    <w:rsid w:val="001D1977"/>
    <w:rsid w:val="001D19B7"/>
    <w:rsid w:val="001D19C7"/>
    <w:rsid w:val="001D1B5F"/>
    <w:rsid w:val="001D1B7C"/>
    <w:rsid w:val="001D1B94"/>
    <w:rsid w:val="001D1BAC"/>
    <w:rsid w:val="001D1D5A"/>
    <w:rsid w:val="001D1D68"/>
    <w:rsid w:val="001D1D90"/>
    <w:rsid w:val="001D1DA3"/>
    <w:rsid w:val="001D1DAD"/>
    <w:rsid w:val="001D1DB3"/>
    <w:rsid w:val="001D1DC4"/>
    <w:rsid w:val="001D1E51"/>
    <w:rsid w:val="001D1E66"/>
    <w:rsid w:val="001D1EA0"/>
    <w:rsid w:val="001D1EB1"/>
    <w:rsid w:val="001D1ED3"/>
    <w:rsid w:val="001D1FFA"/>
    <w:rsid w:val="001D201F"/>
    <w:rsid w:val="001D205B"/>
    <w:rsid w:val="001D2070"/>
    <w:rsid w:val="001D20A5"/>
    <w:rsid w:val="001D2105"/>
    <w:rsid w:val="001D22D1"/>
    <w:rsid w:val="001D2300"/>
    <w:rsid w:val="001D23B8"/>
    <w:rsid w:val="001D23D2"/>
    <w:rsid w:val="001D24B7"/>
    <w:rsid w:val="001D250B"/>
    <w:rsid w:val="001D254E"/>
    <w:rsid w:val="001D2567"/>
    <w:rsid w:val="001D266D"/>
    <w:rsid w:val="001D267A"/>
    <w:rsid w:val="001D277D"/>
    <w:rsid w:val="001D27B5"/>
    <w:rsid w:val="001D281F"/>
    <w:rsid w:val="001D284F"/>
    <w:rsid w:val="001D2859"/>
    <w:rsid w:val="001D2861"/>
    <w:rsid w:val="001D29F8"/>
    <w:rsid w:val="001D2A0C"/>
    <w:rsid w:val="001D2A9C"/>
    <w:rsid w:val="001D2B02"/>
    <w:rsid w:val="001D2B12"/>
    <w:rsid w:val="001D2BDD"/>
    <w:rsid w:val="001D2C0B"/>
    <w:rsid w:val="001D2C10"/>
    <w:rsid w:val="001D2D00"/>
    <w:rsid w:val="001D2D85"/>
    <w:rsid w:val="001D2E0E"/>
    <w:rsid w:val="001D2ECD"/>
    <w:rsid w:val="001D2FD3"/>
    <w:rsid w:val="001D2FFD"/>
    <w:rsid w:val="001D305A"/>
    <w:rsid w:val="001D3061"/>
    <w:rsid w:val="001D3081"/>
    <w:rsid w:val="001D309C"/>
    <w:rsid w:val="001D30E4"/>
    <w:rsid w:val="001D30E5"/>
    <w:rsid w:val="001D312D"/>
    <w:rsid w:val="001D312F"/>
    <w:rsid w:val="001D31BD"/>
    <w:rsid w:val="001D31C3"/>
    <w:rsid w:val="001D31D4"/>
    <w:rsid w:val="001D3212"/>
    <w:rsid w:val="001D32E5"/>
    <w:rsid w:val="001D3347"/>
    <w:rsid w:val="001D33AB"/>
    <w:rsid w:val="001D33CA"/>
    <w:rsid w:val="001D33F8"/>
    <w:rsid w:val="001D3413"/>
    <w:rsid w:val="001D345C"/>
    <w:rsid w:val="001D3465"/>
    <w:rsid w:val="001D34D0"/>
    <w:rsid w:val="001D3501"/>
    <w:rsid w:val="001D350F"/>
    <w:rsid w:val="001D3516"/>
    <w:rsid w:val="001D360A"/>
    <w:rsid w:val="001D3667"/>
    <w:rsid w:val="001D3766"/>
    <w:rsid w:val="001D37FE"/>
    <w:rsid w:val="001D3881"/>
    <w:rsid w:val="001D38B1"/>
    <w:rsid w:val="001D38BD"/>
    <w:rsid w:val="001D38E9"/>
    <w:rsid w:val="001D391F"/>
    <w:rsid w:val="001D3AE6"/>
    <w:rsid w:val="001D3B1F"/>
    <w:rsid w:val="001D3B42"/>
    <w:rsid w:val="001D3BE6"/>
    <w:rsid w:val="001D3C2A"/>
    <w:rsid w:val="001D3C62"/>
    <w:rsid w:val="001D3C6C"/>
    <w:rsid w:val="001D3D0F"/>
    <w:rsid w:val="001D3D82"/>
    <w:rsid w:val="001D3D9E"/>
    <w:rsid w:val="001D3DE1"/>
    <w:rsid w:val="001D3E1D"/>
    <w:rsid w:val="001D3E53"/>
    <w:rsid w:val="001D3EBD"/>
    <w:rsid w:val="001D40A2"/>
    <w:rsid w:val="001D40AB"/>
    <w:rsid w:val="001D4105"/>
    <w:rsid w:val="001D412D"/>
    <w:rsid w:val="001D41A8"/>
    <w:rsid w:val="001D4290"/>
    <w:rsid w:val="001D42A1"/>
    <w:rsid w:val="001D436F"/>
    <w:rsid w:val="001D43A5"/>
    <w:rsid w:val="001D443C"/>
    <w:rsid w:val="001D4460"/>
    <w:rsid w:val="001D4477"/>
    <w:rsid w:val="001D4479"/>
    <w:rsid w:val="001D450E"/>
    <w:rsid w:val="001D4574"/>
    <w:rsid w:val="001D45AF"/>
    <w:rsid w:val="001D4666"/>
    <w:rsid w:val="001D46A8"/>
    <w:rsid w:val="001D4715"/>
    <w:rsid w:val="001D47FA"/>
    <w:rsid w:val="001D486B"/>
    <w:rsid w:val="001D48DA"/>
    <w:rsid w:val="001D48E2"/>
    <w:rsid w:val="001D4905"/>
    <w:rsid w:val="001D4984"/>
    <w:rsid w:val="001D4A17"/>
    <w:rsid w:val="001D4A5C"/>
    <w:rsid w:val="001D4A84"/>
    <w:rsid w:val="001D4AC6"/>
    <w:rsid w:val="001D4B42"/>
    <w:rsid w:val="001D4B4E"/>
    <w:rsid w:val="001D4B60"/>
    <w:rsid w:val="001D4BC6"/>
    <w:rsid w:val="001D4BEB"/>
    <w:rsid w:val="001D4C0E"/>
    <w:rsid w:val="001D4C16"/>
    <w:rsid w:val="001D4C32"/>
    <w:rsid w:val="001D4C45"/>
    <w:rsid w:val="001D4C46"/>
    <w:rsid w:val="001D4C73"/>
    <w:rsid w:val="001D4CDD"/>
    <w:rsid w:val="001D4CDE"/>
    <w:rsid w:val="001D4D02"/>
    <w:rsid w:val="001D4D2A"/>
    <w:rsid w:val="001D4D61"/>
    <w:rsid w:val="001D4DAC"/>
    <w:rsid w:val="001D4DFE"/>
    <w:rsid w:val="001D4E4B"/>
    <w:rsid w:val="001D4E4D"/>
    <w:rsid w:val="001D4EF1"/>
    <w:rsid w:val="001D4F78"/>
    <w:rsid w:val="001D4F9B"/>
    <w:rsid w:val="001D4FAE"/>
    <w:rsid w:val="001D4FD8"/>
    <w:rsid w:val="001D50D9"/>
    <w:rsid w:val="001D516F"/>
    <w:rsid w:val="001D51A9"/>
    <w:rsid w:val="001D51B1"/>
    <w:rsid w:val="001D51E6"/>
    <w:rsid w:val="001D5244"/>
    <w:rsid w:val="001D5253"/>
    <w:rsid w:val="001D5284"/>
    <w:rsid w:val="001D528D"/>
    <w:rsid w:val="001D5291"/>
    <w:rsid w:val="001D5294"/>
    <w:rsid w:val="001D52E2"/>
    <w:rsid w:val="001D52E6"/>
    <w:rsid w:val="001D5359"/>
    <w:rsid w:val="001D53BC"/>
    <w:rsid w:val="001D545A"/>
    <w:rsid w:val="001D5485"/>
    <w:rsid w:val="001D5503"/>
    <w:rsid w:val="001D553C"/>
    <w:rsid w:val="001D5590"/>
    <w:rsid w:val="001D5649"/>
    <w:rsid w:val="001D5663"/>
    <w:rsid w:val="001D56EE"/>
    <w:rsid w:val="001D572C"/>
    <w:rsid w:val="001D57F6"/>
    <w:rsid w:val="001D5883"/>
    <w:rsid w:val="001D5889"/>
    <w:rsid w:val="001D58EB"/>
    <w:rsid w:val="001D591C"/>
    <w:rsid w:val="001D59C5"/>
    <w:rsid w:val="001D59DF"/>
    <w:rsid w:val="001D5A07"/>
    <w:rsid w:val="001D5A4E"/>
    <w:rsid w:val="001D5BCB"/>
    <w:rsid w:val="001D5C05"/>
    <w:rsid w:val="001D5C2A"/>
    <w:rsid w:val="001D5D0A"/>
    <w:rsid w:val="001D5D3C"/>
    <w:rsid w:val="001D5D77"/>
    <w:rsid w:val="001D5DD2"/>
    <w:rsid w:val="001D5E1C"/>
    <w:rsid w:val="001D5E44"/>
    <w:rsid w:val="001D5EF4"/>
    <w:rsid w:val="001D5F06"/>
    <w:rsid w:val="001D5F4F"/>
    <w:rsid w:val="001D5F57"/>
    <w:rsid w:val="001D5FA5"/>
    <w:rsid w:val="001D5FFD"/>
    <w:rsid w:val="001D608D"/>
    <w:rsid w:val="001D60C4"/>
    <w:rsid w:val="001D60DB"/>
    <w:rsid w:val="001D6139"/>
    <w:rsid w:val="001D6159"/>
    <w:rsid w:val="001D6183"/>
    <w:rsid w:val="001D6221"/>
    <w:rsid w:val="001D625D"/>
    <w:rsid w:val="001D62DE"/>
    <w:rsid w:val="001D639E"/>
    <w:rsid w:val="001D6454"/>
    <w:rsid w:val="001D6490"/>
    <w:rsid w:val="001D6535"/>
    <w:rsid w:val="001D65AF"/>
    <w:rsid w:val="001D65CE"/>
    <w:rsid w:val="001D65D2"/>
    <w:rsid w:val="001D65DF"/>
    <w:rsid w:val="001D6647"/>
    <w:rsid w:val="001D66CE"/>
    <w:rsid w:val="001D66FA"/>
    <w:rsid w:val="001D6743"/>
    <w:rsid w:val="001D6794"/>
    <w:rsid w:val="001D684D"/>
    <w:rsid w:val="001D687C"/>
    <w:rsid w:val="001D68EA"/>
    <w:rsid w:val="001D6904"/>
    <w:rsid w:val="001D6932"/>
    <w:rsid w:val="001D69D3"/>
    <w:rsid w:val="001D69DF"/>
    <w:rsid w:val="001D69E9"/>
    <w:rsid w:val="001D69F1"/>
    <w:rsid w:val="001D6A55"/>
    <w:rsid w:val="001D6AEA"/>
    <w:rsid w:val="001D6AF6"/>
    <w:rsid w:val="001D6B1F"/>
    <w:rsid w:val="001D6BBA"/>
    <w:rsid w:val="001D6D4F"/>
    <w:rsid w:val="001D6DF2"/>
    <w:rsid w:val="001D6E2C"/>
    <w:rsid w:val="001D6E76"/>
    <w:rsid w:val="001D6ED5"/>
    <w:rsid w:val="001D6F46"/>
    <w:rsid w:val="001D6F6E"/>
    <w:rsid w:val="001D6F70"/>
    <w:rsid w:val="001D6FD3"/>
    <w:rsid w:val="001D6FE3"/>
    <w:rsid w:val="001D6FF9"/>
    <w:rsid w:val="001D701D"/>
    <w:rsid w:val="001D7052"/>
    <w:rsid w:val="001D7146"/>
    <w:rsid w:val="001D71A8"/>
    <w:rsid w:val="001D71FE"/>
    <w:rsid w:val="001D7228"/>
    <w:rsid w:val="001D7286"/>
    <w:rsid w:val="001D728C"/>
    <w:rsid w:val="001D732A"/>
    <w:rsid w:val="001D7339"/>
    <w:rsid w:val="001D7366"/>
    <w:rsid w:val="001D736C"/>
    <w:rsid w:val="001D7387"/>
    <w:rsid w:val="001D73C5"/>
    <w:rsid w:val="001D7449"/>
    <w:rsid w:val="001D7501"/>
    <w:rsid w:val="001D754A"/>
    <w:rsid w:val="001D765D"/>
    <w:rsid w:val="001D76EA"/>
    <w:rsid w:val="001D777D"/>
    <w:rsid w:val="001D77BC"/>
    <w:rsid w:val="001D77BF"/>
    <w:rsid w:val="001D77D7"/>
    <w:rsid w:val="001D77E6"/>
    <w:rsid w:val="001D7811"/>
    <w:rsid w:val="001D78D5"/>
    <w:rsid w:val="001D7914"/>
    <w:rsid w:val="001D7995"/>
    <w:rsid w:val="001D79FC"/>
    <w:rsid w:val="001D7A02"/>
    <w:rsid w:val="001D7A95"/>
    <w:rsid w:val="001D7AA0"/>
    <w:rsid w:val="001D7AD3"/>
    <w:rsid w:val="001D7B24"/>
    <w:rsid w:val="001D7B52"/>
    <w:rsid w:val="001D7B77"/>
    <w:rsid w:val="001D7BBD"/>
    <w:rsid w:val="001D7C60"/>
    <w:rsid w:val="001D7CCE"/>
    <w:rsid w:val="001D7D37"/>
    <w:rsid w:val="001D7D4A"/>
    <w:rsid w:val="001D7E0E"/>
    <w:rsid w:val="001D7E63"/>
    <w:rsid w:val="001D7E9B"/>
    <w:rsid w:val="001D7EA2"/>
    <w:rsid w:val="001D7F20"/>
    <w:rsid w:val="001E0050"/>
    <w:rsid w:val="001E007D"/>
    <w:rsid w:val="001E01A7"/>
    <w:rsid w:val="001E02A9"/>
    <w:rsid w:val="001E02E3"/>
    <w:rsid w:val="001E03D6"/>
    <w:rsid w:val="001E0400"/>
    <w:rsid w:val="001E0416"/>
    <w:rsid w:val="001E0424"/>
    <w:rsid w:val="001E0468"/>
    <w:rsid w:val="001E0480"/>
    <w:rsid w:val="001E04C9"/>
    <w:rsid w:val="001E04D4"/>
    <w:rsid w:val="001E04E2"/>
    <w:rsid w:val="001E04EF"/>
    <w:rsid w:val="001E0541"/>
    <w:rsid w:val="001E05A6"/>
    <w:rsid w:val="001E0600"/>
    <w:rsid w:val="001E0663"/>
    <w:rsid w:val="001E066E"/>
    <w:rsid w:val="001E06E2"/>
    <w:rsid w:val="001E06EC"/>
    <w:rsid w:val="001E06F0"/>
    <w:rsid w:val="001E074E"/>
    <w:rsid w:val="001E07CD"/>
    <w:rsid w:val="001E0809"/>
    <w:rsid w:val="001E08C6"/>
    <w:rsid w:val="001E08F0"/>
    <w:rsid w:val="001E0938"/>
    <w:rsid w:val="001E0997"/>
    <w:rsid w:val="001E0A1B"/>
    <w:rsid w:val="001E0A20"/>
    <w:rsid w:val="001E0A5E"/>
    <w:rsid w:val="001E0A95"/>
    <w:rsid w:val="001E0B25"/>
    <w:rsid w:val="001E0BAB"/>
    <w:rsid w:val="001E0BDB"/>
    <w:rsid w:val="001E0C1F"/>
    <w:rsid w:val="001E0C95"/>
    <w:rsid w:val="001E0CA8"/>
    <w:rsid w:val="001E0CB9"/>
    <w:rsid w:val="001E0D79"/>
    <w:rsid w:val="001E0DD6"/>
    <w:rsid w:val="001E0DE4"/>
    <w:rsid w:val="001E0E05"/>
    <w:rsid w:val="001E0E51"/>
    <w:rsid w:val="001E0F31"/>
    <w:rsid w:val="001E0FBE"/>
    <w:rsid w:val="001E0FFE"/>
    <w:rsid w:val="001E1038"/>
    <w:rsid w:val="001E1040"/>
    <w:rsid w:val="001E108B"/>
    <w:rsid w:val="001E114A"/>
    <w:rsid w:val="001E116F"/>
    <w:rsid w:val="001E118D"/>
    <w:rsid w:val="001E1194"/>
    <w:rsid w:val="001E11A8"/>
    <w:rsid w:val="001E11B8"/>
    <w:rsid w:val="001E1229"/>
    <w:rsid w:val="001E1257"/>
    <w:rsid w:val="001E12CC"/>
    <w:rsid w:val="001E1313"/>
    <w:rsid w:val="001E143D"/>
    <w:rsid w:val="001E1464"/>
    <w:rsid w:val="001E146E"/>
    <w:rsid w:val="001E1485"/>
    <w:rsid w:val="001E1499"/>
    <w:rsid w:val="001E1560"/>
    <w:rsid w:val="001E15D7"/>
    <w:rsid w:val="001E15E2"/>
    <w:rsid w:val="001E162B"/>
    <w:rsid w:val="001E1638"/>
    <w:rsid w:val="001E1673"/>
    <w:rsid w:val="001E1686"/>
    <w:rsid w:val="001E1734"/>
    <w:rsid w:val="001E1792"/>
    <w:rsid w:val="001E17D5"/>
    <w:rsid w:val="001E17D9"/>
    <w:rsid w:val="001E17E9"/>
    <w:rsid w:val="001E180B"/>
    <w:rsid w:val="001E1833"/>
    <w:rsid w:val="001E185F"/>
    <w:rsid w:val="001E188A"/>
    <w:rsid w:val="001E188F"/>
    <w:rsid w:val="001E18E1"/>
    <w:rsid w:val="001E1926"/>
    <w:rsid w:val="001E1981"/>
    <w:rsid w:val="001E1A30"/>
    <w:rsid w:val="001E1A50"/>
    <w:rsid w:val="001E1A7A"/>
    <w:rsid w:val="001E1AE0"/>
    <w:rsid w:val="001E1AEA"/>
    <w:rsid w:val="001E1AED"/>
    <w:rsid w:val="001E1B1F"/>
    <w:rsid w:val="001E1B62"/>
    <w:rsid w:val="001E1B64"/>
    <w:rsid w:val="001E1BB3"/>
    <w:rsid w:val="001E1BC5"/>
    <w:rsid w:val="001E1C43"/>
    <w:rsid w:val="001E1C4D"/>
    <w:rsid w:val="001E1C51"/>
    <w:rsid w:val="001E1CBE"/>
    <w:rsid w:val="001E1D4C"/>
    <w:rsid w:val="001E1D86"/>
    <w:rsid w:val="001E1EC7"/>
    <w:rsid w:val="001E1F1C"/>
    <w:rsid w:val="001E1F49"/>
    <w:rsid w:val="001E1F7D"/>
    <w:rsid w:val="001E1FD4"/>
    <w:rsid w:val="001E1FFD"/>
    <w:rsid w:val="001E200D"/>
    <w:rsid w:val="001E2014"/>
    <w:rsid w:val="001E20D0"/>
    <w:rsid w:val="001E211E"/>
    <w:rsid w:val="001E21F9"/>
    <w:rsid w:val="001E2241"/>
    <w:rsid w:val="001E2279"/>
    <w:rsid w:val="001E22B3"/>
    <w:rsid w:val="001E231F"/>
    <w:rsid w:val="001E23C5"/>
    <w:rsid w:val="001E2481"/>
    <w:rsid w:val="001E251D"/>
    <w:rsid w:val="001E25DD"/>
    <w:rsid w:val="001E2652"/>
    <w:rsid w:val="001E2720"/>
    <w:rsid w:val="001E2819"/>
    <w:rsid w:val="001E289A"/>
    <w:rsid w:val="001E291E"/>
    <w:rsid w:val="001E2923"/>
    <w:rsid w:val="001E293E"/>
    <w:rsid w:val="001E297E"/>
    <w:rsid w:val="001E2997"/>
    <w:rsid w:val="001E29AF"/>
    <w:rsid w:val="001E29BE"/>
    <w:rsid w:val="001E29E4"/>
    <w:rsid w:val="001E2A00"/>
    <w:rsid w:val="001E2A2C"/>
    <w:rsid w:val="001E2A49"/>
    <w:rsid w:val="001E2AB4"/>
    <w:rsid w:val="001E2ABB"/>
    <w:rsid w:val="001E2BA9"/>
    <w:rsid w:val="001E2BD2"/>
    <w:rsid w:val="001E2C37"/>
    <w:rsid w:val="001E2C72"/>
    <w:rsid w:val="001E2CC3"/>
    <w:rsid w:val="001E2CEC"/>
    <w:rsid w:val="001E2D08"/>
    <w:rsid w:val="001E2D3F"/>
    <w:rsid w:val="001E2EA4"/>
    <w:rsid w:val="001E2EAE"/>
    <w:rsid w:val="001E2F5D"/>
    <w:rsid w:val="001E2F92"/>
    <w:rsid w:val="001E2FAA"/>
    <w:rsid w:val="001E3019"/>
    <w:rsid w:val="001E3060"/>
    <w:rsid w:val="001E307F"/>
    <w:rsid w:val="001E3095"/>
    <w:rsid w:val="001E30FF"/>
    <w:rsid w:val="001E3155"/>
    <w:rsid w:val="001E319B"/>
    <w:rsid w:val="001E3279"/>
    <w:rsid w:val="001E3298"/>
    <w:rsid w:val="001E33B1"/>
    <w:rsid w:val="001E33E1"/>
    <w:rsid w:val="001E33E3"/>
    <w:rsid w:val="001E33E7"/>
    <w:rsid w:val="001E341A"/>
    <w:rsid w:val="001E3440"/>
    <w:rsid w:val="001E34CA"/>
    <w:rsid w:val="001E34D4"/>
    <w:rsid w:val="001E3558"/>
    <w:rsid w:val="001E35C7"/>
    <w:rsid w:val="001E35FF"/>
    <w:rsid w:val="001E3615"/>
    <w:rsid w:val="001E3657"/>
    <w:rsid w:val="001E3877"/>
    <w:rsid w:val="001E38CA"/>
    <w:rsid w:val="001E38DB"/>
    <w:rsid w:val="001E38E1"/>
    <w:rsid w:val="001E3927"/>
    <w:rsid w:val="001E39A2"/>
    <w:rsid w:val="001E3A01"/>
    <w:rsid w:val="001E3AB3"/>
    <w:rsid w:val="001E3C40"/>
    <w:rsid w:val="001E3C96"/>
    <w:rsid w:val="001E3D34"/>
    <w:rsid w:val="001E3D6E"/>
    <w:rsid w:val="001E3D8D"/>
    <w:rsid w:val="001E3DB0"/>
    <w:rsid w:val="001E3DE3"/>
    <w:rsid w:val="001E3E65"/>
    <w:rsid w:val="001E3E9C"/>
    <w:rsid w:val="001E3EB8"/>
    <w:rsid w:val="001E3FE8"/>
    <w:rsid w:val="001E400C"/>
    <w:rsid w:val="001E4010"/>
    <w:rsid w:val="001E4071"/>
    <w:rsid w:val="001E409A"/>
    <w:rsid w:val="001E40A5"/>
    <w:rsid w:val="001E40AE"/>
    <w:rsid w:val="001E40B0"/>
    <w:rsid w:val="001E40D0"/>
    <w:rsid w:val="001E4107"/>
    <w:rsid w:val="001E41B6"/>
    <w:rsid w:val="001E41F5"/>
    <w:rsid w:val="001E4243"/>
    <w:rsid w:val="001E4299"/>
    <w:rsid w:val="001E42B6"/>
    <w:rsid w:val="001E42E7"/>
    <w:rsid w:val="001E42EE"/>
    <w:rsid w:val="001E4335"/>
    <w:rsid w:val="001E43D8"/>
    <w:rsid w:val="001E4458"/>
    <w:rsid w:val="001E44BD"/>
    <w:rsid w:val="001E44F4"/>
    <w:rsid w:val="001E44FE"/>
    <w:rsid w:val="001E454A"/>
    <w:rsid w:val="001E45AD"/>
    <w:rsid w:val="001E4610"/>
    <w:rsid w:val="001E464B"/>
    <w:rsid w:val="001E4657"/>
    <w:rsid w:val="001E472C"/>
    <w:rsid w:val="001E4780"/>
    <w:rsid w:val="001E47B7"/>
    <w:rsid w:val="001E47E1"/>
    <w:rsid w:val="001E47E5"/>
    <w:rsid w:val="001E4860"/>
    <w:rsid w:val="001E4982"/>
    <w:rsid w:val="001E4A48"/>
    <w:rsid w:val="001E4AC3"/>
    <w:rsid w:val="001E4C4C"/>
    <w:rsid w:val="001E4CAA"/>
    <w:rsid w:val="001E4D09"/>
    <w:rsid w:val="001E4D64"/>
    <w:rsid w:val="001E4DAB"/>
    <w:rsid w:val="001E4E09"/>
    <w:rsid w:val="001E4E2F"/>
    <w:rsid w:val="001E4EB4"/>
    <w:rsid w:val="001E4EC8"/>
    <w:rsid w:val="001E4ECB"/>
    <w:rsid w:val="001E4EE2"/>
    <w:rsid w:val="001E5015"/>
    <w:rsid w:val="001E5027"/>
    <w:rsid w:val="001E5053"/>
    <w:rsid w:val="001E50A0"/>
    <w:rsid w:val="001E512F"/>
    <w:rsid w:val="001E515A"/>
    <w:rsid w:val="001E5164"/>
    <w:rsid w:val="001E519D"/>
    <w:rsid w:val="001E51D3"/>
    <w:rsid w:val="001E521D"/>
    <w:rsid w:val="001E5221"/>
    <w:rsid w:val="001E52A6"/>
    <w:rsid w:val="001E5310"/>
    <w:rsid w:val="001E533D"/>
    <w:rsid w:val="001E53AC"/>
    <w:rsid w:val="001E53C7"/>
    <w:rsid w:val="001E53CA"/>
    <w:rsid w:val="001E540C"/>
    <w:rsid w:val="001E5495"/>
    <w:rsid w:val="001E54BB"/>
    <w:rsid w:val="001E5572"/>
    <w:rsid w:val="001E5576"/>
    <w:rsid w:val="001E55A6"/>
    <w:rsid w:val="001E55FC"/>
    <w:rsid w:val="001E5638"/>
    <w:rsid w:val="001E5695"/>
    <w:rsid w:val="001E56B8"/>
    <w:rsid w:val="001E56E0"/>
    <w:rsid w:val="001E5742"/>
    <w:rsid w:val="001E577F"/>
    <w:rsid w:val="001E57B9"/>
    <w:rsid w:val="001E57FD"/>
    <w:rsid w:val="001E5893"/>
    <w:rsid w:val="001E58F1"/>
    <w:rsid w:val="001E593B"/>
    <w:rsid w:val="001E5958"/>
    <w:rsid w:val="001E5AC1"/>
    <w:rsid w:val="001E5AFD"/>
    <w:rsid w:val="001E5BD9"/>
    <w:rsid w:val="001E5BE6"/>
    <w:rsid w:val="001E5CDB"/>
    <w:rsid w:val="001E5D6D"/>
    <w:rsid w:val="001E5DD0"/>
    <w:rsid w:val="001E5E23"/>
    <w:rsid w:val="001E5E9F"/>
    <w:rsid w:val="001E5ECE"/>
    <w:rsid w:val="001E5EF7"/>
    <w:rsid w:val="001E5FAE"/>
    <w:rsid w:val="001E5FD7"/>
    <w:rsid w:val="001E60BD"/>
    <w:rsid w:val="001E6115"/>
    <w:rsid w:val="001E628F"/>
    <w:rsid w:val="001E63B6"/>
    <w:rsid w:val="001E63E6"/>
    <w:rsid w:val="001E6431"/>
    <w:rsid w:val="001E6446"/>
    <w:rsid w:val="001E6478"/>
    <w:rsid w:val="001E6492"/>
    <w:rsid w:val="001E64A6"/>
    <w:rsid w:val="001E64FD"/>
    <w:rsid w:val="001E6600"/>
    <w:rsid w:val="001E6613"/>
    <w:rsid w:val="001E6658"/>
    <w:rsid w:val="001E6668"/>
    <w:rsid w:val="001E6689"/>
    <w:rsid w:val="001E66C0"/>
    <w:rsid w:val="001E66F8"/>
    <w:rsid w:val="001E67BF"/>
    <w:rsid w:val="001E6800"/>
    <w:rsid w:val="001E6834"/>
    <w:rsid w:val="001E684F"/>
    <w:rsid w:val="001E6863"/>
    <w:rsid w:val="001E687A"/>
    <w:rsid w:val="001E6965"/>
    <w:rsid w:val="001E699B"/>
    <w:rsid w:val="001E69E8"/>
    <w:rsid w:val="001E6B03"/>
    <w:rsid w:val="001E6B04"/>
    <w:rsid w:val="001E6C72"/>
    <w:rsid w:val="001E6C7D"/>
    <w:rsid w:val="001E6CDC"/>
    <w:rsid w:val="001E6CDD"/>
    <w:rsid w:val="001E6CF1"/>
    <w:rsid w:val="001E6CFE"/>
    <w:rsid w:val="001E6D2D"/>
    <w:rsid w:val="001E6D53"/>
    <w:rsid w:val="001E6D93"/>
    <w:rsid w:val="001E6DA3"/>
    <w:rsid w:val="001E6DED"/>
    <w:rsid w:val="001E6E08"/>
    <w:rsid w:val="001E6EB3"/>
    <w:rsid w:val="001E6F51"/>
    <w:rsid w:val="001E6FA0"/>
    <w:rsid w:val="001E6FAA"/>
    <w:rsid w:val="001E7033"/>
    <w:rsid w:val="001E7069"/>
    <w:rsid w:val="001E7077"/>
    <w:rsid w:val="001E70B3"/>
    <w:rsid w:val="001E70C8"/>
    <w:rsid w:val="001E70CF"/>
    <w:rsid w:val="001E70D8"/>
    <w:rsid w:val="001E70F6"/>
    <w:rsid w:val="001E7101"/>
    <w:rsid w:val="001E7149"/>
    <w:rsid w:val="001E715B"/>
    <w:rsid w:val="001E7162"/>
    <w:rsid w:val="001E7182"/>
    <w:rsid w:val="001E71A7"/>
    <w:rsid w:val="001E71C1"/>
    <w:rsid w:val="001E7204"/>
    <w:rsid w:val="001E722B"/>
    <w:rsid w:val="001E724B"/>
    <w:rsid w:val="001E72C3"/>
    <w:rsid w:val="001E7328"/>
    <w:rsid w:val="001E7499"/>
    <w:rsid w:val="001E74CF"/>
    <w:rsid w:val="001E752C"/>
    <w:rsid w:val="001E7543"/>
    <w:rsid w:val="001E75FB"/>
    <w:rsid w:val="001E7605"/>
    <w:rsid w:val="001E76D1"/>
    <w:rsid w:val="001E772B"/>
    <w:rsid w:val="001E7747"/>
    <w:rsid w:val="001E776F"/>
    <w:rsid w:val="001E7816"/>
    <w:rsid w:val="001E781C"/>
    <w:rsid w:val="001E7821"/>
    <w:rsid w:val="001E7853"/>
    <w:rsid w:val="001E7884"/>
    <w:rsid w:val="001E78B8"/>
    <w:rsid w:val="001E78C4"/>
    <w:rsid w:val="001E78D0"/>
    <w:rsid w:val="001E78EA"/>
    <w:rsid w:val="001E79AA"/>
    <w:rsid w:val="001E79B0"/>
    <w:rsid w:val="001E79B5"/>
    <w:rsid w:val="001E7A31"/>
    <w:rsid w:val="001E7A63"/>
    <w:rsid w:val="001E7A7B"/>
    <w:rsid w:val="001E7AC9"/>
    <w:rsid w:val="001E7AF7"/>
    <w:rsid w:val="001E7B0D"/>
    <w:rsid w:val="001E7BA0"/>
    <w:rsid w:val="001E7BD1"/>
    <w:rsid w:val="001E7C64"/>
    <w:rsid w:val="001E7C7D"/>
    <w:rsid w:val="001E7C84"/>
    <w:rsid w:val="001E7C9E"/>
    <w:rsid w:val="001E7CE0"/>
    <w:rsid w:val="001E7CE2"/>
    <w:rsid w:val="001E7CF4"/>
    <w:rsid w:val="001E7D21"/>
    <w:rsid w:val="001E7D3C"/>
    <w:rsid w:val="001E7D68"/>
    <w:rsid w:val="001E7D70"/>
    <w:rsid w:val="001E7D80"/>
    <w:rsid w:val="001E7E84"/>
    <w:rsid w:val="001E7E89"/>
    <w:rsid w:val="001E7EA1"/>
    <w:rsid w:val="001E7ECA"/>
    <w:rsid w:val="001E7F8C"/>
    <w:rsid w:val="001E7FB5"/>
    <w:rsid w:val="001F002B"/>
    <w:rsid w:val="001F009C"/>
    <w:rsid w:val="001F00C0"/>
    <w:rsid w:val="001F00CF"/>
    <w:rsid w:val="001F00FA"/>
    <w:rsid w:val="001F0100"/>
    <w:rsid w:val="001F010F"/>
    <w:rsid w:val="001F0112"/>
    <w:rsid w:val="001F011E"/>
    <w:rsid w:val="001F0174"/>
    <w:rsid w:val="001F01AF"/>
    <w:rsid w:val="001F023F"/>
    <w:rsid w:val="001F0252"/>
    <w:rsid w:val="001F02C9"/>
    <w:rsid w:val="001F02E6"/>
    <w:rsid w:val="001F035C"/>
    <w:rsid w:val="001F0365"/>
    <w:rsid w:val="001F036F"/>
    <w:rsid w:val="001F03CC"/>
    <w:rsid w:val="001F0412"/>
    <w:rsid w:val="001F04CC"/>
    <w:rsid w:val="001F050D"/>
    <w:rsid w:val="001F06E9"/>
    <w:rsid w:val="001F07DB"/>
    <w:rsid w:val="001F084A"/>
    <w:rsid w:val="001F088D"/>
    <w:rsid w:val="001F08C4"/>
    <w:rsid w:val="001F08FE"/>
    <w:rsid w:val="001F091A"/>
    <w:rsid w:val="001F0923"/>
    <w:rsid w:val="001F0930"/>
    <w:rsid w:val="001F0A2F"/>
    <w:rsid w:val="001F0AB7"/>
    <w:rsid w:val="001F0AF9"/>
    <w:rsid w:val="001F0B42"/>
    <w:rsid w:val="001F0BB5"/>
    <w:rsid w:val="001F0C4B"/>
    <w:rsid w:val="001F0C8F"/>
    <w:rsid w:val="001F0CB2"/>
    <w:rsid w:val="001F0CB8"/>
    <w:rsid w:val="001F0D0F"/>
    <w:rsid w:val="001F0D3A"/>
    <w:rsid w:val="001F0E15"/>
    <w:rsid w:val="001F0E73"/>
    <w:rsid w:val="001F0F01"/>
    <w:rsid w:val="001F0F1E"/>
    <w:rsid w:val="001F0F2E"/>
    <w:rsid w:val="001F0F45"/>
    <w:rsid w:val="001F0FE3"/>
    <w:rsid w:val="001F0FEE"/>
    <w:rsid w:val="001F100E"/>
    <w:rsid w:val="001F1017"/>
    <w:rsid w:val="001F1024"/>
    <w:rsid w:val="001F102C"/>
    <w:rsid w:val="001F1059"/>
    <w:rsid w:val="001F1073"/>
    <w:rsid w:val="001F1103"/>
    <w:rsid w:val="001F1160"/>
    <w:rsid w:val="001F1263"/>
    <w:rsid w:val="001F1271"/>
    <w:rsid w:val="001F12AC"/>
    <w:rsid w:val="001F12BC"/>
    <w:rsid w:val="001F130B"/>
    <w:rsid w:val="001F1348"/>
    <w:rsid w:val="001F1438"/>
    <w:rsid w:val="001F144F"/>
    <w:rsid w:val="001F1450"/>
    <w:rsid w:val="001F145C"/>
    <w:rsid w:val="001F148E"/>
    <w:rsid w:val="001F152C"/>
    <w:rsid w:val="001F1550"/>
    <w:rsid w:val="001F1602"/>
    <w:rsid w:val="001F1654"/>
    <w:rsid w:val="001F1698"/>
    <w:rsid w:val="001F16AF"/>
    <w:rsid w:val="001F16D6"/>
    <w:rsid w:val="001F1727"/>
    <w:rsid w:val="001F179D"/>
    <w:rsid w:val="001F17C9"/>
    <w:rsid w:val="001F1811"/>
    <w:rsid w:val="001F1815"/>
    <w:rsid w:val="001F184A"/>
    <w:rsid w:val="001F1870"/>
    <w:rsid w:val="001F18AF"/>
    <w:rsid w:val="001F1902"/>
    <w:rsid w:val="001F1966"/>
    <w:rsid w:val="001F19A2"/>
    <w:rsid w:val="001F1A58"/>
    <w:rsid w:val="001F1A91"/>
    <w:rsid w:val="001F1B45"/>
    <w:rsid w:val="001F1B50"/>
    <w:rsid w:val="001F1B5D"/>
    <w:rsid w:val="001F1BE7"/>
    <w:rsid w:val="001F1BEA"/>
    <w:rsid w:val="001F1C14"/>
    <w:rsid w:val="001F1C1A"/>
    <w:rsid w:val="001F1C4B"/>
    <w:rsid w:val="001F1C5A"/>
    <w:rsid w:val="001F1CA0"/>
    <w:rsid w:val="001F1D17"/>
    <w:rsid w:val="001F1D69"/>
    <w:rsid w:val="001F1DCF"/>
    <w:rsid w:val="001F1DF0"/>
    <w:rsid w:val="001F1E76"/>
    <w:rsid w:val="001F1E85"/>
    <w:rsid w:val="001F1EB2"/>
    <w:rsid w:val="001F1F5F"/>
    <w:rsid w:val="001F1FA7"/>
    <w:rsid w:val="001F201D"/>
    <w:rsid w:val="001F207D"/>
    <w:rsid w:val="001F208D"/>
    <w:rsid w:val="001F2141"/>
    <w:rsid w:val="001F216A"/>
    <w:rsid w:val="001F22EE"/>
    <w:rsid w:val="001F230B"/>
    <w:rsid w:val="001F2434"/>
    <w:rsid w:val="001F244A"/>
    <w:rsid w:val="001F248C"/>
    <w:rsid w:val="001F24C5"/>
    <w:rsid w:val="001F2519"/>
    <w:rsid w:val="001F25D1"/>
    <w:rsid w:val="001F2617"/>
    <w:rsid w:val="001F2698"/>
    <w:rsid w:val="001F26AD"/>
    <w:rsid w:val="001F26B7"/>
    <w:rsid w:val="001F26F3"/>
    <w:rsid w:val="001F2725"/>
    <w:rsid w:val="001F2783"/>
    <w:rsid w:val="001F2791"/>
    <w:rsid w:val="001F27AF"/>
    <w:rsid w:val="001F27B6"/>
    <w:rsid w:val="001F27C7"/>
    <w:rsid w:val="001F2815"/>
    <w:rsid w:val="001F2847"/>
    <w:rsid w:val="001F2869"/>
    <w:rsid w:val="001F2A51"/>
    <w:rsid w:val="001F2A5A"/>
    <w:rsid w:val="001F2A8A"/>
    <w:rsid w:val="001F2A8B"/>
    <w:rsid w:val="001F2BC4"/>
    <w:rsid w:val="001F2C27"/>
    <w:rsid w:val="001F2C97"/>
    <w:rsid w:val="001F2CA7"/>
    <w:rsid w:val="001F2CB0"/>
    <w:rsid w:val="001F2CB6"/>
    <w:rsid w:val="001F2DC6"/>
    <w:rsid w:val="001F2E1F"/>
    <w:rsid w:val="001F2E8D"/>
    <w:rsid w:val="001F2E94"/>
    <w:rsid w:val="001F2EC9"/>
    <w:rsid w:val="001F2F58"/>
    <w:rsid w:val="001F2FA6"/>
    <w:rsid w:val="001F2FA9"/>
    <w:rsid w:val="001F3100"/>
    <w:rsid w:val="001F310D"/>
    <w:rsid w:val="001F314B"/>
    <w:rsid w:val="001F317D"/>
    <w:rsid w:val="001F32A5"/>
    <w:rsid w:val="001F32E4"/>
    <w:rsid w:val="001F3364"/>
    <w:rsid w:val="001F339E"/>
    <w:rsid w:val="001F33B6"/>
    <w:rsid w:val="001F342F"/>
    <w:rsid w:val="001F3483"/>
    <w:rsid w:val="001F3487"/>
    <w:rsid w:val="001F34AD"/>
    <w:rsid w:val="001F35F2"/>
    <w:rsid w:val="001F35FC"/>
    <w:rsid w:val="001F3609"/>
    <w:rsid w:val="001F366C"/>
    <w:rsid w:val="001F3715"/>
    <w:rsid w:val="001F3728"/>
    <w:rsid w:val="001F373E"/>
    <w:rsid w:val="001F375B"/>
    <w:rsid w:val="001F37D2"/>
    <w:rsid w:val="001F389F"/>
    <w:rsid w:val="001F3979"/>
    <w:rsid w:val="001F399C"/>
    <w:rsid w:val="001F39CB"/>
    <w:rsid w:val="001F39EA"/>
    <w:rsid w:val="001F39EB"/>
    <w:rsid w:val="001F3A14"/>
    <w:rsid w:val="001F3AD0"/>
    <w:rsid w:val="001F3B20"/>
    <w:rsid w:val="001F3B66"/>
    <w:rsid w:val="001F3B88"/>
    <w:rsid w:val="001F3C45"/>
    <w:rsid w:val="001F3CC9"/>
    <w:rsid w:val="001F3CF6"/>
    <w:rsid w:val="001F3D6C"/>
    <w:rsid w:val="001F3D6D"/>
    <w:rsid w:val="001F3D82"/>
    <w:rsid w:val="001F3DB0"/>
    <w:rsid w:val="001F3E49"/>
    <w:rsid w:val="001F3ED5"/>
    <w:rsid w:val="001F3F0F"/>
    <w:rsid w:val="001F3F7F"/>
    <w:rsid w:val="001F3FC9"/>
    <w:rsid w:val="001F3FEB"/>
    <w:rsid w:val="001F4130"/>
    <w:rsid w:val="001F4168"/>
    <w:rsid w:val="001F425A"/>
    <w:rsid w:val="001F4280"/>
    <w:rsid w:val="001F4284"/>
    <w:rsid w:val="001F42D9"/>
    <w:rsid w:val="001F42E9"/>
    <w:rsid w:val="001F4315"/>
    <w:rsid w:val="001F43EE"/>
    <w:rsid w:val="001F4488"/>
    <w:rsid w:val="001F44B2"/>
    <w:rsid w:val="001F44B3"/>
    <w:rsid w:val="001F44D5"/>
    <w:rsid w:val="001F4583"/>
    <w:rsid w:val="001F45B6"/>
    <w:rsid w:val="001F45DE"/>
    <w:rsid w:val="001F4688"/>
    <w:rsid w:val="001F46CD"/>
    <w:rsid w:val="001F46E7"/>
    <w:rsid w:val="001F46FC"/>
    <w:rsid w:val="001F479F"/>
    <w:rsid w:val="001F47FC"/>
    <w:rsid w:val="001F4880"/>
    <w:rsid w:val="001F48E1"/>
    <w:rsid w:val="001F491C"/>
    <w:rsid w:val="001F492F"/>
    <w:rsid w:val="001F4961"/>
    <w:rsid w:val="001F4983"/>
    <w:rsid w:val="001F49A0"/>
    <w:rsid w:val="001F4AB4"/>
    <w:rsid w:val="001F4AB5"/>
    <w:rsid w:val="001F4B2A"/>
    <w:rsid w:val="001F4B2C"/>
    <w:rsid w:val="001F4B61"/>
    <w:rsid w:val="001F4B7E"/>
    <w:rsid w:val="001F4B84"/>
    <w:rsid w:val="001F4B8B"/>
    <w:rsid w:val="001F4BA0"/>
    <w:rsid w:val="001F4C28"/>
    <w:rsid w:val="001F4C5D"/>
    <w:rsid w:val="001F4C6E"/>
    <w:rsid w:val="001F4D19"/>
    <w:rsid w:val="001F4DB7"/>
    <w:rsid w:val="001F4EB5"/>
    <w:rsid w:val="001F4EC5"/>
    <w:rsid w:val="001F4F42"/>
    <w:rsid w:val="001F4F6A"/>
    <w:rsid w:val="001F4FAE"/>
    <w:rsid w:val="001F4FE1"/>
    <w:rsid w:val="001F4FE5"/>
    <w:rsid w:val="001F503B"/>
    <w:rsid w:val="001F50AD"/>
    <w:rsid w:val="001F50D7"/>
    <w:rsid w:val="001F5231"/>
    <w:rsid w:val="001F523C"/>
    <w:rsid w:val="001F525D"/>
    <w:rsid w:val="001F52B6"/>
    <w:rsid w:val="001F52D4"/>
    <w:rsid w:val="001F5319"/>
    <w:rsid w:val="001F531D"/>
    <w:rsid w:val="001F5360"/>
    <w:rsid w:val="001F53FB"/>
    <w:rsid w:val="001F544E"/>
    <w:rsid w:val="001F5482"/>
    <w:rsid w:val="001F55F6"/>
    <w:rsid w:val="001F5696"/>
    <w:rsid w:val="001F56B6"/>
    <w:rsid w:val="001F595D"/>
    <w:rsid w:val="001F5A86"/>
    <w:rsid w:val="001F5AE2"/>
    <w:rsid w:val="001F5AE7"/>
    <w:rsid w:val="001F5B2B"/>
    <w:rsid w:val="001F5B6B"/>
    <w:rsid w:val="001F5D0D"/>
    <w:rsid w:val="001F5D27"/>
    <w:rsid w:val="001F5D29"/>
    <w:rsid w:val="001F5D2E"/>
    <w:rsid w:val="001F5D44"/>
    <w:rsid w:val="001F5DDC"/>
    <w:rsid w:val="001F5E0A"/>
    <w:rsid w:val="001F5E77"/>
    <w:rsid w:val="001F5EF0"/>
    <w:rsid w:val="001F5F15"/>
    <w:rsid w:val="001F5F21"/>
    <w:rsid w:val="001F601A"/>
    <w:rsid w:val="001F6029"/>
    <w:rsid w:val="001F604E"/>
    <w:rsid w:val="001F615F"/>
    <w:rsid w:val="001F619A"/>
    <w:rsid w:val="001F61DE"/>
    <w:rsid w:val="001F6223"/>
    <w:rsid w:val="001F622B"/>
    <w:rsid w:val="001F6274"/>
    <w:rsid w:val="001F6287"/>
    <w:rsid w:val="001F62B0"/>
    <w:rsid w:val="001F62B9"/>
    <w:rsid w:val="001F62C2"/>
    <w:rsid w:val="001F6313"/>
    <w:rsid w:val="001F6380"/>
    <w:rsid w:val="001F6394"/>
    <w:rsid w:val="001F63D5"/>
    <w:rsid w:val="001F649F"/>
    <w:rsid w:val="001F65F3"/>
    <w:rsid w:val="001F664E"/>
    <w:rsid w:val="001F6664"/>
    <w:rsid w:val="001F6685"/>
    <w:rsid w:val="001F669A"/>
    <w:rsid w:val="001F66C1"/>
    <w:rsid w:val="001F6724"/>
    <w:rsid w:val="001F6782"/>
    <w:rsid w:val="001F67AD"/>
    <w:rsid w:val="001F698C"/>
    <w:rsid w:val="001F69E8"/>
    <w:rsid w:val="001F69F7"/>
    <w:rsid w:val="001F6A5C"/>
    <w:rsid w:val="001F6B39"/>
    <w:rsid w:val="001F6B8D"/>
    <w:rsid w:val="001F6B8E"/>
    <w:rsid w:val="001F6C44"/>
    <w:rsid w:val="001F6C51"/>
    <w:rsid w:val="001F6C5F"/>
    <w:rsid w:val="001F6C6E"/>
    <w:rsid w:val="001F6CB3"/>
    <w:rsid w:val="001F6CD1"/>
    <w:rsid w:val="001F6CDE"/>
    <w:rsid w:val="001F6CF5"/>
    <w:rsid w:val="001F6D0B"/>
    <w:rsid w:val="001F6DC1"/>
    <w:rsid w:val="001F6F15"/>
    <w:rsid w:val="001F6FB6"/>
    <w:rsid w:val="001F6FF7"/>
    <w:rsid w:val="001F7095"/>
    <w:rsid w:val="001F70FF"/>
    <w:rsid w:val="001F7119"/>
    <w:rsid w:val="001F7159"/>
    <w:rsid w:val="001F7191"/>
    <w:rsid w:val="001F71E6"/>
    <w:rsid w:val="001F7215"/>
    <w:rsid w:val="001F7293"/>
    <w:rsid w:val="001F7356"/>
    <w:rsid w:val="001F736C"/>
    <w:rsid w:val="001F7387"/>
    <w:rsid w:val="001F738A"/>
    <w:rsid w:val="001F758F"/>
    <w:rsid w:val="001F766F"/>
    <w:rsid w:val="001F76CD"/>
    <w:rsid w:val="001F76F2"/>
    <w:rsid w:val="001F7703"/>
    <w:rsid w:val="001F77BC"/>
    <w:rsid w:val="001F77CA"/>
    <w:rsid w:val="001F7833"/>
    <w:rsid w:val="001F7835"/>
    <w:rsid w:val="001F783D"/>
    <w:rsid w:val="001F789F"/>
    <w:rsid w:val="001F78BE"/>
    <w:rsid w:val="001F78FF"/>
    <w:rsid w:val="001F79CD"/>
    <w:rsid w:val="001F7AF9"/>
    <w:rsid w:val="001F7B0E"/>
    <w:rsid w:val="001F7C1E"/>
    <w:rsid w:val="001F7C59"/>
    <w:rsid w:val="001F7CB4"/>
    <w:rsid w:val="001F7CBE"/>
    <w:rsid w:val="001F7CE2"/>
    <w:rsid w:val="001F7D16"/>
    <w:rsid w:val="001F7E07"/>
    <w:rsid w:val="001F7F0C"/>
    <w:rsid w:val="00200040"/>
    <w:rsid w:val="00200130"/>
    <w:rsid w:val="00200181"/>
    <w:rsid w:val="002001E0"/>
    <w:rsid w:val="002001F3"/>
    <w:rsid w:val="002001FA"/>
    <w:rsid w:val="00200232"/>
    <w:rsid w:val="0020028D"/>
    <w:rsid w:val="002003E1"/>
    <w:rsid w:val="002003E7"/>
    <w:rsid w:val="0020046F"/>
    <w:rsid w:val="0020051A"/>
    <w:rsid w:val="00200531"/>
    <w:rsid w:val="002005AC"/>
    <w:rsid w:val="002005D0"/>
    <w:rsid w:val="0020064A"/>
    <w:rsid w:val="002006D9"/>
    <w:rsid w:val="00200708"/>
    <w:rsid w:val="0020070C"/>
    <w:rsid w:val="00200721"/>
    <w:rsid w:val="00200745"/>
    <w:rsid w:val="00200760"/>
    <w:rsid w:val="002007F9"/>
    <w:rsid w:val="002007FE"/>
    <w:rsid w:val="0020080D"/>
    <w:rsid w:val="002008DF"/>
    <w:rsid w:val="0020092D"/>
    <w:rsid w:val="00200A8A"/>
    <w:rsid w:val="00200B41"/>
    <w:rsid w:val="00200B5E"/>
    <w:rsid w:val="00200B60"/>
    <w:rsid w:val="00200BC1"/>
    <w:rsid w:val="00200C0D"/>
    <w:rsid w:val="00200CD6"/>
    <w:rsid w:val="00200D45"/>
    <w:rsid w:val="00200DC5"/>
    <w:rsid w:val="00200DE7"/>
    <w:rsid w:val="00200DF9"/>
    <w:rsid w:val="00200E2D"/>
    <w:rsid w:val="00200E54"/>
    <w:rsid w:val="00200EA9"/>
    <w:rsid w:val="00200EE8"/>
    <w:rsid w:val="00200F38"/>
    <w:rsid w:val="00200F98"/>
    <w:rsid w:val="00201025"/>
    <w:rsid w:val="00201055"/>
    <w:rsid w:val="00201076"/>
    <w:rsid w:val="00201157"/>
    <w:rsid w:val="00201162"/>
    <w:rsid w:val="002011B1"/>
    <w:rsid w:val="00201278"/>
    <w:rsid w:val="00201286"/>
    <w:rsid w:val="002012ED"/>
    <w:rsid w:val="00201310"/>
    <w:rsid w:val="002013E2"/>
    <w:rsid w:val="0020140F"/>
    <w:rsid w:val="0020144B"/>
    <w:rsid w:val="0020147D"/>
    <w:rsid w:val="002014E4"/>
    <w:rsid w:val="0020153B"/>
    <w:rsid w:val="002015BE"/>
    <w:rsid w:val="00201636"/>
    <w:rsid w:val="002016E6"/>
    <w:rsid w:val="002016EF"/>
    <w:rsid w:val="0020176B"/>
    <w:rsid w:val="002017DD"/>
    <w:rsid w:val="002018C5"/>
    <w:rsid w:val="002018F4"/>
    <w:rsid w:val="002019A0"/>
    <w:rsid w:val="002019DA"/>
    <w:rsid w:val="002019EC"/>
    <w:rsid w:val="00201A90"/>
    <w:rsid w:val="00201BF2"/>
    <w:rsid w:val="00201C94"/>
    <w:rsid w:val="00201D8D"/>
    <w:rsid w:val="00201E1A"/>
    <w:rsid w:val="00201E2C"/>
    <w:rsid w:val="00201E54"/>
    <w:rsid w:val="00201E92"/>
    <w:rsid w:val="00201EB9"/>
    <w:rsid w:val="00201ED9"/>
    <w:rsid w:val="00201EDC"/>
    <w:rsid w:val="00201FAB"/>
    <w:rsid w:val="00201FEE"/>
    <w:rsid w:val="0020201F"/>
    <w:rsid w:val="00202084"/>
    <w:rsid w:val="002020B4"/>
    <w:rsid w:val="002020D2"/>
    <w:rsid w:val="002020DA"/>
    <w:rsid w:val="002020F0"/>
    <w:rsid w:val="00202146"/>
    <w:rsid w:val="0020228D"/>
    <w:rsid w:val="002022A3"/>
    <w:rsid w:val="002022C8"/>
    <w:rsid w:val="00202356"/>
    <w:rsid w:val="00202441"/>
    <w:rsid w:val="00202465"/>
    <w:rsid w:val="002024BD"/>
    <w:rsid w:val="002024E2"/>
    <w:rsid w:val="00202515"/>
    <w:rsid w:val="002027B6"/>
    <w:rsid w:val="00202908"/>
    <w:rsid w:val="00202970"/>
    <w:rsid w:val="00202975"/>
    <w:rsid w:val="00202A2C"/>
    <w:rsid w:val="00202A3E"/>
    <w:rsid w:val="00202A43"/>
    <w:rsid w:val="00202A7C"/>
    <w:rsid w:val="00202ABF"/>
    <w:rsid w:val="00202B31"/>
    <w:rsid w:val="00202B8A"/>
    <w:rsid w:val="00202BA8"/>
    <w:rsid w:val="00202C15"/>
    <w:rsid w:val="00202CBD"/>
    <w:rsid w:val="00202D29"/>
    <w:rsid w:val="00202D39"/>
    <w:rsid w:val="00202D82"/>
    <w:rsid w:val="00202DC8"/>
    <w:rsid w:val="00202EEB"/>
    <w:rsid w:val="00202F91"/>
    <w:rsid w:val="00202FC8"/>
    <w:rsid w:val="00202FCA"/>
    <w:rsid w:val="00203009"/>
    <w:rsid w:val="00203091"/>
    <w:rsid w:val="002030AC"/>
    <w:rsid w:val="002030FA"/>
    <w:rsid w:val="002031FA"/>
    <w:rsid w:val="002031FC"/>
    <w:rsid w:val="00203277"/>
    <w:rsid w:val="002032EC"/>
    <w:rsid w:val="00203320"/>
    <w:rsid w:val="00203369"/>
    <w:rsid w:val="0020336C"/>
    <w:rsid w:val="002033A6"/>
    <w:rsid w:val="002033EC"/>
    <w:rsid w:val="0020340F"/>
    <w:rsid w:val="00203417"/>
    <w:rsid w:val="00203422"/>
    <w:rsid w:val="00203537"/>
    <w:rsid w:val="00203547"/>
    <w:rsid w:val="0020355E"/>
    <w:rsid w:val="0020359E"/>
    <w:rsid w:val="002035D6"/>
    <w:rsid w:val="00203638"/>
    <w:rsid w:val="00203651"/>
    <w:rsid w:val="00203689"/>
    <w:rsid w:val="00203706"/>
    <w:rsid w:val="0020373F"/>
    <w:rsid w:val="002037E9"/>
    <w:rsid w:val="00203821"/>
    <w:rsid w:val="00203848"/>
    <w:rsid w:val="0020392F"/>
    <w:rsid w:val="00203986"/>
    <w:rsid w:val="002039C6"/>
    <w:rsid w:val="002039EB"/>
    <w:rsid w:val="002039F7"/>
    <w:rsid w:val="00203A72"/>
    <w:rsid w:val="00203ADD"/>
    <w:rsid w:val="00203BA0"/>
    <w:rsid w:val="00203C38"/>
    <w:rsid w:val="00203CBA"/>
    <w:rsid w:val="00203D1B"/>
    <w:rsid w:val="00203DB9"/>
    <w:rsid w:val="00203DD0"/>
    <w:rsid w:val="00203E13"/>
    <w:rsid w:val="00203EF0"/>
    <w:rsid w:val="00203F39"/>
    <w:rsid w:val="00203F3E"/>
    <w:rsid w:val="00203F70"/>
    <w:rsid w:val="00203FF4"/>
    <w:rsid w:val="002040A8"/>
    <w:rsid w:val="002040B2"/>
    <w:rsid w:val="002040B5"/>
    <w:rsid w:val="0020419C"/>
    <w:rsid w:val="00204366"/>
    <w:rsid w:val="00204405"/>
    <w:rsid w:val="0020454D"/>
    <w:rsid w:val="002045A7"/>
    <w:rsid w:val="002045E1"/>
    <w:rsid w:val="002045F9"/>
    <w:rsid w:val="0020464C"/>
    <w:rsid w:val="00204651"/>
    <w:rsid w:val="00204674"/>
    <w:rsid w:val="002046BD"/>
    <w:rsid w:val="002046C7"/>
    <w:rsid w:val="002046D0"/>
    <w:rsid w:val="00204704"/>
    <w:rsid w:val="0020479C"/>
    <w:rsid w:val="002047CD"/>
    <w:rsid w:val="002047E3"/>
    <w:rsid w:val="00204867"/>
    <w:rsid w:val="002048CC"/>
    <w:rsid w:val="002048F1"/>
    <w:rsid w:val="00204AB2"/>
    <w:rsid w:val="00204B63"/>
    <w:rsid w:val="00204C18"/>
    <w:rsid w:val="00204C30"/>
    <w:rsid w:val="00204C55"/>
    <w:rsid w:val="00204CD1"/>
    <w:rsid w:val="00204D0B"/>
    <w:rsid w:val="00204D32"/>
    <w:rsid w:val="00204D4B"/>
    <w:rsid w:val="00204D7D"/>
    <w:rsid w:val="00204DBA"/>
    <w:rsid w:val="00204DBF"/>
    <w:rsid w:val="00204DD3"/>
    <w:rsid w:val="00204E85"/>
    <w:rsid w:val="00204F08"/>
    <w:rsid w:val="00204F49"/>
    <w:rsid w:val="00204F69"/>
    <w:rsid w:val="00204F8B"/>
    <w:rsid w:val="00204FBD"/>
    <w:rsid w:val="00204FF4"/>
    <w:rsid w:val="00205060"/>
    <w:rsid w:val="002050A8"/>
    <w:rsid w:val="002051BB"/>
    <w:rsid w:val="002051FE"/>
    <w:rsid w:val="00205234"/>
    <w:rsid w:val="0020524A"/>
    <w:rsid w:val="002052FD"/>
    <w:rsid w:val="0020536F"/>
    <w:rsid w:val="00205386"/>
    <w:rsid w:val="002053B0"/>
    <w:rsid w:val="002053D6"/>
    <w:rsid w:val="002053DC"/>
    <w:rsid w:val="0020544B"/>
    <w:rsid w:val="0020544F"/>
    <w:rsid w:val="0020547E"/>
    <w:rsid w:val="002054E9"/>
    <w:rsid w:val="0020554F"/>
    <w:rsid w:val="00205550"/>
    <w:rsid w:val="0020555D"/>
    <w:rsid w:val="00205570"/>
    <w:rsid w:val="002055C3"/>
    <w:rsid w:val="002055D9"/>
    <w:rsid w:val="00205609"/>
    <w:rsid w:val="002056B9"/>
    <w:rsid w:val="002056C1"/>
    <w:rsid w:val="002057F4"/>
    <w:rsid w:val="00205876"/>
    <w:rsid w:val="002058B5"/>
    <w:rsid w:val="00205947"/>
    <w:rsid w:val="0020595B"/>
    <w:rsid w:val="00205960"/>
    <w:rsid w:val="002059BA"/>
    <w:rsid w:val="00205A17"/>
    <w:rsid w:val="00205A58"/>
    <w:rsid w:val="00205A70"/>
    <w:rsid w:val="00205A79"/>
    <w:rsid w:val="00205ABA"/>
    <w:rsid w:val="00205ABB"/>
    <w:rsid w:val="00205AC9"/>
    <w:rsid w:val="00205AF5"/>
    <w:rsid w:val="00205AF8"/>
    <w:rsid w:val="00205B18"/>
    <w:rsid w:val="00205B1E"/>
    <w:rsid w:val="00205B20"/>
    <w:rsid w:val="00205B3A"/>
    <w:rsid w:val="00205CCF"/>
    <w:rsid w:val="00205D19"/>
    <w:rsid w:val="00205D20"/>
    <w:rsid w:val="00205DD8"/>
    <w:rsid w:val="00205E86"/>
    <w:rsid w:val="00205ECC"/>
    <w:rsid w:val="00205EFA"/>
    <w:rsid w:val="00205F19"/>
    <w:rsid w:val="00205F20"/>
    <w:rsid w:val="00205F41"/>
    <w:rsid w:val="00205F8F"/>
    <w:rsid w:val="00206024"/>
    <w:rsid w:val="002060CF"/>
    <w:rsid w:val="002060D8"/>
    <w:rsid w:val="00206178"/>
    <w:rsid w:val="002061B6"/>
    <w:rsid w:val="002061F7"/>
    <w:rsid w:val="00206207"/>
    <w:rsid w:val="0020624C"/>
    <w:rsid w:val="00206257"/>
    <w:rsid w:val="002063E0"/>
    <w:rsid w:val="00206450"/>
    <w:rsid w:val="00206468"/>
    <w:rsid w:val="00206481"/>
    <w:rsid w:val="00206497"/>
    <w:rsid w:val="002064BD"/>
    <w:rsid w:val="002064C5"/>
    <w:rsid w:val="00206569"/>
    <w:rsid w:val="0020666D"/>
    <w:rsid w:val="002066A2"/>
    <w:rsid w:val="002069F9"/>
    <w:rsid w:val="00206A8D"/>
    <w:rsid w:val="00206A91"/>
    <w:rsid w:val="00206ABC"/>
    <w:rsid w:val="00206AC3"/>
    <w:rsid w:val="00206B0F"/>
    <w:rsid w:val="00206B30"/>
    <w:rsid w:val="00206B63"/>
    <w:rsid w:val="00206BF2"/>
    <w:rsid w:val="00206C10"/>
    <w:rsid w:val="00206CA8"/>
    <w:rsid w:val="00206CCB"/>
    <w:rsid w:val="00206CEE"/>
    <w:rsid w:val="00206CF6"/>
    <w:rsid w:val="00206D85"/>
    <w:rsid w:val="00206E4D"/>
    <w:rsid w:val="00206E7D"/>
    <w:rsid w:val="00206E81"/>
    <w:rsid w:val="00206ED7"/>
    <w:rsid w:val="00206F4D"/>
    <w:rsid w:val="00206F52"/>
    <w:rsid w:val="00206F61"/>
    <w:rsid w:val="00206F6B"/>
    <w:rsid w:val="00206FAE"/>
    <w:rsid w:val="00206FE3"/>
    <w:rsid w:val="00206FFB"/>
    <w:rsid w:val="00207000"/>
    <w:rsid w:val="00207154"/>
    <w:rsid w:val="00207277"/>
    <w:rsid w:val="00207347"/>
    <w:rsid w:val="00207348"/>
    <w:rsid w:val="002073B3"/>
    <w:rsid w:val="0020752E"/>
    <w:rsid w:val="0020761E"/>
    <w:rsid w:val="0020762A"/>
    <w:rsid w:val="00207663"/>
    <w:rsid w:val="0020769F"/>
    <w:rsid w:val="002076A0"/>
    <w:rsid w:val="002076CF"/>
    <w:rsid w:val="00207712"/>
    <w:rsid w:val="00207729"/>
    <w:rsid w:val="0020776B"/>
    <w:rsid w:val="00207829"/>
    <w:rsid w:val="00207862"/>
    <w:rsid w:val="00207896"/>
    <w:rsid w:val="002078DF"/>
    <w:rsid w:val="002078E9"/>
    <w:rsid w:val="00207997"/>
    <w:rsid w:val="002079B0"/>
    <w:rsid w:val="00207A61"/>
    <w:rsid w:val="00207A62"/>
    <w:rsid w:val="00207A7F"/>
    <w:rsid w:val="00207AC1"/>
    <w:rsid w:val="00207AE3"/>
    <w:rsid w:val="00207AFB"/>
    <w:rsid w:val="00207B3F"/>
    <w:rsid w:val="00207B82"/>
    <w:rsid w:val="00207BE8"/>
    <w:rsid w:val="00207BF3"/>
    <w:rsid w:val="00207C54"/>
    <w:rsid w:val="00207C6C"/>
    <w:rsid w:val="00207D32"/>
    <w:rsid w:val="00207E1E"/>
    <w:rsid w:val="00207E38"/>
    <w:rsid w:val="00207E40"/>
    <w:rsid w:val="00207E6B"/>
    <w:rsid w:val="00207F02"/>
    <w:rsid w:val="00207F70"/>
    <w:rsid w:val="00207F8B"/>
    <w:rsid w:val="002099B6"/>
    <w:rsid w:val="0021004D"/>
    <w:rsid w:val="00210054"/>
    <w:rsid w:val="002100CF"/>
    <w:rsid w:val="00210127"/>
    <w:rsid w:val="002101A9"/>
    <w:rsid w:val="002101E1"/>
    <w:rsid w:val="00210289"/>
    <w:rsid w:val="00210290"/>
    <w:rsid w:val="002102DE"/>
    <w:rsid w:val="00210334"/>
    <w:rsid w:val="0021037C"/>
    <w:rsid w:val="002103B9"/>
    <w:rsid w:val="002103FD"/>
    <w:rsid w:val="00210455"/>
    <w:rsid w:val="002104AC"/>
    <w:rsid w:val="0021056B"/>
    <w:rsid w:val="002105C3"/>
    <w:rsid w:val="002105DF"/>
    <w:rsid w:val="00210657"/>
    <w:rsid w:val="00210686"/>
    <w:rsid w:val="00210822"/>
    <w:rsid w:val="00210871"/>
    <w:rsid w:val="00210891"/>
    <w:rsid w:val="00210A31"/>
    <w:rsid w:val="00210A6A"/>
    <w:rsid w:val="00210A76"/>
    <w:rsid w:val="00210A9C"/>
    <w:rsid w:val="00210ADE"/>
    <w:rsid w:val="00210B45"/>
    <w:rsid w:val="00210B88"/>
    <w:rsid w:val="00210BB2"/>
    <w:rsid w:val="00210BFB"/>
    <w:rsid w:val="00210C77"/>
    <w:rsid w:val="00210CA8"/>
    <w:rsid w:val="00210CCB"/>
    <w:rsid w:val="00210CD8"/>
    <w:rsid w:val="00210DE1"/>
    <w:rsid w:val="00210E5E"/>
    <w:rsid w:val="00210E88"/>
    <w:rsid w:val="00210EA6"/>
    <w:rsid w:val="00210EBE"/>
    <w:rsid w:val="00210F5D"/>
    <w:rsid w:val="00210F75"/>
    <w:rsid w:val="00210FCB"/>
    <w:rsid w:val="00211110"/>
    <w:rsid w:val="00211152"/>
    <w:rsid w:val="0021122D"/>
    <w:rsid w:val="00211287"/>
    <w:rsid w:val="002112C4"/>
    <w:rsid w:val="002112F9"/>
    <w:rsid w:val="00211348"/>
    <w:rsid w:val="0021141E"/>
    <w:rsid w:val="00211482"/>
    <w:rsid w:val="00211496"/>
    <w:rsid w:val="00211503"/>
    <w:rsid w:val="00211507"/>
    <w:rsid w:val="002115C4"/>
    <w:rsid w:val="0021162E"/>
    <w:rsid w:val="00211672"/>
    <w:rsid w:val="002116C6"/>
    <w:rsid w:val="002116CF"/>
    <w:rsid w:val="0021170E"/>
    <w:rsid w:val="00211768"/>
    <w:rsid w:val="002117AD"/>
    <w:rsid w:val="0021181B"/>
    <w:rsid w:val="0021182D"/>
    <w:rsid w:val="00211873"/>
    <w:rsid w:val="002118D4"/>
    <w:rsid w:val="0021196F"/>
    <w:rsid w:val="00211994"/>
    <w:rsid w:val="002119D4"/>
    <w:rsid w:val="00211A78"/>
    <w:rsid w:val="00211A86"/>
    <w:rsid w:val="00211AC7"/>
    <w:rsid w:val="00211BAC"/>
    <w:rsid w:val="00211BCF"/>
    <w:rsid w:val="00211BD7"/>
    <w:rsid w:val="00211C1A"/>
    <w:rsid w:val="00211C79"/>
    <w:rsid w:val="00211CF3"/>
    <w:rsid w:val="00211CFA"/>
    <w:rsid w:val="00211D3B"/>
    <w:rsid w:val="00211D99"/>
    <w:rsid w:val="00211D9B"/>
    <w:rsid w:val="00211DEA"/>
    <w:rsid w:val="00211E1E"/>
    <w:rsid w:val="00211E70"/>
    <w:rsid w:val="00211EC2"/>
    <w:rsid w:val="00211F25"/>
    <w:rsid w:val="00211F74"/>
    <w:rsid w:val="00211F8F"/>
    <w:rsid w:val="00212085"/>
    <w:rsid w:val="00212143"/>
    <w:rsid w:val="00212160"/>
    <w:rsid w:val="0021229F"/>
    <w:rsid w:val="002122C6"/>
    <w:rsid w:val="002122FA"/>
    <w:rsid w:val="002123A8"/>
    <w:rsid w:val="00212453"/>
    <w:rsid w:val="0021246C"/>
    <w:rsid w:val="002124D9"/>
    <w:rsid w:val="0021258C"/>
    <w:rsid w:val="0021259A"/>
    <w:rsid w:val="002125E3"/>
    <w:rsid w:val="00212646"/>
    <w:rsid w:val="00212690"/>
    <w:rsid w:val="002126C5"/>
    <w:rsid w:val="0021278B"/>
    <w:rsid w:val="002127BA"/>
    <w:rsid w:val="002127E6"/>
    <w:rsid w:val="0021280B"/>
    <w:rsid w:val="00212865"/>
    <w:rsid w:val="002128A8"/>
    <w:rsid w:val="002128B2"/>
    <w:rsid w:val="002128B4"/>
    <w:rsid w:val="002128D5"/>
    <w:rsid w:val="002129C9"/>
    <w:rsid w:val="002129EE"/>
    <w:rsid w:val="00212AC8"/>
    <w:rsid w:val="00212AFC"/>
    <w:rsid w:val="00212B49"/>
    <w:rsid w:val="00212C0B"/>
    <w:rsid w:val="00212C2D"/>
    <w:rsid w:val="00212C6E"/>
    <w:rsid w:val="00212C89"/>
    <w:rsid w:val="00212CEE"/>
    <w:rsid w:val="00212D1A"/>
    <w:rsid w:val="00212D69"/>
    <w:rsid w:val="00212E06"/>
    <w:rsid w:val="00212E51"/>
    <w:rsid w:val="00212F0D"/>
    <w:rsid w:val="00212F9A"/>
    <w:rsid w:val="00212FBE"/>
    <w:rsid w:val="002130AB"/>
    <w:rsid w:val="0021316E"/>
    <w:rsid w:val="002131F4"/>
    <w:rsid w:val="00213226"/>
    <w:rsid w:val="0021334E"/>
    <w:rsid w:val="0021337B"/>
    <w:rsid w:val="002133C9"/>
    <w:rsid w:val="002133D7"/>
    <w:rsid w:val="002133E7"/>
    <w:rsid w:val="002133F7"/>
    <w:rsid w:val="00213401"/>
    <w:rsid w:val="0021343D"/>
    <w:rsid w:val="00213457"/>
    <w:rsid w:val="002134F9"/>
    <w:rsid w:val="00213516"/>
    <w:rsid w:val="00213517"/>
    <w:rsid w:val="00213526"/>
    <w:rsid w:val="00213555"/>
    <w:rsid w:val="002135BA"/>
    <w:rsid w:val="002135D9"/>
    <w:rsid w:val="00213616"/>
    <w:rsid w:val="00213622"/>
    <w:rsid w:val="0021362D"/>
    <w:rsid w:val="00213655"/>
    <w:rsid w:val="00213738"/>
    <w:rsid w:val="0021377C"/>
    <w:rsid w:val="00213789"/>
    <w:rsid w:val="002137EC"/>
    <w:rsid w:val="00213865"/>
    <w:rsid w:val="00213890"/>
    <w:rsid w:val="002138C4"/>
    <w:rsid w:val="00213901"/>
    <w:rsid w:val="00213B15"/>
    <w:rsid w:val="00213CBA"/>
    <w:rsid w:val="00213D1E"/>
    <w:rsid w:val="00213D20"/>
    <w:rsid w:val="00213D28"/>
    <w:rsid w:val="00213D2C"/>
    <w:rsid w:val="00213D5A"/>
    <w:rsid w:val="00213D5E"/>
    <w:rsid w:val="00213DB3"/>
    <w:rsid w:val="00213DCB"/>
    <w:rsid w:val="00213DE2"/>
    <w:rsid w:val="00213DEC"/>
    <w:rsid w:val="00213E01"/>
    <w:rsid w:val="00213EC9"/>
    <w:rsid w:val="00213F14"/>
    <w:rsid w:val="00213F8C"/>
    <w:rsid w:val="00213FFB"/>
    <w:rsid w:val="00214026"/>
    <w:rsid w:val="00214034"/>
    <w:rsid w:val="0021406A"/>
    <w:rsid w:val="0021406C"/>
    <w:rsid w:val="00214078"/>
    <w:rsid w:val="0021408D"/>
    <w:rsid w:val="0021415A"/>
    <w:rsid w:val="00214192"/>
    <w:rsid w:val="002141CD"/>
    <w:rsid w:val="002142D2"/>
    <w:rsid w:val="00214393"/>
    <w:rsid w:val="002143CE"/>
    <w:rsid w:val="00214434"/>
    <w:rsid w:val="002144D8"/>
    <w:rsid w:val="002144F2"/>
    <w:rsid w:val="00214545"/>
    <w:rsid w:val="00214588"/>
    <w:rsid w:val="00214604"/>
    <w:rsid w:val="00214635"/>
    <w:rsid w:val="00214655"/>
    <w:rsid w:val="00214675"/>
    <w:rsid w:val="00214725"/>
    <w:rsid w:val="00214732"/>
    <w:rsid w:val="00214786"/>
    <w:rsid w:val="002147A2"/>
    <w:rsid w:val="00214810"/>
    <w:rsid w:val="00214818"/>
    <w:rsid w:val="0021481C"/>
    <w:rsid w:val="0021484F"/>
    <w:rsid w:val="002148B8"/>
    <w:rsid w:val="00214970"/>
    <w:rsid w:val="002149A7"/>
    <w:rsid w:val="002149CA"/>
    <w:rsid w:val="00214A97"/>
    <w:rsid w:val="00214AAD"/>
    <w:rsid w:val="00214BC7"/>
    <w:rsid w:val="00214C48"/>
    <w:rsid w:val="00214CA1"/>
    <w:rsid w:val="00214D11"/>
    <w:rsid w:val="00214D8C"/>
    <w:rsid w:val="00214DAD"/>
    <w:rsid w:val="00214E57"/>
    <w:rsid w:val="00214E84"/>
    <w:rsid w:val="00214EB6"/>
    <w:rsid w:val="00214EBC"/>
    <w:rsid w:val="00214F27"/>
    <w:rsid w:val="00214F8C"/>
    <w:rsid w:val="00214FF8"/>
    <w:rsid w:val="00215011"/>
    <w:rsid w:val="00215084"/>
    <w:rsid w:val="00215094"/>
    <w:rsid w:val="002150D3"/>
    <w:rsid w:val="0021519C"/>
    <w:rsid w:val="002151A9"/>
    <w:rsid w:val="00215214"/>
    <w:rsid w:val="00215280"/>
    <w:rsid w:val="00215352"/>
    <w:rsid w:val="0021535F"/>
    <w:rsid w:val="00215370"/>
    <w:rsid w:val="00215393"/>
    <w:rsid w:val="0021543A"/>
    <w:rsid w:val="0021543C"/>
    <w:rsid w:val="002154E1"/>
    <w:rsid w:val="0021550C"/>
    <w:rsid w:val="00215583"/>
    <w:rsid w:val="00215590"/>
    <w:rsid w:val="00215618"/>
    <w:rsid w:val="00215629"/>
    <w:rsid w:val="0021570A"/>
    <w:rsid w:val="00215781"/>
    <w:rsid w:val="00215825"/>
    <w:rsid w:val="0021583F"/>
    <w:rsid w:val="0021586C"/>
    <w:rsid w:val="002158CC"/>
    <w:rsid w:val="00215940"/>
    <w:rsid w:val="002159D8"/>
    <w:rsid w:val="00215A49"/>
    <w:rsid w:val="00215AA2"/>
    <w:rsid w:val="00215B66"/>
    <w:rsid w:val="00215C29"/>
    <w:rsid w:val="00215CA4"/>
    <w:rsid w:val="00215E02"/>
    <w:rsid w:val="00215E4B"/>
    <w:rsid w:val="00215E66"/>
    <w:rsid w:val="00215F17"/>
    <w:rsid w:val="0021602D"/>
    <w:rsid w:val="0021605D"/>
    <w:rsid w:val="00216089"/>
    <w:rsid w:val="002160B8"/>
    <w:rsid w:val="002160C2"/>
    <w:rsid w:val="002160DE"/>
    <w:rsid w:val="002160FE"/>
    <w:rsid w:val="0021610D"/>
    <w:rsid w:val="00216134"/>
    <w:rsid w:val="00216194"/>
    <w:rsid w:val="002161A5"/>
    <w:rsid w:val="002161B1"/>
    <w:rsid w:val="002161D5"/>
    <w:rsid w:val="00216292"/>
    <w:rsid w:val="002162D4"/>
    <w:rsid w:val="00216304"/>
    <w:rsid w:val="00216351"/>
    <w:rsid w:val="00216375"/>
    <w:rsid w:val="00216399"/>
    <w:rsid w:val="002163B0"/>
    <w:rsid w:val="002163B1"/>
    <w:rsid w:val="00216428"/>
    <w:rsid w:val="00216432"/>
    <w:rsid w:val="00216459"/>
    <w:rsid w:val="0021645C"/>
    <w:rsid w:val="0021649B"/>
    <w:rsid w:val="002164A4"/>
    <w:rsid w:val="0021652B"/>
    <w:rsid w:val="0021655C"/>
    <w:rsid w:val="00216579"/>
    <w:rsid w:val="002165A3"/>
    <w:rsid w:val="00216662"/>
    <w:rsid w:val="002167A8"/>
    <w:rsid w:val="00216815"/>
    <w:rsid w:val="00216816"/>
    <w:rsid w:val="00216856"/>
    <w:rsid w:val="0021692C"/>
    <w:rsid w:val="00216938"/>
    <w:rsid w:val="00216942"/>
    <w:rsid w:val="002169A0"/>
    <w:rsid w:val="002169A7"/>
    <w:rsid w:val="002169CE"/>
    <w:rsid w:val="002169F7"/>
    <w:rsid w:val="00216A4E"/>
    <w:rsid w:val="00216A6A"/>
    <w:rsid w:val="00216AE7"/>
    <w:rsid w:val="00216B0D"/>
    <w:rsid w:val="00216B3E"/>
    <w:rsid w:val="00216B43"/>
    <w:rsid w:val="00216BA1"/>
    <w:rsid w:val="00216BF5"/>
    <w:rsid w:val="00216BFB"/>
    <w:rsid w:val="00216C0B"/>
    <w:rsid w:val="00216CDB"/>
    <w:rsid w:val="00216D9B"/>
    <w:rsid w:val="00216F3D"/>
    <w:rsid w:val="00216F6D"/>
    <w:rsid w:val="00216F89"/>
    <w:rsid w:val="00216FAA"/>
    <w:rsid w:val="002171CF"/>
    <w:rsid w:val="0021738A"/>
    <w:rsid w:val="002173B7"/>
    <w:rsid w:val="00217467"/>
    <w:rsid w:val="002174AA"/>
    <w:rsid w:val="002175B3"/>
    <w:rsid w:val="00217611"/>
    <w:rsid w:val="002176BD"/>
    <w:rsid w:val="002177E8"/>
    <w:rsid w:val="00217844"/>
    <w:rsid w:val="00217864"/>
    <w:rsid w:val="0021791F"/>
    <w:rsid w:val="0021792B"/>
    <w:rsid w:val="00217997"/>
    <w:rsid w:val="00217A08"/>
    <w:rsid w:val="00217B36"/>
    <w:rsid w:val="00217B58"/>
    <w:rsid w:val="00217B61"/>
    <w:rsid w:val="00217B9C"/>
    <w:rsid w:val="00217BFC"/>
    <w:rsid w:val="00217C0D"/>
    <w:rsid w:val="00217D9A"/>
    <w:rsid w:val="00217E1D"/>
    <w:rsid w:val="00217EF9"/>
    <w:rsid w:val="00217F4D"/>
    <w:rsid w:val="00217F50"/>
    <w:rsid w:val="00219FF2"/>
    <w:rsid w:val="0022001A"/>
    <w:rsid w:val="002200B2"/>
    <w:rsid w:val="002200BD"/>
    <w:rsid w:val="00220123"/>
    <w:rsid w:val="00220146"/>
    <w:rsid w:val="00220185"/>
    <w:rsid w:val="002201B6"/>
    <w:rsid w:val="002201EE"/>
    <w:rsid w:val="00220248"/>
    <w:rsid w:val="00220373"/>
    <w:rsid w:val="002203B8"/>
    <w:rsid w:val="002203D5"/>
    <w:rsid w:val="00220469"/>
    <w:rsid w:val="0022048F"/>
    <w:rsid w:val="00220499"/>
    <w:rsid w:val="002204DC"/>
    <w:rsid w:val="0022050C"/>
    <w:rsid w:val="002205A8"/>
    <w:rsid w:val="0022064B"/>
    <w:rsid w:val="0022065F"/>
    <w:rsid w:val="0022068F"/>
    <w:rsid w:val="0022069C"/>
    <w:rsid w:val="002207EA"/>
    <w:rsid w:val="00220800"/>
    <w:rsid w:val="0022087E"/>
    <w:rsid w:val="0022088D"/>
    <w:rsid w:val="002208A1"/>
    <w:rsid w:val="002208CD"/>
    <w:rsid w:val="002208D1"/>
    <w:rsid w:val="002208D2"/>
    <w:rsid w:val="002208DD"/>
    <w:rsid w:val="0022093E"/>
    <w:rsid w:val="00220AEC"/>
    <w:rsid w:val="00220AF7"/>
    <w:rsid w:val="00220B20"/>
    <w:rsid w:val="00220BB1"/>
    <w:rsid w:val="00220BEF"/>
    <w:rsid w:val="00220BF7"/>
    <w:rsid w:val="00220CCB"/>
    <w:rsid w:val="00220D0B"/>
    <w:rsid w:val="00220D44"/>
    <w:rsid w:val="00220D5A"/>
    <w:rsid w:val="00220ECC"/>
    <w:rsid w:val="00220F67"/>
    <w:rsid w:val="00220F92"/>
    <w:rsid w:val="00220FF6"/>
    <w:rsid w:val="00221046"/>
    <w:rsid w:val="0022104D"/>
    <w:rsid w:val="00221058"/>
    <w:rsid w:val="00221091"/>
    <w:rsid w:val="0022118C"/>
    <w:rsid w:val="002211B0"/>
    <w:rsid w:val="002211D9"/>
    <w:rsid w:val="00221219"/>
    <w:rsid w:val="00221252"/>
    <w:rsid w:val="00221298"/>
    <w:rsid w:val="0022129B"/>
    <w:rsid w:val="002212A7"/>
    <w:rsid w:val="002212F1"/>
    <w:rsid w:val="002212F6"/>
    <w:rsid w:val="002213B2"/>
    <w:rsid w:val="002213D5"/>
    <w:rsid w:val="00221444"/>
    <w:rsid w:val="0022145B"/>
    <w:rsid w:val="00221499"/>
    <w:rsid w:val="00221507"/>
    <w:rsid w:val="002215DB"/>
    <w:rsid w:val="0022164E"/>
    <w:rsid w:val="0022165F"/>
    <w:rsid w:val="0022168B"/>
    <w:rsid w:val="00221713"/>
    <w:rsid w:val="00221754"/>
    <w:rsid w:val="0022178D"/>
    <w:rsid w:val="0022183D"/>
    <w:rsid w:val="00221866"/>
    <w:rsid w:val="00221897"/>
    <w:rsid w:val="0022190D"/>
    <w:rsid w:val="0022191D"/>
    <w:rsid w:val="002219FF"/>
    <w:rsid w:val="00221A8B"/>
    <w:rsid w:val="00221B11"/>
    <w:rsid w:val="00221B53"/>
    <w:rsid w:val="00221B7C"/>
    <w:rsid w:val="00221C74"/>
    <w:rsid w:val="00221C8F"/>
    <w:rsid w:val="00221CDF"/>
    <w:rsid w:val="00221D6E"/>
    <w:rsid w:val="00221D8D"/>
    <w:rsid w:val="00221DB3"/>
    <w:rsid w:val="00221E0E"/>
    <w:rsid w:val="00221E1B"/>
    <w:rsid w:val="00221E3A"/>
    <w:rsid w:val="00221F07"/>
    <w:rsid w:val="00221F3F"/>
    <w:rsid w:val="00221FA5"/>
    <w:rsid w:val="00222008"/>
    <w:rsid w:val="00222068"/>
    <w:rsid w:val="002220B4"/>
    <w:rsid w:val="002220D2"/>
    <w:rsid w:val="0022217F"/>
    <w:rsid w:val="002221F1"/>
    <w:rsid w:val="00222240"/>
    <w:rsid w:val="002222C6"/>
    <w:rsid w:val="002222D7"/>
    <w:rsid w:val="002222F3"/>
    <w:rsid w:val="0022231C"/>
    <w:rsid w:val="0022238A"/>
    <w:rsid w:val="00222475"/>
    <w:rsid w:val="00222580"/>
    <w:rsid w:val="00222586"/>
    <w:rsid w:val="002225D2"/>
    <w:rsid w:val="002225E2"/>
    <w:rsid w:val="002225EC"/>
    <w:rsid w:val="00222690"/>
    <w:rsid w:val="0022274C"/>
    <w:rsid w:val="00222821"/>
    <w:rsid w:val="00222902"/>
    <w:rsid w:val="00222964"/>
    <w:rsid w:val="002229B4"/>
    <w:rsid w:val="00222A58"/>
    <w:rsid w:val="00222A59"/>
    <w:rsid w:val="00222A5E"/>
    <w:rsid w:val="00222C62"/>
    <w:rsid w:val="00222C6F"/>
    <w:rsid w:val="00222D6E"/>
    <w:rsid w:val="00222DCA"/>
    <w:rsid w:val="00222E2A"/>
    <w:rsid w:val="00223006"/>
    <w:rsid w:val="00223078"/>
    <w:rsid w:val="0022310F"/>
    <w:rsid w:val="0022315C"/>
    <w:rsid w:val="002231F8"/>
    <w:rsid w:val="00223213"/>
    <w:rsid w:val="00223235"/>
    <w:rsid w:val="00223240"/>
    <w:rsid w:val="00223332"/>
    <w:rsid w:val="002234F6"/>
    <w:rsid w:val="00223609"/>
    <w:rsid w:val="002236F7"/>
    <w:rsid w:val="00223713"/>
    <w:rsid w:val="00223721"/>
    <w:rsid w:val="0022382A"/>
    <w:rsid w:val="0022389F"/>
    <w:rsid w:val="002238D5"/>
    <w:rsid w:val="002238F4"/>
    <w:rsid w:val="00223943"/>
    <w:rsid w:val="00223944"/>
    <w:rsid w:val="00223993"/>
    <w:rsid w:val="002239D1"/>
    <w:rsid w:val="00223AAB"/>
    <w:rsid w:val="00223AC9"/>
    <w:rsid w:val="00223B9B"/>
    <w:rsid w:val="00223C4A"/>
    <w:rsid w:val="00223C5F"/>
    <w:rsid w:val="00223C6A"/>
    <w:rsid w:val="00223CA2"/>
    <w:rsid w:val="00223E0D"/>
    <w:rsid w:val="00223E20"/>
    <w:rsid w:val="00223E73"/>
    <w:rsid w:val="00223ED7"/>
    <w:rsid w:val="00223EF7"/>
    <w:rsid w:val="00223F53"/>
    <w:rsid w:val="00223FD5"/>
    <w:rsid w:val="002240F3"/>
    <w:rsid w:val="0022417A"/>
    <w:rsid w:val="002241B1"/>
    <w:rsid w:val="0022424E"/>
    <w:rsid w:val="0022429A"/>
    <w:rsid w:val="002242A0"/>
    <w:rsid w:val="0022431F"/>
    <w:rsid w:val="00224372"/>
    <w:rsid w:val="00224383"/>
    <w:rsid w:val="002244E1"/>
    <w:rsid w:val="00224512"/>
    <w:rsid w:val="00224548"/>
    <w:rsid w:val="0022454F"/>
    <w:rsid w:val="00224617"/>
    <w:rsid w:val="0022475E"/>
    <w:rsid w:val="002247DD"/>
    <w:rsid w:val="002247EC"/>
    <w:rsid w:val="00224800"/>
    <w:rsid w:val="00224839"/>
    <w:rsid w:val="002248CD"/>
    <w:rsid w:val="002248E1"/>
    <w:rsid w:val="002248FF"/>
    <w:rsid w:val="00224900"/>
    <w:rsid w:val="0022490B"/>
    <w:rsid w:val="00224956"/>
    <w:rsid w:val="0022499B"/>
    <w:rsid w:val="002249B2"/>
    <w:rsid w:val="00224A25"/>
    <w:rsid w:val="00224A63"/>
    <w:rsid w:val="00224A70"/>
    <w:rsid w:val="00224ADE"/>
    <w:rsid w:val="00224B68"/>
    <w:rsid w:val="00224C1C"/>
    <w:rsid w:val="00224C35"/>
    <w:rsid w:val="00224C54"/>
    <w:rsid w:val="00224C6C"/>
    <w:rsid w:val="00224CEF"/>
    <w:rsid w:val="00224D25"/>
    <w:rsid w:val="00224D43"/>
    <w:rsid w:val="00224D46"/>
    <w:rsid w:val="00224D60"/>
    <w:rsid w:val="00224D8B"/>
    <w:rsid w:val="00224DCE"/>
    <w:rsid w:val="00224EC0"/>
    <w:rsid w:val="00224F39"/>
    <w:rsid w:val="00224F5F"/>
    <w:rsid w:val="00224F6C"/>
    <w:rsid w:val="00224FA7"/>
    <w:rsid w:val="00224FE3"/>
    <w:rsid w:val="0022502C"/>
    <w:rsid w:val="002250FA"/>
    <w:rsid w:val="00225121"/>
    <w:rsid w:val="00225171"/>
    <w:rsid w:val="00225218"/>
    <w:rsid w:val="0022521B"/>
    <w:rsid w:val="002252C3"/>
    <w:rsid w:val="002252FC"/>
    <w:rsid w:val="00225339"/>
    <w:rsid w:val="002253BA"/>
    <w:rsid w:val="0022543E"/>
    <w:rsid w:val="0022551D"/>
    <w:rsid w:val="00225594"/>
    <w:rsid w:val="002255AD"/>
    <w:rsid w:val="002255C7"/>
    <w:rsid w:val="002255DF"/>
    <w:rsid w:val="002255EA"/>
    <w:rsid w:val="00225672"/>
    <w:rsid w:val="002256B9"/>
    <w:rsid w:val="0022573D"/>
    <w:rsid w:val="002257D2"/>
    <w:rsid w:val="00225823"/>
    <w:rsid w:val="00225827"/>
    <w:rsid w:val="002258DC"/>
    <w:rsid w:val="00225946"/>
    <w:rsid w:val="002259A9"/>
    <w:rsid w:val="002259BE"/>
    <w:rsid w:val="002259DE"/>
    <w:rsid w:val="00225ABC"/>
    <w:rsid w:val="00225B30"/>
    <w:rsid w:val="00225C52"/>
    <w:rsid w:val="00225C93"/>
    <w:rsid w:val="00225CBD"/>
    <w:rsid w:val="00225D67"/>
    <w:rsid w:val="00225D81"/>
    <w:rsid w:val="00225E96"/>
    <w:rsid w:val="00225FE6"/>
    <w:rsid w:val="00226019"/>
    <w:rsid w:val="00226046"/>
    <w:rsid w:val="0022607A"/>
    <w:rsid w:val="00226130"/>
    <w:rsid w:val="00226176"/>
    <w:rsid w:val="0022617D"/>
    <w:rsid w:val="002261DF"/>
    <w:rsid w:val="002261E3"/>
    <w:rsid w:val="002261FF"/>
    <w:rsid w:val="00226216"/>
    <w:rsid w:val="002262BD"/>
    <w:rsid w:val="002262C4"/>
    <w:rsid w:val="002262CA"/>
    <w:rsid w:val="00226385"/>
    <w:rsid w:val="00226396"/>
    <w:rsid w:val="00226477"/>
    <w:rsid w:val="002264B5"/>
    <w:rsid w:val="002264D0"/>
    <w:rsid w:val="0022653E"/>
    <w:rsid w:val="0022655C"/>
    <w:rsid w:val="0022656C"/>
    <w:rsid w:val="002265CE"/>
    <w:rsid w:val="002265D5"/>
    <w:rsid w:val="002265DB"/>
    <w:rsid w:val="002265E3"/>
    <w:rsid w:val="002266D6"/>
    <w:rsid w:val="002266F1"/>
    <w:rsid w:val="00226802"/>
    <w:rsid w:val="0022682B"/>
    <w:rsid w:val="002268BA"/>
    <w:rsid w:val="002268DA"/>
    <w:rsid w:val="00226A04"/>
    <w:rsid w:val="00226B02"/>
    <w:rsid w:val="00226BCB"/>
    <w:rsid w:val="00226BEF"/>
    <w:rsid w:val="00226C20"/>
    <w:rsid w:val="00226C59"/>
    <w:rsid w:val="00226C5C"/>
    <w:rsid w:val="00226D16"/>
    <w:rsid w:val="00226D38"/>
    <w:rsid w:val="00226DCC"/>
    <w:rsid w:val="00226DF9"/>
    <w:rsid w:val="00226E2C"/>
    <w:rsid w:val="00226E48"/>
    <w:rsid w:val="00226E9D"/>
    <w:rsid w:val="00226ED0"/>
    <w:rsid w:val="00226EEB"/>
    <w:rsid w:val="00226FBC"/>
    <w:rsid w:val="00226FF7"/>
    <w:rsid w:val="00227023"/>
    <w:rsid w:val="00227041"/>
    <w:rsid w:val="00227044"/>
    <w:rsid w:val="002270C6"/>
    <w:rsid w:val="002270D8"/>
    <w:rsid w:val="002271C4"/>
    <w:rsid w:val="002271CE"/>
    <w:rsid w:val="002271E7"/>
    <w:rsid w:val="002271F6"/>
    <w:rsid w:val="00227206"/>
    <w:rsid w:val="0022722D"/>
    <w:rsid w:val="0022728B"/>
    <w:rsid w:val="002272DB"/>
    <w:rsid w:val="00227313"/>
    <w:rsid w:val="0022732B"/>
    <w:rsid w:val="00227357"/>
    <w:rsid w:val="0022736E"/>
    <w:rsid w:val="002274A2"/>
    <w:rsid w:val="0022750B"/>
    <w:rsid w:val="00227591"/>
    <w:rsid w:val="00227612"/>
    <w:rsid w:val="0022761B"/>
    <w:rsid w:val="00227733"/>
    <w:rsid w:val="00227778"/>
    <w:rsid w:val="002277A5"/>
    <w:rsid w:val="00227818"/>
    <w:rsid w:val="00227839"/>
    <w:rsid w:val="00227869"/>
    <w:rsid w:val="002278B3"/>
    <w:rsid w:val="00227A06"/>
    <w:rsid w:val="00227A19"/>
    <w:rsid w:val="00227ACC"/>
    <w:rsid w:val="00227B13"/>
    <w:rsid w:val="00227B5A"/>
    <w:rsid w:val="00227B65"/>
    <w:rsid w:val="00227B6F"/>
    <w:rsid w:val="00227B72"/>
    <w:rsid w:val="00227B9B"/>
    <w:rsid w:val="00227BB6"/>
    <w:rsid w:val="00227C6F"/>
    <w:rsid w:val="00227CA5"/>
    <w:rsid w:val="00227CAF"/>
    <w:rsid w:val="00227D08"/>
    <w:rsid w:val="00227D9C"/>
    <w:rsid w:val="00227E39"/>
    <w:rsid w:val="00227E61"/>
    <w:rsid w:val="00227FC7"/>
    <w:rsid w:val="0023018C"/>
    <w:rsid w:val="002301BB"/>
    <w:rsid w:val="002301CE"/>
    <w:rsid w:val="002301ED"/>
    <w:rsid w:val="002303B1"/>
    <w:rsid w:val="0023041C"/>
    <w:rsid w:val="00230476"/>
    <w:rsid w:val="002304C5"/>
    <w:rsid w:val="00230507"/>
    <w:rsid w:val="00230596"/>
    <w:rsid w:val="00230690"/>
    <w:rsid w:val="0023069B"/>
    <w:rsid w:val="00230700"/>
    <w:rsid w:val="00230804"/>
    <w:rsid w:val="0023081F"/>
    <w:rsid w:val="002308AE"/>
    <w:rsid w:val="002309E2"/>
    <w:rsid w:val="00230A13"/>
    <w:rsid w:val="00230A1D"/>
    <w:rsid w:val="00230ADB"/>
    <w:rsid w:val="00230B1C"/>
    <w:rsid w:val="00230B23"/>
    <w:rsid w:val="00230B6F"/>
    <w:rsid w:val="00230C2A"/>
    <w:rsid w:val="00230C3A"/>
    <w:rsid w:val="00230C76"/>
    <w:rsid w:val="00230C86"/>
    <w:rsid w:val="00230CAA"/>
    <w:rsid w:val="00230CAC"/>
    <w:rsid w:val="00230D17"/>
    <w:rsid w:val="00230D18"/>
    <w:rsid w:val="00230E07"/>
    <w:rsid w:val="00230E1A"/>
    <w:rsid w:val="00230E27"/>
    <w:rsid w:val="00230E66"/>
    <w:rsid w:val="00230ECB"/>
    <w:rsid w:val="00230F0F"/>
    <w:rsid w:val="00230FFA"/>
    <w:rsid w:val="0023107B"/>
    <w:rsid w:val="00231085"/>
    <w:rsid w:val="002310B7"/>
    <w:rsid w:val="002310F5"/>
    <w:rsid w:val="00231171"/>
    <w:rsid w:val="002311D3"/>
    <w:rsid w:val="00231223"/>
    <w:rsid w:val="0023127F"/>
    <w:rsid w:val="00231296"/>
    <w:rsid w:val="002313A1"/>
    <w:rsid w:val="002313FA"/>
    <w:rsid w:val="00231428"/>
    <w:rsid w:val="002314E8"/>
    <w:rsid w:val="0023158B"/>
    <w:rsid w:val="002315CB"/>
    <w:rsid w:val="002315E5"/>
    <w:rsid w:val="002315E7"/>
    <w:rsid w:val="00231620"/>
    <w:rsid w:val="002316E7"/>
    <w:rsid w:val="00231701"/>
    <w:rsid w:val="0023179B"/>
    <w:rsid w:val="002317B3"/>
    <w:rsid w:val="002318A7"/>
    <w:rsid w:val="002318AD"/>
    <w:rsid w:val="002318CB"/>
    <w:rsid w:val="00231959"/>
    <w:rsid w:val="002319EB"/>
    <w:rsid w:val="00231A7D"/>
    <w:rsid w:val="00231A8C"/>
    <w:rsid w:val="00231ADB"/>
    <w:rsid w:val="00231AF4"/>
    <w:rsid w:val="00231B27"/>
    <w:rsid w:val="00231B7D"/>
    <w:rsid w:val="00231BDD"/>
    <w:rsid w:val="00231BF7"/>
    <w:rsid w:val="00231C04"/>
    <w:rsid w:val="00231C59"/>
    <w:rsid w:val="00231CC4"/>
    <w:rsid w:val="00231CF4"/>
    <w:rsid w:val="00231D1A"/>
    <w:rsid w:val="00231D36"/>
    <w:rsid w:val="00231E51"/>
    <w:rsid w:val="00231F4B"/>
    <w:rsid w:val="00231F98"/>
    <w:rsid w:val="00231FF5"/>
    <w:rsid w:val="0023202B"/>
    <w:rsid w:val="0023202D"/>
    <w:rsid w:val="0023203A"/>
    <w:rsid w:val="002320B0"/>
    <w:rsid w:val="002320F4"/>
    <w:rsid w:val="00232146"/>
    <w:rsid w:val="00232172"/>
    <w:rsid w:val="002321B1"/>
    <w:rsid w:val="002321FB"/>
    <w:rsid w:val="00232213"/>
    <w:rsid w:val="00232255"/>
    <w:rsid w:val="00232272"/>
    <w:rsid w:val="0023227E"/>
    <w:rsid w:val="00232354"/>
    <w:rsid w:val="0023237C"/>
    <w:rsid w:val="002323BC"/>
    <w:rsid w:val="002323CF"/>
    <w:rsid w:val="00232453"/>
    <w:rsid w:val="00232483"/>
    <w:rsid w:val="0023256E"/>
    <w:rsid w:val="002325B4"/>
    <w:rsid w:val="002325B6"/>
    <w:rsid w:val="002325EF"/>
    <w:rsid w:val="00232605"/>
    <w:rsid w:val="00232672"/>
    <w:rsid w:val="00232678"/>
    <w:rsid w:val="002326CB"/>
    <w:rsid w:val="002327F8"/>
    <w:rsid w:val="00232829"/>
    <w:rsid w:val="0023282F"/>
    <w:rsid w:val="0023286E"/>
    <w:rsid w:val="00232965"/>
    <w:rsid w:val="002329D8"/>
    <w:rsid w:val="00232A5A"/>
    <w:rsid w:val="00232A95"/>
    <w:rsid w:val="00232A98"/>
    <w:rsid w:val="00232B1F"/>
    <w:rsid w:val="00232B2A"/>
    <w:rsid w:val="00232B39"/>
    <w:rsid w:val="00232BBD"/>
    <w:rsid w:val="00232CD8"/>
    <w:rsid w:val="00232DED"/>
    <w:rsid w:val="00232E49"/>
    <w:rsid w:val="00232E5F"/>
    <w:rsid w:val="00232EF7"/>
    <w:rsid w:val="00232F50"/>
    <w:rsid w:val="0023307D"/>
    <w:rsid w:val="00233080"/>
    <w:rsid w:val="00233111"/>
    <w:rsid w:val="0023313A"/>
    <w:rsid w:val="0023314A"/>
    <w:rsid w:val="00233171"/>
    <w:rsid w:val="00233178"/>
    <w:rsid w:val="00233225"/>
    <w:rsid w:val="0023332C"/>
    <w:rsid w:val="0023339D"/>
    <w:rsid w:val="002333DF"/>
    <w:rsid w:val="002333FB"/>
    <w:rsid w:val="00233519"/>
    <w:rsid w:val="0023351D"/>
    <w:rsid w:val="0023357C"/>
    <w:rsid w:val="00233628"/>
    <w:rsid w:val="0023367E"/>
    <w:rsid w:val="00233705"/>
    <w:rsid w:val="00233766"/>
    <w:rsid w:val="002337D8"/>
    <w:rsid w:val="002337EA"/>
    <w:rsid w:val="00233812"/>
    <w:rsid w:val="002338A7"/>
    <w:rsid w:val="002338AB"/>
    <w:rsid w:val="002338B6"/>
    <w:rsid w:val="002338DA"/>
    <w:rsid w:val="002339E9"/>
    <w:rsid w:val="00233A8C"/>
    <w:rsid w:val="00233A8F"/>
    <w:rsid w:val="00233ADA"/>
    <w:rsid w:val="00233B93"/>
    <w:rsid w:val="00233B98"/>
    <w:rsid w:val="00233BB2"/>
    <w:rsid w:val="00233C63"/>
    <w:rsid w:val="00233C94"/>
    <w:rsid w:val="00233CCD"/>
    <w:rsid w:val="00233D1B"/>
    <w:rsid w:val="00233D1C"/>
    <w:rsid w:val="00233E42"/>
    <w:rsid w:val="00233E98"/>
    <w:rsid w:val="00233EAC"/>
    <w:rsid w:val="00233F5A"/>
    <w:rsid w:val="00234056"/>
    <w:rsid w:val="002340F8"/>
    <w:rsid w:val="00234121"/>
    <w:rsid w:val="00234128"/>
    <w:rsid w:val="00234141"/>
    <w:rsid w:val="00234179"/>
    <w:rsid w:val="0023427C"/>
    <w:rsid w:val="002342E8"/>
    <w:rsid w:val="0023430B"/>
    <w:rsid w:val="0023432C"/>
    <w:rsid w:val="00234400"/>
    <w:rsid w:val="0023454C"/>
    <w:rsid w:val="00234587"/>
    <w:rsid w:val="002345F9"/>
    <w:rsid w:val="0023466F"/>
    <w:rsid w:val="002346DC"/>
    <w:rsid w:val="0023487C"/>
    <w:rsid w:val="002349F9"/>
    <w:rsid w:val="00234AA0"/>
    <w:rsid w:val="00234AD9"/>
    <w:rsid w:val="00234AE9"/>
    <w:rsid w:val="00234B1D"/>
    <w:rsid w:val="00234B48"/>
    <w:rsid w:val="00234BC3"/>
    <w:rsid w:val="00234C3F"/>
    <w:rsid w:val="00234CF9"/>
    <w:rsid w:val="00234DDA"/>
    <w:rsid w:val="00234DFB"/>
    <w:rsid w:val="00234F92"/>
    <w:rsid w:val="00234FAB"/>
    <w:rsid w:val="00234FF7"/>
    <w:rsid w:val="00234FFF"/>
    <w:rsid w:val="002350F8"/>
    <w:rsid w:val="002350FD"/>
    <w:rsid w:val="00235153"/>
    <w:rsid w:val="00235231"/>
    <w:rsid w:val="0023527A"/>
    <w:rsid w:val="002352B6"/>
    <w:rsid w:val="00235314"/>
    <w:rsid w:val="00235318"/>
    <w:rsid w:val="00235344"/>
    <w:rsid w:val="0023534B"/>
    <w:rsid w:val="002354AC"/>
    <w:rsid w:val="00235539"/>
    <w:rsid w:val="0023557C"/>
    <w:rsid w:val="002355C5"/>
    <w:rsid w:val="002355DE"/>
    <w:rsid w:val="002355EA"/>
    <w:rsid w:val="00235624"/>
    <w:rsid w:val="002356C9"/>
    <w:rsid w:val="00235721"/>
    <w:rsid w:val="00235732"/>
    <w:rsid w:val="00235766"/>
    <w:rsid w:val="002357B6"/>
    <w:rsid w:val="00235867"/>
    <w:rsid w:val="0023588E"/>
    <w:rsid w:val="00235891"/>
    <w:rsid w:val="002358C4"/>
    <w:rsid w:val="002358EB"/>
    <w:rsid w:val="0023590B"/>
    <w:rsid w:val="00235913"/>
    <w:rsid w:val="00235956"/>
    <w:rsid w:val="002359BE"/>
    <w:rsid w:val="00235A1B"/>
    <w:rsid w:val="00235A3E"/>
    <w:rsid w:val="00235AB9"/>
    <w:rsid w:val="00235BB4"/>
    <w:rsid w:val="00235BE6"/>
    <w:rsid w:val="00235C28"/>
    <w:rsid w:val="00235C4E"/>
    <w:rsid w:val="00235C73"/>
    <w:rsid w:val="00235CE6"/>
    <w:rsid w:val="00235CE7"/>
    <w:rsid w:val="00235D4F"/>
    <w:rsid w:val="00235D66"/>
    <w:rsid w:val="00235D8F"/>
    <w:rsid w:val="00235DB1"/>
    <w:rsid w:val="00235DF0"/>
    <w:rsid w:val="00235E6E"/>
    <w:rsid w:val="00235E78"/>
    <w:rsid w:val="00235EDF"/>
    <w:rsid w:val="00235FFC"/>
    <w:rsid w:val="002360B7"/>
    <w:rsid w:val="00236137"/>
    <w:rsid w:val="00236156"/>
    <w:rsid w:val="002361E3"/>
    <w:rsid w:val="0023634F"/>
    <w:rsid w:val="002363A7"/>
    <w:rsid w:val="002363CB"/>
    <w:rsid w:val="002363E8"/>
    <w:rsid w:val="002363E9"/>
    <w:rsid w:val="0023650C"/>
    <w:rsid w:val="00236535"/>
    <w:rsid w:val="0023654D"/>
    <w:rsid w:val="00236558"/>
    <w:rsid w:val="002365CF"/>
    <w:rsid w:val="002365D0"/>
    <w:rsid w:val="00236624"/>
    <w:rsid w:val="0023669A"/>
    <w:rsid w:val="002366C0"/>
    <w:rsid w:val="00236977"/>
    <w:rsid w:val="002369F3"/>
    <w:rsid w:val="00236A2D"/>
    <w:rsid w:val="00236AA8"/>
    <w:rsid w:val="00236B28"/>
    <w:rsid w:val="00236CE7"/>
    <w:rsid w:val="00236D3A"/>
    <w:rsid w:val="00236E06"/>
    <w:rsid w:val="00236E07"/>
    <w:rsid w:val="00236E16"/>
    <w:rsid w:val="00236E67"/>
    <w:rsid w:val="00236E93"/>
    <w:rsid w:val="00236EC7"/>
    <w:rsid w:val="00236F4C"/>
    <w:rsid w:val="00236FE5"/>
    <w:rsid w:val="00236FF5"/>
    <w:rsid w:val="00237045"/>
    <w:rsid w:val="0023709D"/>
    <w:rsid w:val="002371EF"/>
    <w:rsid w:val="00237269"/>
    <w:rsid w:val="0023729F"/>
    <w:rsid w:val="00237491"/>
    <w:rsid w:val="002374BB"/>
    <w:rsid w:val="002374BE"/>
    <w:rsid w:val="00237579"/>
    <w:rsid w:val="0023765C"/>
    <w:rsid w:val="00237683"/>
    <w:rsid w:val="0023769C"/>
    <w:rsid w:val="002376DA"/>
    <w:rsid w:val="0023774F"/>
    <w:rsid w:val="00237752"/>
    <w:rsid w:val="00237774"/>
    <w:rsid w:val="0023779E"/>
    <w:rsid w:val="002377BC"/>
    <w:rsid w:val="002377CC"/>
    <w:rsid w:val="00237813"/>
    <w:rsid w:val="0023782B"/>
    <w:rsid w:val="00237968"/>
    <w:rsid w:val="0023797D"/>
    <w:rsid w:val="00237AA3"/>
    <w:rsid w:val="00237B4E"/>
    <w:rsid w:val="00237BA5"/>
    <w:rsid w:val="00237BE4"/>
    <w:rsid w:val="00237CA3"/>
    <w:rsid w:val="00237CD2"/>
    <w:rsid w:val="00237CE7"/>
    <w:rsid w:val="00237D44"/>
    <w:rsid w:val="00237DA1"/>
    <w:rsid w:val="00237DE3"/>
    <w:rsid w:val="00237EA6"/>
    <w:rsid w:val="00237F16"/>
    <w:rsid w:val="00237F96"/>
    <w:rsid w:val="00237FD5"/>
    <w:rsid w:val="00240013"/>
    <w:rsid w:val="002400A6"/>
    <w:rsid w:val="002400C6"/>
    <w:rsid w:val="002400E9"/>
    <w:rsid w:val="00240118"/>
    <w:rsid w:val="00240163"/>
    <w:rsid w:val="002401C7"/>
    <w:rsid w:val="00240267"/>
    <w:rsid w:val="002402A7"/>
    <w:rsid w:val="002402C1"/>
    <w:rsid w:val="0024038F"/>
    <w:rsid w:val="00240398"/>
    <w:rsid w:val="002404AB"/>
    <w:rsid w:val="00240513"/>
    <w:rsid w:val="002405B5"/>
    <w:rsid w:val="002405D2"/>
    <w:rsid w:val="002405E8"/>
    <w:rsid w:val="0024061A"/>
    <w:rsid w:val="00240720"/>
    <w:rsid w:val="00240796"/>
    <w:rsid w:val="00240900"/>
    <w:rsid w:val="00240950"/>
    <w:rsid w:val="00240960"/>
    <w:rsid w:val="0024096D"/>
    <w:rsid w:val="002409E4"/>
    <w:rsid w:val="002409E5"/>
    <w:rsid w:val="00240A22"/>
    <w:rsid w:val="00240A44"/>
    <w:rsid w:val="00240A75"/>
    <w:rsid w:val="00240AA4"/>
    <w:rsid w:val="00240B04"/>
    <w:rsid w:val="00240B68"/>
    <w:rsid w:val="00240B8B"/>
    <w:rsid w:val="00240BF4"/>
    <w:rsid w:val="00240CF9"/>
    <w:rsid w:val="00240D13"/>
    <w:rsid w:val="00240E0C"/>
    <w:rsid w:val="00240E91"/>
    <w:rsid w:val="00240EAE"/>
    <w:rsid w:val="00240F33"/>
    <w:rsid w:val="0024101C"/>
    <w:rsid w:val="002410B9"/>
    <w:rsid w:val="002410CA"/>
    <w:rsid w:val="00241137"/>
    <w:rsid w:val="002411DC"/>
    <w:rsid w:val="00241200"/>
    <w:rsid w:val="002412CD"/>
    <w:rsid w:val="002412CE"/>
    <w:rsid w:val="00241365"/>
    <w:rsid w:val="00241384"/>
    <w:rsid w:val="00241531"/>
    <w:rsid w:val="0024161A"/>
    <w:rsid w:val="0024161C"/>
    <w:rsid w:val="00241629"/>
    <w:rsid w:val="0024163C"/>
    <w:rsid w:val="002416AF"/>
    <w:rsid w:val="002416BA"/>
    <w:rsid w:val="00241730"/>
    <w:rsid w:val="002417A2"/>
    <w:rsid w:val="002417B4"/>
    <w:rsid w:val="00241811"/>
    <w:rsid w:val="0024183D"/>
    <w:rsid w:val="00241897"/>
    <w:rsid w:val="0024198B"/>
    <w:rsid w:val="002419C3"/>
    <w:rsid w:val="002419DE"/>
    <w:rsid w:val="00241B06"/>
    <w:rsid w:val="00241B13"/>
    <w:rsid w:val="00241B32"/>
    <w:rsid w:val="00241CAF"/>
    <w:rsid w:val="00241CB2"/>
    <w:rsid w:val="00241D2F"/>
    <w:rsid w:val="00241D30"/>
    <w:rsid w:val="00241D43"/>
    <w:rsid w:val="00241DD5"/>
    <w:rsid w:val="00241DEB"/>
    <w:rsid w:val="00241E26"/>
    <w:rsid w:val="00241E63"/>
    <w:rsid w:val="00241EDF"/>
    <w:rsid w:val="00241EF1"/>
    <w:rsid w:val="00241F08"/>
    <w:rsid w:val="00241F7D"/>
    <w:rsid w:val="00241F7E"/>
    <w:rsid w:val="00241FB4"/>
    <w:rsid w:val="0024201B"/>
    <w:rsid w:val="00242067"/>
    <w:rsid w:val="0024206A"/>
    <w:rsid w:val="002420FC"/>
    <w:rsid w:val="0024224A"/>
    <w:rsid w:val="00242269"/>
    <w:rsid w:val="00242272"/>
    <w:rsid w:val="00242336"/>
    <w:rsid w:val="00242372"/>
    <w:rsid w:val="002424C7"/>
    <w:rsid w:val="0024251B"/>
    <w:rsid w:val="0024252B"/>
    <w:rsid w:val="002425C5"/>
    <w:rsid w:val="002425EE"/>
    <w:rsid w:val="0024264A"/>
    <w:rsid w:val="00242695"/>
    <w:rsid w:val="0024273E"/>
    <w:rsid w:val="00242841"/>
    <w:rsid w:val="00242895"/>
    <w:rsid w:val="002428E0"/>
    <w:rsid w:val="00242902"/>
    <w:rsid w:val="0024290B"/>
    <w:rsid w:val="00242A17"/>
    <w:rsid w:val="00242A3E"/>
    <w:rsid w:val="00242A7D"/>
    <w:rsid w:val="00242A8F"/>
    <w:rsid w:val="00242ABC"/>
    <w:rsid w:val="00242ACB"/>
    <w:rsid w:val="00242ADC"/>
    <w:rsid w:val="00242ADE"/>
    <w:rsid w:val="00242B16"/>
    <w:rsid w:val="00242B4B"/>
    <w:rsid w:val="00242B4C"/>
    <w:rsid w:val="00242B59"/>
    <w:rsid w:val="00242B73"/>
    <w:rsid w:val="00242BA2"/>
    <w:rsid w:val="00242BEA"/>
    <w:rsid w:val="00242BF8"/>
    <w:rsid w:val="00242C60"/>
    <w:rsid w:val="00242C61"/>
    <w:rsid w:val="00242C8F"/>
    <w:rsid w:val="00242CDC"/>
    <w:rsid w:val="00242DFE"/>
    <w:rsid w:val="00242E13"/>
    <w:rsid w:val="00242F39"/>
    <w:rsid w:val="00242F4A"/>
    <w:rsid w:val="00242F4B"/>
    <w:rsid w:val="0024304D"/>
    <w:rsid w:val="00243057"/>
    <w:rsid w:val="0024305B"/>
    <w:rsid w:val="0024305D"/>
    <w:rsid w:val="0024308D"/>
    <w:rsid w:val="00243093"/>
    <w:rsid w:val="002430E3"/>
    <w:rsid w:val="002430E7"/>
    <w:rsid w:val="00243175"/>
    <w:rsid w:val="00243187"/>
    <w:rsid w:val="002431BE"/>
    <w:rsid w:val="002431C7"/>
    <w:rsid w:val="002431ED"/>
    <w:rsid w:val="0024323A"/>
    <w:rsid w:val="002432B7"/>
    <w:rsid w:val="00243309"/>
    <w:rsid w:val="00243333"/>
    <w:rsid w:val="0024334C"/>
    <w:rsid w:val="0024339C"/>
    <w:rsid w:val="00243403"/>
    <w:rsid w:val="0024342A"/>
    <w:rsid w:val="00243552"/>
    <w:rsid w:val="00243591"/>
    <w:rsid w:val="002435A9"/>
    <w:rsid w:val="002435DE"/>
    <w:rsid w:val="002436E2"/>
    <w:rsid w:val="0024375A"/>
    <w:rsid w:val="0024379B"/>
    <w:rsid w:val="002439BF"/>
    <w:rsid w:val="002439E4"/>
    <w:rsid w:val="002439E7"/>
    <w:rsid w:val="00243A2A"/>
    <w:rsid w:val="00243A54"/>
    <w:rsid w:val="00243A6C"/>
    <w:rsid w:val="00243A99"/>
    <w:rsid w:val="00243AA0"/>
    <w:rsid w:val="00243AAF"/>
    <w:rsid w:val="00243AEA"/>
    <w:rsid w:val="00243B09"/>
    <w:rsid w:val="00243B18"/>
    <w:rsid w:val="00243B2E"/>
    <w:rsid w:val="00243BF6"/>
    <w:rsid w:val="00243C1D"/>
    <w:rsid w:val="00243C5E"/>
    <w:rsid w:val="00243C61"/>
    <w:rsid w:val="00243CD1"/>
    <w:rsid w:val="00243D2C"/>
    <w:rsid w:val="00243D39"/>
    <w:rsid w:val="00243D63"/>
    <w:rsid w:val="00243D9D"/>
    <w:rsid w:val="00243DA5"/>
    <w:rsid w:val="00243DA6"/>
    <w:rsid w:val="00243DE7"/>
    <w:rsid w:val="00243DEC"/>
    <w:rsid w:val="00243E07"/>
    <w:rsid w:val="00243E47"/>
    <w:rsid w:val="00243E90"/>
    <w:rsid w:val="00243EE4"/>
    <w:rsid w:val="00243EE8"/>
    <w:rsid w:val="00243F03"/>
    <w:rsid w:val="00243F70"/>
    <w:rsid w:val="00243F76"/>
    <w:rsid w:val="00243FC8"/>
    <w:rsid w:val="00243FED"/>
    <w:rsid w:val="002440EA"/>
    <w:rsid w:val="002440FC"/>
    <w:rsid w:val="00244229"/>
    <w:rsid w:val="002442B1"/>
    <w:rsid w:val="002442CC"/>
    <w:rsid w:val="002442DC"/>
    <w:rsid w:val="002442FA"/>
    <w:rsid w:val="00244352"/>
    <w:rsid w:val="002443BF"/>
    <w:rsid w:val="00244434"/>
    <w:rsid w:val="002444CD"/>
    <w:rsid w:val="00244534"/>
    <w:rsid w:val="002445C8"/>
    <w:rsid w:val="002445FB"/>
    <w:rsid w:val="002446BF"/>
    <w:rsid w:val="002446F2"/>
    <w:rsid w:val="002446FB"/>
    <w:rsid w:val="0024478F"/>
    <w:rsid w:val="002447C1"/>
    <w:rsid w:val="0024485D"/>
    <w:rsid w:val="002448D6"/>
    <w:rsid w:val="0024492A"/>
    <w:rsid w:val="00244939"/>
    <w:rsid w:val="00244971"/>
    <w:rsid w:val="0024498A"/>
    <w:rsid w:val="002449D8"/>
    <w:rsid w:val="00244A37"/>
    <w:rsid w:val="00244AAC"/>
    <w:rsid w:val="00244AC5"/>
    <w:rsid w:val="00244B83"/>
    <w:rsid w:val="00244BAF"/>
    <w:rsid w:val="00244BDD"/>
    <w:rsid w:val="00244BE0"/>
    <w:rsid w:val="00244D55"/>
    <w:rsid w:val="00244E01"/>
    <w:rsid w:val="00244E02"/>
    <w:rsid w:val="00244E4D"/>
    <w:rsid w:val="00244EA3"/>
    <w:rsid w:val="00244EA8"/>
    <w:rsid w:val="00244ED4"/>
    <w:rsid w:val="0024500F"/>
    <w:rsid w:val="002450D9"/>
    <w:rsid w:val="00245109"/>
    <w:rsid w:val="00245128"/>
    <w:rsid w:val="0024515D"/>
    <w:rsid w:val="0024518B"/>
    <w:rsid w:val="002451DD"/>
    <w:rsid w:val="00245235"/>
    <w:rsid w:val="0024529F"/>
    <w:rsid w:val="002452DF"/>
    <w:rsid w:val="0024535B"/>
    <w:rsid w:val="0024538C"/>
    <w:rsid w:val="0024538F"/>
    <w:rsid w:val="0024545A"/>
    <w:rsid w:val="00245463"/>
    <w:rsid w:val="00245479"/>
    <w:rsid w:val="00245480"/>
    <w:rsid w:val="0024553B"/>
    <w:rsid w:val="0024558F"/>
    <w:rsid w:val="0024562F"/>
    <w:rsid w:val="00245768"/>
    <w:rsid w:val="0024582E"/>
    <w:rsid w:val="002458B5"/>
    <w:rsid w:val="002458DD"/>
    <w:rsid w:val="002458FB"/>
    <w:rsid w:val="00245905"/>
    <w:rsid w:val="00245910"/>
    <w:rsid w:val="0024591E"/>
    <w:rsid w:val="0024598F"/>
    <w:rsid w:val="002459D3"/>
    <w:rsid w:val="002459EE"/>
    <w:rsid w:val="002459F6"/>
    <w:rsid w:val="00245A30"/>
    <w:rsid w:val="00245A43"/>
    <w:rsid w:val="00245A9A"/>
    <w:rsid w:val="00245A9F"/>
    <w:rsid w:val="00245AB1"/>
    <w:rsid w:val="00245B44"/>
    <w:rsid w:val="00245B4B"/>
    <w:rsid w:val="00245BB2"/>
    <w:rsid w:val="00245BEC"/>
    <w:rsid w:val="00245BFC"/>
    <w:rsid w:val="00245C56"/>
    <w:rsid w:val="00245C5F"/>
    <w:rsid w:val="00245CCC"/>
    <w:rsid w:val="00245CD1"/>
    <w:rsid w:val="00245DF1"/>
    <w:rsid w:val="00245E2E"/>
    <w:rsid w:val="00245E6A"/>
    <w:rsid w:val="00245E81"/>
    <w:rsid w:val="00245EAB"/>
    <w:rsid w:val="00245F1F"/>
    <w:rsid w:val="00245F27"/>
    <w:rsid w:val="00245F2B"/>
    <w:rsid w:val="00245F40"/>
    <w:rsid w:val="00245F4A"/>
    <w:rsid w:val="00245F52"/>
    <w:rsid w:val="00245FEF"/>
    <w:rsid w:val="00246096"/>
    <w:rsid w:val="002460A4"/>
    <w:rsid w:val="002461B2"/>
    <w:rsid w:val="002461F1"/>
    <w:rsid w:val="0024626D"/>
    <w:rsid w:val="00246274"/>
    <w:rsid w:val="002462AA"/>
    <w:rsid w:val="00246305"/>
    <w:rsid w:val="002463BB"/>
    <w:rsid w:val="002463CC"/>
    <w:rsid w:val="002463F9"/>
    <w:rsid w:val="00246411"/>
    <w:rsid w:val="0024647A"/>
    <w:rsid w:val="00246483"/>
    <w:rsid w:val="00246594"/>
    <w:rsid w:val="002465E6"/>
    <w:rsid w:val="002466B6"/>
    <w:rsid w:val="002466E9"/>
    <w:rsid w:val="0024690A"/>
    <w:rsid w:val="00246911"/>
    <w:rsid w:val="002469CB"/>
    <w:rsid w:val="002469FD"/>
    <w:rsid w:val="00246A09"/>
    <w:rsid w:val="00246AF7"/>
    <w:rsid w:val="00246B13"/>
    <w:rsid w:val="00246BB4"/>
    <w:rsid w:val="00246C35"/>
    <w:rsid w:val="00246D3E"/>
    <w:rsid w:val="00246D5C"/>
    <w:rsid w:val="00246DE2"/>
    <w:rsid w:val="00246E24"/>
    <w:rsid w:val="00246F8E"/>
    <w:rsid w:val="00246FC0"/>
    <w:rsid w:val="00246FC7"/>
    <w:rsid w:val="00246FF4"/>
    <w:rsid w:val="00247062"/>
    <w:rsid w:val="002470AA"/>
    <w:rsid w:val="002470BA"/>
    <w:rsid w:val="00247133"/>
    <w:rsid w:val="0024725B"/>
    <w:rsid w:val="0024727D"/>
    <w:rsid w:val="00247281"/>
    <w:rsid w:val="0024728A"/>
    <w:rsid w:val="00247312"/>
    <w:rsid w:val="00247360"/>
    <w:rsid w:val="00247364"/>
    <w:rsid w:val="002473B9"/>
    <w:rsid w:val="0024740E"/>
    <w:rsid w:val="00247420"/>
    <w:rsid w:val="0024742F"/>
    <w:rsid w:val="00247481"/>
    <w:rsid w:val="002474D3"/>
    <w:rsid w:val="002475A3"/>
    <w:rsid w:val="002476BB"/>
    <w:rsid w:val="002476BE"/>
    <w:rsid w:val="002476FD"/>
    <w:rsid w:val="00247702"/>
    <w:rsid w:val="002477CD"/>
    <w:rsid w:val="0024781F"/>
    <w:rsid w:val="0024783A"/>
    <w:rsid w:val="0024786C"/>
    <w:rsid w:val="002478B4"/>
    <w:rsid w:val="002478ED"/>
    <w:rsid w:val="00247983"/>
    <w:rsid w:val="002479AA"/>
    <w:rsid w:val="002479CD"/>
    <w:rsid w:val="002479D2"/>
    <w:rsid w:val="00247A78"/>
    <w:rsid w:val="00247AA2"/>
    <w:rsid w:val="00247ACD"/>
    <w:rsid w:val="00247B81"/>
    <w:rsid w:val="00247B99"/>
    <w:rsid w:val="00247C21"/>
    <w:rsid w:val="00247C56"/>
    <w:rsid w:val="00247CCE"/>
    <w:rsid w:val="00247D5E"/>
    <w:rsid w:val="00247DA4"/>
    <w:rsid w:val="00247E54"/>
    <w:rsid w:val="00247E6F"/>
    <w:rsid w:val="00247E99"/>
    <w:rsid w:val="00247F28"/>
    <w:rsid w:val="00247FAD"/>
    <w:rsid w:val="0024805A"/>
    <w:rsid w:val="0024F0AB"/>
    <w:rsid w:val="00250020"/>
    <w:rsid w:val="0025005B"/>
    <w:rsid w:val="00250070"/>
    <w:rsid w:val="00250200"/>
    <w:rsid w:val="00250222"/>
    <w:rsid w:val="0025024F"/>
    <w:rsid w:val="00250287"/>
    <w:rsid w:val="00250352"/>
    <w:rsid w:val="0025037E"/>
    <w:rsid w:val="002503AF"/>
    <w:rsid w:val="00250410"/>
    <w:rsid w:val="00250412"/>
    <w:rsid w:val="0025045A"/>
    <w:rsid w:val="00250462"/>
    <w:rsid w:val="002504A0"/>
    <w:rsid w:val="002505C1"/>
    <w:rsid w:val="0025067C"/>
    <w:rsid w:val="002506CD"/>
    <w:rsid w:val="002506D2"/>
    <w:rsid w:val="0025070C"/>
    <w:rsid w:val="00250746"/>
    <w:rsid w:val="00250773"/>
    <w:rsid w:val="002507CE"/>
    <w:rsid w:val="002507DF"/>
    <w:rsid w:val="00250802"/>
    <w:rsid w:val="0025088B"/>
    <w:rsid w:val="00250898"/>
    <w:rsid w:val="002508E7"/>
    <w:rsid w:val="002508E9"/>
    <w:rsid w:val="00250968"/>
    <w:rsid w:val="002509B1"/>
    <w:rsid w:val="00250A23"/>
    <w:rsid w:val="00250AA9"/>
    <w:rsid w:val="00250B02"/>
    <w:rsid w:val="00250C23"/>
    <w:rsid w:val="00250C78"/>
    <w:rsid w:val="00250D99"/>
    <w:rsid w:val="00250E12"/>
    <w:rsid w:val="00250E9A"/>
    <w:rsid w:val="00250EED"/>
    <w:rsid w:val="00250F32"/>
    <w:rsid w:val="00251002"/>
    <w:rsid w:val="00251009"/>
    <w:rsid w:val="0025102A"/>
    <w:rsid w:val="00251031"/>
    <w:rsid w:val="0025104A"/>
    <w:rsid w:val="00251177"/>
    <w:rsid w:val="00251185"/>
    <w:rsid w:val="002511DD"/>
    <w:rsid w:val="002511E6"/>
    <w:rsid w:val="00251280"/>
    <w:rsid w:val="0025139E"/>
    <w:rsid w:val="002513B6"/>
    <w:rsid w:val="002513D8"/>
    <w:rsid w:val="00251566"/>
    <w:rsid w:val="00251571"/>
    <w:rsid w:val="00251591"/>
    <w:rsid w:val="002515F6"/>
    <w:rsid w:val="00251668"/>
    <w:rsid w:val="00251671"/>
    <w:rsid w:val="002516C1"/>
    <w:rsid w:val="00251747"/>
    <w:rsid w:val="00251757"/>
    <w:rsid w:val="0025175D"/>
    <w:rsid w:val="00251779"/>
    <w:rsid w:val="0025177D"/>
    <w:rsid w:val="002517B4"/>
    <w:rsid w:val="002517CB"/>
    <w:rsid w:val="002517F0"/>
    <w:rsid w:val="0025181B"/>
    <w:rsid w:val="00251841"/>
    <w:rsid w:val="00251857"/>
    <w:rsid w:val="0025189E"/>
    <w:rsid w:val="002518CA"/>
    <w:rsid w:val="002518D1"/>
    <w:rsid w:val="00251976"/>
    <w:rsid w:val="002519E2"/>
    <w:rsid w:val="00251A83"/>
    <w:rsid w:val="00251B0F"/>
    <w:rsid w:val="00251B18"/>
    <w:rsid w:val="00251BB2"/>
    <w:rsid w:val="00251BE5"/>
    <w:rsid w:val="00251C04"/>
    <w:rsid w:val="00251C35"/>
    <w:rsid w:val="00251CA2"/>
    <w:rsid w:val="00251D3E"/>
    <w:rsid w:val="00251D7E"/>
    <w:rsid w:val="00251D7F"/>
    <w:rsid w:val="00251DE2"/>
    <w:rsid w:val="00251E8A"/>
    <w:rsid w:val="00251F15"/>
    <w:rsid w:val="00251F33"/>
    <w:rsid w:val="00251FC4"/>
    <w:rsid w:val="00251FE9"/>
    <w:rsid w:val="00252007"/>
    <w:rsid w:val="00252033"/>
    <w:rsid w:val="00252073"/>
    <w:rsid w:val="002520F9"/>
    <w:rsid w:val="002520FE"/>
    <w:rsid w:val="002521BC"/>
    <w:rsid w:val="002521C1"/>
    <w:rsid w:val="00252217"/>
    <w:rsid w:val="002522DC"/>
    <w:rsid w:val="002523D7"/>
    <w:rsid w:val="0025249B"/>
    <w:rsid w:val="0025249E"/>
    <w:rsid w:val="0025250A"/>
    <w:rsid w:val="002525A8"/>
    <w:rsid w:val="002525B7"/>
    <w:rsid w:val="002525C2"/>
    <w:rsid w:val="00252654"/>
    <w:rsid w:val="00252776"/>
    <w:rsid w:val="00252799"/>
    <w:rsid w:val="002527D9"/>
    <w:rsid w:val="00252879"/>
    <w:rsid w:val="002528C5"/>
    <w:rsid w:val="002528FC"/>
    <w:rsid w:val="00252918"/>
    <w:rsid w:val="002529AA"/>
    <w:rsid w:val="00252AD9"/>
    <w:rsid w:val="00252B34"/>
    <w:rsid w:val="00252B40"/>
    <w:rsid w:val="00252B4A"/>
    <w:rsid w:val="00252BD7"/>
    <w:rsid w:val="00252BFD"/>
    <w:rsid w:val="00252C5F"/>
    <w:rsid w:val="00252C70"/>
    <w:rsid w:val="00252CA4"/>
    <w:rsid w:val="00252CC0"/>
    <w:rsid w:val="00252CD4"/>
    <w:rsid w:val="00252EEF"/>
    <w:rsid w:val="00252EF2"/>
    <w:rsid w:val="00252F26"/>
    <w:rsid w:val="00252F4B"/>
    <w:rsid w:val="00252FCF"/>
    <w:rsid w:val="0025305A"/>
    <w:rsid w:val="00253157"/>
    <w:rsid w:val="0025315E"/>
    <w:rsid w:val="00253174"/>
    <w:rsid w:val="00253189"/>
    <w:rsid w:val="0025322D"/>
    <w:rsid w:val="002532B9"/>
    <w:rsid w:val="002532E1"/>
    <w:rsid w:val="0025337E"/>
    <w:rsid w:val="00253386"/>
    <w:rsid w:val="002533C6"/>
    <w:rsid w:val="00253414"/>
    <w:rsid w:val="00253455"/>
    <w:rsid w:val="00253495"/>
    <w:rsid w:val="002534E7"/>
    <w:rsid w:val="00253590"/>
    <w:rsid w:val="00253623"/>
    <w:rsid w:val="0025366A"/>
    <w:rsid w:val="00253678"/>
    <w:rsid w:val="00253723"/>
    <w:rsid w:val="00253741"/>
    <w:rsid w:val="00253748"/>
    <w:rsid w:val="00253770"/>
    <w:rsid w:val="002537F7"/>
    <w:rsid w:val="0025380E"/>
    <w:rsid w:val="00253839"/>
    <w:rsid w:val="00253842"/>
    <w:rsid w:val="0025386C"/>
    <w:rsid w:val="002538CF"/>
    <w:rsid w:val="002538EA"/>
    <w:rsid w:val="00253905"/>
    <w:rsid w:val="00253910"/>
    <w:rsid w:val="0025393C"/>
    <w:rsid w:val="00253951"/>
    <w:rsid w:val="0025396C"/>
    <w:rsid w:val="00253982"/>
    <w:rsid w:val="00253A17"/>
    <w:rsid w:val="00253A35"/>
    <w:rsid w:val="00253A53"/>
    <w:rsid w:val="00253A7F"/>
    <w:rsid w:val="00253B20"/>
    <w:rsid w:val="00253B4E"/>
    <w:rsid w:val="00253B99"/>
    <w:rsid w:val="00253BB3"/>
    <w:rsid w:val="00253C21"/>
    <w:rsid w:val="00253D20"/>
    <w:rsid w:val="00253D5A"/>
    <w:rsid w:val="00253EA8"/>
    <w:rsid w:val="00253EE8"/>
    <w:rsid w:val="00253EFD"/>
    <w:rsid w:val="00253FCD"/>
    <w:rsid w:val="00253FD8"/>
    <w:rsid w:val="00254029"/>
    <w:rsid w:val="0025402F"/>
    <w:rsid w:val="0025403E"/>
    <w:rsid w:val="0025407A"/>
    <w:rsid w:val="0025408E"/>
    <w:rsid w:val="002540D1"/>
    <w:rsid w:val="00254125"/>
    <w:rsid w:val="002541A9"/>
    <w:rsid w:val="0025421A"/>
    <w:rsid w:val="0025429A"/>
    <w:rsid w:val="0025429C"/>
    <w:rsid w:val="002542C5"/>
    <w:rsid w:val="00254307"/>
    <w:rsid w:val="00254328"/>
    <w:rsid w:val="002543F2"/>
    <w:rsid w:val="00254409"/>
    <w:rsid w:val="00254458"/>
    <w:rsid w:val="00254477"/>
    <w:rsid w:val="002544EB"/>
    <w:rsid w:val="00254567"/>
    <w:rsid w:val="00254623"/>
    <w:rsid w:val="00254665"/>
    <w:rsid w:val="00254667"/>
    <w:rsid w:val="00254699"/>
    <w:rsid w:val="002546CB"/>
    <w:rsid w:val="002546D3"/>
    <w:rsid w:val="00254708"/>
    <w:rsid w:val="00254856"/>
    <w:rsid w:val="0025485B"/>
    <w:rsid w:val="0025487E"/>
    <w:rsid w:val="0025489A"/>
    <w:rsid w:val="002548EC"/>
    <w:rsid w:val="002548F4"/>
    <w:rsid w:val="0025492E"/>
    <w:rsid w:val="00254959"/>
    <w:rsid w:val="0025496C"/>
    <w:rsid w:val="00254AD2"/>
    <w:rsid w:val="00254B63"/>
    <w:rsid w:val="00254BB9"/>
    <w:rsid w:val="00254C92"/>
    <w:rsid w:val="00254D8A"/>
    <w:rsid w:val="00254DB2"/>
    <w:rsid w:val="00254E5E"/>
    <w:rsid w:val="00254F5C"/>
    <w:rsid w:val="0025515B"/>
    <w:rsid w:val="002551A2"/>
    <w:rsid w:val="002551A8"/>
    <w:rsid w:val="002551ED"/>
    <w:rsid w:val="002551FA"/>
    <w:rsid w:val="002551FC"/>
    <w:rsid w:val="00255232"/>
    <w:rsid w:val="002553CB"/>
    <w:rsid w:val="002553D0"/>
    <w:rsid w:val="002553EF"/>
    <w:rsid w:val="0025540D"/>
    <w:rsid w:val="00255496"/>
    <w:rsid w:val="002554C5"/>
    <w:rsid w:val="00255626"/>
    <w:rsid w:val="002556B0"/>
    <w:rsid w:val="002556BA"/>
    <w:rsid w:val="002556BD"/>
    <w:rsid w:val="002556ED"/>
    <w:rsid w:val="00255700"/>
    <w:rsid w:val="00255705"/>
    <w:rsid w:val="0025586A"/>
    <w:rsid w:val="00255888"/>
    <w:rsid w:val="002558C3"/>
    <w:rsid w:val="0025591F"/>
    <w:rsid w:val="00255931"/>
    <w:rsid w:val="002559AF"/>
    <w:rsid w:val="002559E3"/>
    <w:rsid w:val="002559EE"/>
    <w:rsid w:val="00255A1A"/>
    <w:rsid w:val="00255A22"/>
    <w:rsid w:val="00255A29"/>
    <w:rsid w:val="00255A4A"/>
    <w:rsid w:val="00255A5A"/>
    <w:rsid w:val="00255ABD"/>
    <w:rsid w:val="00255AE3"/>
    <w:rsid w:val="00255B44"/>
    <w:rsid w:val="00255B5C"/>
    <w:rsid w:val="00255B7E"/>
    <w:rsid w:val="00255BE8"/>
    <w:rsid w:val="00255CAE"/>
    <w:rsid w:val="00255D0E"/>
    <w:rsid w:val="00255D69"/>
    <w:rsid w:val="00255D7D"/>
    <w:rsid w:val="00255DD6"/>
    <w:rsid w:val="00255E5B"/>
    <w:rsid w:val="00255E6F"/>
    <w:rsid w:val="00255E7C"/>
    <w:rsid w:val="00255F1B"/>
    <w:rsid w:val="00255FD9"/>
    <w:rsid w:val="00255FF3"/>
    <w:rsid w:val="0025600F"/>
    <w:rsid w:val="0025607C"/>
    <w:rsid w:val="0025607E"/>
    <w:rsid w:val="00256188"/>
    <w:rsid w:val="002561D6"/>
    <w:rsid w:val="002561DE"/>
    <w:rsid w:val="00256224"/>
    <w:rsid w:val="00256344"/>
    <w:rsid w:val="002563B9"/>
    <w:rsid w:val="002563E4"/>
    <w:rsid w:val="00256420"/>
    <w:rsid w:val="00256462"/>
    <w:rsid w:val="002564FB"/>
    <w:rsid w:val="002565B9"/>
    <w:rsid w:val="0025664B"/>
    <w:rsid w:val="00256659"/>
    <w:rsid w:val="00256682"/>
    <w:rsid w:val="002566DB"/>
    <w:rsid w:val="002566EB"/>
    <w:rsid w:val="002567CE"/>
    <w:rsid w:val="002568FD"/>
    <w:rsid w:val="00256944"/>
    <w:rsid w:val="00256AFA"/>
    <w:rsid w:val="00256B09"/>
    <w:rsid w:val="00256B0F"/>
    <w:rsid w:val="00256B16"/>
    <w:rsid w:val="00256B98"/>
    <w:rsid w:val="00256BAE"/>
    <w:rsid w:val="00256BDC"/>
    <w:rsid w:val="00256C40"/>
    <w:rsid w:val="00256C5C"/>
    <w:rsid w:val="00256C6A"/>
    <w:rsid w:val="00256C7F"/>
    <w:rsid w:val="00256DDF"/>
    <w:rsid w:val="00256E31"/>
    <w:rsid w:val="00256F24"/>
    <w:rsid w:val="00256F29"/>
    <w:rsid w:val="00256F3B"/>
    <w:rsid w:val="00256F4A"/>
    <w:rsid w:val="00256F8A"/>
    <w:rsid w:val="00256FF6"/>
    <w:rsid w:val="002571AA"/>
    <w:rsid w:val="0025728F"/>
    <w:rsid w:val="002572D8"/>
    <w:rsid w:val="002572FD"/>
    <w:rsid w:val="00257370"/>
    <w:rsid w:val="00257383"/>
    <w:rsid w:val="002573E5"/>
    <w:rsid w:val="0025744C"/>
    <w:rsid w:val="00257483"/>
    <w:rsid w:val="002574F5"/>
    <w:rsid w:val="00257504"/>
    <w:rsid w:val="0025753A"/>
    <w:rsid w:val="0025756D"/>
    <w:rsid w:val="0025762B"/>
    <w:rsid w:val="002576C6"/>
    <w:rsid w:val="002576EA"/>
    <w:rsid w:val="00257723"/>
    <w:rsid w:val="002578BD"/>
    <w:rsid w:val="00257976"/>
    <w:rsid w:val="00257988"/>
    <w:rsid w:val="002579F0"/>
    <w:rsid w:val="00257A96"/>
    <w:rsid w:val="00257B6F"/>
    <w:rsid w:val="00257B7F"/>
    <w:rsid w:val="00257BDA"/>
    <w:rsid w:val="00257BF3"/>
    <w:rsid w:val="00257C0E"/>
    <w:rsid w:val="00257C52"/>
    <w:rsid w:val="00257C88"/>
    <w:rsid w:val="00257CE2"/>
    <w:rsid w:val="00257D39"/>
    <w:rsid w:val="00257D71"/>
    <w:rsid w:val="00257D86"/>
    <w:rsid w:val="00257D93"/>
    <w:rsid w:val="00257DB9"/>
    <w:rsid w:val="00257E2A"/>
    <w:rsid w:val="00257E55"/>
    <w:rsid w:val="00257E8F"/>
    <w:rsid w:val="00257E92"/>
    <w:rsid w:val="00257EC1"/>
    <w:rsid w:val="00257F39"/>
    <w:rsid w:val="00257F50"/>
    <w:rsid w:val="00257F77"/>
    <w:rsid w:val="00260092"/>
    <w:rsid w:val="00260099"/>
    <w:rsid w:val="002600B1"/>
    <w:rsid w:val="00260187"/>
    <w:rsid w:val="00260195"/>
    <w:rsid w:val="002601AD"/>
    <w:rsid w:val="00260208"/>
    <w:rsid w:val="00260243"/>
    <w:rsid w:val="0026027C"/>
    <w:rsid w:val="00260289"/>
    <w:rsid w:val="00260393"/>
    <w:rsid w:val="002603B2"/>
    <w:rsid w:val="0026045C"/>
    <w:rsid w:val="00260476"/>
    <w:rsid w:val="00260485"/>
    <w:rsid w:val="002605D0"/>
    <w:rsid w:val="002605F9"/>
    <w:rsid w:val="00260623"/>
    <w:rsid w:val="00260645"/>
    <w:rsid w:val="002606A2"/>
    <w:rsid w:val="00260710"/>
    <w:rsid w:val="0026078F"/>
    <w:rsid w:val="002607B5"/>
    <w:rsid w:val="0026085D"/>
    <w:rsid w:val="002608D8"/>
    <w:rsid w:val="00260909"/>
    <w:rsid w:val="00260991"/>
    <w:rsid w:val="00260999"/>
    <w:rsid w:val="002609B4"/>
    <w:rsid w:val="002609C2"/>
    <w:rsid w:val="00260AA5"/>
    <w:rsid w:val="00260AE5"/>
    <w:rsid w:val="00260AF6"/>
    <w:rsid w:val="00260B8E"/>
    <w:rsid w:val="00260B9E"/>
    <w:rsid w:val="00260C7E"/>
    <w:rsid w:val="00260CFA"/>
    <w:rsid w:val="00260DA5"/>
    <w:rsid w:val="00260DB9"/>
    <w:rsid w:val="00260E8E"/>
    <w:rsid w:val="00260F50"/>
    <w:rsid w:val="0026103F"/>
    <w:rsid w:val="002611D2"/>
    <w:rsid w:val="002611E9"/>
    <w:rsid w:val="00261243"/>
    <w:rsid w:val="0026127C"/>
    <w:rsid w:val="0026129D"/>
    <w:rsid w:val="002612F1"/>
    <w:rsid w:val="00261302"/>
    <w:rsid w:val="00261311"/>
    <w:rsid w:val="00261348"/>
    <w:rsid w:val="0026134B"/>
    <w:rsid w:val="00261410"/>
    <w:rsid w:val="00261412"/>
    <w:rsid w:val="00261420"/>
    <w:rsid w:val="00261429"/>
    <w:rsid w:val="0026142C"/>
    <w:rsid w:val="002614EC"/>
    <w:rsid w:val="00261522"/>
    <w:rsid w:val="0026158A"/>
    <w:rsid w:val="0026158D"/>
    <w:rsid w:val="002615B1"/>
    <w:rsid w:val="002615E7"/>
    <w:rsid w:val="0026166F"/>
    <w:rsid w:val="002616B1"/>
    <w:rsid w:val="002616BB"/>
    <w:rsid w:val="002617B3"/>
    <w:rsid w:val="0026182F"/>
    <w:rsid w:val="00261868"/>
    <w:rsid w:val="002618C2"/>
    <w:rsid w:val="002618DE"/>
    <w:rsid w:val="00261947"/>
    <w:rsid w:val="002619EA"/>
    <w:rsid w:val="00261B0E"/>
    <w:rsid w:val="00261B32"/>
    <w:rsid w:val="00261B7D"/>
    <w:rsid w:val="00261B8F"/>
    <w:rsid w:val="00261BB7"/>
    <w:rsid w:val="00261CC4"/>
    <w:rsid w:val="00261CFE"/>
    <w:rsid w:val="00261DE7"/>
    <w:rsid w:val="00261E0F"/>
    <w:rsid w:val="00261EEE"/>
    <w:rsid w:val="00261F58"/>
    <w:rsid w:val="00261F87"/>
    <w:rsid w:val="00261FFB"/>
    <w:rsid w:val="00262020"/>
    <w:rsid w:val="00262030"/>
    <w:rsid w:val="002620A4"/>
    <w:rsid w:val="0026217F"/>
    <w:rsid w:val="002621AB"/>
    <w:rsid w:val="00262205"/>
    <w:rsid w:val="00262260"/>
    <w:rsid w:val="002622D7"/>
    <w:rsid w:val="0026232F"/>
    <w:rsid w:val="00262418"/>
    <w:rsid w:val="0026241A"/>
    <w:rsid w:val="00262423"/>
    <w:rsid w:val="00262520"/>
    <w:rsid w:val="002625AC"/>
    <w:rsid w:val="00262638"/>
    <w:rsid w:val="0026267D"/>
    <w:rsid w:val="002626DB"/>
    <w:rsid w:val="00262734"/>
    <w:rsid w:val="00262919"/>
    <w:rsid w:val="00262967"/>
    <w:rsid w:val="00262A21"/>
    <w:rsid w:val="00262A2D"/>
    <w:rsid w:val="00262A6D"/>
    <w:rsid w:val="00262AA7"/>
    <w:rsid w:val="00262ABA"/>
    <w:rsid w:val="00262ADA"/>
    <w:rsid w:val="00262AE0"/>
    <w:rsid w:val="00262AE3"/>
    <w:rsid w:val="00262B23"/>
    <w:rsid w:val="00262B66"/>
    <w:rsid w:val="00262B6F"/>
    <w:rsid w:val="00262B77"/>
    <w:rsid w:val="00262BBD"/>
    <w:rsid w:val="00262BDC"/>
    <w:rsid w:val="00262BED"/>
    <w:rsid w:val="00262C76"/>
    <w:rsid w:val="00262D7C"/>
    <w:rsid w:val="00262DA8"/>
    <w:rsid w:val="00262DB2"/>
    <w:rsid w:val="00262E00"/>
    <w:rsid w:val="00262EBE"/>
    <w:rsid w:val="00262F25"/>
    <w:rsid w:val="00262F99"/>
    <w:rsid w:val="00262FC6"/>
    <w:rsid w:val="00262FF4"/>
    <w:rsid w:val="00263046"/>
    <w:rsid w:val="002630A8"/>
    <w:rsid w:val="002630EA"/>
    <w:rsid w:val="0026319F"/>
    <w:rsid w:val="00263222"/>
    <w:rsid w:val="0026326F"/>
    <w:rsid w:val="00263282"/>
    <w:rsid w:val="00263318"/>
    <w:rsid w:val="0026337F"/>
    <w:rsid w:val="0026339F"/>
    <w:rsid w:val="002633D1"/>
    <w:rsid w:val="00263456"/>
    <w:rsid w:val="00263550"/>
    <w:rsid w:val="00263584"/>
    <w:rsid w:val="002635AE"/>
    <w:rsid w:val="002635E1"/>
    <w:rsid w:val="0026364F"/>
    <w:rsid w:val="00263671"/>
    <w:rsid w:val="0026368E"/>
    <w:rsid w:val="002636CC"/>
    <w:rsid w:val="002636EB"/>
    <w:rsid w:val="00263732"/>
    <w:rsid w:val="00263757"/>
    <w:rsid w:val="002637A4"/>
    <w:rsid w:val="002637B0"/>
    <w:rsid w:val="00263805"/>
    <w:rsid w:val="0026383D"/>
    <w:rsid w:val="0026389E"/>
    <w:rsid w:val="002638B3"/>
    <w:rsid w:val="002638EA"/>
    <w:rsid w:val="0026392A"/>
    <w:rsid w:val="0026394E"/>
    <w:rsid w:val="002639BA"/>
    <w:rsid w:val="00263A77"/>
    <w:rsid w:val="00263A8D"/>
    <w:rsid w:val="00263A98"/>
    <w:rsid w:val="00263AE6"/>
    <w:rsid w:val="00263B49"/>
    <w:rsid w:val="00263B5C"/>
    <w:rsid w:val="00263BB2"/>
    <w:rsid w:val="00263C87"/>
    <w:rsid w:val="00263D22"/>
    <w:rsid w:val="00263D9C"/>
    <w:rsid w:val="00263DA7"/>
    <w:rsid w:val="00263EC4"/>
    <w:rsid w:val="00263F05"/>
    <w:rsid w:val="00263F1C"/>
    <w:rsid w:val="00263FC2"/>
    <w:rsid w:val="00264016"/>
    <w:rsid w:val="0026403C"/>
    <w:rsid w:val="00264087"/>
    <w:rsid w:val="002640B5"/>
    <w:rsid w:val="002640C9"/>
    <w:rsid w:val="00264103"/>
    <w:rsid w:val="002641E9"/>
    <w:rsid w:val="002642B2"/>
    <w:rsid w:val="00264360"/>
    <w:rsid w:val="002643C9"/>
    <w:rsid w:val="0026451F"/>
    <w:rsid w:val="0026452E"/>
    <w:rsid w:val="002645ED"/>
    <w:rsid w:val="00264657"/>
    <w:rsid w:val="0026468C"/>
    <w:rsid w:val="00264709"/>
    <w:rsid w:val="0026479B"/>
    <w:rsid w:val="002647E6"/>
    <w:rsid w:val="002647ED"/>
    <w:rsid w:val="002647F1"/>
    <w:rsid w:val="00264872"/>
    <w:rsid w:val="002648E9"/>
    <w:rsid w:val="002648F4"/>
    <w:rsid w:val="0026492F"/>
    <w:rsid w:val="00264A2C"/>
    <w:rsid w:val="00264A69"/>
    <w:rsid w:val="00264AB4"/>
    <w:rsid w:val="00264ABA"/>
    <w:rsid w:val="00264AC9"/>
    <w:rsid w:val="00264B23"/>
    <w:rsid w:val="00264C41"/>
    <w:rsid w:val="00264C43"/>
    <w:rsid w:val="00264DCD"/>
    <w:rsid w:val="00264E57"/>
    <w:rsid w:val="00264E90"/>
    <w:rsid w:val="00264EE8"/>
    <w:rsid w:val="00264EFD"/>
    <w:rsid w:val="00264F08"/>
    <w:rsid w:val="00264F5A"/>
    <w:rsid w:val="00264FBF"/>
    <w:rsid w:val="0026503F"/>
    <w:rsid w:val="0026511E"/>
    <w:rsid w:val="0026514E"/>
    <w:rsid w:val="0026515A"/>
    <w:rsid w:val="00265162"/>
    <w:rsid w:val="0026516B"/>
    <w:rsid w:val="002651D0"/>
    <w:rsid w:val="002652BF"/>
    <w:rsid w:val="002652F4"/>
    <w:rsid w:val="00265320"/>
    <w:rsid w:val="00265322"/>
    <w:rsid w:val="0026538B"/>
    <w:rsid w:val="002653BB"/>
    <w:rsid w:val="00265471"/>
    <w:rsid w:val="002654DC"/>
    <w:rsid w:val="002654F5"/>
    <w:rsid w:val="00265503"/>
    <w:rsid w:val="00265550"/>
    <w:rsid w:val="00265580"/>
    <w:rsid w:val="002655B0"/>
    <w:rsid w:val="002655CB"/>
    <w:rsid w:val="002655FE"/>
    <w:rsid w:val="0026574C"/>
    <w:rsid w:val="002657E0"/>
    <w:rsid w:val="00265800"/>
    <w:rsid w:val="0026580E"/>
    <w:rsid w:val="00265895"/>
    <w:rsid w:val="002658CF"/>
    <w:rsid w:val="002658EB"/>
    <w:rsid w:val="00265945"/>
    <w:rsid w:val="00265B38"/>
    <w:rsid w:val="00265C01"/>
    <w:rsid w:val="00265C6C"/>
    <w:rsid w:val="00265D27"/>
    <w:rsid w:val="00265D6B"/>
    <w:rsid w:val="00265DB1"/>
    <w:rsid w:val="00265DC2"/>
    <w:rsid w:val="00265DC3"/>
    <w:rsid w:val="00265DEE"/>
    <w:rsid w:val="00265DFE"/>
    <w:rsid w:val="00265ED9"/>
    <w:rsid w:val="00265F3D"/>
    <w:rsid w:val="00265FBC"/>
    <w:rsid w:val="00266043"/>
    <w:rsid w:val="002660C0"/>
    <w:rsid w:val="002660F9"/>
    <w:rsid w:val="00266116"/>
    <w:rsid w:val="00266163"/>
    <w:rsid w:val="002661A2"/>
    <w:rsid w:val="00266281"/>
    <w:rsid w:val="002662A4"/>
    <w:rsid w:val="0026631E"/>
    <w:rsid w:val="00266348"/>
    <w:rsid w:val="002663EF"/>
    <w:rsid w:val="00266433"/>
    <w:rsid w:val="0026649A"/>
    <w:rsid w:val="0026657D"/>
    <w:rsid w:val="002665BC"/>
    <w:rsid w:val="00266610"/>
    <w:rsid w:val="00266616"/>
    <w:rsid w:val="00266657"/>
    <w:rsid w:val="002666A4"/>
    <w:rsid w:val="00266725"/>
    <w:rsid w:val="002667BE"/>
    <w:rsid w:val="0026686B"/>
    <w:rsid w:val="002668BB"/>
    <w:rsid w:val="002668D8"/>
    <w:rsid w:val="00266905"/>
    <w:rsid w:val="0026695A"/>
    <w:rsid w:val="00266991"/>
    <w:rsid w:val="002669A0"/>
    <w:rsid w:val="002669CB"/>
    <w:rsid w:val="00266A35"/>
    <w:rsid w:val="00266BBE"/>
    <w:rsid w:val="00266BFF"/>
    <w:rsid w:val="00266C4E"/>
    <w:rsid w:val="00266D1A"/>
    <w:rsid w:val="00266D21"/>
    <w:rsid w:val="00266D22"/>
    <w:rsid w:val="00266D2F"/>
    <w:rsid w:val="00266D4C"/>
    <w:rsid w:val="00266D5B"/>
    <w:rsid w:val="00266E67"/>
    <w:rsid w:val="00266E71"/>
    <w:rsid w:val="00266F13"/>
    <w:rsid w:val="00266F31"/>
    <w:rsid w:val="00266F4A"/>
    <w:rsid w:val="00266F6A"/>
    <w:rsid w:val="00266FA4"/>
    <w:rsid w:val="00266FB4"/>
    <w:rsid w:val="00266FC6"/>
    <w:rsid w:val="00267033"/>
    <w:rsid w:val="0026704E"/>
    <w:rsid w:val="0026709A"/>
    <w:rsid w:val="002670E9"/>
    <w:rsid w:val="0026716B"/>
    <w:rsid w:val="002671A9"/>
    <w:rsid w:val="002671DD"/>
    <w:rsid w:val="002671EF"/>
    <w:rsid w:val="0026720A"/>
    <w:rsid w:val="0026722E"/>
    <w:rsid w:val="00267257"/>
    <w:rsid w:val="00267352"/>
    <w:rsid w:val="002673E0"/>
    <w:rsid w:val="0026742E"/>
    <w:rsid w:val="0026744C"/>
    <w:rsid w:val="002674F8"/>
    <w:rsid w:val="00267508"/>
    <w:rsid w:val="00267691"/>
    <w:rsid w:val="002676F4"/>
    <w:rsid w:val="00267737"/>
    <w:rsid w:val="00267768"/>
    <w:rsid w:val="00267772"/>
    <w:rsid w:val="00267810"/>
    <w:rsid w:val="00267882"/>
    <w:rsid w:val="0026792A"/>
    <w:rsid w:val="002679A7"/>
    <w:rsid w:val="002679B9"/>
    <w:rsid w:val="002679F3"/>
    <w:rsid w:val="00267A2B"/>
    <w:rsid w:val="00267B84"/>
    <w:rsid w:val="00267B99"/>
    <w:rsid w:val="00267BE1"/>
    <w:rsid w:val="00267BF1"/>
    <w:rsid w:val="00267CBB"/>
    <w:rsid w:val="00267CDF"/>
    <w:rsid w:val="00267CFA"/>
    <w:rsid w:val="00267DD8"/>
    <w:rsid w:val="00267E1B"/>
    <w:rsid w:val="00267E93"/>
    <w:rsid w:val="00267EB5"/>
    <w:rsid w:val="00267F00"/>
    <w:rsid w:val="00267F98"/>
    <w:rsid w:val="00267FAE"/>
    <w:rsid w:val="00267FCB"/>
    <w:rsid w:val="0027003B"/>
    <w:rsid w:val="00270073"/>
    <w:rsid w:val="00270087"/>
    <w:rsid w:val="002700D0"/>
    <w:rsid w:val="0027012A"/>
    <w:rsid w:val="00270235"/>
    <w:rsid w:val="00270314"/>
    <w:rsid w:val="00270331"/>
    <w:rsid w:val="00270380"/>
    <w:rsid w:val="002703C9"/>
    <w:rsid w:val="00270413"/>
    <w:rsid w:val="00270421"/>
    <w:rsid w:val="00270435"/>
    <w:rsid w:val="00270441"/>
    <w:rsid w:val="0027045D"/>
    <w:rsid w:val="0027048A"/>
    <w:rsid w:val="002704A1"/>
    <w:rsid w:val="002704E7"/>
    <w:rsid w:val="00270573"/>
    <w:rsid w:val="0027059A"/>
    <w:rsid w:val="00270615"/>
    <w:rsid w:val="00270639"/>
    <w:rsid w:val="00270729"/>
    <w:rsid w:val="002708AB"/>
    <w:rsid w:val="002708C0"/>
    <w:rsid w:val="002708D5"/>
    <w:rsid w:val="002709B7"/>
    <w:rsid w:val="00270A17"/>
    <w:rsid w:val="00270A86"/>
    <w:rsid w:val="00270A8C"/>
    <w:rsid w:val="00270ACE"/>
    <w:rsid w:val="00270C1A"/>
    <w:rsid w:val="00270C88"/>
    <w:rsid w:val="00270CB3"/>
    <w:rsid w:val="00270CB7"/>
    <w:rsid w:val="00270CF0"/>
    <w:rsid w:val="00270D10"/>
    <w:rsid w:val="00270D2B"/>
    <w:rsid w:val="00270DB1"/>
    <w:rsid w:val="00270DF9"/>
    <w:rsid w:val="00270E53"/>
    <w:rsid w:val="00270E9A"/>
    <w:rsid w:val="00270EDF"/>
    <w:rsid w:val="00270F11"/>
    <w:rsid w:val="00270F53"/>
    <w:rsid w:val="00271026"/>
    <w:rsid w:val="00271042"/>
    <w:rsid w:val="0027104F"/>
    <w:rsid w:val="0027109E"/>
    <w:rsid w:val="00271158"/>
    <w:rsid w:val="002711F3"/>
    <w:rsid w:val="002711FA"/>
    <w:rsid w:val="002711FE"/>
    <w:rsid w:val="00271238"/>
    <w:rsid w:val="00271242"/>
    <w:rsid w:val="00271278"/>
    <w:rsid w:val="0027127F"/>
    <w:rsid w:val="002712BD"/>
    <w:rsid w:val="00271301"/>
    <w:rsid w:val="002713A9"/>
    <w:rsid w:val="00271441"/>
    <w:rsid w:val="0027146D"/>
    <w:rsid w:val="0027152F"/>
    <w:rsid w:val="00271578"/>
    <w:rsid w:val="00271628"/>
    <w:rsid w:val="002716FF"/>
    <w:rsid w:val="00271750"/>
    <w:rsid w:val="00271804"/>
    <w:rsid w:val="00271817"/>
    <w:rsid w:val="0027181F"/>
    <w:rsid w:val="00271A38"/>
    <w:rsid w:val="00271B33"/>
    <w:rsid w:val="00271B4A"/>
    <w:rsid w:val="00271BDD"/>
    <w:rsid w:val="00271E3F"/>
    <w:rsid w:val="00271E6B"/>
    <w:rsid w:val="00271EE4"/>
    <w:rsid w:val="00271FBB"/>
    <w:rsid w:val="0027200A"/>
    <w:rsid w:val="00272088"/>
    <w:rsid w:val="002720F3"/>
    <w:rsid w:val="0027212C"/>
    <w:rsid w:val="00272177"/>
    <w:rsid w:val="0027220A"/>
    <w:rsid w:val="0027221E"/>
    <w:rsid w:val="00272225"/>
    <w:rsid w:val="00272265"/>
    <w:rsid w:val="002722C0"/>
    <w:rsid w:val="002722FA"/>
    <w:rsid w:val="0027236E"/>
    <w:rsid w:val="00272393"/>
    <w:rsid w:val="00272411"/>
    <w:rsid w:val="0027249C"/>
    <w:rsid w:val="002724B1"/>
    <w:rsid w:val="00272509"/>
    <w:rsid w:val="00272551"/>
    <w:rsid w:val="00272635"/>
    <w:rsid w:val="0027263A"/>
    <w:rsid w:val="0027268D"/>
    <w:rsid w:val="002726E6"/>
    <w:rsid w:val="002726E7"/>
    <w:rsid w:val="00272762"/>
    <w:rsid w:val="00272874"/>
    <w:rsid w:val="002728B7"/>
    <w:rsid w:val="00272928"/>
    <w:rsid w:val="002729D2"/>
    <w:rsid w:val="00272A6C"/>
    <w:rsid w:val="00272AD2"/>
    <w:rsid w:val="00272AF9"/>
    <w:rsid w:val="00272B0B"/>
    <w:rsid w:val="00272B5F"/>
    <w:rsid w:val="00272BE3"/>
    <w:rsid w:val="00272C60"/>
    <w:rsid w:val="00272C84"/>
    <w:rsid w:val="00272D05"/>
    <w:rsid w:val="00272D2A"/>
    <w:rsid w:val="00272D82"/>
    <w:rsid w:val="00272DF0"/>
    <w:rsid w:val="00272E0D"/>
    <w:rsid w:val="00272E28"/>
    <w:rsid w:val="00272E82"/>
    <w:rsid w:val="00272ED5"/>
    <w:rsid w:val="00272FCF"/>
    <w:rsid w:val="0027308D"/>
    <w:rsid w:val="002730CA"/>
    <w:rsid w:val="002730DE"/>
    <w:rsid w:val="002731A0"/>
    <w:rsid w:val="00273286"/>
    <w:rsid w:val="0027329F"/>
    <w:rsid w:val="002732B1"/>
    <w:rsid w:val="00273309"/>
    <w:rsid w:val="0027339F"/>
    <w:rsid w:val="00273507"/>
    <w:rsid w:val="00273527"/>
    <w:rsid w:val="00273615"/>
    <w:rsid w:val="00273688"/>
    <w:rsid w:val="00273781"/>
    <w:rsid w:val="002737CD"/>
    <w:rsid w:val="0027389A"/>
    <w:rsid w:val="002738D6"/>
    <w:rsid w:val="002738F0"/>
    <w:rsid w:val="00273927"/>
    <w:rsid w:val="0027392A"/>
    <w:rsid w:val="00273A02"/>
    <w:rsid w:val="00273A45"/>
    <w:rsid w:val="00273B08"/>
    <w:rsid w:val="00273B5C"/>
    <w:rsid w:val="00273B63"/>
    <w:rsid w:val="00273B71"/>
    <w:rsid w:val="00273C68"/>
    <w:rsid w:val="00273C98"/>
    <w:rsid w:val="00273E9B"/>
    <w:rsid w:val="00273E9E"/>
    <w:rsid w:val="00273EB8"/>
    <w:rsid w:val="00273FE0"/>
    <w:rsid w:val="00274072"/>
    <w:rsid w:val="002740B7"/>
    <w:rsid w:val="0027411E"/>
    <w:rsid w:val="0027414F"/>
    <w:rsid w:val="002741EA"/>
    <w:rsid w:val="002741EB"/>
    <w:rsid w:val="00274273"/>
    <w:rsid w:val="002742A2"/>
    <w:rsid w:val="002742F7"/>
    <w:rsid w:val="00274328"/>
    <w:rsid w:val="002743FF"/>
    <w:rsid w:val="00274501"/>
    <w:rsid w:val="0027455A"/>
    <w:rsid w:val="0027455E"/>
    <w:rsid w:val="002745BD"/>
    <w:rsid w:val="002745EB"/>
    <w:rsid w:val="002746B3"/>
    <w:rsid w:val="002746D8"/>
    <w:rsid w:val="00274714"/>
    <w:rsid w:val="0027484D"/>
    <w:rsid w:val="002749E4"/>
    <w:rsid w:val="00274A2B"/>
    <w:rsid w:val="00274A2E"/>
    <w:rsid w:val="00274A32"/>
    <w:rsid w:val="00274A64"/>
    <w:rsid w:val="00274AC3"/>
    <w:rsid w:val="00274B0D"/>
    <w:rsid w:val="00274BF8"/>
    <w:rsid w:val="00274C89"/>
    <w:rsid w:val="00274CE6"/>
    <w:rsid w:val="00274D72"/>
    <w:rsid w:val="00274E5F"/>
    <w:rsid w:val="00274E80"/>
    <w:rsid w:val="00274E94"/>
    <w:rsid w:val="00274FE3"/>
    <w:rsid w:val="00274FEB"/>
    <w:rsid w:val="00275087"/>
    <w:rsid w:val="0027514F"/>
    <w:rsid w:val="00275151"/>
    <w:rsid w:val="00275218"/>
    <w:rsid w:val="002752BB"/>
    <w:rsid w:val="002752CF"/>
    <w:rsid w:val="002752F0"/>
    <w:rsid w:val="0027536A"/>
    <w:rsid w:val="00275398"/>
    <w:rsid w:val="002753C1"/>
    <w:rsid w:val="002753E8"/>
    <w:rsid w:val="002753EE"/>
    <w:rsid w:val="00275431"/>
    <w:rsid w:val="00275438"/>
    <w:rsid w:val="0027549D"/>
    <w:rsid w:val="002754DF"/>
    <w:rsid w:val="002754E0"/>
    <w:rsid w:val="002754F6"/>
    <w:rsid w:val="00275528"/>
    <w:rsid w:val="00275708"/>
    <w:rsid w:val="00275758"/>
    <w:rsid w:val="0027576B"/>
    <w:rsid w:val="002757B4"/>
    <w:rsid w:val="002757CA"/>
    <w:rsid w:val="002757DB"/>
    <w:rsid w:val="002757DC"/>
    <w:rsid w:val="00275809"/>
    <w:rsid w:val="0027591E"/>
    <w:rsid w:val="002759AA"/>
    <w:rsid w:val="00275A07"/>
    <w:rsid w:val="00275A43"/>
    <w:rsid w:val="00275B53"/>
    <w:rsid w:val="00275BD1"/>
    <w:rsid w:val="00275C5B"/>
    <w:rsid w:val="00275C9A"/>
    <w:rsid w:val="00275CB8"/>
    <w:rsid w:val="00275D1C"/>
    <w:rsid w:val="00275D25"/>
    <w:rsid w:val="00275DB3"/>
    <w:rsid w:val="00275E26"/>
    <w:rsid w:val="00275E30"/>
    <w:rsid w:val="00275EB1"/>
    <w:rsid w:val="00275EC3"/>
    <w:rsid w:val="00275FC5"/>
    <w:rsid w:val="00275FF5"/>
    <w:rsid w:val="00276067"/>
    <w:rsid w:val="00276142"/>
    <w:rsid w:val="00276189"/>
    <w:rsid w:val="002761C5"/>
    <w:rsid w:val="002761C8"/>
    <w:rsid w:val="002762A4"/>
    <w:rsid w:val="002762B6"/>
    <w:rsid w:val="00276382"/>
    <w:rsid w:val="00276410"/>
    <w:rsid w:val="002764C6"/>
    <w:rsid w:val="00276596"/>
    <w:rsid w:val="00276623"/>
    <w:rsid w:val="002766DC"/>
    <w:rsid w:val="00276734"/>
    <w:rsid w:val="00276760"/>
    <w:rsid w:val="002767B5"/>
    <w:rsid w:val="002767FC"/>
    <w:rsid w:val="0027681E"/>
    <w:rsid w:val="00276827"/>
    <w:rsid w:val="00276877"/>
    <w:rsid w:val="002768D2"/>
    <w:rsid w:val="00276902"/>
    <w:rsid w:val="00276913"/>
    <w:rsid w:val="00276924"/>
    <w:rsid w:val="00276983"/>
    <w:rsid w:val="002769BF"/>
    <w:rsid w:val="00276A35"/>
    <w:rsid w:val="00276A44"/>
    <w:rsid w:val="00276A5F"/>
    <w:rsid w:val="00276A63"/>
    <w:rsid w:val="00276A73"/>
    <w:rsid w:val="00276AC6"/>
    <w:rsid w:val="00276B11"/>
    <w:rsid w:val="00276BAB"/>
    <w:rsid w:val="00276BB9"/>
    <w:rsid w:val="00276BD0"/>
    <w:rsid w:val="00276BD7"/>
    <w:rsid w:val="00276CBF"/>
    <w:rsid w:val="00276D64"/>
    <w:rsid w:val="00276D75"/>
    <w:rsid w:val="00276E23"/>
    <w:rsid w:val="00276F82"/>
    <w:rsid w:val="00276F9A"/>
    <w:rsid w:val="00276FA5"/>
    <w:rsid w:val="0027701D"/>
    <w:rsid w:val="0027703E"/>
    <w:rsid w:val="0027703F"/>
    <w:rsid w:val="00277052"/>
    <w:rsid w:val="00277093"/>
    <w:rsid w:val="002770E1"/>
    <w:rsid w:val="00277166"/>
    <w:rsid w:val="00277186"/>
    <w:rsid w:val="00277238"/>
    <w:rsid w:val="0027725D"/>
    <w:rsid w:val="002772D9"/>
    <w:rsid w:val="002773B1"/>
    <w:rsid w:val="002773F4"/>
    <w:rsid w:val="002773FF"/>
    <w:rsid w:val="002774EE"/>
    <w:rsid w:val="0027750C"/>
    <w:rsid w:val="0027750D"/>
    <w:rsid w:val="00277533"/>
    <w:rsid w:val="002775EB"/>
    <w:rsid w:val="00277644"/>
    <w:rsid w:val="00277681"/>
    <w:rsid w:val="0027768E"/>
    <w:rsid w:val="002776AC"/>
    <w:rsid w:val="002776AF"/>
    <w:rsid w:val="002776F0"/>
    <w:rsid w:val="00277827"/>
    <w:rsid w:val="00277859"/>
    <w:rsid w:val="00277869"/>
    <w:rsid w:val="002778A6"/>
    <w:rsid w:val="002778BF"/>
    <w:rsid w:val="002778D7"/>
    <w:rsid w:val="00277905"/>
    <w:rsid w:val="00277968"/>
    <w:rsid w:val="0027798D"/>
    <w:rsid w:val="00277A25"/>
    <w:rsid w:val="00277A2D"/>
    <w:rsid w:val="00277A8D"/>
    <w:rsid w:val="00277B77"/>
    <w:rsid w:val="00277B7F"/>
    <w:rsid w:val="00277B8F"/>
    <w:rsid w:val="00277BF5"/>
    <w:rsid w:val="00277C00"/>
    <w:rsid w:val="00277C75"/>
    <w:rsid w:val="00277C7E"/>
    <w:rsid w:val="00277C93"/>
    <w:rsid w:val="00277CC6"/>
    <w:rsid w:val="00277D0A"/>
    <w:rsid w:val="00277D0C"/>
    <w:rsid w:val="00277D40"/>
    <w:rsid w:val="00277DB2"/>
    <w:rsid w:val="00277E15"/>
    <w:rsid w:val="00277EB1"/>
    <w:rsid w:val="00277F54"/>
    <w:rsid w:val="00277FAF"/>
    <w:rsid w:val="00277FD2"/>
    <w:rsid w:val="00280048"/>
    <w:rsid w:val="002800A8"/>
    <w:rsid w:val="002800DA"/>
    <w:rsid w:val="00280177"/>
    <w:rsid w:val="00280216"/>
    <w:rsid w:val="0028031C"/>
    <w:rsid w:val="002803D7"/>
    <w:rsid w:val="002803EC"/>
    <w:rsid w:val="00280439"/>
    <w:rsid w:val="0028046E"/>
    <w:rsid w:val="00280538"/>
    <w:rsid w:val="002805D3"/>
    <w:rsid w:val="002805DA"/>
    <w:rsid w:val="0028072A"/>
    <w:rsid w:val="0028080C"/>
    <w:rsid w:val="00280878"/>
    <w:rsid w:val="002808CC"/>
    <w:rsid w:val="002808D8"/>
    <w:rsid w:val="0028090F"/>
    <w:rsid w:val="00280916"/>
    <w:rsid w:val="002809C6"/>
    <w:rsid w:val="00280A05"/>
    <w:rsid w:val="00280A13"/>
    <w:rsid w:val="00280B16"/>
    <w:rsid w:val="00280B61"/>
    <w:rsid w:val="00280BC9"/>
    <w:rsid w:val="00280C6F"/>
    <w:rsid w:val="00280C81"/>
    <w:rsid w:val="00280C83"/>
    <w:rsid w:val="00280CD1"/>
    <w:rsid w:val="00280E8E"/>
    <w:rsid w:val="00280ECF"/>
    <w:rsid w:val="00280FD9"/>
    <w:rsid w:val="00280FEC"/>
    <w:rsid w:val="0028100E"/>
    <w:rsid w:val="002810BB"/>
    <w:rsid w:val="002810F0"/>
    <w:rsid w:val="002810FE"/>
    <w:rsid w:val="00281112"/>
    <w:rsid w:val="0028111B"/>
    <w:rsid w:val="0028112E"/>
    <w:rsid w:val="002811CC"/>
    <w:rsid w:val="002812ED"/>
    <w:rsid w:val="00281355"/>
    <w:rsid w:val="00281464"/>
    <w:rsid w:val="002814BD"/>
    <w:rsid w:val="0028154D"/>
    <w:rsid w:val="002815F4"/>
    <w:rsid w:val="0028163F"/>
    <w:rsid w:val="00281648"/>
    <w:rsid w:val="0028164E"/>
    <w:rsid w:val="00281668"/>
    <w:rsid w:val="002816FA"/>
    <w:rsid w:val="00281735"/>
    <w:rsid w:val="00281739"/>
    <w:rsid w:val="00281763"/>
    <w:rsid w:val="0028193A"/>
    <w:rsid w:val="00281962"/>
    <w:rsid w:val="00281A18"/>
    <w:rsid w:val="00281A3F"/>
    <w:rsid w:val="00281A9F"/>
    <w:rsid w:val="00281B7D"/>
    <w:rsid w:val="00281BC6"/>
    <w:rsid w:val="00281C1A"/>
    <w:rsid w:val="00281CDA"/>
    <w:rsid w:val="00281D06"/>
    <w:rsid w:val="00281D0F"/>
    <w:rsid w:val="00281D2B"/>
    <w:rsid w:val="00281D78"/>
    <w:rsid w:val="00281D9E"/>
    <w:rsid w:val="00281DD5"/>
    <w:rsid w:val="00281E7A"/>
    <w:rsid w:val="00281ED7"/>
    <w:rsid w:val="00281F20"/>
    <w:rsid w:val="00281F23"/>
    <w:rsid w:val="00281FEE"/>
    <w:rsid w:val="00281FF4"/>
    <w:rsid w:val="00282016"/>
    <w:rsid w:val="00282040"/>
    <w:rsid w:val="00282068"/>
    <w:rsid w:val="002820C5"/>
    <w:rsid w:val="002820E8"/>
    <w:rsid w:val="002820F6"/>
    <w:rsid w:val="00282131"/>
    <w:rsid w:val="00282171"/>
    <w:rsid w:val="00282173"/>
    <w:rsid w:val="00282183"/>
    <w:rsid w:val="002821DD"/>
    <w:rsid w:val="00282200"/>
    <w:rsid w:val="00282290"/>
    <w:rsid w:val="002822D2"/>
    <w:rsid w:val="002823FA"/>
    <w:rsid w:val="0028248C"/>
    <w:rsid w:val="00282491"/>
    <w:rsid w:val="002824EA"/>
    <w:rsid w:val="00282523"/>
    <w:rsid w:val="00282565"/>
    <w:rsid w:val="0028260A"/>
    <w:rsid w:val="00282678"/>
    <w:rsid w:val="002826CA"/>
    <w:rsid w:val="00282731"/>
    <w:rsid w:val="00282776"/>
    <w:rsid w:val="00282789"/>
    <w:rsid w:val="002827B5"/>
    <w:rsid w:val="00282887"/>
    <w:rsid w:val="002828AA"/>
    <w:rsid w:val="00282937"/>
    <w:rsid w:val="00282994"/>
    <w:rsid w:val="002829A4"/>
    <w:rsid w:val="002829CF"/>
    <w:rsid w:val="002829DE"/>
    <w:rsid w:val="00282A3E"/>
    <w:rsid w:val="00282A9B"/>
    <w:rsid w:val="00282B4B"/>
    <w:rsid w:val="00282C0D"/>
    <w:rsid w:val="00282C7C"/>
    <w:rsid w:val="00282CED"/>
    <w:rsid w:val="00282D43"/>
    <w:rsid w:val="00282DB6"/>
    <w:rsid w:val="00282E1F"/>
    <w:rsid w:val="00282E43"/>
    <w:rsid w:val="00282E7B"/>
    <w:rsid w:val="00282E88"/>
    <w:rsid w:val="00282ED8"/>
    <w:rsid w:val="00282F25"/>
    <w:rsid w:val="00282F2C"/>
    <w:rsid w:val="00282F47"/>
    <w:rsid w:val="0028301A"/>
    <w:rsid w:val="0028303F"/>
    <w:rsid w:val="0028304F"/>
    <w:rsid w:val="0028305D"/>
    <w:rsid w:val="00283083"/>
    <w:rsid w:val="0028308A"/>
    <w:rsid w:val="002830C7"/>
    <w:rsid w:val="002830EF"/>
    <w:rsid w:val="002830FA"/>
    <w:rsid w:val="00283147"/>
    <w:rsid w:val="002831A3"/>
    <w:rsid w:val="002831EC"/>
    <w:rsid w:val="0028322A"/>
    <w:rsid w:val="0028322C"/>
    <w:rsid w:val="002832B7"/>
    <w:rsid w:val="002832CB"/>
    <w:rsid w:val="002832F0"/>
    <w:rsid w:val="002832F6"/>
    <w:rsid w:val="0028331C"/>
    <w:rsid w:val="002833FE"/>
    <w:rsid w:val="002834A6"/>
    <w:rsid w:val="002834CD"/>
    <w:rsid w:val="00283552"/>
    <w:rsid w:val="002835B4"/>
    <w:rsid w:val="0028370B"/>
    <w:rsid w:val="00283786"/>
    <w:rsid w:val="0028389F"/>
    <w:rsid w:val="002838AD"/>
    <w:rsid w:val="002838AE"/>
    <w:rsid w:val="002838DD"/>
    <w:rsid w:val="0028392F"/>
    <w:rsid w:val="00283947"/>
    <w:rsid w:val="00283967"/>
    <w:rsid w:val="002839F2"/>
    <w:rsid w:val="00283A0D"/>
    <w:rsid w:val="00283B2B"/>
    <w:rsid w:val="00283B97"/>
    <w:rsid w:val="00283C10"/>
    <w:rsid w:val="00283C38"/>
    <w:rsid w:val="00283CA4"/>
    <w:rsid w:val="00283CD9"/>
    <w:rsid w:val="00283E61"/>
    <w:rsid w:val="00283E6A"/>
    <w:rsid w:val="00283E73"/>
    <w:rsid w:val="00283EA5"/>
    <w:rsid w:val="00283EF9"/>
    <w:rsid w:val="00283F11"/>
    <w:rsid w:val="00283F81"/>
    <w:rsid w:val="00283FBE"/>
    <w:rsid w:val="00284045"/>
    <w:rsid w:val="002840FF"/>
    <w:rsid w:val="00284186"/>
    <w:rsid w:val="00284214"/>
    <w:rsid w:val="00284314"/>
    <w:rsid w:val="0028433F"/>
    <w:rsid w:val="00284378"/>
    <w:rsid w:val="0028439E"/>
    <w:rsid w:val="002843EF"/>
    <w:rsid w:val="0028448C"/>
    <w:rsid w:val="002844A3"/>
    <w:rsid w:val="002844DE"/>
    <w:rsid w:val="0028454C"/>
    <w:rsid w:val="0028455B"/>
    <w:rsid w:val="0028456B"/>
    <w:rsid w:val="002845C4"/>
    <w:rsid w:val="002845D0"/>
    <w:rsid w:val="0028469C"/>
    <w:rsid w:val="002846AD"/>
    <w:rsid w:val="00284780"/>
    <w:rsid w:val="002847C6"/>
    <w:rsid w:val="002847E9"/>
    <w:rsid w:val="0028482A"/>
    <w:rsid w:val="002848B7"/>
    <w:rsid w:val="00284939"/>
    <w:rsid w:val="002849B2"/>
    <w:rsid w:val="002849B6"/>
    <w:rsid w:val="002849F9"/>
    <w:rsid w:val="00284A7B"/>
    <w:rsid w:val="00284C10"/>
    <w:rsid w:val="00284C48"/>
    <w:rsid w:val="00284C72"/>
    <w:rsid w:val="00284D02"/>
    <w:rsid w:val="00284D3C"/>
    <w:rsid w:val="00284DCC"/>
    <w:rsid w:val="00284E1F"/>
    <w:rsid w:val="00284E81"/>
    <w:rsid w:val="00284EF2"/>
    <w:rsid w:val="00284F00"/>
    <w:rsid w:val="00285012"/>
    <w:rsid w:val="0028501E"/>
    <w:rsid w:val="002850E3"/>
    <w:rsid w:val="002850ED"/>
    <w:rsid w:val="00285145"/>
    <w:rsid w:val="00285150"/>
    <w:rsid w:val="002851BE"/>
    <w:rsid w:val="002851FD"/>
    <w:rsid w:val="00285268"/>
    <w:rsid w:val="00285272"/>
    <w:rsid w:val="00285298"/>
    <w:rsid w:val="00285323"/>
    <w:rsid w:val="002853DA"/>
    <w:rsid w:val="00285460"/>
    <w:rsid w:val="0028548A"/>
    <w:rsid w:val="002854D5"/>
    <w:rsid w:val="002854EA"/>
    <w:rsid w:val="00285549"/>
    <w:rsid w:val="00285554"/>
    <w:rsid w:val="002855B3"/>
    <w:rsid w:val="002855B5"/>
    <w:rsid w:val="0028565C"/>
    <w:rsid w:val="002856B3"/>
    <w:rsid w:val="002856D2"/>
    <w:rsid w:val="002856D6"/>
    <w:rsid w:val="00285707"/>
    <w:rsid w:val="0028573C"/>
    <w:rsid w:val="00285776"/>
    <w:rsid w:val="0028577A"/>
    <w:rsid w:val="002857E8"/>
    <w:rsid w:val="002857F7"/>
    <w:rsid w:val="002858DA"/>
    <w:rsid w:val="00285903"/>
    <w:rsid w:val="0028592B"/>
    <w:rsid w:val="00285965"/>
    <w:rsid w:val="00285983"/>
    <w:rsid w:val="0028599C"/>
    <w:rsid w:val="002859A3"/>
    <w:rsid w:val="002859B0"/>
    <w:rsid w:val="00285A34"/>
    <w:rsid w:val="00285A3E"/>
    <w:rsid w:val="00285A43"/>
    <w:rsid w:val="00285A57"/>
    <w:rsid w:val="00285ABC"/>
    <w:rsid w:val="00285AD3"/>
    <w:rsid w:val="00285B26"/>
    <w:rsid w:val="00285BF5"/>
    <w:rsid w:val="00285CA3"/>
    <w:rsid w:val="00285CE6"/>
    <w:rsid w:val="00285D0F"/>
    <w:rsid w:val="00285D1F"/>
    <w:rsid w:val="00285D4B"/>
    <w:rsid w:val="00285D54"/>
    <w:rsid w:val="00285DAE"/>
    <w:rsid w:val="00285DCC"/>
    <w:rsid w:val="00285E2F"/>
    <w:rsid w:val="00285FB2"/>
    <w:rsid w:val="00286031"/>
    <w:rsid w:val="0028603C"/>
    <w:rsid w:val="0028605F"/>
    <w:rsid w:val="002860F3"/>
    <w:rsid w:val="00286110"/>
    <w:rsid w:val="00286142"/>
    <w:rsid w:val="00286152"/>
    <w:rsid w:val="002862D0"/>
    <w:rsid w:val="002862DA"/>
    <w:rsid w:val="00286350"/>
    <w:rsid w:val="002863A8"/>
    <w:rsid w:val="0028644A"/>
    <w:rsid w:val="0028644F"/>
    <w:rsid w:val="002864A7"/>
    <w:rsid w:val="002864A8"/>
    <w:rsid w:val="002864CE"/>
    <w:rsid w:val="00286536"/>
    <w:rsid w:val="002865D1"/>
    <w:rsid w:val="00286602"/>
    <w:rsid w:val="0028663F"/>
    <w:rsid w:val="0028671D"/>
    <w:rsid w:val="0028676D"/>
    <w:rsid w:val="00286825"/>
    <w:rsid w:val="0028687D"/>
    <w:rsid w:val="002868BA"/>
    <w:rsid w:val="002868F4"/>
    <w:rsid w:val="00286994"/>
    <w:rsid w:val="002869AE"/>
    <w:rsid w:val="00286A04"/>
    <w:rsid w:val="00286A0E"/>
    <w:rsid w:val="00286A82"/>
    <w:rsid w:val="00286AAD"/>
    <w:rsid w:val="00286AAF"/>
    <w:rsid w:val="00286B15"/>
    <w:rsid w:val="00286B3E"/>
    <w:rsid w:val="00286B8F"/>
    <w:rsid w:val="00286C6E"/>
    <w:rsid w:val="00286C83"/>
    <w:rsid w:val="00286CD0"/>
    <w:rsid w:val="00286D3A"/>
    <w:rsid w:val="00286D7B"/>
    <w:rsid w:val="00286D8B"/>
    <w:rsid w:val="00286DA6"/>
    <w:rsid w:val="00286DEB"/>
    <w:rsid w:val="00286E10"/>
    <w:rsid w:val="00286E14"/>
    <w:rsid w:val="00286E3A"/>
    <w:rsid w:val="00286E85"/>
    <w:rsid w:val="00286EDE"/>
    <w:rsid w:val="00286F4D"/>
    <w:rsid w:val="00286F7C"/>
    <w:rsid w:val="00286FA6"/>
    <w:rsid w:val="0028701A"/>
    <w:rsid w:val="00287057"/>
    <w:rsid w:val="002870AE"/>
    <w:rsid w:val="002870B2"/>
    <w:rsid w:val="002871E7"/>
    <w:rsid w:val="00287337"/>
    <w:rsid w:val="00287339"/>
    <w:rsid w:val="00287385"/>
    <w:rsid w:val="002873B7"/>
    <w:rsid w:val="002873F1"/>
    <w:rsid w:val="002874C4"/>
    <w:rsid w:val="0028756D"/>
    <w:rsid w:val="00287585"/>
    <w:rsid w:val="002875A4"/>
    <w:rsid w:val="002875AA"/>
    <w:rsid w:val="002875F7"/>
    <w:rsid w:val="00287716"/>
    <w:rsid w:val="0028774E"/>
    <w:rsid w:val="00287784"/>
    <w:rsid w:val="0028779C"/>
    <w:rsid w:val="002877AC"/>
    <w:rsid w:val="00287809"/>
    <w:rsid w:val="00287873"/>
    <w:rsid w:val="002878FC"/>
    <w:rsid w:val="002878FD"/>
    <w:rsid w:val="00287971"/>
    <w:rsid w:val="0028797A"/>
    <w:rsid w:val="002879E1"/>
    <w:rsid w:val="002879EB"/>
    <w:rsid w:val="00287A44"/>
    <w:rsid w:val="00287A75"/>
    <w:rsid w:val="00287A84"/>
    <w:rsid w:val="00287B7F"/>
    <w:rsid w:val="00287BDB"/>
    <w:rsid w:val="00287BE1"/>
    <w:rsid w:val="00287C0E"/>
    <w:rsid w:val="00287C4A"/>
    <w:rsid w:val="00287CE1"/>
    <w:rsid w:val="00287D05"/>
    <w:rsid w:val="00287DBC"/>
    <w:rsid w:val="00287DC3"/>
    <w:rsid w:val="00287E20"/>
    <w:rsid w:val="00287E3F"/>
    <w:rsid w:val="00287F19"/>
    <w:rsid w:val="00287FA5"/>
    <w:rsid w:val="00287FDB"/>
    <w:rsid w:val="00290025"/>
    <w:rsid w:val="00290035"/>
    <w:rsid w:val="0029004B"/>
    <w:rsid w:val="00290247"/>
    <w:rsid w:val="00290265"/>
    <w:rsid w:val="00290266"/>
    <w:rsid w:val="0029027F"/>
    <w:rsid w:val="002903A2"/>
    <w:rsid w:val="002904F7"/>
    <w:rsid w:val="002906F5"/>
    <w:rsid w:val="00290708"/>
    <w:rsid w:val="00290715"/>
    <w:rsid w:val="00290795"/>
    <w:rsid w:val="00290796"/>
    <w:rsid w:val="00290859"/>
    <w:rsid w:val="002908B3"/>
    <w:rsid w:val="002908D4"/>
    <w:rsid w:val="00290903"/>
    <w:rsid w:val="0029093C"/>
    <w:rsid w:val="00290949"/>
    <w:rsid w:val="00290986"/>
    <w:rsid w:val="00290A1F"/>
    <w:rsid w:val="00290A3F"/>
    <w:rsid w:val="00290A85"/>
    <w:rsid w:val="00290A88"/>
    <w:rsid w:val="00290A92"/>
    <w:rsid w:val="00290AF9"/>
    <w:rsid w:val="00290B34"/>
    <w:rsid w:val="00290B8C"/>
    <w:rsid w:val="00290BF4"/>
    <w:rsid w:val="00290C3A"/>
    <w:rsid w:val="00290C70"/>
    <w:rsid w:val="00290C96"/>
    <w:rsid w:val="00290CA6"/>
    <w:rsid w:val="00290D49"/>
    <w:rsid w:val="00290D66"/>
    <w:rsid w:val="00290EE4"/>
    <w:rsid w:val="00290F26"/>
    <w:rsid w:val="00290F6C"/>
    <w:rsid w:val="002910BB"/>
    <w:rsid w:val="002911AD"/>
    <w:rsid w:val="002911D9"/>
    <w:rsid w:val="002911EF"/>
    <w:rsid w:val="0029122A"/>
    <w:rsid w:val="0029123A"/>
    <w:rsid w:val="002912E6"/>
    <w:rsid w:val="00291322"/>
    <w:rsid w:val="00291346"/>
    <w:rsid w:val="002913D4"/>
    <w:rsid w:val="00291486"/>
    <w:rsid w:val="002914C2"/>
    <w:rsid w:val="00291566"/>
    <w:rsid w:val="00291601"/>
    <w:rsid w:val="0029175C"/>
    <w:rsid w:val="0029175E"/>
    <w:rsid w:val="002917BA"/>
    <w:rsid w:val="002917F2"/>
    <w:rsid w:val="002917FF"/>
    <w:rsid w:val="002918A3"/>
    <w:rsid w:val="002918AC"/>
    <w:rsid w:val="002918C1"/>
    <w:rsid w:val="002919DB"/>
    <w:rsid w:val="00291A52"/>
    <w:rsid w:val="00291A7F"/>
    <w:rsid w:val="00291ACF"/>
    <w:rsid w:val="00291AD6"/>
    <w:rsid w:val="00291B1B"/>
    <w:rsid w:val="00291B21"/>
    <w:rsid w:val="00291BBA"/>
    <w:rsid w:val="00291BF3"/>
    <w:rsid w:val="00291C03"/>
    <w:rsid w:val="00291CDE"/>
    <w:rsid w:val="00291D3F"/>
    <w:rsid w:val="00291D62"/>
    <w:rsid w:val="00291E63"/>
    <w:rsid w:val="00291E93"/>
    <w:rsid w:val="00291EC4"/>
    <w:rsid w:val="00291EDC"/>
    <w:rsid w:val="00291F0E"/>
    <w:rsid w:val="00291F16"/>
    <w:rsid w:val="00291F39"/>
    <w:rsid w:val="00291F3C"/>
    <w:rsid w:val="00291F4A"/>
    <w:rsid w:val="00291FFC"/>
    <w:rsid w:val="00292038"/>
    <w:rsid w:val="00292065"/>
    <w:rsid w:val="002920B3"/>
    <w:rsid w:val="002920C7"/>
    <w:rsid w:val="002920F1"/>
    <w:rsid w:val="00292190"/>
    <w:rsid w:val="002921AA"/>
    <w:rsid w:val="00292202"/>
    <w:rsid w:val="00292228"/>
    <w:rsid w:val="00292252"/>
    <w:rsid w:val="00292277"/>
    <w:rsid w:val="002922B0"/>
    <w:rsid w:val="002922C5"/>
    <w:rsid w:val="002922F7"/>
    <w:rsid w:val="002923AF"/>
    <w:rsid w:val="00292444"/>
    <w:rsid w:val="0029245C"/>
    <w:rsid w:val="00292512"/>
    <w:rsid w:val="00292547"/>
    <w:rsid w:val="00292570"/>
    <w:rsid w:val="002925B1"/>
    <w:rsid w:val="002925B9"/>
    <w:rsid w:val="0029260B"/>
    <w:rsid w:val="00292653"/>
    <w:rsid w:val="002926C0"/>
    <w:rsid w:val="00292781"/>
    <w:rsid w:val="002927AE"/>
    <w:rsid w:val="002927FE"/>
    <w:rsid w:val="002928EF"/>
    <w:rsid w:val="00292913"/>
    <w:rsid w:val="00292952"/>
    <w:rsid w:val="00292A98"/>
    <w:rsid w:val="00292B03"/>
    <w:rsid w:val="00292B43"/>
    <w:rsid w:val="00292B76"/>
    <w:rsid w:val="00292BA4"/>
    <w:rsid w:val="00292BA5"/>
    <w:rsid w:val="00292BA8"/>
    <w:rsid w:val="00292C74"/>
    <w:rsid w:val="00292C7F"/>
    <w:rsid w:val="00292C82"/>
    <w:rsid w:val="00292CA9"/>
    <w:rsid w:val="00292CE2"/>
    <w:rsid w:val="00292D15"/>
    <w:rsid w:val="00292D2C"/>
    <w:rsid w:val="00292D64"/>
    <w:rsid w:val="00292DB9"/>
    <w:rsid w:val="00292DC3"/>
    <w:rsid w:val="00292E17"/>
    <w:rsid w:val="00292F0F"/>
    <w:rsid w:val="00292FDE"/>
    <w:rsid w:val="00292FEB"/>
    <w:rsid w:val="00292FFB"/>
    <w:rsid w:val="0029308E"/>
    <w:rsid w:val="0029312F"/>
    <w:rsid w:val="0029323D"/>
    <w:rsid w:val="0029328E"/>
    <w:rsid w:val="002932CD"/>
    <w:rsid w:val="0029334D"/>
    <w:rsid w:val="002934BE"/>
    <w:rsid w:val="002934C7"/>
    <w:rsid w:val="002934FF"/>
    <w:rsid w:val="00293535"/>
    <w:rsid w:val="00293571"/>
    <w:rsid w:val="0029358B"/>
    <w:rsid w:val="0029359E"/>
    <w:rsid w:val="002935FA"/>
    <w:rsid w:val="00293647"/>
    <w:rsid w:val="00293675"/>
    <w:rsid w:val="002936A4"/>
    <w:rsid w:val="002936E9"/>
    <w:rsid w:val="002937AD"/>
    <w:rsid w:val="002937AF"/>
    <w:rsid w:val="002937C5"/>
    <w:rsid w:val="00293847"/>
    <w:rsid w:val="002938DF"/>
    <w:rsid w:val="00293909"/>
    <w:rsid w:val="0029397E"/>
    <w:rsid w:val="00293984"/>
    <w:rsid w:val="0029398C"/>
    <w:rsid w:val="0029399C"/>
    <w:rsid w:val="002939ED"/>
    <w:rsid w:val="00293A16"/>
    <w:rsid w:val="00293A92"/>
    <w:rsid w:val="00293B85"/>
    <w:rsid w:val="00293BD3"/>
    <w:rsid w:val="00293BDD"/>
    <w:rsid w:val="00293BEE"/>
    <w:rsid w:val="00293C07"/>
    <w:rsid w:val="00293C27"/>
    <w:rsid w:val="00293C68"/>
    <w:rsid w:val="00293C85"/>
    <w:rsid w:val="00293CB5"/>
    <w:rsid w:val="00293CD8"/>
    <w:rsid w:val="00293D34"/>
    <w:rsid w:val="00293EC5"/>
    <w:rsid w:val="00293F22"/>
    <w:rsid w:val="00293FA8"/>
    <w:rsid w:val="00293FCC"/>
    <w:rsid w:val="0029400D"/>
    <w:rsid w:val="0029406E"/>
    <w:rsid w:val="00294072"/>
    <w:rsid w:val="002940E8"/>
    <w:rsid w:val="002940EB"/>
    <w:rsid w:val="00294107"/>
    <w:rsid w:val="0029411A"/>
    <w:rsid w:val="002941A5"/>
    <w:rsid w:val="002941D3"/>
    <w:rsid w:val="002941E9"/>
    <w:rsid w:val="00294209"/>
    <w:rsid w:val="002942EA"/>
    <w:rsid w:val="00294390"/>
    <w:rsid w:val="00294492"/>
    <w:rsid w:val="002944B0"/>
    <w:rsid w:val="0029450B"/>
    <w:rsid w:val="00294527"/>
    <w:rsid w:val="00294552"/>
    <w:rsid w:val="0029455D"/>
    <w:rsid w:val="00294628"/>
    <w:rsid w:val="00294643"/>
    <w:rsid w:val="00294694"/>
    <w:rsid w:val="00294700"/>
    <w:rsid w:val="00294711"/>
    <w:rsid w:val="00294746"/>
    <w:rsid w:val="00294768"/>
    <w:rsid w:val="0029476A"/>
    <w:rsid w:val="00294792"/>
    <w:rsid w:val="002947CD"/>
    <w:rsid w:val="0029481E"/>
    <w:rsid w:val="0029485B"/>
    <w:rsid w:val="002948A8"/>
    <w:rsid w:val="0029490A"/>
    <w:rsid w:val="0029498D"/>
    <w:rsid w:val="00294A07"/>
    <w:rsid w:val="00294A15"/>
    <w:rsid w:val="00294B38"/>
    <w:rsid w:val="00294C7E"/>
    <w:rsid w:val="00294CC1"/>
    <w:rsid w:val="00294CE1"/>
    <w:rsid w:val="00294D12"/>
    <w:rsid w:val="00294E1C"/>
    <w:rsid w:val="00294E2D"/>
    <w:rsid w:val="00294E5F"/>
    <w:rsid w:val="00294E87"/>
    <w:rsid w:val="00294ED9"/>
    <w:rsid w:val="00294F26"/>
    <w:rsid w:val="00294F86"/>
    <w:rsid w:val="00294F9E"/>
    <w:rsid w:val="00294FAA"/>
    <w:rsid w:val="00294FF6"/>
    <w:rsid w:val="00295090"/>
    <w:rsid w:val="00295098"/>
    <w:rsid w:val="00295109"/>
    <w:rsid w:val="00295173"/>
    <w:rsid w:val="00295191"/>
    <w:rsid w:val="002951D6"/>
    <w:rsid w:val="0029528D"/>
    <w:rsid w:val="002952CA"/>
    <w:rsid w:val="002952D0"/>
    <w:rsid w:val="0029531C"/>
    <w:rsid w:val="002953E5"/>
    <w:rsid w:val="0029545C"/>
    <w:rsid w:val="00295478"/>
    <w:rsid w:val="002954D8"/>
    <w:rsid w:val="0029557B"/>
    <w:rsid w:val="00295581"/>
    <w:rsid w:val="0029567A"/>
    <w:rsid w:val="002956F3"/>
    <w:rsid w:val="0029578B"/>
    <w:rsid w:val="00295822"/>
    <w:rsid w:val="002958FC"/>
    <w:rsid w:val="00295905"/>
    <w:rsid w:val="0029590E"/>
    <w:rsid w:val="0029591F"/>
    <w:rsid w:val="00295928"/>
    <w:rsid w:val="0029596D"/>
    <w:rsid w:val="002959AA"/>
    <w:rsid w:val="002959DC"/>
    <w:rsid w:val="00295A0A"/>
    <w:rsid w:val="00295A41"/>
    <w:rsid w:val="00295AEE"/>
    <w:rsid w:val="00295B5A"/>
    <w:rsid w:val="00295C01"/>
    <w:rsid w:val="00295C10"/>
    <w:rsid w:val="00295C99"/>
    <w:rsid w:val="00295D0B"/>
    <w:rsid w:val="00295D18"/>
    <w:rsid w:val="00295D23"/>
    <w:rsid w:val="00295DAE"/>
    <w:rsid w:val="00295F44"/>
    <w:rsid w:val="00295F4F"/>
    <w:rsid w:val="00295FB5"/>
    <w:rsid w:val="0029601C"/>
    <w:rsid w:val="0029607D"/>
    <w:rsid w:val="00296151"/>
    <w:rsid w:val="002961A0"/>
    <w:rsid w:val="002961C3"/>
    <w:rsid w:val="00296206"/>
    <w:rsid w:val="00296223"/>
    <w:rsid w:val="00296293"/>
    <w:rsid w:val="00296314"/>
    <w:rsid w:val="00296387"/>
    <w:rsid w:val="00296390"/>
    <w:rsid w:val="002964A3"/>
    <w:rsid w:val="002964F5"/>
    <w:rsid w:val="00296526"/>
    <w:rsid w:val="002965A0"/>
    <w:rsid w:val="0029668E"/>
    <w:rsid w:val="002966C3"/>
    <w:rsid w:val="00296701"/>
    <w:rsid w:val="0029674D"/>
    <w:rsid w:val="0029675A"/>
    <w:rsid w:val="00296861"/>
    <w:rsid w:val="00296919"/>
    <w:rsid w:val="00296926"/>
    <w:rsid w:val="0029693E"/>
    <w:rsid w:val="00296983"/>
    <w:rsid w:val="00296B44"/>
    <w:rsid w:val="00296B83"/>
    <w:rsid w:val="00296BA4"/>
    <w:rsid w:val="00296C8B"/>
    <w:rsid w:val="00296CBD"/>
    <w:rsid w:val="00296CE2"/>
    <w:rsid w:val="00296D7A"/>
    <w:rsid w:val="00296D9D"/>
    <w:rsid w:val="00296E6A"/>
    <w:rsid w:val="00296FA1"/>
    <w:rsid w:val="00296FA3"/>
    <w:rsid w:val="00297001"/>
    <w:rsid w:val="0029709A"/>
    <w:rsid w:val="002971CB"/>
    <w:rsid w:val="002971EE"/>
    <w:rsid w:val="002971FC"/>
    <w:rsid w:val="0029727C"/>
    <w:rsid w:val="00297287"/>
    <w:rsid w:val="00297327"/>
    <w:rsid w:val="00297346"/>
    <w:rsid w:val="002973A3"/>
    <w:rsid w:val="002973AE"/>
    <w:rsid w:val="002973B2"/>
    <w:rsid w:val="002973D4"/>
    <w:rsid w:val="00297429"/>
    <w:rsid w:val="00297443"/>
    <w:rsid w:val="00297481"/>
    <w:rsid w:val="00297515"/>
    <w:rsid w:val="0029753E"/>
    <w:rsid w:val="00297549"/>
    <w:rsid w:val="0029757D"/>
    <w:rsid w:val="0029758E"/>
    <w:rsid w:val="002975CD"/>
    <w:rsid w:val="00297661"/>
    <w:rsid w:val="002976CC"/>
    <w:rsid w:val="0029782B"/>
    <w:rsid w:val="00297871"/>
    <w:rsid w:val="00297986"/>
    <w:rsid w:val="002979DD"/>
    <w:rsid w:val="00297A21"/>
    <w:rsid w:val="00297A31"/>
    <w:rsid w:val="00297A51"/>
    <w:rsid w:val="00297B0C"/>
    <w:rsid w:val="00297B7D"/>
    <w:rsid w:val="00297B94"/>
    <w:rsid w:val="00297BE0"/>
    <w:rsid w:val="00297BE4"/>
    <w:rsid w:val="00297BE5"/>
    <w:rsid w:val="00297C15"/>
    <w:rsid w:val="00297C6F"/>
    <w:rsid w:val="00297C79"/>
    <w:rsid w:val="00297CB2"/>
    <w:rsid w:val="00297CDC"/>
    <w:rsid w:val="00297CF7"/>
    <w:rsid w:val="00297D1B"/>
    <w:rsid w:val="00297D1F"/>
    <w:rsid w:val="00297D31"/>
    <w:rsid w:val="00297D50"/>
    <w:rsid w:val="00297DAD"/>
    <w:rsid w:val="00297DB7"/>
    <w:rsid w:val="00297DBC"/>
    <w:rsid w:val="00297E24"/>
    <w:rsid w:val="00297E59"/>
    <w:rsid w:val="00297F08"/>
    <w:rsid w:val="002A0030"/>
    <w:rsid w:val="002A003F"/>
    <w:rsid w:val="002A008F"/>
    <w:rsid w:val="002A00A7"/>
    <w:rsid w:val="002A010A"/>
    <w:rsid w:val="002A0178"/>
    <w:rsid w:val="002A02E8"/>
    <w:rsid w:val="002A02EB"/>
    <w:rsid w:val="002A032B"/>
    <w:rsid w:val="002A0337"/>
    <w:rsid w:val="002A0338"/>
    <w:rsid w:val="002A0385"/>
    <w:rsid w:val="002A043A"/>
    <w:rsid w:val="002A0486"/>
    <w:rsid w:val="002A04F1"/>
    <w:rsid w:val="002A0571"/>
    <w:rsid w:val="002A058B"/>
    <w:rsid w:val="002A064B"/>
    <w:rsid w:val="002A0669"/>
    <w:rsid w:val="002A0680"/>
    <w:rsid w:val="002A06B2"/>
    <w:rsid w:val="002A0707"/>
    <w:rsid w:val="002A078C"/>
    <w:rsid w:val="002A0809"/>
    <w:rsid w:val="002A0819"/>
    <w:rsid w:val="002A082A"/>
    <w:rsid w:val="002A087F"/>
    <w:rsid w:val="002A08EE"/>
    <w:rsid w:val="002A0937"/>
    <w:rsid w:val="002A0963"/>
    <w:rsid w:val="002A0A28"/>
    <w:rsid w:val="002A0AFC"/>
    <w:rsid w:val="002A0B0D"/>
    <w:rsid w:val="002A0BC1"/>
    <w:rsid w:val="002A0BDC"/>
    <w:rsid w:val="002A0C8C"/>
    <w:rsid w:val="002A0D89"/>
    <w:rsid w:val="002A0D99"/>
    <w:rsid w:val="002A0DA5"/>
    <w:rsid w:val="002A0E03"/>
    <w:rsid w:val="002A0E17"/>
    <w:rsid w:val="002A0E5A"/>
    <w:rsid w:val="002A0EFB"/>
    <w:rsid w:val="002A0F16"/>
    <w:rsid w:val="002A0F8C"/>
    <w:rsid w:val="002A0FCB"/>
    <w:rsid w:val="002A0FD2"/>
    <w:rsid w:val="002A0FEF"/>
    <w:rsid w:val="002A0FF6"/>
    <w:rsid w:val="002A110E"/>
    <w:rsid w:val="002A112A"/>
    <w:rsid w:val="002A1165"/>
    <w:rsid w:val="002A11AF"/>
    <w:rsid w:val="002A11D4"/>
    <w:rsid w:val="002A11D5"/>
    <w:rsid w:val="002A1246"/>
    <w:rsid w:val="002A1250"/>
    <w:rsid w:val="002A1261"/>
    <w:rsid w:val="002A12E7"/>
    <w:rsid w:val="002A12F5"/>
    <w:rsid w:val="002A13CE"/>
    <w:rsid w:val="002A1458"/>
    <w:rsid w:val="002A14D5"/>
    <w:rsid w:val="002A14E8"/>
    <w:rsid w:val="002A1574"/>
    <w:rsid w:val="002A15ED"/>
    <w:rsid w:val="002A15FC"/>
    <w:rsid w:val="002A1749"/>
    <w:rsid w:val="002A1809"/>
    <w:rsid w:val="002A1873"/>
    <w:rsid w:val="002A1897"/>
    <w:rsid w:val="002A19C1"/>
    <w:rsid w:val="002A19FF"/>
    <w:rsid w:val="002A1A1F"/>
    <w:rsid w:val="002A1AAA"/>
    <w:rsid w:val="002A1ACF"/>
    <w:rsid w:val="002A1B01"/>
    <w:rsid w:val="002A1B59"/>
    <w:rsid w:val="002A1BE1"/>
    <w:rsid w:val="002A1BFA"/>
    <w:rsid w:val="002A1C5F"/>
    <w:rsid w:val="002A1D21"/>
    <w:rsid w:val="002A1D48"/>
    <w:rsid w:val="002A1D59"/>
    <w:rsid w:val="002A1D70"/>
    <w:rsid w:val="002A1DA1"/>
    <w:rsid w:val="002A1ECC"/>
    <w:rsid w:val="002A1FC3"/>
    <w:rsid w:val="002A1FCC"/>
    <w:rsid w:val="002A1FEF"/>
    <w:rsid w:val="002A2005"/>
    <w:rsid w:val="002A200B"/>
    <w:rsid w:val="002A206D"/>
    <w:rsid w:val="002A207F"/>
    <w:rsid w:val="002A2105"/>
    <w:rsid w:val="002A21E0"/>
    <w:rsid w:val="002A2250"/>
    <w:rsid w:val="002A228E"/>
    <w:rsid w:val="002A233D"/>
    <w:rsid w:val="002A238F"/>
    <w:rsid w:val="002A2392"/>
    <w:rsid w:val="002A2405"/>
    <w:rsid w:val="002A2491"/>
    <w:rsid w:val="002A2578"/>
    <w:rsid w:val="002A263D"/>
    <w:rsid w:val="002A265F"/>
    <w:rsid w:val="002A2787"/>
    <w:rsid w:val="002A27F2"/>
    <w:rsid w:val="002A2843"/>
    <w:rsid w:val="002A28D7"/>
    <w:rsid w:val="002A28F8"/>
    <w:rsid w:val="002A29A8"/>
    <w:rsid w:val="002A29B5"/>
    <w:rsid w:val="002A29E5"/>
    <w:rsid w:val="002A2A9D"/>
    <w:rsid w:val="002A2B5D"/>
    <w:rsid w:val="002A2B62"/>
    <w:rsid w:val="002A2BF0"/>
    <w:rsid w:val="002A2BF7"/>
    <w:rsid w:val="002A2C0C"/>
    <w:rsid w:val="002A2C0E"/>
    <w:rsid w:val="002A2CAD"/>
    <w:rsid w:val="002A2CD1"/>
    <w:rsid w:val="002A2D00"/>
    <w:rsid w:val="002A2D6C"/>
    <w:rsid w:val="002A2D72"/>
    <w:rsid w:val="002A2E1F"/>
    <w:rsid w:val="002A2E63"/>
    <w:rsid w:val="002A2ED1"/>
    <w:rsid w:val="002A2EDF"/>
    <w:rsid w:val="002A2F4F"/>
    <w:rsid w:val="002A2F63"/>
    <w:rsid w:val="002A3027"/>
    <w:rsid w:val="002A30D8"/>
    <w:rsid w:val="002A3126"/>
    <w:rsid w:val="002A3139"/>
    <w:rsid w:val="002A318E"/>
    <w:rsid w:val="002A3274"/>
    <w:rsid w:val="002A329D"/>
    <w:rsid w:val="002A32CE"/>
    <w:rsid w:val="002A32ED"/>
    <w:rsid w:val="002A3347"/>
    <w:rsid w:val="002A335A"/>
    <w:rsid w:val="002A33A4"/>
    <w:rsid w:val="002A33AE"/>
    <w:rsid w:val="002A3427"/>
    <w:rsid w:val="002A348A"/>
    <w:rsid w:val="002A3501"/>
    <w:rsid w:val="002A3565"/>
    <w:rsid w:val="002A3604"/>
    <w:rsid w:val="002A3653"/>
    <w:rsid w:val="002A36E8"/>
    <w:rsid w:val="002A379F"/>
    <w:rsid w:val="002A37D0"/>
    <w:rsid w:val="002A37ED"/>
    <w:rsid w:val="002A3837"/>
    <w:rsid w:val="002A3869"/>
    <w:rsid w:val="002A386D"/>
    <w:rsid w:val="002A3880"/>
    <w:rsid w:val="002A3A54"/>
    <w:rsid w:val="002A3A7E"/>
    <w:rsid w:val="002A3AB8"/>
    <w:rsid w:val="002A3ADC"/>
    <w:rsid w:val="002A3AFD"/>
    <w:rsid w:val="002A3B17"/>
    <w:rsid w:val="002A3B2F"/>
    <w:rsid w:val="002A3B4F"/>
    <w:rsid w:val="002A3BED"/>
    <w:rsid w:val="002A3C00"/>
    <w:rsid w:val="002A3C55"/>
    <w:rsid w:val="002A3C5C"/>
    <w:rsid w:val="002A3CC8"/>
    <w:rsid w:val="002A3D10"/>
    <w:rsid w:val="002A3D12"/>
    <w:rsid w:val="002A3D74"/>
    <w:rsid w:val="002A3DE0"/>
    <w:rsid w:val="002A3E50"/>
    <w:rsid w:val="002A3EA8"/>
    <w:rsid w:val="002A3F48"/>
    <w:rsid w:val="002A3F54"/>
    <w:rsid w:val="002A3F78"/>
    <w:rsid w:val="002A3F88"/>
    <w:rsid w:val="002A3FF1"/>
    <w:rsid w:val="002A4004"/>
    <w:rsid w:val="002A4016"/>
    <w:rsid w:val="002A4110"/>
    <w:rsid w:val="002A412B"/>
    <w:rsid w:val="002A4133"/>
    <w:rsid w:val="002A414F"/>
    <w:rsid w:val="002A4205"/>
    <w:rsid w:val="002A4257"/>
    <w:rsid w:val="002A429B"/>
    <w:rsid w:val="002A42E7"/>
    <w:rsid w:val="002A4361"/>
    <w:rsid w:val="002A439E"/>
    <w:rsid w:val="002A4484"/>
    <w:rsid w:val="002A4496"/>
    <w:rsid w:val="002A44F1"/>
    <w:rsid w:val="002A44F3"/>
    <w:rsid w:val="002A4520"/>
    <w:rsid w:val="002A4535"/>
    <w:rsid w:val="002A454D"/>
    <w:rsid w:val="002A45B4"/>
    <w:rsid w:val="002A45C3"/>
    <w:rsid w:val="002A45C9"/>
    <w:rsid w:val="002A4613"/>
    <w:rsid w:val="002A4663"/>
    <w:rsid w:val="002A4753"/>
    <w:rsid w:val="002A47D9"/>
    <w:rsid w:val="002A4813"/>
    <w:rsid w:val="002A485D"/>
    <w:rsid w:val="002A48B0"/>
    <w:rsid w:val="002A492D"/>
    <w:rsid w:val="002A4995"/>
    <w:rsid w:val="002A499C"/>
    <w:rsid w:val="002A49EB"/>
    <w:rsid w:val="002A49ED"/>
    <w:rsid w:val="002A4A58"/>
    <w:rsid w:val="002A4ADB"/>
    <w:rsid w:val="002A4C05"/>
    <w:rsid w:val="002A4C19"/>
    <w:rsid w:val="002A4C38"/>
    <w:rsid w:val="002A4CC3"/>
    <w:rsid w:val="002A4CD2"/>
    <w:rsid w:val="002A4CDB"/>
    <w:rsid w:val="002A4CFB"/>
    <w:rsid w:val="002A4E6D"/>
    <w:rsid w:val="002A4E8A"/>
    <w:rsid w:val="002A4ED1"/>
    <w:rsid w:val="002A4F69"/>
    <w:rsid w:val="002A5014"/>
    <w:rsid w:val="002A5043"/>
    <w:rsid w:val="002A5107"/>
    <w:rsid w:val="002A5209"/>
    <w:rsid w:val="002A524A"/>
    <w:rsid w:val="002A5269"/>
    <w:rsid w:val="002A52AA"/>
    <w:rsid w:val="002A52C2"/>
    <w:rsid w:val="002A5383"/>
    <w:rsid w:val="002A53C1"/>
    <w:rsid w:val="002A5442"/>
    <w:rsid w:val="002A54F1"/>
    <w:rsid w:val="002A55A4"/>
    <w:rsid w:val="002A571D"/>
    <w:rsid w:val="002A5779"/>
    <w:rsid w:val="002A578F"/>
    <w:rsid w:val="002A57BE"/>
    <w:rsid w:val="002A586D"/>
    <w:rsid w:val="002A58DB"/>
    <w:rsid w:val="002A5A0C"/>
    <w:rsid w:val="002A5A31"/>
    <w:rsid w:val="002A5A58"/>
    <w:rsid w:val="002A5A9D"/>
    <w:rsid w:val="002A5AD1"/>
    <w:rsid w:val="002A5B42"/>
    <w:rsid w:val="002A5C2D"/>
    <w:rsid w:val="002A5C58"/>
    <w:rsid w:val="002A5C6B"/>
    <w:rsid w:val="002A5C7B"/>
    <w:rsid w:val="002A5C8F"/>
    <w:rsid w:val="002A5CA4"/>
    <w:rsid w:val="002A5D17"/>
    <w:rsid w:val="002A5D35"/>
    <w:rsid w:val="002A5D7B"/>
    <w:rsid w:val="002A5D8C"/>
    <w:rsid w:val="002A5DAD"/>
    <w:rsid w:val="002A5E62"/>
    <w:rsid w:val="002A5ED7"/>
    <w:rsid w:val="002A5EEF"/>
    <w:rsid w:val="002A6029"/>
    <w:rsid w:val="002A6054"/>
    <w:rsid w:val="002A6068"/>
    <w:rsid w:val="002A60A3"/>
    <w:rsid w:val="002A60CE"/>
    <w:rsid w:val="002A619C"/>
    <w:rsid w:val="002A6202"/>
    <w:rsid w:val="002A621F"/>
    <w:rsid w:val="002A6232"/>
    <w:rsid w:val="002A6260"/>
    <w:rsid w:val="002A62F6"/>
    <w:rsid w:val="002A6344"/>
    <w:rsid w:val="002A63A5"/>
    <w:rsid w:val="002A63EE"/>
    <w:rsid w:val="002A63F8"/>
    <w:rsid w:val="002A649F"/>
    <w:rsid w:val="002A6697"/>
    <w:rsid w:val="002A67ED"/>
    <w:rsid w:val="002A689A"/>
    <w:rsid w:val="002A6914"/>
    <w:rsid w:val="002A691D"/>
    <w:rsid w:val="002A6959"/>
    <w:rsid w:val="002A6A2F"/>
    <w:rsid w:val="002A6A32"/>
    <w:rsid w:val="002A6A5F"/>
    <w:rsid w:val="002A6A9A"/>
    <w:rsid w:val="002A6AEF"/>
    <w:rsid w:val="002A6AF5"/>
    <w:rsid w:val="002A6C02"/>
    <w:rsid w:val="002A6C7F"/>
    <w:rsid w:val="002A6CEF"/>
    <w:rsid w:val="002A6CFD"/>
    <w:rsid w:val="002A6D35"/>
    <w:rsid w:val="002A6D83"/>
    <w:rsid w:val="002A6DE8"/>
    <w:rsid w:val="002A6DF7"/>
    <w:rsid w:val="002A6E05"/>
    <w:rsid w:val="002A6E80"/>
    <w:rsid w:val="002A6EAB"/>
    <w:rsid w:val="002A6ED1"/>
    <w:rsid w:val="002A6F43"/>
    <w:rsid w:val="002A6F6C"/>
    <w:rsid w:val="002A6FA8"/>
    <w:rsid w:val="002A700F"/>
    <w:rsid w:val="002A70C4"/>
    <w:rsid w:val="002A71DF"/>
    <w:rsid w:val="002A7241"/>
    <w:rsid w:val="002A7305"/>
    <w:rsid w:val="002A7358"/>
    <w:rsid w:val="002A7390"/>
    <w:rsid w:val="002A73A0"/>
    <w:rsid w:val="002A7400"/>
    <w:rsid w:val="002A7467"/>
    <w:rsid w:val="002A746D"/>
    <w:rsid w:val="002A74B3"/>
    <w:rsid w:val="002A7503"/>
    <w:rsid w:val="002A756D"/>
    <w:rsid w:val="002A75C3"/>
    <w:rsid w:val="002A7602"/>
    <w:rsid w:val="002A7614"/>
    <w:rsid w:val="002A7667"/>
    <w:rsid w:val="002A7678"/>
    <w:rsid w:val="002A76BA"/>
    <w:rsid w:val="002A774F"/>
    <w:rsid w:val="002A77DE"/>
    <w:rsid w:val="002A7824"/>
    <w:rsid w:val="002A78B5"/>
    <w:rsid w:val="002A78DF"/>
    <w:rsid w:val="002A7913"/>
    <w:rsid w:val="002A7930"/>
    <w:rsid w:val="002A793C"/>
    <w:rsid w:val="002A793F"/>
    <w:rsid w:val="002A797E"/>
    <w:rsid w:val="002A79A9"/>
    <w:rsid w:val="002A7A07"/>
    <w:rsid w:val="002A7ABF"/>
    <w:rsid w:val="002A7B04"/>
    <w:rsid w:val="002A7B3B"/>
    <w:rsid w:val="002A7B99"/>
    <w:rsid w:val="002A7C23"/>
    <w:rsid w:val="002A7C59"/>
    <w:rsid w:val="002A7D0A"/>
    <w:rsid w:val="002A7E47"/>
    <w:rsid w:val="002A7E58"/>
    <w:rsid w:val="002A7E76"/>
    <w:rsid w:val="002A7E7B"/>
    <w:rsid w:val="002A7EA0"/>
    <w:rsid w:val="002A7F24"/>
    <w:rsid w:val="002A7F4C"/>
    <w:rsid w:val="002A7F60"/>
    <w:rsid w:val="002A7F91"/>
    <w:rsid w:val="002AB2BF"/>
    <w:rsid w:val="002B0021"/>
    <w:rsid w:val="002B0115"/>
    <w:rsid w:val="002B0154"/>
    <w:rsid w:val="002B01B5"/>
    <w:rsid w:val="002B01D1"/>
    <w:rsid w:val="002B01EE"/>
    <w:rsid w:val="002B02E5"/>
    <w:rsid w:val="002B038C"/>
    <w:rsid w:val="002B03D0"/>
    <w:rsid w:val="002B0472"/>
    <w:rsid w:val="002B04CE"/>
    <w:rsid w:val="002B04D1"/>
    <w:rsid w:val="002B04EF"/>
    <w:rsid w:val="002B0547"/>
    <w:rsid w:val="002B0564"/>
    <w:rsid w:val="002B0599"/>
    <w:rsid w:val="002B05AE"/>
    <w:rsid w:val="002B05E0"/>
    <w:rsid w:val="002B062E"/>
    <w:rsid w:val="002B0680"/>
    <w:rsid w:val="002B068F"/>
    <w:rsid w:val="002B0841"/>
    <w:rsid w:val="002B085E"/>
    <w:rsid w:val="002B089B"/>
    <w:rsid w:val="002B08F6"/>
    <w:rsid w:val="002B0922"/>
    <w:rsid w:val="002B093A"/>
    <w:rsid w:val="002B0996"/>
    <w:rsid w:val="002B09AF"/>
    <w:rsid w:val="002B09C0"/>
    <w:rsid w:val="002B09DD"/>
    <w:rsid w:val="002B0A1D"/>
    <w:rsid w:val="002B0A4F"/>
    <w:rsid w:val="002B0A8D"/>
    <w:rsid w:val="002B0C3C"/>
    <w:rsid w:val="002B0C76"/>
    <w:rsid w:val="002B0C99"/>
    <w:rsid w:val="002B0CB0"/>
    <w:rsid w:val="002B0D63"/>
    <w:rsid w:val="002B0DB9"/>
    <w:rsid w:val="002B0DBE"/>
    <w:rsid w:val="002B0DFD"/>
    <w:rsid w:val="002B0E06"/>
    <w:rsid w:val="002B0E3C"/>
    <w:rsid w:val="002B0E76"/>
    <w:rsid w:val="002B0ECD"/>
    <w:rsid w:val="002B0F09"/>
    <w:rsid w:val="002B0F2B"/>
    <w:rsid w:val="002B0FE3"/>
    <w:rsid w:val="002B10B1"/>
    <w:rsid w:val="002B10CB"/>
    <w:rsid w:val="002B1182"/>
    <w:rsid w:val="002B1194"/>
    <w:rsid w:val="002B11F4"/>
    <w:rsid w:val="002B1218"/>
    <w:rsid w:val="002B137D"/>
    <w:rsid w:val="002B13DF"/>
    <w:rsid w:val="002B141E"/>
    <w:rsid w:val="002B14B1"/>
    <w:rsid w:val="002B14EF"/>
    <w:rsid w:val="002B14F7"/>
    <w:rsid w:val="002B151B"/>
    <w:rsid w:val="002B168B"/>
    <w:rsid w:val="002B17A5"/>
    <w:rsid w:val="002B18B9"/>
    <w:rsid w:val="002B1964"/>
    <w:rsid w:val="002B19E8"/>
    <w:rsid w:val="002B19F1"/>
    <w:rsid w:val="002B19FE"/>
    <w:rsid w:val="002B1A43"/>
    <w:rsid w:val="002B1A5E"/>
    <w:rsid w:val="002B1A6B"/>
    <w:rsid w:val="002B1ADD"/>
    <w:rsid w:val="002B1AE7"/>
    <w:rsid w:val="002B1AF3"/>
    <w:rsid w:val="002B1B2A"/>
    <w:rsid w:val="002B1B8F"/>
    <w:rsid w:val="002B1C6C"/>
    <w:rsid w:val="002B1CEC"/>
    <w:rsid w:val="002B1D13"/>
    <w:rsid w:val="002B1D39"/>
    <w:rsid w:val="002B1D60"/>
    <w:rsid w:val="002B1DB3"/>
    <w:rsid w:val="002B1E36"/>
    <w:rsid w:val="002B1E80"/>
    <w:rsid w:val="002B1E84"/>
    <w:rsid w:val="002B1E9B"/>
    <w:rsid w:val="002B1EC5"/>
    <w:rsid w:val="002B1ECE"/>
    <w:rsid w:val="002B1FA4"/>
    <w:rsid w:val="002B1FAC"/>
    <w:rsid w:val="002B204C"/>
    <w:rsid w:val="002B20D1"/>
    <w:rsid w:val="002B2183"/>
    <w:rsid w:val="002B21B0"/>
    <w:rsid w:val="002B21B5"/>
    <w:rsid w:val="002B2382"/>
    <w:rsid w:val="002B23B9"/>
    <w:rsid w:val="002B2462"/>
    <w:rsid w:val="002B2496"/>
    <w:rsid w:val="002B24E4"/>
    <w:rsid w:val="002B2518"/>
    <w:rsid w:val="002B254F"/>
    <w:rsid w:val="002B255C"/>
    <w:rsid w:val="002B2581"/>
    <w:rsid w:val="002B258C"/>
    <w:rsid w:val="002B2616"/>
    <w:rsid w:val="002B262B"/>
    <w:rsid w:val="002B26A3"/>
    <w:rsid w:val="002B26BF"/>
    <w:rsid w:val="002B26F3"/>
    <w:rsid w:val="002B26F5"/>
    <w:rsid w:val="002B2755"/>
    <w:rsid w:val="002B27F2"/>
    <w:rsid w:val="002B2833"/>
    <w:rsid w:val="002B2892"/>
    <w:rsid w:val="002B28CE"/>
    <w:rsid w:val="002B2944"/>
    <w:rsid w:val="002B29AD"/>
    <w:rsid w:val="002B29C0"/>
    <w:rsid w:val="002B2A59"/>
    <w:rsid w:val="002B2A7F"/>
    <w:rsid w:val="002B2A80"/>
    <w:rsid w:val="002B2A99"/>
    <w:rsid w:val="002B2BA9"/>
    <w:rsid w:val="002B2C1A"/>
    <w:rsid w:val="002B2C29"/>
    <w:rsid w:val="002B2C80"/>
    <w:rsid w:val="002B2C96"/>
    <w:rsid w:val="002B2C9B"/>
    <w:rsid w:val="002B2CBA"/>
    <w:rsid w:val="002B2CF6"/>
    <w:rsid w:val="002B2D02"/>
    <w:rsid w:val="002B2D31"/>
    <w:rsid w:val="002B2DD0"/>
    <w:rsid w:val="002B2E0C"/>
    <w:rsid w:val="002B2E26"/>
    <w:rsid w:val="002B2E3F"/>
    <w:rsid w:val="002B2E5A"/>
    <w:rsid w:val="002B2F17"/>
    <w:rsid w:val="002B2F9D"/>
    <w:rsid w:val="002B2FDB"/>
    <w:rsid w:val="002B3142"/>
    <w:rsid w:val="002B3160"/>
    <w:rsid w:val="002B3193"/>
    <w:rsid w:val="002B330C"/>
    <w:rsid w:val="002B330F"/>
    <w:rsid w:val="002B332A"/>
    <w:rsid w:val="002B3348"/>
    <w:rsid w:val="002B3358"/>
    <w:rsid w:val="002B33B7"/>
    <w:rsid w:val="002B33EE"/>
    <w:rsid w:val="002B3414"/>
    <w:rsid w:val="002B3427"/>
    <w:rsid w:val="002B34CA"/>
    <w:rsid w:val="002B353D"/>
    <w:rsid w:val="002B3654"/>
    <w:rsid w:val="002B366A"/>
    <w:rsid w:val="002B36C4"/>
    <w:rsid w:val="002B379B"/>
    <w:rsid w:val="002B379C"/>
    <w:rsid w:val="002B37D1"/>
    <w:rsid w:val="002B37D2"/>
    <w:rsid w:val="002B3832"/>
    <w:rsid w:val="002B39A3"/>
    <w:rsid w:val="002B3A03"/>
    <w:rsid w:val="002B3A60"/>
    <w:rsid w:val="002B3ABF"/>
    <w:rsid w:val="002B3B3E"/>
    <w:rsid w:val="002B3B55"/>
    <w:rsid w:val="002B3B6A"/>
    <w:rsid w:val="002B3C10"/>
    <w:rsid w:val="002B3C11"/>
    <w:rsid w:val="002B3C89"/>
    <w:rsid w:val="002B3CD0"/>
    <w:rsid w:val="002B3DAC"/>
    <w:rsid w:val="002B3E83"/>
    <w:rsid w:val="002B3FCA"/>
    <w:rsid w:val="002B4058"/>
    <w:rsid w:val="002B409E"/>
    <w:rsid w:val="002B40A1"/>
    <w:rsid w:val="002B40BA"/>
    <w:rsid w:val="002B414F"/>
    <w:rsid w:val="002B4164"/>
    <w:rsid w:val="002B419A"/>
    <w:rsid w:val="002B419F"/>
    <w:rsid w:val="002B41AA"/>
    <w:rsid w:val="002B41B8"/>
    <w:rsid w:val="002B425B"/>
    <w:rsid w:val="002B42CA"/>
    <w:rsid w:val="002B4303"/>
    <w:rsid w:val="002B43C9"/>
    <w:rsid w:val="002B4472"/>
    <w:rsid w:val="002B44A6"/>
    <w:rsid w:val="002B44C4"/>
    <w:rsid w:val="002B44E7"/>
    <w:rsid w:val="002B44FA"/>
    <w:rsid w:val="002B44FC"/>
    <w:rsid w:val="002B4541"/>
    <w:rsid w:val="002B45AF"/>
    <w:rsid w:val="002B45C3"/>
    <w:rsid w:val="002B4674"/>
    <w:rsid w:val="002B46D2"/>
    <w:rsid w:val="002B46FF"/>
    <w:rsid w:val="002B47F1"/>
    <w:rsid w:val="002B482A"/>
    <w:rsid w:val="002B484D"/>
    <w:rsid w:val="002B485F"/>
    <w:rsid w:val="002B48D4"/>
    <w:rsid w:val="002B4929"/>
    <w:rsid w:val="002B493B"/>
    <w:rsid w:val="002B4A40"/>
    <w:rsid w:val="002B4A61"/>
    <w:rsid w:val="002B4AFA"/>
    <w:rsid w:val="002B4B54"/>
    <w:rsid w:val="002B4BA2"/>
    <w:rsid w:val="002B4BCB"/>
    <w:rsid w:val="002B4D13"/>
    <w:rsid w:val="002B4D3E"/>
    <w:rsid w:val="002B4D4C"/>
    <w:rsid w:val="002B4D55"/>
    <w:rsid w:val="002B4D89"/>
    <w:rsid w:val="002B4E10"/>
    <w:rsid w:val="002B4E62"/>
    <w:rsid w:val="002B4E8E"/>
    <w:rsid w:val="002B4EB4"/>
    <w:rsid w:val="002B4F11"/>
    <w:rsid w:val="002B4F2C"/>
    <w:rsid w:val="002B4FA0"/>
    <w:rsid w:val="002B4FA8"/>
    <w:rsid w:val="002B4FB5"/>
    <w:rsid w:val="002B5066"/>
    <w:rsid w:val="002B5087"/>
    <w:rsid w:val="002B5094"/>
    <w:rsid w:val="002B5098"/>
    <w:rsid w:val="002B515F"/>
    <w:rsid w:val="002B51A3"/>
    <w:rsid w:val="002B51AA"/>
    <w:rsid w:val="002B51E6"/>
    <w:rsid w:val="002B5249"/>
    <w:rsid w:val="002B525D"/>
    <w:rsid w:val="002B526C"/>
    <w:rsid w:val="002B532D"/>
    <w:rsid w:val="002B5427"/>
    <w:rsid w:val="002B546E"/>
    <w:rsid w:val="002B54AC"/>
    <w:rsid w:val="002B54EA"/>
    <w:rsid w:val="002B54F9"/>
    <w:rsid w:val="002B5537"/>
    <w:rsid w:val="002B5541"/>
    <w:rsid w:val="002B560C"/>
    <w:rsid w:val="002B5661"/>
    <w:rsid w:val="002B5710"/>
    <w:rsid w:val="002B5787"/>
    <w:rsid w:val="002B57D5"/>
    <w:rsid w:val="002B588E"/>
    <w:rsid w:val="002B595F"/>
    <w:rsid w:val="002B5A23"/>
    <w:rsid w:val="002B5A2D"/>
    <w:rsid w:val="002B5AAF"/>
    <w:rsid w:val="002B5B7F"/>
    <w:rsid w:val="002B5BB7"/>
    <w:rsid w:val="002B5BE9"/>
    <w:rsid w:val="002B5C9C"/>
    <w:rsid w:val="002B5D6C"/>
    <w:rsid w:val="002B5D76"/>
    <w:rsid w:val="002B5DA3"/>
    <w:rsid w:val="002B5DB1"/>
    <w:rsid w:val="002B5DB7"/>
    <w:rsid w:val="002B5DF0"/>
    <w:rsid w:val="002B5E66"/>
    <w:rsid w:val="002B5E87"/>
    <w:rsid w:val="002B5F75"/>
    <w:rsid w:val="002B5FE4"/>
    <w:rsid w:val="002B5FEC"/>
    <w:rsid w:val="002B6076"/>
    <w:rsid w:val="002B607C"/>
    <w:rsid w:val="002B609D"/>
    <w:rsid w:val="002B60F7"/>
    <w:rsid w:val="002B60FC"/>
    <w:rsid w:val="002B610B"/>
    <w:rsid w:val="002B6171"/>
    <w:rsid w:val="002B61E0"/>
    <w:rsid w:val="002B6210"/>
    <w:rsid w:val="002B62A5"/>
    <w:rsid w:val="002B6325"/>
    <w:rsid w:val="002B6362"/>
    <w:rsid w:val="002B63F3"/>
    <w:rsid w:val="002B6404"/>
    <w:rsid w:val="002B6429"/>
    <w:rsid w:val="002B6451"/>
    <w:rsid w:val="002B6498"/>
    <w:rsid w:val="002B65E6"/>
    <w:rsid w:val="002B65EA"/>
    <w:rsid w:val="002B6635"/>
    <w:rsid w:val="002B6687"/>
    <w:rsid w:val="002B66CC"/>
    <w:rsid w:val="002B6719"/>
    <w:rsid w:val="002B6750"/>
    <w:rsid w:val="002B67AC"/>
    <w:rsid w:val="002B67AE"/>
    <w:rsid w:val="002B6856"/>
    <w:rsid w:val="002B6940"/>
    <w:rsid w:val="002B6A59"/>
    <w:rsid w:val="002B6A61"/>
    <w:rsid w:val="002B6A8F"/>
    <w:rsid w:val="002B6AEC"/>
    <w:rsid w:val="002B6AFE"/>
    <w:rsid w:val="002B6B07"/>
    <w:rsid w:val="002B6B64"/>
    <w:rsid w:val="002B6B84"/>
    <w:rsid w:val="002B6BDF"/>
    <w:rsid w:val="002B6C18"/>
    <w:rsid w:val="002B6C26"/>
    <w:rsid w:val="002B6C47"/>
    <w:rsid w:val="002B6C54"/>
    <w:rsid w:val="002B6C7E"/>
    <w:rsid w:val="002B6D5F"/>
    <w:rsid w:val="002B6D62"/>
    <w:rsid w:val="002B6DF8"/>
    <w:rsid w:val="002B6E11"/>
    <w:rsid w:val="002B6E4D"/>
    <w:rsid w:val="002B6E6A"/>
    <w:rsid w:val="002B6EAC"/>
    <w:rsid w:val="002B6EAF"/>
    <w:rsid w:val="002B6EDB"/>
    <w:rsid w:val="002B6F41"/>
    <w:rsid w:val="002B6F7A"/>
    <w:rsid w:val="002B7042"/>
    <w:rsid w:val="002B7055"/>
    <w:rsid w:val="002B70C6"/>
    <w:rsid w:val="002B70D7"/>
    <w:rsid w:val="002B7119"/>
    <w:rsid w:val="002B7156"/>
    <w:rsid w:val="002B7173"/>
    <w:rsid w:val="002B71E8"/>
    <w:rsid w:val="002B74BB"/>
    <w:rsid w:val="002B7503"/>
    <w:rsid w:val="002B756A"/>
    <w:rsid w:val="002B756E"/>
    <w:rsid w:val="002B75E4"/>
    <w:rsid w:val="002B75E9"/>
    <w:rsid w:val="002B76A3"/>
    <w:rsid w:val="002B76A5"/>
    <w:rsid w:val="002B7706"/>
    <w:rsid w:val="002B770E"/>
    <w:rsid w:val="002B7753"/>
    <w:rsid w:val="002B7793"/>
    <w:rsid w:val="002B7834"/>
    <w:rsid w:val="002B7856"/>
    <w:rsid w:val="002B78B1"/>
    <w:rsid w:val="002B7960"/>
    <w:rsid w:val="002B7A0C"/>
    <w:rsid w:val="002B7AB8"/>
    <w:rsid w:val="002B7BA9"/>
    <w:rsid w:val="002B7BAA"/>
    <w:rsid w:val="002B7C1F"/>
    <w:rsid w:val="002B7C45"/>
    <w:rsid w:val="002B7C5A"/>
    <w:rsid w:val="002B7C67"/>
    <w:rsid w:val="002B7C8D"/>
    <w:rsid w:val="002B7C9A"/>
    <w:rsid w:val="002B7CD7"/>
    <w:rsid w:val="002B7D3D"/>
    <w:rsid w:val="002B7E68"/>
    <w:rsid w:val="002B7F30"/>
    <w:rsid w:val="002B7F5D"/>
    <w:rsid w:val="002B7F7B"/>
    <w:rsid w:val="002B7FEA"/>
    <w:rsid w:val="002B7FF6"/>
    <w:rsid w:val="002BE751"/>
    <w:rsid w:val="002C004E"/>
    <w:rsid w:val="002C008B"/>
    <w:rsid w:val="002C00BD"/>
    <w:rsid w:val="002C0162"/>
    <w:rsid w:val="002C02A2"/>
    <w:rsid w:val="002C02BC"/>
    <w:rsid w:val="002C031D"/>
    <w:rsid w:val="002C0349"/>
    <w:rsid w:val="002C03BC"/>
    <w:rsid w:val="002C0466"/>
    <w:rsid w:val="002C04D3"/>
    <w:rsid w:val="002C05E0"/>
    <w:rsid w:val="002C05E6"/>
    <w:rsid w:val="002C063F"/>
    <w:rsid w:val="002C06CA"/>
    <w:rsid w:val="002C06E1"/>
    <w:rsid w:val="002C074B"/>
    <w:rsid w:val="002C0754"/>
    <w:rsid w:val="002C076B"/>
    <w:rsid w:val="002C07C2"/>
    <w:rsid w:val="002C086A"/>
    <w:rsid w:val="002C088E"/>
    <w:rsid w:val="002C08A6"/>
    <w:rsid w:val="002C099D"/>
    <w:rsid w:val="002C0A7D"/>
    <w:rsid w:val="002C0A94"/>
    <w:rsid w:val="002C0AF0"/>
    <w:rsid w:val="002C0AF2"/>
    <w:rsid w:val="002C0B34"/>
    <w:rsid w:val="002C0B65"/>
    <w:rsid w:val="002C0BA6"/>
    <w:rsid w:val="002C0BAA"/>
    <w:rsid w:val="002C0C57"/>
    <w:rsid w:val="002C0D21"/>
    <w:rsid w:val="002C0E46"/>
    <w:rsid w:val="002C0F94"/>
    <w:rsid w:val="002C0FE4"/>
    <w:rsid w:val="002C0FF2"/>
    <w:rsid w:val="002C0FFE"/>
    <w:rsid w:val="002C1141"/>
    <w:rsid w:val="002C11A1"/>
    <w:rsid w:val="002C1249"/>
    <w:rsid w:val="002C1272"/>
    <w:rsid w:val="002C1295"/>
    <w:rsid w:val="002C12D0"/>
    <w:rsid w:val="002C12FF"/>
    <w:rsid w:val="002C13D8"/>
    <w:rsid w:val="002C1417"/>
    <w:rsid w:val="002C14D1"/>
    <w:rsid w:val="002C1631"/>
    <w:rsid w:val="002C1643"/>
    <w:rsid w:val="002C16F9"/>
    <w:rsid w:val="002C175B"/>
    <w:rsid w:val="002C1780"/>
    <w:rsid w:val="002C17C9"/>
    <w:rsid w:val="002C17D3"/>
    <w:rsid w:val="002C182E"/>
    <w:rsid w:val="002C18D8"/>
    <w:rsid w:val="002C18E3"/>
    <w:rsid w:val="002C18EF"/>
    <w:rsid w:val="002C1972"/>
    <w:rsid w:val="002C1999"/>
    <w:rsid w:val="002C1A53"/>
    <w:rsid w:val="002C1B3C"/>
    <w:rsid w:val="002C1B83"/>
    <w:rsid w:val="002C1CA6"/>
    <w:rsid w:val="002C1CE1"/>
    <w:rsid w:val="002C1D94"/>
    <w:rsid w:val="002C1E5E"/>
    <w:rsid w:val="002C1EEA"/>
    <w:rsid w:val="002C1F9A"/>
    <w:rsid w:val="002C206A"/>
    <w:rsid w:val="002C20C3"/>
    <w:rsid w:val="002C20CF"/>
    <w:rsid w:val="002C20D8"/>
    <w:rsid w:val="002C211B"/>
    <w:rsid w:val="002C2130"/>
    <w:rsid w:val="002C218D"/>
    <w:rsid w:val="002C21E1"/>
    <w:rsid w:val="002C221D"/>
    <w:rsid w:val="002C2320"/>
    <w:rsid w:val="002C233B"/>
    <w:rsid w:val="002C2357"/>
    <w:rsid w:val="002C238B"/>
    <w:rsid w:val="002C239E"/>
    <w:rsid w:val="002C2472"/>
    <w:rsid w:val="002C24B2"/>
    <w:rsid w:val="002C253F"/>
    <w:rsid w:val="002C2646"/>
    <w:rsid w:val="002C267B"/>
    <w:rsid w:val="002C26DD"/>
    <w:rsid w:val="002C2751"/>
    <w:rsid w:val="002C277C"/>
    <w:rsid w:val="002C279C"/>
    <w:rsid w:val="002C285C"/>
    <w:rsid w:val="002C28B0"/>
    <w:rsid w:val="002C2944"/>
    <w:rsid w:val="002C2945"/>
    <w:rsid w:val="002C2963"/>
    <w:rsid w:val="002C2968"/>
    <w:rsid w:val="002C2A05"/>
    <w:rsid w:val="002C2A5E"/>
    <w:rsid w:val="002C2AC6"/>
    <w:rsid w:val="002C2B56"/>
    <w:rsid w:val="002C2B70"/>
    <w:rsid w:val="002C2D52"/>
    <w:rsid w:val="002C2E4C"/>
    <w:rsid w:val="002C2E61"/>
    <w:rsid w:val="002C2F16"/>
    <w:rsid w:val="002C2F19"/>
    <w:rsid w:val="002C2FFB"/>
    <w:rsid w:val="002C3055"/>
    <w:rsid w:val="002C30B5"/>
    <w:rsid w:val="002C30EB"/>
    <w:rsid w:val="002C31DE"/>
    <w:rsid w:val="002C31EE"/>
    <w:rsid w:val="002C3213"/>
    <w:rsid w:val="002C32FA"/>
    <w:rsid w:val="002C3393"/>
    <w:rsid w:val="002C33A6"/>
    <w:rsid w:val="002C3427"/>
    <w:rsid w:val="002C3451"/>
    <w:rsid w:val="002C3490"/>
    <w:rsid w:val="002C3537"/>
    <w:rsid w:val="002C354C"/>
    <w:rsid w:val="002C3596"/>
    <w:rsid w:val="002C35A8"/>
    <w:rsid w:val="002C35BA"/>
    <w:rsid w:val="002C35FC"/>
    <w:rsid w:val="002C36B7"/>
    <w:rsid w:val="002C384D"/>
    <w:rsid w:val="002C3882"/>
    <w:rsid w:val="002C389E"/>
    <w:rsid w:val="002C38AA"/>
    <w:rsid w:val="002C3902"/>
    <w:rsid w:val="002C39CC"/>
    <w:rsid w:val="002C39F8"/>
    <w:rsid w:val="002C3A75"/>
    <w:rsid w:val="002C3A89"/>
    <w:rsid w:val="002C3A8F"/>
    <w:rsid w:val="002C3A91"/>
    <w:rsid w:val="002C3AB5"/>
    <w:rsid w:val="002C3B0F"/>
    <w:rsid w:val="002C3B9E"/>
    <w:rsid w:val="002C3BD5"/>
    <w:rsid w:val="002C3C3B"/>
    <w:rsid w:val="002C3C74"/>
    <w:rsid w:val="002C3C9F"/>
    <w:rsid w:val="002C3D6F"/>
    <w:rsid w:val="002C3DC8"/>
    <w:rsid w:val="002C3DE4"/>
    <w:rsid w:val="002C3E4D"/>
    <w:rsid w:val="002C3EC7"/>
    <w:rsid w:val="002C3ED1"/>
    <w:rsid w:val="002C3EDB"/>
    <w:rsid w:val="002C3EE0"/>
    <w:rsid w:val="002C3F0F"/>
    <w:rsid w:val="002C3FE3"/>
    <w:rsid w:val="002C401C"/>
    <w:rsid w:val="002C40AE"/>
    <w:rsid w:val="002C40D8"/>
    <w:rsid w:val="002C40F9"/>
    <w:rsid w:val="002C4195"/>
    <w:rsid w:val="002C4197"/>
    <w:rsid w:val="002C41B7"/>
    <w:rsid w:val="002C4248"/>
    <w:rsid w:val="002C42A4"/>
    <w:rsid w:val="002C42C8"/>
    <w:rsid w:val="002C4325"/>
    <w:rsid w:val="002C4351"/>
    <w:rsid w:val="002C43FC"/>
    <w:rsid w:val="002C441D"/>
    <w:rsid w:val="002C4494"/>
    <w:rsid w:val="002C44FC"/>
    <w:rsid w:val="002C4565"/>
    <w:rsid w:val="002C457F"/>
    <w:rsid w:val="002C4637"/>
    <w:rsid w:val="002C467B"/>
    <w:rsid w:val="002C4698"/>
    <w:rsid w:val="002C469E"/>
    <w:rsid w:val="002C46B3"/>
    <w:rsid w:val="002C4747"/>
    <w:rsid w:val="002C4782"/>
    <w:rsid w:val="002C480A"/>
    <w:rsid w:val="002C4894"/>
    <w:rsid w:val="002C48FF"/>
    <w:rsid w:val="002C4940"/>
    <w:rsid w:val="002C4AB7"/>
    <w:rsid w:val="002C4B44"/>
    <w:rsid w:val="002C4B81"/>
    <w:rsid w:val="002C4BAC"/>
    <w:rsid w:val="002C4BCE"/>
    <w:rsid w:val="002C4BE9"/>
    <w:rsid w:val="002C4BFA"/>
    <w:rsid w:val="002C4BFD"/>
    <w:rsid w:val="002C4C20"/>
    <w:rsid w:val="002C4C4D"/>
    <w:rsid w:val="002C4CC1"/>
    <w:rsid w:val="002C4D2F"/>
    <w:rsid w:val="002C4D72"/>
    <w:rsid w:val="002C4D80"/>
    <w:rsid w:val="002C4DAD"/>
    <w:rsid w:val="002C4F0A"/>
    <w:rsid w:val="002C4F3D"/>
    <w:rsid w:val="002C4F5C"/>
    <w:rsid w:val="002C4F77"/>
    <w:rsid w:val="002C4F94"/>
    <w:rsid w:val="002C507E"/>
    <w:rsid w:val="002C50B1"/>
    <w:rsid w:val="002C5126"/>
    <w:rsid w:val="002C5161"/>
    <w:rsid w:val="002C5181"/>
    <w:rsid w:val="002C518B"/>
    <w:rsid w:val="002C51C7"/>
    <w:rsid w:val="002C522E"/>
    <w:rsid w:val="002C52B0"/>
    <w:rsid w:val="002C52DA"/>
    <w:rsid w:val="002C5351"/>
    <w:rsid w:val="002C536C"/>
    <w:rsid w:val="002C5445"/>
    <w:rsid w:val="002C54BF"/>
    <w:rsid w:val="002C5508"/>
    <w:rsid w:val="002C557D"/>
    <w:rsid w:val="002C55B2"/>
    <w:rsid w:val="002C55F5"/>
    <w:rsid w:val="002C563A"/>
    <w:rsid w:val="002C569F"/>
    <w:rsid w:val="002C5793"/>
    <w:rsid w:val="002C57DB"/>
    <w:rsid w:val="002C5856"/>
    <w:rsid w:val="002C58DD"/>
    <w:rsid w:val="002C5930"/>
    <w:rsid w:val="002C5940"/>
    <w:rsid w:val="002C5A60"/>
    <w:rsid w:val="002C5A98"/>
    <w:rsid w:val="002C5A9D"/>
    <w:rsid w:val="002C5B2B"/>
    <w:rsid w:val="002C5CBE"/>
    <w:rsid w:val="002C5CCE"/>
    <w:rsid w:val="002C5D8A"/>
    <w:rsid w:val="002C5E28"/>
    <w:rsid w:val="002C5E52"/>
    <w:rsid w:val="002C5F9A"/>
    <w:rsid w:val="002C5FD8"/>
    <w:rsid w:val="002C5FE2"/>
    <w:rsid w:val="002C5FEA"/>
    <w:rsid w:val="002C6027"/>
    <w:rsid w:val="002C604B"/>
    <w:rsid w:val="002C60C0"/>
    <w:rsid w:val="002C6174"/>
    <w:rsid w:val="002C632C"/>
    <w:rsid w:val="002C63A7"/>
    <w:rsid w:val="002C63E4"/>
    <w:rsid w:val="002C6403"/>
    <w:rsid w:val="002C643A"/>
    <w:rsid w:val="002C6449"/>
    <w:rsid w:val="002C6515"/>
    <w:rsid w:val="002C651B"/>
    <w:rsid w:val="002C655B"/>
    <w:rsid w:val="002C659C"/>
    <w:rsid w:val="002C65BF"/>
    <w:rsid w:val="002C6640"/>
    <w:rsid w:val="002C6642"/>
    <w:rsid w:val="002C6732"/>
    <w:rsid w:val="002C674A"/>
    <w:rsid w:val="002C6794"/>
    <w:rsid w:val="002C6838"/>
    <w:rsid w:val="002C6896"/>
    <w:rsid w:val="002C6928"/>
    <w:rsid w:val="002C6931"/>
    <w:rsid w:val="002C6943"/>
    <w:rsid w:val="002C694C"/>
    <w:rsid w:val="002C6985"/>
    <w:rsid w:val="002C6986"/>
    <w:rsid w:val="002C69C6"/>
    <w:rsid w:val="002C6A05"/>
    <w:rsid w:val="002C6A28"/>
    <w:rsid w:val="002C6A89"/>
    <w:rsid w:val="002C6A95"/>
    <w:rsid w:val="002C6A99"/>
    <w:rsid w:val="002C6AB7"/>
    <w:rsid w:val="002C6ABC"/>
    <w:rsid w:val="002C6AF8"/>
    <w:rsid w:val="002C6B1B"/>
    <w:rsid w:val="002C6B58"/>
    <w:rsid w:val="002C6BB7"/>
    <w:rsid w:val="002C6C2F"/>
    <w:rsid w:val="002C6C7B"/>
    <w:rsid w:val="002C6CC0"/>
    <w:rsid w:val="002C6CCA"/>
    <w:rsid w:val="002C6CDA"/>
    <w:rsid w:val="002C6CE4"/>
    <w:rsid w:val="002C6DAF"/>
    <w:rsid w:val="002C6DB9"/>
    <w:rsid w:val="002C6E07"/>
    <w:rsid w:val="002C6E12"/>
    <w:rsid w:val="002C6E69"/>
    <w:rsid w:val="002C6EA3"/>
    <w:rsid w:val="002C6EC9"/>
    <w:rsid w:val="002C6EFE"/>
    <w:rsid w:val="002C6F54"/>
    <w:rsid w:val="002C6F65"/>
    <w:rsid w:val="002C6F77"/>
    <w:rsid w:val="002C6FE4"/>
    <w:rsid w:val="002C7024"/>
    <w:rsid w:val="002C7037"/>
    <w:rsid w:val="002C70E6"/>
    <w:rsid w:val="002C720B"/>
    <w:rsid w:val="002C72E7"/>
    <w:rsid w:val="002C72FF"/>
    <w:rsid w:val="002C730E"/>
    <w:rsid w:val="002C7324"/>
    <w:rsid w:val="002C7355"/>
    <w:rsid w:val="002C7369"/>
    <w:rsid w:val="002C73D5"/>
    <w:rsid w:val="002C7402"/>
    <w:rsid w:val="002C745F"/>
    <w:rsid w:val="002C746A"/>
    <w:rsid w:val="002C7496"/>
    <w:rsid w:val="002C74C5"/>
    <w:rsid w:val="002C74F9"/>
    <w:rsid w:val="002C7526"/>
    <w:rsid w:val="002C7586"/>
    <w:rsid w:val="002C75EF"/>
    <w:rsid w:val="002C75FB"/>
    <w:rsid w:val="002C7663"/>
    <w:rsid w:val="002C76A2"/>
    <w:rsid w:val="002C77BC"/>
    <w:rsid w:val="002C77CD"/>
    <w:rsid w:val="002C77D3"/>
    <w:rsid w:val="002C7809"/>
    <w:rsid w:val="002C7810"/>
    <w:rsid w:val="002C7872"/>
    <w:rsid w:val="002C787E"/>
    <w:rsid w:val="002C7890"/>
    <w:rsid w:val="002C79DD"/>
    <w:rsid w:val="002C79F9"/>
    <w:rsid w:val="002C7A30"/>
    <w:rsid w:val="002C7A36"/>
    <w:rsid w:val="002C7AA3"/>
    <w:rsid w:val="002C7B5C"/>
    <w:rsid w:val="002C7BBB"/>
    <w:rsid w:val="002C7D1D"/>
    <w:rsid w:val="002C7EB2"/>
    <w:rsid w:val="002C7F52"/>
    <w:rsid w:val="002D0096"/>
    <w:rsid w:val="002D00A5"/>
    <w:rsid w:val="002D00D6"/>
    <w:rsid w:val="002D014D"/>
    <w:rsid w:val="002D0188"/>
    <w:rsid w:val="002D01AB"/>
    <w:rsid w:val="002D01C2"/>
    <w:rsid w:val="002D0200"/>
    <w:rsid w:val="002D02B0"/>
    <w:rsid w:val="002D0385"/>
    <w:rsid w:val="002D03C6"/>
    <w:rsid w:val="002D0401"/>
    <w:rsid w:val="002D043B"/>
    <w:rsid w:val="002D04DF"/>
    <w:rsid w:val="002D04F3"/>
    <w:rsid w:val="002D04F5"/>
    <w:rsid w:val="002D05BB"/>
    <w:rsid w:val="002D05CC"/>
    <w:rsid w:val="002D0698"/>
    <w:rsid w:val="002D0801"/>
    <w:rsid w:val="002D080A"/>
    <w:rsid w:val="002D0826"/>
    <w:rsid w:val="002D0847"/>
    <w:rsid w:val="002D095C"/>
    <w:rsid w:val="002D0A99"/>
    <w:rsid w:val="002D0B9D"/>
    <w:rsid w:val="002D0B9F"/>
    <w:rsid w:val="002D0CB6"/>
    <w:rsid w:val="002D0CC3"/>
    <w:rsid w:val="002D0CC4"/>
    <w:rsid w:val="002D0CFA"/>
    <w:rsid w:val="002D0D4D"/>
    <w:rsid w:val="002D0D6A"/>
    <w:rsid w:val="002D0D7B"/>
    <w:rsid w:val="002D0E72"/>
    <w:rsid w:val="002D0FA1"/>
    <w:rsid w:val="002D103C"/>
    <w:rsid w:val="002D1040"/>
    <w:rsid w:val="002D10C5"/>
    <w:rsid w:val="002D10C7"/>
    <w:rsid w:val="002D10E3"/>
    <w:rsid w:val="002D110E"/>
    <w:rsid w:val="002D1148"/>
    <w:rsid w:val="002D11EF"/>
    <w:rsid w:val="002D12F3"/>
    <w:rsid w:val="002D1333"/>
    <w:rsid w:val="002D136C"/>
    <w:rsid w:val="002D13C5"/>
    <w:rsid w:val="002D13C6"/>
    <w:rsid w:val="002D13E9"/>
    <w:rsid w:val="002D143A"/>
    <w:rsid w:val="002D1461"/>
    <w:rsid w:val="002D14AC"/>
    <w:rsid w:val="002D1549"/>
    <w:rsid w:val="002D155B"/>
    <w:rsid w:val="002D1567"/>
    <w:rsid w:val="002D15D3"/>
    <w:rsid w:val="002D15F2"/>
    <w:rsid w:val="002D15FA"/>
    <w:rsid w:val="002D1616"/>
    <w:rsid w:val="002D161E"/>
    <w:rsid w:val="002D1681"/>
    <w:rsid w:val="002D16B0"/>
    <w:rsid w:val="002D16B1"/>
    <w:rsid w:val="002D16C0"/>
    <w:rsid w:val="002D1783"/>
    <w:rsid w:val="002D180A"/>
    <w:rsid w:val="002D1820"/>
    <w:rsid w:val="002D1833"/>
    <w:rsid w:val="002D184F"/>
    <w:rsid w:val="002D18A6"/>
    <w:rsid w:val="002D18FB"/>
    <w:rsid w:val="002D1982"/>
    <w:rsid w:val="002D1991"/>
    <w:rsid w:val="002D19BF"/>
    <w:rsid w:val="002D19D7"/>
    <w:rsid w:val="002D1ADC"/>
    <w:rsid w:val="002D1B02"/>
    <w:rsid w:val="002D1BBD"/>
    <w:rsid w:val="002D1CC0"/>
    <w:rsid w:val="002D1CE4"/>
    <w:rsid w:val="002D1DE6"/>
    <w:rsid w:val="002D1DF3"/>
    <w:rsid w:val="002D1E83"/>
    <w:rsid w:val="002D1EAE"/>
    <w:rsid w:val="002D1F55"/>
    <w:rsid w:val="002D1FAE"/>
    <w:rsid w:val="002D1FC5"/>
    <w:rsid w:val="002D1FCF"/>
    <w:rsid w:val="002D1FFC"/>
    <w:rsid w:val="002D2035"/>
    <w:rsid w:val="002D20FB"/>
    <w:rsid w:val="002D2100"/>
    <w:rsid w:val="002D210B"/>
    <w:rsid w:val="002D2140"/>
    <w:rsid w:val="002D214F"/>
    <w:rsid w:val="002D21D5"/>
    <w:rsid w:val="002D2272"/>
    <w:rsid w:val="002D2277"/>
    <w:rsid w:val="002D22A4"/>
    <w:rsid w:val="002D22AE"/>
    <w:rsid w:val="002D235A"/>
    <w:rsid w:val="002D23A6"/>
    <w:rsid w:val="002D23EC"/>
    <w:rsid w:val="002D247A"/>
    <w:rsid w:val="002D2487"/>
    <w:rsid w:val="002D258B"/>
    <w:rsid w:val="002D259E"/>
    <w:rsid w:val="002D25E2"/>
    <w:rsid w:val="002D2613"/>
    <w:rsid w:val="002D26ED"/>
    <w:rsid w:val="002D271D"/>
    <w:rsid w:val="002D2733"/>
    <w:rsid w:val="002D27CC"/>
    <w:rsid w:val="002D2868"/>
    <w:rsid w:val="002D292D"/>
    <w:rsid w:val="002D2948"/>
    <w:rsid w:val="002D2965"/>
    <w:rsid w:val="002D2996"/>
    <w:rsid w:val="002D299E"/>
    <w:rsid w:val="002D29ED"/>
    <w:rsid w:val="002D2A90"/>
    <w:rsid w:val="002D2AFD"/>
    <w:rsid w:val="002D2BA2"/>
    <w:rsid w:val="002D2BB7"/>
    <w:rsid w:val="002D2BD3"/>
    <w:rsid w:val="002D2C8F"/>
    <w:rsid w:val="002D2CFA"/>
    <w:rsid w:val="002D2D29"/>
    <w:rsid w:val="002D2D50"/>
    <w:rsid w:val="002D2D59"/>
    <w:rsid w:val="002D2D9E"/>
    <w:rsid w:val="002D2E25"/>
    <w:rsid w:val="002D2F01"/>
    <w:rsid w:val="002D2FDD"/>
    <w:rsid w:val="002D301F"/>
    <w:rsid w:val="002D304D"/>
    <w:rsid w:val="002D309E"/>
    <w:rsid w:val="002D30B2"/>
    <w:rsid w:val="002D30E3"/>
    <w:rsid w:val="002D3112"/>
    <w:rsid w:val="002D313B"/>
    <w:rsid w:val="002D314D"/>
    <w:rsid w:val="002D31E8"/>
    <w:rsid w:val="002D33C5"/>
    <w:rsid w:val="002D33DD"/>
    <w:rsid w:val="002D341A"/>
    <w:rsid w:val="002D3521"/>
    <w:rsid w:val="002D354C"/>
    <w:rsid w:val="002D35A1"/>
    <w:rsid w:val="002D35E8"/>
    <w:rsid w:val="002D3613"/>
    <w:rsid w:val="002D3615"/>
    <w:rsid w:val="002D3665"/>
    <w:rsid w:val="002D3690"/>
    <w:rsid w:val="002D36DE"/>
    <w:rsid w:val="002D37F0"/>
    <w:rsid w:val="002D3876"/>
    <w:rsid w:val="002D3879"/>
    <w:rsid w:val="002D387D"/>
    <w:rsid w:val="002D38B9"/>
    <w:rsid w:val="002D3900"/>
    <w:rsid w:val="002D3936"/>
    <w:rsid w:val="002D393A"/>
    <w:rsid w:val="002D3949"/>
    <w:rsid w:val="002D3962"/>
    <w:rsid w:val="002D3991"/>
    <w:rsid w:val="002D39DC"/>
    <w:rsid w:val="002D39E2"/>
    <w:rsid w:val="002D3A85"/>
    <w:rsid w:val="002D3B1E"/>
    <w:rsid w:val="002D3CC6"/>
    <w:rsid w:val="002D3D17"/>
    <w:rsid w:val="002D3E12"/>
    <w:rsid w:val="002D3E3B"/>
    <w:rsid w:val="002D3EF5"/>
    <w:rsid w:val="002D3F94"/>
    <w:rsid w:val="002D3FBE"/>
    <w:rsid w:val="002D3FC2"/>
    <w:rsid w:val="002D40B6"/>
    <w:rsid w:val="002D40C2"/>
    <w:rsid w:val="002D40EB"/>
    <w:rsid w:val="002D40FE"/>
    <w:rsid w:val="002D414D"/>
    <w:rsid w:val="002D421D"/>
    <w:rsid w:val="002D4242"/>
    <w:rsid w:val="002D42A2"/>
    <w:rsid w:val="002D433B"/>
    <w:rsid w:val="002D43A4"/>
    <w:rsid w:val="002D43DE"/>
    <w:rsid w:val="002D4422"/>
    <w:rsid w:val="002D44B4"/>
    <w:rsid w:val="002D4500"/>
    <w:rsid w:val="002D4529"/>
    <w:rsid w:val="002D4555"/>
    <w:rsid w:val="002D45F5"/>
    <w:rsid w:val="002D4642"/>
    <w:rsid w:val="002D468C"/>
    <w:rsid w:val="002D46A3"/>
    <w:rsid w:val="002D46C3"/>
    <w:rsid w:val="002D46E5"/>
    <w:rsid w:val="002D46F1"/>
    <w:rsid w:val="002D4728"/>
    <w:rsid w:val="002D476A"/>
    <w:rsid w:val="002D4788"/>
    <w:rsid w:val="002D478B"/>
    <w:rsid w:val="002D47B3"/>
    <w:rsid w:val="002D47CA"/>
    <w:rsid w:val="002D484D"/>
    <w:rsid w:val="002D4878"/>
    <w:rsid w:val="002D48B7"/>
    <w:rsid w:val="002D48CB"/>
    <w:rsid w:val="002D48CE"/>
    <w:rsid w:val="002D4972"/>
    <w:rsid w:val="002D4A04"/>
    <w:rsid w:val="002D4AF6"/>
    <w:rsid w:val="002D4B57"/>
    <w:rsid w:val="002D4BF2"/>
    <w:rsid w:val="002D4C98"/>
    <w:rsid w:val="002D4CB8"/>
    <w:rsid w:val="002D4CDE"/>
    <w:rsid w:val="002D4D3C"/>
    <w:rsid w:val="002D4D65"/>
    <w:rsid w:val="002D4DFA"/>
    <w:rsid w:val="002D4E2F"/>
    <w:rsid w:val="002D4F34"/>
    <w:rsid w:val="002D4F82"/>
    <w:rsid w:val="002D4FEE"/>
    <w:rsid w:val="002D4FF0"/>
    <w:rsid w:val="002D5047"/>
    <w:rsid w:val="002D506B"/>
    <w:rsid w:val="002D5163"/>
    <w:rsid w:val="002D521F"/>
    <w:rsid w:val="002D52A8"/>
    <w:rsid w:val="002D52AA"/>
    <w:rsid w:val="002D52E8"/>
    <w:rsid w:val="002D5309"/>
    <w:rsid w:val="002D5322"/>
    <w:rsid w:val="002D5358"/>
    <w:rsid w:val="002D5379"/>
    <w:rsid w:val="002D5381"/>
    <w:rsid w:val="002D5437"/>
    <w:rsid w:val="002D545A"/>
    <w:rsid w:val="002D547D"/>
    <w:rsid w:val="002D5540"/>
    <w:rsid w:val="002D55F1"/>
    <w:rsid w:val="002D55F6"/>
    <w:rsid w:val="002D564E"/>
    <w:rsid w:val="002D56DD"/>
    <w:rsid w:val="002D5794"/>
    <w:rsid w:val="002D582B"/>
    <w:rsid w:val="002D5870"/>
    <w:rsid w:val="002D5B16"/>
    <w:rsid w:val="002D5B2A"/>
    <w:rsid w:val="002D5BBE"/>
    <w:rsid w:val="002D5BFD"/>
    <w:rsid w:val="002D5C08"/>
    <w:rsid w:val="002D5C2B"/>
    <w:rsid w:val="002D5C3B"/>
    <w:rsid w:val="002D5C45"/>
    <w:rsid w:val="002D5C93"/>
    <w:rsid w:val="002D5D03"/>
    <w:rsid w:val="002D5D33"/>
    <w:rsid w:val="002D5D4C"/>
    <w:rsid w:val="002D5D51"/>
    <w:rsid w:val="002D5D56"/>
    <w:rsid w:val="002D5D6F"/>
    <w:rsid w:val="002D5E2D"/>
    <w:rsid w:val="002D5E44"/>
    <w:rsid w:val="002D5ECD"/>
    <w:rsid w:val="002D5EE0"/>
    <w:rsid w:val="002D6007"/>
    <w:rsid w:val="002D601A"/>
    <w:rsid w:val="002D6021"/>
    <w:rsid w:val="002D606D"/>
    <w:rsid w:val="002D6140"/>
    <w:rsid w:val="002D61A8"/>
    <w:rsid w:val="002D61DA"/>
    <w:rsid w:val="002D6205"/>
    <w:rsid w:val="002D62DC"/>
    <w:rsid w:val="002D62E4"/>
    <w:rsid w:val="002D638D"/>
    <w:rsid w:val="002D63A9"/>
    <w:rsid w:val="002D63B8"/>
    <w:rsid w:val="002D6416"/>
    <w:rsid w:val="002D646A"/>
    <w:rsid w:val="002D6476"/>
    <w:rsid w:val="002D64B1"/>
    <w:rsid w:val="002D65A8"/>
    <w:rsid w:val="002D666C"/>
    <w:rsid w:val="002D66F1"/>
    <w:rsid w:val="002D6726"/>
    <w:rsid w:val="002D673D"/>
    <w:rsid w:val="002D6782"/>
    <w:rsid w:val="002D6795"/>
    <w:rsid w:val="002D67CD"/>
    <w:rsid w:val="002D6833"/>
    <w:rsid w:val="002D68E4"/>
    <w:rsid w:val="002D6964"/>
    <w:rsid w:val="002D6975"/>
    <w:rsid w:val="002D69DF"/>
    <w:rsid w:val="002D6A97"/>
    <w:rsid w:val="002D6B18"/>
    <w:rsid w:val="002D6B3E"/>
    <w:rsid w:val="002D6B70"/>
    <w:rsid w:val="002D6B78"/>
    <w:rsid w:val="002D6C09"/>
    <w:rsid w:val="002D6CF9"/>
    <w:rsid w:val="002D6D3A"/>
    <w:rsid w:val="002D6D56"/>
    <w:rsid w:val="002D6D6E"/>
    <w:rsid w:val="002D6D8E"/>
    <w:rsid w:val="002D6E2A"/>
    <w:rsid w:val="002D6EEB"/>
    <w:rsid w:val="002D6F13"/>
    <w:rsid w:val="002D6F1B"/>
    <w:rsid w:val="002D6F23"/>
    <w:rsid w:val="002D6F86"/>
    <w:rsid w:val="002D6FEA"/>
    <w:rsid w:val="002D70EF"/>
    <w:rsid w:val="002D7158"/>
    <w:rsid w:val="002D7184"/>
    <w:rsid w:val="002D7188"/>
    <w:rsid w:val="002D71B0"/>
    <w:rsid w:val="002D71C3"/>
    <w:rsid w:val="002D721E"/>
    <w:rsid w:val="002D725C"/>
    <w:rsid w:val="002D72A8"/>
    <w:rsid w:val="002D72C4"/>
    <w:rsid w:val="002D72E9"/>
    <w:rsid w:val="002D72F4"/>
    <w:rsid w:val="002D7303"/>
    <w:rsid w:val="002D73F0"/>
    <w:rsid w:val="002D742B"/>
    <w:rsid w:val="002D744D"/>
    <w:rsid w:val="002D74AD"/>
    <w:rsid w:val="002D74D7"/>
    <w:rsid w:val="002D74DB"/>
    <w:rsid w:val="002D74FB"/>
    <w:rsid w:val="002D75CB"/>
    <w:rsid w:val="002D761B"/>
    <w:rsid w:val="002D76A5"/>
    <w:rsid w:val="002D76C9"/>
    <w:rsid w:val="002D76F1"/>
    <w:rsid w:val="002D77F4"/>
    <w:rsid w:val="002D7835"/>
    <w:rsid w:val="002D7850"/>
    <w:rsid w:val="002D78BD"/>
    <w:rsid w:val="002D78C1"/>
    <w:rsid w:val="002D78DE"/>
    <w:rsid w:val="002D78F7"/>
    <w:rsid w:val="002D7997"/>
    <w:rsid w:val="002D79DC"/>
    <w:rsid w:val="002D79E3"/>
    <w:rsid w:val="002D7A14"/>
    <w:rsid w:val="002D7A1F"/>
    <w:rsid w:val="002D7A57"/>
    <w:rsid w:val="002D7A79"/>
    <w:rsid w:val="002D7A89"/>
    <w:rsid w:val="002D7AF4"/>
    <w:rsid w:val="002D7B25"/>
    <w:rsid w:val="002D7BA9"/>
    <w:rsid w:val="002D7C20"/>
    <w:rsid w:val="002D7C2E"/>
    <w:rsid w:val="002D7C75"/>
    <w:rsid w:val="002D7CF4"/>
    <w:rsid w:val="002D7D47"/>
    <w:rsid w:val="002D7D5E"/>
    <w:rsid w:val="002D7D7B"/>
    <w:rsid w:val="002D7DD5"/>
    <w:rsid w:val="002D7E55"/>
    <w:rsid w:val="002D7E9F"/>
    <w:rsid w:val="002D7EA6"/>
    <w:rsid w:val="002D7F8A"/>
    <w:rsid w:val="002E0048"/>
    <w:rsid w:val="002E0168"/>
    <w:rsid w:val="002E0219"/>
    <w:rsid w:val="002E0262"/>
    <w:rsid w:val="002E028C"/>
    <w:rsid w:val="002E0387"/>
    <w:rsid w:val="002E039A"/>
    <w:rsid w:val="002E03B1"/>
    <w:rsid w:val="002E03CF"/>
    <w:rsid w:val="002E03F7"/>
    <w:rsid w:val="002E0458"/>
    <w:rsid w:val="002E0468"/>
    <w:rsid w:val="002E047A"/>
    <w:rsid w:val="002E0502"/>
    <w:rsid w:val="002E0511"/>
    <w:rsid w:val="002E06AC"/>
    <w:rsid w:val="002E06E2"/>
    <w:rsid w:val="002E06F2"/>
    <w:rsid w:val="002E0777"/>
    <w:rsid w:val="002E07F3"/>
    <w:rsid w:val="002E089F"/>
    <w:rsid w:val="002E08DB"/>
    <w:rsid w:val="002E093D"/>
    <w:rsid w:val="002E09DC"/>
    <w:rsid w:val="002E0A0B"/>
    <w:rsid w:val="002E0A2E"/>
    <w:rsid w:val="002E0A52"/>
    <w:rsid w:val="002E0AB3"/>
    <w:rsid w:val="002E0B58"/>
    <w:rsid w:val="002E0BA8"/>
    <w:rsid w:val="002E0BE2"/>
    <w:rsid w:val="002E0BEF"/>
    <w:rsid w:val="002E0BF7"/>
    <w:rsid w:val="002E0C1B"/>
    <w:rsid w:val="002E0CC9"/>
    <w:rsid w:val="002E0CF0"/>
    <w:rsid w:val="002E0DB3"/>
    <w:rsid w:val="002E0DD1"/>
    <w:rsid w:val="002E0DE4"/>
    <w:rsid w:val="002E0E64"/>
    <w:rsid w:val="002E0E85"/>
    <w:rsid w:val="002E0F38"/>
    <w:rsid w:val="002E0F53"/>
    <w:rsid w:val="002E0F80"/>
    <w:rsid w:val="002E1012"/>
    <w:rsid w:val="002E1052"/>
    <w:rsid w:val="002E113C"/>
    <w:rsid w:val="002E116F"/>
    <w:rsid w:val="002E117B"/>
    <w:rsid w:val="002E1195"/>
    <w:rsid w:val="002E11B9"/>
    <w:rsid w:val="002E1229"/>
    <w:rsid w:val="002E124A"/>
    <w:rsid w:val="002E1299"/>
    <w:rsid w:val="002E12B7"/>
    <w:rsid w:val="002E1313"/>
    <w:rsid w:val="002E13F5"/>
    <w:rsid w:val="002E1402"/>
    <w:rsid w:val="002E1424"/>
    <w:rsid w:val="002E153D"/>
    <w:rsid w:val="002E15E6"/>
    <w:rsid w:val="002E17B0"/>
    <w:rsid w:val="002E17D2"/>
    <w:rsid w:val="002E1811"/>
    <w:rsid w:val="002E197D"/>
    <w:rsid w:val="002E1A26"/>
    <w:rsid w:val="002E1B3F"/>
    <w:rsid w:val="002E1B6D"/>
    <w:rsid w:val="002E1BD8"/>
    <w:rsid w:val="002E1C7A"/>
    <w:rsid w:val="002E1C8B"/>
    <w:rsid w:val="002E1D30"/>
    <w:rsid w:val="002E1D81"/>
    <w:rsid w:val="002E1E20"/>
    <w:rsid w:val="002E1E51"/>
    <w:rsid w:val="002E1E54"/>
    <w:rsid w:val="002E1E71"/>
    <w:rsid w:val="002E1E7A"/>
    <w:rsid w:val="002E1ED8"/>
    <w:rsid w:val="002E1F02"/>
    <w:rsid w:val="002E1FEC"/>
    <w:rsid w:val="002E2006"/>
    <w:rsid w:val="002E2025"/>
    <w:rsid w:val="002E2040"/>
    <w:rsid w:val="002E2088"/>
    <w:rsid w:val="002E2098"/>
    <w:rsid w:val="002E20D2"/>
    <w:rsid w:val="002E20ED"/>
    <w:rsid w:val="002E2184"/>
    <w:rsid w:val="002E21EA"/>
    <w:rsid w:val="002E2211"/>
    <w:rsid w:val="002E2221"/>
    <w:rsid w:val="002E2241"/>
    <w:rsid w:val="002E2257"/>
    <w:rsid w:val="002E226E"/>
    <w:rsid w:val="002E227F"/>
    <w:rsid w:val="002E2295"/>
    <w:rsid w:val="002E2350"/>
    <w:rsid w:val="002E2483"/>
    <w:rsid w:val="002E24B1"/>
    <w:rsid w:val="002E24BC"/>
    <w:rsid w:val="002E24BD"/>
    <w:rsid w:val="002E24D4"/>
    <w:rsid w:val="002E24D8"/>
    <w:rsid w:val="002E24F6"/>
    <w:rsid w:val="002E24F8"/>
    <w:rsid w:val="002E2555"/>
    <w:rsid w:val="002E2630"/>
    <w:rsid w:val="002E266A"/>
    <w:rsid w:val="002E2679"/>
    <w:rsid w:val="002E26DC"/>
    <w:rsid w:val="002E2704"/>
    <w:rsid w:val="002E2714"/>
    <w:rsid w:val="002E273D"/>
    <w:rsid w:val="002E278A"/>
    <w:rsid w:val="002E29AB"/>
    <w:rsid w:val="002E29DF"/>
    <w:rsid w:val="002E29F3"/>
    <w:rsid w:val="002E2A92"/>
    <w:rsid w:val="002E2ACF"/>
    <w:rsid w:val="002E2B77"/>
    <w:rsid w:val="002E2B8C"/>
    <w:rsid w:val="002E2BBA"/>
    <w:rsid w:val="002E2C89"/>
    <w:rsid w:val="002E2CF8"/>
    <w:rsid w:val="002E2D4B"/>
    <w:rsid w:val="002E2E74"/>
    <w:rsid w:val="002E2EA0"/>
    <w:rsid w:val="002E2EAF"/>
    <w:rsid w:val="002E2F34"/>
    <w:rsid w:val="002E2F50"/>
    <w:rsid w:val="002E3000"/>
    <w:rsid w:val="002E3082"/>
    <w:rsid w:val="002E311C"/>
    <w:rsid w:val="002E3127"/>
    <w:rsid w:val="002E3158"/>
    <w:rsid w:val="002E317F"/>
    <w:rsid w:val="002E31A2"/>
    <w:rsid w:val="002E32A6"/>
    <w:rsid w:val="002E32E1"/>
    <w:rsid w:val="002E335D"/>
    <w:rsid w:val="002E336A"/>
    <w:rsid w:val="002E33D4"/>
    <w:rsid w:val="002E3493"/>
    <w:rsid w:val="002E349E"/>
    <w:rsid w:val="002E34B2"/>
    <w:rsid w:val="002E34DC"/>
    <w:rsid w:val="002E35F5"/>
    <w:rsid w:val="002E3618"/>
    <w:rsid w:val="002E3623"/>
    <w:rsid w:val="002E367E"/>
    <w:rsid w:val="002E36D3"/>
    <w:rsid w:val="002E3704"/>
    <w:rsid w:val="002E3722"/>
    <w:rsid w:val="002E373F"/>
    <w:rsid w:val="002E3795"/>
    <w:rsid w:val="002E3805"/>
    <w:rsid w:val="002E38A5"/>
    <w:rsid w:val="002E3929"/>
    <w:rsid w:val="002E3A1B"/>
    <w:rsid w:val="002E3A64"/>
    <w:rsid w:val="002E3A78"/>
    <w:rsid w:val="002E3B14"/>
    <w:rsid w:val="002E3C3D"/>
    <w:rsid w:val="002E3C54"/>
    <w:rsid w:val="002E3CAE"/>
    <w:rsid w:val="002E3D5C"/>
    <w:rsid w:val="002E3DEF"/>
    <w:rsid w:val="002E3E1C"/>
    <w:rsid w:val="002E3E76"/>
    <w:rsid w:val="002E3E8A"/>
    <w:rsid w:val="002E3EFB"/>
    <w:rsid w:val="002E3F0D"/>
    <w:rsid w:val="002E4007"/>
    <w:rsid w:val="002E402B"/>
    <w:rsid w:val="002E4030"/>
    <w:rsid w:val="002E40A0"/>
    <w:rsid w:val="002E4154"/>
    <w:rsid w:val="002E41EA"/>
    <w:rsid w:val="002E4355"/>
    <w:rsid w:val="002E438B"/>
    <w:rsid w:val="002E43FD"/>
    <w:rsid w:val="002E4412"/>
    <w:rsid w:val="002E44CD"/>
    <w:rsid w:val="002E4551"/>
    <w:rsid w:val="002E45F2"/>
    <w:rsid w:val="002E465E"/>
    <w:rsid w:val="002E4674"/>
    <w:rsid w:val="002E46D2"/>
    <w:rsid w:val="002E4725"/>
    <w:rsid w:val="002E4729"/>
    <w:rsid w:val="002E47C8"/>
    <w:rsid w:val="002E47F2"/>
    <w:rsid w:val="002E4814"/>
    <w:rsid w:val="002E4836"/>
    <w:rsid w:val="002E4854"/>
    <w:rsid w:val="002E4864"/>
    <w:rsid w:val="002E495D"/>
    <w:rsid w:val="002E4968"/>
    <w:rsid w:val="002E49F6"/>
    <w:rsid w:val="002E4A80"/>
    <w:rsid w:val="002E4AC7"/>
    <w:rsid w:val="002E4AD0"/>
    <w:rsid w:val="002E4B1C"/>
    <w:rsid w:val="002E4BDF"/>
    <w:rsid w:val="002E4C15"/>
    <w:rsid w:val="002E4C18"/>
    <w:rsid w:val="002E4C29"/>
    <w:rsid w:val="002E4C47"/>
    <w:rsid w:val="002E4C7F"/>
    <w:rsid w:val="002E4C82"/>
    <w:rsid w:val="002E4CC5"/>
    <w:rsid w:val="002E4D53"/>
    <w:rsid w:val="002E4DC8"/>
    <w:rsid w:val="002E4E27"/>
    <w:rsid w:val="002E4E38"/>
    <w:rsid w:val="002E4E46"/>
    <w:rsid w:val="002E4E63"/>
    <w:rsid w:val="002E4ECF"/>
    <w:rsid w:val="002E4F0F"/>
    <w:rsid w:val="002E4F4F"/>
    <w:rsid w:val="002E4F74"/>
    <w:rsid w:val="002E4FAB"/>
    <w:rsid w:val="002E4FF7"/>
    <w:rsid w:val="002E5086"/>
    <w:rsid w:val="002E50FB"/>
    <w:rsid w:val="002E51B4"/>
    <w:rsid w:val="002E5223"/>
    <w:rsid w:val="002E5240"/>
    <w:rsid w:val="002E526C"/>
    <w:rsid w:val="002E532D"/>
    <w:rsid w:val="002E53F8"/>
    <w:rsid w:val="002E543F"/>
    <w:rsid w:val="002E5481"/>
    <w:rsid w:val="002E5505"/>
    <w:rsid w:val="002E5569"/>
    <w:rsid w:val="002E5621"/>
    <w:rsid w:val="002E576D"/>
    <w:rsid w:val="002E578D"/>
    <w:rsid w:val="002E5A37"/>
    <w:rsid w:val="002E5A7D"/>
    <w:rsid w:val="002E5AAF"/>
    <w:rsid w:val="002E5B3A"/>
    <w:rsid w:val="002E5B3B"/>
    <w:rsid w:val="002E5B4B"/>
    <w:rsid w:val="002E5BAA"/>
    <w:rsid w:val="002E5BDC"/>
    <w:rsid w:val="002E5CB7"/>
    <w:rsid w:val="002E5CBE"/>
    <w:rsid w:val="002E5D16"/>
    <w:rsid w:val="002E5D2F"/>
    <w:rsid w:val="002E5D39"/>
    <w:rsid w:val="002E5D46"/>
    <w:rsid w:val="002E5DFB"/>
    <w:rsid w:val="002E5E53"/>
    <w:rsid w:val="002E5E5C"/>
    <w:rsid w:val="002E5E80"/>
    <w:rsid w:val="002E5F0F"/>
    <w:rsid w:val="002E5F42"/>
    <w:rsid w:val="002E5F52"/>
    <w:rsid w:val="002E5FCD"/>
    <w:rsid w:val="002E5FFC"/>
    <w:rsid w:val="002E6102"/>
    <w:rsid w:val="002E617E"/>
    <w:rsid w:val="002E6247"/>
    <w:rsid w:val="002E6251"/>
    <w:rsid w:val="002E6279"/>
    <w:rsid w:val="002E62D5"/>
    <w:rsid w:val="002E637F"/>
    <w:rsid w:val="002E63EB"/>
    <w:rsid w:val="002E6409"/>
    <w:rsid w:val="002E65CA"/>
    <w:rsid w:val="002E65E0"/>
    <w:rsid w:val="002E65FE"/>
    <w:rsid w:val="002E6649"/>
    <w:rsid w:val="002E6664"/>
    <w:rsid w:val="002E6732"/>
    <w:rsid w:val="002E67A5"/>
    <w:rsid w:val="002E67D2"/>
    <w:rsid w:val="002E6877"/>
    <w:rsid w:val="002E68A0"/>
    <w:rsid w:val="002E69D9"/>
    <w:rsid w:val="002E69E3"/>
    <w:rsid w:val="002E6A07"/>
    <w:rsid w:val="002E6A1C"/>
    <w:rsid w:val="002E6A26"/>
    <w:rsid w:val="002E6A55"/>
    <w:rsid w:val="002E6A6A"/>
    <w:rsid w:val="002E6A8E"/>
    <w:rsid w:val="002E6BEB"/>
    <w:rsid w:val="002E6C0A"/>
    <w:rsid w:val="002E6C4B"/>
    <w:rsid w:val="002E6C61"/>
    <w:rsid w:val="002E6CA3"/>
    <w:rsid w:val="002E6D17"/>
    <w:rsid w:val="002E6D5E"/>
    <w:rsid w:val="002E6E55"/>
    <w:rsid w:val="002E6E79"/>
    <w:rsid w:val="002E6EA6"/>
    <w:rsid w:val="002E6F1B"/>
    <w:rsid w:val="002E6F62"/>
    <w:rsid w:val="002E6F88"/>
    <w:rsid w:val="002E6FE2"/>
    <w:rsid w:val="002E6FF6"/>
    <w:rsid w:val="002E705F"/>
    <w:rsid w:val="002E70BF"/>
    <w:rsid w:val="002E70C8"/>
    <w:rsid w:val="002E70EF"/>
    <w:rsid w:val="002E711F"/>
    <w:rsid w:val="002E7166"/>
    <w:rsid w:val="002E7174"/>
    <w:rsid w:val="002E71A3"/>
    <w:rsid w:val="002E71CF"/>
    <w:rsid w:val="002E71DA"/>
    <w:rsid w:val="002E7201"/>
    <w:rsid w:val="002E7251"/>
    <w:rsid w:val="002E72EC"/>
    <w:rsid w:val="002E7365"/>
    <w:rsid w:val="002E73A5"/>
    <w:rsid w:val="002E73B9"/>
    <w:rsid w:val="002E73C2"/>
    <w:rsid w:val="002E73DF"/>
    <w:rsid w:val="002E749F"/>
    <w:rsid w:val="002E74CF"/>
    <w:rsid w:val="002E74D6"/>
    <w:rsid w:val="002E74F4"/>
    <w:rsid w:val="002E750D"/>
    <w:rsid w:val="002E751E"/>
    <w:rsid w:val="002E7602"/>
    <w:rsid w:val="002E7619"/>
    <w:rsid w:val="002E766E"/>
    <w:rsid w:val="002E76D1"/>
    <w:rsid w:val="002E76D3"/>
    <w:rsid w:val="002E779C"/>
    <w:rsid w:val="002E77AB"/>
    <w:rsid w:val="002E78D0"/>
    <w:rsid w:val="002E78D1"/>
    <w:rsid w:val="002E78F8"/>
    <w:rsid w:val="002E7944"/>
    <w:rsid w:val="002E7954"/>
    <w:rsid w:val="002E7974"/>
    <w:rsid w:val="002E7993"/>
    <w:rsid w:val="002E79D3"/>
    <w:rsid w:val="002E79DB"/>
    <w:rsid w:val="002E7A58"/>
    <w:rsid w:val="002E7B11"/>
    <w:rsid w:val="002E7B16"/>
    <w:rsid w:val="002E7B56"/>
    <w:rsid w:val="002E7B5A"/>
    <w:rsid w:val="002E7BA3"/>
    <w:rsid w:val="002E7CBE"/>
    <w:rsid w:val="002E7CF7"/>
    <w:rsid w:val="002E7D36"/>
    <w:rsid w:val="002E7DB0"/>
    <w:rsid w:val="002E7DFA"/>
    <w:rsid w:val="002E7E59"/>
    <w:rsid w:val="002E7EBE"/>
    <w:rsid w:val="002E7FA7"/>
    <w:rsid w:val="002F0082"/>
    <w:rsid w:val="002F00A2"/>
    <w:rsid w:val="002F00DA"/>
    <w:rsid w:val="002F00EA"/>
    <w:rsid w:val="002F0152"/>
    <w:rsid w:val="002F01AD"/>
    <w:rsid w:val="002F01FB"/>
    <w:rsid w:val="002F021D"/>
    <w:rsid w:val="002F0267"/>
    <w:rsid w:val="002F02B3"/>
    <w:rsid w:val="002F030B"/>
    <w:rsid w:val="002F0431"/>
    <w:rsid w:val="002F0543"/>
    <w:rsid w:val="002F05B1"/>
    <w:rsid w:val="002F05BD"/>
    <w:rsid w:val="002F0618"/>
    <w:rsid w:val="002F0678"/>
    <w:rsid w:val="002F06A9"/>
    <w:rsid w:val="002F07A9"/>
    <w:rsid w:val="002F08FC"/>
    <w:rsid w:val="002F08FE"/>
    <w:rsid w:val="002F09EF"/>
    <w:rsid w:val="002F09FB"/>
    <w:rsid w:val="002F0A4A"/>
    <w:rsid w:val="002F0ABF"/>
    <w:rsid w:val="002F0B18"/>
    <w:rsid w:val="002F0B3C"/>
    <w:rsid w:val="002F0B3D"/>
    <w:rsid w:val="002F0B46"/>
    <w:rsid w:val="002F0BA9"/>
    <w:rsid w:val="002F0C61"/>
    <w:rsid w:val="002F0C67"/>
    <w:rsid w:val="002F0CAA"/>
    <w:rsid w:val="002F0CC4"/>
    <w:rsid w:val="002F0CCE"/>
    <w:rsid w:val="002F0CF0"/>
    <w:rsid w:val="002F0D3C"/>
    <w:rsid w:val="002F0E43"/>
    <w:rsid w:val="002F0E4C"/>
    <w:rsid w:val="002F0F62"/>
    <w:rsid w:val="002F0F80"/>
    <w:rsid w:val="002F0FFE"/>
    <w:rsid w:val="002F1029"/>
    <w:rsid w:val="002F1046"/>
    <w:rsid w:val="002F1077"/>
    <w:rsid w:val="002F10EE"/>
    <w:rsid w:val="002F112A"/>
    <w:rsid w:val="002F1175"/>
    <w:rsid w:val="002F1213"/>
    <w:rsid w:val="002F1217"/>
    <w:rsid w:val="002F1263"/>
    <w:rsid w:val="002F12AB"/>
    <w:rsid w:val="002F12AC"/>
    <w:rsid w:val="002F1343"/>
    <w:rsid w:val="002F1362"/>
    <w:rsid w:val="002F139C"/>
    <w:rsid w:val="002F13C9"/>
    <w:rsid w:val="002F13D3"/>
    <w:rsid w:val="002F16FA"/>
    <w:rsid w:val="002F1701"/>
    <w:rsid w:val="002F172F"/>
    <w:rsid w:val="002F17C6"/>
    <w:rsid w:val="002F18AA"/>
    <w:rsid w:val="002F1973"/>
    <w:rsid w:val="002F1A68"/>
    <w:rsid w:val="002F1A76"/>
    <w:rsid w:val="002F1ADB"/>
    <w:rsid w:val="002F1B0E"/>
    <w:rsid w:val="002F1B47"/>
    <w:rsid w:val="002F1BCF"/>
    <w:rsid w:val="002F1C5E"/>
    <w:rsid w:val="002F1C90"/>
    <w:rsid w:val="002F1CB5"/>
    <w:rsid w:val="002F1D53"/>
    <w:rsid w:val="002F1DB5"/>
    <w:rsid w:val="002F1DC9"/>
    <w:rsid w:val="002F1E9E"/>
    <w:rsid w:val="002F1EBD"/>
    <w:rsid w:val="002F1FED"/>
    <w:rsid w:val="002F1FF9"/>
    <w:rsid w:val="002F20EF"/>
    <w:rsid w:val="002F2139"/>
    <w:rsid w:val="002F21DD"/>
    <w:rsid w:val="002F2241"/>
    <w:rsid w:val="002F2294"/>
    <w:rsid w:val="002F22AD"/>
    <w:rsid w:val="002F22AE"/>
    <w:rsid w:val="002F2361"/>
    <w:rsid w:val="002F2400"/>
    <w:rsid w:val="002F24CC"/>
    <w:rsid w:val="002F24E6"/>
    <w:rsid w:val="002F2559"/>
    <w:rsid w:val="002F2586"/>
    <w:rsid w:val="002F26A0"/>
    <w:rsid w:val="002F26CD"/>
    <w:rsid w:val="002F26FD"/>
    <w:rsid w:val="002F2715"/>
    <w:rsid w:val="002F275B"/>
    <w:rsid w:val="002F279D"/>
    <w:rsid w:val="002F27E2"/>
    <w:rsid w:val="002F2854"/>
    <w:rsid w:val="002F2855"/>
    <w:rsid w:val="002F298E"/>
    <w:rsid w:val="002F29A3"/>
    <w:rsid w:val="002F2A79"/>
    <w:rsid w:val="002F2AA0"/>
    <w:rsid w:val="002F2AFC"/>
    <w:rsid w:val="002F2BA3"/>
    <w:rsid w:val="002F2BDC"/>
    <w:rsid w:val="002F2BE6"/>
    <w:rsid w:val="002F2C19"/>
    <w:rsid w:val="002F2C89"/>
    <w:rsid w:val="002F2CC3"/>
    <w:rsid w:val="002F2E18"/>
    <w:rsid w:val="002F2E8E"/>
    <w:rsid w:val="002F2F06"/>
    <w:rsid w:val="002F2F26"/>
    <w:rsid w:val="002F2F45"/>
    <w:rsid w:val="002F2FFF"/>
    <w:rsid w:val="002F3014"/>
    <w:rsid w:val="002F3047"/>
    <w:rsid w:val="002F308B"/>
    <w:rsid w:val="002F3091"/>
    <w:rsid w:val="002F309C"/>
    <w:rsid w:val="002F30B8"/>
    <w:rsid w:val="002F3102"/>
    <w:rsid w:val="002F310B"/>
    <w:rsid w:val="002F312A"/>
    <w:rsid w:val="002F3142"/>
    <w:rsid w:val="002F3173"/>
    <w:rsid w:val="002F327B"/>
    <w:rsid w:val="002F3296"/>
    <w:rsid w:val="002F32FA"/>
    <w:rsid w:val="002F3320"/>
    <w:rsid w:val="002F347A"/>
    <w:rsid w:val="002F3545"/>
    <w:rsid w:val="002F356A"/>
    <w:rsid w:val="002F359B"/>
    <w:rsid w:val="002F371B"/>
    <w:rsid w:val="002F376D"/>
    <w:rsid w:val="002F3897"/>
    <w:rsid w:val="002F38AF"/>
    <w:rsid w:val="002F38D4"/>
    <w:rsid w:val="002F38FB"/>
    <w:rsid w:val="002F3996"/>
    <w:rsid w:val="002F39FA"/>
    <w:rsid w:val="002F3A11"/>
    <w:rsid w:val="002F3A97"/>
    <w:rsid w:val="002F3A9F"/>
    <w:rsid w:val="002F3ACE"/>
    <w:rsid w:val="002F3AEE"/>
    <w:rsid w:val="002F3B61"/>
    <w:rsid w:val="002F3C1B"/>
    <w:rsid w:val="002F3C39"/>
    <w:rsid w:val="002F3C3E"/>
    <w:rsid w:val="002F3C98"/>
    <w:rsid w:val="002F3CB7"/>
    <w:rsid w:val="002F3CD8"/>
    <w:rsid w:val="002F3D14"/>
    <w:rsid w:val="002F3D34"/>
    <w:rsid w:val="002F3D3C"/>
    <w:rsid w:val="002F3DFA"/>
    <w:rsid w:val="002F3E57"/>
    <w:rsid w:val="002F3EB4"/>
    <w:rsid w:val="002F3FAA"/>
    <w:rsid w:val="002F3FD0"/>
    <w:rsid w:val="002F4017"/>
    <w:rsid w:val="002F4067"/>
    <w:rsid w:val="002F40E8"/>
    <w:rsid w:val="002F4102"/>
    <w:rsid w:val="002F4136"/>
    <w:rsid w:val="002F41B5"/>
    <w:rsid w:val="002F42C2"/>
    <w:rsid w:val="002F42CB"/>
    <w:rsid w:val="002F432B"/>
    <w:rsid w:val="002F4476"/>
    <w:rsid w:val="002F4483"/>
    <w:rsid w:val="002F4496"/>
    <w:rsid w:val="002F44C5"/>
    <w:rsid w:val="002F4518"/>
    <w:rsid w:val="002F456C"/>
    <w:rsid w:val="002F45EC"/>
    <w:rsid w:val="002F4678"/>
    <w:rsid w:val="002F46A0"/>
    <w:rsid w:val="002F46C3"/>
    <w:rsid w:val="002F476F"/>
    <w:rsid w:val="002F4780"/>
    <w:rsid w:val="002F47DA"/>
    <w:rsid w:val="002F483E"/>
    <w:rsid w:val="002F4864"/>
    <w:rsid w:val="002F486D"/>
    <w:rsid w:val="002F4873"/>
    <w:rsid w:val="002F4878"/>
    <w:rsid w:val="002F48AC"/>
    <w:rsid w:val="002F48C9"/>
    <w:rsid w:val="002F492A"/>
    <w:rsid w:val="002F4952"/>
    <w:rsid w:val="002F498A"/>
    <w:rsid w:val="002F49A1"/>
    <w:rsid w:val="002F49B1"/>
    <w:rsid w:val="002F49FF"/>
    <w:rsid w:val="002F4A1A"/>
    <w:rsid w:val="002F4BAF"/>
    <w:rsid w:val="002F4C11"/>
    <w:rsid w:val="002F4C16"/>
    <w:rsid w:val="002F4C3E"/>
    <w:rsid w:val="002F4C43"/>
    <w:rsid w:val="002F4C97"/>
    <w:rsid w:val="002F4CB9"/>
    <w:rsid w:val="002F4D08"/>
    <w:rsid w:val="002F4D8B"/>
    <w:rsid w:val="002F4DB3"/>
    <w:rsid w:val="002F4DC6"/>
    <w:rsid w:val="002F4DEC"/>
    <w:rsid w:val="002F4E13"/>
    <w:rsid w:val="002F4E2C"/>
    <w:rsid w:val="002F4E3D"/>
    <w:rsid w:val="002F4E47"/>
    <w:rsid w:val="002F4EA9"/>
    <w:rsid w:val="002F4F00"/>
    <w:rsid w:val="002F4F61"/>
    <w:rsid w:val="002F4F7A"/>
    <w:rsid w:val="002F5001"/>
    <w:rsid w:val="002F50E8"/>
    <w:rsid w:val="002F5109"/>
    <w:rsid w:val="002F51FD"/>
    <w:rsid w:val="002F5207"/>
    <w:rsid w:val="002F5268"/>
    <w:rsid w:val="002F5285"/>
    <w:rsid w:val="002F52BF"/>
    <w:rsid w:val="002F52E9"/>
    <w:rsid w:val="002F537F"/>
    <w:rsid w:val="002F5392"/>
    <w:rsid w:val="002F5397"/>
    <w:rsid w:val="002F53A5"/>
    <w:rsid w:val="002F53B2"/>
    <w:rsid w:val="002F53F6"/>
    <w:rsid w:val="002F53F7"/>
    <w:rsid w:val="002F5491"/>
    <w:rsid w:val="002F555D"/>
    <w:rsid w:val="002F5578"/>
    <w:rsid w:val="002F55AD"/>
    <w:rsid w:val="002F563C"/>
    <w:rsid w:val="002F5648"/>
    <w:rsid w:val="002F5728"/>
    <w:rsid w:val="002F574E"/>
    <w:rsid w:val="002F582D"/>
    <w:rsid w:val="002F5906"/>
    <w:rsid w:val="002F5948"/>
    <w:rsid w:val="002F597D"/>
    <w:rsid w:val="002F59B2"/>
    <w:rsid w:val="002F5A0C"/>
    <w:rsid w:val="002F5A46"/>
    <w:rsid w:val="002F5A77"/>
    <w:rsid w:val="002F5BC3"/>
    <w:rsid w:val="002F5C27"/>
    <w:rsid w:val="002F5C6E"/>
    <w:rsid w:val="002F5CA8"/>
    <w:rsid w:val="002F5D48"/>
    <w:rsid w:val="002F5ECB"/>
    <w:rsid w:val="002F5F51"/>
    <w:rsid w:val="002F5F73"/>
    <w:rsid w:val="002F5FDC"/>
    <w:rsid w:val="002F5FFD"/>
    <w:rsid w:val="002F602D"/>
    <w:rsid w:val="002F6043"/>
    <w:rsid w:val="002F6082"/>
    <w:rsid w:val="002F60A8"/>
    <w:rsid w:val="002F6145"/>
    <w:rsid w:val="002F61D1"/>
    <w:rsid w:val="002F61FA"/>
    <w:rsid w:val="002F6245"/>
    <w:rsid w:val="002F625A"/>
    <w:rsid w:val="002F62D0"/>
    <w:rsid w:val="002F631B"/>
    <w:rsid w:val="002F6371"/>
    <w:rsid w:val="002F6380"/>
    <w:rsid w:val="002F63CF"/>
    <w:rsid w:val="002F649E"/>
    <w:rsid w:val="002F64EE"/>
    <w:rsid w:val="002F6513"/>
    <w:rsid w:val="002F659D"/>
    <w:rsid w:val="002F662A"/>
    <w:rsid w:val="002F663A"/>
    <w:rsid w:val="002F66A7"/>
    <w:rsid w:val="002F6774"/>
    <w:rsid w:val="002F67C5"/>
    <w:rsid w:val="002F67EF"/>
    <w:rsid w:val="002F6813"/>
    <w:rsid w:val="002F688D"/>
    <w:rsid w:val="002F68A1"/>
    <w:rsid w:val="002F68F2"/>
    <w:rsid w:val="002F6911"/>
    <w:rsid w:val="002F699E"/>
    <w:rsid w:val="002F6A8E"/>
    <w:rsid w:val="002F6B1D"/>
    <w:rsid w:val="002F6B70"/>
    <w:rsid w:val="002F6BB2"/>
    <w:rsid w:val="002F6BD1"/>
    <w:rsid w:val="002F6C1D"/>
    <w:rsid w:val="002F6C8F"/>
    <w:rsid w:val="002F6C92"/>
    <w:rsid w:val="002F6C99"/>
    <w:rsid w:val="002F6CD5"/>
    <w:rsid w:val="002F6CF7"/>
    <w:rsid w:val="002F6D1A"/>
    <w:rsid w:val="002F6E1F"/>
    <w:rsid w:val="002F6E85"/>
    <w:rsid w:val="002F6EA0"/>
    <w:rsid w:val="002F6F05"/>
    <w:rsid w:val="002F6F56"/>
    <w:rsid w:val="002F6FEA"/>
    <w:rsid w:val="002F704E"/>
    <w:rsid w:val="002F7072"/>
    <w:rsid w:val="002F7077"/>
    <w:rsid w:val="002F70A8"/>
    <w:rsid w:val="002F71D4"/>
    <w:rsid w:val="002F71FA"/>
    <w:rsid w:val="002F724B"/>
    <w:rsid w:val="002F7255"/>
    <w:rsid w:val="002F727A"/>
    <w:rsid w:val="002F7321"/>
    <w:rsid w:val="002F7365"/>
    <w:rsid w:val="002F736F"/>
    <w:rsid w:val="002F73D1"/>
    <w:rsid w:val="002F73E5"/>
    <w:rsid w:val="002F73EE"/>
    <w:rsid w:val="002F750F"/>
    <w:rsid w:val="002F75B9"/>
    <w:rsid w:val="002F75E8"/>
    <w:rsid w:val="002F75F2"/>
    <w:rsid w:val="002F75FC"/>
    <w:rsid w:val="002F761E"/>
    <w:rsid w:val="002F769C"/>
    <w:rsid w:val="002F770E"/>
    <w:rsid w:val="002F774D"/>
    <w:rsid w:val="002F779E"/>
    <w:rsid w:val="002F77E7"/>
    <w:rsid w:val="002F7805"/>
    <w:rsid w:val="002F7939"/>
    <w:rsid w:val="002F794D"/>
    <w:rsid w:val="002F7994"/>
    <w:rsid w:val="002F79E2"/>
    <w:rsid w:val="002F79F8"/>
    <w:rsid w:val="002F7A1B"/>
    <w:rsid w:val="002F7A28"/>
    <w:rsid w:val="002F7AA9"/>
    <w:rsid w:val="002F7B13"/>
    <w:rsid w:val="002F7BC9"/>
    <w:rsid w:val="002F7C15"/>
    <w:rsid w:val="002F7C2B"/>
    <w:rsid w:val="002F7C5B"/>
    <w:rsid w:val="002F7D35"/>
    <w:rsid w:val="002F7D3F"/>
    <w:rsid w:val="002F7DC7"/>
    <w:rsid w:val="002F7DF3"/>
    <w:rsid w:val="002F7E5A"/>
    <w:rsid w:val="002F7E9B"/>
    <w:rsid w:val="002F7EFF"/>
    <w:rsid w:val="0030008C"/>
    <w:rsid w:val="00300094"/>
    <w:rsid w:val="003000DE"/>
    <w:rsid w:val="0030018A"/>
    <w:rsid w:val="0030024B"/>
    <w:rsid w:val="00300274"/>
    <w:rsid w:val="00300312"/>
    <w:rsid w:val="003003BF"/>
    <w:rsid w:val="003003DD"/>
    <w:rsid w:val="003003EA"/>
    <w:rsid w:val="0030042B"/>
    <w:rsid w:val="0030045F"/>
    <w:rsid w:val="0030057E"/>
    <w:rsid w:val="0030059A"/>
    <w:rsid w:val="00300661"/>
    <w:rsid w:val="003006F6"/>
    <w:rsid w:val="00300704"/>
    <w:rsid w:val="003007AE"/>
    <w:rsid w:val="0030090C"/>
    <w:rsid w:val="00300935"/>
    <w:rsid w:val="0030093E"/>
    <w:rsid w:val="00300942"/>
    <w:rsid w:val="00300983"/>
    <w:rsid w:val="003009CD"/>
    <w:rsid w:val="00300AC9"/>
    <w:rsid w:val="00300B1C"/>
    <w:rsid w:val="00300B5C"/>
    <w:rsid w:val="00300B64"/>
    <w:rsid w:val="00300B9A"/>
    <w:rsid w:val="00300C47"/>
    <w:rsid w:val="00300CC5"/>
    <w:rsid w:val="00300D2D"/>
    <w:rsid w:val="00300DAC"/>
    <w:rsid w:val="00300DAE"/>
    <w:rsid w:val="00300DB5"/>
    <w:rsid w:val="00300E21"/>
    <w:rsid w:val="00300EA9"/>
    <w:rsid w:val="00300EB6"/>
    <w:rsid w:val="00300F61"/>
    <w:rsid w:val="00300FA2"/>
    <w:rsid w:val="00300FBF"/>
    <w:rsid w:val="00301085"/>
    <w:rsid w:val="003010AD"/>
    <w:rsid w:val="00301132"/>
    <w:rsid w:val="00301146"/>
    <w:rsid w:val="003011D1"/>
    <w:rsid w:val="00301214"/>
    <w:rsid w:val="00301215"/>
    <w:rsid w:val="003012A0"/>
    <w:rsid w:val="003012EE"/>
    <w:rsid w:val="003012EF"/>
    <w:rsid w:val="0030141D"/>
    <w:rsid w:val="003014A5"/>
    <w:rsid w:val="003014FD"/>
    <w:rsid w:val="0030151C"/>
    <w:rsid w:val="00301558"/>
    <w:rsid w:val="00301577"/>
    <w:rsid w:val="003015AF"/>
    <w:rsid w:val="003015B7"/>
    <w:rsid w:val="003015EE"/>
    <w:rsid w:val="00301665"/>
    <w:rsid w:val="0030174A"/>
    <w:rsid w:val="00301796"/>
    <w:rsid w:val="003017A2"/>
    <w:rsid w:val="003017C1"/>
    <w:rsid w:val="003017D8"/>
    <w:rsid w:val="003017FE"/>
    <w:rsid w:val="00301828"/>
    <w:rsid w:val="00301862"/>
    <w:rsid w:val="003018D7"/>
    <w:rsid w:val="003018FD"/>
    <w:rsid w:val="00301945"/>
    <w:rsid w:val="00301959"/>
    <w:rsid w:val="00301A11"/>
    <w:rsid w:val="00301A2A"/>
    <w:rsid w:val="00301AB6"/>
    <w:rsid w:val="00301AC1"/>
    <w:rsid w:val="00301B1E"/>
    <w:rsid w:val="00301B46"/>
    <w:rsid w:val="00301B83"/>
    <w:rsid w:val="00301BDE"/>
    <w:rsid w:val="00301C89"/>
    <w:rsid w:val="00301CEE"/>
    <w:rsid w:val="00301D28"/>
    <w:rsid w:val="00301D2F"/>
    <w:rsid w:val="00301EDC"/>
    <w:rsid w:val="00301F4B"/>
    <w:rsid w:val="00301F7B"/>
    <w:rsid w:val="00301F8B"/>
    <w:rsid w:val="00301FC4"/>
    <w:rsid w:val="00301FD3"/>
    <w:rsid w:val="00302021"/>
    <w:rsid w:val="00302112"/>
    <w:rsid w:val="00302125"/>
    <w:rsid w:val="00302200"/>
    <w:rsid w:val="00302297"/>
    <w:rsid w:val="003022C6"/>
    <w:rsid w:val="00302342"/>
    <w:rsid w:val="003023CB"/>
    <w:rsid w:val="00302469"/>
    <w:rsid w:val="0030248D"/>
    <w:rsid w:val="0030249D"/>
    <w:rsid w:val="003024D1"/>
    <w:rsid w:val="0030255F"/>
    <w:rsid w:val="003025AB"/>
    <w:rsid w:val="003025DB"/>
    <w:rsid w:val="003025EA"/>
    <w:rsid w:val="003025F4"/>
    <w:rsid w:val="0030260E"/>
    <w:rsid w:val="00302616"/>
    <w:rsid w:val="00302664"/>
    <w:rsid w:val="00302819"/>
    <w:rsid w:val="003028F9"/>
    <w:rsid w:val="00302934"/>
    <w:rsid w:val="00302997"/>
    <w:rsid w:val="003029A6"/>
    <w:rsid w:val="00302A04"/>
    <w:rsid w:val="00302A48"/>
    <w:rsid w:val="00302AAB"/>
    <w:rsid w:val="00302AC7"/>
    <w:rsid w:val="00302ADA"/>
    <w:rsid w:val="00302AF6"/>
    <w:rsid w:val="00302B40"/>
    <w:rsid w:val="00302BAB"/>
    <w:rsid w:val="00302BAF"/>
    <w:rsid w:val="00302BCE"/>
    <w:rsid w:val="00302C0E"/>
    <w:rsid w:val="00302C24"/>
    <w:rsid w:val="00302C45"/>
    <w:rsid w:val="00302D1D"/>
    <w:rsid w:val="00302D5A"/>
    <w:rsid w:val="00302DA1"/>
    <w:rsid w:val="00302DD7"/>
    <w:rsid w:val="00302E94"/>
    <w:rsid w:val="00302F24"/>
    <w:rsid w:val="00302FC4"/>
    <w:rsid w:val="00302FC9"/>
    <w:rsid w:val="00302FD2"/>
    <w:rsid w:val="0030300A"/>
    <w:rsid w:val="003030A5"/>
    <w:rsid w:val="00303197"/>
    <w:rsid w:val="00303220"/>
    <w:rsid w:val="0030322F"/>
    <w:rsid w:val="003032FD"/>
    <w:rsid w:val="0030339C"/>
    <w:rsid w:val="00303414"/>
    <w:rsid w:val="00303478"/>
    <w:rsid w:val="00303488"/>
    <w:rsid w:val="0030351A"/>
    <w:rsid w:val="00303522"/>
    <w:rsid w:val="003035B5"/>
    <w:rsid w:val="00303735"/>
    <w:rsid w:val="00303811"/>
    <w:rsid w:val="00303828"/>
    <w:rsid w:val="003038AA"/>
    <w:rsid w:val="003038DE"/>
    <w:rsid w:val="00303950"/>
    <w:rsid w:val="0030396D"/>
    <w:rsid w:val="00303983"/>
    <w:rsid w:val="003039E8"/>
    <w:rsid w:val="00303A6B"/>
    <w:rsid w:val="00303B59"/>
    <w:rsid w:val="00303B79"/>
    <w:rsid w:val="00303BB5"/>
    <w:rsid w:val="00303BED"/>
    <w:rsid w:val="00303BF4"/>
    <w:rsid w:val="00303C20"/>
    <w:rsid w:val="00303C24"/>
    <w:rsid w:val="00303C2B"/>
    <w:rsid w:val="00303C96"/>
    <w:rsid w:val="00303CBA"/>
    <w:rsid w:val="00303CFA"/>
    <w:rsid w:val="00303D1E"/>
    <w:rsid w:val="00303D35"/>
    <w:rsid w:val="00303E7F"/>
    <w:rsid w:val="00303EB9"/>
    <w:rsid w:val="00303F2B"/>
    <w:rsid w:val="00303F68"/>
    <w:rsid w:val="00303FF4"/>
    <w:rsid w:val="00304058"/>
    <w:rsid w:val="0030405F"/>
    <w:rsid w:val="003040AC"/>
    <w:rsid w:val="003040B4"/>
    <w:rsid w:val="003040D7"/>
    <w:rsid w:val="00304108"/>
    <w:rsid w:val="0030414F"/>
    <w:rsid w:val="0030424B"/>
    <w:rsid w:val="00304289"/>
    <w:rsid w:val="003042FE"/>
    <w:rsid w:val="00304366"/>
    <w:rsid w:val="00304375"/>
    <w:rsid w:val="003043B1"/>
    <w:rsid w:val="00304422"/>
    <w:rsid w:val="00304466"/>
    <w:rsid w:val="003044F0"/>
    <w:rsid w:val="00304650"/>
    <w:rsid w:val="00304684"/>
    <w:rsid w:val="003046B9"/>
    <w:rsid w:val="0030475B"/>
    <w:rsid w:val="0030475F"/>
    <w:rsid w:val="00304779"/>
    <w:rsid w:val="00304890"/>
    <w:rsid w:val="00304893"/>
    <w:rsid w:val="003048D9"/>
    <w:rsid w:val="0030490F"/>
    <w:rsid w:val="003049AC"/>
    <w:rsid w:val="003049F8"/>
    <w:rsid w:val="00304A84"/>
    <w:rsid w:val="00304ACE"/>
    <w:rsid w:val="00304B2D"/>
    <w:rsid w:val="00304B8C"/>
    <w:rsid w:val="00304BD8"/>
    <w:rsid w:val="00304C90"/>
    <w:rsid w:val="00304CD8"/>
    <w:rsid w:val="00304CD9"/>
    <w:rsid w:val="00304CF3"/>
    <w:rsid w:val="00304DA3"/>
    <w:rsid w:val="00304DB7"/>
    <w:rsid w:val="00304DE5"/>
    <w:rsid w:val="00304E32"/>
    <w:rsid w:val="00304E86"/>
    <w:rsid w:val="00304E92"/>
    <w:rsid w:val="00304E98"/>
    <w:rsid w:val="00304FC6"/>
    <w:rsid w:val="0030500D"/>
    <w:rsid w:val="00305081"/>
    <w:rsid w:val="003050C6"/>
    <w:rsid w:val="0030515C"/>
    <w:rsid w:val="00305183"/>
    <w:rsid w:val="0030528B"/>
    <w:rsid w:val="003052AC"/>
    <w:rsid w:val="003052D9"/>
    <w:rsid w:val="00305358"/>
    <w:rsid w:val="003053C9"/>
    <w:rsid w:val="003053CF"/>
    <w:rsid w:val="003053E0"/>
    <w:rsid w:val="00305476"/>
    <w:rsid w:val="003054B2"/>
    <w:rsid w:val="003054DF"/>
    <w:rsid w:val="00305576"/>
    <w:rsid w:val="003056C5"/>
    <w:rsid w:val="003056DF"/>
    <w:rsid w:val="003056E7"/>
    <w:rsid w:val="0030571A"/>
    <w:rsid w:val="003057A4"/>
    <w:rsid w:val="003057B5"/>
    <w:rsid w:val="003057DE"/>
    <w:rsid w:val="00305828"/>
    <w:rsid w:val="003058C7"/>
    <w:rsid w:val="003058FE"/>
    <w:rsid w:val="0030591B"/>
    <w:rsid w:val="0030592A"/>
    <w:rsid w:val="00305946"/>
    <w:rsid w:val="003059E2"/>
    <w:rsid w:val="00305AEB"/>
    <w:rsid w:val="00305AF2"/>
    <w:rsid w:val="00305B14"/>
    <w:rsid w:val="00305B1A"/>
    <w:rsid w:val="00305B26"/>
    <w:rsid w:val="00305B33"/>
    <w:rsid w:val="00305B4F"/>
    <w:rsid w:val="00305B68"/>
    <w:rsid w:val="00305B82"/>
    <w:rsid w:val="00305BBB"/>
    <w:rsid w:val="00305C24"/>
    <w:rsid w:val="00305CC0"/>
    <w:rsid w:val="00305D34"/>
    <w:rsid w:val="00305D4A"/>
    <w:rsid w:val="00305D5E"/>
    <w:rsid w:val="00305DC3"/>
    <w:rsid w:val="00305E4D"/>
    <w:rsid w:val="00305E60"/>
    <w:rsid w:val="00305E73"/>
    <w:rsid w:val="00305F4A"/>
    <w:rsid w:val="00305F77"/>
    <w:rsid w:val="00306041"/>
    <w:rsid w:val="00306086"/>
    <w:rsid w:val="003060E3"/>
    <w:rsid w:val="003060F6"/>
    <w:rsid w:val="003060F8"/>
    <w:rsid w:val="00306107"/>
    <w:rsid w:val="00306142"/>
    <w:rsid w:val="00306151"/>
    <w:rsid w:val="00306181"/>
    <w:rsid w:val="00306187"/>
    <w:rsid w:val="003061D4"/>
    <w:rsid w:val="003061EE"/>
    <w:rsid w:val="00306288"/>
    <w:rsid w:val="003062D3"/>
    <w:rsid w:val="003063EF"/>
    <w:rsid w:val="00306408"/>
    <w:rsid w:val="00306497"/>
    <w:rsid w:val="00306499"/>
    <w:rsid w:val="00306515"/>
    <w:rsid w:val="00306517"/>
    <w:rsid w:val="00306628"/>
    <w:rsid w:val="003066DF"/>
    <w:rsid w:val="0030671A"/>
    <w:rsid w:val="0030671E"/>
    <w:rsid w:val="0030674A"/>
    <w:rsid w:val="00306778"/>
    <w:rsid w:val="00306794"/>
    <w:rsid w:val="003067E3"/>
    <w:rsid w:val="003069E6"/>
    <w:rsid w:val="00306A0C"/>
    <w:rsid w:val="00306A43"/>
    <w:rsid w:val="00306A99"/>
    <w:rsid w:val="00306ABD"/>
    <w:rsid w:val="00306AE6"/>
    <w:rsid w:val="00306B69"/>
    <w:rsid w:val="00306BE1"/>
    <w:rsid w:val="00306C52"/>
    <w:rsid w:val="00306C83"/>
    <w:rsid w:val="00306D58"/>
    <w:rsid w:val="00306D5C"/>
    <w:rsid w:val="00306D73"/>
    <w:rsid w:val="00306E1C"/>
    <w:rsid w:val="00306E2C"/>
    <w:rsid w:val="00306EBA"/>
    <w:rsid w:val="00306F1C"/>
    <w:rsid w:val="00306F92"/>
    <w:rsid w:val="00306FF2"/>
    <w:rsid w:val="00306FF9"/>
    <w:rsid w:val="00306FFE"/>
    <w:rsid w:val="003070CF"/>
    <w:rsid w:val="003070ED"/>
    <w:rsid w:val="003071E6"/>
    <w:rsid w:val="003071EF"/>
    <w:rsid w:val="00307213"/>
    <w:rsid w:val="00307261"/>
    <w:rsid w:val="003072A5"/>
    <w:rsid w:val="00307364"/>
    <w:rsid w:val="00307419"/>
    <w:rsid w:val="00307449"/>
    <w:rsid w:val="00307470"/>
    <w:rsid w:val="003074DC"/>
    <w:rsid w:val="003075AA"/>
    <w:rsid w:val="003076BB"/>
    <w:rsid w:val="00307739"/>
    <w:rsid w:val="0030776D"/>
    <w:rsid w:val="0030777C"/>
    <w:rsid w:val="003077D2"/>
    <w:rsid w:val="0030782D"/>
    <w:rsid w:val="00307870"/>
    <w:rsid w:val="0030789A"/>
    <w:rsid w:val="003078F2"/>
    <w:rsid w:val="003078F8"/>
    <w:rsid w:val="00307913"/>
    <w:rsid w:val="00307972"/>
    <w:rsid w:val="003079A6"/>
    <w:rsid w:val="003079B0"/>
    <w:rsid w:val="00307A7D"/>
    <w:rsid w:val="00307AB1"/>
    <w:rsid w:val="00307B6C"/>
    <w:rsid w:val="00307BC7"/>
    <w:rsid w:val="00307C2E"/>
    <w:rsid w:val="00307C2F"/>
    <w:rsid w:val="00307C43"/>
    <w:rsid w:val="00307C4A"/>
    <w:rsid w:val="00307CA7"/>
    <w:rsid w:val="00307CEB"/>
    <w:rsid w:val="00307D1B"/>
    <w:rsid w:val="00307DFA"/>
    <w:rsid w:val="00307E02"/>
    <w:rsid w:val="00307E97"/>
    <w:rsid w:val="00307EA4"/>
    <w:rsid w:val="00307EB1"/>
    <w:rsid w:val="00307EC6"/>
    <w:rsid w:val="00307F10"/>
    <w:rsid w:val="00307F56"/>
    <w:rsid w:val="00307FEA"/>
    <w:rsid w:val="0030EDB9"/>
    <w:rsid w:val="00310006"/>
    <w:rsid w:val="00310016"/>
    <w:rsid w:val="0031002B"/>
    <w:rsid w:val="0031009A"/>
    <w:rsid w:val="00310181"/>
    <w:rsid w:val="003101D2"/>
    <w:rsid w:val="00310240"/>
    <w:rsid w:val="0031025C"/>
    <w:rsid w:val="003102ED"/>
    <w:rsid w:val="0031031F"/>
    <w:rsid w:val="00310414"/>
    <w:rsid w:val="0031041A"/>
    <w:rsid w:val="00310492"/>
    <w:rsid w:val="00310493"/>
    <w:rsid w:val="003104C3"/>
    <w:rsid w:val="003104F1"/>
    <w:rsid w:val="003105B7"/>
    <w:rsid w:val="00310661"/>
    <w:rsid w:val="0031067E"/>
    <w:rsid w:val="003106DB"/>
    <w:rsid w:val="00310790"/>
    <w:rsid w:val="00310812"/>
    <w:rsid w:val="00310819"/>
    <w:rsid w:val="00310833"/>
    <w:rsid w:val="0031086C"/>
    <w:rsid w:val="00310953"/>
    <w:rsid w:val="00310964"/>
    <w:rsid w:val="00310977"/>
    <w:rsid w:val="0031098E"/>
    <w:rsid w:val="0031099C"/>
    <w:rsid w:val="003109A2"/>
    <w:rsid w:val="003109AC"/>
    <w:rsid w:val="003109CB"/>
    <w:rsid w:val="00310A39"/>
    <w:rsid w:val="00310B0D"/>
    <w:rsid w:val="00310B19"/>
    <w:rsid w:val="00310B1B"/>
    <w:rsid w:val="00310B5C"/>
    <w:rsid w:val="00310B76"/>
    <w:rsid w:val="00310B93"/>
    <w:rsid w:val="00310C4C"/>
    <w:rsid w:val="00310C6F"/>
    <w:rsid w:val="00310C86"/>
    <w:rsid w:val="00310C9D"/>
    <w:rsid w:val="00310CA8"/>
    <w:rsid w:val="00310D0E"/>
    <w:rsid w:val="00310D29"/>
    <w:rsid w:val="00310E64"/>
    <w:rsid w:val="00310E68"/>
    <w:rsid w:val="00310E8F"/>
    <w:rsid w:val="00310E9B"/>
    <w:rsid w:val="00310EA6"/>
    <w:rsid w:val="00310EC0"/>
    <w:rsid w:val="00310EE8"/>
    <w:rsid w:val="00310F28"/>
    <w:rsid w:val="00310FCF"/>
    <w:rsid w:val="00310FD3"/>
    <w:rsid w:val="003110F6"/>
    <w:rsid w:val="00311115"/>
    <w:rsid w:val="00311137"/>
    <w:rsid w:val="00311174"/>
    <w:rsid w:val="00311191"/>
    <w:rsid w:val="003111A6"/>
    <w:rsid w:val="003111EB"/>
    <w:rsid w:val="0031120A"/>
    <w:rsid w:val="00311236"/>
    <w:rsid w:val="00311253"/>
    <w:rsid w:val="00311264"/>
    <w:rsid w:val="00311269"/>
    <w:rsid w:val="00311383"/>
    <w:rsid w:val="003113B8"/>
    <w:rsid w:val="00311472"/>
    <w:rsid w:val="003114D8"/>
    <w:rsid w:val="00311512"/>
    <w:rsid w:val="00311571"/>
    <w:rsid w:val="0031160F"/>
    <w:rsid w:val="00311634"/>
    <w:rsid w:val="00311639"/>
    <w:rsid w:val="003116AF"/>
    <w:rsid w:val="003116EA"/>
    <w:rsid w:val="00311728"/>
    <w:rsid w:val="00311733"/>
    <w:rsid w:val="00311774"/>
    <w:rsid w:val="00311837"/>
    <w:rsid w:val="0031183E"/>
    <w:rsid w:val="0031188F"/>
    <w:rsid w:val="003118A3"/>
    <w:rsid w:val="0031193A"/>
    <w:rsid w:val="00311940"/>
    <w:rsid w:val="00311988"/>
    <w:rsid w:val="003119F4"/>
    <w:rsid w:val="00311A08"/>
    <w:rsid w:val="00311A3B"/>
    <w:rsid w:val="00311AC2"/>
    <w:rsid w:val="00311B24"/>
    <w:rsid w:val="00311B37"/>
    <w:rsid w:val="00311BF8"/>
    <w:rsid w:val="00311C14"/>
    <w:rsid w:val="00311CD5"/>
    <w:rsid w:val="00311D14"/>
    <w:rsid w:val="00311DB1"/>
    <w:rsid w:val="00311DD4"/>
    <w:rsid w:val="00311E2D"/>
    <w:rsid w:val="00311E31"/>
    <w:rsid w:val="00311EA0"/>
    <w:rsid w:val="00311F0B"/>
    <w:rsid w:val="00311F42"/>
    <w:rsid w:val="00311F57"/>
    <w:rsid w:val="00311FA1"/>
    <w:rsid w:val="0031208F"/>
    <w:rsid w:val="003120A1"/>
    <w:rsid w:val="00312112"/>
    <w:rsid w:val="0031214F"/>
    <w:rsid w:val="00312182"/>
    <w:rsid w:val="003121E8"/>
    <w:rsid w:val="0031221E"/>
    <w:rsid w:val="00312232"/>
    <w:rsid w:val="0031225E"/>
    <w:rsid w:val="00312268"/>
    <w:rsid w:val="00312430"/>
    <w:rsid w:val="0031245F"/>
    <w:rsid w:val="0031248B"/>
    <w:rsid w:val="00312563"/>
    <w:rsid w:val="003125B9"/>
    <w:rsid w:val="003125C1"/>
    <w:rsid w:val="00312619"/>
    <w:rsid w:val="003126EB"/>
    <w:rsid w:val="00312713"/>
    <w:rsid w:val="003127E3"/>
    <w:rsid w:val="0031296C"/>
    <w:rsid w:val="003129DE"/>
    <w:rsid w:val="00312A27"/>
    <w:rsid w:val="00312A51"/>
    <w:rsid w:val="00312A94"/>
    <w:rsid w:val="00312AE8"/>
    <w:rsid w:val="00312B49"/>
    <w:rsid w:val="00312B9C"/>
    <w:rsid w:val="00312BB3"/>
    <w:rsid w:val="00312C3D"/>
    <w:rsid w:val="00312C88"/>
    <w:rsid w:val="00312D7F"/>
    <w:rsid w:val="00312DA5"/>
    <w:rsid w:val="00312DEF"/>
    <w:rsid w:val="00312EB2"/>
    <w:rsid w:val="00312F68"/>
    <w:rsid w:val="00312F6E"/>
    <w:rsid w:val="00313080"/>
    <w:rsid w:val="003130F5"/>
    <w:rsid w:val="00313145"/>
    <w:rsid w:val="003131F9"/>
    <w:rsid w:val="00313208"/>
    <w:rsid w:val="00313215"/>
    <w:rsid w:val="00313220"/>
    <w:rsid w:val="0031322C"/>
    <w:rsid w:val="00313244"/>
    <w:rsid w:val="00313250"/>
    <w:rsid w:val="00313267"/>
    <w:rsid w:val="0031326D"/>
    <w:rsid w:val="00313277"/>
    <w:rsid w:val="00313288"/>
    <w:rsid w:val="0031329B"/>
    <w:rsid w:val="003132A3"/>
    <w:rsid w:val="00313305"/>
    <w:rsid w:val="0031331D"/>
    <w:rsid w:val="00313325"/>
    <w:rsid w:val="003133C3"/>
    <w:rsid w:val="003133DE"/>
    <w:rsid w:val="003133E1"/>
    <w:rsid w:val="003133EC"/>
    <w:rsid w:val="0031343A"/>
    <w:rsid w:val="003134CF"/>
    <w:rsid w:val="00313572"/>
    <w:rsid w:val="00313621"/>
    <w:rsid w:val="00313629"/>
    <w:rsid w:val="00313651"/>
    <w:rsid w:val="003137D2"/>
    <w:rsid w:val="003137E1"/>
    <w:rsid w:val="00313820"/>
    <w:rsid w:val="00313877"/>
    <w:rsid w:val="00313905"/>
    <w:rsid w:val="00313945"/>
    <w:rsid w:val="003139D3"/>
    <w:rsid w:val="00313A31"/>
    <w:rsid w:val="00313A62"/>
    <w:rsid w:val="00313B68"/>
    <w:rsid w:val="00313B7A"/>
    <w:rsid w:val="00313BBD"/>
    <w:rsid w:val="00313BC0"/>
    <w:rsid w:val="00313C60"/>
    <w:rsid w:val="00313CC7"/>
    <w:rsid w:val="00313CD0"/>
    <w:rsid w:val="00313CE0"/>
    <w:rsid w:val="00313D55"/>
    <w:rsid w:val="00313DB1"/>
    <w:rsid w:val="00313E2A"/>
    <w:rsid w:val="00313E3B"/>
    <w:rsid w:val="00313FD2"/>
    <w:rsid w:val="00313FDD"/>
    <w:rsid w:val="00313FE9"/>
    <w:rsid w:val="0031413A"/>
    <w:rsid w:val="0031418F"/>
    <w:rsid w:val="003141CC"/>
    <w:rsid w:val="00314206"/>
    <w:rsid w:val="00314228"/>
    <w:rsid w:val="0031426C"/>
    <w:rsid w:val="00314296"/>
    <w:rsid w:val="003142C0"/>
    <w:rsid w:val="003142D1"/>
    <w:rsid w:val="003142D7"/>
    <w:rsid w:val="003143AC"/>
    <w:rsid w:val="00314402"/>
    <w:rsid w:val="0031443E"/>
    <w:rsid w:val="0031444D"/>
    <w:rsid w:val="003144EE"/>
    <w:rsid w:val="00314542"/>
    <w:rsid w:val="003145AC"/>
    <w:rsid w:val="0031471F"/>
    <w:rsid w:val="00314786"/>
    <w:rsid w:val="0031483A"/>
    <w:rsid w:val="0031484D"/>
    <w:rsid w:val="00314857"/>
    <w:rsid w:val="00314877"/>
    <w:rsid w:val="0031488B"/>
    <w:rsid w:val="003148A7"/>
    <w:rsid w:val="00314940"/>
    <w:rsid w:val="00314977"/>
    <w:rsid w:val="003149F5"/>
    <w:rsid w:val="00314A01"/>
    <w:rsid w:val="00314A6C"/>
    <w:rsid w:val="00314A73"/>
    <w:rsid w:val="00314AFF"/>
    <w:rsid w:val="00314B3D"/>
    <w:rsid w:val="00314BB2"/>
    <w:rsid w:val="00314BEA"/>
    <w:rsid w:val="00314C07"/>
    <w:rsid w:val="00314C35"/>
    <w:rsid w:val="00314C5C"/>
    <w:rsid w:val="00314C71"/>
    <w:rsid w:val="00314C88"/>
    <w:rsid w:val="00314CBD"/>
    <w:rsid w:val="00314CBF"/>
    <w:rsid w:val="00314D23"/>
    <w:rsid w:val="00314D5C"/>
    <w:rsid w:val="00314D9E"/>
    <w:rsid w:val="00314F0C"/>
    <w:rsid w:val="00314FB8"/>
    <w:rsid w:val="00315001"/>
    <w:rsid w:val="0031505D"/>
    <w:rsid w:val="0031510D"/>
    <w:rsid w:val="00315190"/>
    <w:rsid w:val="003151A0"/>
    <w:rsid w:val="00315219"/>
    <w:rsid w:val="003153D4"/>
    <w:rsid w:val="00315438"/>
    <w:rsid w:val="0031547D"/>
    <w:rsid w:val="003154D8"/>
    <w:rsid w:val="003154FC"/>
    <w:rsid w:val="00315515"/>
    <w:rsid w:val="0031555A"/>
    <w:rsid w:val="00315571"/>
    <w:rsid w:val="003155E6"/>
    <w:rsid w:val="00315609"/>
    <w:rsid w:val="00315644"/>
    <w:rsid w:val="00315690"/>
    <w:rsid w:val="0031574E"/>
    <w:rsid w:val="0031575F"/>
    <w:rsid w:val="003157AA"/>
    <w:rsid w:val="00315829"/>
    <w:rsid w:val="00315890"/>
    <w:rsid w:val="0031596E"/>
    <w:rsid w:val="00315970"/>
    <w:rsid w:val="00315A0C"/>
    <w:rsid w:val="00315A3F"/>
    <w:rsid w:val="00315B4E"/>
    <w:rsid w:val="00315B95"/>
    <w:rsid w:val="00315CB3"/>
    <w:rsid w:val="00315D34"/>
    <w:rsid w:val="00315D39"/>
    <w:rsid w:val="00315D80"/>
    <w:rsid w:val="00315E68"/>
    <w:rsid w:val="00315E6A"/>
    <w:rsid w:val="00315EAC"/>
    <w:rsid w:val="00315EBA"/>
    <w:rsid w:val="00315EE2"/>
    <w:rsid w:val="00315F17"/>
    <w:rsid w:val="00315F19"/>
    <w:rsid w:val="00316014"/>
    <w:rsid w:val="003160D3"/>
    <w:rsid w:val="0031610A"/>
    <w:rsid w:val="00316171"/>
    <w:rsid w:val="003161BD"/>
    <w:rsid w:val="003161F8"/>
    <w:rsid w:val="00316212"/>
    <w:rsid w:val="00316228"/>
    <w:rsid w:val="003162C0"/>
    <w:rsid w:val="003162C3"/>
    <w:rsid w:val="003162D3"/>
    <w:rsid w:val="00316410"/>
    <w:rsid w:val="0031644E"/>
    <w:rsid w:val="0031645E"/>
    <w:rsid w:val="0031649A"/>
    <w:rsid w:val="003164B5"/>
    <w:rsid w:val="003164BF"/>
    <w:rsid w:val="003164F5"/>
    <w:rsid w:val="00316572"/>
    <w:rsid w:val="00316576"/>
    <w:rsid w:val="00316593"/>
    <w:rsid w:val="003165AB"/>
    <w:rsid w:val="00316634"/>
    <w:rsid w:val="0031670E"/>
    <w:rsid w:val="003167CC"/>
    <w:rsid w:val="00316844"/>
    <w:rsid w:val="0031689A"/>
    <w:rsid w:val="003168BE"/>
    <w:rsid w:val="00316928"/>
    <w:rsid w:val="0031694F"/>
    <w:rsid w:val="00316994"/>
    <w:rsid w:val="00316A42"/>
    <w:rsid w:val="00316AEC"/>
    <w:rsid w:val="00316B74"/>
    <w:rsid w:val="00316B7A"/>
    <w:rsid w:val="00316B8F"/>
    <w:rsid w:val="00316C57"/>
    <w:rsid w:val="00316D09"/>
    <w:rsid w:val="00316DA7"/>
    <w:rsid w:val="00316DAE"/>
    <w:rsid w:val="00316E14"/>
    <w:rsid w:val="00316E4D"/>
    <w:rsid w:val="00316EEA"/>
    <w:rsid w:val="00316F04"/>
    <w:rsid w:val="00316F88"/>
    <w:rsid w:val="00317064"/>
    <w:rsid w:val="00317105"/>
    <w:rsid w:val="00317129"/>
    <w:rsid w:val="003171FB"/>
    <w:rsid w:val="00317271"/>
    <w:rsid w:val="003172C7"/>
    <w:rsid w:val="0031746F"/>
    <w:rsid w:val="00317475"/>
    <w:rsid w:val="00317498"/>
    <w:rsid w:val="00317522"/>
    <w:rsid w:val="0031754D"/>
    <w:rsid w:val="0031763C"/>
    <w:rsid w:val="0031767A"/>
    <w:rsid w:val="00317682"/>
    <w:rsid w:val="003176DC"/>
    <w:rsid w:val="00317741"/>
    <w:rsid w:val="0031776B"/>
    <w:rsid w:val="0031776E"/>
    <w:rsid w:val="003177AE"/>
    <w:rsid w:val="003177BD"/>
    <w:rsid w:val="00317807"/>
    <w:rsid w:val="00317811"/>
    <w:rsid w:val="0031784B"/>
    <w:rsid w:val="003178B1"/>
    <w:rsid w:val="003178E3"/>
    <w:rsid w:val="00317989"/>
    <w:rsid w:val="003179BC"/>
    <w:rsid w:val="003179DA"/>
    <w:rsid w:val="00317A15"/>
    <w:rsid w:val="00317B2B"/>
    <w:rsid w:val="00317BA3"/>
    <w:rsid w:val="00317BD9"/>
    <w:rsid w:val="00317C05"/>
    <w:rsid w:val="00317CA3"/>
    <w:rsid w:val="00317DB9"/>
    <w:rsid w:val="00317DCB"/>
    <w:rsid w:val="00317DDE"/>
    <w:rsid w:val="00317DDF"/>
    <w:rsid w:val="00317DFB"/>
    <w:rsid w:val="00317E3C"/>
    <w:rsid w:val="00317E49"/>
    <w:rsid w:val="00317EB2"/>
    <w:rsid w:val="00317F35"/>
    <w:rsid w:val="00317FC7"/>
    <w:rsid w:val="00318742"/>
    <w:rsid w:val="0032002F"/>
    <w:rsid w:val="00320043"/>
    <w:rsid w:val="00320076"/>
    <w:rsid w:val="003200E7"/>
    <w:rsid w:val="003200FC"/>
    <w:rsid w:val="0032013B"/>
    <w:rsid w:val="003201AF"/>
    <w:rsid w:val="003201F2"/>
    <w:rsid w:val="00320219"/>
    <w:rsid w:val="00320243"/>
    <w:rsid w:val="00320262"/>
    <w:rsid w:val="003202C7"/>
    <w:rsid w:val="003202D3"/>
    <w:rsid w:val="00320363"/>
    <w:rsid w:val="003203BA"/>
    <w:rsid w:val="003203EE"/>
    <w:rsid w:val="003204E3"/>
    <w:rsid w:val="003204EF"/>
    <w:rsid w:val="00320540"/>
    <w:rsid w:val="00320581"/>
    <w:rsid w:val="0032058E"/>
    <w:rsid w:val="00320597"/>
    <w:rsid w:val="00320696"/>
    <w:rsid w:val="003207EB"/>
    <w:rsid w:val="003207F0"/>
    <w:rsid w:val="0032080F"/>
    <w:rsid w:val="00320855"/>
    <w:rsid w:val="00320890"/>
    <w:rsid w:val="003208AE"/>
    <w:rsid w:val="0032090D"/>
    <w:rsid w:val="00320A46"/>
    <w:rsid w:val="00320AA9"/>
    <w:rsid w:val="00320BB1"/>
    <w:rsid w:val="00320BE6"/>
    <w:rsid w:val="00320C56"/>
    <w:rsid w:val="00320CB7"/>
    <w:rsid w:val="00320CF4"/>
    <w:rsid w:val="00320D5B"/>
    <w:rsid w:val="00320E07"/>
    <w:rsid w:val="00320E18"/>
    <w:rsid w:val="00320EC7"/>
    <w:rsid w:val="00320F0D"/>
    <w:rsid w:val="00320F4E"/>
    <w:rsid w:val="00320F78"/>
    <w:rsid w:val="00321030"/>
    <w:rsid w:val="00321248"/>
    <w:rsid w:val="0032126D"/>
    <w:rsid w:val="003212D8"/>
    <w:rsid w:val="00321332"/>
    <w:rsid w:val="00321336"/>
    <w:rsid w:val="0032138F"/>
    <w:rsid w:val="003213F7"/>
    <w:rsid w:val="003215A6"/>
    <w:rsid w:val="00321637"/>
    <w:rsid w:val="0032163D"/>
    <w:rsid w:val="00321660"/>
    <w:rsid w:val="00321669"/>
    <w:rsid w:val="00321799"/>
    <w:rsid w:val="003217D5"/>
    <w:rsid w:val="003217E2"/>
    <w:rsid w:val="00321823"/>
    <w:rsid w:val="00321868"/>
    <w:rsid w:val="0032187F"/>
    <w:rsid w:val="00321891"/>
    <w:rsid w:val="003218A0"/>
    <w:rsid w:val="003219BF"/>
    <w:rsid w:val="003219F7"/>
    <w:rsid w:val="00321B1B"/>
    <w:rsid w:val="00321B2F"/>
    <w:rsid w:val="00321B50"/>
    <w:rsid w:val="00321B58"/>
    <w:rsid w:val="00321B8C"/>
    <w:rsid w:val="00321BAA"/>
    <w:rsid w:val="00321C8B"/>
    <w:rsid w:val="00321C9C"/>
    <w:rsid w:val="00321CC9"/>
    <w:rsid w:val="00321D5A"/>
    <w:rsid w:val="00321D9F"/>
    <w:rsid w:val="00321DFC"/>
    <w:rsid w:val="00321E41"/>
    <w:rsid w:val="00321EA2"/>
    <w:rsid w:val="00321F49"/>
    <w:rsid w:val="00321FFD"/>
    <w:rsid w:val="00322118"/>
    <w:rsid w:val="00322138"/>
    <w:rsid w:val="00322152"/>
    <w:rsid w:val="003221AA"/>
    <w:rsid w:val="003221C2"/>
    <w:rsid w:val="003221C4"/>
    <w:rsid w:val="00322262"/>
    <w:rsid w:val="003223B7"/>
    <w:rsid w:val="0032244D"/>
    <w:rsid w:val="00322451"/>
    <w:rsid w:val="00322579"/>
    <w:rsid w:val="003226AE"/>
    <w:rsid w:val="003226BD"/>
    <w:rsid w:val="003226F7"/>
    <w:rsid w:val="0032277B"/>
    <w:rsid w:val="003227F8"/>
    <w:rsid w:val="00322803"/>
    <w:rsid w:val="00322829"/>
    <w:rsid w:val="0032283D"/>
    <w:rsid w:val="003228B7"/>
    <w:rsid w:val="0032296F"/>
    <w:rsid w:val="00322A0C"/>
    <w:rsid w:val="00322AA3"/>
    <w:rsid w:val="00322AB0"/>
    <w:rsid w:val="00322B53"/>
    <w:rsid w:val="00322B6D"/>
    <w:rsid w:val="00322D0F"/>
    <w:rsid w:val="00322D29"/>
    <w:rsid w:val="00322D83"/>
    <w:rsid w:val="00322DD2"/>
    <w:rsid w:val="00322E20"/>
    <w:rsid w:val="00322E48"/>
    <w:rsid w:val="00322F0F"/>
    <w:rsid w:val="00322F84"/>
    <w:rsid w:val="00322FA2"/>
    <w:rsid w:val="00323073"/>
    <w:rsid w:val="0032308B"/>
    <w:rsid w:val="0032313A"/>
    <w:rsid w:val="003231E3"/>
    <w:rsid w:val="00323226"/>
    <w:rsid w:val="00323241"/>
    <w:rsid w:val="00323252"/>
    <w:rsid w:val="0032329C"/>
    <w:rsid w:val="003232D4"/>
    <w:rsid w:val="003232F2"/>
    <w:rsid w:val="003233F0"/>
    <w:rsid w:val="00323438"/>
    <w:rsid w:val="00323463"/>
    <w:rsid w:val="003234AD"/>
    <w:rsid w:val="003234C3"/>
    <w:rsid w:val="00323595"/>
    <w:rsid w:val="00323658"/>
    <w:rsid w:val="003236CA"/>
    <w:rsid w:val="003236F1"/>
    <w:rsid w:val="00323754"/>
    <w:rsid w:val="003237DF"/>
    <w:rsid w:val="00323810"/>
    <w:rsid w:val="003238A1"/>
    <w:rsid w:val="003238C0"/>
    <w:rsid w:val="003238D2"/>
    <w:rsid w:val="003238D7"/>
    <w:rsid w:val="00323AA2"/>
    <w:rsid w:val="00323B65"/>
    <w:rsid w:val="00323B69"/>
    <w:rsid w:val="00323C60"/>
    <w:rsid w:val="00323C9C"/>
    <w:rsid w:val="00323CFD"/>
    <w:rsid w:val="00323E19"/>
    <w:rsid w:val="00323E39"/>
    <w:rsid w:val="00323F5C"/>
    <w:rsid w:val="00323F66"/>
    <w:rsid w:val="00323FAA"/>
    <w:rsid w:val="00324059"/>
    <w:rsid w:val="0032406D"/>
    <w:rsid w:val="003240C7"/>
    <w:rsid w:val="003240F6"/>
    <w:rsid w:val="0032417D"/>
    <w:rsid w:val="003241A5"/>
    <w:rsid w:val="003241A7"/>
    <w:rsid w:val="00324386"/>
    <w:rsid w:val="00324396"/>
    <w:rsid w:val="003243A9"/>
    <w:rsid w:val="0032448D"/>
    <w:rsid w:val="00324535"/>
    <w:rsid w:val="0032460D"/>
    <w:rsid w:val="00324632"/>
    <w:rsid w:val="00324641"/>
    <w:rsid w:val="00324663"/>
    <w:rsid w:val="00324690"/>
    <w:rsid w:val="0032473A"/>
    <w:rsid w:val="0032476E"/>
    <w:rsid w:val="0032479D"/>
    <w:rsid w:val="0032483E"/>
    <w:rsid w:val="00324862"/>
    <w:rsid w:val="003248CD"/>
    <w:rsid w:val="00324957"/>
    <w:rsid w:val="00324992"/>
    <w:rsid w:val="003249C2"/>
    <w:rsid w:val="003249D3"/>
    <w:rsid w:val="003249E3"/>
    <w:rsid w:val="00324A18"/>
    <w:rsid w:val="00324A79"/>
    <w:rsid w:val="00324AB0"/>
    <w:rsid w:val="00324ABD"/>
    <w:rsid w:val="00324AE5"/>
    <w:rsid w:val="00324AFC"/>
    <w:rsid w:val="00324B9D"/>
    <w:rsid w:val="00324BA3"/>
    <w:rsid w:val="00324BE5"/>
    <w:rsid w:val="00324BF8"/>
    <w:rsid w:val="00324C62"/>
    <w:rsid w:val="00324CD8"/>
    <w:rsid w:val="00324D1C"/>
    <w:rsid w:val="00324D27"/>
    <w:rsid w:val="00324D7B"/>
    <w:rsid w:val="00324DA7"/>
    <w:rsid w:val="00324E06"/>
    <w:rsid w:val="00324E0A"/>
    <w:rsid w:val="00324E92"/>
    <w:rsid w:val="00324FCC"/>
    <w:rsid w:val="00325095"/>
    <w:rsid w:val="003250F9"/>
    <w:rsid w:val="0032511B"/>
    <w:rsid w:val="00325190"/>
    <w:rsid w:val="003251D6"/>
    <w:rsid w:val="0032521E"/>
    <w:rsid w:val="00325298"/>
    <w:rsid w:val="003252B8"/>
    <w:rsid w:val="003253A4"/>
    <w:rsid w:val="003253FA"/>
    <w:rsid w:val="0032540E"/>
    <w:rsid w:val="00325458"/>
    <w:rsid w:val="003254B8"/>
    <w:rsid w:val="003254D3"/>
    <w:rsid w:val="003254D5"/>
    <w:rsid w:val="0032551E"/>
    <w:rsid w:val="00325520"/>
    <w:rsid w:val="0032565F"/>
    <w:rsid w:val="003256E8"/>
    <w:rsid w:val="0032579E"/>
    <w:rsid w:val="0032582E"/>
    <w:rsid w:val="0032585B"/>
    <w:rsid w:val="0032586B"/>
    <w:rsid w:val="003258AD"/>
    <w:rsid w:val="0032599B"/>
    <w:rsid w:val="003259D0"/>
    <w:rsid w:val="003259F7"/>
    <w:rsid w:val="00325A1D"/>
    <w:rsid w:val="00325A80"/>
    <w:rsid w:val="00325BE0"/>
    <w:rsid w:val="00325C86"/>
    <w:rsid w:val="00325CDA"/>
    <w:rsid w:val="00325D29"/>
    <w:rsid w:val="00325E45"/>
    <w:rsid w:val="00325E8C"/>
    <w:rsid w:val="00325E8D"/>
    <w:rsid w:val="00325EFB"/>
    <w:rsid w:val="00325F06"/>
    <w:rsid w:val="00325F71"/>
    <w:rsid w:val="00326005"/>
    <w:rsid w:val="00326091"/>
    <w:rsid w:val="003260D9"/>
    <w:rsid w:val="0032613C"/>
    <w:rsid w:val="0032618C"/>
    <w:rsid w:val="003261F4"/>
    <w:rsid w:val="0032625B"/>
    <w:rsid w:val="00326278"/>
    <w:rsid w:val="00326329"/>
    <w:rsid w:val="00326460"/>
    <w:rsid w:val="0032652A"/>
    <w:rsid w:val="00326547"/>
    <w:rsid w:val="0032655C"/>
    <w:rsid w:val="00326570"/>
    <w:rsid w:val="00326581"/>
    <w:rsid w:val="003265EA"/>
    <w:rsid w:val="003266E3"/>
    <w:rsid w:val="003267A0"/>
    <w:rsid w:val="003267B0"/>
    <w:rsid w:val="0032684F"/>
    <w:rsid w:val="00326855"/>
    <w:rsid w:val="003268E5"/>
    <w:rsid w:val="00326911"/>
    <w:rsid w:val="0032699C"/>
    <w:rsid w:val="00326A04"/>
    <w:rsid w:val="00326A4B"/>
    <w:rsid w:val="00326A58"/>
    <w:rsid w:val="00326BB4"/>
    <w:rsid w:val="00326C7D"/>
    <w:rsid w:val="00326CAF"/>
    <w:rsid w:val="00326D00"/>
    <w:rsid w:val="00326D0B"/>
    <w:rsid w:val="00326E1C"/>
    <w:rsid w:val="00326F36"/>
    <w:rsid w:val="00326FF5"/>
    <w:rsid w:val="00326FFB"/>
    <w:rsid w:val="00327019"/>
    <w:rsid w:val="00327027"/>
    <w:rsid w:val="00327049"/>
    <w:rsid w:val="0032704A"/>
    <w:rsid w:val="00327064"/>
    <w:rsid w:val="00327070"/>
    <w:rsid w:val="00327096"/>
    <w:rsid w:val="003270DA"/>
    <w:rsid w:val="003272CE"/>
    <w:rsid w:val="003272EC"/>
    <w:rsid w:val="00327326"/>
    <w:rsid w:val="00327399"/>
    <w:rsid w:val="003273AC"/>
    <w:rsid w:val="003273CA"/>
    <w:rsid w:val="003273D5"/>
    <w:rsid w:val="003273F1"/>
    <w:rsid w:val="00327473"/>
    <w:rsid w:val="003274B6"/>
    <w:rsid w:val="003274F3"/>
    <w:rsid w:val="00327538"/>
    <w:rsid w:val="00327598"/>
    <w:rsid w:val="0032759A"/>
    <w:rsid w:val="003275FC"/>
    <w:rsid w:val="003276E4"/>
    <w:rsid w:val="003276E9"/>
    <w:rsid w:val="00327700"/>
    <w:rsid w:val="0032777C"/>
    <w:rsid w:val="00327781"/>
    <w:rsid w:val="00327818"/>
    <w:rsid w:val="00327881"/>
    <w:rsid w:val="003278E0"/>
    <w:rsid w:val="003279A3"/>
    <w:rsid w:val="003279DA"/>
    <w:rsid w:val="003279F7"/>
    <w:rsid w:val="00327A12"/>
    <w:rsid w:val="00327A79"/>
    <w:rsid w:val="00327A7E"/>
    <w:rsid w:val="00327AD0"/>
    <w:rsid w:val="00327AED"/>
    <w:rsid w:val="00327B14"/>
    <w:rsid w:val="00327B73"/>
    <w:rsid w:val="00327B94"/>
    <w:rsid w:val="00327C15"/>
    <w:rsid w:val="00327C98"/>
    <w:rsid w:val="00327CF5"/>
    <w:rsid w:val="00327D5A"/>
    <w:rsid w:val="00327DBF"/>
    <w:rsid w:val="00327E00"/>
    <w:rsid w:val="00327E02"/>
    <w:rsid w:val="00327E5E"/>
    <w:rsid w:val="00327E71"/>
    <w:rsid w:val="00327EB0"/>
    <w:rsid w:val="00327F14"/>
    <w:rsid w:val="00327F1D"/>
    <w:rsid w:val="00327F22"/>
    <w:rsid w:val="00327FF6"/>
    <w:rsid w:val="00330008"/>
    <w:rsid w:val="00330012"/>
    <w:rsid w:val="00330017"/>
    <w:rsid w:val="003300B7"/>
    <w:rsid w:val="003300FC"/>
    <w:rsid w:val="00330192"/>
    <w:rsid w:val="0033020A"/>
    <w:rsid w:val="003302DE"/>
    <w:rsid w:val="00330465"/>
    <w:rsid w:val="00330493"/>
    <w:rsid w:val="003304AD"/>
    <w:rsid w:val="003304D9"/>
    <w:rsid w:val="003304DE"/>
    <w:rsid w:val="00330588"/>
    <w:rsid w:val="00330599"/>
    <w:rsid w:val="0033059C"/>
    <w:rsid w:val="003305C3"/>
    <w:rsid w:val="003305FB"/>
    <w:rsid w:val="00330645"/>
    <w:rsid w:val="003306AF"/>
    <w:rsid w:val="003306B8"/>
    <w:rsid w:val="0033072C"/>
    <w:rsid w:val="00330745"/>
    <w:rsid w:val="00330780"/>
    <w:rsid w:val="0033078E"/>
    <w:rsid w:val="00330807"/>
    <w:rsid w:val="0033081D"/>
    <w:rsid w:val="00330854"/>
    <w:rsid w:val="003308F1"/>
    <w:rsid w:val="0033093A"/>
    <w:rsid w:val="00330945"/>
    <w:rsid w:val="0033098F"/>
    <w:rsid w:val="00330998"/>
    <w:rsid w:val="00330A1D"/>
    <w:rsid w:val="00330A93"/>
    <w:rsid w:val="00330B31"/>
    <w:rsid w:val="00330BA3"/>
    <w:rsid w:val="00330BCA"/>
    <w:rsid w:val="00330C22"/>
    <w:rsid w:val="00330C2D"/>
    <w:rsid w:val="00330C3C"/>
    <w:rsid w:val="00330C6D"/>
    <w:rsid w:val="00330CC6"/>
    <w:rsid w:val="00330DB3"/>
    <w:rsid w:val="00330DCB"/>
    <w:rsid w:val="00330DCC"/>
    <w:rsid w:val="00330DD3"/>
    <w:rsid w:val="00330E15"/>
    <w:rsid w:val="00330F0A"/>
    <w:rsid w:val="00330F5D"/>
    <w:rsid w:val="00330FB1"/>
    <w:rsid w:val="00330FB5"/>
    <w:rsid w:val="00330FCB"/>
    <w:rsid w:val="0033101A"/>
    <w:rsid w:val="00331037"/>
    <w:rsid w:val="00331040"/>
    <w:rsid w:val="00331108"/>
    <w:rsid w:val="00331113"/>
    <w:rsid w:val="0033112A"/>
    <w:rsid w:val="00331144"/>
    <w:rsid w:val="00331167"/>
    <w:rsid w:val="003311B5"/>
    <w:rsid w:val="00331209"/>
    <w:rsid w:val="0033121F"/>
    <w:rsid w:val="00331223"/>
    <w:rsid w:val="00331354"/>
    <w:rsid w:val="0033139C"/>
    <w:rsid w:val="003313F4"/>
    <w:rsid w:val="0033155B"/>
    <w:rsid w:val="00331571"/>
    <w:rsid w:val="0033159C"/>
    <w:rsid w:val="003315CC"/>
    <w:rsid w:val="00331632"/>
    <w:rsid w:val="0033163E"/>
    <w:rsid w:val="003316A9"/>
    <w:rsid w:val="00331784"/>
    <w:rsid w:val="003317F3"/>
    <w:rsid w:val="00331800"/>
    <w:rsid w:val="00331907"/>
    <w:rsid w:val="0033193B"/>
    <w:rsid w:val="0033194D"/>
    <w:rsid w:val="00331A8B"/>
    <w:rsid w:val="00331AC4"/>
    <w:rsid w:val="00331AC9"/>
    <w:rsid w:val="00331AE0"/>
    <w:rsid w:val="00331B78"/>
    <w:rsid w:val="00331C28"/>
    <w:rsid w:val="00331C4E"/>
    <w:rsid w:val="00331C7F"/>
    <w:rsid w:val="00331C85"/>
    <w:rsid w:val="00331D7F"/>
    <w:rsid w:val="00331DBE"/>
    <w:rsid w:val="00331DC5"/>
    <w:rsid w:val="00331DE9"/>
    <w:rsid w:val="00331EAF"/>
    <w:rsid w:val="00331EBE"/>
    <w:rsid w:val="00331EC2"/>
    <w:rsid w:val="00331EEC"/>
    <w:rsid w:val="00331F4E"/>
    <w:rsid w:val="00331FAA"/>
    <w:rsid w:val="0033202C"/>
    <w:rsid w:val="00332080"/>
    <w:rsid w:val="003320C5"/>
    <w:rsid w:val="003323BF"/>
    <w:rsid w:val="0033254A"/>
    <w:rsid w:val="00332555"/>
    <w:rsid w:val="003325A6"/>
    <w:rsid w:val="003325BC"/>
    <w:rsid w:val="003325EE"/>
    <w:rsid w:val="00332631"/>
    <w:rsid w:val="0033265F"/>
    <w:rsid w:val="00332671"/>
    <w:rsid w:val="00332704"/>
    <w:rsid w:val="0033270E"/>
    <w:rsid w:val="00332713"/>
    <w:rsid w:val="00332719"/>
    <w:rsid w:val="003327B2"/>
    <w:rsid w:val="003327C5"/>
    <w:rsid w:val="003327DC"/>
    <w:rsid w:val="0033288B"/>
    <w:rsid w:val="0033288C"/>
    <w:rsid w:val="00332926"/>
    <w:rsid w:val="0033294E"/>
    <w:rsid w:val="00332975"/>
    <w:rsid w:val="003329EA"/>
    <w:rsid w:val="00332A4F"/>
    <w:rsid w:val="00332A55"/>
    <w:rsid w:val="00332A67"/>
    <w:rsid w:val="00332A6D"/>
    <w:rsid w:val="00332AFA"/>
    <w:rsid w:val="00332B79"/>
    <w:rsid w:val="00332CA8"/>
    <w:rsid w:val="00332D56"/>
    <w:rsid w:val="00332DED"/>
    <w:rsid w:val="00332E05"/>
    <w:rsid w:val="00332E6D"/>
    <w:rsid w:val="00332E75"/>
    <w:rsid w:val="00332ED5"/>
    <w:rsid w:val="00332F37"/>
    <w:rsid w:val="00332FF3"/>
    <w:rsid w:val="0033306F"/>
    <w:rsid w:val="00333099"/>
    <w:rsid w:val="003330D4"/>
    <w:rsid w:val="0033314E"/>
    <w:rsid w:val="0033316A"/>
    <w:rsid w:val="0033322F"/>
    <w:rsid w:val="003332B0"/>
    <w:rsid w:val="003332B9"/>
    <w:rsid w:val="003332EC"/>
    <w:rsid w:val="00333375"/>
    <w:rsid w:val="00333376"/>
    <w:rsid w:val="00333399"/>
    <w:rsid w:val="003333EB"/>
    <w:rsid w:val="00333423"/>
    <w:rsid w:val="00333502"/>
    <w:rsid w:val="0033351A"/>
    <w:rsid w:val="003335B4"/>
    <w:rsid w:val="00333687"/>
    <w:rsid w:val="003336A7"/>
    <w:rsid w:val="003336D2"/>
    <w:rsid w:val="003336DD"/>
    <w:rsid w:val="00333734"/>
    <w:rsid w:val="0033373F"/>
    <w:rsid w:val="00333753"/>
    <w:rsid w:val="00333797"/>
    <w:rsid w:val="003337C2"/>
    <w:rsid w:val="00333842"/>
    <w:rsid w:val="00333861"/>
    <w:rsid w:val="003338E8"/>
    <w:rsid w:val="00333954"/>
    <w:rsid w:val="003339FC"/>
    <w:rsid w:val="00333A44"/>
    <w:rsid w:val="00333A47"/>
    <w:rsid w:val="00333B19"/>
    <w:rsid w:val="00333B5F"/>
    <w:rsid w:val="00333B66"/>
    <w:rsid w:val="00333CFD"/>
    <w:rsid w:val="00333D54"/>
    <w:rsid w:val="00333D80"/>
    <w:rsid w:val="00333D92"/>
    <w:rsid w:val="00333E21"/>
    <w:rsid w:val="00333F39"/>
    <w:rsid w:val="00333F9B"/>
    <w:rsid w:val="00333FAD"/>
    <w:rsid w:val="00333FC7"/>
    <w:rsid w:val="00333FD4"/>
    <w:rsid w:val="00333FD9"/>
    <w:rsid w:val="00334010"/>
    <w:rsid w:val="00334011"/>
    <w:rsid w:val="00334040"/>
    <w:rsid w:val="00334070"/>
    <w:rsid w:val="00334086"/>
    <w:rsid w:val="0033422B"/>
    <w:rsid w:val="00334243"/>
    <w:rsid w:val="003342C2"/>
    <w:rsid w:val="00334303"/>
    <w:rsid w:val="00334340"/>
    <w:rsid w:val="0033435C"/>
    <w:rsid w:val="003343C4"/>
    <w:rsid w:val="00334401"/>
    <w:rsid w:val="00334434"/>
    <w:rsid w:val="0033443C"/>
    <w:rsid w:val="0033444C"/>
    <w:rsid w:val="00334484"/>
    <w:rsid w:val="00334488"/>
    <w:rsid w:val="003344A1"/>
    <w:rsid w:val="003344B2"/>
    <w:rsid w:val="003344B6"/>
    <w:rsid w:val="003345A0"/>
    <w:rsid w:val="003345B4"/>
    <w:rsid w:val="00334602"/>
    <w:rsid w:val="00334634"/>
    <w:rsid w:val="0033466B"/>
    <w:rsid w:val="003346E6"/>
    <w:rsid w:val="0033471F"/>
    <w:rsid w:val="00334847"/>
    <w:rsid w:val="003348CF"/>
    <w:rsid w:val="003348D3"/>
    <w:rsid w:val="003348E7"/>
    <w:rsid w:val="0033490B"/>
    <w:rsid w:val="00334944"/>
    <w:rsid w:val="0033496A"/>
    <w:rsid w:val="003349CF"/>
    <w:rsid w:val="00334A13"/>
    <w:rsid w:val="00334A87"/>
    <w:rsid w:val="00334A91"/>
    <w:rsid w:val="00334B0E"/>
    <w:rsid w:val="00334BD7"/>
    <w:rsid w:val="00334C6C"/>
    <w:rsid w:val="00334C83"/>
    <w:rsid w:val="00334CDF"/>
    <w:rsid w:val="00334D38"/>
    <w:rsid w:val="00334EE2"/>
    <w:rsid w:val="00334F68"/>
    <w:rsid w:val="00334FF0"/>
    <w:rsid w:val="0033500E"/>
    <w:rsid w:val="0033501C"/>
    <w:rsid w:val="00335106"/>
    <w:rsid w:val="00335114"/>
    <w:rsid w:val="0033515C"/>
    <w:rsid w:val="0033515E"/>
    <w:rsid w:val="003352D9"/>
    <w:rsid w:val="00335378"/>
    <w:rsid w:val="00335426"/>
    <w:rsid w:val="003355A7"/>
    <w:rsid w:val="003355BE"/>
    <w:rsid w:val="00335654"/>
    <w:rsid w:val="00335668"/>
    <w:rsid w:val="003356FA"/>
    <w:rsid w:val="0033574E"/>
    <w:rsid w:val="00335755"/>
    <w:rsid w:val="003357D4"/>
    <w:rsid w:val="003357F6"/>
    <w:rsid w:val="00335A25"/>
    <w:rsid w:val="00335A30"/>
    <w:rsid w:val="00335A74"/>
    <w:rsid w:val="00335B18"/>
    <w:rsid w:val="00335B4A"/>
    <w:rsid w:val="00335B9B"/>
    <w:rsid w:val="00335C18"/>
    <w:rsid w:val="00335C5E"/>
    <w:rsid w:val="00335CBE"/>
    <w:rsid w:val="00335CC2"/>
    <w:rsid w:val="00335CCE"/>
    <w:rsid w:val="00335D7C"/>
    <w:rsid w:val="00335DDA"/>
    <w:rsid w:val="00335DE2"/>
    <w:rsid w:val="00335F0B"/>
    <w:rsid w:val="00335F0F"/>
    <w:rsid w:val="00335F74"/>
    <w:rsid w:val="00335F85"/>
    <w:rsid w:val="00335FCC"/>
    <w:rsid w:val="0033604E"/>
    <w:rsid w:val="00336064"/>
    <w:rsid w:val="003360AB"/>
    <w:rsid w:val="00336129"/>
    <w:rsid w:val="003361B2"/>
    <w:rsid w:val="00336214"/>
    <w:rsid w:val="00336225"/>
    <w:rsid w:val="00336244"/>
    <w:rsid w:val="003362BE"/>
    <w:rsid w:val="00336316"/>
    <w:rsid w:val="0033635B"/>
    <w:rsid w:val="00336376"/>
    <w:rsid w:val="0033638B"/>
    <w:rsid w:val="003363F6"/>
    <w:rsid w:val="00336439"/>
    <w:rsid w:val="00336473"/>
    <w:rsid w:val="0033647D"/>
    <w:rsid w:val="00336480"/>
    <w:rsid w:val="003364C5"/>
    <w:rsid w:val="0033651B"/>
    <w:rsid w:val="0033655D"/>
    <w:rsid w:val="003365D8"/>
    <w:rsid w:val="003366C5"/>
    <w:rsid w:val="00336746"/>
    <w:rsid w:val="00336838"/>
    <w:rsid w:val="0033688D"/>
    <w:rsid w:val="003368A5"/>
    <w:rsid w:val="0033691D"/>
    <w:rsid w:val="0033695B"/>
    <w:rsid w:val="00336964"/>
    <w:rsid w:val="00336A77"/>
    <w:rsid w:val="00336B8C"/>
    <w:rsid w:val="00336BED"/>
    <w:rsid w:val="00336C41"/>
    <w:rsid w:val="00336C8B"/>
    <w:rsid w:val="00336CBB"/>
    <w:rsid w:val="00336D26"/>
    <w:rsid w:val="00336D3D"/>
    <w:rsid w:val="00336D71"/>
    <w:rsid w:val="00336DD5"/>
    <w:rsid w:val="00336DF9"/>
    <w:rsid w:val="00336EA8"/>
    <w:rsid w:val="00336EB2"/>
    <w:rsid w:val="00336F1D"/>
    <w:rsid w:val="00337049"/>
    <w:rsid w:val="00337192"/>
    <w:rsid w:val="0033721F"/>
    <w:rsid w:val="00337236"/>
    <w:rsid w:val="00337240"/>
    <w:rsid w:val="003372BE"/>
    <w:rsid w:val="00337369"/>
    <w:rsid w:val="003373AF"/>
    <w:rsid w:val="003373E3"/>
    <w:rsid w:val="00337436"/>
    <w:rsid w:val="00337455"/>
    <w:rsid w:val="003374CE"/>
    <w:rsid w:val="003374FC"/>
    <w:rsid w:val="00337514"/>
    <w:rsid w:val="0033753B"/>
    <w:rsid w:val="00337565"/>
    <w:rsid w:val="00337596"/>
    <w:rsid w:val="003375F3"/>
    <w:rsid w:val="00337699"/>
    <w:rsid w:val="00337763"/>
    <w:rsid w:val="0033778B"/>
    <w:rsid w:val="003377D3"/>
    <w:rsid w:val="0033783D"/>
    <w:rsid w:val="003378D8"/>
    <w:rsid w:val="003378E2"/>
    <w:rsid w:val="00337901"/>
    <w:rsid w:val="00337944"/>
    <w:rsid w:val="0033795B"/>
    <w:rsid w:val="003379DD"/>
    <w:rsid w:val="00337A3B"/>
    <w:rsid w:val="00337A55"/>
    <w:rsid w:val="00337A76"/>
    <w:rsid w:val="00337AA8"/>
    <w:rsid w:val="00337ACA"/>
    <w:rsid w:val="00337B0A"/>
    <w:rsid w:val="00337BE5"/>
    <w:rsid w:val="00337C21"/>
    <w:rsid w:val="00337CCD"/>
    <w:rsid w:val="00337D0E"/>
    <w:rsid w:val="00337D25"/>
    <w:rsid w:val="00337D65"/>
    <w:rsid w:val="00337DA6"/>
    <w:rsid w:val="00337DC0"/>
    <w:rsid w:val="00337EAB"/>
    <w:rsid w:val="0034002B"/>
    <w:rsid w:val="00340034"/>
    <w:rsid w:val="003400EA"/>
    <w:rsid w:val="00340105"/>
    <w:rsid w:val="003401A0"/>
    <w:rsid w:val="003401ED"/>
    <w:rsid w:val="003401F5"/>
    <w:rsid w:val="00340226"/>
    <w:rsid w:val="0034035B"/>
    <w:rsid w:val="0034037E"/>
    <w:rsid w:val="00340391"/>
    <w:rsid w:val="003403EE"/>
    <w:rsid w:val="00340419"/>
    <w:rsid w:val="00340459"/>
    <w:rsid w:val="003405DB"/>
    <w:rsid w:val="00340603"/>
    <w:rsid w:val="0034063C"/>
    <w:rsid w:val="0034064A"/>
    <w:rsid w:val="00340664"/>
    <w:rsid w:val="00340674"/>
    <w:rsid w:val="0034068A"/>
    <w:rsid w:val="0034068B"/>
    <w:rsid w:val="003406D2"/>
    <w:rsid w:val="003406E6"/>
    <w:rsid w:val="0034072C"/>
    <w:rsid w:val="0034081A"/>
    <w:rsid w:val="00340843"/>
    <w:rsid w:val="0034086A"/>
    <w:rsid w:val="003408A4"/>
    <w:rsid w:val="003408B0"/>
    <w:rsid w:val="003408C8"/>
    <w:rsid w:val="00340917"/>
    <w:rsid w:val="0034095E"/>
    <w:rsid w:val="003409D8"/>
    <w:rsid w:val="00340A61"/>
    <w:rsid w:val="00340B40"/>
    <w:rsid w:val="00340B4B"/>
    <w:rsid w:val="00340BF2"/>
    <w:rsid w:val="00340C23"/>
    <w:rsid w:val="00340C2B"/>
    <w:rsid w:val="00340C6C"/>
    <w:rsid w:val="00340CDF"/>
    <w:rsid w:val="00340CF5"/>
    <w:rsid w:val="00340D35"/>
    <w:rsid w:val="00340D40"/>
    <w:rsid w:val="00340D6F"/>
    <w:rsid w:val="00340D7F"/>
    <w:rsid w:val="00340DB6"/>
    <w:rsid w:val="00340DD5"/>
    <w:rsid w:val="00340E12"/>
    <w:rsid w:val="00340E6A"/>
    <w:rsid w:val="00340E8D"/>
    <w:rsid w:val="00340FB7"/>
    <w:rsid w:val="00340FE5"/>
    <w:rsid w:val="00341043"/>
    <w:rsid w:val="00341098"/>
    <w:rsid w:val="003410AA"/>
    <w:rsid w:val="00341147"/>
    <w:rsid w:val="003411A0"/>
    <w:rsid w:val="003412B9"/>
    <w:rsid w:val="003412C5"/>
    <w:rsid w:val="0034135D"/>
    <w:rsid w:val="003413CA"/>
    <w:rsid w:val="0034145C"/>
    <w:rsid w:val="00341487"/>
    <w:rsid w:val="003415CE"/>
    <w:rsid w:val="00341635"/>
    <w:rsid w:val="00341642"/>
    <w:rsid w:val="00341684"/>
    <w:rsid w:val="003416D0"/>
    <w:rsid w:val="00341747"/>
    <w:rsid w:val="00341758"/>
    <w:rsid w:val="00341799"/>
    <w:rsid w:val="00341867"/>
    <w:rsid w:val="0034198E"/>
    <w:rsid w:val="003419B4"/>
    <w:rsid w:val="003419CE"/>
    <w:rsid w:val="003419D6"/>
    <w:rsid w:val="00341A2E"/>
    <w:rsid w:val="00341A57"/>
    <w:rsid w:val="00341AC2"/>
    <w:rsid w:val="00341B17"/>
    <w:rsid w:val="00341D42"/>
    <w:rsid w:val="00341D68"/>
    <w:rsid w:val="00341D81"/>
    <w:rsid w:val="00341DFA"/>
    <w:rsid w:val="00341F06"/>
    <w:rsid w:val="00341F48"/>
    <w:rsid w:val="00342078"/>
    <w:rsid w:val="00342095"/>
    <w:rsid w:val="0034210A"/>
    <w:rsid w:val="0034216A"/>
    <w:rsid w:val="00342198"/>
    <w:rsid w:val="003421A7"/>
    <w:rsid w:val="003421BB"/>
    <w:rsid w:val="00342215"/>
    <w:rsid w:val="0034221B"/>
    <w:rsid w:val="003422C7"/>
    <w:rsid w:val="003422DB"/>
    <w:rsid w:val="00342313"/>
    <w:rsid w:val="00342458"/>
    <w:rsid w:val="003424D4"/>
    <w:rsid w:val="00342565"/>
    <w:rsid w:val="00342568"/>
    <w:rsid w:val="003425CC"/>
    <w:rsid w:val="0034260E"/>
    <w:rsid w:val="003426A3"/>
    <w:rsid w:val="00342711"/>
    <w:rsid w:val="0034278A"/>
    <w:rsid w:val="003427DF"/>
    <w:rsid w:val="003427E4"/>
    <w:rsid w:val="003428DA"/>
    <w:rsid w:val="00342917"/>
    <w:rsid w:val="00342970"/>
    <w:rsid w:val="003429A8"/>
    <w:rsid w:val="003429B5"/>
    <w:rsid w:val="003429FF"/>
    <w:rsid w:val="00342AE9"/>
    <w:rsid w:val="00342B58"/>
    <w:rsid w:val="00342BDA"/>
    <w:rsid w:val="00342C15"/>
    <w:rsid w:val="00342CAB"/>
    <w:rsid w:val="00342DAA"/>
    <w:rsid w:val="00342DB0"/>
    <w:rsid w:val="00342DB3"/>
    <w:rsid w:val="00342E99"/>
    <w:rsid w:val="00342EF0"/>
    <w:rsid w:val="00342F6F"/>
    <w:rsid w:val="00342F82"/>
    <w:rsid w:val="00342FEF"/>
    <w:rsid w:val="00342FF2"/>
    <w:rsid w:val="003430C2"/>
    <w:rsid w:val="00343161"/>
    <w:rsid w:val="0034317B"/>
    <w:rsid w:val="00343263"/>
    <w:rsid w:val="0034330A"/>
    <w:rsid w:val="00343311"/>
    <w:rsid w:val="00343320"/>
    <w:rsid w:val="003433A8"/>
    <w:rsid w:val="00343445"/>
    <w:rsid w:val="0034347B"/>
    <w:rsid w:val="0034348F"/>
    <w:rsid w:val="0034355A"/>
    <w:rsid w:val="00343568"/>
    <w:rsid w:val="003435E5"/>
    <w:rsid w:val="00343600"/>
    <w:rsid w:val="0034371F"/>
    <w:rsid w:val="00343743"/>
    <w:rsid w:val="00343757"/>
    <w:rsid w:val="00343783"/>
    <w:rsid w:val="003438EA"/>
    <w:rsid w:val="00343920"/>
    <w:rsid w:val="003439B8"/>
    <w:rsid w:val="003439C3"/>
    <w:rsid w:val="00343A3A"/>
    <w:rsid w:val="00343A40"/>
    <w:rsid w:val="00343B00"/>
    <w:rsid w:val="00343B1B"/>
    <w:rsid w:val="00343B28"/>
    <w:rsid w:val="00343B73"/>
    <w:rsid w:val="00343B90"/>
    <w:rsid w:val="00343B93"/>
    <w:rsid w:val="00343BE3"/>
    <w:rsid w:val="00343C06"/>
    <w:rsid w:val="00343C62"/>
    <w:rsid w:val="00343C9E"/>
    <w:rsid w:val="00343CF5"/>
    <w:rsid w:val="00343D5C"/>
    <w:rsid w:val="00343D7E"/>
    <w:rsid w:val="00343DE8"/>
    <w:rsid w:val="00343DEE"/>
    <w:rsid w:val="00343EFD"/>
    <w:rsid w:val="00343F15"/>
    <w:rsid w:val="00343FFA"/>
    <w:rsid w:val="00344114"/>
    <w:rsid w:val="003441BB"/>
    <w:rsid w:val="00344229"/>
    <w:rsid w:val="00344241"/>
    <w:rsid w:val="00344259"/>
    <w:rsid w:val="00344281"/>
    <w:rsid w:val="0034431C"/>
    <w:rsid w:val="00344358"/>
    <w:rsid w:val="0034446D"/>
    <w:rsid w:val="00344498"/>
    <w:rsid w:val="003444F7"/>
    <w:rsid w:val="00344520"/>
    <w:rsid w:val="003445A1"/>
    <w:rsid w:val="003445E5"/>
    <w:rsid w:val="003446AB"/>
    <w:rsid w:val="0034472B"/>
    <w:rsid w:val="00344744"/>
    <w:rsid w:val="003447C2"/>
    <w:rsid w:val="003447CD"/>
    <w:rsid w:val="003448AF"/>
    <w:rsid w:val="003448F4"/>
    <w:rsid w:val="0034493E"/>
    <w:rsid w:val="00344978"/>
    <w:rsid w:val="00344A04"/>
    <w:rsid w:val="00344A05"/>
    <w:rsid w:val="00344A31"/>
    <w:rsid w:val="00344ACE"/>
    <w:rsid w:val="00344AED"/>
    <w:rsid w:val="00344B12"/>
    <w:rsid w:val="00344B2F"/>
    <w:rsid w:val="00344B36"/>
    <w:rsid w:val="00344B4D"/>
    <w:rsid w:val="00344BCA"/>
    <w:rsid w:val="00344BED"/>
    <w:rsid w:val="00344C2A"/>
    <w:rsid w:val="00344CCE"/>
    <w:rsid w:val="00344D92"/>
    <w:rsid w:val="00344DDD"/>
    <w:rsid w:val="00344EB5"/>
    <w:rsid w:val="00344F1D"/>
    <w:rsid w:val="00344F3E"/>
    <w:rsid w:val="00344F52"/>
    <w:rsid w:val="00344F61"/>
    <w:rsid w:val="00344FEC"/>
    <w:rsid w:val="00345096"/>
    <w:rsid w:val="003450C2"/>
    <w:rsid w:val="00345119"/>
    <w:rsid w:val="0034513B"/>
    <w:rsid w:val="0034523A"/>
    <w:rsid w:val="00345265"/>
    <w:rsid w:val="00345280"/>
    <w:rsid w:val="003452AA"/>
    <w:rsid w:val="003452B4"/>
    <w:rsid w:val="0034530F"/>
    <w:rsid w:val="00345363"/>
    <w:rsid w:val="0034536A"/>
    <w:rsid w:val="00345378"/>
    <w:rsid w:val="003453CD"/>
    <w:rsid w:val="00345403"/>
    <w:rsid w:val="00345519"/>
    <w:rsid w:val="00345575"/>
    <w:rsid w:val="003456C7"/>
    <w:rsid w:val="0034572F"/>
    <w:rsid w:val="0034579D"/>
    <w:rsid w:val="003457DA"/>
    <w:rsid w:val="00345884"/>
    <w:rsid w:val="0034588E"/>
    <w:rsid w:val="003459B8"/>
    <w:rsid w:val="003459E1"/>
    <w:rsid w:val="003459F6"/>
    <w:rsid w:val="003459FC"/>
    <w:rsid w:val="00345A03"/>
    <w:rsid w:val="00345A0E"/>
    <w:rsid w:val="00345A3A"/>
    <w:rsid w:val="00345AE5"/>
    <w:rsid w:val="00345B82"/>
    <w:rsid w:val="00345BA6"/>
    <w:rsid w:val="00345C47"/>
    <w:rsid w:val="00345CB6"/>
    <w:rsid w:val="00345DA4"/>
    <w:rsid w:val="00345DC2"/>
    <w:rsid w:val="00345F71"/>
    <w:rsid w:val="00346005"/>
    <w:rsid w:val="00346038"/>
    <w:rsid w:val="00346088"/>
    <w:rsid w:val="003460CF"/>
    <w:rsid w:val="003460FF"/>
    <w:rsid w:val="00346115"/>
    <w:rsid w:val="00346125"/>
    <w:rsid w:val="0034619A"/>
    <w:rsid w:val="003461B3"/>
    <w:rsid w:val="003461D7"/>
    <w:rsid w:val="0034623E"/>
    <w:rsid w:val="00346251"/>
    <w:rsid w:val="0034628C"/>
    <w:rsid w:val="003462DA"/>
    <w:rsid w:val="003462EC"/>
    <w:rsid w:val="00346395"/>
    <w:rsid w:val="003463D5"/>
    <w:rsid w:val="0034644E"/>
    <w:rsid w:val="00346457"/>
    <w:rsid w:val="003464C0"/>
    <w:rsid w:val="00346632"/>
    <w:rsid w:val="00346908"/>
    <w:rsid w:val="0034690F"/>
    <w:rsid w:val="00346913"/>
    <w:rsid w:val="00346994"/>
    <w:rsid w:val="003469A3"/>
    <w:rsid w:val="003469AF"/>
    <w:rsid w:val="003469C5"/>
    <w:rsid w:val="003469F9"/>
    <w:rsid w:val="003469FE"/>
    <w:rsid w:val="00346A2B"/>
    <w:rsid w:val="00346A43"/>
    <w:rsid w:val="00346A70"/>
    <w:rsid w:val="00346ABC"/>
    <w:rsid w:val="00346B02"/>
    <w:rsid w:val="00346B1C"/>
    <w:rsid w:val="00346C0B"/>
    <w:rsid w:val="00346C39"/>
    <w:rsid w:val="00346D14"/>
    <w:rsid w:val="00346DA6"/>
    <w:rsid w:val="00346DB5"/>
    <w:rsid w:val="00346F3F"/>
    <w:rsid w:val="00346F7B"/>
    <w:rsid w:val="00346F83"/>
    <w:rsid w:val="00346FCB"/>
    <w:rsid w:val="003470F3"/>
    <w:rsid w:val="0034711A"/>
    <w:rsid w:val="003471E8"/>
    <w:rsid w:val="0034731A"/>
    <w:rsid w:val="00347338"/>
    <w:rsid w:val="003473BC"/>
    <w:rsid w:val="00347418"/>
    <w:rsid w:val="00347465"/>
    <w:rsid w:val="003475F0"/>
    <w:rsid w:val="003475F8"/>
    <w:rsid w:val="0034773A"/>
    <w:rsid w:val="00347780"/>
    <w:rsid w:val="0034783E"/>
    <w:rsid w:val="00347873"/>
    <w:rsid w:val="003478E9"/>
    <w:rsid w:val="003478F3"/>
    <w:rsid w:val="00347971"/>
    <w:rsid w:val="0034797C"/>
    <w:rsid w:val="003479C0"/>
    <w:rsid w:val="003479C2"/>
    <w:rsid w:val="00347A62"/>
    <w:rsid w:val="00347A6C"/>
    <w:rsid w:val="00347AA7"/>
    <w:rsid w:val="00347ACA"/>
    <w:rsid w:val="00347AF1"/>
    <w:rsid w:val="00347B6D"/>
    <w:rsid w:val="00347C14"/>
    <w:rsid w:val="00347C96"/>
    <w:rsid w:val="00347CA6"/>
    <w:rsid w:val="00347CDA"/>
    <w:rsid w:val="00347D2F"/>
    <w:rsid w:val="00347D64"/>
    <w:rsid w:val="00347DD6"/>
    <w:rsid w:val="00347E05"/>
    <w:rsid w:val="00347E1C"/>
    <w:rsid w:val="00347E25"/>
    <w:rsid w:val="00347E27"/>
    <w:rsid w:val="00347E52"/>
    <w:rsid w:val="00347EDD"/>
    <w:rsid w:val="00347EDE"/>
    <w:rsid w:val="00347F37"/>
    <w:rsid w:val="00347F3F"/>
    <w:rsid w:val="0034991D"/>
    <w:rsid w:val="003500E6"/>
    <w:rsid w:val="003500F1"/>
    <w:rsid w:val="003501BA"/>
    <w:rsid w:val="00350281"/>
    <w:rsid w:val="00350299"/>
    <w:rsid w:val="003502D1"/>
    <w:rsid w:val="00350426"/>
    <w:rsid w:val="00350449"/>
    <w:rsid w:val="0035048F"/>
    <w:rsid w:val="00350491"/>
    <w:rsid w:val="003504CA"/>
    <w:rsid w:val="0035055C"/>
    <w:rsid w:val="0035056B"/>
    <w:rsid w:val="003505DC"/>
    <w:rsid w:val="00350600"/>
    <w:rsid w:val="003506AA"/>
    <w:rsid w:val="003506ED"/>
    <w:rsid w:val="003507D0"/>
    <w:rsid w:val="0035086C"/>
    <w:rsid w:val="0035087C"/>
    <w:rsid w:val="00350883"/>
    <w:rsid w:val="003508A6"/>
    <w:rsid w:val="00350918"/>
    <w:rsid w:val="00350956"/>
    <w:rsid w:val="00350965"/>
    <w:rsid w:val="00350977"/>
    <w:rsid w:val="0035098C"/>
    <w:rsid w:val="003509CD"/>
    <w:rsid w:val="00350A03"/>
    <w:rsid w:val="00350A1A"/>
    <w:rsid w:val="00350A5D"/>
    <w:rsid w:val="00350ABD"/>
    <w:rsid w:val="00350AEC"/>
    <w:rsid w:val="00350B3A"/>
    <w:rsid w:val="00350B6A"/>
    <w:rsid w:val="00350BB7"/>
    <w:rsid w:val="00350BF1"/>
    <w:rsid w:val="00350C36"/>
    <w:rsid w:val="00350C53"/>
    <w:rsid w:val="00350C8D"/>
    <w:rsid w:val="00350CCD"/>
    <w:rsid w:val="00350D49"/>
    <w:rsid w:val="00350E15"/>
    <w:rsid w:val="00350ECF"/>
    <w:rsid w:val="00350F1A"/>
    <w:rsid w:val="00350F4A"/>
    <w:rsid w:val="00350FF0"/>
    <w:rsid w:val="0035103F"/>
    <w:rsid w:val="00351065"/>
    <w:rsid w:val="0035107D"/>
    <w:rsid w:val="003511A3"/>
    <w:rsid w:val="003511DE"/>
    <w:rsid w:val="00351232"/>
    <w:rsid w:val="0035128D"/>
    <w:rsid w:val="00351355"/>
    <w:rsid w:val="003513AC"/>
    <w:rsid w:val="0035142A"/>
    <w:rsid w:val="0035146A"/>
    <w:rsid w:val="00351470"/>
    <w:rsid w:val="0035147B"/>
    <w:rsid w:val="003514BB"/>
    <w:rsid w:val="003514C8"/>
    <w:rsid w:val="0035151B"/>
    <w:rsid w:val="0035153C"/>
    <w:rsid w:val="0035153F"/>
    <w:rsid w:val="0035156A"/>
    <w:rsid w:val="00351580"/>
    <w:rsid w:val="003515E3"/>
    <w:rsid w:val="00351620"/>
    <w:rsid w:val="00351661"/>
    <w:rsid w:val="00351785"/>
    <w:rsid w:val="003517A9"/>
    <w:rsid w:val="003517E9"/>
    <w:rsid w:val="00351823"/>
    <w:rsid w:val="00351904"/>
    <w:rsid w:val="00351996"/>
    <w:rsid w:val="00351A2D"/>
    <w:rsid w:val="00351A36"/>
    <w:rsid w:val="00351A68"/>
    <w:rsid w:val="00351AB8"/>
    <w:rsid w:val="00351AD4"/>
    <w:rsid w:val="00351B2E"/>
    <w:rsid w:val="00351B47"/>
    <w:rsid w:val="00351CB9"/>
    <w:rsid w:val="00351EA8"/>
    <w:rsid w:val="00351EEB"/>
    <w:rsid w:val="00351F67"/>
    <w:rsid w:val="00351FEF"/>
    <w:rsid w:val="00352027"/>
    <w:rsid w:val="00352039"/>
    <w:rsid w:val="00352053"/>
    <w:rsid w:val="0035205F"/>
    <w:rsid w:val="00352072"/>
    <w:rsid w:val="0035214D"/>
    <w:rsid w:val="003521BC"/>
    <w:rsid w:val="00352204"/>
    <w:rsid w:val="00352279"/>
    <w:rsid w:val="00352291"/>
    <w:rsid w:val="003522FF"/>
    <w:rsid w:val="0035240D"/>
    <w:rsid w:val="003524FC"/>
    <w:rsid w:val="00352529"/>
    <w:rsid w:val="003525C1"/>
    <w:rsid w:val="00352624"/>
    <w:rsid w:val="00352702"/>
    <w:rsid w:val="0035270C"/>
    <w:rsid w:val="0035277F"/>
    <w:rsid w:val="00352801"/>
    <w:rsid w:val="00352904"/>
    <w:rsid w:val="00352908"/>
    <w:rsid w:val="003529BC"/>
    <w:rsid w:val="003529E1"/>
    <w:rsid w:val="00352A01"/>
    <w:rsid w:val="00352AE7"/>
    <w:rsid w:val="00352BD7"/>
    <w:rsid w:val="00352C0E"/>
    <w:rsid w:val="00352C42"/>
    <w:rsid w:val="00352C4C"/>
    <w:rsid w:val="00352CB4"/>
    <w:rsid w:val="00352DC4"/>
    <w:rsid w:val="00352DCB"/>
    <w:rsid w:val="00352DEA"/>
    <w:rsid w:val="00352EE3"/>
    <w:rsid w:val="00352EE8"/>
    <w:rsid w:val="00352EFA"/>
    <w:rsid w:val="00352F0D"/>
    <w:rsid w:val="00352F7B"/>
    <w:rsid w:val="0035303B"/>
    <w:rsid w:val="003530CC"/>
    <w:rsid w:val="003530D7"/>
    <w:rsid w:val="003530E4"/>
    <w:rsid w:val="00353217"/>
    <w:rsid w:val="003532A9"/>
    <w:rsid w:val="003532EC"/>
    <w:rsid w:val="00353331"/>
    <w:rsid w:val="00353337"/>
    <w:rsid w:val="003533DC"/>
    <w:rsid w:val="00353476"/>
    <w:rsid w:val="003534A2"/>
    <w:rsid w:val="00353545"/>
    <w:rsid w:val="0035355E"/>
    <w:rsid w:val="0035362C"/>
    <w:rsid w:val="003536ED"/>
    <w:rsid w:val="003536FF"/>
    <w:rsid w:val="00353708"/>
    <w:rsid w:val="00353777"/>
    <w:rsid w:val="003537E5"/>
    <w:rsid w:val="00353814"/>
    <w:rsid w:val="003538A0"/>
    <w:rsid w:val="0035391A"/>
    <w:rsid w:val="00353985"/>
    <w:rsid w:val="003539F7"/>
    <w:rsid w:val="00353A81"/>
    <w:rsid w:val="00353A82"/>
    <w:rsid w:val="00353B4B"/>
    <w:rsid w:val="00353C58"/>
    <w:rsid w:val="00353C88"/>
    <w:rsid w:val="00353CA8"/>
    <w:rsid w:val="00353D0E"/>
    <w:rsid w:val="00353D13"/>
    <w:rsid w:val="00353D24"/>
    <w:rsid w:val="00353D48"/>
    <w:rsid w:val="00353E45"/>
    <w:rsid w:val="00353F53"/>
    <w:rsid w:val="00353FB8"/>
    <w:rsid w:val="00353FCA"/>
    <w:rsid w:val="00353FEB"/>
    <w:rsid w:val="0035409C"/>
    <w:rsid w:val="00354177"/>
    <w:rsid w:val="0035423B"/>
    <w:rsid w:val="0035425F"/>
    <w:rsid w:val="00354364"/>
    <w:rsid w:val="003543ED"/>
    <w:rsid w:val="003543FC"/>
    <w:rsid w:val="00354485"/>
    <w:rsid w:val="0035450E"/>
    <w:rsid w:val="0035455D"/>
    <w:rsid w:val="00354623"/>
    <w:rsid w:val="0035462A"/>
    <w:rsid w:val="00354647"/>
    <w:rsid w:val="00354656"/>
    <w:rsid w:val="00354667"/>
    <w:rsid w:val="0035466F"/>
    <w:rsid w:val="00354687"/>
    <w:rsid w:val="0035478F"/>
    <w:rsid w:val="00354837"/>
    <w:rsid w:val="0035486D"/>
    <w:rsid w:val="0035487F"/>
    <w:rsid w:val="003548AE"/>
    <w:rsid w:val="00354954"/>
    <w:rsid w:val="003549FC"/>
    <w:rsid w:val="00354A5F"/>
    <w:rsid w:val="00354AE4"/>
    <w:rsid w:val="00354AE6"/>
    <w:rsid w:val="00354B7C"/>
    <w:rsid w:val="00354C1B"/>
    <w:rsid w:val="00354C2B"/>
    <w:rsid w:val="00354CA4"/>
    <w:rsid w:val="00354E1B"/>
    <w:rsid w:val="00354F63"/>
    <w:rsid w:val="00354FB4"/>
    <w:rsid w:val="00354FCB"/>
    <w:rsid w:val="003550AD"/>
    <w:rsid w:val="00355152"/>
    <w:rsid w:val="003551BE"/>
    <w:rsid w:val="003551C4"/>
    <w:rsid w:val="003551C5"/>
    <w:rsid w:val="00355271"/>
    <w:rsid w:val="003552A0"/>
    <w:rsid w:val="003552E5"/>
    <w:rsid w:val="00355323"/>
    <w:rsid w:val="0035533A"/>
    <w:rsid w:val="0035535F"/>
    <w:rsid w:val="003553A7"/>
    <w:rsid w:val="003553C1"/>
    <w:rsid w:val="003553DD"/>
    <w:rsid w:val="003553FB"/>
    <w:rsid w:val="0035541F"/>
    <w:rsid w:val="00355430"/>
    <w:rsid w:val="00355438"/>
    <w:rsid w:val="003554C6"/>
    <w:rsid w:val="003554F0"/>
    <w:rsid w:val="00355531"/>
    <w:rsid w:val="003555E9"/>
    <w:rsid w:val="00355618"/>
    <w:rsid w:val="0035565E"/>
    <w:rsid w:val="003556D9"/>
    <w:rsid w:val="003557A2"/>
    <w:rsid w:val="003557E2"/>
    <w:rsid w:val="00355818"/>
    <w:rsid w:val="003558E0"/>
    <w:rsid w:val="00355966"/>
    <w:rsid w:val="0035596F"/>
    <w:rsid w:val="0035599B"/>
    <w:rsid w:val="003559A2"/>
    <w:rsid w:val="003559A8"/>
    <w:rsid w:val="003559D5"/>
    <w:rsid w:val="003559E8"/>
    <w:rsid w:val="00355A91"/>
    <w:rsid w:val="00355AA2"/>
    <w:rsid w:val="00355BBF"/>
    <w:rsid w:val="00355BC2"/>
    <w:rsid w:val="00355BD4"/>
    <w:rsid w:val="00355BD8"/>
    <w:rsid w:val="00355BFA"/>
    <w:rsid w:val="00355CF5"/>
    <w:rsid w:val="00355D15"/>
    <w:rsid w:val="00355E53"/>
    <w:rsid w:val="00355F2F"/>
    <w:rsid w:val="00355FA3"/>
    <w:rsid w:val="00356023"/>
    <w:rsid w:val="003560CA"/>
    <w:rsid w:val="00356147"/>
    <w:rsid w:val="0035620B"/>
    <w:rsid w:val="00356221"/>
    <w:rsid w:val="003562A5"/>
    <w:rsid w:val="003562DD"/>
    <w:rsid w:val="0035632E"/>
    <w:rsid w:val="0035637B"/>
    <w:rsid w:val="0035641B"/>
    <w:rsid w:val="00356462"/>
    <w:rsid w:val="003564D4"/>
    <w:rsid w:val="003564FC"/>
    <w:rsid w:val="00356522"/>
    <w:rsid w:val="0035654A"/>
    <w:rsid w:val="00356554"/>
    <w:rsid w:val="003565F0"/>
    <w:rsid w:val="0035660B"/>
    <w:rsid w:val="0035668F"/>
    <w:rsid w:val="003566AE"/>
    <w:rsid w:val="003566EC"/>
    <w:rsid w:val="00356708"/>
    <w:rsid w:val="0035677A"/>
    <w:rsid w:val="003567F0"/>
    <w:rsid w:val="003568A5"/>
    <w:rsid w:val="003568FF"/>
    <w:rsid w:val="0035692E"/>
    <w:rsid w:val="00356984"/>
    <w:rsid w:val="003569A6"/>
    <w:rsid w:val="00356A2E"/>
    <w:rsid w:val="00356A83"/>
    <w:rsid w:val="00356AA4"/>
    <w:rsid w:val="00356C10"/>
    <w:rsid w:val="00356C2C"/>
    <w:rsid w:val="00356CA5"/>
    <w:rsid w:val="00356CE6"/>
    <w:rsid w:val="00356CE9"/>
    <w:rsid w:val="00356D8E"/>
    <w:rsid w:val="00356DC5"/>
    <w:rsid w:val="00356DDA"/>
    <w:rsid w:val="00356E5D"/>
    <w:rsid w:val="00356E7A"/>
    <w:rsid w:val="00356ED9"/>
    <w:rsid w:val="00356EDA"/>
    <w:rsid w:val="00356F79"/>
    <w:rsid w:val="00356F91"/>
    <w:rsid w:val="00356FB3"/>
    <w:rsid w:val="00356FB8"/>
    <w:rsid w:val="00356FFE"/>
    <w:rsid w:val="00357020"/>
    <w:rsid w:val="00357067"/>
    <w:rsid w:val="003570C0"/>
    <w:rsid w:val="0035714A"/>
    <w:rsid w:val="003571AA"/>
    <w:rsid w:val="003571B2"/>
    <w:rsid w:val="003571EA"/>
    <w:rsid w:val="0035724B"/>
    <w:rsid w:val="00357268"/>
    <w:rsid w:val="003572BD"/>
    <w:rsid w:val="003572E2"/>
    <w:rsid w:val="00357339"/>
    <w:rsid w:val="003573B9"/>
    <w:rsid w:val="0035745D"/>
    <w:rsid w:val="0035751B"/>
    <w:rsid w:val="00357557"/>
    <w:rsid w:val="0035757D"/>
    <w:rsid w:val="0035761E"/>
    <w:rsid w:val="0035764A"/>
    <w:rsid w:val="00357679"/>
    <w:rsid w:val="00357752"/>
    <w:rsid w:val="00357762"/>
    <w:rsid w:val="0035782F"/>
    <w:rsid w:val="00357830"/>
    <w:rsid w:val="003578B5"/>
    <w:rsid w:val="003578C8"/>
    <w:rsid w:val="003578D8"/>
    <w:rsid w:val="00357960"/>
    <w:rsid w:val="003579FA"/>
    <w:rsid w:val="00357A06"/>
    <w:rsid w:val="00357A78"/>
    <w:rsid w:val="00357C57"/>
    <w:rsid w:val="00357C82"/>
    <w:rsid w:val="00357C93"/>
    <w:rsid w:val="00357CCC"/>
    <w:rsid w:val="00357CF2"/>
    <w:rsid w:val="00357DB4"/>
    <w:rsid w:val="00357DD5"/>
    <w:rsid w:val="00357DFB"/>
    <w:rsid w:val="00357E24"/>
    <w:rsid w:val="00357F4E"/>
    <w:rsid w:val="00357F9C"/>
    <w:rsid w:val="00360017"/>
    <w:rsid w:val="00360183"/>
    <w:rsid w:val="00360185"/>
    <w:rsid w:val="003601F9"/>
    <w:rsid w:val="0036027A"/>
    <w:rsid w:val="003602FB"/>
    <w:rsid w:val="00360358"/>
    <w:rsid w:val="003603A0"/>
    <w:rsid w:val="00360400"/>
    <w:rsid w:val="00360409"/>
    <w:rsid w:val="00360415"/>
    <w:rsid w:val="0036047A"/>
    <w:rsid w:val="00360517"/>
    <w:rsid w:val="0036053B"/>
    <w:rsid w:val="00360628"/>
    <w:rsid w:val="0036065B"/>
    <w:rsid w:val="003606FD"/>
    <w:rsid w:val="00360770"/>
    <w:rsid w:val="0036078D"/>
    <w:rsid w:val="0036079E"/>
    <w:rsid w:val="003607BA"/>
    <w:rsid w:val="003607D4"/>
    <w:rsid w:val="00360815"/>
    <w:rsid w:val="003608AA"/>
    <w:rsid w:val="003608E3"/>
    <w:rsid w:val="003608EF"/>
    <w:rsid w:val="0036090F"/>
    <w:rsid w:val="00360970"/>
    <w:rsid w:val="00360985"/>
    <w:rsid w:val="00360A52"/>
    <w:rsid w:val="00360A53"/>
    <w:rsid w:val="00360A6B"/>
    <w:rsid w:val="00360B00"/>
    <w:rsid w:val="00360C0D"/>
    <w:rsid w:val="00360C79"/>
    <w:rsid w:val="00360D48"/>
    <w:rsid w:val="00360DC8"/>
    <w:rsid w:val="00360E11"/>
    <w:rsid w:val="00360E27"/>
    <w:rsid w:val="00360E95"/>
    <w:rsid w:val="00360EF7"/>
    <w:rsid w:val="00360F04"/>
    <w:rsid w:val="00360F24"/>
    <w:rsid w:val="00360F91"/>
    <w:rsid w:val="00360F9E"/>
    <w:rsid w:val="003610AB"/>
    <w:rsid w:val="00361110"/>
    <w:rsid w:val="0036112C"/>
    <w:rsid w:val="0036113F"/>
    <w:rsid w:val="00361148"/>
    <w:rsid w:val="00361183"/>
    <w:rsid w:val="00361187"/>
    <w:rsid w:val="003611E2"/>
    <w:rsid w:val="00361256"/>
    <w:rsid w:val="00361277"/>
    <w:rsid w:val="003612B4"/>
    <w:rsid w:val="003612BF"/>
    <w:rsid w:val="00361311"/>
    <w:rsid w:val="00361352"/>
    <w:rsid w:val="00361389"/>
    <w:rsid w:val="003613D6"/>
    <w:rsid w:val="003613E9"/>
    <w:rsid w:val="0036144A"/>
    <w:rsid w:val="003614EB"/>
    <w:rsid w:val="00361503"/>
    <w:rsid w:val="003615AF"/>
    <w:rsid w:val="003615DA"/>
    <w:rsid w:val="00361613"/>
    <w:rsid w:val="00361661"/>
    <w:rsid w:val="0036166C"/>
    <w:rsid w:val="00361683"/>
    <w:rsid w:val="003617F0"/>
    <w:rsid w:val="00361809"/>
    <w:rsid w:val="00361886"/>
    <w:rsid w:val="003618B4"/>
    <w:rsid w:val="003618D5"/>
    <w:rsid w:val="0036192F"/>
    <w:rsid w:val="0036195D"/>
    <w:rsid w:val="003619A4"/>
    <w:rsid w:val="003619C0"/>
    <w:rsid w:val="00361A06"/>
    <w:rsid w:val="00361A07"/>
    <w:rsid w:val="00361A5F"/>
    <w:rsid w:val="00361A87"/>
    <w:rsid w:val="00361AB1"/>
    <w:rsid w:val="00361AEA"/>
    <w:rsid w:val="00361B5E"/>
    <w:rsid w:val="00361B5F"/>
    <w:rsid w:val="00361B65"/>
    <w:rsid w:val="00361C3E"/>
    <w:rsid w:val="00361C5C"/>
    <w:rsid w:val="00361CA5"/>
    <w:rsid w:val="00361CCA"/>
    <w:rsid w:val="00361CF1"/>
    <w:rsid w:val="00361CF2"/>
    <w:rsid w:val="00361DC3"/>
    <w:rsid w:val="00361E5F"/>
    <w:rsid w:val="00361F82"/>
    <w:rsid w:val="00361FD6"/>
    <w:rsid w:val="00362007"/>
    <w:rsid w:val="0036204F"/>
    <w:rsid w:val="0036206E"/>
    <w:rsid w:val="003620DB"/>
    <w:rsid w:val="003620E5"/>
    <w:rsid w:val="003620E9"/>
    <w:rsid w:val="003621AF"/>
    <w:rsid w:val="003621BC"/>
    <w:rsid w:val="003621FE"/>
    <w:rsid w:val="00362226"/>
    <w:rsid w:val="003622E0"/>
    <w:rsid w:val="0036239F"/>
    <w:rsid w:val="003623F0"/>
    <w:rsid w:val="00362482"/>
    <w:rsid w:val="00362548"/>
    <w:rsid w:val="003625AD"/>
    <w:rsid w:val="00362648"/>
    <w:rsid w:val="003626E1"/>
    <w:rsid w:val="00362720"/>
    <w:rsid w:val="00362723"/>
    <w:rsid w:val="00362759"/>
    <w:rsid w:val="003627D0"/>
    <w:rsid w:val="0036280B"/>
    <w:rsid w:val="00362843"/>
    <w:rsid w:val="003628F9"/>
    <w:rsid w:val="00362A01"/>
    <w:rsid w:val="00362A18"/>
    <w:rsid w:val="00362A21"/>
    <w:rsid w:val="00362A5F"/>
    <w:rsid w:val="00362BB8"/>
    <w:rsid w:val="00362C69"/>
    <w:rsid w:val="00362C79"/>
    <w:rsid w:val="00362CFF"/>
    <w:rsid w:val="00362D31"/>
    <w:rsid w:val="00362D6E"/>
    <w:rsid w:val="00362D78"/>
    <w:rsid w:val="00362D8B"/>
    <w:rsid w:val="00362F4E"/>
    <w:rsid w:val="00362F78"/>
    <w:rsid w:val="00362FA6"/>
    <w:rsid w:val="00363030"/>
    <w:rsid w:val="0036307B"/>
    <w:rsid w:val="003630C6"/>
    <w:rsid w:val="003630FA"/>
    <w:rsid w:val="00363120"/>
    <w:rsid w:val="00363171"/>
    <w:rsid w:val="003632DA"/>
    <w:rsid w:val="00363308"/>
    <w:rsid w:val="00363439"/>
    <w:rsid w:val="0036345D"/>
    <w:rsid w:val="00363464"/>
    <w:rsid w:val="00363465"/>
    <w:rsid w:val="003634F3"/>
    <w:rsid w:val="003635FB"/>
    <w:rsid w:val="00363606"/>
    <w:rsid w:val="00363694"/>
    <w:rsid w:val="003636B6"/>
    <w:rsid w:val="003636BB"/>
    <w:rsid w:val="003636DE"/>
    <w:rsid w:val="00363816"/>
    <w:rsid w:val="00363855"/>
    <w:rsid w:val="00363859"/>
    <w:rsid w:val="0036392F"/>
    <w:rsid w:val="003639AC"/>
    <w:rsid w:val="00363A13"/>
    <w:rsid w:val="00363A2E"/>
    <w:rsid w:val="00363A80"/>
    <w:rsid w:val="00363AF6"/>
    <w:rsid w:val="00363B6A"/>
    <w:rsid w:val="00363B76"/>
    <w:rsid w:val="00363B9C"/>
    <w:rsid w:val="00363BFB"/>
    <w:rsid w:val="00363C8D"/>
    <w:rsid w:val="00363D4E"/>
    <w:rsid w:val="00363D8D"/>
    <w:rsid w:val="00363E70"/>
    <w:rsid w:val="00363ED3"/>
    <w:rsid w:val="00363F58"/>
    <w:rsid w:val="00363F83"/>
    <w:rsid w:val="00363F99"/>
    <w:rsid w:val="00363FE6"/>
    <w:rsid w:val="00364074"/>
    <w:rsid w:val="003640A7"/>
    <w:rsid w:val="003641A6"/>
    <w:rsid w:val="00364201"/>
    <w:rsid w:val="0036425A"/>
    <w:rsid w:val="003642D1"/>
    <w:rsid w:val="00364314"/>
    <w:rsid w:val="00364438"/>
    <w:rsid w:val="0036444B"/>
    <w:rsid w:val="0036447A"/>
    <w:rsid w:val="0036448F"/>
    <w:rsid w:val="003646CA"/>
    <w:rsid w:val="003647FA"/>
    <w:rsid w:val="0036486A"/>
    <w:rsid w:val="0036487A"/>
    <w:rsid w:val="003648B6"/>
    <w:rsid w:val="003648D7"/>
    <w:rsid w:val="003648F6"/>
    <w:rsid w:val="00364934"/>
    <w:rsid w:val="0036499C"/>
    <w:rsid w:val="003649B8"/>
    <w:rsid w:val="003649D7"/>
    <w:rsid w:val="00364A7E"/>
    <w:rsid w:val="00364AB1"/>
    <w:rsid w:val="00364AC2"/>
    <w:rsid w:val="00364B1B"/>
    <w:rsid w:val="00364B77"/>
    <w:rsid w:val="00364BA7"/>
    <w:rsid w:val="00364C0E"/>
    <w:rsid w:val="00364C51"/>
    <w:rsid w:val="00364D20"/>
    <w:rsid w:val="00364D37"/>
    <w:rsid w:val="00364DC4"/>
    <w:rsid w:val="00364DF5"/>
    <w:rsid w:val="00364E52"/>
    <w:rsid w:val="00364ED7"/>
    <w:rsid w:val="00364F2C"/>
    <w:rsid w:val="00364F44"/>
    <w:rsid w:val="00365029"/>
    <w:rsid w:val="0036504C"/>
    <w:rsid w:val="003650ED"/>
    <w:rsid w:val="003652FE"/>
    <w:rsid w:val="0036533E"/>
    <w:rsid w:val="00365602"/>
    <w:rsid w:val="00365735"/>
    <w:rsid w:val="0036584F"/>
    <w:rsid w:val="00365861"/>
    <w:rsid w:val="00365867"/>
    <w:rsid w:val="0036587D"/>
    <w:rsid w:val="00365967"/>
    <w:rsid w:val="003659CF"/>
    <w:rsid w:val="00365A44"/>
    <w:rsid w:val="00365AB9"/>
    <w:rsid w:val="00365B03"/>
    <w:rsid w:val="00365B09"/>
    <w:rsid w:val="00365B0F"/>
    <w:rsid w:val="00365B76"/>
    <w:rsid w:val="00365BBF"/>
    <w:rsid w:val="00365C9E"/>
    <w:rsid w:val="00365CFD"/>
    <w:rsid w:val="00365DF5"/>
    <w:rsid w:val="00365E00"/>
    <w:rsid w:val="00365E22"/>
    <w:rsid w:val="00365E34"/>
    <w:rsid w:val="00365E98"/>
    <w:rsid w:val="00365EAB"/>
    <w:rsid w:val="00365F3B"/>
    <w:rsid w:val="00365F40"/>
    <w:rsid w:val="00365F57"/>
    <w:rsid w:val="00365F5A"/>
    <w:rsid w:val="00365F8E"/>
    <w:rsid w:val="00365FDD"/>
    <w:rsid w:val="00365FE6"/>
    <w:rsid w:val="00366097"/>
    <w:rsid w:val="00366148"/>
    <w:rsid w:val="00366217"/>
    <w:rsid w:val="00366273"/>
    <w:rsid w:val="0036638E"/>
    <w:rsid w:val="003663EA"/>
    <w:rsid w:val="00366440"/>
    <w:rsid w:val="00366493"/>
    <w:rsid w:val="00366630"/>
    <w:rsid w:val="00366649"/>
    <w:rsid w:val="0036670D"/>
    <w:rsid w:val="0036673F"/>
    <w:rsid w:val="003667C2"/>
    <w:rsid w:val="00366875"/>
    <w:rsid w:val="003668B4"/>
    <w:rsid w:val="003668CA"/>
    <w:rsid w:val="003669B4"/>
    <w:rsid w:val="00366A80"/>
    <w:rsid w:val="00366B13"/>
    <w:rsid w:val="00366B30"/>
    <w:rsid w:val="00366B3F"/>
    <w:rsid w:val="00366C25"/>
    <w:rsid w:val="00366C70"/>
    <w:rsid w:val="00366CE3"/>
    <w:rsid w:val="00366CF7"/>
    <w:rsid w:val="00366ECF"/>
    <w:rsid w:val="00366F01"/>
    <w:rsid w:val="00366F52"/>
    <w:rsid w:val="00366F8E"/>
    <w:rsid w:val="00366F9A"/>
    <w:rsid w:val="00367030"/>
    <w:rsid w:val="0036709D"/>
    <w:rsid w:val="003670E2"/>
    <w:rsid w:val="0036711D"/>
    <w:rsid w:val="003671D7"/>
    <w:rsid w:val="003671E1"/>
    <w:rsid w:val="0036724F"/>
    <w:rsid w:val="0036737C"/>
    <w:rsid w:val="003674D9"/>
    <w:rsid w:val="003674FC"/>
    <w:rsid w:val="00367559"/>
    <w:rsid w:val="00367583"/>
    <w:rsid w:val="003675E8"/>
    <w:rsid w:val="00367773"/>
    <w:rsid w:val="003677FE"/>
    <w:rsid w:val="00367845"/>
    <w:rsid w:val="00367855"/>
    <w:rsid w:val="003678BC"/>
    <w:rsid w:val="00367A8E"/>
    <w:rsid w:val="00367BB6"/>
    <w:rsid w:val="00367BFF"/>
    <w:rsid w:val="00367C0B"/>
    <w:rsid w:val="00367C4D"/>
    <w:rsid w:val="00367CB2"/>
    <w:rsid w:val="00367D15"/>
    <w:rsid w:val="00367D26"/>
    <w:rsid w:val="00367D9C"/>
    <w:rsid w:val="00367DBA"/>
    <w:rsid w:val="00367DEB"/>
    <w:rsid w:val="00367DF6"/>
    <w:rsid w:val="00367E90"/>
    <w:rsid w:val="00367ED7"/>
    <w:rsid w:val="00367EF3"/>
    <w:rsid w:val="00367F1F"/>
    <w:rsid w:val="00367FD3"/>
    <w:rsid w:val="0037002F"/>
    <w:rsid w:val="0037007D"/>
    <w:rsid w:val="00370106"/>
    <w:rsid w:val="003701A5"/>
    <w:rsid w:val="0037021C"/>
    <w:rsid w:val="0037026B"/>
    <w:rsid w:val="00370333"/>
    <w:rsid w:val="00370383"/>
    <w:rsid w:val="003703DA"/>
    <w:rsid w:val="00370492"/>
    <w:rsid w:val="003704AE"/>
    <w:rsid w:val="003704B4"/>
    <w:rsid w:val="003704CE"/>
    <w:rsid w:val="003705E5"/>
    <w:rsid w:val="0037072F"/>
    <w:rsid w:val="00370741"/>
    <w:rsid w:val="00370777"/>
    <w:rsid w:val="00370842"/>
    <w:rsid w:val="00370863"/>
    <w:rsid w:val="003708BD"/>
    <w:rsid w:val="0037093F"/>
    <w:rsid w:val="0037094B"/>
    <w:rsid w:val="003709C4"/>
    <w:rsid w:val="003709E3"/>
    <w:rsid w:val="00370A91"/>
    <w:rsid w:val="00370AC8"/>
    <w:rsid w:val="00370B33"/>
    <w:rsid w:val="00370E8D"/>
    <w:rsid w:val="00370EBC"/>
    <w:rsid w:val="00370EF0"/>
    <w:rsid w:val="00370F3C"/>
    <w:rsid w:val="00370F75"/>
    <w:rsid w:val="003710A1"/>
    <w:rsid w:val="00371146"/>
    <w:rsid w:val="00371209"/>
    <w:rsid w:val="0037120B"/>
    <w:rsid w:val="0037120C"/>
    <w:rsid w:val="003712B8"/>
    <w:rsid w:val="003712C9"/>
    <w:rsid w:val="0037136A"/>
    <w:rsid w:val="00371386"/>
    <w:rsid w:val="003713CF"/>
    <w:rsid w:val="00371497"/>
    <w:rsid w:val="003714D2"/>
    <w:rsid w:val="003715D5"/>
    <w:rsid w:val="0037164E"/>
    <w:rsid w:val="00371672"/>
    <w:rsid w:val="003716B5"/>
    <w:rsid w:val="003717AF"/>
    <w:rsid w:val="003717C0"/>
    <w:rsid w:val="0037180B"/>
    <w:rsid w:val="003718D0"/>
    <w:rsid w:val="003719AE"/>
    <w:rsid w:val="003719B5"/>
    <w:rsid w:val="00371A76"/>
    <w:rsid w:val="00371AC6"/>
    <w:rsid w:val="00371AD1"/>
    <w:rsid w:val="00371BA7"/>
    <w:rsid w:val="00371BED"/>
    <w:rsid w:val="00371C46"/>
    <w:rsid w:val="00371C85"/>
    <w:rsid w:val="00371CA7"/>
    <w:rsid w:val="00371CD5"/>
    <w:rsid w:val="00371D19"/>
    <w:rsid w:val="00371D99"/>
    <w:rsid w:val="00371E06"/>
    <w:rsid w:val="00371E84"/>
    <w:rsid w:val="00371EF7"/>
    <w:rsid w:val="00371F35"/>
    <w:rsid w:val="00371F48"/>
    <w:rsid w:val="00371FB7"/>
    <w:rsid w:val="0037204C"/>
    <w:rsid w:val="00372079"/>
    <w:rsid w:val="003720C9"/>
    <w:rsid w:val="0037212D"/>
    <w:rsid w:val="0037217A"/>
    <w:rsid w:val="00372202"/>
    <w:rsid w:val="0037221D"/>
    <w:rsid w:val="00372231"/>
    <w:rsid w:val="00372273"/>
    <w:rsid w:val="003722BA"/>
    <w:rsid w:val="0037237B"/>
    <w:rsid w:val="00372431"/>
    <w:rsid w:val="00372460"/>
    <w:rsid w:val="0037250E"/>
    <w:rsid w:val="0037257A"/>
    <w:rsid w:val="00372598"/>
    <w:rsid w:val="0037259D"/>
    <w:rsid w:val="003725C3"/>
    <w:rsid w:val="003725EB"/>
    <w:rsid w:val="0037260F"/>
    <w:rsid w:val="003726A6"/>
    <w:rsid w:val="003726C6"/>
    <w:rsid w:val="003726EC"/>
    <w:rsid w:val="00372732"/>
    <w:rsid w:val="003727A5"/>
    <w:rsid w:val="003727CE"/>
    <w:rsid w:val="003727F5"/>
    <w:rsid w:val="003727FC"/>
    <w:rsid w:val="00372819"/>
    <w:rsid w:val="0037286F"/>
    <w:rsid w:val="003728BB"/>
    <w:rsid w:val="0037291B"/>
    <w:rsid w:val="0037293A"/>
    <w:rsid w:val="00372978"/>
    <w:rsid w:val="003729E4"/>
    <w:rsid w:val="00372A76"/>
    <w:rsid w:val="00372AB1"/>
    <w:rsid w:val="00372B3C"/>
    <w:rsid w:val="00372BE0"/>
    <w:rsid w:val="00372BFC"/>
    <w:rsid w:val="00372C79"/>
    <w:rsid w:val="00372C81"/>
    <w:rsid w:val="00372C94"/>
    <w:rsid w:val="00372CC3"/>
    <w:rsid w:val="00372CEC"/>
    <w:rsid w:val="00372D24"/>
    <w:rsid w:val="00372D9F"/>
    <w:rsid w:val="00372DBE"/>
    <w:rsid w:val="00372DC7"/>
    <w:rsid w:val="00372F4F"/>
    <w:rsid w:val="00372FED"/>
    <w:rsid w:val="003730A6"/>
    <w:rsid w:val="003731D1"/>
    <w:rsid w:val="003732BA"/>
    <w:rsid w:val="003732E0"/>
    <w:rsid w:val="00373301"/>
    <w:rsid w:val="0037333C"/>
    <w:rsid w:val="003733CA"/>
    <w:rsid w:val="0037343A"/>
    <w:rsid w:val="00373497"/>
    <w:rsid w:val="0037349D"/>
    <w:rsid w:val="00373513"/>
    <w:rsid w:val="00373526"/>
    <w:rsid w:val="00373568"/>
    <w:rsid w:val="003735BE"/>
    <w:rsid w:val="003735FE"/>
    <w:rsid w:val="0037360B"/>
    <w:rsid w:val="0037363A"/>
    <w:rsid w:val="003736A3"/>
    <w:rsid w:val="003736FB"/>
    <w:rsid w:val="00373735"/>
    <w:rsid w:val="00373774"/>
    <w:rsid w:val="003737B9"/>
    <w:rsid w:val="003737BB"/>
    <w:rsid w:val="00373826"/>
    <w:rsid w:val="0037387B"/>
    <w:rsid w:val="0037394C"/>
    <w:rsid w:val="00373998"/>
    <w:rsid w:val="0037399E"/>
    <w:rsid w:val="00373A35"/>
    <w:rsid w:val="00373AC0"/>
    <w:rsid w:val="00373AD7"/>
    <w:rsid w:val="00373ADF"/>
    <w:rsid w:val="00373B79"/>
    <w:rsid w:val="00373B7F"/>
    <w:rsid w:val="00373B85"/>
    <w:rsid w:val="00373BE0"/>
    <w:rsid w:val="00373C46"/>
    <w:rsid w:val="00373C4B"/>
    <w:rsid w:val="00373D0C"/>
    <w:rsid w:val="00373DC1"/>
    <w:rsid w:val="00373DDD"/>
    <w:rsid w:val="00373DE1"/>
    <w:rsid w:val="00373E34"/>
    <w:rsid w:val="00373E64"/>
    <w:rsid w:val="00373E70"/>
    <w:rsid w:val="00373EF2"/>
    <w:rsid w:val="00373EFE"/>
    <w:rsid w:val="00373F03"/>
    <w:rsid w:val="00373F2B"/>
    <w:rsid w:val="00373FF3"/>
    <w:rsid w:val="00374011"/>
    <w:rsid w:val="00374066"/>
    <w:rsid w:val="0037406F"/>
    <w:rsid w:val="003740BB"/>
    <w:rsid w:val="0037419A"/>
    <w:rsid w:val="003742CE"/>
    <w:rsid w:val="003742E8"/>
    <w:rsid w:val="0037430C"/>
    <w:rsid w:val="00374354"/>
    <w:rsid w:val="0037435A"/>
    <w:rsid w:val="0037442A"/>
    <w:rsid w:val="00374456"/>
    <w:rsid w:val="0037453F"/>
    <w:rsid w:val="003745C8"/>
    <w:rsid w:val="003745CA"/>
    <w:rsid w:val="00374617"/>
    <w:rsid w:val="0037463B"/>
    <w:rsid w:val="0037468C"/>
    <w:rsid w:val="00374692"/>
    <w:rsid w:val="0037478E"/>
    <w:rsid w:val="0037479A"/>
    <w:rsid w:val="003747B4"/>
    <w:rsid w:val="003747C6"/>
    <w:rsid w:val="003747FC"/>
    <w:rsid w:val="00374826"/>
    <w:rsid w:val="0037484A"/>
    <w:rsid w:val="0037485E"/>
    <w:rsid w:val="00374978"/>
    <w:rsid w:val="00374980"/>
    <w:rsid w:val="00374A98"/>
    <w:rsid w:val="00374B0E"/>
    <w:rsid w:val="00374C23"/>
    <w:rsid w:val="00374C8E"/>
    <w:rsid w:val="00374C9C"/>
    <w:rsid w:val="00374CAA"/>
    <w:rsid w:val="00374CB5"/>
    <w:rsid w:val="00374D78"/>
    <w:rsid w:val="00374D90"/>
    <w:rsid w:val="00374DC0"/>
    <w:rsid w:val="00374DEC"/>
    <w:rsid w:val="00374F0F"/>
    <w:rsid w:val="00374F40"/>
    <w:rsid w:val="00374FA4"/>
    <w:rsid w:val="00375014"/>
    <w:rsid w:val="00375062"/>
    <w:rsid w:val="00375103"/>
    <w:rsid w:val="00375158"/>
    <w:rsid w:val="0037516E"/>
    <w:rsid w:val="0037519A"/>
    <w:rsid w:val="00375210"/>
    <w:rsid w:val="00375213"/>
    <w:rsid w:val="0037521C"/>
    <w:rsid w:val="0037527F"/>
    <w:rsid w:val="003752E4"/>
    <w:rsid w:val="0037531B"/>
    <w:rsid w:val="0037532B"/>
    <w:rsid w:val="0037539D"/>
    <w:rsid w:val="003753CD"/>
    <w:rsid w:val="003753EC"/>
    <w:rsid w:val="0037546A"/>
    <w:rsid w:val="003754A5"/>
    <w:rsid w:val="00375519"/>
    <w:rsid w:val="003755AB"/>
    <w:rsid w:val="00375679"/>
    <w:rsid w:val="003756A6"/>
    <w:rsid w:val="0037582D"/>
    <w:rsid w:val="00375992"/>
    <w:rsid w:val="003759E1"/>
    <w:rsid w:val="00375A02"/>
    <w:rsid w:val="00375AAD"/>
    <w:rsid w:val="00375ACD"/>
    <w:rsid w:val="00375B41"/>
    <w:rsid w:val="00375B77"/>
    <w:rsid w:val="00375BE7"/>
    <w:rsid w:val="00375CA8"/>
    <w:rsid w:val="00375D7D"/>
    <w:rsid w:val="00375D9D"/>
    <w:rsid w:val="00375E95"/>
    <w:rsid w:val="00375F5E"/>
    <w:rsid w:val="003760AD"/>
    <w:rsid w:val="00376195"/>
    <w:rsid w:val="003761C1"/>
    <w:rsid w:val="003761F0"/>
    <w:rsid w:val="003762DD"/>
    <w:rsid w:val="003763AE"/>
    <w:rsid w:val="003764B6"/>
    <w:rsid w:val="003764BA"/>
    <w:rsid w:val="003764CC"/>
    <w:rsid w:val="00376549"/>
    <w:rsid w:val="003765B6"/>
    <w:rsid w:val="003765C8"/>
    <w:rsid w:val="003765ED"/>
    <w:rsid w:val="00376682"/>
    <w:rsid w:val="003766C3"/>
    <w:rsid w:val="003766D9"/>
    <w:rsid w:val="003766DC"/>
    <w:rsid w:val="003766E4"/>
    <w:rsid w:val="00376783"/>
    <w:rsid w:val="003767A6"/>
    <w:rsid w:val="003767B6"/>
    <w:rsid w:val="0037681D"/>
    <w:rsid w:val="00376833"/>
    <w:rsid w:val="00376847"/>
    <w:rsid w:val="0037686F"/>
    <w:rsid w:val="00376882"/>
    <w:rsid w:val="0037688E"/>
    <w:rsid w:val="003768C0"/>
    <w:rsid w:val="003768D0"/>
    <w:rsid w:val="0037696B"/>
    <w:rsid w:val="003769D4"/>
    <w:rsid w:val="003769F5"/>
    <w:rsid w:val="00376A74"/>
    <w:rsid w:val="00376AA0"/>
    <w:rsid w:val="00376B05"/>
    <w:rsid w:val="00376B44"/>
    <w:rsid w:val="00376B91"/>
    <w:rsid w:val="00376C51"/>
    <w:rsid w:val="00376C57"/>
    <w:rsid w:val="00376C5D"/>
    <w:rsid w:val="00376C84"/>
    <w:rsid w:val="00376D14"/>
    <w:rsid w:val="00376E35"/>
    <w:rsid w:val="00376E8D"/>
    <w:rsid w:val="00376EAC"/>
    <w:rsid w:val="00376F6D"/>
    <w:rsid w:val="00376FAA"/>
    <w:rsid w:val="00376FBF"/>
    <w:rsid w:val="00376FD2"/>
    <w:rsid w:val="00376FED"/>
    <w:rsid w:val="003770B0"/>
    <w:rsid w:val="003770CF"/>
    <w:rsid w:val="00377111"/>
    <w:rsid w:val="00377123"/>
    <w:rsid w:val="0037712F"/>
    <w:rsid w:val="00377167"/>
    <w:rsid w:val="00377173"/>
    <w:rsid w:val="00377176"/>
    <w:rsid w:val="00377237"/>
    <w:rsid w:val="003772C9"/>
    <w:rsid w:val="00377381"/>
    <w:rsid w:val="003773A0"/>
    <w:rsid w:val="00377436"/>
    <w:rsid w:val="00377440"/>
    <w:rsid w:val="0037746C"/>
    <w:rsid w:val="0037749D"/>
    <w:rsid w:val="00377523"/>
    <w:rsid w:val="003775AD"/>
    <w:rsid w:val="003775D6"/>
    <w:rsid w:val="00377645"/>
    <w:rsid w:val="00377653"/>
    <w:rsid w:val="00377681"/>
    <w:rsid w:val="0037774F"/>
    <w:rsid w:val="0037782A"/>
    <w:rsid w:val="00377856"/>
    <w:rsid w:val="00377928"/>
    <w:rsid w:val="0037798A"/>
    <w:rsid w:val="00377A21"/>
    <w:rsid w:val="00377A68"/>
    <w:rsid w:val="00377A69"/>
    <w:rsid w:val="00377BBD"/>
    <w:rsid w:val="00377BF9"/>
    <w:rsid w:val="00377C26"/>
    <w:rsid w:val="00377CA8"/>
    <w:rsid w:val="00377D7C"/>
    <w:rsid w:val="00377E15"/>
    <w:rsid w:val="00377E1F"/>
    <w:rsid w:val="00377E24"/>
    <w:rsid w:val="00377ED1"/>
    <w:rsid w:val="00377FEB"/>
    <w:rsid w:val="00377FF6"/>
    <w:rsid w:val="0038006E"/>
    <w:rsid w:val="003800D1"/>
    <w:rsid w:val="0038014B"/>
    <w:rsid w:val="0038016D"/>
    <w:rsid w:val="00380185"/>
    <w:rsid w:val="003801DF"/>
    <w:rsid w:val="003801F4"/>
    <w:rsid w:val="00380398"/>
    <w:rsid w:val="003803D0"/>
    <w:rsid w:val="003803EE"/>
    <w:rsid w:val="003804A1"/>
    <w:rsid w:val="003804F0"/>
    <w:rsid w:val="003805CA"/>
    <w:rsid w:val="0038061D"/>
    <w:rsid w:val="00380626"/>
    <w:rsid w:val="00380645"/>
    <w:rsid w:val="003806B8"/>
    <w:rsid w:val="003806CD"/>
    <w:rsid w:val="003806E2"/>
    <w:rsid w:val="0038073E"/>
    <w:rsid w:val="00380742"/>
    <w:rsid w:val="0038079F"/>
    <w:rsid w:val="003807FB"/>
    <w:rsid w:val="0038082B"/>
    <w:rsid w:val="00380850"/>
    <w:rsid w:val="00380959"/>
    <w:rsid w:val="003809A3"/>
    <w:rsid w:val="00380A26"/>
    <w:rsid w:val="00380A29"/>
    <w:rsid w:val="00380A51"/>
    <w:rsid w:val="00380A73"/>
    <w:rsid w:val="00380A98"/>
    <w:rsid w:val="00380AE7"/>
    <w:rsid w:val="00380AEE"/>
    <w:rsid w:val="00380B08"/>
    <w:rsid w:val="00380B0B"/>
    <w:rsid w:val="00380B0C"/>
    <w:rsid w:val="00380BB5"/>
    <w:rsid w:val="00380BBB"/>
    <w:rsid w:val="00380BED"/>
    <w:rsid w:val="00380BFD"/>
    <w:rsid w:val="00380C37"/>
    <w:rsid w:val="00380C51"/>
    <w:rsid w:val="00380C5B"/>
    <w:rsid w:val="00380C7E"/>
    <w:rsid w:val="00380D19"/>
    <w:rsid w:val="00380D53"/>
    <w:rsid w:val="00380DEF"/>
    <w:rsid w:val="00380E39"/>
    <w:rsid w:val="00380E9C"/>
    <w:rsid w:val="00380EA9"/>
    <w:rsid w:val="00380EDB"/>
    <w:rsid w:val="00380F05"/>
    <w:rsid w:val="00380FCD"/>
    <w:rsid w:val="00380FD3"/>
    <w:rsid w:val="00381089"/>
    <w:rsid w:val="0038113E"/>
    <w:rsid w:val="00381218"/>
    <w:rsid w:val="00381259"/>
    <w:rsid w:val="00381277"/>
    <w:rsid w:val="003812ED"/>
    <w:rsid w:val="003812F2"/>
    <w:rsid w:val="00381320"/>
    <w:rsid w:val="00381335"/>
    <w:rsid w:val="003813CC"/>
    <w:rsid w:val="00381427"/>
    <w:rsid w:val="0038143A"/>
    <w:rsid w:val="00381479"/>
    <w:rsid w:val="003814EC"/>
    <w:rsid w:val="00381537"/>
    <w:rsid w:val="0038159C"/>
    <w:rsid w:val="003815A4"/>
    <w:rsid w:val="00381625"/>
    <w:rsid w:val="0038166C"/>
    <w:rsid w:val="00381682"/>
    <w:rsid w:val="003816C9"/>
    <w:rsid w:val="00381738"/>
    <w:rsid w:val="00381762"/>
    <w:rsid w:val="00381809"/>
    <w:rsid w:val="003818A5"/>
    <w:rsid w:val="0038196C"/>
    <w:rsid w:val="0038197B"/>
    <w:rsid w:val="0038199D"/>
    <w:rsid w:val="003819B0"/>
    <w:rsid w:val="003819E7"/>
    <w:rsid w:val="00381A1A"/>
    <w:rsid w:val="00381CED"/>
    <w:rsid w:val="00381D4E"/>
    <w:rsid w:val="00381DFC"/>
    <w:rsid w:val="00381E19"/>
    <w:rsid w:val="00381EC7"/>
    <w:rsid w:val="00381EE6"/>
    <w:rsid w:val="00381F21"/>
    <w:rsid w:val="00381FD5"/>
    <w:rsid w:val="003820D2"/>
    <w:rsid w:val="00382123"/>
    <w:rsid w:val="0038213C"/>
    <w:rsid w:val="00382157"/>
    <w:rsid w:val="00382179"/>
    <w:rsid w:val="0038222B"/>
    <w:rsid w:val="0038224D"/>
    <w:rsid w:val="0038229B"/>
    <w:rsid w:val="003822B1"/>
    <w:rsid w:val="00382342"/>
    <w:rsid w:val="00382381"/>
    <w:rsid w:val="003823DA"/>
    <w:rsid w:val="003824D1"/>
    <w:rsid w:val="003824E2"/>
    <w:rsid w:val="00382513"/>
    <w:rsid w:val="00382517"/>
    <w:rsid w:val="003825EA"/>
    <w:rsid w:val="0038263E"/>
    <w:rsid w:val="003826E9"/>
    <w:rsid w:val="0038275F"/>
    <w:rsid w:val="003827B5"/>
    <w:rsid w:val="003827C4"/>
    <w:rsid w:val="003827FA"/>
    <w:rsid w:val="00382992"/>
    <w:rsid w:val="00382AC2"/>
    <w:rsid w:val="00382B39"/>
    <w:rsid w:val="00382BBC"/>
    <w:rsid w:val="00382CDE"/>
    <w:rsid w:val="00382CF1"/>
    <w:rsid w:val="00382D7C"/>
    <w:rsid w:val="00382DAD"/>
    <w:rsid w:val="00382DD9"/>
    <w:rsid w:val="00382E73"/>
    <w:rsid w:val="00382E77"/>
    <w:rsid w:val="00382EF9"/>
    <w:rsid w:val="00382F15"/>
    <w:rsid w:val="00382F36"/>
    <w:rsid w:val="00382F42"/>
    <w:rsid w:val="00382FDD"/>
    <w:rsid w:val="00382FF0"/>
    <w:rsid w:val="003830AF"/>
    <w:rsid w:val="00383153"/>
    <w:rsid w:val="00383198"/>
    <w:rsid w:val="003831E9"/>
    <w:rsid w:val="00383217"/>
    <w:rsid w:val="0038324C"/>
    <w:rsid w:val="00383274"/>
    <w:rsid w:val="00383350"/>
    <w:rsid w:val="0038335C"/>
    <w:rsid w:val="00383379"/>
    <w:rsid w:val="00383395"/>
    <w:rsid w:val="003833C5"/>
    <w:rsid w:val="003833D1"/>
    <w:rsid w:val="0038349C"/>
    <w:rsid w:val="0038350C"/>
    <w:rsid w:val="00383577"/>
    <w:rsid w:val="00383601"/>
    <w:rsid w:val="0038363E"/>
    <w:rsid w:val="00383665"/>
    <w:rsid w:val="0038367F"/>
    <w:rsid w:val="0038368C"/>
    <w:rsid w:val="0038369C"/>
    <w:rsid w:val="00383714"/>
    <w:rsid w:val="00383814"/>
    <w:rsid w:val="0038383A"/>
    <w:rsid w:val="00383894"/>
    <w:rsid w:val="00383929"/>
    <w:rsid w:val="003839BD"/>
    <w:rsid w:val="003839F0"/>
    <w:rsid w:val="00383A0B"/>
    <w:rsid w:val="00383A49"/>
    <w:rsid w:val="00383A7E"/>
    <w:rsid w:val="00383AFD"/>
    <w:rsid w:val="00383B14"/>
    <w:rsid w:val="00383B6F"/>
    <w:rsid w:val="00383BB5"/>
    <w:rsid w:val="00383CA3"/>
    <w:rsid w:val="00383CA6"/>
    <w:rsid w:val="00383D3D"/>
    <w:rsid w:val="00383D5C"/>
    <w:rsid w:val="00383D70"/>
    <w:rsid w:val="00383E42"/>
    <w:rsid w:val="00383F30"/>
    <w:rsid w:val="00383F67"/>
    <w:rsid w:val="00383F6C"/>
    <w:rsid w:val="0038401C"/>
    <w:rsid w:val="00384086"/>
    <w:rsid w:val="0038412B"/>
    <w:rsid w:val="00384202"/>
    <w:rsid w:val="0038429E"/>
    <w:rsid w:val="003842EB"/>
    <w:rsid w:val="0038445F"/>
    <w:rsid w:val="0038446D"/>
    <w:rsid w:val="003844D3"/>
    <w:rsid w:val="0038450B"/>
    <w:rsid w:val="0038453A"/>
    <w:rsid w:val="0038455B"/>
    <w:rsid w:val="003845A1"/>
    <w:rsid w:val="003845F4"/>
    <w:rsid w:val="0038464E"/>
    <w:rsid w:val="003846D7"/>
    <w:rsid w:val="0038475B"/>
    <w:rsid w:val="003847C4"/>
    <w:rsid w:val="003847CA"/>
    <w:rsid w:val="003847E9"/>
    <w:rsid w:val="00384877"/>
    <w:rsid w:val="003849AF"/>
    <w:rsid w:val="00384A4B"/>
    <w:rsid w:val="00384A71"/>
    <w:rsid w:val="00384A98"/>
    <w:rsid w:val="00384AC7"/>
    <w:rsid w:val="00384B23"/>
    <w:rsid w:val="00384B38"/>
    <w:rsid w:val="00384D12"/>
    <w:rsid w:val="00384D86"/>
    <w:rsid w:val="00384DC1"/>
    <w:rsid w:val="00384DDB"/>
    <w:rsid w:val="00384E4D"/>
    <w:rsid w:val="00384F96"/>
    <w:rsid w:val="00384FAA"/>
    <w:rsid w:val="00384FC2"/>
    <w:rsid w:val="00384FF2"/>
    <w:rsid w:val="00385034"/>
    <w:rsid w:val="003850AC"/>
    <w:rsid w:val="003850F3"/>
    <w:rsid w:val="00385135"/>
    <w:rsid w:val="003851A1"/>
    <w:rsid w:val="003851A9"/>
    <w:rsid w:val="003851E9"/>
    <w:rsid w:val="00385232"/>
    <w:rsid w:val="00385258"/>
    <w:rsid w:val="0038526B"/>
    <w:rsid w:val="003853B2"/>
    <w:rsid w:val="003853F7"/>
    <w:rsid w:val="00385475"/>
    <w:rsid w:val="003854E1"/>
    <w:rsid w:val="00385512"/>
    <w:rsid w:val="00385645"/>
    <w:rsid w:val="0038566A"/>
    <w:rsid w:val="003856BE"/>
    <w:rsid w:val="003856C9"/>
    <w:rsid w:val="003856CA"/>
    <w:rsid w:val="003856FA"/>
    <w:rsid w:val="00385769"/>
    <w:rsid w:val="003857BD"/>
    <w:rsid w:val="003857EA"/>
    <w:rsid w:val="00385875"/>
    <w:rsid w:val="0038591F"/>
    <w:rsid w:val="003859B3"/>
    <w:rsid w:val="003859FA"/>
    <w:rsid w:val="00385A2D"/>
    <w:rsid w:val="00385A5A"/>
    <w:rsid w:val="00385A76"/>
    <w:rsid w:val="00385AE5"/>
    <w:rsid w:val="00385C09"/>
    <w:rsid w:val="00385C14"/>
    <w:rsid w:val="00385C6A"/>
    <w:rsid w:val="00385DA9"/>
    <w:rsid w:val="00385DC1"/>
    <w:rsid w:val="00385DC9"/>
    <w:rsid w:val="00385E31"/>
    <w:rsid w:val="00385E46"/>
    <w:rsid w:val="00385E52"/>
    <w:rsid w:val="00385ED0"/>
    <w:rsid w:val="00385F3E"/>
    <w:rsid w:val="00385F94"/>
    <w:rsid w:val="00385FCF"/>
    <w:rsid w:val="00385FF9"/>
    <w:rsid w:val="0038608D"/>
    <w:rsid w:val="003860C9"/>
    <w:rsid w:val="00386125"/>
    <w:rsid w:val="00386129"/>
    <w:rsid w:val="00386156"/>
    <w:rsid w:val="0038617F"/>
    <w:rsid w:val="003861AB"/>
    <w:rsid w:val="003861BD"/>
    <w:rsid w:val="003862DA"/>
    <w:rsid w:val="0038636A"/>
    <w:rsid w:val="00386379"/>
    <w:rsid w:val="003863A9"/>
    <w:rsid w:val="003863E2"/>
    <w:rsid w:val="003863F7"/>
    <w:rsid w:val="0038646E"/>
    <w:rsid w:val="003864EB"/>
    <w:rsid w:val="00386609"/>
    <w:rsid w:val="00386678"/>
    <w:rsid w:val="00386861"/>
    <w:rsid w:val="00386887"/>
    <w:rsid w:val="003868D1"/>
    <w:rsid w:val="00386947"/>
    <w:rsid w:val="003869A4"/>
    <w:rsid w:val="00386A09"/>
    <w:rsid w:val="00386B05"/>
    <w:rsid w:val="00386B29"/>
    <w:rsid w:val="00386B7C"/>
    <w:rsid w:val="00386C5F"/>
    <w:rsid w:val="00386CC1"/>
    <w:rsid w:val="00386CDE"/>
    <w:rsid w:val="00386DE0"/>
    <w:rsid w:val="00386DFD"/>
    <w:rsid w:val="00386E0F"/>
    <w:rsid w:val="00386E70"/>
    <w:rsid w:val="00386EB2"/>
    <w:rsid w:val="00386F3B"/>
    <w:rsid w:val="00386FA1"/>
    <w:rsid w:val="00386FAA"/>
    <w:rsid w:val="00386FE8"/>
    <w:rsid w:val="00387150"/>
    <w:rsid w:val="0038724F"/>
    <w:rsid w:val="0038729B"/>
    <w:rsid w:val="0038738C"/>
    <w:rsid w:val="003873C3"/>
    <w:rsid w:val="00387457"/>
    <w:rsid w:val="0038749C"/>
    <w:rsid w:val="003874BF"/>
    <w:rsid w:val="0038755F"/>
    <w:rsid w:val="003875A7"/>
    <w:rsid w:val="00387620"/>
    <w:rsid w:val="00387644"/>
    <w:rsid w:val="003876DC"/>
    <w:rsid w:val="0038778C"/>
    <w:rsid w:val="003877B2"/>
    <w:rsid w:val="003877B8"/>
    <w:rsid w:val="003877EF"/>
    <w:rsid w:val="00387816"/>
    <w:rsid w:val="0038784B"/>
    <w:rsid w:val="0038788F"/>
    <w:rsid w:val="003878A5"/>
    <w:rsid w:val="003878CE"/>
    <w:rsid w:val="003878D2"/>
    <w:rsid w:val="003878D8"/>
    <w:rsid w:val="0038794A"/>
    <w:rsid w:val="0038798A"/>
    <w:rsid w:val="003879AF"/>
    <w:rsid w:val="003879CA"/>
    <w:rsid w:val="003879E3"/>
    <w:rsid w:val="00387B07"/>
    <w:rsid w:val="00387B28"/>
    <w:rsid w:val="00387C34"/>
    <w:rsid w:val="00387C42"/>
    <w:rsid w:val="00387C88"/>
    <w:rsid w:val="00387D40"/>
    <w:rsid w:val="00387E4A"/>
    <w:rsid w:val="00387F39"/>
    <w:rsid w:val="00390017"/>
    <w:rsid w:val="00390040"/>
    <w:rsid w:val="00390044"/>
    <w:rsid w:val="0039015D"/>
    <w:rsid w:val="003901F4"/>
    <w:rsid w:val="003901FB"/>
    <w:rsid w:val="00390206"/>
    <w:rsid w:val="0039022E"/>
    <w:rsid w:val="00390236"/>
    <w:rsid w:val="00390272"/>
    <w:rsid w:val="003902D1"/>
    <w:rsid w:val="003902EE"/>
    <w:rsid w:val="00390328"/>
    <w:rsid w:val="00390485"/>
    <w:rsid w:val="003904EB"/>
    <w:rsid w:val="003904ED"/>
    <w:rsid w:val="00390569"/>
    <w:rsid w:val="00390573"/>
    <w:rsid w:val="00390622"/>
    <w:rsid w:val="0039068C"/>
    <w:rsid w:val="003906BF"/>
    <w:rsid w:val="00390708"/>
    <w:rsid w:val="0039079B"/>
    <w:rsid w:val="003907AD"/>
    <w:rsid w:val="003907D7"/>
    <w:rsid w:val="003908A3"/>
    <w:rsid w:val="00390946"/>
    <w:rsid w:val="00390952"/>
    <w:rsid w:val="003909C6"/>
    <w:rsid w:val="00390A7D"/>
    <w:rsid w:val="00390A91"/>
    <w:rsid w:val="00390AA6"/>
    <w:rsid w:val="00390B8B"/>
    <w:rsid w:val="00390BA1"/>
    <w:rsid w:val="00390C17"/>
    <w:rsid w:val="00390C8D"/>
    <w:rsid w:val="00390D14"/>
    <w:rsid w:val="00390D1E"/>
    <w:rsid w:val="00390D84"/>
    <w:rsid w:val="00390D98"/>
    <w:rsid w:val="00390D99"/>
    <w:rsid w:val="00390D9B"/>
    <w:rsid w:val="00390DAA"/>
    <w:rsid w:val="00390DCB"/>
    <w:rsid w:val="00390E16"/>
    <w:rsid w:val="00390E46"/>
    <w:rsid w:val="00390E76"/>
    <w:rsid w:val="00390EAB"/>
    <w:rsid w:val="00390EF9"/>
    <w:rsid w:val="00390F28"/>
    <w:rsid w:val="00390FB9"/>
    <w:rsid w:val="0039100C"/>
    <w:rsid w:val="0039100F"/>
    <w:rsid w:val="0039104F"/>
    <w:rsid w:val="00391066"/>
    <w:rsid w:val="0039107C"/>
    <w:rsid w:val="00391087"/>
    <w:rsid w:val="00391124"/>
    <w:rsid w:val="00391137"/>
    <w:rsid w:val="00391148"/>
    <w:rsid w:val="00391149"/>
    <w:rsid w:val="003911B1"/>
    <w:rsid w:val="003911CD"/>
    <w:rsid w:val="003911FA"/>
    <w:rsid w:val="003912AD"/>
    <w:rsid w:val="003912C5"/>
    <w:rsid w:val="003912E8"/>
    <w:rsid w:val="003913D9"/>
    <w:rsid w:val="003914B1"/>
    <w:rsid w:val="003914D4"/>
    <w:rsid w:val="003914F0"/>
    <w:rsid w:val="003914F9"/>
    <w:rsid w:val="0039156F"/>
    <w:rsid w:val="003915CE"/>
    <w:rsid w:val="003915F2"/>
    <w:rsid w:val="00391631"/>
    <w:rsid w:val="00391688"/>
    <w:rsid w:val="00391754"/>
    <w:rsid w:val="003917B6"/>
    <w:rsid w:val="003917E8"/>
    <w:rsid w:val="00391874"/>
    <w:rsid w:val="00391885"/>
    <w:rsid w:val="003918FA"/>
    <w:rsid w:val="00391912"/>
    <w:rsid w:val="0039199F"/>
    <w:rsid w:val="00391B16"/>
    <w:rsid w:val="00391B7C"/>
    <w:rsid w:val="00391BFF"/>
    <w:rsid w:val="00391C08"/>
    <w:rsid w:val="00391D35"/>
    <w:rsid w:val="00391D51"/>
    <w:rsid w:val="00391D7D"/>
    <w:rsid w:val="00391DA3"/>
    <w:rsid w:val="00391E7E"/>
    <w:rsid w:val="00391EA3"/>
    <w:rsid w:val="00391EA9"/>
    <w:rsid w:val="00391ED0"/>
    <w:rsid w:val="00391F24"/>
    <w:rsid w:val="00391F4F"/>
    <w:rsid w:val="00391FEC"/>
    <w:rsid w:val="0039207D"/>
    <w:rsid w:val="0039209C"/>
    <w:rsid w:val="00392180"/>
    <w:rsid w:val="0039225E"/>
    <w:rsid w:val="00392364"/>
    <w:rsid w:val="003923FE"/>
    <w:rsid w:val="00392428"/>
    <w:rsid w:val="0039256E"/>
    <w:rsid w:val="0039257D"/>
    <w:rsid w:val="003925B4"/>
    <w:rsid w:val="003925CB"/>
    <w:rsid w:val="00392653"/>
    <w:rsid w:val="0039268B"/>
    <w:rsid w:val="0039269B"/>
    <w:rsid w:val="003926BC"/>
    <w:rsid w:val="003926EE"/>
    <w:rsid w:val="00392750"/>
    <w:rsid w:val="003927F3"/>
    <w:rsid w:val="003928B8"/>
    <w:rsid w:val="003928EE"/>
    <w:rsid w:val="003928F8"/>
    <w:rsid w:val="0039293A"/>
    <w:rsid w:val="00392AE4"/>
    <w:rsid w:val="00392AF8"/>
    <w:rsid w:val="00392B70"/>
    <w:rsid w:val="00392BD3"/>
    <w:rsid w:val="00392C88"/>
    <w:rsid w:val="00392C8E"/>
    <w:rsid w:val="00392CC7"/>
    <w:rsid w:val="00392CCC"/>
    <w:rsid w:val="00392D01"/>
    <w:rsid w:val="00392D1F"/>
    <w:rsid w:val="00392D29"/>
    <w:rsid w:val="00392D58"/>
    <w:rsid w:val="00392D81"/>
    <w:rsid w:val="00392D89"/>
    <w:rsid w:val="00392DAE"/>
    <w:rsid w:val="00392E18"/>
    <w:rsid w:val="00392E70"/>
    <w:rsid w:val="00392E85"/>
    <w:rsid w:val="00392FCC"/>
    <w:rsid w:val="0039301E"/>
    <w:rsid w:val="003931E1"/>
    <w:rsid w:val="003932CF"/>
    <w:rsid w:val="003933B6"/>
    <w:rsid w:val="003933C6"/>
    <w:rsid w:val="003933FF"/>
    <w:rsid w:val="00393431"/>
    <w:rsid w:val="00393488"/>
    <w:rsid w:val="003934A9"/>
    <w:rsid w:val="0039353E"/>
    <w:rsid w:val="003935AA"/>
    <w:rsid w:val="0039360E"/>
    <w:rsid w:val="003936D3"/>
    <w:rsid w:val="00393735"/>
    <w:rsid w:val="0039373F"/>
    <w:rsid w:val="00393799"/>
    <w:rsid w:val="003937DD"/>
    <w:rsid w:val="00393867"/>
    <w:rsid w:val="00393881"/>
    <w:rsid w:val="00393884"/>
    <w:rsid w:val="003938CB"/>
    <w:rsid w:val="00393902"/>
    <w:rsid w:val="00393906"/>
    <w:rsid w:val="00393944"/>
    <w:rsid w:val="00393AA6"/>
    <w:rsid w:val="00393ABE"/>
    <w:rsid w:val="00393B37"/>
    <w:rsid w:val="00393B4D"/>
    <w:rsid w:val="00393BBE"/>
    <w:rsid w:val="00393C1D"/>
    <w:rsid w:val="00393CA0"/>
    <w:rsid w:val="00393CCA"/>
    <w:rsid w:val="00393E0C"/>
    <w:rsid w:val="00393E24"/>
    <w:rsid w:val="00393E58"/>
    <w:rsid w:val="00393E7B"/>
    <w:rsid w:val="00393E9C"/>
    <w:rsid w:val="00393E9E"/>
    <w:rsid w:val="00393F29"/>
    <w:rsid w:val="00393F8B"/>
    <w:rsid w:val="003940A0"/>
    <w:rsid w:val="003941E5"/>
    <w:rsid w:val="0039421D"/>
    <w:rsid w:val="0039425F"/>
    <w:rsid w:val="003942FC"/>
    <w:rsid w:val="00394387"/>
    <w:rsid w:val="003943A4"/>
    <w:rsid w:val="003943BB"/>
    <w:rsid w:val="003943DF"/>
    <w:rsid w:val="003943F2"/>
    <w:rsid w:val="003944CE"/>
    <w:rsid w:val="003944D3"/>
    <w:rsid w:val="0039456D"/>
    <w:rsid w:val="003945EB"/>
    <w:rsid w:val="00394617"/>
    <w:rsid w:val="0039462D"/>
    <w:rsid w:val="0039465D"/>
    <w:rsid w:val="00394788"/>
    <w:rsid w:val="003947C4"/>
    <w:rsid w:val="003947C7"/>
    <w:rsid w:val="003947D9"/>
    <w:rsid w:val="0039483F"/>
    <w:rsid w:val="00394927"/>
    <w:rsid w:val="00394931"/>
    <w:rsid w:val="0039495A"/>
    <w:rsid w:val="003949EC"/>
    <w:rsid w:val="003949FB"/>
    <w:rsid w:val="003949FE"/>
    <w:rsid w:val="00394A3A"/>
    <w:rsid w:val="00394A93"/>
    <w:rsid w:val="00394A94"/>
    <w:rsid w:val="00394AEB"/>
    <w:rsid w:val="00394B05"/>
    <w:rsid w:val="00394B31"/>
    <w:rsid w:val="00394B60"/>
    <w:rsid w:val="00394C5B"/>
    <w:rsid w:val="00394CCE"/>
    <w:rsid w:val="00394CFE"/>
    <w:rsid w:val="00394D18"/>
    <w:rsid w:val="00394DD1"/>
    <w:rsid w:val="00394E20"/>
    <w:rsid w:val="00394E6D"/>
    <w:rsid w:val="00394E98"/>
    <w:rsid w:val="00394EAF"/>
    <w:rsid w:val="00394EF9"/>
    <w:rsid w:val="00394F22"/>
    <w:rsid w:val="00394FCF"/>
    <w:rsid w:val="00394FD7"/>
    <w:rsid w:val="00395050"/>
    <w:rsid w:val="00395223"/>
    <w:rsid w:val="0039524C"/>
    <w:rsid w:val="00395283"/>
    <w:rsid w:val="003952C3"/>
    <w:rsid w:val="00395324"/>
    <w:rsid w:val="00395357"/>
    <w:rsid w:val="003953A8"/>
    <w:rsid w:val="003953C1"/>
    <w:rsid w:val="003953D0"/>
    <w:rsid w:val="0039543C"/>
    <w:rsid w:val="0039548D"/>
    <w:rsid w:val="0039549B"/>
    <w:rsid w:val="003954D1"/>
    <w:rsid w:val="003954E4"/>
    <w:rsid w:val="003955B6"/>
    <w:rsid w:val="003955E8"/>
    <w:rsid w:val="0039562E"/>
    <w:rsid w:val="00395634"/>
    <w:rsid w:val="0039566E"/>
    <w:rsid w:val="003956E0"/>
    <w:rsid w:val="003956E7"/>
    <w:rsid w:val="003956F4"/>
    <w:rsid w:val="00395713"/>
    <w:rsid w:val="00395738"/>
    <w:rsid w:val="0039576D"/>
    <w:rsid w:val="0039583B"/>
    <w:rsid w:val="00395842"/>
    <w:rsid w:val="003958B9"/>
    <w:rsid w:val="00395982"/>
    <w:rsid w:val="003959A9"/>
    <w:rsid w:val="003959D8"/>
    <w:rsid w:val="00395A02"/>
    <w:rsid w:val="00395A06"/>
    <w:rsid w:val="00395A48"/>
    <w:rsid w:val="00395B64"/>
    <w:rsid w:val="00395CC3"/>
    <w:rsid w:val="00395CC5"/>
    <w:rsid w:val="00395CEE"/>
    <w:rsid w:val="00395CF4"/>
    <w:rsid w:val="00395D9D"/>
    <w:rsid w:val="00395DC0"/>
    <w:rsid w:val="00395DD8"/>
    <w:rsid w:val="00395EA8"/>
    <w:rsid w:val="00395EC5"/>
    <w:rsid w:val="00395EDC"/>
    <w:rsid w:val="00395EDD"/>
    <w:rsid w:val="00395F11"/>
    <w:rsid w:val="00395FAC"/>
    <w:rsid w:val="00396044"/>
    <w:rsid w:val="00396060"/>
    <w:rsid w:val="0039615C"/>
    <w:rsid w:val="00396174"/>
    <w:rsid w:val="00396180"/>
    <w:rsid w:val="003961B7"/>
    <w:rsid w:val="003961D6"/>
    <w:rsid w:val="003961E3"/>
    <w:rsid w:val="0039626C"/>
    <w:rsid w:val="003962A5"/>
    <w:rsid w:val="003962D4"/>
    <w:rsid w:val="003962D9"/>
    <w:rsid w:val="003962F5"/>
    <w:rsid w:val="00396300"/>
    <w:rsid w:val="0039631B"/>
    <w:rsid w:val="0039632D"/>
    <w:rsid w:val="003963EC"/>
    <w:rsid w:val="00396643"/>
    <w:rsid w:val="00396744"/>
    <w:rsid w:val="00396752"/>
    <w:rsid w:val="003967C0"/>
    <w:rsid w:val="003968BF"/>
    <w:rsid w:val="003968C3"/>
    <w:rsid w:val="00396953"/>
    <w:rsid w:val="003969DE"/>
    <w:rsid w:val="00396A4C"/>
    <w:rsid w:val="00396A7D"/>
    <w:rsid w:val="00396A9B"/>
    <w:rsid w:val="00396A9C"/>
    <w:rsid w:val="00396C1D"/>
    <w:rsid w:val="00396C97"/>
    <w:rsid w:val="00396CC2"/>
    <w:rsid w:val="00396CD1"/>
    <w:rsid w:val="00396DA3"/>
    <w:rsid w:val="00396DA7"/>
    <w:rsid w:val="00396DBF"/>
    <w:rsid w:val="00396E59"/>
    <w:rsid w:val="00396EF7"/>
    <w:rsid w:val="00396FA2"/>
    <w:rsid w:val="00396FA6"/>
    <w:rsid w:val="00396FC7"/>
    <w:rsid w:val="00397154"/>
    <w:rsid w:val="003971C3"/>
    <w:rsid w:val="003971D5"/>
    <w:rsid w:val="00397205"/>
    <w:rsid w:val="0039722E"/>
    <w:rsid w:val="0039724D"/>
    <w:rsid w:val="0039725A"/>
    <w:rsid w:val="0039729A"/>
    <w:rsid w:val="00397398"/>
    <w:rsid w:val="003973B2"/>
    <w:rsid w:val="003973D1"/>
    <w:rsid w:val="003974C4"/>
    <w:rsid w:val="00397509"/>
    <w:rsid w:val="0039754E"/>
    <w:rsid w:val="00397558"/>
    <w:rsid w:val="00397606"/>
    <w:rsid w:val="0039764D"/>
    <w:rsid w:val="00397689"/>
    <w:rsid w:val="003976F8"/>
    <w:rsid w:val="0039772B"/>
    <w:rsid w:val="003977A5"/>
    <w:rsid w:val="003977AC"/>
    <w:rsid w:val="00397892"/>
    <w:rsid w:val="00397895"/>
    <w:rsid w:val="003978BE"/>
    <w:rsid w:val="003979FA"/>
    <w:rsid w:val="00397A82"/>
    <w:rsid w:val="00397AF1"/>
    <w:rsid w:val="00397B20"/>
    <w:rsid w:val="00397B60"/>
    <w:rsid w:val="00397B63"/>
    <w:rsid w:val="00397BC8"/>
    <w:rsid w:val="00397C5B"/>
    <w:rsid w:val="00397D3E"/>
    <w:rsid w:val="00397F00"/>
    <w:rsid w:val="0039A1E4"/>
    <w:rsid w:val="003A007B"/>
    <w:rsid w:val="003A0155"/>
    <w:rsid w:val="003A016E"/>
    <w:rsid w:val="003A0243"/>
    <w:rsid w:val="003A0263"/>
    <w:rsid w:val="003A0302"/>
    <w:rsid w:val="003A03A5"/>
    <w:rsid w:val="003A044F"/>
    <w:rsid w:val="003A04C8"/>
    <w:rsid w:val="003A053D"/>
    <w:rsid w:val="003A05E4"/>
    <w:rsid w:val="003A0622"/>
    <w:rsid w:val="003A0700"/>
    <w:rsid w:val="003A0701"/>
    <w:rsid w:val="003A073F"/>
    <w:rsid w:val="003A07A3"/>
    <w:rsid w:val="003A07DA"/>
    <w:rsid w:val="003A0826"/>
    <w:rsid w:val="003A083A"/>
    <w:rsid w:val="003A0893"/>
    <w:rsid w:val="003A0915"/>
    <w:rsid w:val="003A091B"/>
    <w:rsid w:val="003A0970"/>
    <w:rsid w:val="003A0976"/>
    <w:rsid w:val="003A09F0"/>
    <w:rsid w:val="003A0A04"/>
    <w:rsid w:val="003A0A40"/>
    <w:rsid w:val="003A0A6F"/>
    <w:rsid w:val="003A0A75"/>
    <w:rsid w:val="003A0AD1"/>
    <w:rsid w:val="003A0B01"/>
    <w:rsid w:val="003A0B20"/>
    <w:rsid w:val="003A0B33"/>
    <w:rsid w:val="003A0B82"/>
    <w:rsid w:val="003A0BE0"/>
    <w:rsid w:val="003A0BFC"/>
    <w:rsid w:val="003A0C0C"/>
    <w:rsid w:val="003A0C3F"/>
    <w:rsid w:val="003A0C78"/>
    <w:rsid w:val="003A0C7E"/>
    <w:rsid w:val="003A0E3C"/>
    <w:rsid w:val="003A0F03"/>
    <w:rsid w:val="003A0F0B"/>
    <w:rsid w:val="003A0F79"/>
    <w:rsid w:val="003A0FBA"/>
    <w:rsid w:val="003A0FEB"/>
    <w:rsid w:val="003A0FF9"/>
    <w:rsid w:val="003A112C"/>
    <w:rsid w:val="003A12C4"/>
    <w:rsid w:val="003A1370"/>
    <w:rsid w:val="003A14A5"/>
    <w:rsid w:val="003A14F7"/>
    <w:rsid w:val="003A14FE"/>
    <w:rsid w:val="003A152B"/>
    <w:rsid w:val="003A157A"/>
    <w:rsid w:val="003A15A3"/>
    <w:rsid w:val="003A1651"/>
    <w:rsid w:val="003A1659"/>
    <w:rsid w:val="003A16E7"/>
    <w:rsid w:val="003A173B"/>
    <w:rsid w:val="003A1817"/>
    <w:rsid w:val="003A18A0"/>
    <w:rsid w:val="003A18E0"/>
    <w:rsid w:val="003A1913"/>
    <w:rsid w:val="003A1932"/>
    <w:rsid w:val="003A194A"/>
    <w:rsid w:val="003A1987"/>
    <w:rsid w:val="003A19B6"/>
    <w:rsid w:val="003A19D4"/>
    <w:rsid w:val="003A1A1A"/>
    <w:rsid w:val="003A1A2D"/>
    <w:rsid w:val="003A1A68"/>
    <w:rsid w:val="003A1B5B"/>
    <w:rsid w:val="003A1C47"/>
    <w:rsid w:val="003A1C88"/>
    <w:rsid w:val="003A1CAE"/>
    <w:rsid w:val="003A1CB5"/>
    <w:rsid w:val="003A1CB7"/>
    <w:rsid w:val="003A1CD7"/>
    <w:rsid w:val="003A1D0D"/>
    <w:rsid w:val="003A1D21"/>
    <w:rsid w:val="003A1D38"/>
    <w:rsid w:val="003A1D4E"/>
    <w:rsid w:val="003A1D6A"/>
    <w:rsid w:val="003A1DAF"/>
    <w:rsid w:val="003A1DB3"/>
    <w:rsid w:val="003A1DC4"/>
    <w:rsid w:val="003A1E1E"/>
    <w:rsid w:val="003A1E32"/>
    <w:rsid w:val="003A1E50"/>
    <w:rsid w:val="003A1E8D"/>
    <w:rsid w:val="003A1EDE"/>
    <w:rsid w:val="003A1EE0"/>
    <w:rsid w:val="003A1F2A"/>
    <w:rsid w:val="003A2022"/>
    <w:rsid w:val="003A2056"/>
    <w:rsid w:val="003A21ED"/>
    <w:rsid w:val="003A21FD"/>
    <w:rsid w:val="003A2200"/>
    <w:rsid w:val="003A2221"/>
    <w:rsid w:val="003A2227"/>
    <w:rsid w:val="003A22AA"/>
    <w:rsid w:val="003A23C5"/>
    <w:rsid w:val="003A244C"/>
    <w:rsid w:val="003A2466"/>
    <w:rsid w:val="003A24EA"/>
    <w:rsid w:val="003A25DC"/>
    <w:rsid w:val="003A25E2"/>
    <w:rsid w:val="003A25ED"/>
    <w:rsid w:val="003A2630"/>
    <w:rsid w:val="003A263E"/>
    <w:rsid w:val="003A2733"/>
    <w:rsid w:val="003A2743"/>
    <w:rsid w:val="003A277E"/>
    <w:rsid w:val="003A27B8"/>
    <w:rsid w:val="003A27C5"/>
    <w:rsid w:val="003A27FD"/>
    <w:rsid w:val="003A28D1"/>
    <w:rsid w:val="003A291C"/>
    <w:rsid w:val="003A2991"/>
    <w:rsid w:val="003A2A4E"/>
    <w:rsid w:val="003A2B0E"/>
    <w:rsid w:val="003A2B14"/>
    <w:rsid w:val="003A2B34"/>
    <w:rsid w:val="003A2B76"/>
    <w:rsid w:val="003A2C3F"/>
    <w:rsid w:val="003A2CE4"/>
    <w:rsid w:val="003A2D01"/>
    <w:rsid w:val="003A2D6A"/>
    <w:rsid w:val="003A2D89"/>
    <w:rsid w:val="003A2DCB"/>
    <w:rsid w:val="003A2DE3"/>
    <w:rsid w:val="003A2E03"/>
    <w:rsid w:val="003A2EC0"/>
    <w:rsid w:val="003A2EE3"/>
    <w:rsid w:val="003A2F11"/>
    <w:rsid w:val="003A2F4D"/>
    <w:rsid w:val="003A2F62"/>
    <w:rsid w:val="003A2FDB"/>
    <w:rsid w:val="003A2FE6"/>
    <w:rsid w:val="003A3054"/>
    <w:rsid w:val="003A30FC"/>
    <w:rsid w:val="003A31C6"/>
    <w:rsid w:val="003A31E1"/>
    <w:rsid w:val="003A3286"/>
    <w:rsid w:val="003A337E"/>
    <w:rsid w:val="003A33BC"/>
    <w:rsid w:val="003A33FF"/>
    <w:rsid w:val="003A3468"/>
    <w:rsid w:val="003A3535"/>
    <w:rsid w:val="003A3573"/>
    <w:rsid w:val="003A3579"/>
    <w:rsid w:val="003A3683"/>
    <w:rsid w:val="003A36DA"/>
    <w:rsid w:val="003A370D"/>
    <w:rsid w:val="003A3744"/>
    <w:rsid w:val="003A37C4"/>
    <w:rsid w:val="003A387D"/>
    <w:rsid w:val="003A38FE"/>
    <w:rsid w:val="003A3976"/>
    <w:rsid w:val="003A39B1"/>
    <w:rsid w:val="003A39F6"/>
    <w:rsid w:val="003A3A15"/>
    <w:rsid w:val="003A3A81"/>
    <w:rsid w:val="003A3AFF"/>
    <w:rsid w:val="003A3B4A"/>
    <w:rsid w:val="003A3B60"/>
    <w:rsid w:val="003A3B69"/>
    <w:rsid w:val="003A3BB5"/>
    <w:rsid w:val="003A3C3A"/>
    <w:rsid w:val="003A3C5A"/>
    <w:rsid w:val="003A3CAE"/>
    <w:rsid w:val="003A3CCB"/>
    <w:rsid w:val="003A3D0C"/>
    <w:rsid w:val="003A3D77"/>
    <w:rsid w:val="003A3D8D"/>
    <w:rsid w:val="003A3E51"/>
    <w:rsid w:val="003A3EBF"/>
    <w:rsid w:val="003A3EF8"/>
    <w:rsid w:val="003A3F5A"/>
    <w:rsid w:val="003A3F83"/>
    <w:rsid w:val="003A4053"/>
    <w:rsid w:val="003A406C"/>
    <w:rsid w:val="003A40D6"/>
    <w:rsid w:val="003A4122"/>
    <w:rsid w:val="003A421F"/>
    <w:rsid w:val="003A4234"/>
    <w:rsid w:val="003A4241"/>
    <w:rsid w:val="003A42D1"/>
    <w:rsid w:val="003A4358"/>
    <w:rsid w:val="003A43A4"/>
    <w:rsid w:val="003A43A8"/>
    <w:rsid w:val="003A441C"/>
    <w:rsid w:val="003A4477"/>
    <w:rsid w:val="003A4490"/>
    <w:rsid w:val="003A4540"/>
    <w:rsid w:val="003A4576"/>
    <w:rsid w:val="003A45B9"/>
    <w:rsid w:val="003A4609"/>
    <w:rsid w:val="003A466A"/>
    <w:rsid w:val="003A46AA"/>
    <w:rsid w:val="003A46EE"/>
    <w:rsid w:val="003A470B"/>
    <w:rsid w:val="003A470F"/>
    <w:rsid w:val="003A4713"/>
    <w:rsid w:val="003A479B"/>
    <w:rsid w:val="003A4916"/>
    <w:rsid w:val="003A4920"/>
    <w:rsid w:val="003A492C"/>
    <w:rsid w:val="003A4A43"/>
    <w:rsid w:val="003A4A7B"/>
    <w:rsid w:val="003A4AD5"/>
    <w:rsid w:val="003A4AE2"/>
    <w:rsid w:val="003A4B85"/>
    <w:rsid w:val="003A4BA3"/>
    <w:rsid w:val="003A4BDE"/>
    <w:rsid w:val="003A4C32"/>
    <w:rsid w:val="003A4C45"/>
    <w:rsid w:val="003A4C5E"/>
    <w:rsid w:val="003A4D11"/>
    <w:rsid w:val="003A4E44"/>
    <w:rsid w:val="003A4EF0"/>
    <w:rsid w:val="003A4FAC"/>
    <w:rsid w:val="003A50BA"/>
    <w:rsid w:val="003A514C"/>
    <w:rsid w:val="003A5163"/>
    <w:rsid w:val="003A52A7"/>
    <w:rsid w:val="003A539E"/>
    <w:rsid w:val="003A5464"/>
    <w:rsid w:val="003A54A2"/>
    <w:rsid w:val="003A54CA"/>
    <w:rsid w:val="003A54D7"/>
    <w:rsid w:val="003A54E4"/>
    <w:rsid w:val="003A54FA"/>
    <w:rsid w:val="003A5619"/>
    <w:rsid w:val="003A5624"/>
    <w:rsid w:val="003A562A"/>
    <w:rsid w:val="003A565C"/>
    <w:rsid w:val="003A56A5"/>
    <w:rsid w:val="003A570D"/>
    <w:rsid w:val="003A5744"/>
    <w:rsid w:val="003A5759"/>
    <w:rsid w:val="003A580A"/>
    <w:rsid w:val="003A5817"/>
    <w:rsid w:val="003A58A8"/>
    <w:rsid w:val="003A5916"/>
    <w:rsid w:val="003A59E3"/>
    <w:rsid w:val="003A59FF"/>
    <w:rsid w:val="003A5AE8"/>
    <w:rsid w:val="003A5B35"/>
    <w:rsid w:val="003A5B52"/>
    <w:rsid w:val="003A5BAE"/>
    <w:rsid w:val="003A5BBF"/>
    <w:rsid w:val="003A5C2B"/>
    <w:rsid w:val="003A5C45"/>
    <w:rsid w:val="003A5CBC"/>
    <w:rsid w:val="003A5CF5"/>
    <w:rsid w:val="003A5D6C"/>
    <w:rsid w:val="003A5EEC"/>
    <w:rsid w:val="003A5F31"/>
    <w:rsid w:val="003A5FB9"/>
    <w:rsid w:val="003A6066"/>
    <w:rsid w:val="003A6067"/>
    <w:rsid w:val="003A6086"/>
    <w:rsid w:val="003A613C"/>
    <w:rsid w:val="003A6152"/>
    <w:rsid w:val="003A6184"/>
    <w:rsid w:val="003A6205"/>
    <w:rsid w:val="003A62C6"/>
    <w:rsid w:val="003A62F0"/>
    <w:rsid w:val="003A6307"/>
    <w:rsid w:val="003A6339"/>
    <w:rsid w:val="003A63CE"/>
    <w:rsid w:val="003A63F2"/>
    <w:rsid w:val="003A6526"/>
    <w:rsid w:val="003A661E"/>
    <w:rsid w:val="003A6624"/>
    <w:rsid w:val="003A6706"/>
    <w:rsid w:val="003A6777"/>
    <w:rsid w:val="003A67E4"/>
    <w:rsid w:val="003A685F"/>
    <w:rsid w:val="003A689C"/>
    <w:rsid w:val="003A6926"/>
    <w:rsid w:val="003A6930"/>
    <w:rsid w:val="003A693C"/>
    <w:rsid w:val="003A6943"/>
    <w:rsid w:val="003A6AC1"/>
    <w:rsid w:val="003A6AF1"/>
    <w:rsid w:val="003A6B26"/>
    <w:rsid w:val="003A6B2C"/>
    <w:rsid w:val="003A6BFB"/>
    <w:rsid w:val="003A6C38"/>
    <w:rsid w:val="003A6D3A"/>
    <w:rsid w:val="003A6E6E"/>
    <w:rsid w:val="003A6EB1"/>
    <w:rsid w:val="003A6F31"/>
    <w:rsid w:val="003A6F4F"/>
    <w:rsid w:val="003A7021"/>
    <w:rsid w:val="003A70D5"/>
    <w:rsid w:val="003A71E6"/>
    <w:rsid w:val="003A7211"/>
    <w:rsid w:val="003A7218"/>
    <w:rsid w:val="003A721C"/>
    <w:rsid w:val="003A72B8"/>
    <w:rsid w:val="003A7343"/>
    <w:rsid w:val="003A7346"/>
    <w:rsid w:val="003A7384"/>
    <w:rsid w:val="003A739F"/>
    <w:rsid w:val="003A7482"/>
    <w:rsid w:val="003A74C6"/>
    <w:rsid w:val="003A74E3"/>
    <w:rsid w:val="003A74F5"/>
    <w:rsid w:val="003A759D"/>
    <w:rsid w:val="003A75AD"/>
    <w:rsid w:val="003A768C"/>
    <w:rsid w:val="003A76C3"/>
    <w:rsid w:val="003A76D0"/>
    <w:rsid w:val="003A76F9"/>
    <w:rsid w:val="003A773E"/>
    <w:rsid w:val="003A7793"/>
    <w:rsid w:val="003A77AF"/>
    <w:rsid w:val="003A77DF"/>
    <w:rsid w:val="003A77E8"/>
    <w:rsid w:val="003A77EC"/>
    <w:rsid w:val="003A78D1"/>
    <w:rsid w:val="003A78DA"/>
    <w:rsid w:val="003A78F5"/>
    <w:rsid w:val="003A7927"/>
    <w:rsid w:val="003A7973"/>
    <w:rsid w:val="003A7A41"/>
    <w:rsid w:val="003A7AD1"/>
    <w:rsid w:val="003A7B0B"/>
    <w:rsid w:val="003A7B64"/>
    <w:rsid w:val="003A7C0E"/>
    <w:rsid w:val="003A7CAC"/>
    <w:rsid w:val="003A7CDD"/>
    <w:rsid w:val="003A7D3B"/>
    <w:rsid w:val="003A7D9B"/>
    <w:rsid w:val="003A7DBA"/>
    <w:rsid w:val="003A7DF5"/>
    <w:rsid w:val="003A7E6C"/>
    <w:rsid w:val="003A7ED0"/>
    <w:rsid w:val="003A7F37"/>
    <w:rsid w:val="003A7F66"/>
    <w:rsid w:val="003A7F86"/>
    <w:rsid w:val="003AF914"/>
    <w:rsid w:val="003B006B"/>
    <w:rsid w:val="003B0094"/>
    <w:rsid w:val="003B00AB"/>
    <w:rsid w:val="003B0104"/>
    <w:rsid w:val="003B01C6"/>
    <w:rsid w:val="003B01D7"/>
    <w:rsid w:val="003B0221"/>
    <w:rsid w:val="003B027A"/>
    <w:rsid w:val="003B02D8"/>
    <w:rsid w:val="003B035C"/>
    <w:rsid w:val="003B03BB"/>
    <w:rsid w:val="003B03C0"/>
    <w:rsid w:val="003B048F"/>
    <w:rsid w:val="003B051A"/>
    <w:rsid w:val="003B054F"/>
    <w:rsid w:val="003B0604"/>
    <w:rsid w:val="003B060F"/>
    <w:rsid w:val="003B0638"/>
    <w:rsid w:val="003B0639"/>
    <w:rsid w:val="003B06F5"/>
    <w:rsid w:val="003B071B"/>
    <w:rsid w:val="003B079A"/>
    <w:rsid w:val="003B07AE"/>
    <w:rsid w:val="003B07F0"/>
    <w:rsid w:val="003B0807"/>
    <w:rsid w:val="003B0886"/>
    <w:rsid w:val="003B08C2"/>
    <w:rsid w:val="003B0A27"/>
    <w:rsid w:val="003B0A9B"/>
    <w:rsid w:val="003B0B00"/>
    <w:rsid w:val="003B0B12"/>
    <w:rsid w:val="003B0B39"/>
    <w:rsid w:val="003B0C3E"/>
    <w:rsid w:val="003B0C55"/>
    <w:rsid w:val="003B0CFF"/>
    <w:rsid w:val="003B0D58"/>
    <w:rsid w:val="003B0D61"/>
    <w:rsid w:val="003B0D78"/>
    <w:rsid w:val="003B0E3F"/>
    <w:rsid w:val="003B0E91"/>
    <w:rsid w:val="003B0EB7"/>
    <w:rsid w:val="003B0EE4"/>
    <w:rsid w:val="003B0F0D"/>
    <w:rsid w:val="003B0F88"/>
    <w:rsid w:val="003B0F95"/>
    <w:rsid w:val="003B0FA4"/>
    <w:rsid w:val="003B0FB9"/>
    <w:rsid w:val="003B111C"/>
    <w:rsid w:val="003B1122"/>
    <w:rsid w:val="003B118A"/>
    <w:rsid w:val="003B12B3"/>
    <w:rsid w:val="003B131E"/>
    <w:rsid w:val="003B1369"/>
    <w:rsid w:val="003B1378"/>
    <w:rsid w:val="003B13ED"/>
    <w:rsid w:val="003B1414"/>
    <w:rsid w:val="003B141F"/>
    <w:rsid w:val="003B1429"/>
    <w:rsid w:val="003B143D"/>
    <w:rsid w:val="003B146D"/>
    <w:rsid w:val="003B14B5"/>
    <w:rsid w:val="003B153C"/>
    <w:rsid w:val="003B15B6"/>
    <w:rsid w:val="003B1683"/>
    <w:rsid w:val="003B168D"/>
    <w:rsid w:val="003B16D6"/>
    <w:rsid w:val="003B170F"/>
    <w:rsid w:val="003B1753"/>
    <w:rsid w:val="003B1825"/>
    <w:rsid w:val="003B1848"/>
    <w:rsid w:val="003B1922"/>
    <w:rsid w:val="003B1963"/>
    <w:rsid w:val="003B1A67"/>
    <w:rsid w:val="003B1ADF"/>
    <w:rsid w:val="003B1AE2"/>
    <w:rsid w:val="003B1C02"/>
    <w:rsid w:val="003B1C92"/>
    <w:rsid w:val="003B1E21"/>
    <w:rsid w:val="003B1E9E"/>
    <w:rsid w:val="003B1F78"/>
    <w:rsid w:val="003B1F91"/>
    <w:rsid w:val="003B1FBE"/>
    <w:rsid w:val="003B1FE7"/>
    <w:rsid w:val="003B20BE"/>
    <w:rsid w:val="003B20F5"/>
    <w:rsid w:val="003B2160"/>
    <w:rsid w:val="003B21B9"/>
    <w:rsid w:val="003B21C6"/>
    <w:rsid w:val="003B221A"/>
    <w:rsid w:val="003B2274"/>
    <w:rsid w:val="003B2283"/>
    <w:rsid w:val="003B22A1"/>
    <w:rsid w:val="003B2427"/>
    <w:rsid w:val="003B24D6"/>
    <w:rsid w:val="003B259E"/>
    <w:rsid w:val="003B2624"/>
    <w:rsid w:val="003B26A3"/>
    <w:rsid w:val="003B26ED"/>
    <w:rsid w:val="003B27C3"/>
    <w:rsid w:val="003B280D"/>
    <w:rsid w:val="003B28F5"/>
    <w:rsid w:val="003B28FC"/>
    <w:rsid w:val="003B291C"/>
    <w:rsid w:val="003B2958"/>
    <w:rsid w:val="003B29EB"/>
    <w:rsid w:val="003B29F8"/>
    <w:rsid w:val="003B2A14"/>
    <w:rsid w:val="003B2A37"/>
    <w:rsid w:val="003B2B78"/>
    <w:rsid w:val="003B2C34"/>
    <w:rsid w:val="003B2C5F"/>
    <w:rsid w:val="003B2CE5"/>
    <w:rsid w:val="003B2CEA"/>
    <w:rsid w:val="003B2D92"/>
    <w:rsid w:val="003B2DF6"/>
    <w:rsid w:val="003B2E3C"/>
    <w:rsid w:val="003B2EF0"/>
    <w:rsid w:val="003B2F6A"/>
    <w:rsid w:val="003B2FB3"/>
    <w:rsid w:val="003B2FCE"/>
    <w:rsid w:val="003B301C"/>
    <w:rsid w:val="003B3058"/>
    <w:rsid w:val="003B305E"/>
    <w:rsid w:val="003B3061"/>
    <w:rsid w:val="003B3091"/>
    <w:rsid w:val="003B30A3"/>
    <w:rsid w:val="003B30A7"/>
    <w:rsid w:val="003B314F"/>
    <w:rsid w:val="003B3190"/>
    <w:rsid w:val="003B31C0"/>
    <w:rsid w:val="003B325C"/>
    <w:rsid w:val="003B32C5"/>
    <w:rsid w:val="003B3310"/>
    <w:rsid w:val="003B3315"/>
    <w:rsid w:val="003B331C"/>
    <w:rsid w:val="003B33FF"/>
    <w:rsid w:val="003B3400"/>
    <w:rsid w:val="003B341E"/>
    <w:rsid w:val="003B347E"/>
    <w:rsid w:val="003B3487"/>
    <w:rsid w:val="003B3512"/>
    <w:rsid w:val="003B353C"/>
    <w:rsid w:val="003B355D"/>
    <w:rsid w:val="003B364C"/>
    <w:rsid w:val="003B3792"/>
    <w:rsid w:val="003B37A3"/>
    <w:rsid w:val="003B37A9"/>
    <w:rsid w:val="003B37C5"/>
    <w:rsid w:val="003B37DA"/>
    <w:rsid w:val="003B37F5"/>
    <w:rsid w:val="003B3844"/>
    <w:rsid w:val="003B38BD"/>
    <w:rsid w:val="003B3A00"/>
    <w:rsid w:val="003B3A5C"/>
    <w:rsid w:val="003B3B7D"/>
    <w:rsid w:val="003B3B85"/>
    <w:rsid w:val="003B3C18"/>
    <w:rsid w:val="003B3C26"/>
    <w:rsid w:val="003B3C81"/>
    <w:rsid w:val="003B3C97"/>
    <w:rsid w:val="003B3D18"/>
    <w:rsid w:val="003B3D99"/>
    <w:rsid w:val="003B3DA3"/>
    <w:rsid w:val="003B3DE8"/>
    <w:rsid w:val="003B3E40"/>
    <w:rsid w:val="003B3EC4"/>
    <w:rsid w:val="003B3F2C"/>
    <w:rsid w:val="003B3F5C"/>
    <w:rsid w:val="003B3FE7"/>
    <w:rsid w:val="003B3FF3"/>
    <w:rsid w:val="003B40B1"/>
    <w:rsid w:val="003B40B3"/>
    <w:rsid w:val="003B40E1"/>
    <w:rsid w:val="003B4187"/>
    <w:rsid w:val="003B419F"/>
    <w:rsid w:val="003B4217"/>
    <w:rsid w:val="003B4261"/>
    <w:rsid w:val="003B4275"/>
    <w:rsid w:val="003B42DB"/>
    <w:rsid w:val="003B43D1"/>
    <w:rsid w:val="003B450E"/>
    <w:rsid w:val="003B4561"/>
    <w:rsid w:val="003B4588"/>
    <w:rsid w:val="003B45B6"/>
    <w:rsid w:val="003B45D3"/>
    <w:rsid w:val="003B45D9"/>
    <w:rsid w:val="003B45DD"/>
    <w:rsid w:val="003B461F"/>
    <w:rsid w:val="003B46E3"/>
    <w:rsid w:val="003B470A"/>
    <w:rsid w:val="003B4729"/>
    <w:rsid w:val="003B474C"/>
    <w:rsid w:val="003B4762"/>
    <w:rsid w:val="003B4785"/>
    <w:rsid w:val="003B47EC"/>
    <w:rsid w:val="003B47EE"/>
    <w:rsid w:val="003B488D"/>
    <w:rsid w:val="003B48BB"/>
    <w:rsid w:val="003B4A0C"/>
    <w:rsid w:val="003B4A63"/>
    <w:rsid w:val="003B4B17"/>
    <w:rsid w:val="003B4B5E"/>
    <w:rsid w:val="003B4B61"/>
    <w:rsid w:val="003B4B85"/>
    <w:rsid w:val="003B4BC6"/>
    <w:rsid w:val="003B4BD5"/>
    <w:rsid w:val="003B4CB9"/>
    <w:rsid w:val="003B4D04"/>
    <w:rsid w:val="003B4DA7"/>
    <w:rsid w:val="003B4DE3"/>
    <w:rsid w:val="003B4DE7"/>
    <w:rsid w:val="003B4E94"/>
    <w:rsid w:val="003B4EFE"/>
    <w:rsid w:val="003B4F5A"/>
    <w:rsid w:val="003B4FD0"/>
    <w:rsid w:val="003B506D"/>
    <w:rsid w:val="003B5075"/>
    <w:rsid w:val="003B5147"/>
    <w:rsid w:val="003B5162"/>
    <w:rsid w:val="003B521C"/>
    <w:rsid w:val="003B52E0"/>
    <w:rsid w:val="003B5355"/>
    <w:rsid w:val="003B53A2"/>
    <w:rsid w:val="003B5417"/>
    <w:rsid w:val="003B549F"/>
    <w:rsid w:val="003B54C8"/>
    <w:rsid w:val="003B54F4"/>
    <w:rsid w:val="003B54F5"/>
    <w:rsid w:val="003B556E"/>
    <w:rsid w:val="003B557E"/>
    <w:rsid w:val="003B55B3"/>
    <w:rsid w:val="003B55CF"/>
    <w:rsid w:val="003B5611"/>
    <w:rsid w:val="003B5643"/>
    <w:rsid w:val="003B56AC"/>
    <w:rsid w:val="003B56FC"/>
    <w:rsid w:val="003B56FF"/>
    <w:rsid w:val="003B577C"/>
    <w:rsid w:val="003B5799"/>
    <w:rsid w:val="003B57E9"/>
    <w:rsid w:val="003B57F3"/>
    <w:rsid w:val="003B5851"/>
    <w:rsid w:val="003B5864"/>
    <w:rsid w:val="003B586F"/>
    <w:rsid w:val="003B58AC"/>
    <w:rsid w:val="003B58B3"/>
    <w:rsid w:val="003B59DA"/>
    <w:rsid w:val="003B5A28"/>
    <w:rsid w:val="003B5A73"/>
    <w:rsid w:val="003B5A9F"/>
    <w:rsid w:val="003B5B6B"/>
    <w:rsid w:val="003B5B6E"/>
    <w:rsid w:val="003B5B88"/>
    <w:rsid w:val="003B5BDE"/>
    <w:rsid w:val="003B5C11"/>
    <w:rsid w:val="003B5C4E"/>
    <w:rsid w:val="003B5CF4"/>
    <w:rsid w:val="003B5D53"/>
    <w:rsid w:val="003B5DE0"/>
    <w:rsid w:val="003B5E00"/>
    <w:rsid w:val="003B5E04"/>
    <w:rsid w:val="003B5E55"/>
    <w:rsid w:val="003B5EEB"/>
    <w:rsid w:val="003B5F15"/>
    <w:rsid w:val="003B5F3B"/>
    <w:rsid w:val="003B5FFE"/>
    <w:rsid w:val="003B600F"/>
    <w:rsid w:val="003B6018"/>
    <w:rsid w:val="003B614F"/>
    <w:rsid w:val="003B61FD"/>
    <w:rsid w:val="003B623C"/>
    <w:rsid w:val="003B64B5"/>
    <w:rsid w:val="003B64C0"/>
    <w:rsid w:val="003B6569"/>
    <w:rsid w:val="003B65D1"/>
    <w:rsid w:val="003B6628"/>
    <w:rsid w:val="003B664B"/>
    <w:rsid w:val="003B666B"/>
    <w:rsid w:val="003B66B7"/>
    <w:rsid w:val="003B66C5"/>
    <w:rsid w:val="003B66CE"/>
    <w:rsid w:val="003B66DC"/>
    <w:rsid w:val="003B66EC"/>
    <w:rsid w:val="003B675D"/>
    <w:rsid w:val="003B6770"/>
    <w:rsid w:val="003B6799"/>
    <w:rsid w:val="003B67BE"/>
    <w:rsid w:val="003B682F"/>
    <w:rsid w:val="003B68E7"/>
    <w:rsid w:val="003B6949"/>
    <w:rsid w:val="003B6981"/>
    <w:rsid w:val="003B69C3"/>
    <w:rsid w:val="003B69E1"/>
    <w:rsid w:val="003B69E5"/>
    <w:rsid w:val="003B6AE3"/>
    <w:rsid w:val="003B6B4E"/>
    <w:rsid w:val="003B6B51"/>
    <w:rsid w:val="003B6B7E"/>
    <w:rsid w:val="003B6BD9"/>
    <w:rsid w:val="003B6C37"/>
    <w:rsid w:val="003B6C49"/>
    <w:rsid w:val="003B6CA4"/>
    <w:rsid w:val="003B6EB6"/>
    <w:rsid w:val="003B6F13"/>
    <w:rsid w:val="003B6F1A"/>
    <w:rsid w:val="003B6FA3"/>
    <w:rsid w:val="003B7038"/>
    <w:rsid w:val="003B7080"/>
    <w:rsid w:val="003B70BE"/>
    <w:rsid w:val="003B710C"/>
    <w:rsid w:val="003B7180"/>
    <w:rsid w:val="003B71AF"/>
    <w:rsid w:val="003B7200"/>
    <w:rsid w:val="003B7220"/>
    <w:rsid w:val="003B72B0"/>
    <w:rsid w:val="003B72B4"/>
    <w:rsid w:val="003B72D8"/>
    <w:rsid w:val="003B732F"/>
    <w:rsid w:val="003B7395"/>
    <w:rsid w:val="003B740C"/>
    <w:rsid w:val="003B744F"/>
    <w:rsid w:val="003B7488"/>
    <w:rsid w:val="003B74C1"/>
    <w:rsid w:val="003B74DA"/>
    <w:rsid w:val="003B75B8"/>
    <w:rsid w:val="003B75D8"/>
    <w:rsid w:val="003B762D"/>
    <w:rsid w:val="003B772E"/>
    <w:rsid w:val="003B7780"/>
    <w:rsid w:val="003B77BB"/>
    <w:rsid w:val="003B77C6"/>
    <w:rsid w:val="003B77E7"/>
    <w:rsid w:val="003B78CD"/>
    <w:rsid w:val="003B78E3"/>
    <w:rsid w:val="003B791E"/>
    <w:rsid w:val="003B7956"/>
    <w:rsid w:val="003B798C"/>
    <w:rsid w:val="003B79FB"/>
    <w:rsid w:val="003B7A26"/>
    <w:rsid w:val="003B7A3C"/>
    <w:rsid w:val="003B7A8C"/>
    <w:rsid w:val="003B7A8E"/>
    <w:rsid w:val="003B7BAA"/>
    <w:rsid w:val="003B7BD5"/>
    <w:rsid w:val="003B7C8C"/>
    <w:rsid w:val="003B7CA1"/>
    <w:rsid w:val="003B7D17"/>
    <w:rsid w:val="003B7E29"/>
    <w:rsid w:val="003B7E69"/>
    <w:rsid w:val="003B7E8B"/>
    <w:rsid w:val="003B7F1D"/>
    <w:rsid w:val="003B7FDF"/>
    <w:rsid w:val="003B7FEB"/>
    <w:rsid w:val="003C010F"/>
    <w:rsid w:val="003C02C2"/>
    <w:rsid w:val="003C02CB"/>
    <w:rsid w:val="003C0370"/>
    <w:rsid w:val="003C03DA"/>
    <w:rsid w:val="003C044F"/>
    <w:rsid w:val="003C0452"/>
    <w:rsid w:val="003C048A"/>
    <w:rsid w:val="003C04C7"/>
    <w:rsid w:val="003C053E"/>
    <w:rsid w:val="003C0577"/>
    <w:rsid w:val="003C06E1"/>
    <w:rsid w:val="003C06F0"/>
    <w:rsid w:val="003C06F7"/>
    <w:rsid w:val="003C0714"/>
    <w:rsid w:val="003C081F"/>
    <w:rsid w:val="003C0909"/>
    <w:rsid w:val="003C092B"/>
    <w:rsid w:val="003C0A61"/>
    <w:rsid w:val="003C0A6E"/>
    <w:rsid w:val="003C0A7F"/>
    <w:rsid w:val="003C0AF4"/>
    <w:rsid w:val="003C0B0B"/>
    <w:rsid w:val="003C0B40"/>
    <w:rsid w:val="003C0BD6"/>
    <w:rsid w:val="003C0BE0"/>
    <w:rsid w:val="003C0CE9"/>
    <w:rsid w:val="003C0D39"/>
    <w:rsid w:val="003C0E02"/>
    <w:rsid w:val="003C0ECC"/>
    <w:rsid w:val="003C0F84"/>
    <w:rsid w:val="003C100D"/>
    <w:rsid w:val="003C101B"/>
    <w:rsid w:val="003C106C"/>
    <w:rsid w:val="003C1098"/>
    <w:rsid w:val="003C10A3"/>
    <w:rsid w:val="003C10BE"/>
    <w:rsid w:val="003C10EF"/>
    <w:rsid w:val="003C10FA"/>
    <w:rsid w:val="003C1156"/>
    <w:rsid w:val="003C11AA"/>
    <w:rsid w:val="003C11E9"/>
    <w:rsid w:val="003C127C"/>
    <w:rsid w:val="003C1284"/>
    <w:rsid w:val="003C12A9"/>
    <w:rsid w:val="003C12D7"/>
    <w:rsid w:val="003C1383"/>
    <w:rsid w:val="003C142A"/>
    <w:rsid w:val="003C1435"/>
    <w:rsid w:val="003C143F"/>
    <w:rsid w:val="003C1473"/>
    <w:rsid w:val="003C14EC"/>
    <w:rsid w:val="003C14F1"/>
    <w:rsid w:val="003C150C"/>
    <w:rsid w:val="003C153E"/>
    <w:rsid w:val="003C154E"/>
    <w:rsid w:val="003C1565"/>
    <w:rsid w:val="003C1579"/>
    <w:rsid w:val="003C15AA"/>
    <w:rsid w:val="003C15E2"/>
    <w:rsid w:val="003C15E6"/>
    <w:rsid w:val="003C160D"/>
    <w:rsid w:val="003C1651"/>
    <w:rsid w:val="003C1716"/>
    <w:rsid w:val="003C171F"/>
    <w:rsid w:val="003C1724"/>
    <w:rsid w:val="003C1750"/>
    <w:rsid w:val="003C177C"/>
    <w:rsid w:val="003C1814"/>
    <w:rsid w:val="003C1843"/>
    <w:rsid w:val="003C1875"/>
    <w:rsid w:val="003C18A3"/>
    <w:rsid w:val="003C193E"/>
    <w:rsid w:val="003C1996"/>
    <w:rsid w:val="003C1AA7"/>
    <w:rsid w:val="003C1B19"/>
    <w:rsid w:val="003C1B35"/>
    <w:rsid w:val="003C1C52"/>
    <w:rsid w:val="003C1C57"/>
    <w:rsid w:val="003C1C80"/>
    <w:rsid w:val="003C1D25"/>
    <w:rsid w:val="003C1D50"/>
    <w:rsid w:val="003C1DB2"/>
    <w:rsid w:val="003C1DDD"/>
    <w:rsid w:val="003C1E6C"/>
    <w:rsid w:val="003C1F16"/>
    <w:rsid w:val="003C1F76"/>
    <w:rsid w:val="003C1FA2"/>
    <w:rsid w:val="003C2026"/>
    <w:rsid w:val="003C207E"/>
    <w:rsid w:val="003C2117"/>
    <w:rsid w:val="003C21AC"/>
    <w:rsid w:val="003C21B5"/>
    <w:rsid w:val="003C2480"/>
    <w:rsid w:val="003C2558"/>
    <w:rsid w:val="003C2571"/>
    <w:rsid w:val="003C25E1"/>
    <w:rsid w:val="003C25EC"/>
    <w:rsid w:val="003C260B"/>
    <w:rsid w:val="003C2643"/>
    <w:rsid w:val="003C26D6"/>
    <w:rsid w:val="003C2711"/>
    <w:rsid w:val="003C2733"/>
    <w:rsid w:val="003C274C"/>
    <w:rsid w:val="003C27D0"/>
    <w:rsid w:val="003C2840"/>
    <w:rsid w:val="003C2906"/>
    <w:rsid w:val="003C29FE"/>
    <w:rsid w:val="003C2A59"/>
    <w:rsid w:val="003C2AED"/>
    <w:rsid w:val="003C2CB1"/>
    <w:rsid w:val="003C2CD2"/>
    <w:rsid w:val="003C2CD7"/>
    <w:rsid w:val="003C2CFB"/>
    <w:rsid w:val="003C2D73"/>
    <w:rsid w:val="003C2DD4"/>
    <w:rsid w:val="003C2E84"/>
    <w:rsid w:val="003C2E88"/>
    <w:rsid w:val="003C2F74"/>
    <w:rsid w:val="003C2FBE"/>
    <w:rsid w:val="003C2FC9"/>
    <w:rsid w:val="003C30AA"/>
    <w:rsid w:val="003C30CC"/>
    <w:rsid w:val="003C30F9"/>
    <w:rsid w:val="003C317E"/>
    <w:rsid w:val="003C3227"/>
    <w:rsid w:val="003C3282"/>
    <w:rsid w:val="003C3386"/>
    <w:rsid w:val="003C33CA"/>
    <w:rsid w:val="003C343F"/>
    <w:rsid w:val="003C347A"/>
    <w:rsid w:val="003C3494"/>
    <w:rsid w:val="003C34E7"/>
    <w:rsid w:val="003C34EC"/>
    <w:rsid w:val="003C35E2"/>
    <w:rsid w:val="003C367E"/>
    <w:rsid w:val="003C369F"/>
    <w:rsid w:val="003C3750"/>
    <w:rsid w:val="003C3833"/>
    <w:rsid w:val="003C386F"/>
    <w:rsid w:val="003C3872"/>
    <w:rsid w:val="003C38A4"/>
    <w:rsid w:val="003C3902"/>
    <w:rsid w:val="003C391E"/>
    <w:rsid w:val="003C392F"/>
    <w:rsid w:val="003C39CE"/>
    <w:rsid w:val="003C3A2F"/>
    <w:rsid w:val="003C3AA1"/>
    <w:rsid w:val="003C3CA7"/>
    <w:rsid w:val="003C3CD5"/>
    <w:rsid w:val="003C3D06"/>
    <w:rsid w:val="003C3D76"/>
    <w:rsid w:val="003C3D79"/>
    <w:rsid w:val="003C3DBC"/>
    <w:rsid w:val="003C3E0E"/>
    <w:rsid w:val="003C3E34"/>
    <w:rsid w:val="003C3E41"/>
    <w:rsid w:val="003C3E95"/>
    <w:rsid w:val="003C3F0B"/>
    <w:rsid w:val="003C3F5C"/>
    <w:rsid w:val="003C404A"/>
    <w:rsid w:val="003C4105"/>
    <w:rsid w:val="003C414A"/>
    <w:rsid w:val="003C417C"/>
    <w:rsid w:val="003C41BF"/>
    <w:rsid w:val="003C423E"/>
    <w:rsid w:val="003C430A"/>
    <w:rsid w:val="003C437C"/>
    <w:rsid w:val="003C4388"/>
    <w:rsid w:val="003C438A"/>
    <w:rsid w:val="003C442D"/>
    <w:rsid w:val="003C4450"/>
    <w:rsid w:val="003C4516"/>
    <w:rsid w:val="003C4544"/>
    <w:rsid w:val="003C466C"/>
    <w:rsid w:val="003C46E5"/>
    <w:rsid w:val="003C4728"/>
    <w:rsid w:val="003C4730"/>
    <w:rsid w:val="003C477B"/>
    <w:rsid w:val="003C4781"/>
    <w:rsid w:val="003C47BC"/>
    <w:rsid w:val="003C47F8"/>
    <w:rsid w:val="003C4810"/>
    <w:rsid w:val="003C486E"/>
    <w:rsid w:val="003C48BB"/>
    <w:rsid w:val="003C4965"/>
    <w:rsid w:val="003C496C"/>
    <w:rsid w:val="003C49A1"/>
    <w:rsid w:val="003C49AA"/>
    <w:rsid w:val="003C49D0"/>
    <w:rsid w:val="003C4A69"/>
    <w:rsid w:val="003C4AD9"/>
    <w:rsid w:val="003C4B21"/>
    <w:rsid w:val="003C4B91"/>
    <w:rsid w:val="003C4BB9"/>
    <w:rsid w:val="003C4C21"/>
    <w:rsid w:val="003C4CB7"/>
    <w:rsid w:val="003C4CBC"/>
    <w:rsid w:val="003C4D4B"/>
    <w:rsid w:val="003C4D55"/>
    <w:rsid w:val="003C4D8B"/>
    <w:rsid w:val="003C4E00"/>
    <w:rsid w:val="003C4EC8"/>
    <w:rsid w:val="003C5035"/>
    <w:rsid w:val="003C50AF"/>
    <w:rsid w:val="003C50DF"/>
    <w:rsid w:val="003C50E7"/>
    <w:rsid w:val="003C50FD"/>
    <w:rsid w:val="003C51B3"/>
    <w:rsid w:val="003C51C9"/>
    <w:rsid w:val="003C51DB"/>
    <w:rsid w:val="003C520C"/>
    <w:rsid w:val="003C5221"/>
    <w:rsid w:val="003C5292"/>
    <w:rsid w:val="003C5308"/>
    <w:rsid w:val="003C5351"/>
    <w:rsid w:val="003C5427"/>
    <w:rsid w:val="003C542D"/>
    <w:rsid w:val="003C5444"/>
    <w:rsid w:val="003C54BD"/>
    <w:rsid w:val="003C54F2"/>
    <w:rsid w:val="003C5502"/>
    <w:rsid w:val="003C55CE"/>
    <w:rsid w:val="003C55E1"/>
    <w:rsid w:val="003C55E3"/>
    <w:rsid w:val="003C5615"/>
    <w:rsid w:val="003C5644"/>
    <w:rsid w:val="003C5684"/>
    <w:rsid w:val="003C5727"/>
    <w:rsid w:val="003C575D"/>
    <w:rsid w:val="003C5799"/>
    <w:rsid w:val="003C57FD"/>
    <w:rsid w:val="003C580F"/>
    <w:rsid w:val="003C59D1"/>
    <w:rsid w:val="003C59DC"/>
    <w:rsid w:val="003C5A9D"/>
    <w:rsid w:val="003C5B8A"/>
    <w:rsid w:val="003C5C17"/>
    <w:rsid w:val="003C5DA9"/>
    <w:rsid w:val="003C5DED"/>
    <w:rsid w:val="003C5EDE"/>
    <w:rsid w:val="003C5F19"/>
    <w:rsid w:val="003C5F87"/>
    <w:rsid w:val="003C5F8B"/>
    <w:rsid w:val="003C5FC1"/>
    <w:rsid w:val="003C5FD8"/>
    <w:rsid w:val="003C5FF9"/>
    <w:rsid w:val="003C6015"/>
    <w:rsid w:val="003C6116"/>
    <w:rsid w:val="003C6158"/>
    <w:rsid w:val="003C61A1"/>
    <w:rsid w:val="003C61DE"/>
    <w:rsid w:val="003C61F5"/>
    <w:rsid w:val="003C621E"/>
    <w:rsid w:val="003C63B8"/>
    <w:rsid w:val="003C64DB"/>
    <w:rsid w:val="003C6524"/>
    <w:rsid w:val="003C65A4"/>
    <w:rsid w:val="003C6619"/>
    <w:rsid w:val="003C66DA"/>
    <w:rsid w:val="003C66F9"/>
    <w:rsid w:val="003C67A1"/>
    <w:rsid w:val="003C67D8"/>
    <w:rsid w:val="003C67E3"/>
    <w:rsid w:val="003C67F4"/>
    <w:rsid w:val="003C687B"/>
    <w:rsid w:val="003C68A2"/>
    <w:rsid w:val="003C68B2"/>
    <w:rsid w:val="003C68B3"/>
    <w:rsid w:val="003C68DE"/>
    <w:rsid w:val="003C6905"/>
    <w:rsid w:val="003C6988"/>
    <w:rsid w:val="003C69AB"/>
    <w:rsid w:val="003C6A1F"/>
    <w:rsid w:val="003C6A20"/>
    <w:rsid w:val="003C6A2D"/>
    <w:rsid w:val="003C6A98"/>
    <w:rsid w:val="003C6AA3"/>
    <w:rsid w:val="003C6B87"/>
    <w:rsid w:val="003C6C87"/>
    <w:rsid w:val="003C6C9E"/>
    <w:rsid w:val="003C6D2D"/>
    <w:rsid w:val="003C6DAF"/>
    <w:rsid w:val="003C6EB4"/>
    <w:rsid w:val="003C6ED1"/>
    <w:rsid w:val="003C6FB2"/>
    <w:rsid w:val="003C6FE6"/>
    <w:rsid w:val="003C70C4"/>
    <w:rsid w:val="003C7120"/>
    <w:rsid w:val="003C71D2"/>
    <w:rsid w:val="003C71FE"/>
    <w:rsid w:val="003C725B"/>
    <w:rsid w:val="003C7260"/>
    <w:rsid w:val="003C72A9"/>
    <w:rsid w:val="003C72BF"/>
    <w:rsid w:val="003C7348"/>
    <w:rsid w:val="003C7373"/>
    <w:rsid w:val="003C7390"/>
    <w:rsid w:val="003C73D9"/>
    <w:rsid w:val="003C7406"/>
    <w:rsid w:val="003C747F"/>
    <w:rsid w:val="003C754F"/>
    <w:rsid w:val="003C75D3"/>
    <w:rsid w:val="003C7620"/>
    <w:rsid w:val="003C7632"/>
    <w:rsid w:val="003C76AD"/>
    <w:rsid w:val="003C773F"/>
    <w:rsid w:val="003C7755"/>
    <w:rsid w:val="003C775F"/>
    <w:rsid w:val="003C777B"/>
    <w:rsid w:val="003C77DA"/>
    <w:rsid w:val="003C77E2"/>
    <w:rsid w:val="003C77F9"/>
    <w:rsid w:val="003C7908"/>
    <w:rsid w:val="003C79E7"/>
    <w:rsid w:val="003C7A2D"/>
    <w:rsid w:val="003C7A81"/>
    <w:rsid w:val="003C7AFF"/>
    <w:rsid w:val="003C7B79"/>
    <w:rsid w:val="003C7B82"/>
    <w:rsid w:val="003C7B9F"/>
    <w:rsid w:val="003C7C11"/>
    <w:rsid w:val="003C7C14"/>
    <w:rsid w:val="003C7C32"/>
    <w:rsid w:val="003C7C9F"/>
    <w:rsid w:val="003C7D52"/>
    <w:rsid w:val="003C7E36"/>
    <w:rsid w:val="003C7E7C"/>
    <w:rsid w:val="003C7E8A"/>
    <w:rsid w:val="003C7E97"/>
    <w:rsid w:val="003C7EAA"/>
    <w:rsid w:val="003C7F5C"/>
    <w:rsid w:val="003C7F6C"/>
    <w:rsid w:val="003C7F79"/>
    <w:rsid w:val="003C7FC3"/>
    <w:rsid w:val="003D0049"/>
    <w:rsid w:val="003D0065"/>
    <w:rsid w:val="003D0066"/>
    <w:rsid w:val="003D018B"/>
    <w:rsid w:val="003D018D"/>
    <w:rsid w:val="003D01B7"/>
    <w:rsid w:val="003D0226"/>
    <w:rsid w:val="003D036B"/>
    <w:rsid w:val="003D0386"/>
    <w:rsid w:val="003D0432"/>
    <w:rsid w:val="003D0440"/>
    <w:rsid w:val="003D0451"/>
    <w:rsid w:val="003D05F9"/>
    <w:rsid w:val="003D067B"/>
    <w:rsid w:val="003D068F"/>
    <w:rsid w:val="003D07C8"/>
    <w:rsid w:val="003D0807"/>
    <w:rsid w:val="003D0857"/>
    <w:rsid w:val="003D095F"/>
    <w:rsid w:val="003D0A1A"/>
    <w:rsid w:val="003D0A96"/>
    <w:rsid w:val="003D0AD2"/>
    <w:rsid w:val="003D0B12"/>
    <w:rsid w:val="003D0B50"/>
    <w:rsid w:val="003D0B91"/>
    <w:rsid w:val="003D0BB7"/>
    <w:rsid w:val="003D0C04"/>
    <w:rsid w:val="003D0C42"/>
    <w:rsid w:val="003D0C75"/>
    <w:rsid w:val="003D0D84"/>
    <w:rsid w:val="003D0D86"/>
    <w:rsid w:val="003D0D8D"/>
    <w:rsid w:val="003D0D91"/>
    <w:rsid w:val="003D0DEA"/>
    <w:rsid w:val="003D0E07"/>
    <w:rsid w:val="003D0ED4"/>
    <w:rsid w:val="003D0F23"/>
    <w:rsid w:val="003D0F4E"/>
    <w:rsid w:val="003D0F55"/>
    <w:rsid w:val="003D0F69"/>
    <w:rsid w:val="003D0F90"/>
    <w:rsid w:val="003D0FEC"/>
    <w:rsid w:val="003D10EE"/>
    <w:rsid w:val="003D1161"/>
    <w:rsid w:val="003D116B"/>
    <w:rsid w:val="003D11D4"/>
    <w:rsid w:val="003D1201"/>
    <w:rsid w:val="003D1217"/>
    <w:rsid w:val="003D1229"/>
    <w:rsid w:val="003D12DA"/>
    <w:rsid w:val="003D13B6"/>
    <w:rsid w:val="003D1485"/>
    <w:rsid w:val="003D14F4"/>
    <w:rsid w:val="003D1614"/>
    <w:rsid w:val="003D1693"/>
    <w:rsid w:val="003D169B"/>
    <w:rsid w:val="003D16CF"/>
    <w:rsid w:val="003D16DB"/>
    <w:rsid w:val="003D177A"/>
    <w:rsid w:val="003D181C"/>
    <w:rsid w:val="003D1840"/>
    <w:rsid w:val="003D1857"/>
    <w:rsid w:val="003D18C1"/>
    <w:rsid w:val="003D195C"/>
    <w:rsid w:val="003D19DC"/>
    <w:rsid w:val="003D1A49"/>
    <w:rsid w:val="003D1A5B"/>
    <w:rsid w:val="003D1A7B"/>
    <w:rsid w:val="003D1B0A"/>
    <w:rsid w:val="003D1BCB"/>
    <w:rsid w:val="003D1BD4"/>
    <w:rsid w:val="003D1C6D"/>
    <w:rsid w:val="003D1C7E"/>
    <w:rsid w:val="003D1CCA"/>
    <w:rsid w:val="003D1DA9"/>
    <w:rsid w:val="003D1DD5"/>
    <w:rsid w:val="003D1E7D"/>
    <w:rsid w:val="003D1EB1"/>
    <w:rsid w:val="003D1F34"/>
    <w:rsid w:val="003D1F51"/>
    <w:rsid w:val="003D20D2"/>
    <w:rsid w:val="003D20E7"/>
    <w:rsid w:val="003D2129"/>
    <w:rsid w:val="003D21D8"/>
    <w:rsid w:val="003D2209"/>
    <w:rsid w:val="003D22A8"/>
    <w:rsid w:val="003D22EF"/>
    <w:rsid w:val="003D232F"/>
    <w:rsid w:val="003D2348"/>
    <w:rsid w:val="003D23D6"/>
    <w:rsid w:val="003D2411"/>
    <w:rsid w:val="003D2426"/>
    <w:rsid w:val="003D2442"/>
    <w:rsid w:val="003D2459"/>
    <w:rsid w:val="003D2507"/>
    <w:rsid w:val="003D2519"/>
    <w:rsid w:val="003D251E"/>
    <w:rsid w:val="003D253C"/>
    <w:rsid w:val="003D25FE"/>
    <w:rsid w:val="003D262D"/>
    <w:rsid w:val="003D2673"/>
    <w:rsid w:val="003D26D2"/>
    <w:rsid w:val="003D26D9"/>
    <w:rsid w:val="003D2732"/>
    <w:rsid w:val="003D287E"/>
    <w:rsid w:val="003D28B3"/>
    <w:rsid w:val="003D28E3"/>
    <w:rsid w:val="003D28F4"/>
    <w:rsid w:val="003D2963"/>
    <w:rsid w:val="003D29D0"/>
    <w:rsid w:val="003D2A45"/>
    <w:rsid w:val="003D2A6F"/>
    <w:rsid w:val="003D2A9E"/>
    <w:rsid w:val="003D2B0D"/>
    <w:rsid w:val="003D2B25"/>
    <w:rsid w:val="003D2B7B"/>
    <w:rsid w:val="003D2BA3"/>
    <w:rsid w:val="003D2BA4"/>
    <w:rsid w:val="003D2BAF"/>
    <w:rsid w:val="003D2C7A"/>
    <w:rsid w:val="003D2C7C"/>
    <w:rsid w:val="003D2DD7"/>
    <w:rsid w:val="003D2DDA"/>
    <w:rsid w:val="003D2F08"/>
    <w:rsid w:val="003D3010"/>
    <w:rsid w:val="003D310C"/>
    <w:rsid w:val="003D315D"/>
    <w:rsid w:val="003D315F"/>
    <w:rsid w:val="003D3290"/>
    <w:rsid w:val="003D32E6"/>
    <w:rsid w:val="003D3314"/>
    <w:rsid w:val="003D3379"/>
    <w:rsid w:val="003D34CF"/>
    <w:rsid w:val="003D35DF"/>
    <w:rsid w:val="003D35EF"/>
    <w:rsid w:val="003D3600"/>
    <w:rsid w:val="003D3658"/>
    <w:rsid w:val="003D3659"/>
    <w:rsid w:val="003D369A"/>
    <w:rsid w:val="003D370F"/>
    <w:rsid w:val="003D37B3"/>
    <w:rsid w:val="003D37B6"/>
    <w:rsid w:val="003D37BA"/>
    <w:rsid w:val="003D37C6"/>
    <w:rsid w:val="003D37F6"/>
    <w:rsid w:val="003D3837"/>
    <w:rsid w:val="003D383E"/>
    <w:rsid w:val="003D3854"/>
    <w:rsid w:val="003D3882"/>
    <w:rsid w:val="003D38A3"/>
    <w:rsid w:val="003D39D5"/>
    <w:rsid w:val="003D3A99"/>
    <w:rsid w:val="003D3AEE"/>
    <w:rsid w:val="003D3AF5"/>
    <w:rsid w:val="003D3B15"/>
    <w:rsid w:val="003D3B3F"/>
    <w:rsid w:val="003D3BAE"/>
    <w:rsid w:val="003D3BCB"/>
    <w:rsid w:val="003D3C2D"/>
    <w:rsid w:val="003D3D14"/>
    <w:rsid w:val="003D3E13"/>
    <w:rsid w:val="003D3E59"/>
    <w:rsid w:val="003D412F"/>
    <w:rsid w:val="003D4139"/>
    <w:rsid w:val="003D4154"/>
    <w:rsid w:val="003D4162"/>
    <w:rsid w:val="003D41B9"/>
    <w:rsid w:val="003D41C2"/>
    <w:rsid w:val="003D41D0"/>
    <w:rsid w:val="003D422B"/>
    <w:rsid w:val="003D4269"/>
    <w:rsid w:val="003D427C"/>
    <w:rsid w:val="003D4369"/>
    <w:rsid w:val="003D43A3"/>
    <w:rsid w:val="003D43AC"/>
    <w:rsid w:val="003D43B9"/>
    <w:rsid w:val="003D448B"/>
    <w:rsid w:val="003D448E"/>
    <w:rsid w:val="003D44AD"/>
    <w:rsid w:val="003D44D6"/>
    <w:rsid w:val="003D4500"/>
    <w:rsid w:val="003D451D"/>
    <w:rsid w:val="003D45B0"/>
    <w:rsid w:val="003D464D"/>
    <w:rsid w:val="003D467B"/>
    <w:rsid w:val="003D46BF"/>
    <w:rsid w:val="003D46C6"/>
    <w:rsid w:val="003D46FD"/>
    <w:rsid w:val="003D4733"/>
    <w:rsid w:val="003D476D"/>
    <w:rsid w:val="003D47A7"/>
    <w:rsid w:val="003D4803"/>
    <w:rsid w:val="003D482F"/>
    <w:rsid w:val="003D4892"/>
    <w:rsid w:val="003D48D8"/>
    <w:rsid w:val="003D4925"/>
    <w:rsid w:val="003D4959"/>
    <w:rsid w:val="003D4991"/>
    <w:rsid w:val="003D49CE"/>
    <w:rsid w:val="003D4A0E"/>
    <w:rsid w:val="003D4A43"/>
    <w:rsid w:val="003D4A6E"/>
    <w:rsid w:val="003D4B6D"/>
    <w:rsid w:val="003D4BFF"/>
    <w:rsid w:val="003D4C15"/>
    <w:rsid w:val="003D4D46"/>
    <w:rsid w:val="003D4D8E"/>
    <w:rsid w:val="003D4DDB"/>
    <w:rsid w:val="003D4DFC"/>
    <w:rsid w:val="003D4E23"/>
    <w:rsid w:val="003D4E2A"/>
    <w:rsid w:val="003D4EDA"/>
    <w:rsid w:val="003D4F28"/>
    <w:rsid w:val="003D4F7A"/>
    <w:rsid w:val="003D4F83"/>
    <w:rsid w:val="003D4FC4"/>
    <w:rsid w:val="003D4FF7"/>
    <w:rsid w:val="003D502B"/>
    <w:rsid w:val="003D50A7"/>
    <w:rsid w:val="003D512E"/>
    <w:rsid w:val="003D5239"/>
    <w:rsid w:val="003D52C1"/>
    <w:rsid w:val="003D52D7"/>
    <w:rsid w:val="003D53AB"/>
    <w:rsid w:val="003D5421"/>
    <w:rsid w:val="003D5444"/>
    <w:rsid w:val="003D545A"/>
    <w:rsid w:val="003D54A0"/>
    <w:rsid w:val="003D54ED"/>
    <w:rsid w:val="003D5527"/>
    <w:rsid w:val="003D5562"/>
    <w:rsid w:val="003D5599"/>
    <w:rsid w:val="003D55B7"/>
    <w:rsid w:val="003D55E4"/>
    <w:rsid w:val="003D5646"/>
    <w:rsid w:val="003D5653"/>
    <w:rsid w:val="003D56DD"/>
    <w:rsid w:val="003D5730"/>
    <w:rsid w:val="003D5745"/>
    <w:rsid w:val="003D5763"/>
    <w:rsid w:val="003D57AD"/>
    <w:rsid w:val="003D58CF"/>
    <w:rsid w:val="003D58FF"/>
    <w:rsid w:val="003D5904"/>
    <w:rsid w:val="003D595F"/>
    <w:rsid w:val="003D599B"/>
    <w:rsid w:val="003D5A04"/>
    <w:rsid w:val="003D5B0A"/>
    <w:rsid w:val="003D5B23"/>
    <w:rsid w:val="003D5B78"/>
    <w:rsid w:val="003D5BF3"/>
    <w:rsid w:val="003D5C88"/>
    <w:rsid w:val="003D5CA6"/>
    <w:rsid w:val="003D5CBE"/>
    <w:rsid w:val="003D5CCB"/>
    <w:rsid w:val="003D5CF2"/>
    <w:rsid w:val="003D5CF4"/>
    <w:rsid w:val="003D5D8A"/>
    <w:rsid w:val="003D5E28"/>
    <w:rsid w:val="003D5E36"/>
    <w:rsid w:val="003D5F0B"/>
    <w:rsid w:val="003D5F21"/>
    <w:rsid w:val="003D5FDB"/>
    <w:rsid w:val="003D5FE2"/>
    <w:rsid w:val="003D609F"/>
    <w:rsid w:val="003D60B7"/>
    <w:rsid w:val="003D6164"/>
    <w:rsid w:val="003D61B7"/>
    <w:rsid w:val="003D622E"/>
    <w:rsid w:val="003D6269"/>
    <w:rsid w:val="003D633A"/>
    <w:rsid w:val="003D63B1"/>
    <w:rsid w:val="003D6452"/>
    <w:rsid w:val="003D6473"/>
    <w:rsid w:val="003D6483"/>
    <w:rsid w:val="003D64A0"/>
    <w:rsid w:val="003D6558"/>
    <w:rsid w:val="003D65AA"/>
    <w:rsid w:val="003D65C5"/>
    <w:rsid w:val="003D65E7"/>
    <w:rsid w:val="003D662F"/>
    <w:rsid w:val="003D663B"/>
    <w:rsid w:val="003D6649"/>
    <w:rsid w:val="003D68DC"/>
    <w:rsid w:val="003D69FB"/>
    <w:rsid w:val="003D6A7B"/>
    <w:rsid w:val="003D6A90"/>
    <w:rsid w:val="003D6A9D"/>
    <w:rsid w:val="003D6ACA"/>
    <w:rsid w:val="003D6AD3"/>
    <w:rsid w:val="003D6BD9"/>
    <w:rsid w:val="003D6C0C"/>
    <w:rsid w:val="003D6C1B"/>
    <w:rsid w:val="003D6CEA"/>
    <w:rsid w:val="003D6D7C"/>
    <w:rsid w:val="003D6E16"/>
    <w:rsid w:val="003D6F48"/>
    <w:rsid w:val="003D6F4E"/>
    <w:rsid w:val="003D6F72"/>
    <w:rsid w:val="003D71FB"/>
    <w:rsid w:val="003D720E"/>
    <w:rsid w:val="003D73FF"/>
    <w:rsid w:val="003D7400"/>
    <w:rsid w:val="003D740A"/>
    <w:rsid w:val="003D7413"/>
    <w:rsid w:val="003D7474"/>
    <w:rsid w:val="003D74BB"/>
    <w:rsid w:val="003D751B"/>
    <w:rsid w:val="003D752C"/>
    <w:rsid w:val="003D75B7"/>
    <w:rsid w:val="003D7696"/>
    <w:rsid w:val="003D76D3"/>
    <w:rsid w:val="003D771B"/>
    <w:rsid w:val="003D77A2"/>
    <w:rsid w:val="003D7803"/>
    <w:rsid w:val="003D781A"/>
    <w:rsid w:val="003D78CD"/>
    <w:rsid w:val="003D79D9"/>
    <w:rsid w:val="003D79DB"/>
    <w:rsid w:val="003D7A09"/>
    <w:rsid w:val="003D7A1D"/>
    <w:rsid w:val="003D7A7A"/>
    <w:rsid w:val="003D7AA1"/>
    <w:rsid w:val="003D7AA8"/>
    <w:rsid w:val="003D7AC0"/>
    <w:rsid w:val="003D7B28"/>
    <w:rsid w:val="003D7BA5"/>
    <w:rsid w:val="003D7C01"/>
    <w:rsid w:val="003D7C27"/>
    <w:rsid w:val="003D7C39"/>
    <w:rsid w:val="003D7C5D"/>
    <w:rsid w:val="003D7CFF"/>
    <w:rsid w:val="003D7D01"/>
    <w:rsid w:val="003D7D1D"/>
    <w:rsid w:val="003D7D6A"/>
    <w:rsid w:val="003D7D78"/>
    <w:rsid w:val="003D7E26"/>
    <w:rsid w:val="003D7E99"/>
    <w:rsid w:val="003D7EAD"/>
    <w:rsid w:val="003D7EE4"/>
    <w:rsid w:val="003D7F05"/>
    <w:rsid w:val="003D7F08"/>
    <w:rsid w:val="003D7F77"/>
    <w:rsid w:val="003D7FFE"/>
    <w:rsid w:val="003D859B"/>
    <w:rsid w:val="003E0001"/>
    <w:rsid w:val="003E008A"/>
    <w:rsid w:val="003E00B4"/>
    <w:rsid w:val="003E015D"/>
    <w:rsid w:val="003E0175"/>
    <w:rsid w:val="003E01A4"/>
    <w:rsid w:val="003E0241"/>
    <w:rsid w:val="003E02E2"/>
    <w:rsid w:val="003E0316"/>
    <w:rsid w:val="003E03DA"/>
    <w:rsid w:val="003E03DD"/>
    <w:rsid w:val="003E03E9"/>
    <w:rsid w:val="003E044F"/>
    <w:rsid w:val="003E05BF"/>
    <w:rsid w:val="003E06E1"/>
    <w:rsid w:val="003E0761"/>
    <w:rsid w:val="003E0855"/>
    <w:rsid w:val="003E0883"/>
    <w:rsid w:val="003E08E6"/>
    <w:rsid w:val="003E0915"/>
    <w:rsid w:val="003E096C"/>
    <w:rsid w:val="003E0ABC"/>
    <w:rsid w:val="003E0B56"/>
    <w:rsid w:val="003E0BCA"/>
    <w:rsid w:val="003E0D52"/>
    <w:rsid w:val="003E0D94"/>
    <w:rsid w:val="003E0DA7"/>
    <w:rsid w:val="003E0DE7"/>
    <w:rsid w:val="003E0DF7"/>
    <w:rsid w:val="003E0F34"/>
    <w:rsid w:val="003E0F3B"/>
    <w:rsid w:val="003E0F8B"/>
    <w:rsid w:val="003E0FE2"/>
    <w:rsid w:val="003E1186"/>
    <w:rsid w:val="003E11C6"/>
    <w:rsid w:val="003E11E7"/>
    <w:rsid w:val="003E122D"/>
    <w:rsid w:val="003E1266"/>
    <w:rsid w:val="003E1274"/>
    <w:rsid w:val="003E12F1"/>
    <w:rsid w:val="003E12FF"/>
    <w:rsid w:val="003E1421"/>
    <w:rsid w:val="003E143E"/>
    <w:rsid w:val="003E1490"/>
    <w:rsid w:val="003E14D3"/>
    <w:rsid w:val="003E1514"/>
    <w:rsid w:val="003E1605"/>
    <w:rsid w:val="003E1622"/>
    <w:rsid w:val="003E1642"/>
    <w:rsid w:val="003E164F"/>
    <w:rsid w:val="003E169D"/>
    <w:rsid w:val="003E171A"/>
    <w:rsid w:val="003E17BC"/>
    <w:rsid w:val="003E17BD"/>
    <w:rsid w:val="003E1862"/>
    <w:rsid w:val="003E1887"/>
    <w:rsid w:val="003E1901"/>
    <w:rsid w:val="003E1A03"/>
    <w:rsid w:val="003E1A34"/>
    <w:rsid w:val="003E1AC4"/>
    <w:rsid w:val="003E1BA1"/>
    <w:rsid w:val="003E1C00"/>
    <w:rsid w:val="003E1C22"/>
    <w:rsid w:val="003E1D16"/>
    <w:rsid w:val="003E1D45"/>
    <w:rsid w:val="003E1D80"/>
    <w:rsid w:val="003E1DD1"/>
    <w:rsid w:val="003E1DDD"/>
    <w:rsid w:val="003E1ECC"/>
    <w:rsid w:val="003E1F0C"/>
    <w:rsid w:val="003E1F5B"/>
    <w:rsid w:val="003E1F73"/>
    <w:rsid w:val="003E1FCC"/>
    <w:rsid w:val="003E1FF7"/>
    <w:rsid w:val="003E2005"/>
    <w:rsid w:val="003E20CE"/>
    <w:rsid w:val="003E20E3"/>
    <w:rsid w:val="003E2115"/>
    <w:rsid w:val="003E21CB"/>
    <w:rsid w:val="003E21CF"/>
    <w:rsid w:val="003E2241"/>
    <w:rsid w:val="003E2364"/>
    <w:rsid w:val="003E23F6"/>
    <w:rsid w:val="003E2417"/>
    <w:rsid w:val="003E2595"/>
    <w:rsid w:val="003E259D"/>
    <w:rsid w:val="003E260A"/>
    <w:rsid w:val="003E260E"/>
    <w:rsid w:val="003E2688"/>
    <w:rsid w:val="003E26B7"/>
    <w:rsid w:val="003E26F2"/>
    <w:rsid w:val="003E2728"/>
    <w:rsid w:val="003E27BC"/>
    <w:rsid w:val="003E2842"/>
    <w:rsid w:val="003E284F"/>
    <w:rsid w:val="003E287C"/>
    <w:rsid w:val="003E2891"/>
    <w:rsid w:val="003E28DD"/>
    <w:rsid w:val="003E28EC"/>
    <w:rsid w:val="003E298C"/>
    <w:rsid w:val="003E29E6"/>
    <w:rsid w:val="003E2A61"/>
    <w:rsid w:val="003E2ACA"/>
    <w:rsid w:val="003E2B1A"/>
    <w:rsid w:val="003E2BE7"/>
    <w:rsid w:val="003E2CA5"/>
    <w:rsid w:val="003E2D09"/>
    <w:rsid w:val="003E2D1D"/>
    <w:rsid w:val="003E2D60"/>
    <w:rsid w:val="003E2DB4"/>
    <w:rsid w:val="003E2E2C"/>
    <w:rsid w:val="003E2E3C"/>
    <w:rsid w:val="003E2F7E"/>
    <w:rsid w:val="003E2FC7"/>
    <w:rsid w:val="003E2FE0"/>
    <w:rsid w:val="003E3037"/>
    <w:rsid w:val="003E3068"/>
    <w:rsid w:val="003E3082"/>
    <w:rsid w:val="003E31B3"/>
    <w:rsid w:val="003E31F1"/>
    <w:rsid w:val="003E3208"/>
    <w:rsid w:val="003E3221"/>
    <w:rsid w:val="003E32C2"/>
    <w:rsid w:val="003E32FD"/>
    <w:rsid w:val="003E3309"/>
    <w:rsid w:val="003E3323"/>
    <w:rsid w:val="003E3383"/>
    <w:rsid w:val="003E3494"/>
    <w:rsid w:val="003E3495"/>
    <w:rsid w:val="003E34CF"/>
    <w:rsid w:val="003E357B"/>
    <w:rsid w:val="003E35CA"/>
    <w:rsid w:val="003E35E5"/>
    <w:rsid w:val="003E3627"/>
    <w:rsid w:val="003E365C"/>
    <w:rsid w:val="003E36BC"/>
    <w:rsid w:val="003E36C1"/>
    <w:rsid w:val="003E3707"/>
    <w:rsid w:val="003E3725"/>
    <w:rsid w:val="003E3734"/>
    <w:rsid w:val="003E37D5"/>
    <w:rsid w:val="003E3814"/>
    <w:rsid w:val="003E382C"/>
    <w:rsid w:val="003E3860"/>
    <w:rsid w:val="003E38F9"/>
    <w:rsid w:val="003E392C"/>
    <w:rsid w:val="003E39E3"/>
    <w:rsid w:val="003E39F5"/>
    <w:rsid w:val="003E3A6A"/>
    <w:rsid w:val="003E3AB9"/>
    <w:rsid w:val="003E3B10"/>
    <w:rsid w:val="003E3B2F"/>
    <w:rsid w:val="003E3C18"/>
    <w:rsid w:val="003E3CC1"/>
    <w:rsid w:val="003E3D6F"/>
    <w:rsid w:val="003E3D8F"/>
    <w:rsid w:val="003E3D94"/>
    <w:rsid w:val="003E3DE2"/>
    <w:rsid w:val="003E3DEB"/>
    <w:rsid w:val="003E3E11"/>
    <w:rsid w:val="003E3F2D"/>
    <w:rsid w:val="003E3F33"/>
    <w:rsid w:val="003E3F80"/>
    <w:rsid w:val="003E3FDF"/>
    <w:rsid w:val="003E3FE2"/>
    <w:rsid w:val="003E4005"/>
    <w:rsid w:val="003E403A"/>
    <w:rsid w:val="003E40DD"/>
    <w:rsid w:val="003E4158"/>
    <w:rsid w:val="003E4185"/>
    <w:rsid w:val="003E41B8"/>
    <w:rsid w:val="003E41EC"/>
    <w:rsid w:val="003E4357"/>
    <w:rsid w:val="003E436D"/>
    <w:rsid w:val="003E438B"/>
    <w:rsid w:val="003E43B9"/>
    <w:rsid w:val="003E45A1"/>
    <w:rsid w:val="003E45AE"/>
    <w:rsid w:val="003E45E3"/>
    <w:rsid w:val="003E4685"/>
    <w:rsid w:val="003E46C5"/>
    <w:rsid w:val="003E47C7"/>
    <w:rsid w:val="003E47CA"/>
    <w:rsid w:val="003E47D9"/>
    <w:rsid w:val="003E4804"/>
    <w:rsid w:val="003E4825"/>
    <w:rsid w:val="003E4902"/>
    <w:rsid w:val="003E4967"/>
    <w:rsid w:val="003E4991"/>
    <w:rsid w:val="003E49C2"/>
    <w:rsid w:val="003E4A51"/>
    <w:rsid w:val="003E4A80"/>
    <w:rsid w:val="003E4AD0"/>
    <w:rsid w:val="003E4B87"/>
    <w:rsid w:val="003E4D95"/>
    <w:rsid w:val="003E4E69"/>
    <w:rsid w:val="003E4F75"/>
    <w:rsid w:val="003E4F7F"/>
    <w:rsid w:val="003E5055"/>
    <w:rsid w:val="003E52BE"/>
    <w:rsid w:val="003E5357"/>
    <w:rsid w:val="003E5459"/>
    <w:rsid w:val="003E5479"/>
    <w:rsid w:val="003E54C9"/>
    <w:rsid w:val="003E5538"/>
    <w:rsid w:val="003E55B1"/>
    <w:rsid w:val="003E5635"/>
    <w:rsid w:val="003E5660"/>
    <w:rsid w:val="003E56F1"/>
    <w:rsid w:val="003E572D"/>
    <w:rsid w:val="003E5782"/>
    <w:rsid w:val="003E57DA"/>
    <w:rsid w:val="003E583E"/>
    <w:rsid w:val="003E599D"/>
    <w:rsid w:val="003E5A84"/>
    <w:rsid w:val="003E5A86"/>
    <w:rsid w:val="003E5AD9"/>
    <w:rsid w:val="003E5AFB"/>
    <w:rsid w:val="003E5B2C"/>
    <w:rsid w:val="003E5B85"/>
    <w:rsid w:val="003E5BC7"/>
    <w:rsid w:val="003E5C39"/>
    <w:rsid w:val="003E5DA0"/>
    <w:rsid w:val="003E5DAD"/>
    <w:rsid w:val="003E5DB6"/>
    <w:rsid w:val="003E5E7F"/>
    <w:rsid w:val="003E5EF0"/>
    <w:rsid w:val="003E5F09"/>
    <w:rsid w:val="003E5F0E"/>
    <w:rsid w:val="003E5F90"/>
    <w:rsid w:val="003E5F9A"/>
    <w:rsid w:val="003E5FD0"/>
    <w:rsid w:val="003E5FE2"/>
    <w:rsid w:val="003E609C"/>
    <w:rsid w:val="003E6179"/>
    <w:rsid w:val="003E6220"/>
    <w:rsid w:val="003E6243"/>
    <w:rsid w:val="003E6249"/>
    <w:rsid w:val="003E62A0"/>
    <w:rsid w:val="003E6307"/>
    <w:rsid w:val="003E6324"/>
    <w:rsid w:val="003E63AB"/>
    <w:rsid w:val="003E6415"/>
    <w:rsid w:val="003E64C3"/>
    <w:rsid w:val="003E655E"/>
    <w:rsid w:val="003E65F0"/>
    <w:rsid w:val="003E660D"/>
    <w:rsid w:val="003E6612"/>
    <w:rsid w:val="003E661F"/>
    <w:rsid w:val="003E66A2"/>
    <w:rsid w:val="003E66FE"/>
    <w:rsid w:val="003E6719"/>
    <w:rsid w:val="003E6782"/>
    <w:rsid w:val="003E6798"/>
    <w:rsid w:val="003E679F"/>
    <w:rsid w:val="003E67CB"/>
    <w:rsid w:val="003E6895"/>
    <w:rsid w:val="003E68A0"/>
    <w:rsid w:val="003E68B9"/>
    <w:rsid w:val="003E68CE"/>
    <w:rsid w:val="003E6952"/>
    <w:rsid w:val="003E699C"/>
    <w:rsid w:val="003E6AF5"/>
    <w:rsid w:val="003E6B02"/>
    <w:rsid w:val="003E6B2B"/>
    <w:rsid w:val="003E6B44"/>
    <w:rsid w:val="003E6B4F"/>
    <w:rsid w:val="003E6C66"/>
    <w:rsid w:val="003E6C7A"/>
    <w:rsid w:val="003E6C87"/>
    <w:rsid w:val="003E6D4B"/>
    <w:rsid w:val="003E6D62"/>
    <w:rsid w:val="003E6D84"/>
    <w:rsid w:val="003E6DB8"/>
    <w:rsid w:val="003E6DC4"/>
    <w:rsid w:val="003E6EB6"/>
    <w:rsid w:val="003E6FFF"/>
    <w:rsid w:val="003E702F"/>
    <w:rsid w:val="003E706F"/>
    <w:rsid w:val="003E70A2"/>
    <w:rsid w:val="003E70CA"/>
    <w:rsid w:val="003E70E0"/>
    <w:rsid w:val="003E710C"/>
    <w:rsid w:val="003E712E"/>
    <w:rsid w:val="003E7150"/>
    <w:rsid w:val="003E7161"/>
    <w:rsid w:val="003E71AD"/>
    <w:rsid w:val="003E71F0"/>
    <w:rsid w:val="003E725E"/>
    <w:rsid w:val="003E727A"/>
    <w:rsid w:val="003E731A"/>
    <w:rsid w:val="003E73DD"/>
    <w:rsid w:val="003E742E"/>
    <w:rsid w:val="003E7448"/>
    <w:rsid w:val="003E7475"/>
    <w:rsid w:val="003E74D9"/>
    <w:rsid w:val="003E74F6"/>
    <w:rsid w:val="003E750E"/>
    <w:rsid w:val="003E76B7"/>
    <w:rsid w:val="003E76E0"/>
    <w:rsid w:val="003E77AC"/>
    <w:rsid w:val="003E7817"/>
    <w:rsid w:val="003E7893"/>
    <w:rsid w:val="003E78DA"/>
    <w:rsid w:val="003E7921"/>
    <w:rsid w:val="003E798B"/>
    <w:rsid w:val="003E7A85"/>
    <w:rsid w:val="003E7B10"/>
    <w:rsid w:val="003E7B4C"/>
    <w:rsid w:val="003E7B4E"/>
    <w:rsid w:val="003E7B8F"/>
    <w:rsid w:val="003E7C4B"/>
    <w:rsid w:val="003E7C9B"/>
    <w:rsid w:val="003E7CAD"/>
    <w:rsid w:val="003E7CBA"/>
    <w:rsid w:val="003E7D33"/>
    <w:rsid w:val="003E7E11"/>
    <w:rsid w:val="003E7E50"/>
    <w:rsid w:val="003E7E51"/>
    <w:rsid w:val="003E7F01"/>
    <w:rsid w:val="003E7FE9"/>
    <w:rsid w:val="003F0007"/>
    <w:rsid w:val="003F007E"/>
    <w:rsid w:val="003F00A4"/>
    <w:rsid w:val="003F00BA"/>
    <w:rsid w:val="003F00FC"/>
    <w:rsid w:val="003F0102"/>
    <w:rsid w:val="003F018A"/>
    <w:rsid w:val="003F0198"/>
    <w:rsid w:val="003F01B9"/>
    <w:rsid w:val="003F01FF"/>
    <w:rsid w:val="003F0227"/>
    <w:rsid w:val="003F0280"/>
    <w:rsid w:val="003F02B5"/>
    <w:rsid w:val="003F02D4"/>
    <w:rsid w:val="003F0323"/>
    <w:rsid w:val="003F037E"/>
    <w:rsid w:val="003F03B3"/>
    <w:rsid w:val="003F03F6"/>
    <w:rsid w:val="003F0431"/>
    <w:rsid w:val="003F04B0"/>
    <w:rsid w:val="003F04E5"/>
    <w:rsid w:val="003F04FE"/>
    <w:rsid w:val="003F0554"/>
    <w:rsid w:val="003F057C"/>
    <w:rsid w:val="003F05BC"/>
    <w:rsid w:val="003F05DA"/>
    <w:rsid w:val="003F0668"/>
    <w:rsid w:val="003F0675"/>
    <w:rsid w:val="003F0699"/>
    <w:rsid w:val="003F07D1"/>
    <w:rsid w:val="003F07D5"/>
    <w:rsid w:val="003F0874"/>
    <w:rsid w:val="003F0884"/>
    <w:rsid w:val="003F0908"/>
    <w:rsid w:val="003F0971"/>
    <w:rsid w:val="003F09AA"/>
    <w:rsid w:val="003F0A6E"/>
    <w:rsid w:val="003F0ABC"/>
    <w:rsid w:val="003F0AE6"/>
    <w:rsid w:val="003F0B32"/>
    <w:rsid w:val="003F0B57"/>
    <w:rsid w:val="003F0BA8"/>
    <w:rsid w:val="003F0BEB"/>
    <w:rsid w:val="003F0C28"/>
    <w:rsid w:val="003F0C35"/>
    <w:rsid w:val="003F0D12"/>
    <w:rsid w:val="003F0D59"/>
    <w:rsid w:val="003F0D7E"/>
    <w:rsid w:val="003F0D8D"/>
    <w:rsid w:val="003F0D96"/>
    <w:rsid w:val="003F0E48"/>
    <w:rsid w:val="003F0E5F"/>
    <w:rsid w:val="003F0E71"/>
    <w:rsid w:val="003F0F56"/>
    <w:rsid w:val="003F0FA4"/>
    <w:rsid w:val="003F0FD4"/>
    <w:rsid w:val="003F1017"/>
    <w:rsid w:val="003F1067"/>
    <w:rsid w:val="003F1108"/>
    <w:rsid w:val="003F1130"/>
    <w:rsid w:val="003F1241"/>
    <w:rsid w:val="003F126A"/>
    <w:rsid w:val="003F12CC"/>
    <w:rsid w:val="003F12E9"/>
    <w:rsid w:val="003F13A9"/>
    <w:rsid w:val="003F13FF"/>
    <w:rsid w:val="003F1408"/>
    <w:rsid w:val="003F142A"/>
    <w:rsid w:val="003F1443"/>
    <w:rsid w:val="003F1476"/>
    <w:rsid w:val="003F150C"/>
    <w:rsid w:val="003F1537"/>
    <w:rsid w:val="003F1560"/>
    <w:rsid w:val="003F1578"/>
    <w:rsid w:val="003F15EC"/>
    <w:rsid w:val="003F161A"/>
    <w:rsid w:val="003F165F"/>
    <w:rsid w:val="003F16C6"/>
    <w:rsid w:val="003F17A7"/>
    <w:rsid w:val="003F17B0"/>
    <w:rsid w:val="003F17BA"/>
    <w:rsid w:val="003F17DF"/>
    <w:rsid w:val="003F17F4"/>
    <w:rsid w:val="003F1815"/>
    <w:rsid w:val="003F18E2"/>
    <w:rsid w:val="003F18E3"/>
    <w:rsid w:val="003F19E8"/>
    <w:rsid w:val="003F1A0D"/>
    <w:rsid w:val="003F1A63"/>
    <w:rsid w:val="003F1AAF"/>
    <w:rsid w:val="003F1AFA"/>
    <w:rsid w:val="003F1B20"/>
    <w:rsid w:val="003F1B2F"/>
    <w:rsid w:val="003F1BFF"/>
    <w:rsid w:val="003F1C2E"/>
    <w:rsid w:val="003F1C53"/>
    <w:rsid w:val="003F1E75"/>
    <w:rsid w:val="003F1F1E"/>
    <w:rsid w:val="003F1FFF"/>
    <w:rsid w:val="003F2055"/>
    <w:rsid w:val="003F20F3"/>
    <w:rsid w:val="003F2128"/>
    <w:rsid w:val="003F21C6"/>
    <w:rsid w:val="003F2205"/>
    <w:rsid w:val="003F22D3"/>
    <w:rsid w:val="003F22F3"/>
    <w:rsid w:val="003F2306"/>
    <w:rsid w:val="003F2344"/>
    <w:rsid w:val="003F2357"/>
    <w:rsid w:val="003F23D7"/>
    <w:rsid w:val="003F2421"/>
    <w:rsid w:val="003F244A"/>
    <w:rsid w:val="003F2487"/>
    <w:rsid w:val="003F248F"/>
    <w:rsid w:val="003F2497"/>
    <w:rsid w:val="003F24A7"/>
    <w:rsid w:val="003F24CB"/>
    <w:rsid w:val="003F24F1"/>
    <w:rsid w:val="003F2539"/>
    <w:rsid w:val="003F2602"/>
    <w:rsid w:val="003F2618"/>
    <w:rsid w:val="003F2691"/>
    <w:rsid w:val="003F26D6"/>
    <w:rsid w:val="003F26FA"/>
    <w:rsid w:val="003F2736"/>
    <w:rsid w:val="003F2738"/>
    <w:rsid w:val="003F2801"/>
    <w:rsid w:val="003F2B42"/>
    <w:rsid w:val="003F2BC7"/>
    <w:rsid w:val="003F2C00"/>
    <w:rsid w:val="003F2C1D"/>
    <w:rsid w:val="003F2CB7"/>
    <w:rsid w:val="003F2CCA"/>
    <w:rsid w:val="003F2CE3"/>
    <w:rsid w:val="003F2CF4"/>
    <w:rsid w:val="003F2D3C"/>
    <w:rsid w:val="003F2D6C"/>
    <w:rsid w:val="003F2DB8"/>
    <w:rsid w:val="003F2DCD"/>
    <w:rsid w:val="003F2DDD"/>
    <w:rsid w:val="003F2EFC"/>
    <w:rsid w:val="003F2F68"/>
    <w:rsid w:val="003F2F8C"/>
    <w:rsid w:val="003F2FAB"/>
    <w:rsid w:val="003F2FC0"/>
    <w:rsid w:val="003F3002"/>
    <w:rsid w:val="003F301E"/>
    <w:rsid w:val="003F309A"/>
    <w:rsid w:val="003F30C4"/>
    <w:rsid w:val="003F3106"/>
    <w:rsid w:val="003F3119"/>
    <w:rsid w:val="003F328D"/>
    <w:rsid w:val="003F32DB"/>
    <w:rsid w:val="003F32DD"/>
    <w:rsid w:val="003F32EC"/>
    <w:rsid w:val="003F336D"/>
    <w:rsid w:val="003F337F"/>
    <w:rsid w:val="003F344E"/>
    <w:rsid w:val="003F347D"/>
    <w:rsid w:val="003F354F"/>
    <w:rsid w:val="003F3686"/>
    <w:rsid w:val="003F3790"/>
    <w:rsid w:val="003F3791"/>
    <w:rsid w:val="003F389F"/>
    <w:rsid w:val="003F396B"/>
    <w:rsid w:val="003F3992"/>
    <w:rsid w:val="003F39C8"/>
    <w:rsid w:val="003F3A0F"/>
    <w:rsid w:val="003F3A55"/>
    <w:rsid w:val="003F3BDA"/>
    <w:rsid w:val="003F3BE6"/>
    <w:rsid w:val="003F3C01"/>
    <w:rsid w:val="003F3C1E"/>
    <w:rsid w:val="003F3CAB"/>
    <w:rsid w:val="003F3CC1"/>
    <w:rsid w:val="003F3DEA"/>
    <w:rsid w:val="003F3F74"/>
    <w:rsid w:val="003F3F82"/>
    <w:rsid w:val="003F3FFB"/>
    <w:rsid w:val="003F3FFF"/>
    <w:rsid w:val="003F4041"/>
    <w:rsid w:val="003F4048"/>
    <w:rsid w:val="003F41A9"/>
    <w:rsid w:val="003F422B"/>
    <w:rsid w:val="003F425A"/>
    <w:rsid w:val="003F42C9"/>
    <w:rsid w:val="003F42F4"/>
    <w:rsid w:val="003F432E"/>
    <w:rsid w:val="003F44CB"/>
    <w:rsid w:val="003F457E"/>
    <w:rsid w:val="003F457F"/>
    <w:rsid w:val="003F458A"/>
    <w:rsid w:val="003F45A2"/>
    <w:rsid w:val="003F45A7"/>
    <w:rsid w:val="003F45DC"/>
    <w:rsid w:val="003F45EC"/>
    <w:rsid w:val="003F4656"/>
    <w:rsid w:val="003F46F5"/>
    <w:rsid w:val="003F474F"/>
    <w:rsid w:val="003F47B0"/>
    <w:rsid w:val="003F4805"/>
    <w:rsid w:val="003F4884"/>
    <w:rsid w:val="003F497D"/>
    <w:rsid w:val="003F49EA"/>
    <w:rsid w:val="003F4BFA"/>
    <w:rsid w:val="003F4C40"/>
    <w:rsid w:val="003F4C4D"/>
    <w:rsid w:val="003F4C93"/>
    <w:rsid w:val="003F4CE3"/>
    <w:rsid w:val="003F4D61"/>
    <w:rsid w:val="003F4E0D"/>
    <w:rsid w:val="003F4ED6"/>
    <w:rsid w:val="003F4EE2"/>
    <w:rsid w:val="003F4EE3"/>
    <w:rsid w:val="003F4F2D"/>
    <w:rsid w:val="003F4FDC"/>
    <w:rsid w:val="003F509D"/>
    <w:rsid w:val="003F5116"/>
    <w:rsid w:val="003F5132"/>
    <w:rsid w:val="003F5133"/>
    <w:rsid w:val="003F5146"/>
    <w:rsid w:val="003F516B"/>
    <w:rsid w:val="003F5189"/>
    <w:rsid w:val="003F5235"/>
    <w:rsid w:val="003F523C"/>
    <w:rsid w:val="003F5268"/>
    <w:rsid w:val="003F52A6"/>
    <w:rsid w:val="003F5377"/>
    <w:rsid w:val="003F53C9"/>
    <w:rsid w:val="003F53D3"/>
    <w:rsid w:val="003F53DA"/>
    <w:rsid w:val="003F53EE"/>
    <w:rsid w:val="003F53F3"/>
    <w:rsid w:val="003F5478"/>
    <w:rsid w:val="003F548F"/>
    <w:rsid w:val="003F554C"/>
    <w:rsid w:val="003F5558"/>
    <w:rsid w:val="003F558E"/>
    <w:rsid w:val="003F561B"/>
    <w:rsid w:val="003F56DE"/>
    <w:rsid w:val="003F56FE"/>
    <w:rsid w:val="003F579B"/>
    <w:rsid w:val="003F57BE"/>
    <w:rsid w:val="003F57CA"/>
    <w:rsid w:val="003F583E"/>
    <w:rsid w:val="003F58A4"/>
    <w:rsid w:val="003F58CF"/>
    <w:rsid w:val="003F592D"/>
    <w:rsid w:val="003F5940"/>
    <w:rsid w:val="003F59B5"/>
    <w:rsid w:val="003F59DA"/>
    <w:rsid w:val="003F59F6"/>
    <w:rsid w:val="003F5A01"/>
    <w:rsid w:val="003F5AA2"/>
    <w:rsid w:val="003F5AD2"/>
    <w:rsid w:val="003F5BD4"/>
    <w:rsid w:val="003F5C0C"/>
    <w:rsid w:val="003F5C26"/>
    <w:rsid w:val="003F5C28"/>
    <w:rsid w:val="003F5C3C"/>
    <w:rsid w:val="003F5C94"/>
    <w:rsid w:val="003F5C99"/>
    <w:rsid w:val="003F5C9E"/>
    <w:rsid w:val="003F5CB0"/>
    <w:rsid w:val="003F5D42"/>
    <w:rsid w:val="003F5DE8"/>
    <w:rsid w:val="003F5EA7"/>
    <w:rsid w:val="003F5ED4"/>
    <w:rsid w:val="003F5EDF"/>
    <w:rsid w:val="003F6023"/>
    <w:rsid w:val="003F607B"/>
    <w:rsid w:val="003F608A"/>
    <w:rsid w:val="003F60AE"/>
    <w:rsid w:val="003F60AF"/>
    <w:rsid w:val="003F61A0"/>
    <w:rsid w:val="003F61A1"/>
    <w:rsid w:val="003F6278"/>
    <w:rsid w:val="003F627F"/>
    <w:rsid w:val="003F629C"/>
    <w:rsid w:val="003F62B8"/>
    <w:rsid w:val="003F62D5"/>
    <w:rsid w:val="003F6374"/>
    <w:rsid w:val="003F6382"/>
    <w:rsid w:val="003F6391"/>
    <w:rsid w:val="003F63FC"/>
    <w:rsid w:val="003F6431"/>
    <w:rsid w:val="003F6478"/>
    <w:rsid w:val="003F649A"/>
    <w:rsid w:val="003F64A5"/>
    <w:rsid w:val="003F64AB"/>
    <w:rsid w:val="003F655D"/>
    <w:rsid w:val="003F65EE"/>
    <w:rsid w:val="003F65F2"/>
    <w:rsid w:val="003F66E9"/>
    <w:rsid w:val="003F6788"/>
    <w:rsid w:val="003F67D8"/>
    <w:rsid w:val="003F686E"/>
    <w:rsid w:val="003F6876"/>
    <w:rsid w:val="003F68A1"/>
    <w:rsid w:val="003F68B1"/>
    <w:rsid w:val="003F68D7"/>
    <w:rsid w:val="003F6906"/>
    <w:rsid w:val="003F690B"/>
    <w:rsid w:val="003F6982"/>
    <w:rsid w:val="003F6A17"/>
    <w:rsid w:val="003F6A2E"/>
    <w:rsid w:val="003F6A34"/>
    <w:rsid w:val="003F6A5D"/>
    <w:rsid w:val="003F6B09"/>
    <w:rsid w:val="003F6B31"/>
    <w:rsid w:val="003F6B99"/>
    <w:rsid w:val="003F6BD1"/>
    <w:rsid w:val="003F6C14"/>
    <w:rsid w:val="003F6C91"/>
    <w:rsid w:val="003F6CD1"/>
    <w:rsid w:val="003F6CE3"/>
    <w:rsid w:val="003F6CF9"/>
    <w:rsid w:val="003F6D0C"/>
    <w:rsid w:val="003F6D5B"/>
    <w:rsid w:val="003F6EA6"/>
    <w:rsid w:val="003F701A"/>
    <w:rsid w:val="003F70B9"/>
    <w:rsid w:val="003F70C2"/>
    <w:rsid w:val="003F7188"/>
    <w:rsid w:val="003F71E2"/>
    <w:rsid w:val="003F71F9"/>
    <w:rsid w:val="003F7338"/>
    <w:rsid w:val="003F7358"/>
    <w:rsid w:val="003F73D9"/>
    <w:rsid w:val="003F73F3"/>
    <w:rsid w:val="003F7406"/>
    <w:rsid w:val="003F745E"/>
    <w:rsid w:val="003F746F"/>
    <w:rsid w:val="003F74DF"/>
    <w:rsid w:val="003F7635"/>
    <w:rsid w:val="003F7645"/>
    <w:rsid w:val="003F7665"/>
    <w:rsid w:val="003F768F"/>
    <w:rsid w:val="003F7750"/>
    <w:rsid w:val="003F7780"/>
    <w:rsid w:val="003F7825"/>
    <w:rsid w:val="003F783E"/>
    <w:rsid w:val="003F7854"/>
    <w:rsid w:val="003F7863"/>
    <w:rsid w:val="003F78C8"/>
    <w:rsid w:val="003F7901"/>
    <w:rsid w:val="003F7952"/>
    <w:rsid w:val="003F798C"/>
    <w:rsid w:val="003F7A45"/>
    <w:rsid w:val="003F7A89"/>
    <w:rsid w:val="003F7A8E"/>
    <w:rsid w:val="003F7A99"/>
    <w:rsid w:val="003F7BD9"/>
    <w:rsid w:val="003F7BFA"/>
    <w:rsid w:val="003F7C40"/>
    <w:rsid w:val="003F7C56"/>
    <w:rsid w:val="003F7D57"/>
    <w:rsid w:val="003F7E59"/>
    <w:rsid w:val="003F7E6C"/>
    <w:rsid w:val="003F7EAB"/>
    <w:rsid w:val="003F7F32"/>
    <w:rsid w:val="003F7F5E"/>
    <w:rsid w:val="003F7FAC"/>
    <w:rsid w:val="004000C2"/>
    <w:rsid w:val="00400171"/>
    <w:rsid w:val="00400198"/>
    <w:rsid w:val="004001A8"/>
    <w:rsid w:val="004001D1"/>
    <w:rsid w:val="00400220"/>
    <w:rsid w:val="00400260"/>
    <w:rsid w:val="004002E3"/>
    <w:rsid w:val="004003AA"/>
    <w:rsid w:val="00400459"/>
    <w:rsid w:val="004004F5"/>
    <w:rsid w:val="00400574"/>
    <w:rsid w:val="0040061D"/>
    <w:rsid w:val="004006BD"/>
    <w:rsid w:val="00400751"/>
    <w:rsid w:val="00400795"/>
    <w:rsid w:val="004007F6"/>
    <w:rsid w:val="00400821"/>
    <w:rsid w:val="004009DA"/>
    <w:rsid w:val="004009E9"/>
    <w:rsid w:val="00400A10"/>
    <w:rsid w:val="00400AE6"/>
    <w:rsid w:val="00400C06"/>
    <w:rsid w:val="00400C31"/>
    <w:rsid w:val="00400C41"/>
    <w:rsid w:val="00400D18"/>
    <w:rsid w:val="00400D48"/>
    <w:rsid w:val="00400E08"/>
    <w:rsid w:val="00400E25"/>
    <w:rsid w:val="00400E85"/>
    <w:rsid w:val="00400F1F"/>
    <w:rsid w:val="00400F51"/>
    <w:rsid w:val="00400FE2"/>
    <w:rsid w:val="00401029"/>
    <w:rsid w:val="004010D4"/>
    <w:rsid w:val="0040114E"/>
    <w:rsid w:val="00401241"/>
    <w:rsid w:val="0040124D"/>
    <w:rsid w:val="0040124E"/>
    <w:rsid w:val="0040129F"/>
    <w:rsid w:val="004012BA"/>
    <w:rsid w:val="004012C8"/>
    <w:rsid w:val="00401314"/>
    <w:rsid w:val="0040135E"/>
    <w:rsid w:val="004014B2"/>
    <w:rsid w:val="004014CD"/>
    <w:rsid w:val="004015FD"/>
    <w:rsid w:val="00401604"/>
    <w:rsid w:val="0040162D"/>
    <w:rsid w:val="0040167D"/>
    <w:rsid w:val="004016AE"/>
    <w:rsid w:val="004017CC"/>
    <w:rsid w:val="004017DB"/>
    <w:rsid w:val="00401872"/>
    <w:rsid w:val="00401889"/>
    <w:rsid w:val="004018B3"/>
    <w:rsid w:val="004018BD"/>
    <w:rsid w:val="004018C1"/>
    <w:rsid w:val="004018F2"/>
    <w:rsid w:val="00401979"/>
    <w:rsid w:val="004019B7"/>
    <w:rsid w:val="00401ADE"/>
    <w:rsid w:val="00401B0A"/>
    <w:rsid w:val="00401B29"/>
    <w:rsid w:val="00401B3D"/>
    <w:rsid w:val="00401BCD"/>
    <w:rsid w:val="00401C06"/>
    <w:rsid w:val="00401C31"/>
    <w:rsid w:val="00401D22"/>
    <w:rsid w:val="00401D4F"/>
    <w:rsid w:val="00401D59"/>
    <w:rsid w:val="00401D86"/>
    <w:rsid w:val="00401D9E"/>
    <w:rsid w:val="00401DD5"/>
    <w:rsid w:val="00401F55"/>
    <w:rsid w:val="004020E6"/>
    <w:rsid w:val="00402142"/>
    <w:rsid w:val="004021B1"/>
    <w:rsid w:val="0040225A"/>
    <w:rsid w:val="00402420"/>
    <w:rsid w:val="00402454"/>
    <w:rsid w:val="004024C3"/>
    <w:rsid w:val="004024D7"/>
    <w:rsid w:val="00402592"/>
    <w:rsid w:val="0040260F"/>
    <w:rsid w:val="00402611"/>
    <w:rsid w:val="00402631"/>
    <w:rsid w:val="00402711"/>
    <w:rsid w:val="00402737"/>
    <w:rsid w:val="00402756"/>
    <w:rsid w:val="004027A7"/>
    <w:rsid w:val="00402950"/>
    <w:rsid w:val="00402964"/>
    <w:rsid w:val="00402A3F"/>
    <w:rsid w:val="00402A82"/>
    <w:rsid w:val="00402B68"/>
    <w:rsid w:val="00402BF5"/>
    <w:rsid w:val="00402C0A"/>
    <w:rsid w:val="00402C14"/>
    <w:rsid w:val="00402C31"/>
    <w:rsid w:val="00402C6D"/>
    <w:rsid w:val="00402CEC"/>
    <w:rsid w:val="00402D2B"/>
    <w:rsid w:val="00402D66"/>
    <w:rsid w:val="00402DCC"/>
    <w:rsid w:val="00402DE4"/>
    <w:rsid w:val="00402E8E"/>
    <w:rsid w:val="00402E8F"/>
    <w:rsid w:val="00402F25"/>
    <w:rsid w:val="0040302D"/>
    <w:rsid w:val="0040306D"/>
    <w:rsid w:val="00403084"/>
    <w:rsid w:val="00403095"/>
    <w:rsid w:val="004030DE"/>
    <w:rsid w:val="004030F9"/>
    <w:rsid w:val="00403157"/>
    <w:rsid w:val="004031E8"/>
    <w:rsid w:val="004032F7"/>
    <w:rsid w:val="004033E0"/>
    <w:rsid w:val="00403493"/>
    <w:rsid w:val="004034FD"/>
    <w:rsid w:val="00403600"/>
    <w:rsid w:val="00403604"/>
    <w:rsid w:val="00403626"/>
    <w:rsid w:val="004036B5"/>
    <w:rsid w:val="004036CF"/>
    <w:rsid w:val="0040375A"/>
    <w:rsid w:val="00403792"/>
    <w:rsid w:val="0040379B"/>
    <w:rsid w:val="0040385F"/>
    <w:rsid w:val="00403868"/>
    <w:rsid w:val="004038AA"/>
    <w:rsid w:val="00403943"/>
    <w:rsid w:val="00403973"/>
    <w:rsid w:val="00403977"/>
    <w:rsid w:val="004039B6"/>
    <w:rsid w:val="00403A2F"/>
    <w:rsid w:val="00403AC2"/>
    <w:rsid w:val="00403AE8"/>
    <w:rsid w:val="00403B13"/>
    <w:rsid w:val="00403B74"/>
    <w:rsid w:val="00403B9D"/>
    <w:rsid w:val="00403BB3"/>
    <w:rsid w:val="00403BC9"/>
    <w:rsid w:val="00403BDC"/>
    <w:rsid w:val="00403C4C"/>
    <w:rsid w:val="00403C51"/>
    <w:rsid w:val="00403C8A"/>
    <w:rsid w:val="00403C99"/>
    <w:rsid w:val="00403CD1"/>
    <w:rsid w:val="00403D2B"/>
    <w:rsid w:val="00403DBA"/>
    <w:rsid w:val="00403DE1"/>
    <w:rsid w:val="00403E38"/>
    <w:rsid w:val="00403E45"/>
    <w:rsid w:val="00403E9E"/>
    <w:rsid w:val="00403EBA"/>
    <w:rsid w:val="00403F4B"/>
    <w:rsid w:val="00404040"/>
    <w:rsid w:val="00404047"/>
    <w:rsid w:val="004041AA"/>
    <w:rsid w:val="004042BC"/>
    <w:rsid w:val="004042D3"/>
    <w:rsid w:val="00404341"/>
    <w:rsid w:val="004043C1"/>
    <w:rsid w:val="0040441D"/>
    <w:rsid w:val="00404428"/>
    <w:rsid w:val="00404443"/>
    <w:rsid w:val="00404491"/>
    <w:rsid w:val="004044AC"/>
    <w:rsid w:val="004045A5"/>
    <w:rsid w:val="004045DE"/>
    <w:rsid w:val="00404668"/>
    <w:rsid w:val="004046B1"/>
    <w:rsid w:val="0040470C"/>
    <w:rsid w:val="00404722"/>
    <w:rsid w:val="004047EE"/>
    <w:rsid w:val="00404826"/>
    <w:rsid w:val="00404835"/>
    <w:rsid w:val="004048C1"/>
    <w:rsid w:val="004048FD"/>
    <w:rsid w:val="00404968"/>
    <w:rsid w:val="004049AB"/>
    <w:rsid w:val="004049B9"/>
    <w:rsid w:val="00404A99"/>
    <w:rsid w:val="00404AA5"/>
    <w:rsid w:val="00404B06"/>
    <w:rsid w:val="00404B3C"/>
    <w:rsid w:val="00404BE7"/>
    <w:rsid w:val="00404BE9"/>
    <w:rsid w:val="00404C42"/>
    <w:rsid w:val="00404CAA"/>
    <w:rsid w:val="00404D10"/>
    <w:rsid w:val="00404D29"/>
    <w:rsid w:val="00404D9F"/>
    <w:rsid w:val="00404E29"/>
    <w:rsid w:val="00404E54"/>
    <w:rsid w:val="00404E73"/>
    <w:rsid w:val="00404EA7"/>
    <w:rsid w:val="00404F34"/>
    <w:rsid w:val="0040505A"/>
    <w:rsid w:val="0040506D"/>
    <w:rsid w:val="0040508B"/>
    <w:rsid w:val="0040509F"/>
    <w:rsid w:val="00405138"/>
    <w:rsid w:val="00405156"/>
    <w:rsid w:val="00405168"/>
    <w:rsid w:val="00405177"/>
    <w:rsid w:val="0040518B"/>
    <w:rsid w:val="00405195"/>
    <w:rsid w:val="004051A2"/>
    <w:rsid w:val="004051C3"/>
    <w:rsid w:val="00405216"/>
    <w:rsid w:val="0040522B"/>
    <w:rsid w:val="00405254"/>
    <w:rsid w:val="004053A9"/>
    <w:rsid w:val="004053FB"/>
    <w:rsid w:val="00405434"/>
    <w:rsid w:val="004054B6"/>
    <w:rsid w:val="004054F0"/>
    <w:rsid w:val="004054F1"/>
    <w:rsid w:val="00405539"/>
    <w:rsid w:val="0040555E"/>
    <w:rsid w:val="00405574"/>
    <w:rsid w:val="0040573D"/>
    <w:rsid w:val="0040579F"/>
    <w:rsid w:val="00405809"/>
    <w:rsid w:val="0040585D"/>
    <w:rsid w:val="004058A4"/>
    <w:rsid w:val="004058A5"/>
    <w:rsid w:val="004059B4"/>
    <w:rsid w:val="00405A16"/>
    <w:rsid w:val="00405A2F"/>
    <w:rsid w:val="00405A30"/>
    <w:rsid w:val="00405A3B"/>
    <w:rsid w:val="00405A9B"/>
    <w:rsid w:val="00405B11"/>
    <w:rsid w:val="00405B4A"/>
    <w:rsid w:val="00405B56"/>
    <w:rsid w:val="00405BB3"/>
    <w:rsid w:val="00405CB3"/>
    <w:rsid w:val="00405CBB"/>
    <w:rsid w:val="00405D60"/>
    <w:rsid w:val="00405DD6"/>
    <w:rsid w:val="00405DE9"/>
    <w:rsid w:val="00405EE2"/>
    <w:rsid w:val="00405F05"/>
    <w:rsid w:val="00405F74"/>
    <w:rsid w:val="0040601D"/>
    <w:rsid w:val="0040602D"/>
    <w:rsid w:val="0040606D"/>
    <w:rsid w:val="00406095"/>
    <w:rsid w:val="004060E8"/>
    <w:rsid w:val="0040614B"/>
    <w:rsid w:val="00406168"/>
    <w:rsid w:val="004062F3"/>
    <w:rsid w:val="00406335"/>
    <w:rsid w:val="00406397"/>
    <w:rsid w:val="0040645B"/>
    <w:rsid w:val="00406489"/>
    <w:rsid w:val="00406525"/>
    <w:rsid w:val="00406551"/>
    <w:rsid w:val="004065EE"/>
    <w:rsid w:val="0040665F"/>
    <w:rsid w:val="00406699"/>
    <w:rsid w:val="0040674B"/>
    <w:rsid w:val="004067DD"/>
    <w:rsid w:val="004067FA"/>
    <w:rsid w:val="00406883"/>
    <w:rsid w:val="004068A3"/>
    <w:rsid w:val="004068B7"/>
    <w:rsid w:val="004068C7"/>
    <w:rsid w:val="00406979"/>
    <w:rsid w:val="00406AEA"/>
    <w:rsid w:val="00406AFD"/>
    <w:rsid w:val="00406B3D"/>
    <w:rsid w:val="00406B83"/>
    <w:rsid w:val="00406B99"/>
    <w:rsid w:val="00406BFD"/>
    <w:rsid w:val="00406D07"/>
    <w:rsid w:val="00406D2A"/>
    <w:rsid w:val="00406D50"/>
    <w:rsid w:val="00406DBE"/>
    <w:rsid w:val="00406DF3"/>
    <w:rsid w:val="00406E32"/>
    <w:rsid w:val="00406E44"/>
    <w:rsid w:val="00406F39"/>
    <w:rsid w:val="00406F90"/>
    <w:rsid w:val="00407015"/>
    <w:rsid w:val="00407019"/>
    <w:rsid w:val="0040701A"/>
    <w:rsid w:val="0040704F"/>
    <w:rsid w:val="0040711A"/>
    <w:rsid w:val="00407127"/>
    <w:rsid w:val="004071CD"/>
    <w:rsid w:val="00407233"/>
    <w:rsid w:val="0040727D"/>
    <w:rsid w:val="00407293"/>
    <w:rsid w:val="004072E3"/>
    <w:rsid w:val="00407303"/>
    <w:rsid w:val="0040730D"/>
    <w:rsid w:val="00407345"/>
    <w:rsid w:val="0040735C"/>
    <w:rsid w:val="0040744C"/>
    <w:rsid w:val="0040750A"/>
    <w:rsid w:val="00407556"/>
    <w:rsid w:val="004075BC"/>
    <w:rsid w:val="0040766B"/>
    <w:rsid w:val="0040769F"/>
    <w:rsid w:val="004076AF"/>
    <w:rsid w:val="00407772"/>
    <w:rsid w:val="00407807"/>
    <w:rsid w:val="004078EE"/>
    <w:rsid w:val="0040796B"/>
    <w:rsid w:val="004079B7"/>
    <w:rsid w:val="004079E7"/>
    <w:rsid w:val="00407C3B"/>
    <w:rsid w:val="00407C5E"/>
    <w:rsid w:val="00407D6E"/>
    <w:rsid w:val="00407DCA"/>
    <w:rsid w:val="00407F85"/>
    <w:rsid w:val="00407FD8"/>
    <w:rsid w:val="0041000D"/>
    <w:rsid w:val="004100AC"/>
    <w:rsid w:val="0041016B"/>
    <w:rsid w:val="0041018E"/>
    <w:rsid w:val="0041018F"/>
    <w:rsid w:val="00410190"/>
    <w:rsid w:val="004101C8"/>
    <w:rsid w:val="004101ED"/>
    <w:rsid w:val="0041020E"/>
    <w:rsid w:val="0041022E"/>
    <w:rsid w:val="00410262"/>
    <w:rsid w:val="004102CB"/>
    <w:rsid w:val="00410417"/>
    <w:rsid w:val="00410466"/>
    <w:rsid w:val="0041049F"/>
    <w:rsid w:val="004105CC"/>
    <w:rsid w:val="0041063D"/>
    <w:rsid w:val="0041067A"/>
    <w:rsid w:val="004106C7"/>
    <w:rsid w:val="004106F8"/>
    <w:rsid w:val="004107C2"/>
    <w:rsid w:val="004107F0"/>
    <w:rsid w:val="0041085C"/>
    <w:rsid w:val="004108AA"/>
    <w:rsid w:val="004108E1"/>
    <w:rsid w:val="00410908"/>
    <w:rsid w:val="00410ADD"/>
    <w:rsid w:val="00410B63"/>
    <w:rsid w:val="00410B99"/>
    <w:rsid w:val="00410BB2"/>
    <w:rsid w:val="00410C11"/>
    <w:rsid w:val="00410C84"/>
    <w:rsid w:val="00410C8F"/>
    <w:rsid w:val="00410D15"/>
    <w:rsid w:val="00410D79"/>
    <w:rsid w:val="00410E08"/>
    <w:rsid w:val="00410E42"/>
    <w:rsid w:val="00410E74"/>
    <w:rsid w:val="00410F4E"/>
    <w:rsid w:val="00410F64"/>
    <w:rsid w:val="00410FE0"/>
    <w:rsid w:val="00411027"/>
    <w:rsid w:val="00411070"/>
    <w:rsid w:val="004110D3"/>
    <w:rsid w:val="0041112B"/>
    <w:rsid w:val="0041115F"/>
    <w:rsid w:val="00411187"/>
    <w:rsid w:val="004111D3"/>
    <w:rsid w:val="00411225"/>
    <w:rsid w:val="00411228"/>
    <w:rsid w:val="00411260"/>
    <w:rsid w:val="00411297"/>
    <w:rsid w:val="0041132E"/>
    <w:rsid w:val="004113A7"/>
    <w:rsid w:val="004113AA"/>
    <w:rsid w:val="004113F8"/>
    <w:rsid w:val="004114C8"/>
    <w:rsid w:val="004114D6"/>
    <w:rsid w:val="00411500"/>
    <w:rsid w:val="0041161C"/>
    <w:rsid w:val="0041168C"/>
    <w:rsid w:val="004116A2"/>
    <w:rsid w:val="004116E3"/>
    <w:rsid w:val="004116F8"/>
    <w:rsid w:val="0041179C"/>
    <w:rsid w:val="004117FB"/>
    <w:rsid w:val="00411844"/>
    <w:rsid w:val="00411875"/>
    <w:rsid w:val="004118BC"/>
    <w:rsid w:val="00411912"/>
    <w:rsid w:val="004119D0"/>
    <w:rsid w:val="00411AAF"/>
    <w:rsid w:val="00411ACA"/>
    <w:rsid w:val="00411AD6"/>
    <w:rsid w:val="00411ADF"/>
    <w:rsid w:val="00411B06"/>
    <w:rsid w:val="00411B24"/>
    <w:rsid w:val="00411B7B"/>
    <w:rsid w:val="00411BF8"/>
    <w:rsid w:val="00411BFB"/>
    <w:rsid w:val="00411C02"/>
    <w:rsid w:val="00411C5F"/>
    <w:rsid w:val="00411C68"/>
    <w:rsid w:val="00411C9C"/>
    <w:rsid w:val="00411D09"/>
    <w:rsid w:val="00411D2D"/>
    <w:rsid w:val="00411D30"/>
    <w:rsid w:val="00411D35"/>
    <w:rsid w:val="00411D83"/>
    <w:rsid w:val="00411D8B"/>
    <w:rsid w:val="00411E50"/>
    <w:rsid w:val="00411E80"/>
    <w:rsid w:val="00411E81"/>
    <w:rsid w:val="00411ED1"/>
    <w:rsid w:val="00411EED"/>
    <w:rsid w:val="00411F2C"/>
    <w:rsid w:val="00411F43"/>
    <w:rsid w:val="00411F85"/>
    <w:rsid w:val="00411FC1"/>
    <w:rsid w:val="00411FC7"/>
    <w:rsid w:val="00412068"/>
    <w:rsid w:val="00412100"/>
    <w:rsid w:val="0041211B"/>
    <w:rsid w:val="00412141"/>
    <w:rsid w:val="00412156"/>
    <w:rsid w:val="00412163"/>
    <w:rsid w:val="004121A9"/>
    <w:rsid w:val="004121BD"/>
    <w:rsid w:val="0041222E"/>
    <w:rsid w:val="00412264"/>
    <w:rsid w:val="004122BB"/>
    <w:rsid w:val="0041236E"/>
    <w:rsid w:val="004123F3"/>
    <w:rsid w:val="0041241E"/>
    <w:rsid w:val="00412489"/>
    <w:rsid w:val="004124D0"/>
    <w:rsid w:val="00412541"/>
    <w:rsid w:val="00412642"/>
    <w:rsid w:val="004126A6"/>
    <w:rsid w:val="00412716"/>
    <w:rsid w:val="0041273D"/>
    <w:rsid w:val="0041279A"/>
    <w:rsid w:val="004127C0"/>
    <w:rsid w:val="004127D6"/>
    <w:rsid w:val="0041282B"/>
    <w:rsid w:val="00412863"/>
    <w:rsid w:val="00412915"/>
    <w:rsid w:val="0041297C"/>
    <w:rsid w:val="004129E1"/>
    <w:rsid w:val="00412AAC"/>
    <w:rsid w:val="00412B2A"/>
    <w:rsid w:val="00412B47"/>
    <w:rsid w:val="00412B85"/>
    <w:rsid w:val="00412B97"/>
    <w:rsid w:val="00412BBC"/>
    <w:rsid w:val="00412C8A"/>
    <w:rsid w:val="00412CF5"/>
    <w:rsid w:val="00412CFF"/>
    <w:rsid w:val="00412EC7"/>
    <w:rsid w:val="00412F20"/>
    <w:rsid w:val="00412FF0"/>
    <w:rsid w:val="004130DD"/>
    <w:rsid w:val="0041310B"/>
    <w:rsid w:val="00413130"/>
    <w:rsid w:val="0041319E"/>
    <w:rsid w:val="004131F3"/>
    <w:rsid w:val="00413224"/>
    <w:rsid w:val="00413263"/>
    <w:rsid w:val="00413339"/>
    <w:rsid w:val="0041334B"/>
    <w:rsid w:val="0041334E"/>
    <w:rsid w:val="0041336A"/>
    <w:rsid w:val="004133B5"/>
    <w:rsid w:val="004134E1"/>
    <w:rsid w:val="00413506"/>
    <w:rsid w:val="004136DF"/>
    <w:rsid w:val="0041373E"/>
    <w:rsid w:val="004137B3"/>
    <w:rsid w:val="004137E7"/>
    <w:rsid w:val="004137F2"/>
    <w:rsid w:val="00413819"/>
    <w:rsid w:val="00413845"/>
    <w:rsid w:val="00413863"/>
    <w:rsid w:val="004138A3"/>
    <w:rsid w:val="004138D0"/>
    <w:rsid w:val="00413918"/>
    <w:rsid w:val="00413970"/>
    <w:rsid w:val="0041398C"/>
    <w:rsid w:val="004139CC"/>
    <w:rsid w:val="00413A0E"/>
    <w:rsid w:val="00413A4A"/>
    <w:rsid w:val="00413AA4"/>
    <w:rsid w:val="00413C0B"/>
    <w:rsid w:val="00413C7B"/>
    <w:rsid w:val="00413CFF"/>
    <w:rsid w:val="00413D01"/>
    <w:rsid w:val="00413D4C"/>
    <w:rsid w:val="00413E2D"/>
    <w:rsid w:val="00413E3A"/>
    <w:rsid w:val="00413E5A"/>
    <w:rsid w:val="00413E92"/>
    <w:rsid w:val="00413F0D"/>
    <w:rsid w:val="00413F90"/>
    <w:rsid w:val="00414028"/>
    <w:rsid w:val="004140DF"/>
    <w:rsid w:val="0041422B"/>
    <w:rsid w:val="00414270"/>
    <w:rsid w:val="00414273"/>
    <w:rsid w:val="004142A2"/>
    <w:rsid w:val="004142AE"/>
    <w:rsid w:val="004142E3"/>
    <w:rsid w:val="0041437C"/>
    <w:rsid w:val="004143A7"/>
    <w:rsid w:val="004143E0"/>
    <w:rsid w:val="0041446F"/>
    <w:rsid w:val="004145A8"/>
    <w:rsid w:val="004145F4"/>
    <w:rsid w:val="00414649"/>
    <w:rsid w:val="00414659"/>
    <w:rsid w:val="0041467C"/>
    <w:rsid w:val="0041472D"/>
    <w:rsid w:val="0041473F"/>
    <w:rsid w:val="004147CB"/>
    <w:rsid w:val="00414800"/>
    <w:rsid w:val="00414847"/>
    <w:rsid w:val="004148E4"/>
    <w:rsid w:val="00414976"/>
    <w:rsid w:val="00414997"/>
    <w:rsid w:val="00414B18"/>
    <w:rsid w:val="00414B36"/>
    <w:rsid w:val="00414B3B"/>
    <w:rsid w:val="00414B41"/>
    <w:rsid w:val="00414BA3"/>
    <w:rsid w:val="00414C36"/>
    <w:rsid w:val="00414C4E"/>
    <w:rsid w:val="00414C90"/>
    <w:rsid w:val="00414CE4"/>
    <w:rsid w:val="00414CF3"/>
    <w:rsid w:val="00414D95"/>
    <w:rsid w:val="00414DB9"/>
    <w:rsid w:val="00414DD8"/>
    <w:rsid w:val="00414DE7"/>
    <w:rsid w:val="00414E90"/>
    <w:rsid w:val="00414FC6"/>
    <w:rsid w:val="00415077"/>
    <w:rsid w:val="0041507D"/>
    <w:rsid w:val="0041515C"/>
    <w:rsid w:val="004151AC"/>
    <w:rsid w:val="004151ED"/>
    <w:rsid w:val="0041521E"/>
    <w:rsid w:val="00415225"/>
    <w:rsid w:val="00415247"/>
    <w:rsid w:val="0041525C"/>
    <w:rsid w:val="004152D8"/>
    <w:rsid w:val="004152FB"/>
    <w:rsid w:val="0041531A"/>
    <w:rsid w:val="0041535B"/>
    <w:rsid w:val="00415384"/>
    <w:rsid w:val="004153A8"/>
    <w:rsid w:val="004153E3"/>
    <w:rsid w:val="004154D3"/>
    <w:rsid w:val="004154F3"/>
    <w:rsid w:val="0041551F"/>
    <w:rsid w:val="00415586"/>
    <w:rsid w:val="004155D5"/>
    <w:rsid w:val="00415648"/>
    <w:rsid w:val="0041569B"/>
    <w:rsid w:val="00415759"/>
    <w:rsid w:val="004157B7"/>
    <w:rsid w:val="004157F7"/>
    <w:rsid w:val="004157FB"/>
    <w:rsid w:val="00415878"/>
    <w:rsid w:val="00415885"/>
    <w:rsid w:val="0041590F"/>
    <w:rsid w:val="00415B19"/>
    <w:rsid w:val="00415B40"/>
    <w:rsid w:val="00415BE1"/>
    <w:rsid w:val="00415C28"/>
    <w:rsid w:val="00415C4F"/>
    <w:rsid w:val="00415C7A"/>
    <w:rsid w:val="00415DB1"/>
    <w:rsid w:val="00415DC4"/>
    <w:rsid w:val="00415F6A"/>
    <w:rsid w:val="00415FD7"/>
    <w:rsid w:val="0041602E"/>
    <w:rsid w:val="00416072"/>
    <w:rsid w:val="0041607A"/>
    <w:rsid w:val="00416181"/>
    <w:rsid w:val="004161DE"/>
    <w:rsid w:val="00416240"/>
    <w:rsid w:val="0041628F"/>
    <w:rsid w:val="004162B6"/>
    <w:rsid w:val="004162B8"/>
    <w:rsid w:val="004162CF"/>
    <w:rsid w:val="004162EF"/>
    <w:rsid w:val="0041630E"/>
    <w:rsid w:val="0041634C"/>
    <w:rsid w:val="0041637E"/>
    <w:rsid w:val="0041640E"/>
    <w:rsid w:val="004164BA"/>
    <w:rsid w:val="0041650D"/>
    <w:rsid w:val="00416535"/>
    <w:rsid w:val="00416539"/>
    <w:rsid w:val="00416574"/>
    <w:rsid w:val="0041659C"/>
    <w:rsid w:val="004165D6"/>
    <w:rsid w:val="004165D7"/>
    <w:rsid w:val="0041662E"/>
    <w:rsid w:val="004166B5"/>
    <w:rsid w:val="004166C5"/>
    <w:rsid w:val="00416782"/>
    <w:rsid w:val="004167B7"/>
    <w:rsid w:val="004167EC"/>
    <w:rsid w:val="00416888"/>
    <w:rsid w:val="0041690A"/>
    <w:rsid w:val="00416942"/>
    <w:rsid w:val="0041694B"/>
    <w:rsid w:val="0041697C"/>
    <w:rsid w:val="004169DE"/>
    <w:rsid w:val="004169DF"/>
    <w:rsid w:val="00416A36"/>
    <w:rsid w:val="00416B0F"/>
    <w:rsid w:val="00416BC4"/>
    <w:rsid w:val="00416BDD"/>
    <w:rsid w:val="00416C1B"/>
    <w:rsid w:val="00416C28"/>
    <w:rsid w:val="00416C8E"/>
    <w:rsid w:val="00416C95"/>
    <w:rsid w:val="00416D3F"/>
    <w:rsid w:val="00416D79"/>
    <w:rsid w:val="00416DEE"/>
    <w:rsid w:val="00416E63"/>
    <w:rsid w:val="00416EB2"/>
    <w:rsid w:val="00416EF1"/>
    <w:rsid w:val="00416F38"/>
    <w:rsid w:val="00416F42"/>
    <w:rsid w:val="00416F96"/>
    <w:rsid w:val="00416FA7"/>
    <w:rsid w:val="00416FDF"/>
    <w:rsid w:val="0041713A"/>
    <w:rsid w:val="0041716C"/>
    <w:rsid w:val="00417181"/>
    <w:rsid w:val="004171D1"/>
    <w:rsid w:val="00417218"/>
    <w:rsid w:val="00417228"/>
    <w:rsid w:val="004172D6"/>
    <w:rsid w:val="00417396"/>
    <w:rsid w:val="004173D9"/>
    <w:rsid w:val="004173DF"/>
    <w:rsid w:val="00417463"/>
    <w:rsid w:val="00417467"/>
    <w:rsid w:val="004174C2"/>
    <w:rsid w:val="004174C5"/>
    <w:rsid w:val="004174FB"/>
    <w:rsid w:val="0041753F"/>
    <w:rsid w:val="004175AE"/>
    <w:rsid w:val="00417650"/>
    <w:rsid w:val="00417774"/>
    <w:rsid w:val="0041777A"/>
    <w:rsid w:val="004177BF"/>
    <w:rsid w:val="004177C8"/>
    <w:rsid w:val="00417858"/>
    <w:rsid w:val="00417876"/>
    <w:rsid w:val="004178F0"/>
    <w:rsid w:val="00417982"/>
    <w:rsid w:val="00417A12"/>
    <w:rsid w:val="00417A28"/>
    <w:rsid w:val="00417A32"/>
    <w:rsid w:val="00417A85"/>
    <w:rsid w:val="00417A95"/>
    <w:rsid w:val="00417B29"/>
    <w:rsid w:val="00417C5C"/>
    <w:rsid w:val="00417CA1"/>
    <w:rsid w:val="00417CB4"/>
    <w:rsid w:val="00417CFA"/>
    <w:rsid w:val="00417D50"/>
    <w:rsid w:val="00417D72"/>
    <w:rsid w:val="00417D89"/>
    <w:rsid w:val="00417D90"/>
    <w:rsid w:val="00417E27"/>
    <w:rsid w:val="00417E96"/>
    <w:rsid w:val="00417ED7"/>
    <w:rsid w:val="00417F29"/>
    <w:rsid w:val="00417F58"/>
    <w:rsid w:val="00417F66"/>
    <w:rsid w:val="00420038"/>
    <w:rsid w:val="00420083"/>
    <w:rsid w:val="004200B9"/>
    <w:rsid w:val="004200E0"/>
    <w:rsid w:val="00420146"/>
    <w:rsid w:val="004201F3"/>
    <w:rsid w:val="00420275"/>
    <w:rsid w:val="0042027C"/>
    <w:rsid w:val="004202A6"/>
    <w:rsid w:val="004202E4"/>
    <w:rsid w:val="0042031A"/>
    <w:rsid w:val="00420354"/>
    <w:rsid w:val="0042035B"/>
    <w:rsid w:val="0042035F"/>
    <w:rsid w:val="00420398"/>
    <w:rsid w:val="004203F8"/>
    <w:rsid w:val="0042042C"/>
    <w:rsid w:val="00420511"/>
    <w:rsid w:val="00420519"/>
    <w:rsid w:val="0042061E"/>
    <w:rsid w:val="00420661"/>
    <w:rsid w:val="004206C2"/>
    <w:rsid w:val="004207E3"/>
    <w:rsid w:val="00420805"/>
    <w:rsid w:val="0042085F"/>
    <w:rsid w:val="004208A2"/>
    <w:rsid w:val="004208FE"/>
    <w:rsid w:val="00420992"/>
    <w:rsid w:val="004209A3"/>
    <w:rsid w:val="004209F3"/>
    <w:rsid w:val="00420A16"/>
    <w:rsid w:val="00420AC2"/>
    <w:rsid w:val="00420AD1"/>
    <w:rsid w:val="00420B0C"/>
    <w:rsid w:val="00420B34"/>
    <w:rsid w:val="00420B53"/>
    <w:rsid w:val="00420B62"/>
    <w:rsid w:val="00420B63"/>
    <w:rsid w:val="00420BF3"/>
    <w:rsid w:val="00420C2C"/>
    <w:rsid w:val="00420C2F"/>
    <w:rsid w:val="00420CE9"/>
    <w:rsid w:val="00420D9D"/>
    <w:rsid w:val="00420DE7"/>
    <w:rsid w:val="00420E39"/>
    <w:rsid w:val="00420E41"/>
    <w:rsid w:val="00420E4C"/>
    <w:rsid w:val="00420E84"/>
    <w:rsid w:val="00420EB1"/>
    <w:rsid w:val="00420F4B"/>
    <w:rsid w:val="00420F56"/>
    <w:rsid w:val="00420FB4"/>
    <w:rsid w:val="00420FC2"/>
    <w:rsid w:val="00421016"/>
    <w:rsid w:val="004210A4"/>
    <w:rsid w:val="004210E7"/>
    <w:rsid w:val="00421143"/>
    <w:rsid w:val="004211AB"/>
    <w:rsid w:val="004211CC"/>
    <w:rsid w:val="00421241"/>
    <w:rsid w:val="00421244"/>
    <w:rsid w:val="00421252"/>
    <w:rsid w:val="00421256"/>
    <w:rsid w:val="004212D8"/>
    <w:rsid w:val="0042131B"/>
    <w:rsid w:val="00421335"/>
    <w:rsid w:val="0042143C"/>
    <w:rsid w:val="00421443"/>
    <w:rsid w:val="00421477"/>
    <w:rsid w:val="004214C9"/>
    <w:rsid w:val="004214EF"/>
    <w:rsid w:val="00421524"/>
    <w:rsid w:val="0042161C"/>
    <w:rsid w:val="00421621"/>
    <w:rsid w:val="004216B4"/>
    <w:rsid w:val="0042171B"/>
    <w:rsid w:val="0042181C"/>
    <w:rsid w:val="0042186B"/>
    <w:rsid w:val="00421909"/>
    <w:rsid w:val="00421925"/>
    <w:rsid w:val="0042198D"/>
    <w:rsid w:val="00421A4C"/>
    <w:rsid w:val="00421A5A"/>
    <w:rsid w:val="00421A98"/>
    <w:rsid w:val="00421AC8"/>
    <w:rsid w:val="00421BC0"/>
    <w:rsid w:val="00421D13"/>
    <w:rsid w:val="00421D95"/>
    <w:rsid w:val="00421DAF"/>
    <w:rsid w:val="00421DC4"/>
    <w:rsid w:val="00421DCC"/>
    <w:rsid w:val="00421E04"/>
    <w:rsid w:val="00421E0A"/>
    <w:rsid w:val="00421EB7"/>
    <w:rsid w:val="00421EF4"/>
    <w:rsid w:val="00421EF5"/>
    <w:rsid w:val="00421F1B"/>
    <w:rsid w:val="00422029"/>
    <w:rsid w:val="004220FE"/>
    <w:rsid w:val="00422118"/>
    <w:rsid w:val="00422167"/>
    <w:rsid w:val="004221F5"/>
    <w:rsid w:val="00422280"/>
    <w:rsid w:val="0042230F"/>
    <w:rsid w:val="00422350"/>
    <w:rsid w:val="00422374"/>
    <w:rsid w:val="0042238B"/>
    <w:rsid w:val="004223D1"/>
    <w:rsid w:val="0042241B"/>
    <w:rsid w:val="00422420"/>
    <w:rsid w:val="0042246B"/>
    <w:rsid w:val="004224BE"/>
    <w:rsid w:val="00422533"/>
    <w:rsid w:val="004225B9"/>
    <w:rsid w:val="0042262A"/>
    <w:rsid w:val="0042264E"/>
    <w:rsid w:val="00422680"/>
    <w:rsid w:val="00422690"/>
    <w:rsid w:val="00422698"/>
    <w:rsid w:val="00422785"/>
    <w:rsid w:val="004227F6"/>
    <w:rsid w:val="00422959"/>
    <w:rsid w:val="00422965"/>
    <w:rsid w:val="00422B5F"/>
    <w:rsid w:val="00422C6B"/>
    <w:rsid w:val="00422C8E"/>
    <w:rsid w:val="00422D00"/>
    <w:rsid w:val="00422D14"/>
    <w:rsid w:val="00422EAC"/>
    <w:rsid w:val="00422F43"/>
    <w:rsid w:val="0042300E"/>
    <w:rsid w:val="0042300F"/>
    <w:rsid w:val="0042307D"/>
    <w:rsid w:val="004230F1"/>
    <w:rsid w:val="0042310F"/>
    <w:rsid w:val="00423118"/>
    <w:rsid w:val="0042311F"/>
    <w:rsid w:val="0042313B"/>
    <w:rsid w:val="00423146"/>
    <w:rsid w:val="0042319B"/>
    <w:rsid w:val="004231D8"/>
    <w:rsid w:val="0042320D"/>
    <w:rsid w:val="00423214"/>
    <w:rsid w:val="0042326F"/>
    <w:rsid w:val="0042329D"/>
    <w:rsid w:val="004232B3"/>
    <w:rsid w:val="004232D9"/>
    <w:rsid w:val="00423417"/>
    <w:rsid w:val="00423439"/>
    <w:rsid w:val="004234C9"/>
    <w:rsid w:val="00423518"/>
    <w:rsid w:val="00423536"/>
    <w:rsid w:val="004235BD"/>
    <w:rsid w:val="00423602"/>
    <w:rsid w:val="004236D2"/>
    <w:rsid w:val="00423704"/>
    <w:rsid w:val="00423765"/>
    <w:rsid w:val="004237A5"/>
    <w:rsid w:val="004238CE"/>
    <w:rsid w:val="004238FD"/>
    <w:rsid w:val="00423999"/>
    <w:rsid w:val="004239A2"/>
    <w:rsid w:val="004239B8"/>
    <w:rsid w:val="004239D0"/>
    <w:rsid w:val="00423AB8"/>
    <w:rsid w:val="00423B47"/>
    <w:rsid w:val="00423BB6"/>
    <w:rsid w:val="00423BC3"/>
    <w:rsid w:val="00423BD4"/>
    <w:rsid w:val="00423BDF"/>
    <w:rsid w:val="00423BE2"/>
    <w:rsid w:val="00423D27"/>
    <w:rsid w:val="00423DCB"/>
    <w:rsid w:val="00423E05"/>
    <w:rsid w:val="00423E2E"/>
    <w:rsid w:val="00423E78"/>
    <w:rsid w:val="00423E7C"/>
    <w:rsid w:val="00423F21"/>
    <w:rsid w:val="00423F7C"/>
    <w:rsid w:val="00423FD9"/>
    <w:rsid w:val="004240F5"/>
    <w:rsid w:val="0042410E"/>
    <w:rsid w:val="004241A1"/>
    <w:rsid w:val="004241FB"/>
    <w:rsid w:val="0042420B"/>
    <w:rsid w:val="0042428A"/>
    <w:rsid w:val="004242DD"/>
    <w:rsid w:val="00424368"/>
    <w:rsid w:val="004243FF"/>
    <w:rsid w:val="0042449A"/>
    <w:rsid w:val="00424506"/>
    <w:rsid w:val="0042453F"/>
    <w:rsid w:val="004245AF"/>
    <w:rsid w:val="004245D6"/>
    <w:rsid w:val="004246B5"/>
    <w:rsid w:val="00424726"/>
    <w:rsid w:val="004247A6"/>
    <w:rsid w:val="0042480B"/>
    <w:rsid w:val="00424840"/>
    <w:rsid w:val="0042489A"/>
    <w:rsid w:val="004248FB"/>
    <w:rsid w:val="0042497F"/>
    <w:rsid w:val="00424985"/>
    <w:rsid w:val="004249EB"/>
    <w:rsid w:val="004249EE"/>
    <w:rsid w:val="00424A1B"/>
    <w:rsid w:val="00424AA2"/>
    <w:rsid w:val="00424AE2"/>
    <w:rsid w:val="00424B13"/>
    <w:rsid w:val="00424B23"/>
    <w:rsid w:val="00424B30"/>
    <w:rsid w:val="00424B9C"/>
    <w:rsid w:val="00424BC8"/>
    <w:rsid w:val="00424CF9"/>
    <w:rsid w:val="00424D47"/>
    <w:rsid w:val="00424D4B"/>
    <w:rsid w:val="00424D91"/>
    <w:rsid w:val="00424E07"/>
    <w:rsid w:val="00424E08"/>
    <w:rsid w:val="00424E23"/>
    <w:rsid w:val="00424E28"/>
    <w:rsid w:val="00424EBF"/>
    <w:rsid w:val="00424EC0"/>
    <w:rsid w:val="0042504A"/>
    <w:rsid w:val="004250D9"/>
    <w:rsid w:val="004250F9"/>
    <w:rsid w:val="00425150"/>
    <w:rsid w:val="004251BB"/>
    <w:rsid w:val="004251D6"/>
    <w:rsid w:val="00425237"/>
    <w:rsid w:val="00425259"/>
    <w:rsid w:val="004252A2"/>
    <w:rsid w:val="0042538F"/>
    <w:rsid w:val="00425513"/>
    <w:rsid w:val="0042557D"/>
    <w:rsid w:val="00425582"/>
    <w:rsid w:val="004255BA"/>
    <w:rsid w:val="00425631"/>
    <w:rsid w:val="004256EB"/>
    <w:rsid w:val="00425761"/>
    <w:rsid w:val="004257F8"/>
    <w:rsid w:val="0042580A"/>
    <w:rsid w:val="0042580D"/>
    <w:rsid w:val="00425812"/>
    <w:rsid w:val="00425862"/>
    <w:rsid w:val="004258A1"/>
    <w:rsid w:val="004258D6"/>
    <w:rsid w:val="004258EA"/>
    <w:rsid w:val="004259BF"/>
    <w:rsid w:val="004259F6"/>
    <w:rsid w:val="00425A63"/>
    <w:rsid w:val="00425AA4"/>
    <w:rsid w:val="00425AB7"/>
    <w:rsid w:val="00425B43"/>
    <w:rsid w:val="00425B9D"/>
    <w:rsid w:val="00425BC5"/>
    <w:rsid w:val="00425CB1"/>
    <w:rsid w:val="00425CBF"/>
    <w:rsid w:val="00425CEE"/>
    <w:rsid w:val="00425D4D"/>
    <w:rsid w:val="00425DB6"/>
    <w:rsid w:val="00425DE7"/>
    <w:rsid w:val="00425E54"/>
    <w:rsid w:val="00425E81"/>
    <w:rsid w:val="004260AC"/>
    <w:rsid w:val="00426110"/>
    <w:rsid w:val="004261BF"/>
    <w:rsid w:val="004261DB"/>
    <w:rsid w:val="0042629B"/>
    <w:rsid w:val="0042631B"/>
    <w:rsid w:val="00426347"/>
    <w:rsid w:val="00426375"/>
    <w:rsid w:val="004263C4"/>
    <w:rsid w:val="004263FB"/>
    <w:rsid w:val="004264E2"/>
    <w:rsid w:val="004265CB"/>
    <w:rsid w:val="004266A5"/>
    <w:rsid w:val="004266AD"/>
    <w:rsid w:val="00426763"/>
    <w:rsid w:val="004267DA"/>
    <w:rsid w:val="0042682E"/>
    <w:rsid w:val="0042682F"/>
    <w:rsid w:val="00426850"/>
    <w:rsid w:val="004268AD"/>
    <w:rsid w:val="004268E9"/>
    <w:rsid w:val="0042691B"/>
    <w:rsid w:val="0042696A"/>
    <w:rsid w:val="00426984"/>
    <w:rsid w:val="00426986"/>
    <w:rsid w:val="0042698D"/>
    <w:rsid w:val="004269A0"/>
    <w:rsid w:val="004269D3"/>
    <w:rsid w:val="004269DC"/>
    <w:rsid w:val="00426A08"/>
    <w:rsid w:val="00426A2B"/>
    <w:rsid w:val="00426A56"/>
    <w:rsid w:val="00426A64"/>
    <w:rsid w:val="00426BCC"/>
    <w:rsid w:val="00426C9E"/>
    <w:rsid w:val="00426CC2"/>
    <w:rsid w:val="00426CE8"/>
    <w:rsid w:val="00426D9A"/>
    <w:rsid w:val="00426DB1"/>
    <w:rsid w:val="00426DBD"/>
    <w:rsid w:val="00426DD2"/>
    <w:rsid w:val="00426DEF"/>
    <w:rsid w:val="00426DF5"/>
    <w:rsid w:val="00426E5A"/>
    <w:rsid w:val="00426EE2"/>
    <w:rsid w:val="00426F42"/>
    <w:rsid w:val="00427083"/>
    <w:rsid w:val="00427086"/>
    <w:rsid w:val="004270EB"/>
    <w:rsid w:val="004270FD"/>
    <w:rsid w:val="00427107"/>
    <w:rsid w:val="00427131"/>
    <w:rsid w:val="00427158"/>
    <w:rsid w:val="00427166"/>
    <w:rsid w:val="0042719A"/>
    <w:rsid w:val="004271B1"/>
    <w:rsid w:val="004271C2"/>
    <w:rsid w:val="004271E6"/>
    <w:rsid w:val="00427290"/>
    <w:rsid w:val="0042731C"/>
    <w:rsid w:val="004273FA"/>
    <w:rsid w:val="004273FF"/>
    <w:rsid w:val="0042740A"/>
    <w:rsid w:val="004274AD"/>
    <w:rsid w:val="00427512"/>
    <w:rsid w:val="00427519"/>
    <w:rsid w:val="0042756D"/>
    <w:rsid w:val="00427738"/>
    <w:rsid w:val="0042773C"/>
    <w:rsid w:val="004277BB"/>
    <w:rsid w:val="004277CB"/>
    <w:rsid w:val="0042787F"/>
    <w:rsid w:val="004278A7"/>
    <w:rsid w:val="0042791E"/>
    <w:rsid w:val="00427A88"/>
    <w:rsid w:val="00427AC5"/>
    <w:rsid w:val="00427B9F"/>
    <w:rsid w:val="00427BB6"/>
    <w:rsid w:val="00427BB8"/>
    <w:rsid w:val="00427BEB"/>
    <w:rsid w:val="00427BFA"/>
    <w:rsid w:val="00427CF4"/>
    <w:rsid w:val="00427E56"/>
    <w:rsid w:val="00427EC8"/>
    <w:rsid w:val="00427F20"/>
    <w:rsid w:val="00427F60"/>
    <w:rsid w:val="00427F6E"/>
    <w:rsid w:val="00430036"/>
    <w:rsid w:val="004300B9"/>
    <w:rsid w:val="00430194"/>
    <w:rsid w:val="004301E0"/>
    <w:rsid w:val="004301FF"/>
    <w:rsid w:val="0043020C"/>
    <w:rsid w:val="00430261"/>
    <w:rsid w:val="0043030E"/>
    <w:rsid w:val="00430312"/>
    <w:rsid w:val="00430315"/>
    <w:rsid w:val="0043035D"/>
    <w:rsid w:val="00430435"/>
    <w:rsid w:val="00430482"/>
    <w:rsid w:val="004304DF"/>
    <w:rsid w:val="004305E0"/>
    <w:rsid w:val="004305F7"/>
    <w:rsid w:val="004306CC"/>
    <w:rsid w:val="00430722"/>
    <w:rsid w:val="00430789"/>
    <w:rsid w:val="004307D5"/>
    <w:rsid w:val="00430812"/>
    <w:rsid w:val="00430857"/>
    <w:rsid w:val="0043086F"/>
    <w:rsid w:val="004309A5"/>
    <w:rsid w:val="00430A01"/>
    <w:rsid w:val="00430B21"/>
    <w:rsid w:val="00430B65"/>
    <w:rsid w:val="00430C20"/>
    <w:rsid w:val="00430C57"/>
    <w:rsid w:val="00430C73"/>
    <w:rsid w:val="00430CD1"/>
    <w:rsid w:val="00430D44"/>
    <w:rsid w:val="00430E1C"/>
    <w:rsid w:val="00430ECF"/>
    <w:rsid w:val="00430ED2"/>
    <w:rsid w:val="00430F5A"/>
    <w:rsid w:val="00430F62"/>
    <w:rsid w:val="00430FA7"/>
    <w:rsid w:val="00430FAB"/>
    <w:rsid w:val="00430FE0"/>
    <w:rsid w:val="00431010"/>
    <w:rsid w:val="0043102A"/>
    <w:rsid w:val="00431034"/>
    <w:rsid w:val="00431037"/>
    <w:rsid w:val="0043108D"/>
    <w:rsid w:val="00431141"/>
    <w:rsid w:val="00431159"/>
    <w:rsid w:val="0043117C"/>
    <w:rsid w:val="004311D8"/>
    <w:rsid w:val="00431282"/>
    <w:rsid w:val="0043131A"/>
    <w:rsid w:val="0043134D"/>
    <w:rsid w:val="0043135F"/>
    <w:rsid w:val="004313E2"/>
    <w:rsid w:val="004313F9"/>
    <w:rsid w:val="00431425"/>
    <w:rsid w:val="00431435"/>
    <w:rsid w:val="0043154D"/>
    <w:rsid w:val="00431551"/>
    <w:rsid w:val="00431562"/>
    <w:rsid w:val="004315FE"/>
    <w:rsid w:val="00431670"/>
    <w:rsid w:val="004316A8"/>
    <w:rsid w:val="004316C9"/>
    <w:rsid w:val="00431753"/>
    <w:rsid w:val="0043179F"/>
    <w:rsid w:val="004317B4"/>
    <w:rsid w:val="0043180C"/>
    <w:rsid w:val="00431869"/>
    <w:rsid w:val="0043187E"/>
    <w:rsid w:val="004318BD"/>
    <w:rsid w:val="00431972"/>
    <w:rsid w:val="0043197F"/>
    <w:rsid w:val="004319AC"/>
    <w:rsid w:val="00431A21"/>
    <w:rsid w:val="00431A4D"/>
    <w:rsid w:val="00431A62"/>
    <w:rsid w:val="00431A7A"/>
    <w:rsid w:val="00431AA5"/>
    <w:rsid w:val="00431B5E"/>
    <w:rsid w:val="00431C8D"/>
    <w:rsid w:val="00431CC7"/>
    <w:rsid w:val="00431CD5"/>
    <w:rsid w:val="00431D18"/>
    <w:rsid w:val="00431D7D"/>
    <w:rsid w:val="00431DDB"/>
    <w:rsid w:val="00431EBD"/>
    <w:rsid w:val="00431ED4"/>
    <w:rsid w:val="00431F25"/>
    <w:rsid w:val="00431FE6"/>
    <w:rsid w:val="004320A4"/>
    <w:rsid w:val="0043211D"/>
    <w:rsid w:val="00432179"/>
    <w:rsid w:val="004321F2"/>
    <w:rsid w:val="0043220E"/>
    <w:rsid w:val="0043224B"/>
    <w:rsid w:val="0043227B"/>
    <w:rsid w:val="00432381"/>
    <w:rsid w:val="004323D3"/>
    <w:rsid w:val="00432422"/>
    <w:rsid w:val="00432771"/>
    <w:rsid w:val="004327E3"/>
    <w:rsid w:val="0043282C"/>
    <w:rsid w:val="00432836"/>
    <w:rsid w:val="004328ED"/>
    <w:rsid w:val="0043290E"/>
    <w:rsid w:val="00432949"/>
    <w:rsid w:val="00432A84"/>
    <w:rsid w:val="00432AAA"/>
    <w:rsid w:val="00432ADE"/>
    <w:rsid w:val="00432B3A"/>
    <w:rsid w:val="00432B55"/>
    <w:rsid w:val="00432B66"/>
    <w:rsid w:val="00432BA7"/>
    <w:rsid w:val="00432BAD"/>
    <w:rsid w:val="00432C04"/>
    <w:rsid w:val="00432C0C"/>
    <w:rsid w:val="00432C5F"/>
    <w:rsid w:val="00432CB5"/>
    <w:rsid w:val="00432CD1"/>
    <w:rsid w:val="00432D84"/>
    <w:rsid w:val="00432DF0"/>
    <w:rsid w:val="00432E01"/>
    <w:rsid w:val="00432EA8"/>
    <w:rsid w:val="00432EC2"/>
    <w:rsid w:val="00432F12"/>
    <w:rsid w:val="00432FE9"/>
    <w:rsid w:val="0043301D"/>
    <w:rsid w:val="0043302A"/>
    <w:rsid w:val="00433071"/>
    <w:rsid w:val="0043307D"/>
    <w:rsid w:val="00433117"/>
    <w:rsid w:val="00433185"/>
    <w:rsid w:val="004331C9"/>
    <w:rsid w:val="004331DB"/>
    <w:rsid w:val="0043330E"/>
    <w:rsid w:val="004333E0"/>
    <w:rsid w:val="00433489"/>
    <w:rsid w:val="004334A5"/>
    <w:rsid w:val="004335A4"/>
    <w:rsid w:val="00433623"/>
    <w:rsid w:val="00433644"/>
    <w:rsid w:val="004336CF"/>
    <w:rsid w:val="00433752"/>
    <w:rsid w:val="004337CB"/>
    <w:rsid w:val="0043380E"/>
    <w:rsid w:val="00433855"/>
    <w:rsid w:val="00433947"/>
    <w:rsid w:val="00433980"/>
    <w:rsid w:val="004339FC"/>
    <w:rsid w:val="00433A45"/>
    <w:rsid w:val="00433AAA"/>
    <w:rsid w:val="00433AAC"/>
    <w:rsid w:val="00433B5B"/>
    <w:rsid w:val="00433B71"/>
    <w:rsid w:val="00433BA6"/>
    <w:rsid w:val="00433BCD"/>
    <w:rsid w:val="00433C5B"/>
    <w:rsid w:val="00433D7F"/>
    <w:rsid w:val="00433D8D"/>
    <w:rsid w:val="00433DD5"/>
    <w:rsid w:val="00433DF0"/>
    <w:rsid w:val="00433E1F"/>
    <w:rsid w:val="00433E2D"/>
    <w:rsid w:val="00433E2F"/>
    <w:rsid w:val="00433ECA"/>
    <w:rsid w:val="00433EF9"/>
    <w:rsid w:val="00433F43"/>
    <w:rsid w:val="00433F5F"/>
    <w:rsid w:val="00433F72"/>
    <w:rsid w:val="00433F80"/>
    <w:rsid w:val="00433FDC"/>
    <w:rsid w:val="00433FF4"/>
    <w:rsid w:val="004340B8"/>
    <w:rsid w:val="004340E0"/>
    <w:rsid w:val="0043417F"/>
    <w:rsid w:val="004341A1"/>
    <w:rsid w:val="0043425B"/>
    <w:rsid w:val="0043427D"/>
    <w:rsid w:val="004342BD"/>
    <w:rsid w:val="004342D4"/>
    <w:rsid w:val="00434338"/>
    <w:rsid w:val="00434364"/>
    <w:rsid w:val="004343B7"/>
    <w:rsid w:val="004343F5"/>
    <w:rsid w:val="0043444B"/>
    <w:rsid w:val="004344A1"/>
    <w:rsid w:val="004345A0"/>
    <w:rsid w:val="0043465C"/>
    <w:rsid w:val="00434691"/>
    <w:rsid w:val="004346B4"/>
    <w:rsid w:val="00434716"/>
    <w:rsid w:val="0043471A"/>
    <w:rsid w:val="00434847"/>
    <w:rsid w:val="0043488E"/>
    <w:rsid w:val="00434894"/>
    <w:rsid w:val="004348E6"/>
    <w:rsid w:val="0043497A"/>
    <w:rsid w:val="004349E5"/>
    <w:rsid w:val="004349F7"/>
    <w:rsid w:val="004349FA"/>
    <w:rsid w:val="00434A63"/>
    <w:rsid w:val="00434BC9"/>
    <w:rsid w:val="00434BD2"/>
    <w:rsid w:val="00434C00"/>
    <w:rsid w:val="00434C15"/>
    <w:rsid w:val="00434C2B"/>
    <w:rsid w:val="00434CC8"/>
    <w:rsid w:val="00434CDF"/>
    <w:rsid w:val="00434CFD"/>
    <w:rsid w:val="00434DC1"/>
    <w:rsid w:val="00434DC2"/>
    <w:rsid w:val="00434F08"/>
    <w:rsid w:val="004350CB"/>
    <w:rsid w:val="00435108"/>
    <w:rsid w:val="00435159"/>
    <w:rsid w:val="004351CC"/>
    <w:rsid w:val="00435229"/>
    <w:rsid w:val="00435263"/>
    <w:rsid w:val="004352B2"/>
    <w:rsid w:val="0043531B"/>
    <w:rsid w:val="00435347"/>
    <w:rsid w:val="004353E1"/>
    <w:rsid w:val="00435441"/>
    <w:rsid w:val="0043554D"/>
    <w:rsid w:val="00435554"/>
    <w:rsid w:val="004356D9"/>
    <w:rsid w:val="0043573F"/>
    <w:rsid w:val="004357C6"/>
    <w:rsid w:val="004357DA"/>
    <w:rsid w:val="00435857"/>
    <w:rsid w:val="00435888"/>
    <w:rsid w:val="004358B1"/>
    <w:rsid w:val="004358C2"/>
    <w:rsid w:val="004358E3"/>
    <w:rsid w:val="0043596C"/>
    <w:rsid w:val="00435980"/>
    <w:rsid w:val="0043598B"/>
    <w:rsid w:val="0043599B"/>
    <w:rsid w:val="004359AD"/>
    <w:rsid w:val="00435AA7"/>
    <w:rsid w:val="00435AEC"/>
    <w:rsid w:val="00435B0B"/>
    <w:rsid w:val="00435BC8"/>
    <w:rsid w:val="00435C33"/>
    <w:rsid w:val="00435CAB"/>
    <w:rsid w:val="00435CE9"/>
    <w:rsid w:val="00435D00"/>
    <w:rsid w:val="00435D1F"/>
    <w:rsid w:val="00435DEC"/>
    <w:rsid w:val="00435E56"/>
    <w:rsid w:val="00435EB6"/>
    <w:rsid w:val="00435EE8"/>
    <w:rsid w:val="00435F10"/>
    <w:rsid w:val="00435F81"/>
    <w:rsid w:val="0043600C"/>
    <w:rsid w:val="004360D9"/>
    <w:rsid w:val="004361A3"/>
    <w:rsid w:val="0043623F"/>
    <w:rsid w:val="00436286"/>
    <w:rsid w:val="004362B3"/>
    <w:rsid w:val="004363A3"/>
    <w:rsid w:val="0043647A"/>
    <w:rsid w:val="0043648A"/>
    <w:rsid w:val="004364E7"/>
    <w:rsid w:val="00436683"/>
    <w:rsid w:val="00436691"/>
    <w:rsid w:val="00436713"/>
    <w:rsid w:val="00436727"/>
    <w:rsid w:val="004367CB"/>
    <w:rsid w:val="0043680F"/>
    <w:rsid w:val="00436848"/>
    <w:rsid w:val="004368D8"/>
    <w:rsid w:val="004368DB"/>
    <w:rsid w:val="00436A39"/>
    <w:rsid w:val="00436A5F"/>
    <w:rsid w:val="00436A72"/>
    <w:rsid w:val="00436AA0"/>
    <w:rsid w:val="00436B79"/>
    <w:rsid w:val="00436BDF"/>
    <w:rsid w:val="00436C65"/>
    <w:rsid w:val="00436C95"/>
    <w:rsid w:val="00436E20"/>
    <w:rsid w:val="00436E5B"/>
    <w:rsid w:val="00436F60"/>
    <w:rsid w:val="00436FEB"/>
    <w:rsid w:val="00436FF9"/>
    <w:rsid w:val="00437095"/>
    <w:rsid w:val="00437108"/>
    <w:rsid w:val="00437181"/>
    <w:rsid w:val="00437185"/>
    <w:rsid w:val="0043725F"/>
    <w:rsid w:val="0043726E"/>
    <w:rsid w:val="004372B3"/>
    <w:rsid w:val="0043735F"/>
    <w:rsid w:val="0043737A"/>
    <w:rsid w:val="00437390"/>
    <w:rsid w:val="004373C0"/>
    <w:rsid w:val="004373E3"/>
    <w:rsid w:val="004373F7"/>
    <w:rsid w:val="00437401"/>
    <w:rsid w:val="0043741E"/>
    <w:rsid w:val="00437421"/>
    <w:rsid w:val="00437471"/>
    <w:rsid w:val="004374EC"/>
    <w:rsid w:val="004374EE"/>
    <w:rsid w:val="00437514"/>
    <w:rsid w:val="0043752C"/>
    <w:rsid w:val="004375AD"/>
    <w:rsid w:val="00437632"/>
    <w:rsid w:val="00437674"/>
    <w:rsid w:val="004376B5"/>
    <w:rsid w:val="004376FB"/>
    <w:rsid w:val="00437729"/>
    <w:rsid w:val="0043777C"/>
    <w:rsid w:val="004378C1"/>
    <w:rsid w:val="0043790A"/>
    <w:rsid w:val="004379C7"/>
    <w:rsid w:val="004379F4"/>
    <w:rsid w:val="00437A70"/>
    <w:rsid w:val="00437AE9"/>
    <w:rsid w:val="00437C2C"/>
    <w:rsid w:val="00437C5E"/>
    <w:rsid w:val="00437D3D"/>
    <w:rsid w:val="00437DD3"/>
    <w:rsid w:val="00437DE0"/>
    <w:rsid w:val="00437E0D"/>
    <w:rsid w:val="00437E72"/>
    <w:rsid w:val="00437F0D"/>
    <w:rsid w:val="00437F87"/>
    <w:rsid w:val="00437FCA"/>
    <w:rsid w:val="00437FEE"/>
    <w:rsid w:val="004400B9"/>
    <w:rsid w:val="004400D3"/>
    <w:rsid w:val="004400D8"/>
    <w:rsid w:val="0044018B"/>
    <w:rsid w:val="0044026F"/>
    <w:rsid w:val="00440281"/>
    <w:rsid w:val="004402BC"/>
    <w:rsid w:val="00440302"/>
    <w:rsid w:val="00440312"/>
    <w:rsid w:val="00440497"/>
    <w:rsid w:val="004404E8"/>
    <w:rsid w:val="0044056A"/>
    <w:rsid w:val="004405B1"/>
    <w:rsid w:val="00440642"/>
    <w:rsid w:val="004406A1"/>
    <w:rsid w:val="00440728"/>
    <w:rsid w:val="004407BC"/>
    <w:rsid w:val="00440918"/>
    <w:rsid w:val="004409A2"/>
    <w:rsid w:val="004409A4"/>
    <w:rsid w:val="004409D0"/>
    <w:rsid w:val="00440A28"/>
    <w:rsid w:val="00440A5E"/>
    <w:rsid w:val="00440AAA"/>
    <w:rsid w:val="00440BAA"/>
    <w:rsid w:val="00440BD6"/>
    <w:rsid w:val="00440BED"/>
    <w:rsid w:val="00440C56"/>
    <w:rsid w:val="00440C76"/>
    <w:rsid w:val="00440C82"/>
    <w:rsid w:val="00440DBC"/>
    <w:rsid w:val="00440DC2"/>
    <w:rsid w:val="00440DFA"/>
    <w:rsid w:val="00440E25"/>
    <w:rsid w:val="00440E3E"/>
    <w:rsid w:val="00440E76"/>
    <w:rsid w:val="00440E97"/>
    <w:rsid w:val="00440EE0"/>
    <w:rsid w:val="00440EE4"/>
    <w:rsid w:val="00440F10"/>
    <w:rsid w:val="00440F43"/>
    <w:rsid w:val="00440F7E"/>
    <w:rsid w:val="00441098"/>
    <w:rsid w:val="00441109"/>
    <w:rsid w:val="004411C8"/>
    <w:rsid w:val="004412F2"/>
    <w:rsid w:val="0044133D"/>
    <w:rsid w:val="00441351"/>
    <w:rsid w:val="004413DF"/>
    <w:rsid w:val="0044143F"/>
    <w:rsid w:val="00441455"/>
    <w:rsid w:val="00441467"/>
    <w:rsid w:val="0044149A"/>
    <w:rsid w:val="00441502"/>
    <w:rsid w:val="0044159D"/>
    <w:rsid w:val="00441645"/>
    <w:rsid w:val="004416E5"/>
    <w:rsid w:val="004416E6"/>
    <w:rsid w:val="0044170C"/>
    <w:rsid w:val="00441781"/>
    <w:rsid w:val="0044178B"/>
    <w:rsid w:val="004417D4"/>
    <w:rsid w:val="00441884"/>
    <w:rsid w:val="0044188B"/>
    <w:rsid w:val="00441910"/>
    <w:rsid w:val="00441922"/>
    <w:rsid w:val="0044192F"/>
    <w:rsid w:val="00441938"/>
    <w:rsid w:val="00441980"/>
    <w:rsid w:val="0044198E"/>
    <w:rsid w:val="004419A8"/>
    <w:rsid w:val="004419CC"/>
    <w:rsid w:val="004419DD"/>
    <w:rsid w:val="004419FC"/>
    <w:rsid w:val="00441A1C"/>
    <w:rsid w:val="00441AAD"/>
    <w:rsid w:val="00441B52"/>
    <w:rsid w:val="00441B63"/>
    <w:rsid w:val="00441BCB"/>
    <w:rsid w:val="00441BE7"/>
    <w:rsid w:val="00441CB4"/>
    <w:rsid w:val="00441CB6"/>
    <w:rsid w:val="00441CF8"/>
    <w:rsid w:val="00441D30"/>
    <w:rsid w:val="00441DB8"/>
    <w:rsid w:val="00441E48"/>
    <w:rsid w:val="00441EA8"/>
    <w:rsid w:val="00441EF1"/>
    <w:rsid w:val="0044207C"/>
    <w:rsid w:val="004420D3"/>
    <w:rsid w:val="0044216A"/>
    <w:rsid w:val="00442191"/>
    <w:rsid w:val="00442196"/>
    <w:rsid w:val="004421F6"/>
    <w:rsid w:val="004423AD"/>
    <w:rsid w:val="0044241A"/>
    <w:rsid w:val="0044241B"/>
    <w:rsid w:val="0044249C"/>
    <w:rsid w:val="004424D1"/>
    <w:rsid w:val="004424DE"/>
    <w:rsid w:val="00442517"/>
    <w:rsid w:val="004425F1"/>
    <w:rsid w:val="00442604"/>
    <w:rsid w:val="00442764"/>
    <w:rsid w:val="00442777"/>
    <w:rsid w:val="004427E0"/>
    <w:rsid w:val="0044285E"/>
    <w:rsid w:val="004428C8"/>
    <w:rsid w:val="0044295E"/>
    <w:rsid w:val="00442A3B"/>
    <w:rsid w:val="00442A44"/>
    <w:rsid w:val="00442A89"/>
    <w:rsid w:val="00442A9C"/>
    <w:rsid w:val="00442AFD"/>
    <w:rsid w:val="00442C48"/>
    <w:rsid w:val="00442C5A"/>
    <w:rsid w:val="00442CF1"/>
    <w:rsid w:val="00442D1B"/>
    <w:rsid w:val="00442D25"/>
    <w:rsid w:val="00442D5D"/>
    <w:rsid w:val="00442E2C"/>
    <w:rsid w:val="00442E44"/>
    <w:rsid w:val="00442E4B"/>
    <w:rsid w:val="00442E7B"/>
    <w:rsid w:val="00442EB8"/>
    <w:rsid w:val="00442F90"/>
    <w:rsid w:val="00442F9C"/>
    <w:rsid w:val="00442FF0"/>
    <w:rsid w:val="0044302E"/>
    <w:rsid w:val="00443086"/>
    <w:rsid w:val="00443114"/>
    <w:rsid w:val="00443137"/>
    <w:rsid w:val="00443157"/>
    <w:rsid w:val="00443273"/>
    <w:rsid w:val="00443300"/>
    <w:rsid w:val="0044330A"/>
    <w:rsid w:val="004433B4"/>
    <w:rsid w:val="00443405"/>
    <w:rsid w:val="0044342D"/>
    <w:rsid w:val="00443469"/>
    <w:rsid w:val="00443494"/>
    <w:rsid w:val="004434D6"/>
    <w:rsid w:val="004435C1"/>
    <w:rsid w:val="0044365D"/>
    <w:rsid w:val="004437A5"/>
    <w:rsid w:val="004437D3"/>
    <w:rsid w:val="0044380B"/>
    <w:rsid w:val="00443815"/>
    <w:rsid w:val="00443842"/>
    <w:rsid w:val="004438D5"/>
    <w:rsid w:val="0044391E"/>
    <w:rsid w:val="0044396F"/>
    <w:rsid w:val="004439AA"/>
    <w:rsid w:val="004439F9"/>
    <w:rsid w:val="00443A10"/>
    <w:rsid w:val="00443A24"/>
    <w:rsid w:val="00443A67"/>
    <w:rsid w:val="00443A8E"/>
    <w:rsid w:val="00443C12"/>
    <w:rsid w:val="00443C31"/>
    <w:rsid w:val="00443CBF"/>
    <w:rsid w:val="00443D0D"/>
    <w:rsid w:val="00443D34"/>
    <w:rsid w:val="00443E25"/>
    <w:rsid w:val="00443E8C"/>
    <w:rsid w:val="00443EB7"/>
    <w:rsid w:val="00443EDE"/>
    <w:rsid w:val="00443F99"/>
    <w:rsid w:val="00443FB3"/>
    <w:rsid w:val="00443FF2"/>
    <w:rsid w:val="00444037"/>
    <w:rsid w:val="0044404A"/>
    <w:rsid w:val="0044407C"/>
    <w:rsid w:val="00444094"/>
    <w:rsid w:val="004440A4"/>
    <w:rsid w:val="004440CA"/>
    <w:rsid w:val="0044412F"/>
    <w:rsid w:val="0044414F"/>
    <w:rsid w:val="004441A1"/>
    <w:rsid w:val="004441B2"/>
    <w:rsid w:val="004441B3"/>
    <w:rsid w:val="004442B0"/>
    <w:rsid w:val="004442BF"/>
    <w:rsid w:val="0044433D"/>
    <w:rsid w:val="00444364"/>
    <w:rsid w:val="004443B7"/>
    <w:rsid w:val="004443D9"/>
    <w:rsid w:val="004443F8"/>
    <w:rsid w:val="00444465"/>
    <w:rsid w:val="00444562"/>
    <w:rsid w:val="004445B7"/>
    <w:rsid w:val="004445C4"/>
    <w:rsid w:val="0044463E"/>
    <w:rsid w:val="00444709"/>
    <w:rsid w:val="00444822"/>
    <w:rsid w:val="00444846"/>
    <w:rsid w:val="0044487B"/>
    <w:rsid w:val="0044492B"/>
    <w:rsid w:val="00444AB5"/>
    <w:rsid w:val="00444B8A"/>
    <w:rsid w:val="00444BA8"/>
    <w:rsid w:val="00444BAA"/>
    <w:rsid w:val="00444BF3"/>
    <w:rsid w:val="00444C54"/>
    <w:rsid w:val="00444CA3"/>
    <w:rsid w:val="00444CE6"/>
    <w:rsid w:val="00444DAB"/>
    <w:rsid w:val="00444DB0"/>
    <w:rsid w:val="00444E9C"/>
    <w:rsid w:val="00444EE0"/>
    <w:rsid w:val="00444F27"/>
    <w:rsid w:val="00444F50"/>
    <w:rsid w:val="00444FD7"/>
    <w:rsid w:val="00445003"/>
    <w:rsid w:val="0044500D"/>
    <w:rsid w:val="0044503F"/>
    <w:rsid w:val="00445046"/>
    <w:rsid w:val="0044505D"/>
    <w:rsid w:val="00445089"/>
    <w:rsid w:val="004450E7"/>
    <w:rsid w:val="00445178"/>
    <w:rsid w:val="004452B3"/>
    <w:rsid w:val="004452C9"/>
    <w:rsid w:val="004452D3"/>
    <w:rsid w:val="0044530C"/>
    <w:rsid w:val="00445315"/>
    <w:rsid w:val="004453F3"/>
    <w:rsid w:val="00445407"/>
    <w:rsid w:val="0044549A"/>
    <w:rsid w:val="004455B0"/>
    <w:rsid w:val="00445618"/>
    <w:rsid w:val="00445659"/>
    <w:rsid w:val="00445660"/>
    <w:rsid w:val="004456BE"/>
    <w:rsid w:val="00445759"/>
    <w:rsid w:val="004457CD"/>
    <w:rsid w:val="004457EB"/>
    <w:rsid w:val="0044583E"/>
    <w:rsid w:val="00445898"/>
    <w:rsid w:val="004459AD"/>
    <w:rsid w:val="00445A85"/>
    <w:rsid w:val="00445B3D"/>
    <w:rsid w:val="00445BB2"/>
    <w:rsid w:val="00445C10"/>
    <w:rsid w:val="00445C28"/>
    <w:rsid w:val="00445C30"/>
    <w:rsid w:val="00445C37"/>
    <w:rsid w:val="00445C42"/>
    <w:rsid w:val="00445CAB"/>
    <w:rsid w:val="00445CBF"/>
    <w:rsid w:val="00445D3F"/>
    <w:rsid w:val="00445D42"/>
    <w:rsid w:val="00445D78"/>
    <w:rsid w:val="00445E51"/>
    <w:rsid w:val="00445F39"/>
    <w:rsid w:val="00445F73"/>
    <w:rsid w:val="00445FC3"/>
    <w:rsid w:val="00445FF8"/>
    <w:rsid w:val="00446015"/>
    <w:rsid w:val="00446047"/>
    <w:rsid w:val="0044609C"/>
    <w:rsid w:val="004460F9"/>
    <w:rsid w:val="00446105"/>
    <w:rsid w:val="00446121"/>
    <w:rsid w:val="004461BE"/>
    <w:rsid w:val="004462C9"/>
    <w:rsid w:val="004462CC"/>
    <w:rsid w:val="004462D5"/>
    <w:rsid w:val="004462DF"/>
    <w:rsid w:val="00446351"/>
    <w:rsid w:val="00446377"/>
    <w:rsid w:val="004463FC"/>
    <w:rsid w:val="00446497"/>
    <w:rsid w:val="004464F7"/>
    <w:rsid w:val="0044655F"/>
    <w:rsid w:val="00446655"/>
    <w:rsid w:val="00446749"/>
    <w:rsid w:val="0044695A"/>
    <w:rsid w:val="0044697B"/>
    <w:rsid w:val="00446A98"/>
    <w:rsid w:val="00446AB7"/>
    <w:rsid w:val="00446AC9"/>
    <w:rsid w:val="00446ACE"/>
    <w:rsid w:val="00446ACF"/>
    <w:rsid w:val="00446B32"/>
    <w:rsid w:val="00446B70"/>
    <w:rsid w:val="00446B7D"/>
    <w:rsid w:val="00446BA6"/>
    <w:rsid w:val="00446BCA"/>
    <w:rsid w:val="00446BFC"/>
    <w:rsid w:val="00446C89"/>
    <w:rsid w:val="00446CF5"/>
    <w:rsid w:val="00446CFE"/>
    <w:rsid w:val="00446D05"/>
    <w:rsid w:val="00446D12"/>
    <w:rsid w:val="00446D23"/>
    <w:rsid w:val="00446E15"/>
    <w:rsid w:val="00446F01"/>
    <w:rsid w:val="00446F15"/>
    <w:rsid w:val="00447038"/>
    <w:rsid w:val="00447087"/>
    <w:rsid w:val="00447249"/>
    <w:rsid w:val="004472A2"/>
    <w:rsid w:val="00447322"/>
    <w:rsid w:val="00447332"/>
    <w:rsid w:val="00447342"/>
    <w:rsid w:val="0044739E"/>
    <w:rsid w:val="004473DE"/>
    <w:rsid w:val="0044741C"/>
    <w:rsid w:val="00447450"/>
    <w:rsid w:val="0044755B"/>
    <w:rsid w:val="00447587"/>
    <w:rsid w:val="004475BE"/>
    <w:rsid w:val="004475C1"/>
    <w:rsid w:val="004476CF"/>
    <w:rsid w:val="00447744"/>
    <w:rsid w:val="004477CE"/>
    <w:rsid w:val="00447808"/>
    <w:rsid w:val="004478C5"/>
    <w:rsid w:val="004478E2"/>
    <w:rsid w:val="00447907"/>
    <w:rsid w:val="0044790C"/>
    <w:rsid w:val="0044793E"/>
    <w:rsid w:val="00447984"/>
    <w:rsid w:val="004479EF"/>
    <w:rsid w:val="00447A21"/>
    <w:rsid w:val="00447A95"/>
    <w:rsid w:val="00447B13"/>
    <w:rsid w:val="00447B6A"/>
    <w:rsid w:val="00447BE5"/>
    <w:rsid w:val="00447C56"/>
    <w:rsid w:val="00447D17"/>
    <w:rsid w:val="00447D2C"/>
    <w:rsid w:val="00447D42"/>
    <w:rsid w:val="00447D55"/>
    <w:rsid w:val="00447D67"/>
    <w:rsid w:val="00447D8B"/>
    <w:rsid w:val="00447DF7"/>
    <w:rsid w:val="00447E4A"/>
    <w:rsid w:val="00447E7A"/>
    <w:rsid w:val="00447F21"/>
    <w:rsid w:val="00447F3B"/>
    <w:rsid w:val="00447F3E"/>
    <w:rsid w:val="00447FCD"/>
    <w:rsid w:val="004500A5"/>
    <w:rsid w:val="004500AD"/>
    <w:rsid w:val="004500C5"/>
    <w:rsid w:val="004500C8"/>
    <w:rsid w:val="00450101"/>
    <w:rsid w:val="00450124"/>
    <w:rsid w:val="0045013C"/>
    <w:rsid w:val="004501CC"/>
    <w:rsid w:val="004501E3"/>
    <w:rsid w:val="00450320"/>
    <w:rsid w:val="004503B6"/>
    <w:rsid w:val="004503CF"/>
    <w:rsid w:val="004503F3"/>
    <w:rsid w:val="00450433"/>
    <w:rsid w:val="0045048C"/>
    <w:rsid w:val="004504BA"/>
    <w:rsid w:val="004504EC"/>
    <w:rsid w:val="00450517"/>
    <w:rsid w:val="0045051B"/>
    <w:rsid w:val="0045053D"/>
    <w:rsid w:val="004505A2"/>
    <w:rsid w:val="004505A3"/>
    <w:rsid w:val="00450623"/>
    <w:rsid w:val="00450628"/>
    <w:rsid w:val="00450683"/>
    <w:rsid w:val="004506E7"/>
    <w:rsid w:val="004507AC"/>
    <w:rsid w:val="004507FF"/>
    <w:rsid w:val="00450812"/>
    <w:rsid w:val="0045081B"/>
    <w:rsid w:val="00450912"/>
    <w:rsid w:val="0045095A"/>
    <w:rsid w:val="00450A08"/>
    <w:rsid w:val="00450A18"/>
    <w:rsid w:val="00450A4D"/>
    <w:rsid w:val="00450A63"/>
    <w:rsid w:val="00450B02"/>
    <w:rsid w:val="00450B34"/>
    <w:rsid w:val="00450B4F"/>
    <w:rsid w:val="00450C65"/>
    <w:rsid w:val="00450D15"/>
    <w:rsid w:val="00450D30"/>
    <w:rsid w:val="00450D5A"/>
    <w:rsid w:val="00450DE7"/>
    <w:rsid w:val="00450ED8"/>
    <w:rsid w:val="00450F32"/>
    <w:rsid w:val="00450F33"/>
    <w:rsid w:val="0045100E"/>
    <w:rsid w:val="00451137"/>
    <w:rsid w:val="00451140"/>
    <w:rsid w:val="004511FF"/>
    <w:rsid w:val="00451207"/>
    <w:rsid w:val="00451290"/>
    <w:rsid w:val="004512C8"/>
    <w:rsid w:val="004512D4"/>
    <w:rsid w:val="0045130A"/>
    <w:rsid w:val="0045137B"/>
    <w:rsid w:val="00451448"/>
    <w:rsid w:val="004514F0"/>
    <w:rsid w:val="00451503"/>
    <w:rsid w:val="0045156B"/>
    <w:rsid w:val="0045156F"/>
    <w:rsid w:val="004515AE"/>
    <w:rsid w:val="004515E5"/>
    <w:rsid w:val="004515EA"/>
    <w:rsid w:val="00451612"/>
    <w:rsid w:val="0045162A"/>
    <w:rsid w:val="00451709"/>
    <w:rsid w:val="00451784"/>
    <w:rsid w:val="00451789"/>
    <w:rsid w:val="004517A8"/>
    <w:rsid w:val="0045182B"/>
    <w:rsid w:val="0045183A"/>
    <w:rsid w:val="00451879"/>
    <w:rsid w:val="0045194B"/>
    <w:rsid w:val="004519DA"/>
    <w:rsid w:val="00451A5C"/>
    <w:rsid w:val="00451AAA"/>
    <w:rsid w:val="00451BFB"/>
    <w:rsid w:val="00451C14"/>
    <w:rsid w:val="00451C97"/>
    <w:rsid w:val="00451CC3"/>
    <w:rsid w:val="00451D11"/>
    <w:rsid w:val="00451D33"/>
    <w:rsid w:val="00451DC9"/>
    <w:rsid w:val="00451E79"/>
    <w:rsid w:val="00451F2A"/>
    <w:rsid w:val="00451FB5"/>
    <w:rsid w:val="00451FC1"/>
    <w:rsid w:val="00451FF7"/>
    <w:rsid w:val="00452001"/>
    <w:rsid w:val="00452028"/>
    <w:rsid w:val="004520D0"/>
    <w:rsid w:val="00452276"/>
    <w:rsid w:val="00452290"/>
    <w:rsid w:val="004522D4"/>
    <w:rsid w:val="0045231E"/>
    <w:rsid w:val="00452329"/>
    <w:rsid w:val="0045238F"/>
    <w:rsid w:val="004523D2"/>
    <w:rsid w:val="004525D3"/>
    <w:rsid w:val="004525FB"/>
    <w:rsid w:val="0045261A"/>
    <w:rsid w:val="00452646"/>
    <w:rsid w:val="004526D8"/>
    <w:rsid w:val="004526DD"/>
    <w:rsid w:val="00452744"/>
    <w:rsid w:val="00452751"/>
    <w:rsid w:val="0045285B"/>
    <w:rsid w:val="004528DD"/>
    <w:rsid w:val="004528EB"/>
    <w:rsid w:val="0045294E"/>
    <w:rsid w:val="004529A8"/>
    <w:rsid w:val="004529B5"/>
    <w:rsid w:val="004529C7"/>
    <w:rsid w:val="00452B0E"/>
    <w:rsid w:val="00452B3C"/>
    <w:rsid w:val="00452B67"/>
    <w:rsid w:val="00452C3B"/>
    <w:rsid w:val="00452C77"/>
    <w:rsid w:val="00452C9A"/>
    <w:rsid w:val="00452CB9"/>
    <w:rsid w:val="00452E14"/>
    <w:rsid w:val="00452E33"/>
    <w:rsid w:val="00452E56"/>
    <w:rsid w:val="00452EAB"/>
    <w:rsid w:val="00452F5F"/>
    <w:rsid w:val="00452F89"/>
    <w:rsid w:val="00453014"/>
    <w:rsid w:val="00453056"/>
    <w:rsid w:val="0045307A"/>
    <w:rsid w:val="004530B6"/>
    <w:rsid w:val="004531CB"/>
    <w:rsid w:val="00453233"/>
    <w:rsid w:val="0045323B"/>
    <w:rsid w:val="00453406"/>
    <w:rsid w:val="00453478"/>
    <w:rsid w:val="004535CB"/>
    <w:rsid w:val="004535E8"/>
    <w:rsid w:val="00453688"/>
    <w:rsid w:val="004536E6"/>
    <w:rsid w:val="00453707"/>
    <w:rsid w:val="004537B6"/>
    <w:rsid w:val="0045383C"/>
    <w:rsid w:val="00453857"/>
    <w:rsid w:val="004538C4"/>
    <w:rsid w:val="004538FE"/>
    <w:rsid w:val="00453911"/>
    <w:rsid w:val="0045391C"/>
    <w:rsid w:val="0045395D"/>
    <w:rsid w:val="004539CF"/>
    <w:rsid w:val="00453A38"/>
    <w:rsid w:val="00453A56"/>
    <w:rsid w:val="00453B08"/>
    <w:rsid w:val="00453B28"/>
    <w:rsid w:val="00453B44"/>
    <w:rsid w:val="00453B7B"/>
    <w:rsid w:val="00453C21"/>
    <w:rsid w:val="00453C3B"/>
    <w:rsid w:val="00453C57"/>
    <w:rsid w:val="00453CC7"/>
    <w:rsid w:val="00453CE2"/>
    <w:rsid w:val="00453D14"/>
    <w:rsid w:val="00453E88"/>
    <w:rsid w:val="00453FC7"/>
    <w:rsid w:val="00454063"/>
    <w:rsid w:val="004540FF"/>
    <w:rsid w:val="0045417F"/>
    <w:rsid w:val="00454235"/>
    <w:rsid w:val="0045426A"/>
    <w:rsid w:val="00454270"/>
    <w:rsid w:val="00454279"/>
    <w:rsid w:val="00454316"/>
    <w:rsid w:val="00454438"/>
    <w:rsid w:val="00454441"/>
    <w:rsid w:val="0045448E"/>
    <w:rsid w:val="004544DD"/>
    <w:rsid w:val="00454526"/>
    <w:rsid w:val="00454592"/>
    <w:rsid w:val="004545CE"/>
    <w:rsid w:val="004545D5"/>
    <w:rsid w:val="00454708"/>
    <w:rsid w:val="0045478E"/>
    <w:rsid w:val="004547A0"/>
    <w:rsid w:val="004547AE"/>
    <w:rsid w:val="004548E4"/>
    <w:rsid w:val="00454906"/>
    <w:rsid w:val="004549A2"/>
    <w:rsid w:val="00454A48"/>
    <w:rsid w:val="00454A67"/>
    <w:rsid w:val="00454A8B"/>
    <w:rsid w:val="00454AC8"/>
    <w:rsid w:val="00454B6B"/>
    <w:rsid w:val="00454BA7"/>
    <w:rsid w:val="00454C02"/>
    <w:rsid w:val="00454C0A"/>
    <w:rsid w:val="00454C6C"/>
    <w:rsid w:val="00454C8C"/>
    <w:rsid w:val="00454D95"/>
    <w:rsid w:val="00454E07"/>
    <w:rsid w:val="00454E2A"/>
    <w:rsid w:val="00454EB2"/>
    <w:rsid w:val="00454F00"/>
    <w:rsid w:val="00454F85"/>
    <w:rsid w:val="00454FB8"/>
    <w:rsid w:val="00455010"/>
    <w:rsid w:val="0045509B"/>
    <w:rsid w:val="00455163"/>
    <w:rsid w:val="004551ED"/>
    <w:rsid w:val="0045520A"/>
    <w:rsid w:val="00455237"/>
    <w:rsid w:val="00455253"/>
    <w:rsid w:val="0045525D"/>
    <w:rsid w:val="00455297"/>
    <w:rsid w:val="0045530C"/>
    <w:rsid w:val="00455311"/>
    <w:rsid w:val="004553A7"/>
    <w:rsid w:val="00455547"/>
    <w:rsid w:val="00455607"/>
    <w:rsid w:val="0045564E"/>
    <w:rsid w:val="0045568C"/>
    <w:rsid w:val="00455726"/>
    <w:rsid w:val="0045574B"/>
    <w:rsid w:val="004557DC"/>
    <w:rsid w:val="00455834"/>
    <w:rsid w:val="00455837"/>
    <w:rsid w:val="00455962"/>
    <w:rsid w:val="00455996"/>
    <w:rsid w:val="00455A1C"/>
    <w:rsid w:val="00455A1D"/>
    <w:rsid w:val="00455ABA"/>
    <w:rsid w:val="00455AC7"/>
    <w:rsid w:val="00455AD9"/>
    <w:rsid w:val="00455B19"/>
    <w:rsid w:val="00455B1A"/>
    <w:rsid w:val="00455B2E"/>
    <w:rsid w:val="00455BAC"/>
    <w:rsid w:val="00455C3A"/>
    <w:rsid w:val="00455CBC"/>
    <w:rsid w:val="00455D2A"/>
    <w:rsid w:val="00455DBB"/>
    <w:rsid w:val="00455DC0"/>
    <w:rsid w:val="00455DE0"/>
    <w:rsid w:val="00455DF2"/>
    <w:rsid w:val="00455E2C"/>
    <w:rsid w:val="00455EA7"/>
    <w:rsid w:val="00455EB7"/>
    <w:rsid w:val="00455EE2"/>
    <w:rsid w:val="00455EF1"/>
    <w:rsid w:val="00455F48"/>
    <w:rsid w:val="00455F84"/>
    <w:rsid w:val="00455FB0"/>
    <w:rsid w:val="00455FB8"/>
    <w:rsid w:val="0045606B"/>
    <w:rsid w:val="004560E7"/>
    <w:rsid w:val="0045617D"/>
    <w:rsid w:val="004561B1"/>
    <w:rsid w:val="00456222"/>
    <w:rsid w:val="004562EE"/>
    <w:rsid w:val="00456331"/>
    <w:rsid w:val="00456332"/>
    <w:rsid w:val="004563A8"/>
    <w:rsid w:val="00456465"/>
    <w:rsid w:val="00456472"/>
    <w:rsid w:val="0045647C"/>
    <w:rsid w:val="004564B1"/>
    <w:rsid w:val="004564CF"/>
    <w:rsid w:val="004564FB"/>
    <w:rsid w:val="0045655C"/>
    <w:rsid w:val="004565DF"/>
    <w:rsid w:val="00456660"/>
    <w:rsid w:val="0045668A"/>
    <w:rsid w:val="004566B3"/>
    <w:rsid w:val="00456786"/>
    <w:rsid w:val="004567A0"/>
    <w:rsid w:val="004567F6"/>
    <w:rsid w:val="00456808"/>
    <w:rsid w:val="0045682D"/>
    <w:rsid w:val="00456854"/>
    <w:rsid w:val="00456957"/>
    <w:rsid w:val="0045696C"/>
    <w:rsid w:val="004569D5"/>
    <w:rsid w:val="00456AC5"/>
    <w:rsid w:val="00456B47"/>
    <w:rsid w:val="00456B52"/>
    <w:rsid w:val="00456BE4"/>
    <w:rsid w:val="00456C0B"/>
    <w:rsid w:val="00456C76"/>
    <w:rsid w:val="00456EB2"/>
    <w:rsid w:val="00456F6D"/>
    <w:rsid w:val="00457016"/>
    <w:rsid w:val="00457047"/>
    <w:rsid w:val="00457053"/>
    <w:rsid w:val="00457130"/>
    <w:rsid w:val="00457148"/>
    <w:rsid w:val="0045716C"/>
    <w:rsid w:val="004571D5"/>
    <w:rsid w:val="004571DC"/>
    <w:rsid w:val="004571EA"/>
    <w:rsid w:val="00457365"/>
    <w:rsid w:val="004573BE"/>
    <w:rsid w:val="00457476"/>
    <w:rsid w:val="004574F8"/>
    <w:rsid w:val="004574FB"/>
    <w:rsid w:val="004577E5"/>
    <w:rsid w:val="00457826"/>
    <w:rsid w:val="004578A9"/>
    <w:rsid w:val="0045796B"/>
    <w:rsid w:val="004579D2"/>
    <w:rsid w:val="00457A57"/>
    <w:rsid w:val="00457BBA"/>
    <w:rsid w:val="00457C24"/>
    <w:rsid w:val="00457C6D"/>
    <w:rsid w:val="00457D4E"/>
    <w:rsid w:val="00457D9A"/>
    <w:rsid w:val="00457DB4"/>
    <w:rsid w:val="00457E2E"/>
    <w:rsid w:val="00457E68"/>
    <w:rsid w:val="00457E72"/>
    <w:rsid w:val="00457E90"/>
    <w:rsid w:val="00457EB7"/>
    <w:rsid w:val="00457ED5"/>
    <w:rsid w:val="00457F7A"/>
    <w:rsid w:val="00457FA5"/>
    <w:rsid w:val="0045BBA8"/>
    <w:rsid w:val="00460045"/>
    <w:rsid w:val="0046012A"/>
    <w:rsid w:val="00460156"/>
    <w:rsid w:val="004602D7"/>
    <w:rsid w:val="00460322"/>
    <w:rsid w:val="00460332"/>
    <w:rsid w:val="00460370"/>
    <w:rsid w:val="004603DA"/>
    <w:rsid w:val="0046040E"/>
    <w:rsid w:val="00460495"/>
    <w:rsid w:val="0046054E"/>
    <w:rsid w:val="004605A5"/>
    <w:rsid w:val="004605D1"/>
    <w:rsid w:val="004606AB"/>
    <w:rsid w:val="0046074C"/>
    <w:rsid w:val="00460753"/>
    <w:rsid w:val="00460757"/>
    <w:rsid w:val="00460783"/>
    <w:rsid w:val="004607DB"/>
    <w:rsid w:val="00460855"/>
    <w:rsid w:val="0046089F"/>
    <w:rsid w:val="004608D3"/>
    <w:rsid w:val="00460951"/>
    <w:rsid w:val="0046096B"/>
    <w:rsid w:val="00460974"/>
    <w:rsid w:val="004609E2"/>
    <w:rsid w:val="00460A27"/>
    <w:rsid w:val="00460A3E"/>
    <w:rsid w:val="00460AB2"/>
    <w:rsid w:val="00460B02"/>
    <w:rsid w:val="00460B6A"/>
    <w:rsid w:val="00460BC1"/>
    <w:rsid w:val="00460C24"/>
    <w:rsid w:val="00460C88"/>
    <w:rsid w:val="00460CE5"/>
    <w:rsid w:val="00460D65"/>
    <w:rsid w:val="00460DFF"/>
    <w:rsid w:val="00460E33"/>
    <w:rsid w:val="00460E77"/>
    <w:rsid w:val="00460EE0"/>
    <w:rsid w:val="00460F1A"/>
    <w:rsid w:val="00460F41"/>
    <w:rsid w:val="00460FC9"/>
    <w:rsid w:val="00460FDA"/>
    <w:rsid w:val="00460FF1"/>
    <w:rsid w:val="00461058"/>
    <w:rsid w:val="0046105B"/>
    <w:rsid w:val="00461081"/>
    <w:rsid w:val="00461115"/>
    <w:rsid w:val="004611AA"/>
    <w:rsid w:val="004611DC"/>
    <w:rsid w:val="004611FC"/>
    <w:rsid w:val="0046120B"/>
    <w:rsid w:val="00461250"/>
    <w:rsid w:val="004612B7"/>
    <w:rsid w:val="004612FA"/>
    <w:rsid w:val="00461398"/>
    <w:rsid w:val="004613AF"/>
    <w:rsid w:val="004613D3"/>
    <w:rsid w:val="004613F2"/>
    <w:rsid w:val="0046141F"/>
    <w:rsid w:val="0046144D"/>
    <w:rsid w:val="00461549"/>
    <w:rsid w:val="004615A5"/>
    <w:rsid w:val="004615E7"/>
    <w:rsid w:val="0046168A"/>
    <w:rsid w:val="00461697"/>
    <w:rsid w:val="004616A7"/>
    <w:rsid w:val="004616D9"/>
    <w:rsid w:val="0046173F"/>
    <w:rsid w:val="00461745"/>
    <w:rsid w:val="004617F4"/>
    <w:rsid w:val="004617FE"/>
    <w:rsid w:val="00461807"/>
    <w:rsid w:val="0046188F"/>
    <w:rsid w:val="00461919"/>
    <w:rsid w:val="0046192B"/>
    <w:rsid w:val="00461A09"/>
    <w:rsid w:val="00461BE4"/>
    <w:rsid w:val="00461C05"/>
    <w:rsid w:val="00461C12"/>
    <w:rsid w:val="00461C32"/>
    <w:rsid w:val="00461C57"/>
    <w:rsid w:val="00461CE7"/>
    <w:rsid w:val="00461D7B"/>
    <w:rsid w:val="00461DAE"/>
    <w:rsid w:val="00461E96"/>
    <w:rsid w:val="00461EEA"/>
    <w:rsid w:val="00461F71"/>
    <w:rsid w:val="00461FC3"/>
    <w:rsid w:val="00461FD8"/>
    <w:rsid w:val="00461FD9"/>
    <w:rsid w:val="004620A0"/>
    <w:rsid w:val="004620DA"/>
    <w:rsid w:val="00462100"/>
    <w:rsid w:val="00462140"/>
    <w:rsid w:val="00462235"/>
    <w:rsid w:val="00462259"/>
    <w:rsid w:val="0046225E"/>
    <w:rsid w:val="004622B0"/>
    <w:rsid w:val="004622C4"/>
    <w:rsid w:val="00462300"/>
    <w:rsid w:val="00462399"/>
    <w:rsid w:val="004623B3"/>
    <w:rsid w:val="00462409"/>
    <w:rsid w:val="00462447"/>
    <w:rsid w:val="0046248E"/>
    <w:rsid w:val="00462624"/>
    <w:rsid w:val="0046262E"/>
    <w:rsid w:val="00462653"/>
    <w:rsid w:val="00462662"/>
    <w:rsid w:val="00462788"/>
    <w:rsid w:val="004627AB"/>
    <w:rsid w:val="00462829"/>
    <w:rsid w:val="004628B6"/>
    <w:rsid w:val="004628E1"/>
    <w:rsid w:val="004628FD"/>
    <w:rsid w:val="00462940"/>
    <w:rsid w:val="00462B46"/>
    <w:rsid w:val="00462B60"/>
    <w:rsid w:val="00462BDB"/>
    <w:rsid w:val="00462C48"/>
    <w:rsid w:val="00462CAB"/>
    <w:rsid w:val="00462E5E"/>
    <w:rsid w:val="00462E69"/>
    <w:rsid w:val="00462E97"/>
    <w:rsid w:val="00462F11"/>
    <w:rsid w:val="00462FA3"/>
    <w:rsid w:val="00463002"/>
    <w:rsid w:val="00463063"/>
    <w:rsid w:val="0046308B"/>
    <w:rsid w:val="004630E8"/>
    <w:rsid w:val="004630FD"/>
    <w:rsid w:val="00463121"/>
    <w:rsid w:val="004631D5"/>
    <w:rsid w:val="004631E9"/>
    <w:rsid w:val="004632B3"/>
    <w:rsid w:val="0046333D"/>
    <w:rsid w:val="00463363"/>
    <w:rsid w:val="00463398"/>
    <w:rsid w:val="004634BA"/>
    <w:rsid w:val="004634C6"/>
    <w:rsid w:val="004634EE"/>
    <w:rsid w:val="00463532"/>
    <w:rsid w:val="00463540"/>
    <w:rsid w:val="00463629"/>
    <w:rsid w:val="004636DF"/>
    <w:rsid w:val="00463701"/>
    <w:rsid w:val="004637CA"/>
    <w:rsid w:val="004637E3"/>
    <w:rsid w:val="00463801"/>
    <w:rsid w:val="00463846"/>
    <w:rsid w:val="0046384D"/>
    <w:rsid w:val="00463859"/>
    <w:rsid w:val="004638A1"/>
    <w:rsid w:val="00463988"/>
    <w:rsid w:val="004639D9"/>
    <w:rsid w:val="00463A07"/>
    <w:rsid w:val="00463A32"/>
    <w:rsid w:val="00463AA5"/>
    <w:rsid w:val="00463ADE"/>
    <w:rsid w:val="00463B16"/>
    <w:rsid w:val="00463BDE"/>
    <w:rsid w:val="00463CD1"/>
    <w:rsid w:val="00463CF4"/>
    <w:rsid w:val="00463D1C"/>
    <w:rsid w:val="00463D35"/>
    <w:rsid w:val="00463D50"/>
    <w:rsid w:val="00463D61"/>
    <w:rsid w:val="00463DA1"/>
    <w:rsid w:val="00463DE2"/>
    <w:rsid w:val="00463DF1"/>
    <w:rsid w:val="00463E22"/>
    <w:rsid w:val="00463E2B"/>
    <w:rsid w:val="00463EF7"/>
    <w:rsid w:val="00463F31"/>
    <w:rsid w:val="00463F3A"/>
    <w:rsid w:val="00463F89"/>
    <w:rsid w:val="00463F8F"/>
    <w:rsid w:val="0046408E"/>
    <w:rsid w:val="00464125"/>
    <w:rsid w:val="00464143"/>
    <w:rsid w:val="004641A7"/>
    <w:rsid w:val="0046427A"/>
    <w:rsid w:val="004642CB"/>
    <w:rsid w:val="004642F7"/>
    <w:rsid w:val="004642FD"/>
    <w:rsid w:val="0046436B"/>
    <w:rsid w:val="004644BE"/>
    <w:rsid w:val="004644FF"/>
    <w:rsid w:val="0046452F"/>
    <w:rsid w:val="0046453A"/>
    <w:rsid w:val="00464594"/>
    <w:rsid w:val="00464616"/>
    <w:rsid w:val="0046468F"/>
    <w:rsid w:val="00464691"/>
    <w:rsid w:val="004646FC"/>
    <w:rsid w:val="00464805"/>
    <w:rsid w:val="0046494C"/>
    <w:rsid w:val="0046497E"/>
    <w:rsid w:val="00464A2E"/>
    <w:rsid w:val="00464ABC"/>
    <w:rsid w:val="00464ADF"/>
    <w:rsid w:val="00464B71"/>
    <w:rsid w:val="00464BB3"/>
    <w:rsid w:val="00464C8B"/>
    <w:rsid w:val="00464D41"/>
    <w:rsid w:val="00464DA2"/>
    <w:rsid w:val="00464DCD"/>
    <w:rsid w:val="00464E1B"/>
    <w:rsid w:val="00464E47"/>
    <w:rsid w:val="00464E6B"/>
    <w:rsid w:val="00464F3E"/>
    <w:rsid w:val="00464F77"/>
    <w:rsid w:val="00464F9E"/>
    <w:rsid w:val="00465177"/>
    <w:rsid w:val="0046517B"/>
    <w:rsid w:val="004652A1"/>
    <w:rsid w:val="004652DE"/>
    <w:rsid w:val="004652FB"/>
    <w:rsid w:val="004653D1"/>
    <w:rsid w:val="0046543E"/>
    <w:rsid w:val="0046544B"/>
    <w:rsid w:val="004655A6"/>
    <w:rsid w:val="00465709"/>
    <w:rsid w:val="00465727"/>
    <w:rsid w:val="0046574C"/>
    <w:rsid w:val="004657D1"/>
    <w:rsid w:val="004658BF"/>
    <w:rsid w:val="004658E1"/>
    <w:rsid w:val="00465916"/>
    <w:rsid w:val="0046594A"/>
    <w:rsid w:val="004659D7"/>
    <w:rsid w:val="00465A7C"/>
    <w:rsid w:val="00465B77"/>
    <w:rsid w:val="00465BAD"/>
    <w:rsid w:val="00465BDA"/>
    <w:rsid w:val="00465C71"/>
    <w:rsid w:val="00465C8D"/>
    <w:rsid w:val="00465D39"/>
    <w:rsid w:val="00465D74"/>
    <w:rsid w:val="00465DC4"/>
    <w:rsid w:val="00465E92"/>
    <w:rsid w:val="00465F13"/>
    <w:rsid w:val="00465F8E"/>
    <w:rsid w:val="0046600C"/>
    <w:rsid w:val="004660A2"/>
    <w:rsid w:val="004660F6"/>
    <w:rsid w:val="00466104"/>
    <w:rsid w:val="00466113"/>
    <w:rsid w:val="00466186"/>
    <w:rsid w:val="004661B6"/>
    <w:rsid w:val="0046621D"/>
    <w:rsid w:val="0046625B"/>
    <w:rsid w:val="00466505"/>
    <w:rsid w:val="004665B9"/>
    <w:rsid w:val="004666D2"/>
    <w:rsid w:val="0046670B"/>
    <w:rsid w:val="00466723"/>
    <w:rsid w:val="00466755"/>
    <w:rsid w:val="004667C4"/>
    <w:rsid w:val="004667FB"/>
    <w:rsid w:val="00466818"/>
    <w:rsid w:val="00466842"/>
    <w:rsid w:val="0046684A"/>
    <w:rsid w:val="00466881"/>
    <w:rsid w:val="00466908"/>
    <w:rsid w:val="0046690A"/>
    <w:rsid w:val="0046694B"/>
    <w:rsid w:val="004669B3"/>
    <w:rsid w:val="00466A15"/>
    <w:rsid w:val="00466A74"/>
    <w:rsid w:val="00466AC0"/>
    <w:rsid w:val="00466B39"/>
    <w:rsid w:val="00466BD4"/>
    <w:rsid w:val="00466BDF"/>
    <w:rsid w:val="00466BF3"/>
    <w:rsid w:val="00466CC5"/>
    <w:rsid w:val="00466CEC"/>
    <w:rsid w:val="00466CF9"/>
    <w:rsid w:val="00466D21"/>
    <w:rsid w:val="00466D94"/>
    <w:rsid w:val="00466F75"/>
    <w:rsid w:val="0046701F"/>
    <w:rsid w:val="00467051"/>
    <w:rsid w:val="004670B9"/>
    <w:rsid w:val="004670EA"/>
    <w:rsid w:val="0046714F"/>
    <w:rsid w:val="00467175"/>
    <w:rsid w:val="0046725A"/>
    <w:rsid w:val="004672D3"/>
    <w:rsid w:val="00467361"/>
    <w:rsid w:val="00467397"/>
    <w:rsid w:val="004673DE"/>
    <w:rsid w:val="004673ED"/>
    <w:rsid w:val="00467474"/>
    <w:rsid w:val="00467483"/>
    <w:rsid w:val="0046749E"/>
    <w:rsid w:val="004674B9"/>
    <w:rsid w:val="00467553"/>
    <w:rsid w:val="004675AF"/>
    <w:rsid w:val="004675B0"/>
    <w:rsid w:val="0046765A"/>
    <w:rsid w:val="00467683"/>
    <w:rsid w:val="0046775D"/>
    <w:rsid w:val="00467809"/>
    <w:rsid w:val="00467830"/>
    <w:rsid w:val="004678D1"/>
    <w:rsid w:val="00467953"/>
    <w:rsid w:val="0046796B"/>
    <w:rsid w:val="00467996"/>
    <w:rsid w:val="004679CD"/>
    <w:rsid w:val="00467A17"/>
    <w:rsid w:val="00467A3E"/>
    <w:rsid w:val="00467A92"/>
    <w:rsid w:val="00467C8F"/>
    <w:rsid w:val="00467D34"/>
    <w:rsid w:val="00467E76"/>
    <w:rsid w:val="00467E90"/>
    <w:rsid w:val="00467FCC"/>
    <w:rsid w:val="00470015"/>
    <w:rsid w:val="00470067"/>
    <w:rsid w:val="004700DB"/>
    <w:rsid w:val="004700EB"/>
    <w:rsid w:val="00470251"/>
    <w:rsid w:val="00470275"/>
    <w:rsid w:val="00470362"/>
    <w:rsid w:val="0047039C"/>
    <w:rsid w:val="004703C1"/>
    <w:rsid w:val="00470465"/>
    <w:rsid w:val="00470476"/>
    <w:rsid w:val="00470481"/>
    <w:rsid w:val="004704BB"/>
    <w:rsid w:val="00470572"/>
    <w:rsid w:val="00470623"/>
    <w:rsid w:val="0047062D"/>
    <w:rsid w:val="004706FB"/>
    <w:rsid w:val="004707B9"/>
    <w:rsid w:val="0047083C"/>
    <w:rsid w:val="004708E5"/>
    <w:rsid w:val="00470902"/>
    <w:rsid w:val="0047092C"/>
    <w:rsid w:val="004709B0"/>
    <w:rsid w:val="004709C1"/>
    <w:rsid w:val="004709F7"/>
    <w:rsid w:val="00470AA8"/>
    <w:rsid w:val="00470AAD"/>
    <w:rsid w:val="00470AE4"/>
    <w:rsid w:val="00470C87"/>
    <w:rsid w:val="00470CFC"/>
    <w:rsid w:val="00470E39"/>
    <w:rsid w:val="00470FCD"/>
    <w:rsid w:val="00470FDD"/>
    <w:rsid w:val="00470FE3"/>
    <w:rsid w:val="0047104D"/>
    <w:rsid w:val="004710AE"/>
    <w:rsid w:val="004711B2"/>
    <w:rsid w:val="00471288"/>
    <w:rsid w:val="0047139E"/>
    <w:rsid w:val="004713BE"/>
    <w:rsid w:val="0047143C"/>
    <w:rsid w:val="00471470"/>
    <w:rsid w:val="00471485"/>
    <w:rsid w:val="004714A5"/>
    <w:rsid w:val="004714D6"/>
    <w:rsid w:val="004714F0"/>
    <w:rsid w:val="0047153A"/>
    <w:rsid w:val="0047164F"/>
    <w:rsid w:val="0047166E"/>
    <w:rsid w:val="0047174D"/>
    <w:rsid w:val="0047180E"/>
    <w:rsid w:val="004718F9"/>
    <w:rsid w:val="00471964"/>
    <w:rsid w:val="0047196E"/>
    <w:rsid w:val="00471984"/>
    <w:rsid w:val="00471A48"/>
    <w:rsid w:val="00471AC7"/>
    <w:rsid w:val="00471AE7"/>
    <w:rsid w:val="00471B02"/>
    <w:rsid w:val="00471BC7"/>
    <w:rsid w:val="00471C58"/>
    <w:rsid w:val="00471CA9"/>
    <w:rsid w:val="00471CB5"/>
    <w:rsid w:val="00471CD8"/>
    <w:rsid w:val="00471D07"/>
    <w:rsid w:val="00471D76"/>
    <w:rsid w:val="00471DB3"/>
    <w:rsid w:val="00471DC2"/>
    <w:rsid w:val="00471DE2"/>
    <w:rsid w:val="00471DE9"/>
    <w:rsid w:val="00471DF0"/>
    <w:rsid w:val="00471E1A"/>
    <w:rsid w:val="00471E3D"/>
    <w:rsid w:val="00471E7E"/>
    <w:rsid w:val="00471ED7"/>
    <w:rsid w:val="00471EE5"/>
    <w:rsid w:val="00471F07"/>
    <w:rsid w:val="00471FBC"/>
    <w:rsid w:val="00471FC2"/>
    <w:rsid w:val="00471FF2"/>
    <w:rsid w:val="00472026"/>
    <w:rsid w:val="0047207A"/>
    <w:rsid w:val="004720CE"/>
    <w:rsid w:val="004722B6"/>
    <w:rsid w:val="00472320"/>
    <w:rsid w:val="00472352"/>
    <w:rsid w:val="0047235F"/>
    <w:rsid w:val="00472377"/>
    <w:rsid w:val="00472388"/>
    <w:rsid w:val="004723CE"/>
    <w:rsid w:val="004723CF"/>
    <w:rsid w:val="00472433"/>
    <w:rsid w:val="0047243A"/>
    <w:rsid w:val="004724A3"/>
    <w:rsid w:val="0047251E"/>
    <w:rsid w:val="00472590"/>
    <w:rsid w:val="0047260A"/>
    <w:rsid w:val="00472749"/>
    <w:rsid w:val="00472784"/>
    <w:rsid w:val="00472835"/>
    <w:rsid w:val="004728D0"/>
    <w:rsid w:val="004728DB"/>
    <w:rsid w:val="004729B5"/>
    <w:rsid w:val="004729BA"/>
    <w:rsid w:val="00472A03"/>
    <w:rsid w:val="00472A3D"/>
    <w:rsid w:val="00472A61"/>
    <w:rsid w:val="00472A84"/>
    <w:rsid w:val="00472A8C"/>
    <w:rsid w:val="00472B0C"/>
    <w:rsid w:val="00472B6E"/>
    <w:rsid w:val="00472C17"/>
    <w:rsid w:val="00472C5F"/>
    <w:rsid w:val="00472C77"/>
    <w:rsid w:val="00472C7A"/>
    <w:rsid w:val="00472D60"/>
    <w:rsid w:val="00472D98"/>
    <w:rsid w:val="00472E89"/>
    <w:rsid w:val="00472ED5"/>
    <w:rsid w:val="00472EDC"/>
    <w:rsid w:val="00472F21"/>
    <w:rsid w:val="00472FED"/>
    <w:rsid w:val="00473060"/>
    <w:rsid w:val="004730A6"/>
    <w:rsid w:val="00473126"/>
    <w:rsid w:val="0047319F"/>
    <w:rsid w:val="004731DF"/>
    <w:rsid w:val="00473319"/>
    <w:rsid w:val="00473341"/>
    <w:rsid w:val="00473346"/>
    <w:rsid w:val="00473448"/>
    <w:rsid w:val="00473469"/>
    <w:rsid w:val="0047353F"/>
    <w:rsid w:val="004735AB"/>
    <w:rsid w:val="0047364B"/>
    <w:rsid w:val="00473680"/>
    <w:rsid w:val="004736F9"/>
    <w:rsid w:val="00473738"/>
    <w:rsid w:val="0047379A"/>
    <w:rsid w:val="004737C0"/>
    <w:rsid w:val="0047380D"/>
    <w:rsid w:val="0047382F"/>
    <w:rsid w:val="00473865"/>
    <w:rsid w:val="00473872"/>
    <w:rsid w:val="004738D8"/>
    <w:rsid w:val="004738DD"/>
    <w:rsid w:val="00473900"/>
    <w:rsid w:val="00473AF2"/>
    <w:rsid w:val="00473B22"/>
    <w:rsid w:val="00473B7C"/>
    <w:rsid w:val="00473B9A"/>
    <w:rsid w:val="00473C2E"/>
    <w:rsid w:val="00473C83"/>
    <w:rsid w:val="00473D3A"/>
    <w:rsid w:val="00473D53"/>
    <w:rsid w:val="00473D61"/>
    <w:rsid w:val="00473D6B"/>
    <w:rsid w:val="00473DB1"/>
    <w:rsid w:val="00473DBD"/>
    <w:rsid w:val="00473DCA"/>
    <w:rsid w:val="00473DD7"/>
    <w:rsid w:val="00473DFF"/>
    <w:rsid w:val="00473E8E"/>
    <w:rsid w:val="00473E8F"/>
    <w:rsid w:val="00473E90"/>
    <w:rsid w:val="00474010"/>
    <w:rsid w:val="0047401B"/>
    <w:rsid w:val="0047403F"/>
    <w:rsid w:val="004740C8"/>
    <w:rsid w:val="00474139"/>
    <w:rsid w:val="00474168"/>
    <w:rsid w:val="004741CA"/>
    <w:rsid w:val="004741F8"/>
    <w:rsid w:val="00474205"/>
    <w:rsid w:val="0047420F"/>
    <w:rsid w:val="00474278"/>
    <w:rsid w:val="0047428E"/>
    <w:rsid w:val="004742A4"/>
    <w:rsid w:val="004742B7"/>
    <w:rsid w:val="0047432B"/>
    <w:rsid w:val="00474389"/>
    <w:rsid w:val="004743CB"/>
    <w:rsid w:val="00474451"/>
    <w:rsid w:val="00474519"/>
    <w:rsid w:val="0047451E"/>
    <w:rsid w:val="00474542"/>
    <w:rsid w:val="00474558"/>
    <w:rsid w:val="00474657"/>
    <w:rsid w:val="0047466C"/>
    <w:rsid w:val="0047466F"/>
    <w:rsid w:val="00474670"/>
    <w:rsid w:val="004746CE"/>
    <w:rsid w:val="004746E3"/>
    <w:rsid w:val="004746F7"/>
    <w:rsid w:val="00474754"/>
    <w:rsid w:val="00474794"/>
    <w:rsid w:val="00474857"/>
    <w:rsid w:val="00474885"/>
    <w:rsid w:val="004748AA"/>
    <w:rsid w:val="00474953"/>
    <w:rsid w:val="00474955"/>
    <w:rsid w:val="004749A5"/>
    <w:rsid w:val="004749C4"/>
    <w:rsid w:val="004749F8"/>
    <w:rsid w:val="00474AB1"/>
    <w:rsid w:val="00474B58"/>
    <w:rsid w:val="00474B84"/>
    <w:rsid w:val="00474B90"/>
    <w:rsid w:val="00474BD4"/>
    <w:rsid w:val="00474BE9"/>
    <w:rsid w:val="00474C0E"/>
    <w:rsid w:val="00474C38"/>
    <w:rsid w:val="00474C49"/>
    <w:rsid w:val="00474CBC"/>
    <w:rsid w:val="00474D44"/>
    <w:rsid w:val="00474D7D"/>
    <w:rsid w:val="00474E1F"/>
    <w:rsid w:val="00474E3A"/>
    <w:rsid w:val="00474E97"/>
    <w:rsid w:val="00474EB8"/>
    <w:rsid w:val="00474F10"/>
    <w:rsid w:val="00474F58"/>
    <w:rsid w:val="00475028"/>
    <w:rsid w:val="0047517D"/>
    <w:rsid w:val="0047518B"/>
    <w:rsid w:val="004751EE"/>
    <w:rsid w:val="00475208"/>
    <w:rsid w:val="0047522B"/>
    <w:rsid w:val="00475277"/>
    <w:rsid w:val="00475320"/>
    <w:rsid w:val="0047537A"/>
    <w:rsid w:val="004754AF"/>
    <w:rsid w:val="004754FA"/>
    <w:rsid w:val="0047550D"/>
    <w:rsid w:val="0047557F"/>
    <w:rsid w:val="0047559E"/>
    <w:rsid w:val="004755EA"/>
    <w:rsid w:val="00475627"/>
    <w:rsid w:val="00475645"/>
    <w:rsid w:val="004756FE"/>
    <w:rsid w:val="0047572B"/>
    <w:rsid w:val="0047578D"/>
    <w:rsid w:val="00475817"/>
    <w:rsid w:val="00475894"/>
    <w:rsid w:val="004758A6"/>
    <w:rsid w:val="004758B5"/>
    <w:rsid w:val="004759D2"/>
    <w:rsid w:val="00475A87"/>
    <w:rsid w:val="00475ACC"/>
    <w:rsid w:val="00475ADE"/>
    <w:rsid w:val="00475B1F"/>
    <w:rsid w:val="00475BFE"/>
    <w:rsid w:val="00475C05"/>
    <w:rsid w:val="00475C0C"/>
    <w:rsid w:val="00475C1F"/>
    <w:rsid w:val="00475CA1"/>
    <w:rsid w:val="00475CAE"/>
    <w:rsid w:val="00475F28"/>
    <w:rsid w:val="00475F77"/>
    <w:rsid w:val="00475FB2"/>
    <w:rsid w:val="00475FCC"/>
    <w:rsid w:val="00475FD5"/>
    <w:rsid w:val="00476009"/>
    <w:rsid w:val="004760DE"/>
    <w:rsid w:val="004760F6"/>
    <w:rsid w:val="00476161"/>
    <w:rsid w:val="00476173"/>
    <w:rsid w:val="00476196"/>
    <w:rsid w:val="004761FA"/>
    <w:rsid w:val="004761FF"/>
    <w:rsid w:val="00476257"/>
    <w:rsid w:val="00476292"/>
    <w:rsid w:val="004762B4"/>
    <w:rsid w:val="004762D2"/>
    <w:rsid w:val="00476328"/>
    <w:rsid w:val="0047632E"/>
    <w:rsid w:val="0047634B"/>
    <w:rsid w:val="00476351"/>
    <w:rsid w:val="00476371"/>
    <w:rsid w:val="004763F1"/>
    <w:rsid w:val="0047644F"/>
    <w:rsid w:val="00476472"/>
    <w:rsid w:val="004764E0"/>
    <w:rsid w:val="004764EC"/>
    <w:rsid w:val="004764FF"/>
    <w:rsid w:val="00476527"/>
    <w:rsid w:val="00476582"/>
    <w:rsid w:val="004765DD"/>
    <w:rsid w:val="004765F5"/>
    <w:rsid w:val="00476603"/>
    <w:rsid w:val="00476621"/>
    <w:rsid w:val="00476664"/>
    <w:rsid w:val="00476684"/>
    <w:rsid w:val="004766E7"/>
    <w:rsid w:val="0047678E"/>
    <w:rsid w:val="004767C2"/>
    <w:rsid w:val="0047682D"/>
    <w:rsid w:val="00476951"/>
    <w:rsid w:val="004769E6"/>
    <w:rsid w:val="00476A60"/>
    <w:rsid w:val="00476A8D"/>
    <w:rsid w:val="00476AFE"/>
    <w:rsid w:val="00476C16"/>
    <w:rsid w:val="00476DE2"/>
    <w:rsid w:val="00476E9D"/>
    <w:rsid w:val="00476F0B"/>
    <w:rsid w:val="00476FDD"/>
    <w:rsid w:val="00476FE4"/>
    <w:rsid w:val="00477031"/>
    <w:rsid w:val="0047703B"/>
    <w:rsid w:val="004770DE"/>
    <w:rsid w:val="00477180"/>
    <w:rsid w:val="004771EB"/>
    <w:rsid w:val="004772D3"/>
    <w:rsid w:val="0047747F"/>
    <w:rsid w:val="00477545"/>
    <w:rsid w:val="004775E6"/>
    <w:rsid w:val="0047763B"/>
    <w:rsid w:val="00477647"/>
    <w:rsid w:val="004776A0"/>
    <w:rsid w:val="004776EB"/>
    <w:rsid w:val="004776F1"/>
    <w:rsid w:val="0047775B"/>
    <w:rsid w:val="004777F3"/>
    <w:rsid w:val="00477885"/>
    <w:rsid w:val="004778E2"/>
    <w:rsid w:val="00477939"/>
    <w:rsid w:val="00477A17"/>
    <w:rsid w:val="00477AA4"/>
    <w:rsid w:val="00477AC6"/>
    <w:rsid w:val="00477AEA"/>
    <w:rsid w:val="00477AED"/>
    <w:rsid w:val="00477B80"/>
    <w:rsid w:val="00477BD3"/>
    <w:rsid w:val="00477BF7"/>
    <w:rsid w:val="00477BFD"/>
    <w:rsid w:val="00477CA4"/>
    <w:rsid w:val="00477CB3"/>
    <w:rsid w:val="00477CC1"/>
    <w:rsid w:val="00477E91"/>
    <w:rsid w:val="00477EAC"/>
    <w:rsid w:val="00477F48"/>
    <w:rsid w:val="00477FE6"/>
    <w:rsid w:val="004801A5"/>
    <w:rsid w:val="00480264"/>
    <w:rsid w:val="0048026F"/>
    <w:rsid w:val="004802F5"/>
    <w:rsid w:val="0048035C"/>
    <w:rsid w:val="004803A6"/>
    <w:rsid w:val="004803BF"/>
    <w:rsid w:val="004804DB"/>
    <w:rsid w:val="004804F8"/>
    <w:rsid w:val="00480503"/>
    <w:rsid w:val="0048057A"/>
    <w:rsid w:val="00480583"/>
    <w:rsid w:val="004805A5"/>
    <w:rsid w:val="00480681"/>
    <w:rsid w:val="004806CA"/>
    <w:rsid w:val="00480794"/>
    <w:rsid w:val="0048082E"/>
    <w:rsid w:val="00480852"/>
    <w:rsid w:val="0048089C"/>
    <w:rsid w:val="004808BE"/>
    <w:rsid w:val="00480A03"/>
    <w:rsid w:val="00480AA9"/>
    <w:rsid w:val="00480B53"/>
    <w:rsid w:val="00480B76"/>
    <w:rsid w:val="00480C6E"/>
    <w:rsid w:val="00480C70"/>
    <w:rsid w:val="00480CBC"/>
    <w:rsid w:val="00480D29"/>
    <w:rsid w:val="00480D5F"/>
    <w:rsid w:val="00480DAE"/>
    <w:rsid w:val="00480DBD"/>
    <w:rsid w:val="00480E1C"/>
    <w:rsid w:val="00480E9A"/>
    <w:rsid w:val="00480EA1"/>
    <w:rsid w:val="00480F00"/>
    <w:rsid w:val="00480F37"/>
    <w:rsid w:val="00480F91"/>
    <w:rsid w:val="00481050"/>
    <w:rsid w:val="004810CB"/>
    <w:rsid w:val="004810D7"/>
    <w:rsid w:val="004810F7"/>
    <w:rsid w:val="004811EF"/>
    <w:rsid w:val="00481203"/>
    <w:rsid w:val="0048130B"/>
    <w:rsid w:val="00481356"/>
    <w:rsid w:val="0048137D"/>
    <w:rsid w:val="00481422"/>
    <w:rsid w:val="004814C0"/>
    <w:rsid w:val="004814F6"/>
    <w:rsid w:val="00481533"/>
    <w:rsid w:val="0048157C"/>
    <w:rsid w:val="00481581"/>
    <w:rsid w:val="004815F4"/>
    <w:rsid w:val="004816A7"/>
    <w:rsid w:val="00481744"/>
    <w:rsid w:val="00481878"/>
    <w:rsid w:val="0048188D"/>
    <w:rsid w:val="00481967"/>
    <w:rsid w:val="00481981"/>
    <w:rsid w:val="004819DD"/>
    <w:rsid w:val="00481AB1"/>
    <w:rsid w:val="00481ABC"/>
    <w:rsid w:val="00481BC7"/>
    <w:rsid w:val="00481C8A"/>
    <w:rsid w:val="00481DC6"/>
    <w:rsid w:val="00481E38"/>
    <w:rsid w:val="00481E47"/>
    <w:rsid w:val="00481E56"/>
    <w:rsid w:val="00481ECD"/>
    <w:rsid w:val="00481F0E"/>
    <w:rsid w:val="00481F8C"/>
    <w:rsid w:val="0048201D"/>
    <w:rsid w:val="00482026"/>
    <w:rsid w:val="00482040"/>
    <w:rsid w:val="0048204A"/>
    <w:rsid w:val="00482056"/>
    <w:rsid w:val="00482082"/>
    <w:rsid w:val="0048209D"/>
    <w:rsid w:val="004820BA"/>
    <w:rsid w:val="004820EF"/>
    <w:rsid w:val="004820F9"/>
    <w:rsid w:val="00482112"/>
    <w:rsid w:val="00482213"/>
    <w:rsid w:val="00482276"/>
    <w:rsid w:val="00482290"/>
    <w:rsid w:val="004822ED"/>
    <w:rsid w:val="0048231B"/>
    <w:rsid w:val="00482467"/>
    <w:rsid w:val="00482491"/>
    <w:rsid w:val="004824B2"/>
    <w:rsid w:val="004824EA"/>
    <w:rsid w:val="0048259A"/>
    <w:rsid w:val="004825A3"/>
    <w:rsid w:val="00482656"/>
    <w:rsid w:val="0048265C"/>
    <w:rsid w:val="0048269D"/>
    <w:rsid w:val="00482845"/>
    <w:rsid w:val="0048284F"/>
    <w:rsid w:val="004828A0"/>
    <w:rsid w:val="004829A9"/>
    <w:rsid w:val="00482A70"/>
    <w:rsid w:val="00482A96"/>
    <w:rsid w:val="00482AC6"/>
    <w:rsid w:val="00482B13"/>
    <w:rsid w:val="00482B16"/>
    <w:rsid w:val="00482B26"/>
    <w:rsid w:val="00482B89"/>
    <w:rsid w:val="00482CD2"/>
    <w:rsid w:val="00482D09"/>
    <w:rsid w:val="00482D12"/>
    <w:rsid w:val="00482D70"/>
    <w:rsid w:val="00482D86"/>
    <w:rsid w:val="00482D88"/>
    <w:rsid w:val="00482DD7"/>
    <w:rsid w:val="00482F2A"/>
    <w:rsid w:val="00482F2B"/>
    <w:rsid w:val="00482F60"/>
    <w:rsid w:val="0048300D"/>
    <w:rsid w:val="0048307E"/>
    <w:rsid w:val="004830F2"/>
    <w:rsid w:val="004831C5"/>
    <w:rsid w:val="004831CB"/>
    <w:rsid w:val="00483210"/>
    <w:rsid w:val="004832B6"/>
    <w:rsid w:val="004832DD"/>
    <w:rsid w:val="004832EE"/>
    <w:rsid w:val="0048331C"/>
    <w:rsid w:val="004833F9"/>
    <w:rsid w:val="0048358C"/>
    <w:rsid w:val="004835F9"/>
    <w:rsid w:val="00483610"/>
    <w:rsid w:val="00483612"/>
    <w:rsid w:val="00483620"/>
    <w:rsid w:val="0048366D"/>
    <w:rsid w:val="00483685"/>
    <w:rsid w:val="00483737"/>
    <w:rsid w:val="004837F4"/>
    <w:rsid w:val="004838E3"/>
    <w:rsid w:val="00483900"/>
    <w:rsid w:val="004839AE"/>
    <w:rsid w:val="004839BC"/>
    <w:rsid w:val="004839C5"/>
    <w:rsid w:val="00483A12"/>
    <w:rsid w:val="00483A48"/>
    <w:rsid w:val="00483B56"/>
    <w:rsid w:val="00483B8E"/>
    <w:rsid w:val="00483BC6"/>
    <w:rsid w:val="00483C91"/>
    <w:rsid w:val="00483C9F"/>
    <w:rsid w:val="00483CB1"/>
    <w:rsid w:val="00483D06"/>
    <w:rsid w:val="00483D1A"/>
    <w:rsid w:val="00483D74"/>
    <w:rsid w:val="00483EE3"/>
    <w:rsid w:val="00483F38"/>
    <w:rsid w:val="00483F3A"/>
    <w:rsid w:val="0048405A"/>
    <w:rsid w:val="004840A5"/>
    <w:rsid w:val="004841B0"/>
    <w:rsid w:val="004841E0"/>
    <w:rsid w:val="004841EB"/>
    <w:rsid w:val="00484240"/>
    <w:rsid w:val="00484351"/>
    <w:rsid w:val="00484376"/>
    <w:rsid w:val="004844D9"/>
    <w:rsid w:val="004845C4"/>
    <w:rsid w:val="004845C7"/>
    <w:rsid w:val="004845E5"/>
    <w:rsid w:val="0048476B"/>
    <w:rsid w:val="0048479B"/>
    <w:rsid w:val="00484841"/>
    <w:rsid w:val="00484911"/>
    <w:rsid w:val="00484927"/>
    <w:rsid w:val="0048499C"/>
    <w:rsid w:val="00484A09"/>
    <w:rsid w:val="00484A34"/>
    <w:rsid w:val="00484A50"/>
    <w:rsid w:val="00484A69"/>
    <w:rsid w:val="00484A76"/>
    <w:rsid w:val="00484A9B"/>
    <w:rsid w:val="00484B31"/>
    <w:rsid w:val="00484B4D"/>
    <w:rsid w:val="00484C18"/>
    <w:rsid w:val="00484C66"/>
    <w:rsid w:val="00484C8E"/>
    <w:rsid w:val="00484CE4"/>
    <w:rsid w:val="00484D4F"/>
    <w:rsid w:val="00484EA7"/>
    <w:rsid w:val="00484EBE"/>
    <w:rsid w:val="00484EE1"/>
    <w:rsid w:val="00484F0D"/>
    <w:rsid w:val="00484F20"/>
    <w:rsid w:val="00484F6F"/>
    <w:rsid w:val="0048506E"/>
    <w:rsid w:val="004850F0"/>
    <w:rsid w:val="00485165"/>
    <w:rsid w:val="00485177"/>
    <w:rsid w:val="00485193"/>
    <w:rsid w:val="004851C3"/>
    <w:rsid w:val="004851F6"/>
    <w:rsid w:val="00485228"/>
    <w:rsid w:val="0048526B"/>
    <w:rsid w:val="004853B1"/>
    <w:rsid w:val="00485401"/>
    <w:rsid w:val="0048541C"/>
    <w:rsid w:val="0048546F"/>
    <w:rsid w:val="0048548E"/>
    <w:rsid w:val="004854D4"/>
    <w:rsid w:val="0048556A"/>
    <w:rsid w:val="00485588"/>
    <w:rsid w:val="0048559B"/>
    <w:rsid w:val="0048561B"/>
    <w:rsid w:val="004856B2"/>
    <w:rsid w:val="00485753"/>
    <w:rsid w:val="00485901"/>
    <w:rsid w:val="00485994"/>
    <w:rsid w:val="004859DD"/>
    <w:rsid w:val="004859E1"/>
    <w:rsid w:val="00485A94"/>
    <w:rsid w:val="00485B3A"/>
    <w:rsid w:val="00485B5C"/>
    <w:rsid w:val="00485BA5"/>
    <w:rsid w:val="00485C96"/>
    <w:rsid w:val="00485D4C"/>
    <w:rsid w:val="00485DA6"/>
    <w:rsid w:val="00485DB3"/>
    <w:rsid w:val="00485E41"/>
    <w:rsid w:val="00485E47"/>
    <w:rsid w:val="00485E6E"/>
    <w:rsid w:val="00485F9C"/>
    <w:rsid w:val="00485FA6"/>
    <w:rsid w:val="00486037"/>
    <w:rsid w:val="00486087"/>
    <w:rsid w:val="004860A9"/>
    <w:rsid w:val="004860BF"/>
    <w:rsid w:val="004860E7"/>
    <w:rsid w:val="00486117"/>
    <w:rsid w:val="004861CA"/>
    <w:rsid w:val="0048620A"/>
    <w:rsid w:val="004862B8"/>
    <w:rsid w:val="004862FC"/>
    <w:rsid w:val="0048630F"/>
    <w:rsid w:val="0048631A"/>
    <w:rsid w:val="00486444"/>
    <w:rsid w:val="00486462"/>
    <w:rsid w:val="0048648A"/>
    <w:rsid w:val="004864AD"/>
    <w:rsid w:val="004864C9"/>
    <w:rsid w:val="0048653E"/>
    <w:rsid w:val="00486554"/>
    <w:rsid w:val="004865AC"/>
    <w:rsid w:val="00486661"/>
    <w:rsid w:val="00486671"/>
    <w:rsid w:val="0048675A"/>
    <w:rsid w:val="00486778"/>
    <w:rsid w:val="0048680A"/>
    <w:rsid w:val="00486835"/>
    <w:rsid w:val="004868BB"/>
    <w:rsid w:val="004868FD"/>
    <w:rsid w:val="0048694E"/>
    <w:rsid w:val="00486981"/>
    <w:rsid w:val="004869FB"/>
    <w:rsid w:val="00486A47"/>
    <w:rsid w:val="00486A4C"/>
    <w:rsid w:val="00486A5A"/>
    <w:rsid w:val="00486A77"/>
    <w:rsid w:val="00486AAC"/>
    <w:rsid w:val="00486B07"/>
    <w:rsid w:val="00486B57"/>
    <w:rsid w:val="00486BE4"/>
    <w:rsid w:val="00486BF4"/>
    <w:rsid w:val="00486C43"/>
    <w:rsid w:val="00486C9F"/>
    <w:rsid w:val="00486D14"/>
    <w:rsid w:val="00486DB5"/>
    <w:rsid w:val="00486DBD"/>
    <w:rsid w:val="00486DD5"/>
    <w:rsid w:val="00486DEC"/>
    <w:rsid w:val="00486E1B"/>
    <w:rsid w:val="00486EE5"/>
    <w:rsid w:val="00486F45"/>
    <w:rsid w:val="00486FB3"/>
    <w:rsid w:val="004870C3"/>
    <w:rsid w:val="00487145"/>
    <w:rsid w:val="00487231"/>
    <w:rsid w:val="0048725C"/>
    <w:rsid w:val="004872A2"/>
    <w:rsid w:val="004872C2"/>
    <w:rsid w:val="0048735A"/>
    <w:rsid w:val="00487496"/>
    <w:rsid w:val="0048750F"/>
    <w:rsid w:val="00487580"/>
    <w:rsid w:val="0048759E"/>
    <w:rsid w:val="00487685"/>
    <w:rsid w:val="004876D6"/>
    <w:rsid w:val="004876D8"/>
    <w:rsid w:val="004876E5"/>
    <w:rsid w:val="00487738"/>
    <w:rsid w:val="004877F0"/>
    <w:rsid w:val="00487961"/>
    <w:rsid w:val="00487989"/>
    <w:rsid w:val="004879CF"/>
    <w:rsid w:val="00487A01"/>
    <w:rsid w:val="00487AEE"/>
    <w:rsid w:val="00487B91"/>
    <w:rsid w:val="00487BFD"/>
    <w:rsid w:val="00487C1A"/>
    <w:rsid w:val="00487C6A"/>
    <w:rsid w:val="00487D0C"/>
    <w:rsid w:val="00487D81"/>
    <w:rsid w:val="00487E4B"/>
    <w:rsid w:val="00487EA1"/>
    <w:rsid w:val="00487F15"/>
    <w:rsid w:val="00487F80"/>
    <w:rsid w:val="0049003B"/>
    <w:rsid w:val="0049003F"/>
    <w:rsid w:val="004900D2"/>
    <w:rsid w:val="0049012A"/>
    <w:rsid w:val="00490179"/>
    <w:rsid w:val="004901A4"/>
    <w:rsid w:val="004901D4"/>
    <w:rsid w:val="004901E4"/>
    <w:rsid w:val="0049023E"/>
    <w:rsid w:val="0049027C"/>
    <w:rsid w:val="004902A7"/>
    <w:rsid w:val="004902D8"/>
    <w:rsid w:val="00490301"/>
    <w:rsid w:val="00490314"/>
    <w:rsid w:val="00490361"/>
    <w:rsid w:val="004903BC"/>
    <w:rsid w:val="00490491"/>
    <w:rsid w:val="00490547"/>
    <w:rsid w:val="0049056D"/>
    <w:rsid w:val="00490628"/>
    <w:rsid w:val="0049063A"/>
    <w:rsid w:val="00490694"/>
    <w:rsid w:val="004906A4"/>
    <w:rsid w:val="004906A6"/>
    <w:rsid w:val="004906F6"/>
    <w:rsid w:val="0049077D"/>
    <w:rsid w:val="00490794"/>
    <w:rsid w:val="004907C0"/>
    <w:rsid w:val="0049082B"/>
    <w:rsid w:val="00490856"/>
    <w:rsid w:val="004908A6"/>
    <w:rsid w:val="004908CE"/>
    <w:rsid w:val="00490968"/>
    <w:rsid w:val="00490A42"/>
    <w:rsid w:val="00490BD9"/>
    <w:rsid w:val="00490C19"/>
    <w:rsid w:val="00490C2B"/>
    <w:rsid w:val="00490C85"/>
    <w:rsid w:val="00490CE4"/>
    <w:rsid w:val="00490D47"/>
    <w:rsid w:val="00490D63"/>
    <w:rsid w:val="00490D6A"/>
    <w:rsid w:val="00490EAE"/>
    <w:rsid w:val="00490EDB"/>
    <w:rsid w:val="00490F4C"/>
    <w:rsid w:val="00490F73"/>
    <w:rsid w:val="00491044"/>
    <w:rsid w:val="004910EA"/>
    <w:rsid w:val="004911EF"/>
    <w:rsid w:val="00491356"/>
    <w:rsid w:val="00491390"/>
    <w:rsid w:val="0049141B"/>
    <w:rsid w:val="004914CB"/>
    <w:rsid w:val="004914F6"/>
    <w:rsid w:val="00491501"/>
    <w:rsid w:val="00491559"/>
    <w:rsid w:val="00491615"/>
    <w:rsid w:val="00491689"/>
    <w:rsid w:val="004916C6"/>
    <w:rsid w:val="0049171B"/>
    <w:rsid w:val="0049172C"/>
    <w:rsid w:val="00491769"/>
    <w:rsid w:val="004917B6"/>
    <w:rsid w:val="004918AA"/>
    <w:rsid w:val="004918B5"/>
    <w:rsid w:val="004918CE"/>
    <w:rsid w:val="004918D3"/>
    <w:rsid w:val="0049194C"/>
    <w:rsid w:val="0049197B"/>
    <w:rsid w:val="004919BF"/>
    <w:rsid w:val="00491A88"/>
    <w:rsid w:val="00491A95"/>
    <w:rsid w:val="00491AE5"/>
    <w:rsid w:val="00491B27"/>
    <w:rsid w:val="00491B32"/>
    <w:rsid w:val="00491B5B"/>
    <w:rsid w:val="00491C44"/>
    <w:rsid w:val="00491CD3"/>
    <w:rsid w:val="00491D1A"/>
    <w:rsid w:val="00491F4F"/>
    <w:rsid w:val="00491F54"/>
    <w:rsid w:val="00491FBE"/>
    <w:rsid w:val="00491FD6"/>
    <w:rsid w:val="00492006"/>
    <w:rsid w:val="0049211E"/>
    <w:rsid w:val="0049217D"/>
    <w:rsid w:val="004921F8"/>
    <w:rsid w:val="004922A0"/>
    <w:rsid w:val="00492345"/>
    <w:rsid w:val="00492353"/>
    <w:rsid w:val="0049235B"/>
    <w:rsid w:val="00492408"/>
    <w:rsid w:val="0049240E"/>
    <w:rsid w:val="00492497"/>
    <w:rsid w:val="004924E7"/>
    <w:rsid w:val="004924F3"/>
    <w:rsid w:val="004924F6"/>
    <w:rsid w:val="0049251D"/>
    <w:rsid w:val="00492575"/>
    <w:rsid w:val="00492582"/>
    <w:rsid w:val="004925F3"/>
    <w:rsid w:val="004926C0"/>
    <w:rsid w:val="004926C6"/>
    <w:rsid w:val="0049285D"/>
    <w:rsid w:val="00492865"/>
    <w:rsid w:val="004928E3"/>
    <w:rsid w:val="0049291E"/>
    <w:rsid w:val="0049294D"/>
    <w:rsid w:val="004929C9"/>
    <w:rsid w:val="00492A00"/>
    <w:rsid w:val="00492A71"/>
    <w:rsid w:val="00492A94"/>
    <w:rsid w:val="00492B05"/>
    <w:rsid w:val="00492B2C"/>
    <w:rsid w:val="00492B46"/>
    <w:rsid w:val="00492C44"/>
    <w:rsid w:val="00492C69"/>
    <w:rsid w:val="00492CA8"/>
    <w:rsid w:val="00492D46"/>
    <w:rsid w:val="00492DB9"/>
    <w:rsid w:val="00492DF0"/>
    <w:rsid w:val="00492E29"/>
    <w:rsid w:val="00492E46"/>
    <w:rsid w:val="00492EC7"/>
    <w:rsid w:val="00492EEF"/>
    <w:rsid w:val="00492EF0"/>
    <w:rsid w:val="00492F09"/>
    <w:rsid w:val="00492F61"/>
    <w:rsid w:val="0049304B"/>
    <w:rsid w:val="0049307D"/>
    <w:rsid w:val="00493086"/>
    <w:rsid w:val="0049308C"/>
    <w:rsid w:val="004930AA"/>
    <w:rsid w:val="004930F7"/>
    <w:rsid w:val="004930FE"/>
    <w:rsid w:val="0049319A"/>
    <w:rsid w:val="004931A6"/>
    <w:rsid w:val="004931C3"/>
    <w:rsid w:val="00493231"/>
    <w:rsid w:val="00493272"/>
    <w:rsid w:val="004932E9"/>
    <w:rsid w:val="00493364"/>
    <w:rsid w:val="0049338C"/>
    <w:rsid w:val="00493412"/>
    <w:rsid w:val="004934DD"/>
    <w:rsid w:val="00493539"/>
    <w:rsid w:val="00493553"/>
    <w:rsid w:val="00493584"/>
    <w:rsid w:val="0049362D"/>
    <w:rsid w:val="004936F3"/>
    <w:rsid w:val="0049378D"/>
    <w:rsid w:val="004937CC"/>
    <w:rsid w:val="004937D1"/>
    <w:rsid w:val="004937EE"/>
    <w:rsid w:val="0049384D"/>
    <w:rsid w:val="0049385A"/>
    <w:rsid w:val="0049386C"/>
    <w:rsid w:val="0049387E"/>
    <w:rsid w:val="004938F5"/>
    <w:rsid w:val="004939F3"/>
    <w:rsid w:val="00493A61"/>
    <w:rsid w:val="00493A7E"/>
    <w:rsid w:val="00493AD2"/>
    <w:rsid w:val="00493B07"/>
    <w:rsid w:val="00493B5E"/>
    <w:rsid w:val="00493B69"/>
    <w:rsid w:val="00493C08"/>
    <w:rsid w:val="00493C76"/>
    <w:rsid w:val="00493C81"/>
    <w:rsid w:val="00493D2A"/>
    <w:rsid w:val="00493D6A"/>
    <w:rsid w:val="00493D92"/>
    <w:rsid w:val="00493DED"/>
    <w:rsid w:val="00493E19"/>
    <w:rsid w:val="00493E64"/>
    <w:rsid w:val="00493F9F"/>
    <w:rsid w:val="00493FC6"/>
    <w:rsid w:val="00494123"/>
    <w:rsid w:val="0049418E"/>
    <w:rsid w:val="004941A6"/>
    <w:rsid w:val="004941AB"/>
    <w:rsid w:val="00494206"/>
    <w:rsid w:val="0049420E"/>
    <w:rsid w:val="0049428A"/>
    <w:rsid w:val="00494299"/>
    <w:rsid w:val="004942D8"/>
    <w:rsid w:val="004942E4"/>
    <w:rsid w:val="0049439F"/>
    <w:rsid w:val="00494410"/>
    <w:rsid w:val="00494416"/>
    <w:rsid w:val="004944A9"/>
    <w:rsid w:val="004944B3"/>
    <w:rsid w:val="0049459F"/>
    <w:rsid w:val="004945F6"/>
    <w:rsid w:val="0049462E"/>
    <w:rsid w:val="00494654"/>
    <w:rsid w:val="0049465D"/>
    <w:rsid w:val="004946C4"/>
    <w:rsid w:val="004946CE"/>
    <w:rsid w:val="00494718"/>
    <w:rsid w:val="00494725"/>
    <w:rsid w:val="0049480D"/>
    <w:rsid w:val="00494B1C"/>
    <w:rsid w:val="00494B3B"/>
    <w:rsid w:val="00494B75"/>
    <w:rsid w:val="00494B76"/>
    <w:rsid w:val="00494B90"/>
    <w:rsid w:val="00494B96"/>
    <w:rsid w:val="00494BC8"/>
    <w:rsid w:val="00494C17"/>
    <w:rsid w:val="00494C39"/>
    <w:rsid w:val="00494CA1"/>
    <w:rsid w:val="00494CEF"/>
    <w:rsid w:val="00494DD9"/>
    <w:rsid w:val="00494DF2"/>
    <w:rsid w:val="00494E72"/>
    <w:rsid w:val="00494EC3"/>
    <w:rsid w:val="00494FC0"/>
    <w:rsid w:val="00495025"/>
    <w:rsid w:val="0049508A"/>
    <w:rsid w:val="0049508F"/>
    <w:rsid w:val="004950B2"/>
    <w:rsid w:val="00495159"/>
    <w:rsid w:val="00495234"/>
    <w:rsid w:val="004953A3"/>
    <w:rsid w:val="00495429"/>
    <w:rsid w:val="00495466"/>
    <w:rsid w:val="004954DB"/>
    <w:rsid w:val="0049556C"/>
    <w:rsid w:val="004955E3"/>
    <w:rsid w:val="0049560A"/>
    <w:rsid w:val="00495620"/>
    <w:rsid w:val="0049567F"/>
    <w:rsid w:val="00495734"/>
    <w:rsid w:val="00495743"/>
    <w:rsid w:val="0049575C"/>
    <w:rsid w:val="0049577D"/>
    <w:rsid w:val="00495788"/>
    <w:rsid w:val="00495879"/>
    <w:rsid w:val="004958A2"/>
    <w:rsid w:val="004958D1"/>
    <w:rsid w:val="0049590D"/>
    <w:rsid w:val="00495929"/>
    <w:rsid w:val="00495954"/>
    <w:rsid w:val="00495983"/>
    <w:rsid w:val="00495A50"/>
    <w:rsid w:val="00495A85"/>
    <w:rsid w:val="00495AF2"/>
    <w:rsid w:val="00495B24"/>
    <w:rsid w:val="00495C53"/>
    <w:rsid w:val="00495DE4"/>
    <w:rsid w:val="00495F55"/>
    <w:rsid w:val="00495F5A"/>
    <w:rsid w:val="00496015"/>
    <w:rsid w:val="00496098"/>
    <w:rsid w:val="00496109"/>
    <w:rsid w:val="00496122"/>
    <w:rsid w:val="00496132"/>
    <w:rsid w:val="00496180"/>
    <w:rsid w:val="00496222"/>
    <w:rsid w:val="0049628C"/>
    <w:rsid w:val="004962E7"/>
    <w:rsid w:val="004962FA"/>
    <w:rsid w:val="00496392"/>
    <w:rsid w:val="0049643B"/>
    <w:rsid w:val="00496448"/>
    <w:rsid w:val="0049648D"/>
    <w:rsid w:val="004964A1"/>
    <w:rsid w:val="004964FD"/>
    <w:rsid w:val="0049656D"/>
    <w:rsid w:val="004965D5"/>
    <w:rsid w:val="00496606"/>
    <w:rsid w:val="00496695"/>
    <w:rsid w:val="0049670B"/>
    <w:rsid w:val="00496732"/>
    <w:rsid w:val="00496753"/>
    <w:rsid w:val="00496792"/>
    <w:rsid w:val="004967A5"/>
    <w:rsid w:val="004967B3"/>
    <w:rsid w:val="004967B7"/>
    <w:rsid w:val="004967E9"/>
    <w:rsid w:val="00496830"/>
    <w:rsid w:val="004968BF"/>
    <w:rsid w:val="004968DB"/>
    <w:rsid w:val="0049690F"/>
    <w:rsid w:val="0049692B"/>
    <w:rsid w:val="00496942"/>
    <w:rsid w:val="00496968"/>
    <w:rsid w:val="0049697A"/>
    <w:rsid w:val="004969DF"/>
    <w:rsid w:val="00496A40"/>
    <w:rsid w:val="00496B06"/>
    <w:rsid w:val="00496B22"/>
    <w:rsid w:val="00496B64"/>
    <w:rsid w:val="00496B9E"/>
    <w:rsid w:val="00496C07"/>
    <w:rsid w:val="00496C0E"/>
    <w:rsid w:val="00496C77"/>
    <w:rsid w:val="00496C8A"/>
    <w:rsid w:val="00496CF2"/>
    <w:rsid w:val="00496E14"/>
    <w:rsid w:val="00496E1E"/>
    <w:rsid w:val="00496E55"/>
    <w:rsid w:val="00496E5D"/>
    <w:rsid w:val="00496EF1"/>
    <w:rsid w:val="00496F25"/>
    <w:rsid w:val="00496F9F"/>
    <w:rsid w:val="0049702C"/>
    <w:rsid w:val="00497038"/>
    <w:rsid w:val="00497147"/>
    <w:rsid w:val="0049714D"/>
    <w:rsid w:val="004971D0"/>
    <w:rsid w:val="00497232"/>
    <w:rsid w:val="00497265"/>
    <w:rsid w:val="004972C6"/>
    <w:rsid w:val="004973B4"/>
    <w:rsid w:val="0049741A"/>
    <w:rsid w:val="004974D6"/>
    <w:rsid w:val="00497619"/>
    <w:rsid w:val="0049765D"/>
    <w:rsid w:val="00497668"/>
    <w:rsid w:val="00497683"/>
    <w:rsid w:val="004976AA"/>
    <w:rsid w:val="004976D9"/>
    <w:rsid w:val="0049786A"/>
    <w:rsid w:val="0049788C"/>
    <w:rsid w:val="0049798F"/>
    <w:rsid w:val="00497A18"/>
    <w:rsid w:val="00497B21"/>
    <w:rsid w:val="00497B86"/>
    <w:rsid w:val="00497B92"/>
    <w:rsid w:val="00497B95"/>
    <w:rsid w:val="00497C26"/>
    <w:rsid w:val="00497C5C"/>
    <w:rsid w:val="00497C6C"/>
    <w:rsid w:val="00497CF9"/>
    <w:rsid w:val="00497CFF"/>
    <w:rsid w:val="00497D51"/>
    <w:rsid w:val="00497D94"/>
    <w:rsid w:val="00497EA8"/>
    <w:rsid w:val="00497F09"/>
    <w:rsid w:val="0049C01F"/>
    <w:rsid w:val="004A00F5"/>
    <w:rsid w:val="004A014B"/>
    <w:rsid w:val="004A014F"/>
    <w:rsid w:val="004A01A6"/>
    <w:rsid w:val="004A023C"/>
    <w:rsid w:val="004A02D4"/>
    <w:rsid w:val="004A02F0"/>
    <w:rsid w:val="004A030A"/>
    <w:rsid w:val="004A03A5"/>
    <w:rsid w:val="004A04C4"/>
    <w:rsid w:val="004A05C5"/>
    <w:rsid w:val="004A067C"/>
    <w:rsid w:val="004A06AE"/>
    <w:rsid w:val="004A06E3"/>
    <w:rsid w:val="004A06F4"/>
    <w:rsid w:val="004A071B"/>
    <w:rsid w:val="004A07A5"/>
    <w:rsid w:val="004A0842"/>
    <w:rsid w:val="004A0883"/>
    <w:rsid w:val="004A0978"/>
    <w:rsid w:val="004A099E"/>
    <w:rsid w:val="004A0AAB"/>
    <w:rsid w:val="004A0B2E"/>
    <w:rsid w:val="004A0B8E"/>
    <w:rsid w:val="004A0BDB"/>
    <w:rsid w:val="004A0C17"/>
    <w:rsid w:val="004A0C8A"/>
    <w:rsid w:val="004A0C9B"/>
    <w:rsid w:val="004A0D09"/>
    <w:rsid w:val="004A0D3A"/>
    <w:rsid w:val="004A0D9F"/>
    <w:rsid w:val="004A0DB3"/>
    <w:rsid w:val="004A0DB9"/>
    <w:rsid w:val="004A0E08"/>
    <w:rsid w:val="004A0E3F"/>
    <w:rsid w:val="004A0EC1"/>
    <w:rsid w:val="004A0ED4"/>
    <w:rsid w:val="004A0F18"/>
    <w:rsid w:val="004A0F39"/>
    <w:rsid w:val="004A0F3F"/>
    <w:rsid w:val="004A107A"/>
    <w:rsid w:val="004A108D"/>
    <w:rsid w:val="004A110E"/>
    <w:rsid w:val="004A11D7"/>
    <w:rsid w:val="004A11DD"/>
    <w:rsid w:val="004A138C"/>
    <w:rsid w:val="004A1468"/>
    <w:rsid w:val="004A1488"/>
    <w:rsid w:val="004A148A"/>
    <w:rsid w:val="004A14F6"/>
    <w:rsid w:val="004A150E"/>
    <w:rsid w:val="004A153D"/>
    <w:rsid w:val="004A155B"/>
    <w:rsid w:val="004A157B"/>
    <w:rsid w:val="004A15A9"/>
    <w:rsid w:val="004A160D"/>
    <w:rsid w:val="004A166E"/>
    <w:rsid w:val="004A16A3"/>
    <w:rsid w:val="004A1708"/>
    <w:rsid w:val="004A1758"/>
    <w:rsid w:val="004A1784"/>
    <w:rsid w:val="004A1785"/>
    <w:rsid w:val="004A17C5"/>
    <w:rsid w:val="004A17E0"/>
    <w:rsid w:val="004A1840"/>
    <w:rsid w:val="004A1879"/>
    <w:rsid w:val="004A1891"/>
    <w:rsid w:val="004A1A82"/>
    <w:rsid w:val="004A1B67"/>
    <w:rsid w:val="004A1B71"/>
    <w:rsid w:val="004A1BF6"/>
    <w:rsid w:val="004A1C51"/>
    <w:rsid w:val="004A1C6D"/>
    <w:rsid w:val="004A1C98"/>
    <w:rsid w:val="004A1CEE"/>
    <w:rsid w:val="004A1D37"/>
    <w:rsid w:val="004A1D83"/>
    <w:rsid w:val="004A1DA2"/>
    <w:rsid w:val="004A1DFB"/>
    <w:rsid w:val="004A1E30"/>
    <w:rsid w:val="004A1E3F"/>
    <w:rsid w:val="004A1E53"/>
    <w:rsid w:val="004A1EA1"/>
    <w:rsid w:val="004A1F70"/>
    <w:rsid w:val="004A1F8A"/>
    <w:rsid w:val="004A2078"/>
    <w:rsid w:val="004A2099"/>
    <w:rsid w:val="004A20CF"/>
    <w:rsid w:val="004A2121"/>
    <w:rsid w:val="004A21EC"/>
    <w:rsid w:val="004A221F"/>
    <w:rsid w:val="004A2243"/>
    <w:rsid w:val="004A2272"/>
    <w:rsid w:val="004A22FC"/>
    <w:rsid w:val="004A2312"/>
    <w:rsid w:val="004A2337"/>
    <w:rsid w:val="004A2349"/>
    <w:rsid w:val="004A2421"/>
    <w:rsid w:val="004A2458"/>
    <w:rsid w:val="004A2484"/>
    <w:rsid w:val="004A249F"/>
    <w:rsid w:val="004A24D7"/>
    <w:rsid w:val="004A255B"/>
    <w:rsid w:val="004A2585"/>
    <w:rsid w:val="004A25D8"/>
    <w:rsid w:val="004A2621"/>
    <w:rsid w:val="004A26AF"/>
    <w:rsid w:val="004A26B9"/>
    <w:rsid w:val="004A26C2"/>
    <w:rsid w:val="004A26CA"/>
    <w:rsid w:val="004A2713"/>
    <w:rsid w:val="004A275D"/>
    <w:rsid w:val="004A27AC"/>
    <w:rsid w:val="004A27DE"/>
    <w:rsid w:val="004A2922"/>
    <w:rsid w:val="004A2A04"/>
    <w:rsid w:val="004A2A79"/>
    <w:rsid w:val="004A2AE8"/>
    <w:rsid w:val="004A2AED"/>
    <w:rsid w:val="004A2B24"/>
    <w:rsid w:val="004A2B47"/>
    <w:rsid w:val="004A2BD4"/>
    <w:rsid w:val="004A2C59"/>
    <w:rsid w:val="004A2C98"/>
    <w:rsid w:val="004A2D32"/>
    <w:rsid w:val="004A2D8C"/>
    <w:rsid w:val="004A2DA4"/>
    <w:rsid w:val="004A2E60"/>
    <w:rsid w:val="004A2E8C"/>
    <w:rsid w:val="004A2EB0"/>
    <w:rsid w:val="004A2F38"/>
    <w:rsid w:val="004A2F49"/>
    <w:rsid w:val="004A2F5B"/>
    <w:rsid w:val="004A2F72"/>
    <w:rsid w:val="004A2FEE"/>
    <w:rsid w:val="004A30E2"/>
    <w:rsid w:val="004A3126"/>
    <w:rsid w:val="004A314A"/>
    <w:rsid w:val="004A315C"/>
    <w:rsid w:val="004A3162"/>
    <w:rsid w:val="004A3246"/>
    <w:rsid w:val="004A3277"/>
    <w:rsid w:val="004A327F"/>
    <w:rsid w:val="004A3317"/>
    <w:rsid w:val="004A33A9"/>
    <w:rsid w:val="004A33E1"/>
    <w:rsid w:val="004A3442"/>
    <w:rsid w:val="004A346F"/>
    <w:rsid w:val="004A349B"/>
    <w:rsid w:val="004A34F4"/>
    <w:rsid w:val="004A34FE"/>
    <w:rsid w:val="004A3502"/>
    <w:rsid w:val="004A3522"/>
    <w:rsid w:val="004A3628"/>
    <w:rsid w:val="004A36F7"/>
    <w:rsid w:val="004A375E"/>
    <w:rsid w:val="004A3763"/>
    <w:rsid w:val="004A3894"/>
    <w:rsid w:val="004A38D3"/>
    <w:rsid w:val="004A38D6"/>
    <w:rsid w:val="004A3913"/>
    <w:rsid w:val="004A395D"/>
    <w:rsid w:val="004A3979"/>
    <w:rsid w:val="004A39A9"/>
    <w:rsid w:val="004A3A5C"/>
    <w:rsid w:val="004A3AB6"/>
    <w:rsid w:val="004A3AE2"/>
    <w:rsid w:val="004A3B47"/>
    <w:rsid w:val="004A3B9C"/>
    <w:rsid w:val="004A3BAE"/>
    <w:rsid w:val="004A3BE9"/>
    <w:rsid w:val="004A3BF0"/>
    <w:rsid w:val="004A3C28"/>
    <w:rsid w:val="004A3C33"/>
    <w:rsid w:val="004A3C78"/>
    <w:rsid w:val="004A3C9B"/>
    <w:rsid w:val="004A3CB8"/>
    <w:rsid w:val="004A3D40"/>
    <w:rsid w:val="004A3E18"/>
    <w:rsid w:val="004A3E28"/>
    <w:rsid w:val="004A3EB5"/>
    <w:rsid w:val="004A3F21"/>
    <w:rsid w:val="004A4034"/>
    <w:rsid w:val="004A4086"/>
    <w:rsid w:val="004A40F7"/>
    <w:rsid w:val="004A4155"/>
    <w:rsid w:val="004A418E"/>
    <w:rsid w:val="004A41AC"/>
    <w:rsid w:val="004A41EC"/>
    <w:rsid w:val="004A424D"/>
    <w:rsid w:val="004A443B"/>
    <w:rsid w:val="004A445B"/>
    <w:rsid w:val="004A448A"/>
    <w:rsid w:val="004A453E"/>
    <w:rsid w:val="004A454D"/>
    <w:rsid w:val="004A4571"/>
    <w:rsid w:val="004A459C"/>
    <w:rsid w:val="004A45BE"/>
    <w:rsid w:val="004A45E1"/>
    <w:rsid w:val="004A4615"/>
    <w:rsid w:val="004A46CD"/>
    <w:rsid w:val="004A46ED"/>
    <w:rsid w:val="004A46F5"/>
    <w:rsid w:val="004A472A"/>
    <w:rsid w:val="004A47B2"/>
    <w:rsid w:val="004A480D"/>
    <w:rsid w:val="004A4860"/>
    <w:rsid w:val="004A48D3"/>
    <w:rsid w:val="004A4956"/>
    <w:rsid w:val="004A49DF"/>
    <w:rsid w:val="004A4A21"/>
    <w:rsid w:val="004A4A2F"/>
    <w:rsid w:val="004A4A30"/>
    <w:rsid w:val="004A4A3F"/>
    <w:rsid w:val="004A4A80"/>
    <w:rsid w:val="004A4B6A"/>
    <w:rsid w:val="004A4C37"/>
    <w:rsid w:val="004A4C40"/>
    <w:rsid w:val="004A4C5A"/>
    <w:rsid w:val="004A4C85"/>
    <w:rsid w:val="004A4CA6"/>
    <w:rsid w:val="004A4D39"/>
    <w:rsid w:val="004A4D83"/>
    <w:rsid w:val="004A4D88"/>
    <w:rsid w:val="004A4E67"/>
    <w:rsid w:val="004A4E6B"/>
    <w:rsid w:val="004A4E6D"/>
    <w:rsid w:val="004A4F16"/>
    <w:rsid w:val="004A4F37"/>
    <w:rsid w:val="004A4F77"/>
    <w:rsid w:val="004A4FF6"/>
    <w:rsid w:val="004A4FF9"/>
    <w:rsid w:val="004A506C"/>
    <w:rsid w:val="004A50B9"/>
    <w:rsid w:val="004A50BE"/>
    <w:rsid w:val="004A5254"/>
    <w:rsid w:val="004A52E8"/>
    <w:rsid w:val="004A5342"/>
    <w:rsid w:val="004A5444"/>
    <w:rsid w:val="004A5488"/>
    <w:rsid w:val="004A548C"/>
    <w:rsid w:val="004A5496"/>
    <w:rsid w:val="004A54E5"/>
    <w:rsid w:val="004A5681"/>
    <w:rsid w:val="004A5692"/>
    <w:rsid w:val="004A56A3"/>
    <w:rsid w:val="004A570D"/>
    <w:rsid w:val="004A573C"/>
    <w:rsid w:val="004A5789"/>
    <w:rsid w:val="004A57AB"/>
    <w:rsid w:val="004A57ED"/>
    <w:rsid w:val="004A5857"/>
    <w:rsid w:val="004A58AE"/>
    <w:rsid w:val="004A58EB"/>
    <w:rsid w:val="004A5909"/>
    <w:rsid w:val="004A5987"/>
    <w:rsid w:val="004A59D6"/>
    <w:rsid w:val="004A59F9"/>
    <w:rsid w:val="004A5A48"/>
    <w:rsid w:val="004A5B4C"/>
    <w:rsid w:val="004A5B53"/>
    <w:rsid w:val="004A5B72"/>
    <w:rsid w:val="004A5B8A"/>
    <w:rsid w:val="004A5BFD"/>
    <w:rsid w:val="004A5C78"/>
    <w:rsid w:val="004A5D74"/>
    <w:rsid w:val="004A5E3D"/>
    <w:rsid w:val="004A5E50"/>
    <w:rsid w:val="004A5EA8"/>
    <w:rsid w:val="004A5EB9"/>
    <w:rsid w:val="004A5ECE"/>
    <w:rsid w:val="004A5F06"/>
    <w:rsid w:val="004A5F1E"/>
    <w:rsid w:val="004A5F71"/>
    <w:rsid w:val="004A5FA4"/>
    <w:rsid w:val="004A5FE5"/>
    <w:rsid w:val="004A60B2"/>
    <w:rsid w:val="004A60FC"/>
    <w:rsid w:val="004A6147"/>
    <w:rsid w:val="004A6177"/>
    <w:rsid w:val="004A6178"/>
    <w:rsid w:val="004A622B"/>
    <w:rsid w:val="004A627D"/>
    <w:rsid w:val="004A62B0"/>
    <w:rsid w:val="004A62D3"/>
    <w:rsid w:val="004A62E6"/>
    <w:rsid w:val="004A6384"/>
    <w:rsid w:val="004A63BF"/>
    <w:rsid w:val="004A643C"/>
    <w:rsid w:val="004A6441"/>
    <w:rsid w:val="004A650A"/>
    <w:rsid w:val="004A6528"/>
    <w:rsid w:val="004A653B"/>
    <w:rsid w:val="004A6695"/>
    <w:rsid w:val="004A66BB"/>
    <w:rsid w:val="004A6891"/>
    <w:rsid w:val="004A68D5"/>
    <w:rsid w:val="004A69E8"/>
    <w:rsid w:val="004A69F8"/>
    <w:rsid w:val="004A6B37"/>
    <w:rsid w:val="004A6B8B"/>
    <w:rsid w:val="004A6BB0"/>
    <w:rsid w:val="004A6BCD"/>
    <w:rsid w:val="004A6C04"/>
    <w:rsid w:val="004A6C43"/>
    <w:rsid w:val="004A6C46"/>
    <w:rsid w:val="004A6CBD"/>
    <w:rsid w:val="004A6D2E"/>
    <w:rsid w:val="004A6D5F"/>
    <w:rsid w:val="004A6D8B"/>
    <w:rsid w:val="004A6DF4"/>
    <w:rsid w:val="004A6E2D"/>
    <w:rsid w:val="004A6E42"/>
    <w:rsid w:val="004A6F3A"/>
    <w:rsid w:val="004A6FB1"/>
    <w:rsid w:val="004A6FC5"/>
    <w:rsid w:val="004A70A0"/>
    <w:rsid w:val="004A70C9"/>
    <w:rsid w:val="004A7133"/>
    <w:rsid w:val="004A7154"/>
    <w:rsid w:val="004A718B"/>
    <w:rsid w:val="004A7202"/>
    <w:rsid w:val="004A7337"/>
    <w:rsid w:val="004A737B"/>
    <w:rsid w:val="004A73CF"/>
    <w:rsid w:val="004A7450"/>
    <w:rsid w:val="004A746B"/>
    <w:rsid w:val="004A746D"/>
    <w:rsid w:val="004A74B2"/>
    <w:rsid w:val="004A74BC"/>
    <w:rsid w:val="004A750A"/>
    <w:rsid w:val="004A755B"/>
    <w:rsid w:val="004A755D"/>
    <w:rsid w:val="004A7591"/>
    <w:rsid w:val="004A7647"/>
    <w:rsid w:val="004A7649"/>
    <w:rsid w:val="004A76A0"/>
    <w:rsid w:val="004A779C"/>
    <w:rsid w:val="004A77F8"/>
    <w:rsid w:val="004A782B"/>
    <w:rsid w:val="004A7831"/>
    <w:rsid w:val="004A78E2"/>
    <w:rsid w:val="004A791B"/>
    <w:rsid w:val="004A7972"/>
    <w:rsid w:val="004A7A0E"/>
    <w:rsid w:val="004A7A50"/>
    <w:rsid w:val="004A7A5F"/>
    <w:rsid w:val="004A7AE4"/>
    <w:rsid w:val="004A7B16"/>
    <w:rsid w:val="004A7BFB"/>
    <w:rsid w:val="004A7C36"/>
    <w:rsid w:val="004A7C46"/>
    <w:rsid w:val="004A7C5D"/>
    <w:rsid w:val="004A7CB7"/>
    <w:rsid w:val="004A7CC4"/>
    <w:rsid w:val="004A7D54"/>
    <w:rsid w:val="004A7D5B"/>
    <w:rsid w:val="004A7EE3"/>
    <w:rsid w:val="004A7F2B"/>
    <w:rsid w:val="004A7F5D"/>
    <w:rsid w:val="004A7FD1"/>
    <w:rsid w:val="004B004B"/>
    <w:rsid w:val="004B0109"/>
    <w:rsid w:val="004B010B"/>
    <w:rsid w:val="004B0192"/>
    <w:rsid w:val="004B01CB"/>
    <w:rsid w:val="004B0220"/>
    <w:rsid w:val="004B0249"/>
    <w:rsid w:val="004B02CC"/>
    <w:rsid w:val="004B02FA"/>
    <w:rsid w:val="004B037A"/>
    <w:rsid w:val="004B0384"/>
    <w:rsid w:val="004B0395"/>
    <w:rsid w:val="004B0397"/>
    <w:rsid w:val="004B03AA"/>
    <w:rsid w:val="004B03E2"/>
    <w:rsid w:val="004B0406"/>
    <w:rsid w:val="004B043F"/>
    <w:rsid w:val="004B04A1"/>
    <w:rsid w:val="004B051F"/>
    <w:rsid w:val="004B0578"/>
    <w:rsid w:val="004B057C"/>
    <w:rsid w:val="004B064A"/>
    <w:rsid w:val="004B0661"/>
    <w:rsid w:val="004B068E"/>
    <w:rsid w:val="004B06AA"/>
    <w:rsid w:val="004B06F2"/>
    <w:rsid w:val="004B07D3"/>
    <w:rsid w:val="004B0922"/>
    <w:rsid w:val="004B09C5"/>
    <w:rsid w:val="004B09E3"/>
    <w:rsid w:val="004B0A44"/>
    <w:rsid w:val="004B0A70"/>
    <w:rsid w:val="004B0AAA"/>
    <w:rsid w:val="004B0AD1"/>
    <w:rsid w:val="004B0C49"/>
    <w:rsid w:val="004B0C57"/>
    <w:rsid w:val="004B0D20"/>
    <w:rsid w:val="004B0D4D"/>
    <w:rsid w:val="004B0D5B"/>
    <w:rsid w:val="004B0D72"/>
    <w:rsid w:val="004B0E2A"/>
    <w:rsid w:val="004B0E72"/>
    <w:rsid w:val="004B0EB4"/>
    <w:rsid w:val="004B0EC1"/>
    <w:rsid w:val="004B0F1A"/>
    <w:rsid w:val="004B0F26"/>
    <w:rsid w:val="004B0F93"/>
    <w:rsid w:val="004B1033"/>
    <w:rsid w:val="004B1055"/>
    <w:rsid w:val="004B1088"/>
    <w:rsid w:val="004B1101"/>
    <w:rsid w:val="004B121E"/>
    <w:rsid w:val="004B1256"/>
    <w:rsid w:val="004B1287"/>
    <w:rsid w:val="004B1391"/>
    <w:rsid w:val="004B13DA"/>
    <w:rsid w:val="004B1410"/>
    <w:rsid w:val="004B1474"/>
    <w:rsid w:val="004B147A"/>
    <w:rsid w:val="004B14E4"/>
    <w:rsid w:val="004B1685"/>
    <w:rsid w:val="004B16E6"/>
    <w:rsid w:val="004B17AA"/>
    <w:rsid w:val="004B1841"/>
    <w:rsid w:val="004B18DC"/>
    <w:rsid w:val="004B194D"/>
    <w:rsid w:val="004B19AB"/>
    <w:rsid w:val="004B19D1"/>
    <w:rsid w:val="004B19D5"/>
    <w:rsid w:val="004B1B3F"/>
    <w:rsid w:val="004B1BE6"/>
    <w:rsid w:val="004B1C97"/>
    <w:rsid w:val="004B1CF2"/>
    <w:rsid w:val="004B1D1B"/>
    <w:rsid w:val="004B1DC3"/>
    <w:rsid w:val="004B1DDD"/>
    <w:rsid w:val="004B1DF3"/>
    <w:rsid w:val="004B1EFB"/>
    <w:rsid w:val="004B1F71"/>
    <w:rsid w:val="004B1F86"/>
    <w:rsid w:val="004B1F9D"/>
    <w:rsid w:val="004B1FA1"/>
    <w:rsid w:val="004B1FDE"/>
    <w:rsid w:val="004B202B"/>
    <w:rsid w:val="004B20E9"/>
    <w:rsid w:val="004B2108"/>
    <w:rsid w:val="004B2113"/>
    <w:rsid w:val="004B2234"/>
    <w:rsid w:val="004B22BD"/>
    <w:rsid w:val="004B22C7"/>
    <w:rsid w:val="004B239E"/>
    <w:rsid w:val="004B23F9"/>
    <w:rsid w:val="004B242F"/>
    <w:rsid w:val="004B24CB"/>
    <w:rsid w:val="004B24FE"/>
    <w:rsid w:val="004B2502"/>
    <w:rsid w:val="004B261C"/>
    <w:rsid w:val="004B2635"/>
    <w:rsid w:val="004B266D"/>
    <w:rsid w:val="004B26E8"/>
    <w:rsid w:val="004B271F"/>
    <w:rsid w:val="004B2898"/>
    <w:rsid w:val="004B28F9"/>
    <w:rsid w:val="004B2931"/>
    <w:rsid w:val="004B2987"/>
    <w:rsid w:val="004B2A24"/>
    <w:rsid w:val="004B2A88"/>
    <w:rsid w:val="004B2AA4"/>
    <w:rsid w:val="004B2AF9"/>
    <w:rsid w:val="004B2AFC"/>
    <w:rsid w:val="004B2B24"/>
    <w:rsid w:val="004B2C26"/>
    <w:rsid w:val="004B2C38"/>
    <w:rsid w:val="004B2C77"/>
    <w:rsid w:val="004B2CAC"/>
    <w:rsid w:val="004B2D1D"/>
    <w:rsid w:val="004B2D3E"/>
    <w:rsid w:val="004B2D5A"/>
    <w:rsid w:val="004B2D64"/>
    <w:rsid w:val="004B2D7E"/>
    <w:rsid w:val="004B2D8A"/>
    <w:rsid w:val="004B2DD3"/>
    <w:rsid w:val="004B2EF9"/>
    <w:rsid w:val="004B2EFF"/>
    <w:rsid w:val="004B2F33"/>
    <w:rsid w:val="004B2FDA"/>
    <w:rsid w:val="004B2FFB"/>
    <w:rsid w:val="004B3001"/>
    <w:rsid w:val="004B301A"/>
    <w:rsid w:val="004B301E"/>
    <w:rsid w:val="004B3086"/>
    <w:rsid w:val="004B30F9"/>
    <w:rsid w:val="004B3111"/>
    <w:rsid w:val="004B3202"/>
    <w:rsid w:val="004B3208"/>
    <w:rsid w:val="004B3219"/>
    <w:rsid w:val="004B3266"/>
    <w:rsid w:val="004B32C2"/>
    <w:rsid w:val="004B334C"/>
    <w:rsid w:val="004B33D0"/>
    <w:rsid w:val="004B3413"/>
    <w:rsid w:val="004B3521"/>
    <w:rsid w:val="004B3523"/>
    <w:rsid w:val="004B366E"/>
    <w:rsid w:val="004B36CA"/>
    <w:rsid w:val="004B389C"/>
    <w:rsid w:val="004B38D8"/>
    <w:rsid w:val="004B3938"/>
    <w:rsid w:val="004B3955"/>
    <w:rsid w:val="004B3A36"/>
    <w:rsid w:val="004B3A58"/>
    <w:rsid w:val="004B3A7B"/>
    <w:rsid w:val="004B3A8C"/>
    <w:rsid w:val="004B3AAE"/>
    <w:rsid w:val="004B3B08"/>
    <w:rsid w:val="004B3B27"/>
    <w:rsid w:val="004B3BC8"/>
    <w:rsid w:val="004B3C25"/>
    <w:rsid w:val="004B3C6E"/>
    <w:rsid w:val="004B3D73"/>
    <w:rsid w:val="004B3E7A"/>
    <w:rsid w:val="004B3E9E"/>
    <w:rsid w:val="004B3F17"/>
    <w:rsid w:val="004B3F1A"/>
    <w:rsid w:val="004B3F38"/>
    <w:rsid w:val="004B4019"/>
    <w:rsid w:val="004B4033"/>
    <w:rsid w:val="004B40A4"/>
    <w:rsid w:val="004B40EE"/>
    <w:rsid w:val="004B41A7"/>
    <w:rsid w:val="004B421A"/>
    <w:rsid w:val="004B424C"/>
    <w:rsid w:val="004B4272"/>
    <w:rsid w:val="004B42F3"/>
    <w:rsid w:val="004B42FA"/>
    <w:rsid w:val="004B4335"/>
    <w:rsid w:val="004B434F"/>
    <w:rsid w:val="004B4388"/>
    <w:rsid w:val="004B43B0"/>
    <w:rsid w:val="004B448B"/>
    <w:rsid w:val="004B44C8"/>
    <w:rsid w:val="004B4515"/>
    <w:rsid w:val="004B454F"/>
    <w:rsid w:val="004B4630"/>
    <w:rsid w:val="004B465F"/>
    <w:rsid w:val="004B4795"/>
    <w:rsid w:val="004B47BE"/>
    <w:rsid w:val="004B48DF"/>
    <w:rsid w:val="004B4952"/>
    <w:rsid w:val="004B495A"/>
    <w:rsid w:val="004B4997"/>
    <w:rsid w:val="004B499B"/>
    <w:rsid w:val="004B49FF"/>
    <w:rsid w:val="004B4ABD"/>
    <w:rsid w:val="004B4BB2"/>
    <w:rsid w:val="004B4BC6"/>
    <w:rsid w:val="004B4BEA"/>
    <w:rsid w:val="004B4C03"/>
    <w:rsid w:val="004B4CE0"/>
    <w:rsid w:val="004B4D41"/>
    <w:rsid w:val="004B4D8C"/>
    <w:rsid w:val="004B4E15"/>
    <w:rsid w:val="004B4E93"/>
    <w:rsid w:val="004B4EC6"/>
    <w:rsid w:val="004B4F61"/>
    <w:rsid w:val="004B500E"/>
    <w:rsid w:val="004B5020"/>
    <w:rsid w:val="004B505F"/>
    <w:rsid w:val="004B5090"/>
    <w:rsid w:val="004B50F7"/>
    <w:rsid w:val="004B5185"/>
    <w:rsid w:val="004B5279"/>
    <w:rsid w:val="004B5287"/>
    <w:rsid w:val="004B540E"/>
    <w:rsid w:val="004B5446"/>
    <w:rsid w:val="004B54BE"/>
    <w:rsid w:val="004B54D3"/>
    <w:rsid w:val="004B553A"/>
    <w:rsid w:val="004B55B9"/>
    <w:rsid w:val="004B55DB"/>
    <w:rsid w:val="004B55EC"/>
    <w:rsid w:val="004B5637"/>
    <w:rsid w:val="004B5729"/>
    <w:rsid w:val="004B572C"/>
    <w:rsid w:val="004B579E"/>
    <w:rsid w:val="004B57A4"/>
    <w:rsid w:val="004B57AB"/>
    <w:rsid w:val="004B5805"/>
    <w:rsid w:val="004B584F"/>
    <w:rsid w:val="004B5949"/>
    <w:rsid w:val="004B598E"/>
    <w:rsid w:val="004B5A5C"/>
    <w:rsid w:val="004B5AD6"/>
    <w:rsid w:val="004B5B0D"/>
    <w:rsid w:val="004B5B67"/>
    <w:rsid w:val="004B5B80"/>
    <w:rsid w:val="004B5C85"/>
    <w:rsid w:val="004B5D1E"/>
    <w:rsid w:val="004B5D42"/>
    <w:rsid w:val="004B5E19"/>
    <w:rsid w:val="004B5E25"/>
    <w:rsid w:val="004B5EC8"/>
    <w:rsid w:val="004B5ED0"/>
    <w:rsid w:val="004B5EDC"/>
    <w:rsid w:val="004B5F9D"/>
    <w:rsid w:val="004B6109"/>
    <w:rsid w:val="004B614E"/>
    <w:rsid w:val="004B6177"/>
    <w:rsid w:val="004B61E2"/>
    <w:rsid w:val="004B6214"/>
    <w:rsid w:val="004B6216"/>
    <w:rsid w:val="004B621E"/>
    <w:rsid w:val="004B624C"/>
    <w:rsid w:val="004B6260"/>
    <w:rsid w:val="004B6303"/>
    <w:rsid w:val="004B6379"/>
    <w:rsid w:val="004B646F"/>
    <w:rsid w:val="004B64ED"/>
    <w:rsid w:val="004B6528"/>
    <w:rsid w:val="004B6543"/>
    <w:rsid w:val="004B6576"/>
    <w:rsid w:val="004B657A"/>
    <w:rsid w:val="004B65B8"/>
    <w:rsid w:val="004B65EB"/>
    <w:rsid w:val="004B660D"/>
    <w:rsid w:val="004B6669"/>
    <w:rsid w:val="004B6700"/>
    <w:rsid w:val="004B67DC"/>
    <w:rsid w:val="004B67EA"/>
    <w:rsid w:val="004B6822"/>
    <w:rsid w:val="004B6879"/>
    <w:rsid w:val="004B689B"/>
    <w:rsid w:val="004B690E"/>
    <w:rsid w:val="004B692E"/>
    <w:rsid w:val="004B6951"/>
    <w:rsid w:val="004B6969"/>
    <w:rsid w:val="004B6A5A"/>
    <w:rsid w:val="004B6AA7"/>
    <w:rsid w:val="004B6BC8"/>
    <w:rsid w:val="004B6BCD"/>
    <w:rsid w:val="004B6D10"/>
    <w:rsid w:val="004B6D1A"/>
    <w:rsid w:val="004B6D30"/>
    <w:rsid w:val="004B6D44"/>
    <w:rsid w:val="004B6D75"/>
    <w:rsid w:val="004B6DEF"/>
    <w:rsid w:val="004B6E4B"/>
    <w:rsid w:val="004B6E92"/>
    <w:rsid w:val="004B6EC0"/>
    <w:rsid w:val="004B6ECA"/>
    <w:rsid w:val="004B6F08"/>
    <w:rsid w:val="004B6F6F"/>
    <w:rsid w:val="004B6FB1"/>
    <w:rsid w:val="004B7050"/>
    <w:rsid w:val="004B7082"/>
    <w:rsid w:val="004B7092"/>
    <w:rsid w:val="004B70EF"/>
    <w:rsid w:val="004B7142"/>
    <w:rsid w:val="004B718F"/>
    <w:rsid w:val="004B720B"/>
    <w:rsid w:val="004B722B"/>
    <w:rsid w:val="004B723B"/>
    <w:rsid w:val="004B72B2"/>
    <w:rsid w:val="004B730E"/>
    <w:rsid w:val="004B7356"/>
    <w:rsid w:val="004B735A"/>
    <w:rsid w:val="004B73FF"/>
    <w:rsid w:val="004B7405"/>
    <w:rsid w:val="004B7451"/>
    <w:rsid w:val="004B74E5"/>
    <w:rsid w:val="004B7562"/>
    <w:rsid w:val="004B75AC"/>
    <w:rsid w:val="004B76C5"/>
    <w:rsid w:val="004B76C9"/>
    <w:rsid w:val="004B775C"/>
    <w:rsid w:val="004B77E0"/>
    <w:rsid w:val="004B77E7"/>
    <w:rsid w:val="004B7876"/>
    <w:rsid w:val="004B7892"/>
    <w:rsid w:val="004B78DF"/>
    <w:rsid w:val="004B7957"/>
    <w:rsid w:val="004B7A01"/>
    <w:rsid w:val="004B7A7E"/>
    <w:rsid w:val="004B7A85"/>
    <w:rsid w:val="004B7B6C"/>
    <w:rsid w:val="004B7B98"/>
    <w:rsid w:val="004B7C01"/>
    <w:rsid w:val="004B7C68"/>
    <w:rsid w:val="004B7C96"/>
    <w:rsid w:val="004B7D10"/>
    <w:rsid w:val="004B7DB4"/>
    <w:rsid w:val="004B7DEB"/>
    <w:rsid w:val="004B7E3D"/>
    <w:rsid w:val="004B7E56"/>
    <w:rsid w:val="004B7EA2"/>
    <w:rsid w:val="004B7F1F"/>
    <w:rsid w:val="004B7F40"/>
    <w:rsid w:val="004B7F44"/>
    <w:rsid w:val="004B7F63"/>
    <w:rsid w:val="004B7FAF"/>
    <w:rsid w:val="004B7FE7"/>
    <w:rsid w:val="004C0033"/>
    <w:rsid w:val="004C0043"/>
    <w:rsid w:val="004C00E4"/>
    <w:rsid w:val="004C00EA"/>
    <w:rsid w:val="004C0176"/>
    <w:rsid w:val="004C017D"/>
    <w:rsid w:val="004C0187"/>
    <w:rsid w:val="004C029D"/>
    <w:rsid w:val="004C02C8"/>
    <w:rsid w:val="004C02DA"/>
    <w:rsid w:val="004C02F5"/>
    <w:rsid w:val="004C03C7"/>
    <w:rsid w:val="004C043F"/>
    <w:rsid w:val="004C049F"/>
    <w:rsid w:val="004C04AE"/>
    <w:rsid w:val="004C04E8"/>
    <w:rsid w:val="004C0522"/>
    <w:rsid w:val="004C0549"/>
    <w:rsid w:val="004C055A"/>
    <w:rsid w:val="004C0603"/>
    <w:rsid w:val="004C0650"/>
    <w:rsid w:val="004C06A2"/>
    <w:rsid w:val="004C06D7"/>
    <w:rsid w:val="004C07F0"/>
    <w:rsid w:val="004C0894"/>
    <w:rsid w:val="004C096B"/>
    <w:rsid w:val="004C0A88"/>
    <w:rsid w:val="004C0A8D"/>
    <w:rsid w:val="004C0AE9"/>
    <w:rsid w:val="004C0B6C"/>
    <w:rsid w:val="004C0B88"/>
    <w:rsid w:val="004C0BBB"/>
    <w:rsid w:val="004C0C42"/>
    <w:rsid w:val="004C0C62"/>
    <w:rsid w:val="004C0D3E"/>
    <w:rsid w:val="004C0D5F"/>
    <w:rsid w:val="004C0D66"/>
    <w:rsid w:val="004C0DD7"/>
    <w:rsid w:val="004C0E20"/>
    <w:rsid w:val="004C0F17"/>
    <w:rsid w:val="004C0F87"/>
    <w:rsid w:val="004C10B0"/>
    <w:rsid w:val="004C10D2"/>
    <w:rsid w:val="004C10E9"/>
    <w:rsid w:val="004C11FB"/>
    <w:rsid w:val="004C127E"/>
    <w:rsid w:val="004C1304"/>
    <w:rsid w:val="004C133D"/>
    <w:rsid w:val="004C133E"/>
    <w:rsid w:val="004C135D"/>
    <w:rsid w:val="004C1420"/>
    <w:rsid w:val="004C1466"/>
    <w:rsid w:val="004C14C5"/>
    <w:rsid w:val="004C1521"/>
    <w:rsid w:val="004C15AC"/>
    <w:rsid w:val="004C15CA"/>
    <w:rsid w:val="004C1631"/>
    <w:rsid w:val="004C16DC"/>
    <w:rsid w:val="004C16DF"/>
    <w:rsid w:val="004C1757"/>
    <w:rsid w:val="004C17A8"/>
    <w:rsid w:val="004C17F7"/>
    <w:rsid w:val="004C1863"/>
    <w:rsid w:val="004C1866"/>
    <w:rsid w:val="004C190B"/>
    <w:rsid w:val="004C1978"/>
    <w:rsid w:val="004C19A6"/>
    <w:rsid w:val="004C19EF"/>
    <w:rsid w:val="004C1A29"/>
    <w:rsid w:val="004C1B9E"/>
    <w:rsid w:val="004C1BBA"/>
    <w:rsid w:val="004C1C8A"/>
    <w:rsid w:val="004C1D7E"/>
    <w:rsid w:val="004C1D80"/>
    <w:rsid w:val="004C1D8B"/>
    <w:rsid w:val="004C1E4A"/>
    <w:rsid w:val="004C1E5A"/>
    <w:rsid w:val="004C1E71"/>
    <w:rsid w:val="004C1ECE"/>
    <w:rsid w:val="004C1FCA"/>
    <w:rsid w:val="004C20F8"/>
    <w:rsid w:val="004C210E"/>
    <w:rsid w:val="004C2136"/>
    <w:rsid w:val="004C21B3"/>
    <w:rsid w:val="004C21EF"/>
    <w:rsid w:val="004C22CE"/>
    <w:rsid w:val="004C22F6"/>
    <w:rsid w:val="004C233D"/>
    <w:rsid w:val="004C237E"/>
    <w:rsid w:val="004C23C1"/>
    <w:rsid w:val="004C23E8"/>
    <w:rsid w:val="004C2430"/>
    <w:rsid w:val="004C2480"/>
    <w:rsid w:val="004C24FE"/>
    <w:rsid w:val="004C2536"/>
    <w:rsid w:val="004C2537"/>
    <w:rsid w:val="004C254D"/>
    <w:rsid w:val="004C25E1"/>
    <w:rsid w:val="004C25FC"/>
    <w:rsid w:val="004C2676"/>
    <w:rsid w:val="004C26A8"/>
    <w:rsid w:val="004C2788"/>
    <w:rsid w:val="004C2794"/>
    <w:rsid w:val="004C284D"/>
    <w:rsid w:val="004C287E"/>
    <w:rsid w:val="004C2944"/>
    <w:rsid w:val="004C29C7"/>
    <w:rsid w:val="004C29FE"/>
    <w:rsid w:val="004C2B00"/>
    <w:rsid w:val="004C2B3D"/>
    <w:rsid w:val="004C2BF7"/>
    <w:rsid w:val="004C2C94"/>
    <w:rsid w:val="004C2C9B"/>
    <w:rsid w:val="004C2D39"/>
    <w:rsid w:val="004C2D3A"/>
    <w:rsid w:val="004C2D48"/>
    <w:rsid w:val="004C2DAB"/>
    <w:rsid w:val="004C2DE7"/>
    <w:rsid w:val="004C2DFD"/>
    <w:rsid w:val="004C2E12"/>
    <w:rsid w:val="004C2E5D"/>
    <w:rsid w:val="004C2E69"/>
    <w:rsid w:val="004C2E77"/>
    <w:rsid w:val="004C2F6D"/>
    <w:rsid w:val="004C3025"/>
    <w:rsid w:val="004C3081"/>
    <w:rsid w:val="004C3109"/>
    <w:rsid w:val="004C319D"/>
    <w:rsid w:val="004C31F1"/>
    <w:rsid w:val="004C3271"/>
    <w:rsid w:val="004C328D"/>
    <w:rsid w:val="004C32DE"/>
    <w:rsid w:val="004C3442"/>
    <w:rsid w:val="004C344D"/>
    <w:rsid w:val="004C3479"/>
    <w:rsid w:val="004C3540"/>
    <w:rsid w:val="004C363D"/>
    <w:rsid w:val="004C37A5"/>
    <w:rsid w:val="004C37DC"/>
    <w:rsid w:val="004C37EA"/>
    <w:rsid w:val="004C3817"/>
    <w:rsid w:val="004C3887"/>
    <w:rsid w:val="004C389E"/>
    <w:rsid w:val="004C38A3"/>
    <w:rsid w:val="004C38B6"/>
    <w:rsid w:val="004C38CA"/>
    <w:rsid w:val="004C3916"/>
    <w:rsid w:val="004C3962"/>
    <w:rsid w:val="004C398A"/>
    <w:rsid w:val="004C39B4"/>
    <w:rsid w:val="004C3AE4"/>
    <w:rsid w:val="004C3B9B"/>
    <w:rsid w:val="004C3BDA"/>
    <w:rsid w:val="004C3D6D"/>
    <w:rsid w:val="004C3D81"/>
    <w:rsid w:val="004C3D87"/>
    <w:rsid w:val="004C407E"/>
    <w:rsid w:val="004C412C"/>
    <w:rsid w:val="004C41C1"/>
    <w:rsid w:val="004C4201"/>
    <w:rsid w:val="004C4215"/>
    <w:rsid w:val="004C4247"/>
    <w:rsid w:val="004C4361"/>
    <w:rsid w:val="004C438D"/>
    <w:rsid w:val="004C439D"/>
    <w:rsid w:val="004C43C0"/>
    <w:rsid w:val="004C447D"/>
    <w:rsid w:val="004C45F6"/>
    <w:rsid w:val="004C4656"/>
    <w:rsid w:val="004C46A4"/>
    <w:rsid w:val="004C4728"/>
    <w:rsid w:val="004C473E"/>
    <w:rsid w:val="004C474E"/>
    <w:rsid w:val="004C47B1"/>
    <w:rsid w:val="004C4892"/>
    <w:rsid w:val="004C48BF"/>
    <w:rsid w:val="004C48F8"/>
    <w:rsid w:val="004C48FE"/>
    <w:rsid w:val="004C498B"/>
    <w:rsid w:val="004C4A03"/>
    <w:rsid w:val="004C4A39"/>
    <w:rsid w:val="004C4AB2"/>
    <w:rsid w:val="004C4B41"/>
    <w:rsid w:val="004C4BB6"/>
    <w:rsid w:val="004C4BF2"/>
    <w:rsid w:val="004C4C6F"/>
    <w:rsid w:val="004C4C81"/>
    <w:rsid w:val="004C4CAC"/>
    <w:rsid w:val="004C4CC6"/>
    <w:rsid w:val="004C4CCC"/>
    <w:rsid w:val="004C4D04"/>
    <w:rsid w:val="004C4D09"/>
    <w:rsid w:val="004C4D0C"/>
    <w:rsid w:val="004C4D37"/>
    <w:rsid w:val="004C4D4B"/>
    <w:rsid w:val="004C4D9A"/>
    <w:rsid w:val="004C4DD9"/>
    <w:rsid w:val="004C4E20"/>
    <w:rsid w:val="004C4E53"/>
    <w:rsid w:val="004C4F8E"/>
    <w:rsid w:val="004C4FB3"/>
    <w:rsid w:val="004C4FFB"/>
    <w:rsid w:val="004C5054"/>
    <w:rsid w:val="004C50C6"/>
    <w:rsid w:val="004C50F2"/>
    <w:rsid w:val="004C5198"/>
    <w:rsid w:val="004C527A"/>
    <w:rsid w:val="004C52AF"/>
    <w:rsid w:val="004C52CF"/>
    <w:rsid w:val="004C5306"/>
    <w:rsid w:val="004C5309"/>
    <w:rsid w:val="004C53CD"/>
    <w:rsid w:val="004C5478"/>
    <w:rsid w:val="004C54C6"/>
    <w:rsid w:val="004C5674"/>
    <w:rsid w:val="004C56AC"/>
    <w:rsid w:val="004C56FF"/>
    <w:rsid w:val="004C571E"/>
    <w:rsid w:val="004C57F2"/>
    <w:rsid w:val="004C5800"/>
    <w:rsid w:val="004C5814"/>
    <w:rsid w:val="004C5840"/>
    <w:rsid w:val="004C5869"/>
    <w:rsid w:val="004C586A"/>
    <w:rsid w:val="004C5876"/>
    <w:rsid w:val="004C58CD"/>
    <w:rsid w:val="004C5ABB"/>
    <w:rsid w:val="004C5B0F"/>
    <w:rsid w:val="004C5B55"/>
    <w:rsid w:val="004C5B8F"/>
    <w:rsid w:val="004C5BF0"/>
    <w:rsid w:val="004C5D14"/>
    <w:rsid w:val="004C5D4B"/>
    <w:rsid w:val="004C5DC1"/>
    <w:rsid w:val="004C5DDE"/>
    <w:rsid w:val="004C5E26"/>
    <w:rsid w:val="004C5E2C"/>
    <w:rsid w:val="004C5EA0"/>
    <w:rsid w:val="004C5EB0"/>
    <w:rsid w:val="004C5EB3"/>
    <w:rsid w:val="004C5EC8"/>
    <w:rsid w:val="004C5F42"/>
    <w:rsid w:val="004C6067"/>
    <w:rsid w:val="004C60C8"/>
    <w:rsid w:val="004C61E0"/>
    <w:rsid w:val="004C622C"/>
    <w:rsid w:val="004C62CE"/>
    <w:rsid w:val="004C6389"/>
    <w:rsid w:val="004C63CB"/>
    <w:rsid w:val="004C63F3"/>
    <w:rsid w:val="004C6450"/>
    <w:rsid w:val="004C645E"/>
    <w:rsid w:val="004C6553"/>
    <w:rsid w:val="004C6583"/>
    <w:rsid w:val="004C65AB"/>
    <w:rsid w:val="004C65BC"/>
    <w:rsid w:val="004C65DB"/>
    <w:rsid w:val="004C66E5"/>
    <w:rsid w:val="004C671D"/>
    <w:rsid w:val="004C67D1"/>
    <w:rsid w:val="004C6850"/>
    <w:rsid w:val="004C6872"/>
    <w:rsid w:val="004C6906"/>
    <w:rsid w:val="004C6939"/>
    <w:rsid w:val="004C6968"/>
    <w:rsid w:val="004C6B06"/>
    <w:rsid w:val="004C6B67"/>
    <w:rsid w:val="004C6BC1"/>
    <w:rsid w:val="004C6BC7"/>
    <w:rsid w:val="004C6BFC"/>
    <w:rsid w:val="004C6C15"/>
    <w:rsid w:val="004C6C1B"/>
    <w:rsid w:val="004C6C2E"/>
    <w:rsid w:val="004C6C33"/>
    <w:rsid w:val="004C6C6B"/>
    <w:rsid w:val="004C6C7C"/>
    <w:rsid w:val="004C6CDA"/>
    <w:rsid w:val="004C6D1F"/>
    <w:rsid w:val="004C6D24"/>
    <w:rsid w:val="004C6DAF"/>
    <w:rsid w:val="004C6E35"/>
    <w:rsid w:val="004C7009"/>
    <w:rsid w:val="004C705C"/>
    <w:rsid w:val="004C70AD"/>
    <w:rsid w:val="004C70B0"/>
    <w:rsid w:val="004C70E5"/>
    <w:rsid w:val="004C714F"/>
    <w:rsid w:val="004C71A8"/>
    <w:rsid w:val="004C71D7"/>
    <w:rsid w:val="004C7338"/>
    <w:rsid w:val="004C742D"/>
    <w:rsid w:val="004C748F"/>
    <w:rsid w:val="004C749D"/>
    <w:rsid w:val="004C74B1"/>
    <w:rsid w:val="004C7554"/>
    <w:rsid w:val="004C75AB"/>
    <w:rsid w:val="004C75AD"/>
    <w:rsid w:val="004C768B"/>
    <w:rsid w:val="004C76C3"/>
    <w:rsid w:val="004C7701"/>
    <w:rsid w:val="004C7730"/>
    <w:rsid w:val="004C773D"/>
    <w:rsid w:val="004C774B"/>
    <w:rsid w:val="004C7756"/>
    <w:rsid w:val="004C776C"/>
    <w:rsid w:val="004C77DA"/>
    <w:rsid w:val="004C77F0"/>
    <w:rsid w:val="004C7895"/>
    <w:rsid w:val="004C78BB"/>
    <w:rsid w:val="004C7909"/>
    <w:rsid w:val="004C790A"/>
    <w:rsid w:val="004C7959"/>
    <w:rsid w:val="004C796D"/>
    <w:rsid w:val="004C798C"/>
    <w:rsid w:val="004C7A9A"/>
    <w:rsid w:val="004C7ADF"/>
    <w:rsid w:val="004C7B15"/>
    <w:rsid w:val="004C7BF1"/>
    <w:rsid w:val="004C7C93"/>
    <w:rsid w:val="004C7D88"/>
    <w:rsid w:val="004C7D98"/>
    <w:rsid w:val="004C7DBE"/>
    <w:rsid w:val="004C7DC3"/>
    <w:rsid w:val="004C7DC4"/>
    <w:rsid w:val="004C7DD5"/>
    <w:rsid w:val="004C7EC9"/>
    <w:rsid w:val="004C7F84"/>
    <w:rsid w:val="004C7FD7"/>
    <w:rsid w:val="004C7FEE"/>
    <w:rsid w:val="004D001B"/>
    <w:rsid w:val="004D00DA"/>
    <w:rsid w:val="004D0135"/>
    <w:rsid w:val="004D014E"/>
    <w:rsid w:val="004D01E2"/>
    <w:rsid w:val="004D021D"/>
    <w:rsid w:val="004D0223"/>
    <w:rsid w:val="004D0243"/>
    <w:rsid w:val="004D0258"/>
    <w:rsid w:val="004D027A"/>
    <w:rsid w:val="004D02A8"/>
    <w:rsid w:val="004D0308"/>
    <w:rsid w:val="004D034B"/>
    <w:rsid w:val="004D038E"/>
    <w:rsid w:val="004D03E0"/>
    <w:rsid w:val="004D0449"/>
    <w:rsid w:val="004D0489"/>
    <w:rsid w:val="004D0493"/>
    <w:rsid w:val="004D04B8"/>
    <w:rsid w:val="004D04D7"/>
    <w:rsid w:val="004D05E5"/>
    <w:rsid w:val="004D0626"/>
    <w:rsid w:val="004D066D"/>
    <w:rsid w:val="004D068B"/>
    <w:rsid w:val="004D06A2"/>
    <w:rsid w:val="004D0738"/>
    <w:rsid w:val="004D0748"/>
    <w:rsid w:val="004D075F"/>
    <w:rsid w:val="004D077C"/>
    <w:rsid w:val="004D07AC"/>
    <w:rsid w:val="004D07F5"/>
    <w:rsid w:val="004D081E"/>
    <w:rsid w:val="004D0865"/>
    <w:rsid w:val="004D0901"/>
    <w:rsid w:val="004D0A1C"/>
    <w:rsid w:val="004D0A44"/>
    <w:rsid w:val="004D0A72"/>
    <w:rsid w:val="004D0B39"/>
    <w:rsid w:val="004D0BCD"/>
    <w:rsid w:val="004D0BD4"/>
    <w:rsid w:val="004D0C08"/>
    <w:rsid w:val="004D0C68"/>
    <w:rsid w:val="004D0C76"/>
    <w:rsid w:val="004D0C79"/>
    <w:rsid w:val="004D0CB7"/>
    <w:rsid w:val="004D0CBF"/>
    <w:rsid w:val="004D0CF9"/>
    <w:rsid w:val="004D0D2A"/>
    <w:rsid w:val="004D0D7F"/>
    <w:rsid w:val="004D0EC2"/>
    <w:rsid w:val="004D0EE0"/>
    <w:rsid w:val="004D0F0D"/>
    <w:rsid w:val="004D0F50"/>
    <w:rsid w:val="004D0FC3"/>
    <w:rsid w:val="004D106B"/>
    <w:rsid w:val="004D1153"/>
    <w:rsid w:val="004D116D"/>
    <w:rsid w:val="004D1205"/>
    <w:rsid w:val="004D12B9"/>
    <w:rsid w:val="004D1329"/>
    <w:rsid w:val="004D13AF"/>
    <w:rsid w:val="004D1423"/>
    <w:rsid w:val="004D14A8"/>
    <w:rsid w:val="004D14B9"/>
    <w:rsid w:val="004D152E"/>
    <w:rsid w:val="004D15A5"/>
    <w:rsid w:val="004D1647"/>
    <w:rsid w:val="004D16B8"/>
    <w:rsid w:val="004D16C3"/>
    <w:rsid w:val="004D1747"/>
    <w:rsid w:val="004D1791"/>
    <w:rsid w:val="004D17B7"/>
    <w:rsid w:val="004D187E"/>
    <w:rsid w:val="004D18A6"/>
    <w:rsid w:val="004D18AC"/>
    <w:rsid w:val="004D18B7"/>
    <w:rsid w:val="004D1986"/>
    <w:rsid w:val="004D19D7"/>
    <w:rsid w:val="004D1A0F"/>
    <w:rsid w:val="004D1A11"/>
    <w:rsid w:val="004D1A41"/>
    <w:rsid w:val="004D1B2C"/>
    <w:rsid w:val="004D1B55"/>
    <w:rsid w:val="004D1C6C"/>
    <w:rsid w:val="004D1D6D"/>
    <w:rsid w:val="004D1D80"/>
    <w:rsid w:val="004D1EC0"/>
    <w:rsid w:val="004D1EE5"/>
    <w:rsid w:val="004D1FD6"/>
    <w:rsid w:val="004D2009"/>
    <w:rsid w:val="004D207D"/>
    <w:rsid w:val="004D20D3"/>
    <w:rsid w:val="004D20FB"/>
    <w:rsid w:val="004D214D"/>
    <w:rsid w:val="004D21A8"/>
    <w:rsid w:val="004D222E"/>
    <w:rsid w:val="004D228C"/>
    <w:rsid w:val="004D231D"/>
    <w:rsid w:val="004D23EF"/>
    <w:rsid w:val="004D240B"/>
    <w:rsid w:val="004D242A"/>
    <w:rsid w:val="004D2448"/>
    <w:rsid w:val="004D2472"/>
    <w:rsid w:val="004D24A2"/>
    <w:rsid w:val="004D2524"/>
    <w:rsid w:val="004D253A"/>
    <w:rsid w:val="004D2555"/>
    <w:rsid w:val="004D26FD"/>
    <w:rsid w:val="004D2706"/>
    <w:rsid w:val="004D273F"/>
    <w:rsid w:val="004D2768"/>
    <w:rsid w:val="004D27CB"/>
    <w:rsid w:val="004D2841"/>
    <w:rsid w:val="004D28CE"/>
    <w:rsid w:val="004D2967"/>
    <w:rsid w:val="004D2986"/>
    <w:rsid w:val="004D29F1"/>
    <w:rsid w:val="004D2A0D"/>
    <w:rsid w:val="004D2A2E"/>
    <w:rsid w:val="004D2A54"/>
    <w:rsid w:val="004D2A83"/>
    <w:rsid w:val="004D2AA2"/>
    <w:rsid w:val="004D2AC6"/>
    <w:rsid w:val="004D2AE6"/>
    <w:rsid w:val="004D2B41"/>
    <w:rsid w:val="004D2BB0"/>
    <w:rsid w:val="004D2BC0"/>
    <w:rsid w:val="004D2C2B"/>
    <w:rsid w:val="004D2C79"/>
    <w:rsid w:val="004D2CA5"/>
    <w:rsid w:val="004D2DC6"/>
    <w:rsid w:val="004D2DD2"/>
    <w:rsid w:val="004D2E30"/>
    <w:rsid w:val="004D2E32"/>
    <w:rsid w:val="004D2E46"/>
    <w:rsid w:val="004D2E7C"/>
    <w:rsid w:val="004D2EDD"/>
    <w:rsid w:val="004D2EFA"/>
    <w:rsid w:val="004D2F2E"/>
    <w:rsid w:val="004D2F46"/>
    <w:rsid w:val="004D2F68"/>
    <w:rsid w:val="004D2F80"/>
    <w:rsid w:val="004D2FC4"/>
    <w:rsid w:val="004D2FEE"/>
    <w:rsid w:val="004D3096"/>
    <w:rsid w:val="004D311F"/>
    <w:rsid w:val="004D31E9"/>
    <w:rsid w:val="004D31EE"/>
    <w:rsid w:val="004D3285"/>
    <w:rsid w:val="004D328F"/>
    <w:rsid w:val="004D32AD"/>
    <w:rsid w:val="004D32E3"/>
    <w:rsid w:val="004D32F9"/>
    <w:rsid w:val="004D340B"/>
    <w:rsid w:val="004D3488"/>
    <w:rsid w:val="004D34E2"/>
    <w:rsid w:val="004D3505"/>
    <w:rsid w:val="004D354E"/>
    <w:rsid w:val="004D35CD"/>
    <w:rsid w:val="004D36DF"/>
    <w:rsid w:val="004D37B7"/>
    <w:rsid w:val="004D37C8"/>
    <w:rsid w:val="004D37F7"/>
    <w:rsid w:val="004D39A5"/>
    <w:rsid w:val="004D39F0"/>
    <w:rsid w:val="004D3A74"/>
    <w:rsid w:val="004D3A8E"/>
    <w:rsid w:val="004D3B57"/>
    <w:rsid w:val="004D3C27"/>
    <w:rsid w:val="004D3C5A"/>
    <w:rsid w:val="004D3C68"/>
    <w:rsid w:val="004D3C72"/>
    <w:rsid w:val="004D3C99"/>
    <w:rsid w:val="004D3CFE"/>
    <w:rsid w:val="004D3D22"/>
    <w:rsid w:val="004D3D8B"/>
    <w:rsid w:val="004D3E74"/>
    <w:rsid w:val="004D3E7E"/>
    <w:rsid w:val="004D3ED9"/>
    <w:rsid w:val="004D3EFE"/>
    <w:rsid w:val="004D3F05"/>
    <w:rsid w:val="004D3F10"/>
    <w:rsid w:val="004D3F18"/>
    <w:rsid w:val="004D4079"/>
    <w:rsid w:val="004D4144"/>
    <w:rsid w:val="004D4308"/>
    <w:rsid w:val="004D430E"/>
    <w:rsid w:val="004D43E8"/>
    <w:rsid w:val="004D43FB"/>
    <w:rsid w:val="004D4492"/>
    <w:rsid w:val="004D44F0"/>
    <w:rsid w:val="004D4512"/>
    <w:rsid w:val="004D465F"/>
    <w:rsid w:val="004D4673"/>
    <w:rsid w:val="004D4728"/>
    <w:rsid w:val="004D476C"/>
    <w:rsid w:val="004D47EB"/>
    <w:rsid w:val="004D48A4"/>
    <w:rsid w:val="004D4949"/>
    <w:rsid w:val="004D49C4"/>
    <w:rsid w:val="004D4A2F"/>
    <w:rsid w:val="004D4B64"/>
    <w:rsid w:val="004D4B6C"/>
    <w:rsid w:val="004D4BAC"/>
    <w:rsid w:val="004D4C1E"/>
    <w:rsid w:val="004D4C30"/>
    <w:rsid w:val="004D4CF5"/>
    <w:rsid w:val="004D4D4A"/>
    <w:rsid w:val="004D4DD2"/>
    <w:rsid w:val="004D4EE1"/>
    <w:rsid w:val="004D4FD8"/>
    <w:rsid w:val="004D4FF2"/>
    <w:rsid w:val="004D4FF4"/>
    <w:rsid w:val="004D5052"/>
    <w:rsid w:val="004D50C8"/>
    <w:rsid w:val="004D50CF"/>
    <w:rsid w:val="004D5102"/>
    <w:rsid w:val="004D5116"/>
    <w:rsid w:val="004D519D"/>
    <w:rsid w:val="004D51D9"/>
    <w:rsid w:val="004D51E7"/>
    <w:rsid w:val="004D520F"/>
    <w:rsid w:val="004D52CA"/>
    <w:rsid w:val="004D535D"/>
    <w:rsid w:val="004D537C"/>
    <w:rsid w:val="004D53C3"/>
    <w:rsid w:val="004D5468"/>
    <w:rsid w:val="004D549F"/>
    <w:rsid w:val="004D5503"/>
    <w:rsid w:val="004D5598"/>
    <w:rsid w:val="004D56BF"/>
    <w:rsid w:val="004D56CF"/>
    <w:rsid w:val="004D577F"/>
    <w:rsid w:val="004D57A1"/>
    <w:rsid w:val="004D58CE"/>
    <w:rsid w:val="004D5A24"/>
    <w:rsid w:val="004D5AE4"/>
    <w:rsid w:val="004D5BAF"/>
    <w:rsid w:val="004D5CF9"/>
    <w:rsid w:val="004D5D5D"/>
    <w:rsid w:val="004D5DD5"/>
    <w:rsid w:val="004D5E00"/>
    <w:rsid w:val="004D5E07"/>
    <w:rsid w:val="004D5E12"/>
    <w:rsid w:val="004D5FF3"/>
    <w:rsid w:val="004D602B"/>
    <w:rsid w:val="004D606D"/>
    <w:rsid w:val="004D609B"/>
    <w:rsid w:val="004D612F"/>
    <w:rsid w:val="004D6144"/>
    <w:rsid w:val="004D619C"/>
    <w:rsid w:val="004D61D0"/>
    <w:rsid w:val="004D6245"/>
    <w:rsid w:val="004D6302"/>
    <w:rsid w:val="004D641E"/>
    <w:rsid w:val="004D6490"/>
    <w:rsid w:val="004D64CD"/>
    <w:rsid w:val="004D6581"/>
    <w:rsid w:val="004D65CC"/>
    <w:rsid w:val="004D65FA"/>
    <w:rsid w:val="004D6768"/>
    <w:rsid w:val="004D685A"/>
    <w:rsid w:val="004D6873"/>
    <w:rsid w:val="004D6889"/>
    <w:rsid w:val="004D68D2"/>
    <w:rsid w:val="004D68FC"/>
    <w:rsid w:val="004D6935"/>
    <w:rsid w:val="004D6954"/>
    <w:rsid w:val="004D695D"/>
    <w:rsid w:val="004D6A04"/>
    <w:rsid w:val="004D6A8E"/>
    <w:rsid w:val="004D6A98"/>
    <w:rsid w:val="004D6AB9"/>
    <w:rsid w:val="004D6ABE"/>
    <w:rsid w:val="004D6B3A"/>
    <w:rsid w:val="004D6B79"/>
    <w:rsid w:val="004D6B92"/>
    <w:rsid w:val="004D6BCF"/>
    <w:rsid w:val="004D6C95"/>
    <w:rsid w:val="004D6CFD"/>
    <w:rsid w:val="004D6D64"/>
    <w:rsid w:val="004D6D8F"/>
    <w:rsid w:val="004D6E6D"/>
    <w:rsid w:val="004D6F56"/>
    <w:rsid w:val="004D6F99"/>
    <w:rsid w:val="004D7070"/>
    <w:rsid w:val="004D7089"/>
    <w:rsid w:val="004D724F"/>
    <w:rsid w:val="004D72B4"/>
    <w:rsid w:val="004D72BA"/>
    <w:rsid w:val="004D7304"/>
    <w:rsid w:val="004D7344"/>
    <w:rsid w:val="004D736E"/>
    <w:rsid w:val="004D7461"/>
    <w:rsid w:val="004D746E"/>
    <w:rsid w:val="004D74CB"/>
    <w:rsid w:val="004D7504"/>
    <w:rsid w:val="004D7546"/>
    <w:rsid w:val="004D762C"/>
    <w:rsid w:val="004D77A9"/>
    <w:rsid w:val="004D7845"/>
    <w:rsid w:val="004D795E"/>
    <w:rsid w:val="004D799A"/>
    <w:rsid w:val="004D799D"/>
    <w:rsid w:val="004D7A1F"/>
    <w:rsid w:val="004D7A4F"/>
    <w:rsid w:val="004D7B70"/>
    <w:rsid w:val="004D7BAF"/>
    <w:rsid w:val="004D7BBA"/>
    <w:rsid w:val="004D7C0E"/>
    <w:rsid w:val="004D7C3B"/>
    <w:rsid w:val="004D7C92"/>
    <w:rsid w:val="004D7C9F"/>
    <w:rsid w:val="004D7CBB"/>
    <w:rsid w:val="004D7CF0"/>
    <w:rsid w:val="004D7D70"/>
    <w:rsid w:val="004D7D74"/>
    <w:rsid w:val="004D7DB1"/>
    <w:rsid w:val="004D7DDA"/>
    <w:rsid w:val="004D7E1A"/>
    <w:rsid w:val="004D7E60"/>
    <w:rsid w:val="004D7EDD"/>
    <w:rsid w:val="004D7F3C"/>
    <w:rsid w:val="004D7F81"/>
    <w:rsid w:val="004E0094"/>
    <w:rsid w:val="004E00F7"/>
    <w:rsid w:val="004E00FC"/>
    <w:rsid w:val="004E01F0"/>
    <w:rsid w:val="004E0219"/>
    <w:rsid w:val="004E029C"/>
    <w:rsid w:val="004E029F"/>
    <w:rsid w:val="004E02CC"/>
    <w:rsid w:val="004E0387"/>
    <w:rsid w:val="004E0400"/>
    <w:rsid w:val="004E057F"/>
    <w:rsid w:val="004E059F"/>
    <w:rsid w:val="004E05D9"/>
    <w:rsid w:val="004E0650"/>
    <w:rsid w:val="004E0669"/>
    <w:rsid w:val="004E0698"/>
    <w:rsid w:val="004E07C6"/>
    <w:rsid w:val="004E0844"/>
    <w:rsid w:val="004E0A2F"/>
    <w:rsid w:val="004E0AD8"/>
    <w:rsid w:val="004E0B21"/>
    <w:rsid w:val="004E0C1D"/>
    <w:rsid w:val="004E0C91"/>
    <w:rsid w:val="004E0DC6"/>
    <w:rsid w:val="004E0E14"/>
    <w:rsid w:val="004E0E25"/>
    <w:rsid w:val="004E0E46"/>
    <w:rsid w:val="004E0EDF"/>
    <w:rsid w:val="004E0F2D"/>
    <w:rsid w:val="004E0F83"/>
    <w:rsid w:val="004E102E"/>
    <w:rsid w:val="004E1089"/>
    <w:rsid w:val="004E1092"/>
    <w:rsid w:val="004E10D9"/>
    <w:rsid w:val="004E1103"/>
    <w:rsid w:val="004E1143"/>
    <w:rsid w:val="004E1188"/>
    <w:rsid w:val="004E122D"/>
    <w:rsid w:val="004E128D"/>
    <w:rsid w:val="004E12F8"/>
    <w:rsid w:val="004E1301"/>
    <w:rsid w:val="004E13F9"/>
    <w:rsid w:val="004E1473"/>
    <w:rsid w:val="004E1477"/>
    <w:rsid w:val="004E14CF"/>
    <w:rsid w:val="004E15C4"/>
    <w:rsid w:val="004E1604"/>
    <w:rsid w:val="004E165E"/>
    <w:rsid w:val="004E1673"/>
    <w:rsid w:val="004E1687"/>
    <w:rsid w:val="004E16CD"/>
    <w:rsid w:val="004E16F0"/>
    <w:rsid w:val="004E1705"/>
    <w:rsid w:val="004E1724"/>
    <w:rsid w:val="004E173D"/>
    <w:rsid w:val="004E1773"/>
    <w:rsid w:val="004E17C8"/>
    <w:rsid w:val="004E17EE"/>
    <w:rsid w:val="004E17FD"/>
    <w:rsid w:val="004E184A"/>
    <w:rsid w:val="004E188E"/>
    <w:rsid w:val="004E18CF"/>
    <w:rsid w:val="004E18E3"/>
    <w:rsid w:val="004E1923"/>
    <w:rsid w:val="004E19ED"/>
    <w:rsid w:val="004E1A27"/>
    <w:rsid w:val="004E1A76"/>
    <w:rsid w:val="004E1AF3"/>
    <w:rsid w:val="004E1B14"/>
    <w:rsid w:val="004E1B91"/>
    <w:rsid w:val="004E1C3A"/>
    <w:rsid w:val="004E1CEA"/>
    <w:rsid w:val="004E1D25"/>
    <w:rsid w:val="004E1D48"/>
    <w:rsid w:val="004E1DAB"/>
    <w:rsid w:val="004E1E5C"/>
    <w:rsid w:val="004E1E8B"/>
    <w:rsid w:val="004E1EA4"/>
    <w:rsid w:val="004E1F44"/>
    <w:rsid w:val="004E1F84"/>
    <w:rsid w:val="004E205B"/>
    <w:rsid w:val="004E2070"/>
    <w:rsid w:val="004E217E"/>
    <w:rsid w:val="004E2184"/>
    <w:rsid w:val="004E2187"/>
    <w:rsid w:val="004E223A"/>
    <w:rsid w:val="004E227A"/>
    <w:rsid w:val="004E2296"/>
    <w:rsid w:val="004E2308"/>
    <w:rsid w:val="004E231C"/>
    <w:rsid w:val="004E2325"/>
    <w:rsid w:val="004E23AF"/>
    <w:rsid w:val="004E241A"/>
    <w:rsid w:val="004E2450"/>
    <w:rsid w:val="004E2612"/>
    <w:rsid w:val="004E272F"/>
    <w:rsid w:val="004E2788"/>
    <w:rsid w:val="004E27DC"/>
    <w:rsid w:val="004E281B"/>
    <w:rsid w:val="004E28CD"/>
    <w:rsid w:val="004E28F2"/>
    <w:rsid w:val="004E2970"/>
    <w:rsid w:val="004E29C2"/>
    <w:rsid w:val="004E29C5"/>
    <w:rsid w:val="004E29D1"/>
    <w:rsid w:val="004E2A01"/>
    <w:rsid w:val="004E2A9D"/>
    <w:rsid w:val="004E2AC2"/>
    <w:rsid w:val="004E2B61"/>
    <w:rsid w:val="004E2BE2"/>
    <w:rsid w:val="004E2BEB"/>
    <w:rsid w:val="004E2BF6"/>
    <w:rsid w:val="004E2C6C"/>
    <w:rsid w:val="004E2D89"/>
    <w:rsid w:val="004E2D9E"/>
    <w:rsid w:val="004E2DF4"/>
    <w:rsid w:val="004E2E07"/>
    <w:rsid w:val="004E301B"/>
    <w:rsid w:val="004E3038"/>
    <w:rsid w:val="004E306C"/>
    <w:rsid w:val="004E3086"/>
    <w:rsid w:val="004E30B7"/>
    <w:rsid w:val="004E30F8"/>
    <w:rsid w:val="004E3145"/>
    <w:rsid w:val="004E3148"/>
    <w:rsid w:val="004E3153"/>
    <w:rsid w:val="004E3171"/>
    <w:rsid w:val="004E3199"/>
    <w:rsid w:val="004E31D1"/>
    <w:rsid w:val="004E32D6"/>
    <w:rsid w:val="004E33C4"/>
    <w:rsid w:val="004E3440"/>
    <w:rsid w:val="004E3477"/>
    <w:rsid w:val="004E34C9"/>
    <w:rsid w:val="004E352A"/>
    <w:rsid w:val="004E35E5"/>
    <w:rsid w:val="004E35EC"/>
    <w:rsid w:val="004E360D"/>
    <w:rsid w:val="004E3630"/>
    <w:rsid w:val="004E3681"/>
    <w:rsid w:val="004E374C"/>
    <w:rsid w:val="004E37ED"/>
    <w:rsid w:val="004E38C0"/>
    <w:rsid w:val="004E38CC"/>
    <w:rsid w:val="004E38DF"/>
    <w:rsid w:val="004E38FF"/>
    <w:rsid w:val="004E3918"/>
    <w:rsid w:val="004E395A"/>
    <w:rsid w:val="004E398F"/>
    <w:rsid w:val="004E399C"/>
    <w:rsid w:val="004E3A9F"/>
    <w:rsid w:val="004E3AF4"/>
    <w:rsid w:val="004E3BAC"/>
    <w:rsid w:val="004E3CF4"/>
    <w:rsid w:val="004E3CFF"/>
    <w:rsid w:val="004E3D3F"/>
    <w:rsid w:val="004E3DBB"/>
    <w:rsid w:val="004E3EA9"/>
    <w:rsid w:val="004E3FD7"/>
    <w:rsid w:val="004E4006"/>
    <w:rsid w:val="004E40E5"/>
    <w:rsid w:val="004E414C"/>
    <w:rsid w:val="004E4159"/>
    <w:rsid w:val="004E4221"/>
    <w:rsid w:val="004E4268"/>
    <w:rsid w:val="004E42C6"/>
    <w:rsid w:val="004E431D"/>
    <w:rsid w:val="004E4337"/>
    <w:rsid w:val="004E434E"/>
    <w:rsid w:val="004E4362"/>
    <w:rsid w:val="004E43B3"/>
    <w:rsid w:val="004E43B7"/>
    <w:rsid w:val="004E43F6"/>
    <w:rsid w:val="004E4441"/>
    <w:rsid w:val="004E4448"/>
    <w:rsid w:val="004E4461"/>
    <w:rsid w:val="004E4491"/>
    <w:rsid w:val="004E4537"/>
    <w:rsid w:val="004E4551"/>
    <w:rsid w:val="004E45D8"/>
    <w:rsid w:val="004E4643"/>
    <w:rsid w:val="004E4719"/>
    <w:rsid w:val="004E472A"/>
    <w:rsid w:val="004E4752"/>
    <w:rsid w:val="004E475A"/>
    <w:rsid w:val="004E4765"/>
    <w:rsid w:val="004E47CA"/>
    <w:rsid w:val="004E47F4"/>
    <w:rsid w:val="004E483F"/>
    <w:rsid w:val="004E4850"/>
    <w:rsid w:val="004E4876"/>
    <w:rsid w:val="004E48A2"/>
    <w:rsid w:val="004E49AB"/>
    <w:rsid w:val="004E49AE"/>
    <w:rsid w:val="004E49CE"/>
    <w:rsid w:val="004E4AD4"/>
    <w:rsid w:val="004E4B08"/>
    <w:rsid w:val="004E4B09"/>
    <w:rsid w:val="004E4B3E"/>
    <w:rsid w:val="004E4B9A"/>
    <w:rsid w:val="004E4BCE"/>
    <w:rsid w:val="004E4BF7"/>
    <w:rsid w:val="004E4C22"/>
    <w:rsid w:val="004E4C3F"/>
    <w:rsid w:val="004E4C87"/>
    <w:rsid w:val="004E4CD7"/>
    <w:rsid w:val="004E4CE8"/>
    <w:rsid w:val="004E4D97"/>
    <w:rsid w:val="004E4DA4"/>
    <w:rsid w:val="004E4E1A"/>
    <w:rsid w:val="004E4EE5"/>
    <w:rsid w:val="004E4F67"/>
    <w:rsid w:val="004E5066"/>
    <w:rsid w:val="004E50BA"/>
    <w:rsid w:val="004E50C3"/>
    <w:rsid w:val="004E510C"/>
    <w:rsid w:val="004E5175"/>
    <w:rsid w:val="004E519D"/>
    <w:rsid w:val="004E5219"/>
    <w:rsid w:val="004E5278"/>
    <w:rsid w:val="004E52AA"/>
    <w:rsid w:val="004E543F"/>
    <w:rsid w:val="004E5459"/>
    <w:rsid w:val="004E5485"/>
    <w:rsid w:val="004E54B8"/>
    <w:rsid w:val="004E54DA"/>
    <w:rsid w:val="004E54EB"/>
    <w:rsid w:val="004E54F6"/>
    <w:rsid w:val="004E552A"/>
    <w:rsid w:val="004E5588"/>
    <w:rsid w:val="004E55CB"/>
    <w:rsid w:val="004E55E7"/>
    <w:rsid w:val="004E55FE"/>
    <w:rsid w:val="004E569C"/>
    <w:rsid w:val="004E56AC"/>
    <w:rsid w:val="004E56BB"/>
    <w:rsid w:val="004E575A"/>
    <w:rsid w:val="004E57B2"/>
    <w:rsid w:val="004E57BD"/>
    <w:rsid w:val="004E57BE"/>
    <w:rsid w:val="004E5813"/>
    <w:rsid w:val="004E5832"/>
    <w:rsid w:val="004E591D"/>
    <w:rsid w:val="004E5998"/>
    <w:rsid w:val="004E5A52"/>
    <w:rsid w:val="004E5A6D"/>
    <w:rsid w:val="004E5AB1"/>
    <w:rsid w:val="004E5ACF"/>
    <w:rsid w:val="004E5BF0"/>
    <w:rsid w:val="004E5C5C"/>
    <w:rsid w:val="004E5C86"/>
    <w:rsid w:val="004E5D51"/>
    <w:rsid w:val="004E5DE0"/>
    <w:rsid w:val="004E5E0D"/>
    <w:rsid w:val="004E5E11"/>
    <w:rsid w:val="004E5E45"/>
    <w:rsid w:val="004E5E6B"/>
    <w:rsid w:val="004E5E7B"/>
    <w:rsid w:val="004E5E8A"/>
    <w:rsid w:val="004E5E9D"/>
    <w:rsid w:val="004E5EA6"/>
    <w:rsid w:val="004E5F5F"/>
    <w:rsid w:val="004E5FD5"/>
    <w:rsid w:val="004E601C"/>
    <w:rsid w:val="004E60ED"/>
    <w:rsid w:val="004E6120"/>
    <w:rsid w:val="004E6156"/>
    <w:rsid w:val="004E6164"/>
    <w:rsid w:val="004E632A"/>
    <w:rsid w:val="004E636F"/>
    <w:rsid w:val="004E638B"/>
    <w:rsid w:val="004E63C8"/>
    <w:rsid w:val="004E63F1"/>
    <w:rsid w:val="004E6432"/>
    <w:rsid w:val="004E650E"/>
    <w:rsid w:val="004E656B"/>
    <w:rsid w:val="004E659C"/>
    <w:rsid w:val="004E65A4"/>
    <w:rsid w:val="004E65A5"/>
    <w:rsid w:val="004E65E1"/>
    <w:rsid w:val="004E666C"/>
    <w:rsid w:val="004E67C1"/>
    <w:rsid w:val="004E6909"/>
    <w:rsid w:val="004E6910"/>
    <w:rsid w:val="004E6968"/>
    <w:rsid w:val="004E69B1"/>
    <w:rsid w:val="004E69C5"/>
    <w:rsid w:val="004E6A0F"/>
    <w:rsid w:val="004E6A75"/>
    <w:rsid w:val="004E6A93"/>
    <w:rsid w:val="004E6B53"/>
    <w:rsid w:val="004E6BC5"/>
    <w:rsid w:val="004E6BDB"/>
    <w:rsid w:val="004E6C03"/>
    <w:rsid w:val="004E6C19"/>
    <w:rsid w:val="004E6C39"/>
    <w:rsid w:val="004E6C76"/>
    <w:rsid w:val="004E6D64"/>
    <w:rsid w:val="004E6D71"/>
    <w:rsid w:val="004E6DA1"/>
    <w:rsid w:val="004E6E10"/>
    <w:rsid w:val="004E6E47"/>
    <w:rsid w:val="004E6E96"/>
    <w:rsid w:val="004E6FC0"/>
    <w:rsid w:val="004E707C"/>
    <w:rsid w:val="004E70C7"/>
    <w:rsid w:val="004E70D1"/>
    <w:rsid w:val="004E70E2"/>
    <w:rsid w:val="004E710F"/>
    <w:rsid w:val="004E717C"/>
    <w:rsid w:val="004E71CC"/>
    <w:rsid w:val="004E71E2"/>
    <w:rsid w:val="004E7247"/>
    <w:rsid w:val="004E737F"/>
    <w:rsid w:val="004E73C9"/>
    <w:rsid w:val="004E742A"/>
    <w:rsid w:val="004E742B"/>
    <w:rsid w:val="004E7490"/>
    <w:rsid w:val="004E74A6"/>
    <w:rsid w:val="004E74F1"/>
    <w:rsid w:val="004E759F"/>
    <w:rsid w:val="004E77AA"/>
    <w:rsid w:val="004E7816"/>
    <w:rsid w:val="004E7846"/>
    <w:rsid w:val="004E7882"/>
    <w:rsid w:val="004E78D3"/>
    <w:rsid w:val="004E7913"/>
    <w:rsid w:val="004E791D"/>
    <w:rsid w:val="004E7973"/>
    <w:rsid w:val="004E79A5"/>
    <w:rsid w:val="004E79B4"/>
    <w:rsid w:val="004E79C3"/>
    <w:rsid w:val="004E7A64"/>
    <w:rsid w:val="004E7B3A"/>
    <w:rsid w:val="004E7B54"/>
    <w:rsid w:val="004E7B6F"/>
    <w:rsid w:val="004E7B8A"/>
    <w:rsid w:val="004E7BC3"/>
    <w:rsid w:val="004E7C40"/>
    <w:rsid w:val="004E7CE5"/>
    <w:rsid w:val="004E7D03"/>
    <w:rsid w:val="004E7DC7"/>
    <w:rsid w:val="004E7DED"/>
    <w:rsid w:val="004E7E81"/>
    <w:rsid w:val="004E7EBD"/>
    <w:rsid w:val="004E7F34"/>
    <w:rsid w:val="004E7F37"/>
    <w:rsid w:val="004E7FE5"/>
    <w:rsid w:val="004EA293"/>
    <w:rsid w:val="004F017E"/>
    <w:rsid w:val="004F025D"/>
    <w:rsid w:val="004F0497"/>
    <w:rsid w:val="004F04D3"/>
    <w:rsid w:val="004F04DB"/>
    <w:rsid w:val="004F051D"/>
    <w:rsid w:val="004F052E"/>
    <w:rsid w:val="004F0597"/>
    <w:rsid w:val="004F05D9"/>
    <w:rsid w:val="004F0668"/>
    <w:rsid w:val="004F06AC"/>
    <w:rsid w:val="004F0767"/>
    <w:rsid w:val="004F07BA"/>
    <w:rsid w:val="004F0807"/>
    <w:rsid w:val="004F0814"/>
    <w:rsid w:val="004F08CA"/>
    <w:rsid w:val="004F093A"/>
    <w:rsid w:val="004F097F"/>
    <w:rsid w:val="004F0A33"/>
    <w:rsid w:val="004F0A3E"/>
    <w:rsid w:val="004F0A42"/>
    <w:rsid w:val="004F0A71"/>
    <w:rsid w:val="004F0A87"/>
    <w:rsid w:val="004F0CC4"/>
    <w:rsid w:val="004F0CFE"/>
    <w:rsid w:val="004F0DC7"/>
    <w:rsid w:val="004F0E63"/>
    <w:rsid w:val="004F0EA9"/>
    <w:rsid w:val="004F0ECD"/>
    <w:rsid w:val="004F0EFB"/>
    <w:rsid w:val="004F0FCB"/>
    <w:rsid w:val="004F11B0"/>
    <w:rsid w:val="004F1250"/>
    <w:rsid w:val="004F1268"/>
    <w:rsid w:val="004F132B"/>
    <w:rsid w:val="004F132C"/>
    <w:rsid w:val="004F1343"/>
    <w:rsid w:val="004F142B"/>
    <w:rsid w:val="004F1460"/>
    <w:rsid w:val="004F1466"/>
    <w:rsid w:val="004F14B2"/>
    <w:rsid w:val="004F156F"/>
    <w:rsid w:val="004F15D6"/>
    <w:rsid w:val="004F15FD"/>
    <w:rsid w:val="004F1669"/>
    <w:rsid w:val="004F1699"/>
    <w:rsid w:val="004F16D1"/>
    <w:rsid w:val="004F1741"/>
    <w:rsid w:val="004F1797"/>
    <w:rsid w:val="004F1824"/>
    <w:rsid w:val="004F1875"/>
    <w:rsid w:val="004F1884"/>
    <w:rsid w:val="004F1885"/>
    <w:rsid w:val="004F192D"/>
    <w:rsid w:val="004F1987"/>
    <w:rsid w:val="004F1A01"/>
    <w:rsid w:val="004F1A23"/>
    <w:rsid w:val="004F1A48"/>
    <w:rsid w:val="004F1A4E"/>
    <w:rsid w:val="004F1ACC"/>
    <w:rsid w:val="004F1BF5"/>
    <w:rsid w:val="004F1C61"/>
    <w:rsid w:val="004F1C9B"/>
    <w:rsid w:val="004F1CF1"/>
    <w:rsid w:val="004F1D04"/>
    <w:rsid w:val="004F1D19"/>
    <w:rsid w:val="004F1D5E"/>
    <w:rsid w:val="004F1DAC"/>
    <w:rsid w:val="004F1E1F"/>
    <w:rsid w:val="004F1E31"/>
    <w:rsid w:val="004F1E49"/>
    <w:rsid w:val="004F1EAC"/>
    <w:rsid w:val="004F1EC4"/>
    <w:rsid w:val="004F1ECB"/>
    <w:rsid w:val="004F1ECC"/>
    <w:rsid w:val="004F1EE3"/>
    <w:rsid w:val="004F1F21"/>
    <w:rsid w:val="004F1F32"/>
    <w:rsid w:val="004F1FFB"/>
    <w:rsid w:val="004F20A4"/>
    <w:rsid w:val="004F2100"/>
    <w:rsid w:val="004F2135"/>
    <w:rsid w:val="004F218D"/>
    <w:rsid w:val="004F21FC"/>
    <w:rsid w:val="004F230A"/>
    <w:rsid w:val="004F2353"/>
    <w:rsid w:val="004F2372"/>
    <w:rsid w:val="004F23E9"/>
    <w:rsid w:val="004F2427"/>
    <w:rsid w:val="004F2494"/>
    <w:rsid w:val="004F24BB"/>
    <w:rsid w:val="004F24C0"/>
    <w:rsid w:val="004F24E2"/>
    <w:rsid w:val="004F24EF"/>
    <w:rsid w:val="004F255F"/>
    <w:rsid w:val="004F2583"/>
    <w:rsid w:val="004F25BD"/>
    <w:rsid w:val="004F2613"/>
    <w:rsid w:val="004F262C"/>
    <w:rsid w:val="004F269F"/>
    <w:rsid w:val="004F26C6"/>
    <w:rsid w:val="004F271D"/>
    <w:rsid w:val="004F273C"/>
    <w:rsid w:val="004F2747"/>
    <w:rsid w:val="004F27A6"/>
    <w:rsid w:val="004F284C"/>
    <w:rsid w:val="004F2859"/>
    <w:rsid w:val="004F28D1"/>
    <w:rsid w:val="004F2917"/>
    <w:rsid w:val="004F292B"/>
    <w:rsid w:val="004F2998"/>
    <w:rsid w:val="004F29A2"/>
    <w:rsid w:val="004F2AB1"/>
    <w:rsid w:val="004F2B09"/>
    <w:rsid w:val="004F2BA1"/>
    <w:rsid w:val="004F2CEA"/>
    <w:rsid w:val="004F2D95"/>
    <w:rsid w:val="004F2DAD"/>
    <w:rsid w:val="004F2DB5"/>
    <w:rsid w:val="004F2E69"/>
    <w:rsid w:val="004F2EBC"/>
    <w:rsid w:val="004F2F06"/>
    <w:rsid w:val="004F2FBB"/>
    <w:rsid w:val="004F3050"/>
    <w:rsid w:val="004F3067"/>
    <w:rsid w:val="004F30E4"/>
    <w:rsid w:val="004F3120"/>
    <w:rsid w:val="004F3198"/>
    <w:rsid w:val="004F31CE"/>
    <w:rsid w:val="004F322A"/>
    <w:rsid w:val="004F325A"/>
    <w:rsid w:val="004F32C3"/>
    <w:rsid w:val="004F334B"/>
    <w:rsid w:val="004F3366"/>
    <w:rsid w:val="004F33A4"/>
    <w:rsid w:val="004F3408"/>
    <w:rsid w:val="004F34B3"/>
    <w:rsid w:val="004F34D9"/>
    <w:rsid w:val="004F34E7"/>
    <w:rsid w:val="004F34FA"/>
    <w:rsid w:val="004F3542"/>
    <w:rsid w:val="004F3546"/>
    <w:rsid w:val="004F35AD"/>
    <w:rsid w:val="004F364D"/>
    <w:rsid w:val="004F3690"/>
    <w:rsid w:val="004F37FB"/>
    <w:rsid w:val="004F387A"/>
    <w:rsid w:val="004F38A6"/>
    <w:rsid w:val="004F38EF"/>
    <w:rsid w:val="004F38F5"/>
    <w:rsid w:val="004F397B"/>
    <w:rsid w:val="004F398E"/>
    <w:rsid w:val="004F39ED"/>
    <w:rsid w:val="004F3BAB"/>
    <w:rsid w:val="004F3BFB"/>
    <w:rsid w:val="004F3CF8"/>
    <w:rsid w:val="004F3E3C"/>
    <w:rsid w:val="004F3E61"/>
    <w:rsid w:val="004F3E75"/>
    <w:rsid w:val="004F3EDA"/>
    <w:rsid w:val="004F3F4A"/>
    <w:rsid w:val="004F3FC7"/>
    <w:rsid w:val="004F402C"/>
    <w:rsid w:val="004F4033"/>
    <w:rsid w:val="004F4046"/>
    <w:rsid w:val="004F4069"/>
    <w:rsid w:val="004F411A"/>
    <w:rsid w:val="004F4135"/>
    <w:rsid w:val="004F4145"/>
    <w:rsid w:val="004F414B"/>
    <w:rsid w:val="004F4157"/>
    <w:rsid w:val="004F41A3"/>
    <w:rsid w:val="004F4216"/>
    <w:rsid w:val="004F42FA"/>
    <w:rsid w:val="004F437D"/>
    <w:rsid w:val="004F439E"/>
    <w:rsid w:val="004F442A"/>
    <w:rsid w:val="004F447F"/>
    <w:rsid w:val="004F44C4"/>
    <w:rsid w:val="004F44DF"/>
    <w:rsid w:val="004F44F0"/>
    <w:rsid w:val="004F4520"/>
    <w:rsid w:val="004F45B4"/>
    <w:rsid w:val="004F4644"/>
    <w:rsid w:val="004F466A"/>
    <w:rsid w:val="004F46AC"/>
    <w:rsid w:val="004F4775"/>
    <w:rsid w:val="004F4849"/>
    <w:rsid w:val="004F4892"/>
    <w:rsid w:val="004F48F6"/>
    <w:rsid w:val="004F4939"/>
    <w:rsid w:val="004F4955"/>
    <w:rsid w:val="004F4A2F"/>
    <w:rsid w:val="004F4A48"/>
    <w:rsid w:val="004F4A7F"/>
    <w:rsid w:val="004F4AD1"/>
    <w:rsid w:val="004F4B6C"/>
    <w:rsid w:val="004F4B81"/>
    <w:rsid w:val="004F4BEF"/>
    <w:rsid w:val="004F4BF9"/>
    <w:rsid w:val="004F4C2A"/>
    <w:rsid w:val="004F4C66"/>
    <w:rsid w:val="004F4CB5"/>
    <w:rsid w:val="004F4DA2"/>
    <w:rsid w:val="004F4E97"/>
    <w:rsid w:val="004F4EEC"/>
    <w:rsid w:val="004F4F0B"/>
    <w:rsid w:val="004F4F32"/>
    <w:rsid w:val="004F4FF3"/>
    <w:rsid w:val="004F4FF7"/>
    <w:rsid w:val="004F500C"/>
    <w:rsid w:val="004F5043"/>
    <w:rsid w:val="004F50F2"/>
    <w:rsid w:val="004F510B"/>
    <w:rsid w:val="004F5113"/>
    <w:rsid w:val="004F5172"/>
    <w:rsid w:val="004F5185"/>
    <w:rsid w:val="004F5204"/>
    <w:rsid w:val="004F5288"/>
    <w:rsid w:val="004F52FA"/>
    <w:rsid w:val="004F52FD"/>
    <w:rsid w:val="004F5363"/>
    <w:rsid w:val="004F5370"/>
    <w:rsid w:val="004F53AA"/>
    <w:rsid w:val="004F53B2"/>
    <w:rsid w:val="004F53CC"/>
    <w:rsid w:val="004F53F1"/>
    <w:rsid w:val="004F54BF"/>
    <w:rsid w:val="004F5536"/>
    <w:rsid w:val="004F558D"/>
    <w:rsid w:val="004F5594"/>
    <w:rsid w:val="004F55A4"/>
    <w:rsid w:val="004F5687"/>
    <w:rsid w:val="004F584C"/>
    <w:rsid w:val="004F58A5"/>
    <w:rsid w:val="004F597E"/>
    <w:rsid w:val="004F5AC0"/>
    <w:rsid w:val="004F5AD3"/>
    <w:rsid w:val="004F5B98"/>
    <w:rsid w:val="004F5BB2"/>
    <w:rsid w:val="004F5CC0"/>
    <w:rsid w:val="004F5D47"/>
    <w:rsid w:val="004F5D77"/>
    <w:rsid w:val="004F5D9C"/>
    <w:rsid w:val="004F5DDF"/>
    <w:rsid w:val="004F5EAE"/>
    <w:rsid w:val="004F5EAF"/>
    <w:rsid w:val="004F5ECD"/>
    <w:rsid w:val="004F5F17"/>
    <w:rsid w:val="004F5F50"/>
    <w:rsid w:val="004F608F"/>
    <w:rsid w:val="004F60A3"/>
    <w:rsid w:val="004F6122"/>
    <w:rsid w:val="004F6172"/>
    <w:rsid w:val="004F620B"/>
    <w:rsid w:val="004F63B0"/>
    <w:rsid w:val="004F63E2"/>
    <w:rsid w:val="004F63F3"/>
    <w:rsid w:val="004F63FD"/>
    <w:rsid w:val="004F6408"/>
    <w:rsid w:val="004F643D"/>
    <w:rsid w:val="004F6443"/>
    <w:rsid w:val="004F6561"/>
    <w:rsid w:val="004F6581"/>
    <w:rsid w:val="004F65AD"/>
    <w:rsid w:val="004F65CD"/>
    <w:rsid w:val="004F6614"/>
    <w:rsid w:val="004F665D"/>
    <w:rsid w:val="004F66A2"/>
    <w:rsid w:val="004F6712"/>
    <w:rsid w:val="004F67CB"/>
    <w:rsid w:val="004F689D"/>
    <w:rsid w:val="004F68F2"/>
    <w:rsid w:val="004F6973"/>
    <w:rsid w:val="004F6A53"/>
    <w:rsid w:val="004F6B9A"/>
    <w:rsid w:val="004F6CA5"/>
    <w:rsid w:val="004F6CA8"/>
    <w:rsid w:val="004F6D49"/>
    <w:rsid w:val="004F6D7E"/>
    <w:rsid w:val="004F6E63"/>
    <w:rsid w:val="004F6EAD"/>
    <w:rsid w:val="004F6EE9"/>
    <w:rsid w:val="004F6FAF"/>
    <w:rsid w:val="004F7001"/>
    <w:rsid w:val="004F7049"/>
    <w:rsid w:val="004F707D"/>
    <w:rsid w:val="004F713B"/>
    <w:rsid w:val="004F714C"/>
    <w:rsid w:val="004F7244"/>
    <w:rsid w:val="004F7284"/>
    <w:rsid w:val="004F72BD"/>
    <w:rsid w:val="004F72D4"/>
    <w:rsid w:val="004F7312"/>
    <w:rsid w:val="004F731D"/>
    <w:rsid w:val="004F734B"/>
    <w:rsid w:val="004F735E"/>
    <w:rsid w:val="004F73BD"/>
    <w:rsid w:val="004F7433"/>
    <w:rsid w:val="004F7456"/>
    <w:rsid w:val="004F74E6"/>
    <w:rsid w:val="004F7538"/>
    <w:rsid w:val="004F754F"/>
    <w:rsid w:val="004F7585"/>
    <w:rsid w:val="004F758A"/>
    <w:rsid w:val="004F75CE"/>
    <w:rsid w:val="004F75DB"/>
    <w:rsid w:val="004F75FD"/>
    <w:rsid w:val="004F765B"/>
    <w:rsid w:val="004F76E3"/>
    <w:rsid w:val="004F774E"/>
    <w:rsid w:val="004F7768"/>
    <w:rsid w:val="004F777F"/>
    <w:rsid w:val="004F778A"/>
    <w:rsid w:val="004F77C0"/>
    <w:rsid w:val="004F7896"/>
    <w:rsid w:val="004F78D0"/>
    <w:rsid w:val="004F7960"/>
    <w:rsid w:val="004F79FA"/>
    <w:rsid w:val="004F7AB2"/>
    <w:rsid w:val="004F7B42"/>
    <w:rsid w:val="004F7BFF"/>
    <w:rsid w:val="004F7C4A"/>
    <w:rsid w:val="004F7C7D"/>
    <w:rsid w:val="004F7D95"/>
    <w:rsid w:val="004F7E2C"/>
    <w:rsid w:val="004F7E7D"/>
    <w:rsid w:val="004F7ECA"/>
    <w:rsid w:val="004F7F53"/>
    <w:rsid w:val="004F7F61"/>
    <w:rsid w:val="004F7FBC"/>
    <w:rsid w:val="004F7FD6"/>
    <w:rsid w:val="0050004C"/>
    <w:rsid w:val="0050005D"/>
    <w:rsid w:val="0050008A"/>
    <w:rsid w:val="00500092"/>
    <w:rsid w:val="005000C4"/>
    <w:rsid w:val="005000E5"/>
    <w:rsid w:val="0050014D"/>
    <w:rsid w:val="00500151"/>
    <w:rsid w:val="00500269"/>
    <w:rsid w:val="005003D6"/>
    <w:rsid w:val="005003D7"/>
    <w:rsid w:val="0050047D"/>
    <w:rsid w:val="005004DD"/>
    <w:rsid w:val="00500528"/>
    <w:rsid w:val="00500572"/>
    <w:rsid w:val="00500588"/>
    <w:rsid w:val="0050059D"/>
    <w:rsid w:val="005005E6"/>
    <w:rsid w:val="00500639"/>
    <w:rsid w:val="00500651"/>
    <w:rsid w:val="00500713"/>
    <w:rsid w:val="00500742"/>
    <w:rsid w:val="00500756"/>
    <w:rsid w:val="0050075B"/>
    <w:rsid w:val="005007A4"/>
    <w:rsid w:val="0050081F"/>
    <w:rsid w:val="0050088E"/>
    <w:rsid w:val="005008AF"/>
    <w:rsid w:val="005008CD"/>
    <w:rsid w:val="00500923"/>
    <w:rsid w:val="00500980"/>
    <w:rsid w:val="005009EC"/>
    <w:rsid w:val="00500B02"/>
    <w:rsid w:val="00500B63"/>
    <w:rsid w:val="00500B7E"/>
    <w:rsid w:val="00500BAF"/>
    <w:rsid w:val="00500CC6"/>
    <w:rsid w:val="00500CEE"/>
    <w:rsid w:val="00500E08"/>
    <w:rsid w:val="00500E0E"/>
    <w:rsid w:val="00500E46"/>
    <w:rsid w:val="00500EC2"/>
    <w:rsid w:val="00500F03"/>
    <w:rsid w:val="00500F27"/>
    <w:rsid w:val="00500F30"/>
    <w:rsid w:val="00500F6D"/>
    <w:rsid w:val="00500FC1"/>
    <w:rsid w:val="00500FEB"/>
    <w:rsid w:val="0050103E"/>
    <w:rsid w:val="00501283"/>
    <w:rsid w:val="0050129D"/>
    <w:rsid w:val="005012B2"/>
    <w:rsid w:val="0050139E"/>
    <w:rsid w:val="00501410"/>
    <w:rsid w:val="0050142D"/>
    <w:rsid w:val="00501489"/>
    <w:rsid w:val="005014F9"/>
    <w:rsid w:val="005015B4"/>
    <w:rsid w:val="00501616"/>
    <w:rsid w:val="00501622"/>
    <w:rsid w:val="00501635"/>
    <w:rsid w:val="005016AC"/>
    <w:rsid w:val="005016CF"/>
    <w:rsid w:val="00501702"/>
    <w:rsid w:val="005017FA"/>
    <w:rsid w:val="005018E2"/>
    <w:rsid w:val="00501946"/>
    <w:rsid w:val="00501A5F"/>
    <w:rsid w:val="00501A74"/>
    <w:rsid w:val="00501A7E"/>
    <w:rsid w:val="00501AC8"/>
    <w:rsid w:val="00501ACC"/>
    <w:rsid w:val="00501AFA"/>
    <w:rsid w:val="00501AFE"/>
    <w:rsid w:val="00501B19"/>
    <w:rsid w:val="00501B87"/>
    <w:rsid w:val="00501D16"/>
    <w:rsid w:val="00501DE5"/>
    <w:rsid w:val="00501E23"/>
    <w:rsid w:val="00501E36"/>
    <w:rsid w:val="00501E56"/>
    <w:rsid w:val="00501E5D"/>
    <w:rsid w:val="00501EBC"/>
    <w:rsid w:val="00501FBE"/>
    <w:rsid w:val="00501FFA"/>
    <w:rsid w:val="00501FFE"/>
    <w:rsid w:val="00502050"/>
    <w:rsid w:val="0050206B"/>
    <w:rsid w:val="005020E7"/>
    <w:rsid w:val="005020E8"/>
    <w:rsid w:val="005020FA"/>
    <w:rsid w:val="00502219"/>
    <w:rsid w:val="00502333"/>
    <w:rsid w:val="00502348"/>
    <w:rsid w:val="0050245F"/>
    <w:rsid w:val="00502497"/>
    <w:rsid w:val="005024CC"/>
    <w:rsid w:val="00502509"/>
    <w:rsid w:val="00502559"/>
    <w:rsid w:val="005025A0"/>
    <w:rsid w:val="005025BF"/>
    <w:rsid w:val="005025E0"/>
    <w:rsid w:val="005025EF"/>
    <w:rsid w:val="00502692"/>
    <w:rsid w:val="0050275B"/>
    <w:rsid w:val="005027A1"/>
    <w:rsid w:val="00502828"/>
    <w:rsid w:val="0050291D"/>
    <w:rsid w:val="00502941"/>
    <w:rsid w:val="005029C5"/>
    <w:rsid w:val="00502A36"/>
    <w:rsid w:val="00502A44"/>
    <w:rsid w:val="00502A4A"/>
    <w:rsid w:val="00502A83"/>
    <w:rsid w:val="00502A87"/>
    <w:rsid w:val="00502A90"/>
    <w:rsid w:val="00502B59"/>
    <w:rsid w:val="00502B61"/>
    <w:rsid w:val="00502BA4"/>
    <w:rsid w:val="00502C02"/>
    <w:rsid w:val="00502C4C"/>
    <w:rsid w:val="00502CA7"/>
    <w:rsid w:val="00502E0D"/>
    <w:rsid w:val="00502E11"/>
    <w:rsid w:val="00502E81"/>
    <w:rsid w:val="00502E8E"/>
    <w:rsid w:val="00502EDF"/>
    <w:rsid w:val="00502F13"/>
    <w:rsid w:val="00502F8D"/>
    <w:rsid w:val="00502FA3"/>
    <w:rsid w:val="00502FA9"/>
    <w:rsid w:val="00502FFB"/>
    <w:rsid w:val="00503053"/>
    <w:rsid w:val="00503114"/>
    <w:rsid w:val="0050312D"/>
    <w:rsid w:val="00503178"/>
    <w:rsid w:val="005031FD"/>
    <w:rsid w:val="0050320A"/>
    <w:rsid w:val="0050320D"/>
    <w:rsid w:val="00503276"/>
    <w:rsid w:val="005032BD"/>
    <w:rsid w:val="00503305"/>
    <w:rsid w:val="00503328"/>
    <w:rsid w:val="00503367"/>
    <w:rsid w:val="00503484"/>
    <w:rsid w:val="00503504"/>
    <w:rsid w:val="0050353F"/>
    <w:rsid w:val="00503662"/>
    <w:rsid w:val="0050366C"/>
    <w:rsid w:val="00503671"/>
    <w:rsid w:val="00503680"/>
    <w:rsid w:val="00503694"/>
    <w:rsid w:val="00503766"/>
    <w:rsid w:val="00503784"/>
    <w:rsid w:val="005037D5"/>
    <w:rsid w:val="0050381D"/>
    <w:rsid w:val="00503841"/>
    <w:rsid w:val="00503885"/>
    <w:rsid w:val="005038FA"/>
    <w:rsid w:val="0050391C"/>
    <w:rsid w:val="00503921"/>
    <w:rsid w:val="00503960"/>
    <w:rsid w:val="00503A26"/>
    <w:rsid w:val="00503A45"/>
    <w:rsid w:val="00503A66"/>
    <w:rsid w:val="00503ADA"/>
    <w:rsid w:val="00503BD2"/>
    <w:rsid w:val="00503BF9"/>
    <w:rsid w:val="00503C5E"/>
    <w:rsid w:val="00503CC1"/>
    <w:rsid w:val="00503CDF"/>
    <w:rsid w:val="00503D0C"/>
    <w:rsid w:val="00503D17"/>
    <w:rsid w:val="00503D56"/>
    <w:rsid w:val="00503DE7"/>
    <w:rsid w:val="00503E4B"/>
    <w:rsid w:val="00503E57"/>
    <w:rsid w:val="00503ED9"/>
    <w:rsid w:val="00503EEA"/>
    <w:rsid w:val="00503F16"/>
    <w:rsid w:val="00503F2B"/>
    <w:rsid w:val="00503F2F"/>
    <w:rsid w:val="00503F4F"/>
    <w:rsid w:val="00503FA9"/>
    <w:rsid w:val="00503FB6"/>
    <w:rsid w:val="00503FD1"/>
    <w:rsid w:val="00503FF8"/>
    <w:rsid w:val="00504071"/>
    <w:rsid w:val="005040A1"/>
    <w:rsid w:val="00504130"/>
    <w:rsid w:val="005041A1"/>
    <w:rsid w:val="005041F1"/>
    <w:rsid w:val="00504204"/>
    <w:rsid w:val="00504288"/>
    <w:rsid w:val="005042DA"/>
    <w:rsid w:val="00504438"/>
    <w:rsid w:val="00504508"/>
    <w:rsid w:val="0050453B"/>
    <w:rsid w:val="0050454A"/>
    <w:rsid w:val="00504555"/>
    <w:rsid w:val="005045A2"/>
    <w:rsid w:val="00504631"/>
    <w:rsid w:val="005046B2"/>
    <w:rsid w:val="005046F0"/>
    <w:rsid w:val="0050477F"/>
    <w:rsid w:val="005047A3"/>
    <w:rsid w:val="005047E8"/>
    <w:rsid w:val="00504858"/>
    <w:rsid w:val="0050486C"/>
    <w:rsid w:val="00504885"/>
    <w:rsid w:val="0050490D"/>
    <w:rsid w:val="0050492B"/>
    <w:rsid w:val="0050495F"/>
    <w:rsid w:val="0050499C"/>
    <w:rsid w:val="00504A03"/>
    <w:rsid w:val="00504AFD"/>
    <w:rsid w:val="00504BC4"/>
    <w:rsid w:val="00504D1D"/>
    <w:rsid w:val="00504D48"/>
    <w:rsid w:val="00504D55"/>
    <w:rsid w:val="00504DBB"/>
    <w:rsid w:val="00504DCB"/>
    <w:rsid w:val="00504ED9"/>
    <w:rsid w:val="00504F78"/>
    <w:rsid w:val="00504F7F"/>
    <w:rsid w:val="00504FAA"/>
    <w:rsid w:val="00504FC1"/>
    <w:rsid w:val="00505021"/>
    <w:rsid w:val="00505048"/>
    <w:rsid w:val="0050506A"/>
    <w:rsid w:val="005050E0"/>
    <w:rsid w:val="00505101"/>
    <w:rsid w:val="005051EE"/>
    <w:rsid w:val="005051F9"/>
    <w:rsid w:val="005052B3"/>
    <w:rsid w:val="005052CD"/>
    <w:rsid w:val="00505459"/>
    <w:rsid w:val="00505478"/>
    <w:rsid w:val="005054A1"/>
    <w:rsid w:val="005054A6"/>
    <w:rsid w:val="0050557E"/>
    <w:rsid w:val="00505615"/>
    <w:rsid w:val="00505651"/>
    <w:rsid w:val="0050568E"/>
    <w:rsid w:val="0050579B"/>
    <w:rsid w:val="005057D4"/>
    <w:rsid w:val="00505808"/>
    <w:rsid w:val="005058F1"/>
    <w:rsid w:val="005058F6"/>
    <w:rsid w:val="00505919"/>
    <w:rsid w:val="005059F7"/>
    <w:rsid w:val="00505A10"/>
    <w:rsid w:val="00505A6B"/>
    <w:rsid w:val="00505AA0"/>
    <w:rsid w:val="00505AB4"/>
    <w:rsid w:val="00505B2B"/>
    <w:rsid w:val="00505BA8"/>
    <w:rsid w:val="00505D02"/>
    <w:rsid w:val="00505D26"/>
    <w:rsid w:val="00505E01"/>
    <w:rsid w:val="00505E0D"/>
    <w:rsid w:val="00505E31"/>
    <w:rsid w:val="00505FD6"/>
    <w:rsid w:val="00506045"/>
    <w:rsid w:val="00506061"/>
    <w:rsid w:val="005060CF"/>
    <w:rsid w:val="0050610B"/>
    <w:rsid w:val="0050611B"/>
    <w:rsid w:val="0050614A"/>
    <w:rsid w:val="00506192"/>
    <w:rsid w:val="005061A6"/>
    <w:rsid w:val="005061EE"/>
    <w:rsid w:val="005061F1"/>
    <w:rsid w:val="0050627E"/>
    <w:rsid w:val="005062D9"/>
    <w:rsid w:val="00506398"/>
    <w:rsid w:val="0050639D"/>
    <w:rsid w:val="0050639E"/>
    <w:rsid w:val="005063BD"/>
    <w:rsid w:val="0050640A"/>
    <w:rsid w:val="00506559"/>
    <w:rsid w:val="005065D3"/>
    <w:rsid w:val="00506605"/>
    <w:rsid w:val="005066FB"/>
    <w:rsid w:val="00506750"/>
    <w:rsid w:val="00506771"/>
    <w:rsid w:val="00506779"/>
    <w:rsid w:val="005067FF"/>
    <w:rsid w:val="0050683C"/>
    <w:rsid w:val="0050688A"/>
    <w:rsid w:val="00506943"/>
    <w:rsid w:val="005069EC"/>
    <w:rsid w:val="00506A53"/>
    <w:rsid w:val="00506BE6"/>
    <w:rsid w:val="00506BFD"/>
    <w:rsid w:val="00506C1E"/>
    <w:rsid w:val="00506D01"/>
    <w:rsid w:val="00506D69"/>
    <w:rsid w:val="00506D8A"/>
    <w:rsid w:val="00506DA0"/>
    <w:rsid w:val="00506DC9"/>
    <w:rsid w:val="00506DFA"/>
    <w:rsid w:val="00506E7B"/>
    <w:rsid w:val="00506ED2"/>
    <w:rsid w:val="00506EF7"/>
    <w:rsid w:val="00506FBE"/>
    <w:rsid w:val="00507023"/>
    <w:rsid w:val="00507179"/>
    <w:rsid w:val="0050717C"/>
    <w:rsid w:val="005071A3"/>
    <w:rsid w:val="005071DC"/>
    <w:rsid w:val="005071F6"/>
    <w:rsid w:val="00507244"/>
    <w:rsid w:val="00507298"/>
    <w:rsid w:val="005072AA"/>
    <w:rsid w:val="005072EC"/>
    <w:rsid w:val="00507374"/>
    <w:rsid w:val="005073C2"/>
    <w:rsid w:val="00507438"/>
    <w:rsid w:val="0050746D"/>
    <w:rsid w:val="0050747D"/>
    <w:rsid w:val="00507485"/>
    <w:rsid w:val="005074AC"/>
    <w:rsid w:val="005074B9"/>
    <w:rsid w:val="005074BF"/>
    <w:rsid w:val="005074E2"/>
    <w:rsid w:val="005074EA"/>
    <w:rsid w:val="005075AF"/>
    <w:rsid w:val="005075D5"/>
    <w:rsid w:val="00507602"/>
    <w:rsid w:val="00507648"/>
    <w:rsid w:val="00507677"/>
    <w:rsid w:val="0050778D"/>
    <w:rsid w:val="00507873"/>
    <w:rsid w:val="0050787E"/>
    <w:rsid w:val="00507A60"/>
    <w:rsid w:val="00507A6E"/>
    <w:rsid w:val="00507AF5"/>
    <w:rsid w:val="00507AF7"/>
    <w:rsid w:val="00507AFF"/>
    <w:rsid w:val="00507B95"/>
    <w:rsid w:val="00507BD8"/>
    <w:rsid w:val="00507C1F"/>
    <w:rsid w:val="00507C86"/>
    <w:rsid w:val="00507CA8"/>
    <w:rsid w:val="00507D50"/>
    <w:rsid w:val="00507D52"/>
    <w:rsid w:val="00507DF1"/>
    <w:rsid w:val="00507E9A"/>
    <w:rsid w:val="00507EE9"/>
    <w:rsid w:val="00507F37"/>
    <w:rsid w:val="00507F56"/>
    <w:rsid w:val="00507FB2"/>
    <w:rsid w:val="00507FCA"/>
    <w:rsid w:val="0051006B"/>
    <w:rsid w:val="005100A4"/>
    <w:rsid w:val="00510106"/>
    <w:rsid w:val="0051017E"/>
    <w:rsid w:val="00510292"/>
    <w:rsid w:val="00510361"/>
    <w:rsid w:val="0051042B"/>
    <w:rsid w:val="0051055C"/>
    <w:rsid w:val="0051060C"/>
    <w:rsid w:val="0051060F"/>
    <w:rsid w:val="0051061D"/>
    <w:rsid w:val="00510665"/>
    <w:rsid w:val="005106AC"/>
    <w:rsid w:val="0051071B"/>
    <w:rsid w:val="00510735"/>
    <w:rsid w:val="0051074D"/>
    <w:rsid w:val="0051076A"/>
    <w:rsid w:val="0051080F"/>
    <w:rsid w:val="0051084D"/>
    <w:rsid w:val="0051086D"/>
    <w:rsid w:val="005108A7"/>
    <w:rsid w:val="005108DA"/>
    <w:rsid w:val="00510940"/>
    <w:rsid w:val="00510957"/>
    <w:rsid w:val="005109F6"/>
    <w:rsid w:val="00510A3E"/>
    <w:rsid w:val="00510AD9"/>
    <w:rsid w:val="00510B4C"/>
    <w:rsid w:val="00510D18"/>
    <w:rsid w:val="00510D5F"/>
    <w:rsid w:val="00510E14"/>
    <w:rsid w:val="00510E1A"/>
    <w:rsid w:val="00510E62"/>
    <w:rsid w:val="00510F21"/>
    <w:rsid w:val="00510F85"/>
    <w:rsid w:val="00510FE4"/>
    <w:rsid w:val="00511093"/>
    <w:rsid w:val="00511118"/>
    <w:rsid w:val="005111A2"/>
    <w:rsid w:val="005111F2"/>
    <w:rsid w:val="00511248"/>
    <w:rsid w:val="00511260"/>
    <w:rsid w:val="00511319"/>
    <w:rsid w:val="0051131D"/>
    <w:rsid w:val="005113EF"/>
    <w:rsid w:val="00511451"/>
    <w:rsid w:val="005115F5"/>
    <w:rsid w:val="0051161F"/>
    <w:rsid w:val="0051169A"/>
    <w:rsid w:val="005116D3"/>
    <w:rsid w:val="005117A7"/>
    <w:rsid w:val="005117CE"/>
    <w:rsid w:val="00511845"/>
    <w:rsid w:val="0051186F"/>
    <w:rsid w:val="00511895"/>
    <w:rsid w:val="005118B1"/>
    <w:rsid w:val="005118E4"/>
    <w:rsid w:val="005119A0"/>
    <w:rsid w:val="00511AA8"/>
    <w:rsid w:val="00511AB0"/>
    <w:rsid w:val="00511AE3"/>
    <w:rsid w:val="00511AFE"/>
    <w:rsid w:val="00511B1F"/>
    <w:rsid w:val="00511B48"/>
    <w:rsid w:val="00511BFC"/>
    <w:rsid w:val="00511C30"/>
    <w:rsid w:val="00511D7D"/>
    <w:rsid w:val="00511D89"/>
    <w:rsid w:val="00511DD4"/>
    <w:rsid w:val="00511DDE"/>
    <w:rsid w:val="00511EAC"/>
    <w:rsid w:val="00512038"/>
    <w:rsid w:val="00512059"/>
    <w:rsid w:val="0051207D"/>
    <w:rsid w:val="005120FF"/>
    <w:rsid w:val="00512131"/>
    <w:rsid w:val="00512191"/>
    <w:rsid w:val="0051220E"/>
    <w:rsid w:val="00512242"/>
    <w:rsid w:val="0051224B"/>
    <w:rsid w:val="00512263"/>
    <w:rsid w:val="005122A5"/>
    <w:rsid w:val="005122B8"/>
    <w:rsid w:val="005122F1"/>
    <w:rsid w:val="0051232A"/>
    <w:rsid w:val="005123F7"/>
    <w:rsid w:val="0051242D"/>
    <w:rsid w:val="00512455"/>
    <w:rsid w:val="00512465"/>
    <w:rsid w:val="00512482"/>
    <w:rsid w:val="005124AA"/>
    <w:rsid w:val="005124D4"/>
    <w:rsid w:val="0051250A"/>
    <w:rsid w:val="00512552"/>
    <w:rsid w:val="0051258E"/>
    <w:rsid w:val="005125AF"/>
    <w:rsid w:val="00512642"/>
    <w:rsid w:val="00512670"/>
    <w:rsid w:val="0051269F"/>
    <w:rsid w:val="005126B7"/>
    <w:rsid w:val="00512716"/>
    <w:rsid w:val="0051277B"/>
    <w:rsid w:val="005127A9"/>
    <w:rsid w:val="0051285F"/>
    <w:rsid w:val="005128F3"/>
    <w:rsid w:val="0051293B"/>
    <w:rsid w:val="0051296C"/>
    <w:rsid w:val="005129B7"/>
    <w:rsid w:val="00512A34"/>
    <w:rsid w:val="00512A70"/>
    <w:rsid w:val="00512A81"/>
    <w:rsid w:val="00512AC0"/>
    <w:rsid w:val="00512AE2"/>
    <w:rsid w:val="00512B3E"/>
    <w:rsid w:val="00512B9A"/>
    <w:rsid w:val="00512BDF"/>
    <w:rsid w:val="00512BE0"/>
    <w:rsid w:val="00512C25"/>
    <w:rsid w:val="00512C27"/>
    <w:rsid w:val="00512CA6"/>
    <w:rsid w:val="00512D04"/>
    <w:rsid w:val="00512D76"/>
    <w:rsid w:val="00512DE7"/>
    <w:rsid w:val="00512DF9"/>
    <w:rsid w:val="00512E5B"/>
    <w:rsid w:val="00512EB9"/>
    <w:rsid w:val="00512FE6"/>
    <w:rsid w:val="00513080"/>
    <w:rsid w:val="0051312D"/>
    <w:rsid w:val="00513194"/>
    <w:rsid w:val="0051324A"/>
    <w:rsid w:val="005132B2"/>
    <w:rsid w:val="0051331E"/>
    <w:rsid w:val="00513462"/>
    <w:rsid w:val="0051349D"/>
    <w:rsid w:val="005134B4"/>
    <w:rsid w:val="00513547"/>
    <w:rsid w:val="005135C6"/>
    <w:rsid w:val="005135FB"/>
    <w:rsid w:val="0051362E"/>
    <w:rsid w:val="0051368D"/>
    <w:rsid w:val="00513709"/>
    <w:rsid w:val="00513743"/>
    <w:rsid w:val="00513786"/>
    <w:rsid w:val="0051381D"/>
    <w:rsid w:val="0051381F"/>
    <w:rsid w:val="0051387E"/>
    <w:rsid w:val="005138E3"/>
    <w:rsid w:val="00513915"/>
    <w:rsid w:val="005139E9"/>
    <w:rsid w:val="00513A02"/>
    <w:rsid w:val="00513A8B"/>
    <w:rsid w:val="00513A8E"/>
    <w:rsid w:val="00513ABD"/>
    <w:rsid w:val="00513AF2"/>
    <w:rsid w:val="00513B44"/>
    <w:rsid w:val="00513B4A"/>
    <w:rsid w:val="00513C52"/>
    <w:rsid w:val="00513CDE"/>
    <w:rsid w:val="00513CE6"/>
    <w:rsid w:val="00513CFB"/>
    <w:rsid w:val="00513D18"/>
    <w:rsid w:val="00513D3A"/>
    <w:rsid w:val="00513D8D"/>
    <w:rsid w:val="00513D8E"/>
    <w:rsid w:val="00513DA8"/>
    <w:rsid w:val="00513E3F"/>
    <w:rsid w:val="00513F39"/>
    <w:rsid w:val="00513F70"/>
    <w:rsid w:val="00513FE5"/>
    <w:rsid w:val="0051407C"/>
    <w:rsid w:val="005140D9"/>
    <w:rsid w:val="005140F4"/>
    <w:rsid w:val="0051411A"/>
    <w:rsid w:val="0051413D"/>
    <w:rsid w:val="005141DC"/>
    <w:rsid w:val="00514222"/>
    <w:rsid w:val="00514297"/>
    <w:rsid w:val="0051436B"/>
    <w:rsid w:val="00514378"/>
    <w:rsid w:val="00514414"/>
    <w:rsid w:val="0051454E"/>
    <w:rsid w:val="005145D2"/>
    <w:rsid w:val="005145E9"/>
    <w:rsid w:val="005145F3"/>
    <w:rsid w:val="00514614"/>
    <w:rsid w:val="005146FA"/>
    <w:rsid w:val="005147A1"/>
    <w:rsid w:val="00514859"/>
    <w:rsid w:val="005148B6"/>
    <w:rsid w:val="005149F6"/>
    <w:rsid w:val="00514B02"/>
    <w:rsid w:val="00514B3E"/>
    <w:rsid w:val="00514BCE"/>
    <w:rsid w:val="00514BF6"/>
    <w:rsid w:val="00514D2B"/>
    <w:rsid w:val="00514D6D"/>
    <w:rsid w:val="00514D85"/>
    <w:rsid w:val="00514E13"/>
    <w:rsid w:val="00514E99"/>
    <w:rsid w:val="00514E9E"/>
    <w:rsid w:val="00514EB6"/>
    <w:rsid w:val="00514EC2"/>
    <w:rsid w:val="00514FCC"/>
    <w:rsid w:val="00514FFB"/>
    <w:rsid w:val="0051500D"/>
    <w:rsid w:val="00515062"/>
    <w:rsid w:val="00515064"/>
    <w:rsid w:val="00515068"/>
    <w:rsid w:val="005150D5"/>
    <w:rsid w:val="0051518D"/>
    <w:rsid w:val="005151A6"/>
    <w:rsid w:val="005151B9"/>
    <w:rsid w:val="005152AF"/>
    <w:rsid w:val="005152E7"/>
    <w:rsid w:val="0051535A"/>
    <w:rsid w:val="00515457"/>
    <w:rsid w:val="005154BE"/>
    <w:rsid w:val="005154F4"/>
    <w:rsid w:val="005154FB"/>
    <w:rsid w:val="0051558D"/>
    <w:rsid w:val="005155C3"/>
    <w:rsid w:val="0051561F"/>
    <w:rsid w:val="00515635"/>
    <w:rsid w:val="00515643"/>
    <w:rsid w:val="0051564B"/>
    <w:rsid w:val="00515656"/>
    <w:rsid w:val="0051575E"/>
    <w:rsid w:val="005157F1"/>
    <w:rsid w:val="00515885"/>
    <w:rsid w:val="005158A8"/>
    <w:rsid w:val="005159A8"/>
    <w:rsid w:val="005159DB"/>
    <w:rsid w:val="00515A93"/>
    <w:rsid w:val="00515AA3"/>
    <w:rsid w:val="00515ADE"/>
    <w:rsid w:val="00515BA6"/>
    <w:rsid w:val="00515C40"/>
    <w:rsid w:val="00515C45"/>
    <w:rsid w:val="00515C98"/>
    <w:rsid w:val="00515CFA"/>
    <w:rsid w:val="00515D0D"/>
    <w:rsid w:val="00515DAE"/>
    <w:rsid w:val="00515E31"/>
    <w:rsid w:val="00515E39"/>
    <w:rsid w:val="00515E54"/>
    <w:rsid w:val="00515E5A"/>
    <w:rsid w:val="00515E68"/>
    <w:rsid w:val="00515E8E"/>
    <w:rsid w:val="00515EC6"/>
    <w:rsid w:val="00515F0D"/>
    <w:rsid w:val="00515F37"/>
    <w:rsid w:val="00515F3A"/>
    <w:rsid w:val="00515FB7"/>
    <w:rsid w:val="00516106"/>
    <w:rsid w:val="0051619A"/>
    <w:rsid w:val="005161CE"/>
    <w:rsid w:val="00516226"/>
    <w:rsid w:val="00516233"/>
    <w:rsid w:val="00516318"/>
    <w:rsid w:val="005163E6"/>
    <w:rsid w:val="00516444"/>
    <w:rsid w:val="00516455"/>
    <w:rsid w:val="00516478"/>
    <w:rsid w:val="005164FE"/>
    <w:rsid w:val="00516518"/>
    <w:rsid w:val="00516603"/>
    <w:rsid w:val="005166CA"/>
    <w:rsid w:val="00516739"/>
    <w:rsid w:val="00516770"/>
    <w:rsid w:val="0051679A"/>
    <w:rsid w:val="00516878"/>
    <w:rsid w:val="005168D4"/>
    <w:rsid w:val="00516962"/>
    <w:rsid w:val="0051696A"/>
    <w:rsid w:val="005169EC"/>
    <w:rsid w:val="00516A2E"/>
    <w:rsid w:val="00516AF2"/>
    <w:rsid w:val="00516B38"/>
    <w:rsid w:val="00516B68"/>
    <w:rsid w:val="00516B8A"/>
    <w:rsid w:val="00516BB0"/>
    <w:rsid w:val="00516C15"/>
    <w:rsid w:val="00516CBF"/>
    <w:rsid w:val="00516D33"/>
    <w:rsid w:val="00516ECB"/>
    <w:rsid w:val="00516F15"/>
    <w:rsid w:val="0051701B"/>
    <w:rsid w:val="0051702D"/>
    <w:rsid w:val="005170C2"/>
    <w:rsid w:val="00517117"/>
    <w:rsid w:val="00517194"/>
    <w:rsid w:val="005171C7"/>
    <w:rsid w:val="0051728B"/>
    <w:rsid w:val="005172A9"/>
    <w:rsid w:val="00517306"/>
    <w:rsid w:val="005173D5"/>
    <w:rsid w:val="0051743E"/>
    <w:rsid w:val="00517563"/>
    <w:rsid w:val="00517576"/>
    <w:rsid w:val="0051758D"/>
    <w:rsid w:val="00517643"/>
    <w:rsid w:val="00517707"/>
    <w:rsid w:val="0051779E"/>
    <w:rsid w:val="0051781B"/>
    <w:rsid w:val="005179C1"/>
    <w:rsid w:val="00517B3F"/>
    <w:rsid w:val="00517BCF"/>
    <w:rsid w:val="00517C58"/>
    <w:rsid w:val="00517CC6"/>
    <w:rsid w:val="00517D02"/>
    <w:rsid w:val="00517D0B"/>
    <w:rsid w:val="00517D99"/>
    <w:rsid w:val="00517E5B"/>
    <w:rsid w:val="00517ECA"/>
    <w:rsid w:val="00517ECF"/>
    <w:rsid w:val="00517EF3"/>
    <w:rsid w:val="00517F08"/>
    <w:rsid w:val="00517F30"/>
    <w:rsid w:val="00517F53"/>
    <w:rsid w:val="00517F64"/>
    <w:rsid w:val="00517F9D"/>
    <w:rsid w:val="0052005B"/>
    <w:rsid w:val="00520178"/>
    <w:rsid w:val="00520199"/>
    <w:rsid w:val="005201B2"/>
    <w:rsid w:val="005202A6"/>
    <w:rsid w:val="005202EB"/>
    <w:rsid w:val="005203C9"/>
    <w:rsid w:val="00520419"/>
    <w:rsid w:val="005204AB"/>
    <w:rsid w:val="00520512"/>
    <w:rsid w:val="005205F4"/>
    <w:rsid w:val="005205F7"/>
    <w:rsid w:val="00520642"/>
    <w:rsid w:val="005206F7"/>
    <w:rsid w:val="005207CE"/>
    <w:rsid w:val="005207D3"/>
    <w:rsid w:val="005207FA"/>
    <w:rsid w:val="0052082E"/>
    <w:rsid w:val="005208BA"/>
    <w:rsid w:val="0052099D"/>
    <w:rsid w:val="005209E0"/>
    <w:rsid w:val="005209E1"/>
    <w:rsid w:val="00520A81"/>
    <w:rsid w:val="00520A83"/>
    <w:rsid w:val="00520B08"/>
    <w:rsid w:val="00520B2A"/>
    <w:rsid w:val="00520BB0"/>
    <w:rsid w:val="00520BEA"/>
    <w:rsid w:val="00520BF9"/>
    <w:rsid w:val="00520C4C"/>
    <w:rsid w:val="00520C97"/>
    <w:rsid w:val="00520CB2"/>
    <w:rsid w:val="00520D3F"/>
    <w:rsid w:val="00520D87"/>
    <w:rsid w:val="00520E82"/>
    <w:rsid w:val="00520EEC"/>
    <w:rsid w:val="00520F48"/>
    <w:rsid w:val="00521033"/>
    <w:rsid w:val="00521351"/>
    <w:rsid w:val="005213D0"/>
    <w:rsid w:val="005214A6"/>
    <w:rsid w:val="005214A8"/>
    <w:rsid w:val="005214AB"/>
    <w:rsid w:val="0052151B"/>
    <w:rsid w:val="00521523"/>
    <w:rsid w:val="00521570"/>
    <w:rsid w:val="0052158E"/>
    <w:rsid w:val="0052164D"/>
    <w:rsid w:val="005216D7"/>
    <w:rsid w:val="005216DB"/>
    <w:rsid w:val="00521744"/>
    <w:rsid w:val="0052179A"/>
    <w:rsid w:val="005217DC"/>
    <w:rsid w:val="0052183D"/>
    <w:rsid w:val="00521866"/>
    <w:rsid w:val="0052188E"/>
    <w:rsid w:val="005218E6"/>
    <w:rsid w:val="005218FE"/>
    <w:rsid w:val="0052194C"/>
    <w:rsid w:val="00521AAD"/>
    <w:rsid w:val="00521AB4"/>
    <w:rsid w:val="00521B1A"/>
    <w:rsid w:val="00521B6B"/>
    <w:rsid w:val="00521BB1"/>
    <w:rsid w:val="00521BD1"/>
    <w:rsid w:val="00521CD6"/>
    <w:rsid w:val="00521D3D"/>
    <w:rsid w:val="00521D5C"/>
    <w:rsid w:val="00521D98"/>
    <w:rsid w:val="00521E0E"/>
    <w:rsid w:val="00521E3C"/>
    <w:rsid w:val="00521E82"/>
    <w:rsid w:val="0052200A"/>
    <w:rsid w:val="00522146"/>
    <w:rsid w:val="005221C6"/>
    <w:rsid w:val="00522229"/>
    <w:rsid w:val="0052223A"/>
    <w:rsid w:val="005222A0"/>
    <w:rsid w:val="005222BB"/>
    <w:rsid w:val="005222D4"/>
    <w:rsid w:val="005222F6"/>
    <w:rsid w:val="0052233B"/>
    <w:rsid w:val="00522404"/>
    <w:rsid w:val="00522467"/>
    <w:rsid w:val="0052248A"/>
    <w:rsid w:val="005224E4"/>
    <w:rsid w:val="005224EF"/>
    <w:rsid w:val="0052250C"/>
    <w:rsid w:val="00522542"/>
    <w:rsid w:val="00522550"/>
    <w:rsid w:val="005225AB"/>
    <w:rsid w:val="00522631"/>
    <w:rsid w:val="005226DC"/>
    <w:rsid w:val="0052272A"/>
    <w:rsid w:val="0052278B"/>
    <w:rsid w:val="00522797"/>
    <w:rsid w:val="00522843"/>
    <w:rsid w:val="00522921"/>
    <w:rsid w:val="00522928"/>
    <w:rsid w:val="00522931"/>
    <w:rsid w:val="00522944"/>
    <w:rsid w:val="00522979"/>
    <w:rsid w:val="00522993"/>
    <w:rsid w:val="005229D8"/>
    <w:rsid w:val="00522A3D"/>
    <w:rsid w:val="00522ABE"/>
    <w:rsid w:val="00522ADF"/>
    <w:rsid w:val="00522BA2"/>
    <w:rsid w:val="00522C26"/>
    <w:rsid w:val="00522C8A"/>
    <w:rsid w:val="00522D09"/>
    <w:rsid w:val="00522D65"/>
    <w:rsid w:val="00522D6F"/>
    <w:rsid w:val="00522D79"/>
    <w:rsid w:val="00522D80"/>
    <w:rsid w:val="00522D95"/>
    <w:rsid w:val="00522D99"/>
    <w:rsid w:val="00522DC4"/>
    <w:rsid w:val="00522DFF"/>
    <w:rsid w:val="00522E36"/>
    <w:rsid w:val="00522E4F"/>
    <w:rsid w:val="00522ED2"/>
    <w:rsid w:val="00522F0D"/>
    <w:rsid w:val="00522F29"/>
    <w:rsid w:val="00522FAF"/>
    <w:rsid w:val="00522FEE"/>
    <w:rsid w:val="00523011"/>
    <w:rsid w:val="0052309A"/>
    <w:rsid w:val="005230DF"/>
    <w:rsid w:val="005230FF"/>
    <w:rsid w:val="00523134"/>
    <w:rsid w:val="0052316F"/>
    <w:rsid w:val="005231B1"/>
    <w:rsid w:val="0052320A"/>
    <w:rsid w:val="0052324A"/>
    <w:rsid w:val="005232A6"/>
    <w:rsid w:val="005232B9"/>
    <w:rsid w:val="005232C6"/>
    <w:rsid w:val="005232D2"/>
    <w:rsid w:val="005232EA"/>
    <w:rsid w:val="005233D5"/>
    <w:rsid w:val="00523541"/>
    <w:rsid w:val="00523596"/>
    <w:rsid w:val="00523613"/>
    <w:rsid w:val="0052361E"/>
    <w:rsid w:val="005236D3"/>
    <w:rsid w:val="005236E9"/>
    <w:rsid w:val="0052371D"/>
    <w:rsid w:val="0052376B"/>
    <w:rsid w:val="005237B9"/>
    <w:rsid w:val="0052382E"/>
    <w:rsid w:val="00523858"/>
    <w:rsid w:val="005238BB"/>
    <w:rsid w:val="005239C3"/>
    <w:rsid w:val="00523A60"/>
    <w:rsid w:val="00523B48"/>
    <w:rsid w:val="00523B56"/>
    <w:rsid w:val="00523B66"/>
    <w:rsid w:val="00523BA0"/>
    <w:rsid w:val="00523BA1"/>
    <w:rsid w:val="00523BBB"/>
    <w:rsid w:val="00523BD5"/>
    <w:rsid w:val="00523C21"/>
    <w:rsid w:val="00523C24"/>
    <w:rsid w:val="00523C6E"/>
    <w:rsid w:val="00523CA1"/>
    <w:rsid w:val="00523CFA"/>
    <w:rsid w:val="00523D67"/>
    <w:rsid w:val="00523DBC"/>
    <w:rsid w:val="00523E1B"/>
    <w:rsid w:val="00523E5E"/>
    <w:rsid w:val="00523EC7"/>
    <w:rsid w:val="00523F5E"/>
    <w:rsid w:val="00523FA9"/>
    <w:rsid w:val="00523FD2"/>
    <w:rsid w:val="00523FDE"/>
    <w:rsid w:val="00523FE2"/>
    <w:rsid w:val="00523FF4"/>
    <w:rsid w:val="0052400F"/>
    <w:rsid w:val="00524025"/>
    <w:rsid w:val="00524029"/>
    <w:rsid w:val="0052405A"/>
    <w:rsid w:val="00524151"/>
    <w:rsid w:val="0052419D"/>
    <w:rsid w:val="00524238"/>
    <w:rsid w:val="0052424D"/>
    <w:rsid w:val="0052426F"/>
    <w:rsid w:val="00524289"/>
    <w:rsid w:val="00524399"/>
    <w:rsid w:val="005243BE"/>
    <w:rsid w:val="005243D2"/>
    <w:rsid w:val="005243D3"/>
    <w:rsid w:val="005243E8"/>
    <w:rsid w:val="00524420"/>
    <w:rsid w:val="005244C9"/>
    <w:rsid w:val="0052450E"/>
    <w:rsid w:val="00524550"/>
    <w:rsid w:val="005245FA"/>
    <w:rsid w:val="0052465B"/>
    <w:rsid w:val="00524794"/>
    <w:rsid w:val="005247A9"/>
    <w:rsid w:val="005248B6"/>
    <w:rsid w:val="00524A0B"/>
    <w:rsid w:val="00524A25"/>
    <w:rsid w:val="00524A9E"/>
    <w:rsid w:val="00524B8A"/>
    <w:rsid w:val="00524BFC"/>
    <w:rsid w:val="00524C54"/>
    <w:rsid w:val="00524C76"/>
    <w:rsid w:val="00524D23"/>
    <w:rsid w:val="00524DDE"/>
    <w:rsid w:val="00524E10"/>
    <w:rsid w:val="00524F71"/>
    <w:rsid w:val="00525011"/>
    <w:rsid w:val="00525032"/>
    <w:rsid w:val="00525138"/>
    <w:rsid w:val="00525178"/>
    <w:rsid w:val="00525203"/>
    <w:rsid w:val="005252C9"/>
    <w:rsid w:val="00525306"/>
    <w:rsid w:val="00525324"/>
    <w:rsid w:val="0052539A"/>
    <w:rsid w:val="005253DA"/>
    <w:rsid w:val="00525445"/>
    <w:rsid w:val="00525457"/>
    <w:rsid w:val="0052548C"/>
    <w:rsid w:val="0052549F"/>
    <w:rsid w:val="00525566"/>
    <w:rsid w:val="00525598"/>
    <w:rsid w:val="00525600"/>
    <w:rsid w:val="00525602"/>
    <w:rsid w:val="005256B5"/>
    <w:rsid w:val="005256CF"/>
    <w:rsid w:val="00525879"/>
    <w:rsid w:val="00525888"/>
    <w:rsid w:val="005258AB"/>
    <w:rsid w:val="0052591A"/>
    <w:rsid w:val="0052596E"/>
    <w:rsid w:val="0052597C"/>
    <w:rsid w:val="00525987"/>
    <w:rsid w:val="005259DB"/>
    <w:rsid w:val="005259DD"/>
    <w:rsid w:val="00525A20"/>
    <w:rsid w:val="00525A46"/>
    <w:rsid w:val="00525A75"/>
    <w:rsid w:val="00525AFE"/>
    <w:rsid w:val="00525B03"/>
    <w:rsid w:val="00525B69"/>
    <w:rsid w:val="00525BAB"/>
    <w:rsid w:val="00525BE4"/>
    <w:rsid w:val="00525C0E"/>
    <w:rsid w:val="00525CD9"/>
    <w:rsid w:val="00525D03"/>
    <w:rsid w:val="00525E86"/>
    <w:rsid w:val="00525EBF"/>
    <w:rsid w:val="00525EC3"/>
    <w:rsid w:val="00525F0B"/>
    <w:rsid w:val="00525F28"/>
    <w:rsid w:val="00525F2D"/>
    <w:rsid w:val="00525F70"/>
    <w:rsid w:val="00525F86"/>
    <w:rsid w:val="00526026"/>
    <w:rsid w:val="0052602F"/>
    <w:rsid w:val="00526089"/>
    <w:rsid w:val="00526099"/>
    <w:rsid w:val="005260B8"/>
    <w:rsid w:val="005260DC"/>
    <w:rsid w:val="00526120"/>
    <w:rsid w:val="0052613C"/>
    <w:rsid w:val="005261CB"/>
    <w:rsid w:val="0052620F"/>
    <w:rsid w:val="005262A2"/>
    <w:rsid w:val="005262BA"/>
    <w:rsid w:val="005262CE"/>
    <w:rsid w:val="00526342"/>
    <w:rsid w:val="00526371"/>
    <w:rsid w:val="005263A8"/>
    <w:rsid w:val="005263ED"/>
    <w:rsid w:val="00526492"/>
    <w:rsid w:val="005264AE"/>
    <w:rsid w:val="005264C9"/>
    <w:rsid w:val="005264F7"/>
    <w:rsid w:val="00526512"/>
    <w:rsid w:val="0052651B"/>
    <w:rsid w:val="0052657C"/>
    <w:rsid w:val="005265BE"/>
    <w:rsid w:val="0052661E"/>
    <w:rsid w:val="00526620"/>
    <w:rsid w:val="00526751"/>
    <w:rsid w:val="005267CE"/>
    <w:rsid w:val="0052681C"/>
    <w:rsid w:val="00526859"/>
    <w:rsid w:val="00526891"/>
    <w:rsid w:val="005268B6"/>
    <w:rsid w:val="0052691D"/>
    <w:rsid w:val="00526925"/>
    <w:rsid w:val="0052692F"/>
    <w:rsid w:val="00526992"/>
    <w:rsid w:val="005269DF"/>
    <w:rsid w:val="00526A5D"/>
    <w:rsid w:val="00526A6D"/>
    <w:rsid w:val="00526B11"/>
    <w:rsid w:val="00526B58"/>
    <w:rsid w:val="00526B5E"/>
    <w:rsid w:val="00526C3D"/>
    <w:rsid w:val="00526CD3"/>
    <w:rsid w:val="00526D8A"/>
    <w:rsid w:val="00526F23"/>
    <w:rsid w:val="00526F99"/>
    <w:rsid w:val="00526FF7"/>
    <w:rsid w:val="00527055"/>
    <w:rsid w:val="0052707D"/>
    <w:rsid w:val="005270C8"/>
    <w:rsid w:val="005270D5"/>
    <w:rsid w:val="00527140"/>
    <w:rsid w:val="0052716D"/>
    <w:rsid w:val="0052716E"/>
    <w:rsid w:val="00527174"/>
    <w:rsid w:val="005271A9"/>
    <w:rsid w:val="005271B8"/>
    <w:rsid w:val="0052720E"/>
    <w:rsid w:val="0052722B"/>
    <w:rsid w:val="0052726E"/>
    <w:rsid w:val="005273BE"/>
    <w:rsid w:val="005273C1"/>
    <w:rsid w:val="005273C7"/>
    <w:rsid w:val="005273EE"/>
    <w:rsid w:val="0052741D"/>
    <w:rsid w:val="005274B5"/>
    <w:rsid w:val="0052754E"/>
    <w:rsid w:val="00527574"/>
    <w:rsid w:val="005275A7"/>
    <w:rsid w:val="005275B7"/>
    <w:rsid w:val="005275D3"/>
    <w:rsid w:val="005275F6"/>
    <w:rsid w:val="0052764C"/>
    <w:rsid w:val="00527699"/>
    <w:rsid w:val="0052769A"/>
    <w:rsid w:val="00527748"/>
    <w:rsid w:val="00527803"/>
    <w:rsid w:val="0052780F"/>
    <w:rsid w:val="0052781D"/>
    <w:rsid w:val="005278AA"/>
    <w:rsid w:val="0052792E"/>
    <w:rsid w:val="005279A3"/>
    <w:rsid w:val="00527A73"/>
    <w:rsid w:val="00527A85"/>
    <w:rsid w:val="00527AB2"/>
    <w:rsid w:val="00527B63"/>
    <w:rsid w:val="00527C56"/>
    <w:rsid w:val="00527CA2"/>
    <w:rsid w:val="00527D1F"/>
    <w:rsid w:val="00527D67"/>
    <w:rsid w:val="00527D9E"/>
    <w:rsid w:val="00527DA4"/>
    <w:rsid w:val="00527DEB"/>
    <w:rsid w:val="00527EBD"/>
    <w:rsid w:val="00527ED4"/>
    <w:rsid w:val="00527F3B"/>
    <w:rsid w:val="00527F3D"/>
    <w:rsid w:val="00527F5E"/>
    <w:rsid w:val="00527F70"/>
    <w:rsid w:val="00527FC6"/>
    <w:rsid w:val="00527FCC"/>
    <w:rsid w:val="00527FFD"/>
    <w:rsid w:val="00530023"/>
    <w:rsid w:val="00530026"/>
    <w:rsid w:val="0053004C"/>
    <w:rsid w:val="00530058"/>
    <w:rsid w:val="00530071"/>
    <w:rsid w:val="0053007A"/>
    <w:rsid w:val="005300B1"/>
    <w:rsid w:val="00530156"/>
    <w:rsid w:val="0053017B"/>
    <w:rsid w:val="00530181"/>
    <w:rsid w:val="005301BE"/>
    <w:rsid w:val="0053023F"/>
    <w:rsid w:val="005302D0"/>
    <w:rsid w:val="0053036C"/>
    <w:rsid w:val="0053038B"/>
    <w:rsid w:val="0053039D"/>
    <w:rsid w:val="0053039F"/>
    <w:rsid w:val="00530545"/>
    <w:rsid w:val="005305BF"/>
    <w:rsid w:val="00530693"/>
    <w:rsid w:val="005306F6"/>
    <w:rsid w:val="0053070D"/>
    <w:rsid w:val="0053073D"/>
    <w:rsid w:val="005307B6"/>
    <w:rsid w:val="005307C1"/>
    <w:rsid w:val="00530828"/>
    <w:rsid w:val="00530834"/>
    <w:rsid w:val="00530835"/>
    <w:rsid w:val="00530984"/>
    <w:rsid w:val="00530992"/>
    <w:rsid w:val="005309B8"/>
    <w:rsid w:val="005309EC"/>
    <w:rsid w:val="00530A0C"/>
    <w:rsid w:val="00530A0D"/>
    <w:rsid w:val="00530A12"/>
    <w:rsid w:val="00530A73"/>
    <w:rsid w:val="00530A87"/>
    <w:rsid w:val="00530B39"/>
    <w:rsid w:val="00530B44"/>
    <w:rsid w:val="00530B76"/>
    <w:rsid w:val="00530BCB"/>
    <w:rsid w:val="00530BEF"/>
    <w:rsid w:val="00530C9B"/>
    <w:rsid w:val="00530CFA"/>
    <w:rsid w:val="00530D20"/>
    <w:rsid w:val="00530DA2"/>
    <w:rsid w:val="00530E59"/>
    <w:rsid w:val="00530E7F"/>
    <w:rsid w:val="00530E81"/>
    <w:rsid w:val="00530EE6"/>
    <w:rsid w:val="00530EE7"/>
    <w:rsid w:val="00530F00"/>
    <w:rsid w:val="00530F2B"/>
    <w:rsid w:val="00530F64"/>
    <w:rsid w:val="00530FC7"/>
    <w:rsid w:val="00530FC8"/>
    <w:rsid w:val="00530FCB"/>
    <w:rsid w:val="00530FF2"/>
    <w:rsid w:val="0053101B"/>
    <w:rsid w:val="00531049"/>
    <w:rsid w:val="00531056"/>
    <w:rsid w:val="005310C2"/>
    <w:rsid w:val="00531127"/>
    <w:rsid w:val="00531169"/>
    <w:rsid w:val="005311F5"/>
    <w:rsid w:val="00531292"/>
    <w:rsid w:val="005312B4"/>
    <w:rsid w:val="00531352"/>
    <w:rsid w:val="00531363"/>
    <w:rsid w:val="0053137A"/>
    <w:rsid w:val="0053137C"/>
    <w:rsid w:val="005313B7"/>
    <w:rsid w:val="005314F2"/>
    <w:rsid w:val="00531541"/>
    <w:rsid w:val="00531588"/>
    <w:rsid w:val="00531683"/>
    <w:rsid w:val="005317D9"/>
    <w:rsid w:val="00531833"/>
    <w:rsid w:val="00531834"/>
    <w:rsid w:val="005318C1"/>
    <w:rsid w:val="005318DE"/>
    <w:rsid w:val="00531920"/>
    <w:rsid w:val="00531932"/>
    <w:rsid w:val="005319AB"/>
    <w:rsid w:val="00531AC2"/>
    <w:rsid w:val="00531B3A"/>
    <w:rsid w:val="00531BE2"/>
    <w:rsid w:val="00531BEE"/>
    <w:rsid w:val="00531C05"/>
    <w:rsid w:val="00531D2B"/>
    <w:rsid w:val="00531DBC"/>
    <w:rsid w:val="00531DC4"/>
    <w:rsid w:val="00531DC9"/>
    <w:rsid w:val="00531DD6"/>
    <w:rsid w:val="00531F90"/>
    <w:rsid w:val="00532012"/>
    <w:rsid w:val="00532042"/>
    <w:rsid w:val="00532065"/>
    <w:rsid w:val="0053211D"/>
    <w:rsid w:val="00532145"/>
    <w:rsid w:val="005321B7"/>
    <w:rsid w:val="00532200"/>
    <w:rsid w:val="00532259"/>
    <w:rsid w:val="005323A3"/>
    <w:rsid w:val="00532432"/>
    <w:rsid w:val="00532485"/>
    <w:rsid w:val="00532591"/>
    <w:rsid w:val="00532596"/>
    <w:rsid w:val="005325CE"/>
    <w:rsid w:val="005325FE"/>
    <w:rsid w:val="00532647"/>
    <w:rsid w:val="00532683"/>
    <w:rsid w:val="005326DC"/>
    <w:rsid w:val="00532711"/>
    <w:rsid w:val="00532736"/>
    <w:rsid w:val="0053275E"/>
    <w:rsid w:val="0053283F"/>
    <w:rsid w:val="00532864"/>
    <w:rsid w:val="00532873"/>
    <w:rsid w:val="00532879"/>
    <w:rsid w:val="005328E4"/>
    <w:rsid w:val="005328EB"/>
    <w:rsid w:val="00532975"/>
    <w:rsid w:val="00532A56"/>
    <w:rsid w:val="00532A64"/>
    <w:rsid w:val="00532AB1"/>
    <w:rsid w:val="00532ADF"/>
    <w:rsid w:val="00532B6B"/>
    <w:rsid w:val="00532B7C"/>
    <w:rsid w:val="00532B88"/>
    <w:rsid w:val="00532BC1"/>
    <w:rsid w:val="00532CAE"/>
    <w:rsid w:val="00532D21"/>
    <w:rsid w:val="00532D41"/>
    <w:rsid w:val="00532DB8"/>
    <w:rsid w:val="00532DEF"/>
    <w:rsid w:val="00532E35"/>
    <w:rsid w:val="00532E98"/>
    <w:rsid w:val="00533083"/>
    <w:rsid w:val="00533091"/>
    <w:rsid w:val="0053317C"/>
    <w:rsid w:val="005331AE"/>
    <w:rsid w:val="005331C8"/>
    <w:rsid w:val="005331D3"/>
    <w:rsid w:val="00533229"/>
    <w:rsid w:val="005332A5"/>
    <w:rsid w:val="005332B0"/>
    <w:rsid w:val="005332B6"/>
    <w:rsid w:val="00533344"/>
    <w:rsid w:val="00533364"/>
    <w:rsid w:val="005333E3"/>
    <w:rsid w:val="005333E4"/>
    <w:rsid w:val="005333EA"/>
    <w:rsid w:val="0053346C"/>
    <w:rsid w:val="00533491"/>
    <w:rsid w:val="00533498"/>
    <w:rsid w:val="0053353F"/>
    <w:rsid w:val="00533547"/>
    <w:rsid w:val="00533555"/>
    <w:rsid w:val="00533557"/>
    <w:rsid w:val="005335E2"/>
    <w:rsid w:val="005335EA"/>
    <w:rsid w:val="00533602"/>
    <w:rsid w:val="00533659"/>
    <w:rsid w:val="005336DB"/>
    <w:rsid w:val="005336E1"/>
    <w:rsid w:val="005337AC"/>
    <w:rsid w:val="005337CB"/>
    <w:rsid w:val="0053383D"/>
    <w:rsid w:val="00533890"/>
    <w:rsid w:val="00533927"/>
    <w:rsid w:val="00533AA8"/>
    <w:rsid w:val="00533AEE"/>
    <w:rsid w:val="00533C13"/>
    <w:rsid w:val="00533C1C"/>
    <w:rsid w:val="00533C22"/>
    <w:rsid w:val="00533C25"/>
    <w:rsid w:val="00533D68"/>
    <w:rsid w:val="00533D86"/>
    <w:rsid w:val="00533D94"/>
    <w:rsid w:val="00533DDF"/>
    <w:rsid w:val="00533E24"/>
    <w:rsid w:val="00533E55"/>
    <w:rsid w:val="00533E75"/>
    <w:rsid w:val="00533F0B"/>
    <w:rsid w:val="00533F4A"/>
    <w:rsid w:val="00533F52"/>
    <w:rsid w:val="00534045"/>
    <w:rsid w:val="005340DE"/>
    <w:rsid w:val="00534136"/>
    <w:rsid w:val="00534168"/>
    <w:rsid w:val="005341B9"/>
    <w:rsid w:val="00534200"/>
    <w:rsid w:val="00534221"/>
    <w:rsid w:val="005342FF"/>
    <w:rsid w:val="00534321"/>
    <w:rsid w:val="00534324"/>
    <w:rsid w:val="00534327"/>
    <w:rsid w:val="005343CD"/>
    <w:rsid w:val="005343F7"/>
    <w:rsid w:val="0053449C"/>
    <w:rsid w:val="005344A6"/>
    <w:rsid w:val="005344E0"/>
    <w:rsid w:val="0053454F"/>
    <w:rsid w:val="00534566"/>
    <w:rsid w:val="0053456F"/>
    <w:rsid w:val="005345CA"/>
    <w:rsid w:val="00534617"/>
    <w:rsid w:val="00534646"/>
    <w:rsid w:val="00534666"/>
    <w:rsid w:val="00534682"/>
    <w:rsid w:val="0053471F"/>
    <w:rsid w:val="00534765"/>
    <w:rsid w:val="005347C3"/>
    <w:rsid w:val="00534905"/>
    <w:rsid w:val="0053497C"/>
    <w:rsid w:val="005349D0"/>
    <w:rsid w:val="00534A93"/>
    <w:rsid w:val="00534ADD"/>
    <w:rsid w:val="00534AE3"/>
    <w:rsid w:val="00534B03"/>
    <w:rsid w:val="00534B72"/>
    <w:rsid w:val="00534B95"/>
    <w:rsid w:val="00534B98"/>
    <w:rsid w:val="00534BBC"/>
    <w:rsid w:val="00534C32"/>
    <w:rsid w:val="00534D12"/>
    <w:rsid w:val="00534D78"/>
    <w:rsid w:val="00534DB2"/>
    <w:rsid w:val="00534DC7"/>
    <w:rsid w:val="00534E15"/>
    <w:rsid w:val="00534E40"/>
    <w:rsid w:val="00534EA7"/>
    <w:rsid w:val="00534F4A"/>
    <w:rsid w:val="00534FBD"/>
    <w:rsid w:val="00534FC1"/>
    <w:rsid w:val="00534FD8"/>
    <w:rsid w:val="00534FF4"/>
    <w:rsid w:val="005350CA"/>
    <w:rsid w:val="005350DB"/>
    <w:rsid w:val="005351AE"/>
    <w:rsid w:val="005351DF"/>
    <w:rsid w:val="005351F2"/>
    <w:rsid w:val="00535218"/>
    <w:rsid w:val="0053532E"/>
    <w:rsid w:val="0053533E"/>
    <w:rsid w:val="0053537B"/>
    <w:rsid w:val="00535383"/>
    <w:rsid w:val="005353A8"/>
    <w:rsid w:val="005353AB"/>
    <w:rsid w:val="00535416"/>
    <w:rsid w:val="0053549B"/>
    <w:rsid w:val="00535546"/>
    <w:rsid w:val="0053563D"/>
    <w:rsid w:val="00535684"/>
    <w:rsid w:val="00535784"/>
    <w:rsid w:val="0053582E"/>
    <w:rsid w:val="005358A6"/>
    <w:rsid w:val="005358F6"/>
    <w:rsid w:val="00535980"/>
    <w:rsid w:val="005359DE"/>
    <w:rsid w:val="00535A3E"/>
    <w:rsid w:val="00535A6A"/>
    <w:rsid w:val="00535B0B"/>
    <w:rsid w:val="00535BAC"/>
    <w:rsid w:val="00535D34"/>
    <w:rsid w:val="00535D6E"/>
    <w:rsid w:val="00535D8C"/>
    <w:rsid w:val="00535DC9"/>
    <w:rsid w:val="00535EFC"/>
    <w:rsid w:val="00535F05"/>
    <w:rsid w:val="00535F55"/>
    <w:rsid w:val="005361CD"/>
    <w:rsid w:val="005361E1"/>
    <w:rsid w:val="00536215"/>
    <w:rsid w:val="00536216"/>
    <w:rsid w:val="00536263"/>
    <w:rsid w:val="0053626E"/>
    <w:rsid w:val="0053629F"/>
    <w:rsid w:val="005362BA"/>
    <w:rsid w:val="005362DD"/>
    <w:rsid w:val="0053635C"/>
    <w:rsid w:val="0053635D"/>
    <w:rsid w:val="00536368"/>
    <w:rsid w:val="005363EB"/>
    <w:rsid w:val="0053640F"/>
    <w:rsid w:val="0053649D"/>
    <w:rsid w:val="00536577"/>
    <w:rsid w:val="0053658A"/>
    <w:rsid w:val="00536596"/>
    <w:rsid w:val="005365B1"/>
    <w:rsid w:val="005365CB"/>
    <w:rsid w:val="005365FB"/>
    <w:rsid w:val="00536605"/>
    <w:rsid w:val="00536635"/>
    <w:rsid w:val="0053671B"/>
    <w:rsid w:val="0053672E"/>
    <w:rsid w:val="00536748"/>
    <w:rsid w:val="00536794"/>
    <w:rsid w:val="005367E3"/>
    <w:rsid w:val="00536814"/>
    <w:rsid w:val="00536828"/>
    <w:rsid w:val="0053684D"/>
    <w:rsid w:val="005368C8"/>
    <w:rsid w:val="005369A6"/>
    <w:rsid w:val="005369BB"/>
    <w:rsid w:val="00536A53"/>
    <w:rsid w:val="00536A5C"/>
    <w:rsid w:val="00536AF1"/>
    <w:rsid w:val="00536AF2"/>
    <w:rsid w:val="00536BFC"/>
    <w:rsid w:val="00536C75"/>
    <w:rsid w:val="00536CFF"/>
    <w:rsid w:val="00536DA2"/>
    <w:rsid w:val="00536E18"/>
    <w:rsid w:val="00536E64"/>
    <w:rsid w:val="00536EC8"/>
    <w:rsid w:val="00536F75"/>
    <w:rsid w:val="00536F79"/>
    <w:rsid w:val="00536FDE"/>
    <w:rsid w:val="00537035"/>
    <w:rsid w:val="00537103"/>
    <w:rsid w:val="00537126"/>
    <w:rsid w:val="0053712B"/>
    <w:rsid w:val="00537154"/>
    <w:rsid w:val="00537177"/>
    <w:rsid w:val="00537190"/>
    <w:rsid w:val="00537192"/>
    <w:rsid w:val="005371F9"/>
    <w:rsid w:val="005371FB"/>
    <w:rsid w:val="00537255"/>
    <w:rsid w:val="00537289"/>
    <w:rsid w:val="005372A5"/>
    <w:rsid w:val="005373C8"/>
    <w:rsid w:val="0053742F"/>
    <w:rsid w:val="00537451"/>
    <w:rsid w:val="00537467"/>
    <w:rsid w:val="00537493"/>
    <w:rsid w:val="005374CD"/>
    <w:rsid w:val="005374D3"/>
    <w:rsid w:val="00537515"/>
    <w:rsid w:val="00537636"/>
    <w:rsid w:val="00537641"/>
    <w:rsid w:val="00537656"/>
    <w:rsid w:val="00537678"/>
    <w:rsid w:val="005376B1"/>
    <w:rsid w:val="0053770E"/>
    <w:rsid w:val="0053776F"/>
    <w:rsid w:val="00537834"/>
    <w:rsid w:val="00537901"/>
    <w:rsid w:val="00537965"/>
    <w:rsid w:val="0053797C"/>
    <w:rsid w:val="00537989"/>
    <w:rsid w:val="00537A38"/>
    <w:rsid w:val="00537A81"/>
    <w:rsid w:val="00537AC8"/>
    <w:rsid w:val="00537B16"/>
    <w:rsid w:val="00537B51"/>
    <w:rsid w:val="00537B95"/>
    <w:rsid w:val="00537BAC"/>
    <w:rsid w:val="00537C0D"/>
    <w:rsid w:val="00537C75"/>
    <w:rsid w:val="00537C9D"/>
    <w:rsid w:val="00537CCA"/>
    <w:rsid w:val="00537D37"/>
    <w:rsid w:val="00537D95"/>
    <w:rsid w:val="00537DAB"/>
    <w:rsid w:val="00537DFE"/>
    <w:rsid w:val="00537EB7"/>
    <w:rsid w:val="00537F94"/>
    <w:rsid w:val="00537FB1"/>
    <w:rsid w:val="00540000"/>
    <w:rsid w:val="00540036"/>
    <w:rsid w:val="00540059"/>
    <w:rsid w:val="005400BD"/>
    <w:rsid w:val="005400DC"/>
    <w:rsid w:val="00540102"/>
    <w:rsid w:val="00540223"/>
    <w:rsid w:val="00540449"/>
    <w:rsid w:val="00540497"/>
    <w:rsid w:val="005404D9"/>
    <w:rsid w:val="00540538"/>
    <w:rsid w:val="00540556"/>
    <w:rsid w:val="005405B5"/>
    <w:rsid w:val="00540659"/>
    <w:rsid w:val="00540695"/>
    <w:rsid w:val="0054070B"/>
    <w:rsid w:val="00540815"/>
    <w:rsid w:val="00540817"/>
    <w:rsid w:val="0054089A"/>
    <w:rsid w:val="005408A9"/>
    <w:rsid w:val="005408AA"/>
    <w:rsid w:val="00540925"/>
    <w:rsid w:val="00540932"/>
    <w:rsid w:val="00540962"/>
    <w:rsid w:val="00540B2C"/>
    <w:rsid w:val="00540B35"/>
    <w:rsid w:val="00540C78"/>
    <w:rsid w:val="00540C98"/>
    <w:rsid w:val="00540CDB"/>
    <w:rsid w:val="00540D66"/>
    <w:rsid w:val="00540DB1"/>
    <w:rsid w:val="00540EB4"/>
    <w:rsid w:val="00540F39"/>
    <w:rsid w:val="00540FAA"/>
    <w:rsid w:val="00540FD3"/>
    <w:rsid w:val="00541033"/>
    <w:rsid w:val="00541038"/>
    <w:rsid w:val="00541066"/>
    <w:rsid w:val="0054109C"/>
    <w:rsid w:val="005410A1"/>
    <w:rsid w:val="0054116B"/>
    <w:rsid w:val="00541187"/>
    <w:rsid w:val="0054119B"/>
    <w:rsid w:val="005411B7"/>
    <w:rsid w:val="005411CF"/>
    <w:rsid w:val="00541205"/>
    <w:rsid w:val="0054121E"/>
    <w:rsid w:val="0054125C"/>
    <w:rsid w:val="0054126D"/>
    <w:rsid w:val="005412CE"/>
    <w:rsid w:val="005413AE"/>
    <w:rsid w:val="005413D0"/>
    <w:rsid w:val="00541430"/>
    <w:rsid w:val="00541465"/>
    <w:rsid w:val="00541472"/>
    <w:rsid w:val="0054147C"/>
    <w:rsid w:val="0054154A"/>
    <w:rsid w:val="00541591"/>
    <w:rsid w:val="005415CA"/>
    <w:rsid w:val="005415D2"/>
    <w:rsid w:val="00541635"/>
    <w:rsid w:val="0054165E"/>
    <w:rsid w:val="00541661"/>
    <w:rsid w:val="00541707"/>
    <w:rsid w:val="00541721"/>
    <w:rsid w:val="0054174F"/>
    <w:rsid w:val="00541752"/>
    <w:rsid w:val="00541894"/>
    <w:rsid w:val="005418C4"/>
    <w:rsid w:val="005418E9"/>
    <w:rsid w:val="00541937"/>
    <w:rsid w:val="00541954"/>
    <w:rsid w:val="005419A4"/>
    <w:rsid w:val="00541A19"/>
    <w:rsid w:val="00541AFE"/>
    <w:rsid w:val="00541B39"/>
    <w:rsid w:val="00541BAA"/>
    <w:rsid w:val="00541BBB"/>
    <w:rsid w:val="00541C56"/>
    <w:rsid w:val="00541D59"/>
    <w:rsid w:val="00541E38"/>
    <w:rsid w:val="00541EA1"/>
    <w:rsid w:val="00541F25"/>
    <w:rsid w:val="00541F5E"/>
    <w:rsid w:val="00541FDF"/>
    <w:rsid w:val="0054201A"/>
    <w:rsid w:val="00542077"/>
    <w:rsid w:val="00542155"/>
    <w:rsid w:val="00542203"/>
    <w:rsid w:val="0054220A"/>
    <w:rsid w:val="0054221F"/>
    <w:rsid w:val="00542234"/>
    <w:rsid w:val="0054227A"/>
    <w:rsid w:val="00542392"/>
    <w:rsid w:val="005423BB"/>
    <w:rsid w:val="005423EA"/>
    <w:rsid w:val="005423FA"/>
    <w:rsid w:val="005425D3"/>
    <w:rsid w:val="00542608"/>
    <w:rsid w:val="0054265E"/>
    <w:rsid w:val="0054265F"/>
    <w:rsid w:val="00542660"/>
    <w:rsid w:val="0054279D"/>
    <w:rsid w:val="005427C1"/>
    <w:rsid w:val="005427F1"/>
    <w:rsid w:val="0054280B"/>
    <w:rsid w:val="00542846"/>
    <w:rsid w:val="00542892"/>
    <w:rsid w:val="005428B3"/>
    <w:rsid w:val="00542A3A"/>
    <w:rsid w:val="00542A4C"/>
    <w:rsid w:val="00542A6B"/>
    <w:rsid w:val="00542AA4"/>
    <w:rsid w:val="00542AAE"/>
    <w:rsid w:val="00542AB5"/>
    <w:rsid w:val="00542B29"/>
    <w:rsid w:val="00542C41"/>
    <w:rsid w:val="00542C54"/>
    <w:rsid w:val="00542C60"/>
    <w:rsid w:val="00542CA5"/>
    <w:rsid w:val="00542D2D"/>
    <w:rsid w:val="00542D59"/>
    <w:rsid w:val="00542D7A"/>
    <w:rsid w:val="00542D9E"/>
    <w:rsid w:val="00542DF0"/>
    <w:rsid w:val="00542EE1"/>
    <w:rsid w:val="00542F26"/>
    <w:rsid w:val="00542F69"/>
    <w:rsid w:val="00543061"/>
    <w:rsid w:val="005430BC"/>
    <w:rsid w:val="005430FC"/>
    <w:rsid w:val="00543105"/>
    <w:rsid w:val="00543115"/>
    <w:rsid w:val="0054312B"/>
    <w:rsid w:val="00543162"/>
    <w:rsid w:val="00543170"/>
    <w:rsid w:val="00543217"/>
    <w:rsid w:val="00543248"/>
    <w:rsid w:val="005432DB"/>
    <w:rsid w:val="00543305"/>
    <w:rsid w:val="00543395"/>
    <w:rsid w:val="005433EF"/>
    <w:rsid w:val="00543479"/>
    <w:rsid w:val="0054355F"/>
    <w:rsid w:val="005435BC"/>
    <w:rsid w:val="005435EE"/>
    <w:rsid w:val="0054363B"/>
    <w:rsid w:val="00543651"/>
    <w:rsid w:val="005436F0"/>
    <w:rsid w:val="00543710"/>
    <w:rsid w:val="00543765"/>
    <w:rsid w:val="0054377D"/>
    <w:rsid w:val="005437C0"/>
    <w:rsid w:val="005437CE"/>
    <w:rsid w:val="005438B3"/>
    <w:rsid w:val="005438E2"/>
    <w:rsid w:val="005438F0"/>
    <w:rsid w:val="00543948"/>
    <w:rsid w:val="005439BC"/>
    <w:rsid w:val="00543A2B"/>
    <w:rsid w:val="00543A5E"/>
    <w:rsid w:val="00543A5F"/>
    <w:rsid w:val="00543ADF"/>
    <w:rsid w:val="00543AFA"/>
    <w:rsid w:val="00543B23"/>
    <w:rsid w:val="00543B7B"/>
    <w:rsid w:val="00543C09"/>
    <w:rsid w:val="00543C58"/>
    <w:rsid w:val="00543DDF"/>
    <w:rsid w:val="00543EB0"/>
    <w:rsid w:val="00543EB3"/>
    <w:rsid w:val="00543EDB"/>
    <w:rsid w:val="00543F1A"/>
    <w:rsid w:val="00543F29"/>
    <w:rsid w:val="00543F39"/>
    <w:rsid w:val="00543F4E"/>
    <w:rsid w:val="00543F7C"/>
    <w:rsid w:val="00543F9C"/>
    <w:rsid w:val="00543FD8"/>
    <w:rsid w:val="00543FF7"/>
    <w:rsid w:val="00544059"/>
    <w:rsid w:val="005440FE"/>
    <w:rsid w:val="005441CF"/>
    <w:rsid w:val="005441F8"/>
    <w:rsid w:val="00544210"/>
    <w:rsid w:val="00544214"/>
    <w:rsid w:val="0054426C"/>
    <w:rsid w:val="00544380"/>
    <w:rsid w:val="005443A6"/>
    <w:rsid w:val="005443B4"/>
    <w:rsid w:val="005443F6"/>
    <w:rsid w:val="0054447C"/>
    <w:rsid w:val="00544523"/>
    <w:rsid w:val="0054460F"/>
    <w:rsid w:val="00544654"/>
    <w:rsid w:val="0054467F"/>
    <w:rsid w:val="005446D7"/>
    <w:rsid w:val="0054478A"/>
    <w:rsid w:val="00544904"/>
    <w:rsid w:val="00544935"/>
    <w:rsid w:val="0054494D"/>
    <w:rsid w:val="0054494F"/>
    <w:rsid w:val="005449BC"/>
    <w:rsid w:val="005449E4"/>
    <w:rsid w:val="00544A04"/>
    <w:rsid w:val="00544A4B"/>
    <w:rsid w:val="00544AB0"/>
    <w:rsid w:val="00544AC7"/>
    <w:rsid w:val="00544B07"/>
    <w:rsid w:val="00544BB6"/>
    <w:rsid w:val="00544BBA"/>
    <w:rsid w:val="00544C5E"/>
    <w:rsid w:val="00544C81"/>
    <w:rsid w:val="00544CC4"/>
    <w:rsid w:val="00544D9A"/>
    <w:rsid w:val="00544DAD"/>
    <w:rsid w:val="00544E6D"/>
    <w:rsid w:val="00544EA1"/>
    <w:rsid w:val="00544EA5"/>
    <w:rsid w:val="00544EF8"/>
    <w:rsid w:val="00544F4A"/>
    <w:rsid w:val="00544F78"/>
    <w:rsid w:val="00544FA2"/>
    <w:rsid w:val="00545119"/>
    <w:rsid w:val="005451A8"/>
    <w:rsid w:val="0054520F"/>
    <w:rsid w:val="0054523C"/>
    <w:rsid w:val="005452B2"/>
    <w:rsid w:val="00545452"/>
    <w:rsid w:val="00545461"/>
    <w:rsid w:val="005454B2"/>
    <w:rsid w:val="005454E3"/>
    <w:rsid w:val="00545542"/>
    <w:rsid w:val="00545554"/>
    <w:rsid w:val="005455E0"/>
    <w:rsid w:val="00545616"/>
    <w:rsid w:val="0054561D"/>
    <w:rsid w:val="0054562E"/>
    <w:rsid w:val="005456FF"/>
    <w:rsid w:val="0054575C"/>
    <w:rsid w:val="0054576E"/>
    <w:rsid w:val="0054577B"/>
    <w:rsid w:val="0054578C"/>
    <w:rsid w:val="0054579B"/>
    <w:rsid w:val="005457A5"/>
    <w:rsid w:val="005457F2"/>
    <w:rsid w:val="00545857"/>
    <w:rsid w:val="005458E2"/>
    <w:rsid w:val="005458FF"/>
    <w:rsid w:val="00545974"/>
    <w:rsid w:val="005459A5"/>
    <w:rsid w:val="00545A2A"/>
    <w:rsid w:val="00545A33"/>
    <w:rsid w:val="00545A61"/>
    <w:rsid w:val="00545C0D"/>
    <w:rsid w:val="00545D58"/>
    <w:rsid w:val="00545D79"/>
    <w:rsid w:val="00545DBA"/>
    <w:rsid w:val="00545E5F"/>
    <w:rsid w:val="00545EDA"/>
    <w:rsid w:val="00545EE9"/>
    <w:rsid w:val="00545F0D"/>
    <w:rsid w:val="00545F1E"/>
    <w:rsid w:val="00545F30"/>
    <w:rsid w:val="00545F7D"/>
    <w:rsid w:val="00545F9C"/>
    <w:rsid w:val="00546049"/>
    <w:rsid w:val="00546153"/>
    <w:rsid w:val="0054621A"/>
    <w:rsid w:val="0054626B"/>
    <w:rsid w:val="005462A8"/>
    <w:rsid w:val="005462D4"/>
    <w:rsid w:val="00546380"/>
    <w:rsid w:val="005463AA"/>
    <w:rsid w:val="005463F7"/>
    <w:rsid w:val="00546422"/>
    <w:rsid w:val="005464C8"/>
    <w:rsid w:val="00546575"/>
    <w:rsid w:val="0054657F"/>
    <w:rsid w:val="005465AA"/>
    <w:rsid w:val="005465F2"/>
    <w:rsid w:val="0054663E"/>
    <w:rsid w:val="005466FA"/>
    <w:rsid w:val="00546701"/>
    <w:rsid w:val="0054672B"/>
    <w:rsid w:val="005468F3"/>
    <w:rsid w:val="00546964"/>
    <w:rsid w:val="005469B5"/>
    <w:rsid w:val="005469DB"/>
    <w:rsid w:val="00546A5C"/>
    <w:rsid w:val="00546ACA"/>
    <w:rsid w:val="00546AD0"/>
    <w:rsid w:val="00546AEF"/>
    <w:rsid w:val="00546B2C"/>
    <w:rsid w:val="00546BAA"/>
    <w:rsid w:val="00546C75"/>
    <w:rsid w:val="00546C88"/>
    <w:rsid w:val="00546CED"/>
    <w:rsid w:val="00546D3B"/>
    <w:rsid w:val="00546D7C"/>
    <w:rsid w:val="00546DF9"/>
    <w:rsid w:val="00546E2D"/>
    <w:rsid w:val="00546E39"/>
    <w:rsid w:val="00546E6E"/>
    <w:rsid w:val="00546E8C"/>
    <w:rsid w:val="00546ED5"/>
    <w:rsid w:val="00546F80"/>
    <w:rsid w:val="00546F93"/>
    <w:rsid w:val="00546F9C"/>
    <w:rsid w:val="00546FCB"/>
    <w:rsid w:val="00547237"/>
    <w:rsid w:val="00547291"/>
    <w:rsid w:val="00547293"/>
    <w:rsid w:val="005472E9"/>
    <w:rsid w:val="005473DE"/>
    <w:rsid w:val="0054743C"/>
    <w:rsid w:val="0054747F"/>
    <w:rsid w:val="0054755C"/>
    <w:rsid w:val="005476BB"/>
    <w:rsid w:val="005476DD"/>
    <w:rsid w:val="00547710"/>
    <w:rsid w:val="00547748"/>
    <w:rsid w:val="00547754"/>
    <w:rsid w:val="005477B8"/>
    <w:rsid w:val="0054783B"/>
    <w:rsid w:val="005478D5"/>
    <w:rsid w:val="0054791A"/>
    <w:rsid w:val="0054794B"/>
    <w:rsid w:val="00547954"/>
    <w:rsid w:val="005479A0"/>
    <w:rsid w:val="005479B4"/>
    <w:rsid w:val="00547A0B"/>
    <w:rsid w:val="00547AAE"/>
    <w:rsid w:val="00547AC0"/>
    <w:rsid w:val="00547B13"/>
    <w:rsid w:val="00547CF6"/>
    <w:rsid w:val="00547D43"/>
    <w:rsid w:val="00547DFC"/>
    <w:rsid w:val="00547E5F"/>
    <w:rsid w:val="00547F2A"/>
    <w:rsid w:val="00547F6E"/>
    <w:rsid w:val="0055002A"/>
    <w:rsid w:val="0055005C"/>
    <w:rsid w:val="0055011D"/>
    <w:rsid w:val="005501A5"/>
    <w:rsid w:val="00550278"/>
    <w:rsid w:val="0055027F"/>
    <w:rsid w:val="005502C1"/>
    <w:rsid w:val="005503C9"/>
    <w:rsid w:val="005503E4"/>
    <w:rsid w:val="00550469"/>
    <w:rsid w:val="005504E1"/>
    <w:rsid w:val="00550506"/>
    <w:rsid w:val="005505C7"/>
    <w:rsid w:val="0055079D"/>
    <w:rsid w:val="005507DF"/>
    <w:rsid w:val="0055080A"/>
    <w:rsid w:val="0055080D"/>
    <w:rsid w:val="00550887"/>
    <w:rsid w:val="005508DD"/>
    <w:rsid w:val="005508F0"/>
    <w:rsid w:val="00550925"/>
    <w:rsid w:val="0055092B"/>
    <w:rsid w:val="0055096D"/>
    <w:rsid w:val="00550993"/>
    <w:rsid w:val="005509A9"/>
    <w:rsid w:val="005509B2"/>
    <w:rsid w:val="00550A68"/>
    <w:rsid w:val="00550A92"/>
    <w:rsid w:val="00550B0E"/>
    <w:rsid w:val="00550B4A"/>
    <w:rsid w:val="00550BA9"/>
    <w:rsid w:val="00550C04"/>
    <w:rsid w:val="00550C6D"/>
    <w:rsid w:val="00550C91"/>
    <w:rsid w:val="00550CB5"/>
    <w:rsid w:val="00550CC1"/>
    <w:rsid w:val="00550DB6"/>
    <w:rsid w:val="00550DBC"/>
    <w:rsid w:val="00550E1C"/>
    <w:rsid w:val="00550E5A"/>
    <w:rsid w:val="00550E6B"/>
    <w:rsid w:val="00550F85"/>
    <w:rsid w:val="00550FFB"/>
    <w:rsid w:val="00551095"/>
    <w:rsid w:val="00551153"/>
    <w:rsid w:val="00551173"/>
    <w:rsid w:val="00551220"/>
    <w:rsid w:val="0055127F"/>
    <w:rsid w:val="00551299"/>
    <w:rsid w:val="005512FB"/>
    <w:rsid w:val="00551326"/>
    <w:rsid w:val="005513A0"/>
    <w:rsid w:val="00551440"/>
    <w:rsid w:val="005514A8"/>
    <w:rsid w:val="005514E6"/>
    <w:rsid w:val="0055156A"/>
    <w:rsid w:val="005515CB"/>
    <w:rsid w:val="005515FD"/>
    <w:rsid w:val="00551613"/>
    <w:rsid w:val="005516B2"/>
    <w:rsid w:val="005516C9"/>
    <w:rsid w:val="005516F6"/>
    <w:rsid w:val="0055171A"/>
    <w:rsid w:val="00551754"/>
    <w:rsid w:val="0055183F"/>
    <w:rsid w:val="00551921"/>
    <w:rsid w:val="0055198B"/>
    <w:rsid w:val="00551993"/>
    <w:rsid w:val="005519A2"/>
    <w:rsid w:val="005519B7"/>
    <w:rsid w:val="005519C5"/>
    <w:rsid w:val="005519F1"/>
    <w:rsid w:val="00551A18"/>
    <w:rsid w:val="00551A88"/>
    <w:rsid w:val="00551A9E"/>
    <w:rsid w:val="00551ACE"/>
    <w:rsid w:val="00551AE7"/>
    <w:rsid w:val="00551BB5"/>
    <w:rsid w:val="00551C89"/>
    <w:rsid w:val="00551C8A"/>
    <w:rsid w:val="00551CC0"/>
    <w:rsid w:val="00551CF8"/>
    <w:rsid w:val="00551DD5"/>
    <w:rsid w:val="00551E7D"/>
    <w:rsid w:val="00551F50"/>
    <w:rsid w:val="00551FC2"/>
    <w:rsid w:val="00551FDB"/>
    <w:rsid w:val="0055204B"/>
    <w:rsid w:val="0055205C"/>
    <w:rsid w:val="0055205D"/>
    <w:rsid w:val="005520DC"/>
    <w:rsid w:val="005520EF"/>
    <w:rsid w:val="0055213F"/>
    <w:rsid w:val="0055216F"/>
    <w:rsid w:val="0055218B"/>
    <w:rsid w:val="005521A0"/>
    <w:rsid w:val="00552240"/>
    <w:rsid w:val="0055232F"/>
    <w:rsid w:val="00552337"/>
    <w:rsid w:val="0055239C"/>
    <w:rsid w:val="0055240F"/>
    <w:rsid w:val="00552458"/>
    <w:rsid w:val="0055250E"/>
    <w:rsid w:val="005525E1"/>
    <w:rsid w:val="005525E5"/>
    <w:rsid w:val="0055261F"/>
    <w:rsid w:val="00552740"/>
    <w:rsid w:val="00552845"/>
    <w:rsid w:val="0055288A"/>
    <w:rsid w:val="00552975"/>
    <w:rsid w:val="005529CB"/>
    <w:rsid w:val="005529DB"/>
    <w:rsid w:val="00552A78"/>
    <w:rsid w:val="00552AEB"/>
    <w:rsid w:val="00552BC3"/>
    <w:rsid w:val="00552BEA"/>
    <w:rsid w:val="00552C2E"/>
    <w:rsid w:val="00552C59"/>
    <w:rsid w:val="00552CA4"/>
    <w:rsid w:val="00552CE6"/>
    <w:rsid w:val="00552CFE"/>
    <w:rsid w:val="00552DAC"/>
    <w:rsid w:val="00552DE4"/>
    <w:rsid w:val="00552DEE"/>
    <w:rsid w:val="00552E79"/>
    <w:rsid w:val="00552E9B"/>
    <w:rsid w:val="00552ED6"/>
    <w:rsid w:val="00552F59"/>
    <w:rsid w:val="00553047"/>
    <w:rsid w:val="00553091"/>
    <w:rsid w:val="00553125"/>
    <w:rsid w:val="005531E2"/>
    <w:rsid w:val="005531F1"/>
    <w:rsid w:val="005532A7"/>
    <w:rsid w:val="005532FB"/>
    <w:rsid w:val="00553316"/>
    <w:rsid w:val="005533F9"/>
    <w:rsid w:val="00553403"/>
    <w:rsid w:val="005534C2"/>
    <w:rsid w:val="0055358B"/>
    <w:rsid w:val="0055367E"/>
    <w:rsid w:val="005537D8"/>
    <w:rsid w:val="0055384A"/>
    <w:rsid w:val="0055392F"/>
    <w:rsid w:val="00553931"/>
    <w:rsid w:val="00553936"/>
    <w:rsid w:val="00553971"/>
    <w:rsid w:val="00553990"/>
    <w:rsid w:val="0055399B"/>
    <w:rsid w:val="00553A12"/>
    <w:rsid w:val="00553A25"/>
    <w:rsid w:val="00553A2B"/>
    <w:rsid w:val="00553AEA"/>
    <w:rsid w:val="00553C9E"/>
    <w:rsid w:val="00553D71"/>
    <w:rsid w:val="00553DA9"/>
    <w:rsid w:val="00553F5F"/>
    <w:rsid w:val="00553FF3"/>
    <w:rsid w:val="00554070"/>
    <w:rsid w:val="005540C5"/>
    <w:rsid w:val="00554113"/>
    <w:rsid w:val="00554123"/>
    <w:rsid w:val="005541E3"/>
    <w:rsid w:val="005541F7"/>
    <w:rsid w:val="00554229"/>
    <w:rsid w:val="0055426A"/>
    <w:rsid w:val="00554286"/>
    <w:rsid w:val="0055439F"/>
    <w:rsid w:val="005543BC"/>
    <w:rsid w:val="00554413"/>
    <w:rsid w:val="005544ED"/>
    <w:rsid w:val="00554552"/>
    <w:rsid w:val="00554584"/>
    <w:rsid w:val="005545EA"/>
    <w:rsid w:val="0055463B"/>
    <w:rsid w:val="005546B4"/>
    <w:rsid w:val="00554783"/>
    <w:rsid w:val="005547BD"/>
    <w:rsid w:val="005547D0"/>
    <w:rsid w:val="005547D7"/>
    <w:rsid w:val="005547F9"/>
    <w:rsid w:val="00554801"/>
    <w:rsid w:val="00554900"/>
    <w:rsid w:val="0055498B"/>
    <w:rsid w:val="005549D5"/>
    <w:rsid w:val="005549DE"/>
    <w:rsid w:val="00554AA9"/>
    <w:rsid w:val="00554ABE"/>
    <w:rsid w:val="00554AEA"/>
    <w:rsid w:val="00554CF4"/>
    <w:rsid w:val="00554D2C"/>
    <w:rsid w:val="00554D49"/>
    <w:rsid w:val="00554D67"/>
    <w:rsid w:val="00554DF1"/>
    <w:rsid w:val="00554E08"/>
    <w:rsid w:val="00554E3B"/>
    <w:rsid w:val="00554EDB"/>
    <w:rsid w:val="00554EE7"/>
    <w:rsid w:val="00554F15"/>
    <w:rsid w:val="00554F5F"/>
    <w:rsid w:val="0055509E"/>
    <w:rsid w:val="00555163"/>
    <w:rsid w:val="005552D1"/>
    <w:rsid w:val="005552FF"/>
    <w:rsid w:val="00555317"/>
    <w:rsid w:val="005554A4"/>
    <w:rsid w:val="005554A9"/>
    <w:rsid w:val="00555509"/>
    <w:rsid w:val="00555510"/>
    <w:rsid w:val="00555537"/>
    <w:rsid w:val="0055555B"/>
    <w:rsid w:val="0055555F"/>
    <w:rsid w:val="00555606"/>
    <w:rsid w:val="0055560D"/>
    <w:rsid w:val="00555639"/>
    <w:rsid w:val="0055563B"/>
    <w:rsid w:val="005556D7"/>
    <w:rsid w:val="00555724"/>
    <w:rsid w:val="00555794"/>
    <w:rsid w:val="005557A1"/>
    <w:rsid w:val="005557E9"/>
    <w:rsid w:val="005558CC"/>
    <w:rsid w:val="005558FD"/>
    <w:rsid w:val="0055596D"/>
    <w:rsid w:val="005559DD"/>
    <w:rsid w:val="00555AE5"/>
    <w:rsid w:val="00555C58"/>
    <w:rsid w:val="00555D11"/>
    <w:rsid w:val="00555D55"/>
    <w:rsid w:val="00555DBD"/>
    <w:rsid w:val="00555EBE"/>
    <w:rsid w:val="00555ECB"/>
    <w:rsid w:val="00555F21"/>
    <w:rsid w:val="00555F36"/>
    <w:rsid w:val="00555FF6"/>
    <w:rsid w:val="00556009"/>
    <w:rsid w:val="00556106"/>
    <w:rsid w:val="005561F6"/>
    <w:rsid w:val="005562F8"/>
    <w:rsid w:val="00556365"/>
    <w:rsid w:val="005563AF"/>
    <w:rsid w:val="005563F2"/>
    <w:rsid w:val="005564A1"/>
    <w:rsid w:val="005564C5"/>
    <w:rsid w:val="005564D2"/>
    <w:rsid w:val="00556511"/>
    <w:rsid w:val="0055659A"/>
    <w:rsid w:val="00556656"/>
    <w:rsid w:val="005566A1"/>
    <w:rsid w:val="005566AE"/>
    <w:rsid w:val="005566F7"/>
    <w:rsid w:val="0055670B"/>
    <w:rsid w:val="0055672B"/>
    <w:rsid w:val="00556751"/>
    <w:rsid w:val="00556836"/>
    <w:rsid w:val="0055683C"/>
    <w:rsid w:val="0055685C"/>
    <w:rsid w:val="005568A1"/>
    <w:rsid w:val="0055691C"/>
    <w:rsid w:val="00556979"/>
    <w:rsid w:val="005569B8"/>
    <w:rsid w:val="005569CF"/>
    <w:rsid w:val="00556A8A"/>
    <w:rsid w:val="00556A90"/>
    <w:rsid w:val="00556AA7"/>
    <w:rsid w:val="00556ADF"/>
    <w:rsid w:val="00556B8D"/>
    <w:rsid w:val="00556B92"/>
    <w:rsid w:val="00556C7D"/>
    <w:rsid w:val="00556CC7"/>
    <w:rsid w:val="00556CDB"/>
    <w:rsid w:val="00556CFE"/>
    <w:rsid w:val="00556D29"/>
    <w:rsid w:val="00556D9B"/>
    <w:rsid w:val="00556DCC"/>
    <w:rsid w:val="00556EAA"/>
    <w:rsid w:val="00556ED6"/>
    <w:rsid w:val="00556F74"/>
    <w:rsid w:val="00557019"/>
    <w:rsid w:val="00557037"/>
    <w:rsid w:val="0055704A"/>
    <w:rsid w:val="0055707A"/>
    <w:rsid w:val="005570BB"/>
    <w:rsid w:val="0055714C"/>
    <w:rsid w:val="0055715C"/>
    <w:rsid w:val="005571F4"/>
    <w:rsid w:val="00557295"/>
    <w:rsid w:val="005572D4"/>
    <w:rsid w:val="005573B6"/>
    <w:rsid w:val="005574F0"/>
    <w:rsid w:val="00557506"/>
    <w:rsid w:val="00557508"/>
    <w:rsid w:val="0055755F"/>
    <w:rsid w:val="0055756B"/>
    <w:rsid w:val="005575FF"/>
    <w:rsid w:val="0055760B"/>
    <w:rsid w:val="005576CC"/>
    <w:rsid w:val="0055791F"/>
    <w:rsid w:val="0055792D"/>
    <w:rsid w:val="005579DA"/>
    <w:rsid w:val="005579ED"/>
    <w:rsid w:val="00557A55"/>
    <w:rsid w:val="00557A79"/>
    <w:rsid w:val="00557A82"/>
    <w:rsid w:val="00557A91"/>
    <w:rsid w:val="00557A9D"/>
    <w:rsid w:val="00557B6C"/>
    <w:rsid w:val="00557BE9"/>
    <w:rsid w:val="00557C82"/>
    <w:rsid w:val="00557D85"/>
    <w:rsid w:val="00557DAE"/>
    <w:rsid w:val="00557DC1"/>
    <w:rsid w:val="00557F17"/>
    <w:rsid w:val="00557F33"/>
    <w:rsid w:val="0055B78C"/>
    <w:rsid w:val="0055E80D"/>
    <w:rsid w:val="00560116"/>
    <w:rsid w:val="00560139"/>
    <w:rsid w:val="00560190"/>
    <w:rsid w:val="005601A6"/>
    <w:rsid w:val="005601B7"/>
    <w:rsid w:val="00560212"/>
    <w:rsid w:val="00560237"/>
    <w:rsid w:val="00560290"/>
    <w:rsid w:val="00560298"/>
    <w:rsid w:val="005602C9"/>
    <w:rsid w:val="0056038A"/>
    <w:rsid w:val="005603C7"/>
    <w:rsid w:val="005603E5"/>
    <w:rsid w:val="00560437"/>
    <w:rsid w:val="005604E9"/>
    <w:rsid w:val="00560502"/>
    <w:rsid w:val="005605B0"/>
    <w:rsid w:val="005605ED"/>
    <w:rsid w:val="00560710"/>
    <w:rsid w:val="00560716"/>
    <w:rsid w:val="00560776"/>
    <w:rsid w:val="005607A6"/>
    <w:rsid w:val="005607B3"/>
    <w:rsid w:val="005607C7"/>
    <w:rsid w:val="005607D5"/>
    <w:rsid w:val="005607E9"/>
    <w:rsid w:val="005607EC"/>
    <w:rsid w:val="00560955"/>
    <w:rsid w:val="0056095A"/>
    <w:rsid w:val="00560B94"/>
    <w:rsid w:val="00560C0A"/>
    <w:rsid w:val="00560C38"/>
    <w:rsid w:val="00560CBF"/>
    <w:rsid w:val="00560D36"/>
    <w:rsid w:val="00560E2B"/>
    <w:rsid w:val="00560E6C"/>
    <w:rsid w:val="00560EB9"/>
    <w:rsid w:val="00560F21"/>
    <w:rsid w:val="00560F26"/>
    <w:rsid w:val="00560FE7"/>
    <w:rsid w:val="005610F7"/>
    <w:rsid w:val="00561161"/>
    <w:rsid w:val="00561216"/>
    <w:rsid w:val="00561263"/>
    <w:rsid w:val="00561287"/>
    <w:rsid w:val="00561291"/>
    <w:rsid w:val="005612BB"/>
    <w:rsid w:val="005612C6"/>
    <w:rsid w:val="00561349"/>
    <w:rsid w:val="0056134C"/>
    <w:rsid w:val="0056138C"/>
    <w:rsid w:val="00561412"/>
    <w:rsid w:val="005614AE"/>
    <w:rsid w:val="0056151A"/>
    <w:rsid w:val="0056155E"/>
    <w:rsid w:val="005615AF"/>
    <w:rsid w:val="0056165A"/>
    <w:rsid w:val="005616A1"/>
    <w:rsid w:val="005616B8"/>
    <w:rsid w:val="005616B9"/>
    <w:rsid w:val="00561701"/>
    <w:rsid w:val="00561714"/>
    <w:rsid w:val="00561774"/>
    <w:rsid w:val="005617FD"/>
    <w:rsid w:val="0056182F"/>
    <w:rsid w:val="005618A5"/>
    <w:rsid w:val="005618BF"/>
    <w:rsid w:val="005618E6"/>
    <w:rsid w:val="00561909"/>
    <w:rsid w:val="005619D7"/>
    <w:rsid w:val="00561A0B"/>
    <w:rsid w:val="00561A78"/>
    <w:rsid w:val="00561A95"/>
    <w:rsid w:val="00561ACF"/>
    <w:rsid w:val="00561AED"/>
    <w:rsid w:val="00561BCC"/>
    <w:rsid w:val="00561C9A"/>
    <w:rsid w:val="00561CA5"/>
    <w:rsid w:val="00561D0C"/>
    <w:rsid w:val="00561DE8"/>
    <w:rsid w:val="00561E9B"/>
    <w:rsid w:val="00561EA5"/>
    <w:rsid w:val="00561F9C"/>
    <w:rsid w:val="005620A1"/>
    <w:rsid w:val="005620A6"/>
    <w:rsid w:val="00562177"/>
    <w:rsid w:val="0056229C"/>
    <w:rsid w:val="005622B3"/>
    <w:rsid w:val="005622C8"/>
    <w:rsid w:val="0056234D"/>
    <w:rsid w:val="0056235F"/>
    <w:rsid w:val="005623B1"/>
    <w:rsid w:val="0056242E"/>
    <w:rsid w:val="00562459"/>
    <w:rsid w:val="0056246A"/>
    <w:rsid w:val="00562483"/>
    <w:rsid w:val="00562492"/>
    <w:rsid w:val="005624CD"/>
    <w:rsid w:val="005624F6"/>
    <w:rsid w:val="0056256E"/>
    <w:rsid w:val="00562595"/>
    <w:rsid w:val="0056260E"/>
    <w:rsid w:val="00562645"/>
    <w:rsid w:val="005626F9"/>
    <w:rsid w:val="00562700"/>
    <w:rsid w:val="00562782"/>
    <w:rsid w:val="005627A5"/>
    <w:rsid w:val="005627C8"/>
    <w:rsid w:val="00562898"/>
    <w:rsid w:val="005628BB"/>
    <w:rsid w:val="005629D4"/>
    <w:rsid w:val="00562A46"/>
    <w:rsid w:val="00562AC9"/>
    <w:rsid w:val="00562AD4"/>
    <w:rsid w:val="00562AED"/>
    <w:rsid w:val="00562AF6"/>
    <w:rsid w:val="00562B02"/>
    <w:rsid w:val="00562B18"/>
    <w:rsid w:val="00562B7B"/>
    <w:rsid w:val="00562C51"/>
    <w:rsid w:val="00562CDE"/>
    <w:rsid w:val="00562D17"/>
    <w:rsid w:val="00562D30"/>
    <w:rsid w:val="00562DA4"/>
    <w:rsid w:val="00562E5B"/>
    <w:rsid w:val="00562E9A"/>
    <w:rsid w:val="00562FD1"/>
    <w:rsid w:val="00563055"/>
    <w:rsid w:val="00563061"/>
    <w:rsid w:val="00563090"/>
    <w:rsid w:val="005630A1"/>
    <w:rsid w:val="005630C1"/>
    <w:rsid w:val="0056312D"/>
    <w:rsid w:val="0056316C"/>
    <w:rsid w:val="00563296"/>
    <w:rsid w:val="00563357"/>
    <w:rsid w:val="00563391"/>
    <w:rsid w:val="00563493"/>
    <w:rsid w:val="00563510"/>
    <w:rsid w:val="00563561"/>
    <w:rsid w:val="00563709"/>
    <w:rsid w:val="0056372F"/>
    <w:rsid w:val="00563769"/>
    <w:rsid w:val="005637B5"/>
    <w:rsid w:val="005637F3"/>
    <w:rsid w:val="005637F7"/>
    <w:rsid w:val="0056389A"/>
    <w:rsid w:val="00563939"/>
    <w:rsid w:val="00563970"/>
    <w:rsid w:val="00563A4B"/>
    <w:rsid w:val="00563A53"/>
    <w:rsid w:val="00563A88"/>
    <w:rsid w:val="00563AE7"/>
    <w:rsid w:val="00563B9C"/>
    <w:rsid w:val="00563C24"/>
    <w:rsid w:val="00563D41"/>
    <w:rsid w:val="00563DBD"/>
    <w:rsid w:val="00563DC9"/>
    <w:rsid w:val="00563FC2"/>
    <w:rsid w:val="00563FF2"/>
    <w:rsid w:val="0056400C"/>
    <w:rsid w:val="00564018"/>
    <w:rsid w:val="00564107"/>
    <w:rsid w:val="00564170"/>
    <w:rsid w:val="00564172"/>
    <w:rsid w:val="005641AA"/>
    <w:rsid w:val="00564265"/>
    <w:rsid w:val="005642B5"/>
    <w:rsid w:val="005642E6"/>
    <w:rsid w:val="00564312"/>
    <w:rsid w:val="005643EF"/>
    <w:rsid w:val="00564439"/>
    <w:rsid w:val="005644C5"/>
    <w:rsid w:val="0056452B"/>
    <w:rsid w:val="00564536"/>
    <w:rsid w:val="005645D9"/>
    <w:rsid w:val="00564612"/>
    <w:rsid w:val="00564631"/>
    <w:rsid w:val="0056465A"/>
    <w:rsid w:val="00564718"/>
    <w:rsid w:val="00564759"/>
    <w:rsid w:val="00564845"/>
    <w:rsid w:val="005648A0"/>
    <w:rsid w:val="00564944"/>
    <w:rsid w:val="005649BD"/>
    <w:rsid w:val="005649C5"/>
    <w:rsid w:val="005649C9"/>
    <w:rsid w:val="005649D1"/>
    <w:rsid w:val="00564A8D"/>
    <w:rsid w:val="00564B2C"/>
    <w:rsid w:val="00564B68"/>
    <w:rsid w:val="00564B8B"/>
    <w:rsid w:val="00564B94"/>
    <w:rsid w:val="00564BEF"/>
    <w:rsid w:val="00564C25"/>
    <w:rsid w:val="00564E61"/>
    <w:rsid w:val="00564ED0"/>
    <w:rsid w:val="00564F6A"/>
    <w:rsid w:val="00564FA2"/>
    <w:rsid w:val="00565027"/>
    <w:rsid w:val="00565061"/>
    <w:rsid w:val="005650A2"/>
    <w:rsid w:val="005650E8"/>
    <w:rsid w:val="00565179"/>
    <w:rsid w:val="00565194"/>
    <w:rsid w:val="005651DF"/>
    <w:rsid w:val="00565205"/>
    <w:rsid w:val="0056527A"/>
    <w:rsid w:val="005652AF"/>
    <w:rsid w:val="00565335"/>
    <w:rsid w:val="00565344"/>
    <w:rsid w:val="005653F8"/>
    <w:rsid w:val="0056540B"/>
    <w:rsid w:val="005654BD"/>
    <w:rsid w:val="005654D2"/>
    <w:rsid w:val="00565518"/>
    <w:rsid w:val="0056554A"/>
    <w:rsid w:val="00565625"/>
    <w:rsid w:val="0056562F"/>
    <w:rsid w:val="00565642"/>
    <w:rsid w:val="00565673"/>
    <w:rsid w:val="0056568E"/>
    <w:rsid w:val="005656A7"/>
    <w:rsid w:val="005656E5"/>
    <w:rsid w:val="005656EF"/>
    <w:rsid w:val="005656FA"/>
    <w:rsid w:val="00565706"/>
    <w:rsid w:val="00565726"/>
    <w:rsid w:val="0056575C"/>
    <w:rsid w:val="0056575D"/>
    <w:rsid w:val="0056577D"/>
    <w:rsid w:val="00565789"/>
    <w:rsid w:val="00565819"/>
    <w:rsid w:val="0056584D"/>
    <w:rsid w:val="00565889"/>
    <w:rsid w:val="0056588C"/>
    <w:rsid w:val="0056598E"/>
    <w:rsid w:val="005659F9"/>
    <w:rsid w:val="00565B30"/>
    <w:rsid w:val="00565B7C"/>
    <w:rsid w:val="00565BD0"/>
    <w:rsid w:val="00565C3F"/>
    <w:rsid w:val="00565CBE"/>
    <w:rsid w:val="00565D1E"/>
    <w:rsid w:val="00565D46"/>
    <w:rsid w:val="00565D7C"/>
    <w:rsid w:val="00565DFE"/>
    <w:rsid w:val="00565E70"/>
    <w:rsid w:val="00565E9F"/>
    <w:rsid w:val="00565FB1"/>
    <w:rsid w:val="00565FD4"/>
    <w:rsid w:val="00566159"/>
    <w:rsid w:val="0056615A"/>
    <w:rsid w:val="00566200"/>
    <w:rsid w:val="00566338"/>
    <w:rsid w:val="00566363"/>
    <w:rsid w:val="005663B4"/>
    <w:rsid w:val="00566478"/>
    <w:rsid w:val="005664AA"/>
    <w:rsid w:val="00566560"/>
    <w:rsid w:val="005665FA"/>
    <w:rsid w:val="00566607"/>
    <w:rsid w:val="0056669A"/>
    <w:rsid w:val="005666D8"/>
    <w:rsid w:val="0056672B"/>
    <w:rsid w:val="00566737"/>
    <w:rsid w:val="00566748"/>
    <w:rsid w:val="0056677F"/>
    <w:rsid w:val="00566885"/>
    <w:rsid w:val="005668C1"/>
    <w:rsid w:val="005668C3"/>
    <w:rsid w:val="00566967"/>
    <w:rsid w:val="005669AA"/>
    <w:rsid w:val="00566A00"/>
    <w:rsid w:val="00566B61"/>
    <w:rsid w:val="00566C18"/>
    <w:rsid w:val="00566C43"/>
    <w:rsid w:val="00566C50"/>
    <w:rsid w:val="00566C59"/>
    <w:rsid w:val="00566C84"/>
    <w:rsid w:val="00566C99"/>
    <w:rsid w:val="00566CA3"/>
    <w:rsid w:val="00566CAA"/>
    <w:rsid w:val="00566DF2"/>
    <w:rsid w:val="00566E4C"/>
    <w:rsid w:val="00566F7E"/>
    <w:rsid w:val="00566FE7"/>
    <w:rsid w:val="00566FF9"/>
    <w:rsid w:val="0056700A"/>
    <w:rsid w:val="00567045"/>
    <w:rsid w:val="00567078"/>
    <w:rsid w:val="0056708A"/>
    <w:rsid w:val="005670EC"/>
    <w:rsid w:val="005670FA"/>
    <w:rsid w:val="00567149"/>
    <w:rsid w:val="0056714E"/>
    <w:rsid w:val="005671A8"/>
    <w:rsid w:val="005671AC"/>
    <w:rsid w:val="005671BB"/>
    <w:rsid w:val="005671CD"/>
    <w:rsid w:val="005672AB"/>
    <w:rsid w:val="005672B1"/>
    <w:rsid w:val="00567323"/>
    <w:rsid w:val="00567341"/>
    <w:rsid w:val="00567365"/>
    <w:rsid w:val="00567389"/>
    <w:rsid w:val="005673E3"/>
    <w:rsid w:val="0056741F"/>
    <w:rsid w:val="0056747D"/>
    <w:rsid w:val="005674BF"/>
    <w:rsid w:val="005674C7"/>
    <w:rsid w:val="005674CD"/>
    <w:rsid w:val="00567531"/>
    <w:rsid w:val="00567554"/>
    <w:rsid w:val="00567583"/>
    <w:rsid w:val="00567587"/>
    <w:rsid w:val="00567596"/>
    <w:rsid w:val="00567597"/>
    <w:rsid w:val="0056767C"/>
    <w:rsid w:val="00567684"/>
    <w:rsid w:val="005676D1"/>
    <w:rsid w:val="0056779D"/>
    <w:rsid w:val="005677A1"/>
    <w:rsid w:val="005677D6"/>
    <w:rsid w:val="005677E6"/>
    <w:rsid w:val="00567804"/>
    <w:rsid w:val="0056781C"/>
    <w:rsid w:val="00567838"/>
    <w:rsid w:val="00567863"/>
    <w:rsid w:val="005678AD"/>
    <w:rsid w:val="005678BB"/>
    <w:rsid w:val="00567940"/>
    <w:rsid w:val="00567979"/>
    <w:rsid w:val="00567A87"/>
    <w:rsid w:val="00567AAB"/>
    <w:rsid w:val="00567AD2"/>
    <w:rsid w:val="00567ADF"/>
    <w:rsid w:val="00567B41"/>
    <w:rsid w:val="00567B60"/>
    <w:rsid w:val="00567BE3"/>
    <w:rsid w:val="00567BF7"/>
    <w:rsid w:val="00567BFD"/>
    <w:rsid w:val="00567C41"/>
    <w:rsid w:val="00567C69"/>
    <w:rsid w:val="00567C9C"/>
    <w:rsid w:val="00567CC9"/>
    <w:rsid w:val="00567D37"/>
    <w:rsid w:val="00567DA3"/>
    <w:rsid w:val="00567E01"/>
    <w:rsid w:val="00567E58"/>
    <w:rsid w:val="00567E75"/>
    <w:rsid w:val="00567F19"/>
    <w:rsid w:val="00567F6F"/>
    <w:rsid w:val="00567FDF"/>
    <w:rsid w:val="005700A5"/>
    <w:rsid w:val="005700C1"/>
    <w:rsid w:val="005700DC"/>
    <w:rsid w:val="00570106"/>
    <w:rsid w:val="0057015D"/>
    <w:rsid w:val="00570174"/>
    <w:rsid w:val="0057017F"/>
    <w:rsid w:val="005701BA"/>
    <w:rsid w:val="005701D1"/>
    <w:rsid w:val="005701EC"/>
    <w:rsid w:val="005701FD"/>
    <w:rsid w:val="00570205"/>
    <w:rsid w:val="00570285"/>
    <w:rsid w:val="0057034A"/>
    <w:rsid w:val="00570374"/>
    <w:rsid w:val="0057037C"/>
    <w:rsid w:val="00570389"/>
    <w:rsid w:val="005703FB"/>
    <w:rsid w:val="0057042F"/>
    <w:rsid w:val="005704B9"/>
    <w:rsid w:val="0057051F"/>
    <w:rsid w:val="00570529"/>
    <w:rsid w:val="00570551"/>
    <w:rsid w:val="00570573"/>
    <w:rsid w:val="00570651"/>
    <w:rsid w:val="00570671"/>
    <w:rsid w:val="005706C2"/>
    <w:rsid w:val="005706EF"/>
    <w:rsid w:val="00570742"/>
    <w:rsid w:val="00570784"/>
    <w:rsid w:val="005707E4"/>
    <w:rsid w:val="00570813"/>
    <w:rsid w:val="005708B7"/>
    <w:rsid w:val="00570942"/>
    <w:rsid w:val="00570993"/>
    <w:rsid w:val="005709C6"/>
    <w:rsid w:val="00570A4A"/>
    <w:rsid w:val="00570A71"/>
    <w:rsid w:val="00570A73"/>
    <w:rsid w:val="00570A8E"/>
    <w:rsid w:val="00570AA8"/>
    <w:rsid w:val="00570AB9"/>
    <w:rsid w:val="00570ACD"/>
    <w:rsid w:val="00570B76"/>
    <w:rsid w:val="00570BA0"/>
    <w:rsid w:val="00570BD6"/>
    <w:rsid w:val="00570C13"/>
    <w:rsid w:val="00570C4E"/>
    <w:rsid w:val="00570C54"/>
    <w:rsid w:val="00570CAF"/>
    <w:rsid w:val="00570CD4"/>
    <w:rsid w:val="00570D71"/>
    <w:rsid w:val="00570D9B"/>
    <w:rsid w:val="00570EA6"/>
    <w:rsid w:val="00570EF0"/>
    <w:rsid w:val="00570F27"/>
    <w:rsid w:val="00570FEC"/>
    <w:rsid w:val="00571044"/>
    <w:rsid w:val="0057107D"/>
    <w:rsid w:val="005710C0"/>
    <w:rsid w:val="005710D9"/>
    <w:rsid w:val="00571132"/>
    <w:rsid w:val="00571142"/>
    <w:rsid w:val="00571145"/>
    <w:rsid w:val="005711AF"/>
    <w:rsid w:val="00571238"/>
    <w:rsid w:val="0057132A"/>
    <w:rsid w:val="00571380"/>
    <w:rsid w:val="0057139D"/>
    <w:rsid w:val="005713A5"/>
    <w:rsid w:val="005715AA"/>
    <w:rsid w:val="005715BB"/>
    <w:rsid w:val="00571657"/>
    <w:rsid w:val="00571678"/>
    <w:rsid w:val="005716B0"/>
    <w:rsid w:val="00571714"/>
    <w:rsid w:val="00571771"/>
    <w:rsid w:val="00571773"/>
    <w:rsid w:val="0057179E"/>
    <w:rsid w:val="005717DB"/>
    <w:rsid w:val="00571801"/>
    <w:rsid w:val="00571808"/>
    <w:rsid w:val="0057180C"/>
    <w:rsid w:val="00571812"/>
    <w:rsid w:val="0057183B"/>
    <w:rsid w:val="0057187A"/>
    <w:rsid w:val="00571895"/>
    <w:rsid w:val="005718B4"/>
    <w:rsid w:val="005718D6"/>
    <w:rsid w:val="0057190C"/>
    <w:rsid w:val="00571987"/>
    <w:rsid w:val="005719F6"/>
    <w:rsid w:val="00571A6A"/>
    <w:rsid w:val="00571AC4"/>
    <w:rsid w:val="00571B2C"/>
    <w:rsid w:val="00571B2D"/>
    <w:rsid w:val="00571B63"/>
    <w:rsid w:val="00571BF7"/>
    <w:rsid w:val="00571C14"/>
    <w:rsid w:val="00571CF1"/>
    <w:rsid w:val="00571DA9"/>
    <w:rsid w:val="00571DD1"/>
    <w:rsid w:val="00571DD9"/>
    <w:rsid w:val="00571F1D"/>
    <w:rsid w:val="00571F33"/>
    <w:rsid w:val="0057201C"/>
    <w:rsid w:val="00572034"/>
    <w:rsid w:val="00572053"/>
    <w:rsid w:val="005720A1"/>
    <w:rsid w:val="005720D4"/>
    <w:rsid w:val="00572106"/>
    <w:rsid w:val="005721F6"/>
    <w:rsid w:val="0057223F"/>
    <w:rsid w:val="0057227B"/>
    <w:rsid w:val="005722D9"/>
    <w:rsid w:val="005722F0"/>
    <w:rsid w:val="00572328"/>
    <w:rsid w:val="0057238A"/>
    <w:rsid w:val="00572443"/>
    <w:rsid w:val="005724B9"/>
    <w:rsid w:val="005724E6"/>
    <w:rsid w:val="005725D8"/>
    <w:rsid w:val="005725DA"/>
    <w:rsid w:val="005725EC"/>
    <w:rsid w:val="00572616"/>
    <w:rsid w:val="00572640"/>
    <w:rsid w:val="005726A7"/>
    <w:rsid w:val="005726C6"/>
    <w:rsid w:val="00572723"/>
    <w:rsid w:val="005727DD"/>
    <w:rsid w:val="00572811"/>
    <w:rsid w:val="00572824"/>
    <w:rsid w:val="0057283D"/>
    <w:rsid w:val="00572849"/>
    <w:rsid w:val="0057284E"/>
    <w:rsid w:val="0057293E"/>
    <w:rsid w:val="00572949"/>
    <w:rsid w:val="00572951"/>
    <w:rsid w:val="00572AC1"/>
    <w:rsid w:val="00572AC5"/>
    <w:rsid w:val="00572AC6"/>
    <w:rsid w:val="00572B0D"/>
    <w:rsid w:val="00572B26"/>
    <w:rsid w:val="00572B58"/>
    <w:rsid w:val="00572C0B"/>
    <w:rsid w:val="00572C8F"/>
    <w:rsid w:val="00572C9B"/>
    <w:rsid w:val="00572CDC"/>
    <w:rsid w:val="00572D3A"/>
    <w:rsid w:val="00572D63"/>
    <w:rsid w:val="00572DE8"/>
    <w:rsid w:val="00572DFE"/>
    <w:rsid w:val="00572E16"/>
    <w:rsid w:val="00572E8E"/>
    <w:rsid w:val="00572E9A"/>
    <w:rsid w:val="00572EBA"/>
    <w:rsid w:val="00572F2F"/>
    <w:rsid w:val="00572F36"/>
    <w:rsid w:val="00572F40"/>
    <w:rsid w:val="00572FBF"/>
    <w:rsid w:val="00573029"/>
    <w:rsid w:val="0057305C"/>
    <w:rsid w:val="005730C9"/>
    <w:rsid w:val="005730CF"/>
    <w:rsid w:val="0057321D"/>
    <w:rsid w:val="00573230"/>
    <w:rsid w:val="0057326C"/>
    <w:rsid w:val="005732B1"/>
    <w:rsid w:val="005732C8"/>
    <w:rsid w:val="005732D7"/>
    <w:rsid w:val="005732F6"/>
    <w:rsid w:val="00573318"/>
    <w:rsid w:val="00573393"/>
    <w:rsid w:val="00573405"/>
    <w:rsid w:val="00573427"/>
    <w:rsid w:val="00573466"/>
    <w:rsid w:val="0057346F"/>
    <w:rsid w:val="00573492"/>
    <w:rsid w:val="005734FB"/>
    <w:rsid w:val="00573545"/>
    <w:rsid w:val="00573635"/>
    <w:rsid w:val="0057365D"/>
    <w:rsid w:val="00573807"/>
    <w:rsid w:val="00573810"/>
    <w:rsid w:val="005738C4"/>
    <w:rsid w:val="00573A0E"/>
    <w:rsid w:val="00573A24"/>
    <w:rsid w:val="00573A27"/>
    <w:rsid w:val="00573A34"/>
    <w:rsid w:val="00573A3A"/>
    <w:rsid w:val="00573A52"/>
    <w:rsid w:val="00573B40"/>
    <w:rsid w:val="00573B95"/>
    <w:rsid w:val="00573BD1"/>
    <w:rsid w:val="00573C36"/>
    <w:rsid w:val="00573C64"/>
    <w:rsid w:val="00573C67"/>
    <w:rsid w:val="00573D82"/>
    <w:rsid w:val="00573E0A"/>
    <w:rsid w:val="00573E2E"/>
    <w:rsid w:val="00573E39"/>
    <w:rsid w:val="00573E98"/>
    <w:rsid w:val="00573F7F"/>
    <w:rsid w:val="00573FA9"/>
    <w:rsid w:val="00573FAE"/>
    <w:rsid w:val="00573FD5"/>
    <w:rsid w:val="0057404A"/>
    <w:rsid w:val="005740D2"/>
    <w:rsid w:val="005740E4"/>
    <w:rsid w:val="005741A0"/>
    <w:rsid w:val="00574232"/>
    <w:rsid w:val="00574280"/>
    <w:rsid w:val="00574291"/>
    <w:rsid w:val="005742A5"/>
    <w:rsid w:val="005743A4"/>
    <w:rsid w:val="00574452"/>
    <w:rsid w:val="00574474"/>
    <w:rsid w:val="00574495"/>
    <w:rsid w:val="00574583"/>
    <w:rsid w:val="0057459B"/>
    <w:rsid w:val="005745BE"/>
    <w:rsid w:val="005745C2"/>
    <w:rsid w:val="00574662"/>
    <w:rsid w:val="00574694"/>
    <w:rsid w:val="005746AA"/>
    <w:rsid w:val="005746DF"/>
    <w:rsid w:val="00574741"/>
    <w:rsid w:val="00574758"/>
    <w:rsid w:val="005747CA"/>
    <w:rsid w:val="00574847"/>
    <w:rsid w:val="0057488F"/>
    <w:rsid w:val="00574892"/>
    <w:rsid w:val="00574979"/>
    <w:rsid w:val="005749C9"/>
    <w:rsid w:val="005749FB"/>
    <w:rsid w:val="00574A15"/>
    <w:rsid w:val="00574B5A"/>
    <w:rsid w:val="00574B70"/>
    <w:rsid w:val="00574B96"/>
    <w:rsid w:val="00574BDF"/>
    <w:rsid w:val="00574C07"/>
    <w:rsid w:val="00574C4D"/>
    <w:rsid w:val="00574CA6"/>
    <w:rsid w:val="00574DA7"/>
    <w:rsid w:val="00574DDE"/>
    <w:rsid w:val="00574E31"/>
    <w:rsid w:val="00574E71"/>
    <w:rsid w:val="00574ED5"/>
    <w:rsid w:val="00574EFA"/>
    <w:rsid w:val="00574FA0"/>
    <w:rsid w:val="00574FCB"/>
    <w:rsid w:val="00575048"/>
    <w:rsid w:val="00575120"/>
    <w:rsid w:val="00575173"/>
    <w:rsid w:val="005751AF"/>
    <w:rsid w:val="0057524A"/>
    <w:rsid w:val="005752E0"/>
    <w:rsid w:val="005752EF"/>
    <w:rsid w:val="0057530F"/>
    <w:rsid w:val="00575349"/>
    <w:rsid w:val="0057534E"/>
    <w:rsid w:val="00575352"/>
    <w:rsid w:val="00575414"/>
    <w:rsid w:val="005754A7"/>
    <w:rsid w:val="005754C4"/>
    <w:rsid w:val="005754C9"/>
    <w:rsid w:val="00575542"/>
    <w:rsid w:val="00575563"/>
    <w:rsid w:val="00575573"/>
    <w:rsid w:val="0057557E"/>
    <w:rsid w:val="0057558D"/>
    <w:rsid w:val="00575718"/>
    <w:rsid w:val="0057575D"/>
    <w:rsid w:val="005757B3"/>
    <w:rsid w:val="0057580C"/>
    <w:rsid w:val="0057581B"/>
    <w:rsid w:val="0057581F"/>
    <w:rsid w:val="005758B0"/>
    <w:rsid w:val="00575977"/>
    <w:rsid w:val="005759BE"/>
    <w:rsid w:val="00575A87"/>
    <w:rsid w:val="00575A8C"/>
    <w:rsid w:val="00575AF8"/>
    <w:rsid w:val="00575B16"/>
    <w:rsid w:val="00575B55"/>
    <w:rsid w:val="00575B76"/>
    <w:rsid w:val="00575C38"/>
    <w:rsid w:val="00575C3C"/>
    <w:rsid w:val="00575C5A"/>
    <w:rsid w:val="00575C96"/>
    <w:rsid w:val="00575CB6"/>
    <w:rsid w:val="00575CF1"/>
    <w:rsid w:val="00575D0C"/>
    <w:rsid w:val="00575D5E"/>
    <w:rsid w:val="00575EB8"/>
    <w:rsid w:val="00575FB5"/>
    <w:rsid w:val="00576148"/>
    <w:rsid w:val="00576183"/>
    <w:rsid w:val="0057618C"/>
    <w:rsid w:val="005761D0"/>
    <w:rsid w:val="00576242"/>
    <w:rsid w:val="005762C7"/>
    <w:rsid w:val="00576361"/>
    <w:rsid w:val="005763C8"/>
    <w:rsid w:val="00576455"/>
    <w:rsid w:val="0057645E"/>
    <w:rsid w:val="005764DD"/>
    <w:rsid w:val="005764ED"/>
    <w:rsid w:val="005764F0"/>
    <w:rsid w:val="0057653E"/>
    <w:rsid w:val="0057658E"/>
    <w:rsid w:val="0057659F"/>
    <w:rsid w:val="0057664A"/>
    <w:rsid w:val="005766F9"/>
    <w:rsid w:val="00576708"/>
    <w:rsid w:val="0057671C"/>
    <w:rsid w:val="00576723"/>
    <w:rsid w:val="00576796"/>
    <w:rsid w:val="0057680B"/>
    <w:rsid w:val="00576869"/>
    <w:rsid w:val="00576997"/>
    <w:rsid w:val="005769C7"/>
    <w:rsid w:val="005769D9"/>
    <w:rsid w:val="00576A03"/>
    <w:rsid w:val="00576A93"/>
    <w:rsid w:val="00576AA8"/>
    <w:rsid w:val="00576B84"/>
    <w:rsid w:val="00576BB0"/>
    <w:rsid w:val="00576BC5"/>
    <w:rsid w:val="00576C3E"/>
    <w:rsid w:val="00576C55"/>
    <w:rsid w:val="00576C6F"/>
    <w:rsid w:val="00576C77"/>
    <w:rsid w:val="00576C95"/>
    <w:rsid w:val="00576E28"/>
    <w:rsid w:val="00576ECD"/>
    <w:rsid w:val="00576EE4"/>
    <w:rsid w:val="00576F26"/>
    <w:rsid w:val="00576F6D"/>
    <w:rsid w:val="00576F8C"/>
    <w:rsid w:val="00576FFA"/>
    <w:rsid w:val="005770A0"/>
    <w:rsid w:val="005770DB"/>
    <w:rsid w:val="0057716C"/>
    <w:rsid w:val="00577175"/>
    <w:rsid w:val="00577265"/>
    <w:rsid w:val="005772D0"/>
    <w:rsid w:val="0057734F"/>
    <w:rsid w:val="00577422"/>
    <w:rsid w:val="0057742D"/>
    <w:rsid w:val="005774C9"/>
    <w:rsid w:val="00577529"/>
    <w:rsid w:val="00577569"/>
    <w:rsid w:val="00577577"/>
    <w:rsid w:val="00577666"/>
    <w:rsid w:val="00577698"/>
    <w:rsid w:val="005776EB"/>
    <w:rsid w:val="005776F1"/>
    <w:rsid w:val="005776F9"/>
    <w:rsid w:val="0057771E"/>
    <w:rsid w:val="005777EE"/>
    <w:rsid w:val="00577806"/>
    <w:rsid w:val="00577828"/>
    <w:rsid w:val="00577844"/>
    <w:rsid w:val="00577855"/>
    <w:rsid w:val="005778DC"/>
    <w:rsid w:val="005778E2"/>
    <w:rsid w:val="005778FE"/>
    <w:rsid w:val="0057791B"/>
    <w:rsid w:val="00577939"/>
    <w:rsid w:val="00577949"/>
    <w:rsid w:val="005779BA"/>
    <w:rsid w:val="00577A40"/>
    <w:rsid w:val="00577A6D"/>
    <w:rsid w:val="00577A86"/>
    <w:rsid w:val="00577AC0"/>
    <w:rsid w:val="00577B19"/>
    <w:rsid w:val="00577D39"/>
    <w:rsid w:val="00577D3F"/>
    <w:rsid w:val="00577E2D"/>
    <w:rsid w:val="00577E32"/>
    <w:rsid w:val="00577E71"/>
    <w:rsid w:val="00577E84"/>
    <w:rsid w:val="00577ED5"/>
    <w:rsid w:val="00577EEE"/>
    <w:rsid w:val="00577F42"/>
    <w:rsid w:val="00577F4A"/>
    <w:rsid w:val="00577F4C"/>
    <w:rsid w:val="00580001"/>
    <w:rsid w:val="00580007"/>
    <w:rsid w:val="00580089"/>
    <w:rsid w:val="005800D1"/>
    <w:rsid w:val="005800DE"/>
    <w:rsid w:val="00580137"/>
    <w:rsid w:val="00580288"/>
    <w:rsid w:val="005802E8"/>
    <w:rsid w:val="0058040A"/>
    <w:rsid w:val="00580426"/>
    <w:rsid w:val="0058042D"/>
    <w:rsid w:val="00580467"/>
    <w:rsid w:val="00580477"/>
    <w:rsid w:val="0058051B"/>
    <w:rsid w:val="005805F2"/>
    <w:rsid w:val="00580609"/>
    <w:rsid w:val="00580636"/>
    <w:rsid w:val="005806DA"/>
    <w:rsid w:val="005806F5"/>
    <w:rsid w:val="0058070F"/>
    <w:rsid w:val="0058082C"/>
    <w:rsid w:val="005808A8"/>
    <w:rsid w:val="005809BF"/>
    <w:rsid w:val="005809C2"/>
    <w:rsid w:val="00580B59"/>
    <w:rsid w:val="00580BEA"/>
    <w:rsid w:val="00580CD5"/>
    <w:rsid w:val="00580D2D"/>
    <w:rsid w:val="00580DB2"/>
    <w:rsid w:val="00580DBB"/>
    <w:rsid w:val="00580DE7"/>
    <w:rsid w:val="00580EA0"/>
    <w:rsid w:val="00580F4E"/>
    <w:rsid w:val="00580F73"/>
    <w:rsid w:val="00580F8E"/>
    <w:rsid w:val="00580F8F"/>
    <w:rsid w:val="00580FBD"/>
    <w:rsid w:val="005810A4"/>
    <w:rsid w:val="005810C6"/>
    <w:rsid w:val="005810EF"/>
    <w:rsid w:val="0058116B"/>
    <w:rsid w:val="0058117D"/>
    <w:rsid w:val="0058119F"/>
    <w:rsid w:val="00581260"/>
    <w:rsid w:val="00581269"/>
    <w:rsid w:val="0058136A"/>
    <w:rsid w:val="00581419"/>
    <w:rsid w:val="005814D6"/>
    <w:rsid w:val="00581533"/>
    <w:rsid w:val="0058154E"/>
    <w:rsid w:val="0058163B"/>
    <w:rsid w:val="00581647"/>
    <w:rsid w:val="00581717"/>
    <w:rsid w:val="005817B0"/>
    <w:rsid w:val="005817B4"/>
    <w:rsid w:val="00581865"/>
    <w:rsid w:val="005818B5"/>
    <w:rsid w:val="00581904"/>
    <w:rsid w:val="00581912"/>
    <w:rsid w:val="00581972"/>
    <w:rsid w:val="0058199C"/>
    <w:rsid w:val="005819DE"/>
    <w:rsid w:val="005819F6"/>
    <w:rsid w:val="00581AE0"/>
    <w:rsid w:val="00581B24"/>
    <w:rsid w:val="00581B8A"/>
    <w:rsid w:val="00581B92"/>
    <w:rsid w:val="00581BD1"/>
    <w:rsid w:val="00581C2A"/>
    <w:rsid w:val="00581CE3"/>
    <w:rsid w:val="00581D49"/>
    <w:rsid w:val="00581D80"/>
    <w:rsid w:val="00581DE5"/>
    <w:rsid w:val="00581E1C"/>
    <w:rsid w:val="00581E33"/>
    <w:rsid w:val="00581E45"/>
    <w:rsid w:val="00581E62"/>
    <w:rsid w:val="00581EF7"/>
    <w:rsid w:val="00581F93"/>
    <w:rsid w:val="00581FA2"/>
    <w:rsid w:val="00581FB8"/>
    <w:rsid w:val="00581FCA"/>
    <w:rsid w:val="00581FCE"/>
    <w:rsid w:val="00581FF5"/>
    <w:rsid w:val="0058204A"/>
    <w:rsid w:val="00582056"/>
    <w:rsid w:val="005820B8"/>
    <w:rsid w:val="005820D3"/>
    <w:rsid w:val="0058212C"/>
    <w:rsid w:val="0058222E"/>
    <w:rsid w:val="00582243"/>
    <w:rsid w:val="0058229F"/>
    <w:rsid w:val="005822E5"/>
    <w:rsid w:val="00582338"/>
    <w:rsid w:val="00582474"/>
    <w:rsid w:val="005825C4"/>
    <w:rsid w:val="00582623"/>
    <w:rsid w:val="00582664"/>
    <w:rsid w:val="00582671"/>
    <w:rsid w:val="005826DC"/>
    <w:rsid w:val="0058271E"/>
    <w:rsid w:val="00582854"/>
    <w:rsid w:val="00582859"/>
    <w:rsid w:val="005828A8"/>
    <w:rsid w:val="005828A9"/>
    <w:rsid w:val="005828AF"/>
    <w:rsid w:val="005828B5"/>
    <w:rsid w:val="00582924"/>
    <w:rsid w:val="005829DA"/>
    <w:rsid w:val="005829E9"/>
    <w:rsid w:val="00582A46"/>
    <w:rsid w:val="00582ABE"/>
    <w:rsid w:val="00582ACC"/>
    <w:rsid w:val="00582B19"/>
    <w:rsid w:val="00582BC7"/>
    <w:rsid w:val="00582BE1"/>
    <w:rsid w:val="00582CB0"/>
    <w:rsid w:val="00582CFE"/>
    <w:rsid w:val="00582CFF"/>
    <w:rsid w:val="00582D6E"/>
    <w:rsid w:val="00582DB4"/>
    <w:rsid w:val="00582E12"/>
    <w:rsid w:val="00582E91"/>
    <w:rsid w:val="00582EB8"/>
    <w:rsid w:val="00582EE7"/>
    <w:rsid w:val="00582F37"/>
    <w:rsid w:val="00582FA6"/>
    <w:rsid w:val="00583019"/>
    <w:rsid w:val="005830BD"/>
    <w:rsid w:val="00583116"/>
    <w:rsid w:val="005831C7"/>
    <w:rsid w:val="005831F4"/>
    <w:rsid w:val="0058329C"/>
    <w:rsid w:val="005832AB"/>
    <w:rsid w:val="00583366"/>
    <w:rsid w:val="0058337A"/>
    <w:rsid w:val="00583390"/>
    <w:rsid w:val="005833E1"/>
    <w:rsid w:val="0058341C"/>
    <w:rsid w:val="005834B1"/>
    <w:rsid w:val="005834EC"/>
    <w:rsid w:val="0058352C"/>
    <w:rsid w:val="0058353A"/>
    <w:rsid w:val="00583561"/>
    <w:rsid w:val="005835BD"/>
    <w:rsid w:val="005835E3"/>
    <w:rsid w:val="00583609"/>
    <w:rsid w:val="0058364D"/>
    <w:rsid w:val="0058364E"/>
    <w:rsid w:val="0058369B"/>
    <w:rsid w:val="0058369E"/>
    <w:rsid w:val="005836BB"/>
    <w:rsid w:val="005836D3"/>
    <w:rsid w:val="0058383B"/>
    <w:rsid w:val="005838E8"/>
    <w:rsid w:val="00583928"/>
    <w:rsid w:val="00583985"/>
    <w:rsid w:val="005839AF"/>
    <w:rsid w:val="00583A31"/>
    <w:rsid w:val="00583A42"/>
    <w:rsid w:val="00583B23"/>
    <w:rsid w:val="00583B37"/>
    <w:rsid w:val="00583BDF"/>
    <w:rsid w:val="00583C06"/>
    <w:rsid w:val="00583C35"/>
    <w:rsid w:val="00583C5E"/>
    <w:rsid w:val="00583CBD"/>
    <w:rsid w:val="00583CDC"/>
    <w:rsid w:val="00583D7D"/>
    <w:rsid w:val="00583DA0"/>
    <w:rsid w:val="00583DAA"/>
    <w:rsid w:val="00583DCA"/>
    <w:rsid w:val="00583E04"/>
    <w:rsid w:val="00583E89"/>
    <w:rsid w:val="00583ED0"/>
    <w:rsid w:val="00583EE8"/>
    <w:rsid w:val="00583F23"/>
    <w:rsid w:val="00583F42"/>
    <w:rsid w:val="00583F64"/>
    <w:rsid w:val="00583FDD"/>
    <w:rsid w:val="0058408E"/>
    <w:rsid w:val="005840E9"/>
    <w:rsid w:val="00584190"/>
    <w:rsid w:val="00584281"/>
    <w:rsid w:val="00584295"/>
    <w:rsid w:val="005842C5"/>
    <w:rsid w:val="00584391"/>
    <w:rsid w:val="005843B2"/>
    <w:rsid w:val="005844F7"/>
    <w:rsid w:val="005845B5"/>
    <w:rsid w:val="00584615"/>
    <w:rsid w:val="005846D5"/>
    <w:rsid w:val="0058471D"/>
    <w:rsid w:val="0058479E"/>
    <w:rsid w:val="005847CE"/>
    <w:rsid w:val="00584867"/>
    <w:rsid w:val="00584907"/>
    <w:rsid w:val="005849A8"/>
    <w:rsid w:val="005849D3"/>
    <w:rsid w:val="00584A10"/>
    <w:rsid w:val="00584A4A"/>
    <w:rsid w:val="00584AB4"/>
    <w:rsid w:val="00584B02"/>
    <w:rsid w:val="00584B17"/>
    <w:rsid w:val="00584BA6"/>
    <w:rsid w:val="00584BB0"/>
    <w:rsid w:val="00584BDA"/>
    <w:rsid w:val="00584D57"/>
    <w:rsid w:val="00584E0E"/>
    <w:rsid w:val="00584E42"/>
    <w:rsid w:val="00584F00"/>
    <w:rsid w:val="00584F17"/>
    <w:rsid w:val="00584FA2"/>
    <w:rsid w:val="00584FFE"/>
    <w:rsid w:val="00585045"/>
    <w:rsid w:val="00585117"/>
    <w:rsid w:val="0058512C"/>
    <w:rsid w:val="00585138"/>
    <w:rsid w:val="00585164"/>
    <w:rsid w:val="005851F0"/>
    <w:rsid w:val="00585240"/>
    <w:rsid w:val="00585277"/>
    <w:rsid w:val="005852A5"/>
    <w:rsid w:val="005852C5"/>
    <w:rsid w:val="00585305"/>
    <w:rsid w:val="0058530D"/>
    <w:rsid w:val="0058533A"/>
    <w:rsid w:val="00585344"/>
    <w:rsid w:val="00585392"/>
    <w:rsid w:val="005853AD"/>
    <w:rsid w:val="005853DA"/>
    <w:rsid w:val="00585409"/>
    <w:rsid w:val="00585417"/>
    <w:rsid w:val="00585485"/>
    <w:rsid w:val="005854B5"/>
    <w:rsid w:val="00585541"/>
    <w:rsid w:val="00585597"/>
    <w:rsid w:val="005855B5"/>
    <w:rsid w:val="005855CB"/>
    <w:rsid w:val="005855F9"/>
    <w:rsid w:val="00585658"/>
    <w:rsid w:val="005856CC"/>
    <w:rsid w:val="0058575A"/>
    <w:rsid w:val="005857B1"/>
    <w:rsid w:val="005857ED"/>
    <w:rsid w:val="0058584D"/>
    <w:rsid w:val="00585859"/>
    <w:rsid w:val="00585865"/>
    <w:rsid w:val="00585943"/>
    <w:rsid w:val="0058598A"/>
    <w:rsid w:val="005859F8"/>
    <w:rsid w:val="00585A2C"/>
    <w:rsid w:val="00585A4F"/>
    <w:rsid w:val="00585AA2"/>
    <w:rsid w:val="00585AA5"/>
    <w:rsid w:val="00585B20"/>
    <w:rsid w:val="00585B46"/>
    <w:rsid w:val="00585C1D"/>
    <w:rsid w:val="00585C70"/>
    <w:rsid w:val="00585CF6"/>
    <w:rsid w:val="00585D0D"/>
    <w:rsid w:val="00585D2C"/>
    <w:rsid w:val="00585D34"/>
    <w:rsid w:val="00585E12"/>
    <w:rsid w:val="00585E42"/>
    <w:rsid w:val="00585E56"/>
    <w:rsid w:val="00585EDC"/>
    <w:rsid w:val="00585EF2"/>
    <w:rsid w:val="00585EF6"/>
    <w:rsid w:val="00585F01"/>
    <w:rsid w:val="00585FBA"/>
    <w:rsid w:val="00585FFE"/>
    <w:rsid w:val="0058605D"/>
    <w:rsid w:val="00586094"/>
    <w:rsid w:val="005860ED"/>
    <w:rsid w:val="005861DD"/>
    <w:rsid w:val="005861E4"/>
    <w:rsid w:val="00586261"/>
    <w:rsid w:val="0058635D"/>
    <w:rsid w:val="00586458"/>
    <w:rsid w:val="0058648B"/>
    <w:rsid w:val="005864A8"/>
    <w:rsid w:val="005864E7"/>
    <w:rsid w:val="005864F3"/>
    <w:rsid w:val="00586524"/>
    <w:rsid w:val="005865A1"/>
    <w:rsid w:val="005865FB"/>
    <w:rsid w:val="005866F3"/>
    <w:rsid w:val="0058684A"/>
    <w:rsid w:val="0058684C"/>
    <w:rsid w:val="00586897"/>
    <w:rsid w:val="005868A0"/>
    <w:rsid w:val="005868D6"/>
    <w:rsid w:val="005869A7"/>
    <w:rsid w:val="005869D6"/>
    <w:rsid w:val="00586BB1"/>
    <w:rsid w:val="00586BBC"/>
    <w:rsid w:val="00586C2C"/>
    <w:rsid w:val="00586DFE"/>
    <w:rsid w:val="00586E82"/>
    <w:rsid w:val="00586ED1"/>
    <w:rsid w:val="00586F34"/>
    <w:rsid w:val="00586F3E"/>
    <w:rsid w:val="00586F78"/>
    <w:rsid w:val="00586FBC"/>
    <w:rsid w:val="00587085"/>
    <w:rsid w:val="0058717C"/>
    <w:rsid w:val="0058719E"/>
    <w:rsid w:val="005871AC"/>
    <w:rsid w:val="005871C2"/>
    <w:rsid w:val="00587223"/>
    <w:rsid w:val="005872AA"/>
    <w:rsid w:val="00587392"/>
    <w:rsid w:val="005873CE"/>
    <w:rsid w:val="00587465"/>
    <w:rsid w:val="005874B0"/>
    <w:rsid w:val="005874DD"/>
    <w:rsid w:val="00587610"/>
    <w:rsid w:val="005877B7"/>
    <w:rsid w:val="005877F3"/>
    <w:rsid w:val="00587856"/>
    <w:rsid w:val="0058785F"/>
    <w:rsid w:val="0058787F"/>
    <w:rsid w:val="0058788F"/>
    <w:rsid w:val="005879CF"/>
    <w:rsid w:val="005879E8"/>
    <w:rsid w:val="00587AC1"/>
    <w:rsid w:val="00587B11"/>
    <w:rsid w:val="00587B91"/>
    <w:rsid w:val="00587BD7"/>
    <w:rsid w:val="00587C02"/>
    <w:rsid w:val="00587DA0"/>
    <w:rsid w:val="00587DBC"/>
    <w:rsid w:val="00587E07"/>
    <w:rsid w:val="00587E5E"/>
    <w:rsid w:val="00587E62"/>
    <w:rsid w:val="00587E93"/>
    <w:rsid w:val="00587EC7"/>
    <w:rsid w:val="00587F77"/>
    <w:rsid w:val="00587FBB"/>
    <w:rsid w:val="0059000A"/>
    <w:rsid w:val="00590081"/>
    <w:rsid w:val="005900B8"/>
    <w:rsid w:val="00590101"/>
    <w:rsid w:val="0059015B"/>
    <w:rsid w:val="0059020C"/>
    <w:rsid w:val="0059026F"/>
    <w:rsid w:val="00590290"/>
    <w:rsid w:val="005902BB"/>
    <w:rsid w:val="00590379"/>
    <w:rsid w:val="005903B3"/>
    <w:rsid w:val="005904A4"/>
    <w:rsid w:val="005904C1"/>
    <w:rsid w:val="00590531"/>
    <w:rsid w:val="0059058B"/>
    <w:rsid w:val="0059062A"/>
    <w:rsid w:val="0059064B"/>
    <w:rsid w:val="00590688"/>
    <w:rsid w:val="00590703"/>
    <w:rsid w:val="0059074B"/>
    <w:rsid w:val="00590786"/>
    <w:rsid w:val="005907D7"/>
    <w:rsid w:val="005907F6"/>
    <w:rsid w:val="0059087A"/>
    <w:rsid w:val="00590881"/>
    <w:rsid w:val="00590885"/>
    <w:rsid w:val="005908EA"/>
    <w:rsid w:val="005908F0"/>
    <w:rsid w:val="005909C5"/>
    <w:rsid w:val="00590ACA"/>
    <w:rsid w:val="00590B44"/>
    <w:rsid w:val="00590B48"/>
    <w:rsid w:val="00590B71"/>
    <w:rsid w:val="00590B89"/>
    <w:rsid w:val="00590B9B"/>
    <w:rsid w:val="00590BA4"/>
    <w:rsid w:val="00590C2A"/>
    <w:rsid w:val="00590C4F"/>
    <w:rsid w:val="00590CF5"/>
    <w:rsid w:val="00590E81"/>
    <w:rsid w:val="00590F03"/>
    <w:rsid w:val="00590F91"/>
    <w:rsid w:val="00590FFE"/>
    <w:rsid w:val="00591016"/>
    <w:rsid w:val="005910A1"/>
    <w:rsid w:val="0059111C"/>
    <w:rsid w:val="0059116F"/>
    <w:rsid w:val="005911EE"/>
    <w:rsid w:val="0059123D"/>
    <w:rsid w:val="0059125E"/>
    <w:rsid w:val="005912F6"/>
    <w:rsid w:val="0059135C"/>
    <w:rsid w:val="0059135E"/>
    <w:rsid w:val="005913A3"/>
    <w:rsid w:val="005913C4"/>
    <w:rsid w:val="00591547"/>
    <w:rsid w:val="005915AA"/>
    <w:rsid w:val="00591698"/>
    <w:rsid w:val="00591734"/>
    <w:rsid w:val="00591777"/>
    <w:rsid w:val="005917F7"/>
    <w:rsid w:val="00591854"/>
    <w:rsid w:val="00591860"/>
    <w:rsid w:val="005918C8"/>
    <w:rsid w:val="005918D7"/>
    <w:rsid w:val="0059190F"/>
    <w:rsid w:val="005919B9"/>
    <w:rsid w:val="005919E4"/>
    <w:rsid w:val="00591AC3"/>
    <w:rsid w:val="00591B94"/>
    <w:rsid w:val="00591BC3"/>
    <w:rsid w:val="00591C41"/>
    <w:rsid w:val="00591C7B"/>
    <w:rsid w:val="00591CC9"/>
    <w:rsid w:val="00591CD1"/>
    <w:rsid w:val="00591CE8"/>
    <w:rsid w:val="00591D42"/>
    <w:rsid w:val="00591DA8"/>
    <w:rsid w:val="00591E98"/>
    <w:rsid w:val="00591EBC"/>
    <w:rsid w:val="00591EC2"/>
    <w:rsid w:val="00591EE3"/>
    <w:rsid w:val="00591F05"/>
    <w:rsid w:val="00592022"/>
    <w:rsid w:val="005920AD"/>
    <w:rsid w:val="00592101"/>
    <w:rsid w:val="00592162"/>
    <w:rsid w:val="005921DC"/>
    <w:rsid w:val="00592230"/>
    <w:rsid w:val="00592278"/>
    <w:rsid w:val="005922BF"/>
    <w:rsid w:val="005922E5"/>
    <w:rsid w:val="0059231A"/>
    <w:rsid w:val="00592390"/>
    <w:rsid w:val="00592494"/>
    <w:rsid w:val="005924D5"/>
    <w:rsid w:val="005925A2"/>
    <w:rsid w:val="005925C0"/>
    <w:rsid w:val="005925EC"/>
    <w:rsid w:val="005925F3"/>
    <w:rsid w:val="00592643"/>
    <w:rsid w:val="0059264B"/>
    <w:rsid w:val="00592652"/>
    <w:rsid w:val="00592669"/>
    <w:rsid w:val="005926A0"/>
    <w:rsid w:val="005926C9"/>
    <w:rsid w:val="005926DB"/>
    <w:rsid w:val="005926FD"/>
    <w:rsid w:val="00592700"/>
    <w:rsid w:val="00592783"/>
    <w:rsid w:val="005927A7"/>
    <w:rsid w:val="005928EC"/>
    <w:rsid w:val="00592975"/>
    <w:rsid w:val="00592998"/>
    <w:rsid w:val="005929E7"/>
    <w:rsid w:val="00592A8C"/>
    <w:rsid w:val="00592B0D"/>
    <w:rsid w:val="00592B5B"/>
    <w:rsid w:val="00592BB6"/>
    <w:rsid w:val="00592BDA"/>
    <w:rsid w:val="00592C16"/>
    <w:rsid w:val="00592C30"/>
    <w:rsid w:val="00592CE9"/>
    <w:rsid w:val="00592D59"/>
    <w:rsid w:val="00592D8E"/>
    <w:rsid w:val="00592E37"/>
    <w:rsid w:val="00592E3A"/>
    <w:rsid w:val="00592E82"/>
    <w:rsid w:val="00592EC8"/>
    <w:rsid w:val="005930B0"/>
    <w:rsid w:val="00593122"/>
    <w:rsid w:val="00593195"/>
    <w:rsid w:val="00593229"/>
    <w:rsid w:val="0059328C"/>
    <w:rsid w:val="005932DE"/>
    <w:rsid w:val="00593362"/>
    <w:rsid w:val="005933C8"/>
    <w:rsid w:val="00593499"/>
    <w:rsid w:val="005934F9"/>
    <w:rsid w:val="00593524"/>
    <w:rsid w:val="005935C5"/>
    <w:rsid w:val="005935DB"/>
    <w:rsid w:val="00593778"/>
    <w:rsid w:val="005937F2"/>
    <w:rsid w:val="0059381E"/>
    <w:rsid w:val="00593903"/>
    <w:rsid w:val="00593929"/>
    <w:rsid w:val="00593998"/>
    <w:rsid w:val="005939A6"/>
    <w:rsid w:val="00593A31"/>
    <w:rsid w:val="00593A76"/>
    <w:rsid w:val="00593AD0"/>
    <w:rsid w:val="00593B00"/>
    <w:rsid w:val="00593B12"/>
    <w:rsid w:val="00593BA4"/>
    <w:rsid w:val="00593C20"/>
    <w:rsid w:val="00593C92"/>
    <w:rsid w:val="00593CEF"/>
    <w:rsid w:val="00593D5A"/>
    <w:rsid w:val="00593DB7"/>
    <w:rsid w:val="00593E56"/>
    <w:rsid w:val="00593E6D"/>
    <w:rsid w:val="00593EC1"/>
    <w:rsid w:val="00593F6A"/>
    <w:rsid w:val="00593F95"/>
    <w:rsid w:val="00593FE3"/>
    <w:rsid w:val="00594099"/>
    <w:rsid w:val="00594175"/>
    <w:rsid w:val="005941EE"/>
    <w:rsid w:val="00594211"/>
    <w:rsid w:val="005942F8"/>
    <w:rsid w:val="005942FB"/>
    <w:rsid w:val="005943C1"/>
    <w:rsid w:val="00594409"/>
    <w:rsid w:val="0059440A"/>
    <w:rsid w:val="005944BF"/>
    <w:rsid w:val="00594586"/>
    <w:rsid w:val="0059458F"/>
    <w:rsid w:val="005947A9"/>
    <w:rsid w:val="005947AE"/>
    <w:rsid w:val="005947B3"/>
    <w:rsid w:val="0059489F"/>
    <w:rsid w:val="005948E1"/>
    <w:rsid w:val="00594934"/>
    <w:rsid w:val="00594957"/>
    <w:rsid w:val="00594A89"/>
    <w:rsid w:val="00594AE6"/>
    <w:rsid w:val="00594B23"/>
    <w:rsid w:val="00594B62"/>
    <w:rsid w:val="00594B97"/>
    <w:rsid w:val="00594BA3"/>
    <w:rsid w:val="00594BA8"/>
    <w:rsid w:val="00594C43"/>
    <w:rsid w:val="00594D01"/>
    <w:rsid w:val="00594D57"/>
    <w:rsid w:val="00594D95"/>
    <w:rsid w:val="00594DEF"/>
    <w:rsid w:val="00594E59"/>
    <w:rsid w:val="00594F1A"/>
    <w:rsid w:val="00594FF6"/>
    <w:rsid w:val="00594FF7"/>
    <w:rsid w:val="00594FF9"/>
    <w:rsid w:val="00595004"/>
    <w:rsid w:val="0059507C"/>
    <w:rsid w:val="00595088"/>
    <w:rsid w:val="00595119"/>
    <w:rsid w:val="0059513D"/>
    <w:rsid w:val="00595183"/>
    <w:rsid w:val="00595190"/>
    <w:rsid w:val="00595277"/>
    <w:rsid w:val="005952C7"/>
    <w:rsid w:val="005952D0"/>
    <w:rsid w:val="00595302"/>
    <w:rsid w:val="0059530C"/>
    <w:rsid w:val="00595381"/>
    <w:rsid w:val="005953B0"/>
    <w:rsid w:val="00595420"/>
    <w:rsid w:val="0059542F"/>
    <w:rsid w:val="0059545C"/>
    <w:rsid w:val="005954B3"/>
    <w:rsid w:val="005954D3"/>
    <w:rsid w:val="005954D8"/>
    <w:rsid w:val="0059555A"/>
    <w:rsid w:val="00595596"/>
    <w:rsid w:val="005955D5"/>
    <w:rsid w:val="005955D8"/>
    <w:rsid w:val="005955FD"/>
    <w:rsid w:val="0059562B"/>
    <w:rsid w:val="00595637"/>
    <w:rsid w:val="005956B7"/>
    <w:rsid w:val="005956BC"/>
    <w:rsid w:val="0059575D"/>
    <w:rsid w:val="00595798"/>
    <w:rsid w:val="005957A6"/>
    <w:rsid w:val="005957D1"/>
    <w:rsid w:val="00595896"/>
    <w:rsid w:val="0059596B"/>
    <w:rsid w:val="00595A65"/>
    <w:rsid w:val="00595B7C"/>
    <w:rsid w:val="00595BD1"/>
    <w:rsid w:val="00595BFF"/>
    <w:rsid w:val="00595CA1"/>
    <w:rsid w:val="00595CAF"/>
    <w:rsid w:val="00595CE9"/>
    <w:rsid w:val="00595CFF"/>
    <w:rsid w:val="00595D4D"/>
    <w:rsid w:val="00595D8F"/>
    <w:rsid w:val="00595DA2"/>
    <w:rsid w:val="00595E04"/>
    <w:rsid w:val="00595E5E"/>
    <w:rsid w:val="00595F5E"/>
    <w:rsid w:val="0059600B"/>
    <w:rsid w:val="0059602A"/>
    <w:rsid w:val="00596060"/>
    <w:rsid w:val="0059608E"/>
    <w:rsid w:val="00596106"/>
    <w:rsid w:val="00596134"/>
    <w:rsid w:val="0059613E"/>
    <w:rsid w:val="00596142"/>
    <w:rsid w:val="00596156"/>
    <w:rsid w:val="00596215"/>
    <w:rsid w:val="00596296"/>
    <w:rsid w:val="0059632C"/>
    <w:rsid w:val="005963A6"/>
    <w:rsid w:val="0059643A"/>
    <w:rsid w:val="00596450"/>
    <w:rsid w:val="00596478"/>
    <w:rsid w:val="005964E1"/>
    <w:rsid w:val="00596543"/>
    <w:rsid w:val="00596552"/>
    <w:rsid w:val="00596672"/>
    <w:rsid w:val="0059669C"/>
    <w:rsid w:val="005966A5"/>
    <w:rsid w:val="005967DB"/>
    <w:rsid w:val="00596884"/>
    <w:rsid w:val="00596896"/>
    <w:rsid w:val="005968B1"/>
    <w:rsid w:val="00596953"/>
    <w:rsid w:val="00596AD0"/>
    <w:rsid w:val="00596BA1"/>
    <w:rsid w:val="00596BF3"/>
    <w:rsid w:val="00596C22"/>
    <w:rsid w:val="00596C28"/>
    <w:rsid w:val="00596C88"/>
    <w:rsid w:val="00596CCB"/>
    <w:rsid w:val="00596CF9"/>
    <w:rsid w:val="00596D35"/>
    <w:rsid w:val="00596D4B"/>
    <w:rsid w:val="00596D6F"/>
    <w:rsid w:val="00596DFF"/>
    <w:rsid w:val="00596E20"/>
    <w:rsid w:val="00596E3F"/>
    <w:rsid w:val="00596E78"/>
    <w:rsid w:val="00596E86"/>
    <w:rsid w:val="00596E8D"/>
    <w:rsid w:val="00596EE6"/>
    <w:rsid w:val="00596F2E"/>
    <w:rsid w:val="00596F64"/>
    <w:rsid w:val="00596F6E"/>
    <w:rsid w:val="00596F81"/>
    <w:rsid w:val="00596F84"/>
    <w:rsid w:val="00596FEB"/>
    <w:rsid w:val="00597050"/>
    <w:rsid w:val="005970A2"/>
    <w:rsid w:val="005970EB"/>
    <w:rsid w:val="00597106"/>
    <w:rsid w:val="0059716C"/>
    <w:rsid w:val="005971B6"/>
    <w:rsid w:val="005971D0"/>
    <w:rsid w:val="0059722D"/>
    <w:rsid w:val="005973A6"/>
    <w:rsid w:val="005973EF"/>
    <w:rsid w:val="00597403"/>
    <w:rsid w:val="005974F7"/>
    <w:rsid w:val="00597525"/>
    <w:rsid w:val="0059758A"/>
    <w:rsid w:val="00597619"/>
    <w:rsid w:val="00597654"/>
    <w:rsid w:val="0059767F"/>
    <w:rsid w:val="005976D0"/>
    <w:rsid w:val="00597702"/>
    <w:rsid w:val="0059772F"/>
    <w:rsid w:val="0059773C"/>
    <w:rsid w:val="005978A6"/>
    <w:rsid w:val="0059796F"/>
    <w:rsid w:val="0059798A"/>
    <w:rsid w:val="005979C9"/>
    <w:rsid w:val="005979CC"/>
    <w:rsid w:val="00597ABA"/>
    <w:rsid w:val="00597B7D"/>
    <w:rsid w:val="00597B82"/>
    <w:rsid w:val="00597BCB"/>
    <w:rsid w:val="00597D2D"/>
    <w:rsid w:val="00597DFF"/>
    <w:rsid w:val="00597ECE"/>
    <w:rsid w:val="00597F1A"/>
    <w:rsid w:val="00597FA1"/>
    <w:rsid w:val="005A0071"/>
    <w:rsid w:val="005A01B1"/>
    <w:rsid w:val="005A01F5"/>
    <w:rsid w:val="005A02D7"/>
    <w:rsid w:val="005A0309"/>
    <w:rsid w:val="005A0366"/>
    <w:rsid w:val="005A03F5"/>
    <w:rsid w:val="005A048B"/>
    <w:rsid w:val="005A04D0"/>
    <w:rsid w:val="005A0509"/>
    <w:rsid w:val="005A0535"/>
    <w:rsid w:val="005A05BD"/>
    <w:rsid w:val="005A05DA"/>
    <w:rsid w:val="005A062A"/>
    <w:rsid w:val="005A0687"/>
    <w:rsid w:val="005A06A9"/>
    <w:rsid w:val="005A06BC"/>
    <w:rsid w:val="005A06EE"/>
    <w:rsid w:val="005A0744"/>
    <w:rsid w:val="005A0745"/>
    <w:rsid w:val="005A0747"/>
    <w:rsid w:val="005A0763"/>
    <w:rsid w:val="005A076B"/>
    <w:rsid w:val="005A0790"/>
    <w:rsid w:val="005A079F"/>
    <w:rsid w:val="005A0807"/>
    <w:rsid w:val="005A094B"/>
    <w:rsid w:val="005A09D8"/>
    <w:rsid w:val="005A0A08"/>
    <w:rsid w:val="005A0B84"/>
    <w:rsid w:val="005A0B89"/>
    <w:rsid w:val="005A0BAF"/>
    <w:rsid w:val="005A0BFF"/>
    <w:rsid w:val="005A0C1D"/>
    <w:rsid w:val="005A0CA9"/>
    <w:rsid w:val="005A0D9E"/>
    <w:rsid w:val="005A0DA0"/>
    <w:rsid w:val="005A0DAD"/>
    <w:rsid w:val="005A0DCE"/>
    <w:rsid w:val="005A0E1E"/>
    <w:rsid w:val="005A0F09"/>
    <w:rsid w:val="005A0F8B"/>
    <w:rsid w:val="005A0F98"/>
    <w:rsid w:val="005A0FCD"/>
    <w:rsid w:val="005A10F9"/>
    <w:rsid w:val="005A113F"/>
    <w:rsid w:val="005A11B7"/>
    <w:rsid w:val="005A1247"/>
    <w:rsid w:val="005A125C"/>
    <w:rsid w:val="005A12C3"/>
    <w:rsid w:val="005A12C9"/>
    <w:rsid w:val="005A1366"/>
    <w:rsid w:val="005A13A6"/>
    <w:rsid w:val="005A13C3"/>
    <w:rsid w:val="005A13DD"/>
    <w:rsid w:val="005A13DE"/>
    <w:rsid w:val="005A13FC"/>
    <w:rsid w:val="005A1437"/>
    <w:rsid w:val="005A157B"/>
    <w:rsid w:val="005A1594"/>
    <w:rsid w:val="005A162E"/>
    <w:rsid w:val="005A165E"/>
    <w:rsid w:val="005A1674"/>
    <w:rsid w:val="005A16CA"/>
    <w:rsid w:val="005A16FF"/>
    <w:rsid w:val="005A177F"/>
    <w:rsid w:val="005A1786"/>
    <w:rsid w:val="005A197C"/>
    <w:rsid w:val="005A1A64"/>
    <w:rsid w:val="005A1A6B"/>
    <w:rsid w:val="005A1A74"/>
    <w:rsid w:val="005A1A8F"/>
    <w:rsid w:val="005A1AF9"/>
    <w:rsid w:val="005A1B21"/>
    <w:rsid w:val="005A1BE2"/>
    <w:rsid w:val="005A1BE3"/>
    <w:rsid w:val="005A1C1F"/>
    <w:rsid w:val="005A1C34"/>
    <w:rsid w:val="005A1C67"/>
    <w:rsid w:val="005A1DC2"/>
    <w:rsid w:val="005A1DD5"/>
    <w:rsid w:val="005A1DFA"/>
    <w:rsid w:val="005A1E06"/>
    <w:rsid w:val="005A1E66"/>
    <w:rsid w:val="005A1E97"/>
    <w:rsid w:val="005A1F30"/>
    <w:rsid w:val="005A1F5E"/>
    <w:rsid w:val="005A1FCA"/>
    <w:rsid w:val="005A1FD2"/>
    <w:rsid w:val="005A201E"/>
    <w:rsid w:val="005A2025"/>
    <w:rsid w:val="005A2054"/>
    <w:rsid w:val="005A20CC"/>
    <w:rsid w:val="005A20DF"/>
    <w:rsid w:val="005A20EA"/>
    <w:rsid w:val="005A216D"/>
    <w:rsid w:val="005A2189"/>
    <w:rsid w:val="005A224E"/>
    <w:rsid w:val="005A22C1"/>
    <w:rsid w:val="005A230C"/>
    <w:rsid w:val="005A2336"/>
    <w:rsid w:val="005A2386"/>
    <w:rsid w:val="005A245F"/>
    <w:rsid w:val="005A247B"/>
    <w:rsid w:val="005A250E"/>
    <w:rsid w:val="005A2583"/>
    <w:rsid w:val="005A25D6"/>
    <w:rsid w:val="005A25E6"/>
    <w:rsid w:val="005A2698"/>
    <w:rsid w:val="005A26BC"/>
    <w:rsid w:val="005A2789"/>
    <w:rsid w:val="005A27A7"/>
    <w:rsid w:val="005A27D6"/>
    <w:rsid w:val="005A27F7"/>
    <w:rsid w:val="005A285E"/>
    <w:rsid w:val="005A2883"/>
    <w:rsid w:val="005A28A7"/>
    <w:rsid w:val="005A291B"/>
    <w:rsid w:val="005A2928"/>
    <w:rsid w:val="005A2936"/>
    <w:rsid w:val="005A29FB"/>
    <w:rsid w:val="005A2A0F"/>
    <w:rsid w:val="005A2A6F"/>
    <w:rsid w:val="005A2A8B"/>
    <w:rsid w:val="005A2AAA"/>
    <w:rsid w:val="005A2AC4"/>
    <w:rsid w:val="005A2AFB"/>
    <w:rsid w:val="005A2B09"/>
    <w:rsid w:val="005A2B36"/>
    <w:rsid w:val="005A2C0A"/>
    <w:rsid w:val="005A2C18"/>
    <w:rsid w:val="005A2C7C"/>
    <w:rsid w:val="005A2D20"/>
    <w:rsid w:val="005A2D4B"/>
    <w:rsid w:val="005A2D55"/>
    <w:rsid w:val="005A2D82"/>
    <w:rsid w:val="005A2D95"/>
    <w:rsid w:val="005A2E19"/>
    <w:rsid w:val="005A2E1D"/>
    <w:rsid w:val="005A2E39"/>
    <w:rsid w:val="005A2E59"/>
    <w:rsid w:val="005A2E6A"/>
    <w:rsid w:val="005A2E8B"/>
    <w:rsid w:val="005A2F60"/>
    <w:rsid w:val="005A30E8"/>
    <w:rsid w:val="005A312A"/>
    <w:rsid w:val="005A3163"/>
    <w:rsid w:val="005A31FF"/>
    <w:rsid w:val="005A3219"/>
    <w:rsid w:val="005A3394"/>
    <w:rsid w:val="005A33E6"/>
    <w:rsid w:val="005A3410"/>
    <w:rsid w:val="005A344A"/>
    <w:rsid w:val="005A345E"/>
    <w:rsid w:val="005A3525"/>
    <w:rsid w:val="005A355E"/>
    <w:rsid w:val="005A360C"/>
    <w:rsid w:val="005A36B7"/>
    <w:rsid w:val="005A36E4"/>
    <w:rsid w:val="005A36FD"/>
    <w:rsid w:val="005A3733"/>
    <w:rsid w:val="005A3785"/>
    <w:rsid w:val="005A37F0"/>
    <w:rsid w:val="005A3865"/>
    <w:rsid w:val="005A38B1"/>
    <w:rsid w:val="005A38DB"/>
    <w:rsid w:val="005A3917"/>
    <w:rsid w:val="005A3970"/>
    <w:rsid w:val="005A39DE"/>
    <w:rsid w:val="005A39FD"/>
    <w:rsid w:val="005A3A79"/>
    <w:rsid w:val="005A3A8A"/>
    <w:rsid w:val="005A3A98"/>
    <w:rsid w:val="005A3AAF"/>
    <w:rsid w:val="005A3B4F"/>
    <w:rsid w:val="005A3C2E"/>
    <w:rsid w:val="005A3C78"/>
    <w:rsid w:val="005A3C8C"/>
    <w:rsid w:val="005A3C9A"/>
    <w:rsid w:val="005A3CCF"/>
    <w:rsid w:val="005A3DD5"/>
    <w:rsid w:val="005A3DDB"/>
    <w:rsid w:val="005A3DFC"/>
    <w:rsid w:val="005A3ED1"/>
    <w:rsid w:val="005A3EDB"/>
    <w:rsid w:val="005A3EFB"/>
    <w:rsid w:val="005A3F8E"/>
    <w:rsid w:val="005A3F97"/>
    <w:rsid w:val="005A4050"/>
    <w:rsid w:val="005A405A"/>
    <w:rsid w:val="005A407E"/>
    <w:rsid w:val="005A40C0"/>
    <w:rsid w:val="005A40F7"/>
    <w:rsid w:val="005A41AD"/>
    <w:rsid w:val="005A41F1"/>
    <w:rsid w:val="005A423F"/>
    <w:rsid w:val="005A42AC"/>
    <w:rsid w:val="005A4363"/>
    <w:rsid w:val="005A43AA"/>
    <w:rsid w:val="005A43EF"/>
    <w:rsid w:val="005A441D"/>
    <w:rsid w:val="005A4448"/>
    <w:rsid w:val="005A44F7"/>
    <w:rsid w:val="005A4525"/>
    <w:rsid w:val="005A45B9"/>
    <w:rsid w:val="005A45E6"/>
    <w:rsid w:val="005A4684"/>
    <w:rsid w:val="005A4718"/>
    <w:rsid w:val="005A47AA"/>
    <w:rsid w:val="005A48B5"/>
    <w:rsid w:val="005A4942"/>
    <w:rsid w:val="005A4974"/>
    <w:rsid w:val="005A4A41"/>
    <w:rsid w:val="005A4B6F"/>
    <w:rsid w:val="005A4C1F"/>
    <w:rsid w:val="005A4C32"/>
    <w:rsid w:val="005A4C48"/>
    <w:rsid w:val="005A4C7C"/>
    <w:rsid w:val="005A4CCB"/>
    <w:rsid w:val="005A4CCE"/>
    <w:rsid w:val="005A4D0E"/>
    <w:rsid w:val="005A4D19"/>
    <w:rsid w:val="005A4D52"/>
    <w:rsid w:val="005A4D80"/>
    <w:rsid w:val="005A4D9E"/>
    <w:rsid w:val="005A4E0E"/>
    <w:rsid w:val="005A4E7C"/>
    <w:rsid w:val="005A4F47"/>
    <w:rsid w:val="005A4F99"/>
    <w:rsid w:val="005A501B"/>
    <w:rsid w:val="005A50BF"/>
    <w:rsid w:val="005A50DC"/>
    <w:rsid w:val="005A5102"/>
    <w:rsid w:val="005A511D"/>
    <w:rsid w:val="005A515C"/>
    <w:rsid w:val="005A51BB"/>
    <w:rsid w:val="005A52C1"/>
    <w:rsid w:val="005A535E"/>
    <w:rsid w:val="005A537D"/>
    <w:rsid w:val="005A538E"/>
    <w:rsid w:val="005A53AF"/>
    <w:rsid w:val="005A5487"/>
    <w:rsid w:val="005A55C5"/>
    <w:rsid w:val="005A55CA"/>
    <w:rsid w:val="005A5640"/>
    <w:rsid w:val="005A56C2"/>
    <w:rsid w:val="005A56DD"/>
    <w:rsid w:val="005A56FA"/>
    <w:rsid w:val="005A5745"/>
    <w:rsid w:val="005A576D"/>
    <w:rsid w:val="005A57F4"/>
    <w:rsid w:val="005A580E"/>
    <w:rsid w:val="005A587D"/>
    <w:rsid w:val="005A58BC"/>
    <w:rsid w:val="005A58DC"/>
    <w:rsid w:val="005A594C"/>
    <w:rsid w:val="005A59B9"/>
    <w:rsid w:val="005A5A40"/>
    <w:rsid w:val="005A5A7F"/>
    <w:rsid w:val="005A5AF4"/>
    <w:rsid w:val="005A5AFF"/>
    <w:rsid w:val="005A5B0A"/>
    <w:rsid w:val="005A5B55"/>
    <w:rsid w:val="005A5B92"/>
    <w:rsid w:val="005A5BB9"/>
    <w:rsid w:val="005A5C19"/>
    <w:rsid w:val="005A5C2A"/>
    <w:rsid w:val="005A5C9D"/>
    <w:rsid w:val="005A5CDC"/>
    <w:rsid w:val="005A5D2E"/>
    <w:rsid w:val="005A5D63"/>
    <w:rsid w:val="005A5DFA"/>
    <w:rsid w:val="005A5EBA"/>
    <w:rsid w:val="005A5ECE"/>
    <w:rsid w:val="005A5ED2"/>
    <w:rsid w:val="005A5F7E"/>
    <w:rsid w:val="005A5FB7"/>
    <w:rsid w:val="005A6025"/>
    <w:rsid w:val="005A608B"/>
    <w:rsid w:val="005A60F4"/>
    <w:rsid w:val="005A610D"/>
    <w:rsid w:val="005A6139"/>
    <w:rsid w:val="005A6179"/>
    <w:rsid w:val="005A61CC"/>
    <w:rsid w:val="005A61F4"/>
    <w:rsid w:val="005A63B2"/>
    <w:rsid w:val="005A63FD"/>
    <w:rsid w:val="005A6402"/>
    <w:rsid w:val="005A640F"/>
    <w:rsid w:val="005A646A"/>
    <w:rsid w:val="005A6544"/>
    <w:rsid w:val="005A661E"/>
    <w:rsid w:val="005A662C"/>
    <w:rsid w:val="005A6730"/>
    <w:rsid w:val="005A67A5"/>
    <w:rsid w:val="005A691F"/>
    <w:rsid w:val="005A696C"/>
    <w:rsid w:val="005A6A27"/>
    <w:rsid w:val="005A6A5D"/>
    <w:rsid w:val="005A6AB4"/>
    <w:rsid w:val="005A6ADA"/>
    <w:rsid w:val="005A6B1F"/>
    <w:rsid w:val="005A6B43"/>
    <w:rsid w:val="005A6C02"/>
    <w:rsid w:val="005A6C08"/>
    <w:rsid w:val="005A6C44"/>
    <w:rsid w:val="005A6C45"/>
    <w:rsid w:val="005A6CE3"/>
    <w:rsid w:val="005A6CE6"/>
    <w:rsid w:val="005A6DDD"/>
    <w:rsid w:val="005A6E96"/>
    <w:rsid w:val="005A6EDD"/>
    <w:rsid w:val="005A6F5B"/>
    <w:rsid w:val="005A6F6F"/>
    <w:rsid w:val="005A6FAE"/>
    <w:rsid w:val="005A6FE9"/>
    <w:rsid w:val="005A7039"/>
    <w:rsid w:val="005A706A"/>
    <w:rsid w:val="005A70A8"/>
    <w:rsid w:val="005A70DC"/>
    <w:rsid w:val="005A7123"/>
    <w:rsid w:val="005A726D"/>
    <w:rsid w:val="005A7311"/>
    <w:rsid w:val="005A732A"/>
    <w:rsid w:val="005A732E"/>
    <w:rsid w:val="005A7360"/>
    <w:rsid w:val="005A7400"/>
    <w:rsid w:val="005A742E"/>
    <w:rsid w:val="005A7437"/>
    <w:rsid w:val="005A763D"/>
    <w:rsid w:val="005A774B"/>
    <w:rsid w:val="005A7750"/>
    <w:rsid w:val="005A775F"/>
    <w:rsid w:val="005A7795"/>
    <w:rsid w:val="005A77CF"/>
    <w:rsid w:val="005A77E0"/>
    <w:rsid w:val="005A77F4"/>
    <w:rsid w:val="005A7808"/>
    <w:rsid w:val="005A783F"/>
    <w:rsid w:val="005A78A4"/>
    <w:rsid w:val="005A78BD"/>
    <w:rsid w:val="005A791E"/>
    <w:rsid w:val="005A79E1"/>
    <w:rsid w:val="005A7AF1"/>
    <w:rsid w:val="005A7AF8"/>
    <w:rsid w:val="005A7BB5"/>
    <w:rsid w:val="005A7C2D"/>
    <w:rsid w:val="005A7D1B"/>
    <w:rsid w:val="005A7D29"/>
    <w:rsid w:val="005A7E29"/>
    <w:rsid w:val="005A7E64"/>
    <w:rsid w:val="005A7E6B"/>
    <w:rsid w:val="005A7F34"/>
    <w:rsid w:val="005B0002"/>
    <w:rsid w:val="005B0015"/>
    <w:rsid w:val="005B004B"/>
    <w:rsid w:val="005B005D"/>
    <w:rsid w:val="005B00D6"/>
    <w:rsid w:val="005B00E5"/>
    <w:rsid w:val="005B0124"/>
    <w:rsid w:val="005B02EA"/>
    <w:rsid w:val="005B0481"/>
    <w:rsid w:val="005B049F"/>
    <w:rsid w:val="005B04E1"/>
    <w:rsid w:val="005B0528"/>
    <w:rsid w:val="005B0535"/>
    <w:rsid w:val="005B0541"/>
    <w:rsid w:val="005B05D6"/>
    <w:rsid w:val="005B05D8"/>
    <w:rsid w:val="005B072A"/>
    <w:rsid w:val="005B082C"/>
    <w:rsid w:val="005B08EA"/>
    <w:rsid w:val="005B08F1"/>
    <w:rsid w:val="005B0913"/>
    <w:rsid w:val="005B0937"/>
    <w:rsid w:val="005B0A55"/>
    <w:rsid w:val="005B0B02"/>
    <w:rsid w:val="005B0B1E"/>
    <w:rsid w:val="005B0B6F"/>
    <w:rsid w:val="005B0C46"/>
    <w:rsid w:val="005B0C98"/>
    <w:rsid w:val="005B0C9B"/>
    <w:rsid w:val="005B0CE6"/>
    <w:rsid w:val="005B0DB9"/>
    <w:rsid w:val="005B0DBD"/>
    <w:rsid w:val="005B0DEB"/>
    <w:rsid w:val="005B0DFD"/>
    <w:rsid w:val="005B0E28"/>
    <w:rsid w:val="005B0EA1"/>
    <w:rsid w:val="005B0ECD"/>
    <w:rsid w:val="005B0F34"/>
    <w:rsid w:val="005B0F9B"/>
    <w:rsid w:val="005B1029"/>
    <w:rsid w:val="005B1076"/>
    <w:rsid w:val="005B10C9"/>
    <w:rsid w:val="005B11E1"/>
    <w:rsid w:val="005B12A4"/>
    <w:rsid w:val="005B12BF"/>
    <w:rsid w:val="005B132D"/>
    <w:rsid w:val="005B1351"/>
    <w:rsid w:val="005B13AB"/>
    <w:rsid w:val="005B13FE"/>
    <w:rsid w:val="005B1451"/>
    <w:rsid w:val="005B1482"/>
    <w:rsid w:val="005B14EF"/>
    <w:rsid w:val="005B15AD"/>
    <w:rsid w:val="005B1625"/>
    <w:rsid w:val="005B1658"/>
    <w:rsid w:val="005B1693"/>
    <w:rsid w:val="005B1716"/>
    <w:rsid w:val="005B174D"/>
    <w:rsid w:val="005B18A1"/>
    <w:rsid w:val="005B18CD"/>
    <w:rsid w:val="005B1926"/>
    <w:rsid w:val="005B1956"/>
    <w:rsid w:val="005B198B"/>
    <w:rsid w:val="005B1A11"/>
    <w:rsid w:val="005B1A16"/>
    <w:rsid w:val="005B1A5F"/>
    <w:rsid w:val="005B1A6C"/>
    <w:rsid w:val="005B1AD5"/>
    <w:rsid w:val="005B1C21"/>
    <w:rsid w:val="005B1C89"/>
    <w:rsid w:val="005B1CE2"/>
    <w:rsid w:val="005B1DB6"/>
    <w:rsid w:val="005B1E97"/>
    <w:rsid w:val="005B1EE8"/>
    <w:rsid w:val="005B1F24"/>
    <w:rsid w:val="005B1F83"/>
    <w:rsid w:val="005B1FC0"/>
    <w:rsid w:val="005B1FD2"/>
    <w:rsid w:val="005B1FE1"/>
    <w:rsid w:val="005B2074"/>
    <w:rsid w:val="005B2101"/>
    <w:rsid w:val="005B212E"/>
    <w:rsid w:val="005B2286"/>
    <w:rsid w:val="005B22A2"/>
    <w:rsid w:val="005B236E"/>
    <w:rsid w:val="005B23D0"/>
    <w:rsid w:val="005B248D"/>
    <w:rsid w:val="005B2491"/>
    <w:rsid w:val="005B24D6"/>
    <w:rsid w:val="005B24FC"/>
    <w:rsid w:val="005B2546"/>
    <w:rsid w:val="005B25CD"/>
    <w:rsid w:val="005B2602"/>
    <w:rsid w:val="005B2784"/>
    <w:rsid w:val="005B278C"/>
    <w:rsid w:val="005B2814"/>
    <w:rsid w:val="005B28B7"/>
    <w:rsid w:val="005B291B"/>
    <w:rsid w:val="005B2934"/>
    <w:rsid w:val="005B293D"/>
    <w:rsid w:val="005B2941"/>
    <w:rsid w:val="005B2A22"/>
    <w:rsid w:val="005B2A45"/>
    <w:rsid w:val="005B2A7F"/>
    <w:rsid w:val="005B2AE9"/>
    <w:rsid w:val="005B2B34"/>
    <w:rsid w:val="005B2B98"/>
    <w:rsid w:val="005B2BEB"/>
    <w:rsid w:val="005B2C1F"/>
    <w:rsid w:val="005B2C95"/>
    <w:rsid w:val="005B2D6F"/>
    <w:rsid w:val="005B2E72"/>
    <w:rsid w:val="005B2E83"/>
    <w:rsid w:val="005B2F0A"/>
    <w:rsid w:val="005B2F51"/>
    <w:rsid w:val="005B2FB7"/>
    <w:rsid w:val="005B3017"/>
    <w:rsid w:val="005B3094"/>
    <w:rsid w:val="005B30C1"/>
    <w:rsid w:val="005B30E1"/>
    <w:rsid w:val="005B31EE"/>
    <w:rsid w:val="005B3291"/>
    <w:rsid w:val="005B331E"/>
    <w:rsid w:val="005B3380"/>
    <w:rsid w:val="005B3499"/>
    <w:rsid w:val="005B34CE"/>
    <w:rsid w:val="005B34D9"/>
    <w:rsid w:val="005B34E2"/>
    <w:rsid w:val="005B34FB"/>
    <w:rsid w:val="005B3557"/>
    <w:rsid w:val="005B3596"/>
    <w:rsid w:val="005B3598"/>
    <w:rsid w:val="005B35AA"/>
    <w:rsid w:val="005B35DC"/>
    <w:rsid w:val="005B35F8"/>
    <w:rsid w:val="005B363B"/>
    <w:rsid w:val="005B3646"/>
    <w:rsid w:val="005B365A"/>
    <w:rsid w:val="005B3674"/>
    <w:rsid w:val="005B3675"/>
    <w:rsid w:val="005B369C"/>
    <w:rsid w:val="005B36EC"/>
    <w:rsid w:val="005B37BE"/>
    <w:rsid w:val="005B37E0"/>
    <w:rsid w:val="005B37FE"/>
    <w:rsid w:val="005B380B"/>
    <w:rsid w:val="005B384F"/>
    <w:rsid w:val="005B38A3"/>
    <w:rsid w:val="005B38CA"/>
    <w:rsid w:val="005B3A82"/>
    <w:rsid w:val="005B3A8F"/>
    <w:rsid w:val="005B3ABB"/>
    <w:rsid w:val="005B3AC5"/>
    <w:rsid w:val="005B3ACC"/>
    <w:rsid w:val="005B3B57"/>
    <w:rsid w:val="005B3BAC"/>
    <w:rsid w:val="005B3D39"/>
    <w:rsid w:val="005B3D70"/>
    <w:rsid w:val="005B3DB0"/>
    <w:rsid w:val="005B3E1A"/>
    <w:rsid w:val="005B3FC5"/>
    <w:rsid w:val="005B3FDA"/>
    <w:rsid w:val="005B4028"/>
    <w:rsid w:val="005B4034"/>
    <w:rsid w:val="005B40F4"/>
    <w:rsid w:val="005B417D"/>
    <w:rsid w:val="005B4215"/>
    <w:rsid w:val="005B4228"/>
    <w:rsid w:val="005B4233"/>
    <w:rsid w:val="005B43BA"/>
    <w:rsid w:val="005B43DC"/>
    <w:rsid w:val="005B43DE"/>
    <w:rsid w:val="005B4415"/>
    <w:rsid w:val="005B4438"/>
    <w:rsid w:val="005B4484"/>
    <w:rsid w:val="005B4500"/>
    <w:rsid w:val="005B458C"/>
    <w:rsid w:val="005B45AA"/>
    <w:rsid w:val="005B45F3"/>
    <w:rsid w:val="005B4631"/>
    <w:rsid w:val="005B463C"/>
    <w:rsid w:val="005B466F"/>
    <w:rsid w:val="005B46D7"/>
    <w:rsid w:val="005B46D9"/>
    <w:rsid w:val="005B46F4"/>
    <w:rsid w:val="005B4776"/>
    <w:rsid w:val="005B4793"/>
    <w:rsid w:val="005B47A7"/>
    <w:rsid w:val="005B4880"/>
    <w:rsid w:val="005B4936"/>
    <w:rsid w:val="005B4940"/>
    <w:rsid w:val="005B4957"/>
    <w:rsid w:val="005B4A6A"/>
    <w:rsid w:val="005B4B48"/>
    <w:rsid w:val="005B4B5B"/>
    <w:rsid w:val="005B4BBA"/>
    <w:rsid w:val="005B4C2A"/>
    <w:rsid w:val="005B4D68"/>
    <w:rsid w:val="005B4D89"/>
    <w:rsid w:val="005B4E1F"/>
    <w:rsid w:val="005B4F4A"/>
    <w:rsid w:val="005B4F86"/>
    <w:rsid w:val="005B4FB5"/>
    <w:rsid w:val="005B5002"/>
    <w:rsid w:val="005B5052"/>
    <w:rsid w:val="005B50E1"/>
    <w:rsid w:val="005B50EB"/>
    <w:rsid w:val="005B5116"/>
    <w:rsid w:val="005B5134"/>
    <w:rsid w:val="005B516A"/>
    <w:rsid w:val="005B51C4"/>
    <w:rsid w:val="005B51EB"/>
    <w:rsid w:val="005B5234"/>
    <w:rsid w:val="005B531B"/>
    <w:rsid w:val="005B5342"/>
    <w:rsid w:val="005B53BE"/>
    <w:rsid w:val="005B5412"/>
    <w:rsid w:val="005B54E4"/>
    <w:rsid w:val="005B55AF"/>
    <w:rsid w:val="005B561B"/>
    <w:rsid w:val="005B5667"/>
    <w:rsid w:val="005B56A6"/>
    <w:rsid w:val="005B56ED"/>
    <w:rsid w:val="005B5759"/>
    <w:rsid w:val="005B578C"/>
    <w:rsid w:val="005B5792"/>
    <w:rsid w:val="005B5794"/>
    <w:rsid w:val="005B579D"/>
    <w:rsid w:val="005B580C"/>
    <w:rsid w:val="005B5826"/>
    <w:rsid w:val="005B5862"/>
    <w:rsid w:val="005B5873"/>
    <w:rsid w:val="005B58D5"/>
    <w:rsid w:val="005B590A"/>
    <w:rsid w:val="005B591A"/>
    <w:rsid w:val="005B59FB"/>
    <w:rsid w:val="005B5A65"/>
    <w:rsid w:val="005B5A6C"/>
    <w:rsid w:val="005B5A79"/>
    <w:rsid w:val="005B5A9A"/>
    <w:rsid w:val="005B5AC7"/>
    <w:rsid w:val="005B5B00"/>
    <w:rsid w:val="005B5BC3"/>
    <w:rsid w:val="005B5BF2"/>
    <w:rsid w:val="005B5C42"/>
    <w:rsid w:val="005B5C62"/>
    <w:rsid w:val="005B5C71"/>
    <w:rsid w:val="005B5D0C"/>
    <w:rsid w:val="005B5D13"/>
    <w:rsid w:val="005B5D8B"/>
    <w:rsid w:val="005B5DA5"/>
    <w:rsid w:val="005B5DCB"/>
    <w:rsid w:val="005B5DD0"/>
    <w:rsid w:val="005B5EB9"/>
    <w:rsid w:val="005B5EC8"/>
    <w:rsid w:val="005B5FBC"/>
    <w:rsid w:val="005B5FE0"/>
    <w:rsid w:val="005B609B"/>
    <w:rsid w:val="005B60ED"/>
    <w:rsid w:val="005B6106"/>
    <w:rsid w:val="005B6116"/>
    <w:rsid w:val="005B614A"/>
    <w:rsid w:val="005B615E"/>
    <w:rsid w:val="005B6177"/>
    <w:rsid w:val="005B61A5"/>
    <w:rsid w:val="005B61D1"/>
    <w:rsid w:val="005B6203"/>
    <w:rsid w:val="005B6220"/>
    <w:rsid w:val="005B6225"/>
    <w:rsid w:val="005B62E4"/>
    <w:rsid w:val="005B63F4"/>
    <w:rsid w:val="005B6461"/>
    <w:rsid w:val="005B6469"/>
    <w:rsid w:val="005B64BF"/>
    <w:rsid w:val="005B64C1"/>
    <w:rsid w:val="005B64E2"/>
    <w:rsid w:val="005B64EC"/>
    <w:rsid w:val="005B6555"/>
    <w:rsid w:val="005B663F"/>
    <w:rsid w:val="005B664D"/>
    <w:rsid w:val="005B66DB"/>
    <w:rsid w:val="005B6704"/>
    <w:rsid w:val="005B67AA"/>
    <w:rsid w:val="005B68F7"/>
    <w:rsid w:val="005B69E4"/>
    <w:rsid w:val="005B6A81"/>
    <w:rsid w:val="005B6ABC"/>
    <w:rsid w:val="005B6B1B"/>
    <w:rsid w:val="005B6CD8"/>
    <w:rsid w:val="005B6E1B"/>
    <w:rsid w:val="005B6E3F"/>
    <w:rsid w:val="005B6E64"/>
    <w:rsid w:val="005B6FEC"/>
    <w:rsid w:val="005B7001"/>
    <w:rsid w:val="005B7015"/>
    <w:rsid w:val="005B707F"/>
    <w:rsid w:val="005B712D"/>
    <w:rsid w:val="005B71AC"/>
    <w:rsid w:val="005B7202"/>
    <w:rsid w:val="005B7207"/>
    <w:rsid w:val="005B7233"/>
    <w:rsid w:val="005B726B"/>
    <w:rsid w:val="005B729F"/>
    <w:rsid w:val="005B72DD"/>
    <w:rsid w:val="005B7322"/>
    <w:rsid w:val="005B738C"/>
    <w:rsid w:val="005B7398"/>
    <w:rsid w:val="005B73EC"/>
    <w:rsid w:val="005B73F2"/>
    <w:rsid w:val="005B7461"/>
    <w:rsid w:val="005B746F"/>
    <w:rsid w:val="005B747A"/>
    <w:rsid w:val="005B748C"/>
    <w:rsid w:val="005B74A3"/>
    <w:rsid w:val="005B7500"/>
    <w:rsid w:val="005B750D"/>
    <w:rsid w:val="005B759F"/>
    <w:rsid w:val="005B75CC"/>
    <w:rsid w:val="005B75DD"/>
    <w:rsid w:val="005B76F3"/>
    <w:rsid w:val="005B7701"/>
    <w:rsid w:val="005B7904"/>
    <w:rsid w:val="005B79F2"/>
    <w:rsid w:val="005B7A47"/>
    <w:rsid w:val="005B7A96"/>
    <w:rsid w:val="005B7AF4"/>
    <w:rsid w:val="005B7B7C"/>
    <w:rsid w:val="005B7B87"/>
    <w:rsid w:val="005B7BC3"/>
    <w:rsid w:val="005B7BF9"/>
    <w:rsid w:val="005B7D54"/>
    <w:rsid w:val="005C00EE"/>
    <w:rsid w:val="005C0162"/>
    <w:rsid w:val="005C01AC"/>
    <w:rsid w:val="005C01D6"/>
    <w:rsid w:val="005C01ED"/>
    <w:rsid w:val="005C0279"/>
    <w:rsid w:val="005C034C"/>
    <w:rsid w:val="005C03E6"/>
    <w:rsid w:val="005C04C2"/>
    <w:rsid w:val="005C0572"/>
    <w:rsid w:val="005C0640"/>
    <w:rsid w:val="005C06A0"/>
    <w:rsid w:val="005C06ED"/>
    <w:rsid w:val="005C0778"/>
    <w:rsid w:val="005C07FE"/>
    <w:rsid w:val="005C0870"/>
    <w:rsid w:val="005C0897"/>
    <w:rsid w:val="005C08BD"/>
    <w:rsid w:val="005C097A"/>
    <w:rsid w:val="005C0A0E"/>
    <w:rsid w:val="005C0A6A"/>
    <w:rsid w:val="005C0C73"/>
    <w:rsid w:val="005C0C89"/>
    <w:rsid w:val="005C0CA6"/>
    <w:rsid w:val="005C0CA9"/>
    <w:rsid w:val="005C0D10"/>
    <w:rsid w:val="005C0D76"/>
    <w:rsid w:val="005C0E19"/>
    <w:rsid w:val="005C0F1A"/>
    <w:rsid w:val="005C0FCB"/>
    <w:rsid w:val="005C1009"/>
    <w:rsid w:val="005C1016"/>
    <w:rsid w:val="005C10F5"/>
    <w:rsid w:val="005C1100"/>
    <w:rsid w:val="005C1124"/>
    <w:rsid w:val="005C12D4"/>
    <w:rsid w:val="005C1338"/>
    <w:rsid w:val="005C13AA"/>
    <w:rsid w:val="005C13C8"/>
    <w:rsid w:val="005C1409"/>
    <w:rsid w:val="005C1460"/>
    <w:rsid w:val="005C1500"/>
    <w:rsid w:val="005C154C"/>
    <w:rsid w:val="005C157F"/>
    <w:rsid w:val="005C15B3"/>
    <w:rsid w:val="005C166F"/>
    <w:rsid w:val="005C1673"/>
    <w:rsid w:val="005C1692"/>
    <w:rsid w:val="005C1750"/>
    <w:rsid w:val="005C17DC"/>
    <w:rsid w:val="005C1818"/>
    <w:rsid w:val="005C1821"/>
    <w:rsid w:val="005C1877"/>
    <w:rsid w:val="005C18D7"/>
    <w:rsid w:val="005C1926"/>
    <w:rsid w:val="005C197D"/>
    <w:rsid w:val="005C199C"/>
    <w:rsid w:val="005C1A58"/>
    <w:rsid w:val="005C1A90"/>
    <w:rsid w:val="005C1AEF"/>
    <w:rsid w:val="005C1B85"/>
    <w:rsid w:val="005C1BA3"/>
    <w:rsid w:val="005C1BB5"/>
    <w:rsid w:val="005C1BE8"/>
    <w:rsid w:val="005C1C4B"/>
    <w:rsid w:val="005C1D47"/>
    <w:rsid w:val="005C1D63"/>
    <w:rsid w:val="005C1E15"/>
    <w:rsid w:val="005C1F0E"/>
    <w:rsid w:val="005C1F1D"/>
    <w:rsid w:val="005C1FBF"/>
    <w:rsid w:val="005C1FDE"/>
    <w:rsid w:val="005C1FE1"/>
    <w:rsid w:val="005C203D"/>
    <w:rsid w:val="005C20CA"/>
    <w:rsid w:val="005C20E2"/>
    <w:rsid w:val="005C212F"/>
    <w:rsid w:val="005C21C6"/>
    <w:rsid w:val="005C21EA"/>
    <w:rsid w:val="005C2264"/>
    <w:rsid w:val="005C2274"/>
    <w:rsid w:val="005C2277"/>
    <w:rsid w:val="005C239B"/>
    <w:rsid w:val="005C23A6"/>
    <w:rsid w:val="005C23CF"/>
    <w:rsid w:val="005C2430"/>
    <w:rsid w:val="005C2459"/>
    <w:rsid w:val="005C2474"/>
    <w:rsid w:val="005C2485"/>
    <w:rsid w:val="005C24D5"/>
    <w:rsid w:val="005C254C"/>
    <w:rsid w:val="005C25A3"/>
    <w:rsid w:val="005C25AA"/>
    <w:rsid w:val="005C26B6"/>
    <w:rsid w:val="005C26CD"/>
    <w:rsid w:val="005C26E4"/>
    <w:rsid w:val="005C275F"/>
    <w:rsid w:val="005C2838"/>
    <w:rsid w:val="005C2844"/>
    <w:rsid w:val="005C2872"/>
    <w:rsid w:val="005C288E"/>
    <w:rsid w:val="005C2920"/>
    <w:rsid w:val="005C299E"/>
    <w:rsid w:val="005C29C0"/>
    <w:rsid w:val="005C2A08"/>
    <w:rsid w:val="005C2A1B"/>
    <w:rsid w:val="005C2A1F"/>
    <w:rsid w:val="005C2B72"/>
    <w:rsid w:val="005C2C45"/>
    <w:rsid w:val="005C2C7B"/>
    <w:rsid w:val="005C2CAD"/>
    <w:rsid w:val="005C2D2E"/>
    <w:rsid w:val="005C2D61"/>
    <w:rsid w:val="005C2D73"/>
    <w:rsid w:val="005C2D75"/>
    <w:rsid w:val="005C2D88"/>
    <w:rsid w:val="005C2D9C"/>
    <w:rsid w:val="005C2DC5"/>
    <w:rsid w:val="005C2DD1"/>
    <w:rsid w:val="005C2E12"/>
    <w:rsid w:val="005C2F20"/>
    <w:rsid w:val="005C2F31"/>
    <w:rsid w:val="005C2F71"/>
    <w:rsid w:val="005C2F7D"/>
    <w:rsid w:val="005C2FC5"/>
    <w:rsid w:val="005C2FD9"/>
    <w:rsid w:val="005C3054"/>
    <w:rsid w:val="005C305B"/>
    <w:rsid w:val="005C310B"/>
    <w:rsid w:val="005C3181"/>
    <w:rsid w:val="005C31F7"/>
    <w:rsid w:val="005C3236"/>
    <w:rsid w:val="005C3273"/>
    <w:rsid w:val="005C32B7"/>
    <w:rsid w:val="005C3366"/>
    <w:rsid w:val="005C3376"/>
    <w:rsid w:val="005C33FF"/>
    <w:rsid w:val="005C3434"/>
    <w:rsid w:val="005C3490"/>
    <w:rsid w:val="005C34D1"/>
    <w:rsid w:val="005C3590"/>
    <w:rsid w:val="005C3611"/>
    <w:rsid w:val="005C3657"/>
    <w:rsid w:val="005C365A"/>
    <w:rsid w:val="005C3671"/>
    <w:rsid w:val="005C369B"/>
    <w:rsid w:val="005C36AA"/>
    <w:rsid w:val="005C36DE"/>
    <w:rsid w:val="005C3765"/>
    <w:rsid w:val="005C3862"/>
    <w:rsid w:val="005C3888"/>
    <w:rsid w:val="005C38C6"/>
    <w:rsid w:val="005C3925"/>
    <w:rsid w:val="005C396E"/>
    <w:rsid w:val="005C3A1D"/>
    <w:rsid w:val="005C3A53"/>
    <w:rsid w:val="005C3A9C"/>
    <w:rsid w:val="005C3ACF"/>
    <w:rsid w:val="005C3AE1"/>
    <w:rsid w:val="005C3B08"/>
    <w:rsid w:val="005C3B36"/>
    <w:rsid w:val="005C3B81"/>
    <w:rsid w:val="005C3BDB"/>
    <w:rsid w:val="005C3BE2"/>
    <w:rsid w:val="005C3C6B"/>
    <w:rsid w:val="005C3CC3"/>
    <w:rsid w:val="005C3D38"/>
    <w:rsid w:val="005C3D68"/>
    <w:rsid w:val="005C3DA9"/>
    <w:rsid w:val="005C3E10"/>
    <w:rsid w:val="005C3E20"/>
    <w:rsid w:val="005C3E54"/>
    <w:rsid w:val="005C3E63"/>
    <w:rsid w:val="005C3E74"/>
    <w:rsid w:val="005C3F11"/>
    <w:rsid w:val="005C3F26"/>
    <w:rsid w:val="005C3F9C"/>
    <w:rsid w:val="005C4055"/>
    <w:rsid w:val="005C419D"/>
    <w:rsid w:val="005C41E0"/>
    <w:rsid w:val="005C420D"/>
    <w:rsid w:val="005C4247"/>
    <w:rsid w:val="005C428F"/>
    <w:rsid w:val="005C42B4"/>
    <w:rsid w:val="005C4301"/>
    <w:rsid w:val="005C43F7"/>
    <w:rsid w:val="005C440F"/>
    <w:rsid w:val="005C44CD"/>
    <w:rsid w:val="005C4517"/>
    <w:rsid w:val="005C4574"/>
    <w:rsid w:val="005C45F1"/>
    <w:rsid w:val="005C4628"/>
    <w:rsid w:val="005C468F"/>
    <w:rsid w:val="005C4723"/>
    <w:rsid w:val="005C4779"/>
    <w:rsid w:val="005C47C6"/>
    <w:rsid w:val="005C47D0"/>
    <w:rsid w:val="005C4843"/>
    <w:rsid w:val="005C4846"/>
    <w:rsid w:val="005C484C"/>
    <w:rsid w:val="005C4868"/>
    <w:rsid w:val="005C4980"/>
    <w:rsid w:val="005C4A3F"/>
    <w:rsid w:val="005C4BD4"/>
    <w:rsid w:val="005C4D83"/>
    <w:rsid w:val="005C4DAC"/>
    <w:rsid w:val="005C4DD4"/>
    <w:rsid w:val="005C4DF0"/>
    <w:rsid w:val="005C4E01"/>
    <w:rsid w:val="005C4E8E"/>
    <w:rsid w:val="005C4E99"/>
    <w:rsid w:val="005C4F1D"/>
    <w:rsid w:val="005C4F34"/>
    <w:rsid w:val="005C4F7B"/>
    <w:rsid w:val="005C4FF3"/>
    <w:rsid w:val="005C505C"/>
    <w:rsid w:val="005C5069"/>
    <w:rsid w:val="005C5092"/>
    <w:rsid w:val="005C517A"/>
    <w:rsid w:val="005C5181"/>
    <w:rsid w:val="005C51FA"/>
    <w:rsid w:val="005C5279"/>
    <w:rsid w:val="005C5333"/>
    <w:rsid w:val="005C5349"/>
    <w:rsid w:val="005C5393"/>
    <w:rsid w:val="005C53BC"/>
    <w:rsid w:val="005C545A"/>
    <w:rsid w:val="005C546E"/>
    <w:rsid w:val="005C54D3"/>
    <w:rsid w:val="005C5539"/>
    <w:rsid w:val="005C5595"/>
    <w:rsid w:val="005C563F"/>
    <w:rsid w:val="005C565E"/>
    <w:rsid w:val="005C570C"/>
    <w:rsid w:val="005C572C"/>
    <w:rsid w:val="005C5796"/>
    <w:rsid w:val="005C57BD"/>
    <w:rsid w:val="005C57D1"/>
    <w:rsid w:val="005C57FB"/>
    <w:rsid w:val="005C582A"/>
    <w:rsid w:val="005C58EC"/>
    <w:rsid w:val="005C593D"/>
    <w:rsid w:val="005C595A"/>
    <w:rsid w:val="005C5A83"/>
    <w:rsid w:val="005C5AB7"/>
    <w:rsid w:val="005C5AC3"/>
    <w:rsid w:val="005C5B2E"/>
    <w:rsid w:val="005C5B4D"/>
    <w:rsid w:val="005C5BC2"/>
    <w:rsid w:val="005C5BE0"/>
    <w:rsid w:val="005C5C7B"/>
    <w:rsid w:val="005C5C88"/>
    <w:rsid w:val="005C5CD4"/>
    <w:rsid w:val="005C5CDE"/>
    <w:rsid w:val="005C5D4B"/>
    <w:rsid w:val="005C5D51"/>
    <w:rsid w:val="005C5D99"/>
    <w:rsid w:val="005C5E01"/>
    <w:rsid w:val="005C5E4C"/>
    <w:rsid w:val="005C5E8B"/>
    <w:rsid w:val="005C5E92"/>
    <w:rsid w:val="005C5ED6"/>
    <w:rsid w:val="005C5FBE"/>
    <w:rsid w:val="005C618E"/>
    <w:rsid w:val="005C6223"/>
    <w:rsid w:val="005C626F"/>
    <w:rsid w:val="005C6273"/>
    <w:rsid w:val="005C6275"/>
    <w:rsid w:val="005C62BF"/>
    <w:rsid w:val="005C62F5"/>
    <w:rsid w:val="005C630C"/>
    <w:rsid w:val="005C634A"/>
    <w:rsid w:val="005C6371"/>
    <w:rsid w:val="005C63AA"/>
    <w:rsid w:val="005C63DA"/>
    <w:rsid w:val="005C63F9"/>
    <w:rsid w:val="005C6441"/>
    <w:rsid w:val="005C644A"/>
    <w:rsid w:val="005C64E4"/>
    <w:rsid w:val="005C651A"/>
    <w:rsid w:val="005C6524"/>
    <w:rsid w:val="005C658E"/>
    <w:rsid w:val="005C6601"/>
    <w:rsid w:val="005C6657"/>
    <w:rsid w:val="005C6678"/>
    <w:rsid w:val="005C66A6"/>
    <w:rsid w:val="005C66EE"/>
    <w:rsid w:val="005C6766"/>
    <w:rsid w:val="005C676A"/>
    <w:rsid w:val="005C67BE"/>
    <w:rsid w:val="005C67E8"/>
    <w:rsid w:val="005C6844"/>
    <w:rsid w:val="005C68B7"/>
    <w:rsid w:val="005C6952"/>
    <w:rsid w:val="005C696D"/>
    <w:rsid w:val="005C6970"/>
    <w:rsid w:val="005C69AF"/>
    <w:rsid w:val="005C6A33"/>
    <w:rsid w:val="005C6A3E"/>
    <w:rsid w:val="005C6A4E"/>
    <w:rsid w:val="005C6A5E"/>
    <w:rsid w:val="005C6A81"/>
    <w:rsid w:val="005C6AAD"/>
    <w:rsid w:val="005C6ABE"/>
    <w:rsid w:val="005C6AF8"/>
    <w:rsid w:val="005C6B35"/>
    <w:rsid w:val="005C6B3F"/>
    <w:rsid w:val="005C6B73"/>
    <w:rsid w:val="005C6C2C"/>
    <w:rsid w:val="005C6C33"/>
    <w:rsid w:val="005C6CB3"/>
    <w:rsid w:val="005C6D83"/>
    <w:rsid w:val="005C6D8F"/>
    <w:rsid w:val="005C6F1C"/>
    <w:rsid w:val="005C6F9B"/>
    <w:rsid w:val="005C7083"/>
    <w:rsid w:val="005C70B6"/>
    <w:rsid w:val="005C7143"/>
    <w:rsid w:val="005C715E"/>
    <w:rsid w:val="005C71CB"/>
    <w:rsid w:val="005C729F"/>
    <w:rsid w:val="005C72BC"/>
    <w:rsid w:val="005C72E7"/>
    <w:rsid w:val="005C7434"/>
    <w:rsid w:val="005C7448"/>
    <w:rsid w:val="005C7491"/>
    <w:rsid w:val="005C7605"/>
    <w:rsid w:val="005C7694"/>
    <w:rsid w:val="005C76BC"/>
    <w:rsid w:val="005C76D8"/>
    <w:rsid w:val="005C76F4"/>
    <w:rsid w:val="005C773B"/>
    <w:rsid w:val="005C775A"/>
    <w:rsid w:val="005C782F"/>
    <w:rsid w:val="005C784F"/>
    <w:rsid w:val="005C78EF"/>
    <w:rsid w:val="005C7A6E"/>
    <w:rsid w:val="005C7AF2"/>
    <w:rsid w:val="005C7AFC"/>
    <w:rsid w:val="005C7B28"/>
    <w:rsid w:val="005C7B41"/>
    <w:rsid w:val="005C7BB1"/>
    <w:rsid w:val="005C7BFD"/>
    <w:rsid w:val="005C7C09"/>
    <w:rsid w:val="005C7C15"/>
    <w:rsid w:val="005C7C18"/>
    <w:rsid w:val="005C7C5C"/>
    <w:rsid w:val="005C7C5F"/>
    <w:rsid w:val="005C7CB1"/>
    <w:rsid w:val="005C7CE1"/>
    <w:rsid w:val="005C7D41"/>
    <w:rsid w:val="005C7D45"/>
    <w:rsid w:val="005C7D4A"/>
    <w:rsid w:val="005C7D94"/>
    <w:rsid w:val="005C7DD9"/>
    <w:rsid w:val="005C7E44"/>
    <w:rsid w:val="005C7E66"/>
    <w:rsid w:val="005C7E69"/>
    <w:rsid w:val="005C7EAC"/>
    <w:rsid w:val="005C7F0B"/>
    <w:rsid w:val="005C7F4A"/>
    <w:rsid w:val="005C7F5C"/>
    <w:rsid w:val="005C7F80"/>
    <w:rsid w:val="005C7F93"/>
    <w:rsid w:val="005D007C"/>
    <w:rsid w:val="005D010A"/>
    <w:rsid w:val="005D019E"/>
    <w:rsid w:val="005D020E"/>
    <w:rsid w:val="005D0227"/>
    <w:rsid w:val="005D02BD"/>
    <w:rsid w:val="005D03A6"/>
    <w:rsid w:val="005D040A"/>
    <w:rsid w:val="005D04E7"/>
    <w:rsid w:val="005D051A"/>
    <w:rsid w:val="005D0591"/>
    <w:rsid w:val="005D05BB"/>
    <w:rsid w:val="005D05D7"/>
    <w:rsid w:val="005D0676"/>
    <w:rsid w:val="005D06C8"/>
    <w:rsid w:val="005D074C"/>
    <w:rsid w:val="005D076A"/>
    <w:rsid w:val="005D07AD"/>
    <w:rsid w:val="005D07DD"/>
    <w:rsid w:val="005D097E"/>
    <w:rsid w:val="005D0985"/>
    <w:rsid w:val="005D098A"/>
    <w:rsid w:val="005D09F6"/>
    <w:rsid w:val="005D0AAC"/>
    <w:rsid w:val="005D0AD6"/>
    <w:rsid w:val="005D0BD8"/>
    <w:rsid w:val="005D0D19"/>
    <w:rsid w:val="005D0D3D"/>
    <w:rsid w:val="005D0DBD"/>
    <w:rsid w:val="005D0E82"/>
    <w:rsid w:val="005D0E98"/>
    <w:rsid w:val="005D0ED2"/>
    <w:rsid w:val="005D0FA9"/>
    <w:rsid w:val="005D1020"/>
    <w:rsid w:val="005D1099"/>
    <w:rsid w:val="005D1135"/>
    <w:rsid w:val="005D1173"/>
    <w:rsid w:val="005D119B"/>
    <w:rsid w:val="005D11A6"/>
    <w:rsid w:val="005D1222"/>
    <w:rsid w:val="005D1229"/>
    <w:rsid w:val="005D1355"/>
    <w:rsid w:val="005D13C7"/>
    <w:rsid w:val="005D13FA"/>
    <w:rsid w:val="005D1432"/>
    <w:rsid w:val="005D1440"/>
    <w:rsid w:val="005D144E"/>
    <w:rsid w:val="005D1466"/>
    <w:rsid w:val="005D1471"/>
    <w:rsid w:val="005D14E1"/>
    <w:rsid w:val="005D14F3"/>
    <w:rsid w:val="005D1512"/>
    <w:rsid w:val="005D15C6"/>
    <w:rsid w:val="005D1721"/>
    <w:rsid w:val="005D1735"/>
    <w:rsid w:val="005D1739"/>
    <w:rsid w:val="005D1749"/>
    <w:rsid w:val="005D17FC"/>
    <w:rsid w:val="005D1835"/>
    <w:rsid w:val="005D1889"/>
    <w:rsid w:val="005D1938"/>
    <w:rsid w:val="005D1950"/>
    <w:rsid w:val="005D196D"/>
    <w:rsid w:val="005D198B"/>
    <w:rsid w:val="005D1A96"/>
    <w:rsid w:val="005D1AC7"/>
    <w:rsid w:val="005D1B20"/>
    <w:rsid w:val="005D1B83"/>
    <w:rsid w:val="005D1BBA"/>
    <w:rsid w:val="005D1C87"/>
    <w:rsid w:val="005D1CD5"/>
    <w:rsid w:val="005D1E2D"/>
    <w:rsid w:val="005D1E3C"/>
    <w:rsid w:val="005D1E4D"/>
    <w:rsid w:val="005D1ECD"/>
    <w:rsid w:val="005D1FCA"/>
    <w:rsid w:val="005D1FE5"/>
    <w:rsid w:val="005D2014"/>
    <w:rsid w:val="005D2085"/>
    <w:rsid w:val="005D2130"/>
    <w:rsid w:val="005D2225"/>
    <w:rsid w:val="005D2239"/>
    <w:rsid w:val="005D223B"/>
    <w:rsid w:val="005D223E"/>
    <w:rsid w:val="005D2378"/>
    <w:rsid w:val="005D2387"/>
    <w:rsid w:val="005D2420"/>
    <w:rsid w:val="005D2448"/>
    <w:rsid w:val="005D24F5"/>
    <w:rsid w:val="005D2503"/>
    <w:rsid w:val="005D2593"/>
    <w:rsid w:val="005D259E"/>
    <w:rsid w:val="005D25B7"/>
    <w:rsid w:val="005D26EC"/>
    <w:rsid w:val="005D26F1"/>
    <w:rsid w:val="005D270A"/>
    <w:rsid w:val="005D278A"/>
    <w:rsid w:val="005D27C2"/>
    <w:rsid w:val="005D280C"/>
    <w:rsid w:val="005D2906"/>
    <w:rsid w:val="005D2930"/>
    <w:rsid w:val="005D2960"/>
    <w:rsid w:val="005D2999"/>
    <w:rsid w:val="005D29EF"/>
    <w:rsid w:val="005D2A2B"/>
    <w:rsid w:val="005D2A50"/>
    <w:rsid w:val="005D2A60"/>
    <w:rsid w:val="005D2A72"/>
    <w:rsid w:val="005D2ABC"/>
    <w:rsid w:val="005D2AFF"/>
    <w:rsid w:val="005D2B07"/>
    <w:rsid w:val="005D2B47"/>
    <w:rsid w:val="005D2B76"/>
    <w:rsid w:val="005D2BDB"/>
    <w:rsid w:val="005D2BEA"/>
    <w:rsid w:val="005D2C30"/>
    <w:rsid w:val="005D2C50"/>
    <w:rsid w:val="005D2C52"/>
    <w:rsid w:val="005D2C6D"/>
    <w:rsid w:val="005D2C78"/>
    <w:rsid w:val="005D2DC2"/>
    <w:rsid w:val="005D2E17"/>
    <w:rsid w:val="005D2EAA"/>
    <w:rsid w:val="005D2F33"/>
    <w:rsid w:val="005D2FB5"/>
    <w:rsid w:val="005D304F"/>
    <w:rsid w:val="005D309A"/>
    <w:rsid w:val="005D314B"/>
    <w:rsid w:val="005D3179"/>
    <w:rsid w:val="005D31B5"/>
    <w:rsid w:val="005D3237"/>
    <w:rsid w:val="005D323A"/>
    <w:rsid w:val="005D328A"/>
    <w:rsid w:val="005D3294"/>
    <w:rsid w:val="005D333C"/>
    <w:rsid w:val="005D33E1"/>
    <w:rsid w:val="005D33FD"/>
    <w:rsid w:val="005D346C"/>
    <w:rsid w:val="005D34A8"/>
    <w:rsid w:val="005D34D7"/>
    <w:rsid w:val="005D3506"/>
    <w:rsid w:val="005D35C9"/>
    <w:rsid w:val="005D37DF"/>
    <w:rsid w:val="005D3864"/>
    <w:rsid w:val="005D3883"/>
    <w:rsid w:val="005D388E"/>
    <w:rsid w:val="005D38A3"/>
    <w:rsid w:val="005D39E6"/>
    <w:rsid w:val="005D3A8C"/>
    <w:rsid w:val="005D3B85"/>
    <w:rsid w:val="005D3C05"/>
    <w:rsid w:val="005D3C7E"/>
    <w:rsid w:val="005D3D66"/>
    <w:rsid w:val="005D3E27"/>
    <w:rsid w:val="005D3E47"/>
    <w:rsid w:val="005D3EB0"/>
    <w:rsid w:val="005D3EB7"/>
    <w:rsid w:val="005D3F33"/>
    <w:rsid w:val="005D4039"/>
    <w:rsid w:val="005D4044"/>
    <w:rsid w:val="005D408A"/>
    <w:rsid w:val="005D40A2"/>
    <w:rsid w:val="005D40CD"/>
    <w:rsid w:val="005D40D1"/>
    <w:rsid w:val="005D418D"/>
    <w:rsid w:val="005D4235"/>
    <w:rsid w:val="005D427E"/>
    <w:rsid w:val="005D429D"/>
    <w:rsid w:val="005D42B4"/>
    <w:rsid w:val="005D4388"/>
    <w:rsid w:val="005D4392"/>
    <w:rsid w:val="005D440F"/>
    <w:rsid w:val="005D445D"/>
    <w:rsid w:val="005D457C"/>
    <w:rsid w:val="005D45AC"/>
    <w:rsid w:val="005D4614"/>
    <w:rsid w:val="005D464C"/>
    <w:rsid w:val="005D466F"/>
    <w:rsid w:val="005D46C1"/>
    <w:rsid w:val="005D46DE"/>
    <w:rsid w:val="005D4709"/>
    <w:rsid w:val="005D4733"/>
    <w:rsid w:val="005D4762"/>
    <w:rsid w:val="005D476F"/>
    <w:rsid w:val="005D47B4"/>
    <w:rsid w:val="005D47BB"/>
    <w:rsid w:val="005D47CC"/>
    <w:rsid w:val="005D47D6"/>
    <w:rsid w:val="005D4838"/>
    <w:rsid w:val="005D48D1"/>
    <w:rsid w:val="005D49A6"/>
    <w:rsid w:val="005D49D9"/>
    <w:rsid w:val="005D4A9F"/>
    <w:rsid w:val="005D4ABC"/>
    <w:rsid w:val="005D4AC6"/>
    <w:rsid w:val="005D4B42"/>
    <w:rsid w:val="005D4B90"/>
    <w:rsid w:val="005D4BB6"/>
    <w:rsid w:val="005D4BBB"/>
    <w:rsid w:val="005D4BDB"/>
    <w:rsid w:val="005D4C9C"/>
    <w:rsid w:val="005D4E56"/>
    <w:rsid w:val="005D4E64"/>
    <w:rsid w:val="005D4E96"/>
    <w:rsid w:val="005D4F03"/>
    <w:rsid w:val="005D4FA2"/>
    <w:rsid w:val="005D4FF1"/>
    <w:rsid w:val="005D50AE"/>
    <w:rsid w:val="005D50B0"/>
    <w:rsid w:val="005D5109"/>
    <w:rsid w:val="005D51BD"/>
    <w:rsid w:val="005D51C7"/>
    <w:rsid w:val="005D51D0"/>
    <w:rsid w:val="005D521E"/>
    <w:rsid w:val="005D522A"/>
    <w:rsid w:val="005D5237"/>
    <w:rsid w:val="005D524A"/>
    <w:rsid w:val="005D52CA"/>
    <w:rsid w:val="005D52E8"/>
    <w:rsid w:val="005D5388"/>
    <w:rsid w:val="005D53EF"/>
    <w:rsid w:val="005D541A"/>
    <w:rsid w:val="005D5436"/>
    <w:rsid w:val="005D5465"/>
    <w:rsid w:val="005D54EA"/>
    <w:rsid w:val="005D5523"/>
    <w:rsid w:val="005D555E"/>
    <w:rsid w:val="005D5584"/>
    <w:rsid w:val="005D55C7"/>
    <w:rsid w:val="005D5623"/>
    <w:rsid w:val="005D5698"/>
    <w:rsid w:val="005D56BA"/>
    <w:rsid w:val="005D5795"/>
    <w:rsid w:val="005D57B1"/>
    <w:rsid w:val="005D57B6"/>
    <w:rsid w:val="005D58CF"/>
    <w:rsid w:val="005D58DC"/>
    <w:rsid w:val="005D5911"/>
    <w:rsid w:val="005D5ABA"/>
    <w:rsid w:val="005D5AF7"/>
    <w:rsid w:val="005D5B01"/>
    <w:rsid w:val="005D5C10"/>
    <w:rsid w:val="005D5C64"/>
    <w:rsid w:val="005D5C70"/>
    <w:rsid w:val="005D5D00"/>
    <w:rsid w:val="005D5D25"/>
    <w:rsid w:val="005D5DC5"/>
    <w:rsid w:val="005D5DE9"/>
    <w:rsid w:val="005D5E2C"/>
    <w:rsid w:val="005D5E52"/>
    <w:rsid w:val="005D5EC5"/>
    <w:rsid w:val="005D5EE2"/>
    <w:rsid w:val="005D5F60"/>
    <w:rsid w:val="005D5F90"/>
    <w:rsid w:val="005D5FA0"/>
    <w:rsid w:val="005D615D"/>
    <w:rsid w:val="005D61E9"/>
    <w:rsid w:val="005D622D"/>
    <w:rsid w:val="005D6401"/>
    <w:rsid w:val="005D64EE"/>
    <w:rsid w:val="005D64F8"/>
    <w:rsid w:val="005D6508"/>
    <w:rsid w:val="005D6575"/>
    <w:rsid w:val="005D65F2"/>
    <w:rsid w:val="005D6615"/>
    <w:rsid w:val="005D6655"/>
    <w:rsid w:val="005D6656"/>
    <w:rsid w:val="005D67BC"/>
    <w:rsid w:val="005D6872"/>
    <w:rsid w:val="005D6884"/>
    <w:rsid w:val="005D6886"/>
    <w:rsid w:val="005D68CE"/>
    <w:rsid w:val="005D6977"/>
    <w:rsid w:val="005D69E8"/>
    <w:rsid w:val="005D6A12"/>
    <w:rsid w:val="005D6A13"/>
    <w:rsid w:val="005D6A45"/>
    <w:rsid w:val="005D6B01"/>
    <w:rsid w:val="005D6B6E"/>
    <w:rsid w:val="005D6BDD"/>
    <w:rsid w:val="005D6C3F"/>
    <w:rsid w:val="005D6C5D"/>
    <w:rsid w:val="005D6D13"/>
    <w:rsid w:val="005D6D4D"/>
    <w:rsid w:val="005D6E18"/>
    <w:rsid w:val="005D6E7C"/>
    <w:rsid w:val="005D6EBF"/>
    <w:rsid w:val="005D6EDA"/>
    <w:rsid w:val="005D6F2D"/>
    <w:rsid w:val="005D6FCB"/>
    <w:rsid w:val="005D7030"/>
    <w:rsid w:val="005D7078"/>
    <w:rsid w:val="005D7085"/>
    <w:rsid w:val="005D70DA"/>
    <w:rsid w:val="005D719E"/>
    <w:rsid w:val="005D71C7"/>
    <w:rsid w:val="005D71D6"/>
    <w:rsid w:val="005D728D"/>
    <w:rsid w:val="005D7412"/>
    <w:rsid w:val="005D7459"/>
    <w:rsid w:val="005D746B"/>
    <w:rsid w:val="005D7481"/>
    <w:rsid w:val="005D75B2"/>
    <w:rsid w:val="005D7638"/>
    <w:rsid w:val="005D7678"/>
    <w:rsid w:val="005D7688"/>
    <w:rsid w:val="005D7755"/>
    <w:rsid w:val="005D7778"/>
    <w:rsid w:val="005D77BC"/>
    <w:rsid w:val="005D77CC"/>
    <w:rsid w:val="005D7814"/>
    <w:rsid w:val="005D7858"/>
    <w:rsid w:val="005D7904"/>
    <w:rsid w:val="005D7914"/>
    <w:rsid w:val="005D791D"/>
    <w:rsid w:val="005D7957"/>
    <w:rsid w:val="005D795F"/>
    <w:rsid w:val="005D7962"/>
    <w:rsid w:val="005D79C7"/>
    <w:rsid w:val="005D79F0"/>
    <w:rsid w:val="005D7A5D"/>
    <w:rsid w:val="005D7A66"/>
    <w:rsid w:val="005D7A82"/>
    <w:rsid w:val="005D7AED"/>
    <w:rsid w:val="005D7AF3"/>
    <w:rsid w:val="005D7B7A"/>
    <w:rsid w:val="005D7C1A"/>
    <w:rsid w:val="005D7C22"/>
    <w:rsid w:val="005D7C80"/>
    <w:rsid w:val="005D7C83"/>
    <w:rsid w:val="005D7DDF"/>
    <w:rsid w:val="005D7DEB"/>
    <w:rsid w:val="005D7E46"/>
    <w:rsid w:val="005D7E8D"/>
    <w:rsid w:val="005D7ECD"/>
    <w:rsid w:val="005D7F67"/>
    <w:rsid w:val="005D7F76"/>
    <w:rsid w:val="005D7FA4"/>
    <w:rsid w:val="005D7FDA"/>
    <w:rsid w:val="005E004A"/>
    <w:rsid w:val="005E005B"/>
    <w:rsid w:val="005E00E4"/>
    <w:rsid w:val="005E0173"/>
    <w:rsid w:val="005E01FF"/>
    <w:rsid w:val="005E020F"/>
    <w:rsid w:val="005E02FA"/>
    <w:rsid w:val="005E0352"/>
    <w:rsid w:val="005E0366"/>
    <w:rsid w:val="005E0397"/>
    <w:rsid w:val="005E03B3"/>
    <w:rsid w:val="005E0431"/>
    <w:rsid w:val="005E0506"/>
    <w:rsid w:val="005E0511"/>
    <w:rsid w:val="005E057E"/>
    <w:rsid w:val="005E060D"/>
    <w:rsid w:val="005E070B"/>
    <w:rsid w:val="005E0741"/>
    <w:rsid w:val="005E07D0"/>
    <w:rsid w:val="005E07D5"/>
    <w:rsid w:val="005E07EB"/>
    <w:rsid w:val="005E07ED"/>
    <w:rsid w:val="005E08CD"/>
    <w:rsid w:val="005E08CF"/>
    <w:rsid w:val="005E08FD"/>
    <w:rsid w:val="005E09F8"/>
    <w:rsid w:val="005E0A76"/>
    <w:rsid w:val="005E0B41"/>
    <w:rsid w:val="005E0B6E"/>
    <w:rsid w:val="005E0B9A"/>
    <w:rsid w:val="005E0C73"/>
    <w:rsid w:val="005E0C9E"/>
    <w:rsid w:val="005E0D79"/>
    <w:rsid w:val="005E0DAE"/>
    <w:rsid w:val="005E0DCB"/>
    <w:rsid w:val="005E0E7A"/>
    <w:rsid w:val="005E0F2B"/>
    <w:rsid w:val="005E0F59"/>
    <w:rsid w:val="005E0FC6"/>
    <w:rsid w:val="005E1002"/>
    <w:rsid w:val="005E10CF"/>
    <w:rsid w:val="005E10E2"/>
    <w:rsid w:val="005E121F"/>
    <w:rsid w:val="005E1232"/>
    <w:rsid w:val="005E128D"/>
    <w:rsid w:val="005E136B"/>
    <w:rsid w:val="005E142B"/>
    <w:rsid w:val="005E147E"/>
    <w:rsid w:val="005E1480"/>
    <w:rsid w:val="005E14B4"/>
    <w:rsid w:val="005E14D9"/>
    <w:rsid w:val="005E1582"/>
    <w:rsid w:val="005E15F6"/>
    <w:rsid w:val="005E16D1"/>
    <w:rsid w:val="005E1700"/>
    <w:rsid w:val="005E17EF"/>
    <w:rsid w:val="005E1899"/>
    <w:rsid w:val="005E18A9"/>
    <w:rsid w:val="005E1905"/>
    <w:rsid w:val="005E1956"/>
    <w:rsid w:val="005E195A"/>
    <w:rsid w:val="005E19E8"/>
    <w:rsid w:val="005E1A03"/>
    <w:rsid w:val="005E1A6F"/>
    <w:rsid w:val="005E1AE2"/>
    <w:rsid w:val="005E1B47"/>
    <w:rsid w:val="005E1B51"/>
    <w:rsid w:val="005E1B7A"/>
    <w:rsid w:val="005E1BB4"/>
    <w:rsid w:val="005E1C78"/>
    <w:rsid w:val="005E1C9B"/>
    <w:rsid w:val="005E1CE7"/>
    <w:rsid w:val="005E1D18"/>
    <w:rsid w:val="005E1D27"/>
    <w:rsid w:val="005E1D66"/>
    <w:rsid w:val="005E1DBB"/>
    <w:rsid w:val="005E1E6E"/>
    <w:rsid w:val="005E1FB6"/>
    <w:rsid w:val="005E1FFB"/>
    <w:rsid w:val="005E2034"/>
    <w:rsid w:val="005E205E"/>
    <w:rsid w:val="005E2082"/>
    <w:rsid w:val="005E2091"/>
    <w:rsid w:val="005E20A9"/>
    <w:rsid w:val="005E20BE"/>
    <w:rsid w:val="005E2152"/>
    <w:rsid w:val="005E2169"/>
    <w:rsid w:val="005E226D"/>
    <w:rsid w:val="005E22C2"/>
    <w:rsid w:val="005E234F"/>
    <w:rsid w:val="005E235A"/>
    <w:rsid w:val="005E2365"/>
    <w:rsid w:val="005E2376"/>
    <w:rsid w:val="005E24C7"/>
    <w:rsid w:val="005E2502"/>
    <w:rsid w:val="005E257A"/>
    <w:rsid w:val="005E25A8"/>
    <w:rsid w:val="005E2695"/>
    <w:rsid w:val="005E269D"/>
    <w:rsid w:val="005E2740"/>
    <w:rsid w:val="005E2765"/>
    <w:rsid w:val="005E27B8"/>
    <w:rsid w:val="005E27D9"/>
    <w:rsid w:val="005E2872"/>
    <w:rsid w:val="005E2905"/>
    <w:rsid w:val="005E2934"/>
    <w:rsid w:val="005E296B"/>
    <w:rsid w:val="005E29A1"/>
    <w:rsid w:val="005E29A3"/>
    <w:rsid w:val="005E29B9"/>
    <w:rsid w:val="005E2B7B"/>
    <w:rsid w:val="005E2C6A"/>
    <w:rsid w:val="005E2DA6"/>
    <w:rsid w:val="005E2DC8"/>
    <w:rsid w:val="005E2E0A"/>
    <w:rsid w:val="005E2E3D"/>
    <w:rsid w:val="005E2E6E"/>
    <w:rsid w:val="005E2EE8"/>
    <w:rsid w:val="005E2F66"/>
    <w:rsid w:val="005E2F6E"/>
    <w:rsid w:val="005E2F71"/>
    <w:rsid w:val="005E2FF2"/>
    <w:rsid w:val="005E3065"/>
    <w:rsid w:val="005E308B"/>
    <w:rsid w:val="005E313E"/>
    <w:rsid w:val="005E3166"/>
    <w:rsid w:val="005E31A8"/>
    <w:rsid w:val="005E31E0"/>
    <w:rsid w:val="005E31E6"/>
    <w:rsid w:val="005E3233"/>
    <w:rsid w:val="005E327C"/>
    <w:rsid w:val="005E328F"/>
    <w:rsid w:val="005E32B5"/>
    <w:rsid w:val="005E3418"/>
    <w:rsid w:val="005E3435"/>
    <w:rsid w:val="005E34F2"/>
    <w:rsid w:val="005E3572"/>
    <w:rsid w:val="005E35B2"/>
    <w:rsid w:val="005E35FA"/>
    <w:rsid w:val="005E3636"/>
    <w:rsid w:val="005E363C"/>
    <w:rsid w:val="005E366B"/>
    <w:rsid w:val="005E366E"/>
    <w:rsid w:val="005E376C"/>
    <w:rsid w:val="005E37A4"/>
    <w:rsid w:val="005E37C4"/>
    <w:rsid w:val="005E381E"/>
    <w:rsid w:val="005E3825"/>
    <w:rsid w:val="005E38B0"/>
    <w:rsid w:val="005E38B6"/>
    <w:rsid w:val="005E38F2"/>
    <w:rsid w:val="005E38F4"/>
    <w:rsid w:val="005E38FC"/>
    <w:rsid w:val="005E3922"/>
    <w:rsid w:val="005E3A17"/>
    <w:rsid w:val="005E3A99"/>
    <w:rsid w:val="005E3AB9"/>
    <w:rsid w:val="005E3AE2"/>
    <w:rsid w:val="005E3B04"/>
    <w:rsid w:val="005E3B15"/>
    <w:rsid w:val="005E3BF0"/>
    <w:rsid w:val="005E3C92"/>
    <w:rsid w:val="005E3CA2"/>
    <w:rsid w:val="005E3D26"/>
    <w:rsid w:val="005E3DCB"/>
    <w:rsid w:val="005E3E3B"/>
    <w:rsid w:val="005E3E8D"/>
    <w:rsid w:val="005E3EAE"/>
    <w:rsid w:val="005E3ED3"/>
    <w:rsid w:val="005E3FE6"/>
    <w:rsid w:val="005E3FF7"/>
    <w:rsid w:val="005E4047"/>
    <w:rsid w:val="005E4119"/>
    <w:rsid w:val="005E4147"/>
    <w:rsid w:val="005E41B1"/>
    <w:rsid w:val="005E42E6"/>
    <w:rsid w:val="005E43CE"/>
    <w:rsid w:val="005E43DE"/>
    <w:rsid w:val="005E4461"/>
    <w:rsid w:val="005E4590"/>
    <w:rsid w:val="005E45C7"/>
    <w:rsid w:val="005E463D"/>
    <w:rsid w:val="005E4679"/>
    <w:rsid w:val="005E468F"/>
    <w:rsid w:val="005E46A6"/>
    <w:rsid w:val="005E4794"/>
    <w:rsid w:val="005E4863"/>
    <w:rsid w:val="005E4893"/>
    <w:rsid w:val="005E4909"/>
    <w:rsid w:val="005E49DA"/>
    <w:rsid w:val="005E4ADF"/>
    <w:rsid w:val="005E4AF9"/>
    <w:rsid w:val="005E4B20"/>
    <w:rsid w:val="005E4B36"/>
    <w:rsid w:val="005E4C14"/>
    <w:rsid w:val="005E4C66"/>
    <w:rsid w:val="005E4CDB"/>
    <w:rsid w:val="005E4CE7"/>
    <w:rsid w:val="005E4CEF"/>
    <w:rsid w:val="005E4CFE"/>
    <w:rsid w:val="005E4D2C"/>
    <w:rsid w:val="005E4D8E"/>
    <w:rsid w:val="005E4DD8"/>
    <w:rsid w:val="005E4E18"/>
    <w:rsid w:val="005E4E5F"/>
    <w:rsid w:val="005E4E8C"/>
    <w:rsid w:val="005E4E95"/>
    <w:rsid w:val="005E4F1C"/>
    <w:rsid w:val="005E4F56"/>
    <w:rsid w:val="005E4FD3"/>
    <w:rsid w:val="005E5100"/>
    <w:rsid w:val="005E510E"/>
    <w:rsid w:val="005E5208"/>
    <w:rsid w:val="005E5290"/>
    <w:rsid w:val="005E5390"/>
    <w:rsid w:val="005E53CF"/>
    <w:rsid w:val="005E5449"/>
    <w:rsid w:val="005E544A"/>
    <w:rsid w:val="005E5498"/>
    <w:rsid w:val="005E54A1"/>
    <w:rsid w:val="005E5519"/>
    <w:rsid w:val="005E5523"/>
    <w:rsid w:val="005E55A8"/>
    <w:rsid w:val="005E5699"/>
    <w:rsid w:val="005E56B8"/>
    <w:rsid w:val="005E579A"/>
    <w:rsid w:val="005E57FC"/>
    <w:rsid w:val="005E58D2"/>
    <w:rsid w:val="005E5A26"/>
    <w:rsid w:val="005E5A49"/>
    <w:rsid w:val="005E5A4C"/>
    <w:rsid w:val="005E5B12"/>
    <w:rsid w:val="005E5B1C"/>
    <w:rsid w:val="005E5C1D"/>
    <w:rsid w:val="005E5C26"/>
    <w:rsid w:val="005E5C7B"/>
    <w:rsid w:val="005E5CB1"/>
    <w:rsid w:val="005E5CC7"/>
    <w:rsid w:val="005E5D25"/>
    <w:rsid w:val="005E5D31"/>
    <w:rsid w:val="005E5D38"/>
    <w:rsid w:val="005E5D56"/>
    <w:rsid w:val="005E5DF4"/>
    <w:rsid w:val="005E5E12"/>
    <w:rsid w:val="005E5E1B"/>
    <w:rsid w:val="005E5F0F"/>
    <w:rsid w:val="005E5F43"/>
    <w:rsid w:val="005E5FAA"/>
    <w:rsid w:val="005E6069"/>
    <w:rsid w:val="005E606E"/>
    <w:rsid w:val="005E6128"/>
    <w:rsid w:val="005E6133"/>
    <w:rsid w:val="005E6167"/>
    <w:rsid w:val="005E616F"/>
    <w:rsid w:val="005E618D"/>
    <w:rsid w:val="005E619C"/>
    <w:rsid w:val="005E620D"/>
    <w:rsid w:val="005E62A4"/>
    <w:rsid w:val="005E62D1"/>
    <w:rsid w:val="005E637C"/>
    <w:rsid w:val="005E6398"/>
    <w:rsid w:val="005E63C5"/>
    <w:rsid w:val="005E6445"/>
    <w:rsid w:val="005E653C"/>
    <w:rsid w:val="005E6575"/>
    <w:rsid w:val="005E6690"/>
    <w:rsid w:val="005E66DA"/>
    <w:rsid w:val="005E6764"/>
    <w:rsid w:val="005E67E4"/>
    <w:rsid w:val="005E6846"/>
    <w:rsid w:val="005E6882"/>
    <w:rsid w:val="005E68A1"/>
    <w:rsid w:val="005E68A8"/>
    <w:rsid w:val="005E6959"/>
    <w:rsid w:val="005E697A"/>
    <w:rsid w:val="005E6A03"/>
    <w:rsid w:val="005E6A09"/>
    <w:rsid w:val="005E6A43"/>
    <w:rsid w:val="005E6AAC"/>
    <w:rsid w:val="005E6B23"/>
    <w:rsid w:val="005E6B51"/>
    <w:rsid w:val="005E6BB3"/>
    <w:rsid w:val="005E6BE7"/>
    <w:rsid w:val="005E6C1D"/>
    <w:rsid w:val="005E6C20"/>
    <w:rsid w:val="005E6CEC"/>
    <w:rsid w:val="005E6D55"/>
    <w:rsid w:val="005E6E2D"/>
    <w:rsid w:val="005E6E59"/>
    <w:rsid w:val="005E6F1F"/>
    <w:rsid w:val="005E6F70"/>
    <w:rsid w:val="005E6F93"/>
    <w:rsid w:val="005E6FBC"/>
    <w:rsid w:val="005E6FDB"/>
    <w:rsid w:val="005E7057"/>
    <w:rsid w:val="005E7091"/>
    <w:rsid w:val="005E717E"/>
    <w:rsid w:val="005E71E1"/>
    <w:rsid w:val="005E7303"/>
    <w:rsid w:val="005E731B"/>
    <w:rsid w:val="005E7330"/>
    <w:rsid w:val="005E7418"/>
    <w:rsid w:val="005E7450"/>
    <w:rsid w:val="005E746D"/>
    <w:rsid w:val="005E74E4"/>
    <w:rsid w:val="005E7504"/>
    <w:rsid w:val="005E7542"/>
    <w:rsid w:val="005E75D1"/>
    <w:rsid w:val="005E76E1"/>
    <w:rsid w:val="005E7716"/>
    <w:rsid w:val="005E771E"/>
    <w:rsid w:val="005E772C"/>
    <w:rsid w:val="005E777E"/>
    <w:rsid w:val="005E77AE"/>
    <w:rsid w:val="005E781F"/>
    <w:rsid w:val="005E7880"/>
    <w:rsid w:val="005E78D1"/>
    <w:rsid w:val="005E792A"/>
    <w:rsid w:val="005E799B"/>
    <w:rsid w:val="005E79E1"/>
    <w:rsid w:val="005E7A53"/>
    <w:rsid w:val="005E7A65"/>
    <w:rsid w:val="005E7AEA"/>
    <w:rsid w:val="005E7B4E"/>
    <w:rsid w:val="005E7BBD"/>
    <w:rsid w:val="005E7BC2"/>
    <w:rsid w:val="005E7C4A"/>
    <w:rsid w:val="005E7CE2"/>
    <w:rsid w:val="005E7D1D"/>
    <w:rsid w:val="005E7D79"/>
    <w:rsid w:val="005E7DB3"/>
    <w:rsid w:val="005E7E35"/>
    <w:rsid w:val="005E7EE4"/>
    <w:rsid w:val="005E7FA5"/>
    <w:rsid w:val="005E7FB7"/>
    <w:rsid w:val="005E7FE7"/>
    <w:rsid w:val="005F0030"/>
    <w:rsid w:val="005F0048"/>
    <w:rsid w:val="005F00AD"/>
    <w:rsid w:val="005F00FA"/>
    <w:rsid w:val="005F0132"/>
    <w:rsid w:val="005F01BB"/>
    <w:rsid w:val="005F01E0"/>
    <w:rsid w:val="005F01E8"/>
    <w:rsid w:val="005F01F5"/>
    <w:rsid w:val="005F0207"/>
    <w:rsid w:val="005F0235"/>
    <w:rsid w:val="005F0252"/>
    <w:rsid w:val="005F02B7"/>
    <w:rsid w:val="005F02CC"/>
    <w:rsid w:val="005F02E8"/>
    <w:rsid w:val="005F02FE"/>
    <w:rsid w:val="005F044E"/>
    <w:rsid w:val="005F0468"/>
    <w:rsid w:val="005F0474"/>
    <w:rsid w:val="005F04A3"/>
    <w:rsid w:val="005F056D"/>
    <w:rsid w:val="005F05FA"/>
    <w:rsid w:val="005F0643"/>
    <w:rsid w:val="005F0690"/>
    <w:rsid w:val="005F06D7"/>
    <w:rsid w:val="005F075B"/>
    <w:rsid w:val="005F0785"/>
    <w:rsid w:val="005F0819"/>
    <w:rsid w:val="005F0820"/>
    <w:rsid w:val="005F089E"/>
    <w:rsid w:val="005F08B4"/>
    <w:rsid w:val="005F097C"/>
    <w:rsid w:val="005F0993"/>
    <w:rsid w:val="005F0A34"/>
    <w:rsid w:val="005F0B5B"/>
    <w:rsid w:val="005F0B8A"/>
    <w:rsid w:val="005F0C99"/>
    <w:rsid w:val="005F0CE7"/>
    <w:rsid w:val="005F0D75"/>
    <w:rsid w:val="005F0D8D"/>
    <w:rsid w:val="005F0D93"/>
    <w:rsid w:val="005F0DD0"/>
    <w:rsid w:val="005F0F76"/>
    <w:rsid w:val="005F1009"/>
    <w:rsid w:val="005F10A4"/>
    <w:rsid w:val="005F119E"/>
    <w:rsid w:val="005F126F"/>
    <w:rsid w:val="005F129B"/>
    <w:rsid w:val="005F132B"/>
    <w:rsid w:val="005F13B6"/>
    <w:rsid w:val="005F14ED"/>
    <w:rsid w:val="005F1502"/>
    <w:rsid w:val="005F1503"/>
    <w:rsid w:val="005F1597"/>
    <w:rsid w:val="005F161A"/>
    <w:rsid w:val="005F161D"/>
    <w:rsid w:val="005F169D"/>
    <w:rsid w:val="005F1715"/>
    <w:rsid w:val="005F1737"/>
    <w:rsid w:val="005F1767"/>
    <w:rsid w:val="005F1788"/>
    <w:rsid w:val="005F1798"/>
    <w:rsid w:val="005F1859"/>
    <w:rsid w:val="005F1A2D"/>
    <w:rsid w:val="005F1A3A"/>
    <w:rsid w:val="005F1B80"/>
    <w:rsid w:val="005F1C1D"/>
    <w:rsid w:val="005F1C3C"/>
    <w:rsid w:val="005F1CC2"/>
    <w:rsid w:val="005F1CD4"/>
    <w:rsid w:val="005F1D5F"/>
    <w:rsid w:val="005F1E38"/>
    <w:rsid w:val="005F1E39"/>
    <w:rsid w:val="005F1E87"/>
    <w:rsid w:val="005F1EBD"/>
    <w:rsid w:val="005F1F0E"/>
    <w:rsid w:val="005F1F8D"/>
    <w:rsid w:val="005F1FC2"/>
    <w:rsid w:val="005F1FEB"/>
    <w:rsid w:val="005F205B"/>
    <w:rsid w:val="005F20E5"/>
    <w:rsid w:val="005F2215"/>
    <w:rsid w:val="005F230A"/>
    <w:rsid w:val="005F237A"/>
    <w:rsid w:val="005F24CE"/>
    <w:rsid w:val="005F2507"/>
    <w:rsid w:val="005F2550"/>
    <w:rsid w:val="005F259C"/>
    <w:rsid w:val="005F26AC"/>
    <w:rsid w:val="005F26BC"/>
    <w:rsid w:val="005F26CC"/>
    <w:rsid w:val="005F2764"/>
    <w:rsid w:val="005F276C"/>
    <w:rsid w:val="005F2788"/>
    <w:rsid w:val="005F2846"/>
    <w:rsid w:val="005F2884"/>
    <w:rsid w:val="005F28B2"/>
    <w:rsid w:val="005F28DA"/>
    <w:rsid w:val="005F2908"/>
    <w:rsid w:val="005F29D9"/>
    <w:rsid w:val="005F2A0A"/>
    <w:rsid w:val="005F2A3D"/>
    <w:rsid w:val="005F2A6D"/>
    <w:rsid w:val="005F2A85"/>
    <w:rsid w:val="005F2ABA"/>
    <w:rsid w:val="005F2AEE"/>
    <w:rsid w:val="005F2AFC"/>
    <w:rsid w:val="005F2B57"/>
    <w:rsid w:val="005F2B77"/>
    <w:rsid w:val="005F2BDA"/>
    <w:rsid w:val="005F2C6C"/>
    <w:rsid w:val="005F2C9E"/>
    <w:rsid w:val="005F2CD5"/>
    <w:rsid w:val="005F2D7F"/>
    <w:rsid w:val="005F2EFE"/>
    <w:rsid w:val="005F2F07"/>
    <w:rsid w:val="005F2F91"/>
    <w:rsid w:val="005F2FAA"/>
    <w:rsid w:val="005F2FBB"/>
    <w:rsid w:val="005F3189"/>
    <w:rsid w:val="005F31AA"/>
    <w:rsid w:val="005F31ED"/>
    <w:rsid w:val="005F3262"/>
    <w:rsid w:val="005F32D6"/>
    <w:rsid w:val="005F32DC"/>
    <w:rsid w:val="005F3307"/>
    <w:rsid w:val="005F333A"/>
    <w:rsid w:val="005F3352"/>
    <w:rsid w:val="005F3358"/>
    <w:rsid w:val="005F3392"/>
    <w:rsid w:val="005F33E6"/>
    <w:rsid w:val="005F3415"/>
    <w:rsid w:val="005F341C"/>
    <w:rsid w:val="005F3426"/>
    <w:rsid w:val="005F346B"/>
    <w:rsid w:val="005F34A0"/>
    <w:rsid w:val="005F3526"/>
    <w:rsid w:val="005F3645"/>
    <w:rsid w:val="005F3648"/>
    <w:rsid w:val="005F36C1"/>
    <w:rsid w:val="005F36C5"/>
    <w:rsid w:val="005F3722"/>
    <w:rsid w:val="005F3741"/>
    <w:rsid w:val="005F37A5"/>
    <w:rsid w:val="005F37C4"/>
    <w:rsid w:val="005F37ED"/>
    <w:rsid w:val="005F37F9"/>
    <w:rsid w:val="005F3872"/>
    <w:rsid w:val="005F3A72"/>
    <w:rsid w:val="005F3AA5"/>
    <w:rsid w:val="005F3BF8"/>
    <w:rsid w:val="005F3C1B"/>
    <w:rsid w:val="005F3C1D"/>
    <w:rsid w:val="005F3C4F"/>
    <w:rsid w:val="005F3C56"/>
    <w:rsid w:val="005F3CDC"/>
    <w:rsid w:val="005F3CEE"/>
    <w:rsid w:val="005F3D88"/>
    <w:rsid w:val="005F3D8A"/>
    <w:rsid w:val="005F3DA9"/>
    <w:rsid w:val="005F3DB5"/>
    <w:rsid w:val="005F3DF6"/>
    <w:rsid w:val="005F3E73"/>
    <w:rsid w:val="005F3E76"/>
    <w:rsid w:val="005F3E7B"/>
    <w:rsid w:val="005F3ED5"/>
    <w:rsid w:val="005F3F13"/>
    <w:rsid w:val="005F3F6D"/>
    <w:rsid w:val="005F3FA7"/>
    <w:rsid w:val="005F4022"/>
    <w:rsid w:val="005F4033"/>
    <w:rsid w:val="005F4057"/>
    <w:rsid w:val="005F4159"/>
    <w:rsid w:val="005F41F8"/>
    <w:rsid w:val="005F41FD"/>
    <w:rsid w:val="005F424C"/>
    <w:rsid w:val="005F427C"/>
    <w:rsid w:val="005F429E"/>
    <w:rsid w:val="005F42B5"/>
    <w:rsid w:val="005F42BC"/>
    <w:rsid w:val="005F4328"/>
    <w:rsid w:val="005F43A7"/>
    <w:rsid w:val="005F43DC"/>
    <w:rsid w:val="005F43FE"/>
    <w:rsid w:val="005F450E"/>
    <w:rsid w:val="005F4511"/>
    <w:rsid w:val="005F4514"/>
    <w:rsid w:val="005F4576"/>
    <w:rsid w:val="005F45F5"/>
    <w:rsid w:val="005F46C2"/>
    <w:rsid w:val="005F4751"/>
    <w:rsid w:val="005F4763"/>
    <w:rsid w:val="005F47AE"/>
    <w:rsid w:val="005F47D3"/>
    <w:rsid w:val="005F481A"/>
    <w:rsid w:val="005F4890"/>
    <w:rsid w:val="005F4907"/>
    <w:rsid w:val="005F496C"/>
    <w:rsid w:val="005F49E7"/>
    <w:rsid w:val="005F4AA4"/>
    <w:rsid w:val="005F4AC7"/>
    <w:rsid w:val="005F4B2B"/>
    <w:rsid w:val="005F4BB6"/>
    <w:rsid w:val="005F4C05"/>
    <w:rsid w:val="005F4D39"/>
    <w:rsid w:val="005F4D94"/>
    <w:rsid w:val="005F4D98"/>
    <w:rsid w:val="005F4E5F"/>
    <w:rsid w:val="005F4E7D"/>
    <w:rsid w:val="005F4ED7"/>
    <w:rsid w:val="005F4FD0"/>
    <w:rsid w:val="005F5003"/>
    <w:rsid w:val="005F505A"/>
    <w:rsid w:val="005F5084"/>
    <w:rsid w:val="005F50B3"/>
    <w:rsid w:val="005F51CC"/>
    <w:rsid w:val="005F5212"/>
    <w:rsid w:val="005F524E"/>
    <w:rsid w:val="005F525A"/>
    <w:rsid w:val="005F5291"/>
    <w:rsid w:val="005F52BA"/>
    <w:rsid w:val="005F52D2"/>
    <w:rsid w:val="005F5392"/>
    <w:rsid w:val="005F54B2"/>
    <w:rsid w:val="005F54B5"/>
    <w:rsid w:val="005F54CB"/>
    <w:rsid w:val="005F552E"/>
    <w:rsid w:val="005F5535"/>
    <w:rsid w:val="005F554D"/>
    <w:rsid w:val="005F566D"/>
    <w:rsid w:val="005F5674"/>
    <w:rsid w:val="005F56C6"/>
    <w:rsid w:val="005F5718"/>
    <w:rsid w:val="005F577F"/>
    <w:rsid w:val="005F57D7"/>
    <w:rsid w:val="005F58E9"/>
    <w:rsid w:val="005F5907"/>
    <w:rsid w:val="005F5954"/>
    <w:rsid w:val="005F599B"/>
    <w:rsid w:val="005F5A13"/>
    <w:rsid w:val="005F5A14"/>
    <w:rsid w:val="005F5A64"/>
    <w:rsid w:val="005F5AA8"/>
    <w:rsid w:val="005F5AB8"/>
    <w:rsid w:val="005F5AEA"/>
    <w:rsid w:val="005F5B27"/>
    <w:rsid w:val="005F5B4F"/>
    <w:rsid w:val="005F5B5A"/>
    <w:rsid w:val="005F5BA9"/>
    <w:rsid w:val="005F5C2D"/>
    <w:rsid w:val="005F5C80"/>
    <w:rsid w:val="005F5D5C"/>
    <w:rsid w:val="005F5DC3"/>
    <w:rsid w:val="005F5E12"/>
    <w:rsid w:val="005F5E50"/>
    <w:rsid w:val="005F5E64"/>
    <w:rsid w:val="005F5ED0"/>
    <w:rsid w:val="005F5F22"/>
    <w:rsid w:val="005F5F42"/>
    <w:rsid w:val="005F60A1"/>
    <w:rsid w:val="005F60A3"/>
    <w:rsid w:val="005F60B0"/>
    <w:rsid w:val="005F618F"/>
    <w:rsid w:val="005F61AE"/>
    <w:rsid w:val="005F6205"/>
    <w:rsid w:val="005F621F"/>
    <w:rsid w:val="005F623D"/>
    <w:rsid w:val="005F6250"/>
    <w:rsid w:val="005F62F4"/>
    <w:rsid w:val="005F636D"/>
    <w:rsid w:val="005F636F"/>
    <w:rsid w:val="005F6395"/>
    <w:rsid w:val="005F63EE"/>
    <w:rsid w:val="005F645C"/>
    <w:rsid w:val="005F64C2"/>
    <w:rsid w:val="005F650F"/>
    <w:rsid w:val="005F66C9"/>
    <w:rsid w:val="005F66FC"/>
    <w:rsid w:val="005F67B9"/>
    <w:rsid w:val="005F68B0"/>
    <w:rsid w:val="005F68EC"/>
    <w:rsid w:val="005F695E"/>
    <w:rsid w:val="005F696D"/>
    <w:rsid w:val="005F69C3"/>
    <w:rsid w:val="005F69F2"/>
    <w:rsid w:val="005F6A77"/>
    <w:rsid w:val="005F6A89"/>
    <w:rsid w:val="005F6ACB"/>
    <w:rsid w:val="005F6AFC"/>
    <w:rsid w:val="005F6B23"/>
    <w:rsid w:val="005F6B3F"/>
    <w:rsid w:val="005F6B4F"/>
    <w:rsid w:val="005F6B89"/>
    <w:rsid w:val="005F6C2D"/>
    <w:rsid w:val="005F6D24"/>
    <w:rsid w:val="005F6D3D"/>
    <w:rsid w:val="005F6D65"/>
    <w:rsid w:val="005F6E11"/>
    <w:rsid w:val="005F6E1C"/>
    <w:rsid w:val="005F6E56"/>
    <w:rsid w:val="005F6E69"/>
    <w:rsid w:val="005F6E80"/>
    <w:rsid w:val="005F6F1A"/>
    <w:rsid w:val="005F6F86"/>
    <w:rsid w:val="005F6FC6"/>
    <w:rsid w:val="005F700D"/>
    <w:rsid w:val="005F7032"/>
    <w:rsid w:val="005F704A"/>
    <w:rsid w:val="005F7081"/>
    <w:rsid w:val="005F70DB"/>
    <w:rsid w:val="005F716D"/>
    <w:rsid w:val="005F717B"/>
    <w:rsid w:val="005F718B"/>
    <w:rsid w:val="005F71AD"/>
    <w:rsid w:val="005F71CC"/>
    <w:rsid w:val="005F721F"/>
    <w:rsid w:val="005F72E5"/>
    <w:rsid w:val="005F72ED"/>
    <w:rsid w:val="005F7315"/>
    <w:rsid w:val="005F735C"/>
    <w:rsid w:val="005F736B"/>
    <w:rsid w:val="005F74AC"/>
    <w:rsid w:val="005F74D4"/>
    <w:rsid w:val="005F74D8"/>
    <w:rsid w:val="005F74E1"/>
    <w:rsid w:val="005F7506"/>
    <w:rsid w:val="005F7521"/>
    <w:rsid w:val="005F773E"/>
    <w:rsid w:val="005F7763"/>
    <w:rsid w:val="005F7810"/>
    <w:rsid w:val="005F789C"/>
    <w:rsid w:val="005F78EC"/>
    <w:rsid w:val="005F796C"/>
    <w:rsid w:val="005F79B1"/>
    <w:rsid w:val="005F79E2"/>
    <w:rsid w:val="005F7A1C"/>
    <w:rsid w:val="005F7AC3"/>
    <w:rsid w:val="005F7B0C"/>
    <w:rsid w:val="005F7B15"/>
    <w:rsid w:val="005F7B19"/>
    <w:rsid w:val="005F7B8A"/>
    <w:rsid w:val="005F7BD6"/>
    <w:rsid w:val="005F7C04"/>
    <w:rsid w:val="005F7C5F"/>
    <w:rsid w:val="005F7CAC"/>
    <w:rsid w:val="005F7CB1"/>
    <w:rsid w:val="005F7CBE"/>
    <w:rsid w:val="005F7CD8"/>
    <w:rsid w:val="005F7D3B"/>
    <w:rsid w:val="005F7D7E"/>
    <w:rsid w:val="005F7DA4"/>
    <w:rsid w:val="005F7DA8"/>
    <w:rsid w:val="005F7DBD"/>
    <w:rsid w:val="005F7DFF"/>
    <w:rsid w:val="005F7E02"/>
    <w:rsid w:val="005F7EAA"/>
    <w:rsid w:val="005F7F8C"/>
    <w:rsid w:val="005F7F96"/>
    <w:rsid w:val="005F7FB1"/>
    <w:rsid w:val="00600001"/>
    <w:rsid w:val="00600094"/>
    <w:rsid w:val="0060011E"/>
    <w:rsid w:val="00600124"/>
    <w:rsid w:val="0060014F"/>
    <w:rsid w:val="006001D8"/>
    <w:rsid w:val="006001ED"/>
    <w:rsid w:val="0060023E"/>
    <w:rsid w:val="00600258"/>
    <w:rsid w:val="006002C0"/>
    <w:rsid w:val="00600366"/>
    <w:rsid w:val="00600408"/>
    <w:rsid w:val="00600449"/>
    <w:rsid w:val="006004A4"/>
    <w:rsid w:val="006004A6"/>
    <w:rsid w:val="006004B0"/>
    <w:rsid w:val="006004C0"/>
    <w:rsid w:val="006004D9"/>
    <w:rsid w:val="006004E0"/>
    <w:rsid w:val="0060058F"/>
    <w:rsid w:val="0060061D"/>
    <w:rsid w:val="00600655"/>
    <w:rsid w:val="00600659"/>
    <w:rsid w:val="00600673"/>
    <w:rsid w:val="00600698"/>
    <w:rsid w:val="006006E8"/>
    <w:rsid w:val="00600731"/>
    <w:rsid w:val="00600787"/>
    <w:rsid w:val="00600814"/>
    <w:rsid w:val="00600852"/>
    <w:rsid w:val="006008B9"/>
    <w:rsid w:val="006008D1"/>
    <w:rsid w:val="006008F5"/>
    <w:rsid w:val="00600903"/>
    <w:rsid w:val="0060091B"/>
    <w:rsid w:val="00600943"/>
    <w:rsid w:val="00600947"/>
    <w:rsid w:val="0060098C"/>
    <w:rsid w:val="00600A87"/>
    <w:rsid w:val="00600AFA"/>
    <w:rsid w:val="00600CFD"/>
    <w:rsid w:val="00600E10"/>
    <w:rsid w:val="00600E4B"/>
    <w:rsid w:val="00600EDC"/>
    <w:rsid w:val="00600F3F"/>
    <w:rsid w:val="00600FE4"/>
    <w:rsid w:val="006010E4"/>
    <w:rsid w:val="006010EF"/>
    <w:rsid w:val="006010FB"/>
    <w:rsid w:val="00601189"/>
    <w:rsid w:val="00601195"/>
    <w:rsid w:val="006011B5"/>
    <w:rsid w:val="006011FD"/>
    <w:rsid w:val="006012AA"/>
    <w:rsid w:val="006013B0"/>
    <w:rsid w:val="006013DA"/>
    <w:rsid w:val="0060140C"/>
    <w:rsid w:val="0060149D"/>
    <w:rsid w:val="006014D4"/>
    <w:rsid w:val="006014EE"/>
    <w:rsid w:val="00601534"/>
    <w:rsid w:val="006015CC"/>
    <w:rsid w:val="006016C2"/>
    <w:rsid w:val="006016D2"/>
    <w:rsid w:val="00601878"/>
    <w:rsid w:val="006018C6"/>
    <w:rsid w:val="006019AC"/>
    <w:rsid w:val="006019E4"/>
    <w:rsid w:val="00601A3E"/>
    <w:rsid w:val="00601AC7"/>
    <w:rsid w:val="00601AD9"/>
    <w:rsid w:val="00601AEC"/>
    <w:rsid w:val="00601B16"/>
    <w:rsid w:val="00601B3F"/>
    <w:rsid w:val="00601B84"/>
    <w:rsid w:val="00601B87"/>
    <w:rsid w:val="00601C31"/>
    <w:rsid w:val="00601C4B"/>
    <w:rsid w:val="00601CB8"/>
    <w:rsid w:val="00601DE3"/>
    <w:rsid w:val="00601E2E"/>
    <w:rsid w:val="00601E5C"/>
    <w:rsid w:val="00601FC3"/>
    <w:rsid w:val="00601FEF"/>
    <w:rsid w:val="00602159"/>
    <w:rsid w:val="00602199"/>
    <w:rsid w:val="006021EF"/>
    <w:rsid w:val="00602235"/>
    <w:rsid w:val="0060223E"/>
    <w:rsid w:val="0060224E"/>
    <w:rsid w:val="00602296"/>
    <w:rsid w:val="006022A6"/>
    <w:rsid w:val="00602312"/>
    <w:rsid w:val="0060238E"/>
    <w:rsid w:val="006023DA"/>
    <w:rsid w:val="00602417"/>
    <w:rsid w:val="006024AC"/>
    <w:rsid w:val="006024B8"/>
    <w:rsid w:val="0060250C"/>
    <w:rsid w:val="00602596"/>
    <w:rsid w:val="006025E4"/>
    <w:rsid w:val="00602738"/>
    <w:rsid w:val="00602742"/>
    <w:rsid w:val="00602835"/>
    <w:rsid w:val="0060285C"/>
    <w:rsid w:val="006028BB"/>
    <w:rsid w:val="00602930"/>
    <w:rsid w:val="00602966"/>
    <w:rsid w:val="00602990"/>
    <w:rsid w:val="00602A2C"/>
    <w:rsid w:val="00602A3C"/>
    <w:rsid w:val="00602A61"/>
    <w:rsid w:val="00602A85"/>
    <w:rsid w:val="00602B5E"/>
    <w:rsid w:val="00602BCD"/>
    <w:rsid w:val="00602BF6"/>
    <w:rsid w:val="00602C12"/>
    <w:rsid w:val="00602C24"/>
    <w:rsid w:val="00602C62"/>
    <w:rsid w:val="00602C86"/>
    <w:rsid w:val="00602D3A"/>
    <w:rsid w:val="00602E5B"/>
    <w:rsid w:val="00602EAA"/>
    <w:rsid w:val="00602F6A"/>
    <w:rsid w:val="00602FF8"/>
    <w:rsid w:val="00603032"/>
    <w:rsid w:val="0060306C"/>
    <w:rsid w:val="00603105"/>
    <w:rsid w:val="00603130"/>
    <w:rsid w:val="00603226"/>
    <w:rsid w:val="0060322A"/>
    <w:rsid w:val="00603344"/>
    <w:rsid w:val="0060335F"/>
    <w:rsid w:val="006033F7"/>
    <w:rsid w:val="00603405"/>
    <w:rsid w:val="00603413"/>
    <w:rsid w:val="006034F7"/>
    <w:rsid w:val="00603517"/>
    <w:rsid w:val="00603527"/>
    <w:rsid w:val="0060353D"/>
    <w:rsid w:val="0060356C"/>
    <w:rsid w:val="00603636"/>
    <w:rsid w:val="006037C6"/>
    <w:rsid w:val="006037C9"/>
    <w:rsid w:val="00603834"/>
    <w:rsid w:val="00603866"/>
    <w:rsid w:val="0060388F"/>
    <w:rsid w:val="006038AA"/>
    <w:rsid w:val="006038B6"/>
    <w:rsid w:val="00603919"/>
    <w:rsid w:val="00603942"/>
    <w:rsid w:val="00603A1E"/>
    <w:rsid w:val="00603A62"/>
    <w:rsid w:val="00603C56"/>
    <w:rsid w:val="00603CA3"/>
    <w:rsid w:val="00603D64"/>
    <w:rsid w:val="00603E2E"/>
    <w:rsid w:val="00603E30"/>
    <w:rsid w:val="00603EB4"/>
    <w:rsid w:val="00603ECD"/>
    <w:rsid w:val="00603F1C"/>
    <w:rsid w:val="0060407D"/>
    <w:rsid w:val="006040D1"/>
    <w:rsid w:val="00604172"/>
    <w:rsid w:val="00604211"/>
    <w:rsid w:val="00604221"/>
    <w:rsid w:val="00604226"/>
    <w:rsid w:val="00604261"/>
    <w:rsid w:val="0060427A"/>
    <w:rsid w:val="0060428F"/>
    <w:rsid w:val="006042CF"/>
    <w:rsid w:val="00604388"/>
    <w:rsid w:val="006043B2"/>
    <w:rsid w:val="006043BB"/>
    <w:rsid w:val="006043F4"/>
    <w:rsid w:val="00604412"/>
    <w:rsid w:val="00604425"/>
    <w:rsid w:val="00604428"/>
    <w:rsid w:val="006044AB"/>
    <w:rsid w:val="0060450B"/>
    <w:rsid w:val="0060460C"/>
    <w:rsid w:val="006046B9"/>
    <w:rsid w:val="006046EA"/>
    <w:rsid w:val="00604746"/>
    <w:rsid w:val="0060475B"/>
    <w:rsid w:val="006047C2"/>
    <w:rsid w:val="00604832"/>
    <w:rsid w:val="00604856"/>
    <w:rsid w:val="006048C0"/>
    <w:rsid w:val="00604A2A"/>
    <w:rsid w:val="00604AC5"/>
    <w:rsid w:val="00604AEA"/>
    <w:rsid w:val="00604B13"/>
    <w:rsid w:val="00604B2B"/>
    <w:rsid w:val="00604B53"/>
    <w:rsid w:val="00604C9D"/>
    <w:rsid w:val="00604CA8"/>
    <w:rsid w:val="00604CF5"/>
    <w:rsid w:val="00604CFF"/>
    <w:rsid w:val="00604E47"/>
    <w:rsid w:val="00604EB3"/>
    <w:rsid w:val="00604EF3"/>
    <w:rsid w:val="00604F21"/>
    <w:rsid w:val="00604F4B"/>
    <w:rsid w:val="00604F8D"/>
    <w:rsid w:val="00605082"/>
    <w:rsid w:val="0060508C"/>
    <w:rsid w:val="006050D4"/>
    <w:rsid w:val="006050D6"/>
    <w:rsid w:val="0060511B"/>
    <w:rsid w:val="00605170"/>
    <w:rsid w:val="0060517B"/>
    <w:rsid w:val="00605199"/>
    <w:rsid w:val="0060528E"/>
    <w:rsid w:val="006052E0"/>
    <w:rsid w:val="00605317"/>
    <w:rsid w:val="00605325"/>
    <w:rsid w:val="0060533B"/>
    <w:rsid w:val="00605363"/>
    <w:rsid w:val="006053BB"/>
    <w:rsid w:val="00605424"/>
    <w:rsid w:val="0060553D"/>
    <w:rsid w:val="006055B1"/>
    <w:rsid w:val="00605649"/>
    <w:rsid w:val="0060564A"/>
    <w:rsid w:val="006056D4"/>
    <w:rsid w:val="0060573B"/>
    <w:rsid w:val="006057AB"/>
    <w:rsid w:val="00605821"/>
    <w:rsid w:val="00605826"/>
    <w:rsid w:val="00605887"/>
    <w:rsid w:val="006058BA"/>
    <w:rsid w:val="006058E5"/>
    <w:rsid w:val="00605987"/>
    <w:rsid w:val="006059A1"/>
    <w:rsid w:val="00605A11"/>
    <w:rsid w:val="00605A99"/>
    <w:rsid w:val="00605ACC"/>
    <w:rsid w:val="00605B19"/>
    <w:rsid w:val="00605BB1"/>
    <w:rsid w:val="00605BC6"/>
    <w:rsid w:val="00605CCB"/>
    <w:rsid w:val="00605CE9"/>
    <w:rsid w:val="00605CF2"/>
    <w:rsid w:val="00605D07"/>
    <w:rsid w:val="00605D4D"/>
    <w:rsid w:val="00605D97"/>
    <w:rsid w:val="00605DD2"/>
    <w:rsid w:val="00605E19"/>
    <w:rsid w:val="00605E7C"/>
    <w:rsid w:val="00605EEE"/>
    <w:rsid w:val="0060600B"/>
    <w:rsid w:val="0060607A"/>
    <w:rsid w:val="0060619B"/>
    <w:rsid w:val="006061DA"/>
    <w:rsid w:val="006061E6"/>
    <w:rsid w:val="00606200"/>
    <w:rsid w:val="00606241"/>
    <w:rsid w:val="00606277"/>
    <w:rsid w:val="006062AE"/>
    <w:rsid w:val="00606343"/>
    <w:rsid w:val="0060639A"/>
    <w:rsid w:val="006063EA"/>
    <w:rsid w:val="006063EF"/>
    <w:rsid w:val="00606492"/>
    <w:rsid w:val="006064A6"/>
    <w:rsid w:val="00606518"/>
    <w:rsid w:val="0060652A"/>
    <w:rsid w:val="00606558"/>
    <w:rsid w:val="00606586"/>
    <w:rsid w:val="00606640"/>
    <w:rsid w:val="00606643"/>
    <w:rsid w:val="006066A1"/>
    <w:rsid w:val="006066A7"/>
    <w:rsid w:val="00606737"/>
    <w:rsid w:val="0060678D"/>
    <w:rsid w:val="006067C4"/>
    <w:rsid w:val="00606821"/>
    <w:rsid w:val="00606878"/>
    <w:rsid w:val="006068B7"/>
    <w:rsid w:val="00606904"/>
    <w:rsid w:val="0060699E"/>
    <w:rsid w:val="00606A26"/>
    <w:rsid w:val="00606A32"/>
    <w:rsid w:val="00606A6A"/>
    <w:rsid w:val="00606A87"/>
    <w:rsid w:val="00606A90"/>
    <w:rsid w:val="00606AB8"/>
    <w:rsid w:val="00606B21"/>
    <w:rsid w:val="00606B23"/>
    <w:rsid w:val="00606B36"/>
    <w:rsid w:val="00606BC7"/>
    <w:rsid w:val="00606C07"/>
    <w:rsid w:val="00606C85"/>
    <w:rsid w:val="00606CEB"/>
    <w:rsid w:val="00606E33"/>
    <w:rsid w:val="00606F2E"/>
    <w:rsid w:val="0060708B"/>
    <w:rsid w:val="00607146"/>
    <w:rsid w:val="006071B7"/>
    <w:rsid w:val="006071F8"/>
    <w:rsid w:val="0060724D"/>
    <w:rsid w:val="00607298"/>
    <w:rsid w:val="006072C7"/>
    <w:rsid w:val="00607314"/>
    <w:rsid w:val="0060733F"/>
    <w:rsid w:val="00607361"/>
    <w:rsid w:val="0060737D"/>
    <w:rsid w:val="0060737F"/>
    <w:rsid w:val="00607396"/>
    <w:rsid w:val="00607452"/>
    <w:rsid w:val="00607496"/>
    <w:rsid w:val="0060753D"/>
    <w:rsid w:val="00607604"/>
    <w:rsid w:val="0060760D"/>
    <w:rsid w:val="0060763D"/>
    <w:rsid w:val="006076C5"/>
    <w:rsid w:val="006076F8"/>
    <w:rsid w:val="0060771A"/>
    <w:rsid w:val="006077D9"/>
    <w:rsid w:val="00607826"/>
    <w:rsid w:val="006078F5"/>
    <w:rsid w:val="006079F1"/>
    <w:rsid w:val="00607A2F"/>
    <w:rsid w:val="00607B36"/>
    <w:rsid w:val="00607B68"/>
    <w:rsid w:val="00607B86"/>
    <w:rsid w:val="00607BD9"/>
    <w:rsid w:val="00607C05"/>
    <w:rsid w:val="00607C3A"/>
    <w:rsid w:val="00607CBB"/>
    <w:rsid w:val="00607D03"/>
    <w:rsid w:val="00607DC3"/>
    <w:rsid w:val="00607EBF"/>
    <w:rsid w:val="00607ECD"/>
    <w:rsid w:val="00607F0A"/>
    <w:rsid w:val="00607F79"/>
    <w:rsid w:val="00610105"/>
    <w:rsid w:val="00610112"/>
    <w:rsid w:val="0061015A"/>
    <w:rsid w:val="00610161"/>
    <w:rsid w:val="006101C3"/>
    <w:rsid w:val="00610220"/>
    <w:rsid w:val="006102CB"/>
    <w:rsid w:val="006102D9"/>
    <w:rsid w:val="006102EA"/>
    <w:rsid w:val="00610305"/>
    <w:rsid w:val="0061033A"/>
    <w:rsid w:val="0061036C"/>
    <w:rsid w:val="00610396"/>
    <w:rsid w:val="006103EC"/>
    <w:rsid w:val="0061040F"/>
    <w:rsid w:val="00610465"/>
    <w:rsid w:val="006104C3"/>
    <w:rsid w:val="006104DA"/>
    <w:rsid w:val="006104EF"/>
    <w:rsid w:val="00610533"/>
    <w:rsid w:val="00610534"/>
    <w:rsid w:val="0061064C"/>
    <w:rsid w:val="006106C5"/>
    <w:rsid w:val="006106F3"/>
    <w:rsid w:val="00610704"/>
    <w:rsid w:val="006107D0"/>
    <w:rsid w:val="00610885"/>
    <w:rsid w:val="00610911"/>
    <w:rsid w:val="00610952"/>
    <w:rsid w:val="00610960"/>
    <w:rsid w:val="00610965"/>
    <w:rsid w:val="00610A3E"/>
    <w:rsid w:val="00610AC2"/>
    <w:rsid w:val="00610B52"/>
    <w:rsid w:val="00610B6F"/>
    <w:rsid w:val="00610B79"/>
    <w:rsid w:val="00610B87"/>
    <w:rsid w:val="00610BC1"/>
    <w:rsid w:val="00610C2E"/>
    <w:rsid w:val="00610C68"/>
    <w:rsid w:val="00610C71"/>
    <w:rsid w:val="00610C78"/>
    <w:rsid w:val="00610C7B"/>
    <w:rsid w:val="00610E1E"/>
    <w:rsid w:val="00610F46"/>
    <w:rsid w:val="00610FA1"/>
    <w:rsid w:val="00610FBE"/>
    <w:rsid w:val="0061104A"/>
    <w:rsid w:val="00611086"/>
    <w:rsid w:val="0061118D"/>
    <w:rsid w:val="006111AB"/>
    <w:rsid w:val="006112D5"/>
    <w:rsid w:val="006113CE"/>
    <w:rsid w:val="006113D0"/>
    <w:rsid w:val="006113DA"/>
    <w:rsid w:val="0061142C"/>
    <w:rsid w:val="00611446"/>
    <w:rsid w:val="0061148F"/>
    <w:rsid w:val="006114CE"/>
    <w:rsid w:val="00611675"/>
    <w:rsid w:val="0061167E"/>
    <w:rsid w:val="006116A6"/>
    <w:rsid w:val="006116CB"/>
    <w:rsid w:val="00611762"/>
    <w:rsid w:val="00611769"/>
    <w:rsid w:val="006118EE"/>
    <w:rsid w:val="00611916"/>
    <w:rsid w:val="00611A2A"/>
    <w:rsid w:val="00611A65"/>
    <w:rsid w:val="00611A74"/>
    <w:rsid w:val="00611AA3"/>
    <w:rsid w:val="00611AB1"/>
    <w:rsid w:val="00611B2A"/>
    <w:rsid w:val="00611BC0"/>
    <w:rsid w:val="00611C09"/>
    <w:rsid w:val="00611D4F"/>
    <w:rsid w:val="00611F01"/>
    <w:rsid w:val="00611F4F"/>
    <w:rsid w:val="0061204A"/>
    <w:rsid w:val="006120A0"/>
    <w:rsid w:val="0061212F"/>
    <w:rsid w:val="00612204"/>
    <w:rsid w:val="0061221D"/>
    <w:rsid w:val="0061224E"/>
    <w:rsid w:val="006122E7"/>
    <w:rsid w:val="00612494"/>
    <w:rsid w:val="006124CE"/>
    <w:rsid w:val="006124EB"/>
    <w:rsid w:val="00612613"/>
    <w:rsid w:val="00612622"/>
    <w:rsid w:val="0061265C"/>
    <w:rsid w:val="0061266C"/>
    <w:rsid w:val="00612691"/>
    <w:rsid w:val="006126E4"/>
    <w:rsid w:val="00612724"/>
    <w:rsid w:val="00612823"/>
    <w:rsid w:val="0061299F"/>
    <w:rsid w:val="00612A94"/>
    <w:rsid w:val="00612AC2"/>
    <w:rsid w:val="00612AFB"/>
    <w:rsid w:val="00612B0D"/>
    <w:rsid w:val="00612BA8"/>
    <w:rsid w:val="00612BDB"/>
    <w:rsid w:val="00612C60"/>
    <w:rsid w:val="00612D30"/>
    <w:rsid w:val="00612D50"/>
    <w:rsid w:val="00612D60"/>
    <w:rsid w:val="00612DB8"/>
    <w:rsid w:val="00612DE1"/>
    <w:rsid w:val="00612E10"/>
    <w:rsid w:val="00612E3B"/>
    <w:rsid w:val="00612E80"/>
    <w:rsid w:val="00612E81"/>
    <w:rsid w:val="00612F1C"/>
    <w:rsid w:val="00612FB4"/>
    <w:rsid w:val="00613045"/>
    <w:rsid w:val="00613047"/>
    <w:rsid w:val="00613067"/>
    <w:rsid w:val="00613097"/>
    <w:rsid w:val="006130C2"/>
    <w:rsid w:val="00613109"/>
    <w:rsid w:val="006131CA"/>
    <w:rsid w:val="0061322A"/>
    <w:rsid w:val="00613243"/>
    <w:rsid w:val="006132F4"/>
    <w:rsid w:val="0061330F"/>
    <w:rsid w:val="00613338"/>
    <w:rsid w:val="00613347"/>
    <w:rsid w:val="006133DB"/>
    <w:rsid w:val="00613445"/>
    <w:rsid w:val="0061348E"/>
    <w:rsid w:val="006134F2"/>
    <w:rsid w:val="00613608"/>
    <w:rsid w:val="006136C9"/>
    <w:rsid w:val="00613700"/>
    <w:rsid w:val="00613720"/>
    <w:rsid w:val="0061374E"/>
    <w:rsid w:val="0061377B"/>
    <w:rsid w:val="0061378E"/>
    <w:rsid w:val="00613808"/>
    <w:rsid w:val="0061380E"/>
    <w:rsid w:val="00613834"/>
    <w:rsid w:val="00613879"/>
    <w:rsid w:val="00613887"/>
    <w:rsid w:val="006138E5"/>
    <w:rsid w:val="006138F1"/>
    <w:rsid w:val="00613947"/>
    <w:rsid w:val="006139B6"/>
    <w:rsid w:val="006139EB"/>
    <w:rsid w:val="00613BBF"/>
    <w:rsid w:val="00613D1C"/>
    <w:rsid w:val="00613D8C"/>
    <w:rsid w:val="00613DBD"/>
    <w:rsid w:val="00613E18"/>
    <w:rsid w:val="00613E2C"/>
    <w:rsid w:val="00613EE6"/>
    <w:rsid w:val="00613EFD"/>
    <w:rsid w:val="00613EFE"/>
    <w:rsid w:val="00613F0E"/>
    <w:rsid w:val="00613F0F"/>
    <w:rsid w:val="00613F70"/>
    <w:rsid w:val="00613F9C"/>
    <w:rsid w:val="00614022"/>
    <w:rsid w:val="0061403C"/>
    <w:rsid w:val="0061409D"/>
    <w:rsid w:val="006140BF"/>
    <w:rsid w:val="006140E6"/>
    <w:rsid w:val="006141DE"/>
    <w:rsid w:val="006141EB"/>
    <w:rsid w:val="0061421A"/>
    <w:rsid w:val="00614243"/>
    <w:rsid w:val="00614249"/>
    <w:rsid w:val="0061427A"/>
    <w:rsid w:val="006142A2"/>
    <w:rsid w:val="006142AE"/>
    <w:rsid w:val="00614356"/>
    <w:rsid w:val="006143F4"/>
    <w:rsid w:val="00614433"/>
    <w:rsid w:val="006144D0"/>
    <w:rsid w:val="00614537"/>
    <w:rsid w:val="00614592"/>
    <w:rsid w:val="006145A2"/>
    <w:rsid w:val="00614603"/>
    <w:rsid w:val="00614648"/>
    <w:rsid w:val="00614738"/>
    <w:rsid w:val="00614767"/>
    <w:rsid w:val="006147CA"/>
    <w:rsid w:val="00614808"/>
    <w:rsid w:val="00614975"/>
    <w:rsid w:val="006149A1"/>
    <w:rsid w:val="006149A9"/>
    <w:rsid w:val="006149AD"/>
    <w:rsid w:val="006149FF"/>
    <w:rsid w:val="00614A3D"/>
    <w:rsid w:val="00614A50"/>
    <w:rsid w:val="00614A8C"/>
    <w:rsid w:val="00614A9D"/>
    <w:rsid w:val="00614AC3"/>
    <w:rsid w:val="00614B20"/>
    <w:rsid w:val="00614B95"/>
    <w:rsid w:val="00614BC8"/>
    <w:rsid w:val="00614C9C"/>
    <w:rsid w:val="00614E6F"/>
    <w:rsid w:val="00614E78"/>
    <w:rsid w:val="00614EE2"/>
    <w:rsid w:val="00614EE5"/>
    <w:rsid w:val="00614F7C"/>
    <w:rsid w:val="00614F7E"/>
    <w:rsid w:val="00614FD2"/>
    <w:rsid w:val="006150B1"/>
    <w:rsid w:val="006150B9"/>
    <w:rsid w:val="006150E3"/>
    <w:rsid w:val="0061510F"/>
    <w:rsid w:val="006152AD"/>
    <w:rsid w:val="006152B2"/>
    <w:rsid w:val="006152E1"/>
    <w:rsid w:val="00615322"/>
    <w:rsid w:val="0061536A"/>
    <w:rsid w:val="00615377"/>
    <w:rsid w:val="00615392"/>
    <w:rsid w:val="0061546B"/>
    <w:rsid w:val="0061547A"/>
    <w:rsid w:val="00615486"/>
    <w:rsid w:val="006154CD"/>
    <w:rsid w:val="006154F9"/>
    <w:rsid w:val="00615542"/>
    <w:rsid w:val="0061557A"/>
    <w:rsid w:val="0061557F"/>
    <w:rsid w:val="006155DD"/>
    <w:rsid w:val="006155FB"/>
    <w:rsid w:val="00615689"/>
    <w:rsid w:val="006157E5"/>
    <w:rsid w:val="00615807"/>
    <w:rsid w:val="00615821"/>
    <w:rsid w:val="006158F0"/>
    <w:rsid w:val="00615992"/>
    <w:rsid w:val="006159A3"/>
    <w:rsid w:val="006159AD"/>
    <w:rsid w:val="006159F4"/>
    <w:rsid w:val="00615A5F"/>
    <w:rsid w:val="00615A7E"/>
    <w:rsid w:val="00615A88"/>
    <w:rsid w:val="00615B14"/>
    <w:rsid w:val="00615BDC"/>
    <w:rsid w:val="00615C0C"/>
    <w:rsid w:val="00615C1F"/>
    <w:rsid w:val="00615CAC"/>
    <w:rsid w:val="00615F1D"/>
    <w:rsid w:val="00615F3B"/>
    <w:rsid w:val="00616009"/>
    <w:rsid w:val="006160A4"/>
    <w:rsid w:val="006160F4"/>
    <w:rsid w:val="00616159"/>
    <w:rsid w:val="00616192"/>
    <w:rsid w:val="006161A2"/>
    <w:rsid w:val="0061625F"/>
    <w:rsid w:val="00616308"/>
    <w:rsid w:val="00616319"/>
    <w:rsid w:val="00616392"/>
    <w:rsid w:val="00616419"/>
    <w:rsid w:val="006164B5"/>
    <w:rsid w:val="00616503"/>
    <w:rsid w:val="006165B7"/>
    <w:rsid w:val="00616632"/>
    <w:rsid w:val="006166B2"/>
    <w:rsid w:val="006166C4"/>
    <w:rsid w:val="006166F0"/>
    <w:rsid w:val="00616731"/>
    <w:rsid w:val="00616775"/>
    <w:rsid w:val="00616881"/>
    <w:rsid w:val="00616887"/>
    <w:rsid w:val="0061694A"/>
    <w:rsid w:val="006169A1"/>
    <w:rsid w:val="00616A62"/>
    <w:rsid w:val="00616A74"/>
    <w:rsid w:val="00616A9B"/>
    <w:rsid w:val="00616ACB"/>
    <w:rsid w:val="00616C87"/>
    <w:rsid w:val="00616CB4"/>
    <w:rsid w:val="00616CF4"/>
    <w:rsid w:val="00616D28"/>
    <w:rsid w:val="00616D4E"/>
    <w:rsid w:val="00616DA4"/>
    <w:rsid w:val="00616F10"/>
    <w:rsid w:val="00616F62"/>
    <w:rsid w:val="00616FF3"/>
    <w:rsid w:val="0061702D"/>
    <w:rsid w:val="00617109"/>
    <w:rsid w:val="00617155"/>
    <w:rsid w:val="006171AC"/>
    <w:rsid w:val="0061720D"/>
    <w:rsid w:val="00617254"/>
    <w:rsid w:val="0061726D"/>
    <w:rsid w:val="0061726F"/>
    <w:rsid w:val="006172AA"/>
    <w:rsid w:val="0061739F"/>
    <w:rsid w:val="006173A6"/>
    <w:rsid w:val="006173FC"/>
    <w:rsid w:val="006174D7"/>
    <w:rsid w:val="006174E2"/>
    <w:rsid w:val="00617583"/>
    <w:rsid w:val="00617691"/>
    <w:rsid w:val="006176FF"/>
    <w:rsid w:val="0061770A"/>
    <w:rsid w:val="0061772A"/>
    <w:rsid w:val="00617778"/>
    <w:rsid w:val="006177BE"/>
    <w:rsid w:val="00617835"/>
    <w:rsid w:val="00617873"/>
    <w:rsid w:val="00617874"/>
    <w:rsid w:val="00617881"/>
    <w:rsid w:val="006178DE"/>
    <w:rsid w:val="006179E1"/>
    <w:rsid w:val="00617A0C"/>
    <w:rsid w:val="00617A2A"/>
    <w:rsid w:val="00617A73"/>
    <w:rsid w:val="00617A85"/>
    <w:rsid w:val="00617B0D"/>
    <w:rsid w:val="00617B2F"/>
    <w:rsid w:val="00617B57"/>
    <w:rsid w:val="00617C75"/>
    <w:rsid w:val="00617C96"/>
    <w:rsid w:val="00617CC4"/>
    <w:rsid w:val="00617D38"/>
    <w:rsid w:val="00617D40"/>
    <w:rsid w:val="00617D59"/>
    <w:rsid w:val="00617D8C"/>
    <w:rsid w:val="00617E7C"/>
    <w:rsid w:val="00617F5B"/>
    <w:rsid w:val="00620041"/>
    <w:rsid w:val="006200C6"/>
    <w:rsid w:val="006200D0"/>
    <w:rsid w:val="0062014F"/>
    <w:rsid w:val="0062015A"/>
    <w:rsid w:val="0062015C"/>
    <w:rsid w:val="0062019A"/>
    <w:rsid w:val="00620213"/>
    <w:rsid w:val="006202FF"/>
    <w:rsid w:val="00620303"/>
    <w:rsid w:val="0062032A"/>
    <w:rsid w:val="00620380"/>
    <w:rsid w:val="0062038D"/>
    <w:rsid w:val="006203EF"/>
    <w:rsid w:val="006203FA"/>
    <w:rsid w:val="006203FB"/>
    <w:rsid w:val="006204D7"/>
    <w:rsid w:val="00620500"/>
    <w:rsid w:val="00620548"/>
    <w:rsid w:val="00620562"/>
    <w:rsid w:val="00620596"/>
    <w:rsid w:val="006205D5"/>
    <w:rsid w:val="006205D9"/>
    <w:rsid w:val="006206A0"/>
    <w:rsid w:val="006206B8"/>
    <w:rsid w:val="006206CE"/>
    <w:rsid w:val="006206F6"/>
    <w:rsid w:val="00620722"/>
    <w:rsid w:val="0062075A"/>
    <w:rsid w:val="0062079A"/>
    <w:rsid w:val="0062079B"/>
    <w:rsid w:val="006208DD"/>
    <w:rsid w:val="00620900"/>
    <w:rsid w:val="00620973"/>
    <w:rsid w:val="006209BE"/>
    <w:rsid w:val="00620A77"/>
    <w:rsid w:val="00620AAF"/>
    <w:rsid w:val="00620AD0"/>
    <w:rsid w:val="00620ADF"/>
    <w:rsid w:val="00620BE4"/>
    <w:rsid w:val="00620D0A"/>
    <w:rsid w:val="00620D43"/>
    <w:rsid w:val="00620D64"/>
    <w:rsid w:val="00620DC1"/>
    <w:rsid w:val="00620DC3"/>
    <w:rsid w:val="00620DED"/>
    <w:rsid w:val="00620E1B"/>
    <w:rsid w:val="00620EAC"/>
    <w:rsid w:val="00620EB9"/>
    <w:rsid w:val="00620ED4"/>
    <w:rsid w:val="00620EF3"/>
    <w:rsid w:val="00620F54"/>
    <w:rsid w:val="0062103A"/>
    <w:rsid w:val="00621060"/>
    <w:rsid w:val="00621098"/>
    <w:rsid w:val="00621105"/>
    <w:rsid w:val="00621171"/>
    <w:rsid w:val="006211AE"/>
    <w:rsid w:val="0062124B"/>
    <w:rsid w:val="00621259"/>
    <w:rsid w:val="006212DB"/>
    <w:rsid w:val="00621314"/>
    <w:rsid w:val="00621364"/>
    <w:rsid w:val="006213A3"/>
    <w:rsid w:val="006213F0"/>
    <w:rsid w:val="006214DC"/>
    <w:rsid w:val="006214E3"/>
    <w:rsid w:val="00621501"/>
    <w:rsid w:val="0062151A"/>
    <w:rsid w:val="00621535"/>
    <w:rsid w:val="0062154B"/>
    <w:rsid w:val="006215AA"/>
    <w:rsid w:val="006215EE"/>
    <w:rsid w:val="0062162E"/>
    <w:rsid w:val="006216E2"/>
    <w:rsid w:val="00621789"/>
    <w:rsid w:val="00621812"/>
    <w:rsid w:val="00621820"/>
    <w:rsid w:val="00621840"/>
    <w:rsid w:val="0062187E"/>
    <w:rsid w:val="006218C5"/>
    <w:rsid w:val="006219B4"/>
    <w:rsid w:val="00621A24"/>
    <w:rsid w:val="00621A72"/>
    <w:rsid w:val="00621A97"/>
    <w:rsid w:val="00621B50"/>
    <w:rsid w:val="00621B77"/>
    <w:rsid w:val="00621BC5"/>
    <w:rsid w:val="00621C42"/>
    <w:rsid w:val="00621C79"/>
    <w:rsid w:val="00621D02"/>
    <w:rsid w:val="00621D85"/>
    <w:rsid w:val="00621DC2"/>
    <w:rsid w:val="00621DF1"/>
    <w:rsid w:val="00621E0D"/>
    <w:rsid w:val="00621EFC"/>
    <w:rsid w:val="00621FC2"/>
    <w:rsid w:val="00622003"/>
    <w:rsid w:val="00622008"/>
    <w:rsid w:val="00622039"/>
    <w:rsid w:val="00622042"/>
    <w:rsid w:val="0062204F"/>
    <w:rsid w:val="006220CE"/>
    <w:rsid w:val="006221F9"/>
    <w:rsid w:val="006222AB"/>
    <w:rsid w:val="00622315"/>
    <w:rsid w:val="00622323"/>
    <w:rsid w:val="006223B6"/>
    <w:rsid w:val="00622435"/>
    <w:rsid w:val="00622468"/>
    <w:rsid w:val="006224CA"/>
    <w:rsid w:val="006225B5"/>
    <w:rsid w:val="006225B8"/>
    <w:rsid w:val="0062263C"/>
    <w:rsid w:val="00622664"/>
    <w:rsid w:val="0062269C"/>
    <w:rsid w:val="0062271A"/>
    <w:rsid w:val="00622777"/>
    <w:rsid w:val="006227D0"/>
    <w:rsid w:val="00622813"/>
    <w:rsid w:val="00622860"/>
    <w:rsid w:val="00622946"/>
    <w:rsid w:val="00622949"/>
    <w:rsid w:val="006229CF"/>
    <w:rsid w:val="006229D2"/>
    <w:rsid w:val="006229DC"/>
    <w:rsid w:val="006229FB"/>
    <w:rsid w:val="00622A85"/>
    <w:rsid w:val="00622AB4"/>
    <w:rsid w:val="00622AC5"/>
    <w:rsid w:val="00622B13"/>
    <w:rsid w:val="00622B36"/>
    <w:rsid w:val="00622BD6"/>
    <w:rsid w:val="00622C2C"/>
    <w:rsid w:val="00622C9A"/>
    <w:rsid w:val="00622CEA"/>
    <w:rsid w:val="00622D1D"/>
    <w:rsid w:val="00622D44"/>
    <w:rsid w:val="00622E03"/>
    <w:rsid w:val="00622F67"/>
    <w:rsid w:val="00622F72"/>
    <w:rsid w:val="00622FB7"/>
    <w:rsid w:val="0062305E"/>
    <w:rsid w:val="00623075"/>
    <w:rsid w:val="00623078"/>
    <w:rsid w:val="0062308A"/>
    <w:rsid w:val="006230BB"/>
    <w:rsid w:val="006230E8"/>
    <w:rsid w:val="00623106"/>
    <w:rsid w:val="006231D6"/>
    <w:rsid w:val="006232E5"/>
    <w:rsid w:val="0062331A"/>
    <w:rsid w:val="00623346"/>
    <w:rsid w:val="006234AA"/>
    <w:rsid w:val="00623532"/>
    <w:rsid w:val="00623536"/>
    <w:rsid w:val="00623583"/>
    <w:rsid w:val="00623600"/>
    <w:rsid w:val="00623654"/>
    <w:rsid w:val="00623677"/>
    <w:rsid w:val="006236E7"/>
    <w:rsid w:val="006236F6"/>
    <w:rsid w:val="006237EE"/>
    <w:rsid w:val="0062386E"/>
    <w:rsid w:val="006238B2"/>
    <w:rsid w:val="006238C9"/>
    <w:rsid w:val="006238E7"/>
    <w:rsid w:val="0062396B"/>
    <w:rsid w:val="00623977"/>
    <w:rsid w:val="006239B2"/>
    <w:rsid w:val="00623A64"/>
    <w:rsid w:val="00623AA0"/>
    <w:rsid w:val="00623AEA"/>
    <w:rsid w:val="00623B31"/>
    <w:rsid w:val="00623B34"/>
    <w:rsid w:val="00623B3A"/>
    <w:rsid w:val="00623B6D"/>
    <w:rsid w:val="00623BFF"/>
    <w:rsid w:val="00623CCC"/>
    <w:rsid w:val="00623CF8"/>
    <w:rsid w:val="00623CFB"/>
    <w:rsid w:val="00623D56"/>
    <w:rsid w:val="00623D8F"/>
    <w:rsid w:val="00623EFC"/>
    <w:rsid w:val="00623F6E"/>
    <w:rsid w:val="00623F73"/>
    <w:rsid w:val="00624038"/>
    <w:rsid w:val="0062409D"/>
    <w:rsid w:val="00624113"/>
    <w:rsid w:val="00624164"/>
    <w:rsid w:val="0062417B"/>
    <w:rsid w:val="006241A2"/>
    <w:rsid w:val="006241AD"/>
    <w:rsid w:val="0062432E"/>
    <w:rsid w:val="00624335"/>
    <w:rsid w:val="00624337"/>
    <w:rsid w:val="006243D3"/>
    <w:rsid w:val="006243E1"/>
    <w:rsid w:val="006243F0"/>
    <w:rsid w:val="006244B7"/>
    <w:rsid w:val="00624549"/>
    <w:rsid w:val="006245A0"/>
    <w:rsid w:val="006245BA"/>
    <w:rsid w:val="0062461D"/>
    <w:rsid w:val="00624753"/>
    <w:rsid w:val="006247CD"/>
    <w:rsid w:val="006247F8"/>
    <w:rsid w:val="0062482F"/>
    <w:rsid w:val="00624844"/>
    <w:rsid w:val="00624850"/>
    <w:rsid w:val="00624854"/>
    <w:rsid w:val="00624887"/>
    <w:rsid w:val="006248E5"/>
    <w:rsid w:val="0062494A"/>
    <w:rsid w:val="0062497F"/>
    <w:rsid w:val="00624980"/>
    <w:rsid w:val="00624983"/>
    <w:rsid w:val="006249E4"/>
    <w:rsid w:val="00624A32"/>
    <w:rsid w:val="00624A47"/>
    <w:rsid w:val="00624AF4"/>
    <w:rsid w:val="00624B0B"/>
    <w:rsid w:val="00624B0F"/>
    <w:rsid w:val="00624B66"/>
    <w:rsid w:val="00624BCC"/>
    <w:rsid w:val="00624BFC"/>
    <w:rsid w:val="00624C22"/>
    <w:rsid w:val="00624C59"/>
    <w:rsid w:val="00624CB3"/>
    <w:rsid w:val="00624CCD"/>
    <w:rsid w:val="00624CD4"/>
    <w:rsid w:val="00624D0F"/>
    <w:rsid w:val="00624D46"/>
    <w:rsid w:val="00624D5D"/>
    <w:rsid w:val="00624D9D"/>
    <w:rsid w:val="00624D9F"/>
    <w:rsid w:val="00624E1A"/>
    <w:rsid w:val="00624E52"/>
    <w:rsid w:val="00624EB5"/>
    <w:rsid w:val="00624FE0"/>
    <w:rsid w:val="00624FFE"/>
    <w:rsid w:val="00625044"/>
    <w:rsid w:val="0062508D"/>
    <w:rsid w:val="006250DF"/>
    <w:rsid w:val="00625146"/>
    <w:rsid w:val="0062516A"/>
    <w:rsid w:val="006251B2"/>
    <w:rsid w:val="006251C2"/>
    <w:rsid w:val="006251E8"/>
    <w:rsid w:val="00625239"/>
    <w:rsid w:val="0062525A"/>
    <w:rsid w:val="0062533C"/>
    <w:rsid w:val="006253B3"/>
    <w:rsid w:val="0062542B"/>
    <w:rsid w:val="00625461"/>
    <w:rsid w:val="0062548D"/>
    <w:rsid w:val="0062561B"/>
    <w:rsid w:val="00625698"/>
    <w:rsid w:val="006256D1"/>
    <w:rsid w:val="0062579A"/>
    <w:rsid w:val="006257BE"/>
    <w:rsid w:val="006257DA"/>
    <w:rsid w:val="00625908"/>
    <w:rsid w:val="00625987"/>
    <w:rsid w:val="006259F3"/>
    <w:rsid w:val="00625A41"/>
    <w:rsid w:val="00625B60"/>
    <w:rsid w:val="00625BBC"/>
    <w:rsid w:val="00625BF8"/>
    <w:rsid w:val="00625C84"/>
    <w:rsid w:val="00625CA7"/>
    <w:rsid w:val="00625CD9"/>
    <w:rsid w:val="00625DB0"/>
    <w:rsid w:val="00625DBD"/>
    <w:rsid w:val="00625E33"/>
    <w:rsid w:val="00625E85"/>
    <w:rsid w:val="00625F0A"/>
    <w:rsid w:val="00626009"/>
    <w:rsid w:val="0062606C"/>
    <w:rsid w:val="00626188"/>
    <w:rsid w:val="006261D2"/>
    <w:rsid w:val="0062627B"/>
    <w:rsid w:val="006262A7"/>
    <w:rsid w:val="006262AA"/>
    <w:rsid w:val="006262B2"/>
    <w:rsid w:val="00626337"/>
    <w:rsid w:val="00626350"/>
    <w:rsid w:val="0062638F"/>
    <w:rsid w:val="006264CF"/>
    <w:rsid w:val="0062657B"/>
    <w:rsid w:val="0062659A"/>
    <w:rsid w:val="00626609"/>
    <w:rsid w:val="0062663F"/>
    <w:rsid w:val="006266A6"/>
    <w:rsid w:val="0062675B"/>
    <w:rsid w:val="006267CA"/>
    <w:rsid w:val="00626809"/>
    <w:rsid w:val="00626827"/>
    <w:rsid w:val="00626832"/>
    <w:rsid w:val="00626842"/>
    <w:rsid w:val="00626855"/>
    <w:rsid w:val="0062685F"/>
    <w:rsid w:val="006268A3"/>
    <w:rsid w:val="0062691D"/>
    <w:rsid w:val="00626973"/>
    <w:rsid w:val="006269BA"/>
    <w:rsid w:val="006269DD"/>
    <w:rsid w:val="00626A7E"/>
    <w:rsid w:val="00626A7F"/>
    <w:rsid w:val="00626AEF"/>
    <w:rsid w:val="00626B17"/>
    <w:rsid w:val="00626BDA"/>
    <w:rsid w:val="00626C15"/>
    <w:rsid w:val="00626C2C"/>
    <w:rsid w:val="00626D69"/>
    <w:rsid w:val="00626DFE"/>
    <w:rsid w:val="00626E22"/>
    <w:rsid w:val="00626E65"/>
    <w:rsid w:val="00626EC3"/>
    <w:rsid w:val="00626F59"/>
    <w:rsid w:val="00627000"/>
    <w:rsid w:val="00627009"/>
    <w:rsid w:val="0062702D"/>
    <w:rsid w:val="006270C5"/>
    <w:rsid w:val="006270CE"/>
    <w:rsid w:val="0062711B"/>
    <w:rsid w:val="00627121"/>
    <w:rsid w:val="00627125"/>
    <w:rsid w:val="0062714C"/>
    <w:rsid w:val="00627168"/>
    <w:rsid w:val="006271E4"/>
    <w:rsid w:val="006272E1"/>
    <w:rsid w:val="006272FE"/>
    <w:rsid w:val="00627501"/>
    <w:rsid w:val="0062750D"/>
    <w:rsid w:val="00627549"/>
    <w:rsid w:val="006275A0"/>
    <w:rsid w:val="006275BF"/>
    <w:rsid w:val="006275E2"/>
    <w:rsid w:val="006275F6"/>
    <w:rsid w:val="00627678"/>
    <w:rsid w:val="006276B2"/>
    <w:rsid w:val="006276B7"/>
    <w:rsid w:val="006276D2"/>
    <w:rsid w:val="00627758"/>
    <w:rsid w:val="00627766"/>
    <w:rsid w:val="00627797"/>
    <w:rsid w:val="006277A3"/>
    <w:rsid w:val="006277C1"/>
    <w:rsid w:val="00627831"/>
    <w:rsid w:val="0062786B"/>
    <w:rsid w:val="00627920"/>
    <w:rsid w:val="00627A0E"/>
    <w:rsid w:val="00627B84"/>
    <w:rsid w:val="00627B8D"/>
    <w:rsid w:val="00627BA1"/>
    <w:rsid w:val="00627C6E"/>
    <w:rsid w:val="00627C89"/>
    <w:rsid w:val="00627D4A"/>
    <w:rsid w:val="00627DE3"/>
    <w:rsid w:val="00627E05"/>
    <w:rsid w:val="00627E4D"/>
    <w:rsid w:val="00627E50"/>
    <w:rsid w:val="00627F1E"/>
    <w:rsid w:val="00627F3A"/>
    <w:rsid w:val="00627F74"/>
    <w:rsid w:val="00627FF3"/>
    <w:rsid w:val="0063006D"/>
    <w:rsid w:val="0063007F"/>
    <w:rsid w:val="006300EF"/>
    <w:rsid w:val="00630167"/>
    <w:rsid w:val="006301C3"/>
    <w:rsid w:val="00630204"/>
    <w:rsid w:val="00630208"/>
    <w:rsid w:val="006302F0"/>
    <w:rsid w:val="00630365"/>
    <w:rsid w:val="00630468"/>
    <w:rsid w:val="00630486"/>
    <w:rsid w:val="006304CD"/>
    <w:rsid w:val="006304E6"/>
    <w:rsid w:val="00630588"/>
    <w:rsid w:val="00630597"/>
    <w:rsid w:val="006305C7"/>
    <w:rsid w:val="00630621"/>
    <w:rsid w:val="00630631"/>
    <w:rsid w:val="0063066C"/>
    <w:rsid w:val="0063074B"/>
    <w:rsid w:val="006307A8"/>
    <w:rsid w:val="006307C4"/>
    <w:rsid w:val="00630847"/>
    <w:rsid w:val="00630859"/>
    <w:rsid w:val="0063087E"/>
    <w:rsid w:val="006308D7"/>
    <w:rsid w:val="0063093A"/>
    <w:rsid w:val="00630959"/>
    <w:rsid w:val="006309B2"/>
    <w:rsid w:val="006309F1"/>
    <w:rsid w:val="00630A6F"/>
    <w:rsid w:val="00630A8E"/>
    <w:rsid w:val="00630A99"/>
    <w:rsid w:val="00630ABD"/>
    <w:rsid w:val="00630B1D"/>
    <w:rsid w:val="00630B5C"/>
    <w:rsid w:val="00630BB5"/>
    <w:rsid w:val="00630C29"/>
    <w:rsid w:val="00630C32"/>
    <w:rsid w:val="00630EC2"/>
    <w:rsid w:val="00630F0C"/>
    <w:rsid w:val="00630FF1"/>
    <w:rsid w:val="00631025"/>
    <w:rsid w:val="0063104F"/>
    <w:rsid w:val="00631092"/>
    <w:rsid w:val="00631113"/>
    <w:rsid w:val="0063115B"/>
    <w:rsid w:val="006311ED"/>
    <w:rsid w:val="006311FD"/>
    <w:rsid w:val="006312BE"/>
    <w:rsid w:val="006312C3"/>
    <w:rsid w:val="006312C6"/>
    <w:rsid w:val="006312D7"/>
    <w:rsid w:val="00631337"/>
    <w:rsid w:val="00631416"/>
    <w:rsid w:val="00631437"/>
    <w:rsid w:val="006314DB"/>
    <w:rsid w:val="0063151C"/>
    <w:rsid w:val="00631537"/>
    <w:rsid w:val="00631541"/>
    <w:rsid w:val="00631599"/>
    <w:rsid w:val="00631626"/>
    <w:rsid w:val="00631665"/>
    <w:rsid w:val="00631694"/>
    <w:rsid w:val="00631744"/>
    <w:rsid w:val="00631754"/>
    <w:rsid w:val="006317A0"/>
    <w:rsid w:val="006318A3"/>
    <w:rsid w:val="006318FF"/>
    <w:rsid w:val="006319AC"/>
    <w:rsid w:val="006319EE"/>
    <w:rsid w:val="00631A82"/>
    <w:rsid w:val="00631AAF"/>
    <w:rsid w:val="00631AE8"/>
    <w:rsid w:val="00631B42"/>
    <w:rsid w:val="00631B5F"/>
    <w:rsid w:val="00631BCE"/>
    <w:rsid w:val="00631C9D"/>
    <w:rsid w:val="00631CA4"/>
    <w:rsid w:val="00631CC7"/>
    <w:rsid w:val="00631CD5"/>
    <w:rsid w:val="00631D36"/>
    <w:rsid w:val="00631DC5"/>
    <w:rsid w:val="00631E3C"/>
    <w:rsid w:val="00631E73"/>
    <w:rsid w:val="00631E7C"/>
    <w:rsid w:val="00631EA3"/>
    <w:rsid w:val="00631F3A"/>
    <w:rsid w:val="00631F65"/>
    <w:rsid w:val="00631FBC"/>
    <w:rsid w:val="00632066"/>
    <w:rsid w:val="0063217E"/>
    <w:rsid w:val="00632187"/>
    <w:rsid w:val="006321B6"/>
    <w:rsid w:val="00632206"/>
    <w:rsid w:val="0063224C"/>
    <w:rsid w:val="0063225D"/>
    <w:rsid w:val="006323F6"/>
    <w:rsid w:val="0063248D"/>
    <w:rsid w:val="0063251A"/>
    <w:rsid w:val="0063252F"/>
    <w:rsid w:val="0063257E"/>
    <w:rsid w:val="00632590"/>
    <w:rsid w:val="006325A1"/>
    <w:rsid w:val="00632608"/>
    <w:rsid w:val="00632610"/>
    <w:rsid w:val="0063263F"/>
    <w:rsid w:val="0063264D"/>
    <w:rsid w:val="006326AD"/>
    <w:rsid w:val="006326D9"/>
    <w:rsid w:val="006327BD"/>
    <w:rsid w:val="00632808"/>
    <w:rsid w:val="006328E2"/>
    <w:rsid w:val="006328F9"/>
    <w:rsid w:val="0063290D"/>
    <w:rsid w:val="00632925"/>
    <w:rsid w:val="00632936"/>
    <w:rsid w:val="00632959"/>
    <w:rsid w:val="0063295E"/>
    <w:rsid w:val="006329E3"/>
    <w:rsid w:val="00632A06"/>
    <w:rsid w:val="00632A1C"/>
    <w:rsid w:val="00632A9E"/>
    <w:rsid w:val="00632AE2"/>
    <w:rsid w:val="00632AEC"/>
    <w:rsid w:val="00632AEE"/>
    <w:rsid w:val="00632AF7"/>
    <w:rsid w:val="00632B00"/>
    <w:rsid w:val="00632B11"/>
    <w:rsid w:val="00632BD0"/>
    <w:rsid w:val="00632C43"/>
    <w:rsid w:val="00632C48"/>
    <w:rsid w:val="00632C4F"/>
    <w:rsid w:val="00632C66"/>
    <w:rsid w:val="00632CE4"/>
    <w:rsid w:val="00632CEF"/>
    <w:rsid w:val="00632D97"/>
    <w:rsid w:val="00632E2D"/>
    <w:rsid w:val="00632EE9"/>
    <w:rsid w:val="00632F04"/>
    <w:rsid w:val="00632F36"/>
    <w:rsid w:val="00632F4D"/>
    <w:rsid w:val="00632FB8"/>
    <w:rsid w:val="00632FD2"/>
    <w:rsid w:val="00632FD9"/>
    <w:rsid w:val="00632FF0"/>
    <w:rsid w:val="00633088"/>
    <w:rsid w:val="00633113"/>
    <w:rsid w:val="00633148"/>
    <w:rsid w:val="00633201"/>
    <w:rsid w:val="00633411"/>
    <w:rsid w:val="0063346B"/>
    <w:rsid w:val="00633486"/>
    <w:rsid w:val="00633509"/>
    <w:rsid w:val="00633547"/>
    <w:rsid w:val="00633557"/>
    <w:rsid w:val="0063358A"/>
    <w:rsid w:val="006335C6"/>
    <w:rsid w:val="00633602"/>
    <w:rsid w:val="006336A8"/>
    <w:rsid w:val="006337E6"/>
    <w:rsid w:val="00633806"/>
    <w:rsid w:val="00633824"/>
    <w:rsid w:val="00633874"/>
    <w:rsid w:val="0063389A"/>
    <w:rsid w:val="006338A2"/>
    <w:rsid w:val="0063394A"/>
    <w:rsid w:val="0063397E"/>
    <w:rsid w:val="0063398C"/>
    <w:rsid w:val="006339AE"/>
    <w:rsid w:val="006339BC"/>
    <w:rsid w:val="00633A24"/>
    <w:rsid w:val="00633A58"/>
    <w:rsid w:val="00633BC0"/>
    <w:rsid w:val="00633BDD"/>
    <w:rsid w:val="00633BEF"/>
    <w:rsid w:val="00633BFB"/>
    <w:rsid w:val="00633C05"/>
    <w:rsid w:val="00633C07"/>
    <w:rsid w:val="00633C79"/>
    <w:rsid w:val="00633C7D"/>
    <w:rsid w:val="00633CF5"/>
    <w:rsid w:val="00633DEA"/>
    <w:rsid w:val="00633E29"/>
    <w:rsid w:val="00633EFD"/>
    <w:rsid w:val="00633F37"/>
    <w:rsid w:val="00633F6B"/>
    <w:rsid w:val="00633F7A"/>
    <w:rsid w:val="00634055"/>
    <w:rsid w:val="006340DA"/>
    <w:rsid w:val="00634117"/>
    <w:rsid w:val="006341E3"/>
    <w:rsid w:val="00634269"/>
    <w:rsid w:val="006342B1"/>
    <w:rsid w:val="006342F6"/>
    <w:rsid w:val="0063430A"/>
    <w:rsid w:val="0063433E"/>
    <w:rsid w:val="0063438E"/>
    <w:rsid w:val="006343AE"/>
    <w:rsid w:val="0063454A"/>
    <w:rsid w:val="0063459B"/>
    <w:rsid w:val="0063459D"/>
    <w:rsid w:val="00634659"/>
    <w:rsid w:val="0063466F"/>
    <w:rsid w:val="0063469F"/>
    <w:rsid w:val="006346C6"/>
    <w:rsid w:val="0063474E"/>
    <w:rsid w:val="00634777"/>
    <w:rsid w:val="006347DE"/>
    <w:rsid w:val="00634817"/>
    <w:rsid w:val="0063481A"/>
    <w:rsid w:val="0063487A"/>
    <w:rsid w:val="00634916"/>
    <w:rsid w:val="006349A0"/>
    <w:rsid w:val="00634B07"/>
    <w:rsid w:val="00634B27"/>
    <w:rsid w:val="00634BA8"/>
    <w:rsid w:val="00634CD2"/>
    <w:rsid w:val="00634CDA"/>
    <w:rsid w:val="00634CF5"/>
    <w:rsid w:val="00634D5D"/>
    <w:rsid w:val="00634D6E"/>
    <w:rsid w:val="00634D81"/>
    <w:rsid w:val="00634D8A"/>
    <w:rsid w:val="00634E3A"/>
    <w:rsid w:val="00634E67"/>
    <w:rsid w:val="00634EA9"/>
    <w:rsid w:val="00634EB3"/>
    <w:rsid w:val="00634F82"/>
    <w:rsid w:val="00635042"/>
    <w:rsid w:val="00635053"/>
    <w:rsid w:val="0063509E"/>
    <w:rsid w:val="006350FD"/>
    <w:rsid w:val="006350FE"/>
    <w:rsid w:val="00635149"/>
    <w:rsid w:val="006352B7"/>
    <w:rsid w:val="006352D7"/>
    <w:rsid w:val="006352F5"/>
    <w:rsid w:val="0063530B"/>
    <w:rsid w:val="00635424"/>
    <w:rsid w:val="006354B2"/>
    <w:rsid w:val="006354BD"/>
    <w:rsid w:val="006354DC"/>
    <w:rsid w:val="00635533"/>
    <w:rsid w:val="00635578"/>
    <w:rsid w:val="006355A9"/>
    <w:rsid w:val="0063565D"/>
    <w:rsid w:val="006356AE"/>
    <w:rsid w:val="00635752"/>
    <w:rsid w:val="00635773"/>
    <w:rsid w:val="0063583B"/>
    <w:rsid w:val="00635909"/>
    <w:rsid w:val="0063599A"/>
    <w:rsid w:val="006359E9"/>
    <w:rsid w:val="006359F7"/>
    <w:rsid w:val="00635A56"/>
    <w:rsid w:val="00635A6C"/>
    <w:rsid w:val="00635A77"/>
    <w:rsid w:val="00635A99"/>
    <w:rsid w:val="00635AD9"/>
    <w:rsid w:val="00635AE0"/>
    <w:rsid w:val="00635C47"/>
    <w:rsid w:val="00635CC5"/>
    <w:rsid w:val="00635D1F"/>
    <w:rsid w:val="00635D62"/>
    <w:rsid w:val="00635DA3"/>
    <w:rsid w:val="00635DAE"/>
    <w:rsid w:val="00635EBD"/>
    <w:rsid w:val="00636004"/>
    <w:rsid w:val="0063608D"/>
    <w:rsid w:val="006360E5"/>
    <w:rsid w:val="006361E8"/>
    <w:rsid w:val="00636201"/>
    <w:rsid w:val="006362C3"/>
    <w:rsid w:val="006362CA"/>
    <w:rsid w:val="006362F8"/>
    <w:rsid w:val="0063630A"/>
    <w:rsid w:val="0063637F"/>
    <w:rsid w:val="00636392"/>
    <w:rsid w:val="0063639C"/>
    <w:rsid w:val="006363B5"/>
    <w:rsid w:val="006363CB"/>
    <w:rsid w:val="00636438"/>
    <w:rsid w:val="006364CF"/>
    <w:rsid w:val="006364E2"/>
    <w:rsid w:val="006364E3"/>
    <w:rsid w:val="0063662F"/>
    <w:rsid w:val="006366F9"/>
    <w:rsid w:val="00636715"/>
    <w:rsid w:val="00636741"/>
    <w:rsid w:val="006367B0"/>
    <w:rsid w:val="00636804"/>
    <w:rsid w:val="006368A2"/>
    <w:rsid w:val="006368CE"/>
    <w:rsid w:val="0063692C"/>
    <w:rsid w:val="00636A13"/>
    <w:rsid w:val="00636A2C"/>
    <w:rsid w:val="00636B78"/>
    <w:rsid w:val="00636BDA"/>
    <w:rsid w:val="00636C32"/>
    <w:rsid w:val="00636CFB"/>
    <w:rsid w:val="00636D67"/>
    <w:rsid w:val="00636D77"/>
    <w:rsid w:val="00636D8F"/>
    <w:rsid w:val="00636DAA"/>
    <w:rsid w:val="00636E34"/>
    <w:rsid w:val="00636E45"/>
    <w:rsid w:val="00636E51"/>
    <w:rsid w:val="00636E77"/>
    <w:rsid w:val="00636E91"/>
    <w:rsid w:val="00636F2B"/>
    <w:rsid w:val="00636F5B"/>
    <w:rsid w:val="00636FE2"/>
    <w:rsid w:val="00636FFD"/>
    <w:rsid w:val="0063706E"/>
    <w:rsid w:val="006372B3"/>
    <w:rsid w:val="006374E6"/>
    <w:rsid w:val="00637543"/>
    <w:rsid w:val="00637553"/>
    <w:rsid w:val="0063756F"/>
    <w:rsid w:val="00637613"/>
    <w:rsid w:val="00637628"/>
    <w:rsid w:val="006376C1"/>
    <w:rsid w:val="006376D1"/>
    <w:rsid w:val="00637782"/>
    <w:rsid w:val="00637791"/>
    <w:rsid w:val="006377A3"/>
    <w:rsid w:val="006377DF"/>
    <w:rsid w:val="0063788C"/>
    <w:rsid w:val="006378B4"/>
    <w:rsid w:val="006378ED"/>
    <w:rsid w:val="006378F1"/>
    <w:rsid w:val="00637903"/>
    <w:rsid w:val="00637948"/>
    <w:rsid w:val="0063795D"/>
    <w:rsid w:val="00637986"/>
    <w:rsid w:val="0063798A"/>
    <w:rsid w:val="006379F4"/>
    <w:rsid w:val="00637A1E"/>
    <w:rsid w:val="00637A37"/>
    <w:rsid w:val="00637A8D"/>
    <w:rsid w:val="00637A9A"/>
    <w:rsid w:val="00637AAC"/>
    <w:rsid w:val="00637AFD"/>
    <w:rsid w:val="00637BD9"/>
    <w:rsid w:val="00637BF3"/>
    <w:rsid w:val="00637C07"/>
    <w:rsid w:val="00637C28"/>
    <w:rsid w:val="00637C6C"/>
    <w:rsid w:val="00637D3F"/>
    <w:rsid w:val="00637DB3"/>
    <w:rsid w:val="00637DF1"/>
    <w:rsid w:val="00637EA4"/>
    <w:rsid w:val="00637EF6"/>
    <w:rsid w:val="00637F06"/>
    <w:rsid w:val="00637F78"/>
    <w:rsid w:val="00637F9F"/>
    <w:rsid w:val="00637FEB"/>
    <w:rsid w:val="0064003D"/>
    <w:rsid w:val="00640062"/>
    <w:rsid w:val="0064006C"/>
    <w:rsid w:val="006400B2"/>
    <w:rsid w:val="006400DD"/>
    <w:rsid w:val="00640159"/>
    <w:rsid w:val="00640198"/>
    <w:rsid w:val="006401CE"/>
    <w:rsid w:val="0064027B"/>
    <w:rsid w:val="006402D2"/>
    <w:rsid w:val="00640350"/>
    <w:rsid w:val="00640387"/>
    <w:rsid w:val="006403B6"/>
    <w:rsid w:val="00640496"/>
    <w:rsid w:val="006404A0"/>
    <w:rsid w:val="006404D1"/>
    <w:rsid w:val="006404EA"/>
    <w:rsid w:val="0064060F"/>
    <w:rsid w:val="00640689"/>
    <w:rsid w:val="006407C0"/>
    <w:rsid w:val="00640830"/>
    <w:rsid w:val="00640849"/>
    <w:rsid w:val="00640896"/>
    <w:rsid w:val="006409DF"/>
    <w:rsid w:val="00640ACA"/>
    <w:rsid w:val="00640AE7"/>
    <w:rsid w:val="00640AF0"/>
    <w:rsid w:val="00640B8F"/>
    <w:rsid w:val="00640C47"/>
    <w:rsid w:val="00640CCF"/>
    <w:rsid w:val="00640D00"/>
    <w:rsid w:val="00640DF3"/>
    <w:rsid w:val="00640E59"/>
    <w:rsid w:val="00640F76"/>
    <w:rsid w:val="00640F7A"/>
    <w:rsid w:val="00640FF8"/>
    <w:rsid w:val="00641007"/>
    <w:rsid w:val="00641028"/>
    <w:rsid w:val="0064105C"/>
    <w:rsid w:val="00641078"/>
    <w:rsid w:val="0064107B"/>
    <w:rsid w:val="006410AD"/>
    <w:rsid w:val="006410F1"/>
    <w:rsid w:val="006411DD"/>
    <w:rsid w:val="006411F1"/>
    <w:rsid w:val="00641226"/>
    <w:rsid w:val="00641299"/>
    <w:rsid w:val="0064130F"/>
    <w:rsid w:val="0064131F"/>
    <w:rsid w:val="00641391"/>
    <w:rsid w:val="006413C7"/>
    <w:rsid w:val="006413D9"/>
    <w:rsid w:val="0064145F"/>
    <w:rsid w:val="00641466"/>
    <w:rsid w:val="00641603"/>
    <w:rsid w:val="00641611"/>
    <w:rsid w:val="00641641"/>
    <w:rsid w:val="00641667"/>
    <w:rsid w:val="006416C0"/>
    <w:rsid w:val="006416D2"/>
    <w:rsid w:val="006417EA"/>
    <w:rsid w:val="0064192E"/>
    <w:rsid w:val="00641970"/>
    <w:rsid w:val="006419DA"/>
    <w:rsid w:val="00641AA7"/>
    <w:rsid w:val="00641B06"/>
    <w:rsid w:val="00641B49"/>
    <w:rsid w:val="00641BF2"/>
    <w:rsid w:val="00641CC1"/>
    <w:rsid w:val="00641D79"/>
    <w:rsid w:val="00641DC6"/>
    <w:rsid w:val="00641E2B"/>
    <w:rsid w:val="00641F02"/>
    <w:rsid w:val="00641F28"/>
    <w:rsid w:val="00641F38"/>
    <w:rsid w:val="0064208B"/>
    <w:rsid w:val="00642095"/>
    <w:rsid w:val="0064213A"/>
    <w:rsid w:val="006421EA"/>
    <w:rsid w:val="00642209"/>
    <w:rsid w:val="00642232"/>
    <w:rsid w:val="0064226A"/>
    <w:rsid w:val="0064227E"/>
    <w:rsid w:val="006422A4"/>
    <w:rsid w:val="00642370"/>
    <w:rsid w:val="006423C6"/>
    <w:rsid w:val="0064241C"/>
    <w:rsid w:val="00642487"/>
    <w:rsid w:val="006424CD"/>
    <w:rsid w:val="006424F1"/>
    <w:rsid w:val="00642596"/>
    <w:rsid w:val="006425F5"/>
    <w:rsid w:val="00642601"/>
    <w:rsid w:val="0064260A"/>
    <w:rsid w:val="0064264C"/>
    <w:rsid w:val="0064269B"/>
    <w:rsid w:val="006426D3"/>
    <w:rsid w:val="006426EE"/>
    <w:rsid w:val="006426FB"/>
    <w:rsid w:val="00642715"/>
    <w:rsid w:val="00642746"/>
    <w:rsid w:val="00642752"/>
    <w:rsid w:val="0064278B"/>
    <w:rsid w:val="0064288D"/>
    <w:rsid w:val="00642892"/>
    <w:rsid w:val="006428C1"/>
    <w:rsid w:val="00642912"/>
    <w:rsid w:val="00642975"/>
    <w:rsid w:val="006429C2"/>
    <w:rsid w:val="00642A23"/>
    <w:rsid w:val="00642A5E"/>
    <w:rsid w:val="00642B5E"/>
    <w:rsid w:val="00642B6A"/>
    <w:rsid w:val="00642B70"/>
    <w:rsid w:val="00642CAC"/>
    <w:rsid w:val="00642CD1"/>
    <w:rsid w:val="00642CEE"/>
    <w:rsid w:val="00642D55"/>
    <w:rsid w:val="00642D7D"/>
    <w:rsid w:val="00642F26"/>
    <w:rsid w:val="00642F64"/>
    <w:rsid w:val="00642F6C"/>
    <w:rsid w:val="00642FD0"/>
    <w:rsid w:val="0064301D"/>
    <w:rsid w:val="0064305C"/>
    <w:rsid w:val="006430D9"/>
    <w:rsid w:val="00643157"/>
    <w:rsid w:val="0064319B"/>
    <w:rsid w:val="006431D7"/>
    <w:rsid w:val="006431E3"/>
    <w:rsid w:val="00643259"/>
    <w:rsid w:val="0064329A"/>
    <w:rsid w:val="00643395"/>
    <w:rsid w:val="006433BA"/>
    <w:rsid w:val="0064344A"/>
    <w:rsid w:val="0064344F"/>
    <w:rsid w:val="0064348C"/>
    <w:rsid w:val="006434B7"/>
    <w:rsid w:val="006434BD"/>
    <w:rsid w:val="006434C3"/>
    <w:rsid w:val="00643528"/>
    <w:rsid w:val="006435D5"/>
    <w:rsid w:val="00643610"/>
    <w:rsid w:val="00643630"/>
    <w:rsid w:val="00643656"/>
    <w:rsid w:val="00643658"/>
    <w:rsid w:val="006436AA"/>
    <w:rsid w:val="00643752"/>
    <w:rsid w:val="00643783"/>
    <w:rsid w:val="0064381D"/>
    <w:rsid w:val="006438C9"/>
    <w:rsid w:val="006438D9"/>
    <w:rsid w:val="006439EF"/>
    <w:rsid w:val="00643B6B"/>
    <w:rsid w:val="00643B83"/>
    <w:rsid w:val="00643BBE"/>
    <w:rsid w:val="00643BCA"/>
    <w:rsid w:val="00643C28"/>
    <w:rsid w:val="00643C60"/>
    <w:rsid w:val="00643C98"/>
    <w:rsid w:val="00643CFA"/>
    <w:rsid w:val="00643D15"/>
    <w:rsid w:val="00643DE0"/>
    <w:rsid w:val="00643DEA"/>
    <w:rsid w:val="00643E87"/>
    <w:rsid w:val="00643E8F"/>
    <w:rsid w:val="00643E9C"/>
    <w:rsid w:val="00643EAD"/>
    <w:rsid w:val="00643EC7"/>
    <w:rsid w:val="00643FA3"/>
    <w:rsid w:val="00643FEA"/>
    <w:rsid w:val="00643FEF"/>
    <w:rsid w:val="00644033"/>
    <w:rsid w:val="00644051"/>
    <w:rsid w:val="006440F2"/>
    <w:rsid w:val="006441D3"/>
    <w:rsid w:val="00644203"/>
    <w:rsid w:val="00644264"/>
    <w:rsid w:val="006442C9"/>
    <w:rsid w:val="0064431D"/>
    <w:rsid w:val="00644361"/>
    <w:rsid w:val="00644431"/>
    <w:rsid w:val="0064449C"/>
    <w:rsid w:val="006444AF"/>
    <w:rsid w:val="00644561"/>
    <w:rsid w:val="0064459F"/>
    <w:rsid w:val="006445BB"/>
    <w:rsid w:val="006445ED"/>
    <w:rsid w:val="0064461A"/>
    <w:rsid w:val="0064462A"/>
    <w:rsid w:val="0064467B"/>
    <w:rsid w:val="00644699"/>
    <w:rsid w:val="00644771"/>
    <w:rsid w:val="006447D3"/>
    <w:rsid w:val="00644806"/>
    <w:rsid w:val="0064482B"/>
    <w:rsid w:val="0064489A"/>
    <w:rsid w:val="00644ABD"/>
    <w:rsid w:val="00644AD0"/>
    <w:rsid w:val="00644B88"/>
    <w:rsid w:val="00644BE3"/>
    <w:rsid w:val="00644C16"/>
    <w:rsid w:val="00644CA4"/>
    <w:rsid w:val="00644E7B"/>
    <w:rsid w:val="00644E89"/>
    <w:rsid w:val="00644EC1"/>
    <w:rsid w:val="00644F0D"/>
    <w:rsid w:val="00644F18"/>
    <w:rsid w:val="006450BA"/>
    <w:rsid w:val="006450C8"/>
    <w:rsid w:val="00645104"/>
    <w:rsid w:val="00645132"/>
    <w:rsid w:val="0064520E"/>
    <w:rsid w:val="0064523C"/>
    <w:rsid w:val="00645245"/>
    <w:rsid w:val="0064529B"/>
    <w:rsid w:val="0064533F"/>
    <w:rsid w:val="0064536C"/>
    <w:rsid w:val="006453F4"/>
    <w:rsid w:val="00645411"/>
    <w:rsid w:val="00645447"/>
    <w:rsid w:val="0064544C"/>
    <w:rsid w:val="00645482"/>
    <w:rsid w:val="00645503"/>
    <w:rsid w:val="0064551C"/>
    <w:rsid w:val="006455BC"/>
    <w:rsid w:val="006455F9"/>
    <w:rsid w:val="0064561E"/>
    <w:rsid w:val="0064568D"/>
    <w:rsid w:val="00645691"/>
    <w:rsid w:val="006456AA"/>
    <w:rsid w:val="00645738"/>
    <w:rsid w:val="0064577F"/>
    <w:rsid w:val="00645785"/>
    <w:rsid w:val="00645801"/>
    <w:rsid w:val="00645917"/>
    <w:rsid w:val="0064591E"/>
    <w:rsid w:val="00645953"/>
    <w:rsid w:val="006459B5"/>
    <w:rsid w:val="00645A0B"/>
    <w:rsid w:val="00645A42"/>
    <w:rsid w:val="00645A65"/>
    <w:rsid w:val="00645BC7"/>
    <w:rsid w:val="00645C37"/>
    <w:rsid w:val="00645C5A"/>
    <w:rsid w:val="00645C90"/>
    <w:rsid w:val="00645C9C"/>
    <w:rsid w:val="00645CE5"/>
    <w:rsid w:val="00645D21"/>
    <w:rsid w:val="00645E49"/>
    <w:rsid w:val="00645E98"/>
    <w:rsid w:val="00645EF1"/>
    <w:rsid w:val="00645FF3"/>
    <w:rsid w:val="0064603E"/>
    <w:rsid w:val="006460CA"/>
    <w:rsid w:val="006461B2"/>
    <w:rsid w:val="006461C0"/>
    <w:rsid w:val="00646228"/>
    <w:rsid w:val="006462B8"/>
    <w:rsid w:val="006462F6"/>
    <w:rsid w:val="00646301"/>
    <w:rsid w:val="00646367"/>
    <w:rsid w:val="0064637F"/>
    <w:rsid w:val="0064638B"/>
    <w:rsid w:val="0064641C"/>
    <w:rsid w:val="00646470"/>
    <w:rsid w:val="006464E3"/>
    <w:rsid w:val="00646528"/>
    <w:rsid w:val="0064656A"/>
    <w:rsid w:val="006465AE"/>
    <w:rsid w:val="00646657"/>
    <w:rsid w:val="0064667B"/>
    <w:rsid w:val="00646698"/>
    <w:rsid w:val="006466D9"/>
    <w:rsid w:val="006466EF"/>
    <w:rsid w:val="00646753"/>
    <w:rsid w:val="00646768"/>
    <w:rsid w:val="006467C1"/>
    <w:rsid w:val="006467D1"/>
    <w:rsid w:val="0064687B"/>
    <w:rsid w:val="00646883"/>
    <w:rsid w:val="0064691C"/>
    <w:rsid w:val="006469E4"/>
    <w:rsid w:val="00646A1D"/>
    <w:rsid w:val="00646A2F"/>
    <w:rsid w:val="00646CCC"/>
    <w:rsid w:val="00646D18"/>
    <w:rsid w:val="00646D2D"/>
    <w:rsid w:val="00646D66"/>
    <w:rsid w:val="00646DAB"/>
    <w:rsid w:val="00646E1B"/>
    <w:rsid w:val="00646E82"/>
    <w:rsid w:val="00646F6D"/>
    <w:rsid w:val="00646FB5"/>
    <w:rsid w:val="00647064"/>
    <w:rsid w:val="006470BB"/>
    <w:rsid w:val="006471CD"/>
    <w:rsid w:val="00647266"/>
    <w:rsid w:val="006472A6"/>
    <w:rsid w:val="006472DE"/>
    <w:rsid w:val="00647337"/>
    <w:rsid w:val="0064737B"/>
    <w:rsid w:val="006473A2"/>
    <w:rsid w:val="006473FE"/>
    <w:rsid w:val="0064746D"/>
    <w:rsid w:val="0064748C"/>
    <w:rsid w:val="006474A1"/>
    <w:rsid w:val="006474A7"/>
    <w:rsid w:val="006474E4"/>
    <w:rsid w:val="00647527"/>
    <w:rsid w:val="00647558"/>
    <w:rsid w:val="0064758A"/>
    <w:rsid w:val="006475FF"/>
    <w:rsid w:val="0064765B"/>
    <w:rsid w:val="00647675"/>
    <w:rsid w:val="006476CD"/>
    <w:rsid w:val="006476F5"/>
    <w:rsid w:val="00647760"/>
    <w:rsid w:val="006477AF"/>
    <w:rsid w:val="00647844"/>
    <w:rsid w:val="00647899"/>
    <w:rsid w:val="006478E9"/>
    <w:rsid w:val="0064797A"/>
    <w:rsid w:val="00647985"/>
    <w:rsid w:val="00647A13"/>
    <w:rsid w:val="00647A31"/>
    <w:rsid w:val="00647A34"/>
    <w:rsid w:val="00647AF7"/>
    <w:rsid w:val="00647B08"/>
    <w:rsid w:val="00647B40"/>
    <w:rsid w:val="00647B67"/>
    <w:rsid w:val="00647C53"/>
    <w:rsid w:val="00647CB4"/>
    <w:rsid w:val="00647CEF"/>
    <w:rsid w:val="00647D5F"/>
    <w:rsid w:val="00647DBA"/>
    <w:rsid w:val="00647DF1"/>
    <w:rsid w:val="00647E63"/>
    <w:rsid w:val="00647E6C"/>
    <w:rsid w:val="00647F22"/>
    <w:rsid w:val="00647F7D"/>
    <w:rsid w:val="00647F88"/>
    <w:rsid w:val="00647F8D"/>
    <w:rsid w:val="0065001F"/>
    <w:rsid w:val="00650117"/>
    <w:rsid w:val="006501C8"/>
    <w:rsid w:val="006501C9"/>
    <w:rsid w:val="006501E7"/>
    <w:rsid w:val="006501EC"/>
    <w:rsid w:val="0065025F"/>
    <w:rsid w:val="00650323"/>
    <w:rsid w:val="00650377"/>
    <w:rsid w:val="00650382"/>
    <w:rsid w:val="00650491"/>
    <w:rsid w:val="006504ED"/>
    <w:rsid w:val="0065050D"/>
    <w:rsid w:val="00650515"/>
    <w:rsid w:val="00650528"/>
    <w:rsid w:val="006505B6"/>
    <w:rsid w:val="006505DE"/>
    <w:rsid w:val="006505FA"/>
    <w:rsid w:val="006506AD"/>
    <w:rsid w:val="0065080F"/>
    <w:rsid w:val="0065085C"/>
    <w:rsid w:val="00650924"/>
    <w:rsid w:val="00650938"/>
    <w:rsid w:val="0065093A"/>
    <w:rsid w:val="00650AC3"/>
    <w:rsid w:val="00650B60"/>
    <w:rsid w:val="00650CB0"/>
    <w:rsid w:val="00650CE0"/>
    <w:rsid w:val="00650D20"/>
    <w:rsid w:val="00650D22"/>
    <w:rsid w:val="00650D30"/>
    <w:rsid w:val="00650D4A"/>
    <w:rsid w:val="00650D7A"/>
    <w:rsid w:val="00651086"/>
    <w:rsid w:val="0065109A"/>
    <w:rsid w:val="0065115E"/>
    <w:rsid w:val="00651179"/>
    <w:rsid w:val="00651201"/>
    <w:rsid w:val="0065121F"/>
    <w:rsid w:val="0065122C"/>
    <w:rsid w:val="006512FE"/>
    <w:rsid w:val="00651306"/>
    <w:rsid w:val="00651352"/>
    <w:rsid w:val="00651357"/>
    <w:rsid w:val="0065135E"/>
    <w:rsid w:val="00651398"/>
    <w:rsid w:val="0065146E"/>
    <w:rsid w:val="00651589"/>
    <w:rsid w:val="006515BB"/>
    <w:rsid w:val="00651657"/>
    <w:rsid w:val="0065168B"/>
    <w:rsid w:val="0065168F"/>
    <w:rsid w:val="0065170B"/>
    <w:rsid w:val="00651798"/>
    <w:rsid w:val="006517D6"/>
    <w:rsid w:val="00651811"/>
    <w:rsid w:val="0065181F"/>
    <w:rsid w:val="006518CD"/>
    <w:rsid w:val="0065193C"/>
    <w:rsid w:val="0065194E"/>
    <w:rsid w:val="006519E0"/>
    <w:rsid w:val="00651A1A"/>
    <w:rsid w:val="00651AB6"/>
    <w:rsid w:val="00651C43"/>
    <w:rsid w:val="00651C86"/>
    <w:rsid w:val="00651D05"/>
    <w:rsid w:val="00651D44"/>
    <w:rsid w:val="00651DB9"/>
    <w:rsid w:val="00651E23"/>
    <w:rsid w:val="00651EBC"/>
    <w:rsid w:val="00651EC4"/>
    <w:rsid w:val="00651FBB"/>
    <w:rsid w:val="00651FC7"/>
    <w:rsid w:val="00651FD0"/>
    <w:rsid w:val="00652076"/>
    <w:rsid w:val="006520DC"/>
    <w:rsid w:val="0065210F"/>
    <w:rsid w:val="0065212B"/>
    <w:rsid w:val="0065218A"/>
    <w:rsid w:val="006521BF"/>
    <w:rsid w:val="006521CD"/>
    <w:rsid w:val="006521F0"/>
    <w:rsid w:val="00652235"/>
    <w:rsid w:val="006522F9"/>
    <w:rsid w:val="0065234B"/>
    <w:rsid w:val="006523AB"/>
    <w:rsid w:val="00652462"/>
    <w:rsid w:val="006524DD"/>
    <w:rsid w:val="00652545"/>
    <w:rsid w:val="0065254B"/>
    <w:rsid w:val="0065256C"/>
    <w:rsid w:val="0065259B"/>
    <w:rsid w:val="006525C2"/>
    <w:rsid w:val="0065271A"/>
    <w:rsid w:val="00652739"/>
    <w:rsid w:val="00652823"/>
    <w:rsid w:val="00652880"/>
    <w:rsid w:val="00652892"/>
    <w:rsid w:val="00652976"/>
    <w:rsid w:val="006529D5"/>
    <w:rsid w:val="006529D9"/>
    <w:rsid w:val="006529F0"/>
    <w:rsid w:val="006529F7"/>
    <w:rsid w:val="00652A2E"/>
    <w:rsid w:val="00652A4C"/>
    <w:rsid w:val="00652ADA"/>
    <w:rsid w:val="00652B0D"/>
    <w:rsid w:val="00652B7D"/>
    <w:rsid w:val="00652BB5"/>
    <w:rsid w:val="00652BD8"/>
    <w:rsid w:val="00652CFB"/>
    <w:rsid w:val="00652D4A"/>
    <w:rsid w:val="00652D76"/>
    <w:rsid w:val="00652E15"/>
    <w:rsid w:val="00652E26"/>
    <w:rsid w:val="00652EBF"/>
    <w:rsid w:val="00652F6F"/>
    <w:rsid w:val="00652FD0"/>
    <w:rsid w:val="00653096"/>
    <w:rsid w:val="006530FF"/>
    <w:rsid w:val="00653169"/>
    <w:rsid w:val="00653228"/>
    <w:rsid w:val="00653267"/>
    <w:rsid w:val="0065329E"/>
    <w:rsid w:val="006532F4"/>
    <w:rsid w:val="00653334"/>
    <w:rsid w:val="0065333C"/>
    <w:rsid w:val="00653381"/>
    <w:rsid w:val="006533A2"/>
    <w:rsid w:val="006533DF"/>
    <w:rsid w:val="006534AC"/>
    <w:rsid w:val="0065353A"/>
    <w:rsid w:val="00653594"/>
    <w:rsid w:val="006536A3"/>
    <w:rsid w:val="006536E7"/>
    <w:rsid w:val="0065377E"/>
    <w:rsid w:val="006537C3"/>
    <w:rsid w:val="006537EC"/>
    <w:rsid w:val="00653841"/>
    <w:rsid w:val="0065390C"/>
    <w:rsid w:val="00653954"/>
    <w:rsid w:val="00653A11"/>
    <w:rsid w:val="00653A15"/>
    <w:rsid w:val="00653AA7"/>
    <w:rsid w:val="00653AC6"/>
    <w:rsid w:val="00653B4D"/>
    <w:rsid w:val="00653B84"/>
    <w:rsid w:val="00653B8E"/>
    <w:rsid w:val="00653BB3"/>
    <w:rsid w:val="00653C56"/>
    <w:rsid w:val="00653C71"/>
    <w:rsid w:val="00653CFE"/>
    <w:rsid w:val="00653D03"/>
    <w:rsid w:val="00653D9A"/>
    <w:rsid w:val="00653DEA"/>
    <w:rsid w:val="00653DF5"/>
    <w:rsid w:val="00653DFD"/>
    <w:rsid w:val="00653E38"/>
    <w:rsid w:val="00653E48"/>
    <w:rsid w:val="00653E98"/>
    <w:rsid w:val="00653E9C"/>
    <w:rsid w:val="00653F0D"/>
    <w:rsid w:val="00653F1B"/>
    <w:rsid w:val="00653F27"/>
    <w:rsid w:val="00653F60"/>
    <w:rsid w:val="00653F88"/>
    <w:rsid w:val="00653FBC"/>
    <w:rsid w:val="00653FBD"/>
    <w:rsid w:val="00653FC4"/>
    <w:rsid w:val="0065401A"/>
    <w:rsid w:val="006540F7"/>
    <w:rsid w:val="0065421E"/>
    <w:rsid w:val="00654292"/>
    <w:rsid w:val="00654316"/>
    <w:rsid w:val="006543A4"/>
    <w:rsid w:val="006543DF"/>
    <w:rsid w:val="006544AD"/>
    <w:rsid w:val="006544EA"/>
    <w:rsid w:val="006544F2"/>
    <w:rsid w:val="0065458E"/>
    <w:rsid w:val="00654595"/>
    <w:rsid w:val="006545CA"/>
    <w:rsid w:val="006545CD"/>
    <w:rsid w:val="006546B8"/>
    <w:rsid w:val="006546EB"/>
    <w:rsid w:val="006547E6"/>
    <w:rsid w:val="006547F1"/>
    <w:rsid w:val="00654838"/>
    <w:rsid w:val="0065485A"/>
    <w:rsid w:val="006548E2"/>
    <w:rsid w:val="006548F2"/>
    <w:rsid w:val="006548F9"/>
    <w:rsid w:val="00654976"/>
    <w:rsid w:val="00654983"/>
    <w:rsid w:val="006549EE"/>
    <w:rsid w:val="00654AFC"/>
    <w:rsid w:val="00654BFC"/>
    <w:rsid w:val="00654C24"/>
    <w:rsid w:val="00654CDE"/>
    <w:rsid w:val="00654D05"/>
    <w:rsid w:val="00654D14"/>
    <w:rsid w:val="00654D9F"/>
    <w:rsid w:val="00654DFD"/>
    <w:rsid w:val="00654E01"/>
    <w:rsid w:val="00654E06"/>
    <w:rsid w:val="00654E12"/>
    <w:rsid w:val="00654E9D"/>
    <w:rsid w:val="00654EF2"/>
    <w:rsid w:val="00654EFB"/>
    <w:rsid w:val="00654F0C"/>
    <w:rsid w:val="00654F34"/>
    <w:rsid w:val="00654F78"/>
    <w:rsid w:val="00655081"/>
    <w:rsid w:val="00655114"/>
    <w:rsid w:val="00655149"/>
    <w:rsid w:val="0065515A"/>
    <w:rsid w:val="006551C0"/>
    <w:rsid w:val="00655243"/>
    <w:rsid w:val="006552B3"/>
    <w:rsid w:val="006552EF"/>
    <w:rsid w:val="006552F4"/>
    <w:rsid w:val="00655313"/>
    <w:rsid w:val="00655335"/>
    <w:rsid w:val="00655357"/>
    <w:rsid w:val="0065542F"/>
    <w:rsid w:val="0065549F"/>
    <w:rsid w:val="006555E6"/>
    <w:rsid w:val="0065561D"/>
    <w:rsid w:val="0065565F"/>
    <w:rsid w:val="00655799"/>
    <w:rsid w:val="006557B1"/>
    <w:rsid w:val="00655804"/>
    <w:rsid w:val="0065583C"/>
    <w:rsid w:val="00655903"/>
    <w:rsid w:val="00655910"/>
    <w:rsid w:val="00655A2C"/>
    <w:rsid w:val="00655A4B"/>
    <w:rsid w:val="00655B3C"/>
    <w:rsid w:val="00655B82"/>
    <w:rsid w:val="00655BC7"/>
    <w:rsid w:val="00655BD7"/>
    <w:rsid w:val="00655BD9"/>
    <w:rsid w:val="00655BE2"/>
    <w:rsid w:val="00655BF3"/>
    <w:rsid w:val="00655CCD"/>
    <w:rsid w:val="00655D0D"/>
    <w:rsid w:val="00655DDD"/>
    <w:rsid w:val="00655E45"/>
    <w:rsid w:val="00655F92"/>
    <w:rsid w:val="00655FED"/>
    <w:rsid w:val="00656034"/>
    <w:rsid w:val="006561CB"/>
    <w:rsid w:val="006561E2"/>
    <w:rsid w:val="0065620C"/>
    <w:rsid w:val="0065621B"/>
    <w:rsid w:val="00656227"/>
    <w:rsid w:val="00656231"/>
    <w:rsid w:val="006562A5"/>
    <w:rsid w:val="006562D1"/>
    <w:rsid w:val="0065633A"/>
    <w:rsid w:val="006563A5"/>
    <w:rsid w:val="006563D4"/>
    <w:rsid w:val="00656428"/>
    <w:rsid w:val="0065642F"/>
    <w:rsid w:val="00656446"/>
    <w:rsid w:val="00656486"/>
    <w:rsid w:val="006564A3"/>
    <w:rsid w:val="00656500"/>
    <w:rsid w:val="00656658"/>
    <w:rsid w:val="0065666C"/>
    <w:rsid w:val="006566BD"/>
    <w:rsid w:val="00656759"/>
    <w:rsid w:val="0065681F"/>
    <w:rsid w:val="006568F1"/>
    <w:rsid w:val="00656A1C"/>
    <w:rsid w:val="00656A65"/>
    <w:rsid w:val="00656AE2"/>
    <w:rsid w:val="00656AF5"/>
    <w:rsid w:val="00656B1D"/>
    <w:rsid w:val="00656B36"/>
    <w:rsid w:val="00656B6E"/>
    <w:rsid w:val="00656BE1"/>
    <w:rsid w:val="00656C48"/>
    <w:rsid w:val="00656C73"/>
    <w:rsid w:val="00656D05"/>
    <w:rsid w:val="00656D48"/>
    <w:rsid w:val="00656D50"/>
    <w:rsid w:val="00656E70"/>
    <w:rsid w:val="00656EB3"/>
    <w:rsid w:val="00656EB6"/>
    <w:rsid w:val="00656EB9"/>
    <w:rsid w:val="00656EF3"/>
    <w:rsid w:val="00656F27"/>
    <w:rsid w:val="00656FA6"/>
    <w:rsid w:val="0065703D"/>
    <w:rsid w:val="006570AC"/>
    <w:rsid w:val="006570B4"/>
    <w:rsid w:val="006570B5"/>
    <w:rsid w:val="006570C4"/>
    <w:rsid w:val="006570D9"/>
    <w:rsid w:val="00657104"/>
    <w:rsid w:val="00657116"/>
    <w:rsid w:val="00657173"/>
    <w:rsid w:val="0065725E"/>
    <w:rsid w:val="006572AA"/>
    <w:rsid w:val="006572B4"/>
    <w:rsid w:val="006572C1"/>
    <w:rsid w:val="00657300"/>
    <w:rsid w:val="0065732D"/>
    <w:rsid w:val="0065735E"/>
    <w:rsid w:val="00657394"/>
    <w:rsid w:val="0065740E"/>
    <w:rsid w:val="0065745B"/>
    <w:rsid w:val="006574EB"/>
    <w:rsid w:val="00657530"/>
    <w:rsid w:val="00657560"/>
    <w:rsid w:val="006575E8"/>
    <w:rsid w:val="00657638"/>
    <w:rsid w:val="0065765B"/>
    <w:rsid w:val="00657681"/>
    <w:rsid w:val="006576E8"/>
    <w:rsid w:val="00657717"/>
    <w:rsid w:val="00657768"/>
    <w:rsid w:val="006577D2"/>
    <w:rsid w:val="006577D5"/>
    <w:rsid w:val="0065781C"/>
    <w:rsid w:val="006578E1"/>
    <w:rsid w:val="0065790C"/>
    <w:rsid w:val="00657926"/>
    <w:rsid w:val="0065798A"/>
    <w:rsid w:val="00657994"/>
    <w:rsid w:val="0065799A"/>
    <w:rsid w:val="00657A0D"/>
    <w:rsid w:val="00657A47"/>
    <w:rsid w:val="00657A80"/>
    <w:rsid w:val="00657A9B"/>
    <w:rsid w:val="00657AB2"/>
    <w:rsid w:val="00657AB7"/>
    <w:rsid w:val="00657AC9"/>
    <w:rsid w:val="00657B02"/>
    <w:rsid w:val="00657B3C"/>
    <w:rsid w:val="00657C90"/>
    <w:rsid w:val="00657C9B"/>
    <w:rsid w:val="00657C9C"/>
    <w:rsid w:val="00657C9D"/>
    <w:rsid w:val="00657CD5"/>
    <w:rsid w:val="00657D69"/>
    <w:rsid w:val="00657D7C"/>
    <w:rsid w:val="006600D1"/>
    <w:rsid w:val="00660101"/>
    <w:rsid w:val="0066017C"/>
    <w:rsid w:val="0066019B"/>
    <w:rsid w:val="006601D4"/>
    <w:rsid w:val="00660215"/>
    <w:rsid w:val="0066022B"/>
    <w:rsid w:val="00660246"/>
    <w:rsid w:val="006602E8"/>
    <w:rsid w:val="00660305"/>
    <w:rsid w:val="00660397"/>
    <w:rsid w:val="006603AF"/>
    <w:rsid w:val="0066040E"/>
    <w:rsid w:val="00660473"/>
    <w:rsid w:val="0066047C"/>
    <w:rsid w:val="00660538"/>
    <w:rsid w:val="00660588"/>
    <w:rsid w:val="0066064C"/>
    <w:rsid w:val="0066065B"/>
    <w:rsid w:val="006606C5"/>
    <w:rsid w:val="006606CB"/>
    <w:rsid w:val="00660704"/>
    <w:rsid w:val="00660711"/>
    <w:rsid w:val="00660728"/>
    <w:rsid w:val="00660786"/>
    <w:rsid w:val="00660805"/>
    <w:rsid w:val="00660857"/>
    <w:rsid w:val="006608BB"/>
    <w:rsid w:val="0066093D"/>
    <w:rsid w:val="00660973"/>
    <w:rsid w:val="0066097C"/>
    <w:rsid w:val="006609A4"/>
    <w:rsid w:val="00660A49"/>
    <w:rsid w:val="00660A9C"/>
    <w:rsid w:val="00660ADC"/>
    <w:rsid w:val="00660B24"/>
    <w:rsid w:val="00660B9D"/>
    <w:rsid w:val="00660BEC"/>
    <w:rsid w:val="00660C0C"/>
    <w:rsid w:val="00660C76"/>
    <w:rsid w:val="00660D51"/>
    <w:rsid w:val="00660D56"/>
    <w:rsid w:val="00660DA3"/>
    <w:rsid w:val="00660DFB"/>
    <w:rsid w:val="00660E4F"/>
    <w:rsid w:val="00660E61"/>
    <w:rsid w:val="00660F2F"/>
    <w:rsid w:val="00661018"/>
    <w:rsid w:val="0066102B"/>
    <w:rsid w:val="006611CA"/>
    <w:rsid w:val="00661326"/>
    <w:rsid w:val="0066133C"/>
    <w:rsid w:val="006613DF"/>
    <w:rsid w:val="00661446"/>
    <w:rsid w:val="0066144F"/>
    <w:rsid w:val="00661456"/>
    <w:rsid w:val="00661474"/>
    <w:rsid w:val="006614AC"/>
    <w:rsid w:val="006614C2"/>
    <w:rsid w:val="006614E3"/>
    <w:rsid w:val="006615C9"/>
    <w:rsid w:val="0066160A"/>
    <w:rsid w:val="00661623"/>
    <w:rsid w:val="00661664"/>
    <w:rsid w:val="0066169C"/>
    <w:rsid w:val="006616B8"/>
    <w:rsid w:val="00661796"/>
    <w:rsid w:val="006617B1"/>
    <w:rsid w:val="006617F3"/>
    <w:rsid w:val="0066183A"/>
    <w:rsid w:val="00661871"/>
    <w:rsid w:val="0066187F"/>
    <w:rsid w:val="006618CB"/>
    <w:rsid w:val="00661920"/>
    <w:rsid w:val="0066193D"/>
    <w:rsid w:val="00661990"/>
    <w:rsid w:val="006619BE"/>
    <w:rsid w:val="00661AB7"/>
    <w:rsid w:val="00661AB9"/>
    <w:rsid w:val="00661B15"/>
    <w:rsid w:val="00661B92"/>
    <w:rsid w:val="00661BB3"/>
    <w:rsid w:val="00661C05"/>
    <w:rsid w:val="00661C38"/>
    <w:rsid w:val="00661D34"/>
    <w:rsid w:val="00661DBC"/>
    <w:rsid w:val="00661DF9"/>
    <w:rsid w:val="00661E65"/>
    <w:rsid w:val="00661EFC"/>
    <w:rsid w:val="00661F39"/>
    <w:rsid w:val="00661F4A"/>
    <w:rsid w:val="00661FA9"/>
    <w:rsid w:val="00661FED"/>
    <w:rsid w:val="0066200A"/>
    <w:rsid w:val="0066202F"/>
    <w:rsid w:val="00662052"/>
    <w:rsid w:val="006620FE"/>
    <w:rsid w:val="0066214A"/>
    <w:rsid w:val="00662228"/>
    <w:rsid w:val="0066224E"/>
    <w:rsid w:val="006622A1"/>
    <w:rsid w:val="006622A4"/>
    <w:rsid w:val="006623BB"/>
    <w:rsid w:val="00662416"/>
    <w:rsid w:val="00662420"/>
    <w:rsid w:val="00662426"/>
    <w:rsid w:val="00662496"/>
    <w:rsid w:val="0066258B"/>
    <w:rsid w:val="00662607"/>
    <w:rsid w:val="00662647"/>
    <w:rsid w:val="006627AE"/>
    <w:rsid w:val="006627B1"/>
    <w:rsid w:val="00662834"/>
    <w:rsid w:val="006628AE"/>
    <w:rsid w:val="006628BE"/>
    <w:rsid w:val="00662911"/>
    <w:rsid w:val="0066298B"/>
    <w:rsid w:val="006629EF"/>
    <w:rsid w:val="00662A39"/>
    <w:rsid w:val="00662A59"/>
    <w:rsid w:val="00662AAD"/>
    <w:rsid w:val="00662B11"/>
    <w:rsid w:val="00662B1A"/>
    <w:rsid w:val="00662BAB"/>
    <w:rsid w:val="00662BE8"/>
    <w:rsid w:val="00662BF8"/>
    <w:rsid w:val="00662C4A"/>
    <w:rsid w:val="00662C60"/>
    <w:rsid w:val="00662CE4"/>
    <w:rsid w:val="00662D20"/>
    <w:rsid w:val="00662DBA"/>
    <w:rsid w:val="00662E4D"/>
    <w:rsid w:val="00662E5F"/>
    <w:rsid w:val="00662F43"/>
    <w:rsid w:val="0066309D"/>
    <w:rsid w:val="006630BC"/>
    <w:rsid w:val="006630E1"/>
    <w:rsid w:val="00663141"/>
    <w:rsid w:val="00663310"/>
    <w:rsid w:val="006633E3"/>
    <w:rsid w:val="00663409"/>
    <w:rsid w:val="00663426"/>
    <w:rsid w:val="0066347E"/>
    <w:rsid w:val="006634CB"/>
    <w:rsid w:val="00663588"/>
    <w:rsid w:val="006635DE"/>
    <w:rsid w:val="00663608"/>
    <w:rsid w:val="00663643"/>
    <w:rsid w:val="00663683"/>
    <w:rsid w:val="006636CA"/>
    <w:rsid w:val="0066376B"/>
    <w:rsid w:val="006637DC"/>
    <w:rsid w:val="0066387C"/>
    <w:rsid w:val="00663885"/>
    <w:rsid w:val="00663891"/>
    <w:rsid w:val="00663925"/>
    <w:rsid w:val="00663956"/>
    <w:rsid w:val="006639AF"/>
    <w:rsid w:val="006639E9"/>
    <w:rsid w:val="006639EB"/>
    <w:rsid w:val="00663ABA"/>
    <w:rsid w:val="00663ACF"/>
    <w:rsid w:val="00663BA6"/>
    <w:rsid w:val="00663BC5"/>
    <w:rsid w:val="00663CD4"/>
    <w:rsid w:val="00663D6E"/>
    <w:rsid w:val="00663DCA"/>
    <w:rsid w:val="00663DE2"/>
    <w:rsid w:val="00663E32"/>
    <w:rsid w:val="00663E74"/>
    <w:rsid w:val="00663EE7"/>
    <w:rsid w:val="00663F83"/>
    <w:rsid w:val="00663FD8"/>
    <w:rsid w:val="00663FF2"/>
    <w:rsid w:val="00664065"/>
    <w:rsid w:val="00664067"/>
    <w:rsid w:val="0066418F"/>
    <w:rsid w:val="00664199"/>
    <w:rsid w:val="00664218"/>
    <w:rsid w:val="00664235"/>
    <w:rsid w:val="00664273"/>
    <w:rsid w:val="006642D2"/>
    <w:rsid w:val="0066431F"/>
    <w:rsid w:val="00664376"/>
    <w:rsid w:val="0066438D"/>
    <w:rsid w:val="00664411"/>
    <w:rsid w:val="00664431"/>
    <w:rsid w:val="00664438"/>
    <w:rsid w:val="006644C4"/>
    <w:rsid w:val="006644F7"/>
    <w:rsid w:val="0066452A"/>
    <w:rsid w:val="006645FB"/>
    <w:rsid w:val="0066461A"/>
    <w:rsid w:val="00664624"/>
    <w:rsid w:val="00664644"/>
    <w:rsid w:val="0066465B"/>
    <w:rsid w:val="0066468C"/>
    <w:rsid w:val="006646AE"/>
    <w:rsid w:val="00664711"/>
    <w:rsid w:val="0066474E"/>
    <w:rsid w:val="0066477A"/>
    <w:rsid w:val="00664789"/>
    <w:rsid w:val="0066478B"/>
    <w:rsid w:val="00664794"/>
    <w:rsid w:val="006647DC"/>
    <w:rsid w:val="00664840"/>
    <w:rsid w:val="00664925"/>
    <w:rsid w:val="00664953"/>
    <w:rsid w:val="0066496E"/>
    <w:rsid w:val="00664978"/>
    <w:rsid w:val="006649C8"/>
    <w:rsid w:val="00664A37"/>
    <w:rsid w:val="00664A5E"/>
    <w:rsid w:val="00664B28"/>
    <w:rsid w:val="00664BAA"/>
    <w:rsid w:val="00664CDC"/>
    <w:rsid w:val="00664D52"/>
    <w:rsid w:val="00664D72"/>
    <w:rsid w:val="00664DB6"/>
    <w:rsid w:val="00664DDD"/>
    <w:rsid w:val="00664E0F"/>
    <w:rsid w:val="00664E12"/>
    <w:rsid w:val="00664EC0"/>
    <w:rsid w:val="00664F06"/>
    <w:rsid w:val="00664FA5"/>
    <w:rsid w:val="0066503F"/>
    <w:rsid w:val="0066509C"/>
    <w:rsid w:val="006650B5"/>
    <w:rsid w:val="006651D9"/>
    <w:rsid w:val="006652E7"/>
    <w:rsid w:val="006652F7"/>
    <w:rsid w:val="00665364"/>
    <w:rsid w:val="00665380"/>
    <w:rsid w:val="006653FF"/>
    <w:rsid w:val="00665431"/>
    <w:rsid w:val="0066555B"/>
    <w:rsid w:val="00665690"/>
    <w:rsid w:val="00665720"/>
    <w:rsid w:val="00665743"/>
    <w:rsid w:val="006657BF"/>
    <w:rsid w:val="006657DB"/>
    <w:rsid w:val="006658E1"/>
    <w:rsid w:val="006658F3"/>
    <w:rsid w:val="0066599B"/>
    <w:rsid w:val="006659F6"/>
    <w:rsid w:val="00665AA2"/>
    <w:rsid w:val="00665B0F"/>
    <w:rsid w:val="00665B34"/>
    <w:rsid w:val="00665B45"/>
    <w:rsid w:val="00665B82"/>
    <w:rsid w:val="00665BC7"/>
    <w:rsid w:val="00665BCA"/>
    <w:rsid w:val="00665BD3"/>
    <w:rsid w:val="00665C88"/>
    <w:rsid w:val="00665C8F"/>
    <w:rsid w:val="00665CA1"/>
    <w:rsid w:val="00665CC0"/>
    <w:rsid w:val="00665CEB"/>
    <w:rsid w:val="00665CFA"/>
    <w:rsid w:val="00665D3C"/>
    <w:rsid w:val="00665E4D"/>
    <w:rsid w:val="00665E87"/>
    <w:rsid w:val="00665F85"/>
    <w:rsid w:val="0066602B"/>
    <w:rsid w:val="00666252"/>
    <w:rsid w:val="006662A0"/>
    <w:rsid w:val="006662BD"/>
    <w:rsid w:val="0066631A"/>
    <w:rsid w:val="00666453"/>
    <w:rsid w:val="00666462"/>
    <w:rsid w:val="006665E4"/>
    <w:rsid w:val="00666600"/>
    <w:rsid w:val="006666CA"/>
    <w:rsid w:val="00666768"/>
    <w:rsid w:val="00666769"/>
    <w:rsid w:val="00666829"/>
    <w:rsid w:val="0066684C"/>
    <w:rsid w:val="00666853"/>
    <w:rsid w:val="006668CF"/>
    <w:rsid w:val="006668D9"/>
    <w:rsid w:val="00666902"/>
    <w:rsid w:val="0066691E"/>
    <w:rsid w:val="00666937"/>
    <w:rsid w:val="006669CF"/>
    <w:rsid w:val="00666A50"/>
    <w:rsid w:val="00666A66"/>
    <w:rsid w:val="00666B14"/>
    <w:rsid w:val="00666B89"/>
    <w:rsid w:val="00666BA1"/>
    <w:rsid w:val="00666BA5"/>
    <w:rsid w:val="00666C55"/>
    <w:rsid w:val="00666CF2"/>
    <w:rsid w:val="00666DD2"/>
    <w:rsid w:val="00666DEE"/>
    <w:rsid w:val="00666E11"/>
    <w:rsid w:val="00666E2E"/>
    <w:rsid w:val="00666E99"/>
    <w:rsid w:val="00666EAE"/>
    <w:rsid w:val="00666EC1"/>
    <w:rsid w:val="00666FA9"/>
    <w:rsid w:val="00666FF0"/>
    <w:rsid w:val="00667056"/>
    <w:rsid w:val="0066709A"/>
    <w:rsid w:val="006670A7"/>
    <w:rsid w:val="006670B1"/>
    <w:rsid w:val="006670B5"/>
    <w:rsid w:val="006670F7"/>
    <w:rsid w:val="0066710F"/>
    <w:rsid w:val="00667132"/>
    <w:rsid w:val="0066720C"/>
    <w:rsid w:val="00667249"/>
    <w:rsid w:val="0066725A"/>
    <w:rsid w:val="0066728D"/>
    <w:rsid w:val="00667291"/>
    <w:rsid w:val="006672B2"/>
    <w:rsid w:val="006672D1"/>
    <w:rsid w:val="00667368"/>
    <w:rsid w:val="0066737A"/>
    <w:rsid w:val="006673D3"/>
    <w:rsid w:val="006673FE"/>
    <w:rsid w:val="00667431"/>
    <w:rsid w:val="00667443"/>
    <w:rsid w:val="0066749D"/>
    <w:rsid w:val="0066759D"/>
    <w:rsid w:val="006675AA"/>
    <w:rsid w:val="006675B5"/>
    <w:rsid w:val="00667655"/>
    <w:rsid w:val="0066766D"/>
    <w:rsid w:val="0066768A"/>
    <w:rsid w:val="006676A8"/>
    <w:rsid w:val="006676FF"/>
    <w:rsid w:val="006677B3"/>
    <w:rsid w:val="006677E8"/>
    <w:rsid w:val="006678BB"/>
    <w:rsid w:val="006678F9"/>
    <w:rsid w:val="00667A39"/>
    <w:rsid w:val="00667A65"/>
    <w:rsid w:val="00667B32"/>
    <w:rsid w:val="00667B9B"/>
    <w:rsid w:val="00667BEB"/>
    <w:rsid w:val="00667C77"/>
    <w:rsid w:val="00667CAD"/>
    <w:rsid w:val="00667CC6"/>
    <w:rsid w:val="00667DCA"/>
    <w:rsid w:val="00667E29"/>
    <w:rsid w:val="00667E2F"/>
    <w:rsid w:val="00667E56"/>
    <w:rsid w:val="00667F39"/>
    <w:rsid w:val="00667F4E"/>
    <w:rsid w:val="00667F61"/>
    <w:rsid w:val="00667FE5"/>
    <w:rsid w:val="00667FEB"/>
    <w:rsid w:val="0067002E"/>
    <w:rsid w:val="00670115"/>
    <w:rsid w:val="0067014E"/>
    <w:rsid w:val="00670294"/>
    <w:rsid w:val="00670323"/>
    <w:rsid w:val="00670348"/>
    <w:rsid w:val="00670368"/>
    <w:rsid w:val="0067038C"/>
    <w:rsid w:val="00670398"/>
    <w:rsid w:val="00670429"/>
    <w:rsid w:val="0067042E"/>
    <w:rsid w:val="006704FB"/>
    <w:rsid w:val="0067052B"/>
    <w:rsid w:val="0067054F"/>
    <w:rsid w:val="0067059C"/>
    <w:rsid w:val="006705C0"/>
    <w:rsid w:val="0067061A"/>
    <w:rsid w:val="00670634"/>
    <w:rsid w:val="0067063C"/>
    <w:rsid w:val="0067065E"/>
    <w:rsid w:val="006706ED"/>
    <w:rsid w:val="006707BF"/>
    <w:rsid w:val="006707D8"/>
    <w:rsid w:val="00670809"/>
    <w:rsid w:val="0067087E"/>
    <w:rsid w:val="006708CC"/>
    <w:rsid w:val="00670942"/>
    <w:rsid w:val="00670944"/>
    <w:rsid w:val="006709A7"/>
    <w:rsid w:val="006709E4"/>
    <w:rsid w:val="00670A98"/>
    <w:rsid w:val="00670B32"/>
    <w:rsid w:val="00670BBB"/>
    <w:rsid w:val="00670C0D"/>
    <w:rsid w:val="00670C10"/>
    <w:rsid w:val="00670C34"/>
    <w:rsid w:val="00670CE8"/>
    <w:rsid w:val="00670D50"/>
    <w:rsid w:val="00670D95"/>
    <w:rsid w:val="00670E79"/>
    <w:rsid w:val="00670EB8"/>
    <w:rsid w:val="00670F35"/>
    <w:rsid w:val="00670F54"/>
    <w:rsid w:val="00670F92"/>
    <w:rsid w:val="00670F99"/>
    <w:rsid w:val="00670FAE"/>
    <w:rsid w:val="00670FB8"/>
    <w:rsid w:val="00671046"/>
    <w:rsid w:val="00671058"/>
    <w:rsid w:val="006710A2"/>
    <w:rsid w:val="006710D3"/>
    <w:rsid w:val="00671147"/>
    <w:rsid w:val="006711E5"/>
    <w:rsid w:val="006712C6"/>
    <w:rsid w:val="006712C9"/>
    <w:rsid w:val="00671320"/>
    <w:rsid w:val="00671363"/>
    <w:rsid w:val="00671378"/>
    <w:rsid w:val="006713A7"/>
    <w:rsid w:val="006713CB"/>
    <w:rsid w:val="006713F9"/>
    <w:rsid w:val="00671456"/>
    <w:rsid w:val="00671479"/>
    <w:rsid w:val="006714BE"/>
    <w:rsid w:val="006714D4"/>
    <w:rsid w:val="006714E6"/>
    <w:rsid w:val="00671512"/>
    <w:rsid w:val="00671597"/>
    <w:rsid w:val="006715B9"/>
    <w:rsid w:val="006715C5"/>
    <w:rsid w:val="006715CF"/>
    <w:rsid w:val="006715EF"/>
    <w:rsid w:val="0067163C"/>
    <w:rsid w:val="00671648"/>
    <w:rsid w:val="00671657"/>
    <w:rsid w:val="006716F6"/>
    <w:rsid w:val="00671743"/>
    <w:rsid w:val="00671823"/>
    <w:rsid w:val="00671833"/>
    <w:rsid w:val="00671899"/>
    <w:rsid w:val="006718D4"/>
    <w:rsid w:val="006719CB"/>
    <w:rsid w:val="00671A63"/>
    <w:rsid w:val="00671A7A"/>
    <w:rsid w:val="00671ACB"/>
    <w:rsid w:val="00671AF3"/>
    <w:rsid w:val="00671B54"/>
    <w:rsid w:val="00671C19"/>
    <w:rsid w:val="00671C28"/>
    <w:rsid w:val="00671D2E"/>
    <w:rsid w:val="00671D80"/>
    <w:rsid w:val="00671DB5"/>
    <w:rsid w:val="00671E17"/>
    <w:rsid w:val="00671FEC"/>
    <w:rsid w:val="0067208E"/>
    <w:rsid w:val="006720A7"/>
    <w:rsid w:val="006720E3"/>
    <w:rsid w:val="00672194"/>
    <w:rsid w:val="00672196"/>
    <w:rsid w:val="00672197"/>
    <w:rsid w:val="0067219F"/>
    <w:rsid w:val="006721D8"/>
    <w:rsid w:val="00672244"/>
    <w:rsid w:val="006723AE"/>
    <w:rsid w:val="006723E4"/>
    <w:rsid w:val="0067245A"/>
    <w:rsid w:val="006725A4"/>
    <w:rsid w:val="006725D8"/>
    <w:rsid w:val="0067263E"/>
    <w:rsid w:val="00672641"/>
    <w:rsid w:val="0067264C"/>
    <w:rsid w:val="0067268A"/>
    <w:rsid w:val="0067268C"/>
    <w:rsid w:val="00672699"/>
    <w:rsid w:val="006726E6"/>
    <w:rsid w:val="006727AC"/>
    <w:rsid w:val="006727BD"/>
    <w:rsid w:val="00672843"/>
    <w:rsid w:val="00672892"/>
    <w:rsid w:val="00672901"/>
    <w:rsid w:val="0067294D"/>
    <w:rsid w:val="00672966"/>
    <w:rsid w:val="006729AA"/>
    <w:rsid w:val="00672A2C"/>
    <w:rsid w:val="00672A68"/>
    <w:rsid w:val="00672A7E"/>
    <w:rsid w:val="00672AF0"/>
    <w:rsid w:val="00672B07"/>
    <w:rsid w:val="00672B0C"/>
    <w:rsid w:val="00672BAA"/>
    <w:rsid w:val="00672BB5"/>
    <w:rsid w:val="00672C91"/>
    <w:rsid w:val="00672CCF"/>
    <w:rsid w:val="00672CF6"/>
    <w:rsid w:val="00672D33"/>
    <w:rsid w:val="00672D48"/>
    <w:rsid w:val="00672D5E"/>
    <w:rsid w:val="00672D63"/>
    <w:rsid w:val="00672ECE"/>
    <w:rsid w:val="00672EEE"/>
    <w:rsid w:val="00672EF4"/>
    <w:rsid w:val="00672F3A"/>
    <w:rsid w:val="00672FBA"/>
    <w:rsid w:val="0067303F"/>
    <w:rsid w:val="00673047"/>
    <w:rsid w:val="0067305F"/>
    <w:rsid w:val="0067307C"/>
    <w:rsid w:val="006730B9"/>
    <w:rsid w:val="006730F7"/>
    <w:rsid w:val="006730FF"/>
    <w:rsid w:val="0067314C"/>
    <w:rsid w:val="0067317E"/>
    <w:rsid w:val="006731E5"/>
    <w:rsid w:val="006731E7"/>
    <w:rsid w:val="006731F0"/>
    <w:rsid w:val="006732BD"/>
    <w:rsid w:val="006732E2"/>
    <w:rsid w:val="0067333D"/>
    <w:rsid w:val="006733F0"/>
    <w:rsid w:val="006734C8"/>
    <w:rsid w:val="00673547"/>
    <w:rsid w:val="006735F4"/>
    <w:rsid w:val="00673629"/>
    <w:rsid w:val="00673636"/>
    <w:rsid w:val="00673703"/>
    <w:rsid w:val="0067381C"/>
    <w:rsid w:val="0067385C"/>
    <w:rsid w:val="0067385E"/>
    <w:rsid w:val="00673883"/>
    <w:rsid w:val="006738A5"/>
    <w:rsid w:val="006738D8"/>
    <w:rsid w:val="006738ED"/>
    <w:rsid w:val="006738FE"/>
    <w:rsid w:val="00673910"/>
    <w:rsid w:val="00673936"/>
    <w:rsid w:val="00673A2B"/>
    <w:rsid w:val="00673A5C"/>
    <w:rsid w:val="00673AC1"/>
    <w:rsid w:val="00673AE6"/>
    <w:rsid w:val="00673CD5"/>
    <w:rsid w:val="00673D06"/>
    <w:rsid w:val="00673D28"/>
    <w:rsid w:val="00673DA6"/>
    <w:rsid w:val="00673DB5"/>
    <w:rsid w:val="00673DCE"/>
    <w:rsid w:val="00673E47"/>
    <w:rsid w:val="00673EA8"/>
    <w:rsid w:val="00673FB2"/>
    <w:rsid w:val="00673FB5"/>
    <w:rsid w:val="00673FC3"/>
    <w:rsid w:val="00673FF1"/>
    <w:rsid w:val="0067405F"/>
    <w:rsid w:val="00674110"/>
    <w:rsid w:val="00674173"/>
    <w:rsid w:val="006741C6"/>
    <w:rsid w:val="006741CF"/>
    <w:rsid w:val="00674227"/>
    <w:rsid w:val="006742C4"/>
    <w:rsid w:val="006742EE"/>
    <w:rsid w:val="006743B5"/>
    <w:rsid w:val="006743D7"/>
    <w:rsid w:val="0067445E"/>
    <w:rsid w:val="0067447A"/>
    <w:rsid w:val="006744A0"/>
    <w:rsid w:val="006744C2"/>
    <w:rsid w:val="006744D3"/>
    <w:rsid w:val="0067451B"/>
    <w:rsid w:val="006745D8"/>
    <w:rsid w:val="0067469A"/>
    <w:rsid w:val="006746C5"/>
    <w:rsid w:val="006746DC"/>
    <w:rsid w:val="00674783"/>
    <w:rsid w:val="00674802"/>
    <w:rsid w:val="0067480E"/>
    <w:rsid w:val="0067489D"/>
    <w:rsid w:val="006748C4"/>
    <w:rsid w:val="006748F8"/>
    <w:rsid w:val="00674996"/>
    <w:rsid w:val="00674A82"/>
    <w:rsid w:val="00674B17"/>
    <w:rsid w:val="00674B96"/>
    <w:rsid w:val="00674C2C"/>
    <w:rsid w:val="00674C44"/>
    <w:rsid w:val="00674CD2"/>
    <w:rsid w:val="00674D1E"/>
    <w:rsid w:val="00674DA6"/>
    <w:rsid w:val="00674DBB"/>
    <w:rsid w:val="00674E2B"/>
    <w:rsid w:val="00674ECD"/>
    <w:rsid w:val="00674EEE"/>
    <w:rsid w:val="00674F05"/>
    <w:rsid w:val="00674FFD"/>
    <w:rsid w:val="00675066"/>
    <w:rsid w:val="00675093"/>
    <w:rsid w:val="00675137"/>
    <w:rsid w:val="00675154"/>
    <w:rsid w:val="006751C1"/>
    <w:rsid w:val="006751E7"/>
    <w:rsid w:val="00675492"/>
    <w:rsid w:val="006754C0"/>
    <w:rsid w:val="0067554F"/>
    <w:rsid w:val="00675565"/>
    <w:rsid w:val="0067557B"/>
    <w:rsid w:val="006755C0"/>
    <w:rsid w:val="006755EC"/>
    <w:rsid w:val="00675785"/>
    <w:rsid w:val="00675852"/>
    <w:rsid w:val="006758FD"/>
    <w:rsid w:val="00675A56"/>
    <w:rsid w:val="00675A9C"/>
    <w:rsid w:val="00675BB6"/>
    <w:rsid w:val="00675BE9"/>
    <w:rsid w:val="00675CC6"/>
    <w:rsid w:val="00675CC7"/>
    <w:rsid w:val="00675D0D"/>
    <w:rsid w:val="00675D7E"/>
    <w:rsid w:val="00675E6E"/>
    <w:rsid w:val="00675E97"/>
    <w:rsid w:val="00675EF6"/>
    <w:rsid w:val="00675FA5"/>
    <w:rsid w:val="00675FD0"/>
    <w:rsid w:val="00675FF2"/>
    <w:rsid w:val="00676015"/>
    <w:rsid w:val="0067601A"/>
    <w:rsid w:val="0067604D"/>
    <w:rsid w:val="0067605E"/>
    <w:rsid w:val="006760BB"/>
    <w:rsid w:val="006760CB"/>
    <w:rsid w:val="006760DB"/>
    <w:rsid w:val="006760FC"/>
    <w:rsid w:val="006760FF"/>
    <w:rsid w:val="00676131"/>
    <w:rsid w:val="00676180"/>
    <w:rsid w:val="0067619D"/>
    <w:rsid w:val="006761F8"/>
    <w:rsid w:val="00676291"/>
    <w:rsid w:val="00676305"/>
    <w:rsid w:val="00676359"/>
    <w:rsid w:val="0067639E"/>
    <w:rsid w:val="0067641D"/>
    <w:rsid w:val="0067642C"/>
    <w:rsid w:val="0067646E"/>
    <w:rsid w:val="00676542"/>
    <w:rsid w:val="0067667C"/>
    <w:rsid w:val="0067672E"/>
    <w:rsid w:val="00676766"/>
    <w:rsid w:val="00676782"/>
    <w:rsid w:val="006767E5"/>
    <w:rsid w:val="00676806"/>
    <w:rsid w:val="006768DE"/>
    <w:rsid w:val="00676903"/>
    <w:rsid w:val="00676910"/>
    <w:rsid w:val="00676AAC"/>
    <w:rsid w:val="00676AF3"/>
    <w:rsid w:val="00676B4A"/>
    <w:rsid w:val="00676BA1"/>
    <w:rsid w:val="00676C88"/>
    <w:rsid w:val="00676C93"/>
    <w:rsid w:val="00676D0B"/>
    <w:rsid w:val="00676D9C"/>
    <w:rsid w:val="00676E26"/>
    <w:rsid w:val="00676E36"/>
    <w:rsid w:val="00676E6C"/>
    <w:rsid w:val="00676E80"/>
    <w:rsid w:val="00676F0C"/>
    <w:rsid w:val="00676F38"/>
    <w:rsid w:val="00676F60"/>
    <w:rsid w:val="00676FC2"/>
    <w:rsid w:val="00677005"/>
    <w:rsid w:val="00677033"/>
    <w:rsid w:val="006770C6"/>
    <w:rsid w:val="006770E9"/>
    <w:rsid w:val="00677146"/>
    <w:rsid w:val="00677175"/>
    <w:rsid w:val="0067718A"/>
    <w:rsid w:val="00677311"/>
    <w:rsid w:val="0067738E"/>
    <w:rsid w:val="00677456"/>
    <w:rsid w:val="0067747C"/>
    <w:rsid w:val="0067761E"/>
    <w:rsid w:val="0067762A"/>
    <w:rsid w:val="0067771C"/>
    <w:rsid w:val="00677791"/>
    <w:rsid w:val="006777C5"/>
    <w:rsid w:val="00677867"/>
    <w:rsid w:val="006778BC"/>
    <w:rsid w:val="006778E8"/>
    <w:rsid w:val="0067793E"/>
    <w:rsid w:val="00677971"/>
    <w:rsid w:val="00677998"/>
    <w:rsid w:val="00677A0B"/>
    <w:rsid w:val="00677ABC"/>
    <w:rsid w:val="00677AD6"/>
    <w:rsid w:val="00677AF3"/>
    <w:rsid w:val="00677B11"/>
    <w:rsid w:val="00677BDB"/>
    <w:rsid w:val="00677BFF"/>
    <w:rsid w:val="00677C78"/>
    <w:rsid w:val="00677CA1"/>
    <w:rsid w:val="00677D54"/>
    <w:rsid w:val="00677D6E"/>
    <w:rsid w:val="00677E5C"/>
    <w:rsid w:val="006800DC"/>
    <w:rsid w:val="006800ED"/>
    <w:rsid w:val="00680158"/>
    <w:rsid w:val="00680171"/>
    <w:rsid w:val="0068021A"/>
    <w:rsid w:val="006802A6"/>
    <w:rsid w:val="006802B1"/>
    <w:rsid w:val="006802DE"/>
    <w:rsid w:val="0068030C"/>
    <w:rsid w:val="0068033E"/>
    <w:rsid w:val="00680499"/>
    <w:rsid w:val="006804EA"/>
    <w:rsid w:val="00680524"/>
    <w:rsid w:val="00680529"/>
    <w:rsid w:val="00680562"/>
    <w:rsid w:val="00680572"/>
    <w:rsid w:val="0068059B"/>
    <w:rsid w:val="006805AE"/>
    <w:rsid w:val="0068065B"/>
    <w:rsid w:val="0068065C"/>
    <w:rsid w:val="006806B6"/>
    <w:rsid w:val="006806C7"/>
    <w:rsid w:val="006806D7"/>
    <w:rsid w:val="006806F4"/>
    <w:rsid w:val="0068077C"/>
    <w:rsid w:val="00680785"/>
    <w:rsid w:val="0068078A"/>
    <w:rsid w:val="00680841"/>
    <w:rsid w:val="006808E9"/>
    <w:rsid w:val="00680957"/>
    <w:rsid w:val="006809D2"/>
    <w:rsid w:val="00680AAE"/>
    <w:rsid w:val="00680ABA"/>
    <w:rsid w:val="00680B62"/>
    <w:rsid w:val="00680C22"/>
    <w:rsid w:val="00680CD7"/>
    <w:rsid w:val="00680CD8"/>
    <w:rsid w:val="00680D66"/>
    <w:rsid w:val="00680FD0"/>
    <w:rsid w:val="00680FD7"/>
    <w:rsid w:val="00681069"/>
    <w:rsid w:val="006810C4"/>
    <w:rsid w:val="006810CF"/>
    <w:rsid w:val="00681145"/>
    <w:rsid w:val="006811A9"/>
    <w:rsid w:val="00681209"/>
    <w:rsid w:val="006812BC"/>
    <w:rsid w:val="00681344"/>
    <w:rsid w:val="0068135E"/>
    <w:rsid w:val="00681368"/>
    <w:rsid w:val="006813C8"/>
    <w:rsid w:val="006813DC"/>
    <w:rsid w:val="00681403"/>
    <w:rsid w:val="0068140F"/>
    <w:rsid w:val="00681430"/>
    <w:rsid w:val="00681475"/>
    <w:rsid w:val="006814A6"/>
    <w:rsid w:val="006814C3"/>
    <w:rsid w:val="006814F4"/>
    <w:rsid w:val="006815F4"/>
    <w:rsid w:val="006815FE"/>
    <w:rsid w:val="00681744"/>
    <w:rsid w:val="00681757"/>
    <w:rsid w:val="00681794"/>
    <w:rsid w:val="006817E6"/>
    <w:rsid w:val="006817F9"/>
    <w:rsid w:val="00681844"/>
    <w:rsid w:val="00681865"/>
    <w:rsid w:val="006818AD"/>
    <w:rsid w:val="006818DB"/>
    <w:rsid w:val="006818FE"/>
    <w:rsid w:val="00681987"/>
    <w:rsid w:val="00681A28"/>
    <w:rsid w:val="00681AF4"/>
    <w:rsid w:val="00681BEF"/>
    <w:rsid w:val="00681C59"/>
    <w:rsid w:val="00681CEE"/>
    <w:rsid w:val="00681DD1"/>
    <w:rsid w:val="00681DE5"/>
    <w:rsid w:val="00681E0B"/>
    <w:rsid w:val="00681E7B"/>
    <w:rsid w:val="00681E7D"/>
    <w:rsid w:val="00681EDC"/>
    <w:rsid w:val="00681FC6"/>
    <w:rsid w:val="006820AE"/>
    <w:rsid w:val="00682159"/>
    <w:rsid w:val="00682166"/>
    <w:rsid w:val="00682168"/>
    <w:rsid w:val="0068217F"/>
    <w:rsid w:val="00682188"/>
    <w:rsid w:val="006821A3"/>
    <w:rsid w:val="0068222F"/>
    <w:rsid w:val="00682245"/>
    <w:rsid w:val="00682283"/>
    <w:rsid w:val="00682365"/>
    <w:rsid w:val="00682398"/>
    <w:rsid w:val="006823A4"/>
    <w:rsid w:val="006823D5"/>
    <w:rsid w:val="006824B2"/>
    <w:rsid w:val="0068250F"/>
    <w:rsid w:val="00682519"/>
    <w:rsid w:val="006825AE"/>
    <w:rsid w:val="00682617"/>
    <w:rsid w:val="00682629"/>
    <w:rsid w:val="00682768"/>
    <w:rsid w:val="00682793"/>
    <w:rsid w:val="00682799"/>
    <w:rsid w:val="0068279C"/>
    <w:rsid w:val="006827BE"/>
    <w:rsid w:val="006827EA"/>
    <w:rsid w:val="006827FE"/>
    <w:rsid w:val="00682924"/>
    <w:rsid w:val="00682929"/>
    <w:rsid w:val="00682949"/>
    <w:rsid w:val="0068294B"/>
    <w:rsid w:val="006829B8"/>
    <w:rsid w:val="006829F3"/>
    <w:rsid w:val="00682A01"/>
    <w:rsid w:val="00682A47"/>
    <w:rsid w:val="00682A4D"/>
    <w:rsid w:val="00682AE9"/>
    <w:rsid w:val="00682B8F"/>
    <w:rsid w:val="00682C1A"/>
    <w:rsid w:val="00682CC3"/>
    <w:rsid w:val="00682D13"/>
    <w:rsid w:val="00682E96"/>
    <w:rsid w:val="00682F63"/>
    <w:rsid w:val="00682FA9"/>
    <w:rsid w:val="0068303A"/>
    <w:rsid w:val="006830D4"/>
    <w:rsid w:val="00683122"/>
    <w:rsid w:val="00683173"/>
    <w:rsid w:val="0068317E"/>
    <w:rsid w:val="006831BE"/>
    <w:rsid w:val="00683230"/>
    <w:rsid w:val="006832E7"/>
    <w:rsid w:val="00683303"/>
    <w:rsid w:val="00683345"/>
    <w:rsid w:val="006833A4"/>
    <w:rsid w:val="006833D9"/>
    <w:rsid w:val="006833FA"/>
    <w:rsid w:val="00683480"/>
    <w:rsid w:val="006834A2"/>
    <w:rsid w:val="0068350F"/>
    <w:rsid w:val="006835F5"/>
    <w:rsid w:val="0068360C"/>
    <w:rsid w:val="00683627"/>
    <w:rsid w:val="00683678"/>
    <w:rsid w:val="00683694"/>
    <w:rsid w:val="006836BF"/>
    <w:rsid w:val="00683709"/>
    <w:rsid w:val="0068374C"/>
    <w:rsid w:val="00683752"/>
    <w:rsid w:val="00683779"/>
    <w:rsid w:val="00683792"/>
    <w:rsid w:val="0068387C"/>
    <w:rsid w:val="00683A62"/>
    <w:rsid w:val="00683B02"/>
    <w:rsid w:val="00683B81"/>
    <w:rsid w:val="00683BC7"/>
    <w:rsid w:val="00683C08"/>
    <w:rsid w:val="00683C3C"/>
    <w:rsid w:val="00683D2A"/>
    <w:rsid w:val="00683D6C"/>
    <w:rsid w:val="00683D7D"/>
    <w:rsid w:val="00683DF4"/>
    <w:rsid w:val="00683E28"/>
    <w:rsid w:val="00683E48"/>
    <w:rsid w:val="00683E4C"/>
    <w:rsid w:val="00683E55"/>
    <w:rsid w:val="00683E64"/>
    <w:rsid w:val="00683EAC"/>
    <w:rsid w:val="00683F04"/>
    <w:rsid w:val="00683F5F"/>
    <w:rsid w:val="00683F84"/>
    <w:rsid w:val="00683FB9"/>
    <w:rsid w:val="00684155"/>
    <w:rsid w:val="00684172"/>
    <w:rsid w:val="00684245"/>
    <w:rsid w:val="006842A2"/>
    <w:rsid w:val="006842C4"/>
    <w:rsid w:val="0068431D"/>
    <w:rsid w:val="00684326"/>
    <w:rsid w:val="00684388"/>
    <w:rsid w:val="0068438D"/>
    <w:rsid w:val="006843AC"/>
    <w:rsid w:val="006843C8"/>
    <w:rsid w:val="0068440B"/>
    <w:rsid w:val="00684506"/>
    <w:rsid w:val="0068454B"/>
    <w:rsid w:val="00684704"/>
    <w:rsid w:val="0068474F"/>
    <w:rsid w:val="0068479E"/>
    <w:rsid w:val="006847E7"/>
    <w:rsid w:val="006848C8"/>
    <w:rsid w:val="00684957"/>
    <w:rsid w:val="00684A08"/>
    <w:rsid w:val="00684A3F"/>
    <w:rsid w:val="00684A81"/>
    <w:rsid w:val="00684AA7"/>
    <w:rsid w:val="00684B13"/>
    <w:rsid w:val="00684B5E"/>
    <w:rsid w:val="00684B6C"/>
    <w:rsid w:val="00684C3B"/>
    <w:rsid w:val="00684C5C"/>
    <w:rsid w:val="00684CD9"/>
    <w:rsid w:val="00684D0B"/>
    <w:rsid w:val="00684D39"/>
    <w:rsid w:val="00684D5B"/>
    <w:rsid w:val="00684D67"/>
    <w:rsid w:val="00684D88"/>
    <w:rsid w:val="00684DC0"/>
    <w:rsid w:val="00684EF6"/>
    <w:rsid w:val="00684F87"/>
    <w:rsid w:val="00684FA9"/>
    <w:rsid w:val="00684FC1"/>
    <w:rsid w:val="0068501F"/>
    <w:rsid w:val="00685179"/>
    <w:rsid w:val="00685287"/>
    <w:rsid w:val="006852A1"/>
    <w:rsid w:val="006852ED"/>
    <w:rsid w:val="00685352"/>
    <w:rsid w:val="00685376"/>
    <w:rsid w:val="006853B0"/>
    <w:rsid w:val="0068546A"/>
    <w:rsid w:val="006854BE"/>
    <w:rsid w:val="00685504"/>
    <w:rsid w:val="0068550A"/>
    <w:rsid w:val="0068551C"/>
    <w:rsid w:val="006855CC"/>
    <w:rsid w:val="006855F5"/>
    <w:rsid w:val="00685663"/>
    <w:rsid w:val="00685679"/>
    <w:rsid w:val="006856A1"/>
    <w:rsid w:val="006856B8"/>
    <w:rsid w:val="006856C4"/>
    <w:rsid w:val="006856FF"/>
    <w:rsid w:val="0068570C"/>
    <w:rsid w:val="00685794"/>
    <w:rsid w:val="0068579D"/>
    <w:rsid w:val="0068583F"/>
    <w:rsid w:val="00685841"/>
    <w:rsid w:val="0068587E"/>
    <w:rsid w:val="0068594A"/>
    <w:rsid w:val="00685975"/>
    <w:rsid w:val="00685A16"/>
    <w:rsid w:val="00685A8D"/>
    <w:rsid w:val="00685A9B"/>
    <w:rsid w:val="00685AC3"/>
    <w:rsid w:val="00685AE7"/>
    <w:rsid w:val="00685B1F"/>
    <w:rsid w:val="00685B51"/>
    <w:rsid w:val="00685B54"/>
    <w:rsid w:val="00685BBF"/>
    <w:rsid w:val="00685CC9"/>
    <w:rsid w:val="00685E17"/>
    <w:rsid w:val="00685E58"/>
    <w:rsid w:val="00685E99"/>
    <w:rsid w:val="00685F06"/>
    <w:rsid w:val="00685F0F"/>
    <w:rsid w:val="00685FE2"/>
    <w:rsid w:val="00686037"/>
    <w:rsid w:val="00686039"/>
    <w:rsid w:val="00686056"/>
    <w:rsid w:val="006860E8"/>
    <w:rsid w:val="00686107"/>
    <w:rsid w:val="0068611A"/>
    <w:rsid w:val="006861E3"/>
    <w:rsid w:val="00686212"/>
    <w:rsid w:val="00686263"/>
    <w:rsid w:val="006862A3"/>
    <w:rsid w:val="00686396"/>
    <w:rsid w:val="006864B3"/>
    <w:rsid w:val="006864E4"/>
    <w:rsid w:val="00686583"/>
    <w:rsid w:val="00686594"/>
    <w:rsid w:val="006865C1"/>
    <w:rsid w:val="006866DD"/>
    <w:rsid w:val="006867DD"/>
    <w:rsid w:val="0068687C"/>
    <w:rsid w:val="006868B3"/>
    <w:rsid w:val="006868D1"/>
    <w:rsid w:val="00686967"/>
    <w:rsid w:val="006869C3"/>
    <w:rsid w:val="006869E0"/>
    <w:rsid w:val="006869E6"/>
    <w:rsid w:val="00686A1A"/>
    <w:rsid w:val="00686A7A"/>
    <w:rsid w:val="00686AB4"/>
    <w:rsid w:val="00686AEB"/>
    <w:rsid w:val="00686B60"/>
    <w:rsid w:val="00686B6C"/>
    <w:rsid w:val="00686C37"/>
    <w:rsid w:val="00686C96"/>
    <w:rsid w:val="00686CAB"/>
    <w:rsid w:val="00686D63"/>
    <w:rsid w:val="00686D64"/>
    <w:rsid w:val="00686DF5"/>
    <w:rsid w:val="00686E0C"/>
    <w:rsid w:val="00686E45"/>
    <w:rsid w:val="00686E80"/>
    <w:rsid w:val="00686EE0"/>
    <w:rsid w:val="00686F34"/>
    <w:rsid w:val="00686FC7"/>
    <w:rsid w:val="00686FC8"/>
    <w:rsid w:val="00686FD9"/>
    <w:rsid w:val="00687159"/>
    <w:rsid w:val="00687164"/>
    <w:rsid w:val="0068720D"/>
    <w:rsid w:val="0068720E"/>
    <w:rsid w:val="00687223"/>
    <w:rsid w:val="00687285"/>
    <w:rsid w:val="00687299"/>
    <w:rsid w:val="006872B3"/>
    <w:rsid w:val="0068732B"/>
    <w:rsid w:val="00687430"/>
    <w:rsid w:val="0068744F"/>
    <w:rsid w:val="00687533"/>
    <w:rsid w:val="0068756E"/>
    <w:rsid w:val="006875A4"/>
    <w:rsid w:val="00687653"/>
    <w:rsid w:val="00687674"/>
    <w:rsid w:val="00687691"/>
    <w:rsid w:val="006876B9"/>
    <w:rsid w:val="00687719"/>
    <w:rsid w:val="00687820"/>
    <w:rsid w:val="0068796E"/>
    <w:rsid w:val="006879D8"/>
    <w:rsid w:val="00687A03"/>
    <w:rsid w:val="00687A1A"/>
    <w:rsid w:val="00687A3C"/>
    <w:rsid w:val="00687A43"/>
    <w:rsid w:val="00687A62"/>
    <w:rsid w:val="00687A7C"/>
    <w:rsid w:val="00687B2C"/>
    <w:rsid w:val="00687B5E"/>
    <w:rsid w:val="00687BC9"/>
    <w:rsid w:val="00687C10"/>
    <w:rsid w:val="00687C34"/>
    <w:rsid w:val="00687C3A"/>
    <w:rsid w:val="00687C5F"/>
    <w:rsid w:val="00687C7A"/>
    <w:rsid w:val="00687CF1"/>
    <w:rsid w:val="00687D02"/>
    <w:rsid w:val="00687D4D"/>
    <w:rsid w:val="00687ECB"/>
    <w:rsid w:val="00687F21"/>
    <w:rsid w:val="00687FC9"/>
    <w:rsid w:val="00687FCA"/>
    <w:rsid w:val="00687FFB"/>
    <w:rsid w:val="00690039"/>
    <w:rsid w:val="00690041"/>
    <w:rsid w:val="00690075"/>
    <w:rsid w:val="00690119"/>
    <w:rsid w:val="0069012D"/>
    <w:rsid w:val="0069018D"/>
    <w:rsid w:val="00690247"/>
    <w:rsid w:val="00690265"/>
    <w:rsid w:val="00690279"/>
    <w:rsid w:val="00690351"/>
    <w:rsid w:val="0069036B"/>
    <w:rsid w:val="006903A8"/>
    <w:rsid w:val="0069044A"/>
    <w:rsid w:val="006904F7"/>
    <w:rsid w:val="00690503"/>
    <w:rsid w:val="00690693"/>
    <w:rsid w:val="006906D4"/>
    <w:rsid w:val="00690750"/>
    <w:rsid w:val="006907DB"/>
    <w:rsid w:val="00690843"/>
    <w:rsid w:val="006908DE"/>
    <w:rsid w:val="0069092E"/>
    <w:rsid w:val="00690A76"/>
    <w:rsid w:val="00690A9F"/>
    <w:rsid w:val="00690AB1"/>
    <w:rsid w:val="00690AB7"/>
    <w:rsid w:val="00690B0C"/>
    <w:rsid w:val="00690C3B"/>
    <w:rsid w:val="00690C6C"/>
    <w:rsid w:val="00690C77"/>
    <w:rsid w:val="00690C9F"/>
    <w:rsid w:val="00690CAD"/>
    <w:rsid w:val="00690D11"/>
    <w:rsid w:val="00690D53"/>
    <w:rsid w:val="00690D5E"/>
    <w:rsid w:val="00690DA3"/>
    <w:rsid w:val="00690E46"/>
    <w:rsid w:val="00690EC1"/>
    <w:rsid w:val="00690F0D"/>
    <w:rsid w:val="00690F73"/>
    <w:rsid w:val="00691022"/>
    <w:rsid w:val="00691097"/>
    <w:rsid w:val="00691109"/>
    <w:rsid w:val="0069112D"/>
    <w:rsid w:val="00691157"/>
    <w:rsid w:val="00691165"/>
    <w:rsid w:val="00691167"/>
    <w:rsid w:val="0069126F"/>
    <w:rsid w:val="0069130D"/>
    <w:rsid w:val="00691317"/>
    <w:rsid w:val="00691376"/>
    <w:rsid w:val="006913A4"/>
    <w:rsid w:val="006913E1"/>
    <w:rsid w:val="0069140D"/>
    <w:rsid w:val="00691445"/>
    <w:rsid w:val="00691493"/>
    <w:rsid w:val="00691494"/>
    <w:rsid w:val="006914CB"/>
    <w:rsid w:val="00691517"/>
    <w:rsid w:val="00691527"/>
    <w:rsid w:val="0069159B"/>
    <w:rsid w:val="006915B3"/>
    <w:rsid w:val="00691646"/>
    <w:rsid w:val="006916B0"/>
    <w:rsid w:val="00691702"/>
    <w:rsid w:val="00691748"/>
    <w:rsid w:val="0069178C"/>
    <w:rsid w:val="00691796"/>
    <w:rsid w:val="0069179C"/>
    <w:rsid w:val="006917C3"/>
    <w:rsid w:val="00691836"/>
    <w:rsid w:val="0069192E"/>
    <w:rsid w:val="0069195F"/>
    <w:rsid w:val="006919A1"/>
    <w:rsid w:val="006919FD"/>
    <w:rsid w:val="00691A21"/>
    <w:rsid w:val="00691A89"/>
    <w:rsid w:val="00691AA2"/>
    <w:rsid w:val="00691AAA"/>
    <w:rsid w:val="00691B03"/>
    <w:rsid w:val="00691B1A"/>
    <w:rsid w:val="00691B95"/>
    <w:rsid w:val="00691C1A"/>
    <w:rsid w:val="00691C9E"/>
    <w:rsid w:val="00691CC3"/>
    <w:rsid w:val="00691CCA"/>
    <w:rsid w:val="00691D35"/>
    <w:rsid w:val="00691D45"/>
    <w:rsid w:val="00691D9D"/>
    <w:rsid w:val="00691DEC"/>
    <w:rsid w:val="00691E4D"/>
    <w:rsid w:val="00691F5D"/>
    <w:rsid w:val="00691FAF"/>
    <w:rsid w:val="00691FB8"/>
    <w:rsid w:val="00691FFF"/>
    <w:rsid w:val="0069203B"/>
    <w:rsid w:val="00692089"/>
    <w:rsid w:val="00692155"/>
    <w:rsid w:val="006921ED"/>
    <w:rsid w:val="006921F5"/>
    <w:rsid w:val="0069221F"/>
    <w:rsid w:val="00692240"/>
    <w:rsid w:val="0069227F"/>
    <w:rsid w:val="0069232B"/>
    <w:rsid w:val="00692365"/>
    <w:rsid w:val="006923BE"/>
    <w:rsid w:val="00692421"/>
    <w:rsid w:val="0069243F"/>
    <w:rsid w:val="0069244B"/>
    <w:rsid w:val="0069248D"/>
    <w:rsid w:val="0069252C"/>
    <w:rsid w:val="00692578"/>
    <w:rsid w:val="00692739"/>
    <w:rsid w:val="006927BA"/>
    <w:rsid w:val="00692836"/>
    <w:rsid w:val="0069289B"/>
    <w:rsid w:val="00692965"/>
    <w:rsid w:val="006929EB"/>
    <w:rsid w:val="00692A4E"/>
    <w:rsid w:val="00692A57"/>
    <w:rsid w:val="00692A5F"/>
    <w:rsid w:val="00692AF2"/>
    <w:rsid w:val="00692B26"/>
    <w:rsid w:val="00692B2C"/>
    <w:rsid w:val="00692B5E"/>
    <w:rsid w:val="00692B72"/>
    <w:rsid w:val="00692CC1"/>
    <w:rsid w:val="00692CCF"/>
    <w:rsid w:val="00692D0C"/>
    <w:rsid w:val="00692D80"/>
    <w:rsid w:val="00692DF0"/>
    <w:rsid w:val="00692E2C"/>
    <w:rsid w:val="00692E83"/>
    <w:rsid w:val="00692E8A"/>
    <w:rsid w:val="00692F26"/>
    <w:rsid w:val="00692F41"/>
    <w:rsid w:val="00692F4A"/>
    <w:rsid w:val="00692F56"/>
    <w:rsid w:val="00692F85"/>
    <w:rsid w:val="00692FD6"/>
    <w:rsid w:val="00692FE3"/>
    <w:rsid w:val="006930A1"/>
    <w:rsid w:val="006930CF"/>
    <w:rsid w:val="00693110"/>
    <w:rsid w:val="00693132"/>
    <w:rsid w:val="00693165"/>
    <w:rsid w:val="0069319E"/>
    <w:rsid w:val="006931C0"/>
    <w:rsid w:val="006931D0"/>
    <w:rsid w:val="00693238"/>
    <w:rsid w:val="00693276"/>
    <w:rsid w:val="00693277"/>
    <w:rsid w:val="006932C8"/>
    <w:rsid w:val="0069338A"/>
    <w:rsid w:val="006933AB"/>
    <w:rsid w:val="006933F0"/>
    <w:rsid w:val="00693434"/>
    <w:rsid w:val="00693435"/>
    <w:rsid w:val="0069344F"/>
    <w:rsid w:val="00693462"/>
    <w:rsid w:val="006935B5"/>
    <w:rsid w:val="006935F4"/>
    <w:rsid w:val="006936A2"/>
    <w:rsid w:val="006936C3"/>
    <w:rsid w:val="006936E0"/>
    <w:rsid w:val="00693795"/>
    <w:rsid w:val="006937B2"/>
    <w:rsid w:val="006937EB"/>
    <w:rsid w:val="00693840"/>
    <w:rsid w:val="00693988"/>
    <w:rsid w:val="00693A39"/>
    <w:rsid w:val="00693A4A"/>
    <w:rsid w:val="00693A4E"/>
    <w:rsid w:val="00693AAF"/>
    <w:rsid w:val="00693B2E"/>
    <w:rsid w:val="00693D1A"/>
    <w:rsid w:val="00693E25"/>
    <w:rsid w:val="00693E5C"/>
    <w:rsid w:val="00693EB6"/>
    <w:rsid w:val="00693F27"/>
    <w:rsid w:val="00693F3D"/>
    <w:rsid w:val="00693FE6"/>
    <w:rsid w:val="0069407C"/>
    <w:rsid w:val="00694218"/>
    <w:rsid w:val="00694259"/>
    <w:rsid w:val="0069431E"/>
    <w:rsid w:val="0069445C"/>
    <w:rsid w:val="0069454A"/>
    <w:rsid w:val="00694557"/>
    <w:rsid w:val="006945A2"/>
    <w:rsid w:val="006945D5"/>
    <w:rsid w:val="006945EE"/>
    <w:rsid w:val="00694676"/>
    <w:rsid w:val="00694685"/>
    <w:rsid w:val="00694696"/>
    <w:rsid w:val="006947E5"/>
    <w:rsid w:val="006948B1"/>
    <w:rsid w:val="006948C6"/>
    <w:rsid w:val="00694917"/>
    <w:rsid w:val="00694950"/>
    <w:rsid w:val="0069496C"/>
    <w:rsid w:val="006949A9"/>
    <w:rsid w:val="006949E1"/>
    <w:rsid w:val="006949F8"/>
    <w:rsid w:val="00694A29"/>
    <w:rsid w:val="00694B8B"/>
    <w:rsid w:val="00694B96"/>
    <w:rsid w:val="00694BE4"/>
    <w:rsid w:val="00694C2B"/>
    <w:rsid w:val="00694C9D"/>
    <w:rsid w:val="00694DEC"/>
    <w:rsid w:val="00694EAB"/>
    <w:rsid w:val="00695025"/>
    <w:rsid w:val="006950B5"/>
    <w:rsid w:val="006950BC"/>
    <w:rsid w:val="006950EA"/>
    <w:rsid w:val="00695131"/>
    <w:rsid w:val="0069513B"/>
    <w:rsid w:val="0069518F"/>
    <w:rsid w:val="006951B5"/>
    <w:rsid w:val="006952CB"/>
    <w:rsid w:val="006952EE"/>
    <w:rsid w:val="00695347"/>
    <w:rsid w:val="0069534D"/>
    <w:rsid w:val="0069535B"/>
    <w:rsid w:val="00695368"/>
    <w:rsid w:val="00695373"/>
    <w:rsid w:val="0069538C"/>
    <w:rsid w:val="0069539C"/>
    <w:rsid w:val="006953A8"/>
    <w:rsid w:val="006953F4"/>
    <w:rsid w:val="00695436"/>
    <w:rsid w:val="0069546C"/>
    <w:rsid w:val="0069549C"/>
    <w:rsid w:val="006954C7"/>
    <w:rsid w:val="006954CD"/>
    <w:rsid w:val="00695509"/>
    <w:rsid w:val="0069550B"/>
    <w:rsid w:val="0069558B"/>
    <w:rsid w:val="0069559F"/>
    <w:rsid w:val="006955A9"/>
    <w:rsid w:val="006955DD"/>
    <w:rsid w:val="00695670"/>
    <w:rsid w:val="006956CE"/>
    <w:rsid w:val="0069576B"/>
    <w:rsid w:val="006957CA"/>
    <w:rsid w:val="0069580B"/>
    <w:rsid w:val="00695850"/>
    <w:rsid w:val="0069585D"/>
    <w:rsid w:val="00695880"/>
    <w:rsid w:val="0069591F"/>
    <w:rsid w:val="0069595B"/>
    <w:rsid w:val="006959BB"/>
    <w:rsid w:val="006959BE"/>
    <w:rsid w:val="00695A03"/>
    <w:rsid w:val="00695A06"/>
    <w:rsid w:val="00695A1D"/>
    <w:rsid w:val="00695BBA"/>
    <w:rsid w:val="00695BE4"/>
    <w:rsid w:val="00695C78"/>
    <w:rsid w:val="00695C8E"/>
    <w:rsid w:val="00695CC9"/>
    <w:rsid w:val="00695D28"/>
    <w:rsid w:val="00695D31"/>
    <w:rsid w:val="00695D40"/>
    <w:rsid w:val="00695D78"/>
    <w:rsid w:val="00695E43"/>
    <w:rsid w:val="00695E4E"/>
    <w:rsid w:val="00695EE1"/>
    <w:rsid w:val="00695EF8"/>
    <w:rsid w:val="00695F0F"/>
    <w:rsid w:val="00695F23"/>
    <w:rsid w:val="00695F61"/>
    <w:rsid w:val="00695F77"/>
    <w:rsid w:val="0069600B"/>
    <w:rsid w:val="0069603F"/>
    <w:rsid w:val="00696044"/>
    <w:rsid w:val="006960E7"/>
    <w:rsid w:val="00696139"/>
    <w:rsid w:val="00696144"/>
    <w:rsid w:val="0069616D"/>
    <w:rsid w:val="00696184"/>
    <w:rsid w:val="0069624D"/>
    <w:rsid w:val="00696362"/>
    <w:rsid w:val="00696379"/>
    <w:rsid w:val="0069637C"/>
    <w:rsid w:val="0069639E"/>
    <w:rsid w:val="006963C4"/>
    <w:rsid w:val="00696427"/>
    <w:rsid w:val="00696496"/>
    <w:rsid w:val="00696543"/>
    <w:rsid w:val="00696566"/>
    <w:rsid w:val="00696585"/>
    <w:rsid w:val="00696597"/>
    <w:rsid w:val="006965CF"/>
    <w:rsid w:val="006965ED"/>
    <w:rsid w:val="0069675B"/>
    <w:rsid w:val="0069676C"/>
    <w:rsid w:val="00696787"/>
    <w:rsid w:val="006967A1"/>
    <w:rsid w:val="006967F7"/>
    <w:rsid w:val="0069691C"/>
    <w:rsid w:val="0069693C"/>
    <w:rsid w:val="006969B1"/>
    <w:rsid w:val="00696A0D"/>
    <w:rsid w:val="00696A66"/>
    <w:rsid w:val="00696B66"/>
    <w:rsid w:val="00696C7C"/>
    <w:rsid w:val="00696CC9"/>
    <w:rsid w:val="00696DC9"/>
    <w:rsid w:val="00696E91"/>
    <w:rsid w:val="00696ECA"/>
    <w:rsid w:val="00696F0E"/>
    <w:rsid w:val="00696F85"/>
    <w:rsid w:val="00696F96"/>
    <w:rsid w:val="00696FDE"/>
    <w:rsid w:val="00697009"/>
    <w:rsid w:val="00697014"/>
    <w:rsid w:val="0069705D"/>
    <w:rsid w:val="006970D4"/>
    <w:rsid w:val="006970D5"/>
    <w:rsid w:val="0069711D"/>
    <w:rsid w:val="00697153"/>
    <w:rsid w:val="006971B0"/>
    <w:rsid w:val="006971F8"/>
    <w:rsid w:val="00697220"/>
    <w:rsid w:val="00697291"/>
    <w:rsid w:val="006972B2"/>
    <w:rsid w:val="0069730C"/>
    <w:rsid w:val="0069737A"/>
    <w:rsid w:val="0069743E"/>
    <w:rsid w:val="00697444"/>
    <w:rsid w:val="00697454"/>
    <w:rsid w:val="006975B5"/>
    <w:rsid w:val="00697643"/>
    <w:rsid w:val="006976FB"/>
    <w:rsid w:val="00697750"/>
    <w:rsid w:val="006977BE"/>
    <w:rsid w:val="006977F7"/>
    <w:rsid w:val="006978A9"/>
    <w:rsid w:val="00697931"/>
    <w:rsid w:val="006979C1"/>
    <w:rsid w:val="00697A07"/>
    <w:rsid w:val="00697B7D"/>
    <w:rsid w:val="00697B92"/>
    <w:rsid w:val="00697BBC"/>
    <w:rsid w:val="00697BE7"/>
    <w:rsid w:val="00697BEE"/>
    <w:rsid w:val="00697C68"/>
    <w:rsid w:val="00697C86"/>
    <w:rsid w:val="00697CC1"/>
    <w:rsid w:val="00697D09"/>
    <w:rsid w:val="00697D48"/>
    <w:rsid w:val="00697D64"/>
    <w:rsid w:val="00697DB4"/>
    <w:rsid w:val="00697F30"/>
    <w:rsid w:val="00697F67"/>
    <w:rsid w:val="00697F9E"/>
    <w:rsid w:val="00697FE3"/>
    <w:rsid w:val="0069C934"/>
    <w:rsid w:val="006A003A"/>
    <w:rsid w:val="006A00EE"/>
    <w:rsid w:val="006A014A"/>
    <w:rsid w:val="006A0158"/>
    <w:rsid w:val="006A015C"/>
    <w:rsid w:val="006A0192"/>
    <w:rsid w:val="006A020B"/>
    <w:rsid w:val="006A0240"/>
    <w:rsid w:val="006A025E"/>
    <w:rsid w:val="006A027F"/>
    <w:rsid w:val="006A049C"/>
    <w:rsid w:val="006A04A9"/>
    <w:rsid w:val="006A04E2"/>
    <w:rsid w:val="006A04FF"/>
    <w:rsid w:val="006A051D"/>
    <w:rsid w:val="006A0535"/>
    <w:rsid w:val="006A0600"/>
    <w:rsid w:val="006A0613"/>
    <w:rsid w:val="006A0707"/>
    <w:rsid w:val="006A0766"/>
    <w:rsid w:val="006A082F"/>
    <w:rsid w:val="006A083A"/>
    <w:rsid w:val="006A088E"/>
    <w:rsid w:val="006A08A0"/>
    <w:rsid w:val="006A09B0"/>
    <w:rsid w:val="006A0A50"/>
    <w:rsid w:val="006A0B7D"/>
    <w:rsid w:val="006A0D5F"/>
    <w:rsid w:val="006A0DC7"/>
    <w:rsid w:val="006A0E4C"/>
    <w:rsid w:val="006A0E50"/>
    <w:rsid w:val="006A0E9B"/>
    <w:rsid w:val="006A0FA7"/>
    <w:rsid w:val="006A0FC6"/>
    <w:rsid w:val="006A0FDB"/>
    <w:rsid w:val="006A107F"/>
    <w:rsid w:val="006A10F7"/>
    <w:rsid w:val="006A110E"/>
    <w:rsid w:val="006A115E"/>
    <w:rsid w:val="006A1184"/>
    <w:rsid w:val="006A11AB"/>
    <w:rsid w:val="006A11C7"/>
    <w:rsid w:val="006A1344"/>
    <w:rsid w:val="006A1363"/>
    <w:rsid w:val="006A13CE"/>
    <w:rsid w:val="006A14B1"/>
    <w:rsid w:val="006A154E"/>
    <w:rsid w:val="006A1559"/>
    <w:rsid w:val="006A1605"/>
    <w:rsid w:val="006A161C"/>
    <w:rsid w:val="006A161E"/>
    <w:rsid w:val="006A1655"/>
    <w:rsid w:val="006A1669"/>
    <w:rsid w:val="006A1677"/>
    <w:rsid w:val="006A1690"/>
    <w:rsid w:val="006A16BE"/>
    <w:rsid w:val="006A170C"/>
    <w:rsid w:val="006A1712"/>
    <w:rsid w:val="006A1803"/>
    <w:rsid w:val="006A1871"/>
    <w:rsid w:val="006A18ED"/>
    <w:rsid w:val="006A1934"/>
    <w:rsid w:val="006A19E5"/>
    <w:rsid w:val="006A1ADE"/>
    <w:rsid w:val="006A1BF0"/>
    <w:rsid w:val="006A1DE2"/>
    <w:rsid w:val="006A1DEC"/>
    <w:rsid w:val="006A1E4F"/>
    <w:rsid w:val="006A1E93"/>
    <w:rsid w:val="006A1EC0"/>
    <w:rsid w:val="006A1EC8"/>
    <w:rsid w:val="006A1FE5"/>
    <w:rsid w:val="006A20F0"/>
    <w:rsid w:val="006A2183"/>
    <w:rsid w:val="006A219F"/>
    <w:rsid w:val="006A21A1"/>
    <w:rsid w:val="006A220F"/>
    <w:rsid w:val="006A2314"/>
    <w:rsid w:val="006A239A"/>
    <w:rsid w:val="006A23CE"/>
    <w:rsid w:val="006A23F4"/>
    <w:rsid w:val="006A2410"/>
    <w:rsid w:val="006A24B3"/>
    <w:rsid w:val="006A24BC"/>
    <w:rsid w:val="006A256B"/>
    <w:rsid w:val="006A25AD"/>
    <w:rsid w:val="006A25BA"/>
    <w:rsid w:val="006A263E"/>
    <w:rsid w:val="006A2677"/>
    <w:rsid w:val="006A26B8"/>
    <w:rsid w:val="006A275A"/>
    <w:rsid w:val="006A27AF"/>
    <w:rsid w:val="006A2843"/>
    <w:rsid w:val="006A286D"/>
    <w:rsid w:val="006A2874"/>
    <w:rsid w:val="006A28F2"/>
    <w:rsid w:val="006A28F5"/>
    <w:rsid w:val="006A2928"/>
    <w:rsid w:val="006A2938"/>
    <w:rsid w:val="006A29AB"/>
    <w:rsid w:val="006A2A48"/>
    <w:rsid w:val="006A2A7A"/>
    <w:rsid w:val="006A2B46"/>
    <w:rsid w:val="006A2BC7"/>
    <w:rsid w:val="006A2C0D"/>
    <w:rsid w:val="006A2C2B"/>
    <w:rsid w:val="006A2CE7"/>
    <w:rsid w:val="006A2D21"/>
    <w:rsid w:val="006A2D51"/>
    <w:rsid w:val="006A2D67"/>
    <w:rsid w:val="006A2DA3"/>
    <w:rsid w:val="006A2DF6"/>
    <w:rsid w:val="006A2E15"/>
    <w:rsid w:val="006A2E38"/>
    <w:rsid w:val="006A2EE1"/>
    <w:rsid w:val="006A2F4D"/>
    <w:rsid w:val="006A2FE6"/>
    <w:rsid w:val="006A3098"/>
    <w:rsid w:val="006A30BE"/>
    <w:rsid w:val="006A30C7"/>
    <w:rsid w:val="006A3165"/>
    <w:rsid w:val="006A31E0"/>
    <w:rsid w:val="006A330D"/>
    <w:rsid w:val="006A34B6"/>
    <w:rsid w:val="006A3544"/>
    <w:rsid w:val="006A3598"/>
    <w:rsid w:val="006A35B5"/>
    <w:rsid w:val="006A35BC"/>
    <w:rsid w:val="006A3662"/>
    <w:rsid w:val="006A36F2"/>
    <w:rsid w:val="006A371F"/>
    <w:rsid w:val="006A3744"/>
    <w:rsid w:val="006A380D"/>
    <w:rsid w:val="006A3816"/>
    <w:rsid w:val="006A3851"/>
    <w:rsid w:val="006A387B"/>
    <w:rsid w:val="006A3938"/>
    <w:rsid w:val="006A3958"/>
    <w:rsid w:val="006A39A3"/>
    <w:rsid w:val="006A39E7"/>
    <w:rsid w:val="006A3A37"/>
    <w:rsid w:val="006A3B38"/>
    <w:rsid w:val="006A3B72"/>
    <w:rsid w:val="006A3B76"/>
    <w:rsid w:val="006A3B7C"/>
    <w:rsid w:val="006A3B8D"/>
    <w:rsid w:val="006A3C07"/>
    <w:rsid w:val="006A3C2F"/>
    <w:rsid w:val="006A3C84"/>
    <w:rsid w:val="006A3DC8"/>
    <w:rsid w:val="006A3E10"/>
    <w:rsid w:val="006A3E66"/>
    <w:rsid w:val="006A3E79"/>
    <w:rsid w:val="006A3EF6"/>
    <w:rsid w:val="006A404E"/>
    <w:rsid w:val="006A41E9"/>
    <w:rsid w:val="006A42FA"/>
    <w:rsid w:val="006A4317"/>
    <w:rsid w:val="006A4331"/>
    <w:rsid w:val="006A43C7"/>
    <w:rsid w:val="006A43EF"/>
    <w:rsid w:val="006A444C"/>
    <w:rsid w:val="006A448D"/>
    <w:rsid w:val="006A4516"/>
    <w:rsid w:val="006A4522"/>
    <w:rsid w:val="006A4590"/>
    <w:rsid w:val="006A45EF"/>
    <w:rsid w:val="006A45F7"/>
    <w:rsid w:val="006A468F"/>
    <w:rsid w:val="006A46B2"/>
    <w:rsid w:val="006A46D8"/>
    <w:rsid w:val="006A477C"/>
    <w:rsid w:val="006A47B2"/>
    <w:rsid w:val="006A47E4"/>
    <w:rsid w:val="006A481A"/>
    <w:rsid w:val="006A4866"/>
    <w:rsid w:val="006A4897"/>
    <w:rsid w:val="006A48C0"/>
    <w:rsid w:val="006A4918"/>
    <w:rsid w:val="006A4931"/>
    <w:rsid w:val="006A49B3"/>
    <w:rsid w:val="006A49EB"/>
    <w:rsid w:val="006A4A68"/>
    <w:rsid w:val="006A4AD1"/>
    <w:rsid w:val="006A4AF7"/>
    <w:rsid w:val="006A4B49"/>
    <w:rsid w:val="006A4BB7"/>
    <w:rsid w:val="006A4BC4"/>
    <w:rsid w:val="006A4BE0"/>
    <w:rsid w:val="006A4BF9"/>
    <w:rsid w:val="006A4C13"/>
    <w:rsid w:val="006A4C57"/>
    <w:rsid w:val="006A4CA9"/>
    <w:rsid w:val="006A4D7A"/>
    <w:rsid w:val="006A4DA2"/>
    <w:rsid w:val="006A4DC7"/>
    <w:rsid w:val="006A4ED8"/>
    <w:rsid w:val="006A4EEF"/>
    <w:rsid w:val="006A4F46"/>
    <w:rsid w:val="006A4F65"/>
    <w:rsid w:val="006A4F93"/>
    <w:rsid w:val="006A4FD6"/>
    <w:rsid w:val="006A504B"/>
    <w:rsid w:val="006A50DC"/>
    <w:rsid w:val="006A5127"/>
    <w:rsid w:val="006A516B"/>
    <w:rsid w:val="006A5172"/>
    <w:rsid w:val="006A525A"/>
    <w:rsid w:val="006A5266"/>
    <w:rsid w:val="006A52A4"/>
    <w:rsid w:val="006A539D"/>
    <w:rsid w:val="006A5485"/>
    <w:rsid w:val="006A549F"/>
    <w:rsid w:val="006A54A0"/>
    <w:rsid w:val="006A54B9"/>
    <w:rsid w:val="006A54C7"/>
    <w:rsid w:val="006A54D4"/>
    <w:rsid w:val="006A5552"/>
    <w:rsid w:val="006A5586"/>
    <w:rsid w:val="006A560D"/>
    <w:rsid w:val="006A563B"/>
    <w:rsid w:val="006A5664"/>
    <w:rsid w:val="006A567F"/>
    <w:rsid w:val="006A5686"/>
    <w:rsid w:val="006A568C"/>
    <w:rsid w:val="006A569E"/>
    <w:rsid w:val="006A5708"/>
    <w:rsid w:val="006A5746"/>
    <w:rsid w:val="006A575B"/>
    <w:rsid w:val="006A579E"/>
    <w:rsid w:val="006A5813"/>
    <w:rsid w:val="006A5823"/>
    <w:rsid w:val="006A588A"/>
    <w:rsid w:val="006A58E1"/>
    <w:rsid w:val="006A5B19"/>
    <w:rsid w:val="006A5B91"/>
    <w:rsid w:val="006A5BE5"/>
    <w:rsid w:val="006A5C20"/>
    <w:rsid w:val="006A5D11"/>
    <w:rsid w:val="006A5D4B"/>
    <w:rsid w:val="006A5D53"/>
    <w:rsid w:val="006A5E62"/>
    <w:rsid w:val="006A5E68"/>
    <w:rsid w:val="006A5ECA"/>
    <w:rsid w:val="006A5FE7"/>
    <w:rsid w:val="006A60DE"/>
    <w:rsid w:val="006A6137"/>
    <w:rsid w:val="006A6150"/>
    <w:rsid w:val="006A615D"/>
    <w:rsid w:val="006A6239"/>
    <w:rsid w:val="006A627B"/>
    <w:rsid w:val="006A6297"/>
    <w:rsid w:val="006A62BB"/>
    <w:rsid w:val="006A6335"/>
    <w:rsid w:val="006A6350"/>
    <w:rsid w:val="006A63ED"/>
    <w:rsid w:val="006A648C"/>
    <w:rsid w:val="006A64C5"/>
    <w:rsid w:val="006A64E3"/>
    <w:rsid w:val="006A6528"/>
    <w:rsid w:val="006A657A"/>
    <w:rsid w:val="006A6591"/>
    <w:rsid w:val="006A65C0"/>
    <w:rsid w:val="006A65CB"/>
    <w:rsid w:val="006A66F5"/>
    <w:rsid w:val="006A6758"/>
    <w:rsid w:val="006A677A"/>
    <w:rsid w:val="006A682D"/>
    <w:rsid w:val="006A6882"/>
    <w:rsid w:val="006A691E"/>
    <w:rsid w:val="006A6927"/>
    <w:rsid w:val="006A6990"/>
    <w:rsid w:val="006A69BF"/>
    <w:rsid w:val="006A69E1"/>
    <w:rsid w:val="006A6A6F"/>
    <w:rsid w:val="006A6AF7"/>
    <w:rsid w:val="006A6B23"/>
    <w:rsid w:val="006A6BAA"/>
    <w:rsid w:val="006A6BEA"/>
    <w:rsid w:val="006A6BFD"/>
    <w:rsid w:val="006A6C30"/>
    <w:rsid w:val="006A6C3A"/>
    <w:rsid w:val="006A6D54"/>
    <w:rsid w:val="006A6D9A"/>
    <w:rsid w:val="006A6DF3"/>
    <w:rsid w:val="006A6EB3"/>
    <w:rsid w:val="006A6F8B"/>
    <w:rsid w:val="006A702E"/>
    <w:rsid w:val="006A704D"/>
    <w:rsid w:val="006A7131"/>
    <w:rsid w:val="006A7171"/>
    <w:rsid w:val="006A7191"/>
    <w:rsid w:val="006A71F1"/>
    <w:rsid w:val="006A721D"/>
    <w:rsid w:val="006A721E"/>
    <w:rsid w:val="006A7252"/>
    <w:rsid w:val="006A72C4"/>
    <w:rsid w:val="006A7382"/>
    <w:rsid w:val="006A73E6"/>
    <w:rsid w:val="006A7571"/>
    <w:rsid w:val="006A765A"/>
    <w:rsid w:val="006A7695"/>
    <w:rsid w:val="006A76CA"/>
    <w:rsid w:val="006A76F8"/>
    <w:rsid w:val="006A7778"/>
    <w:rsid w:val="006A777F"/>
    <w:rsid w:val="006A77C9"/>
    <w:rsid w:val="006A7879"/>
    <w:rsid w:val="006A7884"/>
    <w:rsid w:val="006A788F"/>
    <w:rsid w:val="006A78C3"/>
    <w:rsid w:val="006A78C8"/>
    <w:rsid w:val="006A798F"/>
    <w:rsid w:val="006A7A1F"/>
    <w:rsid w:val="006A7AC1"/>
    <w:rsid w:val="006A7ADB"/>
    <w:rsid w:val="006A7AE9"/>
    <w:rsid w:val="006A7B72"/>
    <w:rsid w:val="006A7B73"/>
    <w:rsid w:val="006A7B82"/>
    <w:rsid w:val="006A7B83"/>
    <w:rsid w:val="006A7C79"/>
    <w:rsid w:val="006A7C98"/>
    <w:rsid w:val="006A7D4E"/>
    <w:rsid w:val="006A7DB3"/>
    <w:rsid w:val="006A7DBC"/>
    <w:rsid w:val="006A7E09"/>
    <w:rsid w:val="006A7E2D"/>
    <w:rsid w:val="006A7E57"/>
    <w:rsid w:val="006A7E68"/>
    <w:rsid w:val="006A7ECB"/>
    <w:rsid w:val="006A7F35"/>
    <w:rsid w:val="006A7F3A"/>
    <w:rsid w:val="006B00DC"/>
    <w:rsid w:val="006B00FF"/>
    <w:rsid w:val="006B0100"/>
    <w:rsid w:val="006B0139"/>
    <w:rsid w:val="006B0319"/>
    <w:rsid w:val="006B032E"/>
    <w:rsid w:val="006B0334"/>
    <w:rsid w:val="006B034E"/>
    <w:rsid w:val="006B037B"/>
    <w:rsid w:val="006B041F"/>
    <w:rsid w:val="006B0477"/>
    <w:rsid w:val="006B04D1"/>
    <w:rsid w:val="006B0642"/>
    <w:rsid w:val="006B0651"/>
    <w:rsid w:val="006B069C"/>
    <w:rsid w:val="006B06F6"/>
    <w:rsid w:val="006B0768"/>
    <w:rsid w:val="006B0783"/>
    <w:rsid w:val="006B07D9"/>
    <w:rsid w:val="006B07E1"/>
    <w:rsid w:val="006B088C"/>
    <w:rsid w:val="006B08C0"/>
    <w:rsid w:val="006B08F5"/>
    <w:rsid w:val="006B0906"/>
    <w:rsid w:val="006B0928"/>
    <w:rsid w:val="006B092B"/>
    <w:rsid w:val="006B09C5"/>
    <w:rsid w:val="006B0A14"/>
    <w:rsid w:val="006B0A25"/>
    <w:rsid w:val="006B0ABD"/>
    <w:rsid w:val="006B0ADE"/>
    <w:rsid w:val="006B0AF0"/>
    <w:rsid w:val="006B0B60"/>
    <w:rsid w:val="006B0B6E"/>
    <w:rsid w:val="006B0B95"/>
    <w:rsid w:val="006B0BBC"/>
    <w:rsid w:val="006B0C85"/>
    <w:rsid w:val="006B0D09"/>
    <w:rsid w:val="006B0D46"/>
    <w:rsid w:val="006B0DA0"/>
    <w:rsid w:val="006B0DF8"/>
    <w:rsid w:val="006B0E57"/>
    <w:rsid w:val="006B0EB7"/>
    <w:rsid w:val="006B0EC3"/>
    <w:rsid w:val="006B1048"/>
    <w:rsid w:val="006B1068"/>
    <w:rsid w:val="006B10A5"/>
    <w:rsid w:val="006B10F6"/>
    <w:rsid w:val="006B1122"/>
    <w:rsid w:val="006B1156"/>
    <w:rsid w:val="006B1162"/>
    <w:rsid w:val="006B125E"/>
    <w:rsid w:val="006B1366"/>
    <w:rsid w:val="006B13E7"/>
    <w:rsid w:val="006B13F5"/>
    <w:rsid w:val="006B1411"/>
    <w:rsid w:val="006B1435"/>
    <w:rsid w:val="006B145D"/>
    <w:rsid w:val="006B1488"/>
    <w:rsid w:val="006B14B2"/>
    <w:rsid w:val="006B14B8"/>
    <w:rsid w:val="006B14EB"/>
    <w:rsid w:val="006B1556"/>
    <w:rsid w:val="006B15DA"/>
    <w:rsid w:val="006B167D"/>
    <w:rsid w:val="006B16A9"/>
    <w:rsid w:val="006B1758"/>
    <w:rsid w:val="006B177E"/>
    <w:rsid w:val="006B18FC"/>
    <w:rsid w:val="006B1919"/>
    <w:rsid w:val="006B1957"/>
    <w:rsid w:val="006B19B9"/>
    <w:rsid w:val="006B1A09"/>
    <w:rsid w:val="006B1B09"/>
    <w:rsid w:val="006B1B25"/>
    <w:rsid w:val="006B1C19"/>
    <w:rsid w:val="006B1CA0"/>
    <w:rsid w:val="006B1CBE"/>
    <w:rsid w:val="006B1D95"/>
    <w:rsid w:val="006B1DE9"/>
    <w:rsid w:val="006B1E08"/>
    <w:rsid w:val="006B1E79"/>
    <w:rsid w:val="006B1E9A"/>
    <w:rsid w:val="006B1F4B"/>
    <w:rsid w:val="006B1F7F"/>
    <w:rsid w:val="006B1FA0"/>
    <w:rsid w:val="006B1FEC"/>
    <w:rsid w:val="006B2010"/>
    <w:rsid w:val="006B2047"/>
    <w:rsid w:val="006B2083"/>
    <w:rsid w:val="006B20A4"/>
    <w:rsid w:val="006B214C"/>
    <w:rsid w:val="006B22D0"/>
    <w:rsid w:val="006B23BD"/>
    <w:rsid w:val="006B23CD"/>
    <w:rsid w:val="006B2465"/>
    <w:rsid w:val="006B2474"/>
    <w:rsid w:val="006B254C"/>
    <w:rsid w:val="006B2566"/>
    <w:rsid w:val="006B25AC"/>
    <w:rsid w:val="006B25B8"/>
    <w:rsid w:val="006B26EA"/>
    <w:rsid w:val="006B2717"/>
    <w:rsid w:val="006B2729"/>
    <w:rsid w:val="006B27AB"/>
    <w:rsid w:val="006B2885"/>
    <w:rsid w:val="006B289B"/>
    <w:rsid w:val="006B28AA"/>
    <w:rsid w:val="006B28D0"/>
    <w:rsid w:val="006B294E"/>
    <w:rsid w:val="006B2977"/>
    <w:rsid w:val="006B297F"/>
    <w:rsid w:val="006B29AB"/>
    <w:rsid w:val="006B29F2"/>
    <w:rsid w:val="006B2A03"/>
    <w:rsid w:val="006B2AD2"/>
    <w:rsid w:val="006B2AF5"/>
    <w:rsid w:val="006B2AFF"/>
    <w:rsid w:val="006B2B12"/>
    <w:rsid w:val="006B2B5C"/>
    <w:rsid w:val="006B2C2C"/>
    <w:rsid w:val="006B2C7E"/>
    <w:rsid w:val="006B2D10"/>
    <w:rsid w:val="006B2D5F"/>
    <w:rsid w:val="006B2D60"/>
    <w:rsid w:val="006B2D8D"/>
    <w:rsid w:val="006B2FAC"/>
    <w:rsid w:val="006B3066"/>
    <w:rsid w:val="006B3182"/>
    <w:rsid w:val="006B323B"/>
    <w:rsid w:val="006B32C1"/>
    <w:rsid w:val="006B32FC"/>
    <w:rsid w:val="006B335E"/>
    <w:rsid w:val="006B339E"/>
    <w:rsid w:val="006B33E5"/>
    <w:rsid w:val="006B3468"/>
    <w:rsid w:val="006B3482"/>
    <w:rsid w:val="006B34AB"/>
    <w:rsid w:val="006B34BF"/>
    <w:rsid w:val="006B354A"/>
    <w:rsid w:val="006B356F"/>
    <w:rsid w:val="006B35A0"/>
    <w:rsid w:val="006B362D"/>
    <w:rsid w:val="006B364E"/>
    <w:rsid w:val="006B36E5"/>
    <w:rsid w:val="006B3743"/>
    <w:rsid w:val="006B3784"/>
    <w:rsid w:val="006B37DC"/>
    <w:rsid w:val="006B3967"/>
    <w:rsid w:val="006B39F8"/>
    <w:rsid w:val="006B3A26"/>
    <w:rsid w:val="006B3B43"/>
    <w:rsid w:val="006B3BAF"/>
    <w:rsid w:val="006B3BD7"/>
    <w:rsid w:val="006B3BE0"/>
    <w:rsid w:val="006B3C3A"/>
    <w:rsid w:val="006B3C72"/>
    <w:rsid w:val="006B3C8A"/>
    <w:rsid w:val="006B3CA7"/>
    <w:rsid w:val="006B3CD1"/>
    <w:rsid w:val="006B3D24"/>
    <w:rsid w:val="006B3D4E"/>
    <w:rsid w:val="006B3D5F"/>
    <w:rsid w:val="006B3E45"/>
    <w:rsid w:val="006B3EA7"/>
    <w:rsid w:val="006B3EAC"/>
    <w:rsid w:val="006B3FA7"/>
    <w:rsid w:val="006B4028"/>
    <w:rsid w:val="006B403A"/>
    <w:rsid w:val="006B403C"/>
    <w:rsid w:val="006B40BB"/>
    <w:rsid w:val="006B40C7"/>
    <w:rsid w:val="006B421B"/>
    <w:rsid w:val="006B4249"/>
    <w:rsid w:val="006B4294"/>
    <w:rsid w:val="006B431C"/>
    <w:rsid w:val="006B4383"/>
    <w:rsid w:val="006B449E"/>
    <w:rsid w:val="006B44AA"/>
    <w:rsid w:val="006B44C2"/>
    <w:rsid w:val="006B451F"/>
    <w:rsid w:val="006B4583"/>
    <w:rsid w:val="006B458F"/>
    <w:rsid w:val="006B45A4"/>
    <w:rsid w:val="006B4652"/>
    <w:rsid w:val="006B4697"/>
    <w:rsid w:val="006B46D2"/>
    <w:rsid w:val="006B472A"/>
    <w:rsid w:val="006B4739"/>
    <w:rsid w:val="006B47D5"/>
    <w:rsid w:val="006B47FC"/>
    <w:rsid w:val="006B485D"/>
    <w:rsid w:val="006B4895"/>
    <w:rsid w:val="006B4954"/>
    <w:rsid w:val="006B4AC6"/>
    <w:rsid w:val="006B4AE7"/>
    <w:rsid w:val="006B4B40"/>
    <w:rsid w:val="006B4B8C"/>
    <w:rsid w:val="006B4B8F"/>
    <w:rsid w:val="006B4B9D"/>
    <w:rsid w:val="006B4BA7"/>
    <w:rsid w:val="006B4BCA"/>
    <w:rsid w:val="006B4CCF"/>
    <w:rsid w:val="006B4CE4"/>
    <w:rsid w:val="006B4D39"/>
    <w:rsid w:val="006B4D98"/>
    <w:rsid w:val="006B4DAF"/>
    <w:rsid w:val="006B4E17"/>
    <w:rsid w:val="006B4E90"/>
    <w:rsid w:val="006B4EF5"/>
    <w:rsid w:val="006B4F11"/>
    <w:rsid w:val="006B4F2F"/>
    <w:rsid w:val="006B4F56"/>
    <w:rsid w:val="006B4F69"/>
    <w:rsid w:val="006B4F90"/>
    <w:rsid w:val="006B4FA6"/>
    <w:rsid w:val="006B4FB4"/>
    <w:rsid w:val="006B500E"/>
    <w:rsid w:val="006B5017"/>
    <w:rsid w:val="006B5038"/>
    <w:rsid w:val="006B50CD"/>
    <w:rsid w:val="006B511E"/>
    <w:rsid w:val="006B51A3"/>
    <w:rsid w:val="006B520F"/>
    <w:rsid w:val="006B5223"/>
    <w:rsid w:val="006B5246"/>
    <w:rsid w:val="006B5275"/>
    <w:rsid w:val="006B5385"/>
    <w:rsid w:val="006B53A6"/>
    <w:rsid w:val="006B53C9"/>
    <w:rsid w:val="006B53D0"/>
    <w:rsid w:val="006B53E8"/>
    <w:rsid w:val="006B5539"/>
    <w:rsid w:val="006B555C"/>
    <w:rsid w:val="006B55B5"/>
    <w:rsid w:val="006B55C7"/>
    <w:rsid w:val="006B55DD"/>
    <w:rsid w:val="006B561A"/>
    <w:rsid w:val="006B58A2"/>
    <w:rsid w:val="006B5920"/>
    <w:rsid w:val="006B5961"/>
    <w:rsid w:val="006B5975"/>
    <w:rsid w:val="006B5995"/>
    <w:rsid w:val="006B5ABF"/>
    <w:rsid w:val="006B5B0D"/>
    <w:rsid w:val="006B5B2C"/>
    <w:rsid w:val="006B5B4A"/>
    <w:rsid w:val="006B5BA4"/>
    <w:rsid w:val="006B5BB7"/>
    <w:rsid w:val="006B5BCE"/>
    <w:rsid w:val="006B5BEE"/>
    <w:rsid w:val="006B5C7E"/>
    <w:rsid w:val="006B5C85"/>
    <w:rsid w:val="006B5CE2"/>
    <w:rsid w:val="006B5D4C"/>
    <w:rsid w:val="006B5D4D"/>
    <w:rsid w:val="006B5D59"/>
    <w:rsid w:val="006B5D63"/>
    <w:rsid w:val="006B5DCA"/>
    <w:rsid w:val="006B5E10"/>
    <w:rsid w:val="006B5EA4"/>
    <w:rsid w:val="006B5ED7"/>
    <w:rsid w:val="006B5F2B"/>
    <w:rsid w:val="006B5F5B"/>
    <w:rsid w:val="006B600A"/>
    <w:rsid w:val="006B6011"/>
    <w:rsid w:val="006B60A9"/>
    <w:rsid w:val="006B6101"/>
    <w:rsid w:val="006B61A2"/>
    <w:rsid w:val="006B61B4"/>
    <w:rsid w:val="006B6294"/>
    <w:rsid w:val="006B629A"/>
    <w:rsid w:val="006B62CD"/>
    <w:rsid w:val="006B62F4"/>
    <w:rsid w:val="006B630A"/>
    <w:rsid w:val="006B63CD"/>
    <w:rsid w:val="006B641B"/>
    <w:rsid w:val="006B6431"/>
    <w:rsid w:val="006B644A"/>
    <w:rsid w:val="006B650A"/>
    <w:rsid w:val="006B653A"/>
    <w:rsid w:val="006B65C2"/>
    <w:rsid w:val="006B6604"/>
    <w:rsid w:val="006B6620"/>
    <w:rsid w:val="006B662C"/>
    <w:rsid w:val="006B6664"/>
    <w:rsid w:val="006B66C4"/>
    <w:rsid w:val="006B6840"/>
    <w:rsid w:val="006B6842"/>
    <w:rsid w:val="006B68E9"/>
    <w:rsid w:val="006B68FF"/>
    <w:rsid w:val="006B699A"/>
    <w:rsid w:val="006B6A3B"/>
    <w:rsid w:val="006B6A78"/>
    <w:rsid w:val="006B6A95"/>
    <w:rsid w:val="006B6B24"/>
    <w:rsid w:val="006B6B3F"/>
    <w:rsid w:val="006B6BA2"/>
    <w:rsid w:val="006B6C9E"/>
    <w:rsid w:val="006B6D16"/>
    <w:rsid w:val="006B6DEE"/>
    <w:rsid w:val="006B6EC4"/>
    <w:rsid w:val="006B6F81"/>
    <w:rsid w:val="006B7034"/>
    <w:rsid w:val="006B7075"/>
    <w:rsid w:val="006B70A2"/>
    <w:rsid w:val="006B70A9"/>
    <w:rsid w:val="006B70B1"/>
    <w:rsid w:val="006B70C1"/>
    <w:rsid w:val="006B70D5"/>
    <w:rsid w:val="006B7172"/>
    <w:rsid w:val="006B71CB"/>
    <w:rsid w:val="006B71D3"/>
    <w:rsid w:val="006B71EC"/>
    <w:rsid w:val="006B724F"/>
    <w:rsid w:val="006B726D"/>
    <w:rsid w:val="006B7286"/>
    <w:rsid w:val="006B7324"/>
    <w:rsid w:val="006B7342"/>
    <w:rsid w:val="006B7353"/>
    <w:rsid w:val="006B7356"/>
    <w:rsid w:val="006B738C"/>
    <w:rsid w:val="006B73D1"/>
    <w:rsid w:val="006B73D6"/>
    <w:rsid w:val="006B747E"/>
    <w:rsid w:val="006B752D"/>
    <w:rsid w:val="006B758B"/>
    <w:rsid w:val="006B761A"/>
    <w:rsid w:val="006B7687"/>
    <w:rsid w:val="006B7796"/>
    <w:rsid w:val="006B7867"/>
    <w:rsid w:val="006B78BA"/>
    <w:rsid w:val="006B795E"/>
    <w:rsid w:val="006B797B"/>
    <w:rsid w:val="006B79D9"/>
    <w:rsid w:val="006B7A7A"/>
    <w:rsid w:val="006B7A98"/>
    <w:rsid w:val="006B7B86"/>
    <w:rsid w:val="006B7BA2"/>
    <w:rsid w:val="006B7C69"/>
    <w:rsid w:val="006B7C9C"/>
    <w:rsid w:val="006B7CD8"/>
    <w:rsid w:val="006B7D0A"/>
    <w:rsid w:val="006B7D9E"/>
    <w:rsid w:val="006B7DA2"/>
    <w:rsid w:val="006B7DD1"/>
    <w:rsid w:val="006B7E15"/>
    <w:rsid w:val="006B7E6A"/>
    <w:rsid w:val="006B7EB3"/>
    <w:rsid w:val="006B7EC3"/>
    <w:rsid w:val="006B7F38"/>
    <w:rsid w:val="006B7F68"/>
    <w:rsid w:val="006B7F82"/>
    <w:rsid w:val="006B7FCE"/>
    <w:rsid w:val="006C013D"/>
    <w:rsid w:val="006C0173"/>
    <w:rsid w:val="006C0181"/>
    <w:rsid w:val="006C0189"/>
    <w:rsid w:val="006C018D"/>
    <w:rsid w:val="006C0290"/>
    <w:rsid w:val="006C02DA"/>
    <w:rsid w:val="006C0352"/>
    <w:rsid w:val="006C04B4"/>
    <w:rsid w:val="006C0526"/>
    <w:rsid w:val="006C05DC"/>
    <w:rsid w:val="006C0640"/>
    <w:rsid w:val="006C066D"/>
    <w:rsid w:val="006C06CD"/>
    <w:rsid w:val="006C06DC"/>
    <w:rsid w:val="006C06E8"/>
    <w:rsid w:val="006C075A"/>
    <w:rsid w:val="006C0859"/>
    <w:rsid w:val="006C0938"/>
    <w:rsid w:val="006C09ED"/>
    <w:rsid w:val="006C0A71"/>
    <w:rsid w:val="006C0ACD"/>
    <w:rsid w:val="006C0B04"/>
    <w:rsid w:val="006C0B84"/>
    <w:rsid w:val="006C0BCA"/>
    <w:rsid w:val="006C0CCC"/>
    <w:rsid w:val="006C0D12"/>
    <w:rsid w:val="006C0D82"/>
    <w:rsid w:val="006C0DB0"/>
    <w:rsid w:val="006C0E19"/>
    <w:rsid w:val="006C0EE5"/>
    <w:rsid w:val="006C0F28"/>
    <w:rsid w:val="006C0F47"/>
    <w:rsid w:val="006C0F50"/>
    <w:rsid w:val="006C0F82"/>
    <w:rsid w:val="006C1010"/>
    <w:rsid w:val="006C10D0"/>
    <w:rsid w:val="006C10F7"/>
    <w:rsid w:val="006C1136"/>
    <w:rsid w:val="006C1185"/>
    <w:rsid w:val="006C11CA"/>
    <w:rsid w:val="006C1226"/>
    <w:rsid w:val="006C1282"/>
    <w:rsid w:val="006C1297"/>
    <w:rsid w:val="006C1316"/>
    <w:rsid w:val="006C1332"/>
    <w:rsid w:val="006C134F"/>
    <w:rsid w:val="006C1371"/>
    <w:rsid w:val="006C13D1"/>
    <w:rsid w:val="006C1434"/>
    <w:rsid w:val="006C143F"/>
    <w:rsid w:val="006C1443"/>
    <w:rsid w:val="006C147F"/>
    <w:rsid w:val="006C14C8"/>
    <w:rsid w:val="006C1531"/>
    <w:rsid w:val="006C1546"/>
    <w:rsid w:val="006C15D5"/>
    <w:rsid w:val="006C15EE"/>
    <w:rsid w:val="006C16C5"/>
    <w:rsid w:val="006C16C7"/>
    <w:rsid w:val="006C16D6"/>
    <w:rsid w:val="006C17D8"/>
    <w:rsid w:val="006C17DE"/>
    <w:rsid w:val="006C17E2"/>
    <w:rsid w:val="006C1872"/>
    <w:rsid w:val="006C18C1"/>
    <w:rsid w:val="006C18FC"/>
    <w:rsid w:val="006C1937"/>
    <w:rsid w:val="006C194A"/>
    <w:rsid w:val="006C1963"/>
    <w:rsid w:val="006C1995"/>
    <w:rsid w:val="006C19A8"/>
    <w:rsid w:val="006C19DD"/>
    <w:rsid w:val="006C19EC"/>
    <w:rsid w:val="006C1A80"/>
    <w:rsid w:val="006C1A8E"/>
    <w:rsid w:val="006C1ACC"/>
    <w:rsid w:val="006C1AFD"/>
    <w:rsid w:val="006C1B0C"/>
    <w:rsid w:val="006C1B63"/>
    <w:rsid w:val="006C1BCE"/>
    <w:rsid w:val="006C1C99"/>
    <w:rsid w:val="006C1CAB"/>
    <w:rsid w:val="006C1D6C"/>
    <w:rsid w:val="006C1D6F"/>
    <w:rsid w:val="006C1DB3"/>
    <w:rsid w:val="006C1DCB"/>
    <w:rsid w:val="006C1DCD"/>
    <w:rsid w:val="006C1EA4"/>
    <w:rsid w:val="006C1EB2"/>
    <w:rsid w:val="006C1ED8"/>
    <w:rsid w:val="006C1EE8"/>
    <w:rsid w:val="006C1F92"/>
    <w:rsid w:val="006C1FCF"/>
    <w:rsid w:val="006C1FE2"/>
    <w:rsid w:val="006C2098"/>
    <w:rsid w:val="006C2099"/>
    <w:rsid w:val="006C209D"/>
    <w:rsid w:val="006C2198"/>
    <w:rsid w:val="006C224C"/>
    <w:rsid w:val="006C227D"/>
    <w:rsid w:val="006C227F"/>
    <w:rsid w:val="006C2282"/>
    <w:rsid w:val="006C238B"/>
    <w:rsid w:val="006C23D5"/>
    <w:rsid w:val="006C23DF"/>
    <w:rsid w:val="006C245B"/>
    <w:rsid w:val="006C2467"/>
    <w:rsid w:val="006C25F4"/>
    <w:rsid w:val="006C261C"/>
    <w:rsid w:val="006C2732"/>
    <w:rsid w:val="006C2777"/>
    <w:rsid w:val="006C27D2"/>
    <w:rsid w:val="006C27D4"/>
    <w:rsid w:val="006C2837"/>
    <w:rsid w:val="006C28BB"/>
    <w:rsid w:val="006C29AF"/>
    <w:rsid w:val="006C2A1E"/>
    <w:rsid w:val="006C2A25"/>
    <w:rsid w:val="006C2A86"/>
    <w:rsid w:val="006C2A93"/>
    <w:rsid w:val="006C2AD8"/>
    <w:rsid w:val="006C2AE8"/>
    <w:rsid w:val="006C2B70"/>
    <w:rsid w:val="006C2B97"/>
    <w:rsid w:val="006C2C16"/>
    <w:rsid w:val="006C2CBA"/>
    <w:rsid w:val="006C2CC0"/>
    <w:rsid w:val="006C2CC9"/>
    <w:rsid w:val="006C2D4F"/>
    <w:rsid w:val="006C2D63"/>
    <w:rsid w:val="006C2DA7"/>
    <w:rsid w:val="006C2E33"/>
    <w:rsid w:val="006C2E63"/>
    <w:rsid w:val="006C2E69"/>
    <w:rsid w:val="006C2E73"/>
    <w:rsid w:val="006C2F4A"/>
    <w:rsid w:val="006C2FBA"/>
    <w:rsid w:val="006C3082"/>
    <w:rsid w:val="006C325B"/>
    <w:rsid w:val="006C33F2"/>
    <w:rsid w:val="006C33F9"/>
    <w:rsid w:val="006C3407"/>
    <w:rsid w:val="006C3413"/>
    <w:rsid w:val="006C3506"/>
    <w:rsid w:val="006C3593"/>
    <w:rsid w:val="006C35C7"/>
    <w:rsid w:val="006C3600"/>
    <w:rsid w:val="006C365E"/>
    <w:rsid w:val="006C3672"/>
    <w:rsid w:val="006C3775"/>
    <w:rsid w:val="006C3861"/>
    <w:rsid w:val="006C38EA"/>
    <w:rsid w:val="006C3910"/>
    <w:rsid w:val="006C3927"/>
    <w:rsid w:val="006C3965"/>
    <w:rsid w:val="006C3AB5"/>
    <w:rsid w:val="006C3BB6"/>
    <w:rsid w:val="006C3BDB"/>
    <w:rsid w:val="006C3BF5"/>
    <w:rsid w:val="006C3C21"/>
    <w:rsid w:val="006C3C45"/>
    <w:rsid w:val="006C3C9A"/>
    <w:rsid w:val="006C3CDF"/>
    <w:rsid w:val="006C3D0A"/>
    <w:rsid w:val="006C3E36"/>
    <w:rsid w:val="006C3EA4"/>
    <w:rsid w:val="006C3F3D"/>
    <w:rsid w:val="006C3F6A"/>
    <w:rsid w:val="006C4098"/>
    <w:rsid w:val="006C40E5"/>
    <w:rsid w:val="006C4112"/>
    <w:rsid w:val="006C4126"/>
    <w:rsid w:val="006C4276"/>
    <w:rsid w:val="006C4284"/>
    <w:rsid w:val="006C437B"/>
    <w:rsid w:val="006C43FD"/>
    <w:rsid w:val="006C441D"/>
    <w:rsid w:val="006C44A2"/>
    <w:rsid w:val="006C44CE"/>
    <w:rsid w:val="006C44D4"/>
    <w:rsid w:val="006C4527"/>
    <w:rsid w:val="006C4571"/>
    <w:rsid w:val="006C4596"/>
    <w:rsid w:val="006C45B9"/>
    <w:rsid w:val="006C45CC"/>
    <w:rsid w:val="006C4613"/>
    <w:rsid w:val="006C46B5"/>
    <w:rsid w:val="006C4726"/>
    <w:rsid w:val="006C481D"/>
    <w:rsid w:val="006C488B"/>
    <w:rsid w:val="006C496F"/>
    <w:rsid w:val="006C4987"/>
    <w:rsid w:val="006C49BF"/>
    <w:rsid w:val="006C4A9E"/>
    <w:rsid w:val="006C4B25"/>
    <w:rsid w:val="006C4B41"/>
    <w:rsid w:val="006C4B70"/>
    <w:rsid w:val="006C4C0B"/>
    <w:rsid w:val="006C4D53"/>
    <w:rsid w:val="006C4DBE"/>
    <w:rsid w:val="006C4ED8"/>
    <w:rsid w:val="006C4F26"/>
    <w:rsid w:val="006C4FA4"/>
    <w:rsid w:val="006C4FBC"/>
    <w:rsid w:val="006C5011"/>
    <w:rsid w:val="006C504E"/>
    <w:rsid w:val="006C50CE"/>
    <w:rsid w:val="006C5205"/>
    <w:rsid w:val="006C521E"/>
    <w:rsid w:val="006C5227"/>
    <w:rsid w:val="006C523C"/>
    <w:rsid w:val="006C5276"/>
    <w:rsid w:val="006C5298"/>
    <w:rsid w:val="006C529A"/>
    <w:rsid w:val="006C533E"/>
    <w:rsid w:val="006C53A6"/>
    <w:rsid w:val="006C545D"/>
    <w:rsid w:val="006C5467"/>
    <w:rsid w:val="006C546D"/>
    <w:rsid w:val="006C547F"/>
    <w:rsid w:val="006C54A4"/>
    <w:rsid w:val="006C54A5"/>
    <w:rsid w:val="006C572A"/>
    <w:rsid w:val="006C57CB"/>
    <w:rsid w:val="006C58A2"/>
    <w:rsid w:val="006C58ED"/>
    <w:rsid w:val="006C5913"/>
    <w:rsid w:val="006C591B"/>
    <w:rsid w:val="006C5966"/>
    <w:rsid w:val="006C5A3B"/>
    <w:rsid w:val="006C5A88"/>
    <w:rsid w:val="006C5AAD"/>
    <w:rsid w:val="006C5ADB"/>
    <w:rsid w:val="006C5AE0"/>
    <w:rsid w:val="006C5B2D"/>
    <w:rsid w:val="006C5B4E"/>
    <w:rsid w:val="006C5DC1"/>
    <w:rsid w:val="006C5F03"/>
    <w:rsid w:val="006C5F2A"/>
    <w:rsid w:val="006C5F2B"/>
    <w:rsid w:val="006C5F5D"/>
    <w:rsid w:val="006C5FA7"/>
    <w:rsid w:val="006C5FEF"/>
    <w:rsid w:val="006C60A8"/>
    <w:rsid w:val="006C60D4"/>
    <w:rsid w:val="006C6120"/>
    <w:rsid w:val="006C6151"/>
    <w:rsid w:val="006C61EA"/>
    <w:rsid w:val="006C6232"/>
    <w:rsid w:val="006C6305"/>
    <w:rsid w:val="006C6325"/>
    <w:rsid w:val="006C6329"/>
    <w:rsid w:val="006C6360"/>
    <w:rsid w:val="006C63B9"/>
    <w:rsid w:val="006C63CC"/>
    <w:rsid w:val="006C64CA"/>
    <w:rsid w:val="006C65A4"/>
    <w:rsid w:val="006C65CD"/>
    <w:rsid w:val="006C65EE"/>
    <w:rsid w:val="006C6630"/>
    <w:rsid w:val="006C6635"/>
    <w:rsid w:val="006C6669"/>
    <w:rsid w:val="006C6672"/>
    <w:rsid w:val="006C66C9"/>
    <w:rsid w:val="006C66D8"/>
    <w:rsid w:val="006C66E8"/>
    <w:rsid w:val="006C677A"/>
    <w:rsid w:val="006C67B9"/>
    <w:rsid w:val="006C6858"/>
    <w:rsid w:val="006C691D"/>
    <w:rsid w:val="006C6923"/>
    <w:rsid w:val="006C6984"/>
    <w:rsid w:val="006C69AA"/>
    <w:rsid w:val="006C6A9B"/>
    <w:rsid w:val="006C6B09"/>
    <w:rsid w:val="006C6BD0"/>
    <w:rsid w:val="006C6BD4"/>
    <w:rsid w:val="006C6BD5"/>
    <w:rsid w:val="006C6CE3"/>
    <w:rsid w:val="006C6D39"/>
    <w:rsid w:val="006C6D3F"/>
    <w:rsid w:val="006C6E40"/>
    <w:rsid w:val="006C6E83"/>
    <w:rsid w:val="006C6EF3"/>
    <w:rsid w:val="006C6EF7"/>
    <w:rsid w:val="006C6F0C"/>
    <w:rsid w:val="006C6F5E"/>
    <w:rsid w:val="006C6F75"/>
    <w:rsid w:val="006C6FA1"/>
    <w:rsid w:val="006C6FCD"/>
    <w:rsid w:val="006C700C"/>
    <w:rsid w:val="006C701B"/>
    <w:rsid w:val="006C704B"/>
    <w:rsid w:val="006C704F"/>
    <w:rsid w:val="006C706F"/>
    <w:rsid w:val="006C70B8"/>
    <w:rsid w:val="006C70DA"/>
    <w:rsid w:val="006C70DC"/>
    <w:rsid w:val="006C72A3"/>
    <w:rsid w:val="006C7350"/>
    <w:rsid w:val="006C737D"/>
    <w:rsid w:val="006C743E"/>
    <w:rsid w:val="006C7448"/>
    <w:rsid w:val="006C748D"/>
    <w:rsid w:val="006C74AE"/>
    <w:rsid w:val="006C7584"/>
    <w:rsid w:val="006C7587"/>
    <w:rsid w:val="006C75FB"/>
    <w:rsid w:val="006C76C3"/>
    <w:rsid w:val="006C7714"/>
    <w:rsid w:val="006C7784"/>
    <w:rsid w:val="006C77A5"/>
    <w:rsid w:val="006C77D3"/>
    <w:rsid w:val="006C7865"/>
    <w:rsid w:val="006C786B"/>
    <w:rsid w:val="006C7927"/>
    <w:rsid w:val="006C794F"/>
    <w:rsid w:val="006C79B0"/>
    <w:rsid w:val="006C7A72"/>
    <w:rsid w:val="006C7A8A"/>
    <w:rsid w:val="006C7AB6"/>
    <w:rsid w:val="006C7AEE"/>
    <w:rsid w:val="006C7AF8"/>
    <w:rsid w:val="006C7B0B"/>
    <w:rsid w:val="006C7B21"/>
    <w:rsid w:val="006C7B31"/>
    <w:rsid w:val="006C7BAE"/>
    <w:rsid w:val="006C7BB4"/>
    <w:rsid w:val="006C7BF8"/>
    <w:rsid w:val="006C7C0E"/>
    <w:rsid w:val="006C7C22"/>
    <w:rsid w:val="006C7C29"/>
    <w:rsid w:val="006C7C45"/>
    <w:rsid w:val="006C7C64"/>
    <w:rsid w:val="006C7C83"/>
    <w:rsid w:val="006C7CC4"/>
    <w:rsid w:val="006C7CD4"/>
    <w:rsid w:val="006C7D50"/>
    <w:rsid w:val="006C7D83"/>
    <w:rsid w:val="006C7DE3"/>
    <w:rsid w:val="006C7E08"/>
    <w:rsid w:val="006C7E2F"/>
    <w:rsid w:val="006C7E4A"/>
    <w:rsid w:val="006C7E92"/>
    <w:rsid w:val="006C7F46"/>
    <w:rsid w:val="006C7FB1"/>
    <w:rsid w:val="006C8793"/>
    <w:rsid w:val="006CF6CA"/>
    <w:rsid w:val="006D008F"/>
    <w:rsid w:val="006D0146"/>
    <w:rsid w:val="006D016F"/>
    <w:rsid w:val="006D0176"/>
    <w:rsid w:val="006D0198"/>
    <w:rsid w:val="006D01AB"/>
    <w:rsid w:val="006D01F5"/>
    <w:rsid w:val="006D01F8"/>
    <w:rsid w:val="006D0208"/>
    <w:rsid w:val="006D020D"/>
    <w:rsid w:val="006D026A"/>
    <w:rsid w:val="006D0270"/>
    <w:rsid w:val="006D0282"/>
    <w:rsid w:val="006D02EE"/>
    <w:rsid w:val="006D0388"/>
    <w:rsid w:val="006D03AC"/>
    <w:rsid w:val="006D0479"/>
    <w:rsid w:val="006D0597"/>
    <w:rsid w:val="006D05D3"/>
    <w:rsid w:val="006D05DD"/>
    <w:rsid w:val="006D0708"/>
    <w:rsid w:val="006D071E"/>
    <w:rsid w:val="006D0757"/>
    <w:rsid w:val="006D07BF"/>
    <w:rsid w:val="006D0807"/>
    <w:rsid w:val="006D083D"/>
    <w:rsid w:val="006D08CA"/>
    <w:rsid w:val="006D0923"/>
    <w:rsid w:val="006D092B"/>
    <w:rsid w:val="006D0942"/>
    <w:rsid w:val="006D09FA"/>
    <w:rsid w:val="006D0AC4"/>
    <w:rsid w:val="006D0B4D"/>
    <w:rsid w:val="006D0B5B"/>
    <w:rsid w:val="006D0B6D"/>
    <w:rsid w:val="006D0B96"/>
    <w:rsid w:val="006D0BA7"/>
    <w:rsid w:val="006D0BF1"/>
    <w:rsid w:val="006D0CFD"/>
    <w:rsid w:val="006D0E51"/>
    <w:rsid w:val="006D0E75"/>
    <w:rsid w:val="006D0EAB"/>
    <w:rsid w:val="006D0F33"/>
    <w:rsid w:val="006D0F3D"/>
    <w:rsid w:val="006D0F4F"/>
    <w:rsid w:val="006D0F67"/>
    <w:rsid w:val="006D0FB2"/>
    <w:rsid w:val="006D1163"/>
    <w:rsid w:val="006D11EF"/>
    <w:rsid w:val="006D11F4"/>
    <w:rsid w:val="006D1259"/>
    <w:rsid w:val="006D1441"/>
    <w:rsid w:val="006D14DB"/>
    <w:rsid w:val="006D14F4"/>
    <w:rsid w:val="006D153A"/>
    <w:rsid w:val="006D1579"/>
    <w:rsid w:val="006D15BE"/>
    <w:rsid w:val="006D15EA"/>
    <w:rsid w:val="006D16F8"/>
    <w:rsid w:val="006D1707"/>
    <w:rsid w:val="006D1709"/>
    <w:rsid w:val="006D177A"/>
    <w:rsid w:val="006D179D"/>
    <w:rsid w:val="006D17CC"/>
    <w:rsid w:val="006D17DC"/>
    <w:rsid w:val="006D1824"/>
    <w:rsid w:val="006D1836"/>
    <w:rsid w:val="006D184A"/>
    <w:rsid w:val="006D1896"/>
    <w:rsid w:val="006D18F1"/>
    <w:rsid w:val="006D18F8"/>
    <w:rsid w:val="006D1935"/>
    <w:rsid w:val="006D194E"/>
    <w:rsid w:val="006D1978"/>
    <w:rsid w:val="006D1B9F"/>
    <w:rsid w:val="006D1D3F"/>
    <w:rsid w:val="006D1D4F"/>
    <w:rsid w:val="006D1E95"/>
    <w:rsid w:val="006D1EEC"/>
    <w:rsid w:val="006D1FF7"/>
    <w:rsid w:val="006D2043"/>
    <w:rsid w:val="006D2118"/>
    <w:rsid w:val="006D213C"/>
    <w:rsid w:val="006D2202"/>
    <w:rsid w:val="006D22BB"/>
    <w:rsid w:val="006D22DC"/>
    <w:rsid w:val="006D23A0"/>
    <w:rsid w:val="006D23D5"/>
    <w:rsid w:val="006D2405"/>
    <w:rsid w:val="006D245A"/>
    <w:rsid w:val="006D2471"/>
    <w:rsid w:val="006D247D"/>
    <w:rsid w:val="006D2515"/>
    <w:rsid w:val="006D2587"/>
    <w:rsid w:val="006D25DD"/>
    <w:rsid w:val="006D26DB"/>
    <w:rsid w:val="006D26E8"/>
    <w:rsid w:val="006D276F"/>
    <w:rsid w:val="006D27C3"/>
    <w:rsid w:val="006D283D"/>
    <w:rsid w:val="006D2851"/>
    <w:rsid w:val="006D2869"/>
    <w:rsid w:val="006D2971"/>
    <w:rsid w:val="006D2A0C"/>
    <w:rsid w:val="006D2A23"/>
    <w:rsid w:val="006D2B29"/>
    <w:rsid w:val="006D2B9A"/>
    <w:rsid w:val="006D2C7B"/>
    <w:rsid w:val="006D2CA3"/>
    <w:rsid w:val="006D2CF0"/>
    <w:rsid w:val="006D2D50"/>
    <w:rsid w:val="006D2DDC"/>
    <w:rsid w:val="006D2E64"/>
    <w:rsid w:val="006D2E81"/>
    <w:rsid w:val="006D2F01"/>
    <w:rsid w:val="006D2F04"/>
    <w:rsid w:val="006D2F4D"/>
    <w:rsid w:val="006D2FA8"/>
    <w:rsid w:val="006D2FB9"/>
    <w:rsid w:val="006D2FF0"/>
    <w:rsid w:val="006D2FFD"/>
    <w:rsid w:val="006D3103"/>
    <w:rsid w:val="006D310F"/>
    <w:rsid w:val="006D31D7"/>
    <w:rsid w:val="006D323E"/>
    <w:rsid w:val="006D333B"/>
    <w:rsid w:val="006D334A"/>
    <w:rsid w:val="006D334E"/>
    <w:rsid w:val="006D33B6"/>
    <w:rsid w:val="006D33C5"/>
    <w:rsid w:val="006D3432"/>
    <w:rsid w:val="006D3444"/>
    <w:rsid w:val="006D3563"/>
    <w:rsid w:val="006D3584"/>
    <w:rsid w:val="006D359E"/>
    <w:rsid w:val="006D35C5"/>
    <w:rsid w:val="006D36A6"/>
    <w:rsid w:val="006D36B8"/>
    <w:rsid w:val="006D36EB"/>
    <w:rsid w:val="006D36F7"/>
    <w:rsid w:val="006D3711"/>
    <w:rsid w:val="006D382B"/>
    <w:rsid w:val="006D384B"/>
    <w:rsid w:val="006D3870"/>
    <w:rsid w:val="006D3888"/>
    <w:rsid w:val="006D388A"/>
    <w:rsid w:val="006D38B3"/>
    <w:rsid w:val="006D3916"/>
    <w:rsid w:val="006D3923"/>
    <w:rsid w:val="006D397D"/>
    <w:rsid w:val="006D39DC"/>
    <w:rsid w:val="006D39EC"/>
    <w:rsid w:val="006D3A8A"/>
    <w:rsid w:val="006D3AAB"/>
    <w:rsid w:val="006D3ACE"/>
    <w:rsid w:val="006D3AFA"/>
    <w:rsid w:val="006D3B8E"/>
    <w:rsid w:val="006D3B9D"/>
    <w:rsid w:val="006D3BCF"/>
    <w:rsid w:val="006D3BDB"/>
    <w:rsid w:val="006D3BF1"/>
    <w:rsid w:val="006D3C97"/>
    <w:rsid w:val="006D3D03"/>
    <w:rsid w:val="006D3D0E"/>
    <w:rsid w:val="006D3D29"/>
    <w:rsid w:val="006D3D39"/>
    <w:rsid w:val="006D3D61"/>
    <w:rsid w:val="006D3DB1"/>
    <w:rsid w:val="006D3DC2"/>
    <w:rsid w:val="006D3DD7"/>
    <w:rsid w:val="006D3E7E"/>
    <w:rsid w:val="006D3EBE"/>
    <w:rsid w:val="006D3F12"/>
    <w:rsid w:val="006D3F7D"/>
    <w:rsid w:val="006D3FC9"/>
    <w:rsid w:val="006D4001"/>
    <w:rsid w:val="006D4032"/>
    <w:rsid w:val="006D4063"/>
    <w:rsid w:val="006D40F6"/>
    <w:rsid w:val="006D414C"/>
    <w:rsid w:val="006D41CC"/>
    <w:rsid w:val="006D42DC"/>
    <w:rsid w:val="006D432F"/>
    <w:rsid w:val="006D4334"/>
    <w:rsid w:val="006D4355"/>
    <w:rsid w:val="006D43D6"/>
    <w:rsid w:val="006D44F1"/>
    <w:rsid w:val="006D4530"/>
    <w:rsid w:val="006D46CF"/>
    <w:rsid w:val="006D4703"/>
    <w:rsid w:val="006D4738"/>
    <w:rsid w:val="006D4781"/>
    <w:rsid w:val="006D47B4"/>
    <w:rsid w:val="006D4820"/>
    <w:rsid w:val="006D4822"/>
    <w:rsid w:val="006D4823"/>
    <w:rsid w:val="006D4842"/>
    <w:rsid w:val="006D48BA"/>
    <w:rsid w:val="006D491A"/>
    <w:rsid w:val="006D49B8"/>
    <w:rsid w:val="006D4A27"/>
    <w:rsid w:val="006D4BC7"/>
    <w:rsid w:val="006D4BF3"/>
    <w:rsid w:val="006D4D0B"/>
    <w:rsid w:val="006D4D2E"/>
    <w:rsid w:val="006D4D51"/>
    <w:rsid w:val="006D4DC7"/>
    <w:rsid w:val="006D4E0D"/>
    <w:rsid w:val="006D4E1A"/>
    <w:rsid w:val="006D4E5F"/>
    <w:rsid w:val="006D4E77"/>
    <w:rsid w:val="006D4E8E"/>
    <w:rsid w:val="006D4FC8"/>
    <w:rsid w:val="006D4FD3"/>
    <w:rsid w:val="006D4FF9"/>
    <w:rsid w:val="006D4FFF"/>
    <w:rsid w:val="006D502E"/>
    <w:rsid w:val="006D5034"/>
    <w:rsid w:val="006D5079"/>
    <w:rsid w:val="006D5091"/>
    <w:rsid w:val="006D509D"/>
    <w:rsid w:val="006D50C9"/>
    <w:rsid w:val="006D51CA"/>
    <w:rsid w:val="006D51D1"/>
    <w:rsid w:val="006D51F3"/>
    <w:rsid w:val="006D524A"/>
    <w:rsid w:val="006D529B"/>
    <w:rsid w:val="006D52B1"/>
    <w:rsid w:val="006D52BD"/>
    <w:rsid w:val="006D536E"/>
    <w:rsid w:val="006D53BB"/>
    <w:rsid w:val="006D54F9"/>
    <w:rsid w:val="006D554E"/>
    <w:rsid w:val="006D55D7"/>
    <w:rsid w:val="006D565F"/>
    <w:rsid w:val="006D5674"/>
    <w:rsid w:val="006D5702"/>
    <w:rsid w:val="006D5735"/>
    <w:rsid w:val="006D58A6"/>
    <w:rsid w:val="006D58F6"/>
    <w:rsid w:val="006D5918"/>
    <w:rsid w:val="006D5948"/>
    <w:rsid w:val="006D598F"/>
    <w:rsid w:val="006D5BC0"/>
    <w:rsid w:val="006D5BC2"/>
    <w:rsid w:val="006D5C39"/>
    <w:rsid w:val="006D5C44"/>
    <w:rsid w:val="006D5C49"/>
    <w:rsid w:val="006D5C59"/>
    <w:rsid w:val="006D5CB0"/>
    <w:rsid w:val="006D5D33"/>
    <w:rsid w:val="006D5D37"/>
    <w:rsid w:val="006D5D55"/>
    <w:rsid w:val="006D5D6A"/>
    <w:rsid w:val="006D5DA4"/>
    <w:rsid w:val="006D5DAB"/>
    <w:rsid w:val="006D5EC0"/>
    <w:rsid w:val="006D5EDA"/>
    <w:rsid w:val="006D600B"/>
    <w:rsid w:val="006D6056"/>
    <w:rsid w:val="006D606E"/>
    <w:rsid w:val="006D60F0"/>
    <w:rsid w:val="006D616A"/>
    <w:rsid w:val="006D6179"/>
    <w:rsid w:val="006D61E7"/>
    <w:rsid w:val="006D61ED"/>
    <w:rsid w:val="006D6221"/>
    <w:rsid w:val="006D624B"/>
    <w:rsid w:val="006D630D"/>
    <w:rsid w:val="006D6357"/>
    <w:rsid w:val="006D656A"/>
    <w:rsid w:val="006D65B6"/>
    <w:rsid w:val="006D65C9"/>
    <w:rsid w:val="006D666C"/>
    <w:rsid w:val="006D669A"/>
    <w:rsid w:val="006D66EB"/>
    <w:rsid w:val="006D67D6"/>
    <w:rsid w:val="006D6869"/>
    <w:rsid w:val="006D6884"/>
    <w:rsid w:val="006D68DB"/>
    <w:rsid w:val="006D690B"/>
    <w:rsid w:val="006D6945"/>
    <w:rsid w:val="006D69AE"/>
    <w:rsid w:val="006D69BA"/>
    <w:rsid w:val="006D6A35"/>
    <w:rsid w:val="006D6A6C"/>
    <w:rsid w:val="006D6A8C"/>
    <w:rsid w:val="006D6A9D"/>
    <w:rsid w:val="006D6B2E"/>
    <w:rsid w:val="006D6B54"/>
    <w:rsid w:val="006D6B6B"/>
    <w:rsid w:val="006D6B8B"/>
    <w:rsid w:val="006D6BAF"/>
    <w:rsid w:val="006D6BE7"/>
    <w:rsid w:val="006D6C09"/>
    <w:rsid w:val="006D6C5F"/>
    <w:rsid w:val="006D6C8C"/>
    <w:rsid w:val="006D6C8F"/>
    <w:rsid w:val="006D6C9C"/>
    <w:rsid w:val="006D6D09"/>
    <w:rsid w:val="006D6D5E"/>
    <w:rsid w:val="006D6E07"/>
    <w:rsid w:val="006D6E4A"/>
    <w:rsid w:val="006D6ED8"/>
    <w:rsid w:val="006D6EDB"/>
    <w:rsid w:val="006D6EE9"/>
    <w:rsid w:val="006D6FA9"/>
    <w:rsid w:val="006D6FD9"/>
    <w:rsid w:val="006D7022"/>
    <w:rsid w:val="006D7083"/>
    <w:rsid w:val="006D7140"/>
    <w:rsid w:val="006D716F"/>
    <w:rsid w:val="006D718A"/>
    <w:rsid w:val="006D71C8"/>
    <w:rsid w:val="006D71F7"/>
    <w:rsid w:val="006D7217"/>
    <w:rsid w:val="006D7267"/>
    <w:rsid w:val="006D7285"/>
    <w:rsid w:val="006D7286"/>
    <w:rsid w:val="006D72C7"/>
    <w:rsid w:val="006D72EB"/>
    <w:rsid w:val="006D72F2"/>
    <w:rsid w:val="006D7323"/>
    <w:rsid w:val="006D7351"/>
    <w:rsid w:val="006D73A5"/>
    <w:rsid w:val="006D7444"/>
    <w:rsid w:val="006D74B5"/>
    <w:rsid w:val="006D74C9"/>
    <w:rsid w:val="006D74E1"/>
    <w:rsid w:val="006D751E"/>
    <w:rsid w:val="006D759D"/>
    <w:rsid w:val="006D75DB"/>
    <w:rsid w:val="006D763A"/>
    <w:rsid w:val="006D7681"/>
    <w:rsid w:val="006D76AD"/>
    <w:rsid w:val="006D76B8"/>
    <w:rsid w:val="006D76F3"/>
    <w:rsid w:val="006D780F"/>
    <w:rsid w:val="006D7890"/>
    <w:rsid w:val="006D78C2"/>
    <w:rsid w:val="006D7902"/>
    <w:rsid w:val="006D7939"/>
    <w:rsid w:val="006D7953"/>
    <w:rsid w:val="006D7970"/>
    <w:rsid w:val="006D79AF"/>
    <w:rsid w:val="006D79F4"/>
    <w:rsid w:val="006D7B18"/>
    <w:rsid w:val="006D7B21"/>
    <w:rsid w:val="006D7D66"/>
    <w:rsid w:val="006D7D69"/>
    <w:rsid w:val="006D7E5A"/>
    <w:rsid w:val="006D7EA5"/>
    <w:rsid w:val="006D7EF4"/>
    <w:rsid w:val="006D7F07"/>
    <w:rsid w:val="006D7F4F"/>
    <w:rsid w:val="006D7F5C"/>
    <w:rsid w:val="006D7FBC"/>
    <w:rsid w:val="006E0074"/>
    <w:rsid w:val="006E007B"/>
    <w:rsid w:val="006E016A"/>
    <w:rsid w:val="006E01BE"/>
    <w:rsid w:val="006E01E5"/>
    <w:rsid w:val="006E01E9"/>
    <w:rsid w:val="006E0223"/>
    <w:rsid w:val="006E02D6"/>
    <w:rsid w:val="006E02DF"/>
    <w:rsid w:val="006E03BC"/>
    <w:rsid w:val="006E03C9"/>
    <w:rsid w:val="006E04C4"/>
    <w:rsid w:val="006E0511"/>
    <w:rsid w:val="006E0522"/>
    <w:rsid w:val="006E061D"/>
    <w:rsid w:val="006E06E0"/>
    <w:rsid w:val="006E072A"/>
    <w:rsid w:val="006E079E"/>
    <w:rsid w:val="006E0864"/>
    <w:rsid w:val="006E0876"/>
    <w:rsid w:val="006E08B3"/>
    <w:rsid w:val="006E08CC"/>
    <w:rsid w:val="006E08F7"/>
    <w:rsid w:val="006E0960"/>
    <w:rsid w:val="006E0963"/>
    <w:rsid w:val="006E09E2"/>
    <w:rsid w:val="006E0B8A"/>
    <w:rsid w:val="006E0BD5"/>
    <w:rsid w:val="006E0BEC"/>
    <w:rsid w:val="006E0D2F"/>
    <w:rsid w:val="006E0D7C"/>
    <w:rsid w:val="006E0D8B"/>
    <w:rsid w:val="006E0DC8"/>
    <w:rsid w:val="006E0DDB"/>
    <w:rsid w:val="006E0E00"/>
    <w:rsid w:val="006E0E16"/>
    <w:rsid w:val="006E0E38"/>
    <w:rsid w:val="006E0E71"/>
    <w:rsid w:val="006E0E9E"/>
    <w:rsid w:val="006E0ECC"/>
    <w:rsid w:val="006E0F8F"/>
    <w:rsid w:val="006E101C"/>
    <w:rsid w:val="006E112A"/>
    <w:rsid w:val="006E117B"/>
    <w:rsid w:val="006E1333"/>
    <w:rsid w:val="006E1384"/>
    <w:rsid w:val="006E142A"/>
    <w:rsid w:val="006E144B"/>
    <w:rsid w:val="006E1468"/>
    <w:rsid w:val="006E1483"/>
    <w:rsid w:val="006E14D0"/>
    <w:rsid w:val="006E151A"/>
    <w:rsid w:val="006E1571"/>
    <w:rsid w:val="006E15DF"/>
    <w:rsid w:val="006E16A9"/>
    <w:rsid w:val="006E16B3"/>
    <w:rsid w:val="006E16DD"/>
    <w:rsid w:val="006E1720"/>
    <w:rsid w:val="006E17D5"/>
    <w:rsid w:val="006E180E"/>
    <w:rsid w:val="006E18B0"/>
    <w:rsid w:val="006E18BF"/>
    <w:rsid w:val="006E1927"/>
    <w:rsid w:val="006E19C8"/>
    <w:rsid w:val="006E19E8"/>
    <w:rsid w:val="006E1A24"/>
    <w:rsid w:val="006E1AEB"/>
    <w:rsid w:val="006E1C63"/>
    <w:rsid w:val="006E1C6C"/>
    <w:rsid w:val="006E1C8D"/>
    <w:rsid w:val="006E1CC5"/>
    <w:rsid w:val="006E1CD0"/>
    <w:rsid w:val="006E1D0D"/>
    <w:rsid w:val="006E1D50"/>
    <w:rsid w:val="006E1D6F"/>
    <w:rsid w:val="006E1DB3"/>
    <w:rsid w:val="006E1EED"/>
    <w:rsid w:val="006E1F38"/>
    <w:rsid w:val="006E1F8E"/>
    <w:rsid w:val="006E1FDE"/>
    <w:rsid w:val="006E2043"/>
    <w:rsid w:val="006E2051"/>
    <w:rsid w:val="006E2070"/>
    <w:rsid w:val="006E212C"/>
    <w:rsid w:val="006E2149"/>
    <w:rsid w:val="006E21A4"/>
    <w:rsid w:val="006E21A7"/>
    <w:rsid w:val="006E21F9"/>
    <w:rsid w:val="006E221A"/>
    <w:rsid w:val="006E2231"/>
    <w:rsid w:val="006E224C"/>
    <w:rsid w:val="006E22F2"/>
    <w:rsid w:val="006E236B"/>
    <w:rsid w:val="006E23D3"/>
    <w:rsid w:val="006E23E9"/>
    <w:rsid w:val="006E24B2"/>
    <w:rsid w:val="006E24B7"/>
    <w:rsid w:val="006E24D1"/>
    <w:rsid w:val="006E250C"/>
    <w:rsid w:val="006E2528"/>
    <w:rsid w:val="006E2572"/>
    <w:rsid w:val="006E265E"/>
    <w:rsid w:val="006E273B"/>
    <w:rsid w:val="006E2745"/>
    <w:rsid w:val="006E274E"/>
    <w:rsid w:val="006E27AA"/>
    <w:rsid w:val="006E281E"/>
    <w:rsid w:val="006E2863"/>
    <w:rsid w:val="006E28AD"/>
    <w:rsid w:val="006E296F"/>
    <w:rsid w:val="006E297E"/>
    <w:rsid w:val="006E29E4"/>
    <w:rsid w:val="006E2A52"/>
    <w:rsid w:val="006E2A92"/>
    <w:rsid w:val="006E2ABB"/>
    <w:rsid w:val="006E2AE4"/>
    <w:rsid w:val="006E2B79"/>
    <w:rsid w:val="006E2C18"/>
    <w:rsid w:val="006E2C41"/>
    <w:rsid w:val="006E2CE5"/>
    <w:rsid w:val="006E2D5C"/>
    <w:rsid w:val="006E2D65"/>
    <w:rsid w:val="006E2D87"/>
    <w:rsid w:val="006E2DF1"/>
    <w:rsid w:val="006E2E87"/>
    <w:rsid w:val="006E2EA5"/>
    <w:rsid w:val="006E2EAA"/>
    <w:rsid w:val="006E2F05"/>
    <w:rsid w:val="006E2F20"/>
    <w:rsid w:val="006E2F65"/>
    <w:rsid w:val="006E2F6C"/>
    <w:rsid w:val="006E2FC1"/>
    <w:rsid w:val="006E3055"/>
    <w:rsid w:val="006E3082"/>
    <w:rsid w:val="006E30C7"/>
    <w:rsid w:val="006E3194"/>
    <w:rsid w:val="006E3251"/>
    <w:rsid w:val="006E3263"/>
    <w:rsid w:val="006E329E"/>
    <w:rsid w:val="006E32B1"/>
    <w:rsid w:val="006E3327"/>
    <w:rsid w:val="006E332E"/>
    <w:rsid w:val="006E33C1"/>
    <w:rsid w:val="006E340E"/>
    <w:rsid w:val="006E345B"/>
    <w:rsid w:val="006E349F"/>
    <w:rsid w:val="006E355B"/>
    <w:rsid w:val="006E3567"/>
    <w:rsid w:val="006E3599"/>
    <w:rsid w:val="006E3609"/>
    <w:rsid w:val="006E3627"/>
    <w:rsid w:val="006E3708"/>
    <w:rsid w:val="006E372B"/>
    <w:rsid w:val="006E375E"/>
    <w:rsid w:val="006E3761"/>
    <w:rsid w:val="006E37BB"/>
    <w:rsid w:val="006E380B"/>
    <w:rsid w:val="006E380C"/>
    <w:rsid w:val="006E385C"/>
    <w:rsid w:val="006E3896"/>
    <w:rsid w:val="006E3922"/>
    <w:rsid w:val="006E3941"/>
    <w:rsid w:val="006E39B9"/>
    <w:rsid w:val="006E39F3"/>
    <w:rsid w:val="006E3A0C"/>
    <w:rsid w:val="006E3A23"/>
    <w:rsid w:val="006E3A98"/>
    <w:rsid w:val="006E3AA2"/>
    <w:rsid w:val="006E3AAF"/>
    <w:rsid w:val="006E3B1D"/>
    <w:rsid w:val="006E3B30"/>
    <w:rsid w:val="006E3B8E"/>
    <w:rsid w:val="006E3BAC"/>
    <w:rsid w:val="006E3C09"/>
    <w:rsid w:val="006E3C31"/>
    <w:rsid w:val="006E3CA2"/>
    <w:rsid w:val="006E3D2F"/>
    <w:rsid w:val="006E3D57"/>
    <w:rsid w:val="006E3E31"/>
    <w:rsid w:val="006E3E66"/>
    <w:rsid w:val="006E3F20"/>
    <w:rsid w:val="006E3F2F"/>
    <w:rsid w:val="006E3F3F"/>
    <w:rsid w:val="006E3F56"/>
    <w:rsid w:val="006E3F78"/>
    <w:rsid w:val="006E3F7C"/>
    <w:rsid w:val="006E3F91"/>
    <w:rsid w:val="006E409C"/>
    <w:rsid w:val="006E4124"/>
    <w:rsid w:val="006E425C"/>
    <w:rsid w:val="006E4262"/>
    <w:rsid w:val="006E4278"/>
    <w:rsid w:val="006E42BF"/>
    <w:rsid w:val="006E42C4"/>
    <w:rsid w:val="006E42DA"/>
    <w:rsid w:val="006E42E5"/>
    <w:rsid w:val="006E43B9"/>
    <w:rsid w:val="006E43DF"/>
    <w:rsid w:val="006E441A"/>
    <w:rsid w:val="006E450F"/>
    <w:rsid w:val="006E4554"/>
    <w:rsid w:val="006E4631"/>
    <w:rsid w:val="006E468E"/>
    <w:rsid w:val="006E4740"/>
    <w:rsid w:val="006E4766"/>
    <w:rsid w:val="006E476E"/>
    <w:rsid w:val="006E47E1"/>
    <w:rsid w:val="006E483E"/>
    <w:rsid w:val="006E4850"/>
    <w:rsid w:val="006E4854"/>
    <w:rsid w:val="006E4869"/>
    <w:rsid w:val="006E491E"/>
    <w:rsid w:val="006E4992"/>
    <w:rsid w:val="006E4A2D"/>
    <w:rsid w:val="006E4A40"/>
    <w:rsid w:val="006E4A47"/>
    <w:rsid w:val="006E4A99"/>
    <w:rsid w:val="006E4A9C"/>
    <w:rsid w:val="006E4AF5"/>
    <w:rsid w:val="006E4B61"/>
    <w:rsid w:val="006E4B7E"/>
    <w:rsid w:val="006E4B92"/>
    <w:rsid w:val="006E4BEA"/>
    <w:rsid w:val="006E4C8D"/>
    <w:rsid w:val="006E4D55"/>
    <w:rsid w:val="006E4D90"/>
    <w:rsid w:val="006E4DB7"/>
    <w:rsid w:val="006E4DF9"/>
    <w:rsid w:val="006E4EC1"/>
    <w:rsid w:val="006E4EE6"/>
    <w:rsid w:val="006E4F2D"/>
    <w:rsid w:val="006E4F48"/>
    <w:rsid w:val="006E5066"/>
    <w:rsid w:val="006E50A4"/>
    <w:rsid w:val="006E50AA"/>
    <w:rsid w:val="006E50D5"/>
    <w:rsid w:val="006E50DF"/>
    <w:rsid w:val="006E511F"/>
    <w:rsid w:val="006E5126"/>
    <w:rsid w:val="006E512A"/>
    <w:rsid w:val="006E5159"/>
    <w:rsid w:val="006E517D"/>
    <w:rsid w:val="006E52C9"/>
    <w:rsid w:val="006E52DB"/>
    <w:rsid w:val="006E54A1"/>
    <w:rsid w:val="006E54D0"/>
    <w:rsid w:val="006E562E"/>
    <w:rsid w:val="006E5790"/>
    <w:rsid w:val="006E57B9"/>
    <w:rsid w:val="006E583C"/>
    <w:rsid w:val="006E5888"/>
    <w:rsid w:val="006E58B7"/>
    <w:rsid w:val="006E590C"/>
    <w:rsid w:val="006E590D"/>
    <w:rsid w:val="006E59B1"/>
    <w:rsid w:val="006E59F2"/>
    <w:rsid w:val="006E5A2B"/>
    <w:rsid w:val="006E5A93"/>
    <w:rsid w:val="006E5AC2"/>
    <w:rsid w:val="006E5B92"/>
    <w:rsid w:val="006E5BFE"/>
    <w:rsid w:val="006E5C14"/>
    <w:rsid w:val="006E5CB9"/>
    <w:rsid w:val="006E5D39"/>
    <w:rsid w:val="006E5D5F"/>
    <w:rsid w:val="006E5D63"/>
    <w:rsid w:val="006E5DD1"/>
    <w:rsid w:val="006E5EE9"/>
    <w:rsid w:val="006E5F3B"/>
    <w:rsid w:val="006E5F82"/>
    <w:rsid w:val="006E5FAA"/>
    <w:rsid w:val="006E6027"/>
    <w:rsid w:val="006E603F"/>
    <w:rsid w:val="006E60AC"/>
    <w:rsid w:val="006E60CA"/>
    <w:rsid w:val="006E6193"/>
    <w:rsid w:val="006E6286"/>
    <w:rsid w:val="006E62FC"/>
    <w:rsid w:val="006E6315"/>
    <w:rsid w:val="006E633A"/>
    <w:rsid w:val="006E6381"/>
    <w:rsid w:val="006E64CA"/>
    <w:rsid w:val="006E64CD"/>
    <w:rsid w:val="006E64D4"/>
    <w:rsid w:val="006E64E3"/>
    <w:rsid w:val="006E657F"/>
    <w:rsid w:val="006E65D9"/>
    <w:rsid w:val="006E6617"/>
    <w:rsid w:val="006E666D"/>
    <w:rsid w:val="006E6679"/>
    <w:rsid w:val="006E66D8"/>
    <w:rsid w:val="006E6790"/>
    <w:rsid w:val="006E67AD"/>
    <w:rsid w:val="006E67EE"/>
    <w:rsid w:val="006E6823"/>
    <w:rsid w:val="006E68A9"/>
    <w:rsid w:val="006E68C9"/>
    <w:rsid w:val="006E6971"/>
    <w:rsid w:val="006E699C"/>
    <w:rsid w:val="006E6A24"/>
    <w:rsid w:val="006E6B0D"/>
    <w:rsid w:val="006E6BA1"/>
    <w:rsid w:val="006E6BE4"/>
    <w:rsid w:val="006E6C27"/>
    <w:rsid w:val="006E6C96"/>
    <w:rsid w:val="006E6CF2"/>
    <w:rsid w:val="006E6D17"/>
    <w:rsid w:val="006E6E90"/>
    <w:rsid w:val="006E6EEC"/>
    <w:rsid w:val="006E6FBE"/>
    <w:rsid w:val="006E6FF1"/>
    <w:rsid w:val="006E702B"/>
    <w:rsid w:val="006E705C"/>
    <w:rsid w:val="006E713A"/>
    <w:rsid w:val="006E71A7"/>
    <w:rsid w:val="006E71C3"/>
    <w:rsid w:val="006E71FF"/>
    <w:rsid w:val="006E720D"/>
    <w:rsid w:val="006E7292"/>
    <w:rsid w:val="006E7382"/>
    <w:rsid w:val="006E743C"/>
    <w:rsid w:val="006E7497"/>
    <w:rsid w:val="006E74B8"/>
    <w:rsid w:val="006E74E0"/>
    <w:rsid w:val="006E757F"/>
    <w:rsid w:val="006E75A6"/>
    <w:rsid w:val="006E75F8"/>
    <w:rsid w:val="006E7660"/>
    <w:rsid w:val="006E775A"/>
    <w:rsid w:val="006E7778"/>
    <w:rsid w:val="006E777A"/>
    <w:rsid w:val="006E7838"/>
    <w:rsid w:val="006E784E"/>
    <w:rsid w:val="006E788D"/>
    <w:rsid w:val="006E78CA"/>
    <w:rsid w:val="006E78E3"/>
    <w:rsid w:val="006E7940"/>
    <w:rsid w:val="006E7943"/>
    <w:rsid w:val="006E79C6"/>
    <w:rsid w:val="006E7A8F"/>
    <w:rsid w:val="006E7B36"/>
    <w:rsid w:val="006E7B49"/>
    <w:rsid w:val="006E7C59"/>
    <w:rsid w:val="006E7C85"/>
    <w:rsid w:val="006E7CDD"/>
    <w:rsid w:val="006E7D06"/>
    <w:rsid w:val="006E7D08"/>
    <w:rsid w:val="006E7D0F"/>
    <w:rsid w:val="006E7D2C"/>
    <w:rsid w:val="006E7D58"/>
    <w:rsid w:val="006E7D62"/>
    <w:rsid w:val="006E7DB2"/>
    <w:rsid w:val="006E7E93"/>
    <w:rsid w:val="006E7EB3"/>
    <w:rsid w:val="006E7F12"/>
    <w:rsid w:val="006E7F7F"/>
    <w:rsid w:val="006F000A"/>
    <w:rsid w:val="006F0024"/>
    <w:rsid w:val="006F0040"/>
    <w:rsid w:val="006F00A7"/>
    <w:rsid w:val="006F00B9"/>
    <w:rsid w:val="006F00C4"/>
    <w:rsid w:val="006F00DB"/>
    <w:rsid w:val="006F0141"/>
    <w:rsid w:val="006F02A8"/>
    <w:rsid w:val="006F02B6"/>
    <w:rsid w:val="006F02EB"/>
    <w:rsid w:val="006F031E"/>
    <w:rsid w:val="006F034B"/>
    <w:rsid w:val="006F0385"/>
    <w:rsid w:val="006F0389"/>
    <w:rsid w:val="006F03E8"/>
    <w:rsid w:val="006F03EF"/>
    <w:rsid w:val="006F03FE"/>
    <w:rsid w:val="006F04C0"/>
    <w:rsid w:val="006F04E7"/>
    <w:rsid w:val="006F05CC"/>
    <w:rsid w:val="006F07E3"/>
    <w:rsid w:val="006F08A7"/>
    <w:rsid w:val="006F0900"/>
    <w:rsid w:val="006F0903"/>
    <w:rsid w:val="006F099E"/>
    <w:rsid w:val="006F09C9"/>
    <w:rsid w:val="006F0A04"/>
    <w:rsid w:val="006F0A13"/>
    <w:rsid w:val="006F0A25"/>
    <w:rsid w:val="006F0B68"/>
    <w:rsid w:val="006F0BC5"/>
    <w:rsid w:val="006F0C01"/>
    <w:rsid w:val="006F0C7A"/>
    <w:rsid w:val="006F0C87"/>
    <w:rsid w:val="006F0CB0"/>
    <w:rsid w:val="006F0CCD"/>
    <w:rsid w:val="006F0D01"/>
    <w:rsid w:val="006F0D8A"/>
    <w:rsid w:val="006F0DBA"/>
    <w:rsid w:val="006F0DE3"/>
    <w:rsid w:val="006F0DFD"/>
    <w:rsid w:val="006F0DFE"/>
    <w:rsid w:val="006F0EC8"/>
    <w:rsid w:val="006F0EC9"/>
    <w:rsid w:val="006F0F1E"/>
    <w:rsid w:val="006F0FC1"/>
    <w:rsid w:val="006F0FFB"/>
    <w:rsid w:val="006F1036"/>
    <w:rsid w:val="006F10C3"/>
    <w:rsid w:val="006F112D"/>
    <w:rsid w:val="006F114F"/>
    <w:rsid w:val="006F1237"/>
    <w:rsid w:val="006F1251"/>
    <w:rsid w:val="006F1297"/>
    <w:rsid w:val="006F14C4"/>
    <w:rsid w:val="006F14F2"/>
    <w:rsid w:val="006F151B"/>
    <w:rsid w:val="006F1525"/>
    <w:rsid w:val="006F15BC"/>
    <w:rsid w:val="006F15C7"/>
    <w:rsid w:val="006F16C1"/>
    <w:rsid w:val="006F1709"/>
    <w:rsid w:val="006F1744"/>
    <w:rsid w:val="006F1746"/>
    <w:rsid w:val="006F1794"/>
    <w:rsid w:val="006F1838"/>
    <w:rsid w:val="006F18C3"/>
    <w:rsid w:val="006F1A5F"/>
    <w:rsid w:val="006F1ABF"/>
    <w:rsid w:val="006F1B85"/>
    <w:rsid w:val="006F1BB5"/>
    <w:rsid w:val="006F1BC4"/>
    <w:rsid w:val="006F1C19"/>
    <w:rsid w:val="006F1CA1"/>
    <w:rsid w:val="006F1CB3"/>
    <w:rsid w:val="006F1CC5"/>
    <w:rsid w:val="006F1CFD"/>
    <w:rsid w:val="006F1D12"/>
    <w:rsid w:val="006F1D71"/>
    <w:rsid w:val="006F1E3F"/>
    <w:rsid w:val="006F1E7C"/>
    <w:rsid w:val="006F1EF5"/>
    <w:rsid w:val="006F1F03"/>
    <w:rsid w:val="006F1F1F"/>
    <w:rsid w:val="006F1FF5"/>
    <w:rsid w:val="006F2076"/>
    <w:rsid w:val="006F2098"/>
    <w:rsid w:val="006F20B7"/>
    <w:rsid w:val="006F20C6"/>
    <w:rsid w:val="006F20CF"/>
    <w:rsid w:val="006F21BA"/>
    <w:rsid w:val="006F222A"/>
    <w:rsid w:val="006F2279"/>
    <w:rsid w:val="006F22E1"/>
    <w:rsid w:val="006F236D"/>
    <w:rsid w:val="006F2418"/>
    <w:rsid w:val="006F2454"/>
    <w:rsid w:val="006F2475"/>
    <w:rsid w:val="006F24E8"/>
    <w:rsid w:val="006F254D"/>
    <w:rsid w:val="006F25BF"/>
    <w:rsid w:val="006F26AB"/>
    <w:rsid w:val="006F276F"/>
    <w:rsid w:val="006F27A0"/>
    <w:rsid w:val="006F2857"/>
    <w:rsid w:val="006F28DA"/>
    <w:rsid w:val="006F28ED"/>
    <w:rsid w:val="006F2997"/>
    <w:rsid w:val="006F29BF"/>
    <w:rsid w:val="006F2A1B"/>
    <w:rsid w:val="006F2A31"/>
    <w:rsid w:val="006F2A9D"/>
    <w:rsid w:val="006F2ABB"/>
    <w:rsid w:val="006F2B0C"/>
    <w:rsid w:val="006F2B37"/>
    <w:rsid w:val="006F2B3E"/>
    <w:rsid w:val="006F2B3F"/>
    <w:rsid w:val="006F2B83"/>
    <w:rsid w:val="006F2B9E"/>
    <w:rsid w:val="006F2BC0"/>
    <w:rsid w:val="006F2BFF"/>
    <w:rsid w:val="006F2C77"/>
    <w:rsid w:val="006F2DB7"/>
    <w:rsid w:val="006F2DD1"/>
    <w:rsid w:val="006F2E2B"/>
    <w:rsid w:val="006F2EAB"/>
    <w:rsid w:val="006F2EC3"/>
    <w:rsid w:val="006F2F37"/>
    <w:rsid w:val="006F2F6E"/>
    <w:rsid w:val="006F2FD1"/>
    <w:rsid w:val="006F2FEE"/>
    <w:rsid w:val="006F3024"/>
    <w:rsid w:val="006F3025"/>
    <w:rsid w:val="006F3083"/>
    <w:rsid w:val="006F30A2"/>
    <w:rsid w:val="006F30E0"/>
    <w:rsid w:val="006F30E9"/>
    <w:rsid w:val="006F3178"/>
    <w:rsid w:val="006F318F"/>
    <w:rsid w:val="006F328A"/>
    <w:rsid w:val="006F32A2"/>
    <w:rsid w:val="006F32A8"/>
    <w:rsid w:val="006F32CE"/>
    <w:rsid w:val="006F3319"/>
    <w:rsid w:val="006F33A5"/>
    <w:rsid w:val="006F33DC"/>
    <w:rsid w:val="006F34BE"/>
    <w:rsid w:val="006F3548"/>
    <w:rsid w:val="006F354E"/>
    <w:rsid w:val="006F3570"/>
    <w:rsid w:val="006F35E0"/>
    <w:rsid w:val="006F3719"/>
    <w:rsid w:val="006F3742"/>
    <w:rsid w:val="006F37E7"/>
    <w:rsid w:val="006F3871"/>
    <w:rsid w:val="006F388D"/>
    <w:rsid w:val="006F394C"/>
    <w:rsid w:val="006F3A27"/>
    <w:rsid w:val="006F3BBC"/>
    <w:rsid w:val="006F3C65"/>
    <w:rsid w:val="006F3C8F"/>
    <w:rsid w:val="006F3CB1"/>
    <w:rsid w:val="006F3CBB"/>
    <w:rsid w:val="006F3CE6"/>
    <w:rsid w:val="006F3D47"/>
    <w:rsid w:val="006F3E6A"/>
    <w:rsid w:val="006F3E73"/>
    <w:rsid w:val="006F3E78"/>
    <w:rsid w:val="006F3FF8"/>
    <w:rsid w:val="006F403E"/>
    <w:rsid w:val="006F4081"/>
    <w:rsid w:val="006F40EC"/>
    <w:rsid w:val="006F4155"/>
    <w:rsid w:val="006F424C"/>
    <w:rsid w:val="006F4254"/>
    <w:rsid w:val="006F42F9"/>
    <w:rsid w:val="006F430A"/>
    <w:rsid w:val="006F431A"/>
    <w:rsid w:val="006F43B1"/>
    <w:rsid w:val="006F43CF"/>
    <w:rsid w:val="006F4426"/>
    <w:rsid w:val="006F459F"/>
    <w:rsid w:val="006F45BF"/>
    <w:rsid w:val="006F45EC"/>
    <w:rsid w:val="006F4641"/>
    <w:rsid w:val="006F471C"/>
    <w:rsid w:val="006F4754"/>
    <w:rsid w:val="006F47DC"/>
    <w:rsid w:val="006F4940"/>
    <w:rsid w:val="006F49B2"/>
    <w:rsid w:val="006F49CC"/>
    <w:rsid w:val="006F4A22"/>
    <w:rsid w:val="006F4A3C"/>
    <w:rsid w:val="006F4A45"/>
    <w:rsid w:val="006F4A55"/>
    <w:rsid w:val="006F4A8E"/>
    <w:rsid w:val="006F4ADD"/>
    <w:rsid w:val="006F4B8C"/>
    <w:rsid w:val="006F4C54"/>
    <w:rsid w:val="006F4C70"/>
    <w:rsid w:val="006F4C86"/>
    <w:rsid w:val="006F4D6F"/>
    <w:rsid w:val="006F4D99"/>
    <w:rsid w:val="006F4DCB"/>
    <w:rsid w:val="006F4DF0"/>
    <w:rsid w:val="006F4E59"/>
    <w:rsid w:val="006F4E67"/>
    <w:rsid w:val="006F4ED0"/>
    <w:rsid w:val="006F4FF1"/>
    <w:rsid w:val="006F509E"/>
    <w:rsid w:val="006F516F"/>
    <w:rsid w:val="006F519D"/>
    <w:rsid w:val="006F51C7"/>
    <w:rsid w:val="006F51CD"/>
    <w:rsid w:val="006F5325"/>
    <w:rsid w:val="006F53DA"/>
    <w:rsid w:val="006F547A"/>
    <w:rsid w:val="006F5483"/>
    <w:rsid w:val="006F5516"/>
    <w:rsid w:val="006F5528"/>
    <w:rsid w:val="006F552C"/>
    <w:rsid w:val="006F56CD"/>
    <w:rsid w:val="006F5705"/>
    <w:rsid w:val="006F5709"/>
    <w:rsid w:val="006F590B"/>
    <w:rsid w:val="006F5A11"/>
    <w:rsid w:val="006F5A2B"/>
    <w:rsid w:val="006F5A72"/>
    <w:rsid w:val="006F5AEF"/>
    <w:rsid w:val="006F5B1C"/>
    <w:rsid w:val="006F5C00"/>
    <w:rsid w:val="006F5C71"/>
    <w:rsid w:val="006F5C77"/>
    <w:rsid w:val="006F5C85"/>
    <w:rsid w:val="006F5D3F"/>
    <w:rsid w:val="006F5D6F"/>
    <w:rsid w:val="006F5D81"/>
    <w:rsid w:val="006F5E17"/>
    <w:rsid w:val="006F5E56"/>
    <w:rsid w:val="006F5EED"/>
    <w:rsid w:val="006F5FF0"/>
    <w:rsid w:val="006F5FFD"/>
    <w:rsid w:val="006F602F"/>
    <w:rsid w:val="006F60DB"/>
    <w:rsid w:val="006F60EA"/>
    <w:rsid w:val="006F61CB"/>
    <w:rsid w:val="006F6351"/>
    <w:rsid w:val="006F6388"/>
    <w:rsid w:val="006F63BC"/>
    <w:rsid w:val="006F63D9"/>
    <w:rsid w:val="006F648C"/>
    <w:rsid w:val="006F6524"/>
    <w:rsid w:val="006F6536"/>
    <w:rsid w:val="006F655E"/>
    <w:rsid w:val="006F6590"/>
    <w:rsid w:val="006F6603"/>
    <w:rsid w:val="006F6671"/>
    <w:rsid w:val="006F6689"/>
    <w:rsid w:val="006F6693"/>
    <w:rsid w:val="006F671B"/>
    <w:rsid w:val="006F68BE"/>
    <w:rsid w:val="006F68D5"/>
    <w:rsid w:val="006F6975"/>
    <w:rsid w:val="006F6A20"/>
    <w:rsid w:val="006F6A3B"/>
    <w:rsid w:val="006F6AC9"/>
    <w:rsid w:val="006F6BB6"/>
    <w:rsid w:val="006F6C30"/>
    <w:rsid w:val="006F6C92"/>
    <w:rsid w:val="006F6CA8"/>
    <w:rsid w:val="006F6CEA"/>
    <w:rsid w:val="006F6D53"/>
    <w:rsid w:val="006F6D78"/>
    <w:rsid w:val="006F6D84"/>
    <w:rsid w:val="006F6D86"/>
    <w:rsid w:val="006F6D89"/>
    <w:rsid w:val="006F6E63"/>
    <w:rsid w:val="006F6EA5"/>
    <w:rsid w:val="006F6EC1"/>
    <w:rsid w:val="006F6F57"/>
    <w:rsid w:val="006F6F9D"/>
    <w:rsid w:val="006F6FC1"/>
    <w:rsid w:val="006F703D"/>
    <w:rsid w:val="006F709C"/>
    <w:rsid w:val="006F7196"/>
    <w:rsid w:val="006F71D3"/>
    <w:rsid w:val="006F71E6"/>
    <w:rsid w:val="006F71F4"/>
    <w:rsid w:val="006F7232"/>
    <w:rsid w:val="006F72BD"/>
    <w:rsid w:val="006F73B3"/>
    <w:rsid w:val="006F73EA"/>
    <w:rsid w:val="006F740D"/>
    <w:rsid w:val="006F7411"/>
    <w:rsid w:val="006F74D5"/>
    <w:rsid w:val="006F74F9"/>
    <w:rsid w:val="006F7520"/>
    <w:rsid w:val="006F7532"/>
    <w:rsid w:val="006F75E3"/>
    <w:rsid w:val="006F7680"/>
    <w:rsid w:val="006F76A4"/>
    <w:rsid w:val="006F7738"/>
    <w:rsid w:val="006F77C4"/>
    <w:rsid w:val="006F77DF"/>
    <w:rsid w:val="006F7808"/>
    <w:rsid w:val="006F792C"/>
    <w:rsid w:val="006F793B"/>
    <w:rsid w:val="006F794F"/>
    <w:rsid w:val="006F79A1"/>
    <w:rsid w:val="006F7A0B"/>
    <w:rsid w:val="006F7A14"/>
    <w:rsid w:val="006F7BA1"/>
    <w:rsid w:val="006F7C2E"/>
    <w:rsid w:val="006F7CC1"/>
    <w:rsid w:val="006F7CC9"/>
    <w:rsid w:val="006F7D9C"/>
    <w:rsid w:val="006F7E0F"/>
    <w:rsid w:val="006F7E24"/>
    <w:rsid w:val="006F7E73"/>
    <w:rsid w:val="006F7EA9"/>
    <w:rsid w:val="006F7EF7"/>
    <w:rsid w:val="006F7F71"/>
    <w:rsid w:val="006F7F86"/>
    <w:rsid w:val="006F7F9F"/>
    <w:rsid w:val="006F7FC8"/>
    <w:rsid w:val="006F7FD3"/>
    <w:rsid w:val="00700007"/>
    <w:rsid w:val="0070003A"/>
    <w:rsid w:val="007000A5"/>
    <w:rsid w:val="00700121"/>
    <w:rsid w:val="0070012B"/>
    <w:rsid w:val="00700151"/>
    <w:rsid w:val="0070019B"/>
    <w:rsid w:val="0070020D"/>
    <w:rsid w:val="0070021F"/>
    <w:rsid w:val="00700243"/>
    <w:rsid w:val="00700261"/>
    <w:rsid w:val="007002B3"/>
    <w:rsid w:val="00700374"/>
    <w:rsid w:val="0070039B"/>
    <w:rsid w:val="007003A9"/>
    <w:rsid w:val="007003B6"/>
    <w:rsid w:val="007003E8"/>
    <w:rsid w:val="00700421"/>
    <w:rsid w:val="00700476"/>
    <w:rsid w:val="007004D9"/>
    <w:rsid w:val="0070058B"/>
    <w:rsid w:val="0070073E"/>
    <w:rsid w:val="00700811"/>
    <w:rsid w:val="00700853"/>
    <w:rsid w:val="007008D0"/>
    <w:rsid w:val="00700943"/>
    <w:rsid w:val="00700998"/>
    <w:rsid w:val="00700A72"/>
    <w:rsid w:val="00700AEB"/>
    <w:rsid w:val="00700AFC"/>
    <w:rsid w:val="00700B4B"/>
    <w:rsid w:val="00700BD7"/>
    <w:rsid w:val="00700BE7"/>
    <w:rsid w:val="00700C86"/>
    <w:rsid w:val="00700CB3"/>
    <w:rsid w:val="00700D22"/>
    <w:rsid w:val="00700D44"/>
    <w:rsid w:val="00700D92"/>
    <w:rsid w:val="00700DF8"/>
    <w:rsid w:val="00700F1A"/>
    <w:rsid w:val="00700F50"/>
    <w:rsid w:val="00700F59"/>
    <w:rsid w:val="00700FDB"/>
    <w:rsid w:val="00700FE9"/>
    <w:rsid w:val="00700FED"/>
    <w:rsid w:val="00700FFB"/>
    <w:rsid w:val="0070100B"/>
    <w:rsid w:val="007010F0"/>
    <w:rsid w:val="0070119A"/>
    <w:rsid w:val="007011C9"/>
    <w:rsid w:val="00701229"/>
    <w:rsid w:val="00701254"/>
    <w:rsid w:val="0070129C"/>
    <w:rsid w:val="007012CD"/>
    <w:rsid w:val="007012F2"/>
    <w:rsid w:val="00701466"/>
    <w:rsid w:val="0070146F"/>
    <w:rsid w:val="007015E0"/>
    <w:rsid w:val="00701622"/>
    <w:rsid w:val="007016D7"/>
    <w:rsid w:val="00701730"/>
    <w:rsid w:val="0070174D"/>
    <w:rsid w:val="00701756"/>
    <w:rsid w:val="00701781"/>
    <w:rsid w:val="00701791"/>
    <w:rsid w:val="007017EF"/>
    <w:rsid w:val="0070182C"/>
    <w:rsid w:val="0070186F"/>
    <w:rsid w:val="007018EE"/>
    <w:rsid w:val="00701998"/>
    <w:rsid w:val="007019D2"/>
    <w:rsid w:val="00701A71"/>
    <w:rsid w:val="00701AAD"/>
    <w:rsid w:val="00701AF5"/>
    <w:rsid w:val="00701B77"/>
    <w:rsid w:val="00701BD3"/>
    <w:rsid w:val="00701C30"/>
    <w:rsid w:val="00701C4D"/>
    <w:rsid w:val="00701CB6"/>
    <w:rsid w:val="00701DD2"/>
    <w:rsid w:val="00701EE0"/>
    <w:rsid w:val="00701EE2"/>
    <w:rsid w:val="00701F0E"/>
    <w:rsid w:val="00701F57"/>
    <w:rsid w:val="00701F6C"/>
    <w:rsid w:val="00701FB6"/>
    <w:rsid w:val="00701FE9"/>
    <w:rsid w:val="00702059"/>
    <w:rsid w:val="00702080"/>
    <w:rsid w:val="0070209A"/>
    <w:rsid w:val="0070214C"/>
    <w:rsid w:val="00702151"/>
    <w:rsid w:val="00702244"/>
    <w:rsid w:val="00702273"/>
    <w:rsid w:val="00702289"/>
    <w:rsid w:val="00702516"/>
    <w:rsid w:val="00702519"/>
    <w:rsid w:val="00702545"/>
    <w:rsid w:val="00702639"/>
    <w:rsid w:val="0070264C"/>
    <w:rsid w:val="007026FD"/>
    <w:rsid w:val="0070276C"/>
    <w:rsid w:val="0070278B"/>
    <w:rsid w:val="00702808"/>
    <w:rsid w:val="007028EB"/>
    <w:rsid w:val="0070292E"/>
    <w:rsid w:val="00702961"/>
    <w:rsid w:val="00702962"/>
    <w:rsid w:val="00702AB4"/>
    <w:rsid w:val="00702ABB"/>
    <w:rsid w:val="00702BE6"/>
    <w:rsid w:val="00702C12"/>
    <w:rsid w:val="00702CEE"/>
    <w:rsid w:val="00702D4E"/>
    <w:rsid w:val="00702D7B"/>
    <w:rsid w:val="00702D85"/>
    <w:rsid w:val="00702D8C"/>
    <w:rsid w:val="00702DBA"/>
    <w:rsid w:val="00702DD1"/>
    <w:rsid w:val="00702E00"/>
    <w:rsid w:val="00702E6B"/>
    <w:rsid w:val="00702EB7"/>
    <w:rsid w:val="00702F88"/>
    <w:rsid w:val="00702FF3"/>
    <w:rsid w:val="0070301B"/>
    <w:rsid w:val="0070302C"/>
    <w:rsid w:val="00703033"/>
    <w:rsid w:val="007030D8"/>
    <w:rsid w:val="0070310E"/>
    <w:rsid w:val="0070314E"/>
    <w:rsid w:val="00703210"/>
    <w:rsid w:val="0070322D"/>
    <w:rsid w:val="0070327D"/>
    <w:rsid w:val="00703294"/>
    <w:rsid w:val="00703301"/>
    <w:rsid w:val="00703371"/>
    <w:rsid w:val="007033BD"/>
    <w:rsid w:val="00703448"/>
    <w:rsid w:val="007034DE"/>
    <w:rsid w:val="007035F9"/>
    <w:rsid w:val="00703605"/>
    <w:rsid w:val="00703635"/>
    <w:rsid w:val="0070365D"/>
    <w:rsid w:val="0070366F"/>
    <w:rsid w:val="0070367F"/>
    <w:rsid w:val="00703689"/>
    <w:rsid w:val="007036F2"/>
    <w:rsid w:val="00703712"/>
    <w:rsid w:val="007037F6"/>
    <w:rsid w:val="00703812"/>
    <w:rsid w:val="0070381A"/>
    <w:rsid w:val="00703860"/>
    <w:rsid w:val="00703892"/>
    <w:rsid w:val="00703893"/>
    <w:rsid w:val="007038CF"/>
    <w:rsid w:val="007038D7"/>
    <w:rsid w:val="0070390C"/>
    <w:rsid w:val="00703990"/>
    <w:rsid w:val="00703A0A"/>
    <w:rsid w:val="00703A25"/>
    <w:rsid w:val="00703A76"/>
    <w:rsid w:val="00703AB7"/>
    <w:rsid w:val="00703AE4"/>
    <w:rsid w:val="00703AEF"/>
    <w:rsid w:val="00703AF1"/>
    <w:rsid w:val="00703B18"/>
    <w:rsid w:val="00703B95"/>
    <w:rsid w:val="00703BC8"/>
    <w:rsid w:val="00703BF5"/>
    <w:rsid w:val="00703BFA"/>
    <w:rsid w:val="00703D17"/>
    <w:rsid w:val="00703E04"/>
    <w:rsid w:val="00703E32"/>
    <w:rsid w:val="00703EB4"/>
    <w:rsid w:val="00703EDB"/>
    <w:rsid w:val="00703F92"/>
    <w:rsid w:val="00704043"/>
    <w:rsid w:val="007040A5"/>
    <w:rsid w:val="00704122"/>
    <w:rsid w:val="00704125"/>
    <w:rsid w:val="00704129"/>
    <w:rsid w:val="00704143"/>
    <w:rsid w:val="007041E0"/>
    <w:rsid w:val="007042A1"/>
    <w:rsid w:val="007042E9"/>
    <w:rsid w:val="00704352"/>
    <w:rsid w:val="007043E2"/>
    <w:rsid w:val="00704467"/>
    <w:rsid w:val="0070446A"/>
    <w:rsid w:val="007044B4"/>
    <w:rsid w:val="007044DA"/>
    <w:rsid w:val="007044ED"/>
    <w:rsid w:val="0070452A"/>
    <w:rsid w:val="00704540"/>
    <w:rsid w:val="0070457E"/>
    <w:rsid w:val="0070460E"/>
    <w:rsid w:val="00704633"/>
    <w:rsid w:val="00704690"/>
    <w:rsid w:val="007046C7"/>
    <w:rsid w:val="00704720"/>
    <w:rsid w:val="0070476A"/>
    <w:rsid w:val="00704773"/>
    <w:rsid w:val="00704848"/>
    <w:rsid w:val="00704930"/>
    <w:rsid w:val="00704945"/>
    <w:rsid w:val="00704949"/>
    <w:rsid w:val="00704963"/>
    <w:rsid w:val="0070496A"/>
    <w:rsid w:val="00704A50"/>
    <w:rsid w:val="00704AB8"/>
    <w:rsid w:val="00704AEE"/>
    <w:rsid w:val="00704AEF"/>
    <w:rsid w:val="00704B1C"/>
    <w:rsid w:val="00704B98"/>
    <w:rsid w:val="00704C04"/>
    <w:rsid w:val="00704C7F"/>
    <w:rsid w:val="00704CC2"/>
    <w:rsid w:val="00704D14"/>
    <w:rsid w:val="00704DD4"/>
    <w:rsid w:val="00704DE0"/>
    <w:rsid w:val="00704E54"/>
    <w:rsid w:val="00704E88"/>
    <w:rsid w:val="00704E8C"/>
    <w:rsid w:val="00704F42"/>
    <w:rsid w:val="00704FF0"/>
    <w:rsid w:val="00705035"/>
    <w:rsid w:val="00705101"/>
    <w:rsid w:val="0070519E"/>
    <w:rsid w:val="007051B7"/>
    <w:rsid w:val="0070525E"/>
    <w:rsid w:val="007052DA"/>
    <w:rsid w:val="00705383"/>
    <w:rsid w:val="007053BD"/>
    <w:rsid w:val="007054CA"/>
    <w:rsid w:val="007054CE"/>
    <w:rsid w:val="007054ED"/>
    <w:rsid w:val="007055BD"/>
    <w:rsid w:val="007056CA"/>
    <w:rsid w:val="007056F7"/>
    <w:rsid w:val="007057AA"/>
    <w:rsid w:val="007057BA"/>
    <w:rsid w:val="007057E9"/>
    <w:rsid w:val="007057FB"/>
    <w:rsid w:val="00705824"/>
    <w:rsid w:val="0070585F"/>
    <w:rsid w:val="00705909"/>
    <w:rsid w:val="00705921"/>
    <w:rsid w:val="007059C6"/>
    <w:rsid w:val="00705A04"/>
    <w:rsid w:val="00705ABA"/>
    <w:rsid w:val="00705B14"/>
    <w:rsid w:val="00705B72"/>
    <w:rsid w:val="00705C26"/>
    <w:rsid w:val="00705CB6"/>
    <w:rsid w:val="00705CC3"/>
    <w:rsid w:val="00705CFF"/>
    <w:rsid w:val="00705D15"/>
    <w:rsid w:val="00705D1F"/>
    <w:rsid w:val="00705DD5"/>
    <w:rsid w:val="00705DFE"/>
    <w:rsid w:val="00705E73"/>
    <w:rsid w:val="00705ECC"/>
    <w:rsid w:val="00705ED2"/>
    <w:rsid w:val="00705EE9"/>
    <w:rsid w:val="00705F28"/>
    <w:rsid w:val="00705F7A"/>
    <w:rsid w:val="00705FDD"/>
    <w:rsid w:val="00706008"/>
    <w:rsid w:val="007060A5"/>
    <w:rsid w:val="0070610B"/>
    <w:rsid w:val="00706186"/>
    <w:rsid w:val="007061B0"/>
    <w:rsid w:val="0070620C"/>
    <w:rsid w:val="00706276"/>
    <w:rsid w:val="007062E4"/>
    <w:rsid w:val="00706311"/>
    <w:rsid w:val="0070631A"/>
    <w:rsid w:val="00706382"/>
    <w:rsid w:val="007063FB"/>
    <w:rsid w:val="00706405"/>
    <w:rsid w:val="00706488"/>
    <w:rsid w:val="0070649B"/>
    <w:rsid w:val="007064BC"/>
    <w:rsid w:val="00706548"/>
    <w:rsid w:val="00706577"/>
    <w:rsid w:val="007065B8"/>
    <w:rsid w:val="00706712"/>
    <w:rsid w:val="0070673F"/>
    <w:rsid w:val="0070674F"/>
    <w:rsid w:val="00706822"/>
    <w:rsid w:val="0070688F"/>
    <w:rsid w:val="007068C8"/>
    <w:rsid w:val="007068D7"/>
    <w:rsid w:val="00706918"/>
    <w:rsid w:val="00706931"/>
    <w:rsid w:val="00706971"/>
    <w:rsid w:val="0070698C"/>
    <w:rsid w:val="007069BF"/>
    <w:rsid w:val="007069DF"/>
    <w:rsid w:val="00706A27"/>
    <w:rsid w:val="00706AAE"/>
    <w:rsid w:val="00706AB7"/>
    <w:rsid w:val="00706B30"/>
    <w:rsid w:val="00706B41"/>
    <w:rsid w:val="00706B6C"/>
    <w:rsid w:val="00706C1E"/>
    <w:rsid w:val="00706C8B"/>
    <w:rsid w:val="00706D92"/>
    <w:rsid w:val="00706D9A"/>
    <w:rsid w:val="00706DB6"/>
    <w:rsid w:val="00706E03"/>
    <w:rsid w:val="00706E56"/>
    <w:rsid w:val="00706E5B"/>
    <w:rsid w:val="00706E61"/>
    <w:rsid w:val="00706E76"/>
    <w:rsid w:val="0070701C"/>
    <w:rsid w:val="00707090"/>
    <w:rsid w:val="00707267"/>
    <w:rsid w:val="007072F8"/>
    <w:rsid w:val="00707319"/>
    <w:rsid w:val="007073AB"/>
    <w:rsid w:val="007073B1"/>
    <w:rsid w:val="007073D6"/>
    <w:rsid w:val="007073E6"/>
    <w:rsid w:val="00707402"/>
    <w:rsid w:val="0070747F"/>
    <w:rsid w:val="007074AE"/>
    <w:rsid w:val="007074D0"/>
    <w:rsid w:val="0070753C"/>
    <w:rsid w:val="00707551"/>
    <w:rsid w:val="007075A7"/>
    <w:rsid w:val="007075D7"/>
    <w:rsid w:val="00707610"/>
    <w:rsid w:val="00707659"/>
    <w:rsid w:val="007076A6"/>
    <w:rsid w:val="007076C1"/>
    <w:rsid w:val="0070771E"/>
    <w:rsid w:val="00707857"/>
    <w:rsid w:val="007078B6"/>
    <w:rsid w:val="007078B7"/>
    <w:rsid w:val="007078BA"/>
    <w:rsid w:val="007078D9"/>
    <w:rsid w:val="007079C6"/>
    <w:rsid w:val="007079D0"/>
    <w:rsid w:val="00707A0E"/>
    <w:rsid w:val="00707A11"/>
    <w:rsid w:val="00707A24"/>
    <w:rsid w:val="00707B82"/>
    <w:rsid w:val="00707B94"/>
    <w:rsid w:val="00707C2E"/>
    <w:rsid w:val="00707C82"/>
    <w:rsid w:val="00707CD5"/>
    <w:rsid w:val="00707D5D"/>
    <w:rsid w:val="00707DE5"/>
    <w:rsid w:val="00707E1C"/>
    <w:rsid w:val="00707F75"/>
    <w:rsid w:val="00707F84"/>
    <w:rsid w:val="0071003C"/>
    <w:rsid w:val="0071006A"/>
    <w:rsid w:val="007100BC"/>
    <w:rsid w:val="007100C1"/>
    <w:rsid w:val="00710102"/>
    <w:rsid w:val="007101B4"/>
    <w:rsid w:val="0071039E"/>
    <w:rsid w:val="00710433"/>
    <w:rsid w:val="00710465"/>
    <w:rsid w:val="00710475"/>
    <w:rsid w:val="00710481"/>
    <w:rsid w:val="007104B4"/>
    <w:rsid w:val="007104E5"/>
    <w:rsid w:val="00710521"/>
    <w:rsid w:val="00710553"/>
    <w:rsid w:val="0071061B"/>
    <w:rsid w:val="0071072B"/>
    <w:rsid w:val="00710777"/>
    <w:rsid w:val="007107A5"/>
    <w:rsid w:val="007107C1"/>
    <w:rsid w:val="0071082C"/>
    <w:rsid w:val="0071087A"/>
    <w:rsid w:val="00710913"/>
    <w:rsid w:val="0071093C"/>
    <w:rsid w:val="00710AA7"/>
    <w:rsid w:val="00710AC1"/>
    <w:rsid w:val="00710ADA"/>
    <w:rsid w:val="00710B37"/>
    <w:rsid w:val="00710B55"/>
    <w:rsid w:val="00710B7C"/>
    <w:rsid w:val="00710BBC"/>
    <w:rsid w:val="00710BCA"/>
    <w:rsid w:val="00710CCC"/>
    <w:rsid w:val="00710CEE"/>
    <w:rsid w:val="00710D88"/>
    <w:rsid w:val="00710E25"/>
    <w:rsid w:val="00710E26"/>
    <w:rsid w:val="00710EDC"/>
    <w:rsid w:val="00710F28"/>
    <w:rsid w:val="0071100C"/>
    <w:rsid w:val="00711121"/>
    <w:rsid w:val="00711128"/>
    <w:rsid w:val="00711237"/>
    <w:rsid w:val="00711276"/>
    <w:rsid w:val="00711297"/>
    <w:rsid w:val="007112CC"/>
    <w:rsid w:val="007112E5"/>
    <w:rsid w:val="007113A8"/>
    <w:rsid w:val="0071158B"/>
    <w:rsid w:val="007115FD"/>
    <w:rsid w:val="007116B8"/>
    <w:rsid w:val="007116C1"/>
    <w:rsid w:val="0071177A"/>
    <w:rsid w:val="0071179B"/>
    <w:rsid w:val="0071182F"/>
    <w:rsid w:val="0071184C"/>
    <w:rsid w:val="00711965"/>
    <w:rsid w:val="00711980"/>
    <w:rsid w:val="007119A5"/>
    <w:rsid w:val="00711A6D"/>
    <w:rsid w:val="00711AA4"/>
    <w:rsid w:val="00711B60"/>
    <w:rsid w:val="00711C07"/>
    <w:rsid w:val="00711CE5"/>
    <w:rsid w:val="00711D58"/>
    <w:rsid w:val="00711E06"/>
    <w:rsid w:val="00711E63"/>
    <w:rsid w:val="00711E7D"/>
    <w:rsid w:val="00711EB8"/>
    <w:rsid w:val="00711EC5"/>
    <w:rsid w:val="00711EDE"/>
    <w:rsid w:val="00711F41"/>
    <w:rsid w:val="00711F6A"/>
    <w:rsid w:val="00711FA9"/>
    <w:rsid w:val="00711FD2"/>
    <w:rsid w:val="00711FDA"/>
    <w:rsid w:val="0071216A"/>
    <w:rsid w:val="007121BC"/>
    <w:rsid w:val="007121DC"/>
    <w:rsid w:val="007121FB"/>
    <w:rsid w:val="00712210"/>
    <w:rsid w:val="00712211"/>
    <w:rsid w:val="00712232"/>
    <w:rsid w:val="00712293"/>
    <w:rsid w:val="007122FA"/>
    <w:rsid w:val="0071231B"/>
    <w:rsid w:val="0071235A"/>
    <w:rsid w:val="0071241B"/>
    <w:rsid w:val="00712420"/>
    <w:rsid w:val="0071244C"/>
    <w:rsid w:val="0071262E"/>
    <w:rsid w:val="0071263A"/>
    <w:rsid w:val="00712693"/>
    <w:rsid w:val="007126E8"/>
    <w:rsid w:val="00712739"/>
    <w:rsid w:val="0071273D"/>
    <w:rsid w:val="00712752"/>
    <w:rsid w:val="00712755"/>
    <w:rsid w:val="00712776"/>
    <w:rsid w:val="00712872"/>
    <w:rsid w:val="007128E6"/>
    <w:rsid w:val="007129AB"/>
    <w:rsid w:val="007129BE"/>
    <w:rsid w:val="00712A26"/>
    <w:rsid w:val="00712A2B"/>
    <w:rsid w:val="00712A3A"/>
    <w:rsid w:val="00712A44"/>
    <w:rsid w:val="00712A7B"/>
    <w:rsid w:val="00712B19"/>
    <w:rsid w:val="00712B41"/>
    <w:rsid w:val="00712B70"/>
    <w:rsid w:val="00712BC3"/>
    <w:rsid w:val="00712BE7"/>
    <w:rsid w:val="00712C2A"/>
    <w:rsid w:val="00712D5E"/>
    <w:rsid w:val="00712D8D"/>
    <w:rsid w:val="00712DA6"/>
    <w:rsid w:val="00712E15"/>
    <w:rsid w:val="00712EC9"/>
    <w:rsid w:val="00712F14"/>
    <w:rsid w:val="00712F2E"/>
    <w:rsid w:val="0071307F"/>
    <w:rsid w:val="00713115"/>
    <w:rsid w:val="00713149"/>
    <w:rsid w:val="00713161"/>
    <w:rsid w:val="007131A5"/>
    <w:rsid w:val="007131D2"/>
    <w:rsid w:val="007131FB"/>
    <w:rsid w:val="0071321A"/>
    <w:rsid w:val="007133EA"/>
    <w:rsid w:val="0071355D"/>
    <w:rsid w:val="00713602"/>
    <w:rsid w:val="007136DF"/>
    <w:rsid w:val="0071374B"/>
    <w:rsid w:val="00713842"/>
    <w:rsid w:val="00713874"/>
    <w:rsid w:val="0071387C"/>
    <w:rsid w:val="00713880"/>
    <w:rsid w:val="007138AD"/>
    <w:rsid w:val="00713984"/>
    <w:rsid w:val="007139A2"/>
    <w:rsid w:val="00713A34"/>
    <w:rsid w:val="00713B04"/>
    <w:rsid w:val="00713C60"/>
    <w:rsid w:val="00713CB7"/>
    <w:rsid w:val="00713D33"/>
    <w:rsid w:val="00713E07"/>
    <w:rsid w:val="00713E5F"/>
    <w:rsid w:val="00713FA4"/>
    <w:rsid w:val="00713FD3"/>
    <w:rsid w:val="00714095"/>
    <w:rsid w:val="00714113"/>
    <w:rsid w:val="00714159"/>
    <w:rsid w:val="0071418E"/>
    <w:rsid w:val="0071423E"/>
    <w:rsid w:val="007142BF"/>
    <w:rsid w:val="007144A4"/>
    <w:rsid w:val="0071460C"/>
    <w:rsid w:val="0071462D"/>
    <w:rsid w:val="007146DD"/>
    <w:rsid w:val="0071474B"/>
    <w:rsid w:val="0071475E"/>
    <w:rsid w:val="00714791"/>
    <w:rsid w:val="00714860"/>
    <w:rsid w:val="007148C3"/>
    <w:rsid w:val="0071493F"/>
    <w:rsid w:val="00714958"/>
    <w:rsid w:val="0071495B"/>
    <w:rsid w:val="007149A1"/>
    <w:rsid w:val="007149D5"/>
    <w:rsid w:val="00714B46"/>
    <w:rsid w:val="00714BAB"/>
    <w:rsid w:val="00714BF0"/>
    <w:rsid w:val="00714C6D"/>
    <w:rsid w:val="00714CC0"/>
    <w:rsid w:val="00714CFA"/>
    <w:rsid w:val="00714D2D"/>
    <w:rsid w:val="00714D3C"/>
    <w:rsid w:val="00714D8C"/>
    <w:rsid w:val="00714E92"/>
    <w:rsid w:val="00714E98"/>
    <w:rsid w:val="00714F15"/>
    <w:rsid w:val="0071503F"/>
    <w:rsid w:val="00715048"/>
    <w:rsid w:val="0071509D"/>
    <w:rsid w:val="0071518D"/>
    <w:rsid w:val="007151AE"/>
    <w:rsid w:val="007151D8"/>
    <w:rsid w:val="00715240"/>
    <w:rsid w:val="00715244"/>
    <w:rsid w:val="007152E4"/>
    <w:rsid w:val="007152EF"/>
    <w:rsid w:val="0071535E"/>
    <w:rsid w:val="00715364"/>
    <w:rsid w:val="0071536B"/>
    <w:rsid w:val="007153EF"/>
    <w:rsid w:val="0071548E"/>
    <w:rsid w:val="00715509"/>
    <w:rsid w:val="00715591"/>
    <w:rsid w:val="007155F5"/>
    <w:rsid w:val="007156C3"/>
    <w:rsid w:val="00715757"/>
    <w:rsid w:val="00715798"/>
    <w:rsid w:val="007157D2"/>
    <w:rsid w:val="007157FD"/>
    <w:rsid w:val="007158DD"/>
    <w:rsid w:val="007158F6"/>
    <w:rsid w:val="00715902"/>
    <w:rsid w:val="00715967"/>
    <w:rsid w:val="00715998"/>
    <w:rsid w:val="007159A3"/>
    <w:rsid w:val="00715A2A"/>
    <w:rsid w:val="00715A74"/>
    <w:rsid w:val="00715A84"/>
    <w:rsid w:val="00715ACA"/>
    <w:rsid w:val="00715AE3"/>
    <w:rsid w:val="00715B94"/>
    <w:rsid w:val="00715C27"/>
    <w:rsid w:val="00715CE0"/>
    <w:rsid w:val="00715D2D"/>
    <w:rsid w:val="00715D3F"/>
    <w:rsid w:val="00715E3D"/>
    <w:rsid w:val="00715E94"/>
    <w:rsid w:val="00715EA1"/>
    <w:rsid w:val="00715EA7"/>
    <w:rsid w:val="00715EBF"/>
    <w:rsid w:val="00715EC3"/>
    <w:rsid w:val="00715EFA"/>
    <w:rsid w:val="00715F27"/>
    <w:rsid w:val="00715FA8"/>
    <w:rsid w:val="00715FEE"/>
    <w:rsid w:val="0071616A"/>
    <w:rsid w:val="00716171"/>
    <w:rsid w:val="00716202"/>
    <w:rsid w:val="0071634D"/>
    <w:rsid w:val="00716395"/>
    <w:rsid w:val="00716396"/>
    <w:rsid w:val="00716429"/>
    <w:rsid w:val="00716477"/>
    <w:rsid w:val="007164A6"/>
    <w:rsid w:val="0071655B"/>
    <w:rsid w:val="0071657F"/>
    <w:rsid w:val="007165CE"/>
    <w:rsid w:val="00716624"/>
    <w:rsid w:val="00716650"/>
    <w:rsid w:val="00716679"/>
    <w:rsid w:val="0071672A"/>
    <w:rsid w:val="00716740"/>
    <w:rsid w:val="00716787"/>
    <w:rsid w:val="007167B6"/>
    <w:rsid w:val="0071682A"/>
    <w:rsid w:val="00716832"/>
    <w:rsid w:val="00716858"/>
    <w:rsid w:val="0071687C"/>
    <w:rsid w:val="007168DE"/>
    <w:rsid w:val="0071690E"/>
    <w:rsid w:val="00716936"/>
    <w:rsid w:val="007169E4"/>
    <w:rsid w:val="00716A9E"/>
    <w:rsid w:val="00716ABD"/>
    <w:rsid w:val="00716ABE"/>
    <w:rsid w:val="00716ADA"/>
    <w:rsid w:val="00716AE1"/>
    <w:rsid w:val="00716B07"/>
    <w:rsid w:val="00716C0F"/>
    <w:rsid w:val="00716C84"/>
    <w:rsid w:val="00716C8C"/>
    <w:rsid w:val="00716D75"/>
    <w:rsid w:val="00716DB7"/>
    <w:rsid w:val="00716DC2"/>
    <w:rsid w:val="00716DD0"/>
    <w:rsid w:val="00716DE1"/>
    <w:rsid w:val="00716EDF"/>
    <w:rsid w:val="00716F32"/>
    <w:rsid w:val="00716F67"/>
    <w:rsid w:val="0071702C"/>
    <w:rsid w:val="007170A4"/>
    <w:rsid w:val="00717210"/>
    <w:rsid w:val="00717242"/>
    <w:rsid w:val="007172B2"/>
    <w:rsid w:val="0071733E"/>
    <w:rsid w:val="0071744A"/>
    <w:rsid w:val="0071745A"/>
    <w:rsid w:val="007174D8"/>
    <w:rsid w:val="0071764E"/>
    <w:rsid w:val="00717660"/>
    <w:rsid w:val="00717687"/>
    <w:rsid w:val="007176AB"/>
    <w:rsid w:val="0071771C"/>
    <w:rsid w:val="007177B5"/>
    <w:rsid w:val="00717831"/>
    <w:rsid w:val="0071785C"/>
    <w:rsid w:val="00717867"/>
    <w:rsid w:val="007178F9"/>
    <w:rsid w:val="007178FC"/>
    <w:rsid w:val="0071792A"/>
    <w:rsid w:val="00717932"/>
    <w:rsid w:val="00717958"/>
    <w:rsid w:val="0071797C"/>
    <w:rsid w:val="0071799B"/>
    <w:rsid w:val="007179B6"/>
    <w:rsid w:val="00717A75"/>
    <w:rsid w:val="00717AD1"/>
    <w:rsid w:val="00717B2B"/>
    <w:rsid w:val="00717B3F"/>
    <w:rsid w:val="00717BB2"/>
    <w:rsid w:val="00717BFA"/>
    <w:rsid w:val="00717C10"/>
    <w:rsid w:val="00717C7C"/>
    <w:rsid w:val="00717CC5"/>
    <w:rsid w:val="00717DA3"/>
    <w:rsid w:val="00717DAC"/>
    <w:rsid w:val="00717DC1"/>
    <w:rsid w:val="00717DF3"/>
    <w:rsid w:val="00717EF1"/>
    <w:rsid w:val="00717EF8"/>
    <w:rsid w:val="00717F20"/>
    <w:rsid w:val="00717F79"/>
    <w:rsid w:val="0072006F"/>
    <w:rsid w:val="007200BA"/>
    <w:rsid w:val="007201AA"/>
    <w:rsid w:val="007201AF"/>
    <w:rsid w:val="00720259"/>
    <w:rsid w:val="00720265"/>
    <w:rsid w:val="00720278"/>
    <w:rsid w:val="007202DA"/>
    <w:rsid w:val="0072039F"/>
    <w:rsid w:val="007203EF"/>
    <w:rsid w:val="007204CE"/>
    <w:rsid w:val="007204D5"/>
    <w:rsid w:val="007204E6"/>
    <w:rsid w:val="0072054F"/>
    <w:rsid w:val="0072056C"/>
    <w:rsid w:val="007205A1"/>
    <w:rsid w:val="007205E3"/>
    <w:rsid w:val="00720620"/>
    <w:rsid w:val="00720646"/>
    <w:rsid w:val="007206EB"/>
    <w:rsid w:val="00720820"/>
    <w:rsid w:val="00720821"/>
    <w:rsid w:val="0072088B"/>
    <w:rsid w:val="007208CB"/>
    <w:rsid w:val="007208E8"/>
    <w:rsid w:val="007208F7"/>
    <w:rsid w:val="007209CE"/>
    <w:rsid w:val="00720A12"/>
    <w:rsid w:val="00720A8D"/>
    <w:rsid w:val="00720ADF"/>
    <w:rsid w:val="00720AF7"/>
    <w:rsid w:val="00720B9A"/>
    <w:rsid w:val="00720BBA"/>
    <w:rsid w:val="00720C35"/>
    <w:rsid w:val="00720CE3"/>
    <w:rsid w:val="00720CF1"/>
    <w:rsid w:val="00720D32"/>
    <w:rsid w:val="00720D48"/>
    <w:rsid w:val="00720D52"/>
    <w:rsid w:val="00720DA1"/>
    <w:rsid w:val="00720DE2"/>
    <w:rsid w:val="00720E7E"/>
    <w:rsid w:val="00720EE5"/>
    <w:rsid w:val="00720F34"/>
    <w:rsid w:val="0072104A"/>
    <w:rsid w:val="00721061"/>
    <w:rsid w:val="0072109C"/>
    <w:rsid w:val="007210A1"/>
    <w:rsid w:val="00721128"/>
    <w:rsid w:val="00721187"/>
    <w:rsid w:val="007211EA"/>
    <w:rsid w:val="0072120B"/>
    <w:rsid w:val="0072121F"/>
    <w:rsid w:val="00721271"/>
    <w:rsid w:val="0072127D"/>
    <w:rsid w:val="007212DE"/>
    <w:rsid w:val="0072147D"/>
    <w:rsid w:val="00721573"/>
    <w:rsid w:val="00721585"/>
    <w:rsid w:val="00721592"/>
    <w:rsid w:val="0072176C"/>
    <w:rsid w:val="007217BE"/>
    <w:rsid w:val="007217C8"/>
    <w:rsid w:val="00721810"/>
    <w:rsid w:val="007218AE"/>
    <w:rsid w:val="007218EC"/>
    <w:rsid w:val="00721911"/>
    <w:rsid w:val="00721928"/>
    <w:rsid w:val="00721937"/>
    <w:rsid w:val="00721944"/>
    <w:rsid w:val="0072196F"/>
    <w:rsid w:val="007219DA"/>
    <w:rsid w:val="00721A60"/>
    <w:rsid w:val="00721ADF"/>
    <w:rsid w:val="00721B2F"/>
    <w:rsid w:val="00721B3F"/>
    <w:rsid w:val="00721B6A"/>
    <w:rsid w:val="00721C34"/>
    <w:rsid w:val="00721C49"/>
    <w:rsid w:val="00721C95"/>
    <w:rsid w:val="00721CEF"/>
    <w:rsid w:val="00721DEC"/>
    <w:rsid w:val="00721E4B"/>
    <w:rsid w:val="00721ED7"/>
    <w:rsid w:val="00721EDD"/>
    <w:rsid w:val="00721F04"/>
    <w:rsid w:val="00721F0E"/>
    <w:rsid w:val="00721F0F"/>
    <w:rsid w:val="00721F95"/>
    <w:rsid w:val="00721FD6"/>
    <w:rsid w:val="007221BB"/>
    <w:rsid w:val="007221FD"/>
    <w:rsid w:val="00722217"/>
    <w:rsid w:val="0072235E"/>
    <w:rsid w:val="0072239D"/>
    <w:rsid w:val="007223A8"/>
    <w:rsid w:val="007223D1"/>
    <w:rsid w:val="0072241F"/>
    <w:rsid w:val="0072249F"/>
    <w:rsid w:val="007226D9"/>
    <w:rsid w:val="00722711"/>
    <w:rsid w:val="00722730"/>
    <w:rsid w:val="0072279A"/>
    <w:rsid w:val="00722825"/>
    <w:rsid w:val="0072288B"/>
    <w:rsid w:val="007228BA"/>
    <w:rsid w:val="007228F4"/>
    <w:rsid w:val="00722999"/>
    <w:rsid w:val="007229CC"/>
    <w:rsid w:val="00722A16"/>
    <w:rsid w:val="00722A21"/>
    <w:rsid w:val="00722A8C"/>
    <w:rsid w:val="00722B20"/>
    <w:rsid w:val="00722B40"/>
    <w:rsid w:val="00722B9F"/>
    <w:rsid w:val="00722BF1"/>
    <w:rsid w:val="00722C27"/>
    <w:rsid w:val="00722C2A"/>
    <w:rsid w:val="00722C7C"/>
    <w:rsid w:val="00722D68"/>
    <w:rsid w:val="00722E44"/>
    <w:rsid w:val="00722E5F"/>
    <w:rsid w:val="00722E88"/>
    <w:rsid w:val="00722EC2"/>
    <w:rsid w:val="00723015"/>
    <w:rsid w:val="007230F8"/>
    <w:rsid w:val="00723204"/>
    <w:rsid w:val="007232F0"/>
    <w:rsid w:val="00723346"/>
    <w:rsid w:val="007233C4"/>
    <w:rsid w:val="0072340D"/>
    <w:rsid w:val="0072349C"/>
    <w:rsid w:val="007234C0"/>
    <w:rsid w:val="007234FB"/>
    <w:rsid w:val="00723581"/>
    <w:rsid w:val="0072366F"/>
    <w:rsid w:val="00723733"/>
    <w:rsid w:val="00723773"/>
    <w:rsid w:val="00723790"/>
    <w:rsid w:val="007237E4"/>
    <w:rsid w:val="0072381A"/>
    <w:rsid w:val="0072382F"/>
    <w:rsid w:val="0072386D"/>
    <w:rsid w:val="0072394B"/>
    <w:rsid w:val="007239C0"/>
    <w:rsid w:val="00723A62"/>
    <w:rsid w:val="00723AE0"/>
    <w:rsid w:val="00723B47"/>
    <w:rsid w:val="00723B5A"/>
    <w:rsid w:val="00723BEB"/>
    <w:rsid w:val="00723BFE"/>
    <w:rsid w:val="00723C7E"/>
    <w:rsid w:val="00723CE0"/>
    <w:rsid w:val="00723CEF"/>
    <w:rsid w:val="00723D03"/>
    <w:rsid w:val="00723D4B"/>
    <w:rsid w:val="00723D51"/>
    <w:rsid w:val="00723E33"/>
    <w:rsid w:val="00723E5A"/>
    <w:rsid w:val="00723E76"/>
    <w:rsid w:val="00723F08"/>
    <w:rsid w:val="00723F21"/>
    <w:rsid w:val="00723F7C"/>
    <w:rsid w:val="00723FB3"/>
    <w:rsid w:val="00724032"/>
    <w:rsid w:val="00724098"/>
    <w:rsid w:val="00724111"/>
    <w:rsid w:val="0072412D"/>
    <w:rsid w:val="0072415E"/>
    <w:rsid w:val="0072417E"/>
    <w:rsid w:val="007241A5"/>
    <w:rsid w:val="007241A8"/>
    <w:rsid w:val="007241E8"/>
    <w:rsid w:val="00724290"/>
    <w:rsid w:val="00724294"/>
    <w:rsid w:val="007242B1"/>
    <w:rsid w:val="00724330"/>
    <w:rsid w:val="007243D8"/>
    <w:rsid w:val="00724403"/>
    <w:rsid w:val="0072447E"/>
    <w:rsid w:val="007244B5"/>
    <w:rsid w:val="007244CD"/>
    <w:rsid w:val="007244E4"/>
    <w:rsid w:val="00724569"/>
    <w:rsid w:val="0072459E"/>
    <w:rsid w:val="007245C5"/>
    <w:rsid w:val="0072465B"/>
    <w:rsid w:val="00724660"/>
    <w:rsid w:val="007246BE"/>
    <w:rsid w:val="0072474E"/>
    <w:rsid w:val="007247AE"/>
    <w:rsid w:val="0072482A"/>
    <w:rsid w:val="00724897"/>
    <w:rsid w:val="007248D5"/>
    <w:rsid w:val="007248E3"/>
    <w:rsid w:val="007248F5"/>
    <w:rsid w:val="007248FE"/>
    <w:rsid w:val="00724979"/>
    <w:rsid w:val="00724A43"/>
    <w:rsid w:val="00724A72"/>
    <w:rsid w:val="00724AB6"/>
    <w:rsid w:val="00724B0C"/>
    <w:rsid w:val="00724B35"/>
    <w:rsid w:val="00724B46"/>
    <w:rsid w:val="00724B77"/>
    <w:rsid w:val="00724BA8"/>
    <w:rsid w:val="00724C03"/>
    <w:rsid w:val="00724C2B"/>
    <w:rsid w:val="00724C43"/>
    <w:rsid w:val="00724CB5"/>
    <w:rsid w:val="00724CC8"/>
    <w:rsid w:val="00724CCB"/>
    <w:rsid w:val="00724D15"/>
    <w:rsid w:val="00724D74"/>
    <w:rsid w:val="00724D88"/>
    <w:rsid w:val="00724DC1"/>
    <w:rsid w:val="00724E07"/>
    <w:rsid w:val="00724F93"/>
    <w:rsid w:val="00724FA4"/>
    <w:rsid w:val="007250E0"/>
    <w:rsid w:val="007250E5"/>
    <w:rsid w:val="00725163"/>
    <w:rsid w:val="00725170"/>
    <w:rsid w:val="007251D6"/>
    <w:rsid w:val="007251E1"/>
    <w:rsid w:val="00725299"/>
    <w:rsid w:val="007252ED"/>
    <w:rsid w:val="00725355"/>
    <w:rsid w:val="00725397"/>
    <w:rsid w:val="00725476"/>
    <w:rsid w:val="007254FD"/>
    <w:rsid w:val="00725566"/>
    <w:rsid w:val="00725628"/>
    <w:rsid w:val="00725678"/>
    <w:rsid w:val="007256FC"/>
    <w:rsid w:val="0072570D"/>
    <w:rsid w:val="00725744"/>
    <w:rsid w:val="00725829"/>
    <w:rsid w:val="0072582C"/>
    <w:rsid w:val="00725891"/>
    <w:rsid w:val="007259BE"/>
    <w:rsid w:val="00725AEC"/>
    <w:rsid w:val="00725B25"/>
    <w:rsid w:val="00725B66"/>
    <w:rsid w:val="00725C36"/>
    <w:rsid w:val="00725C57"/>
    <w:rsid w:val="00725C99"/>
    <w:rsid w:val="00725CB5"/>
    <w:rsid w:val="00725CC2"/>
    <w:rsid w:val="00725D04"/>
    <w:rsid w:val="00725D88"/>
    <w:rsid w:val="00725E4B"/>
    <w:rsid w:val="00725E85"/>
    <w:rsid w:val="00725EE5"/>
    <w:rsid w:val="00725F9D"/>
    <w:rsid w:val="00725FA3"/>
    <w:rsid w:val="00725FCF"/>
    <w:rsid w:val="00725FD3"/>
    <w:rsid w:val="00726045"/>
    <w:rsid w:val="0072606B"/>
    <w:rsid w:val="0072607C"/>
    <w:rsid w:val="007260D9"/>
    <w:rsid w:val="00726129"/>
    <w:rsid w:val="0072617A"/>
    <w:rsid w:val="0072622E"/>
    <w:rsid w:val="00726297"/>
    <w:rsid w:val="007262E0"/>
    <w:rsid w:val="0072632D"/>
    <w:rsid w:val="0072635F"/>
    <w:rsid w:val="00726397"/>
    <w:rsid w:val="007263ED"/>
    <w:rsid w:val="00726463"/>
    <w:rsid w:val="0072648E"/>
    <w:rsid w:val="007264A7"/>
    <w:rsid w:val="007264CE"/>
    <w:rsid w:val="007264F4"/>
    <w:rsid w:val="0072652C"/>
    <w:rsid w:val="00726541"/>
    <w:rsid w:val="0072661A"/>
    <w:rsid w:val="00726669"/>
    <w:rsid w:val="0072667F"/>
    <w:rsid w:val="007266D1"/>
    <w:rsid w:val="007266D5"/>
    <w:rsid w:val="00726717"/>
    <w:rsid w:val="00726720"/>
    <w:rsid w:val="00726723"/>
    <w:rsid w:val="0072678B"/>
    <w:rsid w:val="007267BA"/>
    <w:rsid w:val="007267D4"/>
    <w:rsid w:val="00726808"/>
    <w:rsid w:val="00726842"/>
    <w:rsid w:val="0072684E"/>
    <w:rsid w:val="00726882"/>
    <w:rsid w:val="00726914"/>
    <w:rsid w:val="00726933"/>
    <w:rsid w:val="0072696F"/>
    <w:rsid w:val="0072698D"/>
    <w:rsid w:val="00726A15"/>
    <w:rsid w:val="00726A83"/>
    <w:rsid w:val="00726B5F"/>
    <w:rsid w:val="00726B6C"/>
    <w:rsid w:val="00726B7A"/>
    <w:rsid w:val="00726BB3"/>
    <w:rsid w:val="00726BD9"/>
    <w:rsid w:val="00726BF1"/>
    <w:rsid w:val="00726C65"/>
    <w:rsid w:val="00726CD3"/>
    <w:rsid w:val="00726D0C"/>
    <w:rsid w:val="00726DC3"/>
    <w:rsid w:val="00726EB7"/>
    <w:rsid w:val="00726EDF"/>
    <w:rsid w:val="00726F08"/>
    <w:rsid w:val="00726F26"/>
    <w:rsid w:val="00726FA6"/>
    <w:rsid w:val="00726FB3"/>
    <w:rsid w:val="00727028"/>
    <w:rsid w:val="0072708F"/>
    <w:rsid w:val="00727155"/>
    <w:rsid w:val="007271D0"/>
    <w:rsid w:val="0072722F"/>
    <w:rsid w:val="00727301"/>
    <w:rsid w:val="0072732E"/>
    <w:rsid w:val="00727403"/>
    <w:rsid w:val="0072749A"/>
    <w:rsid w:val="007274C8"/>
    <w:rsid w:val="0072751C"/>
    <w:rsid w:val="00727666"/>
    <w:rsid w:val="00727731"/>
    <w:rsid w:val="00727759"/>
    <w:rsid w:val="007277BE"/>
    <w:rsid w:val="00727887"/>
    <w:rsid w:val="007278BE"/>
    <w:rsid w:val="00727911"/>
    <w:rsid w:val="007279B1"/>
    <w:rsid w:val="007279B7"/>
    <w:rsid w:val="007279E3"/>
    <w:rsid w:val="00727AE1"/>
    <w:rsid w:val="00727AFB"/>
    <w:rsid w:val="00727B63"/>
    <w:rsid w:val="00727B9C"/>
    <w:rsid w:val="00727BA8"/>
    <w:rsid w:val="00727C1B"/>
    <w:rsid w:val="00727C2B"/>
    <w:rsid w:val="00727D4A"/>
    <w:rsid w:val="00727D78"/>
    <w:rsid w:val="00727D7E"/>
    <w:rsid w:val="00727DAF"/>
    <w:rsid w:val="00727DBC"/>
    <w:rsid w:val="00727E8E"/>
    <w:rsid w:val="00727F4D"/>
    <w:rsid w:val="00727FAA"/>
    <w:rsid w:val="00727FCE"/>
    <w:rsid w:val="0073000D"/>
    <w:rsid w:val="00730084"/>
    <w:rsid w:val="007300D6"/>
    <w:rsid w:val="007300F4"/>
    <w:rsid w:val="0073018F"/>
    <w:rsid w:val="007301A8"/>
    <w:rsid w:val="007301CD"/>
    <w:rsid w:val="007301E2"/>
    <w:rsid w:val="00730277"/>
    <w:rsid w:val="007302A8"/>
    <w:rsid w:val="00730402"/>
    <w:rsid w:val="00730403"/>
    <w:rsid w:val="0073045A"/>
    <w:rsid w:val="00730562"/>
    <w:rsid w:val="007305AE"/>
    <w:rsid w:val="007306CA"/>
    <w:rsid w:val="007307CF"/>
    <w:rsid w:val="00730878"/>
    <w:rsid w:val="007308FD"/>
    <w:rsid w:val="0073093E"/>
    <w:rsid w:val="00730A06"/>
    <w:rsid w:val="00730A21"/>
    <w:rsid w:val="00730B53"/>
    <w:rsid w:val="00730B81"/>
    <w:rsid w:val="00730B8C"/>
    <w:rsid w:val="00730C5E"/>
    <w:rsid w:val="00730C62"/>
    <w:rsid w:val="00730CB9"/>
    <w:rsid w:val="00730CCF"/>
    <w:rsid w:val="00730D0F"/>
    <w:rsid w:val="00730D13"/>
    <w:rsid w:val="00730E10"/>
    <w:rsid w:val="00730E4A"/>
    <w:rsid w:val="00730E65"/>
    <w:rsid w:val="00730F06"/>
    <w:rsid w:val="00730F2C"/>
    <w:rsid w:val="00730F8D"/>
    <w:rsid w:val="00730FC3"/>
    <w:rsid w:val="00730FFB"/>
    <w:rsid w:val="0073103B"/>
    <w:rsid w:val="00731040"/>
    <w:rsid w:val="007310AD"/>
    <w:rsid w:val="00731106"/>
    <w:rsid w:val="00731129"/>
    <w:rsid w:val="007311A4"/>
    <w:rsid w:val="007311E0"/>
    <w:rsid w:val="00731298"/>
    <w:rsid w:val="0073132C"/>
    <w:rsid w:val="0073132E"/>
    <w:rsid w:val="0073137C"/>
    <w:rsid w:val="00731391"/>
    <w:rsid w:val="007313E5"/>
    <w:rsid w:val="0073142A"/>
    <w:rsid w:val="007314C8"/>
    <w:rsid w:val="0073152B"/>
    <w:rsid w:val="0073158F"/>
    <w:rsid w:val="0073159C"/>
    <w:rsid w:val="00731619"/>
    <w:rsid w:val="0073163B"/>
    <w:rsid w:val="0073167C"/>
    <w:rsid w:val="0073167E"/>
    <w:rsid w:val="007316C1"/>
    <w:rsid w:val="00731796"/>
    <w:rsid w:val="007317A0"/>
    <w:rsid w:val="007317A2"/>
    <w:rsid w:val="007317C7"/>
    <w:rsid w:val="007317D6"/>
    <w:rsid w:val="00731962"/>
    <w:rsid w:val="007319A4"/>
    <w:rsid w:val="007319AA"/>
    <w:rsid w:val="007319E4"/>
    <w:rsid w:val="007319F1"/>
    <w:rsid w:val="00731A7C"/>
    <w:rsid w:val="00731A8A"/>
    <w:rsid w:val="00731BBB"/>
    <w:rsid w:val="00731BC3"/>
    <w:rsid w:val="00731C06"/>
    <w:rsid w:val="00731C27"/>
    <w:rsid w:val="00731CC4"/>
    <w:rsid w:val="00731DE3"/>
    <w:rsid w:val="00731E0F"/>
    <w:rsid w:val="00731E50"/>
    <w:rsid w:val="00731E83"/>
    <w:rsid w:val="00731EC2"/>
    <w:rsid w:val="00731F3E"/>
    <w:rsid w:val="00731FF5"/>
    <w:rsid w:val="0073200A"/>
    <w:rsid w:val="00732029"/>
    <w:rsid w:val="007320A0"/>
    <w:rsid w:val="007320BB"/>
    <w:rsid w:val="007320CA"/>
    <w:rsid w:val="00732135"/>
    <w:rsid w:val="0073213A"/>
    <w:rsid w:val="00732193"/>
    <w:rsid w:val="00732259"/>
    <w:rsid w:val="0073227D"/>
    <w:rsid w:val="0073229B"/>
    <w:rsid w:val="007322EA"/>
    <w:rsid w:val="0073236C"/>
    <w:rsid w:val="007323F9"/>
    <w:rsid w:val="00732424"/>
    <w:rsid w:val="0073243F"/>
    <w:rsid w:val="00732441"/>
    <w:rsid w:val="007324C2"/>
    <w:rsid w:val="007324CB"/>
    <w:rsid w:val="00732565"/>
    <w:rsid w:val="007325A5"/>
    <w:rsid w:val="00732653"/>
    <w:rsid w:val="00732693"/>
    <w:rsid w:val="007326E2"/>
    <w:rsid w:val="00732779"/>
    <w:rsid w:val="00732785"/>
    <w:rsid w:val="00732806"/>
    <w:rsid w:val="007328B0"/>
    <w:rsid w:val="0073296A"/>
    <w:rsid w:val="00732974"/>
    <w:rsid w:val="00732998"/>
    <w:rsid w:val="007329D2"/>
    <w:rsid w:val="007329F3"/>
    <w:rsid w:val="00732B1B"/>
    <w:rsid w:val="00732B6E"/>
    <w:rsid w:val="00732B82"/>
    <w:rsid w:val="00732BB3"/>
    <w:rsid w:val="00732BCE"/>
    <w:rsid w:val="00732BD4"/>
    <w:rsid w:val="00732BD6"/>
    <w:rsid w:val="00732C22"/>
    <w:rsid w:val="00732C6D"/>
    <w:rsid w:val="00732CDD"/>
    <w:rsid w:val="00732D65"/>
    <w:rsid w:val="00732D69"/>
    <w:rsid w:val="00732DAB"/>
    <w:rsid w:val="00732DEF"/>
    <w:rsid w:val="00732E4D"/>
    <w:rsid w:val="00732E79"/>
    <w:rsid w:val="00732EA8"/>
    <w:rsid w:val="00732EE2"/>
    <w:rsid w:val="00732F41"/>
    <w:rsid w:val="00732F9D"/>
    <w:rsid w:val="00732FA5"/>
    <w:rsid w:val="00732FAB"/>
    <w:rsid w:val="00732FD4"/>
    <w:rsid w:val="00733018"/>
    <w:rsid w:val="00733076"/>
    <w:rsid w:val="00733127"/>
    <w:rsid w:val="00733146"/>
    <w:rsid w:val="007331F2"/>
    <w:rsid w:val="007331FA"/>
    <w:rsid w:val="0073322B"/>
    <w:rsid w:val="00733357"/>
    <w:rsid w:val="007333CB"/>
    <w:rsid w:val="007333F3"/>
    <w:rsid w:val="007335BB"/>
    <w:rsid w:val="007335C2"/>
    <w:rsid w:val="007335E3"/>
    <w:rsid w:val="00733606"/>
    <w:rsid w:val="0073363A"/>
    <w:rsid w:val="007336B4"/>
    <w:rsid w:val="007336EF"/>
    <w:rsid w:val="0073371F"/>
    <w:rsid w:val="0073374F"/>
    <w:rsid w:val="00733750"/>
    <w:rsid w:val="007337BE"/>
    <w:rsid w:val="0073386B"/>
    <w:rsid w:val="007338F6"/>
    <w:rsid w:val="0073390B"/>
    <w:rsid w:val="0073398C"/>
    <w:rsid w:val="007339A9"/>
    <w:rsid w:val="00733A98"/>
    <w:rsid w:val="00733B00"/>
    <w:rsid w:val="00733B5F"/>
    <w:rsid w:val="00733C87"/>
    <w:rsid w:val="00733C88"/>
    <w:rsid w:val="00733DB1"/>
    <w:rsid w:val="00733DCC"/>
    <w:rsid w:val="00733E2B"/>
    <w:rsid w:val="00733EAF"/>
    <w:rsid w:val="00733EB1"/>
    <w:rsid w:val="00733EB3"/>
    <w:rsid w:val="00733EDC"/>
    <w:rsid w:val="00734027"/>
    <w:rsid w:val="00734091"/>
    <w:rsid w:val="007340BF"/>
    <w:rsid w:val="007340E1"/>
    <w:rsid w:val="0073414F"/>
    <w:rsid w:val="00734277"/>
    <w:rsid w:val="00734290"/>
    <w:rsid w:val="007342A5"/>
    <w:rsid w:val="00734328"/>
    <w:rsid w:val="00734367"/>
    <w:rsid w:val="00734459"/>
    <w:rsid w:val="0073445E"/>
    <w:rsid w:val="0073448C"/>
    <w:rsid w:val="007344B6"/>
    <w:rsid w:val="007345CF"/>
    <w:rsid w:val="007345D9"/>
    <w:rsid w:val="00734605"/>
    <w:rsid w:val="007346E6"/>
    <w:rsid w:val="0073475D"/>
    <w:rsid w:val="007347BF"/>
    <w:rsid w:val="00734804"/>
    <w:rsid w:val="00734882"/>
    <w:rsid w:val="0073497A"/>
    <w:rsid w:val="00734981"/>
    <w:rsid w:val="007349DC"/>
    <w:rsid w:val="007349E3"/>
    <w:rsid w:val="00734A35"/>
    <w:rsid w:val="00734A68"/>
    <w:rsid w:val="00734A6D"/>
    <w:rsid w:val="00734AD0"/>
    <w:rsid w:val="00734AE1"/>
    <w:rsid w:val="00734B1D"/>
    <w:rsid w:val="00734B73"/>
    <w:rsid w:val="00734C07"/>
    <w:rsid w:val="00734C2B"/>
    <w:rsid w:val="00734C36"/>
    <w:rsid w:val="00734C65"/>
    <w:rsid w:val="00734CA9"/>
    <w:rsid w:val="00734CF9"/>
    <w:rsid w:val="00734D87"/>
    <w:rsid w:val="00734DCB"/>
    <w:rsid w:val="00734E37"/>
    <w:rsid w:val="00734E5A"/>
    <w:rsid w:val="00734EA2"/>
    <w:rsid w:val="00734EC4"/>
    <w:rsid w:val="00734F49"/>
    <w:rsid w:val="00734F4E"/>
    <w:rsid w:val="00734F65"/>
    <w:rsid w:val="00734F75"/>
    <w:rsid w:val="00735058"/>
    <w:rsid w:val="007350FE"/>
    <w:rsid w:val="007351B9"/>
    <w:rsid w:val="007351F9"/>
    <w:rsid w:val="00735245"/>
    <w:rsid w:val="007352B0"/>
    <w:rsid w:val="007352BC"/>
    <w:rsid w:val="007352F5"/>
    <w:rsid w:val="0073531A"/>
    <w:rsid w:val="0073533F"/>
    <w:rsid w:val="0073539E"/>
    <w:rsid w:val="007354B8"/>
    <w:rsid w:val="00735582"/>
    <w:rsid w:val="00735606"/>
    <w:rsid w:val="00735686"/>
    <w:rsid w:val="007356EA"/>
    <w:rsid w:val="00735913"/>
    <w:rsid w:val="00735938"/>
    <w:rsid w:val="007359BA"/>
    <w:rsid w:val="007359C5"/>
    <w:rsid w:val="00735A8B"/>
    <w:rsid w:val="00735ACB"/>
    <w:rsid w:val="00735AEA"/>
    <w:rsid w:val="00735AF8"/>
    <w:rsid w:val="00735B9E"/>
    <w:rsid w:val="00735BA4"/>
    <w:rsid w:val="00735C1B"/>
    <w:rsid w:val="00735C1D"/>
    <w:rsid w:val="00735C35"/>
    <w:rsid w:val="00735C4E"/>
    <w:rsid w:val="00735C6A"/>
    <w:rsid w:val="00735C89"/>
    <w:rsid w:val="00735D06"/>
    <w:rsid w:val="00735D8E"/>
    <w:rsid w:val="00735DB2"/>
    <w:rsid w:val="00735DBD"/>
    <w:rsid w:val="00735E5B"/>
    <w:rsid w:val="00735EE4"/>
    <w:rsid w:val="00735FBC"/>
    <w:rsid w:val="00735FC5"/>
    <w:rsid w:val="0073602F"/>
    <w:rsid w:val="0073608A"/>
    <w:rsid w:val="0073609D"/>
    <w:rsid w:val="007360E5"/>
    <w:rsid w:val="00736146"/>
    <w:rsid w:val="007361A4"/>
    <w:rsid w:val="007361B9"/>
    <w:rsid w:val="00736257"/>
    <w:rsid w:val="007362C3"/>
    <w:rsid w:val="007362D4"/>
    <w:rsid w:val="007362E6"/>
    <w:rsid w:val="00736322"/>
    <w:rsid w:val="00736354"/>
    <w:rsid w:val="0073647A"/>
    <w:rsid w:val="0073654D"/>
    <w:rsid w:val="007365FC"/>
    <w:rsid w:val="0073662B"/>
    <w:rsid w:val="00736634"/>
    <w:rsid w:val="00736671"/>
    <w:rsid w:val="007366F9"/>
    <w:rsid w:val="00736772"/>
    <w:rsid w:val="007367AF"/>
    <w:rsid w:val="0073684B"/>
    <w:rsid w:val="0073684D"/>
    <w:rsid w:val="0073687B"/>
    <w:rsid w:val="00736897"/>
    <w:rsid w:val="007368D8"/>
    <w:rsid w:val="00736929"/>
    <w:rsid w:val="0073697A"/>
    <w:rsid w:val="007369FC"/>
    <w:rsid w:val="00736ACF"/>
    <w:rsid w:val="00736B49"/>
    <w:rsid w:val="00736B79"/>
    <w:rsid w:val="00736B90"/>
    <w:rsid w:val="00736BC3"/>
    <w:rsid w:val="00736BE1"/>
    <w:rsid w:val="00736CA4"/>
    <w:rsid w:val="00736CAF"/>
    <w:rsid w:val="00736CB7"/>
    <w:rsid w:val="00736CBF"/>
    <w:rsid w:val="00736DB9"/>
    <w:rsid w:val="00736DFE"/>
    <w:rsid w:val="00736E47"/>
    <w:rsid w:val="00736E55"/>
    <w:rsid w:val="00736E9B"/>
    <w:rsid w:val="00736E9E"/>
    <w:rsid w:val="00736F72"/>
    <w:rsid w:val="00736FC9"/>
    <w:rsid w:val="00736FF0"/>
    <w:rsid w:val="00737007"/>
    <w:rsid w:val="0073704D"/>
    <w:rsid w:val="0073705E"/>
    <w:rsid w:val="007370A5"/>
    <w:rsid w:val="007370E0"/>
    <w:rsid w:val="007370E6"/>
    <w:rsid w:val="007371B8"/>
    <w:rsid w:val="007371C0"/>
    <w:rsid w:val="007371D4"/>
    <w:rsid w:val="007371F7"/>
    <w:rsid w:val="0073720C"/>
    <w:rsid w:val="00737214"/>
    <w:rsid w:val="0073728A"/>
    <w:rsid w:val="007372AC"/>
    <w:rsid w:val="007372CC"/>
    <w:rsid w:val="00737344"/>
    <w:rsid w:val="007373AC"/>
    <w:rsid w:val="007373C1"/>
    <w:rsid w:val="00737401"/>
    <w:rsid w:val="0073740F"/>
    <w:rsid w:val="00737442"/>
    <w:rsid w:val="00737477"/>
    <w:rsid w:val="00737479"/>
    <w:rsid w:val="007374BD"/>
    <w:rsid w:val="007374E8"/>
    <w:rsid w:val="007374FB"/>
    <w:rsid w:val="00737542"/>
    <w:rsid w:val="00737556"/>
    <w:rsid w:val="0073758E"/>
    <w:rsid w:val="00737595"/>
    <w:rsid w:val="007375BE"/>
    <w:rsid w:val="007375E6"/>
    <w:rsid w:val="007375F4"/>
    <w:rsid w:val="0073766E"/>
    <w:rsid w:val="00737688"/>
    <w:rsid w:val="0073772D"/>
    <w:rsid w:val="00737870"/>
    <w:rsid w:val="0073787A"/>
    <w:rsid w:val="007378EC"/>
    <w:rsid w:val="007378FE"/>
    <w:rsid w:val="0073791B"/>
    <w:rsid w:val="0073794F"/>
    <w:rsid w:val="00737960"/>
    <w:rsid w:val="00737986"/>
    <w:rsid w:val="007379A0"/>
    <w:rsid w:val="00737A0E"/>
    <w:rsid w:val="00737A18"/>
    <w:rsid w:val="00737B06"/>
    <w:rsid w:val="00737B3B"/>
    <w:rsid w:val="00737B3D"/>
    <w:rsid w:val="00737B42"/>
    <w:rsid w:val="00737B53"/>
    <w:rsid w:val="00737B60"/>
    <w:rsid w:val="00737C0B"/>
    <w:rsid w:val="00737C1C"/>
    <w:rsid w:val="00737C21"/>
    <w:rsid w:val="00737C62"/>
    <w:rsid w:val="00737C66"/>
    <w:rsid w:val="00737C79"/>
    <w:rsid w:val="00737CAC"/>
    <w:rsid w:val="00737D57"/>
    <w:rsid w:val="00737D63"/>
    <w:rsid w:val="00737D8A"/>
    <w:rsid w:val="00737DB3"/>
    <w:rsid w:val="00737DE8"/>
    <w:rsid w:val="00737E5F"/>
    <w:rsid w:val="00737E67"/>
    <w:rsid w:val="00737E76"/>
    <w:rsid w:val="00737ECC"/>
    <w:rsid w:val="00737FE9"/>
    <w:rsid w:val="00740014"/>
    <w:rsid w:val="0074005D"/>
    <w:rsid w:val="00740093"/>
    <w:rsid w:val="007400EC"/>
    <w:rsid w:val="00740144"/>
    <w:rsid w:val="00740198"/>
    <w:rsid w:val="00740230"/>
    <w:rsid w:val="00740235"/>
    <w:rsid w:val="00740285"/>
    <w:rsid w:val="007403C9"/>
    <w:rsid w:val="007404C1"/>
    <w:rsid w:val="007404E1"/>
    <w:rsid w:val="0074055D"/>
    <w:rsid w:val="007405B4"/>
    <w:rsid w:val="007405CF"/>
    <w:rsid w:val="007405F4"/>
    <w:rsid w:val="0074060F"/>
    <w:rsid w:val="00740670"/>
    <w:rsid w:val="007406D0"/>
    <w:rsid w:val="00740711"/>
    <w:rsid w:val="00740752"/>
    <w:rsid w:val="0074079A"/>
    <w:rsid w:val="007407C4"/>
    <w:rsid w:val="007407CD"/>
    <w:rsid w:val="00740811"/>
    <w:rsid w:val="00740815"/>
    <w:rsid w:val="00740927"/>
    <w:rsid w:val="007409D9"/>
    <w:rsid w:val="00740A87"/>
    <w:rsid w:val="00740B0A"/>
    <w:rsid w:val="00740B3C"/>
    <w:rsid w:val="00740B48"/>
    <w:rsid w:val="00740B7B"/>
    <w:rsid w:val="00740BBB"/>
    <w:rsid w:val="00740C87"/>
    <w:rsid w:val="00740CC9"/>
    <w:rsid w:val="00740D54"/>
    <w:rsid w:val="00740D96"/>
    <w:rsid w:val="00740DDE"/>
    <w:rsid w:val="00740ECD"/>
    <w:rsid w:val="00740EDC"/>
    <w:rsid w:val="00740EEF"/>
    <w:rsid w:val="00740F1F"/>
    <w:rsid w:val="00740F31"/>
    <w:rsid w:val="00740F71"/>
    <w:rsid w:val="00741040"/>
    <w:rsid w:val="0074104B"/>
    <w:rsid w:val="0074106D"/>
    <w:rsid w:val="007410B0"/>
    <w:rsid w:val="007410E8"/>
    <w:rsid w:val="007411AC"/>
    <w:rsid w:val="00741219"/>
    <w:rsid w:val="0074125E"/>
    <w:rsid w:val="00741297"/>
    <w:rsid w:val="00741323"/>
    <w:rsid w:val="0074132D"/>
    <w:rsid w:val="00741354"/>
    <w:rsid w:val="00741358"/>
    <w:rsid w:val="0074135E"/>
    <w:rsid w:val="0074136A"/>
    <w:rsid w:val="0074138A"/>
    <w:rsid w:val="007413FE"/>
    <w:rsid w:val="00741401"/>
    <w:rsid w:val="00741505"/>
    <w:rsid w:val="0074160D"/>
    <w:rsid w:val="00741637"/>
    <w:rsid w:val="00741639"/>
    <w:rsid w:val="00741670"/>
    <w:rsid w:val="00741672"/>
    <w:rsid w:val="007417FD"/>
    <w:rsid w:val="00741854"/>
    <w:rsid w:val="0074189B"/>
    <w:rsid w:val="007418A2"/>
    <w:rsid w:val="007418EC"/>
    <w:rsid w:val="007419B0"/>
    <w:rsid w:val="007419B1"/>
    <w:rsid w:val="00741AC5"/>
    <w:rsid w:val="00741AC6"/>
    <w:rsid w:val="00741AD4"/>
    <w:rsid w:val="00741ADD"/>
    <w:rsid w:val="00741B13"/>
    <w:rsid w:val="00741B79"/>
    <w:rsid w:val="00741BB6"/>
    <w:rsid w:val="00741C3C"/>
    <w:rsid w:val="00741D8D"/>
    <w:rsid w:val="00741DC7"/>
    <w:rsid w:val="00741E46"/>
    <w:rsid w:val="00741E81"/>
    <w:rsid w:val="00741EC6"/>
    <w:rsid w:val="00741EE1"/>
    <w:rsid w:val="00741F4A"/>
    <w:rsid w:val="00741F7D"/>
    <w:rsid w:val="00741F8E"/>
    <w:rsid w:val="00741FC7"/>
    <w:rsid w:val="00741FDC"/>
    <w:rsid w:val="00741FE2"/>
    <w:rsid w:val="0074228D"/>
    <w:rsid w:val="007423AE"/>
    <w:rsid w:val="007423BF"/>
    <w:rsid w:val="0074241F"/>
    <w:rsid w:val="007424D1"/>
    <w:rsid w:val="007424F8"/>
    <w:rsid w:val="0074259C"/>
    <w:rsid w:val="007426DC"/>
    <w:rsid w:val="00742737"/>
    <w:rsid w:val="00742768"/>
    <w:rsid w:val="007427E5"/>
    <w:rsid w:val="00742817"/>
    <w:rsid w:val="00742867"/>
    <w:rsid w:val="00742886"/>
    <w:rsid w:val="007428D3"/>
    <w:rsid w:val="00742A43"/>
    <w:rsid w:val="00742A48"/>
    <w:rsid w:val="00742AAA"/>
    <w:rsid w:val="00742AAD"/>
    <w:rsid w:val="00742B1D"/>
    <w:rsid w:val="00742B58"/>
    <w:rsid w:val="00742B67"/>
    <w:rsid w:val="00742BEE"/>
    <w:rsid w:val="00742C60"/>
    <w:rsid w:val="00742C6A"/>
    <w:rsid w:val="00742CC5"/>
    <w:rsid w:val="00742CCB"/>
    <w:rsid w:val="00742D26"/>
    <w:rsid w:val="00742E73"/>
    <w:rsid w:val="00742EE0"/>
    <w:rsid w:val="00743002"/>
    <w:rsid w:val="00743006"/>
    <w:rsid w:val="00743012"/>
    <w:rsid w:val="00743033"/>
    <w:rsid w:val="0074304D"/>
    <w:rsid w:val="00743250"/>
    <w:rsid w:val="0074326F"/>
    <w:rsid w:val="00743298"/>
    <w:rsid w:val="0074329B"/>
    <w:rsid w:val="007432B7"/>
    <w:rsid w:val="007432CC"/>
    <w:rsid w:val="007432D5"/>
    <w:rsid w:val="0074336A"/>
    <w:rsid w:val="007433CC"/>
    <w:rsid w:val="007433D4"/>
    <w:rsid w:val="0074340A"/>
    <w:rsid w:val="0074342D"/>
    <w:rsid w:val="00743456"/>
    <w:rsid w:val="007434FC"/>
    <w:rsid w:val="00743605"/>
    <w:rsid w:val="007436EF"/>
    <w:rsid w:val="00743773"/>
    <w:rsid w:val="007437C8"/>
    <w:rsid w:val="00743816"/>
    <w:rsid w:val="00743842"/>
    <w:rsid w:val="00743879"/>
    <w:rsid w:val="007438F5"/>
    <w:rsid w:val="00743958"/>
    <w:rsid w:val="00743965"/>
    <w:rsid w:val="007439FB"/>
    <w:rsid w:val="00743A07"/>
    <w:rsid w:val="00743AB0"/>
    <w:rsid w:val="00743AE8"/>
    <w:rsid w:val="00743AF2"/>
    <w:rsid w:val="00743B17"/>
    <w:rsid w:val="00743B4F"/>
    <w:rsid w:val="00743B6E"/>
    <w:rsid w:val="00743BE9"/>
    <w:rsid w:val="00743C27"/>
    <w:rsid w:val="00743C33"/>
    <w:rsid w:val="00743CD2"/>
    <w:rsid w:val="00743D21"/>
    <w:rsid w:val="00743EB0"/>
    <w:rsid w:val="00743FBD"/>
    <w:rsid w:val="00744005"/>
    <w:rsid w:val="0074406C"/>
    <w:rsid w:val="007440FE"/>
    <w:rsid w:val="00744153"/>
    <w:rsid w:val="0074421C"/>
    <w:rsid w:val="0074424A"/>
    <w:rsid w:val="00744287"/>
    <w:rsid w:val="0074437E"/>
    <w:rsid w:val="00744392"/>
    <w:rsid w:val="007443AF"/>
    <w:rsid w:val="0074446C"/>
    <w:rsid w:val="007444F4"/>
    <w:rsid w:val="00744510"/>
    <w:rsid w:val="007445EB"/>
    <w:rsid w:val="00744604"/>
    <w:rsid w:val="00744606"/>
    <w:rsid w:val="00744676"/>
    <w:rsid w:val="00744685"/>
    <w:rsid w:val="00744699"/>
    <w:rsid w:val="007446F2"/>
    <w:rsid w:val="00744744"/>
    <w:rsid w:val="007447BA"/>
    <w:rsid w:val="007447D0"/>
    <w:rsid w:val="0074489F"/>
    <w:rsid w:val="007448F3"/>
    <w:rsid w:val="0074497B"/>
    <w:rsid w:val="007449C2"/>
    <w:rsid w:val="00744B98"/>
    <w:rsid w:val="00744C1A"/>
    <w:rsid w:val="00744C77"/>
    <w:rsid w:val="00744CFF"/>
    <w:rsid w:val="00744D38"/>
    <w:rsid w:val="00744D79"/>
    <w:rsid w:val="00744DBB"/>
    <w:rsid w:val="00744E69"/>
    <w:rsid w:val="00744EE3"/>
    <w:rsid w:val="00744F01"/>
    <w:rsid w:val="00744F0E"/>
    <w:rsid w:val="00744F88"/>
    <w:rsid w:val="00744FDD"/>
    <w:rsid w:val="0074500D"/>
    <w:rsid w:val="00745077"/>
    <w:rsid w:val="0074517E"/>
    <w:rsid w:val="007451C5"/>
    <w:rsid w:val="00745283"/>
    <w:rsid w:val="00745288"/>
    <w:rsid w:val="007452E6"/>
    <w:rsid w:val="007452F0"/>
    <w:rsid w:val="00745300"/>
    <w:rsid w:val="00745303"/>
    <w:rsid w:val="00745367"/>
    <w:rsid w:val="0074536C"/>
    <w:rsid w:val="00745395"/>
    <w:rsid w:val="0074539F"/>
    <w:rsid w:val="007453D6"/>
    <w:rsid w:val="007453EB"/>
    <w:rsid w:val="00745461"/>
    <w:rsid w:val="007454A7"/>
    <w:rsid w:val="007454B1"/>
    <w:rsid w:val="007454EF"/>
    <w:rsid w:val="0074551C"/>
    <w:rsid w:val="007456FB"/>
    <w:rsid w:val="00745759"/>
    <w:rsid w:val="00745782"/>
    <w:rsid w:val="007457AD"/>
    <w:rsid w:val="007457FC"/>
    <w:rsid w:val="00745849"/>
    <w:rsid w:val="00745850"/>
    <w:rsid w:val="0074586C"/>
    <w:rsid w:val="0074587D"/>
    <w:rsid w:val="0074590C"/>
    <w:rsid w:val="00745923"/>
    <w:rsid w:val="0074598C"/>
    <w:rsid w:val="007459E3"/>
    <w:rsid w:val="007459E8"/>
    <w:rsid w:val="00745A3E"/>
    <w:rsid w:val="00745ABC"/>
    <w:rsid w:val="00745AE7"/>
    <w:rsid w:val="00745B2A"/>
    <w:rsid w:val="00745B51"/>
    <w:rsid w:val="00745C2F"/>
    <w:rsid w:val="00745C77"/>
    <w:rsid w:val="00745C86"/>
    <w:rsid w:val="00745CCE"/>
    <w:rsid w:val="00745D1C"/>
    <w:rsid w:val="00745D3F"/>
    <w:rsid w:val="00745D51"/>
    <w:rsid w:val="00745D56"/>
    <w:rsid w:val="00745D5F"/>
    <w:rsid w:val="00745DE1"/>
    <w:rsid w:val="00745E08"/>
    <w:rsid w:val="00745E3F"/>
    <w:rsid w:val="00745EB2"/>
    <w:rsid w:val="00745EE7"/>
    <w:rsid w:val="00745FB9"/>
    <w:rsid w:val="0074601C"/>
    <w:rsid w:val="0074603A"/>
    <w:rsid w:val="00746081"/>
    <w:rsid w:val="007460F4"/>
    <w:rsid w:val="00746284"/>
    <w:rsid w:val="00746304"/>
    <w:rsid w:val="00746323"/>
    <w:rsid w:val="00746338"/>
    <w:rsid w:val="007463B7"/>
    <w:rsid w:val="007463D8"/>
    <w:rsid w:val="007463F4"/>
    <w:rsid w:val="007463FA"/>
    <w:rsid w:val="00746482"/>
    <w:rsid w:val="007466A2"/>
    <w:rsid w:val="00746780"/>
    <w:rsid w:val="007468F8"/>
    <w:rsid w:val="00746919"/>
    <w:rsid w:val="00746987"/>
    <w:rsid w:val="007469B7"/>
    <w:rsid w:val="00746ADF"/>
    <w:rsid w:val="00746B36"/>
    <w:rsid w:val="00746C96"/>
    <w:rsid w:val="00746CA9"/>
    <w:rsid w:val="00746D0D"/>
    <w:rsid w:val="00746D64"/>
    <w:rsid w:val="00746D81"/>
    <w:rsid w:val="00746E26"/>
    <w:rsid w:val="00746EAA"/>
    <w:rsid w:val="00746EDD"/>
    <w:rsid w:val="00746F25"/>
    <w:rsid w:val="00746F32"/>
    <w:rsid w:val="00746F4B"/>
    <w:rsid w:val="00746F6E"/>
    <w:rsid w:val="00746FB8"/>
    <w:rsid w:val="00746FBC"/>
    <w:rsid w:val="00746FEF"/>
    <w:rsid w:val="00746FFB"/>
    <w:rsid w:val="00746FFC"/>
    <w:rsid w:val="00747006"/>
    <w:rsid w:val="007470EE"/>
    <w:rsid w:val="00747131"/>
    <w:rsid w:val="007471C6"/>
    <w:rsid w:val="00747204"/>
    <w:rsid w:val="00747245"/>
    <w:rsid w:val="00747424"/>
    <w:rsid w:val="007474C0"/>
    <w:rsid w:val="007474E0"/>
    <w:rsid w:val="0074751B"/>
    <w:rsid w:val="0074756E"/>
    <w:rsid w:val="00747590"/>
    <w:rsid w:val="00747591"/>
    <w:rsid w:val="007475A5"/>
    <w:rsid w:val="007475C1"/>
    <w:rsid w:val="007475E1"/>
    <w:rsid w:val="00747705"/>
    <w:rsid w:val="0074776C"/>
    <w:rsid w:val="007477A3"/>
    <w:rsid w:val="007477FC"/>
    <w:rsid w:val="00747860"/>
    <w:rsid w:val="00747862"/>
    <w:rsid w:val="00747893"/>
    <w:rsid w:val="007478CF"/>
    <w:rsid w:val="0074791B"/>
    <w:rsid w:val="007479AF"/>
    <w:rsid w:val="007479D6"/>
    <w:rsid w:val="00747A2C"/>
    <w:rsid w:val="00747A88"/>
    <w:rsid w:val="00747B17"/>
    <w:rsid w:val="00747B69"/>
    <w:rsid w:val="00747BA3"/>
    <w:rsid w:val="00747C30"/>
    <w:rsid w:val="00747C89"/>
    <w:rsid w:val="00747CBE"/>
    <w:rsid w:val="00747CC0"/>
    <w:rsid w:val="00747D09"/>
    <w:rsid w:val="00747D87"/>
    <w:rsid w:val="00747E41"/>
    <w:rsid w:val="00747E7F"/>
    <w:rsid w:val="00747EF2"/>
    <w:rsid w:val="00747F64"/>
    <w:rsid w:val="00747FCF"/>
    <w:rsid w:val="00747FDB"/>
    <w:rsid w:val="00750021"/>
    <w:rsid w:val="00750024"/>
    <w:rsid w:val="00750058"/>
    <w:rsid w:val="007500DC"/>
    <w:rsid w:val="007500E5"/>
    <w:rsid w:val="00750135"/>
    <w:rsid w:val="00750153"/>
    <w:rsid w:val="00750183"/>
    <w:rsid w:val="007501C0"/>
    <w:rsid w:val="0075022E"/>
    <w:rsid w:val="00750231"/>
    <w:rsid w:val="0075024B"/>
    <w:rsid w:val="0075037E"/>
    <w:rsid w:val="00750387"/>
    <w:rsid w:val="007503B7"/>
    <w:rsid w:val="00750426"/>
    <w:rsid w:val="00750486"/>
    <w:rsid w:val="0075048E"/>
    <w:rsid w:val="00750499"/>
    <w:rsid w:val="00750589"/>
    <w:rsid w:val="007505DA"/>
    <w:rsid w:val="0075065B"/>
    <w:rsid w:val="007506A7"/>
    <w:rsid w:val="007506B0"/>
    <w:rsid w:val="00750707"/>
    <w:rsid w:val="0075070C"/>
    <w:rsid w:val="0075070F"/>
    <w:rsid w:val="0075079F"/>
    <w:rsid w:val="00750840"/>
    <w:rsid w:val="00750870"/>
    <w:rsid w:val="00750894"/>
    <w:rsid w:val="007508FA"/>
    <w:rsid w:val="00750904"/>
    <w:rsid w:val="007509A2"/>
    <w:rsid w:val="007509D6"/>
    <w:rsid w:val="00750A54"/>
    <w:rsid w:val="00750A79"/>
    <w:rsid w:val="00750BC2"/>
    <w:rsid w:val="00750BC3"/>
    <w:rsid w:val="00750C0B"/>
    <w:rsid w:val="00750C7E"/>
    <w:rsid w:val="00750CC8"/>
    <w:rsid w:val="00750CE3"/>
    <w:rsid w:val="00750CF9"/>
    <w:rsid w:val="00750E63"/>
    <w:rsid w:val="00750F55"/>
    <w:rsid w:val="00751020"/>
    <w:rsid w:val="007510D4"/>
    <w:rsid w:val="007510F8"/>
    <w:rsid w:val="00751106"/>
    <w:rsid w:val="0075118C"/>
    <w:rsid w:val="00751190"/>
    <w:rsid w:val="007511E0"/>
    <w:rsid w:val="0075120A"/>
    <w:rsid w:val="0075126B"/>
    <w:rsid w:val="007512B0"/>
    <w:rsid w:val="007512FD"/>
    <w:rsid w:val="0075133E"/>
    <w:rsid w:val="0075143C"/>
    <w:rsid w:val="0075143E"/>
    <w:rsid w:val="00751474"/>
    <w:rsid w:val="007514B1"/>
    <w:rsid w:val="007514D5"/>
    <w:rsid w:val="007514DD"/>
    <w:rsid w:val="00751510"/>
    <w:rsid w:val="00751537"/>
    <w:rsid w:val="007515C2"/>
    <w:rsid w:val="00751659"/>
    <w:rsid w:val="007516EB"/>
    <w:rsid w:val="00751717"/>
    <w:rsid w:val="00751741"/>
    <w:rsid w:val="007517C9"/>
    <w:rsid w:val="00751851"/>
    <w:rsid w:val="0075186A"/>
    <w:rsid w:val="0075189A"/>
    <w:rsid w:val="007518E8"/>
    <w:rsid w:val="00751A50"/>
    <w:rsid w:val="00751AFE"/>
    <w:rsid w:val="00751D3B"/>
    <w:rsid w:val="00751D4A"/>
    <w:rsid w:val="00751DA8"/>
    <w:rsid w:val="00751DFB"/>
    <w:rsid w:val="00751E05"/>
    <w:rsid w:val="00751E58"/>
    <w:rsid w:val="00751E94"/>
    <w:rsid w:val="00751EEC"/>
    <w:rsid w:val="00751F08"/>
    <w:rsid w:val="00751F5B"/>
    <w:rsid w:val="00751F8B"/>
    <w:rsid w:val="00751F94"/>
    <w:rsid w:val="00752057"/>
    <w:rsid w:val="007520BD"/>
    <w:rsid w:val="007521D5"/>
    <w:rsid w:val="007521E9"/>
    <w:rsid w:val="00752258"/>
    <w:rsid w:val="007522A8"/>
    <w:rsid w:val="00752302"/>
    <w:rsid w:val="0075230B"/>
    <w:rsid w:val="00752314"/>
    <w:rsid w:val="00752342"/>
    <w:rsid w:val="00752357"/>
    <w:rsid w:val="0075236D"/>
    <w:rsid w:val="007523B7"/>
    <w:rsid w:val="007523BC"/>
    <w:rsid w:val="007523F9"/>
    <w:rsid w:val="0075241F"/>
    <w:rsid w:val="0075246A"/>
    <w:rsid w:val="00752474"/>
    <w:rsid w:val="00752475"/>
    <w:rsid w:val="007524C5"/>
    <w:rsid w:val="007524FD"/>
    <w:rsid w:val="00752553"/>
    <w:rsid w:val="007525AD"/>
    <w:rsid w:val="007525F8"/>
    <w:rsid w:val="00752644"/>
    <w:rsid w:val="007526CD"/>
    <w:rsid w:val="007526DE"/>
    <w:rsid w:val="00752822"/>
    <w:rsid w:val="007528E4"/>
    <w:rsid w:val="0075292A"/>
    <w:rsid w:val="0075296B"/>
    <w:rsid w:val="007529EC"/>
    <w:rsid w:val="007529F7"/>
    <w:rsid w:val="00752B03"/>
    <w:rsid w:val="00752C6F"/>
    <w:rsid w:val="00752C99"/>
    <w:rsid w:val="00752C9D"/>
    <w:rsid w:val="00752D02"/>
    <w:rsid w:val="00752D53"/>
    <w:rsid w:val="00752D54"/>
    <w:rsid w:val="00752D69"/>
    <w:rsid w:val="00752DEA"/>
    <w:rsid w:val="00752E9E"/>
    <w:rsid w:val="00752ECA"/>
    <w:rsid w:val="00752FA3"/>
    <w:rsid w:val="00752FFB"/>
    <w:rsid w:val="0075303C"/>
    <w:rsid w:val="0075305B"/>
    <w:rsid w:val="00753062"/>
    <w:rsid w:val="0075307E"/>
    <w:rsid w:val="0075309B"/>
    <w:rsid w:val="007530D4"/>
    <w:rsid w:val="007530DA"/>
    <w:rsid w:val="00753117"/>
    <w:rsid w:val="00753164"/>
    <w:rsid w:val="0075318C"/>
    <w:rsid w:val="007531C6"/>
    <w:rsid w:val="007531CE"/>
    <w:rsid w:val="0075327C"/>
    <w:rsid w:val="007532B9"/>
    <w:rsid w:val="00753329"/>
    <w:rsid w:val="00753360"/>
    <w:rsid w:val="007533A1"/>
    <w:rsid w:val="007533DA"/>
    <w:rsid w:val="00753412"/>
    <w:rsid w:val="0075343D"/>
    <w:rsid w:val="00753452"/>
    <w:rsid w:val="00753455"/>
    <w:rsid w:val="00753473"/>
    <w:rsid w:val="007534DB"/>
    <w:rsid w:val="0075351F"/>
    <w:rsid w:val="00753544"/>
    <w:rsid w:val="007535E9"/>
    <w:rsid w:val="00753633"/>
    <w:rsid w:val="007536ED"/>
    <w:rsid w:val="0075370D"/>
    <w:rsid w:val="0075370F"/>
    <w:rsid w:val="00753764"/>
    <w:rsid w:val="00753828"/>
    <w:rsid w:val="0075388B"/>
    <w:rsid w:val="007538A4"/>
    <w:rsid w:val="007538C1"/>
    <w:rsid w:val="00753948"/>
    <w:rsid w:val="00753956"/>
    <w:rsid w:val="0075399E"/>
    <w:rsid w:val="007539ED"/>
    <w:rsid w:val="00753A05"/>
    <w:rsid w:val="00753A41"/>
    <w:rsid w:val="00753AC3"/>
    <w:rsid w:val="00753AC4"/>
    <w:rsid w:val="00753B11"/>
    <w:rsid w:val="00753B3A"/>
    <w:rsid w:val="00753B56"/>
    <w:rsid w:val="00753B6E"/>
    <w:rsid w:val="00753C1F"/>
    <w:rsid w:val="00753C64"/>
    <w:rsid w:val="00753C71"/>
    <w:rsid w:val="00753CA5"/>
    <w:rsid w:val="00753D4A"/>
    <w:rsid w:val="00753D60"/>
    <w:rsid w:val="00753DA2"/>
    <w:rsid w:val="00753E88"/>
    <w:rsid w:val="00753F78"/>
    <w:rsid w:val="00753F80"/>
    <w:rsid w:val="00753FBE"/>
    <w:rsid w:val="00754000"/>
    <w:rsid w:val="00754085"/>
    <w:rsid w:val="007540CD"/>
    <w:rsid w:val="007540CF"/>
    <w:rsid w:val="007540D9"/>
    <w:rsid w:val="00754105"/>
    <w:rsid w:val="007541B1"/>
    <w:rsid w:val="00754208"/>
    <w:rsid w:val="00754227"/>
    <w:rsid w:val="0075426A"/>
    <w:rsid w:val="007542A0"/>
    <w:rsid w:val="007542B0"/>
    <w:rsid w:val="00754334"/>
    <w:rsid w:val="00754362"/>
    <w:rsid w:val="00754395"/>
    <w:rsid w:val="00754398"/>
    <w:rsid w:val="0075439D"/>
    <w:rsid w:val="0075441C"/>
    <w:rsid w:val="00754474"/>
    <w:rsid w:val="007545C7"/>
    <w:rsid w:val="007545EE"/>
    <w:rsid w:val="0075460F"/>
    <w:rsid w:val="0075461E"/>
    <w:rsid w:val="00754623"/>
    <w:rsid w:val="00754624"/>
    <w:rsid w:val="00754633"/>
    <w:rsid w:val="0075481B"/>
    <w:rsid w:val="00754828"/>
    <w:rsid w:val="00754836"/>
    <w:rsid w:val="0075489B"/>
    <w:rsid w:val="007548FF"/>
    <w:rsid w:val="0075493F"/>
    <w:rsid w:val="00754941"/>
    <w:rsid w:val="0075499D"/>
    <w:rsid w:val="00754A3B"/>
    <w:rsid w:val="00754A7A"/>
    <w:rsid w:val="00754B48"/>
    <w:rsid w:val="00754C7C"/>
    <w:rsid w:val="00754C90"/>
    <w:rsid w:val="00754CCB"/>
    <w:rsid w:val="00754D55"/>
    <w:rsid w:val="00754DD7"/>
    <w:rsid w:val="00754DD8"/>
    <w:rsid w:val="00754E70"/>
    <w:rsid w:val="00754E90"/>
    <w:rsid w:val="00754F0B"/>
    <w:rsid w:val="00754F2F"/>
    <w:rsid w:val="00754F61"/>
    <w:rsid w:val="00754F62"/>
    <w:rsid w:val="00754F93"/>
    <w:rsid w:val="00754FD4"/>
    <w:rsid w:val="00755010"/>
    <w:rsid w:val="0075503B"/>
    <w:rsid w:val="0075504A"/>
    <w:rsid w:val="007551A6"/>
    <w:rsid w:val="007551F9"/>
    <w:rsid w:val="0075527F"/>
    <w:rsid w:val="007552E0"/>
    <w:rsid w:val="00755320"/>
    <w:rsid w:val="00755324"/>
    <w:rsid w:val="00755398"/>
    <w:rsid w:val="007553B1"/>
    <w:rsid w:val="007554B6"/>
    <w:rsid w:val="00755542"/>
    <w:rsid w:val="00755564"/>
    <w:rsid w:val="00755565"/>
    <w:rsid w:val="00755684"/>
    <w:rsid w:val="00755770"/>
    <w:rsid w:val="007557DF"/>
    <w:rsid w:val="0075581C"/>
    <w:rsid w:val="007558D2"/>
    <w:rsid w:val="007558F2"/>
    <w:rsid w:val="0075596B"/>
    <w:rsid w:val="00755983"/>
    <w:rsid w:val="0075598D"/>
    <w:rsid w:val="007559D3"/>
    <w:rsid w:val="007559F3"/>
    <w:rsid w:val="00755B02"/>
    <w:rsid w:val="00755B12"/>
    <w:rsid w:val="00755BAF"/>
    <w:rsid w:val="00755BC0"/>
    <w:rsid w:val="00755BE9"/>
    <w:rsid w:val="00755CB6"/>
    <w:rsid w:val="00755CD4"/>
    <w:rsid w:val="00755D20"/>
    <w:rsid w:val="00755D91"/>
    <w:rsid w:val="00755DD2"/>
    <w:rsid w:val="00755DEF"/>
    <w:rsid w:val="00755E00"/>
    <w:rsid w:val="00755E4A"/>
    <w:rsid w:val="00755EE2"/>
    <w:rsid w:val="00755F52"/>
    <w:rsid w:val="00755F99"/>
    <w:rsid w:val="00755FB5"/>
    <w:rsid w:val="00755FBB"/>
    <w:rsid w:val="00755FCF"/>
    <w:rsid w:val="00755FF2"/>
    <w:rsid w:val="00756007"/>
    <w:rsid w:val="00756032"/>
    <w:rsid w:val="00756051"/>
    <w:rsid w:val="0075615B"/>
    <w:rsid w:val="00756186"/>
    <w:rsid w:val="00756239"/>
    <w:rsid w:val="00756341"/>
    <w:rsid w:val="00756355"/>
    <w:rsid w:val="00756381"/>
    <w:rsid w:val="007563B2"/>
    <w:rsid w:val="00756527"/>
    <w:rsid w:val="007565CC"/>
    <w:rsid w:val="007565D2"/>
    <w:rsid w:val="007565F2"/>
    <w:rsid w:val="007565F9"/>
    <w:rsid w:val="007567E7"/>
    <w:rsid w:val="0075680D"/>
    <w:rsid w:val="0075681A"/>
    <w:rsid w:val="007568A6"/>
    <w:rsid w:val="00756911"/>
    <w:rsid w:val="0075692F"/>
    <w:rsid w:val="00756991"/>
    <w:rsid w:val="007569DF"/>
    <w:rsid w:val="00756A32"/>
    <w:rsid w:val="00756A54"/>
    <w:rsid w:val="00756AD1"/>
    <w:rsid w:val="00756B04"/>
    <w:rsid w:val="00756BA1"/>
    <w:rsid w:val="00756C49"/>
    <w:rsid w:val="00756C5F"/>
    <w:rsid w:val="00756D90"/>
    <w:rsid w:val="00756E37"/>
    <w:rsid w:val="00756FA1"/>
    <w:rsid w:val="00756FCD"/>
    <w:rsid w:val="00756FCF"/>
    <w:rsid w:val="0075702A"/>
    <w:rsid w:val="007570EF"/>
    <w:rsid w:val="00757124"/>
    <w:rsid w:val="0075718D"/>
    <w:rsid w:val="00757194"/>
    <w:rsid w:val="007571C9"/>
    <w:rsid w:val="00757244"/>
    <w:rsid w:val="0075728F"/>
    <w:rsid w:val="007572A2"/>
    <w:rsid w:val="00757330"/>
    <w:rsid w:val="007573AB"/>
    <w:rsid w:val="007573EF"/>
    <w:rsid w:val="0075741D"/>
    <w:rsid w:val="00757458"/>
    <w:rsid w:val="00757562"/>
    <w:rsid w:val="007575AF"/>
    <w:rsid w:val="0075765F"/>
    <w:rsid w:val="00757672"/>
    <w:rsid w:val="00757682"/>
    <w:rsid w:val="007577A5"/>
    <w:rsid w:val="0075792B"/>
    <w:rsid w:val="0075793C"/>
    <w:rsid w:val="00757951"/>
    <w:rsid w:val="007579CB"/>
    <w:rsid w:val="007579F3"/>
    <w:rsid w:val="00757A14"/>
    <w:rsid w:val="00757AF7"/>
    <w:rsid w:val="00757B6C"/>
    <w:rsid w:val="00757BBD"/>
    <w:rsid w:val="00757BE0"/>
    <w:rsid w:val="00757C14"/>
    <w:rsid w:val="00757C98"/>
    <w:rsid w:val="00757CBF"/>
    <w:rsid w:val="00757CF8"/>
    <w:rsid w:val="00757D12"/>
    <w:rsid w:val="00757D54"/>
    <w:rsid w:val="00757D88"/>
    <w:rsid w:val="00757D8F"/>
    <w:rsid w:val="00757E01"/>
    <w:rsid w:val="00757E17"/>
    <w:rsid w:val="00757E28"/>
    <w:rsid w:val="00757EC1"/>
    <w:rsid w:val="00757EC9"/>
    <w:rsid w:val="0076000F"/>
    <w:rsid w:val="00760011"/>
    <w:rsid w:val="00760023"/>
    <w:rsid w:val="00760026"/>
    <w:rsid w:val="0076010D"/>
    <w:rsid w:val="00760121"/>
    <w:rsid w:val="00760163"/>
    <w:rsid w:val="00760187"/>
    <w:rsid w:val="0076019D"/>
    <w:rsid w:val="0076019F"/>
    <w:rsid w:val="007601C9"/>
    <w:rsid w:val="00760213"/>
    <w:rsid w:val="0076021E"/>
    <w:rsid w:val="00760298"/>
    <w:rsid w:val="00760358"/>
    <w:rsid w:val="007604D0"/>
    <w:rsid w:val="00760543"/>
    <w:rsid w:val="0076065E"/>
    <w:rsid w:val="0076068C"/>
    <w:rsid w:val="007606D8"/>
    <w:rsid w:val="00760717"/>
    <w:rsid w:val="007607DE"/>
    <w:rsid w:val="00760831"/>
    <w:rsid w:val="00760895"/>
    <w:rsid w:val="007608E6"/>
    <w:rsid w:val="007608EB"/>
    <w:rsid w:val="007608F7"/>
    <w:rsid w:val="00760975"/>
    <w:rsid w:val="00760978"/>
    <w:rsid w:val="00760A0F"/>
    <w:rsid w:val="00760A57"/>
    <w:rsid w:val="00760A9B"/>
    <w:rsid w:val="00760B33"/>
    <w:rsid w:val="00760B3E"/>
    <w:rsid w:val="00760B4A"/>
    <w:rsid w:val="00760B8E"/>
    <w:rsid w:val="00760BA0"/>
    <w:rsid w:val="00760BFF"/>
    <w:rsid w:val="00760C47"/>
    <w:rsid w:val="00760C80"/>
    <w:rsid w:val="00760C99"/>
    <w:rsid w:val="00760D12"/>
    <w:rsid w:val="00760D43"/>
    <w:rsid w:val="00760D54"/>
    <w:rsid w:val="00760DF2"/>
    <w:rsid w:val="00760E10"/>
    <w:rsid w:val="00760E2D"/>
    <w:rsid w:val="00760F42"/>
    <w:rsid w:val="00760F4C"/>
    <w:rsid w:val="00760F5D"/>
    <w:rsid w:val="00761054"/>
    <w:rsid w:val="00761094"/>
    <w:rsid w:val="0076117A"/>
    <w:rsid w:val="007611E2"/>
    <w:rsid w:val="00761202"/>
    <w:rsid w:val="00761255"/>
    <w:rsid w:val="00761261"/>
    <w:rsid w:val="00761271"/>
    <w:rsid w:val="007612D8"/>
    <w:rsid w:val="00761340"/>
    <w:rsid w:val="007613E5"/>
    <w:rsid w:val="00761425"/>
    <w:rsid w:val="0076142D"/>
    <w:rsid w:val="00761441"/>
    <w:rsid w:val="007614CD"/>
    <w:rsid w:val="00761512"/>
    <w:rsid w:val="0076153F"/>
    <w:rsid w:val="00761561"/>
    <w:rsid w:val="007615CD"/>
    <w:rsid w:val="0076172C"/>
    <w:rsid w:val="0076175E"/>
    <w:rsid w:val="007617B9"/>
    <w:rsid w:val="00761802"/>
    <w:rsid w:val="00761815"/>
    <w:rsid w:val="0076186A"/>
    <w:rsid w:val="007618A7"/>
    <w:rsid w:val="007618A8"/>
    <w:rsid w:val="00761938"/>
    <w:rsid w:val="00761965"/>
    <w:rsid w:val="0076197C"/>
    <w:rsid w:val="00761986"/>
    <w:rsid w:val="00761997"/>
    <w:rsid w:val="00761A29"/>
    <w:rsid w:val="00761AB4"/>
    <w:rsid w:val="00761D1B"/>
    <w:rsid w:val="00761D3A"/>
    <w:rsid w:val="00761D70"/>
    <w:rsid w:val="00761D73"/>
    <w:rsid w:val="00761DBE"/>
    <w:rsid w:val="00761EA7"/>
    <w:rsid w:val="00761F93"/>
    <w:rsid w:val="0076201F"/>
    <w:rsid w:val="007620CD"/>
    <w:rsid w:val="00762200"/>
    <w:rsid w:val="00762226"/>
    <w:rsid w:val="00762239"/>
    <w:rsid w:val="007622C6"/>
    <w:rsid w:val="0076234D"/>
    <w:rsid w:val="007623E2"/>
    <w:rsid w:val="007623F6"/>
    <w:rsid w:val="0076243B"/>
    <w:rsid w:val="00762445"/>
    <w:rsid w:val="00762496"/>
    <w:rsid w:val="007624CF"/>
    <w:rsid w:val="007624D2"/>
    <w:rsid w:val="007624FD"/>
    <w:rsid w:val="0076252E"/>
    <w:rsid w:val="00762543"/>
    <w:rsid w:val="007625EB"/>
    <w:rsid w:val="00762600"/>
    <w:rsid w:val="00762609"/>
    <w:rsid w:val="00762625"/>
    <w:rsid w:val="0076262E"/>
    <w:rsid w:val="00762644"/>
    <w:rsid w:val="00762650"/>
    <w:rsid w:val="007626EA"/>
    <w:rsid w:val="007626F9"/>
    <w:rsid w:val="00762703"/>
    <w:rsid w:val="00762765"/>
    <w:rsid w:val="007627C9"/>
    <w:rsid w:val="0076282F"/>
    <w:rsid w:val="0076290B"/>
    <w:rsid w:val="007629C2"/>
    <w:rsid w:val="00762A07"/>
    <w:rsid w:val="00762AB3"/>
    <w:rsid w:val="00762AEB"/>
    <w:rsid w:val="00762B0F"/>
    <w:rsid w:val="00762B3E"/>
    <w:rsid w:val="00762B91"/>
    <w:rsid w:val="00762C62"/>
    <w:rsid w:val="00762C73"/>
    <w:rsid w:val="00762C80"/>
    <w:rsid w:val="00762CD5"/>
    <w:rsid w:val="00762D10"/>
    <w:rsid w:val="00762E43"/>
    <w:rsid w:val="00762E8A"/>
    <w:rsid w:val="00762EB9"/>
    <w:rsid w:val="0076305B"/>
    <w:rsid w:val="007630D6"/>
    <w:rsid w:val="007630E4"/>
    <w:rsid w:val="007631EA"/>
    <w:rsid w:val="007631EB"/>
    <w:rsid w:val="00763283"/>
    <w:rsid w:val="007632BB"/>
    <w:rsid w:val="00763327"/>
    <w:rsid w:val="0076336F"/>
    <w:rsid w:val="007633E9"/>
    <w:rsid w:val="0076347A"/>
    <w:rsid w:val="007634E8"/>
    <w:rsid w:val="007634F5"/>
    <w:rsid w:val="007634FD"/>
    <w:rsid w:val="00763522"/>
    <w:rsid w:val="00763547"/>
    <w:rsid w:val="00763597"/>
    <w:rsid w:val="00763601"/>
    <w:rsid w:val="00763668"/>
    <w:rsid w:val="0076372B"/>
    <w:rsid w:val="0076373B"/>
    <w:rsid w:val="0076373F"/>
    <w:rsid w:val="0076375B"/>
    <w:rsid w:val="0076379C"/>
    <w:rsid w:val="00763849"/>
    <w:rsid w:val="00763888"/>
    <w:rsid w:val="0076390F"/>
    <w:rsid w:val="007639A0"/>
    <w:rsid w:val="007639DE"/>
    <w:rsid w:val="00763A95"/>
    <w:rsid w:val="00763B00"/>
    <w:rsid w:val="00763B37"/>
    <w:rsid w:val="00763C18"/>
    <w:rsid w:val="00763CDE"/>
    <w:rsid w:val="00763E61"/>
    <w:rsid w:val="00763E6E"/>
    <w:rsid w:val="00763ED2"/>
    <w:rsid w:val="00763F0F"/>
    <w:rsid w:val="00763FB7"/>
    <w:rsid w:val="00764081"/>
    <w:rsid w:val="007640E0"/>
    <w:rsid w:val="007640E3"/>
    <w:rsid w:val="0076410D"/>
    <w:rsid w:val="0076411B"/>
    <w:rsid w:val="00764249"/>
    <w:rsid w:val="00764302"/>
    <w:rsid w:val="007643D4"/>
    <w:rsid w:val="007643F8"/>
    <w:rsid w:val="0076447D"/>
    <w:rsid w:val="0076454E"/>
    <w:rsid w:val="0076457B"/>
    <w:rsid w:val="0076464C"/>
    <w:rsid w:val="00764688"/>
    <w:rsid w:val="00764693"/>
    <w:rsid w:val="007646B6"/>
    <w:rsid w:val="007646F5"/>
    <w:rsid w:val="00764733"/>
    <w:rsid w:val="0076477B"/>
    <w:rsid w:val="0076496B"/>
    <w:rsid w:val="007649B4"/>
    <w:rsid w:val="007649E0"/>
    <w:rsid w:val="00764AA8"/>
    <w:rsid w:val="00764AFF"/>
    <w:rsid w:val="00764B40"/>
    <w:rsid w:val="00764B5E"/>
    <w:rsid w:val="00764C56"/>
    <w:rsid w:val="00764C98"/>
    <w:rsid w:val="00764CCD"/>
    <w:rsid w:val="00764D05"/>
    <w:rsid w:val="00764D56"/>
    <w:rsid w:val="00764DE1"/>
    <w:rsid w:val="00764E42"/>
    <w:rsid w:val="00764F77"/>
    <w:rsid w:val="00765084"/>
    <w:rsid w:val="0076509D"/>
    <w:rsid w:val="007650AE"/>
    <w:rsid w:val="007650EA"/>
    <w:rsid w:val="0076511C"/>
    <w:rsid w:val="00765128"/>
    <w:rsid w:val="00765139"/>
    <w:rsid w:val="007651B8"/>
    <w:rsid w:val="007651F0"/>
    <w:rsid w:val="00765201"/>
    <w:rsid w:val="00765209"/>
    <w:rsid w:val="00765354"/>
    <w:rsid w:val="00765461"/>
    <w:rsid w:val="00765483"/>
    <w:rsid w:val="007654BC"/>
    <w:rsid w:val="007654CA"/>
    <w:rsid w:val="00765519"/>
    <w:rsid w:val="007655E5"/>
    <w:rsid w:val="007655F4"/>
    <w:rsid w:val="00765618"/>
    <w:rsid w:val="0076566D"/>
    <w:rsid w:val="0076567E"/>
    <w:rsid w:val="00765690"/>
    <w:rsid w:val="007656B4"/>
    <w:rsid w:val="007656B6"/>
    <w:rsid w:val="00765714"/>
    <w:rsid w:val="007657DB"/>
    <w:rsid w:val="0076588C"/>
    <w:rsid w:val="007658FA"/>
    <w:rsid w:val="007658FB"/>
    <w:rsid w:val="00765991"/>
    <w:rsid w:val="0076599E"/>
    <w:rsid w:val="007659E8"/>
    <w:rsid w:val="00765A1C"/>
    <w:rsid w:val="00765A34"/>
    <w:rsid w:val="00765ABB"/>
    <w:rsid w:val="00765B86"/>
    <w:rsid w:val="00765BE5"/>
    <w:rsid w:val="00765C39"/>
    <w:rsid w:val="00765DAD"/>
    <w:rsid w:val="00765DB0"/>
    <w:rsid w:val="00765ECF"/>
    <w:rsid w:val="00765FEE"/>
    <w:rsid w:val="0076602D"/>
    <w:rsid w:val="00766061"/>
    <w:rsid w:val="0076606E"/>
    <w:rsid w:val="007660D8"/>
    <w:rsid w:val="0076612F"/>
    <w:rsid w:val="0076613C"/>
    <w:rsid w:val="007661BD"/>
    <w:rsid w:val="007661C0"/>
    <w:rsid w:val="00766228"/>
    <w:rsid w:val="00766258"/>
    <w:rsid w:val="007662DF"/>
    <w:rsid w:val="00766310"/>
    <w:rsid w:val="00766366"/>
    <w:rsid w:val="00766489"/>
    <w:rsid w:val="007664DF"/>
    <w:rsid w:val="00766559"/>
    <w:rsid w:val="007666BD"/>
    <w:rsid w:val="007666C6"/>
    <w:rsid w:val="00766757"/>
    <w:rsid w:val="00766843"/>
    <w:rsid w:val="00766858"/>
    <w:rsid w:val="00766963"/>
    <w:rsid w:val="0076699B"/>
    <w:rsid w:val="007669F6"/>
    <w:rsid w:val="00766A5F"/>
    <w:rsid w:val="00766A7B"/>
    <w:rsid w:val="00766A7F"/>
    <w:rsid w:val="00766A99"/>
    <w:rsid w:val="00766ADF"/>
    <w:rsid w:val="00766B03"/>
    <w:rsid w:val="00766B49"/>
    <w:rsid w:val="00766B53"/>
    <w:rsid w:val="00766BE1"/>
    <w:rsid w:val="00766C07"/>
    <w:rsid w:val="00766C48"/>
    <w:rsid w:val="00766CF7"/>
    <w:rsid w:val="00766D05"/>
    <w:rsid w:val="00766DBD"/>
    <w:rsid w:val="00766DF8"/>
    <w:rsid w:val="00766E76"/>
    <w:rsid w:val="00766EC6"/>
    <w:rsid w:val="00766EDF"/>
    <w:rsid w:val="00766F20"/>
    <w:rsid w:val="00766F5A"/>
    <w:rsid w:val="00766FBD"/>
    <w:rsid w:val="0076700B"/>
    <w:rsid w:val="00767013"/>
    <w:rsid w:val="00767023"/>
    <w:rsid w:val="0076710B"/>
    <w:rsid w:val="00767135"/>
    <w:rsid w:val="007671CF"/>
    <w:rsid w:val="007671EA"/>
    <w:rsid w:val="00767219"/>
    <w:rsid w:val="0076723F"/>
    <w:rsid w:val="007672A3"/>
    <w:rsid w:val="007672CA"/>
    <w:rsid w:val="007672CE"/>
    <w:rsid w:val="00767339"/>
    <w:rsid w:val="00767340"/>
    <w:rsid w:val="0076736F"/>
    <w:rsid w:val="007673A5"/>
    <w:rsid w:val="007673E6"/>
    <w:rsid w:val="00767479"/>
    <w:rsid w:val="0076749A"/>
    <w:rsid w:val="007674BA"/>
    <w:rsid w:val="00767502"/>
    <w:rsid w:val="00767516"/>
    <w:rsid w:val="00767544"/>
    <w:rsid w:val="00767548"/>
    <w:rsid w:val="00767572"/>
    <w:rsid w:val="00767618"/>
    <w:rsid w:val="0076776A"/>
    <w:rsid w:val="00767816"/>
    <w:rsid w:val="0076786D"/>
    <w:rsid w:val="00767889"/>
    <w:rsid w:val="007678B6"/>
    <w:rsid w:val="00767956"/>
    <w:rsid w:val="00767A07"/>
    <w:rsid w:val="00767A3D"/>
    <w:rsid w:val="00767A6C"/>
    <w:rsid w:val="00767A74"/>
    <w:rsid w:val="00767AFF"/>
    <w:rsid w:val="00767B14"/>
    <w:rsid w:val="00767B8A"/>
    <w:rsid w:val="00767D3B"/>
    <w:rsid w:val="00767DE4"/>
    <w:rsid w:val="00767E16"/>
    <w:rsid w:val="00767E1D"/>
    <w:rsid w:val="00767EB4"/>
    <w:rsid w:val="00767F06"/>
    <w:rsid w:val="00767F09"/>
    <w:rsid w:val="00767F35"/>
    <w:rsid w:val="00767F3B"/>
    <w:rsid w:val="00767F54"/>
    <w:rsid w:val="00767FB0"/>
    <w:rsid w:val="007700E9"/>
    <w:rsid w:val="007701B3"/>
    <w:rsid w:val="00770211"/>
    <w:rsid w:val="00770369"/>
    <w:rsid w:val="0077036B"/>
    <w:rsid w:val="00770401"/>
    <w:rsid w:val="00770438"/>
    <w:rsid w:val="00770493"/>
    <w:rsid w:val="007704CE"/>
    <w:rsid w:val="007704D6"/>
    <w:rsid w:val="00770566"/>
    <w:rsid w:val="0077060A"/>
    <w:rsid w:val="00770713"/>
    <w:rsid w:val="00770721"/>
    <w:rsid w:val="007707CA"/>
    <w:rsid w:val="0077081B"/>
    <w:rsid w:val="00770820"/>
    <w:rsid w:val="00770823"/>
    <w:rsid w:val="00770956"/>
    <w:rsid w:val="007709AF"/>
    <w:rsid w:val="007709E5"/>
    <w:rsid w:val="00770A4F"/>
    <w:rsid w:val="00770B0D"/>
    <w:rsid w:val="00770B23"/>
    <w:rsid w:val="00770B80"/>
    <w:rsid w:val="00770D06"/>
    <w:rsid w:val="00770DB2"/>
    <w:rsid w:val="00770E14"/>
    <w:rsid w:val="00770E5B"/>
    <w:rsid w:val="00770E72"/>
    <w:rsid w:val="00770EC5"/>
    <w:rsid w:val="00770EF2"/>
    <w:rsid w:val="00770F25"/>
    <w:rsid w:val="00770F2F"/>
    <w:rsid w:val="00770F3A"/>
    <w:rsid w:val="0077100A"/>
    <w:rsid w:val="007710FC"/>
    <w:rsid w:val="00771117"/>
    <w:rsid w:val="00771250"/>
    <w:rsid w:val="0077127B"/>
    <w:rsid w:val="00771287"/>
    <w:rsid w:val="00771292"/>
    <w:rsid w:val="007712C6"/>
    <w:rsid w:val="007712E2"/>
    <w:rsid w:val="00771314"/>
    <w:rsid w:val="0077136A"/>
    <w:rsid w:val="007713E2"/>
    <w:rsid w:val="0077141C"/>
    <w:rsid w:val="00771486"/>
    <w:rsid w:val="0077148C"/>
    <w:rsid w:val="0077150A"/>
    <w:rsid w:val="007715EC"/>
    <w:rsid w:val="00771618"/>
    <w:rsid w:val="00771659"/>
    <w:rsid w:val="007717DF"/>
    <w:rsid w:val="00771804"/>
    <w:rsid w:val="0077180D"/>
    <w:rsid w:val="00771886"/>
    <w:rsid w:val="007718A6"/>
    <w:rsid w:val="0077190D"/>
    <w:rsid w:val="00771A2C"/>
    <w:rsid w:val="00771C1E"/>
    <w:rsid w:val="00771C6F"/>
    <w:rsid w:val="00771CD7"/>
    <w:rsid w:val="00771CE1"/>
    <w:rsid w:val="00771CE4"/>
    <w:rsid w:val="00771CF0"/>
    <w:rsid w:val="00771D09"/>
    <w:rsid w:val="00771D0D"/>
    <w:rsid w:val="00771D19"/>
    <w:rsid w:val="00771FEE"/>
    <w:rsid w:val="00771FF5"/>
    <w:rsid w:val="00772107"/>
    <w:rsid w:val="0077215C"/>
    <w:rsid w:val="00772180"/>
    <w:rsid w:val="0077226F"/>
    <w:rsid w:val="00772366"/>
    <w:rsid w:val="00772404"/>
    <w:rsid w:val="0077245C"/>
    <w:rsid w:val="00772510"/>
    <w:rsid w:val="00772513"/>
    <w:rsid w:val="00772547"/>
    <w:rsid w:val="007725B9"/>
    <w:rsid w:val="00772625"/>
    <w:rsid w:val="00772645"/>
    <w:rsid w:val="0077269D"/>
    <w:rsid w:val="007726AD"/>
    <w:rsid w:val="0077270F"/>
    <w:rsid w:val="00772714"/>
    <w:rsid w:val="00772763"/>
    <w:rsid w:val="007727AE"/>
    <w:rsid w:val="00772830"/>
    <w:rsid w:val="00772879"/>
    <w:rsid w:val="00772882"/>
    <w:rsid w:val="007728D5"/>
    <w:rsid w:val="00772954"/>
    <w:rsid w:val="00772981"/>
    <w:rsid w:val="007729A6"/>
    <w:rsid w:val="00772A50"/>
    <w:rsid w:val="00772A77"/>
    <w:rsid w:val="00772A89"/>
    <w:rsid w:val="00772CB1"/>
    <w:rsid w:val="00772D0E"/>
    <w:rsid w:val="00772D2B"/>
    <w:rsid w:val="00772DA3"/>
    <w:rsid w:val="00772DD0"/>
    <w:rsid w:val="00772DED"/>
    <w:rsid w:val="00772E08"/>
    <w:rsid w:val="00772E1C"/>
    <w:rsid w:val="00772E36"/>
    <w:rsid w:val="00772EC8"/>
    <w:rsid w:val="00772EF9"/>
    <w:rsid w:val="00772F7C"/>
    <w:rsid w:val="00772F8E"/>
    <w:rsid w:val="00773077"/>
    <w:rsid w:val="00773082"/>
    <w:rsid w:val="007730A6"/>
    <w:rsid w:val="007730F8"/>
    <w:rsid w:val="007730FE"/>
    <w:rsid w:val="0077313E"/>
    <w:rsid w:val="00773249"/>
    <w:rsid w:val="007732BC"/>
    <w:rsid w:val="00773323"/>
    <w:rsid w:val="0077342A"/>
    <w:rsid w:val="00773437"/>
    <w:rsid w:val="007734A7"/>
    <w:rsid w:val="007734E0"/>
    <w:rsid w:val="007734FB"/>
    <w:rsid w:val="00773518"/>
    <w:rsid w:val="0077355A"/>
    <w:rsid w:val="007735B0"/>
    <w:rsid w:val="007736A9"/>
    <w:rsid w:val="0077373B"/>
    <w:rsid w:val="007737EF"/>
    <w:rsid w:val="007737FD"/>
    <w:rsid w:val="00773837"/>
    <w:rsid w:val="00773844"/>
    <w:rsid w:val="007738B2"/>
    <w:rsid w:val="00773929"/>
    <w:rsid w:val="0077395A"/>
    <w:rsid w:val="007739D2"/>
    <w:rsid w:val="00773A15"/>
    <w:rsid w:val="00773A2D"/>
    <w:rsid w:val="00773A33"/>
    <w:rsid w:val="00773B18"/>
    <w:rsid w:val="00773B20"/>
    <w:rsid w:val="00773B28"/>
    <w:rsid w:val="00773C14"/>
    <w:rsid w:val="00773C26"/>
    <w:rsid w:val="00773C3E"/>
    <w:rsid w:val="00773D94"/>
    <w:rsid w:val="00773E86"/>
    <w:rsid w:val="00773F2D"/>
    <w:rsid w:val="00773FC5"/>
    <w:rsid w:val="00773FCE"/>
    <w:rsid w:val="00773FD3"/>
    <w:rsid w:val="00774022"/>
    <w:rsid w:val="0077404A"/>
    <w:rsid w:val="007740E1"/>
    <w:rsid w:val="00774112"/>
    <w:rsid w:val="0077412B"/>
    <w:rsid w:val="00774169"/>
    <w:rsid w:val="0077423C"/>
    <w:rsid w:val="00774285"/>
    <w:rsid w:val="00774381"/>
    <w:rsid w:val="007743B6"/>
    <w:rsid w:val="007744BF"/>
    <w:rsid w:val="007744F2"/>
    <w:rsid w:val="00774513"/>
    <w:rsid w:val="007745FC"/>
    <w:rsid w:val="0077462C"/>
    <w:rsid w:val="0077464A"/>
    <w:rsid w:val="00774662"/>
    <w:rsid w:val="007746E9"/>
    <w:rsid w:val="0077471A"/>
    <w:rsid w:val="00774743"/>
    <w:rsid w:val="0077475B"/>
    <w:rsid w:val="00774777"/>
    <w:rsid w:val="0077477D"/>
    <w:rsid w:val="00774787"/>
    <w:rsid w:val="007748D7"/>
    <w:rsid w:val="007748E3"/>
    <w:rsid w:val="007749D2"/>
    <w:rsid w:val="00774A78"/>
    <w:rsid w:val="00774B0A"/>
    <w:rsid w:val="00774B12"/>
    <w:rsid w:val="00774B32"/>
    <w:rsid w:val="00774BC5"/>
    <w:rsid w:val="00774C04"/>
    <w:rsid w:val="00774C9E"/>
    <w:rsid w:val="00774CA0"/>
    <w:rsid w:val="00774CBD"/>
    <w:rsid w:val="00774CDD"/>
    <w:rsid w:val="00774D6B"/>
    <w:rsid w:val="00774DCA"/>
    <w:rsid w:val="00774E38"/>
    <w:rsid w:val="00774E7C"/>
    <w:rsid w:val="00774F65"/>
    <w:rsid w:val="00774F6D"/>
    <w:rsid w:val="0077509D"/>
    <w:rsid w:val="007750E9"/>
    <w:rsid w:val="0077519E"/>
    <w:rsid w:val="007751BE"/>
    <w:rsid w:val="0077526E"/>
    <w:rsid w:val="007752A2"/>
    <w:rsid w:val="007752E5"/>
    <w:rsid w:val="0077535C"/>
    <w:rsid w:val="007753BB"/>
    <w:rsid w:val="00775578"/>
    <w:rsid w:val="007755E1"/>
    <w:rsid w:val="007755F6"/>
    <w:rsid w:val="007756F2"/>
    <w:rsid w:val="0077575E"/>
    <w:rsid w:val="007757A3"/>
    <w:rsid w:val="0077583C"/>
    <w:rsid w:val="00775853"/>
    <w:rsid w:val="0077586A"/>
    <w:rsid w:val="007758A6"/>
    <w:rsid w:val="00775936"/>
    <w:rsid w:val="00775A83"/>
    <w:rsid w:val="00775A9F"/>
    <w:rsid w:val="00775B8B"/>
    <w:rsid w:val="00775B98"/>
    <w:rsid w:val="00775BF2"/>
    <w:rsid w:val="00775C12"/>
    <w:rsid w:val="00775C8E"/>
    <w:rsid w:val="00775D95"/>
    <w:rsid w:val="00775DA6"/>
    <w:rsid w:val="00775DD4"/>
    <w:rsid w:val="00775DE0"/>
    <w:rsid w:val="00775E07"/>
    <w:rsid w:val="00775E21"/>
    <w:rsid w:val="00775E9C"/>
    <w:rsid w:val="00775F99"/>
    <w:rsid w:val="00775FF9"/>
    <w:rsid w:val="00776022"/>
    <w:rsid w:val="00776113"/>
    <w:rsid w:val="0077616F"/>
    <w:rsid w:val="007761D4"/>
    <w:rsid w:val="00776253"/>
    <w:rsid w:val="0077632A"/>
    <w:rsid w:val="0077632C"/>
    <w:rsid w:val="00776361"/>
    <w:rsid w:val="00776399"/>
    <w:rsid w:val="007763FB"/>
    <w:rsid w:val="007763FF"/>
    <w:rsid w:val="0077642E"/>
    <w:rsid w:val="00776435"/>
    <w:rsid w:val="007764AF"/>
    <w:rsid w:val="0077656F"/>
    <w:rsid w:val="00776589"/>
    <w:rsid w:val="007765EC"/>
    <w:rsid w:val="0077660B"/>
    <w:rsid w:val="007766BD"/>
    <w:rsid w:val="007766CC"/>
    <w:rsid w:val="00776753"/>
    <w:rsid w:val="00776766"/>
    <w:rsid w:val="00776767"/>
    <w:rsid w:val="00776805"/>
    <w:rsid w:val="00776827"/>
    <w:rsid w:val="00776835"/>
    <w:rsid w:val="0077683E"/>
    <w:rsid w:val="007768A5"/>
    <w:rsid w:val="007768DA"/>
    <w:rsid w:val="00776992"/>
    <w:rsid w:val="007769A3"/>
    <w:rsid w:val="007769CF"/>
    <w:rsid w:val="007769E3"/>
    <w:rsid w:val="007769EC"/>
    <w:rsid w:val="00776AD5"/>
    <w:rsid w:val="00776AE6"/>
    <w:rsid w:val="00776B07"/>
    <w:rsid w:val="00776B45"/>
    <w:rsid w:val="00776B8C"/>
    <w:rsid w:val="00776BAE"/>
    <w:rsid w:val="00776C3C"/>
    <w:rsid w:val="00776C3F"/>
    <w:rsid w:val="00776CFF"/>
    <w:rsid w:val="00776D72"/>
    <w:rsid w:val="00776DA0"/>
    <w:rsid w:val="00776E4E"/>
    <w:rsid w:val="00776E59"/>
    <w:rsid w:val="00776EB1"/>
    <w:rsid w:val="00777064"/>
    <w:rsid w:val="00777076"/>
    <w:rsid w:val="00777270"/>
    <w:rsid w:val="0077728C"/>
    <w:rsid w:val="007772C4"/>
    <w:rsid w:val="007772C6"/>
    <w:rsid w:val="007772D1"/>
    <w:rsid w:val="00777369"/>
    <w:rsid w:val="007773A5"/>
    <w:rsid w:val="007773BB"/>
    <w:rsid w:val="00777439"/>
    <w:rsid w:val="00777443"/>
    <w:rsid w:val="007774B9"/>
    <w:rsid w:val="00777513"/>
    <w:rsid w:val="00777549"/>
    <w:rsid w:val="00777628"/>
    <w:rsid w:val="007776E8"/>
    <w:rsid w:val="007776EC"/>
    <w:rsid w:val="0077774F"/>
    <w:rsid w:val="0077776C"/>
    <w:rsid w:val="00777789"/>
    <w:rsid w:val="00777791"/>
    <w:rsid w:val="00777814"/>
    <w:rsid w:val="00777822"/>
    <w:rsid w:val="0077786E"/>
    <w:rsid w:val="007778CB"/>
    <w:rsid w:val="0077792B"/>
    <w:rsid w:val="00777934"/>
    <w:rsid w:val="00777947"/>
    <w:rsid w:val="00777972"/>
    <w:rsid w:val="007779A1"/>
    <w:rsid w:val="007779BF"/>
    <w:rsid w:val="007779DD"/>
    <w:rsid w:val="00777A4A"/>
    <w:rsid w:val="00777A4E"/>
    <w:rsid w:val="00777A53"/>
    <w:rsid w:val="00777ADC"/>
    <w:rsid w:val="00777AF5"/>
    <w:rsid w:val="00777B96"/>
    <w:rsid w:val="00777B98"/>
    <w:rsid w:val="00777BAE"/>
    <w:rsid w:val="00777CCD"/>
    <w:rsid w:val="00777D5D"/>
    <w:rsid w:val="00777DB6"/>
    <w:rsid w:val="00777E20"/>
    <w:rsid w:val="00777E67"/>
    <w:rsid w:val="00777E74"/>
    <w:rsid w:val="00777EE6"/>
    <w:rsid w:val="00777F8F"/>
    <w:rsid w:val="00777FB1"/>
    <w:rsid w:val="0078007C"/>
    <w:rsid w:val="007800B0"/>
    <w:rsid w:val="007800DB"/>
    <w:rsid w:val="0078013B"/>
    <w:rsid w:val="0078016F"/>
    <w:rsid w:val="0078018A"/>
    <w:rsid w:val="0078026D"/>
    <w:rsid w:val="007802D1"/>
    <w:rsid w:val="00780311"/>
    <w:rsid w:val="00780344"/>
    <w:rsid w:val="00780380"/>
    <w:rsid w:val="007803C9"/>
    <w:rsid w:val="00780403"/>
    <w:rsid w:val="00780461"/>
    <w:rsid w:val="007805AB"/>
    <w:rsid w:val="007805B1"/>
    <w:rsid w:val="007805FF"/>
    <w:rsid w:val="0078066B"/>
    <w:rsid w:val="00780682"/>
    <w:rsid w:val="00780693"/>
    <w:rsid w:val="007806A2"/>
    <w:rsid w:val="007806D2"/>
    <w:rsid w:val="00780771"/>
    <w:rsid w:val="007807BF"/>
    <w:rsid w:val="007807EA"/>
    <w:rsid w:val="0078085D"/>
    <w:rsid w:val="0078085E"/>
    <w:rsid w:val="00780861"/>
    <w:rsid w:val="00780954"/>
    <w:rsid w:val="007809B1"/>
    <w:rsid w:val="007809E9"/>
    <w:rsid w:val="00780A95"/>
    <w:rsid w:val="00780C38"/>
    <w:rsid w:val="00780C6F"/>
    <w:rsid w:val="00780CD6"/>
    <w:rsid w:val="00780D7F"/>
    <w:rsid w:val="00780E59"/>
    <w:rsid w:val="00780E6F"/>
    <w:rsid w:val="00780E8A"/>
    <w:rsid w:val="00780E8B"/>
    <w:rsid w:val="00780EC1"/>
    <w:rsid w:val="00780F20"/>
    <w:rsid w:val="00780F22"/>
    <w:rsid w:val="00780F57"/>
    <w:rsid w:val="00780F62"/>
    <w:rsid w:val="00780FA4"/>
    <w:rsid w:val="00781026"/>
    <w:rsid w:val="0078102E"/>
    <w:rsid w:val="00781085"/>
    <w:rsid w:val="007810DB"/>
    <w:rsid w:val="007810E7"/>
    <w:rsid w:val="0078112E"/>
    <w:rsid w:val="0078116F"/>
    <w:rsid w:val="007811B2"/>
    <w:rsid w:val="007811ED"/>
    <w:rsid w:val="00781206"/>
    <w:rsid w:val="0078123C"/>
    <w:rsid w:val="0078124D"/>
    <w:rsid w:val="00781291"/>
    <w:rsid w:val="007812D7"/>
    <w:rsid w:val="00781339"/>
    <w:rsid w:val="0078138D"/>
    <w:rsid w:val="007813B5"/>
    <w:rsid w:val="007813F6"/>
    <w:rsid w:val="0078142A"/>
    <w:rsid w:val="0078147A"/>
    <w:rsid w:val="007814C1"/>
    <w:rsid w:val="007814D1"/>
    <w:rsid w:val="0078169C"/>
    <w:rsid w:val="007816AB"/>
    <w:rsid w:val="007816E4"/>
    <w:rsid w:val="0078171E"/>
    <w:rsid w:val="00781781"/>
    <w:rsid w:val="007817A7"/>
    <w:rsid w:val="007817FC"/>
    <w:rsid w:val="00781879"/>
    <w:rsid w:val="0078188A"/>
    <w:rsid w:val="007818BB"/>
    <w:rsid w:val="007818CF"/>
    <w:rsid w:val="0078194A"/>
    <w:rsid w:val="007819EA"/>
    <w:rsid w:val="00781A13"/>
    <w:rsid w:val="00781A33"/>
    <w:rsid w:val="00781A5C"/>
    <w:rsid w:val="00781A5D"/>
    <w:rsid w:val="00781AD9"/>
    <w:rsid w:val="00781AF3"/>
    <w:rsid w:val="00781B22"/>
    <w:rsid w:val="00781CA4"/>
    <w:rsid w:val="00781CB0"/>
    <w:rsid w:val="00781CE4"/>
    <w:rsid w:val="00781CF0"/>
    <w:rsid w:val="00781D5E"/>
    <w:rsid w:val="00781D63"/>
    <w:rsid w:val="00781DC7"/>
    <w:rsid w:val="00781DF8"/>
    <w:rsid w:val="00781E88"/>
    <w:rsid w:val="00781EAC"/>
    <w:rsid w:val="00781EB8"/>
    <w:rsid w:val="00781EBC"/>
    <w:rsid w:val="00781F29"/>
    <w:rsid w:val="00781F44"/>
    <w:rsid w:val="00781F69"/>
    <w:rsid w:val="00782035"/>
    <w:rsid w:val="007820C0"/>
    <w:rsid w:val="007820E2"/>
    <w:rsid w:val="007820F4"/>
    <w:rsid w:val="00782159"/>
    <w:rsid w:val="007821A3"/>
    <w:rsid w:val="007821FC"/>
    <w:rsid w:val="00782204"/>
    <w:rsid w:val="0078222E"/>
    <w:rsid w:val="00782250"/>
    <w:rsid w:val="007822B2"/>
    <w:rsid w:val="007822D3"/>
    <w:rsid w:val="00782308"/>
    <w:rsid w:val="0078236B"/>
    <w:rsid w:val="007823CF"/>
    <w:rsid w:val="007823DB"/>
    <w:rsid w:val="007823FF"/>
    <w:rsid w:val="00782406"/>
    <w:rsid w:val="00782431"/>
    <w:rsid w:val="00782437"/>
    <w:rsid w:val="007824EB"/>
    <w:rsid w:val="007824F1"/>
    <w:rsid w:val="007824F7"/>
    <w:rsid w:val="00782520"/>
    <w:rsid w:val="00782524"/>
    <w:rsid w:val="0078255C"/>
    <w:rsid w:val="0078256A"/>
    <w:rsid w:val="00782594"/>
    <w:rsid w:val="0078269C"/>
    <w:rsid w:val="007826E5"/>
    <w:rsid w:val="0078270C"/>
    <w:rsid w:val="0078271F"/>
    <w:rsid w:val="00782745"/>
    <w:rsid w:val="0078276B"/>
    <w:rsid w:val="00782870"/>
    <w:rsid w:val="007828DC"/>
    <w:rsid w:val="007828DD"/>
    <w:rsid w:val="007829EB"/>
    <w:rsid w:val="007829F9"/>
    <w:rsid w:val="00782A08"/>
    <w:rsid w:val="00782A93"/>
    <w:rsid w:val="00782AA6"/>
    <w:rsid w:val="00782ABA"/>
    <w:rsid w:val="00782B4B"/>
    <w:rsid w:val="00782B61"/>
    <w:rsid w:val="00782BE5"/>
    <w:rsid w:val="00782CBA"/>
    <w:rsid w:val="00782CBC"/>
    <w:rsid w:val="00782D78"/>
    <w:rsid w:val="00782DBC"/>
    <w:rsid w:val="00782DD2"/>
    <w:rsid w:val="00782E36"/>
    <w:rsid w:val="00782F47"/>
    <w:rsid w:val="00782F50"/>
    <w:rsid w:val="00782F97"/>
    <w:rsid w:val="00782FB6"/>
    <w:rsid w:val="00782FD4"/>
    <w:rsid w:val="00783037"/>
    <w:rsid w:val="007830D4"/>
    <w:rsid w:val="007831F0"/>
    <w:rsid w:val="00783224"/>
    <w:rsid w:val="007832C4"/>
    <w:rsid w:val="00783316"/>
    <w:rsid w:val="00783387"/>
    <w:rsid w:val="00783419"/>
    <w:rsid w:val="00783481"/>
    <w:rsid w:val="007834B9"/>
    <w:rsid w:val="007834BA"/>
    <w:rsid w:val="007834C1"/>
    <w:rsid w:val="007835C8"/>
    <w:rsid w:val="007835CF"/>
    <w:rsid w:val="0078360C"/>
    <w:rsid w:val="00783617"/>
    <w:rsid w:val="0078366A"/>
    <w:rsid w:val="007836E1"/>
    <w:rsid w:val="0078378A"/>
    <w:rsid w:val="0078384F"/>
    <w:rsid w:val="0078387F"/>
    <w:rsid w:val="0078388A"/>
    <w:rsid w:val="007838C2"/>
    <w:rsid w:val="00783918"/>
    <w:rsid w:val="00783947"/>
    <w:rsid w:val="0078394B"/>
    <w:rsid w:val="00783963"/>
    <w:rsid w:val="007839A7"/>
    <w:rsid w:val="007839CA"/>
    <w:rsid w:val="00783A2D"/>
    <w:rsid w:val="00783A90"/>
    <w:rsid w:val="00783ACF"/>
    <w:rsid w:val="00783B04"/>
    <w:rsid w:val="00783B12"/>
    <w:rsid w:val="00783C15"/>
    <w:rsid w:val="00783C5C"/>
    <w:rsid w:val="00783C86"/>
    <w:rsid w:val="00783CB8"/>
    <w:rsid w:val="00783D22"/>
    <w:rsid w:val="00783DA7"/>
    <w:rsid w:val="00783DB6"/>
    <w:rsid w:val="00783DC6"/>
    <w:rsid w:val="00783DFD"/>
    <w:rsid w:val="00783E0F"/>
    <w:rsid w:val="00783E43"/>
    <w:rsid w:val="00783E6E"/>
    <w:rsid w:val="00783EBA"/>
    <w:rsid w:val="00783EDD"/>
    <w:rsid w:val="00783F0C"/>
    <w:rsid w:val="00783F61"/>
    <w:rsid w:val="00783F72"/>
    <w:rsid w:val="00783FBF"/>
    <w:rsid w:val="00783FF4"/>
    <w:rsid w:val="0078406C"/>
    <w:rsid w:val="007840C3"/>
    <w:rsid w:val="007840DF"/>
    <w:rsid w:val="007841A0"/>
    <w:rsid w:val="007841BC"/>
    <w:rsid w:val="0078428A"/>
    <w:rsid w:val="007843D7"/>
    <w:rsid w:val="00784401"/>
    <w:rsid w:val="00784414"/>
    <w:rsid w:val="00784415"/>
    <w:rsid w:val="00784499"/>
    <w:rsid w:val="0078450F"/>
    <w:rsid w:val="00784532"/>
    <w:rsid w:val="00784552"/>
    <w:rsid w:val="007845E1"/>
    <w:rsid w:val="00784677"/>
    <w:rsid w:val="007846C0"/>
    <w:rsid w:val="0078477D"/>
    <w:rsid w:val="0078477E"/>
    <w:rsid w:val="007847BC"/>
    <w:rsid w:val="007847CC"/>
    <w:rsid w:val="00784840"/>
    <w:rsid w:val="007848BC"/>
    <w:rsid w:val="007848F4"/>
    <w:rsid w:val="00784921"/>
    <w:rsid w:val="00784944"/>
    <w:rsid w:val="0078497E"/>
    <w:rsid w:val="00784995"/>
    <w:rsid w:val="007849B9"/>
    <w:rsid w:val="00784AAC"/>
    <w:rsid w:val="00784AC1"/>
    <w:rsid w:val="00784B83"/>
    <w:rsid w:val="00784BEE"/>
    <w:rsid w:val="00784BF9"/>
    <w:rsid w:val="00784C54"/>
    <w:rsid w:val="00784D3F"/>
    <w:rsid w:val="00784D88"/>
    <w:rsid w:val="00784E1E"/>
    <w:rsid w:val="00784E97"/>
    <w:rsid w:val="00784F73"/>
    <w:rsid w:val="00784F77"/>
    <w:rsid w:val="00784F8B"/>
    <w:rsid w:val="00784FD8"/>
    <w:rsid w:val="0078502D"/>
    <w:rsid w:val="007850C4"/>
    <w:rsid w:val="007850CD"/>
    <w:rsid w:val="0078511F"/>
    <w:rsid w:val="007851BB"/>
    <w:rsid w:val="00785218"/>
    <w:rsid w:val="00785255"/>
    <w:rsid w:val="0078529A"/>
    <w:rsid w:val="007852AE"/>
    <w:rsid w:val="007852E3"/>
    <w:rsid w:val="00785343"/>
    <w:rsid w:val="0078534E"/>
    <w:rsid w:val="0078537B"/>
    <w:rsid w:val="0078537F"/>
    <w:rsid w:val="007853E3"/>
    <w:rsid w:val="00785431"/>
    <w:rsid w:val="007854F4"/>
    <w:rsid w:val="0078556D"/>
    <w:rsid w:val="00785577"/>
    <w:rsid w:val="00785689"/>
    <w:rsid w:val="00785710"/>
    <w:rsid w:val="0078574E"/>
    <w:rsid w:val="00785767"/>
    <w:rsid w:val="007857A6"/>
    <w:rsid w:val="007857E2"/>
    <w:rsid w:val="00785806"/>
    <w:rsid w:val="0078580E"/>
    <w:rsid w:val="00785876"/>
    <w:rsid w:val="007858A3"/>
    <w:rsid w:val="007858F8"/>
    <w:rsid w:val="0078590B"/>
    <w:rsid w:val="0078594C"/>
    <w:rsid w:val="007859DC"/>
    <w:rsid w:val="00785A30"/>
    <w:rsid w:val="00785A34"/>
    <w:rsid w:val="00785ABD"/>
    <w:rsid w:val="00785B0D"/>
    <w:rsid w:val="00785B46"/>
    <w:rsid w:val="00785B73"/>
    <w:rsid w:val="00785C27"/>
    <w:rsid w:val="00785CB1"/>
    <w:rsid w:val="00785CDB"/>
    <w:rsid w:val="00785CE8"/>
    <w:rsid w:val="00785D23"/>
    <w:rsid w:val="00785D4F"/>
    <w:rsid w:val="00785D81"/>
    <w:rsid w:val="00785DAB"/>
    <w:rsid w:val="00785EB3"/>
    <w:rsid w:val="00785EB5"/>
    <w:rsid w:val="00785F95"/>
    <w:rsid w:val="00785FA4"/>
    <w:rsid w:val="00785FC2"/>
    <w:rsid w:val="00785FC9"/>
    <w:rsid w:val="0078608C"/>
    <w:rsid w:val="00786126"/>
    <w:rsid w:val="007861A5"/>
    <w:rsid w:val="007861CA"/>
    <w:rsid w:val="00786253"/>
    <w:rsid w:val="00786255"/>
    <w:rsid w:val="00786271"/>
    <w:rsid w:val="007862CC"/>
    <w:rsid w:val="007862DA"/>
    <w:rsid w:val="00786345"/>
    <w:rsid w:val="0078634C"/>
    <w:rsid w:val="0078640A"/>
    <w:rsid w:val="007864ED"/>
    <w:rsid w:val="007865C5"/>
    <w:rsid w:val="007865E7"/>
    <w:rsid w:val="00786626"/>
    <w:rsid w:val="00786670"/>
    <w:rsid w:val="00786730"/>
    <w:rsid w:val="00786755"/>
    <w:rsid w:val="00786859"/>
    <w:rsid w:val="00786878"/>
    <w:rsid w:val="007869A5"/>
    <w:rsid w:val="00786A39"/>
    <w:rsid w:val="00786A6B"/>
    <w:rsid w:val="00786A99"/>
    <w:rsid w:val="00786AB1"/>
    <w:rsid w:val="00786BBD"/>
    <w:rsid w:val="00786BE6"/>
    <w:rsid w:val="00786C01"/>
    <w:rsid w:val="00786C05"/>
    <w:rsid w:val="00786CBE"/>
    <w:rsid w:val="00786CD3"/>
    <w:rsid w:val="00786CD5"/>
    <w:rsid w:val="00786D1D"/>
    <w:rsid w:val="00786EA0"/>
    <w:rsid w:val="00786ED1"/>
    <w:rsid w:val="00786F23"/>
    <w:rsid w:val="00786F41"/>
    <w:rsid w:val="0078706A"/>
    <w:rsid w:val="007870AA"/>
    <w:rsid w:val="007870B5"/>
    <w:rsid w:val="007870CB"/>
    <w:rsid w:val="00787109"/>
    <w:rsid w:val="0078713B"/>
    <w:rsid w:val="00787160"/>
    <w:rsid w:val="00787256"/>
    <w:rsid w:val="0078726D"/>
    <w:rsid w:val="007872A0"/>
    <w:rsid w:val="00787303"/>
    <w:rsid w:val="00787360"/>
    <w:rsid w:val="00787384"/>
    <w:rsid w:val="00787404"/>
    <w:rsid w:val="0078747F"/>
    <w:rsid w:val="00787487"/>
    <w:rsid w:val="00787493"/>
    <w:rsid w:val="007874CF"/>
    <w:rsid w:val="0078755B"/>
    <w:rsid w:val="0078756F"/>
    <w:rsid w:val="0078762C"/>
    <w:rsid w:val="00787634"/>
    <w:rsid w:val="00787638"/>
    <w:rsid w:val="00787676"/>
    <w:rsid w:val="0078767F"/>
    <w:rsid w:val="007876C6"/>
    <w:rsid w:val="0078770C"/>
    <w:rsid w:val="0078771F"/>
    <w:rsid w:val="00787728"/>
    <w:rsid w:val="0078774B"/>
    <w:rsid w:val="00787752"/>
    <w:rsid w:val="00787767"/>
    <w:rsid w:val="0078786E"/>
    <w:rsid w:val="0078787D"/>
    <w:rsid w:val="00787914"/>
    <w:rsid w:val="00787920"/>
    <w:rsid w:val="00787933"/>
    <w:rsid w:val="007879B6"/>
    <w:rsid w:val="007879D4"/>
    <w:rsid w:val="00787A26"/>
    <w:rsid w:val="00787A6F"/>
    <w:rsid w:val="00787AC2"/>
    <w:rsid w:val="00787B06"/>
    <w:rsid w:val="00787B88"/>
    <w:rsid w:val="00787B8D"/>
    <w:rsid w:val="00787BA6"/>
    <w:rsid w:val="00787BD2"/>
    <w:rsid w:val="00787BDD"/>
    <w:rsid w:val="00787BEE"/>
    <w:rsid w:val="00787C59"/>
    <w:rsid w:val="00787D55"/>
    <w:rsid w:val="00787E2A"/>
    <w:rsid w:val="00787E9E"/>
    <w:rsid w:val="00787F1B"/>
    <w:rsid w:val="00787F33"/>
    <w:rsid w:val="00787F3A"/>
    <w:rsid w:val="00787F41"/>
    <w:rsid w:val="00787F4B"/>
    <w:rsid w:val="00787F96"/>
    <w:rsid w:val="00787F9F"/>
    <w:rsid w:val="00787FD5"/>
    <w:rsid w:val="007900F6"/>
    <w:rsid w:val="00790109"/>
    <w:rsid w:val="0079010E"/>
    <w:rsid w:val="00790118"/>
    <w:rsid w:val="00790144"/>
    <w:rsid w:val="007901EF"/>
    <w:rsid w:val="0079022E"/>
    <w:rsid w:val="0079028D"/>
    <w:rsid w:val="007902F6"/>
    <w:rsid w:val="00790305"/>
    <w:rsid w:val="0079039B"/>
    <w:rsid w:val="0079045B"/>
    <w:rsid w:val="00790474"/>
    <w:rsid w:val="00790479"/>
    <w:rsid w:val="007904AF"/>
    <w:rsid w:val="007904B2"/>
    <w:rsid w:val="007904D7"/>
    <w:rsid w:val="0079050D"/>
    <w:rsid w:val="00790569"/>
    <w:rsid w:val="0079066F"/>
    <w:rsid w:val="00790679"/>
    <w:rsid w:val="007906E4"/>
    <w:rsid w:val="007906E8"/>
    <w:rsid w:val="0079070D"/>
    <w:rsid w:val="00790729"/>
    <w:rsid w:val="00790737"/>
    <w:rsid w:val="00790765"/>
    <w:rsid w:val="007908DC"/>
    <w:rsid w:val="00790912"/>
    <w:rsid w:val="00790A66"/>
    <w:rsid w:val="00790AB7"/>
    <w:rsid w:val="00790AE2"/>
    <w:rsid w:val="00790B4E"/>
    <w:rsid w:val="00790C3C"/>
    <w:rsid w:val="00790C6C"/>
    <w:rsid w:val="00790D19"/>
    <w:rsid w:val="00790D4B"/>
    <w:rsid w:val="00790D96"/>
    <w:rsid w:val="00790E39"/>
    <w:rsid w:val="00790E46"/>
    <w:rsid w:val="00790E87"/>
    <w:rsid w:val="00790EA7"/>
    <w:rsid w:val="00790ED6"/>
    <w:rsid w:val="00790F2D"/>
    <w:rsid w:val="00790F78"/>
    <w:rsid w:val="00790FAB"/>
    <w:rsid w:val="00790FE4"/>
    <w:rsid w:val="00791040"/>
    <w:rsid w:val="007910BD"/>
    <w:rsid w:val="007910E5"/>
    <w:rsid w:val="00791136"/>
    <w:rsid w:val="00791225"/>
    <w:rsid w:val="00791244"/>
    <w:rsid w:val="00791291"/>
    <w:rsid w:val="007912E1"/>
    <w:rsid w:val="0079132C"/>
    <w:rsid w:val="00791342"/>
    <w:rsid w:val="00791397"/>
    <w:rsid w:val="007913B7"/>
    <w:rsid w:val="007913DD"/>
    <w:rsid w:val="00791488"/>
    <w:rsid w:val="007914ED"/>
    <w:rsid w:val="007915B8"/>
    <w:rsid w:val="007915BE"/>
    <w:rsid w:val="007915F0"/>
    <w:rsid w:val="007916A6"/>
    <w:rsid w:val="00791741"/>
    <w:rsid w:val="0079180C"/>
    <w:rsid w:val="00791812"/>
    <w:rsid w:val="00791893"/>
    <w:rsid w:val="00791899"/>
    <w:rsid w:val="007918C4"/>
    <w:rsid w:val="007918D3"/>
    <w:rsid w:val="007918FD"/>
    <w:rsid w:val="00791944"/>
    <w:rsid w:val="0079194C"/>
    <w:rsid w:val="007919F5"/>
    <w:rsid w:val="007919FD"/>
    <w:rsid w:val="00791A2E"/>
    <w:rsid w:val="00791AB5"/>
    <w:rsid w:val="00791AE9"/>
    <w:rsid w:val="00791B09"/>
    <w:rsid w:val="00791B0A"/>
    <w:rsid w:val="00791B81"/>
    <w:rsid w:val="00791BCC"/>
    <w:rsid w:val="00791BD5"/>
    <w:rsid w:val="00791BF8"/>
    <w:rsid w:val="00791D52"/>
    <w:rsid w:val="00791D53"/>
    <w:rsid w:val="00791DD1"/>
    <w:rsid w:val="00791E13"/>
    <w:rsid w:val="00791E21"/>
    <w:rsid w:val="00791FBC"/>
    <w:rsid w:val="00791FCE"/>
    <w:rsid w:val="0079202A"/>
    <w:rsid w:val="00792094"/>
    <w:rsid w:val="007920EC"/>
    <w:rsid w:val="0079217E"/>
    <w:rsid w:val="00792229"/>
    <w:rsid w:val="00792273"/>
    <w:rsid w:val="00792277"/>
    <w:rsid w:val="00792302"/>
    <w:rsid w:val="0079231C"/>
    <w:rsid w:val="00792342"/>
    <w:rsid w:val="00792372"/>
    <w:rsid w:val="00792382"/>
    <w:rsid w:val="00792383"/>
    <w:rsid w:val="007923DD"/>
    <w:rsid w:val="00792406"/>
    <w:rsid w:val="0079241B"/>
    <w:rsid w:val="00792439"/>
    <w:rsid w:val="00792452"/>
    <w:rsid w:val="00792560"/>
    <w:rsid w:val="007925D3"/>
    <w:rsid w:val="00792651"/>
    <w:rsid w:val="00792696"/>
    <w:rsid w:val="007926AA"/>
    <w:rsid w:val="0079277A"/>
    <w:rsid w:val="007927E8"/>
    <w:rsid w:val="00792818"/>
    <w:rsid w:val="007928A1"/>
    <w:rsid w:val="0079290E"/>
    <w:rsid w:val="007929A8"/>
    <w:rsid w:val="00792B5B"/>
    <w:rsid w:val="00792C47"/>
    <w:rsid w:val="00792C80"/>
    <w:rsid w:val="00792C8D"/>
    <w:rsid w:val="00792DC2"/>
    <w:rsid w:val="00792E74"/>
    <w:rsid w:val="00792F12"/>
    <w:rsid w:val="00792F25"/>
    <w:rsid w:val="00792F53"/>
    <w:rsid w:val="00792F8F"/>
    <w:rsid w:val="00792FE5"/>
    <w:rsid w:val="00792FF0"/>
    <w:rsid w:val="0079311F"/>
    <w:rsid w:val="007931D9"/>
    <w:rsid w:val="007933FA"/>
    <w:rsid w:val="00793475"/>
    <w:rsid w:val="0079349F"/>
    <w:rsid w:val="00793566"/>
    <w:rsid w:val="0079359A"/>
    <w:rsid w:val="007935DD"/>
    <w:rsid w:val="0079369B"/>
    <w:rsid w:val="007936EA"/>
    <w:rsid w:val="00793712"/>
    <w:rsid w:val="00793765"/>
    <w:rsid w:val="00793911"/>
    <w:rsid w:val="0079391F"/>
    <w:rsid w:val="007939AB"/>
    <w:rsid w:val="007939DC"/>
    <w:rsid w:val="00793A57"/>
    <w:rsid w:val="00793ADE"/>
    <w:rsid w:val="00793B28"/>
    <w:rsid w:val="00793BEE"/>
    <w:rsid w:val="00793BEF"/>
    <w:rsid w:val="00793BFD"/>
    <w:rsid w:val="00793C9D"/>
    <w:rsid w:val="00793CAD"/>
    <w:rsid w:val="00793CF6"/>
    <w:rsid w:val="00793DB1"/>
    <w:rsid w:val="00793DB2"/>
    <w:rsid w:val="00793DE8"/>
    <w:rsid w:val="00793E25"/>
    <w:rsid w:val="00793E35"/>
    <w:rsid w:val="00793E80"/>
    <w:rsid w:val="00793EA0"/>
    <w:rsid w:val="00793F13"/>
    <w:rsid w:val="00793F14"/>
    <w:rsid w:val="00793F1D"/>
    <w:rsid w:val="00793F4E"/>
    <w:rsid w:val="00793F6C"/>
    <w:rsid w:val="00793F7B"/>
    <w:rsid w:val="0079412E"/>
    <w:rsid w:val="00794152"/>
    <w:rsid w:val="0079419E"/>
    <w:rsid w:val="00794237"/>
    <w:rsid w:val="00794277"/>
    <w:rsid w:val="007942CA"/>
    <w:rsid w:val="0079432A"/>
    <w:rsid w:val="0079437C"/>
    <w:rsid w:val="007943D2"/>
    <w:rsid w:val="007943EE"/>
    <w:rsid w:val="00794440"/>
    <w:rsid w:val="00794462"/>
    <w:rsid w:val="00794467"/>
    <w:rsid w:val="0079458A"/>
    <w:rsid w:val="007945B0"/>
    <w:rsid w:val="0079462F"/>
    <w:rsid w:val="0079463B"/>
    <w:rsid w:val="0079465B"/>
    <w:rsid w:val="007946C1"/>
    <w:rsid w:val="00794727"/>
    <w:rsid w:val="0079475C"/>
    <w:rsid w:val="00794773"/>
    <w:rsid w:val="00794798"/>
    <w:rsid w:val="007947A3"/>
    <w:rsid w:val="007947F4"/>
    <w:rsid w:val="00794860"/>
    <w:rsid w:val="0079489E"/>
    <w:rsid w:val="007948A9"/>
    <w:rsid w:val="0079493B"/>
    <w:rsid w:val="00794952"/>
    <w:rsid w:val="007949BD"/>
    <w:rsid w:val="00794A65"/>
    <w:rsid w:val="00794A85"/>
    <w:rsid w:val="00794B32"/>
    <w:rsid w:val="00794B96"/>
    <w:rsid w:val="00794B9B"/>
    <w:rsid w:val="00794C1B"/>
    <w:rsid w:val="00794C1C"/>
    <w:rsid w:val="00794EC0"/>
    <w:rsid w:val="00794ED6"/>
    <w:rsid w:val="00794EE4"/>
    <w:rsid w:val="00794F16"/>
    <w:rsid w:val="00794F45"/>
    <w:rsid w:val="00794FBB"/>
    <w:rsid w:val="007950CB"/>
    <w:rsid w:val="007951F2"/>
    <w:rsid w:val="00795279"/>
    <w:rsid w:val="007952DB"/>
    <w:rsid w:val="0079531D"/>
    <w:rsid w:val="007953C7"/>
    <w:rsid w:val="0079554A"/>
    <w:rsid w:val="007956E7"/>
    <w:rsid w:val="00795798"/>
    <w:rsid w:val="007957FF"/>
    <w:rsid w:val="00795891"/>
    <w:rsid w:val="007958EB"/>
    <w:rsid w:val="007958F1"/>
    <w:rsid w:val="00795939"/>
    <w:rsid w:val="00795A19"/>
    <w:rsid w:val="00795A56"/>
    <w:rsid w:val="00795BC7"/>
    <w:rsid w:val="00795BD5"/>
    <w:rsid w:val="00795BDB"/>
    <w:rsid w:val="00795C8B"/>
    <w:rsid w:val="00795D2B"/>
    <w:rsid w:val="00795DB2"/>
    <w:rsid w:val="00795DCC"/>
    <w:rsid w:val="00795E6E"/>
    <w:rsid w:val="00795E79"/>
    <w:rsid w:val="00795EBD"/>
    <w:rsid w:val="00795EDB"/>
    <w:rsid w:val="00795F08"/>
    <w:rsid w:val="00795F4E"/>
    <w:rsid w:val="00795F50"/>
    <w:rsid w:val="00795F66"/>
    <w:rsid w:val="00795F79"/>
    <w:rsid w:val="0079617A"/>
    <w:rsid w:val="007961D3"/>
    <w:rsid w:val="0079628F"/>
    <w:rsid w:val="00796425"/>
    <w:rsid w:val="00796449"/>
    <w:rsid w:val="0079644B"/>
    <w:rsid w:val="007964BD"/>
    <w:rsid w:val="007964FC"/>
    <w:rsid w:val="007965B2"/>
    <w:rsid w:val="007965EA"/>
    <w:rsid w:val="007965F0"/>
    <w:rsid w:val="00796601"/>
    <w:rsid w:val="00796620"/>
    <w:rsid w:val="007966FD"/>
    <w:rsid w:val="00796884"/>
    <w:rsid w:val="007968EE"/>
    <w:rsid w:val="0079695A"/>
    <w:rsid w:val="007969B8"/>
    <w:rsid w:val="00796A2A"/>
    <w:rsid w:val="00796A51"/>
    <w:rsid w:val="00796AD1"/>
    <w:rsid w:val="00796AD8"/>
    <w:rsid w:val="00796AF3"/>
    <w:rsid w:val="00796B8C"/>
    <w:rsid w:val="00796CB0"/>
    <w:rsid w:val="00796D9F"/>
    <w:rsid w:val="00796EEF"/>
    <w:rsid w:val="00796EF8"/>
    <w:rsid w:val="00796F5C"/>
    <w:rsid w:val="00797103"/>
    <w:rsid w:val="00797216"/>
    <w:rsid w:val="00797248"/>
    <w:rsid w:val="00797259"/>
    <w:rsid w:val="0079727E"/>
    <w:rsid w:val="007972FF"/>
    <w:rsid w:val="00797362"/>
    <w:rsid w:val="007973BA"/>
    <w:rsid w:val="007973EC"/>
    <w:rsid w:val="007974E8"/>
    <w:rsid w:val="007974F6"/>
    <w:rsid w:val="00797627"/>
    <w:rsid w:val="0079767F"/>
    <w:rsid w:val="0079768C"/>
    <w:rsid w:val="0079769D"/>
    <w:rsid w:val="00797712"/>
    <w:rsid w:val="007977C6"/>
    <w:rsid w:val="007977DC"/>
    <w:rsid w:val="00797925"/>
    <w:rsid w:val="007979D9"/>
    <w:rsid w:val="007979F9"/>
    <w:rsid w:val="00797A54"/>
    <w:rsid w:val="00797A66"/>
    <w:rsid w:val="00797A91"/>
    <w:rsid w:val="00797AE0"/>
    <w:rsid w:val="00797B06"/>
    <w:rsid w:val="00797D34"/>
    <w:rsid w:val="00797E49"/>
    <w:rsid w:val="00797EDA"/>
    <w:rsid w:val="00797F44"/>
    <w:rsid w:val="00797F69"/>
    <w:rsid w:val="007A000D"/>
    <w:rsid w:val="007A0028"/>
    <w:rsid w:val="007A00A2"/>
    <w:rsid w:val="007A00DC"/>
    <w:rsid w:val="007A0198"/>
    <w:rsid w:val="007A01A9"/>
    <w:rsid w:val="007A0238"/>
    <w:rsid w:val="007A0262"/>
    <w:rsid w:val="007A026B"/>
    <w:rsid w:val="007A0301"/>
    <w:rsid w:val="007A0354"/>
    <w:rsid w:val="007A0380"/>
    <w:rsid w:val="007A03C2"/>
    <w:rsid w:val="007A03C9"/>
    <w:rsid w:val="007A043E"/>
    <w:rsid w:val="007A050A"/>
    <w:rsid w:val="007A0522"/>
    <w:rsid w:val="007A0531"/>
    <w:rsid w:val="007A053E"/>
    <w:rsid w:val="007A058C"/>
    <w:rsid w:val="007A061F"/>
    <w:rsid w:val="007A0629"/>
    <w:rsid w:val="007A06A2"/>
    <w:rsid w:val="007A0707"/>
    <w:rsid w:val="007A0728"/>
    <w:rsid w:val="007A072E"/>
    <w:rsid w:val="007A0745"/>
    <w:rsid w:val="007A0787"/>
    <w:rsid w:val="007A079F"/>
    <w:rsid w:val="007A0830"/>
    <w:rsid w:val="007A0842"/>
    <w:rsid w:val="007A086E"/>
    <w:rsid w:val="007A08CF"/>
    <w:rsid w:val="007A08E6"/>
    <w:rsid w:val="007A0949"/>
    <w:rsid w:val="007A0970"/>
    <w:rsid w:val="007A0996"/>
    <w:rsid w:val="007A0AAC"/>
    <w:rsid w:val="007A0B18"/>
    <w:rsid w:val="007A0B3F"/>
    <w:rsid w:val="007A0BD0"/>
    <w:rsid w:val="007A0CCD"/>
    <w:rsid w:val="007A0CF7"/>
    <w:rsid w:val="007A0D03"/>
    <w:rsid w:val="007A0D1C"/>
    <w:rsid w:val="007A0DAB"/>
    <w:rsid w:val="007A0DFF"/>
    <w:rsid w:val="007A0E18"/>
    <w:rsid w:val="007A0E26"/>
    <w:rsid w:val="007A0E5D"/>
    <w:rsid w:val="007A0F19"/>
    <w:rsid w:val="007A0F34"/>
    <w:rsid w:val="007A0FA2"/>
    <w:rsid w:val="007A0FFE"/>
    <w:rsid w:val="007A1016"/>
    <w:rsid w:val="007A103B"/>
    <w:rsid w:val="007A1051"/>
    <w:rsid w:val="007A1063"/>
    <w:rsid w:val="007A1067"/>
    <w:rsid w:val="007A1130"/>
    <w:rsid w:val="007A1142"/>
    <w:rsid w:val="007A116F"/>
    <w:rsid w:val="007A11D6"/>
    <w:rsid w:val="007A12AC"/>
    <w:rsid w:val="007A13C4"/>
    <w:rsid w:val="007A13C5"/>
    <w:rsid w:val="007A13CB"/>
    <w:rsid w:val="007A13D9"/>
    <w:rsid w:val="007A1436"/>
    <w:rsid w:val="007A14A5"/>
    <w:rsid w:val="007A14E1"/>
    <w:rsid w:val="007A1503"/>
    <w:rsid w:val="007A153F"/>
    <w:rsid w:val="007A15B2"/>
    <w:rsid w:val="007A15FF"/>
    <w:rsid w:val="007A1619"/>
    <w:rsid w:val="007A1728"/>
    <w:rsid w:val="007A173D"/>
    <w:rsid w:val="007A1878"/>
    <w:rsid w:val="007A19D1"/>
    <w:rsid w:val="007A1AEB"/>
    <w:rsid w:val="007A1AF7"/>
    <w:rsid w:val="007A1B3D"/>
    <w:rsid w:val="007A1B4E"/>
    <w:rsid w:val="007A1B9A"/>
    <w:rsid w:val="007A1BA0"/>
    <w:rsid w:val="007A1D8D"/>
    <w:rsid w:val="007A1E0F"/>
    <w:rsid w:val="007A1E39"/>
    <w:rsid w:val="007A1E91"/>
    <w:rsid w:val="007A1FAB"/>
    <w:rsid w:val="007A1FC0"/>
    <w:rsid w:val="007A1FD0"/>
    <w:rsid w:val="007A2012"/>
    <w:rsid w:val="007A20C4"/>
    <w:rsid w:val="007A2120"/>
    <w:rsid w:val="007A2156"/>
    <w:rsid w:val="007A2182"/>
    <w:rsid w:val="007A2198"/>
    <w:rsid w:val="007A21A4"/>
    <w:rsid w:val="007A21B3"/>
    <w:rsid w:val="007A2241"/>
    <w:rsid w:val="007A234D"/>
    <w:rsid w:val="007A2382"/>
    <w:rsid w:val="007A23E3"/>
    <w:rsid w:val="007A2404"/>
    <w:rsid w:val="007A2471"/>
    <w:rsid w:val="007A247A"/>
    <w:rsid w:val="007A2486"/>
    <w:rsid w:val="007A2546"/>
    <w:rsid w:val="007A2570"/>
    <w:rsid w:val="007A257A"/>
    <w:rsid w:val="007A25D9"/>
    <w:rsid w:val="007A25EE"/>
    <w:rsid w:val="007A263E"/>
    <w:rsid w:val="007A2682"/>
    <w:rsid w:val="007A269B"/>
    <w:rsid w:val="007A2797"/>
    <w:rsid w:val="007A282E"/>
    <w:rsid w:val="007A28D5"/>
    <w:rsid w:val="007A28D8"/>
    <w:rsid w:val="007A2901"/>
    <w:rsid w:val="007A290C"/>
    <w:rsid w:val="007A2967"/>
    <w:rsid w:val="007A2968"/>
    <w:rsid w:val="007A2998"/>
    <w:rsid w:val="007A29B4"/>
    <w:rsid w:val="007A29C1"/>
    <w:rsid w:val="007A2A0F"/>
    <w:rsid w:val="007A2A1B"/>
    <w:rsid w:val="007A2A28"/>
    <w:rsid w:val="007A2A31"/>
    <w:rsid w:val="007A2A55"/>
    <w:rsid w:val="007A2A7B"/>
    <w:rsid w:val="007A2B32"/>
    <w:rsid w:val="007A2B53"/>
    <w:rsid w:val="007A2BC6"/>
    <w:rsid w:val="007A2BF3"/>
    <w:rsid w:val="007A2C19"/>
    <w:rsid w:val="007A2C5F"/>
    <w:rsid w:val="007A2D68"/>
    <w:rsid w:val="007A2D94"/>
    <w:rsid w:val="007A2DDC"/>
    <w:rsid w:val="007A2DDF"/>
    <w:rsid w:val="007A2E0A"/>
    <w:rsid w:val="007A2E2E"/>
    <w:rsid w:val="007A2E4A"/>
    <w:rsid w:val="007A2E63"/>
    <w:rsid w:val="007A2F00"/>
    <w:rsid w:val="007A2F4D"/>
    <w:rsid w:val="007A2FC4"/>
    <w:rsid w:val="007A305C"/>
    <w:rsid w:val="007A3088"/>
    <w:rsid w:val="007A318F"/>
    <w:rsid w:val="007A31B1"/>
    <w:rsid w:val="007A31C3"/>
    <w:rsid w:val="007A31D9"/>
    <w:rsid w:val="007A31E7"/>
    <w:rsid w:val="007A3219"/>
    <w:rsid w:val="007A32DC"/>
    <w:rsid w:val="007A33F0"/>
    <w:rsid w:val="007A3450"/>
    <w:rsid w:val="007A3493"/>
    <w:rsid w:val="007A34E7"/>
    <w:rsid w:val="007A3565"/>
    <w:rsid w:val="007A35B9"/>
    <w:rsid w:val="007A35F2"/>
    <w:rsid w:val="007A3611"/>
    <w:rsid w:val="007A3618"/>
    <w:rsid w:val="007A3703"/>
    <w:rsid w:val="007A370A"/>
    <w:rsid w:val="007A375D"/>
    <w:rsid w:val="007A376E"/>
    <w:rsid w:val="007A3864"/>
    <w:rsid w:val="007A3890"/>
    <w:rsid w:val="007A3895"/>
    <w:rsid w:val="007A394C"/>
    <w:rsid w:val="007A3954"/>
    <w:rsid w:val="007A3984"/>
    <w:rsid w:val="007A3A04"/>
    <w:rsid w:val="007A3B07"/>
    <w:rsid w:val="007A3B28"/>
    <w:rsid w:val="007A3BDF"/>
    <w:rsid w:val="007A3C43"/>
    <w:rsid w:val="007A3C5B"/>
    <w:rsid w:val="007A3C99"/>
    <w:rsid w:val="007A3CBC"/>
    <w:rsid w:val="007A3E07"/>
    <w:rsid w:val="007A3E1E"/>
    <w:rsid w:val="007A3E2F"/>
    <w:rsid w:val="007A3E4D"/>
    <w:rsid w:val="007A3E4E"/>
    <w:rsid w:val="007A3EA7"/>
    <w:rsid w:val="007A3F7A"/>
    <w:rsid w:val="007A3FA9"/>
    <w:rsid w:val="007A4029"/>
    <w:rsid w:val="007A40B7"/>
    <w:rsid w:val="007A411A"/>
    <w:rsid w:val="007A4199"/>
    <w:rsid w:val="007A4240"/>
    <w:rsid w:val="007A42E2"/>
    <w:rsid w:val="007A42EE"/>
    <w:rsid w:val="007A4301"/>
    <w:rsid w:val="007A432D"/>
    <w:rsid w:val="007A438B"/>
    <w:rsid w:val="007A4414"/>
    <w:rsid w:val="007A4472"/>
    <w:rsid w:val="007A45A1"/>
    <w:rsid w:val="007A45ED"/>
    <w:rsid w:val="007A4668"/>
    <w:rsid w:val="007A47E8"/>
    <w:rsid w:val="007A486F"/>
    <w:rsid w:val="007A488A"/>
    <w:rsid w:val="007A48D1"/>
    <w:rsid w:val="007A49A3"/>
    <w:rsid w:val="007A49DB"/>
    <w:rsid w:val="007A4A21"/>
    <w:rsid w:val="007A4A48"/>
    <w:rsid w:val="007A4A51"/>
    <w:rsid w:val="007A4A5A"/>
    <w:rsid w:val="007A4B6E"/>
    <w:rsid w:val="007A4BA2"/>
    <w:rsid w:val="007A4BDD"/>
    <w:rsid w:val="007A4C26"/>
    <w:rsid w:val="007A4C7A"/>
    <w:rsid w:val="007A4C9A"/>
    <w:rsid w:val="007A4DD2"/>
    <w:rsid w:val="007A4DE2"/>
    <w:rsid w:val="007A4F19"/>
    <w:rsid w:val="007A4F47"/>
    <w:rsid w:val="007A4F5B"/>
    <w:rsid w:val="007A4FD1"/>
    <w:rsid w:val="007A5014"/>
    <w:rsid w:val="007A5040"/>
    <w:rsid w:val="007A5070"/>
    <w:rsid w:val="007A5074"/>
    <w:rsid w:val="007A50EF"/>
    <w:rsid w:val="007A5131"/>
    <w:rsid w:val="007A5139"/>
    <w:rsid w:val="007A51D5"/>
    <w:rsid w:val="007A52EE"/>
    <w:rsid w:val="007A52F7"/>
    <w:rsid w:val="007A5331"/>
    <w:rsid w:val="007A5334"/>
    <w:rsid w:val="007A5381"/>
    <w:rsid w:val="007A5417"/>
    <w:rsid w:val="007A541D"/>
    <w:rsid w:val="007A5445"/>
    <w:rsid w:val="007A54E6"/>
    <w:rsid w:val="007A54F4"/>
    <w:rsid w:val="007A554E"/>
    <w:rsid w:val="007A5550"/>
    <w:rsid w:val="007A5583"/>
    <w:rsid w:val="007A55DD"/>
    <w:rsid w:val="007A55EB"/>
    <w:rsid w:val="007A55EF"/>
    <w:rsid w:val="007A567F"/>
    <w:rsid w:val="007A56E5"/>
    <w:rsid w:val="007A56E7"/>
    <w:rsid w:val="007A5735"/>
    <w:rsid w:val="007A587F"/>
    <w:rsid w:val="007A594B"/>
    <w:rsid w:val="007A597B"/>
    <w:rsid w:val="007A59D6"/>
    <w:rsid w:val="007A5A28"/>
    <w:rsid w:val="007A5ABD"/>
    <w:rsid w:val="007A5AF5"/>
    <w:rsid w:val="007A5B44"/>
    <w:rsid w:val="007A5B90"/>
    <w:rsid w:val="007A5B9E"/>
    <w:rsid w:val="007A5C5C"/>
    <w:rsid w:val="007A5C79"/>
    <w:rsid w:val="007A5CF0"/>
    <w:rsid w:val="007A5D0D"/>
    <w:rsid w:val="007A5D79"/>
    <w:rsid w:val="007A5D86"/>
    <w:rsid w:val="007A5D99"/>
    <w:rsid w:val="007A5DAE"/>
    <w:rsid w:val="007A5E5E"/>
    <w:rsid w:val="007A5E97"/>
    <w:rsid w:val="007A5F4F"/>
    <w:rsid w:val="007A5F6C"/>
    <w:rsid w:val="007A5FBE"/>
    <w:rsid w:val="007A5FDC"/>
    <w:rsid w:val="007A6082"/>
    <w:rsid w:val="007A60DA"/>
    <w:rsid w:val="007A6104"/>
    <w:rsid w:val="007A61E6"/>
    <w:rsid w:val="007A61FB"/>
    <w:rsid w:val="007A6253"/>
    <w:rsid w:val="007A625C"/>
    <w:rsid w:val="007A6292"/>
    <w:rsid w:val="007A6296"/>
    <w:rsid w:val="007A62AE"/>
    <w:rsid w:val="007A62EE"/>
    <w:rsid w:val="007A632B"/>
    <w:rsid w:val="007A6393"/>
    <w:rsid w:val="007A6420"/>
    <w:rsid w:val="007A6425"/>
    <w:rsid w:val="007A6443"/>
    <w:rsid w:val="007A64FD"/>
    <w:rsid w:val="007A6513"/>
    <w:rsid w:val="007A65F6"/>
    <w:rsid w:val="007A6647"/>
    <w:rsid w:val="007A6649"/>
    <w:rsid w:val="007A670B"/>
    <w:rsid w:val="007A6749"/>
    <w:rsid w:val="007A67AF"/>
    <w:rsid w:val="007A67E6"/>
    <w:rsid w:val="007A6816"/>
    <w:rsid w:val="007A6824"/>
    <w:rsid w:val="007A689C"/>
    <w:rsid w:val="007A6981"/>
    <w:rsid w:val="007A6992"/>
    <w:rsid w:val="007A6998"/>
    <w:rsid w:val="007A69BA"/>
    <w:rsid w:val="007A6A00"/>
    <w:rsid w:val="007A6A6B"/>
    <w:rsid w:val="007A6A6E"/>
    <w:rsid w:val="007A6ADC"/>
    <w:rsid w:val="007A6B24"/>
    <w:rsid w:val="007A6C19"/>
    <w:rsid w:val="007A6C42"/>
    <w:rsid w:val="007A6D0F"/>
    <w:rsid w:val="007A6D29"/>
    <w:rsid w:val="007A6D3A"/>
    <w:rsid w:val="007A6D96"/>
    <w:rsid w:val="007A6E11"/>
    <w:rsid w:val="007A6E57"/>
    <w:rsid w:val="007A6E5F"/>
    <w:rsid w:val="007A6F09"/>
    <w:rsid w:val="007A6F13"/>
    <w:rsid w:val="007A6F5E"/>
    <w:rsid w:val="007A6FA4"/>
    <w:rsid w:val="007A6FAD"/>
    <w:rsid w:val="007A6FD5"/>
    <w:rsid w:val="007A7197"/>
    <w:rsid w:val="007A7252"/>
    <w:rsid w:val="007A727C"/>
    <w:rsid w:val="007A72AA"/>
    <w:rsid w:val="007A72DF"/>
    <w:rsid w:val="007A7426"/>
    <w:rsid w:val="007A743E"/>
    <w:rsid w:val="007A74D0"/>
    <w:rsid w:val="007A74F9"/>
    <w:rsid w:val="007A758D"/>
    <w:rsid w:val="007A75D1"/>
    <w:rsid w:val="007A760A"/>
    <w:rsid w:val="007A7731"/>
    <w:rsid w:val="007A77BB"/>
    <w:rsid w:val="007A78AC"/>
    <w:rsid w:val="007A78C3"/>
    <w:rsid w:val="007A79F8"/>
    <w:rsid w:val="007A7A43"/>
    <w:rsid w:val="007A7A4B"/>
    <w:rsid w:val="007A7A63"/>
    <w:rsid w:val="007A7A69"/>
    <w:rsid w:val="007A7AD2"/>
    <w:rsid w:val="007A7AD6"/>
    <w:rsid w:val="007A7BC1"/>
    <w:rsid w:val="007A7BDE"/>
    <w:rsid w:val="007A7CE3"/>
    <w:rsid w:val="007A7D47"/>
    <w:rsid w:val="007A7EC0"/>
    <w:rsid w:val="007A7EF3"/>
    <w:rsid w:val="007A7F2F"/>
    <w:rsid w:val="007A7FAC"/>
    <w:rsid w:val="007B0082"/>
    <w:rsid w:val="007B00FF"/>
    <w:rsid w:val="007B020A"/>
    <w:rsid w:val="007B02DF"/>
    <w:rsid w:val="007B03AA"/>
    <w:rsid w:val="007B042C"/>
    <w:rsid w:val="007B04D4"/>
    <w:rsid w:val="007B0514"/>
    <w:rsid w:val="007B0541"/>
    <w:rsid w:val="007B0542"/>
    <w:rsid w:val="007B054B"/>
    <w:rsid w:val="007B05F8"/>
    <w:rsid w:val="007B05F9"/>
    <w:rsid w:val="007B06DD"/>
    <w:rsid w:val="007B0806"/>
    <w:rsid w:val="007B081B"/>
    <w:rsid w:val="007B0887"/>
    <w:rsid w:val="007B08E0"/>
    <w:rsid w:val="007B0A05"/>
    <w:rsid w:val="007B0A18"/>
    <w:rsid w:val="007B0B9B"/>
    <w:rsid w:val="007B0BCA"/>
    <w:rsid w:val="007B0BDD"/>
    <w:rsid w:val="007B0C35"/>
    <w:rsid w:val="007B0CC2"/>
    <w:rsid w:val="007B0D64"/>
    <w:rsid w:val="007B0D93"/>
    <w:rsid w:val="007B0DA4"/>
    <w:rsid w:val="007B0DE9"/>
    <w:rsid w:val="007B0E14"/>
    <w:rsid w:val="007B0E90"/>
    <w:rsid w:val="007B0EC5"/>
    <w:rsid w:val="007B0FA3"/>
    <w:rsid w:val="007B1001"/>
    <w:rsid w:val="007B1019"/>
    <w:rsid w:val="007B103C"/>
    <w:rsid w:val="007B104F"/>
    <w:rsid w:val="007B107B"/>
    <w:rsid w:val="007B11DF"/>
    <w:rsid w:val="007B1255"/>
    <w:rsid w:val="007B1320"/>
    <w:rsid w:val="007B133D"/>
    <w:rsid w:val="007B1382"/>
    <w:rsid w:val="007B13AB"/>
    <w:rsid w:val="007B13B8"/>
    <w:rsid w:val="007B1439"/>
    <w:rsid w:val="007B1450"/>
    <w:rsid w:val="007B14BB"/>
    <w:rsid w:val="007B1550"/>
    <w:rsid w:val="007B1686"/>
    <w:rsid w:val="007B1822"/>
    <w:rsid w:val="007B18EA"/>
    <w:rsid w:val="007B1AD2"/>
    <w:rsid w:val="007B1B55"/>
    <w:rsid w:val="007B1B7D"/>
    <w:rsid w:val="007B1BA5"/>
    <w:rsid w:val="007B1C2C"/>
    <w:rsid w:val="007B1CA8"/>
    <w:rsid w:val="007B1CDB"/>
    <w:rsid w:val="007B1D92"/>
    <w:rsid w:val="007B1D95"/>
    <w:rsid w:val="007B1E5D"/>
    <w:rsid w:val="007B1EB3"/>
    <w:rsid w:val="007B1EB8"/>
    <w:rsid w:val="007B1F22"/>
    <w:rsid w:val="007B1F61"/>
    <w:rsid w:val="007B1FEB"/>
    <w:rsid w:val="007B1FF8"/>
    <w:rsid w:val="007B2004"/>
    <w:rsid w:val="007B202B"/>
    <w:rsid w:val="007B2030"/>
    <w:rsid w:val="007B209E"/>
    <w:rsid w:val="007B20BE"/>
    <w:rsid w:val="007B2150"/>
    <w:rsid w:val="007B2160"/>
    <w:rsid w:val="007B2173"/>
    <w:rsid w:val="007B21C2"/>
    <w:rsid w:val="007B2239"/>
    <w:rsid w:val="007B223A"/>
    <w:rsid w:val="007B225A"/>
    <w:rsid w:val="007B237B"/>
    <w:rsid w:val="007B238F"/>
    <w:rsid w:val="007B23E2"/>
    <w:rsid w:val="007B23F3"/>
    <w:rsid w:val="007B23FF"/>
    <w:rsid w:val="007B240A"/>
    <w:rsid w:val="007B2430"/>
    <w:rsid w:val="007B2434"/>
    <w:rsid w:val="007B244D"/>
    <w:rsid w:val="007B24D4"/>
    <w:rsid w:val="007B24F1"/>
    <w:rsid w:val="007B2530"/>
    <w:rsid w:val="007B25B4"/>
    <w:rsid w:val="007B25CE"/>
    <w:rsid w:val="007B25F7"/>
    <w:rsid w:val="007B2619"/>
    <w:rsid w:val="007B261A"/>
    <w:rsid w:val="007B266E"/>
    <w:rsid w:val="007B27BC"/>
    <w:rsid w:val="007B27F6"/>
    <w:rsid w:val="007B284B"/>
    <w:rsid w:val="007B2872"/>
    <w:rsid w:val="007B287C"/>
    <w:rsid w:val="007B29BD"/>
    <w:rsid w:val="007B29C3"/>
    <w:rsid w:val="007B2A2B"/>
    <w:rsid w:val="007B2A56"/>
    <w:rsid w:val="007B2A5C"/>
    <w:rsid w:val="007B2A6F"/>
    <w:rsid w:val="007B2B52"/>
    <w:rsid w:val="007B2B62"/>
    <w:rsid w:val="007B2BCA"/>
    <w:rsid w:val="007B2BDE"/>
    <w:rsid w:val="007B2C9C"/>
    <w:rsid w:val="007B2CAB"/>
    <w:rsid w:val="007B2CBA"/>
    <w:rsid w:val="007B2D06"/>
    <w:rsid w:val="007B2D23"/>
    <w:rsid w:val="007B2E35"/>
    <w:rsid w:val="007B2EA0"/>
    <w:rsid w:val="007B2F5B"/>
    <w:rsid w:val="007B2F9E"/>
    <w:rsid w:val="007B2FB8"/>
    <w:rsid w:val="007B3015"/>
    <w:rsid w:val="007B303A"/>
    <w:rsid w:val="007B303E"/>
    <w:rsid w:val="007B3094"/>
    <w:rsid w:val="007B30FF"/>
    <w:rsid w:val="007B3172"/>
    <w:rsid w:val="007B3195"/>
    <w:rsid w:val="007B31EC"/>
    <w:rsid w:val="007B324A"/>
    <w:rsid w:val="007B3305"/>
    <w:rsid w:val="007B3316"/>
    <w:rsid w:val="007B336A"/>
    <w:rsid w:val="007B3429"/>
    <w:rsid w:val="007B3473"/>
    <w:rsid w:val="007B34B6"/>
    <w:rsid w:val="007B3505"/>
    <w:rsid w:val="007B3540"/>
    <w:rsid w:val="007B3547"/>
    <w:rsid w:val="007B356A"/>
    <w:rsid w:val="007B3573"/>
    <w:rsid w:val="007B368C"/>
    <w:rsid w:val="007B36F9"/>
    <w:rsid w:val="007B370D"/>
    <w:rsid w:val="007B3712"/>
    <w:rsid w:val="007B37AA"/>
    <w:rsid w:val="007B37D2"/>
    <w:rsid w:val="007B3872"/>
    <w:rsid w:val="007B389A"/>
    <w:rsid w:val="007B38E6"/>
    <w:rsid w:val="007B3A68"/>
    <w:rsid w:val="007B3AC5"/>
    <w:rsid w:val="007B3ADC"/>
    <w:rsid w:val="007B3AE5"/>
    <w:rsid w:val="007B3B3E"/>
    <w:rsid w:val="007B3C1A"/>
    <w:rsid w:val="007B3CD1"/>
    <w:rsid w:val="007B3EF0"/>
    <w:rsid w:val="007B3F38"/>
    <w:rsid w:val="007B3F79"/>
    <w:rsid w:val="007B3FF4"/>
    <w:rsid w:val="007B4127"/>
    <w:rsid w:val="007B4172"/>
    <w:rsid w:val="007B4369"/>
    <w:rsid w:val="007B437C"/>
    <w:rsid w:val="007B43B7"/>
    <w:rsid w:val="007B445F"/>
    <w:rsid w:val="007B44BF"/>
    <w:rsid w:val="007B4547"/>
    <w:rsid w:val="007B45A8"/>
    <w:rsid w:val="007B45D0"/>
    <w:rsid w:val="007B4676"/>
    <w:rsid w:val="007B4677"/>
    <w:rsid w:val="007B4682"/>
    <w:rsid w:val="007B46DE"/>
    <w:rsid w:val="007B46F0"/>
    <w:rsid w:val="007B4779"/>
    <w:rsid w:val="007B48D3"/>
    <w:rsid w:val="007B48FE"/>
    <w:rsid w:val="007B4929"/>
    <w:rsid w:val="007B492B"/>
    <w:rsid w:val="007B4A69"/>
    <w:rsid w:val="007B4B03"/>
    <w:rsid w:val="007B4B9B"/>
    <w:rsid w:val="007B4BE2"/>
    <w:rsid w:val="007B4DF1"/>
    <w:rsid w:val="007B4E77"/>
    <w:rsid w:val="007B4EBC"/>
    <w:rsid w:val="007B4FD1"/>
    <w:rsid w:val="007B4FE7"/>
    <w:rsid w:val="007B50D3"/>
    <w:rsid w:val="007B5144"/>
    <w:rsid w:val="007B515D"/>
    <w:rsid w:val="007B519E"/>
    <w:rsid w:val="007B51AD"/>
    <w:rsid w:val="007B51E4"/>
    <w:rsid w:val="007B52BE"/>
    <w:rsid w:val="007B52CD"/>
    <w:rsid w:val="007B52D0"/>
    <w:rsid w:val="007B52EA"/>
    <w:rsid w:val="007B52FF"/>
    <w:rsid w:val="007B533B"/>
    <w:rsid w:val="007B53EC"/>
    <w:rsid w:val="007B5428"/>
    <w:rsid w:val="007B542B"/>
    <w:rsid w:val="007B543F"/>
    <w:rsid w:val="007B5454"/>
    <w:rsid w:val="007B5479"/>
    <w:rsid w:val="007B54C9"/>
    <w:rsid w:val="007B555F"/>
    <w:rsid w:val="007B5582"/>
    <w:rsid w:val="007B569D"/>
    <w:rsid w:val="007B56AF"/>
    <w:rsid w:val="007B577D"/>
    <w:rsid w:val="007B5818"/>
    <w:rsid w:val="007B581A"/>
    <w:rsid w:val="007B588A"/>
    <w:rsid w:val="007B5993"/>
    <w:rsid w:val="007B5A6B"/>
    <w:rsid w:val="007B5AAE"/>
    <w:rsid w:val="007B5ADC"/>
    <w:rsid w:val="007B5B0F"/>
    <w:rsid w:val="007B5B88"/>
    <w:rsid w:val="007B5B8D"/>
    <w:rsid w:val="007B5C3B"/>
    <w:rsid w:val="007B5C60"/>
    <w:rsid w:val="007B5E01"/>
    <w:rsid w:val="007B5E15"/>
    <w:rsid w:val="007B5E19"/>
    <w:rsid w:val="007B5E4B"/>
    <w:rsid w:val="007B5E9D"/>
    <w:rsid w:val="007B5F05"/>
    <w:rsid w:val="007B5F12"/>
    <w:rsid w:val="007B5F29"/>
    <w:rsid w:val="007B5F36"/>
    <w:rsid w:val="007B5F61"/>
    <w:rsid w:val="007B5F91"/>
    <w:rsid w:val="007B5FA0"/>
    <w:rsid w:val="007B5FEB"/>
    <w:rsid w:val="007B601F"/>
    <w:rsid w:val="007B606B"/>
    <w:rsid w:val="007B6080"/>
    <w:rsid w:val="007B6133"/>
    <w:rsid w:val="007B617F"/>
    <w:rsid w:val="007B6195"/>
    <w:rsid w:val="007B6214"/>
    <w:rsid w:val="007B6227"/>
    <w:rsid w:val="007B6255"/>
    <w:rsid w:val="007B62B4"/>
    <w:rsid w:val="007B62D8"/>
    <w:rsid w:val="007B62E6"/>
    <w:rsid w:val="007B62E8"/>
    <w:rsid w:val="007B6330"/>
    <w:rsid w:val="007B6366"/>
    <w:rsid w:val="007B63EB"/>
    <w:rsid w:val="007B6427"/>
    <w:rsid w:val="007B644A"/>
    <w:rsid w:val="007B64B3"/>
    <w:rsid w:val="007B64C6"/>
    <w:rsid w:val="007B6514"/>
    <w:rsid w:val="007B6522"/>
    <w:rsid w:val="007B6604"/>
    <w:rsid w:val="007B6644"/>
    <w:rsid w:val="007B6647"/>
    <w:rsid w:val="007B6657"/>
    <w:rsid w:val="007B6691"/>
    <w:rsid w:val="007B6706"/>
    <w:rsid w:val="007B670F"/>
    <w:rsid w:val="007B6830"/>
    <w:rsid w:val="007B6889"/>
    <w:rsid w:val="007B6927"/>
    <w:rsid w:val="007B69D4"/>
    <w:rsid w:val="007B6AD6"/>
    <w:rsid w:val="007B6B21"/>
    <w:rsid w:val="007B6B83"/>
    <w:rsid w:val="007B6D8C"/>
    <w:rsid w:val="007B6DB4"/>
    <w:rsid w:val="007B6E62"/>
    <w:rsid w:val="007B6E6F"/>
    <w:rsid w:val="007B6ED7"/>
    <w:rsid w:val="007B6FB8"/>
    <w:rsid w:val="007B6FD0"/>
    <w:rsid w:val="007B6FEC"/>
    <w:rsid w:val="007B7076"/>
    <w:rsid w:val="007B71EF"/>
    <w:rsid w:val="007B71FC"/>
    <w:rsid w:val="007B7280"/>
    <w:rsid w:val="007B7281"/>
    <w:rsid w:val="007B73C0"/>
    <w:rsid w:val="007B73F7"/>
    <w:rsid w:val="007B73FE"/>
    <w:rsid w:val="007B7450"/>
    <w:rsid w:val="007B7457"/>
    <w:rsid w:val="007B74D2"/>
    <w:rsid w:val="007B74F1"/>
    <w:rsid w:val="007B75A0"/>
    <w:rsid w:val="007B7647"/>
    <w:rsid w:val="007B76D5"/>
    <w:rsid w:val="007B7726"/>
    <w:rsid w:val="007B77EA"/>
    <w:rsid w:val="007B77F0"/>
    <w:rsid w:val="007B7818"/>
    <w:rsid w:val="007B781E"/>
    <w:rsid w:val="007B78FD"/>
    <w:rsid w:val="007B7921"/>
    <w:rsid w:val="007B7992"/>
    <w:rsid w:val="007B7997"/>
    <w:rsid w:val="007B79BD"/>
    <w:rsid w:val="007B79C5"/>
    <w:rsid w:val="007B79D5"/>
    <w:rsid w:val="007B7A1C"/>
    <w:rsid w:val="007B7A2D"/>
    <w:rsid w:val="007B7A42"/>
    <w:rsid w:val="007B7AC3"/>
    <w:rsid w:val="007B7AF8"/>
    <w:rsid w:val="007B7B9D"/>
    <w:rsid w:val="007B7C3A"/>
    <w:rsid w:val="007B7C73"/>
    <w:rsid w:val="007B7CC8"/>
    <w:rsid w:val="007B7E05"/>
    <w:rsid w:val="007B7E63"/>
    <w:rsid w:val="007B7E87"/>
    <w:rsid w:val="007B7EDD"/>
    <w:rsid w:val="007C0031"/>
    <w:rsid w:val="007C00AD"/>
    <w:rsid w:val="007C016B"/>
    <w:rsid w:val="007C024C"/>
    <w:rsid w:val="007C0260"/>
    <w:rsid w:val="007C0312"/>
    <w:rsid w:val="007C0373"/>
    <w:rsid w:val="007C03B9"/>
    <w:rsid w:val="007C03EE"/>
    <w:rsid w:val="007C045D"/>
    <w:rsid w:val="007C0477"/>
    <w:rsid w:val="007C0490"/>
    <w:rsid w:val="007C0532"/>
    <w:rsid w:val="007C06A4"/>
    <w:rsid w:val="007C06CF"/>
    <w:rsid w:val="007C0702"/>
    <w:rsid w:val="007C071B"/>
    <w:rsid w:val="007C0746"/>
    <w:rsid w:val="007C0858"/>
    <w:rsid w:val="007C085D"/>
    <w:rsid w:val="007C08D6"/>
    <w:rsid w:val="007C0979"/>
    <w:rsid w:val="007C0992"/>
    <w:rsid w:val="007C099D"/>
    <w:rsid w:val="007C0A44"/>
    <w:rsid w:val="007C0A5F"/>
    <w:rsid w:val="007C0A87"/>
    <w:rsid w:val="007C0AAF"/>
    <w:rsid w:val="007C0AB4"/>
    <w:rsid w:val="007C0B6B"/>
    <w:rsid w:val="007C0BC7"/>
    <w:rsid w:val="007C0C3E"/>
    <w:rsid w:val="007C0D0B"/>
    <w:rsid w:val="007C0D78"/>
    <w:rsid w:val="007C0DC9"/>
    <w:rsid w:val="007C0DE7"/>
    <w:rsid w:val="007C0E3C"/>
    <w:rsid w:val="007C0E91"/>
    <w:rsid w:val="007C0EC0"/>
    <w:rsid w:val="007C0F7D"/>
    <w:rsid w:val="007C0FD5"/>
    <w:rsid w:val="007C0FF2"/>
    <w:rsid w:val="007C1029"/>
    <w:rsid w:val="007C106E"/>
    <w:rsid w:val="007C1175"/>
    <w:rsid w:val="007C11B8"/>
    <w:rsid w:val="007C11F1"/>
    <w:rsid w:val="007C126C"/>
    <w:rsid w:val="007C13CB"/>
    <w:rsid w:val="007C1486"/>
    <w:rsid w:val="007C1497"/>
    <w:rsid w:val="007C14A1"/>
    <w:rsid w:val="007C1516"/>
    <w:rsid w:val="007C1537"/>
    <w:rsid w:val="007C1554"/>
    <w:rsid w:val="007C1564"/>
    <w:rsid w:val="007C1577"/>
    <w:rsid w:val="007C15B7"/>
    <w:rsid w:val="007C15D9"/>
    <w:rsid w:val="007C1614"/>
    <w:rsid w:val="007C16D7"/>
    <w:rsid w:val="007C174D"/>
    <w:rsid w:val="007C1791"/>
    <w:rsid w:val="007C1861"/>
    <w:rsid w:val="007C187F"/>
    <w:rsid w:val="007C18C5"/>
    <w:rsid w:val="007C18ED"/>
    <w:rsid w:val="007C1929"/>
    <w:rsid w:val="007C192E"/>
    <w:rsid w:val="007C19A4"/>
    <w:rsid w:val="007C19B8"/>
    <w:rsid w:val="007C19FC"/>
    <w:rsid w:val="007C1B9D"/>
    <w:rsid w:val="007C1BEC"/>
    <w:rsid w:val="007C1C42"/>
    <w:rsid w:val="007C1EA7"/>
    <w:rsid w:val="007C1EA9"/>
    <w:rsid w:val="007C1EBC"/>
    <w:rsid w:val="007C1F8D"/>
    <w:rsid w:val="007C1F93"/>
    <w:rsid w:val="007C1FB8"/>
    <w:rsid w:val="007C1FCE"/>
    <w:rsid w:val="007C1FE2"/>
    <w:rsid w:val="007C1FE8"/>
    <w:rsid w:val="007C2054"/>
    <w:rsid w:val="007C205D"/>
    <w:rsid w:val="007C2063"/>
    <w:rsid w:val="007C20DC"/>
    <w:rsid w:val="007C2163"/>
    <w:rsid w:val="007C217A"/>
    <w:rsid w:val="007C21A8"/>
    <w:rsid w:val="007C21CB"/>
    <w:rsid w:val="007C226D"/>
    <w:rsid w:val="007C22F2"/>
    <w:rsid w:val="007C22F3"/>
    <w:rsid w:val="007C2319"/>
    <w:rsid w:val="007C23BA"/>
    <w:rsid w:val="007C2405"/>
    <w:rsid w:val="007C240D"/>
    <w:rsid w:val="007C24C0"/>
    <w:rsid w:val="007C24D5"/>
    <w:rsid w:val="007C2544"/>
    <w:rsid w:val="007C25B2"/>
    <w:rsid w:val="007C25B5"/>
    <w:rsid w:val="007C25DA"/>
    <w:rsid w:val="007C26EA"/>
    <w:rsid w:val="007C26F8"/>
    <w:rsid w:val="007C27BD"/>
    <w:rsid w:val="007C27FF"/>
    <w:rsid w:val="007C2831"/>
    <w:rsid w:val="007C286B"/>
    <w:rsid w:val="007C28B8"/>
    <w:rsid w:val="007C28C4"/>
    <w:rsid w:val="007C28FD"/>
    <w:rsid w:val="007C293F"/>
    <w:rsid w:val="007C295E"/>
    <w:rsid w:val="007C29B9"/>
    <w:rsid w:val="007C2A09"/>
    <w:rsid w:val="007C2B67"/>
    <w:rsid w:val="007C2C82"/>
    <w:rsid w:val="007C2CAA"/>
    <w:rsid w:val="007C2CC6"/>
    <w:rsid w:val="007C2CD0"/>
    <w:rsid w:val="007C2D2F"/>
    <w:rsid w:val="007C2D7F"/>
    <w:rsid w:val="007C2DE4"/>
    <w:rsid w:val="007C2DF3"/>
    <w:rsid w:val="007C2E11"/>
    <w:rsid w:val="007C2E5E"/>
    <w:rsid w:val="007C2E83"/>
    <w:rsid w:val="007C2EBC"/>
    <w:rsid w:val="007C2ECE"/>
    <w:rsid w:val="007C2EF6"/>
    <w:rsid w:val="007C2F00"/>
    <w:rsid w:val="007C2F7A"/>
    <w:rsid w:val="007C2F7D"/>
    <w:rsid w:val="007C2FBC"/>
    <w:rsid w:val="007C3014"/>
    <w:rsid w:val="007C3018"/>
    <w:rsid w:val="007C3043"/>
    <w:rsid w:val="007C308F"/>
    <w:rsid w:val="007C309A"/>
    <w:rsid w:val="007C3110"/>
    <w:rsid w:val="007C3177"/>
    <w:rsid w:val="007C3276"/>
    <w:rsid w:val="007C32BF"/>
    <w:rsid w:val="007C32FD"/>
    <w:rsid w:val="007C332F"/>
    <w:rsid w:val="007C333B"/>
    <w:rsid w:val="007C333D"/>
    <w:rsid w:val="007C335A"/>
    <w:rsid w:val="007C33D4"/>
    <w:rsid w:val="007C33D9"/>
    <w:rsid w:val="007C33E0"/>
    <w:rsid w:val="007C3459"/>
    <w:rsid w:val="007C34FE"/>
    <w:rsid w:val="007C3530"/>
    <w:rsid w:val="007C3536"/>
    <w:rsid w:val="007C359E"/>
    <w:rsid w:val="007C35B3"/>
    <w:rsid w:val="007C3608"/>
    <w:rsid w:val="007C3736"/>
    <w:rsid w:val="007C3742"/>
    <w:rsid w:val="007C37DC"/>
    <w:rsid w:val="007C3800"/>
    <w:rsid w:val="007C3842"/>
    <w:rsid w:val="007C3897"/>
    <w:rsid w:val="007C38A3"/>
    <w:rsid w:val="007C38A6"/>
    <w:rsid w:val="007C38DD"/>
    <w:rsid w:val="007C38E7"/>
    <w:rsid w:val="007C3953"/>
    <w:rsid w:val="007C3978"/>
    <w:rsid w:val="007C3985"/>
    <w:rsid w:val="007C398A"/>
    <w:rsid w:val="007C398D"/>
    <w:rsid w:val="007C399C"/>
    <w:rsid w:val="007C39DD"/>
    <w:rsid w:val="007C3A50"/>
    <w:rsid w:val="007C3A89"/>
    <w:rsid w:val="007C3AE2"/>
    <w:rsid w:val="007C3AFD"/>
    <w:rsid w:val="007C3B0E"/>
    <w:rsid w:val="007C3B16"/>
    <w:rsid w:val="007C3BAB"/>
    <w:rsid w:val="007C3C18"/>
    <w:rsid w:val="007C3C91"/>
    <w:rsid w:val="007C3CAF"/>
    <w:rsid w:val="007C3D61"/>
    <w:rsid w:val="007C3DC3"/>
    <w:rsid w:val="007C3DC7"/>
    <w:rsid w:val="007C3E6A"/>
    <w:rsid w:val="007C3EBB"/>
    <w:rsid w:val="007C3F9B"/>
    <w:rsid w:val="007C3FA4"/>
    <w:rsid w:val="007C4023"/>
    <w:rsid w:val="007C4045"/>
    <w:rsid w:val="007C407C"/>
    <w:rsid w:val="007C40D5"/>
    <w:rsid w:val="007C40EA"/>
    <w:rsid w:val="007C4112"/>
    <w:rsid w:val="007C411E"/>
    <w:rsid w:val="007C417F"/>
    <w:rsid w:val="007C4183"/>
    <w:rsid w:val="007C4218"/>
    <w:rsid w:val="007C4237"/>
    <w:rsid w:val="007C4255"/>
    <w:rsid w:val="007C4286"/>
    <w:rsid w:val="007C429C"/>
    <w:rsid w:val="007C42FA"/>
    <w:rsid w:val="007C437E"/>
    <w:rsid w:val="007C43D0"/>
    <w:rsid w:val="007C43FC"/>
    <w:rsid w:val="007C4473"/>
    <w:rsid w:val="007C44DC"/>
    <w:rsid w:val="007C44F2"/>
    <w:rsid w:val="007C44FE"/>
    <w:rsid w:val="007C4501"/>
    <w:rsid w:val="007C4565"/>
    <w:rsid w:val="007C45A9"/>
    <w:rsid w:val="007C45E8"/>
    <w:rsid w:val="007C460A"/>
    <w:rsid w:val="007C4695"/>
    <w:rsid w:val="007C46A1"/>
    <w:rsid w:val="007C4761"/>
    <w:rsid w:val="007C4790"/>
    <w:rsid w:val="007C47AB"/>
    <w:rsid w:val="007C47B4"/>
    <w:rsid w:val="007C47C0"/>
    <w:rsid w:val="007C47CD"/>
    <w:rsid w:val="007C495F"/>
    <w:rsid w:val="007C4A42"/>
    <w:rsid w:val="007C4B4F"/>
    <w:rsid w:val="007C4BB3"/>
    <w:rsid w:val="007C4C45"/>
    <w:rsid w:val="007C4C98"/>
    <w:rsid w:val="007C4CBE"/>
    <w:rsid w:val="007C4CC3"/>
    <w:rsid w:val="007C4CF6"/>
    <w:rsid w:val="007C4D2B"/>
    <w:rsid w:val="007C4DAC"/>
    <w:rsid w:val="007C4DBB"/>
    <w:rsid w:val="007C4DCE"/>
    <w:rsid w:val="007C4DD7"/>
    <w:rsid w:val="007C4DE8"/>
    <w:rsid w:val="007C4DFA"/>
    <w:rsid w:val="007C4E10"/>
    <w:rsid w:val="007C4ED2"/>
    <w:rsid w:val="007C4F43"/>
    <w:rsid w:val="007C4F45"/>
    <w:rsid w:val="007C4F90"/>
    <w:rsid w:val="007C4F99"/>
    <w:rsid w:val="007C4FD4"/>
    <w:rsid w:val="007C5033"/>
    <w:rsid w:val="007C5046"/>
    <w:rsid w:val="007C5077"/>
    <w:rsid w:val="007C50B2"/>
    <w:rsid w:val="007C5170"/>
    <w:rsid w:val="007C5176"/>
    <w:rsid w:val="007C52B5"/>
    <w:rsid w:val="007C5319"/>
    <w:rsid w:val="007C53BB"/>
    <w:rsid w:val="007C540B"/>
    <w:rsid w:val="007C5419"/>
    <w:rsid w:val="007C543A"/>
    <w:rsid w:val="007C5442"/>
    <w:rsid w:val="007C547F"/>
    <w:rsid w:val="007C54C5"/>
    <w:rsid w:val="007C54DC"/>
    <w:rsid w:val="007C55A4"/>
    <w:rsid w:val="007C55AB"/>
    <w:rsid w:val="007C55BF"/>
    <w:rsid w:val="007C55C6"/>
    <w:rsid w:val="007C562E"/>
    <w:rsid w:val="007C56DE"/>
    <w:rsid w:val="007C56E8"/>
    <w:rsid w:val="007C56F6"/>
    <w:rsid w:val="007C5746"/>
    <w:rsid w:val="007C576B"/>
    <w:rsid w:val="007C576F"/>
    <w:rsid w:val="007C583A"/>
    <w:rsid w:val="007C588D"/>
    <w:rsid w:val="007C58E8"/>
    <w:rsid w:val="007C5918"/>
    <w:rsid w:val="007C5A26"/>
    <w:rsid w:val="007C5A4F"/>
    <w:rsid w:val="007C5A8B"/>
    <w:rsid w:val="007C5AC1"/>
    <w:rsid w:val="007C5B2E"/>
    <w:rsid w:val="007C5BF9"/>
    <w:rsid w:val="007C5C80"/>
    <w:rsid w:val="007C5E72"/>
    <w:rsid w:val="007C5EBB"/>
    <w:rsid w:val="007C5ED6"/>
    <w:rsid w:val="007C5F09"/>
    <w:rsid w:val="007C5F34"/>
    <w:rsid w:val="007C5FC8"/>
    <w:rsid w:val="007C6018"/>
    <w:rsid w:val="007C6169"/>
    <w:rsid w:val="007C619F"/>
    <w:rsid w:val="007C62C5"/>
    <w:rsid w:val="007C6355"/>
    <w:rsid w:val="007C644C"/>
    <w:rsid w:val="007C644F"/>
    <w:rsid w:val="007C6481"/>
    <w:rsid w:val="007C64DD"/>
    <w:rsid w:val="007C6549"/>
    <w:rsid w:val="007C6584"/>
    <w:rsid w:val="007C65DB"/>
    <w:rsid w:val="007C665E"/>
    <w:rsid w:val="007C6684"/>
    <w:rsid w:val="007C668E"/>
    <w:rsid w:val="007C67C0"/>
    <w:rsid w:val="007C68EC"/>
    <w:rsid w:val="007C691A"/>
    <w:rsid w:val="007C69B7"/>
    <w:rsid w:val="007C69DB"/>
    <w:rsid w:val="007C6A40"/>
    <w:rsid w:val="007C6A6B"/>
    <w:rsid w:val="007C6B28"/>
    <w:rsid w:val="007C6B98"/>
    <w:rsid w:val="007C6BF7"/>
    <w:rsid w:val="007C6C3A"/>
    <w:rsid w:val="007C6CF7"/>
    <w:rsid w:val="007C6D5F"/>
    <w:rsid w:val="007C6D6C"/>
    <w:rsid w:val="007C6D8E"/>
    <w:rsid w:val="007C6D99"/>
    <w:rsid w:val="007C6DCC"/>
    <w:rsid w:val="007C6DFA"/>
    <w:rsid w:val="007C6DFC"/>
    <w:rsid w:val="007C6EB3"/>
    <w:rsid w:val="007C6F4F"/>
    <w:rsid w:val="007C6FD7"/>
    <w:rsid w:val="007C7064"/>
    <w:rsid w:val="007C7087"/>
    <w:rsid w:val="007C71B0"/>
    <w:rsid w:val="007C724F"/>
    <w:rsid w:val="007C72DB"/>
    <w:rsid w:val="007C734D"/>
    <w:rsid w:val="007C7383"/>
    <w:rsid w:val="007C73AA"/>
    <w:rsid w:val="007C73CB"/>
    <w:rsid w:val="007C73D0"/>
    <w:rsid w:val="007C747B"/>
    <w:rsid w:val="007C74AB"/>
    <w:rsid w:val="007C74C5"/>
    <w:rsid w:val="007C756B"/>
    <w:rsid w:val="007C75EE"/>
    <w:rsid w:val="007C7605"/>
    <w:rsid w:val="007C765F"/>
    <w:rsid w:val="007C7680"/>
    <w:rsid w:val="007C76B1"/>
    <w:rsid w:val="007C7798"/>
    <w:rsid w:val="007C77CD"/>
    <w:rsid w:val="007C77E4"/>
    <w:rsid w:val="007C78EE"/>
    <w:rsid w:val="007C7950"/>
    <w:rsid w:val="007C797B"/>
    <w:rsid w:val="007C7A5C"/>
    <w:rsid w:val="007C7A5D"/>
    <w:rsid w:val="007C7B10"/>
    <w:rsid w:val="007C7B50"/>
    <w:rsid w:val="007C7C05"/>
    <w:rsid w:val="007C7C13"/>
    <w:rsid w:val="007C7C98"/>
    <w:rsid w:val="007C7DC1"/>
    <w:rsid w:val="007C7E81"/>
    <w:rsid w:val="007C7ED5"/>
    <w:rsid w:val="007C7EE5"/>
    <w:rsid w:val="007C7FA1"/>
    <w:rsid w:val="007C7FE6"/>
    <w:rsid w:val="007C7FF8"/>
    <w:rsid w:val="007D0151"/>
    <w:rsid w:val="007D0172"/>
    <w:rsid w:val="007D01B8"/>
    <w:rsid w:val="007D021D"/>
    <w:rsid w:val="007D024E"/>
    <w:rsid w:val="007D0250"/>
    <w:rsid w:val="007D0273"/>
    <w:rsid w:val="007D02AE"/>
    <w:rsid w:val="007D02FC"/>
    <w:rsid w:val="007D03E6"/>
    <w:rsid w:val="007D042D"/>
    <w:rsid w:val="007D046E"/>
    <w:rsid w:val="007D0644"/>
    <w:rsid w:val="007D070F"/>
    <w:rsid w:val="007D07E4"/>
    <w:rsid w:val="007D083E"/>
    <w:rsid w:val="007D083F"/>
    <w:rsid w:val="007D089E"/>
    <w:rsid w:val="007D0977"/>
    <w:rsid w:val="007D0985"/>
    <w:rsid w:val="007D0A64"/>
    <w:rsid w:val="007D0B00"/>
    <w:rsid w:val="007D0B52"/>
    <w:rsid w:val="007D0BDC"/>
    <w:rsid w:val="007D0C28"/>
    <w:rsid w:val="007D0C37"/>
    <w:rsid w:val="007D0CB2"/>
    <w:rsid w:val="007D0CF3"/>
    <w:rsid w:val="007D0D6B"/>
    <w:rsid w:val="007D0DBB"/>
    <w:rsid w:val="007D0DEE"/>
    <w:rsid w:val="007D0E8E"/>
    <w:rsid w:val="007D101D"/>
    <w:rsid w:val="007D10D7"/>
    <w:rsid w:val="007D1155"/>
    <w:rsid w:val="007D11FA"/>
    <w:rsid w:val="007D1247"/>
    <w:rsid w:val="007D12A0"/>
    <w:rsid w:val="007D132F"/>
    <w:rsid w:val="007D137C"/>
    <w:rsid w:val="007D138B"/>
    <w:rsid w:val="007D1409"/>
    <w:rsid w:val="007D140A"/>
    <w:rsid w:val="007D1439"/>
    <w:rsid w:val="007D1500"/>
    <w:rsid w:val="007D1534"/>
    <w:rsid w:val="007D156B"/>
    <w:rsid w:val="007D1572"/>
    <w:rsid w:val="007D15C8"/>
    <w:rsid w:val="007D161A"/>
    <w:rsid w:val="007D1680"/>
    <w:rsid w:val="007D1689"/>
    <w:rsid w:val="007D1737"/>
    <w:rsid w:val="007D174D"/>
    <w:rsid w:val="007D1791"/>
    <w:rsid w:val="007D17A8"/>
    <w:rsid w:val="007D1884"/>
    <w:rsid w:val="007D18E1"/>
    <w:rsid w:val="007D18F7"/>
    <w:rsid w:val="007D18FB"/>
    <w:rsid w:val="007D198D"/>
    <w:rsid w:val="007D19D8"/>
    <w:rsid w:val="007D1A0E"/>
    <w:rsid w:val="007D1A2D"/>
    <w:rsid w:val="007D1AF5"/>
    <w:rsid w:val="007D1B10"/>
    <w:rsid w:val="007D1B38"/>
    <w:rsid w:val="007D1B6B"/>
    <w:rsid w:val="007D1C1C"/>
    <w:rsid w:val="007D1C2A"/>
    <w:rsid w:val="007D1CD5"/>
    <w:rsid w:val="007D1D0C"/>
    <w:rsid w:val="007D1DDB"/>
    <w:rsid w:val="007D1DE4"/>
    <w:rsid w:val="007D1E16"/>
    <w:rsid w:val="007D1E3F"/>
    <w:rsid w:val="007D1E51"/>
    <w:rsid w:val="007D1E85"/>
    <w:rsid w:val="007D1FC1"/>
    <w:rsid w:val="007D1FEF"/>
    <w:rsid w:val="007D20C3"/>
    <w:rsid w:val="007D2168"/>
    <w:rsid w:val="007D21B1"/>
    <w:rsid w:val="007D22D2"/>
    <w:rsid w:val="007D22ED"/>
    <w:rsid w:val="007D22FE"/>
    <w:rsid w:val="007D23F7"/>
    <w:rsid w:val="007D23FE"/>
    <w:rsid w:val="007D2439"/>
    <w:rsid w:val="007D2440"/>
    <w:rsid w:val="007D2478"/>
    <w:rsid w:val="007D247E"/>
    <w:rsid w:val="007D2492"/>
    <w:rsid w:val="007D24FE"/>
    <w:rsid w:val="007D25AB"/>
    <w:rsid w:val="007D25DA"/>
    <w:rsid w:val="007D26DA"/>
    <w:rsid w:val="007D2714"/>
    <w:rsid w:val="007D274F"/>
    <w:rsid w:val="007D2774"/>
    <w:rsid w:val="007D287D"/>
    <w:rsid w:val="007D29E4"/>
    <w:rsid w:val="007D29E5"/>
    <w:rsid w:val="007D2A03"/>
    <w:rsid w:val="007D2A18"/>
    <w:rsid w:val="007D2A40"/>
    <w:rsid w:val="007D2A70"/>
    <w:rsid w:val="007D2ABC"/>
    <w:rsid w:val="007D2AD1"/>
    <w:rsid w:val="007D2BBC"/>
    <w:rsid w:val="007D2BC9"/>
    <w:rsid w:val="007D2C6E"/>
    <w:rsid w:val="007D2C88"/>
    <w:rsid w:val="007D2CEB"/>
    <w:rsid w:val="007D2D96"/>
    <w:rsid w:val="007D2DD8"/>
    <w:rsid w:val="007D2DDE"/>
    <w:rsid w:val="007D2DFF"/>
    <w:rsid w:val="007D2E05"/>
    <w:rsid w:val="007D2E49"/>
    <w:rsid w:val="007D2E85"/>
    <w:rsid w:val="007D2EB8"/>
    <w:rsid w:val="007D2ED0"/>
    <w:rsid w:val="007D2EF7"/>
    <w:rsid w:val="007D2EFD"/>
    <w:rsid w:val="007D2F5A"/>
    <w:rsid w:val="007D2FFE"/>
    <w:rsid w:val="007D3086"/>
    <w:rsid w:val="007D3177"/>
    <w:rsid w:val="007D3374"/>
    <w:rsid w:val="007D3400"/>
    <w:rsid w:val="007D3467"/>
    <w:rsid w:val="007D347B"/>
    <w:rsid w:val="007D34B7"/>
    <w:rsid w:val="007D34DD"/>
    <w:rsid w:val="007D356D"/>
    <w:rsid w:val="007D364B"/>
    <w:rsid w:val="007D3743"/>
    <w:rsid w:val="007D3754"/>
    <w:rsid w:val="007D3767"/>
    <w:rsid w:val="007D377E"/>
    <w:rsid w:val="007D37AA"/>
    <w:rsid w:val="007D37F2"/>
    <w:rsid w:val="007D380C"/>
    <w:rsid w:val="007D3827"/>
    <w:rsid w:val="007D3837"/>
    <w:rsid w:val="007D38A0"/>
    <w:rsid w:val="007D3A34"/>
    <w:rsid w:val="007D3B18"/>
    <w:rsid w:val="007D3B2A"/>
    <w:rsid w:val="007D3BEE"/>
    <w:rsid w:val="007D3C2F"/>
    <w:rsid w:val="007D3CF1"/>
    <w:rsid w:val="007D3D73"/>
    <w:rsid w:val="007D3D76"/>
    <w:rsid w:val="007D3D98"/>
    <w:rsid w:val="007D3DE2"/>
    <w:rsid w:val="007D3E97"/>
    <w:rsid w:val="007D3EF8"/>
    <w:rsid w:val="007D3F30"/>
    <w:rsid w:val="007D3F3C"/>
    <w:rsid w:val="007D3FBC"/>
    <w:rsid w:val="007D3FBE"/>
    <w:rsid w:val="007D404A"/>
    <w:rsid w:val="007D4058"/>
    <w:rsid w:val="007D4111"/>
    <w:rsid w:val="007D4186"/>
    <w:rsid w:val="007D4193"/>
    <w:rsid w:val="007D41A9"/>
    <w:rsid w:val="007D41B7"/>
    <w:rsid w:val="007D41BC"/>
    <w:rsid w:val="007D41CC"/>
    <w:rsid w:val="007D42CB"/>
    <w:rsid w:val="007D4303"/>
    <w:rsid w:val="007D433C"/>
    <w:rsid w:val="007D4443"/>
    <w:rsid w:val="007D4462"/>
    <w:rsid w:val="007D44F5"/>
    <w:rsid w:val="007D4510"/>
    <w:rsid w:val="007D452B"/>
    <w:rsid w:val="007D467E"/>
    <w:rsid w:val="007D478E"/>
    <w:rsid w:val="007D47A2"/>
    <w:rsid w:val="007D47B5"/>
    <w:rsid w:val="007D486F"/>
    <w:rsid w:val="007D488A"/>
    <w:rsid w:val="007D48DD"/>
    <w:rsid w:val="007D497C"/>
    <w:rsid w:val="007D4A00"/>
    <w:rsid w:val="007D4AEF"/>
    <w:rsid w:val="007D4B5D"/>
    <w:rsid w:val="007D4C29"/>
    <w:rsid w:val="007D4C4B"/>
    <w:rsid w:val="007D4D25"/>
    <w:rsid w:val="007D4D8D"/>
    <w:rsid w:val="007D4DC6"/>
    <w:rsid w:val="007D4DD1"/>
    <w:rsid w:val="007D4E3D"/>
    <w:rsid w:val="007D4E45"/>
    <w:rsid w:val="007D4F03"/>
    <w:rsid w:val="007D4F45"/>
    <w:rsid w:val="007D5011"/>
    <w:rsid w:val="007D5044"/>
    <w:rsid w:val="007D5068"/>
    <w:rsid w:val="007D5076"/>
    <w:rsid w:val="007D5080"/>
    <w:rsid w:val="007D50B6"/>
    <w:rsid w:val="007D50EF"/>
    <w:rsid w:val="007D5142"/>
    <w:rsid w:val="007D5177"/>
    <w:rsid w:val="007D5356"/>
    <w:rsid w:val="007D5597"/>
    <w:rsid w:val="007D55C3"/>
    <w:rsid w:val="007D5651"/>
    <w:rsid w:val="007D56BF"/>
    <w:rsid w:val="007D575E"/>
    <w:rsid w:val="007D5769"/>
    <w:rsid w:val="007D579B"/>
    <w:rsid w:val="007D57B5"/>
    <w:rsid w:val="007D57C1"/>
    <w:rsid w:val="007D57C7"/>
    <w:rsid w:val="007D57CC"/>
    <w:rsid w:val="007D5990"/>
    <w:rsid w:val="007D5B0F"/>
    <w:rsid w:val="007D5B48"/>
    <w:rsid w:val="007D5B9B"/>
    <w:rsid w:val="007D5C7E"/>
    <w:rsid w:val="007D5C8C"/>
    <w:rsid w:val="007D5CCB"/>
    <w:rsid w:val="007D5E93"/>
    <w:rsid w:val="007D5EAF"/>
    <w:rsid w:val="007D5ECE"/>
    <w:rsid w:val="007D5F14"/>
    <w:rsid w:val="007D5FB5"/>
    <w:rsid w:val="007D5FED"/>
    <w:rsid w:val="007D6074"/>
    <w:rsid w:val="007D62DE"/>
    <w:rsid w:val="007D6308"/>
    <w:rsid w:val="007D6310"/>
    <w:rsid w:val="007D633D"/>
    <w:rsid w:val="007D63F0"/>
    <w:rsid w:val="007D63F9"/>
    <w:rsid w:val="007D641A"/>
    <w:rsid w:val="007D64E2"/>
    <w:rsid w:val="007D64F2"/>
    <w:rsid w:val="007D6557"/>
    <w:rsid w:val="007D6571"/>
    <w:rsid w:val="007D6591"/>
    <w:rsid w:val="007D65C6"/>
    <w:rsid w:val="007D661E"/>
    <w:rsid w:val="007D6668"/>
    <w:rsid w:val="007D66A1"/>
    <w:rsid w:val="007D66CC"/>
    <w:rsid w:val="007D672C"/>
    <w:rsid w:val="007D6757"/>
    <w:rsid w:val="007D6771"/>
    <w:rsid w:val="007D68DF"/>
    <w:rsid w:val="007D699E"/>
    <w:rsid w:val="007D6AC8"/>
    <w:rsid w:val="007D6AD6"/>
    <w:rsid w:val="007D6ADB"/>
    <w:rsid w:val="007D6B7C"/>
    <w:rsid w:val="007D6B7E"/>
    <w:rsid w:val="007D6BA9"/>
    <w:rsid w:val="007D6D7F"/>
    <w:rsid w:val="007D6DDD"/>
    <w:rsid w:val="007D6DEA"/>
    <w:rsid w:val="007D6E5A"/>
    <w:rsid w:val="007D6E79"/>
    <w:rsid w:val="007D6E89"/>
    <w:rsid w:val="007D6E95"/>
    <w:rsid w:val="007D6F14"/>
    <w:rsid w:val="007D6F3A"/>
    <w:rsid w:val="007D6F91"/>
    <w:rsid w:val="007D7015"/>
    <w:rsid w:val="007D7027"/>
    <w:rsid w:val="007D7068"/>
    <w:rsid w:val="007D708C"/>
    <w:rsid w:val="007D70C8"/>
    <w:rsid w:val="007D70C9"/>
    <w:rsid w:val="007D7104"/>
    <w:rsid w:val="007D7127"/>
    <w:rsid w:val="007D7164"/>
    <w:rsid w:val="007D720C"/>
    <w:rsid w:val="007D7247"/>
    <w:rsid w:val="007D729E"/>
    <w:rsid w:val="007D72A9"/>
    <w:rsid w:val="007D731B"/>
    <w:rsid w:val="007D7356"/>
    <w:rsid w:val="007D73A9"/>
    <w:rsid w:val="007D73D2"/>
    <w:rsid w:val="007D7438"/>
    <w:rsid w:val="007D7452"/>
    <w:rsid w:val="007D7545"/>
    <w:rsid w:val="007D7556"/>
    <w:rsid w:val="007D7572"/>
    <w:rsid w:val="007D7657"/>
    <w:rsid w:val="007D7670"/>
    <w:rsid w:val="007D7693"/>
    <w:rsid w:val="007D76F9"/>
    <w:rsid w:val="007D774B"/>
    <w:rsid w:val="007D7782"/>
    <w:rsid w:val="007D77D1"/>
    <w:rsid w:val="007D7877"/>
    <w:rsid w:val="007D78CE"/>
    <w:rsid w:val="007D78FA"/>
    <w:rsid w:val="007D79AD"/>
    <w:rsid w:val="007D79BE"/>
    <w:rsid w:val="007D79C4"/>
    <w:rsid w:val="007D79CA"/>
    <w:rsid w:val="007D7AAD"/>
    <w:rsid w:val="007D7B16"/>
    <w:rsid w:val="007D7B76"/>
    <w:rsid w:val="007D7BB2"/>
    <w:rsid w:val="007D7BC3"/>
    <w:rsid w:val="007D7BC4"/>
    <w:rsid w:val="007D7C69"/>
    <w:rsid w:val="007D7D88"/>
    <w:rsid w:val="007D7DC4"/>
    <w:rsid w:val="007D7DC9"/>
    <w:rsid w:val="007D7ED8"/>
    <w:rsid w:val="007D7F8F"/>
    <w:rsid w:val="007E0061"/>
    <w:rsid w:val="007E00BC"/>
    <w:rsid w:val="007E00EB"/>
    <w:rsid w:val="007E0137"/>
    <w:rsid w:val="007E0189"/>
    <w:rsid w:val="007E0195"/>
    <w:rsid w:val="007E0270"/>
    <w:rsid w:val="007E0274"/>
    <w:rsid w:val="007E0381"/>
    <w:rsid w:val="007E03C3"/>
    <w:rsid w:val="007E03F5"/>
    <w:rsid w:val="007E043D"/>
    <w:rsid w:val="007E0456"/>
    <w:rsid w:val="007E049A"/>
    <w:rsid w:val="007E050C"/>
    <w:rsid w:val="007E052B"/>
    <w:rsid w:val="007E05C5"/>
    <w:rsid w:val="007E0642"/>
    <w:rsid w:val="007E064E"/>
    <w:rsid w:val="007E0663"/>
    <w:rsid w:val="007E0716"/>
    <w:rsid w:val="007E07A8"/>
    <w:rsid w:val="007E07CD"/>
    <w:rsid w:val="007E07CF"/>
    <w:rsid w:val="007E081D"/>
    <w:rsid w:val="007E0A25"/>
    <w:rsid w:val="007E0A7D"/>
    <w:rsid w:val="007E0AF4"/>
    <w:rsid w:val="007E0B43"/>
    <w:rsid w:val="007E0B9D"/>
    <w:rsid w:val="007E0BB5"/>
    <w:rsid w:val="007E0D35"/>
    <w:rsid w:val="007E0D52"/>
    <w:rsid w:val="007E0E0A"/>
    <w:rsid w:val="007E0FED"/>
    <w:rsid w:val="007E100A"/>
    <w:rsid w:val="007E1030"/>
    <w:rsid w:val="007E1082"/>
    <w:rsid w:val="007E10E6"/>
    <w:rsid w:val="007E112E"/>
    <w:rsid w:val="007E1133"/>
    <w:rsid w:val="007E11B0"/>
    <w:rsid w:val="007E11F6"/>
    <w:rsid w:val="007E1205"/>
    <w:rsid w:val="007E1221"/>
    <w:rsid w:val="007E139F"/>
    <w:rsid w:val="007E141B"/>
    <w:rsid w:val="007E1487"/>
    <w:rsid w:val="007E1512"/>
    <w:rsid w:val="007E153C"/>
    <w:rsid w:val="007E1589"/>
    <w:rsid w:val="007E15EE"/>
    <w:rsid w:val="007E15F8"/>
    <w:rsid w:val="007E1654"/>
    <w:rsid w:val="007E166F"/>
    <w:rsid w:val="007E1704"/>
    <w:rsid w:val="007E1751"/>
    <w:rsid w:val="007E17C0"/>
    <w:rsid w:val="007E1821"/>
    <w:rsid w:val="007E187D"/>
    <w:rsid w:val="007E1909"/>
    <w:rsid w:val="007E192B"/>
    <w:rsid w:val="007E197B"/>
    <w:rsid w:val="007E19C9"/>
    <w:rsid w:val="007E1A46"/>
    <w:rsid w:val="007E1A8B"/>
    <w:rsid w:val="007E1AE5"/>
    <w:rsid w:val="007E1B6E"/>
    <w:rsid w:val="007E1B87"/>
    <w:rsid w:val="007E1C2C"/>
    <w:rsid w:val="007E1C38"/>
    <w:rsid w:val="007E1C9E"/>
    <w:rsid w:val="007E1CC4"/>
    <w:rsid w:val="007E1D06"/>
    <w:rsid w:val="007E1D10"/>
    <w:rsid w:val="007E1D11"/>
    <w:rsid w:val="007E1D2E"/>
    <w:rsid w:val="007E1EE4"/>
    <w:rsid w:val="007E1F2F"/>
    <w:rsid w:val="007E1F3D"/>
    <w:rsid w:val="007E2030"/>
    <w:rsid w:val="007E2187"/>
    <w:rsid w:val="007E2188"/>
    <w:rsid w:val="007E21C9"/>
    <w:rsid w:val="007E221F"/>
    <w:rsid w:val="007E2265"/>
    <w:rsid w:val="007E22A5"/>
    <w:rsid w:val="007E22CE"/>
    <w:rsid w:val="007E22EA"/>
    <w:rsid w:val="007E22F1"/>
    <w:rsid w:val="007E2309"/>
    <w:rsid w:val="007E233C"/>
    <w:rsid w:val="007E2362"/>
    <w:rsid w:val="007E23C8"/>
    <w:rsid w:val="007E23DB"/>
    <w:rsid w:val="007E23F2"/>
    <w:rsid w:val="007E2496"/>
    <w:rsid w:val="007E250A"/>
    <w:rsid w:val="007E2545"/>
    <w:rsid w:val="007E2547"/>
    <w:rsid w:val="007E25ED"/>
    <w:rsid w:val="007E2614"/>
    <w:rsid w:val="007E2668"/>
    <w:rsid w:val="007E26FB"/>
    <w:rsid w:val="007E279F"/>
    <w:rsid w:val="007E27F2"/>
    <w:rsid w:val="007E2811"/>
    <w:rsid w:val="007E28AC"/>
    <w:rsid w:val="007E28D8"/>
    <w:rsid w:val="007E29C1"/>
    <w:rsid w:val="007E29C9"/>
    <w:rsid w:val="007E2A24"/>
    <w:rsid w:val="007E2AAC"/>
    <w:rsid w:val="007E2AB1"/>
    <w:rsid w:val="007E2B17"/>
    <w:rsid w:val="007E2BB1"/>
    <w:rsid w:val="007E2C93"/>
    <w:rsid w:val="007E2CAC"/>
    <w:rsid w:val="007E2D91"/>
    <w:rsid w:val="007E2DBD"/>
    <w:rsid w:val="007E2E3C"/>
    <w:rsid w:val="007E2EC9"/>
    <w:rsid w:val="007E2EEE"/>
    <w:rsid w:val="007E2F10"/>
    <w:rsid w:val="007E2FCA"/>
    <w:rsid w:val="007E2FE9"/>
    <w:rsid w:val="007E307E"/>
    <w:rsid w:val="007E30D8"/>
    <w:rsid w:val="007E3151"/>
    <w:rsid w:val="007E3166"/>
    <w:rsid w:val="007E3198"/>
    <w:rsid w:val="007E31A2"/>
    <w:rsid w:val="007E31B4"/>
    <w:rsid w:val="007E3221"/>
    <w:rsid w:val="007E324C"/>
    <w:rsid w:val="007E32D7"/>
    <w:rsid w:val="007E32EE"/>
    <w:rsid w:val="007E331E"/>
    <w:rsid w:val="007E33A5"/>
    <w:rsid w:val="007E33E6"/>
    <w:rsid w:val="007E3474"/>
    <w:rsid w:val="007E34F7"/>
    <w:rsid w:val="007E3511"/>
    <w:rsid w:val="007E3622"/>
    <w:rsid w:val="007E3657"/>
    <w:rsid w:val="007E366E"/>
    <w:rsid w:val="007E36A8"/>
    <w:rsid w:val="007E36C5"/>
    <w:rsid w:val="007E3700"/>
    <w:rsid w:val="007E3706"/>
    <w:rsid w:val="007E377B"/>
    <w:rsid w:val="007E37B9"/>
    <w:rsid w:val="007E37CA"/>
    <w:rsid w:val="007E3869"/>
    <w:rsid w:val="007E3897"/>
    <w:rsid w:val="007E38C7"/>
    <w:rsid w:val="007E398D"/>
    <w:rsid w:val="007E3A3A"/>
    <w:rsid w:val="007E3A3D"/>
    <w:rsid w:val="007E3B00"/>
    <w:rsid w:val="007E3B15"/>
    <w:rsid w:val="007E3B95"/>
    <w:rsid w:val="007E3BC4"/>
    <w:rsid w:val="007E3C0D"/>
    <w:rsid w:val="007E3CB2"/>
    <w:rsid w:val="007E3D13"/>
    <w:rsid w:val="007E3D14"/>
    <w:rsid w:val="007E3D16"/>
    <w:rsid w:val="007E3D19"/>
    <w:rsid w:val="007E3D7D"/>
    <w:rsid w:val="007E3DAF"/>
    <w:rsid w:val="007E3DB5"/>
    <w:rsid w:val="007E3DE4"/>
    <w:rsid w:val="007E3E32"/>
    <w:rsid w:val="007E3E81"/>
    <w:rsid w:val="007E3ECB"/>
    <w:rsid w:val="007E3F4D"/>
    <w:rsid w:val="007E3F7E"/>
    <w:rsid w:val="007E3FCA"/>
    <w:rsid w:val="007E404B"/>
    <w:rsid w:val="007E40EA"/>
    <w:rsid w:val="007E4107"/>
    <w:rsid w:val="007E410E"/>
    <w:rsid w:val="007E4126"/>
    <w:rsid w:val="007E41C9"/>
    <w:rsid w:val="007E41E5"/>
    <w:rsid w:val="007E41EC"/>
    <w:rsid w:val="007E4230"/>
    <w:rsid w:val="007E4289"/>
    <w:rsid w:val="007E4311"/>
    <w:rsid w:val="007E43A2"/>
    <w:rsid w:val="007E4485"/>
    <w:rsid w:val="007E450F"/>
    <w:rsid w:val="007E451A"/>
    <w:rsid w:val="007E45E8"/>
    <w:rsid w:val="007E4604"/>
    <w:rsid w:val="007E46C6"/>
    <w:rsid w:val="007E46C7"/>
    <w:rsid w:val="007E471B"/>
    <w:rsid w:val="007E4780"/>
    <w:rsid w:val="007E47DF"/>
    <w:rsid w:val="007E47EE"/>
    <w:rsid w:val="007E483D"/>
    <w:rsid w:val="007E484A"/>
    <w:rsid w:val="007E48D2"/>
    <w:rsid w:val="007E4906"/>
    <w:rsid w:val="007E4951"/>
    <w:rsid w:val="007E497E"/>
    <w:rsid w:val="007E49CA"/>
    <w:rsid w:val="007E49CC"/>
    <w:rsid w:val="007E4A49"/>
    <w:rsid w:val="007E4A4B"/>
    <w:rsid w:val="007E4A5B"/>
    <w:rsid w:val="007E4A6E"/>
    <w:rsid w:val="007E4AC1"/>
    <w:rsid w:val="007E4ACF"/>
    <w:rsid w:val="007E4AF0"/>
    <w:rsid w:val="007E4B3F"/>
    <w:rsid w:val="007E4B64"/>
    <w:rsid w:val="007E4BAC"/>
    <w:rsid w:val="007E4C58"/>
    <w:rsid w:val="007E4CA1"/>
    <w:rsid w:val="007E4E72"/>
    <w:rsid w:val="007E4EDC"/>
    <w:rsid w:val="007E4F44"/>
    <w:rsid w:val="007E4F57"/>
    <w:rsid w:val="007E4F6C"/>
    <w:rsid w:val="007E4FAB"/>
    <w:rsid w:val="007E4FEC"/>
    <w:rsid w:val="007E5050"/>
    <w:rsid w:val="007E515B"/>
    <w:rsid w:val="007E5184"/>
    <w:rsid w:val="007E5197"/>
    <w:rsid w:val="007E5214"/>
    <w:rsid w:val="007E52AE"/>
    <w:rsid w:val="007E53B7"/>
    <w:rsid w:val="007E53F2"/>
    <w:rsid w:val="007E542E"/>
    <w:rsid w:val="007E5457"/>
    <w:rsid w:val="007E54AD"/>
    <w:rsid w:val="007E54BE"/>
    <w:rsid w:val="007E54F4"/>
    <w:rsid w:val="007E54FB"/>
    <w:rsid w:val="007E562C"/>
    <w:rsid w:val="007E5675"/>
    <w:rsid w:val="007E56ED"/>
    <w:rsid w:val="007E5721"/>
    <w:rsid w:val="007E576A"/>
    <w:rsid w:val="007E57C6"/>
    <w:rsid w:val="007E5821"/>
    <w:rsid w:val="007E58F0"/>
    <w:rsid w:val="007E59BA"/>
    <w:rsid w:val="007E5ACD"/>
    <w:rsid w:val="007E5AFA"/>
    <w:rsid w:val="007E5B47"/>
    <w:rsid w:val="007E5B9E"/>
    <w:rsid w:val="007E5C1C"/>
    <w:rsid w:val="007E5C77"/>
    <w:rsid w:val="007E5C7C"/>
    <w:rsid w:val="007E5C8B"/>
    <w:rsid w:val="007E5D63"/>
    <w:rsid w:val="007E5D77"/>
    <w:rsid w:val="007E5E2F"/>
    <w:rsid w:val="007E5E49"/>
    <w:rsid w:val="007E5E4C"/>
    <w:rsid w:val="007E5EC8"/>
    <w:rsid w:val="007E5EE7"/>
    <w:rsid w:val="007E5F0E"/>
    <w:rsid w:val="007E5F95"/>
    <w:rsid w:val="007E60B2"/>
    <w:rsid w:val="007E60E0"/>
    <w:rsid w:val="007E6110"/>
    <w:rsid w:val="007E6135"/>
    <w:rsid w:val="007E6161"/>
    <w:rsid w:val="007E6192"/>
    <w:rsid w:val="007E6256"/>
    <w:rsid w:val="007E62AA"/>
    <w:rsid w:val="007E62E5"/>
    <w:rsid w:val="007E63BB"/>
    <w:rsid w:val="007E63CF"/>
    <w:rsid w:val="007E63FF"/>
    <w:rsid w:val="007E6416"/>
    <w:rsid w:val="007E6425"/>
    <w:rsid w:val="007E6434"/>
    <w:rsid w:val="007E6463"/>
    <w:rsid w:val="007E64A5"/>
    <w:rsid w:val="007E6524"/>
    <w:rsid w:val="007E6549"/>
    <w:rsid w:val="007E6596"/>
    <w:rsid w:val="007E65CD"/>
    <w:rsid w:val="007E65E7"/>
    <w:rsid w:val="007E65F0"/>
    <w:rsid w:val="007E6614"/>
    <w:rsid w:val="007E663C"/>
    <w:rsid w:val="007E66AF"/>
    <w:rsid w:val="007E6875"/>
    <w:rsid w:val="007E68AF"/>
    <w:rsid w:val="007E68C3"/>
    <w:rsid w:val="007E68CA"/>
    <w:rsid w:val="007E6957"/>
    <w:rsid w:val="007E6977"/>
    <w:rsid w:val="007E6998"/>
    <w:rsid w:val="007E69EF"/>
    <w:rsid w:val="007E69F7"/>
    <w:rsid w:val="007E6A8E"/>
    <w:rsid w:val="007E6A91"/>
    <w:rsid w:val="007E6BA5"/>
    <w:rsid w:val="007E6C84"/>
    <w:rsid w:val="007E6E21"/>
    <w:rsid w:val="007E6EA9"/>
    <w:rsid w:val="007E6F3E"/>
    <w:rsid w:val="007E6F4D"/>
    <w:rsid w:val="007E6F5A"/>
    <w:rsid w:val="007E6FCF"/>
    <w:rsid w:val="007E704B"/>
    <w:rsid w:val="007E7123"/>
    <w:rsid w:val="007E7164"/>
    <w:rsid w:val="007E719A"/>
    <w:rsid w:val="007E71C7"/>
    <w:rsid w:val="007E7282"/>
    <w:rsid w:val="007E730A"/>
    <w:rsid w:val="007E7399"/>
    <w:rsid w:val="007E73BB"/>
    <w:rsid w:val="007E7414"/>
    <w:rsid w:val="007E7421"/>
    <w:rsid w:val="007E74F5"/>
    <w:rsid w:val="007E751A"/>
    <w:rsid w:val="007E7558"/>
    <w:rsid w:val="007E7603"/>
    <w:rsid w:val="007E76C4"/>
    <w:rsid w:val="007E778A"/>
    <w:rsid w:val="007E7794"/>
    <w:rsid w:val="007E77A6"/>
    <w:rsid w:val="007E77D5"/>
    <w:rsid w:val="007E77E9"/>
    <w:rsid w:val="007E786B"/>
    <w:rsid w:val="007E7879"/>
    <w:rsid w:val="007E7899"/>
    <w:rsid w:val="007E78D0"/>
    <w:rsid w:val="007E7943"/>
    <w:rsid w:val="007E79C0"/>
    <w:rsid w:val="007E79D7"/>
    <w:rsid w:val="007E79F1"/>
    <w:rsid w:val="007E79F7"/>
    <w:rsid w:val="007E7A09"/>
    <w:rsid w:val="007E7A0B"/>
    <w:rsid w:val="007E7A85"/>
    <w:rsid w:val="007E7B52"/>
    <w:rsid w:val="007E7B7B"/>
    <w:rsid w:val="007E7BC5"/>
    <w:rsid w:val="007E7CB3"/>
    <w:rsid w:val="007E7D14"/>
    <w:rsid w:val="007E7D2C"/>
    <w:rsid w:val="007E7DE3"/>
    <w:rsid w:val="007E7DEF"/>
    <w:rsid w:val="007E7E37"/>
    <w:rsid w:val="007E7E43"/>
    <w:rsid w:val="007E7E44"/>
    <w:rsid w:val="007E7F13"/>
    <w:rsid w:val="007E7F9E"/>
    <w:rsid w:val="007E7FF5"/>
    <w:rsid w:val="007F0006"/>
    <w:rsid w:val="007F0073"/>
    <w:rsid w:val="007F00AE"/>
    <w:rsid w:val="007F00FE"/>
    <w:rsid w:val="007F0139"/>
    <w:rsid w:val="007F0197"/>
    <w:rsid w:val="007F01EF"/>
    <w:rsid w:val="007F02DF"/>
    <w:rsid w:val="007F031A"/>
    <w:rsid w:val="007F0334"/>
    <w:rsid w:val="007F0346"/>
    <w:rsid w:val="007F039F"/>
    <w:rsid w:val="007F0407"/>
    <w:rsid w:val="007F0447"/>
    <w:rsid w:val="007F046A"/>
    <w:rsid w:val="007F0470"/>
    <w:rsid w:val="007F0487"/>
    <w:rsid w:val="007F04A4"/>
    <w:rsid w:val="007F04DE"/>
    <w:rsid w:val="007F0532"/>
    <w:rsid w:val="007F0544"/>
    <w:rsid w:val="007F0549"/>
    <w:rsid w:val="007F05E8"/>
    <w:rsid w:val="007F05F5"/>
    <w:rsid w:val="007F063D"/>
    <w:rsid w:val="007F075D"/>
    <w:rsid w:val="007F078B"/>
    <w:rsid w:val="007F0836"/>
    <w:rsid w:val="007F08D5"/>
    <w:rsid w:val="007F08D7"/>
    <w:rsid w:val="007F0994"/>
    <w:rsid w:val="007F09CD"/>
    <w:rsid w:val="007F09E9"/>
    <w:rsid w:val="007F0A62"/>
    <w:rsid w:val="007F0AAD"/>
    <w:rsid w:val="007F0B06"/>
    <w:rsid w:val="007F0B66"/>
    <w:rsid w:val="007F0B95"/>
    <w:rsid w:val="007F0B98"/>
    <w:rsid w:val="007F0B9A"/>
    <w:rsid w:val="007F0B9B"/>
    <w:rsid w:val="007F0BFD"/>
    <w:rsid w:val="007F0C35"/>
    <w:rsid w:val="007F0C50"/>
    <w:rsid w:val="007F0C79"/>
    <w:rsid w:val="007F0CBF"/>
    <w:rsid w:val="007F0CFB"/>
    <w:rsid w:val="007F0D12"/>
    <w:rsid w:val="007F0DDA"/>
    <w:rsid w:val="007F0DF4"/>
    <w:rsid w:val="007F0E1C"/>
    <w:rsid w:val="007F0E49"/>
    <w:rsid w:val="007F0FAF"/>
    <w:rsid w:val="007F0FD3"/>
    <w:rsid w:val="007F0FDF"/>
    <w:rsid w:val="007F0FE4"/>
    <w:rsid w:val="007F1035"/>
    <w:rsid w:val="007F10A4"/>
    <w:rsid w:val="007F1102"/>
    <w:rsid w:val="007F117E"/>
    <w:rsid w:val="007F11A6"/>
    <w:rsid w:val="007F11B2"/>
    <w:rsid w:val="007F11BE"/>
    <w:rsid w:val="007F11E0"/>
    <w:rsid w:val="007F120E"/>
    <w:rsid w:val="007F1264"/>
    <w:rsid w:val="007F12A9"/>
    <w:rsid w:val="007F12CF"/>
    <w:rsid w:val="007F13EE"/>
    <w:rsid w:val="007F13F7"/>
    <w:rsid w:val="007F145F"/>
    <w:rsid w:val="007F14CF"/>
    <w:rsid w:val="007F150C"/>
    <w:rsid w:val="007F15C0"/>
    <w:rsid w:val="007F15FE"/>
    <w:rsid w:val="007F16DF"/>
    <w:rsid w:val="007F170A"/>
    <w:rsid w:val="007F1718"/>
    <w:rsid w:val="007F17B4"/>
    <w:rsid w:val="007F17C5"/>
    <w:rsid w:val="007F182D"/>
    <w:rsid w:val="007F188E"/>
    <w:rsid w:val="007F1912"/>
    <w:rsid w:val="007F196E"/>
    <w:rsid w:val="007F19C2"/>
    <w:rsid w:val="007F1A32"/>
    <w:rsid w:val="007F1B39"/>
    <w:rsid w:val="007F1B3E"/>
    <w:rsid w:val="007F1B45"/>
    <w:rsid w:val="007F1C01"/>
    <w:rsid w:val="007F1C54"/>
    <w:rsid w:val="007F1C77"/>
    <w:rsid w:val="007F1C78"/>
    <w:rsid w:val="007F1CEA"/>
    <w:rsid w:val="007F1CF5"/>
    <w:rsid w:val="007F1D10"/>
    <w:rsid w:val="007F1D27"/>
    <w:rsid w:val="007F1D5C"/>
    <w:rsid w:val="007F1DEF"/>
    <w:rsid w:val="007F1DF8"/>
    <w:rsid w:val="007F1ECC"/>
    <w:rsid w:val="007F1EFD"/>
    <w:rsid w:val="007F1FEB"/>
    <w:rsid w:val="007F1FF7"/>
    <w:rsid w:val="007F200A"/>
    <w:rsid w:val="007F2074"/>
    <w:rsid w:val="007F20B6"/>
    <w:rsid w:val="007F2114"/>
    <w:rsid w:val="007F224C"/>
    <w:rsid w:val="007F227E"/>
    <w:rsid w:val="007F22A4"/>
    <w:rsid w:val="007F2348"/>
    <w:rsid w:val="007F236B"/>
    <w:rsid w:val="007F249B"/>
    <w:rsid w:val="007F24C5"/>
    <w:rsid w:val="007F253B"/>
    <w:rsid w:val="007F2634"/>
    <w:rsid w:val="007F2652"/>
    <w:rsid w:val="007F268C"/>
    <w:rsid w:val="007F26AE"/>
    <w:rsid w:val="007F28C2"/>
    <w:rsid w:val="007F2915"/>
    <w:rsid w:val="007F29F7"/>
    <w:rsid w:val="007F2A2F"/>
    <w:rsid w:val="007F2A6E"/>
    <w:rsid w:val="007F2A9F"/>
    <w:rsid w:val="007F2ACD"/>
    <w:rsid w:val="007F2B54"/>
    <w:rsid w:val="007F2B74"/>
    <w:rsid w:val="007F2BDA"/>
    <w:rsid w:val="007F2BE1"/>
    <w:rsid w:val="007F2C4E"/>
    <w:rsid w:val="007F2DCA"/>
    <w:rsid w:val="007F2DF5"/>
    <w:rsid w:val="007F2E2B"/>
    <w:rsid w:val="007F2E5F"/>
    <w:rsid w:val="007F2E71"/>
    <w:rsid w:val="007F2EF0"/>
    <w:rsid w:val="007F2F67"/>
    <w:rsid w:val="007F2F77"/>
    <w:rsid w:val="007F30F2"/>
    <w:rsid w:val="007F317E"/>
    <w:rsid w:val="007F31C8"/>
    <w:rsid w:val="007F3242"/>
    <w:rsid w:val="007F32A1"/>
    <w:rsid w:val="007F3348"/>
    <w:rsid w:val="007F349C"/>
    <w:rsid w:val="007F34D0"/>
    <w:rsid w:val="007F3686"/>
    <w:rsid w:val="007F36F8"/>
    <w:rsid w:val="007F375E"/>
    <w:rsid w:val="007F37A8"/>
    <w:rsid w:val="007F37F6"/>
    <w:rsid w:val="007F37FA"/>
    <w:rsid w:val="007F381A"/>
    <w:rsid w:val="007F3940"/>
    <w:rsid w:val="007F39B3"/>
    <w:rsid w:val="007F39CF"/>
    <w:rsid w:val="007F39FA"/>
    <w:rsid w:val="007F3A92"/>
    <w:rsid w:val="007F3AB9"/>
    <w:rsid w:val="007F3ABD"/>
    <w:rsid w:val="007F3AC6"/>
    <w:rsid w:val="007F3ADA"/>
    <w:rsid w:val="007F3B1E"/>
    <w:rsid w:val="007F3B1F"/>
    <w:rsid w:val="007F3BE4"/>
    <w:rsid w:val="007F3C0D"/>
    <w:rsid w:val="007F3C38"/>
    <w:rsid w:val="007F3CFE"/>
    <w:rsid w:val="007F3D49"/>
    <w:rsid w:val="007F3D7C"/>
    <w:rsid w:val="007F3E53"/>
    <w:rsid w:val="007F3E68"/>
    <w:rsid w:val="007F3EC5"/>
    <w:rsid w:val="007F3FB8"/>
    <w:rsid w:val="007F3FC6"/>
    <w:rsid w:val="007F402B"/>
    <w:rsid w:val="007F40B0"/>
    <w:rsid w:val="007F4110"/>
    <w:rsid w:val="007F4164"/>
    <w:rsid w:val="007F4267"/>
    <w:rsid w:val="007F428A"/>
    <w:rsid w:val="007F42A0"/>
    <w:rsid w:val="007F42B3"/>
    <w:rsid w:val="007F4391"/>
    <w:rsid w:val="007F43DC"/>
    <w:rsid w:val="007F441C"/>
    <w:rsid w:val="007F4481"/>
    <w:rsid w:val="007F448D"/>
    <w:rsid w:val="007F44E0"/>
    <w:rsid w:val="007F44EB"/>
    <w:rsid w:val="007F4620"/>
    <w:rsid w:val="007F462D"/>
    <w:rsid w:val="007F4693"/>
    <w:rsid w:val="007F46BB"/>
    <w:rsid w:val="007F46C0"/>
    <w:rsid w:val="007F46EE"/>
    <w:rsid w:val="007F472F"/>
    <w:rsid w:val="007F48BA"/>
    <w:rsid w:val="007F4962"/>
    <w:rsid w:val="007F4A3D"/>
    <w:rsid w:val="007F4A6A"/>
    <w:rsid w:val="007F4AD4"/>
    <w:rsid w:val="007F4B4C"/>
    <w:rsid w:val="007F4B5E"/>
    <w:rsid w:val="007F4BF7"/>
    <w:rsid w:val="007F4C94"/>
    <w:rsid w:val="007F4CE1"/>
    <w:rsid w:val="007F4E28"/>
    <w:rsid w:val="007F4EBD"/>
    <w:rsid w:val="007F4EFD"/>
    <w:rsid w:val="007F4F14"/>
    <w:rsid w:val="007F4FDA"/>
    <w:rsid w:val="007F50F0"/>
    <w:rsid w:val="007F519E"/>
    <w:rsid w:val="007F51CA"/>
    <w:rsid w:val="007F527A"/>
    <w:rsid w:val="007F53B4"/>
    <w:rsid w:val="007F543D"/>
    <w:rsid w:val="007F5470"/>
    <w:rsid w:val="007F5534"/>
    <w:rsid w:val="007F559C"/>
    <w:rsid w:val="007F55EA"/>
    <w:rsid w:val="007F55F4"/>
    <w:rsid w:val="007F56AF"/>
    <w:rsid w:val="007F56B3"/>
    <w:rsid w:val="007F56EB"/>
    <w:rsid w:val="007F576D"/>
    <w:rsid w:val="007F57AE"/>
    <w:rsid w:val="007F580B"/>
    <w:rsid w:val="007F5816"/>
    <w:rsid w:val="007F5838"/>
    <w:rsid w:val="007F5852"/>
    <w:rsid w:val="007F589D"/>
    <w:rsid w:val="007F58F0"/>
    <w:rsid w:val="007F59D4"/>
    <w:rsid w:val="007F5A26"/>
    <w:rsid w:val="007F5A59"/>
    <w:rsid w:val="007F5AF1"/>
    <w:rsid w:val="007F5B37"/>
    <w:rsid w:val="007F5B51"/>
    <w:rsid w:val="007F5B95"/>
    <w:rsid w:val="007F5BC3"/>
    <w:rsid w:val="007F5C74"/>
    <w:rsid w:val="007F5CEF"/>
    <w:rsid w:val="007F5D04"/>
    <w:rsid w:val="007F5D9C"/>
    <w:rsid w:val="007F5DF8"/>
    <w:rsid w:val="007F5E13"/>
    <w:rsid w:val="007F5F89"/>
    <w:rsid w:val="007F5FA7"/>
    <w:rsid w:val="007F5FAF"/>
    <w:rsid w:val="007F5FE6"/>
    <w:rsid w:val="007F601D"/>
    <w:rsid w:val="007F6047"/>
    <w:rsid w:val="007F6107"/>
    <w:rsid w:val="007F6109"/>
    <w:rsid w:val="007F6168"/>
    <w:rsid w:val="007F6271"/>
    <w:rsid w:val="007F62E1"/>
    <w:rsid w:val="007F630B"/>
    <w:rsid w:val="007F6403"/>
    <w:rsid w:val="007F64B5"/>
    <w:rsid w:val="007F64EC"/>
    <w:rsid w:val="007F6544"/>
    <w:rsid w:val="007F656B"/>
    <w:rsid w:val="007F65F7"/>
    <w:rsid w:val="007F6650"/>
    <w:rsid w:val="007F669D"/>
    <w:rsid w:val="007F66FB"/>
    <w:rsid w:val="007F672C"/>
    <w:rsid w:val="007F6762"/>
    <w:rsid w:val="007F683A"/>
    <w:rsid w:val="007F6862"/>
    <w:rsid w:val="007F697C"/>
    <w:rsid w:val="007F69AD"/>
    <w:rsid w:val="007F69B6"/>
    <w:rsid w:val="007F6A59"/>
    <w:rsid w:val="007F6AD0"/>
    <w:rsid w:val="007F6B35"/>
    <w:rsid w:val="007F6B3C"/>
    <w:rsid w:val="007F6B5E"/>
    <w:rsid w:val="007F6B96"/>
    <w:rsid w:val="007F6C2B"/>
    <w:rsid w:val="007F6C48"/>
    <w:rsid w:val="007F6D34"/>
    <w:rsid w:val="007F6E18"/>
    <w:rsid w:val="007F6E59"/>
    <w:rsid w:val="007F6EDC"/>
    <w:rsid w:val="007F6F2D"/>
    <w:rsid w:val="007F707C"/>
    <w:rsid w:val="007F70C7"/>
    <w:rsid w:val="007F70FB"/>
    <w:rsid w:val="007F7125"/>
    <w:rsid w:val="007F7192"/>
    <w:rsid w:val="007F7217"/>
    <w:rsid w:val="007F724A"/>
    <w:rsid w:val="007F742E"/>
    <w:rsid w:val="007F7469"/>
    <w:rsid w:val="007F747F"/>
    <w:rsid w:val="007F7497"/>
    <w:rsid w:val="007F7525"/>
    <w:rsid w:val="007F755D"/>
    <w:rsid w:val="007F7612"/>
    <w:rsid w:val="007F76CC"/>
    <w:rsid w:val="007F76D1"/>
    <w:rsid w:val="007F7711"/>
    <w:rsid w:val="007F7736"/>
    <w:rsid w:val="007F780E"/>
    <w:rsid w:val="007F78AF"/>
    <w:rsid w:val="007F78C6"/>
    <w:rsid w:val="007F790E"/>
    <w:rsid w:val="007F7921"/>
    <w:rsid w:val="007F7A35"/>
    <w:rsid w:val="007F7AA3"/>
    <w:rsid w:val="007F7AFB"/>
    <w:rsid w:val="007F7B2E"/>
    <w:rsid w:val="007F7BE2"/>
    <w:rsid w:val="007F7C1F"/>
    <w:rsid w:val="007F7CD3"/>
    <w:rsid w:val="007F7CE9"/>
    <w:rsid w:val="007F7CFE"/>
    <w:rsid w:val="007F7D25"/>
    <w:rsid w:val="007F7D42"/>
    <w:rsid w:val="007F7DE5"/>
    <w:rsid w:val="007F7E71"/>
    <w:rsid w:val="007F7E9F"/>
    <w:rsid w:val="007F7EBF"/>
    <w:rsid w:val="007F7FD2"/>
    <w:rsid w:val="0080002E"/>
    <w:rsid w:val="0080006B"/>
    <w:rsid w:val="00800091"/>
    <w:rsid w:val="008000AF"/>
    <w:rsid w:val="008000B2"/>
    <w:rsid w:val="008000CF"/>
    <w:rsid w:val="008000F9"/>
    <w:rsid w:val="00800129"/>
    <w:rsid w:val="00800170"/>
    <w:rsid w:val="0080018B"/>
    <w:rsid w:val="008001A0"/>
    <w:rsid w:val="00800245"/>
    <w:rsid w:val="00800273"/>
    <w:rsid w:val="00800381"/>
    <w:rsid w:val="008003C3"/>
    <w:rsid w:val="008003E4"/>
    <w:rsid w:val="00800424"/>
    <w:rsid w:val="00800515"/>
    <w:rsid w:val="00800536"/>
    <w:rsid w:val="0080055A"/>
    <w:rsid w:val="0080056B"/>
    <w:rsid w:val="008005AA"/>
    <w:rsid w:val="00800671"/>
    <w:rsid w:val="00800681"/>
    <w:rsid w:val="00800694"/>
    <w:rsid w:val="008006A0"/>
    <w:rsid w:val="0080077B"/>
    <w:rsid w:val="0080078E"/>
    <w:rsid w:val="008007FD"/>
    <w:rsid w:val="00800809"/>
    <w:rsid w:val="0080080E"/>
    <w:rsid w:val="00800847"/>
    <w:rsid w:val="00800921"/>
    <w:rsid w:val="00800949"/>
    <w:rsid w:val="008009D7"/>
    <w:rsid w:val="00800ACD"/>
    <w:rsid w:val="00800B65"/>
    <w:rsid w:val="00800B8A"/>
    <w:rsid w:val="00800BB2"/>
    <w:rsid w:val="00800BC9"/>
    <w:rsid w:val="00800BCA"/>
    <w:rsid w:val="00800C55"/>
    <w:rsid w:val="00800CE6"/>
    <w:rsid w:val="00800D4D"/>
    <w:rsid w:val="00800D8A"/>
    <w:rsid w:val="00800D8E"/>
    <w:rsid w:val="00800DC6"/>
    <w:rsid w:val="00800E29"/>
    <w:rsid w:val="00800E8A"/>
    <w:rsid w:val="00800F1E"/>
    <w:rsid w:val="00800FAF"/>
    <w:rsid w:val="00801066"/>
    <w:rsid w:val="008010D0"/>
    <w:rsid w:val="008010E9"/>
    <w:rsid w:val="008010EF"/>
    <w:rsid w:val="00801123"/>
    <w:rsid w:val="008011C8"/>
    <w:rsid w:val="008011FA"/>
    <w:rsid w:val="00801267"/>
    <w:rsid w:val="00801275"/>
    <w:rsid w:val="008012FD"/>
    <w:rsid w:val="00801305"/>
    <w:rsid w:val="008013BD"/>
    <w:rsid w:val="008013F8"/>
    <w:rsid w:val="00801484"/>
    <w:rsid w:val="008014D9"/>
    <w:rsid w:val="008015FF"/>
    <w:rsid w:val="00801642"/>
    <w:rsid w:val="008016DD"/>
    <w:rsid w:val="00801769"/>
    <w:rsid w:val="0080185D"/>
    <w:rsid w:val="0080189C"/>
    <w:rsid w:val="008018FB"/>
    <w:rsid w:val="0080192A"/>
    <w:rsid w:val="008019E9"/>
    <w:rsid w:val="00801AB0"/>
    <w:rsid w:val="00801AFD"/>
    <w:rsid w:val="00801B0C"/>
    <w:rsid w:val="00801BAE"/>
    <w:rsid w:val="00801BEA"/>
    <w:rsid w:val="00801BF6"/>
    <w:rsid w:val="00801C1B"/>
    <w:rsid w:val="00801CF3"/>
    <w:rsid w:val="00801D2C"/>
    <w:rsid w:val="00801D4F"/>
    <w:rsid w:val="00801D78"/>
    <w:rsid w:val="00801DC6"/>
    <w:rsid w:val="00801E3C"/>
    <w:rsid w:val="00801F66"/>
    <w:rsid w:val="00801FE2"/>
    <w:rsid w:val="00801FFF"/>
    <w:rsid w:val="00802050"/>
    <w:rsid w:val="0080205A"/>
    <w:rsid w:val="0080209F"/>
    <w:rsid w:val="0080215E"/>
    <w:rsid w:val="0080219A"/>
    <w:rsid w:val="00802225"/>
    <w:rsid w:val="008022A5"/>
    <w:rsid w:val="008022BF"/>
    <w:rsid w:val="008022DE"/>
    <w:rsid w:val="008022F2"/>
    <w:rsid w:val="00802362"/>
    <w:rsid w:val="008024B1"/>
    <w:rsid w:val="00802515"/>
    <w:rsid w:val="0080251E"/>
    <w:rsid w:val="0080254D"/>
    <w:rsid w:val="0080262E"/>
    <w:rsid w:val="0080267A"/>
    <w:rsid w:val="00802680"/>
    <w:rsid w:val="0080268E"/>
    <w:rsid w:val="00802718"/>
    <w:rsid w:val="0080272E"/>
    <w:rsid w:val="00802737"/>
    <w:rsid w:val="00802751"/>
    <w:rsid w:val="0080277D"/>
    <w:rsid w:val="00802878"/>
    <w:rsid w:val="00802894"/>
    <w:rsid w:val="0080292E"/>
    <w:rsid w:val="008029F1"/>
    <w:rsid w:val="00802A0E"/>
    <w:rsid w:val="00802AA7"/>
    <w:rsid w:val="00802AA9"/>
    <w:rsid w:val="00802B3E"/>
    <w:rsid w:val="00802B57"/>
    <w:rsid w:val="00802C55"/>
    <w:rsid w:val="00802CAC"/>
    <w:rsid w:val="00802D05"/>
    <w:rsid w:val="00802D2A"/>
    <w:rsid w:val="00802D41"/>
    <w:rsid w:val="00802DCF"/>
    <w:rsid w:val="00802E0A"/>
    <w:rsid w:val="00802F73"/>
    <w:rsid w:val="00802FB5"/>
    <w:rsid w:val="00803062"/>
    <w:rsid w:val="008030AB"/>
    <w:rsid w:val="008030E2"/>
    <w:rsid w:val="008030FC"/>
    <w:rsid w:val="00803151"/>
    <w:rsid w:val="00803170"/>
    <w:rsid w:val="008031A9"/>
    <w:rsid w:val="008031B4"/>
    <w:rsid w:val="008031C4"/>
    <w:rsid w:val="008031DD"/>
    <w:rsid w:val="0080327A"/>
    <w:rsid w:val="008032ED"/>
    <w:rsid w:val="0080332E"/>
    <w:rsid w:val="0080335C"/>
    <w:rsid w:val="00803402"/>
    <w:rsid w:val="00803473"/>
    <w:rsid w:val="0080347C"/>
    <w:rsid w:val="008034D2"/>
    <w:rsid w:val="008034E8"/>
    <w:rsid w:val="0080354A"/>
    <w:rsid w:val="00803597"/>
    <w:rsid w:val="008035C9"/>
    <w:rsid w:val="00803609"/>
    <w:rsid w:val="008036E0"/>
    <w:rsid w:val="008036F8"/>
    <w:rsid w:val="00803737"/>
    <w:rsid w:val="0080374D"/>
    <w:rsid w:val="00803764"/>
    <w:rsid w:val="00803786"/>
    <w:rsid w:val="00803832"/>
    <w:rsid w:val="00803840"/>
    <w:rsid w:val="0080385D"/>
    <w:rsid w:val="00803876"/>
    <w:rsid w:val="00803890"/>
    <w:rsid w:val="008038C7"/>
    <w:rsid w:val="00803981"/>
    <w:rsid w:val="008039F4"/>
    <w:rsid w:val="00803C0B"/>
    <w:rsid w:val="00803C73"/>
    <w:rsid w:val="00803CCF"/>
    <w:rsid w:val="00803CF5"/>
    <w:rsid w:val="00803D33"/>
    <w:rsid w:val="00803E12"/>
    <w:rsid w:val="00803EA2"/>
    <w:rsid w:val="00803ED4"/>
    <w:rsid w:val="00803EE1"/>
    <w:rsid w:val="00803F02"/>
    <w:rsid w:val="00804007"/>
    <w:rsid w:val="00804021"/>
    <w:rsid w:val="008040B5"/>
    <w:rsid w:val="008040D5"/>
    <w:rsid w:val="00804107"/>
    <w:rsid w:val="00804136"/>
    <w:rsid w:val="00804139"/>
    <w:rsid w:val="00804152"/>
    <w:rsid w:val="00804179"/>
    <w:rsid w:val="008041BD"/>
    <w:rsid w:val="008041BF"/>
    <w:rsid w:val="00804227"/>
    <w:rsid w:val="00804243"/>
    <w:rsid w:val="00804266"/>
    <w:rsid w:val="008042AD"/>
    <w:rsid w:val="00804326"/>
    <w:rsid w:val="00804360"/>
    <w:rsid w:val="00804370"/>
    <w:rsid w:val="008043CF"/>
    <w:rsid w:val="008043E6"/>
    <w:rsid w:val="0080445D"/>
    <w:rsid w:val="00804462"/>
    <w:rsid w:val="008044B9"/>
    <w:rsid w:val="00804567"/>
    <w:rsid w:val="00804573"/>
    <w:rsid w:val="008046D8"/>
    <w:rsid w:val="00804786"/>
    <w:rsid w:val="00804789"/>
    <w:rsid w:val="00804813"/>
    <w:rsid w:val="00804894"/>
    <w:rsid w:val="00804904"/>
    <w:rsid w:val="0080495F"/>
    <w:rsid w:val="0080496D"/>
    <w:rsid w:val="00804985"/>
    <w:rsid w:val="00804A69"/>
    <w:rsid w:val="00804B50"/>
    <w:rsid w:val="00804B77"/>
    <w:rsid w:val="00804B95"/>
    <w:rsid w:val="00804BE7"/>
    <w:rsid w:val="00804C14"/>
    <w:rsid w:val="00804C55"/>
    <w:rsid w:val="00804CBD"/>
    <w:rsid w:val="00804D0E"/>
    <w:rsid w:val="00804D12"/>
    <w:rsid w:val="00804D2E"/>
    <w:rsid w:val="00804D44"/>
    <w:rsid w:val="00804E6A"/>
    <w:rsid w:val="00804EE1"/>
    <w:rsid w:val="00804F3C"/>
    <w:rsid w:val="00804F43"/>
    <w:rsid w:val="00805097"/>
    <w:rsid w:val="008050A9"/>
    <w:rsid w:val="0080515E"/>
    <w:rsid w:val="00805184"/>
    <w:rsid w:val="00805242"/>
    <w:rsid w:val="0080524D"/>
    <w:rsid w:val="00805305"/>
    <w:rsid w:val="00805311"/>
    <w:rsid w:val="00805376"/>
    <w:rsid w:val="00805399"/>
    <w:rsid w:val="00805413"/>
    <w:rsid w:val="00805432"/>
    <w:rsid w:val="00805496"/>
    <w:rsid w:val="008054F6"/>
    <w:rsid w:val="00805552"/>
    <w:rsid w:val="00805588"/>
    <w:rsid w:val="00805606"/>
    <w:rsid w:val="0080567F"/>
    <w:rsid w:val="00805718"/>
    <w:rsid w:val="00805758"/>
    <w:rsid w:val="008057AE"/>
    <w:rsid w:val="008057B8"/>
    <w:rsid w:val="008057E5"/>
    <w:rsid w:val="00805812"/>
    <w:rsid w:val="008058C8"/>
    <w:rsid w:val="008058EE"/>
    <w:rsid w:val="00805904"/>
    <w:rsid w:val="008059E7"/>
    <w:rsid w:val="00805A09"/>
    <w:rsid w:val="00805AF3"/>
    <w:rsid w:val="00805BCD"/>
    <w:rsid w:val="00805BE1"/>
    <w:rsid w:val="00805BE7"/>
    <w:rsid w:val="00805C61"/>
    <w:rsid w:val="00805C8E"/>
    <w:rsid w:val="00805CC7"/>
    <w:rsid w:val="00805CEB"/>
    <w:rsid w:val="00805CFD"/>
    <w:rsid w:val="00805D35"/>
    <w:rsid w:val="00805D49"/>
    <w:rsid w:val="00805D73"/>
    <w:rsid w:val="00805DB9"/>
    <w:rsid w:val="00805DC0"/>
    <w:rsid w:val="00805DC7"/>
    <w:rsid w:val="00805ECE"/>
    <w:rsid w:val="00805F06"/>
    <w:rsid w:val="00805F5C"/>
    <w:rsid w:val="00805FC3"/>
    <w:rsid w:val="00806060"/>
    <w:rsid w:val="00806092"/>
    <w:rsid w:val="008060A5"/>
    <w:rsid w:val="0080612D"/>
    <w:rsid w:val="0080617C"/>
    <w:rsid w:val="0080619A"/>
    <w:rsid w:val="00806264"/>
    <w:rsid w:val="008062A3"/>
    <w:rsid w:val="008062EA"/>
    <w:rsid w:val="0080630E"/>
    <w:rsid w:val="00806354"/>
    <w:rsid w:val="008063FE"/>
    <w:rsid w:val="00806431"/>
    <w:rsid w:val="00806433"/>
    <w:rsid w:val="00806441"/>
    <w:rsid w:val="0080644D"/>
    <w:rsid w:val="00806465"/>
    <w:rsid w:val="0080648B"/>
    <w:rsid w:val="008064B1"/>
    <w:rsid w:val="008064BA"/>
    <w:rsid w:val="0080652A"/>
    <w:rsid w:val="00806657"/>
    <w:rsid w:val="008066B2"/>
    <w:rsid w:val="00806789"/>
    <w:rsid w:val="00806810"/>
    <w:rsid w:val="008068A3"/>
    <w:rsid w:val="008068D5"/>
    <w:rsid w:val="00806900"/>
    <w:rsid w:val="00806A08"/>
    <w:rsid w:val="00806AA3"/>
    <w:rsid w:val="00806B2D"/>
    <w:rsid w:val="00806BC6"/>
    <w:rsid w:val="00806C47"/>
    <w:rsid w:val="00806CCC"/>
    <w:rsid w:val="00806D52"/>
    <w:rsid w:val="00806D59"/>
    <w:rsid w:val="00806DAB"/>
    <w:rsid w:val="00806DBC"/>
    <w:rsid w:val="00806E31"/>
    <w:rsid w:val="00806F04"/>
    <w:rsid w:val="00806F9B"/>
    <w:rsid w:val="00806FAE"/>
    <w:rsid w:val="00806FF6"/>
    <w:rsid w:val="00807055"/>
    <w:rsid w:val="00807067"/>
    <w:rsid w:val="00807102"/>
    <w:rsid w:val="00807168"/>
    <w:rsid w:val="00807183"/>
    <w:rsid w:val="008071AD"/>
    <w:rsid w:val="008071B1"/>
    <w:rsid w:val="008071C6"/>
    <w:rsid w:val="008071CB"/>
    <w:rsid w:val="00807275"/>
    <w:rsid w:val="008072B0"/>
    <w:rsid w:val="008072E3"/>
    <w:rsid w:val="00807327"/>
    <w:rsid w:val="008074A9"/>
    <w:rsid w:val="008074B5"/>
    <w:rsid w:val="00807519"/>
    <w:rsid w:val="00807593"/>
    <w:rsid w:val="0080759F"/>
    <w:rsid w:val="00807659"/>
    <w:rsid w:val="00807679"/>
    <w:rsid w:val="00807734"/>
    <w:rsid w:val="0080794D"/>
    <w:rsid w:val="00807982"/>
    <w:rsid w:val="008079BA"/>
    <w:rsid w:val="00807A3D"/>
    <w:rsid w:val="00807A9A"/>
    <w:rsid w:val="00807AF5"/>
    <w:rsid w:val="00807B6D"/>
    <w:rsid w:val="00807BA1"/>
    <w:rsid w:val="00807C5E"/>
    <w:rsid w:val="00807CDC"/>
    <w:rsid w:val="00807CE3"/>
    <w:rsid w:val="00807D1E"/>
    <w:rsid w:val="00807D8B"/>
    <w:rsid w:val="00807D93"/>
    <w:rsid w:val="00807DB6"/>
    <w:rsid w:val="00807DD4"/>
    <w:rsid w:val="00807E0A"/>
    <w:rsid w:val="00807E59"/>
    <w:rsid w:val="00807ED0"/>
    <w:rsid w:val="00807EE3"/>
    <w:rsid w:val="00807F18"/>
    <w:rsid w:val="0081003F"/>
    <w:rsid w:val="00810088"/>
    <w:rsid w:val="008100A7"/>
    <w:rsid w:val="0081016A"/>
    <w:rsid w:val="00810208"/>
    <w:rsid w:val="00810211"/>
    <w:rsid w:val="008102D4"/>
    <w:rsid w:val="0081035B"/>
    <w:rsid w:val="008103B2"/>
    <w:rsid w:val="0081045C"/>
    <w:rsid w:val="00810484"/>
    <w:rsid w:val="00810488"/>
    <w:rsid w:val="00810497"/>
    <w:rsid w:val="008105A1"/>
    <w:rsid w:val="008105A7"/>
    <w:rsid w:val="00810679"/>
    <w:rsid w:val="008106CE"/>
    <w:rsid w:val="008106DE"/>
    <w:rsid w:val="0081072F"/>
    <w:rsid w:val="00810848"/>
    <w:rsid w:val="00810857"/>
    <w:rsid w:val="0081090B"/>
    <w:rsid w:val="0081090D"/>
    <w:rsid w:val="00810952"/>
    <w:rsid w:val="00810975"/>
    <w:rsid w:val="008109CB"/>
    <w:rsid w:val="00810A05"/>
    <w:rsid w:val="00810A0A"/>
    <w:rsid w:val="00810A4D"/>
    <w:rsid w:val="00810AA6"/>
    <w:rsid w:val="00810ABD"/>
    <w:rsid w:val="00810B6E"/>
    <w:rsid w:val="00810B7F"/>
    <w:rsid w:val="00810BE9"/>
    <w:rsid w:val="00810C0A"/>
    <w:rsid w:val="00810C1D"/>
    <w:rsid w:val="00810D04"/>
    <w:rsid w:val="00810D90"/>
    <w:rsid w:val="00810D91"/>
    <w:rsid w:val="00810DCB"/>
    <w:rsid w:val="00810DF8"/>
    <w:rsid w:val="00810E62"/>
    <w:rsid w:val="00810E9F"/>
    <w:rsid w:val="00810F3B"/>
    <w:rsid w:val="00810F62"/>
    <w:rsid w:val="00810F63"/>
    <w:rsid w:val="00810F6D"/>
    <w:rsid w:val="00810F72"/>
    <w:rsid w:val="00810F7A"/>
    <w:rsid w:val="00810F86"/>
    <w:rsid w:val="00811000"/>
    <w:rsid w:val="008110E3"/>
    <w:rsid w:val="00811148"/>
    <w:rsid w:val="0081115A"/>
    <w:rsid w:val="008111B8"/>
    <w:rsid w:val="008111F7"/>
    <w:rsid w:val="008113D3"/>
    <w:rsid w:val="00811433"/>
    <w:rsid w:val="00811452"/>
    <w:rsid w:val="00811461"/>
    <w:rsid w:val="00811483"/>
    <w:rsid w:val="008114BA"/>
    <w:rsid w:val="00811503"/>
    <w:rsid w:val="0081150E"/>
    <w:rsid w:val="00811594"/>
    <w:rsid w:val="008115AA"/>
    <w:rsid w:val="00811635"/>
    <w:rsid w:val="0081169F"/>
    <w:rsid w:val="008116A2"/>
    <w:rsid w:val="008116FD"/>
    <w:rsid w:val="0081172B"/>
    <w:rsid w:val="0081176A"/>
    <w:rsid w:val="008117B8"/>
    <w:rsid w:val="008117DC"/>
    <w:rsid w:val="00811888"/>
    <w:rsid w:val="0081188A"/>
    <w:rsid w:val="008118ED"/>
    <w:rsid w:val="008118FE"/>
    <w:rsid w:val="00811988"/>
    <w:rsid w:val="008119AC"/>
    <w:rsid w:val="008119C5"/>
    <w:rsid w:val="008119C9"/>
    <w:rsid w:val="00811A1E"/>
    <w:rsid w:val="00811A28"/>
    <w:rsid w:val="00811AA6"/>
    <w:rsid w:val="00811B68"/>
    <w:rsid w:val="00811B7F"/>
    <w:rsid w:val="00811C67"/>
    <w:rsid w:val="00811CCE"/>
    <w:rsid w:val="00811D01"/>
    <w:rsid w:val="00811D4F"/>
    <w:rsid w:val="00811D5B"/>
    <w:rsid w:val="00811D9F"/>
    <w:rsid w:val="00811DE5"/>
    <w:rsid w:val="00811E41"/>
    <w:rsid w:val="00811F97"/>
    <w:rsid w:val="00812029"/>
    <w:rsid w:val="0081205C"/>
    <w:rsid w:val="008120E6"/>
    <w:rsid w:val="00812194"/>
    <w:rsid w:val="008122BE"/>
    <w:rsid w:val="00812317"/>
    <w:rsid w:val="00812324"/>
    <w:rsid w:val="0081235E"/>
    <w:rsid w:val="0081243A"/>
    <w:rsid w:val="00812511"/>
    <w:rsid w:val="0081257A"/>
    <w:rsid w:val="008125B5"/>
    <w:rsid w:val="0081262B"/>
    <w:rsid w:val="00812658"/>
    <w:rsid w:val="008126E8"/>
    <w:rsid w:val="00812718"/>
    <w:rsid w:val="00812749"/>
    <w:rsid w:val="008127B2"/>
    <w:rsid w:val="00812844"/>
    <w:rsid w:val="00812889"/>
    <w:rsid w:val="008128F4"/>
    <w:rsid w:val="008128F8"/>
    <w:rsid w:val="00812B50"/>
    <w:rsid w:val="00812C56"/>
    <w:rsid w:val="00812D11"/>
    <w:rsid w:val="00812D16"/>
    <w:rsid w:val="00812DF2"/>
    <w:rsid w:val="00812E0C"/>
    <w:rsid w:val="00812EA8"/>
    <w:rsid w:val="00812EF2"/>
    <w:rsid w:val="00812F6C"/>
    <w:rsid w:val="00812FC2"/>
    <w:rsid w:val="00812FFE"/>
    <w:rsid w:val="00813000"/>
    <w:rsid w:val="00813095"/>
    <w:rsid w:val="00813142"/>
    <w:rsid w:val="0081315F"/>
    <w:rsid w:val="00813168"/>
    <w:rsid w:val="008131E9"/>
    <w:rsid w:val="00813289"/>
    <w:rsid w:val="008132A8"/>
    <w:rsid w:val="008132CE"/>
    <w:rsid w:val="0081336F"/>
    <w:rsid w:val="00813376"/>
    <w:rsid w:val="00813456"/>
    <w:rsid w:val="0081345D"/>
    <w:rsid w:val="008134E0"/>
    <w:rsid w:val="008134F7"/>
    <w:rsid w:val="0081354B"/>
    <w:rsid w:val="00813589"/>
    <w:rsid w:val="00813639"/>
    <w:rsid w:val="00813728"/>
    <w:rsid w:val="00813760"/>
    <w:rsid w:val="00813781"/>
    <w:rsid w:val="00813812"/>
    <w:rsid w:val="00813824"/>
    <w:rsid w:val="008138DC"/>
    <w:rsid w:val="00813906"/>
    <w:rsid w:val="0081390D"/>
    <w:rsid w:val="0081394E"/>
    <w:rsid w:val="008139AF"/>
    <w:rsid w:val="00813A06"/>
    <w:rsid w:val="00813A4B"/>
    <w:rsid w:val="00813A68"/>
    <w:rsid w:val="00813AA1"/>
    <w:rsid w:val="00813BC2"/>
    <w:rsid w:val="00813C2F"/>
    <w:rsid w:val="00813C86"/>
    <w:rsid w:val="00813CDF"/>
    <w:rsid w:val="00813E07"/>
    <w:rsid w:val="00813E47"/>
    <w:rsid w:val="00813E98"/>
    <w:rsid w:val="00813EB7"/>
    <w:rsid w:val="00813EBB"/>
    <w:rsid w:val="00813EFC"/>
    <w:rsid w:val="00813F16"/>
    <w:rsid w:val="00813FE9"/>
    <w:rsid w:val="00813FF4"/>
    <w:rsid w:val="00814163"/>
    <w:rsid w:val="008141CF"/>
    <w:rsid w:val="008141F6"/>
    <w:rsid w:val="00814202"/>
    <w:rsid w:val="00814282"/>
    <w:rsid w:val="00814304"/>
    <w:rsid w:val="00814317"/>
    <w:rsid w:val="00814375"/>
    <w:rsid w:val="00814377"/>
    <w:rsid w:val="00814390"/>
    <w:rsid w:val="0081444D"/>
    <w:rsid w:val="008144E1"/>
    <w:rsid w:val="00814584"/>
    <w:rsid w:val="0081459F"/>
    <w:rsid w:val="00814694"/>
    <w:rsid w:val="008146AE"/>
    <w:rsid w:val="00814803"/>
    <w:rsid w:val="00814829"/>
    <w:rsid w:val="00814830"/>
    <w:rsid w:val="00814833"/>
    <w:rsid w:val="00814856"/>
    <w:rsid w:val="0081485D"/>
    <w:rsid w:val="00814879"/>
    <w:rsid w:val="0081487E"/>
    <w:rsid w:val="00814982"/>
    <w:rsid w:val="0081498C"/>
    <w:rsid w:val="008149AC"/>
    <w:rsid w:val="00814A0C"/>
    <w:rsid w:val="00814B45"/>
    <w:rsid w:val="00814BCB"/>
    <w:rsid w:val="00814BE9"/>
    <w:rsid w:val="00814C13"/>
    <w:rsid w:val="00814C9D"/>
    <w:rsid w:val="00814CA6"/>
    <w:rsid w:val="00814ECD"/>
    <w:rsid w:val="00814EED"/>
    <w:rsid w:val="00814F6D"/>
    <w:rsid w:val="0081508A"/>
    <w:rsid w:val="008150AE"/>
    <w:rsid w:val="008150C8"/>
    <w:rsid w:val="00815124"/>
    <w:rsid w:val="00815191"/>
    <w:rsid w:val="008151A6"/>
    <w:rsid w:val="008151BF"/>
    <w:rsid w:val="00815261"/>
    <w:rsid w:val="0081527C"/>
    <w:rsid w:val="00815282"/>
    <w:rsid w:val="008152F2"/>
    <w:rsid w:val="0081534A"/>
    <w:rsid w:val="00815352"/>
    <w:rsid w:val="00815381"/>
    <w:rsid w:val="008153EB"/>
    <w:rsid w:val="00815438"/>
    <w:rsid w:val="0081544C"/>
    <w:rsid w:val="0081547E"/>
    <w:rsid w:val="00815486"/>
    <w:rsid w:val="008154CC"/>
    <w:rsid w:val="008154F0"/>
    <w:rsid w:val="008154FB"/>
    <w:rsid w:val="0081551D"/>
    <w:rsid w:val="00815540"/>
    <w:rsid w:val="00815599"/>
    <w:rsid w:val="008155C7"/>
    <w:rsid w:val="00815635"/>
    <w:rsid w:val="0081565D"/>
    <w:rsid w:val="008156D4"/>
    <w:rsid w:val="008156E2"/>
    <w:rsid w:val="008157B2"/>
    <w:rsid w:val="00815876"/>
    <w:rsid w:val="0081587B"/>
    <w:rsid w:val="00815881"/>
    <w:rsid w:val="00815920"/>
    <w:rsid w:val="0081592B"/>
    <w:rsid w:val="00815954"/>
    <w:rsid w:val="008159EE"/>
    <w:rsid w:val="00815A44"/>
    <w:rsid w:val="00815B71"/>
    <w:rsid w:val="00815B81"/>
    <w:rsid w:val="00815BC8"/>
    <w:rsid w:val="00815C47"/>
    <w:rsid w:val="00815C6B"/>
    <w:rsid w:val="00815E01"/>
    <w:rsid w:val="00815ED1"/>
    <w:rsid w:val="00815EDC"/>
    <w:rsid w:val="00815F33"/>
    <w:rsid w:val="00815F7A"/>
    <w:rsid w:val="00815F82"/>
    <w:rsid w:val="00815FAD"/>
    <w:rsid w:val="0081608C"/>
    <w:rsid w:val="008160D8"/>
    <w:rsid w:val="0081615C"/>
    <w:rsid w:val="0081618F"/>
    <w:rsid w:val="008161A9"/>
    <w:rsid w:val="008161B4"/>
    <w:rsid w:val="0081620A"/>
    <w:rsid w:val="00816221"/>
    <w:rsid w:val="00816222"/>
    <w:rsid w:val="008162A2"/>
    <w:rsid w:val="00816339"/>
    <w:rsid w:val="00816363"/>
    <w:rsid w:val="0081638C"/>
    <w:rsid w:val="008163C1"/>
    <w:rsid w:val="00816436"/>
    <w:rsid w:val="00816449"/>
    <w:rsid w:val="00816499"/>
    <w:rsid w:val="00816520"/>
    <w:rsid w:val="00816535"/>
    <w:rsid w:val="0081653B"/>
    <w:rsid w:val="00816585"/>
    <w:rsid w:val="008165FC"/>
    <w:rsid w:val="0081660A"/>
    <w:rsid w:val="008166D7"/>
    <w:rsid w:val="008166D8"/>
    <w:rsid w:val="0081670A"/>
    <w:rsid w:val="00816712"/>
    <w:rsid w:val="00816769"/>
    <w:rsid w:val="008167E8"/>
    <w:rsid w:val="0081682D"/>
    <w:rsid w:val="008168A1"/>
    <w:rsid w:val="008168BE"/>
    <w:rsid w:val="00816A0F"/>
    <w:rsid w:val="00816A33"/>
    <w:rsid w:val="00816A38"/>
    <w:rsid w:val="00816A3E"/>
    <w:rsid w:val="00816ABE"/>
    <w:rsid w:val="00816B98"/>
    <w:rsid w:val="00816BEF"/>
    <w:rsid w:val="00816C04"/>
    <w:rsid w:val="00816C31"/>
    <w:rsid w:val="00816C9C"/>
    <w:rsid w:val="00816CBE"/>
    <w:rsid w:val="00816D48"/>
    <w:rsid w:val="00816D8B"/>
    <w:rsid w:val="00816D8E"/>
    <w:rsid w:val="00816DCB"/>
    <w:rsid w:val="00816E1F"/>
    <w:rsid w:val="00816E44"/>
    <w:rsid w:val="00816E93"/>
    <w:rsid w:val="00816FCC"/>
    <w:rsid w:val="00817071"/>
    <w:rsid w:val="0081708F"/>
    <w:rsid w:val="008170BC"/>
    <w:rsid w:val="008170D2"/>
    <w:rsid w:val="00817122"/>
    <w:rsid w:val="00817160"/>
    <w:rsid w:val="008171A9"/>
    <w:rsid w:val="008171ED"/>
    <w:rsid w:val="0081723C"/>
    <w:rsid w:val="0081725A"/>
    <w:rsid w:val="00817272"/>
    <w:rsid w:val="008172DE"/>
    <w:rsid w:val="008172EE"/>
    <w:rsid w:val="00817317"/>
    <w:rsid w:val="0081738E"/>
    <w:rsid w:val="008173E1"/>
    <w:rsid w:val="008173F7"/>
    <w:rsid w:val="00817402"/>
    <w:rsid w:val="0081743A"/>
    <w:rsid w:val="0081756D"/>
    <w:rsid w:val="008175A2"/>
    <w:rsid w:val="008175C5"/>
    <w:rsid w:val="0081760C"/>
    <w:rsid w:val="0081760E"/>
    <w:rsid w:val="0081762E"/>
    <w:rsid w:val="00817705"/>
    <w:rsid w:val="00817798"/>
    <w:rsid w:val="008177D9"/>
    <w:rsid w:val="0081784A"/>
    <w:rsid w:val="008178D2"/>
    <w:rsid w:val="008179ED"/>
    <w:rsid w:val="00817AB9"/>
    <w:rsid w:val="00817B19"/>
    <w:rsid w:val="00817BBE"/>
    <w:rsid w:val="00817BC8"/>
    <w:rsid w:val="00817BE5"/>
    <w:rsid w:val="00817C0B"/>
    <w:rsid w:val="00817CCC"/>
    <w:rsid w:val="00817D1D"/>
    <w:rsid w:val="00817D86"/>
    <w:rsid w:val="00817E0B"/>
    <w:rsid w:val="00817E50"/>
    <w:rsid w:val="00817F5B"/>
    <w:rsid w:val="00817FFB"/>
    <w:rsid w:val="008200BF"/>
    <w:rsid w:val="008201E2"/>
    <w:rsid w:val="008202FE"/>
    <w:rsid w:val="00820325"/>
    <w:rsid w:val="0082035C"/>
    <w:rsid w:val="008203A5"/>
    <w:rsid w:val="00820450"/>
    <w:rsid w:val="008204D4"/>
    <w:rsid w:val="0082054E"/>
    <w:rsid w:val="0082059F"/>
    <w:rsid w:val="008205BA"/>
    <w:rsid w:val="00820753"/>
    <w:rsid w:val="008207F5"/>
    <w:rsid w:val="0082080B"/>
    <w:rsid w:val="0082081D"/>
    <w:rsid w:val="00820834"/>
    <w:rsid w:val="00820892"/>
    <w:rsid w:val="00820946"/>
    <w:rsid w:val="008209CB"/>
    <w:rsid w:val="008209F9"/>
    <w:rsid w:val="00820B05"/>
    <w:rsid w:val="00820B54"/>
    <w:rsid w:val="00820BCE"/>
    <w:rsid w:val="00820C01"/>
    <w:rsid w:val="00820C07"/>
    <w:rsid w:val="00820CAB"/>
    <w:rsid w:val="00820CFC"/>
    <w:rsid w:val="00820D1C"/>
    <w:rsid w:val="00820E38"/>
    <w:rsid w:val="00820E4B"/>
    <w:rsid w:val="00820E94"/>
    <w:rsid w:val="00820F66"/>
    <w:rsid w:val="0082101F"/>
    <w:rsid w:val="00821064"/>
    <w:rsid w:val="00821105"/>
    <w:rsid w:val="0082114C"/>
    <w:rsid w:val="00821217"/>
    <w:rsid w:val="00821264"/>
    <w:rsid w:val="00821337"/>
    <w:rsid w:val="00821372"/>
    <w:rsid w:val="008213AE"/>
    <w:rsid w:val="00821423"/>
    <w:rsid w:val="008214AB"/>
    <w:rsid w:val="008214B2"/>
    <w:rsid w:val="008214BC"/>
    <w:rsid w:val="008214D2"/>
    <w:rsid w:val="00821500"/>
    <w:rsid w:val="008215E4"/>
    <w:rsid w:val="008215EB"/>
    <w:rsid w:val="0082164E"/>
    <w:rsid w:val="00821664"/>
    <w:rsid w:val="008216AF"/>
    <w:rsid w:val="008217C8"/>
    <w:rsid w:val="00821817"/>
    <w:rsid w:val="00821823"/>
    <w:rsid w:val="00821896"/>
    <w:rsid w:val="008218C7"/>
    <w:rsid w:val="008218FD"/>
    <w:rsid w:val="00821959"/>
    <w:rsid w:val="00821993"/>
    <w:rsid w:val="008219B5"/>
    <w:rsid w:val="008219EE"/>
    <w:rsid w:val="00821A6E"/>
    <w:rsid w:val="00821AB2"/>
    <w:rsid w:val="00821B0F"/>
    <w:rsid w:val="00821B81"/>
    <w:rsid w:val="00821B99"/>
    <w:rsid w:val="00821BD9"/>
    <w:rsid w:val="00821D74"/>
    <w:rsid w:val="00821DF5"/>
    <w:rsid w:val="00821E49"/>
    <w:rsid w:val="00821EE8"/>
    <w:rsid w:val="00821F75"/>
    <w:rsid w:val="00821FB0"/>
    <w:rsid w:val="00821FB3"/>
    <w:rsid w:val="008220DB"/>
    <w:rsid w:val="00822165"/>
    <w:rsid w:val="008221D4"/>
    <w:rsid w:val="00822283"/>
    <w:rsid w:val="008222A0"/>
    <w:rsid w:val="008222DC"/>
    <w:rsid w:val="00822305"/>
    <w:rsid w:val="0082232A"/>
    <w:rsid w:val="008223A6"/>
    <w:rsid w:val="008223ED"/>
    <w:rsid w:val="00822403"/>
    <w:rsid w:val="0082252D"/>
    <w:rsid w:val="0082272D"/>
    <w:rsid w:val="0082273F"/>
    <w:rsid w:val="00822740"/>
    <w:rsid w:val="00822774"/>
    <w:rsid w:val="00822797"/>
    <w:rsid w:val="00822839"/>
    <w:rsid w:val="00822862"/>
    <w:rsid w:val="008228E0"/>
    <w:rsid w:val="00822926"/>
    <w:rsid w:val="00822965"/>
    <w:rsid w:val="008229F3"/>
    <w:rsid w:val="00822A9A"/>
    <w:rsid w:val="00822B00"/>
    <w:rsid w:val="00822B59"/>
    <w:rsid w:val="00822BDA"/>
    <w:rsid w:val="00822C1E"/>
    <w:rsid w:val="00822C80"/>
    <w:rsid w:val="00822C9F"/>
    <w:rsid w:val="00822FC1"/>
    <w:rsid w:val="00823051"/>
    <w:rsid w:val="0082305F"/>
    <w:rsid w:val="00823079"/>
    <w:rsid w:val="008230C1"/>
    <w:rsid w:val="0082315D"/>
    <w:rsid w:val="00823175"/>
    <w:rsid w:val="008231B6"/>
    <w:rsid w:val="008233D7"/>
    <w:rsid w:val="008234AB"/>
    <w:rsid w:val="008234C8"/>
    <w:rsid w:val="008235B0"/>
    <w:rsid w:val="008235E2"/>
    <w:rsid w:val="0082360C"/>
    <w:rsid w:val="00823650"/>
    <w:rsid w:val="00823669"/>
    <w:rsid w:val="0082367D"/>
    <w:rsid w:val="008236AB"/>
    <w:rsid w:val="008236DB"/>
    <w:rsid w:val="0082380D"/>
    <w:rsid w:val="0082389B"/>
    <w:rsid w:val="008239D7"/>
    <w:rsid w:val="00823A01"/>
    <w:rsid w:val="00823A22"/>
    <w:rsid w:val="00823A38"/>
    <w:rsid w:val="00823A78"/>
    <w:rsid w:val="00823AF4"/>
    <w:rsid w:val="00823B82"/>
    <w:rsid w:val="00823C3F"/>
    <w:rsid w:val="00823CA2"/>
    <w:rsid w:val="00823CF3"/>
    <w:rsid w:val="00823D17"/>
    <w:rsid w:val="00823E2D"/>
    <w:rsid w:val="00823E75"/>
    <w:rsid w:val="00823ED0"/>
    <w:rsid w:val="00823EFF"/>
    <w:rsid w:val="00823F00"/>
    <w:rsid w:val="00823F7A"/>
    <w:rsid w:val="00824090"/>
    <w:rsid w:val="008240A8"/>
    <w:rsid w:val="008240D8"/>
    <w:rsid w:val="0082415D"/>
    <w:rsid w:val="0082416C"/>
    <w:rsid w:val="0082419A"/>
    <w:rsid w:val="00824208"/>
    <w:rsid w:val="0082422B"/>
    <w:rsid w:val="00824242"/>
    <w:rsid w:val="00824298"/>
    <w:rsid w:val="008242B8"/>
    <w:rsid w:val="008242CE"/>
    <w:rsid w:val="008242F0"/>
    <w:rsid w:val="0082431E"/>
    <w:rsid w:val="00824350"/>
    <w:rsid w:val="00824355"/>
    <w:rsid w:val="0082435F"/>
    <w:rsid w:val="008243A4"/>
    <w:rsid w:val="008243E9"/>
    <w:rsid w:val="0082441D"/>
    <w:rsid w:val="0082442C"/>
    <w:rsid w:val="00824514"/>
    <w:rsid w:val="0082453D"/>
    <w:rsid w:val="0082455C"/>
    <w:rsid w:val="0082467B"/>
    <w:rsid w:val="008246BF"/>
    <w:rsid w:val="008246DC"/>
    <w:rsid w:val="00824727"/>
    <w:rsid w:val="0082474C"/>
    <w:rsid w:val="0082474D"/>
    <w:rsid w:val="008248E2"/>
    <w:rsid w:val="0082492A"/>
    <w:rsid w:val="008249DD"/>
    <w:rsid w:val="008249E7"/>
    <w:rsid w:val="008249F0"/>
    <w:rsid w:val="00824AFB"/>
    <w:rsid w:val="00824B48"/>
    <w:rsid w:val="00824B87"/>
    <w:rsid w:val="00824C35"/>
    <w:rsid w:val="00824CFD"/>
    <w:rsid w:val="00824D4B"/>
    <w:rsid w:val="00824E84"/>
    <w:rsid w:val="00824E88"/>
    <w:rsid w:val="00824FB2"/>
    <w:rsid w:val="00824FCB"/>
    <w:rsid w:val="00825036"/>
    <w:rsid w:val="008250D5"/>
    <w:rsid w:val="0082517B"/>
    <w:rsid w:val="00825205"/>
    <w:rsid w:val="00825220"/>
    <w:rsid w:val="00825227"/>
    <w:rsid w:val="0082522B"/>
    <w:rsid w:val="0082526E"/>
    <w:rsid w:val="00825285"/>
    <w:rsid w:val="0082536A"/>
    <w:rsid w:val="008253F7"/>
    <w:rsid w:val="00825479"/>
    <w:rsid w:val="00825493"/>
    <w:rsid w:val="00825497"/>
    <w:rsid w:val="00825519"/>
    <w:rsid w:val="00825564"/>
    <w:rsid w:val="00825576"/>
    <w:rsid w:val="008255EC"/>
    <w:rsid w:val="00825600"/>
    <w:rsid w:val="008256B6"/>
    <w:rsid w:val="00825732"/>
    <w:rsid w:val="00825750"/>
    <w:rsid w:val="00825788"/>
    <w:rsid w:val="008257ED"/>
    <w:rsid w:val="00825805"/>
    <w:rsid w:val="0082582C"/>
    <w:rsid w:val="0082582E"/>
    <w:rsid w:val="0082584C"/>
    <w:rsid w:val="00825888"/>
    <w:rsid w:val="00825928"/>
    <w:rsid w:val="00825A8D"/>
    <w:rsid w:val="00825A93"/>
    <w:rsid w:val="00825A98"/>
    <w:rsid w:val="00825ABE"/>
    <w:rsid w:val="00825B1E"/>
    <w:rsid w:val="00825B4E"/>
    <w:rsid w:val="00825B54"/>
    <w:rsid w:val="00825B5B"/>
    <w:rsid w:val="00825B77"/>
    <w:rsid w:val="00825C28"/>
    <w:rsid w:val="00825C38"/>
    <w:rsid w:val="00825C6C"/>
    <w:rsid w:val="00825D92"/>
    <w:rsid w:val="00825D9F"/>
    <w:rsid w:val="00825DAC"/>
    <w:rsid w:val="00825E09"/>
    <w:rsid w:val="00825ED9"/>
    <w:rsid w:val="0082600B"/>
    <w:rsid w:val="00826093"/>
    <w:rsid w:val="00826105"/>
    <w:rsid w:val="00826168"/>
    <w:rsid w:val="008261C7"/>
    <w:rsid w:val="00826229"/>
    <w:rsid w:val="008262A5"/>
    <w:rsid w:val="008262E3"/>
    <w:rsid w:val="00826322"/>
    <w:rsid w:val="00826390"/>
    <w:rsid w:val="00826490"/>
    <w:rsid w:val="008264AE"/>
    <w:rsid w:val="008264E7"/>
    <w:rsid w:val="008264F5"/>
    <w:rsid w:val="008265DC"/>
    <w:rsid w:val="0082664F"/>
    <w:rsid w:val="00826691"/>
    <w:rsid w:val="008266A7"/>
    <w:rsid w:val="008268AF"/>
    <w:rsid w:val="0082692C"/>
    <w:rsid w:val="00826992"/>
    <w:rsid w:val="008269BC"/>
    <w:rsid w:val="008269BF"/>
    <w:rsid w:val="008269F1"/>
    <w:rsid w:val="00826A47"/>
    <w:rsid w:val="00826AD0"/>
    <w:rsid w:val="00826B06"/>
    <w:rsid w:val="00826BB0"/>
    <w:rsid w:val="00826BC8"/>
    <w:rsid w:val="00826C44"/>
    <w:rsid w:val="00826C88"/>
    <w:rsid w:val="00826D05"/>
    <w:rsid w:val="00826DA7"/>
    <w:rsid w:val="00826E09"/>
    <w:rsid w:val="00826E0B"/>
    <w:rsid w:val="00826EBC"/>
    <w:rsid w:val="00826EDB"/>
    <w:rsid w:val="00826FB1"/>
    <w:rsid w:val="008270C9"/>
    <w:rsid w:val="008270F5"/>
    <w:rsid w:val="0082712A"/>
    <w:rsid w:val="00827142"/>
    <w:rsid w:val="0082721F"/>
    <w:rsid w:val="00827240"/>
    <w:rsid w:val="0082724C"/>
    <w:rsid w:val="00827284"/>
    <w:rsid w:val="008272D9"/>
    <w:rsid w:val="008272FD"/>
    <w:rsid w:val="00827397"/>
    <w:rsid w:val="008273D4"/>
    <w:rsid w:val="008273E9"/>
    <w:rsid w:val="008273F3"/>
    <w:rsid w:val="0082741B"/>
    <w:rsid w:val="00827420"/>
    <w:rsid w:val="0082743A"/>
    <w:rsid w:val="0082746B"/>
    <w:rsid w:val="00827474"/>
    <w:rsid w:val="008274F1"/>
    <w:rsid w:val="008274F3"/>
    <w:rsid w:val="00827562"/>
    <w:rsid w:val="00827656"/>
    <w:rsid w:val="00827762"/>
    <w:rsid w:val="0082779B"/>
    <w:rsid w:val="008277BB"/>
    <w:rsid w:val="008277C7"/>
    <w:rsid w:val="008277F5"/>
    <w:rsid w:val="00827845"/>
    <w:rsid w:val="008278A9"/>
    <w:rsid w:val="008278C8"/>
    <w:rsid w:val="0082794F"/>
    <w:rsid w:val="00827974"/>
    <w:rsid w:val="0082797D"/>
    <w:rsid w:val="00827986"/>
    <w:rsid w:val="00827991"/>
    <w:rsid w:val="00827A42"/>
    <w:rsid w:val="00827A84"/>
    <w:rsid w:val="00827A8B"/>
    <w:rsid w:val="00827A9E"/>
    <w:rsid w:val="00827B10"/>
    <w:rsid w:val="00827B7A"/>
    <w:rsid w:val="00827B8C"/>
    <w:rsid w:val="00827B94"/>
    <w:rsid w:val="00827C13"/>
    <w:rsid w:val="00827CE7"/>
    <w:rsid w:val="00827D3B"/>
    <w:rsid w:val="00827DF4"/>
    <w:rsid w:val="00827E27"/>
    <w:rsid w:val="00827E42"/>
    <w:rsid w:val="00827EE9"/>
    <w:rsid w:val="00827F3E"/>
    <w:rsid w:val="00827FDD"/>
    <w:rsid w:val="0082902B"/>
    <w:rsid w:val="00830011"/>
    <w:rsid w:val="00830152"/>
    <w:rsid w:val="008301BD"/>
    <w:rsid w:val="008301C8"/>
    <w:rsid w:val="0083022E"/>
    <w:rsid w:val="0083023B"/>
    <w:rsid w:val="0083024A"/>
    <w:rsid w:val="008302E1"/>
    <w:rsid w:val="008302F9"/>
    <w:rsid w:val="008303E9"/>
    <w:rsid w:val="0083044B"/>
    <w:rsid w:val="008304A7"/>
    <w:rsid w:val="008304D1"/>
    <w:rsid w:val="008304F5"/>
    <w:rsid w:val="0083056E"/>
    <w:rsid w:val="00830686"/>
    <w:rsid w:val="008306A4"/>
    <w:rsid w:val="00830704"/>
    <w:rsid w:val="00830798"/>
    <w:rsid w:val="00830896"/>
    <w:rsid w:val="008308DD"/>
    <w:rsid w:val="0083095A"/>
    <w:rsid w:val="008309EA"/>
    <w:rsid w:val="00830A21"/>
    <w:rsid w:val="00830A8F"/>
    <w:rsid w:val="00830AF7"/>
    <w:rsid w:val="00830B02"/>
    <w:rsid w:val="00830B5F"/>
    <w:rsid w:val="00830B76"/>
    <w:rsid w:val="00830BA8"/>
    <w:rsid w:val="00830BBD"/>
    <w:rsid w:val="00830BC5"/>
    <w:rsid w:val="00830C23"/>
    <w:rsid w:val="00830C31"/>
    <w:rsid w:val="00830C38"/>
    <w:rsid w:val="00830CF1"/>
    <w:rsid w:val="00830D57"/>
    <w:rsid w:val="00830D75"/>
    <w:rsid w:val="00830D76"/>
    <w:rsid w:val="00830DB1"/>
    <w:rsid w:val="00830DFB"/>
    <w:rsid w:val="00830EF8"/>
    <w:rsid w:val="00830FAA"/>
    <w:rsid w:val="00830FD7"/>
    <w:rsid w:val="00831013"/>
    <w:rsid w:val="008310A3"/>
    <w:rsid w:val="00831136"/>
    <w:rsid w:val="008311A6"/>
    <w:rsid w:val="0083121F"/>
    <w:rsid w:val="00831240"/>
    <w:rsid w:val="0083127A"/>
    <w:rsid w:val="00831298"/>
    <w:rsid w:val="008312D0"/>
    <w:rsid w:val="00831354"/>
    <w:rsid w:val="008313B7"/>
    <w:rsid w:val="008313C8"/>
    <w:rsid w:val="008313E5"/>
    <w:rsid w:val="0083146E"/>
    <w:rsid w:val="00831500"/>
    <w:rsid w:val="00831539"/>
    <w:rsid w:val="00831595"/>
    <w:rsid w:val="008315B0"/>
    <w:rsid w:val="00831625"/>
    <w:rsid w:val="00831676"/>
    <w:rsid w:val="00831772"/>
    <w:rsid w:val="008318A8"/>
    <w:rsid w:val="00831943"/>
    <w:rsid w:val="00831995"/>
    <w:rsid w:val="00831A09"/>
    <w:rsid w:val="00831A1E"/>
    <w:rsid w:val="00831A6E"/>
    <w:rsid w:val="00831AE1"/>
    <w:rsid w:val="00831B40"/>
    <w:rsid w:val="00831C09"/>
    <w:rsid w:val="00831CF6"/>
    <w:rsid w:val="00831D16"/>
    <w:rsid w:val="00831DAA"/>
    <w:rsid w:val="00831DB2"/>
    <w:rsid w:val="00831E13"/>
    <w:rsid w:val="00831E61"/>
    <w:rsid w:val="00831EA0"/>
    <w:rsid w:val="00831EE2"/>
    <w:rsid w:val="00831EE5"/>
    <w:rsid w:val="00831F30"/>
    <w:rsid w:val="00831F88"/>
    <w:rsid w:val="00831FF2"/>
    <w:rsid w:val="00832009"/>
    <w:rsid w:val="00832071"/>
    <w:rsid w:val="0083208E"/>
    <w:rsid w:val="0083216F"/>
    <w:rsid w:val="008322BB"/>
    <w:rsid w:val="008322ED"/>
    <w:rsid w:val="008322F4"/>
    <w:rsid w:val="0083236B"/>
    <w:rsid w:val="00832422"/>
    <w:rsid w:val="008324E0"/>
    <w:rsid w:val="00832591"/>
    <w:rsid w:val="0083265F"/>
    <w:rsid w:val="008326CC"/>
    <w:rsid w:val="008326DB"/>
    <w:rsid w:val="008326FD"/>
    <w:rsid w:val="00832712"/>
    <w:rsid w:val="00832767"/>
    <w:rsid w:val="00832862"/>
    <w:rsid w:val="0083288C"/>
    <w:rsid w:val="00832894"/>
    <w:rsid w:val="008328D3"/>
    <w:rsid w:val="008328F2"/>
    <w:rsid w:val="00832970"/>
    <w:rsid w:val="008329AB"/>
    <w:rsid w:val="008329D8"/>
    <w:rsid w:val="00832AB4"/>
    <w:rsid w:val="00832B09"/>
    <w:rsid w:val="00832B36"/>
    <w:rsid w:val="00832BE1"/>
    <w:rsid w:val="00832C2F"/>
    <w:rsid w:val="00832C36"/>
    <w:rsid w:val="00832C52"/>
    <w:rsid w:val="00832C84"/>
    <w:rsid w:val="00832CDF"/>
    <w:rsid w:val="00832D93"/>
    <w:rsid w:val="00832D9C"/>
    <w:rsid w:val="00832DAD"/>
    <w:rsid w:val="00832E1C"/>
    <w:rsid w:val="00832E35"/>
    <w:rsid w:val="00832E77"/>
    <w:rsid w:val="00832EEE"/>
    <w:rsid w:val="00832F0D"/>
    <w:rsid w:val="00832FCC"/>
    <w:rsid w:val="0083306D"/>
    <w:rsid w:val="008330A2"/>
    <w:rsid w:val="008330BD"/>
    <w:rsid w:val="00833113"/>
    <w:rsid w:val="008331A2"/>
    <w:rsid w:val="008331C3"/>
    <w:rsid w:val="00833251"/>
    <w:rsid w:val="0083330E"/>
    <w:rsid w:val="00833384"/>
    <w:rsid w:val="008333CB"/>
    <w:rsid w:val="008333D0"/>
    <w:rsid w:val="0083341A"/>
    <w:rsid w:val="0083342F"/>
    <w:rsid w:val="0083343E"/>
    <w:rsid w:val="008334BB"/>
    <w:rsid w:val="008334CC"/>
    <w:rsid w:val="008334D5"/>
    <w:rsid w:val="008334E6"/>
    <w:rsid w:val="00833533"/>
    <w:rsid w:val="0083354F"/>
    <w:rsid w:val="00833577"/>
    <w:rsid w:val="00833644"/>
    <w:rsid w:val="008336A2"/>
    <w:rsid w:val="008336AB"/>
    <w:rsid w:val="008336D6"/>
    <w:rsid w:val="008337CB"/>
    <w:rsid w:val="0083382B"/>
    <w:rsid w:val="00833838"/>
    <w:rsid w:val="008338CF"/>
    <w:rsid w:val="00833969"/>
    <w:rsid w:val="0083399D"/>
    <w:rsid w:val="008339DC"/>
    <w:rsid w:val="00833A6F"/>
    <w:rsid w:val="00833B97"/>
    <w:rsid w:val="00833C32"/>
    <w:rsid w:val="00833CA4"/>
    <w:rsid w:val="00833CAF"/>
    <w:rsid w:val="00833CC9"/>
    <w:rsid w:val="00833CEF"/>
    <w:rsid w:val="00833D21"/>
    <w:rsid w:val="00833D38"/>
    <w:rsid w:val="00833DEC"/>
    <w:rsid w:val="00833DF0"/>
    <w:rsid w:val="00833DF1"/>
    <w:rsid w:val="00833E72"/>
    <w:rsid w:val="00833F6B"/>
    <w:rsid w:val="00833FA6"/>
    <w:rsid w:val="00833FCD"/>
    <w:rsid w:val="00834022"/>
    <w:rsid w:val="0083409B"/>
    <w:rsid w:val="008340B9"/>
    <w:rsid w:val="00834176"/>
    <w:rsid w:val="0083417E"/>
    <w:rsid w:val="008341DE"/>
    <w:rsid w:val="008341E9"/>
    <w:rsid w:val="00834212"/>
    <w:rsid w:val="0083424D"/>
    <w:rsid w:val="008343B4"/>
    <w:rsid w:val="008343B8"/>
    <w:rsid w:val="008343F7"/>
    <w:rsid w:val="00834400"/>
    <w:rsid w:val="0083440C"/>
    <w:rsid w:val="00834454"/>
    <w:rsid w:val="00834483"/>
    <w:rsid w:val="008346B8"/>
    <w:rsid w:val="008346DC"/>
    <w:rsid w:val="00834822"/>
    <w:rsid w:val="008348CE"/>
    <w:rsid w:val="00834900"/>
    <w:rsid w:val="00834AC3"/>
    <w:rsid w:val="00834ACA"/>
    <w:rsid w:val="00834AE1"/>
    <w:rsid w:val="00834AF5"/>
    <w:rsid w:val="00834B5A"/>
    <w:rsid w:val="00834BDB"/>
    <w:rsid w:val="00834BF9"/>
    <w:rsid w:val="00834C2F"/>
    <w:rsid w:val="00834C6D"/>
    <w:rsid w:val="00834C72"/>
    <w:rsid w:val="00834C73"/>
    <w:rsid w:val="00834CDF"/>
    <w:rsid w:val="00834DD2"/>
    <w:rsid w:val="00834DD6"/>
    <w:rsid w:val="00834E44"/>
    <w:rsid w:val="00834E55"/>
    <w:rsid w:val="00834EEB"/>
    <w:rsid w:val="00834F22"/>
    <w:rsid w:val="00834F91"/>
    <w:rsid w:val="00834FE4"/>
    <w:rsid w:val="00835015"/>
    <w:rsid w:val="00835095"/>
    <w:rsid w:val="00835173"/>
    <w:rsid w:val="008351EE"/>
    <w:rsid w:val="0083521B"/>
    <w:rsid w:val="00835230"/>
    <w:rsid w:val="0083524E"/>
    <w:rsid w:val="0083529D"/>
    <w:rsid w:val="008352B9"/>
    <w:rsid w:val="008352BB"/>
    <w:rsid w:val="008352CD"/>
    <w:rsid w:val="0083537E"/>
    <w:rsid w:val="008353B7"/>
    <w:rsid w:val="008353CF"/>
    <w:rsid w:val="008353F8"/>
    <w:rsid w:val="00835414"/>
    <w:rsid w:val="00835436"/>
    <w:rsid w:val="00835448"/>
    <w:rsid w:val="0083546A"/>
    <w:rsid w:val="0083546B"/>
    <w:rsid w:val="00835491"/>
    <w:rsid w:val="0083557D"/>
    <w:rsid w:val="008355AB"/>
    <w:rsid w:val="008356FC"/>
    <w:rsid w:val="008357EA"/>
    <w:rsid w:val="00835861"/>
    <w:rsid w:val="00835882"/>
    <w:rsid w:val="008358E8"/>
    <w:rsid w:val="00835910"/>
    <w:rsid w:val="00835931"/>
    <w:rsid w:val="0083596C"/>
    <w:rsid w:val="00835A8A"/>
    <w:rsid w:val="00835A9C"/>
    <w:rsid w:val="00835B0C"/>
    <w:rsid w:val="00835B2C"/>
    <w:rsid w:val="00835B3C"/>
    <w:rsid w:val="00835B53"/>
    <w:rsid w:val="00835C63"/>
    <w:rsid w:val="00835C71"/>
    <w:rsid w:val="00835CB2"/>
    <w:rsid w:val="00835CEF"/>
    <w:rsid w:val="00835D2B"/>
    <w:rsid w:val="00835DB1"/>
    <w:rsid w:val="00835DD8"/>
    <w:rsid w:val="00835E1C"/>
    <w:rsid w:val="00835E26"/>
    <w:rsid w:val="00835EF1"/>
    <w:rsid w:val="00835F18"/>
    <w:rsid w:val="00835F3B"/>
    <w:rsid w:val="00835F43"/>
    <w:rsid w:val="00835F4E"/>
    <w:rsid w:val="00835F65"/>
    <w:rsid w:val="00835F85"/>
    <w:rsid w:val="00835FB8"/>
    <w:rsid w:val="00836017"/>
    <w:rsid w:val="0083603B"/>
    <w:rsid w:val="0083607F"/>
    <w:rsid w:val="00836082"/>
    <w:rsid w:val="008360B9"/>
    <w:rsid w:val="00836115"/>
    <w:rsid w:val="0083611A"/>
    <w:rsid w:val="00836120"/>
    <w:rsid w:val="0083615B"/>
    <w:rsid w:val="00836172"/>
    <w:rsid w:val="008362D6"/>
    <w:rsid w:val="008363F5"/>
    <w:rsid w:val="0083641A"/>
    <w:rsid w:val="0083641F"/>
    <w:rsid w:val="00836421"/>
    <w:rsid w:val="0083648F"/>
    <w:rsid w:val="0083649F"/>
    <w:rsid w:val="008364C6"/>
    <w:rsid w:val="008364CB"/>
    <w:rsid w:val="008364EA"/>
    <w:rsid w:val="008365A9"/>
    <w:rsid w:val="0083668C"/>
    <w:rsid w:val="008366F3"/>
    <w:rsid w:val="00836710"/>
    <w:rsid w:val="00836734"/>
    <w:rsid w:val="00836763"/>
    <w:rsid w:val="0083678F"/>
    <w:rsid w:val="0083681D"/>
    <w:rsid w:val="0083682A"/>
    <w:rsid w:val="00836914"/>
    <w:rsid w:val="00836968"/>
    <w:rsid w:val="00836971"/>
    <w:rsid w:val="008369AB"/>
    <w:rsid w:val="008369B1"/>
    <w:rsid w:val="008369EE"/>
    <w:rsid w:val="00836A8C"/>
    <w:rsid w:val="00836BB9"/>
    <w:rsid w:val="00836BFF"/>
    <w:rsid w:val="00836C01"/>
    <w:rsid w:val="00836C7A"/>
    <w:rsid w:val="00836C99"/>
    <w:rsid w:val="00836CCB"/>
    <w:rsid w:val="00836D0B"/>
    <w:rsid w:val="00836D81"/>
    <w:rsid w:val="00836DC0"/>
    <w:rsid w:val="00836EB7"/>
    <w:rsid w:val="00836EE3"/>
    <w:rsid w:val="00836EF9"/>
    <w:rsid w:val="00836F50"/>
    <w:rsid w:val="00836F90"/>
    <w:rsid w:val="00836FD8"/>
    <w:rsid w:val="00837054"/>
    <w:rsid w:val="00837110"/>
    <w:rsid w:val="00837228"/>
    <w:rsid w:val="00837247"/>
    <w:rsid w:val="00837258"/>
    <w:rsid w:val="008372CB"/>
    <w:rsid w:val="0083738F"/>
    <w:rsid w:val="008373BB"/>
    <w:rsid w:val="00837445"/>
    <w:rsid w:val="008374A5"/>
    <w:rsid w:val="00837544"/>
    <w:rsid w:val="00837575"/>
    <w:rsid w:val="00837596"/>
    <w:rsid w:val="008375D8"/>
    <w:rsid w:val="00837652"/>
    <w:rsid w:val="008376F8"/>
    <w:rsid w:val="00837762"/>
    <w:rsid w:val="00837821"/>
    <w:rsid w:val="0083782E"/>
    <w:rsid w:val="008378C2"/>
    <w:rsid w:val="008379A8"/>
    <w:rsid w:val="008379CB"/>
    <w:rsid w:val="00837A39"/>
    <w:rsid w:val="00837A3B"/>
    <w:rsid w:val="00837A47"/>
    <w:rsid w:val="00837B12"/>
    <w:rsid w:val="00837BFC"/>
    <w:rsid w:val="00837C80"/>
    <w:rsid w:val="00837C96"/>
    <w:rsid w:val="00837D64"/>
    <w:rsid w:val="00837E02"/>
    <w:rsid w:val="00837E65"/>
    <w:rsid w:val="00837F28"/>
    <w:rsid w:val="00837F3A"/>
    <w:rsid w:val="00837F89"/>
    <w:rsid w:val="00837F9D"/>
    <w:rsid w:val="00837FD4"/>
    <w:rsid w:val="00840054"/>
    <w:rsid w:val="008400B0"/>
    <w:rsid w:val="008400CD"/>
    <w:rsid w:val="0084015D"/>
    <w:rsid w:val="00840181"/>
    <w:rsid w:val="008401C3"/>
    <w:rsid w:val="0084026A"/>
    <w:rsid w:val="0084029B"/>
    <w:rsid w:val="008402B1"/>
    <w:rsid w:val="008403B9"/>
    <w:rsid w:val="00840478"/>
    <w:rsid w:val="00840496"/>
    <w:rsid w:val="008404C3"/>
    <w:rsid w:val="008404CC"/>
    <w:rsid w:val="0084052E"/>
    <w:rsid w:val="0084060C"/>
    <w:rsid w:val="00840638"/>
    <w:rsid w:val="0084066D"/>
    <w:rsid w:val="00840683"/>
    <w:rsid w:val="008406A6"/>
    <w:rsid w:val="00840705"/>
    <w:rsid w:val="0084079C"/>
    <w:rsid w:val="008407D8"/>
    <w:rsid w:val="008407FB"/>
    <w:rsid w:val="00840876"/>
    <w:rsid w:val="0084089B"/>
    <w:rsid w:val="0084093B"/>
    <w:rsid w:val="008409B8"/>
    <w:rsid w:val="00840AA5"/>
    <w:rsid w:val="00840AB6"/>
    <w:rsid w:val="00840AD6"/>
    <w:rsid w:val="00840B01"/>
    <w:rsid w:val="00840B99"/>
    <w:rsid w:val="00840C2C"/>
    <w:rsid w:val="00840C3A"/>
    <w:rsid w:val="00840D33"/>
    <w:rsid w:val="00840D82"/>
    <w:rsid w:val="00840DEC"/>
    <w:rsid w:val="00840E31"/>
    <w:rsid w:val="00840E5F"/>
    <w:rsid w:val="00840E6F"/>
    <w:rsid w:val="00841034"/>
    <w:rsid w:val="00841060"/>
    <w:rsid w:val="00841068"/>
    <w:rsid w:val="0084109B"/>
    <w:rsid w:val="008410C2"/>
    <w:rsid w:val="0084110F"/>
    <w:rsid w:val="0084113C"/>
    <w:rsid w:val="00841144"/>
    <w:rsid w:val="008412EF"/>
    <w:rsid w:val="00841397"/>
    <w:rsid w:val="008413D7"/>
    <w:rsid w:val="00841414"/>
    <w:rsid w:val="00841425"/>
    <w:rsid w:val="00841443"/>
    <w:rsid w:val="008414CF"/>
    <w:rsid w:val="00841510"/>
    <w:rsid w:val="0084155B"/>
    <w:rsid w:val="008415C4"/>
    <w:rsid w:val="00841621"/>
    <w:rsid w:val="00841644"/>
    <w:rsid w:val="00841693"/>
    <w:rsid w:val="00841755"/>
    <w:rsid w:val="0084175B"/>
    <w:rsid w:val="00841778"/>
    <w:rsid w:val="0084177B"/>
    <w:rsid w:val="008417D8"/>
    <w:rsid w:val="0084186C"/>
    <w:rsid w:val="0084188E"/>
    <w:rsid w:val="0084193D"/>
    <w:rsid w:val="00841A1B"/>
    <w:rsid w:val="00841A56"/>
    <w:rsid w:val="00841ABD"/>
    <w:rsid w:val="00841B2C"/>
    <w:rsid w:val="00841B30"/>
    <w:rsid w:val="00841BCE"/>
    <w:rsid w:val="00841C06"/>
    <w:rsid w:val="00841C0E"/>
    <w:rsid w:val="00841DAD"/>
    <w:rsid w:val="00841E0D"/>
    <w:rsid w:val="00841E40"/>
    <w:rsid w:val="00841E60"/>
    <w:rsid w:val="00841E7A"/>
    <w:rsid w:val="00841EED"/>
    <w:rsid w:val="00841F38"/>
    <w:rsid w:val="00841F4A"/>
    <w:rsid w:val="00841F99"/>
    <w:rsid w:val="00841FF9"/>
    <w:rsid w:val="0084207E"/>
    <w:rsid w:val="0084214E"/>
    <w:rsid w:val="0084219E"/>
    <w:rsid w:val="008421FF"/>
    <w:rsid w:val="00842244"/>
    <w:rsid w:val="0084236E"/>
    <w:rsid w:val="008423A3"/>
    <w:rsid w:val="008423A8"/>
    <w:rsid w:val="00842547"/>
    <w:rsid w:val="0084255B"/>
    <w:rsid w:val="0084266A"/>
    <w:rsid w:val="00842697"/>
    <w:rsid w:val="008426A1"/>
    <w:rsid w:val="008426AE"/>
    <w:rsid w:val="00842708"/>
    <w:rsid w:val="0084273A"/>
    <w:rsid w:val="008427AD"/>
    <w:rsid w:val="008427FE"/>
    <w:rsid w:val="00842881"/>
    <w:rsid w:val="008428BF"/>
    <w:rsid w:val="008428EF"/>
    <w:rsid w:val="00842956"/>
    <w:rsid w:val="0084295C"/>
    <w:rsid w:val="0084296B"/>
    <w:rsid w:val="00842A31"/>
    <w:rsid w:val="00842AA0"/>
    <w:rsid w:val="00842AB2"/>
    <w:rsid w:val="00842AEC"/>
    <w:rsid w:val="00842B25"/>
    <w:rsid w:val="00842B7F"/>
    <w:rsid w:val="00842BDB"/>
    <w:rsid w:val="00842C7E"/>
    <w:rsid w:val="00842C8D"/>
    <w:rsid w:val="00842CB2"/>
    <w:rsid w:val="00842D17"/>
    <w:rsid w:val="00842D28"/>
    <w:rsid w:val="00842D5C"/>
    <w:rsid w:val="00842E59"/>
    <w:rsid w:val="00842F0B"/>
    <w:rsid w:val="00842F5C"/>
    <w:rsid w:val="0084302D"/>
    <w:rsid w:val="00843083"/>
    <w:rsid w:val="008430A1"/>
    <w:rsid w:val="008430B6"/>
    <w:rsid w:val="0084316A"/>
    <w:rsid w:val="0084318F"/>
    <w:rsid w:val="008431C4"/>
    <w:rsid w:val="0084324F"/>
    <w:rsid w:val="00843286"/>
    <w:rsid w:val="008433B0"/>
    <w:rsid w:val="008433B4"/>
    <w:rsid w:val="008433E7"/>
    <w:rsid w:val="0084344A"/>
    <w:rsid w:val="0084347C"/>
    <w:rsid w:val="00843498"/>
    <w:rsid w:val="008434DA"/>
    <w:rsid w:val="0084356B"/>
    <w:rsid w:val="008435B2"/>
    <w:rsid w:val="00843610"/>
    <w:rsid w:val="00843639"/>
    <w:rsid w:val="00843658"/>
    <w:rsid w:val="00843661"/>
    <w:rsid w:val="008436A3"/>
    <w:rsid w:val="008436B3"/>
    <w:rsid w:val="008436DB"/>
    <w:rsid w:val="008437A5"/>
    <w:rsid w:val="008437A7"/>
    <w:rsid w:val="00843836"/>
    <w:rsid w:val="00843849"/>
    <w:rsid w:val="00843933"/>
    <w:rsid w:val="0084393F"/>
    <w:rsid w:val="00843A26"/>
    <w:rsid w:val="00843ABD"/>
    <w:rsid w:val="00843AF8"/>
    <w:rsid w:val="00843BA6"/>
    <w:rsid w:val="00843BB4"/>
    <w:rsid w:val="00843BD4"/>
    <w:rsid w:val="00843C7F"/>
    <w:rsid w:val="00843CBA"/>
    <w:rsid w:val="00843CEF"/>
    <w:rsid w:val="00843D18"/>
    <w:rsid w:val="00843D3D"/>
    <w:rsid w:val="00843DE4"/>
    <w:rsid w:val="00843E0F"/>
    <w:rsid w:val="00843E10"/>
    <w:rsid w:val="00843E4F"/>
    <w:rsid w:val="00843FDF"/>
    <w:rsid w:val="00844012"/>
    <w:rsid w:val="008440E4"/>
    <w:rsid w:val="008440F0"/>
    <w:rsid w:val="008440FE"/>
    <w:rsid w:val="00844103"/>
    <w:rsid w:val="0084416A"/>
    <w:rsid w:val="008441C5"/>
    <w:rsid w:val="0084421D"/>
    <w:rsid w:val="00844266"/>
    <w:rsid w:val="00844332"/>
    <w:rsid w:val="00844366"/>
    <w:rsid w:val="008443F2"/>
    <w:rsid w:val="00844504"/>
    <w:rsid w:val="0084452C"/>
    <w:rsid w:val="0084454F"/>
    <w:rsid w:val="0084457B"/>
    <w:rsid w:val="00844639"/>
    <w:rsid w:val="008446A5"/>
    <w:rsid w:val="008446DE"/>
    <w:rsid w:val="0084474D"/>
    <w:rsid w:val="0084479F"/>
    <w:rsid w:val="008447A6"/>
    <w:rsid w:val="00844825"/>
    <w:rsid w:val="008448F9"/>
    <w:rsid w:val="00844957"/>
    <w:rsid w:val="00844960"/>
    <w:rsid w:val="008449C7"/>
    <w:rsid w:val="00844A88"/>
    <w:rsid w:val="00844A8A"/>
    <w:rsid w:val="00844B40"/>
    <w:rsid w:val="00844B72"/>
    <w:rsid w:val="00844BA2"/>
    <w:rsid w:val="00844E17"/>
    <w:rsid w:val="00844EC8"/>
    <w:rsid w:val="00844FA7"/>
    <w:rsid w:val="008450D5"/>
    <w:rsid w:val="008451BE"/>
    <w:rsid w:val="008451EB"/>
    <w:rsid w:val="00845269"/>
    <w:rsid w:val="00845277"/>
    <w:rsid w:val="008452BA"/>
    <w:rsid w:val="00845310"/>
    <w:rsid w:val="0084539E"/>
    <w:rsid w:val="008453D2"/>
    <w:rsid w:val="00845492"/>
    <w:rsid w:val="008454B0"/>
    <w:rsid w:val="008454B5"/>
    <w:rsid w:val="008454D8"/>
    <w:rsid w:val="008454DA"/>
    <w:rsid w:val="008455BB"/>
    <w:rsid w:val="008455EE"/>
    <w:rsid w:val="008455F2"/>
    <w:rsid w:val="0084563F"/>
    <w:rsid w:val="00845661"/>
    <w:rsid w:val="00845691"/>
    <w:rsid w:val="00845778"/>
    <w:rsid w:val="0084579E"/>
    <w:rsid w:val="00845861"/>
    <w:rsid w:val="00845874"/>
    <w:rsid w:val="008458AC"/>
    <w:rsid w:val="008458BE"/>
    <w:rsid w:val="008459A5"/>
    <w:rsid w:val="00845A6B"/>
    <w:rsid w:val="00845AC8"/>
    <w:rsid w:val="00845AD5"/>
    <w:rsid w:val="00845AE1"/>
    <w:rsid w:val="00845B0E"/>
    <w:rsid w:val="00845B0F"/>
    <w:rsid w:val="00845B4E"/>
    <w:rsid w:val="00845B8E"/>
    <w:rsid w:val="00845C3D"/>
    <w:rsid w:val="00845C91"/>
    <w:rsid w:val="00845D17"/>
    <w:rsid w:val="00845DED"/>
    <w:rsid w:val="00845E01"/>
    <w:rsid w:val="00845E48"/>
    <w:rsid w:val="00845E8F"/>
    <w:rsid w:val="00845EE9"/>
    <w:rsid w:val="00845F10"/>
    <w:rsid w:val="00845F45"/>
    <w:rsid w:val="00845FB0"/>
    <w:rsid w:val="00845FBE"/>
    <w:rsid w:val="0084603C"/>
    <w:rsid w:val="008460A4"/>
    <w:rsid w:val="008460DF"/>
    <w:rsid w:val="00846116"/>
    <w:rsid w:val="00846178"/>
    <w:rsid w:val="008461B2"/>
    <w:rsid w:val="008461F7"/>
    <w:rsid w:val="008462E5"/>
    <w:rsid w:val="008462F1"/>
    <w:rsid w:val="008462FE"/>
    <w:rsid w:val="00846303"/>
    <w:rsid w:val="008463C5"/>
    <w:rsid w:val="008463F5"/>
    <w:rsid w:val="0084645D"/>
    <w:rsid w:val="00846470"/>
    <w:rsid w:val="00846481"/>
    <w:rsid w:val="00846484"/>
    <w:rsid w:val="00846488"/>
    <w:rsid w:val="008464C2"/>
    <w:rsid w:val="00846565"/>
    <w:rsid w:val="008465AB"/>
    <w:rsid w:val="008465D9"/>
    <w:rsid w:val="00846600"/>
    <w:rsid w:val="00846625"/>
    <w:rsid w:val="0084662F"/>
    <w:rsid w:val="00846630"/>
    <w:rsid w:val="008466D0"/>
    <w:rsid w:val="0084674B"/>
    <w:rsid w:val="008467D2"/>
    <w:rsid w:val="00846908"/>
    <w:rsid w:val="00846917"/>
    <w:rsid w:val="0084693C"/>
    <w:rsid w:val="0084694C"/>
    <w:rsid w:val="0084699F"/>
    <w:rsid w:val="008469AF"/>
    <w:rsid w:val="00846A39"/>
    <w:rsid w:val="00846AF0"/>
    <w:rsid w:val="00846B42"/>
    <w:rsid w:val="00846B7A"/>
    <w:rsid w:val="00846B90"/>
    <w:rsid w:val="00846B99"/>
    <w:rsid w:val="00846BF6"/>
    <w:rsid w:val="00846C90"/>
    <w:rsid w:val="00846CF8"/>
    <w:rsid w:val="00846D0F"/>
    <w:rsid w:val="00846E5C"/>
    <w:rsid w:val="00846FD1"/>
    <w:rsid w:val="00847069"/>
    <w:rsid w:val="0084706D"/>
    <w:rsid w:val="008470E8"/>
    <w:rsid w:val="00847101"/>
    <w:rsid w:val="00847124"/>
    <w:rsid w:val="00847206"/>
    <w:rsid w:val="00847226"/>
    <w:rsid w:val="00847234"/>
    <w:rsid w:val="00847245"/>
    <w:rsid w:val="00847278"/>
    <w:rsid w:val="00847351"/>
    <w:rsid w:val="00847374"/>
    <w:rsid w:val="0084738B"/>
    <w:rsid w:val="0084738C"/>
    <w:rsid w:val="008473E1"/>
    <w:rsid w:val="00847408"/>
    <w:rsid w:val="00847410"/>
    <w:rsid w:val="008474E6"/>
    <w:rsid w:val="0084755E"/>
    <w:rsid w:val="00847574"/>
    <w:rsid w:val="0084759B"/>
    <w:rsid w:val="0084768F"/>
    <w:rsid w:val="008476A4"/>
    <w:rsid w:val="008476E2"/>
    <w:rsid w:val="0084773F"/>
    <w:rsid w:val="00847840"/>
    <w:rsid w:val="0084785A"/>
    <w:rsid w:val="0084788C"/>
    <w:rsid w:val="00847990"/>
    <w:rsid w:val="008479DA"/>
    <w:rsid w:val="008479E3"/>
    <w:rsid w:val="00847A5B"/>
    <w:rsid w:val="00847A6C"/>
    <w:rsid w:val="00847C15"/>
    <w:rsid w:val="00847C1A"/>
    <w:rsid w:val="00847C57"/>
    <w:rsid w:val="00847D7E"/>
    <w:rsid w:val="00847DAF"/>
    <w:rsid w:val="00847DD0"/>
    <w:rsid w:val="00847E4E"/>
    <w:rsid w:val="00847E88"/>
    <w:rsid w:val="00847EA4"/>
    <w:rsid w:val="00847EC4"/>
    <w:rsid w:val="00847ED4"/>
    <w:rsid w:val="00847EE8"/>
    <w:rsid w:val="00847F12"/>
    <w:rsid w:val="00847F5D"/>
    <w:rsid w:val="00847FCF"/>
    <w:rsid w:val="00850049"/>
    <w:rsid w:val="0085005F"/>
    <w:rsid w:val="00850084"/>
    <w:rsid w:val="00850085"/>
    <w:rsid w:val="008500AE"/>
    <w:rsid w:val="0085010D"/>
    <w:rsid w:val="00850111"/>
    <w:rsid w:val="0085019C"/>
    <w:rsid w:val="00850231"/>
    <w:rsid w:val="00850243"/>
    <w:rsid w:val="0085026F"/>
    <w:rsid w:val="00850344"/>
    <w:rsid w:val="00850347"/>
    <w:rsid w:val="008503D0"/>
    <w:rsid w:val="008503FA"/>
    <w:rsid w:val="00850555"/>
    <w:rsid w:val="00850605"/>
    <w:rsid w:val="00850649"/>
    <w:rsid w:val="00850665"/>
    <w:rsid w:val="008506DD"/>
    <w:rsid w:val="00850700"/>
    <w:rsid w:val="00850770"/>
    <w:rsid w:val="0085080D"/>
    <w:rsid w:val="00850812"/>
    <w:rsid w:val="0085092D"/>
    <w:rsid w:val="00850931"/>
    <w:rsid w:val="00850A05"/>
    <w:rsid w:val="00850A16"/>
    <w:rsid w:val="00850A37"/>
    <w:rsid w:val="00850BA4"/>
    <w:rsid w:val="00850BE1"/>
    <w:rsid w:val="00850BE8"/>
    <w:rsid w:val="00850C2C"/>
    <w:rsid w:val="00850C2E"/>
    <w:rsid w:val="00850C5B"/>
    <w:rsid w:val="00850C72"/>
    <w:rsid w:val="00850C7A"/>
    <w:rsid w:val="00850CDC"/>
    <w:rsid w:val="00850D93"/>
    <w:rsid w:val="00850DA1"/>
    <w:rsid w:val="00850E2D"/>
    <w:rsid w:val="00850E58"/>
    <w:rsid w:val="00850E90"/>
    <w:rsid w:val="00850EA6"/>
    <w:rsid w:val="00850EAF"/>
    <w:rsid w:val="00850EC8"/>
    <w:rsid w:val="00850F1D"/>
    <w:rsid w:val="00851075"/>
    <w:rsid w:val="0085112D"/>
    <w:rsid w:val="008511FC"/>
    <w:rsid w:val="00851213"/>
    <w:rsid w:val="00851293"/>
    <w:rsid w:val="00851321"/>
    <w:rsid w:val="00851327"/>
    <w:rsid w:val="00851344"/>
    <w:rsid w:val="008513E3"/>
    <w:rsid w:val="0085143C"/>
    <w:rsid w:val="00851455"/>
    <w:rsid w:val="008514A5"/>
    <w:rsid w:val="008514CB"/>
    <w:rsid w:val="0085153E"/>
    <w:rsid w:val="00851550"/>
    <w:rsid w:val="008515E5"/>
    <w:rsid w:val="00851601"/>
    <w:rsid w:val="0085161A"/>
    <w:rsid w:val="00851638"/>
    <w:rsid w:val="0085163E"/>
    <w:rsid w:val="0085166A"/>
    <w:rsid w:val="00851675"/>
    <w:rsid w:val="008516F7"/>
    <w:rsid w:val="0085173C"/>
    <w:rsid w:val="00851744"/>
    <w:rsid w:val="0085177A"/>
    <w:rsid w:val="0085184B"/>
    <w:rsid w:val="00851857"/>
    <w:rsid w:val="00851871"/>
    <w:rsid w:val="00851889"/>
    <w:rsid w:val="00851928"/>
    <w:rsid w:val="00851943"/>
    <w:rsid w:val="00851971"/>
    <w:rsid w:val="008519B1"/>
    <w:rsid w:val="00851A85"/>
    <w:rsid w:val="00851AFF"/>
    <w:rsid w:val="00851C1B"/>
    <w:rsid w:val="00851CE4"/>
    <w:rsid w:val="00851D13"/>
    <w:rsid w:val="00851D15"/>
    <w:rsid w:val="00851D43"/>
    <w:rsid w:val="00851E57"/>
    <w:rsid w:val="00851EB0"/>
    <w:rsid w:val="00851F38"/>
    <w:rsid w:val="00851F59"/>
    <w:rsid w:val="00851F5C"/>
    <w:rsid w:val="00851FF6"/>
    <w:rsid w:val="00852007"/>
    <w:rsid w:val="00852029"/>
    <w:rsid w:val="0085203A"/>
    <w:rsid w:val="008520B2"/>
    <w:rsid w:val="00852193"/>
    <w:rsid w:val="008521B1"/>
    <w:rsid w:val="008521BE"/>
    <w:rsid w:val="008521D6"/>
    <w:rsid w:val="0085236D"/>
    <w:rsid w:val="008523BF"/>
    <w:rsid w:val="008523EC"/>
    <w:rsid w:val="008523FA"/>
    <w:rsid w:val="008524B2"/>
    <w:rsid w:val="008524E5"/>
    <w:rsid w:val="00852621"/>
    <w:rsid w:val="0085263C"/>
    <w:rsid w:val="0085264B"/>
    <w:rsid w:val="00852665"/>
    <w:rsid w:val="008526C6"/>
    <w:rsid w:val="0085271E"/>
    <w:rsid w:val="0085272F"/>
    <w:rsid w:val="0085273F"/>
    <w:rsid w:val="008527C1"/>
    <w:rsid w:val="008527CE"/>
    <w:rsid w:val="00852818"/>
    <w:rsid w:val="008528AF"/>
    <w:rsid w:val="008528BB"/>
    <w:rsid w:val="00852944"/>
    <w:rsid w:val="0085294A"/>
    <w:rsid w:val="00852971"/>
    <w:rsid w:val="00852977"/>
    <w:rsid w:val="0085299E"/>
    <w:rsid w:val="008529CC"/>
    <w:rsid w:val="00852A49"/>
    <w:rsid w:val="00852A77"/>
    <w:rsid w:val="00852B4D"/>
    <w:rsid w:val="00852B56"/>
    <w:rsid w:val="00852B5A"/>
    <w:rsid w:val="00852B86"/>
    <w:rsid w:val="00852BAB"/>
    <w:rsid w:val="00852C6A"/>
    <w:rsid w:val="00852D91"/>
    <w:rsid w:val="00852FBA"/>
    <w:rsid w:val="00852FC5"/>
    <w:rsid w:val="00852FE7"/>
    <w:rsid w:val="0085303D"/>
    <w:rsid w:val="008530D0"/>
    <w:rsid w:val="008530D9"/>
    <w:rsid w:val="008530FA"/>
    <w:rsid w:val="00853132"/>
    <w:rsid w:val="00853143"/>
    <w:rsid w:val="00853164"/>
    <w:rsid w:val="00853195"/>
    <w:rsid w:val="008531FD"/>
    <w:rsid w:val="00853238"/>
    <w:rsid w:val="0085324D"/>
    <w:rsid w:val="00853303"/>
    <w:rsid w:val="0085339F"/>
    <w:rsid w:val="008533FB"/>
    <w:rsid w:val="00853402"/>
    <w:rsid w:val="008534A4"/>
    <w:rsid w:val="008534BA"/>
    <w:rsid w:val="008534D5"/>
    <w:rsid w:val="008535D2"/>
    <w:rsid w:val="008535E9"/>
    <w:rsid w:val="0085366D"/>
    <w:rsid w:val="008537E0"/>
    <w:rsid w:val="00853800"/>
    <w:rsid w:val="0085382B"/>
    <w:rsid w:val="0085384C"/>
    <w:rsid w:val="008538E4"/>
    <w:rsid w:val="0085399D"/>
    <w:rsid w:val="00853A12"/>
    <w:rsid w:val="00853A99"/>
    <w:rsid w:val="00853B52"/>
    <w:rsid w:val="00853B87"/>
    <w:rsid w:val="00853C5D"/>
    <w:rsid w:val="00853C6F"/>
    <w:rsid w:val="00853C8B"/>
    <w:rsid w:val="00853C92"/>
    <w:rsid w:val="00853C9D"/>
    <w:rsid w:val="00853CCA"/>
    <w:rsid w:val="00853D61"/>
    <w:rsid w:val="00853D90"/>
    <w:rsid w:val="00853E94"/>
    <w:rsid w:val="00853F59"/>
    <w:rsid w:val="00853FDC"/>
    <w:rsid w:val="0085401F"/>
    <w:rsid w:val="0085405C"/>
    <w:rsid w:val="008540D6"/>
    <w:rsid w:val="00854147"/>
    <w:rsid w:val="008541E8"/>
    <w:rsid w:val="00854286"/>
    <w:rsid w:val="008542D5"/>
    <w:rsid w:val="0085430F"/>
    <w:rsid w:val="00854367"/>
    <w:rsid w:val="00854520"/>
    <w:rsid w:val="0085461D"/>
    <w:rsid w:val="0085461E"/>
    <w:rsid w:val="0085464E"/>
    <w:rsid w:val="0085467E"/>
    <w:rsid w:val="008546D5"/>
    <w:rsid w:val="00854877"/>
    <w:rsid w:val="00854A3E"/>
    <w:rsid w:val="00854AA9"/>
    <w:rsid w:val="00854AB0"/>
    <w:rsid w:val="00854AB1"/>
    <w:rsid w:val="00854AB7"/>
    <w:rsid w:val="00854B04"/>
    <w:rsid w:val="00854BBD"/>
    <w:rsid w:val="00854C7E"/>
    <w:rsid w:val="00854D50"/>
    <w:rsid w:val="00854D51"/>
    <w:rsid w:val="00854D65"/>
    <w:rsid w:val="00854E20"/>
    <w:rsid w:val="00854E29"/>
    <w:rsid w:val="00854E9C"/>
    <w:rsid w:val="00854ECC"/>
    <w:rsid w:val="00854F07"/>
    <w:rsid w:val="00854F1C"/>
    <w:rsid w:val="00854FAF"/>
    <w:rsid w:val="00854FC7"/>
    <w:rsid w:val="00854FDF"/>
    <w:rsid w:val="00854FFF"/>
    <w:rsid w:val="008550D8"/>
    <w:rsid w:val="00855115"/>
    <w:rsid w:val="00855233"/>
    <w:rsid w:val="0085524E"/>
    <w:rsid w:val="00855278"/>
    <w:rsid w:val="008552A6"/>
    <w:rsid w:val="0085531A"/>
    <w:rsid w:val="0085531B"/>
    <w:rsid w:val="00855395"/>
    <w:rsid w:val="008553EE"/>
    <w:rsid w:val="008553F1"/>
    <w:rsid w:val="0085541C"/>
    <w:rsid w:val="0085542A"/>
    <w:rsid w:val="00855475"/>
    <w:rsid w:val="00855485"/>
    <w:rsid w:val="008554C4"/>
    <w:rsid w:val="00855574"/>
    <w:rsid w:val="008555AA"/>
    <w:rsid w:val="0085565B"/>
    <w:rsid w:val="00855673"/>
    <w:rsid w:val="00855799"/>
    <w:rsid w:val="00855810"/>
    <w:rsid w:val="00855812"/>
    <w:rsid w:val="0085587C"/>
    <w:rsid w:val="008558A3"/>
    <w:rsid w:val="008558C6"/>
    <w:rsid w:val="008558E3"/>
    <w:rsid w:val="0085595A"/>
    <w:rsid w:val="008559CB"/>
    <w:rsid w:val="00855ABA"/>
    <w:rsid w:val="00855B02"/>
    <w:rsid w:val="00855B3D"/>
    <w:rsid w:val="00855B5F"/>
    <w:rsid w:val="00855B70"/>
    <w:rsid w:val="00855B80"/>
    <w:rsid w:val="00855BE7"/>
    <w:rsid w:val="00855CF0"/>
    <w:rsid w:val="00855D11"/>
    <w:rsid w:val="00855D16"/>
    <w:rsid w:val="00855D4C"/>
    <w:rsid w:val="00855D5B"/>
    <w:rsid w:val="00855DFE"/>
    <w:rsid w:val="00855E3E"/>
    <w:rsid w:val="00855E40"/>
    <w:rsid w:val="00855E51"/>
    <w:rsid w:val="00855E70"/>
    <w:rsid w:val="00855EDA"/>
    <w:rsid w:val="00855EDC"/>
    <w:rsid w:val="00855EF9"/>
    <w:rsid w:val="00855F21"/>
    <w:rsid w:val="00855FCA"/>
    <w:rsid w:val="00856002"/>
    <w:rsid w:val="00856064"/>
    <w:rsid w:val="00856070"/>
    <w:rsid w:val="00856110"/>
    <w:rsid w:val="0085617C"/>
    <w:rsid w:val="00856328"/>
    <w:rsid w:val="00856364"/>
    <w:rsid w:val="008563FA"/>
    <w:rsid w:val="00856458"/>
    <w:rsid w:val="00856479"/>
    <w:rsid w:val="0085654B"/>
    <w:rsid w:val="008565BE"/>
    <w:rsid w:val="008565C7"/>
    <w:rsid w:val="008565E7"/>
    <w:rsid w:val="0085664B"/>
    <w:rsid w:val="00856663"/>
    <w:rsid w:val="00856718"/>
    <w:rsid w:val="00856719"/>
    <w:rsid w:val="00856771"/>
    <w:rsid w:val="008567B4"/>
    <w:rsid w:val="008568D6"/>
    <w:rsid w:val="00856922"/>
    <w:rsid w:val="0085693B"/>
    <w:rsid w:val="0085696C"/>
    <w:rsid w:val="00856985"/>
    <w:rsid w:val="008569B8"/>
    <w:rsid w:val="00856A79"/>
    <w:rsid w:val="00856A7F"/>
    <w:rsid w:val="00856AB3"/>
    <w:rsid w:val="00856B2C"/>
    <w:rsid w:val="00856B43"/>
    <w:rsid w:val="00856BD1"/>
    <w:rsid w:val="00856C18"/>
    <w:rsid w:val="00856C6B"/>
    <w:rsid w:val="00856CCE"/>
    <w:rsid w:val="00856D89"/>
    <w:rsid w:val="00856DAB"/>
    <w:rsid w:val="00856DCF"/>
    <w:rsid w:val="00856E03"/>
    <w:rsid w:val="00856E3D"/>
    <w:rsid w:val="00856EB5"/>
    <w:rsid w:val="00856EDD"/>
    <w:rsid w:val="00856F73"/>
    <w:rsid w:val="00857025"/>
    <w:rsid w:val="0085703E"/>
    <w:rsid w:val="00857067"/>
    <w:rsid w:val="008570B6"/>
    <w:rsid w:val="00857127"/>
    <w:rsid w:val="008571FB"/>
    <w:rsid w:val="00857298"/>
    <w:rsid w:val="008572CE"/>
    <w:rsid w:val="008572E2"/>
    <w:rsid w:val="008572EF"/>
    <w:rsid w:val="00857322"/>
    <w:rsid w:val="0085734A"/>
    <w:rsid w:val="008573E8"/>
    <w:rsid w:val="008573F3"/>
    <w:rsid w:val="008574A8"/>
    <w:rsid w:val="008574AD"/>
    <w:rsid w:val="0085752E"/>
    <w:rsid w:val="0085756F"/>
    <w:rsid w:val="008575A1"/>
    <w:rsid w:val="00857632"/>
    <w:rsid w:val="0085764B"/>
    <w:rsid w:val="00857663"/>
    <w:rsid w:val="008576A3"/>
    <w:rsid w:val="008576F1"/>
    <w:rsid w:val="008576F2"/>
    <w:rsid w:val="0085776C"/>
    <w:rsid w:val="00857851"/>
    <w:rsid w:val="00857863"/>
    <w:rsid w:val="008578A8"/>
    <w:rsid w:val="008579C5"/>
    <w:rsid w:val="008579F1"/>
    <w:rsid w:val="00857A75"/>
    <w:rsid w:val="00857AFE"/>
    <w:rsid w:val="00857B5D"/>
    <w:rsid w:val="00857B68"/>
    <w:rsid w:val="00857BA4"/>
    <w:rsid w:val="00857C6B"/>
    <w:rsid w:val="00857CC9"/>
    <w:rsid w:val="00857CE5"/>
    <w:rsid w:val="00857D0F"/>
    <w:rsid w:val="00857D77"/>
    <w:rsid w:val="00857E1A"/>
    <w:rsid w:val="00857E3B"/>
    <w:rsid w:val="00857F09"/>
    <w:rsid w:val="00857FAC"/>
    <w:rsid w:val="00860134"/>
    <w:rsid w:val="0086024B"/>
    <w:rsid w:val="0086041B"/>
    <w:rsid w:val="0086041F"/>
    <w:rsid w:val="0086042C"/>
    <w:rsid w:val="0086046D"/>
    <w:rsid w:val="008604E2"/>
    <w:rsid w:val="0086057E"/>
    <w:rsid w:val="008605B2"/>
    <w:rsid w:val="0086066C"/>
    <w:rsid w:val="008606DC"/>
    <w:rsid w:val="008606F7"/>
    <w:rsid w:val="00860701"/>
    <w:rsid w:val="008609A2"/>
    <w:rsid w:val="008609A9"/>
    <w:rsid w:val="008609BB"/>
    <w:rsid w:val="008609C2"/>
    <w:rsid w:val="008609DE"/>
    <w:rsid w:val="00860A0F"/>
    <w:rsid w:val="00860AE7"/>
    <w:rsid w:val="00860B0E"/>
    <w:rsid w:val="00860B7A"/>
    <w:rsid w:val="00860C2F"/>
    <w:rsid w:val="00860C40"/>
    <w:rsid w:val="00860C48"/>
    <w:rsid w:val="00860D43"/>
    <w:rsid w:val="00860DD7"/>
    <w:rsid w:val="00860DEB"/>
    <w:rsid w:val="00860E03"/>
    <w:rsid w:val="00860E18"/>
    <w:rsid w:val="00860E55"/>
    <w:rsid w:val="00860E69"/>
    <w:rsid w:val="00860EA7"/>
    <w:rsid w:val="00860EB0"/>
    <w:rsid w:val="00860F0E"/>
    <w:rsid w:val="00860F12"/>
    <w:rsid w:val="00860F44"/>
    <w:rsid w:val="00860F5D"/>
    <w:rsid w:val="00861003"/>
    <w:rsid w:val="0086102C"/>
    <w:rsid w:val="0086104B"/>
    <w:rsid w:val="008610E8"/>
    <w:rsid w:val="008610EF"/>
    <w:rsid w:val="00861126"/>
    <w:rsid w:val="0086119B"/>
    <w:rsid w:val="008611A2"/>
    <w:rsid w:val="00861231"/>
    <w:rsid w:val="0086123C"/>
    <w:rsid w:val="008612DC"/>
    <w:rsid w:val="008612FE"/>
    <w:rsid w:val="0086137E"/>
    <w:rsid w:val="008613A3"/>
    <w:rsid w:val="008613B0"/>
    <w:rsid w:val="0086140D"/>
    <w:rsid w:val="0086141C"/>
    <w:rsid w:val="00861448"/>
    <w:rsid w:val="008614A2"/>
    <w:rsid w:val="00861520"/>
    <w:rsid w:val="0086154A"/>
    <w:rsid w:val="008615F4"/>
    <w:rsid w:val="00861613"/>
    <w:rsid w:val="00861634"/>
    <w:rsid w:val="00861737"/>
    <w:rsid w:val="008617A7"/>
    <w:rsid w:val="008617C3"/>
    <w:rsid w:val="00861834"/>
    <w:rsid w:val="00861863"/>
    <w:rsid w:val="008618C0"/>
    <w:rsid w:val="0086190B"/>
    <w:rsid w:val="0086190C"/>
    <w:rsid w:val="0086198E"/>
    <w:rsid w:val="00861A7B"/>
    <w:rsid w:val="00861AB7"/>
    <w:rsid w:val="00861B20"/>
    <w:rsid w:val="00861B3E"/>
    <w:rsid w:val="00861B98"/>
    <w:rsid w:val="00861BBC"/>
    <w:rsid w:val="00861C18"/>
    <w:rsid w:val="00861C3F"/>
    <w:rsid w:val="00861C69"/>
    <w:rsid w:val="00861D19"/>
    <w:rsid w:val="00861D2F"/>
    <w:rsid w:val="00861D39"/>
    <w:rsid w:val="00861D99"/>
    <w:rsid w:val="00861DE3"/>
    <w:rsid w:val="00861E11"/>
    <w:rsid w:val="00861E50"/>
    <w:rsid w:val="00861EB9"/>
    <w:rsid w:val="00861F82"/>
    <w:rsid w:val="00861FFD"/>
    <w:rsid w:val="00862035"/>
    <w:rsid w:val="00862038"/>
    <w:rsid w:val="0086204E"/>
    <w:rsid w:val="0086218F"/>
    <w:rsid w:val="008621AF"/>
    <w:rsid w:val="008621BB"/>
    <w:rsid w:val="008621E0"/>
    <w:rsid w:val="00862218"/>
    <w:rsid w:val="008622D5"/>
    <w:rsid w:val="00862394"/>
    <w:rsid w:val="008623DC"/>
    <w:rsid w:val="00862489"/>
    <w:rsid w:val="0086255D"/>
    <w:rsid w:val="0086263C"/>
    <w:rsid w:val="0086268E"/>
    <w:rsid w:val="008626AF"/>
    <w:rsid w:val="00862762"/>
    <w:rsid w:val="008627D3"/>
    <w:rsid w:val="008627E9"/>
    <w:rsid w:val="008628B9"/>
    <w:rsid w:val="0086297F"/>
    <w:rsid w:val="00862992"/>
    <w:rsid w:val="00862B14"/>
    <w:rsid w:val="00862B36"/>
    <w:rsid w:val="00862B3E"/>
    <w:rsid w:val="00862B86"/>
    <w:rsid w:val="00862C01"/>
    <w:rsid w:val="00862C0A"/>
    <w:rsid w:val="00862C5E"/>
    <w:rsid w:val="00862D10"/>
    <w:rsid w:val="00862E15"/>
    <w:rsid w:val="00862E24"/>
    <w:rsid w:val="00862E29"/>
    <w:rsid w:val="00862ED0"/>
    <w:rsid w:val="00862F9E"/>
    <w:rsid w:val="00862FA5"/>
    <w:rsid w:val="00862FC7"/>
    <w:rsid w:val="0086303E"/>
    <w:rsid w:val="008630BF"/>
    <w:rsid w:val="008630EA"/>
    <w:rsid w:val="00863185"/>
    <w:rsid w:val="008631E0"/>
    <w:rsid w:val="008631FE"/>
    <w:rsid w:val="00863211"/>
    <w:rsid w:val="0086323E"/>
    <w:rsid w:val="00863241"/>
    <w:rsid w:val="00863247"/>
    <w:rsid w:val="00863250"/>
    <w:rsid w:val="008632B4"/>
    <w:rsid w:val="008632E6"/>
    <w:rsid w:val="00863328"/>
    <w:rsid w:val="00863374"/>
    <w:rsid w:val="00863430"/>
    <w:rsid w:val="0086344B"/>
    <w:rsid w:val="00863454"/>
    <w:rsid w:val="00863570"/>
    <w:rsid w:val="008635CA"/>
    <w:rsid w:val="00863635"/>
    <w:rsid w:val="00863670"/>
    <w:rsid w:val="0086368E"/>
    <w:rsid w:val="008636D9"/>
    <w:rsid w:val="008636E0"/>
    <w:rsid w:val="008636EC"/>
    <w:rsid w:val="00863757"/>
    <w:rsid w:val="00863816"/>
    <w:rsid w:val="0086387B"/>
    <w:rsid w:val="008638B4"/>
    <w:rsid w:val="008638C3"/>
    <w:rsid w:val="008638D1"/>
    <w:rsid w:val="008638F7"/>
    <w:rsid w:val="0086390E"/>
    <w:rsid w:val="00863AE5"/>
    <w:rsid w:val="00863AEB"/>
    <w:rsid w:val="00863BCD"/>
    <w:rsid w:val="00863C05"/>
    <w:rsid w:val="00863C21"/>
    <w:rsid w:val="00863C3F"/>
    <w:rsid w:val="00863C8A"/>
    <w:rsid w:val="00863CA4"/>
    <w:rsid w:val="00863D6F"/>
    <w:rsid w:val="00863D83"/>
    <w:rsid w:val="00863DF7"/>
    <w:rsid w:val="00863E19"/>
    <w:rsid w:val="00863E44"/>
    <w:rsid w:val="00863E50"/>
    <w:rsid w:val="00863E8E"/>
    <w:rsid w:val="00863EC2"/>
    <w:rsid w:val="00863F06"/>
    <w:rsid w:val="00863F50"/>
    <w:rsid w:val="00863F5E"/>
    <w:rsid w:val="00863FFC"/>
    <w:rsid w:val="00864015"/>
    <w:rsid w:val="008640DE"/>
    <w:rsid w:val="00864150"/>
    <w:rsid w:val="00864172"/>
    <w:rsid w:val="008641B6"/>
    <w:rsid w:val="00864205"/>
    <w:rsid w:val="00864231"/>
    <w:rsid w:val="00864242"/>
    <w:rsid w:val="00864253"/>
    <w:rsid w:val="0086425B"/>
    <w:rsid w:val="0086427A"/>
    <w:rsid w:val="0086433F"/>
    <w:rsid w:val="00864341"/>
    <w:rsid w:val="008643F7"/>
    <w:rsid w:val="00864465"/>
    <w:rsid w:val="008644BD"/>
    <w:rsid w:val="008644D6"/>
    <w:rsid w:val="00864572"/>
    <w:rsid w:val="008645A8"/>
    <w:rsid w:val="00864601"/>
    <w:rsid w:val="00864617"/>
    <w:rsid w:val="0086467E"/>
    <w:rsid w:val="00864697"/>
    <w:rsid w:val="008646AD"/>
    <w:rsid w:val="008646CA"/>
    <w:rsid w:val="008646FD"/>
    <w:rsid w:val="00864754"/>
    <w:rsid w:val="00864780"/>
    <w:rsid w:val="0086479B"/>
    <w:rsid w:val="008647A6"/>
    <w:rsid w:val="00864899"/>
    <w:rsid w:val="00864937"/>
    <w:rsid w:val="00864978"/>
    <w:rsid w:val="00864A1A"/>
    <w:rsid w:val="00864A50"/>
    <w:rsid w:val="00864A9F"/>
    <w:rsid w:val="00864B7C"/>
    <w:rsid w:val="00864BAB"/>
    <w:rsid w:val="00864BC3"/>
    <w:rsid w:val="00864C82"/>
    <w:rsid w:val="00864CEB"/>
    <w:rsid w:val="00864CFD"/>
    <w:rsid w:val="00864D03"/>
    <w:rsid w:val="00864D58"/>
    <w:rsid w:val="00864D5D"/>
    <w:rsid w:val="00864DB5"/>
    <w:rsid w:val="00864E4F"/>
    <w:rsid w:val="00864F11"/>
    <w:rsid w:val="0086507A"/>
    <w:rsid w:val="008650FF"/>
    <w:rsid w:val="00865100"/>
    <w:rsid w:val="008651B8"/>
    <w:rsid w:val="008651E5"/>
    <w:rsid w:val="008651E6"/>
    <w:rsid w:val="008651E9"/>
    <w:rsid w:val="008652F4"/>
    <w:rsid w:val="00865387"/>
    <w:rsid w:val="00865399"/>
    <w:rsid w:val="0086539D"/>
    <w:rsid w:val="00865507"/>
    <w:rsid w:val="00865561"/>
    <w:rsid w:val="0086556B"/>
    <w:rsid w:val="00865613"/>
    <w:rsid w:val="00865707"/>
    <w:rsid w:val="0086572B"/>
    <w:rsid w:val="00865733"/>
    <w:rsid w:val="0086578D"/>
    <w:rsid w:val="008657B3"/>
    <w:rsid w:val="00865849"/>
    <w:rsid w:val="00865888"/>
    <w:rsid w:val="0086588B"/>
    <w:rsid w:val="008658D5"/>
    <w:rsid w:val="008659AB"/>
    <w:rsid w:val="00865A67"/>
    <w:rsid w:val="00865AA2"/>
    <w:rsid w:val="00865B37"/>
    <w:rsid w:val="00865B7B"/>
    <w:rsid w:val="00865BAD"/>
    <w:rsid w:val="00865BEC"/>
    <w:rsid w:val="00865BFB"/>
    <w:rsid w:val="00865C0E"/>
    <w:rsid w:val="00865C2B"/>
    <w:rsid w:val="00865CAF"/>
    <w:rsid w:val="00865CEC"/>
    <w:rsid w:val="00865D86"/>
    <w:rsid w:val="00865DDF"/>
    <w:rsid w:val="00865EA1"/>
    <w:rsid w:val="00865EBB"/>
    <w:rsid w:val="00865F42"/>
    <w:rsid w:val="00865F69"/>
    <w:rsid w:val="00865FB6"/>
    <w:rsid w:val="00866088"/>
    <w:rsid w:val="00866120"/>
    <w:rsid w:val="008661BE"/>
    <w:rsid w:val="008662EB"/>
    <w:rsid w:val="0086635F"/>
    <w:rsid w:val="0086636D"/>
    <w:rsid w:val="00866383"/>
    <w:rsid w:val="008663DB"/>
    <w:rsid w:val="008664F3"/>
    <w:rsid w:val="008665B3"/>
    <w:rsid w:val="00866628"/>
    <w:rsid w:val="0086668C"/>
    <w:rsid w:val="0086668E"/>
    <w:rsid w:val="008666A4"/>
    <w:rsid w:val="008666C9"/>
    <w:rsid w:val="008666FD"/>
    <w:rsid w:val="0086682B"/>
    <w:rsid w:val="00866846"/>
    <w:rsid w:val="00866983"/>
    <w:rsid w:val="008669C3"/>
    <w:rsid w:val="00866AF9"/>
    <w:rsid w:val="00866B2D"/>
    <w:rsid w:val="00866B67"/>
    <w:rsid w:val="00866B85"/>
    <w:rsid w:val="00866C0F"/>
    <w:rsid w:val="00866C1E"/>
    <w:rsid w:val="00866CD4"/>
    <w:rsid w:val="00866D58"/>
    <w:rsid w:val="00866D68"/>
    <w:rsid w:val="00866DFD"/>
    <w:rsid w:val="00866E01"/>
    <w:rsid w:val="00866E73"/>
    <w:rsid w:val="00866F41"/>
    <w:rsid w:val="00866F52"/>
    <w:rsid w:val="00866FFA"/>
    <w:rsid w:val="008670A7"/>
    <w:rsid w:val="008670B2"/>
    <w:rsid w:val="008670C2"/>
    <w:rsid w:val="00867136"/>
    <w:rsid w:val="008671B5"/>
    <w:rsid w:val="008671EA"/>
    <w:rsid w:val="00867273"/>
    <w:rsid w:val="008672A7"/>
    <w:rsid w:val="00867314"/>
    <w:rsid w:val="00867319"/>
    <w:rsid w:val="0086731D"/>
    <w:rsid w:val="00867346"/>
    <w:rsid w:val="00867457"/>
    <w:rsid w:val="00867490"/>
    <w:rsid w:val="008674C7"/>
    <w:rsid w:val="008675A2"/>
    <w:rsid w:val="008675D4"/>
    <w:rsid w:val="00867681"/>
    <w:rsid w:val="008676A9"/>
    <w:rsid w:val="008676D1"/>
    <w:rsid w:val="00867723"/>
    <w:rsid w:val="008677E5"/>
    <w:rsid w:val="00867801"/>
    <w:rsid w:val="00867806"/>
    <w:rsid w:val="00867815"/>
    <w:rsid w:val="008678BF"/>
    <w:rsid w:val="008679C3"/>
    <w:rsid w:val="00867A26"/>
    <w:rsid w:val="00867A87"/>
    <w:rsid w:val="00867A90"/>
    <w:rsid w:val="00867AEA"/>
    <w:rsid w:val="00867B03"/>
    <w:rsid w:val="00867B8A"/>
    <w:rsid w:val="00867B8E"/>
    <w:rsid w:val="00867BCD"/>
    <w:rsid w:val="00867BF8"/>
    <w:rsid w:val="00867C2B"/>
    <w:rsid w:val="00867C36"/>
    <w:rsid w:val="00867C85"/>
    <w:rsid w:val="00867C91"/>
    <w:rsid w:val="00867D0C"/>
    <w:rsid w:val="00867D58"/>
    <w:rsid w:val="00867D5E"/>
    <w:rsid w:val="00867D66"/>
    <w:rsid w:val="00867D7E"/>
    <w:rsid w:val="00867DBD"/>
    <w:rsid w:val="00867E48"/>
    <w:rsid w:val="00867EB0"/>
    <w:rsid w:val="00867EEB"/>
    <w:rsid w:val="00867F15"/>
    <w:rsid w:val="00867F5C"/>
    <w:rsid w:val="00867FBF"/>
    <w:rsid w:val="0087004C"/>
    <w:rsid w:val="0087012C"/>
    <w:rsid w:val="0087017E"/>
    <w:rsid w:val="0087018E"/>
    <w:rsid w:val="0087021A"/>
    <w:rsid w:val="0087021E"/>
    <w:rsid w:val="0087025E"/>
    <w:rsid w:val="00870272"/>
    <w:rsid w:val="00870347"/>
    <w:rsid w:val="008703CB"/>
    <w:rsid w:val="00870412"/>
    <w:rsid w:val="0087045B"/>
    <w:rsid w:val="00870482"/>
    <w:rsid w:val="0087049D"/>
    <w:rsid w:val="008704A0"/>
    <w:rsid w:val="008704D9"/>
    <w:rsid w:val="00870553"/>
    <w:rsid w:val="0087060A"/>
    <w:rsid w:val="0087072F"/>
    <w:rsid w:val="00870795"/>
    <w:rsid w:val="008707EC"/>
    <w:rsid w:val="0087087E"/>
    <w:rsid w:val="00870907"/>
    <w:rsid w:val="00870A39"/>
    <w:rsid w:val="00870ADF"/>
    <w:rsid w:val="00870AEA"/>
    <w:rsid w:val="00870AF1"/>
    <w:rsid w:val="00870B19"/>
    <w:rsid w:val="00870B7A"/>
    <w:rsid w:val="00870C28"/>
    <w:rsid w:val="00870C67"/>
    <w:rsid w:val="00870CB6"/>
    <w:rsid w:val="00870CF1"/>
    <w:rsid w:val="00870CFB"/>
    <w:rsid w:val="00870CFE"/>
    <w:rsid w:val="00870D3C"/>
    <w:rsid w:val="00870D78"/>
    <w:rsid w:val="00870EF6"/>
    <w:rsid w:val="00870EF8"/>
    <w:rsid w:val="00870FE4"/>
    <w:rsid w:val="00870FF8"/>
    <w:rsid w:val="00871017"/>
    <w:rsid w:val="0087109A"/>
    <w:rsid w:val="008710A8"/>
    <w:rsid w:val="008710DA"/>
    <w:rsid w:val="0087111A"/>
    <w:rsid w:val="008711B3"/>
    <w:rsid w:val="008711F2"/>
    <w:rsid w:val="008711FB"/>
    <w:rsid w:val="008711FD"/>
    <w:rsid w:val="00871215"/>
    <w:rsid w:val="0087123F"/>
    <w:rsid w:val="0087125F"/>
    <w:rsid w:val="00871278"/>
    <w:rsid w:val="00871436"/>
    <w:rsid w:val="00871475"/>
    <w:rsid w:val="00871504"/>
    <w:rsid w:val="0087167E"/>
    <w:rsid w:val="008716CD"/>
    <w:rsid w:val="008716E2"/>
    <w:rsid w:val="00871770"/>
    <w:rsid w:val="008717D1"/>
    <w:rsid w:val="00871819"/>
    <w:rsid w:val="0087183D"/>
    <w:rsid w:val="008718BB"/>
    <w:rsid w:val="00871925"/>
    <w:rsid w:val="00871976"/>
    <w:rsid w:val="008719C9"/>
    <w:rsid w:val="00871A37"/>
    <w:rsid w:val="00871A3E"/>
    <w:rsid w:val="00871A65"/>
    <w:rsid w:val="00871A87"/>
    <w:rsid w:val="00871AD4"/>
    <w:rsid w:val="00871B04"/>
    <w:rsid w:val="00871B19"/>
    <w:rsid w:val="00871B9C"/>
    <w:rsid w:val="00871BB5"/>
    <w:rsid w:val="00871BE1"/>
    <w:rsid w:val="00871C08"/>
    <w:rsid w:val="00871CA7"/>
    <w:rsid w:val="00871CF1"/>
    <w:rsid w:val="00871D19"/>
    <w:rsid w:val="00871D69"/>
    <w:rsid w:val="00871E65"/>
    <w:rsid w:val="00871ED7"/>
    <w:rsid w:val="00871EDB"/>
    <w:rsid w:val="00871F08"/>
    <w:rsid w:val="00871F0B"/>
    <w:rsid w:val="00872047"/>
    <w:rsid w:val="00872074"/>
    <w:rsid w:val="008720BB"/>
    <w:rsid w:val="008720CE"/>
    <w:rsid w:val="00872175"/>
    <w:rsid w:val="00872183"/>
    <w:rsid w:val="00872280"/>
    <w:rsid w:val="00872360"/>
    <w:rsid w:val="00872446"/>
    <w:rsid w:val="0087244A"/>
    <w:rsid w:val="00872523"/>
    <w:rsid w:val="0087257F"/>
    <w:rsid w:val="00872614"/>
    <w:rsid w:val="008726BA"/>
    <w:rsid w:val="008726D4"/>
    <w:rsid w:val="008726D9"/>
    <w:rsid w:val="0087273E"/>
    <w:rsid w:val="0087274B"/>
    <w:rsid w:val="0087275B"/>
    <w:rsid w:val="0087277B"/>
    <w:rsid w:val="0087277F"/>
    <w:rsid w:val="00872888"/>
    <w:rsid w:val="0087289B"/>
    <w:rsid w:val="008728AA"/>
    <w:rsid w:val="008728AF"/>
    <w:rsid w:val="00872907"/>
    <w:rsid w:val="0087295A"/>
    <w:rsid w:val="0087296B"/>
    <w:rsid w:val="008729BF"/>
    <w:rsid w:val="00872A08"/>
    <w:rsid w:val="00872AE6"/>
    <w:rsid w:val="00872BB1"/>
    <w:rsid w:val="00872BB4"/>
    <w:rsid w:val="00872BBA"/>
    <w:rsid w:val="00872BC1"/>
    <w:rsid w:val="00872BCC"/>
    <w:rsid w:val="00872CA0"/>
    <w:rsid w:val="00872CBA"/>
    <w:rsid w:val="00872DA7"/>
    <w:rsid w:val="00872DAF"/>
    <w:rsid w:val="00872DB1"/>
    <w:rsid w:val="00872DC2"/>
    <w:rsid w:val="00872DD7"/>
    <w:rsid w:val="0087306A"/>
    <w:rsid w:val="008730DF"/>
    <w:rsid w:val="00873138"/>
    <w:rsid w:val="0087313D"/>
    <w:rsid w:val="0087315E"/>
    <w:rsid w:val="00873217"/>
    <w:rsid w:val="00873230"/>
    <w:rsid w:val="008732AA"/>
    <w:rsid w:val="008732D1"/>
    <w:rsid w:val="008733A0"/>
    <w:rsid w:val="008733A5"/>
    <w:rsid w:val="00873448"/>
    <w:rsid w:val="0087344F"/>
    <w:rsid w:val="00873485"/>
    <w:rsid w:val="00873524"/>
    <w:rsid w:val="00873530"/>
    <w:rsid w:val="00873554"/>
    <w:rsid w:val="0087359B"/>
    <w:rsid w:val="0087359C"/>
    <w:rsid w:val="008735BF"/>
    <w:rsid w:val="008736D4"/>
    <w:rsid w:val="0087371A"/>
    <w:rsid w:val="0087377F"/>
    <w:rsid w:val="008737B8"/>
    <w:rsid w:val="00873844"/>
    <w:rsid w:val="0087386F"/>
    <w:rsid w:val="00873A1F"/>
    <w:rsid w:val="00873A6B"/>
    <w:rsid w:val="00873A6E"/>
    <w:rsid w:val="00873A71"/>
    <w:rsid w:val="00873A96"/>
    <w:rsid w:val="00873B14"/>
    <w:rsid w:val="00873B38"/>
    <w:rsid w:val="00873B57"/>
    <w:rsid w:val="00873B6A"/>
    <w:rsid w:val="00873B77"/>
    <w:rsid w:val="00873BA5"/>
    <w:rsid w:val="00873BB3"/>
    <w:rsid w:val="00873CF3"/>
    <w:rsid w:val="00873CF5"/>
    <w:rsid w:val="00873D16"/>
    <w:rsid w:val="00873D32"/>
    <w:rsid w:val="00873D94"/>
    <w:rsid w:val="00873E63"/>
    <w:rsid w:val="00873E7C"/>
    <w:rsid w:val="00873EB4"/>
    <w:rsid w:val="00873F15"/>
    <w:rsid w:val="00873F2F"/>
    <w:rsid w:val="00873F89"/>
    <w:rsid w:val="00873FB1"/>
    <w:rsid w:val="00873FF3"/>
    <w:rsid w:val="00874014"/>
    <w:rsid w:val="00874017"/>
    <w:rsid w:val="0087402D"/>
    <w:rsid w:val="008740F1"/>
    <w:rsid w:val="008741D5"/>
    <w:rsid w:val="008742AE"/>
    <w:rsid w:val="008742DC"/>
    <w:rsid w:val="008742DF"/>
    <w:rsid w:val="008742F8"/>
    <w:rsid w:val="0087441B"/>
    <w:rsid w:val="0087442A"/>
    <w:rsid w:val="0087444C"/>
    <w:rsid w:val="0087446B"/>
    <w:rsid w:val="008744FA"/>
    <w:rsid w:val="00874586"/>
    <w:rsid w:val="00874678"/>
    <w:rsid w:val="00874691"/>
    <w:rsid w:val="00874702"/>
    <w:rsid w:val="0087488C"/>
    <w:rsid w:val="0087492E"/>
    <w:rsid w:val="00874986"/>
    <w:rsid w:val="008749B6"/>
    <w:rsid w:val="00874A77"/>
    <w:rsid w:val="00874A87"/>
    <w:rsid w:val="00874AB2"/>
    <w:rsid w:val="00874AF2"/>
    <w:rsid w:val="00874AF8"/>
    <w:rsid w:val="00874C59"/>
    <w:rsid w:val="00874C7F"/>
    <w:rsid w:val="00874C88"/>
    <w:rsid w:val="00874C9B"/>
    <w:rsid w:val="00874CE3"/>
    <w:rsid w:val="00874D66"/>
    <w:rsid w:val="00874D80"/>
    <w:rsid w:val="00874E21"/>
    <w:rsid w:val="00874E3D"/>
    <w:rsid w:val="00874E75"/>
    <w:rsid w:val="00874E91"/>
    <w:rsid w:val="00874EB4"/>
    <w:rsid w:val="00874F15"/>
    <w:rsid w:val="00874F70"/>
    <w:rsid w:val="00874F99"/>
    <w:rsid w:val="00874FDB"/>
    <w:rsid w:val="008750A9"/>
    <w:rsid w:val="008750BE"/>
    <w:rsid w:val="008751A2"/>
    <w:rsid w:val="008752E7"/>
    <w:rsid w:val="0087534F"/>
    <w:rsid w:val="00875356"/>
    <w:rsid w:val="0087538D"/>
    <w:rsid w:val="00875471"/>
    <w:rsid w:val="008754DC"/>
    <w:rsid w:val="008754FA"/>
    <w:rsid w:val="00875518"/>
    <w:rsid w:val="0087564F"/>
    <w:rsid w:val="0087567D"/>
    <w:rsid w:val="00875773"/>
    <w:rsid w:val="008757A5"/>
    <w:rsid w:val="008757A9"/>
    <w:rsid w:val="00875854"/>
    <w:rsid w:val="008758A0"/>
    <w:rsid w:val="00875987"/>
    <w:rsid w:val="00875A3E"/>
    <w:rsid w:val="00875B05"/>
    <w:rsid w:val="00875B86"/>
    <w:rsid w:val="00875BC6"/>
    <w:rsid w:val="00875BE2"/>
    <w:rsid w:val="00875CC5"/>
    <w:rsid w:val="00875CC8"/>
    <w:rsid w:val="00875CCE"/>
    <w:rsid w:val="00875D37"/>
    <w:rsid w:val="00875E37"/>
    <w:rsid w:val="00875ECE"/>
    <w:rsid w:val="00875F47"/>
    <w:rsid w:val="00875FB2"/>
    <w:rsid w:val="00876010"/>
    <w:rsid w:val="00876074"/>
    <w:rsid w:val="008760E8"/>
    <w:rsid w:val="0087611C"/>
    <w:rsid w:val="00876122"/>
    <w:rsid w:val="00876133"/>
    <w:rsid w:val="0087615A"/>
    <w:rsid w:val="008761FA"/>
    <w:rsid w:val="00876201"/>
    <w:rsid w:val="00876204"/>
    <w:rsid w:val="008762B6"/>
    <w:rsid w:val="00876306"/>
    <w:rsid w:val="0087637D"/>
    <w:rsid w:val="00876390"/>
    <w:rsid w:val="008763C9"/>
    <w:rsid w:val="008763D4"/>
    <w:rsid w:val="00876446"/>
    <w:rsid w:val="0087647E"/>
    <w:rsid w:val="0087651F"/>
    <w:rsid w:val="0087654C"/>
    <w:rsid w:val="0087656B"/>
    <w:rsid w:val="008765AB"/>
    <w:rsid w:val="008765BF"/>
    <w:rsid w:val="008765CF"/>
    <w:rsid w:val="008765D2"/>
    <w:rsid w:val="00876631"/>
    <w:rsid w:val="008766A7"/>
    <w:rsid w:val="008766DD"/>
    <w:rsid w:val="008766FE"/>
    <w:rsid w:val="00876707"/>
    <w:rsid w:val="00876734"/>
    <w:rsid w:val="00876890"/>
    <w:rsid w:val="008768BE"/>
    <w:rsid w:val="00876906"/>
    <w:rsid w:val="00876942"/>
    <w:rsid w:val="0087694C"/>
    <w:rsid w:val="00876970"/>
    <w:rsid w:val="00876A73"/>
    <w:rsid w:val="00876A7D"/>
    <w:rsid w:val="00876A9F"/>
    <w:rsid w:val="00876AA7"/>
    <w:rsid w:val="00876AB0"/>
    <w:rsid w:val="00876B57"/>
    <w:rsid w:val="00876B5C"/>
    <w:rsid w:val="00876C24"/>
    <w:rsid w:val="00876CBC"/>
    <w:rsid w:val="00876DFF"/>
    <w:rsid w:val="00876F5A"/>
    <w:rsid w:val="00876F86"/>
    <w:rsid w:val="00876F90"/>
    <w:rsid w:val="00877009"/>
    <w:rsid w:val="00877026"/>
    <w:rsid w:val="00877088"/>
    <w:rsid w:val="008770C8"/>
    <w:rsid w:val="00877103"/>
    <w:rsid w:val="00877147"/>
    <w:rsid w:val="00877159"/>
    <w:rsid w:val="0087726C"/>
    <w:rsid w:val="0087740B"/>
    <w:rsid w:val="008774CA"/>
    <w:rsid w:val="008774CE"/>
    <w:rsid w:val="0087751A"/>
    <w:rsid w:val="008775A8"/>
    <w:rsid w:val="008775B8"/>
    <w:rsid w:val="008775D8"/>
    <w:rsid w:val="00877614"/>
    <w:rsid w:val="00877628"/>
    <w:rsid w:val="00877649"/>
    <w:rsid w:val="00877680"/>
    <w:rsid w:val="00877741"/>
    <w:rsid w:val="00877750"/>
    <w:rsid w:val="008777F4"/>
    <w:rsid w:val="0087788B"/>
    <w:rsid w:val="008778C5"/>
    <w:rsid w:val="0087794C"/>
    <w:rsid w:val="008779B8"/>
    <w:rsid w:val="008779F8"/>
    <w:rsid w:val="00877A07"/>
    <w:rsid w:val="00877B12"/>
    <w:rsid w:val="00877BC6"/>
    <w:rsid w:val="00877C39"/>
    <w:rsid w:val="00877CCC"/>
    <w:rsid w:val="00877DF0"/>
    <w:rsid w:val="00877E31"/>
    <w:rsid w:val="00877E73"/>
    <w:rsid w:val="00877E81"/>
    <w:rsid w:val="00877FD6"/>
    <w:rsid w:val="00877FE2"/>
    <w:rsid w:val="0088004A"/>
    <w:rsid w:val="0088008C"/>
    <w:rsid w:val="0088012F"/>
    <w:rsid w:val="0088014A"/>
    <w:rsid w:val="00880153"/>
    <w:rsid w:val="008801A8"/>
    <w:rsid w:val="008801E7"/>
    <w:rsid w:val="00880242"/>
    <w:rsid w:val="0088027A"/>
    <w:rsid w:val="0088030C"/>
    <w:rsid w:val="008803D1"/>
    <w:rsid w:val="008803EB"/>
    <w:rsid w:val="00880458"/>
    <w:rsid w:val="00880507"/>
    <w:rsid w:val="00880519"/>
    <w:rsid w:val="00880521"/>
    <w:rsid w:val="00880540"/>
    <w:rsid w:val="008805E0"/>
    <w:rsid w:val="008805FE"/>
    <w:rsid w:val="0088065E"/>
    <w:rsid w:val="00880675"/>
    <w:rsid w:val="00880676"/>
    <w:rsid w:val="0088072C"/>
    <w:rsid w:val="0088074F"/>
    <w:rsid w:val="0088077D"/>
    <w:rsid w:val="008807A9"/>
    <w:rsid w:val="008807CC"/>
    <w:rsid w:val="0088083B"/>
    <w:rsid w:val="0088089A"/>
    <w:rsid w:val="0088099C"/>
    <w:rsid w:val="008809D2"/>
    <w:rsid w:val="00880A83"/>
    <w:rsid w:val="00880B47"/>
    <w:rsid w:val="00880BB4"/>
    <w:rsid w:val="00880C03"/>
    <w:rsid w:val="00880C9C"/>
    <w:rsid w:val="00880CA7"/>
    <w:rsid w:val="00880CAD"/>
    <w:rsid w:val="00880CBE"/>
    <w:rsid w:val="00880CF5"/>
    <w:rsid w:val="00880E32"/>
    <w:rsid w:val="00880E7C"/>
    <w:rsid w:val="00880E86"/>
    <w:rsid w:val="00880F85"/>
    <w:rsid w:val="00880FA7"/>
    <w:rsid w:val="00880FC0"/>
    <w:rsid w:val="0088100D"/>
    <w:rsid w:val="0088112D"/>
    <w:rsid w:val="0088116E"/>
    <w:rsid w:val="008811FC"/>
    <w:rsid w:val="00881297"/>
    <w:rsid w:val="0088129D"/>
    <w:rsid w:val="008812CB"/>
    <w:rsid w:val="008812D5"/>
    <w:rsid w:val="00881328"/>
    <w:rsid w:val="00881354"/>
    <w:rsid w:val="00881375"/>
    <w:rsid w:val="008813F6"/>
    <w:rsid w:val="0088143F"/>
    <w:rsid w:val="00881483"/>
    <w:rsid w:val="00881496"/>
    <w:rsid w:val="00881569"/>
    <w:rsid w:val="008815A9"/>
    <w:rsid w:val="008815C6"/>
    <w:rsid w:val="008815D9"/>
    <w:rsid w:val="0088162F"/>
    <w:rsid w:val="008816F8"/>
    <w:rsid w:val="0088173A"/>
    <w:rsid w:val="0088173F"/>
    <w:rsid w:val="00881799"/>
    <w:rsid w:val="008817E5"/>
    <w:rsid w:val="00881897"/>
    <w:rsid w:val="008818D1"/>
    <w:rsid w:val="0088193F"/>
    <w:rsid w:val="00881A61"/>
    <w:rsid w:val="00881AC7"/>
    <w:rsid w:val="00881B48"/>
    <w:rsid w:val="00881B7F"/>
    <w:rsid w:val="00881C90"/>
    <w:rsid w:val="00881CAA"/>
    <w:rsid w:val="00881CCF"/>
    <w:rsid w:val="00881CE4"/>
    <w:rsid w:val="00881D30"/>
    <w:rsid w:val="00881D6D"/>
    <w:rsid w:val="00881DD5"/>
    <w:rsid w:val="00881E0F"/>
    <w:rsid w:val="00881E2B"/>
    <w:rsid w:val="00881EDF"/>
    <w:rsid w:val="00881EF6"/>
    <w:rsid w:val="00881F02"/>
    <w:rsid w:val="00881F4A"/>
    <w:rsid w:val="00881F7F"/>
    <w:rsid w:val="0088200D"/>
    <w:rsid w:val="008820B7"/>
    <w:rsid w:val="008820D1"/>
    <w:rsid w:val="00882135"/>
    <w:rsid w:val="00882180"/>
    <w:rsid w:val="008821EB"/>
    <w:rsid w:val="00882289"/>
    <w:rsid w:val="0088231B"/>
    <w:rsid w:val="008823D1"/>
    <w:rsid w:val="008823E2"/>
    <w:rsid w:val="008824D0"/>
    <w:rsid w:val="008824F8"/>
    <w:rsid w:val="00882540"/>
    <w:rsid w:val="0088257C"/>
    <w:rsid w:val="008825B3"/>
    <w:rsid w:val="008825F0"/>
    <w:rsid w:val="00882658"/>
    <w:rsid w:val="008826B7"/>
    <w:rsid w:val="00882717"/>
    <w:rsid w:val="00882797"/>
    <w:rsid w:val="00882821"/>
    <w:rsid w:val="008828C8"/>
    <w:rsid w:val="00882990"/>
    <w:rsid w:val="008829FB"/>
    <w:rsid w:val="00882A55"/>
    <w:rsid w:val="00882A57"/>
    <w:rsid w:val="00882AC9"/>
    <w:rsid w:val="00882AF6"/>
    <w:rsid w:val="00882B16"/>
    <w:rsid w:val="00882B62"/>
    <w:rsid w:val="00882BDF"/>
    <w:rsid w:val="00882C79"/>
    <w:rsid w:val="00882C98"/>
    <w:rsid w:val="00882CC6"/>
    <w:rsid w:val="00882E42"/>
    <w:rsid w:val="00882E51"/>
    <w:rsid w:val="00882ED1"/>
    <w:rsid w:val="00882EF8"/>
    <w:rsid w:val="00882F4E"/>
    <w:rsid w:val="00882F8F"/>
    <w:rsid w:val="00882FA2"/>
    <w:rsid w:val="00882FAC"/>
    <w:rsid w:val="00883069"/>
    <w:rsid w:val="008830A4"/>
    <w:rsid w:val="008830B6"/>
    <w:rsid w:val="008830F7"/>
    <w:rsid w:val="0088310A"/>
    <w:rsid w:val="00883195"/>
    <w:rsid w:val="00883219"/>
    <w:rsid w:val="0088322D"/>
    <w:rsid w:val="008832E0"/>
    <w:rsid w:val="008832E9"/>
    <w:rsid w:val="0088332A"/>
    <w:rsid w:val="00883344"/>
    <w:rsid w:val="00883378"/>
    <w:rsid w:val="00883434"/>
    <w:rsid w:val="0088346E"/>
    <w:rsid w:val="00883600"/>
    <w:rsid w:val="008836CD"/>
    <w:rsid w:val="008837A9"/>
    <w:rsid w:val="00883886"/>
    <w:rsid w:val="0088388D"/>
    <w:rsid w:val="0088395C"/>
    <w:rsid w:val="0088398E"/>
    <w:rsid w:val="00883A32"/>
    <w:rsid w:val="00883A98"/>
    <w:rsid w:val="00883A9E"/>
    <w:rsid w:val="00883AD0"/>
    <w:rsid w:val="00883ADE"/>
    <w:rsid w:val="00883B21"/>
    <w:rsid w:val="00883B48"/>
    <w:rsid w:val="00883B65"/>
    <w:rsid w:val="00883C44"/>
    <w:rsid w:val="00883CCF"/>
    <w:rsid w:val="00883D1A"/>
    <w:rsid w:val="00883D4D"/>
    <w:rsid w:val="00883D62"/>
    <w:rsid w:val="00883D69"/>
    <w:rsid w:val="00883E65"/>
    <w:rsid w:val="00883E8A"/>
    <w:rsid w:val="00883E9C"/>
    <w:rsid w:val="00883F10"/>
    <w:rsid w:val="00883F2D"/>
    <w:rsid w:val="00883FAD"/>
    <w:rsid w:val="00884039"/>
    <w:rsid w:val="0088406F"/>
    <w:rsid w:val="008840EF"/>
    <w:rsid w:val="00884101"/>
    <w:rsid w:val="00884105"/>
    <w:rsid w:val="00884128"/>
    <w:rsid w:val="0088414C"/>
    <w:rsid w:val="008841BF"/>
    <w:rsid w:val="008841C6"/>
    <w:rsid w:val="008842D4"/>
    <w:rsid w:val="00884338"/>
    <w:rsid w:val="0088434E"/>
    <w:rsid w:val="008843C6"/>
    <w:rsid w:val="00884406"/>
    <w:rsid w:val="0088446B"/>
    <w:rsid w:val="0088447E"/>
    <w:rsid w:val="008844A0"/>
    <w:rsid w:val="008844ED"/>
    <w:rsid w:val="008845AA"/>
    <w:rsid w:val="008845F1"/>
    <w:rsid w:val="0088460B"/>
    <w:rsid w:val="0088462B"/>
    <w:rsid w:val="00884678"/>
    <w:rsid w:val="00884691"/>
    <w:rsid w:val="008846B2"/>
    <w:rsid w:val="008846C6"/>
    <w:rsid w:val="008846ED"/>
    <w:rsid w:val="00884772"/>
    <w:rsid w:val="0088478B"/>
    <w:rsid w:val="0088479A"/>
    <w:rsid w:val="008847B0"/>
    <w:rsid w:val="00884806"/>
    <w:rsid w:val="0088489D"/>
    <w:rsid w:val="00884960"/>
    <w:rsid w:val="0088499C"/>
    <w:rsid w:val="00884A44"/>
    <w:rsid w:val="00884A69"/>
    <w:rsid w:val="00884A95"/>
    <w:rsid w:val="00884AE1"/>
    <w:rsid w:val="00884B3B"/>
    <w:rsid w:val="00884B5F"/>
    <w:rsid w:val="00884B8B"/>
    <w:rsid w:val="00884C54"/>
    <w:rsid w:val="00884C80"/>
    <w:rsid w:val="00884CC1"/>
    <w:rsid w:val="00884DE5"/>
    <w:rsid w:val="00884DF6"/>
    <w:rsid w:val="00884E2A"/>
    <w:rsid w:val="00884E37"/>
    <w:rsid w:val="00884EF0"/>
    <w:rsid w:val="00884F85"/>
    <w:rsid w:val="0088502A"/>
    <w:rsid w:val="00885049"/>
    <w:rsid w:val="00885083"/>
    <w:rsid w:val="00885164"/>
    <w:rsid w:val="008851B1"/>
    <w:rsid w:val="008851DD"/>
    <w:rsid w:val="0088528D"/>
    <w:rsid w:val="00885318"/>
    <w:rsid w:val="0088536B"/>
    <w:rsid w:val="0088536E"/>
    <w:rsid w:val="0088541D"/>
    <w:rsid w:val="0088544E"/>
    <w:rsid w:val="008854B0"/>
    <w:rsid w:val="00885528"/>
    <w:rsid w:val="0088554B"/>
    <w:rsid w:val="00885635"/>
    <w:rsid w:val="00885708"/>
    <w:rsid w:val="00885715"/>
    <w:rsid w:val="00885718"/>
    <w:rsid w:val="00885719"/>
    <w:rsid w:val="0088574E"/>
    <w:rsid w:val="008857FC"/>
    <w:rsid w:val="008858EA"/>
    <w:rsid w:val="008858F0"/>
    <w:rsid w:val="0088590C"/>
    <w:rsid w:val="00885950"/>
    <w:rsid w:val="0088598B"/>
    <w:rsid w:val="008859B3"/>
    <w:rsid w:val="008859C0"/>
    <w:rsid w:val="00885A47"/>
    <w:rsid w:val="00885A79"/>
    <w:rsid w:val="00885AA6"/>
    <w:rsid w:val="00885BFD"/>
    <w:rsid w:val="00885CF7"/>
    <w:rsid w:val="00885D01"/>
    <w:rsid w:val="00885D28"/>
    <w:rsid w:val="00885DD7"/>
    <w:rsid w:val="00885DF6"/>
    <w:rsid w:val="00885E49"/>
    <w:rsid w:val="00885E68"/>
    <w:rsid w:val="00885F5D"/>
    <w:rsid w:val="00885FC0"/>
    <w:rsid w:val="00885FCB"/>
    <w:rsid w:val="00886182"/>
    <w:rsid w:val="008861E9"/>
    <w:rsid w:val="00886262"/>
    <w:rsid w:val="00886297"/>
    <w:rsid w:val="008862A1"/>
    <w:rsid w:val="008862AE"/>
    <w:rsid w:val="008862B8"/>
    <w:rsid w:val="008862B9"/>
    <w:rsid w:val="00886311"/>
    <w:rsid w:val="00886382"/>
    <w:rsid w:val="00886384"/>
    <w:rsid w:val="00886391"/>
    <w:rsid w:val="008863DC"/>
    <w:rsid w:val="0088648B"/>
    <w:rsid w:val="008864AF"/>
    <w:rsid w:val="00886505"/>
    <w:rsid w:val="00886580"/>
    <w:rsid w:val="008865CD"/>
    <w:rsid w:val="008865E0"/>
    <w:rsid w:val="0088660D"/>
    <w:rsid w:val="00886662"/>
    <w:rsid w:val="00886688"/>
    <w:rsid w:val="00886693"/>
    <w:rsid w:val="0088676C"/>
    <w:rsid w:val="00886889"/>
    <w:rsid w:val="008869C6"/>
    <w:rsid w:val="008869CC"/>
    <w:rsid w:val="008869CD"/>
    <w:rsid w:val="008869CE"/>
    <w:rsid w:val="00886A11"/>
    <w:rsid w:val="00886A28"/>
    <w:rsid w:val="00886A2A"/>
    <w:rsid w:val="00886B3D"/>
    <w:rsid w:val="00886BC9"/>
    <w:rsid w:val="00886BE2"/>
    <w:rsid w:val="00886C0D"/>
    <w:rsid w:val="00886CF9"/>
    <w:rsid w:val="00886D32"/>
    <w:rsid w:val="00886DB7"/>
    <w:rsid w:val="00886DCB"/>
    <w:rsid w:val="00886DCC"/>
    <w:rsid w:val="00886DE6"/>
    <w:rsid w:val="00886F2C"/>
    <w:rsid w:val="0088701D"/>
    <w:rsid w:val="0088713B"/>
    <w:rsid w:val="0088714B"/>
    <w:rsid w:val="008871B7"/>
    <w:rsid w:val="008871B8"/>
    <w:rsid w:val="008871F3"/>
    <w:rsid w:val="00887246"/>
    <w:rsid w:val="0088726C"/>
    <w:rsid w:val="0088731B"/>
    <w:rsid w:val="0088732B"/>
    <w:rsid w:val="00887340"/>
    <w:rsid w:val="00887359"/>
    <w:rsid w:val="00887482"/>
    <w:rsid w:val="00887539"/>
    <w:rsid w:val="00887639"/>
    <w:rsid w:val="008876E8"/>
    <w:rsid w:val="00887700"/>
    <w:rsid w:val="008878E5"/>
    <w:rsid w:val="00887928"/>
    <w:rsid w:val="00887952"/>
    <w:rsid w:val="008879A2"/>
    <w:rsid w:val="00887A36"/>
    <w:rsid w:val="00887AD3"/>
    <w:rsid w:val="00887B2F"/>
    <w:rsid w:val="00887B71"/>
    <w:rsid w:val="00887B7B"/>
    <w:rsid w:val="00887C05"/>
    <w:rsid w:val="00887C0E"/>
    <w:rsid w:val="00887CE2"/>
    <w:rsid w:val="00887E14"/>
    <w:rsid w:val="00887E37"/>
    <w:rsid w:val="00887E3F"/>
    <w:rsid w:val="00887F58"/>
    <w:rsid w:val="00887F9D"/>
    <w:rsid w:val="00887FA3"/>
    <w:rsid w:val="00887FB7"/>
    <w:rsid w:val="00890057"/>
    <w:rsid w:val="00890163"/>
    <w:rsid w:val="00890199"/>
    <w:rsid w:val="008901B9"/>
    <w:rsid w:val="00890203"/>
    <w:rsid w:val="00890231"/>
    <w:rsid w:val="008902B4"/>
    <w:rsid w:val="008902F2"/>
    <w:rsid w:val="008903DA"/>
    <w:rsid w:val="008903E3"/>
    <w:rsid w:val="008903F8"/>
    <w:rsid w:val="0089041D"/>
    <w:rsid w:val="0089051F"/>
    <w:rsid w:val="00890543"/>
    <w:rsid w:val="00890586"/>
    <w:rsid w:val="008905CA"/>
    <w:rsid w:val="0089064E"/>
    <w:rsid w:val="00890657"/>
    <w:rsid w:val="0089068B"/>
    <w:rsid w:val="00890746"/>
    <w:rsid w:val="00890769"/>
    <w:rsid w:val="00890793"/>
    <w:rsid w:val="00890841"/>
    <w:rsid w:val="008908D6"/>
    <w:rsid w:val="00890903"/>
    <w:rsid w:val="008909BF"/>
    <w:rsid w:val="008909E2"/>
    <w:rsid w:val="00890A04"/>
    <w:rsid w:val="00890A76"/>
    <w:rsid w:val="00890A99"/>
    <w:rsid w:val="00890AA6"/>
    <w:rsid w:val="00890AF9"/>
    <w:rsid w:val="00890B53"/>
    <w:rsid w:val="00890B88"/>
    <w:rsid w:val="00890C00"/>
    <w:rsid w:val="00890C60"/>
    <w:rsid w:val="00890C80"/>
    <w:rsid w:val="00890D35"/>
    <w:rsid w:val="00890D57"/>
    <w:rsid w:val="00890D8F"/>
    <w:rsid w:val="00890DFC"/>
    <w:rsid w:val="00890E40"/>
    <w:rsid w:val="00890EED"/>
    <w:rsid w:val="00890F2F"/>
    <w:rsid w:val="00890F5E"/>
    <w:rsid w:val="00890FA0"/>
    <w:rsid w:val="00890FAA"/>
    <w:rsid w:val="00890FE3"/>
    <w:rsid w:val="00890FF1"/>
    <w:rsid w:val="0089102E"/>
    <w:rsid w:val="00891152"/>
    <w:rsid w:val="008911BE"/>
    <w:rsid w:val="00891247"/>
    <w:rsid w:val="008912FC"/>
    <w:rsid w:val="0089136B"/>
    <w:rsid w:val="0089138E"/>
    <w:rsid w:val="00891419"/>
    <w:rsid w:val="008914E9"/>
    <w:rsid w:val="0089151D"/>
    <w:rsid w:val="00891560"/>
    <w:rsid w:val="00891562"/>
    <w:rsid w:val="00891588"/>
    <w:rsid w:val="008915C4"/>
    <w:rsid w:val="0089166D"/>
    <w:rsid w:val="0089169A"/>
    <w:rsid w:val="008916D5"/>
    <w:rsid w:val="008916F5"/>
    <w:rsid w:val="00891790"/>
    <w:rsid w:val="00891847"/>
    <w:rsid w:val="00891848"/>
    <w:rsid w:val="00891881"/>
    <w:rsid w:val="00891942"/>
    <w:rsid w:val="00891A43"/>
    <w:rsid w:val="00891A86"/>
    <w:rsid w:val="00891ACD"/>
    <w:rsid w:val="00891ACE"/>
    <w:rsid w:val="00891B85"/>
    <w:rsid w:val="00891BA9"/>
    <w:rsid w:val="00891C07"/>
    <w:rsid w:val="00891C57"/>
    <w:rsid w:val="00891C85"/>
    <w:rsid w:val="00891C9A"/>
    <w:rsid w:val="00891D94"/>
    <w:rsid w:val="00891E14"/>
    <w:rsid w:val="00891E1E"/>
    <w:rsid w:val="00891EA9"/>
    <w:rsid w:val="00891ED6"/>
    <w:rsid w:val="00892046"/>
    <w:rsid w:val="0089208B"/>
    <w:rsid w:val="008920CB"/>
    <w:rsid w:val="0089219E"/>
    <w:rsid w:val="008921FB"/>
    <w:rsid w:val="008922B3"/>
    <w:rsid w:val="008922B6"/>
    <w:rsid w:val="008922C4"/>
    <w:rsid w:val="0089235A"/>
    <w:rsid w:val="00892380"/>
    <w:rsid w:val="008923E3"/>
    <w:rsid w:val="00892478"/>
    <w:rsid w:val="00892630"/>
    <w:rsid w:val="008927A4"/>
    <w:rsid w:val="008928DD"/>
    <w:rsid w:val="00892959"/>
    <w:rsid w:val="00892A22"/>
    <w:rsid w:val="00892A2A"/>
    <w:rsid w:val="00892A80"/>
    <w:rsid w:val="00892AEF"/>
    <w:rsid w:val="00892B00"/>
    <w:rsid w:val="00892BCB"/>
    <w:rsid w:val="00892BFB"/>
    <w:rsid w:val="00892C5D"/>
    <w:rsid w:val="00892C7D"/>
    <w:rsid w:val="00892CA6"/>
    <w:rsid w:val="00892CC1"/>
    <w:rsid w:val="00892CCD"/>
    <w:rsid w:val="00892CF9"/>
    <w:rsid w:val="00892D74"/>
    <w:rsid w:val="00892D9B"/>
    <w:rsid w:val="00892DB4"/>
    <w:rsid w:val="00892DEB"/>
    <w:rsid w:val="00892E48"/>
    <w:rsid w:val="00892EC2"/>
    <w:rsid w:val="00892ED9"/>
    <w:rsid w:val="00892EF5"/>
    <w:rsid w:val="00892EF9"/>
    <w:rsid w:val="00892F55"/>
    <w:rsid w:val="00892F7D"/>
    <w:rsid w:val="00893057"/>
    <w:rsid w:val="00893089"/>
    <w:rsid w:val="008930C8"/>
    <w:rsid w:val="008930EE"/>
    <w:rsid w:val="008930F4"/>
    <w:rsid w:val="00893107"/>
    <w:rsid w:val="00893147"/>
    <w:rsid w:val="008931BB"/>
    <w:rsid w:val="00893205"/>
    <w:rsid w:val="00893221"/>
    <w:rsid w:val="0089328C"/>
    <w:rsid w:val="008932AC"/>
    <w:rsid w:val="0089332B"/>
    <w:rsid w:val="0089335D"/>
    <w:rsid w:val="00893365"/>
    <w:rsid w:val="0089338D"/>
    <w:rsid w:val="008933AA"/>
    <w:rsid w:val="00893480"/>
    <w:rsid w:val="00893493"/>
    <w:rsid w:val="0089350C"/>
    <w:rsid w:val="008935CF"/>
    <w:rsid w:val="008935F9"/>
    <w:rsid w:val="0089364D"/>
    <w:rsid w:val="00893675"/>
    <w:rsid w:val="0089374A"/>
    <w:rsid w:val="0089374C"/>
    <w:rsid w:val="008937AD"/>
    <w:rsid w:val="008937AF"/>
    <w:rsid w:val="00893874"/>
    <w:rsid w:val="00893902"/>
    <w:rsid w:val="00893943"/>
    <w:rsid w:val="0089397C"/>
    <w:rsid w:val="00893A33"/>
    <w:rsid w:val="00893A4D"/>
    <w:rsid w:val="00893B08"/>
    <w:rsid w:val="00893B81"/>
    <w:rsid w:val="00893BFB"/>
    <w:rsid w:val="00893C26"/>
    <w:rsid w:val="00893C44"/>
    <w:rsid w:val="00893C93"/>
    <w:rsid w:val="00893CF5"/>
    <w:rsid w:val="00893D09"/>
    <w:rsid w:val="00893D10"/>
    <w:rsid w:val="00893D72"/>
    <w:rsid w:val="00893DA3"/>
    <w:rsid w:val="00893E47"/>
    <w:rsid w:val="00893E8B"/>
    <w:rsid w:val="00893E9D"/>
    <w:rsid w:val="00893EBE"/>
    <w:rsid w:val="00893EEB"/>
    <w:rsid w:val="00893F16"/>
    <w:rsid w:val="00893F5E"/>
    <w:rsid w:val="00893F8A"/>
    <w:rsid w:val="00893FEA"/>
    <w:rsid w:val="008941B4"/>
    <w:rsid w:val="00894249"/>
    <w:rsid w:val="00894289"/>
    <w:rsid w:val="00894297"/>
    <w:rsid w:val="008942C9"/>
    <w:rsid w:val="008942DD"/>
    <w:rsid w:val="0089435C"/>
    <w:rsid w:val="00894414"/>
    <w:rsid w:val="00894458"/>
    <w:rsid w:val="008944F0"/>
    <w:rsid w:val="00894509"/>
    <w:rsid w:val="0089450E"/>
    <w:rsid w:val="00894546"/>
    <w:rsid w:val="00894572"/>
    <w:rsid w:val="008945B8"/>
    <w:rsid w:val="008945B9"/>
    <w:rsid w:val="0089467D"/>
    <w:rsid w:val="008946A8"/>
    <w:rsid w:val="00894710"/>
    <w:rsid w:val="00894729"/>
    <w:rsid w:val="008947B0"/>
    <w:rsid w:val="008947BB"/>
    <w:rsid w:val="00894823"/>
    <w:rsid w:val="008948CD"/>
    <w:rsid w:val="008948D0"/>
    <w:rsid w:val="00894908"/>
    <w:rsid w:val="0089495E"/>
    <w:rsid w:val="00894971"/>
    <w:rsid w:val="00894980"/>
    <w:rsid w:val="008949AC"/>
    <w:rsid w:val="008949C3"/>
    <w:rsid w:val="008949DF"/>
    <w:rsid w:val="00894A00"/>
    <w:rsid w:val="00894A1E"/>
    <w:rsid w:val="00894A78"/>
    <w:rsid w:val="00894A85"/>
    <w:rsid w:val="00894AF4"/>
    <w:rsid w:val="00894AF8"/>
    <w:rsid w:val="00894B3B"/>
    <w:rsid w:val="00894B45"/>
    <w:rsid w:val="00894B66"/>
    <w:rsid w:val="00894B8F"/>
    <w:rsid w:val="00894BC4"/>
    <w:rsid w:val="00894C73"/>
    <w:rsid w:val="00894CAB"/>
    <w:rsid w:val="00894CF2"/>
    <w:rsid w:val="00894D45"/>
    <w:rsid w:val="00894D6F"/>
    <w:rsid w:val="00894E0D"/>
    <w:rsid w:val="00894F1A"/>
    <w:rsid w:val="0089508E"/>
    <w:rsid w:val="00895095"/>
    <w:rsid w:val="008950AE"/>
    <w:rsid w:val="008950CB"/>
    <w:rsid w:val="008950F1"/>
    <w:rsid w:val="008951C9"/>
    <w:rsid w:val="00895275"/>
    <w:rsid w:val="008952FD"/>
    <w:rsid w:val="00895335"/>
    <w:rsid w:val="008953B9"/>
    <w:rsid w:val="008953D5"/>
    <w:rsid w:val="00895469"/>
    <w:rsid w:val="0089547B"/>
    <w:rsid w:val="0089549B"/>
    <w:rsid w:val="008954D3"/>
    <w:rsid w:val="008954F5"/>
    <w:rsid w:val="0089550A"/>
    <w:rsid w:val="00895655"/>
    <w:rsid w:val="0089565E"/>
    <w:rsid w:val="008956BB"/>
    <w:rsid w:val="0089580E"/>
    <w:rsid w:val="00895886"/>
    <w:rsid w:val="008958D7"/>
    <w:rsid w:val="00895998"/>
    <w:rsid w:val="008959A0"/>
    <w:rsid w:val="008959CA"/>
    <w:rsid w:val="00895A6D"/>
    <w:rsid w:val="00895BC8"/>
    <w:rsid w:val="00895BCF"/>
    <w:rsid w:val="00895BE3"/>
    <w:rsid w:val="00895C04"/>
    <w:rsid w:val="00895C4A"/>
    <w:rsid w:val="00895C8A"/>
    <w:rsid w:val="00895CA9"/>
    <w:rsid w:val="00895CAF"/>
    <w:rsid w:val="00895D3D"/>
    <w:rsid w:val="00895D5E"/>
    <w:rsid w:val="00895E20"/>
    <w:rsid w:val="00895E3B"/>
    <w:rsid w:val="00895E4C"/>
    <w:rsid w:val="00895E55"/>
    <w:rsid w:val="00895E59"/>
    <w:rsid w:val="00895E7A"/>
    <w:rsid w:val="00895EDC"/>
    <w:rsid w:val="00895F0F"/>
    <w:rsid w:val="00895F94"/>
    <w:rsid w:val="00895FAF"/>
    <w:rsid w:val="00895FE4"/>
    <w:rsid w:val="0089602C"/>
    <w:rsid w:val="0089609C"/>
    <w:rsid w:val="00896102"/>
    <w:rsid w:val="0089619D"/>
    <w:rsid w:val="008961CD"/>
    <w:rsid w:val="00896201"/>
    <w:rsid w:val="008962AB"/>
    <w:rsid w:val="008963C0"/>
    <w:rsid w:val="008963FF"/>
    <w:rsid w:val="00896417"/>
    <w:rsid w:val="008964C7"/>
    <w:rsid w:val="008965BA"/>
    <w:rsid w:val="0089660D"/>
    <w:rsid w:val="008966D2"/>
    <w:rsid w:val="008966FD"/>
    <w:rsid w:val="0089670F"/>
    <w:rsid w:val="008967B5"/>
    <w:rsid w:val="008967EF"/>
    <w:rsid w:val="0089687F"/>
    <w:rsid w:val="008968A4"/>
    <w:rsid w:val="008968E8"/>
    <w:rsid w:val="0089695C"/>
    <w:rsid w:val="00896980"/>
    <w:rsid w:val="008969C9"/>
    <w:rsid w:val="008969F4"/>
    <w:rsid w:val="00896C3F"/>
    <w:rsid w:val="00896E8E"/>
    <w:rsid w:val="00896F05"/>
    <w:rsid w:val="00896F40"/>
    <w:rsid w:val="00896FC2"/>
    <w:rsid w:val="00896FCB"/>
    <w:rsid w:val="00896FD2"/>
    <w:rsid w:val="0089701D"/>
    <w:rsid w:val="0089705E"/>
    <w:rsid w:val="00897091"/>
    <w:rsid w:val="008971B1"/>
    <w:rsid w:val="0089723D"/>
    <w:rsid w:val="008972B7"/>
    <w:rsid w:val="0089733D"/>
    <w:rsid w:val="0089734B"/>
    <w:rsid w:val="0089746E"/>
    <w:rsid w:val="0089749B"/>
    <w:rsid w:val="008974B6"/>
    <w:rsid w:val="0089766A"/>
    <w:rsid w:val="0089768F"/>
    <w:rsid w:val="008976D8"/>
    <w:rsid w:val="008976F9"/>
    <w:rsid w:val="008976FB"/>
    <w:rsid w:val="0089772F"/>
    <w:rsid w:val="0089777E"/>
    <w:rsid w:val="00897890"/>
    <w:rsid w:val="00897A1C"/>
    <w:rsid w:val="00897A25"/>
    <w:rsid w:val="00897BFB"/>
    <w:rsid w:val="00897D0C"/>
    <w:rsid w:val="00897D3C"/>
    <w:rsid w:val="00897D43"/>
    <w:rsid w:val="00897D9F"/>
    <w:rsid w:val="00897DB8"/>
    <w:rsid w:val="00897E93"/>
    <w:rsid w:val="00897EB1"/>
    <w:rsid w:val="00897F06"/>
    <w:rsid w:val="00897FB0"/>
    <w:rsid w:val="00897FC8"/>
    <w:rsid w:val="008A00B1"/>
    <w:rsid w:val="008A0256"/>
    <w:rsid w:val="008A02E0"/>
    <w:rsid w:val="008A0344"/>
    <w:rsid w:val="008A0375"/>
    <w:rsid w:val="008A0387"/>
    <w:rsid w:val="008A03D2"/>
    <w:rsid w:val="008A03E1"/>
    <w:rsid w:val="008A0442"/>
    <w:rsid w:val="008A050E"/>
    <w:rsid w:val="008A0576"/>
    <w:rsid w:val="008A05B8"/>
    <w:rsid w:val="008A05E1"/>
    <w:rsid w:val="008A0637"/>
    <w:rsid w:val="008A0666"/>
    <w:rsid w:val="008A069C"/>
    <w:rsid w:val="008A069F"/>
    <w:rsid w:val="008A06CD"/>
    <w:rsid w:val="008A06E6"/>
    <w:rsid w:val="008A072F"/>
    <w:rsid w:val="008A0743"/>
    <w:rsid w:val="008A0758"/>
    <w:rsid w:val="008A07F1"/>
    <w:rsid w:val="008A08A3"/>
    <w:rsid w:val="008A08AB"/>
    <w:rsid w:val="008A08E1"/>
    <w:rsid w:val="008A091C"/>
    <w:rsid w:val="008A0940"/>
    <w:rsid w:val="008A095C"/>
    <w:rsid w:val="008A09CD"/>
    <w:rsid w:val="008A09F7"/>
    <w:rsid w:val="008A09FE"/>
    <w:rsid w:val="008A0AC2"/>
    <w:rsid w:val="008A0B98"/>
    <w:rsid w:val="008A0BCA"/>
    <w:rsid w:val="008A0C1F"/>
    <w:rsid w:val="008A0CB2"/>
    <w:rsid w:val="008A0CE1"/>
    <w:rsid w:val="008A0D74"/>
    <w:rsid w:val="008A0D79"/>
    <w:rsid w:val="008A0DB6"/>
    <w:rsid w:val="008A0E26"/>
    <w:rsid w:val="008A0E3F"/>
    <w:rsid w:val="008A0EC7"/>
    <w:rsid w:val="008A0F0D"/>
    <w:rsid w:val="008A0F7E"/>
    <w:rsid w:val="008A0FEC"/>
    <w:rsid w:val="008A1029"/>
    <w:rsid w:val="008A105F"/>
    <w:rsid w:val="008A1076"/>
    <w:rsid w:val="008A12BE"/>
    <w:rsid w:val="008A12D6"/>
    <w:rsid w:val="008A1365"/>
    <w:rsid w:val="008A13A9"/>
    <w:rsid w:val="008A13C4"/>
    <w:rsid w:val="008A13DE"/>
    <w:rsid w:val="008A13ED"/>
    <w:rsid w:val="008A14A4"/>
    <w:rsid w:val="008A1527"/>
    <w:rsid w:val="008A1532"/>
    <w:rsid w:val="008A159F"/>
    <w:rsid w:val="008A15BC"/>
    <w:rsid w:val="008A1671"/>
    <w:rsid w:val="008A16F8"/>
    <w:rsid w:val="008A179D"/>
    <w:rsid w:val="008A17B1"/>
    <w:rsid w:val="008A17B8"/>
    <w:rsid w:val="008A17D2"/>
    <w:rsid w:val="008A17FE"/>
    <w:rsid w:val="008A1804"/>
    <w:rsid w:val="008A1824"/>
    <w:rsid w:val="008A1832"/>
    <w:rsid w:val="008A1843"/>
    <w:rsid w:val="008A1878"/>
    <w:rsid w:val="008A187D"/>
    <w:rsid w:val="008A18A3"/>
    <w:rsid w:val="008A18B1"/>
    <w:rsid w:val="008A191D"/>
    <w:rsid w:val="008A1B34"/>
    <w:rsid w:val="008A1B4A"/>
    <w:rsid w:val="008A1B57"/>
    <w:rsid w:val="008A1B5B"/>
    <w:rsid w:val="008A1B63"/>
    <w:rsid w:val="008A1B95"/>
    <w:rsid w:val="008A1CDC"/>
    <w:rsid w:val="008A1DA5"/>
    <w:rsid w:val="008A1E37"/>
    <w:rsid w:val="008A1EA5"/>
    <w:rsid w:val="008A1ED5"/>
    <w:rsid w:val="008A1FD3"/>
    <w:rsid w:val="008A20C5"/>
    <w:rsid w:val="008A20DF"/>
    <w:rsid w:val="008A212A"/>
    <w:rsid w:val="008A2148"/>
    <w:rsid w:val="008A2194"/>
    <w:rsid w:val="008A21CD"/>
    <w:rsid w:val="008A22FB"/>
    <w:rsid w:val="008A239C"/>
    <w:rsid w:val="008A23B6"/>
    <w:rsid w:val="008A2501"/>
    <w:rsid w:val="008A2509"/>
    <w:rsid w:val="008A2558"/>
    <w:rsid w:val="008A2562"/>
    <w:rsid w:val="008A25A1"/>
    <w:rsid w:val="008A25EB"/>
    <w:rsid w:val="008A2627"/>
    <w:rsid w:val="008A2676"/>
    <w:rsid w:val="008A2686"/>
    <w:rsid w:val="008A268E"/>
    <w:rsid w:val="008A26E1"/>
    <w:rsid w:val="008A27C9"/>
    <w:rsid w:val="008A2851"/>
    <w:rsid w:val="008A2943"/>
    <w:rsid w:val="008A2965"/>
    <w:rsid w:val="008A2972"/>
    <w:rsid w:val="008A29D3"/>
    <w:rsid w:val="008A2AA3"/>
    <w:rsid w:val="008A2B01"/>
    <w:rsid w:val="008A2B16"/>
    <w:rsid w:val="008A2B45"/>
    <w:rsid w:val="008A2B63"/>
    <w:rsid w:val="008A2BC4"/>
    <w:rsid w:val="008A2C47"/>
    <w:rsid w:val="008A2C49"/>
    <w:rsid w:val="008A2C4D"/>
    <w:rsid w:val="008A2C57"/>
    <w:rsid w:val="008A2C83"/>
    <w:rsid w:val="008A2C9E"/>
    <w:rsid w:val="008A2CC0"/>
    <w:rsid w:val="008A2CCA"/>
    <w:rsid w:val="008A2CEB"/>
    <w:rsid w:val="008A2D86"/>
    <w:rsid w:val="008A2DFD"/>
    <w:rsid w:val="008A2EB3"/>
    <w:rsid w:val="008A2EBC"/>
    <w:rsid w:val="008A2EC6"/>
    <w:rsid w:val="008A2F12"/>
    <w:rsid w:val="008A2F72"/>
    <w:rsid w:val="008A3030"/>
    <w:rsid w:val="008A311D"/>
    <w:rsid w:val="008A316A"/>
    <w:rsid w:val="008A31B8"/>
    <w:rsid w:val="008A32DD"/>
    <w:rsid w:val="008A3318"/>
    <w:rsid w:val="008A34A8"/>
    <w:rsid w:val="008A34E2"/>
    <w:rsid w:val="008A351C"/>
    <w:rsid w:val="008A353F"/>
    <w:rsid w:val="008A3580"/>
    <w:rsid w:val="008A3649"/>
    <w:rsid w:val="008A370E"/>
    <w:rsid w:val="008A389F"/>
    <w:rsid w:val="008A38FD"/>
    <w:rsid w:val="008A39F3"/>
    <w:rsid w:val="008A3A16"/>
    <w:rsid w:val="008A3A8D"/>
    <w:rsid w:val="008A3B06"/>
    <w:rsid w:val="008A3B79"/>
    <w:rsid w:val="008A3B9A"/>
    <w:rsid w:val="008A3BF6"/>
    <w:rsid w:val="008A3BF8"/>
    <w:rsid w:val="008A3D4B"/>
    <w:rsid w:val="008A3E55"/>
    <w:rsid w:val="008A3E6D"/>
    <w:rsid w:val="008A3E89"/>
    <w:rsid w:val="008A3F32"/>
    <w:rsid w:val="008A3F54"/>
    <w:rsid w:val="008A40A0"/>
    <w:rsid w:val="008A40AF"/>
    <w:rsid w:val="008A41F4"/>
    <w:rsid w:val="008A4251"/>
    <w:rsid w:val="008A4258"/>
    <w:rsid w:val="008A4301"/>
    <w:rsid w:val="008A4366"/>
    <w:rsid w:val="008A43A9"/>
    <w:rsid w:val="008A43E8"/>
    <w:rsid w:val="008A43FE"/>
    <w:rsid w:val="008A4426"/>
    <w:rsid w:val="008A44B4"/>
    <w:rsid w:val="008A4556"/>
    <w:rsid w:val="008A455D"/>
    <w:rsid w:val="008A45CE"/>
    <w:rsid w:val="008A4625"/>
    <w:rsid w:val="008A46D1"/>
    <w:rsid w:val="008A46EC"/>
    <w:rsid w:val="008A4843"/>
    <w:rsid w:val="008A4852"/>
    <w:rsid w:val="008A4857"/>
    <w:rsid w:val="008A48CC"/>
    <w:rsid w:val="008A4933"/>
    <w:rsid w:val="008A493C"/>
    <w:rsid w:val="008A4943"/>
    <w:rsid w:val="008A4956"/>
    <w:rsid w:val="008A4BD6"/>
    <w:rsid w:val="008A4C1C"/>
    <w:rsid w:val="008A4C34"/>
    <w:rsid w:val="008A4C69"/>
    <w:rsid w:val="008A4C76"/>
    <w:rsid w:val="008A4C85"/>
    <w:rsid w:val="008A4D47"/>
    <w:rsid w:val="008A4D9A"/>
    <w:rsid w:val="008A4DC2"/>
    <w:rsid w:val="008A4E22"/>
    <w:rsid w:val="008A4EE3"/>
    <w:rsid w:val="008A4F9B"/>
    <w:rsid w:val="008A50A6"/>
    <w:rsid w:val="008A50FB"/>
    <w:rsid w:val="008A5192"/>
    <w:rsid w:val="008A51C2"/>
    <w:rsid w:val="008A5207"/>
    <w:rsid w:val="008A523E"/>
    <w:rsid w:val="008A5285"/>
    <w:rsid w:val="008A52FA"/>
    <w:rsid w:val="008A538C"/>
    <w:rsid w:val="008A5391"/>
    <w:rsid w:val="008A53CC"/>
    <w:rsid w:val="008A54F1"/>
    <w:rsid w:val="008A5535"/>
    <w:rsid w:val="008A554A"/>
    <w:rsid w:val="008A55C9"/>
    <w:rsid w:val="008A5602"/>
    <w:rsid w:val="008A5606"/>
    <w:rsid w:val="008A5651"/>
    <w:rsid w:val="008A5653"/>
    <w:rsid w:val="008A5695"/>
    <w:rsid w:val="008A56BE"/>
    <w:rsid w:val="008A5733"/>
    <w:rsid w:val="008A5791"/>
    <w:rsid w:val="008A57DC"/>
    <w:rsid w:val="008A57F7"/>
    <w:rsid w:val="008A585B"/>
    <w:rsid w:val="008A588C"/>
    <w:rsid w:val="008A58B0"/>
    <w:rsid w:val="008A5982"/>
    <w:rsid w:val="008A59F3"/>
    <w:rsid w:val="008A59F8"/>
    <w:rsid w:val="008A5A61"/>
    <w:rsid w:val="008A5B73"/>
    <w:rsid w:val="008A5B85"/>
    <w:rsid w:val="008A5C3F"/>
    <w:rsid w:val="008A5C4A"/>
    <w:rsid w:val="008A5CD9"/>
    <w:rsid w:val="008A5CE3"/>
    <w:rsid w:val="008A5D41"/>
    <w:rsid w:val="008A5D77"/>
    <w:rsid w:val="008A5E24"/>
    <w:rsid w:val="008A5F49"/>
    <w:rsid w:val="008A5F70"/>
    <w:rsid w:val="008A5F78"/>
    <w:rsid w:val="008A5F9E"/>
    <w:rsid w:val="008A5FA8"/>
    <w:rsid w:val="008A6059"/>
    <w:rsid w:val="008A606F"/>
    <w:rsid w:val="008A6121"/>
    <w:rsid w:val="008A61CB"/>
    <w:rsid w:val="008A61CF"/>
    <w:rsid w:val="008A6215"/>
    <w:rsid w:val="008A62AC"/>
    <w:rsid w:val="008A63F7"/>
    <w:rsid w:val="008A644B"/>
    <w:rsid w:val="008A6455"/>
    <w:rsid w:val="008A64A6"/>
    <w:rsid w:val="008A650B"/>
    <w:rsid w:val="008A6513"/>
    <w:rsid w:val="008A6593"/>
    <w:rsid w:val="008A65E1"/>
    <w:rsid w:val="008A6612"/>
    <w:rsid w:val="008A663A"/>
    <w:rsid w:val="008A6668"/>
    <w:rsid w:val="008A66A1"/>
    <w:rsid w:val="008A6816"/>
    <w:rsid w:val="008A681C"/>
    <w:rsid w:val="008A6880"/>
    <w:rsid w:val="008A68AA"/>
    <w:rsid w:val="008A696A"/>
    <w:rsid w:val="008A6987"/>
    <w:rsid w:val="008A6A0F"/>
    <w:rsid w:val="008A6A55"/>
    <w:rsid w:val="008A6A88"/>
    <w:rsid w:val="008A6AB8"/>
    <w:rsid w:val="008A6AD5"/>
    <w:rsid w:val="008A6BC9"/>
    <w:rsid w:val="008A6BDE"/>
    <w:rsid w:val="008A6BEA"/>
    <w:rsid w:val="008A6C2D"/>
    <w:rsid w:val="008A6D00"/>
    <w:rsid w:val="008A6D96"/>
    <w:rsid w:val="008A6E0B"/>
    <w:rsid w:val="008A6E71"/>
    <w:rsid w:val="008A6EB5"/>
    <w:rsid w:val="008A6EEC"/>
    <w:rsid w:val="008A6F1D"/>
    <w:rsid w:val="008A6F7F"/>
    <w:rsid w:val="008A7051"/>
    <w:rsid w:val="008A7066"/>
    <w:rsid w:val="008A7070"/>
    <w:rsid w:val="008A7075"/>
    <w:rsid w:val="008A70B4"/>
    <w:rsid w:val="008A7114"/>
    <w:rsid w:val="008A7183"/>
    <w:rsid w:val="008A7217"/>
    <w:rsid w:val="008A7236"/>
    <w:rsid w:val="008A7404"/>
    <w:rsid w:val="008A7453"/>
    <w:rsid w:val="008A74C2"/>
    <w:rsid w:val="008A74D5"/>
    <w:rsid w:val="008A7536"/>
    <w:rsid w:val="008A7541"/>
    <w:rsid w:val="008A7546"/>
    <w:rsid w:val="008A75DE"/>
    <w:rsid w:val="008A75FB"/>
    <w:rsid w:val="008A76A7"/>
    <w:rsid w:val="008A772D"/>
    <w:rsid w:val="008A7765"/>
    <w:rsid w:val="008A776B"/>
    <w:rsid w:val="008A7812"/>
    <w:rsid w:val="008A7838"/>
    <w:rsid w:val="008A783A"/>
    <w:rsid w:val="008A787C"/>
    <w:rsid w:val="008A7897"/>
    <w:rsid w:val="008A78DF"/>
    <w:rsid w:val="008A7A12"/>
    <w:rsid w:val="008A7A1F"/>
    <w:rsid w:val="008A7AC0"/>
    <w:rsid w:val="008A7B74"/>
    <w:rsid w:val="008A7B7E"/>
    <w:rsid w:val="008A7B90"/>
    <w:rsid w:val="008A7C08"/>
    <w:rsid w:val="008A7EB8"/>
    <w:rsid w:val="008A7EF4"/>
    <w:rsid w:val="008A7F33"/>
    <w:rsid w:val="008A7F43"/>
    <w:rsid w:val="008A7F55"/>
    <w:rsid w:val="008A7FED"/>
    <w:rsid w:val="008B0036"/>
    <w:rsid w:val="008B003E"/>
    <w:rsid w:val="008B004E"/>
    <w:rsid w:val="008B0065"/>
    <w:rsid w:val="008B00FB"/>
    <w:rsid w:val="008B00FC"/>
    <w:rsid w:val="008B012C"/>
    <w:rsid w:val="008B0173"/>
    <w:rsid w:val="008B01A3"/>
    <w:rsid w:val="008B01DF"/>
    <w:rsid w:val="008B0221"/>
    <w:rsid w:val="008B022E"/>
    <w:rsid w:val="008B02A5"/>
    <w:rsid w:val="008B0312"/>
    <w:rsid w:val="008B0323"/>
    <w:rsid w:val="008B032F"/>
    <w:rsid w:val="008B03D9"/>
    <w:rsid w:val="008B0505"/>
    <w:rsid w:val="008B050D"/>
    <w:rsid w:val="008B0571"/>
    <w:rsid w:val="008B0588"/>
    <w:rsid w:val="008B05C9"/>
    <w:rsid w:val="008B063E"/>
    <w:rsid w:val="008B06AA"/>
    <w:rsid w:val="008B06E7"/>
    <w:rsid w:val="008B0767"/>
    <w:rsid w:val="008B076C"/>
    <w:rsid w:val="008B0789"/>
    <w:rsid w:val="008B087F"/>
    <w:rsid w:val="008B0888"/>
    <w:rsid w:val="008B08D1"/>
    <w:rsid w:val="008B08ED"/>
    <w:rsid w:val="008B09AA"/>
    <w:rsid w:val="008B09B4"/>
    <w:rsid w:val="008B0AC2"/>
    <w:rsid w:val="008B0B26"/>
    <w:rsid w:val="008B0B79"/>
    <w:rsid w:val="008B0BA2"/>
    <w:rsid w:val="008B0BCF"/>
    <w:rsid w:val="008B0C3C"/>
    <w:rsid w:val="008B0C44"/>
    <w:rsid w:val="008B0C49"/>
    <w:rsid w:val="008B0C74"/>
    <w:rsid w:val="008B0D0F"/>
    <w:rsid w:val="008B0D1E"/>
    <w:rsid w:val="008B0D70"/>
    <w:rsid w:val="008B0EA9"/>
    <w:rsid w:val="008B0ECC"/>
    <w:rsid w:val="008B0ED9"/>
    <w:rsid w:val="008B0EEC"/>
    <w:rsid w:val="008B0F3D"/>
    <w:rsid w:val="008B1012"/>
    <w:rsid w:val="008B107F"/>
    <w:rsid w:val="008B10C5"/>
    <w:rsid w:val="008B10D0"/>
    <w:rsid w:val="008B10DF"/>
    <w:rsid w:val="008B11FE"/>
    <w:rsid w:val="008B124C"/>
    <w:rsid w:val="008B1263"/>
    <w:rsid w:val="008B12FB"/>
    <w:rsid w:val="008B13A3"/>
    <w:rsid w:val="008B13A5"/>
    <w:rsid w:val="008B13AF"/>
    <w:rsid w:val="008B13BE"/>
    <w:rsid w:val="008B143B"/>
    <w:rsid w:val="008B144D"/>
    <w:rsid w:val="008B148F"/>
    <w:rsid w:val="008B14BC"/>
    <w:rsid w:val="008B14C4"/>
    <w:rsid w:val="008B155B"/>
    <w:rsid w:val="008B15CB"/>
    <w:rsid w:val="008B15D3"/>
    <w:rsid w:val="008B15F1"/>
    <w:rsid w:val="008B160D"/>
    <w:rsid w:val="008B162B"/>
    <w:rsid w:val="008B1671"/>
    <w:rsid w:val="008B1683"/>
    <w:rsid w:val="008B16AD"/>
    <w:rsid w:val="008B16C9"/>
    <w:rsid w:val="008B16E6"/>
    <w:rsid w:val="008B172C"/>
    <w:rsid w:val="008B17D3"/>
    <w:rsid w:val="008B1871"/>
    <w:rsid w:val="008B1905"/>
    <w:rsid w:val="008B190B"/>
    <w:rsid w:val="008B1963"/>
    <w:rsid w:val="008B19C2"/>
    <w:rsid w:val="008B1A29"/>
    <w:rsid w:val="008B1A6D"/>
    <w:rsid w:val="008B1AE3"/>
    <w:rsid w:val="008B1B44"/>
    <w:rsid w:val="008B1C0D"/>
    <w:rsid w:val="008B1C53"/>
    <w:rsid w:val="008B1EB6"/>
    <w:rsid w:val="008B1EE1"/>
    <w:rsid w:val="008B1F73"/>
    <w:rsid w:val="008B1FFB"/>
    <w:rsid w:val="008B2062"/>
    <w:rsid w:val="008B2094"/>
    <w:rsid w:val="008B2095"/>
    <w:rsid w:val="008B20E7"/>
    <w:rsid w:val="008B2156"/>
    <w:rsid w:val="008B21A1"/>
    <w:rsid w:val="008B21C9"/>
    <w:rsid w:val="008B2257"/>
    <w:rsid w:val="008B227F"/>
    <w:rsid w:val="008B2443"/>
    <w:rsid w:val="008B2493"/>
    <w:rsid w:val="008B250B"/>
    <w:rsid w:val="008B2628"/>
    <w:rsid w:val="008B2696"/>
    <w:rsid w:val="008B2766"/>
    <w:rsid w:val="008B28C0"/>
    <w:rsid w:val="008B2946"/>
    <w:rsid w:val="008B2965"/>
    <w:rsid w:val="008B2985"/>
    <w:rsid w:val="008B2AC1"/>
    <w:rsid w:val="008B2B2D"/>
    <w:rsid w:val="008B2BD3"/>
    <w:rsid w:val="008B2BE4"/>
    <w:rsid w:val="008B2C13"/>
    <w:rsid w:val="008B2C1D"/>
    <w:rsid w:val="008B2C41"/>
    <w:rsid w:val="008B2D33"/>
    <w:rsid w:val="008B2D80"/>
    <w:rsid w:val="008B2DA3"/>
    <w:rsid w:val="008B2DAC"/>
    <w:rsid w:val="008B2E95"/>
    <w:rsid w:val="008B2EC8"/>
    <w:rsid w:val="008B2F25"/>
    <w:rsid w:val="008B2F38"/>
    <w:rsid w:val="008B3005"/>
    <w:rsid w:val="008B3086"/>
    <w:rsid w:val="008B3187"/>
    <w:rsid w:val="008B31EF"/>
    <w:rsid w:val="008B321A"/>
    <w:rsid w:val="008B322B"/>
    <w:rsid w:val="008B3237"/>
    <w:rsid w:val="008B3242"/>
    <w:rsid w:val="008B326B"/>
    <w:rsid w:val="008B32CD"/>
    <w:rsid w:val="008B32EF"/>
    <w:rsid w:val="008B3360"/>
    <w:rsid w:val="008B33C7"/>
    <w:rsid w:val="008B33F6"/>
    <w:rsid w:val="008B34AE"/>
    <w:rsid w:val="008B3502"/>
    <w:rsid w:val="008B3556"/>
    <w:rsid w:val="008B35E7"/>
    <w:rsid w:val="008B3724"/>
    <w:rsid w:val="008B374F"/>
    <w:rsid w:val="008B3780"/>
    <w:rsid w:val="008B37CC"/>
    <w:rsid w:val="008B381F"/>
    <w:rsid w:val="008B39A0"/>
    <w:rsid w:val="008B3A06"/>
    <w:rsid w:val="008B3A76"/>
    <w:rsid w:val="008B3ACA"/>
    <w:rsid w:val="008B3B02"/>
    <w:rsid w:val="008B3B4B"/>
    <w:rsid w:val="008B3BB4"/>
    <w:rsid w:val="008B3BE5"/>
    <w:rsid w:val="008B3BF1"/>
    <w:rsid w:val="008B3C0B"/>
    <w:rsid w:val="008B3CAD"/>
    <w:rsid w:val="008B3D08"/>
    <w:rsid w:val="008B3D4A"/>
    <w:rsid w:val="008B3D52"/>
    <w:rsid w:val="008B3D6D"/>
    <w:rsid w:val="008B3DBB"/>
    <w:rsid w:val="008B3DCA"/>
    <w:rsid w:val="008B3E2B"/>
    <w:rsid w:val="008B3E44"/>
    <w:rsid w:val="008B3E61"/>
    <w:rsid w:val="008B3EBE"/>
    <w:rsid w:val="008B3F30"/>
    <w:rsid w:val="008B4098"/>
    <w:rsid w:val="008B40B3"/>
    <w:rsid w:val="008B4219"/>
    <w:rsid w:val="008B4237"/>
    <w:rsid w:val="008B4312"/>
    <w:rsid w:val="008B435A"/>
    <w:rsid w:val="008B43D3"/>
    <w:rsid w:val="008B440F"/>
    <w:rsid w:val="008B444A"/>
    <w:rsid w:val="008B4451"/>
    <w:rsid w:val="008B4475"/>
    <w:rsid w:val="008B44B3"/>
    <w:rsid w:val="008B44E4"/>
    <w:rsid w:val="008B45D5"/>
    <w:rsid w:val="008B462B"/>
    <w:rsid w:val="008B4642"/>
    <w:rsid w:val="008B467C"/>
    <w:rsid w:val="008B46D4"/>
    <w:rsid w:val="008B474F"/>
    <w:rsid w:val="008B4763"/>
    <w:rsid w:val="008B479A"/>
    <w:rsid w:val="008B47A5"/>
    <w:rsid w:val="008B47E2"/>
    <w:rsid w:val="008B47EA"/>
    <w:rsid w:val="008B481E"/>
    <w:rsid w:val="008B48C6"/>
    <w:rsid w:val="008B48D5"/>
    <w:rsid w:val="008B4A35"/>
    <w:rsid w:val="008B4B11"/>
    <w:rsid w:val="008B4B40"/>
    <w:rsid w:val="008B4B9D"/>
    <w:rsid w:val="008B4C08"/>
    <w:rsid w:val="008B4C6B"/>
    <w:rsid w:val="008B4C94"/>
    <w:rsid w:val="008B4CD3"/>
    <w:rsid w:val="008B4CD9"/>
    <w:rsid w:val="008B4DC1"/>
    <w:rsid w:val="008B4DD8"/>
    <w:rsid w:val="008B4DF8"/>
    <w:rsid w:val="008B4EDB"/>
    <w:rsid w:val="008B4F6D"/>
    <w:rsid w:val="008B4FC7"/>
    <w:rsid w:val="008B506A"/>
    <w:rsid w:val="008B50B0"/>
    <w:rsid w:val="008B51A2"/>
    <w:rsid w:val="008B51B6"/>
    <w:rsid w:val="008B51C2"/>
    <w:rsid w:val="008B51D4"/>
    <w:rsid w:val="008B5298"/>
    <w:rsid w:val="008B52B8"/>
    <w:rsid w:val="008B52E2"/>
    <w:rsid w:val="008B5322"/>
    <w:rsid w:val="008B532F"/>
    <w:rsid w:val="008B5341"/>
    <w:rsid w:val="008B5405"/>
    <w:rsid w:val="008B543B"/>
    <w:rsid w:val="008B5440"/>
    <w:rsid w:val="008B544B"/>
    <w:rsid w:val="008B54B1"/>
    <w:rsid w:val="008B54FC"/>
    <w:rsid w:val="008B559A"/>
    <w:rsid w:val="008B5628"/>
    <w:rsid w:val="008B5654"/>
    <w:rsid w:val="008B577B"/>
    <w:rsid w:val="008B57ED"/>
    <w:rsid w:val="008B57F7"/>
    <w:rsid w:val="008B5895"/>
    <w:rsid w:val="008B58BC"/>
    <w:rsid w:val="008B58C5"/>
    <w:rsid w:val="008B58EB"/>
    <w:rsid w:val="008B597C"/>
    <w:rsid w:val="008B597F"/>
    <w:rsid w:val="008B59A6"/>
    <w:rsid w:val="008B5A0C"/>
    <w:rsid w:val="008B5A58"/>
    <w:rsid w:val="008B5A79"/>
    <w:rsid w:val="008B5B17"/>
    <w:rsid w:val="008B5B23"/>
    <w:rsid w:val="008B5B6B"/>
    <w:rsid w:val="008B5B8D"/>
    <w:rsid w:val="008B5B99"/>
    <w:rsid w:val="008B5C01"/>
    <w:rsid w:val="008B5C19"/>
    <w:rsid w:val="008B5C94"/>
    <w:rsid w:val="008B5D28"/>
    <w:rsid w:val="008B5D61"/>
    <w:rsid w:val="008B5DC3"/>
    <w:rsid w:val="008B5E21"/>
    <w:rsid w:val="008B5E3D"/>
    <w:rsid w:val="008B5E6F"/>
    <w:rsid w:val="008B5EC1"/>
    <w:rsid w:val="008B5F24"/>
    <w:rsid w:val="008B5F63"/>
    <w:rsid w:val="008B5F8F"/>
    <w:rsid w:val="008B5FAB"/>
    <w:rsid w:val="008B6032"/>
    <w:rsid w:val="008B6059"/>
    <w:rsid w:val="008B6063"/>
    <w:rsid w:val="008B6139"/>
    <w:rsid w:val="008B61FB"/>
    <w:rsid w:val="008B620D"/>
    <w:rsid w:val="008B62AB"/>
    <w:rsid w:val="008B630E"/>
    <w:rsid w:val="008B6316"/>
    <w:rsid w:val="008B638E"/>
    <w:rsid w:val="008B63C7"/>
    <w:rsid w:val="008B63CA"/>
    <w:rsid w:val="008B640B"/>
    <w:rsid w:val="008B64C5"/>
    <w:rsid w:val="008B64D4"/>
    <w:rsid w:val="008B64DB"/>
    <w:rsid w:val="008B658B"/>
    <w:rsid w:val="008B658F"/>
    <w:rsid w:val="008B65AE"/>
    <w:rsid w:val="008B661C"/>
    <w:rsid w:val="008B66F9"/>
    <w:rsid w:val="008B6727"/>
    <w:rsid w:val="008B67AB"/>
    <w:rsid w:val="008B67EA"/>
    <w:rsid w:val="008B6835"/>
    <w:rsid w:val="008B687C"/>
    <w:rsid w:val="008B68D6"/>
    <w:rsid w:val="008B691D"/>
    <w:rsid w:val="008B6949"/>
    <w:rsid w:val="008B6A63"/>
    <w:rsid w:val="008B6ACC"/>
    <w:rsid w:val="008B6ADE"/>
    <w:rsid w:val="008B6BC0"/>
    <w:rsid w:val="008B6C10"/>
    <w:rsid w:val="008B6C6F"/>
    <w:rsid w:val="008B6CA3"/>
    <w:rsid w:val="008B6D16"/>
    <w:rsid w:val="008B6D96"/>
    <w:rsid w:val="008B6D9D"/>
    <w:rsid w:val="008B6E41"/>
    <w:rsid w:val="008B6EB3"/>
    <w:rsid w:val="008B6EE4"/>
    <w:rsid w:val="008B6EFD"/>
    <w:rsid w:val="008B6F37"/>
    <w:rsid w:val="008B6FED"/>
    <w:rsid w:val="008B7136"/>
    <w:rsid w:val="008B71C4"/>
    <w:rsid w:val="008B71D0"/>
    <w:rsid w:val="008B7299"/>
    <w:rsid w:val="008B72AD"/>
    <w:rsid w:val="008B72C7"/>
    <w:rsid w:val="008B72EE"/>
    <w:rsid w:val="008B7412"/>
    <w:rsid w:val="008B74BF"/>
    <w:rsid w:val="008B7510"/>
    <w:rsid w:val="008B756B"/>
    <w:rsid w:val="008B75C6"/>
    <w:rsid w:val="008B76EF"/>
    <w:rsid w:val="008B7785"/>
    <w:rsid w:val="008B77AB"/>
    <w:rsid w:val="008B77D0"/>
    <w:rsid w:val="008B787C"/>
    <w:rsid w:val="008B78A5"/>
    <w:rsid w:val="008B793E"/>
    <w:rsid w:val="008B79B5"/>
    <w:rsid w:val="008B7A6E"/>
    <w:rsid w:val="008B7B27"/>
    <w:rsid w:val="008B7BDF"/>
    <w:rsid w:val="008B7C20"/>
    <w:rsid w:val="008B7D2B"/>
    <w:rsid w:val="008B7D42"/>
    <w:rsid w:val="008B7D45"/>
    <w:rsid w:val="008B7DA8"/>
    <w:rsid w:val="008B7DB0"/>
    <w:rsid w:val="008B7DEB"/>
    <w:rsid w:val="008B7E3B"/>
    <w:rsid w:val="008B7E9F"/>
    <w:rsid w:val="008C0021"/>
    <w:rsid w:val="008C0079"/>
    <w:rsid w:val="008C0085"/>
    <w:rsid w:val="008C00E0"/>
    <w:rsid w:val="008C0230"/>
    <w:rsid w:val="008C0234"/>
    <w:rsid w:val="008C03C0"/>
    <w:rsid w:val="008C05B2"/>
    <w:rsid w:val="008C05C3"/>
    <w:rsid w:val="008C05ED"/>
    <w:rsid w:val="008C0650"/>
    <w:rsid w:val="008C06A5"/>
    <w:rsid w:val="008C06B8"/>
    <w:rsid w:val="008C06BE"/>
    <w:rsid w:val="008C07BF"/>
    <w:rsid w:val="008C09A1"/>
    <w:rsid w:val="008C09FE"/>
    <w:rsid w:val="008C0A1E"/>
    <w:rsid w:val="008C0A29"/>
    <w:rsid w:val="008C0A2A"/>
    <w:rsid w:val="008C0A40"/>
    <w:rsid w:val="008C0A6F"/>
    <w:rsid w:val="008C0A7C"/>
    <w:rsid w:val="008C0A81"/>
    <w:rsid w:val="008C0B46"/>
    <w:rsid w:val="008C0BF3"/>
    <w:rsid w:val="008C0C7F"/>
    <w:rsid w:val="008C0D07"/>
    <w:rsid w:val="008C0E09"/>
    <w:rsid w:val="008C0E56"/>
    <w:rsid w:val="008C0E59"/>
    <w:rsid w:val="008C0F27"/>
    <w:rsid w:val="008C0F69"/>
    <w:rsid w:val="008C1015"/>
    <w:rsid w:val="008C1080"/>
    <w:rsid w:val="008C1084"/>
    <w:rsid w:val="008C10BD"/>
    <w:rsid w:val="008C1114"/>
    <w:rsid w:val="008C1138"/>
    <w:rsid w:val="008C118B"/>
    <w:rsid w:val="008C1195"/>
    <w:rsid w:val="008C1199"/>
    <w:rsid w:val="008C11BE"/>
    <w:rsid w:val="008C1218"/>
    <w:rsid w:val="008C1277"/>
    <w:rsid w:val="008C12E9"/>
    <w:rsid w:val="008C131A"/>
    <w:rsid w:val="008C131D"/>
    <w:rsid w:val="008C134F"/>
    <w:rsid w:val="008C13C6"/>
    <w:rsid w:val="008C13E0"/>
    <w:rsid w:val="008C1435"/>
    <w:rsid w:val="008C145B"/>
    <w:rsid w:val="008C151E"/>
    <w:rsid w:val="008C1582"/>
    <w:rsid w:val="008C1601"/>
    <w:rsid w:val="008C162A"/>
    <w:rsid w:val="008C1730"/>
    <w:rsid w:val="008C177A"/>
    <w:rsid w:val="008C17B0"/>
    <w:rsid w:val="008C17E2"/>
    <w:rsid w:val="008C1861"/>
    <w:rsid w:val="008C188E"/>
    <w:rsid w:val="008C188F"/>
    <w:rsid w:val="008C189B"/>
    <w:rsid w:val="008C1953"/>
    <w:rsid w:val="008C195A"/>
    <w:rsid w:val="008C197A"/>
    <w:rsid w:val="008C199D"/>
    <w:rsid w:val="008C19F1"/>
    <w:rsid w:val="008C1A11"/>
    <w:rsid w:val="008C1A65"/>
    <w:rsid w:val="008C1AC2"/>
    <w:rsid w:val="008C1AEE"/>
    <w:rsid w:val="008C1AFF"/>
    <w:rsid w:val="008C1B19"/>
    <w:rsid w:val="008C1B26"/>
    <w:rsid w:val="008C1BB5"/>
    <w:rsid w:val="008C1BBA"/>
    <w:rsid w:val="008C1D21"/>
    <w:rsid w:val="008C1D33"/>
    <w:rsid w:val="008C1D49"/>
    <w:rsid w:val="008C1D7A"/>
    <w:rsid w:val="008C1D8E"/>
    <w:rsid w:val="008C1F48"/>
    <w:rsid w:val="008C1F7E"/>
    <w:rsid w:val="008C1F91"/>
    <w:rsid w:val="008C1FB0"/>
    <w:rsid w:val="008C208A"/>
    <w:rsid w:val="008C20B5"/>
    <w:rsid w:val="008C2101"/>
    <w:rsid w:val="008C2121"/>
    <w:rsid w:val="008C2130"/>
    <w:rsid w:val="008C2198"/>
    <w:rsid w:val="008C224A"/>
    <w:rsid w:val="008C224D"/>
    <w:rsid w:val="008C2330"/>
    <w:rsid w:val="008C235E"/>
    <w:rsid w:val="008C23CA"/>
    <w:rsid w:val="008C23F8"/>
    <w:rsid w:val="008C2401"/>
    <w:rsid w:val="008C242A"/>
    <w:rsid w:val="008C2430"/>
    <w:rsid w:val="008C2484"/>
    <w:rsid w:val="008C24BE"/>
    <w:rsid w:val="008C24ED"/>
    <w:rsid w:val="008C24F1"/>
    <w:rsid w:val="008C25AD"/>
    <w:rsid w:val="008C25E0"/>
    <w:rsid w:val="008C260A"/>
    <w:rsid w:val="008C265C"/>
    <w:rsid w:val="008C267E"/>
    <w:rsid w:val="008C2689"/>
    <w:rsid w:val="008C2797"/>
    <w:rsid w:val="008C27C8"/>
    <w:rsid w:val="008C281C"/>
    <w:rsid w:val="008C2831"/>
    <w:rsid w:val="008C291E"/>
    <w:rsid w:val="008C2950"/>
    <w:rsid w:val="008C2954"/>
    <w:rsid w:val="008C297A"/>
    <w:rsid w:val="008C298E"/>
    <w:rsid w:val="008C2A25"/>
    <w:rsid w:val="008C2A35"/>
    <w:rsid w:val="008C2B6C"/>
    <w:rsid w:val="008C2BFD"/>
    <w:rsid w:val="008C2CB0"/>
    <w:rsid w:val="008C2D4E"/>
    <w:rsid w:val="008C2E61"/>
    <w:rsid w:val="008C2E97"/>
    <w:rsid w:val="008C2EAF"/>
    <w:rsid w:val="008C2EE3"/>
    <w:rsid w:val="008C2F36"/>
    <w:rsid w:val="008C2FD9"/>
    <w:rsid w:val="008C301E"/>
    <w:rsid w:val="008C31A3"/>
    <w:rsid w:val="008C3204"/>
    <w:rsid w:val="008C3229"/>
    <w:rsid w:val="008C3304"/>
    <w:rsid w:val="008C3315"/>
    <w:rsid w:val="008C3340"/>
    <w:rsid w:val="008C3389"/>
    <w:rsid w:val="008C33C4"/>
    <w:rsid w:val="008C356B"/>
    <w:rsid w:val="008C3590"/>
    <w:rsid w:val="008C35B6"/>
    <w:rsid w:val="008C36D2"/>
    <w:rsid w:val="008C36FF"/>
    <w:rsid w:val="008C3726"/>
    <w:rsid w:val="008C3737"/>
    <w:rsid w:val="008C3774"/>
    <w:rsid w:val="008C3793"/>
    <w:rsid w:val="008C37CD"/>
    <w:rsid w:val="008C3812"/>
    <w:rsid w:val="008C381C"/>
    <w:rsid w:val="008C386C"/>
    <w:rsid w:val="008C38D9"/>
    <w:rsid w:val="008C38EF"/>
    <w:rsid w:val="008C38F6"/>
    <w:rsid w:val="008C3962"/>
    <w:rsid w:val="008C3977"/>
    <w:rsid w:val="008C3A22"/>
    <w:rsid w:val="008C3B38"/>
    <w:rsid w:val="008C3B5E"/>
    <w:rsid w:val="008C3B7A"/>
    <w:rsid w:val="008C3B80"/>
    <w:rsid w:val="008C3B94"/>
    <w:rsid w:val="008C3BA4"/>
    <w:rsid w:val="008C3C48"/>
    <w:rsid w:val="008C3C66"/>
    <w:rsid w:val="008C3D68"/>
    <w:rsid w:val="008C3D77"/>
    <w:rsid w:val="008C3DCF"/>
    <w:rsid w:val="008C3E05"/>
    <w:rsid w:val="008C3E4F"/>
    <w:rsid w:val="008C3E7C"/>
    <w:rsid w:val="008C3EB8"/>
    <w:rsid w:val="008C3F5B"/>
    <w:rsid w:val="008C4000"/>
    <w:rsid w:val="008C4032"/>
    <w:rsid w:val="008C404C"/>
    <w:rsid w:val="008C41CC"/>
    <w:rsid w:val="008C4236"/>
    <w:rsid w:val="008C4251"/>
    <w:rsid w:val="008C425B"/>
    <w:rsid w:val="008C42B1"/>
    <w:rsid w:val="008C430F"/>
    <w:rsid w:val="008C437D"/>
    <w:rsid w:val="008C440C"/>
    <w:rsid w:val="008C4486"/>
    <w:rsid w:val="008C450F"/>
    <w:rsid w:val="008C452B"/>
    <w:rsid w:val="008C45C0"/>
    <w:rsid w:val="008C467E"/>
    <w:rsid w:val="008C4681"/>
    <w:rsid w:val="008C4697"/>
    <w:rsid w:val="008C46DE"/>
    <w:rsid w:val="008C4748"/>
    <w:rsid w:val="008C4764"/>
    <w:rsid w:val="008C4786"/>
    <w:rsid w:val="008C47AC"/>
    <w:rsid w:val="008C488B"/>
    <w:rsid w:val="008C4917"/>
    <w:rsid w:val="008C4920"/>
    <w:rsid w:val="008C4924"/>
    <w:rsid w:val="008C49BD"/>
    <w:rsid w:val="008C4A59"/>
    <w:rsid w:val="008C4A67"/>
    <w:rsid w:val="008C4AA2"/>
    <w:rsid w:val="008C4B0C"/>
    <w:rsid w:val="008C4B10"/>
    <w:rsid w:val="008C4BA1"/>
    <w:rsid w:val="008C4C14"/>
    <w:rsid w:val="008C4C1D"/>
    <w:rsid w:val="008C4C5B"/>
    <w:rsid w:val="008C4D0C"/>
    <w:rsid w:val="008C4D7A"/>
    <w:rsid w:val="008C4D87"/>
    <w:rsid w:val="008C4DD3"/>
    <w:rsid w:val="008C4DD9"/>
    <w:rsid w:val="008C4E0C"/>
    <w:rsid w:val="008C4E63"/>
    <w:rsid w:val="008C4EA3"/>
    <w:rsid w:val="008C4EA4"/>
    <w:rsid w:val="008C4EBF"/>
    <w:rsid w:val="008C4EF7"/>
    <w:rsid w:val="008C4EFB"/>
    <w:rsid w:val="008C4F76"/>
    <w:rsid w:val="008C4FA0"/>
    <w:rsid w:val="008C4FF0"/>
    <w:rsid w:val="008C5064"/>
    <w:rsid w:val="008C50E7"/>
    <w:rsid w:val="008C5134"/>
    <w:rsid w:val="008C5165"/>
    <w:rsid w:val="008C5283"/>
    <w:rsid w:val="008C530C"/>
    <w:rsid w:val="008C5344"/>
    <w:rsid w:val="008C5382"/>
    <w:rsid w:val="008C53CF"/>
    <w:rsid w:val="008C53DF"/>
    <w:rsid w:val="008C53ED"/>
    <w:rsid w:val="008C5427"/>
    <w:rsid w:val="008C5435"/>
    <w:rsid w:val="008C5479"/>
    <w:rsid w:val="008C5536"/>
    <w:rsid w:val="008C5542"/>
    <w:rsid w:val="008C5565"/>
    <w:rsid w:val="008C558E"/>
    <w:rsid w:val="008C55B3"/>
    <w:rsid w:val="008C5634"/>
    <w:rsid w:val="008C5759"/>
    <w:rsid w:val="008C57F3"/>
    <w:rsid w:val="008C57F5"/>
    <w:rsid w:val="008C58C8"/>
    <w:rsid w:val="008C590D"/>
    <w:rsid w:val="008C5912"/>
    <w:rsid w:val="008C5927"/>
    <w:rsid w:val="008C5962"/>
    <w:rsid w:val="008C59AB"/>
    <w:rsid w:val="008C5A1D"/>
    <w:rsid w:val="008C5AFE"/>
    <w:rsid w:val="008C5B34"/>
    <w:rsid w:val="008C5B58"/>
    <w:rsid w:val="008C5BBE"/>
    <w:rsid w:val="008C5BC7"/>
    <w:rsid w:val="008C5C08"/>
    <w:rsid w:val="008C5C24"/>
    <w:rsid w:val="008C5CED"/>
    <w:rsid w:val="008C5D22"/>
    <w:rsid w:val="008C5DDF"/>
    <w:rsid w:val="008C5F16"/>
    <w:rsid w:val="008C5F8E"/>
    <w:rsid w:val="008C5FAE"/>
    <w:rsid w:val="008C5FCE"/>
    <w:rsid w:val="008C5FEE"/>
    <w:rsid w:val="008C6044"/>
    <w:rsid w:val="008C6088"/>
    <w:rsid w:val="008C610E"/>
    <w:rsid w:val="008C6188"/>
    <w:rsid w:val="008C61E8"/>
    <w:rsid w:val="008C61E9"/>
    <w:rsid w:val="008C6252"/>
    <w:rsid w:val="008C62FC"/>
    <w:rsid w:val="008C63FA"/>
    <w:rsid w:val="008C6432"/>
    <w:rsid w:val="008C64BB"/>
    <w:rsid w:val="008C6501"/>
    <w:rsid w:val="008C65F7"/>
    <w:rsid w:val="008C66B4"/>
    <w:rsid w:val="008C6745"/>
    <w:rsid w:val="008C6791"/>
    <w:rsid w:val="008C68C7"/>
    <w:rsid w:val="008C6908"/>
    <w:rsid w:val="008C69FF"/>
    <w:rsid w:val="008C6A0F"/>
    <w:rsid w:val="008C6A58"/>
    <w:rsid w:val="008C6AD6"/>
    <w:rsid w:val="008C6B02"/>
    <w:rsid w:val="008C6B1D"/>
    <w:rsid w:val="008C6B4B"/>
    <w:rsid w:val="008C6B81"/>
    <w:rsid w:val="008C6B9E"/>
    <w:rsid w:val="008C6BDD"/>
    <w:rsid w:val="008C6BE7"/>
    <w:rsid w:val="008C6BF8"/>
    <w:rsid w:val="008C6BFF"/>
    <w:rsid w:val="008C6C24"/>
    <w:rsid w:val="008C6C35"/>
    <w:rsid w:val="008C6C79"/>
    <w:rsid w:val="008C6D0D"/>
    <w:rsid w:val="008C6D51"/>
    <w:rsid w:val="008C6D84"/>
    <w:rsid w:val="008C6DC5"/>
    <w:rsid w:val="008C6E68"/>
    <w:rsid w:val="008C6F65"/>
    <w:rsid w:val="008C6F6B"/>
    <w:rsid w:val="008C6FAA"/>
    <w:rsid w:val="008C6FDC"/>
    <w:rsid w:val="008C6FDE"/>
    <w:rsid w:val="008C7016"/>
    <w:rsid w:val="008C704C"/>
    <w:rsid w:val="008C704F"/>
    <w:rsid w:val="008C70AB"/>
    <w:rsid w:val="008C710A"/>
    <w:rsid w:val="008C713C"/>
    <w:rsid w:val="008C7227"/>
    <w:rsid w:val="008C725F"/>
    <w:rsid w:val="008C7284"/>
    <w:rsid w:val="008C7320"/>
    <w:rsid w:val="008C73C5"/>
    <w:rsid w:val="008C73E8"/>
    <w:rsid w:val="008C7437"/>
    <w:rsid w:val="008C7474"/>
    <w:rsid w:val="008C747B"/>
    <w:rsid w:val="008C74C1"/>
    <w:rsid w:val="008C753F"/>
    <w:rsid w:val="008C7581"/>
    <w:rsid w:val="008C76DA"/>
    <w:rsid w:val="008C76F0"/>
    <w:rsid w:val="008C76F3"/>
    <w:rsid w:val="008C77DA"/>
    <w:rsid w:val="008C7868"/>
    <w:rsid w:val="008C78C0"/>
    <w:rsid w:val="008C78C9"/>
    <w:rsid w:val="008C7903"/>
    <w:rsid w:val="008C7936"/>
    <w:rsid w:val="008C7946"/>
    <w:rsid w:val="008C7981"/>
    <w:rsid w:val="008C79A7"/>
    <w:rsid w:val="008C7A31"/>
    <w:rsid w:val="008C7AAE"/>
    <w:rsid w:val="008C7BA0"/>
    <w:rsid w:val="008C7BD4"/>
    <w:rsid w:val="008C7C21"/>
    <w:rsid w:val="008C7CD2"/>
    <w:rsid w:val="008C7D1B"/>
    <w:rsid w:val="008C7D47"/>
    <w:rsid w:val="008C7DFA"/>
    <w:rsid w:val="008C7EF0"/>
    <w:rsid w:val="008C7FA7"/>
    <w:rsid w:val="008D0038"/>
    <w:rsid w:val="008D0040"/>
    <w:rsid w:val="008D0056"/>
    <w:rsid w:val="008D00F2"/>
    <w:rsid w:val="008D0101"/>
    <w:rsid w:val="008D02AF"/>
    <w:rsid w:val="008D033D"/>
    <w:rsid w:val="008D0363"/>
    <w:rsid w:val="008D0375"/>
    <w:rsid w:val="008D0399"/>
    <w:rsid w:val="008D0408"/>
    <w:rsid w:val="008D04F0"/>
    <w:rsid w:val="008D0587"/>
    <w:rsid w:val="008D0588"/>
    <w:rsid w:val="008D059F"/>
    <w:rsid w:val="008D05B0"/>
    <w:rsid w:val="008D05F7"/>
    <w:rsid w:val="008D0628"/>
    <w:rsid w:val="008D0715"/>
    <w:rsid w:val="008D079B"/>
    <w:rsid w:val="008D07C3"/>
    <w:rsid w:val="008D081B"/>
    <w:rsid w:val="008D082A"/>
    <w:rsid w:val="008D089B"/>
    <w:rsid w:val="008D0921"/>
    <w:rsid w:val="008D0A41"/>
    <w:rsid w:val="008D0B40"/>
    <w:rsid w:val="008D0B6A"/>
    <w:rsid w:val="008D0BAC"/>
    <w:rsid w:val="008D0BD1"/>
    <w:rsid w:val="008D0C0B"/>
    <w:rsid w:val="008D0C5F"/>
    <w:rsid w:val="008D0CAC"/>
    <w:rsid w:val="008D0CC0"/>
    <w:rsid w:val="008D0DA9"/>
    <w:rsid w:val="008D0DD9"/>
    <w:rsid w:val="008D0E1B"/>
    <w:rsid w:val="008D0E2B"/>
    <w:rsid w:val="008D0E85"/>
    <w:rsid w:val="008D0EC5"/>
    <w:rsid w:val="008D0EE8"/>
    <w:rsid w:val="008D0F69"/>
    <w:rsid w:val="008D0F8E"/>
    <w:rsid w:val="008D0F93"/>
    <w:rsid w:val="008D0FE4"/>
    <w:rsid w:val="008D106D"/>
    <w:rsid w:val="008D1088"/>
    <w:rsid w:val="008D10BC"/>
    <w:rsid w:val="008D10BD"/>
    <w:rsid w:val="008D10C1"/>
    <w:rsid w:val="008D10E5"/>
    <w:rsid w:val="008D1193"/>
    <w:rsid w:val="008D11DA"/>
    <w:rsid w:val="008D11FB"/>
    <w:rsid w:val="008D11FE"/>
    <w:rsid w:val="008D125F"/>
    <w:rsid w:val="008D1295"/>
    <w:rsid w:val="008D12F1"/>
    <w:rsid w:val="008D1322"/>
    <w:rsid w:val="008D1346"/>
    <w:rsid w:val="008D137D"/>
    <w:rsid w:val="008D13B6"/>
    <w:rsid w:val="008D13E1"/>
    <w:rsid w:val="008D14F2"/>
    <w:rsid w:val="008D14FA"/>
    <w:rsid w:val="008D156C"/>
    <w:rsid w:val="008D158A"/>
    <w:rsid w:val="008D15D2"/>
    <w:rsid w:val="008D15F1"/>
    <w:rsid w:val="008D1699"/>
    <w:rsid w:val="008D16D8"/>
    <w:rsid w:val="008D185E"/>
    <w:rsid w:val="008D1873"/>
    <w:rsid w:val="008D187A"/>
    <w:rsid w:val="008D18F7"/>
    <w:rsid w:val="008D194A"/>
    <w:rsid w:val="008D19BD"/>
    <w:rsid w:val="008D1A74"/>
    <w:rsid w:val="008D1A98"/>
    <w:rsid w:val="008D1ABD"/>
    <w:rsid w:val="008D1AD3"/>
    <w:rsid w:val="008D1ADE"/>
    <w:rsid w:val="008D1B0C"/>
    <w:rsid w:val="008D1B2B"/>
    <w:rsid w:val="008D1B48"/>
    <w:rsid w:val="008D1B84"/>
    <w:rsid w:val="008D1C17"/>
    <w:rsid w:val="008D1D69"/>
    <w:rsid w:val="008D1DF3"/>
    <w:rsid w:val="008D1E00"/>
    <w:rsid w:val="008D1E76"/>
    <w:rsid w:val="008D1E92"/>
    <w:rsid w:val="008D1EE3"/>
    <w:rsid w:val="008D1F16"/>
    <w:rsid w:val="008D1F4E"/>
    <w:rsid w:val="008D1F68"/>
    <w:rsid w:val="008D1F79"/>
    <w:rsid w:val="008D2002"/>
    <w:rsid w:val="008D206F"/>
    <w:rsid w:val="008D20BA"/>
    <w:rsid w:val="008D20E6"/>
    <w:rsid w:val="008D218B"/>
    <w:rsid w:val="008D2196"/>
    <w:rsid w:val="008D21C0"/>
    <w:rsid w:val="008D2253"/>
    <w:rsid w:val="008D22BE"/>
    <w:rsid w:val="008D237F"/>
    <w:rsid w:val="008D23F7"/>
    <w:rsid w:val="008D2408"/>
    <w:rsid w:val="008D244B"/>
    <w:rsid w:val="008D2455"/>
    <w:rsid w:val="008D24D7"/>
    <w:rsid w:val="008D250A"/>
    <w:rsid w:val="008D2527"/>
    <w:rsid w:val="008D2540"/>
    <w:rsid w:val="008D25E1"/>
    <w:rsid w:val="008D25E2"/>
    <w:rsid w:val="008D260E"/>
    <w:rsid w:val="008D2699"/>
    <w:rsid w:val="008D26B1"/>
    <w:rsid w:val="008D270F"/>
    <w:rsid w:val="008D27D1"/>
    <w:rsid w:val="008D280C"/>
    <w:rsid w:val="008D2833"/>
    <w:rsid w:val="008D2928"/>
    <w:rsid w:val="008D2945"/>
    <w:rsid w:val="008D294B"/>
    <w:rsid w:val="008D2A35"/>
    <w:rsid w:val="008D2A3B"/>
    <w:rsid w:val="008D2A97"/>
    <w:rsid w:val="008D2AD4"/>
    <w:rsid w:val="008D2BAE"/>
    <w:rsid w:val="008D2BCA"/>
    <w:rsid w:val="008D2BD1"/>
    <w:rsid w:val="008D2C07"/>
    <w:rsid w:val="008D2C61"/>
    <w:rsid w:val="008D2D21"/>
    <w:rsid w:val="008D2E32"/>
    <w:rsid w:val="008D2F08"/>
    <w:rsid w:val="008D2F39"/>
    <w:rsid w:val="008D2F51"/>
    <w:rsid w:val="008D2F9E"/>
    <w:rsid w:val="008D2FB3"/>
    <w:rsid w:val="008D2FBC"/>
    <w:rsid w:val="008D303F"/>
    <w:rsid w:val="008D30ED"/>
    <w:rsid w:val="008D311E"/>
    <w:rsid w:val="008D314B"/>
    <w:rsid w:val="008D3176"/>
    <w:rsid w:val="008D3181"/>
    <w:rsid w:val="008D31F1"/>
    <w:rsid w:val="008D3232"/>
    <w:rsid w:val="008D3348"/>
    <w:rsid w:val="008D3370"/>
    <w:rsid w:val="008D33C5"/>
    <w:rsid w:val="008D33D2"/>
    <w:rsid w:val="008D3402"/>
    <w:rsid w:val="008D3411"/>
    <w:rsid w:val="008D3437"/>
    <w:rsid w:val="008D3465"/>
    <w:rsid w:val="008D3479"/>
    <w:rsid w:val="008D34CD"/>
    <w:rsid w:val="008D34CE"/>
    <w:rsid w:val="008D356B"/>
    <w:rsid w:val="008D358B"/>
    <w:rsid w:val="008D3756"/>
    <w:rsid w:val="008D3769"/>
    <w:rsid w:val="008D382E"/>
    <w:rsid w:val="008D3894"/>
    <w:rsid w:val="008D3926"/>
    <w:rsid w:val="008D3AA0"/>
    <w:rsid w:val="008D3AAB"/>
    <w:rsid w:val="008D3B79"/>
    <w:rsid w:val="008D3B97"/>
    <w:rsid w:val="008D3B9D"/>
    <w:rsid w:val="008D3BB9"/>
    <w:rsid w:val="008D3C1A"/>
    <w:rsid w:val="008D3C2D"/>
    <w:rsid w:val="008D3D5C"/>
    <w:rsid w:val="008D3D9B"/>
    <w:rsid w:val="008D3DAF"/>
    <w:rsid w:val="008D3E46"/>
    <w:rsid w:val="008D3E4B"/>
    <w:rsid w:val="008D3EB2"/>
    <w:rsid w:val="008D3EB9"/>
    <w:rsid w:val="008D3F83"/>
    <w:rsid w:val="008D3FF0"/>
    <w:rsid w:val="008D4041"/>
    <w:rsid w:val="008D4089"/>
    <w:rsid w:val="008D4129"/>
    <w:rsid w:val="008D4156"/>
    <w:rsid w:val="008D4199"/>
    <w:rsid w:val="008D41AE"/>
    <w:rsid w:val="008D41F1"/>
    <w:rsid w:val="008D4244"/>
    <w:rsid w:val="008D42AB"/>
    <w:rsid w:val="008D4335"/>
    <w:rsid w:val="008D4336"/>
    <w:rsid w:val="008D4357"/>
    <w:rsid w:val="008D43D4"/>
    <w:rsid w:val="008D43FF"/>
    <w:rsid w:val="008D4402"/>
    <w:rsid w:val="008D44B4"/>
    <w:rsid w:val="008D44BA"/>
    <w:rsid w:val="008D44BD"/>
    <w:rsid w:val="008D44D5"/>
    <w:rsid w:val="008D4523"/>
    <w:rsid w:val="008D4554"/>
    <w:rsid w:val="008D4586"/>
    <w:rsid w:val="008D4669"/>
    <w:rsid w:val="008D4770"/>
    <w:rsid w:val="008D4778"/>
    <w:rsid w:val="008D4780"/>
    <w:rsid w:val="008D4791"/>
    <w:rsid w:val="008D47EF"/>
    <w:rsid w:val="008D4892"/>
    <w:rsid w:val="008D4A2D"/>
    <w:rsid w:val="008D4A75"/>
    <w:rsid w:val="008D4BA6"/>
    <w:rsid w:val="008D4BD0"/>
    <w:rsid w:val="008D4CF5"/>
    <w:rsid w:val="008D4D39"/>
    <w:rsid w:val="008D4D5B"/>
    <w:rsid w:val="008D4E14"/>
    <w:rsid w:val="008D4E35"/>
    <w:rsid w:val="008D4E6C"/>
    <w:rsid w:val="008D4FA1"/>
    <w:rsid w:val="008D4FED"/>
    <w:rsid w:val="008D5003"/>
    <w:rsid w:val="008D50FC"/>
    <w:rsid w:val="008D5115"/>
    <w:rsid w:val="008D518B"/>
    <w:rsid w:val="008D51A8"/>
    <w:rsid w:val="008D51D6"/>
    <w:rsid w:val="008D51F8"/>
    <w:rsid w:val="008D52A1"/>
    <w:rsid w:val="008D52B6"/>
    <w:rsid w:val="008D52E4"/>
    <w:rsid w:val="008D54C5"/>
    <w:rsid w:val="008D551B"/>
    <w:rsid w:val="008D5521"/>
    <w:rsid w:val="008D5536"/>
    <w:rsid w:val="008D556C"/>
    <w:rsid w:val="008D55B6"/>
    <w:rsid w:val="008D55BA"/>
    <w:rsid w:val="008D561D"/>
    <w:rsid w:val="008D563E"/>
    <w:rsid w:val="008D5699"/>
    <w:rsid w:val="008D5714"/>
    <w:rsid w:val="008D5723"/>
    <w:rsid w:val="008D573F"/>
    <w:rsid w:val="008D5777"/>
    <w:rsid w:val="008D5833"/>
    <w:rsid w:val="008D583D"/>
    <w:rsid w:val="008D588A"/>
    <w:rsid w:val="008D596A"/>
    <w:rsid w:val="008D59EE"/>
    <w:rsid w:val="008D59F6"/>
    <w:rsid w:val="008D5A41"/>
    <w:rsid w:val="008D5AB0"/>
    <w:rsid w:val="008D5AD0"/>
    <w:rsid w:val="008D5B54"/>
    <w:rsid w:val="008D5B6B"/>
    <w:rsid w:val="008D5B7A"/>
    <w:rsid w:val="008D5C7D"/>
    <w:rsid w:val="008D5CB3"/>
    <w:rsid w:val="008D5D4D"/>
    <w:rsid w:val="008D5D78"/>
    <w:rsid w:val="008D5DB7"/>
    <w:rsid w:val="008D5DF9"/>
    <w:rsid w:val="008D5DFF"/>
    <w:rsid w:val="008D5E18"/>
    <w:rsid w:val="008D5E40"/>
    <w:rsid w:val="008D5E6F"/>
    <w:rsid w:val="008D5EE5"/>
    <w:rsid w:val="008D5F0F"/>
    <w:rsid w:val="008D5F1E"/>
    <w:rsid w:val="008D5F37"/>
    <w:rsid w:val="008D6000"/>
    <w:rsid w:val="008D6053"/>
    <w:rsid w:val="008D60DE"/>
    <w:rsid w:val="008D6123"/>
    <w:rsid w:val="008D6162"/>
    <w:rsid w:val="008D61D4"/>
    <w:rsid w:val="008D6239"/>
    <w:rsid w:val="008D623D"/>
    <w:rsid w:val="008D624F"/>
    <w:rsid w:val="008D6310"/>
    <w:rsid w:val="008D63BA"/>
    <w:rsid w:val="008D6485"/>
    <w:rsid w:val="008D649C"/>
    <w:rsid w:val="008D64C8"/>
    <w:rsid w:val="008D650B"/>
    <w:rsid w:val="008D6538"/>
    <w:rsid w:val="008D6634"/>
    <w:rsid w:val="008D665E"/>
    <w:rsid w:val="008D668E"/>
    <w:rsid w:val="008D66F6"/>
    <w:rsid w:val="008D67D4"/>
    <w:rsid w:val="008D687E"/>
    <w:rsid w:val="008D68FD"/>
    <w:rsid w:val="008D6A1D"/>
    <w:rsid w:val="008D6AEF"/>
    <w:rsid w:val="008D6B69"/>
    <w:rsid w:val="008D6C4B"/>
    <w:rsid w:val="008D6CEB"/>
    <w:rsid w:val="008D6D2F"/>
    <w:rsid w:val="008D6D6A"/>
    <w:rsid w:val="008D6E8F"/>
    <w:rsid w:val="008D6EEA"/>
    <w:rsid w:val="008D6F28"/>
    <w:rsid w:val="008D6FB2"/>
    <w:rsid w:val="008D6FD4"/>
    <w:rsid w:val="008D7001"/>
    <w:rsid w:val="008D700B"/>
    <w:rsid w:val="008D710A"/>
    <w:rsid w:val="008D7140"/>
    <w:rsid w:val="008D7145"/>
    <w:rsid w:val="008D71D3"/>
    <w:rsid w:val="008D71DB"/>
    <w:rsid w:val="008D723E"/>
    <w:rsid w:val="008D7269"/>
    <w:rsid w:val="008D72EA"/>
    <w:rsid w:val="008D730C"/>
    <w:rsid w:val="008D7329"/>
    <w:rsid w:val="008D73D2"/>
    <w:rsid w:val="008D7476"/>
    <w:rsid w:val="008D74D6"/>
    <w:rsid w:val="008D7518"/>
    <w:rsid w:val="008D75DA"/>
    <w:rsid w:val="008D767A"/>
    <w:rsid w:val="008D76E8"/>
    <w:rsid w:val="008D76FF"/>
    <w:rsid w:val="008D7703"/>
    <w:rsid w:val="008D77B6"/>
    <w:rsid w:val="008D77C5"/>
    <w:rsid w:val="008D77C8"/>
    <w:rsid w:val="008D77D6"/>
    <w:rsid w:val="008D78B7"/>
    <w:rsid w:val="008D78DF"/>
    <w:rsid w:val="008D793C"/>
    <w:rsid w:val="008D7AEE"/>
    <w:rsid w:val="008D7B2C"/>
    <w:rsid w:val="008D7B33"/>
    <w:rsid w:val="008D7B61"/>
    <w:rsid w:val="008D7C3A"/>
    <w:rsid w:val="008D7C44"/>
    <w:rsid w:val="008D7C53"/>
    <w:rsid w:val="008D7D04"/>
    <w:rsid w:val="008D7D4B"/>
    <w:rsid w:val="008D7DF1"/>
    <w:rsid w:val="008D7E40"/>
    <w:rsid w:val="008D7E6A"/>
    <w:rsid w:val="008D7F12"/>
    <w:rsid w:val="008D7F40"/>
    <w:rsid w:val="008D7FAE"/>
    <w:rsid w:val="008D7FD4"/>
    <w:rsid w:val="008D7FF1"/>
    <w:rsid w:val="008E0025"/>
    <w:rsid w:val="008E00AF"/>
    <w:rsid w:val="008E00B5"/>
    <w:rsid w:val="008E00D8"/>
    <w:rsid w:val="008E0258"/>
    <w:rsid w:val="008E0334"/>
    <w:rsid w:val="008E033E"/>
    <w:rsid w:val="008E03CF"/>
    <w:rsid w:val="008E03FD"/>
    <w:rsid w:val="008E0500"/>
    <w:rsid w:val="008E0512"/>
    <w:rsid w:val="008E05B1"/>
    <w:rsid w:val="008E05F6"/>
    <w:rsid w:val="008E062A"/>
    <w:rsid w:val="008E063C"/>
    <w:rsid w:val="008E0748"/>
    <w:rsid w:val="008E0828"/>
    <w:rsid w:val="008E08B3"/>
    <w:rsid w:val="008E08EE"/>
    <w:rsid w:val="008E09D6"/>
    <w:rsid w:val="008E09E1"/>
    <w:rsid w:val="008E09ED"/>
    <w:rsid w:val="008E09FB"/>
    <w:rsid w:val="008E0A46"/>
    <w:rsid w:val="008E0AA2"/>
    <w:rsid w:val="008E0B25"/>
    <w:rsid w:val="008E0B55"/>
    <w:rsid w:val="008E0B74"/>
    <w:rsid w:val="008E0D17"/>
    <w:rsid w:val="008E0DD9"/>
    <w:rsid w:val="008E0EE2"/>
    <w:rsid w:val="008E0F00"/>
    <w:rsid w:val="008E0F68"/>
    <w:rsid w:val="008E1029"/>
    <w:rsid w:val="008E1055"/>
    <w:rsid w:val="008E1105"/>
    <w:rsid w:val="008E1122"/>
    <w:rsid w:val="008E1198"/>
    <w:rsid w:val="008E12BC"/>
    <w:rsid w:val="008E13A1"/>
    <w:rsid w:val="008E1480"/>
    <w:rsid w:val="008E1495"/>
    <w:rsid w:val="008E14B4"/>
    <w:rsid w:val="008E1553"/>
    <w:rsid w:val="008E162A"/>
    <w:rsid w:val="008E166F"/>
    <w:rsid w:val="008E16F0"/>
    <w:rsid w:val="008E179B"/>
    <w:rsid w:val="008E17D1"/>
    <w:rsid w:val="008E1829"/>
    <w:rsid w:val="008E18B0"/>
    <w:rsid w:val="008E18BF"/>
    <w:rsid w:val="008E19B6"/>
    <w:rsid w:val="008E1A00"/>
    <w:rsid w:val="008E1B2D"/>
    <w:rsid w:val="008E1B49"/>
    <w:rsid w:val="008E1BB8"/>
    <w:rsid w:val="008E1BC0"/>
    <w:rsid w:val="008E1BD0"/>
    <w:rsid w:val="008E1C1A"/>
    <w:rsid w:val="008E1C1F"/>
    <w:rsid w:val="008E1CAB"/>
    <w:rsid w:val="008E1CF4"/>
    <w:rsid w:val="008E1DAA"/>
    <w:rsid w:val="008E1E07"/>
    <w:rsid w:val="008E1E49"/>
    <w:rsid w:val="008E1F2C"/>
    <w:rsid w:val="008E1F42"/>
    <w:rsid w:val="008E1F74"/>
    <w:rsid w:val="008E1F7F"/>
    <w:rsid w:val="008E1FBC"/>
    <w:rsid w:val="008E1FF3"/>
    <w:rsid w:val="008E2079"/>
    <w:rsid w:val="008E20CB"/>
    <w:rsid w:val="008E21B7"/>
    <w:rsid w:val="008E21E1"/>
    <w:rsid w:val="008E224A"/>
    <w:rsid w:val="008E2269"/>
    <w:rsid w:val="008E22A1"/>
    <w:rsid w:val="008E22DE"/>
    <w:rsid w:val="008E2374"/>
    <w:rsid w:val="008E2436"/>
    <w:rsid w:val="008E2504"/>
    <w:rsid w:val="008E2509"/>
    <w:rsid w:val="008E2569"/>
    <w:rsid w:val="008E264A"/>
    <w:rsid w:val="008E26B8"/>
    <w:rsid w:val="008E276D"/>
    <w:rsid w:val="008E2770"/>
    <w:rsid w:val="008E27F0"/>
    <w:rsid w:val="008E28D3"/>
    <w:rsid w:val="008E28F1"/>
    <w:rsid w:val="008E28F3"/>
    <w:rsid w:val="008E292C"/>
    <w:rsid w:val="008E294F"/>
    <w:rsid w:val="008E296D"/>
    <w:rsid w:val="008E2978"/>
    <w:rsid w:val="008E298B"/>
    <w:rsid w:val="008E2995"/>
    <w:rsid w:val="008E29FF"/>
    <w:rsid w:val="008E2ADE"/>
    <w:rsid w:val="008E2CB1"/>
    <w:rsid w:val="008E2CEE"/>
    <w:rsid w:val="008E2D34"/>
    <w:rsid w:val="008E2D72"/>
    <w:rsid w:val="008E2DBE"/>
    <w:rsid w:val="008E2DD4"/>
    <w:rsid w:val="008E2E62"/>
    <w:rsid w:val="008E2EA8"/>
    <w:rsid w:val="008E2F03"/>
    <w:rsid w:val="008E2F06"/>
    <w:rsid w:val="008E2F5F"/>
    <w:rsid w:val="008E2FEA"/>
    <w:rsid w:val="008E3071"/>
    <w:rsid w:val="008E3086"/>
    <w:rsid w:val="008E316C"/>
    <w:rsid w:val="008E31FB"/>
    <w:rsid w:val="008E3297"/>
    <w:rsid w:val="008E329C"/>
    <w:rsid w:val="008E32AF"/>
    <w:rsid w:val="008E338B"/>
    <w:rsid w:val="008E3463"/>
    <w:rsid w:val="008E353E"/>
    <w:rsid w:val="008E35A7"/>
    <w:rsid w:val="008E35D0"/>
    <w:rsid w:val="008E35F7"/>
    <w:rsid w:val="008E3668"/>
    <w:rsid w:val="008E3680"/>
    <w:rsid w:val="008E3721"/>
    <w:rsid w:val="008E37F6"/>
    <w:rsid w:val="008E384A"/>
    <w:rsid w:val="008E38DB"/>
    <w:rsid w:val="008E3924"/>
    <w:rsid w:val="008E3933"/>
    <w:rsid w:val="008E39CA"/>
    <w:rsid w:val="008E3B07"/>
    <w:rsid w:val="008E3B35"/>
    <w:rsid w:val="008E3B8D"/>
    <w:rsid w:val="008E3DA6"/>
    <w:rsid w:val="008E3DEB"/>
    <w:rsid w:val="008E3E59"/>
    <w:rsid w:val="008E3F16"/>
    <w:rsid w:val="008E3F1D"/>
    <w:rsid w:val="008E3F4F"/>
    <w:rsid w:val="008E3FCE"/>
    <w:rsid w:val="008E410A"/>
    <w:rsid w:val="008E4116"/>
    <w:rsid w:val="008E414F"/>
    <w:rsid w:val="008E4164"/>
    <w:rsid w:val="008E4178"/>
    <w:rsid w:val="008E418D"/>
    <w:rsid w:val="008E41CF"/>
    <w:rsid w:val="008E4227"/>
    <w:rsid w:val="008E428C"/>
    <w:rsid w:val="008E42A1"/>
    <w:rsid w:val="008E432F"/>
    <w:rsid w:val="008E43E3"/>
    <w:rsid w:val="008E4414"/>
    <w:rsid w:val="008E44DE"/>
    <w:rsid w:val="008E45FF"/>
    <w:rsid w:val="008E466F"/>
    <w:rsid w:val="008E4673"/>
    <w:rsid w:val="008E4759"/>
    <w:rsid w:val="008E47B9"/>
    <w:rsid w:val="008E47BC"/>
    <w:rsid w:val="008E4802"/>
    <w:rsid w:val="008E48EB"/>
    <w:rsid w:val="008E496D"/>
    <w:rsid w:val="008E4992"/>
    <w:rsid w:val="008E49B4"/>
    <w:rsid w:val="008E4AEF"/>
    <w:rsid w:val="008E4CA4"/>
    <w:rsid w:val="008E4D43"/>
    <w:rsid w:val="008E4D51"/>
    <w:rsid w:val="008E4E58"/>
    <w:rsid w:val="008E4E95"/>
    <w:rsid w:val="008E4E9B"/>
    <w:rsid w:val="008E4ED9"/>
    <w:rsid w:val="008E4EE4"/>
    <w:rsid w:val="008E4F8D"/>
    <w:rsid w:val="008E4FAE"/>
    <w:rsid w:val="008E4FC9"/>
    <w:rsid w:val="008E501D"/>
    <w:rsid w:val="008E50C4"/>
    <w:rsid w:val="008E517E"/>
    <w:rsid w:val="008E51DC"/>
    <w:rsid w:val="008E51EC"/>
    <w:rsid w:val="008E5383"/>
    <w:rsid w:val="008E540A"/>
    <w:rsid w:val="008E5414"/>
    <w:rsid w:val="008E5425"/>
    <w:rsid w:val="008E5434"/>
    <w:rsid w:val="008E547F"/>
    <w:rsid w:val="008E5492"/>
    <w:rsid w:val="008E5513"/>
    <w:rsid w:val="008E5583"/>
    <w:rsid w:val="008E5598"/>
    <w:rsid w:val="008E55A3"/>
    <w:rsid w:val="008E5635"/>
    <w:rsid w:val="008E5656"/>
    <w:rsid w:val="008E57A6"/>
    <w:rsid w:val="008E58BC"/>
    <w:rsid w:val="008E58BE"/>
    <w:rsid w:val="008E58C4"/>
    <w:rsid w:val="008E58E0"/>
    <w:rsid w:val="008E5965"/>
    <w:rsid w:val="008E59CD"/>
    <w:rsid w:val="008E5AD8"/>
    <w:rsid w:val="008E5BC5"/>
    <w:rsid w:val="008E5BDB"/>
    <w:rsid w:val="008E5BF4"/>
    <w:rsid w:val="008E5C51"/>
    <w:rsid w:val="008E5CBA"/>
    <w:rsid w:val="008E5DA5"/>
    <w:rsid w:val="008E5E18"/>
    <w:rsid w:val="008E5E98"/>
    <w:rsid w:val="008E5F24"/>
    <w:rsid w:val="008E6020"/>
    <w:rsid w:val="008E6099"/>
    <w:rsid w:val="008E60D8"/>
    <w:rsid w:val="008E6110"/>
    <w:rsid w:val="008E6268"/>
    <w:rsid w:val="008E62B9"/>
    <w:rsid w:val="008E6317"/>
    <w:rsid w:val="008E6470"/>
    <w:rsid w:val="008E64F2"/>
    <w:rsid w:val="008E6527"/>
    <w:rsid w:val="008E6529"/>
    <w:rsid w:val="008E65F3"/>
    <w:rsid w:val="008E6690"/>
    <w:rsid w:val="008E67BA"/>
    <w:rsid w:val="008E68CE"/>
    <w:rsid w:val="008E68D7"/>
    <w:rsid w:val="008E69AB"/>
    <w:rsid w:val="008E69C8"/>
    <w:rsid w:val="008E69F7"/>
    <w:rsid w:val="008E6A17"/>
    <w:rsid w:val="008E6A9B"/>
    <w:rsid w:val="008E6AAF"/>
    <w:rsid w:val="008E6B43"/>
    <w:rsid w:val="008E6B9A"/>
    <w:rsid w:val="008E6BAC"/>
    <w:rsid w:val="008E6BC8"/>
    <w:rsid w:val="008E6BEF"/>
    <w:rsid w:val="008E6C29"/>
    <w:rsid w:val="008E6C3D"/>
    <w:rsid w:val="008E6D01"/>
    <w:rsid w:val="008E6D25"/>
    <w:rsid w:val="008E6D61"/>
    <w:rsid w:val="008E6D9A"/>
    <w:rsid w:val="008E6E66"/>
    <w:rsid w:val="008E6E9A"/>
    <w:rsid w:val="008E6F12"/>
    <w:rsid w:val="008E6F1C"/>
    <w:rsid w:val="008E6FAA"/>
    <w:rsid w:val="008E703D"/>
    <w:rsid w:val="008E7074"/>
    <w:rsid w:val="008E70CC"/>
    <w:rsid w:val="008E71C2"/>
    <w:rsid w:val="008E71EE"/>
    <w:rsid w:val="008E728F"/>
    <w:rsid w:val="008E729B"/>
    <w:rsid w:val="008E7333"/>
    <w:rsid w:val="008E735F"/>
    <w:rsid w:val="008E73FD"/>
    <w:rsid w:val="008E7449"/>
    <w:rsid w:val="008E745E"/>
    <w:rsid w:val="008E74C4"/>
    <w:rsid w:val="008E756C"/>
    <w:rsid w:val="008E75B0"/>
    <w:rsid w:val="008E75D7"/>
    <w:rsid w:val="008E75E8"/>
    <w:rsid w:val="008E7659"/>
    <w:rsid w:val="008E771C"/>
    <w:rsid w:val="008E7761"/>
    <w:rsid w:val="008E7766"/>
    <w:rsid w:val="008E7787"/>
    <w:rsid w:val="008E778C"/>
    <w:rsid w:val="008E77D5"/>
    <w:rsid w:val="008E77F8"/>
    <w:rsid w:val="008E781A"/>
    <w:rsid w:val="008E783B"/>
    <w:rsid w:val="008E78BE"/>
    <w:rsid w:val="008E791B"/>
    <w:rsid w:val="008E792D"/>
    <w:rsid w:val="008E7A01"/>
    <w:rsid w:val="008E7A09"/>
    <w:rsid w:val="008E7A8C"/>
    <w:rsid w:val="008E7C2B"/>
    <w:rsid w:val="008E7C3D"/>
    <w:rsid w:val="008E7CB6"/>
    <w:rsid w:val="008E7CDC"/>
    <w:rsid w:val="008E7D12"/>
    <w:rsid w:val="008E7D98"/>
    <w:rsid w:val="008E7E17"/>
    <w:rsid w:val="008E7E56"/>
    <w:rsid w:val="008E7E79"/>
    <w:rsid w:val="008E7F9C"/>
    <w:rsid w:val="008F0018"/>
    <w:rsid w:val="008F0055"/>
    <w:rsid w:val="008F0119"/>
    <w:rsid w:val="008F0166"/>
    <w:rsid w:val="008F01A0"/>
    <w:rsid w:val="008F01F9"/>
    <w:rsid w:val="008F0218"/>
    <w:rsid w:val="008F0275"/>
    <w:rsid w:val="008F0301"/>
    <w:rsid w:val="008F038C"/>
    <w:rsid w:val="008F03AD"/>
    <w:rsid w:val="008F03FA"/>
    <w:rsid w:val="008F041A"/>
    <w:rsid w:val="008F0499"/>
    <w:rsid w:val="008F04D8"/>
    <w:rsid w:val="008F0500"/>
    <w:rsid w:val="008F0501"/>
    <w:rsid w:val="008F0543"/>
    <w:rsid w:val="008F0572"/>
    <w:rsid w:val="008F0579"/>
    <w:rsid w:val="008F0598"/>
    <w:rsid w:val="008F06CA"/>
    <w:rsid w:val="008F081D"/>
    <w:rsid w:val="008F0871"/>
    <w:rsid w:val="008F08B2"/>
    <w:rsid w:val="008F0A54"/>
    <w:rsid w:val="008F0A59"/>
    <w:rsid w:val="008F0ADC"/>
    <w:rsid w:val="008F0AF8"/>
    <w:rsid w:val="008F0B55"/>
    <w:rsid w:val="008F0B9E"/>
    <w:rsid w:val="008F0CA6"/>
    <w:rsid w:val="008F0D42"/>
    <w:rsid w:val="008F0DAB"/>
    <w:rsid w:val="008F0DE5"/>
    <w:rsid w:val="008F0DEC"/>
    <w:rsid w:val="008F0E1B"/>
    <w:rsid w:val="008F0F44"/>
    <w:rsid w:val="008F0F7E"/>
    <w:rsid w:val="008F0FFE"/>
    <w:rsid w:val="008F1005"/>
    <w:rsid w:val="008F1011"/>
    <w:rsid w:val="008F102F"/>
    <w:rsid w:val="008F10DA"/>
    <w:rsid w:val="008F1198"/>
    <w:rsid w:val="008F1210"/>
    <w:rsid w:val="008F1294"/>
    <w:rsid w:val="008F12B5"/>
    <w:rsid w:val="008F131B"/>
    <w:rsid w:val="008F1356"/>
    <w:rsid w:val="008F136F"/>
    <w:rsid w:val="008F140D"/>
    <w:rsid w:val="008F1412"/>
    <w:rsid w:val="008F1458"/>
    <w:rsid w:val="008F1535"/>
    <w:rsid w:val="008F156D"/>
    <w:rsid w:val="008F158D"/>
    <w:rsid w:val="008F1648"/>
    <w:rsid w:val="008F164A"/>
    <w:rsid w:val="008F1650"/>
    <w:rsid w:val="008F1739"/>
    <w:rsid w:val="008F17E7"/>
    <w:rsid w:val="008F1916"/>
    <w:rsid w:val="008F1955"/>
    <w:rsid w:val="008F1962"/>
    <w:rsid w:val="008F1997"/>
    <w:rsid w:val="008F1A2C"/>
    <w:rsid w:val="008F1AAA"/>
    <w:rsid w:val="008F1AD5"/>
    <w:rsid w:val="008F1B41"/>
    <w:rsid w:val="008F1C37"/>
    <w:rsid w:val="008F1C4E"/>
    <w:rsid w:val="008F1CC6"/>
    <w:rsid w:val="008F1CF9"/>
    <w:rsid w:val="008F1D55"/>
    <w:rsid w:val="008F1D5C"/>
    <w:rsid w:val="008F1DF8"/>
    <w:rsid w:val="008F1E35"/>
    <w:rsid w:val="008F1E66"/>
    <w:rsid w:val="008F1EA3"/>
    <w:rsid w:val="008F1EF4"/>
    <w:rsid w:val="008F1F39"/>
    <w:rsid w:val="008F1F71"/>
    <w:rsid w:val="008F200C"/>
    <w:rsid w:val="008F2059"/>
    <w:rsid w:val="008F208C"/>
    <w:rsid w:val="008F20B0"/>
    <w:rsid w:val="008F20DE"/>
    <w:rsid w:val="008F216E"/>
    <w:rsid w:val="008F2183"/>
    <w:rsid w:val="008F218E"/>
    <w:rsid w:val="008F229C"/>
    <w:rsid w:val="008F22EA"/>
    <w:rsid w:val="008F22EC"/>
    <w:rsid w:val="008F2329"/>
    <w:rsid w:val="008F239A"/>
    <w:rsid w:val="008F23D5"/>
    <w:rsid w:val="008F2529"/>
    <w:rsid w:val="008F25A8"/>
    <w:rsid w:val="008F2613"/>
    <w:rsid w:val="008F2619"/>
    <w:rsid w:val="008F2671"/>
    <w:rsid w:val="008F26DF"/>
    <w:rsid w:val="008F26E5"/>
    <w:rsid w:val="008F26FB"/>
    <w:rsid w:val="008F271A"/>
    <w:rsid w:val="008F2746"/>
    <w:rsid w:val="008F2769"/>
    <w:rsid w:val="008F2778"/>
    <w:rsid w:val="008F2789"/>
    <w:rsid w:val="008F2793"/>
    <w:rsid w:val="008F2865"/>
    <w:rsid w:val="008F2882"/>
    <w:rsid w:val="008F28AE"/>
    <w:rsid w:val="008F28E6"/>
    <w:rsid w:val="008F29A2"/>
    <w:rsid w:val="008F29AE"/>
    <w:rsid w:val="008F2A91"/>
    <w:rsid w:val="008F2B0A"/>
    <w:rsid w:val="008F2BBB"/>
    <w:rsid w:val="008F2BC3"/>
    <w:rsid w:val="008F2C5F"/>
    <w:rsid w:val="008F2D0B"/>
    <w:rsid w:val="008F2D2F"/>
    <w:rsid w:val="008F2EBD"/>
    <w:rsid w:val="008F2EC7"/>
    <w:rsid w:val="008F2F73"/>
    <w:rsid w:val="008F2F99"/>
    <w:rsid w:val="008F3005"/>
    <w:rsid w:val="008F302F"/>
    <w:rsid w:val="008F30A9"/>
    <w:rsid w:val="008F30D2"/>
    <w:rsid w:val="008F318E"/>
    <w:rsid w:val="008F321A"/>
    <w:rsid w:val="008F3240"/>
    <w:rsid w:val="008F32BF"/>
    <w:rsid w:val="008F3309"/>
    <w:rsid w:val="008F330C"/>
    <w:rsid w:val="008F333E"/>
    <w:rsid w:val="008F33AA"/>
    <w:rsid w:val="008F33AD"/>
    <w:rsid w:val="008F341D"/>
    <w:rsid w:val="008F3504"/>
    <w:rsid w:val="008F3505"/>
    <w:rsid w:val="008F3570"/>
    <w:rsid w:val="008F3575"/>
    <w:rsid w:val="008F35AC"/>
    <w:rsid w:val="008F35C9"/>
    <w:rsid w:val="008F3667"/>
    <w:rsid w:val="008F36C0"/>
    <w:rsid w:val="008F36EB"/>
    <w:rsid w:val="008F3715"/>
    <w:rsid w:val="008F372D"/>
    <w:rsid w:val="008F373B"/>
    <w:rsid w:val="008F37B2"/>
    <w:rsid w:val="008F3854"/>
    <w:rsid w:val="008F3868"/>
    <w:rsid w:val="008F388B"/>
    <w:rsid w:val="008F3899"/>
    <w:rsid w:val="008F3977"/>
    <w:rsid w:val="008F3991"/>
    <w:rsid w:val="008F3A78"/>
    <w:rsid w:val="008F3A92"/>
    <w:rsid w:val="008F3ADB"/>
    <w:rsid w:val="008F3ADD"/>
    <w:rsid w:val="008F3B84"/>
    <w:rsid w:val="008F3BB7"/>
    <w:rsid w:val="008F3C28"/>
    <w:rsid w:val="008F3C60"/>
    <w:rsid w:val="008F3D01"/>
    <w:rsid w:val="008F3D8D"/>
    <w:rsid w:val="008F3D90"/>
    <w:rsid w:val="008F3DA6"/>
    <w:rsid w:val="008F3E1E"/>
    <w:rsid w:val="008F3E22"/>
    <w:rsid w:val="008F3E2F"/>
    <w:rsid w:val="008F3F02"/>
    <w:rsid w:val="008F3F5A"/>
    <w:rsid w:val="008F3FB9"/>
    <w:rsid w:val="008F402B"/>
    <w:rsid w:val="008F402E"/>
    <w:rsid w:val="008F4052"/>
    <w:rsid w:val="008F421B"/>
    <w:rsid w:val="008F4254"/>
    <w:rsid w:val="008F42FB"/>
    <w:rsid w:val="008F42FE"/>
    <w:rsid w:val="008F4355"/>
    <w:rsid w:val="008F44FA"/>
    <w:rsid w:val="008F455D"/>
    <w:rsid w:val="008F45F6"/>
    <w:rsid w:val="008F4739"/>
    <w:rsid w:val="008F479A"/>
    <w:rsid w:val="008F47EE"/>
    <w:rsid w:val="008F47F6"/>
    <w:rsid w:val="008F4807"/>
    <w:rsid w:val="008F485E"/>
    <w:rsid w:val="008F4873"/>
    <w:rsid w:val="008F48E5"/>
    <w:rsid w:val="008F490A"/>
    <w:rsid w:val="008F4A85"/>
    <w:rsid w:val="008F4AC4"/>
    <w:rsid w:val="008F4B1C"/>
    <w:rsid w:val="008F4E72"/>
    <w:rsid w:val="008F4ED6"/>
    <w:rsid w:val="008F4FCB"/>
    <w:rsid w:val="008F5024"/>
    <w:rsid w:val="008F5043"/>
    <w:rsid w:val="008F5077"/>
    <w:rsid w:val="008F508E"/>
    <w:rsid w:val="008F50A0"/>
    <w:rsid w:val="008F50B7"/>
    <w:rsid w:val="008F5142"/>
    <w:rsid w:val="008F5180"/>
    <w:rsid w:val="008F51A7"/>
    <w:rsid w:val="008F51C7"/>
    <w:rsid w:val="008F52F9"/>
    <w:rsid w:val="008F530F"/>
    <w:rsid w:val="008F534B"/>
    <w:rsid w:val="008F535A"/>
    <w:rsid w:val="008F53AF"/>
    <w:rsid w:val="008F53B6"/>
    <w:rsid w:val="008F5421"/>
    <w:rsid w:val="008F5472"/>
    <w:rsid w:val="008F5475"/>
    <w:rsid w:val="008F552C"/>
    <w:rsid w:val="008F5582"/>
    <w:rsid w:val="008F55A1"/>
    <w:rsid w:val="008F55FA"/>
    <w:rsid w:val="008F5631"/>
    <w:rsid w:val="008F5643"/>
    <w:rsid w:val="008F567D"/>
    <w:rsid w:val="008F5696"/>
    <w:rsid w:val="008F56E6"/>
    <w:rsid w:val="008F5775"/>
    <w:rsid w:val="008F582B"/>
    <w:rsid w:val="008F587A"/>
    <w:rsid w:val="008F58C9"/>
    <w:rsid w:val="008F5928"/>
    <w:rsid w:val="008F5932"/>
    <w:rsid w:val="008F59D7"/>
    <w:rsid w:val="008F5A47"/>
    <w:rsid w:val="008F5AD5"/>
    <w:rsid w:val="008F5B29"/>
    <w:rsid w:val="008F5B72"/>
    <w:rsid w:val="008F5BBA"/>
    <w:rsid w:val="008F5C01"/>
    <w:rsid w:val="008F5CA9"/>
    <w:rsid w:val="008F5CC6"/>
    <w:rsid w:val="008F5D87"/>
    <w:rsid w:val="008F5D90"/>
    <w:rsid w:val="008F5DB1"/>
    <w:rsid w:val="008F5E26"/>
    <w:rsid w:val="008F5E3D"/>
    <w:rsid w:val="008F5E7D"/>
    <w:rsid w:val="008F5EC2"/>
    <w:rsid w:val="008F5FD3"/>
    <w:rsid w:val="008F6062"/>
    <w:rsid w:val="008F606A"/>
    <w:rsid w:val="008F606C"/>
    <w:rsid w:val="008F607F"/>
    <w:rsid w:val="008F6093"/>
    <w:rsid w:val="008F616D"/>
    <w:rsid w:val="008F616E"/>
    <w:rsid w:val="008F61A9"/>
    <w:rsid w:val="008F6204"/>
    <w:rsid w:val="008F62DA"/>
    <w:rsid w:val="008F634F"/>
    <w:rsid w:val="008F637F"/>
    <w:rsid w:val="008F63B6"/>
    <w:rsid w:val="008F63D0"/>
    <w:rsid w:val="008F63D5"/>
    <w:rsid w:val="008F6436"/>
    <w:rsid w:val="008F64AF"/>
    <w:rsid w:val="008F64C1"/>
    <w:rsid w:val="008F651D"/>
    <w:rsid w:val="008F6523"/>
    <w:rsid w:val="008F6526"/>
    <w:rsid w:val="008F657A"/>
    <w:rsid w:val="008F65CC"/>
    <w:rsid w:val="008F65EC"/>
    <w:rsid w:val="008F6647"/>
    <w:rsid w:val="008F664D"/>
    <w:rsid w:val="008F6786"/>
    <w:rsid w:val="008F67ED"/>
    <w:rsid w:val="008F682E"/>
    <w:rsid w:val="008F686C"/>
    <w:rsid w:val="008F6880"/>
    <w:rsid w:val="008F6882"/>
    <w:rsid w:val="008F68B8"/>
    <w:rsid w:val="008F69F4"/>
    <w:rsid w:val="008F69FE"/>
    <w:rsid w:val="008F6A36"/>
    <w:rsid w:val="008F6C39"/>
    <w:rsid w:val="008F6C8B"/>
    <w:rsid w:val="008F6C9B"/>
    <w:rsid w:val="008F6D6D"/>
    <w:rsid w:val="008F6D84"/>
    <w:rsid w:val="008F6D94"/>
    <w:rsid w:val="008F6F85"/>
    <w:rsid w:val="008F7068"/>
    <w:rsid w:val="008F7121"/>
    <w:rsid w:val="008F71BE"/>
    <w:rsid w:val="008F72B8"/>
    <w:rsid w:val="008F736C"/>
    <w:rsid w:val="008F7370"/>
    <w:rsid w:val="008F7392"/>
    <w:rsid w:val="008F73D4"/>
    <w:rsid w:val="008F73DC"/>
    <w:rsid w:val="008F7407"/>
    <w:rsid w:val="008F741D"/>
    <w:rsid w:val="008F74AD"/>
    <w:rsid w:val="008F74CA"/>
    <w:rsid w:val="008F7548"/>
    <w:rsid w:val="008F754F"/>
    <w:rsid w:val="008F75D0"/>
    <w:rsid w:val="008F75DB"/>
    <w:rsid w:val="008F7626"/>
    <w:rsid w:val="008F782D"/>
    <w:rsid w:val="008F78A4"/>
    <w:rsid w:val="008F78E0"/>
    <w:rsid w:val="008F7AAA"/>
    <w:rsid w:val="008F7AC2"/>
    <w:rsid w:val="008F7B10"/>
    <w:rsid w:val="008F7B7A"/>
    <w:rsid w:val="008F7BAD"/>
    <w:rsid w:val="008F7BE3"/>
    <w:rsid w:val="008F7C9B"/>
    <w:rsid w:val="008F7D68"/>
    <w:rsid w:val="008F7D94"/>
    <w:rsid w:val="008F7DCE"/>
    <w:rsid w:val="008F7E5F"/>
    <w:rsid w:val="008F7E62"/>
    <w:rsid w:val="008F7E7E"/>
    <w:rsid w:val="008F7F5B"/>
    <w:rsid w:val="008F7F63"/>
    <w:rsid w:val="008F7F96"/>
    <w:rsid w:val="008F7FCE"/>
    <w:rsid w:val="00900149"/>
    <w:rsid w:val="0090015E"/>
    <w:rsid w:val="00900162"/>
    <w:rsid w:val="00900166"/>
    <w:rsid w:val="00900257"/>
    <w:rsid w:val="0090027F"/>
    <w:rsid w:val="00900286"/>
    <w:rsid w:val="009002A0"/>
    <w:rsid w:val="0090034A"/>
    <w:rsid w:val="00900358"/>
    <w:rsid w:val="0090037E"/>
    <w:rsid w:val="0090045E"/>
    <w:rsid w:val="00900597"/>
    <w:rsid w:val="009005FD"/>
    <w:rsid w:val="0090063C"/>
    <w:rsid w:val="009006B9"/>
    <w:rsid w:val="009006C1"/>
    <w:rsid w:val="0090071A"/>
    <w:rsid w:val="0090078B"/>
    <w:rsid w:val="0090080E"/>
    <w:rsid w:val="009008DA"/>
    <w:rsid w:val="009008E8"/>
    <w:rsid w:val="0090098B"/>
    <w:rsid w:val="009009CB"/>
    <w:rsid w:val="00900A6C"/>
    <w:rsid w:val="00900A6E"/>
    <w:rsid w:val="00900AC8"/>
    <w:rsid w:val="00900ACE"/>
    <w:rsid w:val="00900B89"/>
    <w:rsid w:val="00900BD4"/>
    <w:rsid w:val="00900BF4"/>
    <w:rsid w:val="00900C48"/>
    <w:rsid w:val="00900C9B"/>
    <w:rsid w:val="00900CD2"/>
    <w:rsid w:val="00900CDA"/>
    <w:rsid w:val="00900D8A"/>
    <w:rsid w:val="00900E36"/>
    <w:rsid w:val="00900EB5"/>
    <w:rsid w:val="00900EC9"/>
    <w:rsid w:val="00900EF1"/>
    <w:rsid w:val="00900EFF"/>
    <w:rsid w:val="00900F12"/>
    <w:rsid w:val="00900FA6"/>
    <w:rsid w:val="00900FA7"/>
    <w:rsid w:val="00900FC9"/>
    <w:rsid w:val="00900FED"/>
    <w:rsid w:val="00900FFC"/>
    <w:rsid w:val="00901004"/>
    <w:rsid w:val="0090100F"/>
    <w:rsid w:val="00901097"/>
    <w:rsid w:val="009010EE"/>
    <w:rsid w:val="00901143"/>
    <w:rsid w:val="00901190"/>
    <w:rsid w:val="00901194"/>
    <w:rsid w:val="009011D1"/>
    <w:rsid w:val="009011DF"/>
    <w:rsid w:val="0090120B"/>
    <w:rsid w:val="00901223"/>
    <w:rsid w:val="0090128E"/>
    <w:rsid w:val="0090132A"/>
    <w:rsid w:val="00901339"/>
    <w:rsid w:val="00901399"/>
    <w:rsid w:val="009013A5"/>
    <w:rsid w:val="009013F2"/>
    <w:rsid w:val="009013F5"/>
    <w:rsid w:val="00901464"/>
    <w:rsid w:val="00901499"/>
    <w:rsid w:val="009014A5"/>
    <w:rsid w:val="009014BC"/>
    <w:rsid w:val="0090159F"/>
    <w:rsid w:val="009015EA"/>
    <w:rsid w:val="00901628"/>
    <w:rsid w:val="00901648"/>
    <w:rsid w:val="0090169A"/>
    <w:rsid w:val="0090169F"/>
    <w:rsid w:val="009016B7"/>
    <w:rsid w:val="009016C9"/>
    <w:rsid w:val="0090171B"/>
    <w:rsid w:val="00901720"/>
    <w:rsid w:val="00901724"/>
    <w:rsid w:val="00901727"/>
    <w:rsid w:val="0090175D"/>
    <w:rsid w:val="009017C7"/>
    <w:rsid w:val="0090186A"/>
    <w:rsid w:val="00901870"/>
    <w:rsid w:val="0090187B"/>
    <w:rsid w:val="00901902"/>
    <w:rsid w:val="00901970"/>
    <w:rsid w:val="00901A05"/>
    <w:rsid w:val="00901A8A"/>
    <w:rsid w:val="00901B0B"/>
    <w:rsid w:val="00901BE3"/>
    <w:rsid w:val="00901C26"/>
    <w:rsid w:val="00901C97"/>
    <w:rsid w:val="00901CBB"/>
    <w:rsid w:val="00901D1D"/>
    <w:rsid w:val="00901D74"/>
    <w:rsid w:val="00901DAA"/>
    <w:rsid w:val="00901F6F"/>
    <w:rsid w:val="0090206F"/>
    <w:rsid w:val="0090207F"/>
    <w:rsid w:val="00902113"/>
    <w:rsid w:val="009021EF"/>
    <w:rsid w:val="00902230"/>
    <w:rsid w:val="009022C3"/>
    <w:rsid w:val="0090236C"/>
    <w:rsid w:val="00902394"/>
    <w:rsid w:val="009023D0"/>
    <w:rsid w:val="009023F2"/>
    <w:rsid w:val="0090244F"/>
    <w:rsid w:val="00902542"/>
    <w:rsid w:val="0090257B"/>
    <w:rsid w:val="00902604"/>
    <w:rsid w:val="0090261F"/>
    <w:rsid w:val="00902687"/>
    <w:rsid w:val="0090268D"/>
    <w:rsid w:val="009026A3"/>
    <w:rsid w:val="009026BF"/>
    <w:rsid w:val="00902706"/>
    <w:rsid w:val="00902745"/>
    <w:rsid w:val="0090274D"/>
    <w:rsid w:val="0090281B"/>
    <w:rsid w:val="009028DC"/>
    <w:rsid w:val="0090295B"/>
    <w:rsid w:val="00902AA3"/>
    <w:rsid w:val="00902AA5"/>
    <w:rsid w:val="00902AC8"/>
    <w:rsid w:val="00902B19"/>
    <w:rsid w:val="00902B2D"/>
    <w:rsid w:val="00902B2F"/>
    <w:rsid w:val="00902B50"/>
    <w:rsid w:val="00902BFC"/>
    <w:rsid w:val="00902C26"/>
    <w:rsid w:val="00902CDF"/>
    <w:rsid w:val="00902D1F"/>
    <w:rsid w:val="00902D2F"/>
    <w:rsid w:val="00902D4A"/>
    <w:rsid w:val="00902E66"/>
    <w:rsid w:val="00902EB9"/>
    <w:rsid w:val="00902EFC"/>
    <w:rsid w:val="00902EFD"/>
    <w:rsid w:val="00902F26"/>
    <w:rsid w:val="00902F32"/>
    <w:rsid w:val="00903074"/>
    <w:rsid w:val="00903170"/>
    <w:rsid w:val="00903178"/>
    <w:rsid w:val="009031CF"/>
    <w:rsid w:val="0090327D"/>
    <w:rsid w:val="0090328A"/>
    <w:rsid w:val="0090329A"/>
    <w:rsid w:val="009033C1"/>
    <w:rsid w:val="00903424"/>
    <w:rsid w:val="00903493"/>
    <w:rsid w:val="009034C6"/>
    <w:rsid w:val="0090359F"/>
    <w:rsid w:val="009035BA"/>
    <w:rsid w:val="00903602"/>
    <w:rsid w:val="00903603"/>
    <w:rsid w:val="00903670"/>
    <w:rsid w:val="009036D5"/>
    <w:rsid w:val="00903712"/>
    <w:rsid w:val="00903738"/>
    <w:rsid w:val="009037A1"/>
    <w:rsid w:val="009037E2"/>
    <w:rsid w:val="00903923"/>
    <w:rsid w:val="009039E6"/>
    <w:rsid w:val="00903A0F"/>
    <w:rsid w:val="00903B6D"/>
    <w:rsid w:val="00903BD6"/>
    <w:rsid w:val="00903BF3"/>
    <w:rsid w:val="00903C50"/>
    <w:rsid w:val="00903D08"/>
    <w:rsid w:val="00903D29"/>
    <w:rsid w:val="00903D3A"/>
    <w:rsid w:val="00903D42"/>
    <w:rsid w:val="00903DA5"/>
    <w:rsid w:val="00903DBB"/>
    <w:rsid w:val="00903E10"/>
    <w:rsid w:val="00903ECC"/>
    <w:rsid w:val="00903EDC"/>
    <w:rsid w:val="00903F1C"/>
    <w:rsid w:val="00903F42"/>
    <w:rsid w:val="00904000"/>
    <w:rsid w:val="00904039"/>
    <w:rsid w:val="00904048"/>
    <w:rsid w:val="0090406A"/>
    <w:rsid w:val="00904094"/>
    <w:rsid w:val="009040A0"/>
    <w:rsid w:val="009040D2"/>
    <w:rsid w:val="00904192"/>
    <w:rsid w:val="009041B5"/>
    <w:rsid w:val="009041FD"/>
    <w:rsid w:val="00904252"/>
    <w:rsid w:val="0090425B"/>
    <w:rsid w:val="009043AE"/>
    <w:rsid w:val="0090441B"/>
    <w:rsid w:val="0090451E"/>
    <w:rsid w:val="009045DB"/>
    <w:rsid w:val="00904612"/>
    <w:rsid w:val="00904689"/>
    <w:rsid w:val="0090468C"/>
    <w:rsid w:val="009046B4"/>
    <w:rsid w:val="009046E4"/>
    <w:rsid w:val="00904780"/>
    <w:rsid w:val="009047C4"/>
    <w:rsid w:val="009048FD"/>
    <w:rsid w:val="00904906"/>
    <w:rsid w:val="00904910"/>
    <w:rsid w:val="0090491D"/>
    <w:rsid w:val="00904942"/>
    <w:rsid w:val="0090497F"/>
    <w:rsid w:val="009049B8"/>
    <w:rsid w:val="009049CF"/>
    <w:rsid w:val="00904AC2"/>
    <w:rsid w:val="00904AD7"/>
    <w:rsid w:val="00904BBC"/>
    <w:rsid w:val="00904BE6"/>
    <w:rsid w:val="00904C4E"/>
    <w:rsid w:val="00904C7E"/>
    <w:rsid w:val="00904D29"/>
    <w:rsid w:val="00904DAB"/>
    <w:rsid w:val="00904DC5"/>
    <w:rsid w:val="00904E42"/>
    <w:rsid w:val="00904EAC"/>
    <w:rsid w:val="00904F00"/>
    <w:rsid w:val="00904F54"/>
    <w:rsid w:val="0090510C"/>
    <w:rsid w:val="009051D8"/>
    <w:rsid w:val="009051EA"/>
    <w:rsid w:val="00905205"/>
    <w:rsid w:val="00905263"/>
    <w:rsid w:val="00905296"/>
    <w:rsid w:val="00905414"/>
    <w:rsid w:val="00905426"/>
    <w:rsid w:val="00905485"/>
    <w:rsid w:val="009054B1"/>
    <w:rsid w:val="009054B2"/>
    <w:rsid w:val="0090556A"/>
    <w:rsid w:val="009055E6"/>
    <w:rsid w:val="00905637"/>
    <w:rsid w:val="00905697"/>
    <w:rsid w:val="009056B9"/>
    <w:rsid w:val="00905790"/>
    <w:rsid w:val="00905793"/>
    <w:rsid w:val="009057D6"/>
    <w:rsid w:val="009057FB"/>
    <w:rsid w:val="0090588B"/>
    <w:rsid w:val="0090592B"/>
    <w:rsid w:val="00905931"/>
    <w:rsid w:val="00905990"/>
    <w:rsid w:val="00905A0C"/>
    <w:rsid w:val="00905AD3"/>
    <w:rsid w:val="00905AF4"/>
    <w:rsid w:val="00905C02"/>
    <w:rsid w:val="00905C78"/>
    <w:rsid w:val="00905CD3"/>
    <w:rsid w:val="00905CF3"/>
    <w:rsid w:val="00905D2D"/>
    <w:rsid w:val="00905DC2"/>
    <w:rsid w:val="00905DD9"/>
    <w:rsid w:val="00905E31"/>
    <w:rsid w:val="00905E66"/>
    <w:rsid w:val="00905F93"/>
    <w:rsid w:val="00905F9D"/>
    <w:rsid w:val="00905FBF"/>
    <w:rsid w:val="00905FD7"/>
    <w:rsid w:val="00906026"/>
    <w:rsid w:val="009060C7"/>
    <w:rsid w:val="00906136"/>
    <w:rsid w:val="00906137"/>
    <w:rsid w:val="00906183"/>
    <w:rsid w:val="00906259"/>
    <w:rsid w:val="009062D3"/>
    <w:rsid w:val="00906494"/>
    <w:rsid w:val="009064B5"/>
    <w:rsid w:val="009064EA"/>
    <w:rsid w:val="00906504"/>
    <w:rsid w:val="0090651B"/>
    <w:rsid w:val="0090654E"/>
    <w:rsid w:val="0090656C"/>
    <w:rsid w:val="009065F7"/>
    <w:rsid w:val="009066BC"/>
    <w:rsid w:val="00906827"/>
    <w:rsid w:val="00906831"/>
    <w:rsid w:val="00906906"/>
    <w:rsid w:val="00906908"/>
    <w:rsid w:val="00906934"/>
    <w:rsid w:val="0090696C"/>
    <w:rsid w:val="009069F3"/>
    <w:rsid w:val="00906A40"/>
    <w:rsid w:val="00906AAF"/>
    <w:rsid w:val="00906ADD"/>
    <w:rsid w:val="00906B6A"/>
    <w:rsid w:val="00906BF1"/>
    <w:rsid w:val="00906BF2"/>
    <w:rsid w:val="00906C1F"/>
    <w:rsid w:val="00906C27"/>
    <w:rsid w:val="00906C77"/>
    <w:rsid w:val="00906CAF"/>
    <w:rsid w:val="00906D54"/>
    <w:rsid w:val="00906D84"/>
    <w:rsid w:val="00906FB6"/>
    <w:rsid w:val="009070F9"/>
    <w:rsid w:val="00907179"/>
    <w:rsid w:val="00907182"/>
    <w:rsid w:val="00907222"/>
    <w:rsid w:val="009072B2"/>
    <w:rsid w:val="009073B4"/>
    <w:rsid w:val="009073E7"/>
    <w:rsid w:val="00907407"/>
    <w:rsid w:val="009074C1"/>
    <w:rsid w:val="009075A3"/>
    <w:rsid w:val="009075E1"/>
    <w:rsid w:val="009075EB"/>
    <w:rsid w:val="009075EF"/>
    <w:rsid w:val="00907634"/>
    <w:rsid w:val="0090766D"/>
    <w:rsid w:val="009076DB"/>
    <w:rsid w:val="00907712"/>
    <w:rsid w:val="00907774"/>
    <w:rsid w:val="00907796"/>
    <w:rsid w:val="009077FD"/>
    <w:rsid w:val="00907891"/>
    <w:rsid w:val="00907955"/>
    <w:rsid w:val="0090798C"/>
    <w:rsid w:val="009079B7"/>
    <w:rsid w:val="009079CF"/>
    <w:rsid w:val="00907A23"/>
    <w:rsid w:val="00907AA5"/>
    <w:rsid w:val="00907AB3"/>
    <w:rsid w:val="00907AD9"/>
    <w:rsid w:val="00907B76"/>
    <w:rsid w:val="00907C01"/>
    <w:rsid w:val="00907CC8"/>
    <w:rsid w:val="00907D69"/>
    <w:rsid w:val="00907E18"/>
    <w:rsid w:val="00907E75"/>
    <w:rsid w:val="00907EA1"/>
    <w:rsid w:val="00910033"/>
    <w:rsid w:val="0091003D"/>
    <w:rsid w:val="00910074"/>
    <w:rsid w:val="009100D7"/>
    <w:rsid w:val="009100F8"/>
    <w:rsid w:val="009102B4"/>
    <w:rsid w:val="009103BD"/>
    <w:rsid w:val="009103D5"/>
    <w:rsid w:val="00910404"/>
    <w:rsid w:val="00910422"/>
    <w:rsid w:val="0091042B"/>
    <w:rsid w:val="00910449"/>
    <w:rsid w:val="009104B3"/>
    <w:rsid w:val="00910502"/>
    <w:rsid w:val="00910518"/>
    <w:rsid w:val="00910573"/>
    <w:rsid w:val="009105D9"/>
    <w:rsid w:val="00910683"/>
    <w:rsid w:val="009106B3"/>
    <w:rsid w:val="009107CF"/>
    <w:rsid w:val="0091080B"/>
    <w:rsid w:val="0091098B"/>
    <w:rsid w:val="00910A69"/>
    <w:rsid w:val="00910BC4"/>
    <w:rsid w:val="00910BCB"/>
    <w:rsid w:val="00910C93"/>
    <w:rsid w:val="00910CEC"/>
    <w:rsid w:val="00910D08"/>
    <w:rsid w:val="00910D0B"/>
    <w:rsid w:val="00910DB9"/>
    <w:rsid w:val="00910DF2"/>
    <w:rsid w:val="00910E1D"/>
    <w:rsid w:val="00910EB3"/>
    <w:rsid w:val="00910F32"/>
    <w:rsid w:val="00910FDA"/>
    <w:rsid w:val="00910FFE"/>
    <w:rsid w:val="00911020"/>
    <w:rsid w:val="00911088"/>
    <w:rsid w:val="009110C9"/>
    <w:rsid w:val="00911106"/>
    <w:rsid w:val="00911121"/>
    <w:rsid w:val="0091113E"/>
    <w:rsid w:val="0091115D"/>
    <w:rsid w:val="00911216"/>
    <w:rsid w:val="0091123A"/>
    <w:rsid w:val="009112BD"/>
    <w:rsid w:val="009112F8"/>
    <w:rsid w:val="00911361"/>
    <w:rsid w:val="00911362"/>
    <w:rsid w:val="0091136A"/>
    <w:rsid w:val="0091140E"/>
    <w:rsid w:val="00911459"/>
    <w:rsid w:val="009114AA"/>
    <w:rsid w:val="009114C0"/>
    <w:rsid w:val="009114E2"/>
    <w:rsid w:val="0091174C"/>
    <w:rsid w:val="00911783"/>
    <w:rsid w:val="009117A8"/>
    <w:rsid w:val="00911865"/>
    <w:rsid w:val="00911885"/>
    <w:rsid w:val="009118A8"/>
    <w:rsid w:val="009119B8"/>
    <w:rsid w:val="00911B20"/>
    <w:rsid w:val="00911B3B"/>
    <w:rsid w:val="00911BF3"/>
    <w:rsid w:val="00911C50"/>
    <w:rsid w:val="00911C97"/>
    <w:rsid w:val="00911CB9"/>
    <w:rsid w:val="00911CCF"/>
    <w:rsid w:val="00911D2C"/>
    <w:rsid w:val="00911DC1"/>
    <w:rsid w:val="00911DD1"/>
    <w:rsid w:val="00911E2A"/>
    <w:rsid w:val="00911E3E"/>
    <w:rsid w:val="00911EC4"/>
    <w:rsid w:val="00911EF2"/>
    <w:rsid w:val="00911F00"/>
    <w:rsid w:val="00911F73"/>
    <w:rsid w:val="0091200A"/>
    <w:rsid w:val="00912028"/>
    <w:rsid w:val="0091205B"/>
    <w:rsid w:val="00912066"/>
    <w:rsid w:val="00912085"/>
    <w:rsid w:val="0091208F"/>
    <w:rsid w:val="009120A3"/>
    <w:rsid w:val="00912115"/>
    <w:rsid w:val="00912148"/>
    <w:rsid w:val="00912211"/>
    <w:rsid w:val="00912233"/>
    <w:rsid w:val="00912252"/>
    <w:rsid w:val="009122A8"/>
    <w:rsid w:val="009122B8"/>
    <w:rsid w:val="00912345"/>
    <w:rsid w:val="0091234C"/>
    <w:rsid w:val="00912423"/>
    <w:rsid w:val="0091244A"/>
    <w:rsid w:val="0091245F"/>
    <w:rsid w:val="009124A2"/>
    <w:rsid w:val="00912526"/>
    <w:rsid w:val="009125BC"/>
    <w:rsid w:val="0091266F"/>
    <w:rsid w:val="00912696"/>
    <w:rsid w:val="0091269C"/>
    <w:rsid w:val="009126E8"/>
    <w:rsid w:val="009126FC"/>
    <w:rsid w:val="00912716"/>
    <w:rsid w:val="00912728"/>
    <w:rsid w:val="0091273F"/>
    <w:rsid w:val="00912783"/>
    <w:rsid w:val="009127B1"/>
    <w:rsid w:val="00912805"/>
    <w:rsid w:val="00912825"/>
    <w:rsid w:val="00912882"/>
    <w:rsid w:val="009128BC"/>
    <w:rsid w:val="009128F6"/>
    <w:rsid w:val="0091299C"/>
    <w:rsid w:val="009129B7"/>
    <w:rsid w:val="00912A51"/>
    <w:rsid w:val="00912AE9"/>
    <w:rsid w:val="00912B04"/>
    <w:rsid w:val="00912B4C"/>
    <w:rsid w:val="00912B6F"/>
    <w:rsid w:val="00912BAB"/>
    <w:rsid w:val="00912BC8"/>
    <w:rsid w:val="00912BF3"/>
    <w:rsid w:val="00912C39"/>
    <w:rsid w:val="00912C44"/>
    <w:rsid w:val="00912D10"/>
    <w:rsid w:val="00912D42"/>
    <w:rsid w:val="00912E1F"/>
    <w:rsid w:val="00912E67"/>
    <w:rsid w:val="00912E9F"/>
    <w:rsid w:val="00913124"/>
    <w:rsid w:val="00913148"/>
    <w:rsid w:val="0091318C"/>
    <w:rsid w:val="00913270"/>
    <w:rsid w:val="009132F4"/>
    <w:rsid w:val="00913350"/>
    <w:rsid w:val="00913390"/>
    <w:rsid w:val="009133D0"/>
    <w:rsid w:val="00913592"/>
    <w:rsid w:val="009135DA"/>
    <w:rsid w:val="00913667"/>
    <w:rsid w:val="009136AC"/>
    <w:rsid w:val="009136BB"/>
    <w:rsid w:val="0091374E"/>
    <w:rsid w:val="0091376E"/>
    <w:rsid w:val="00913798"/>
    <w:rsid w:val="009137D4"/>
    <w:rsid w:val="009137FE"/>
    <w:rsid w:val="00913816"/>
    <w:rsid w:val="00913840"/>
    <w:rsid w:val="0091388A"/>
    <w:rsid w:val="0091391E"/>
    <w:rsid w:val="009139C9"/>
    <w:rsid w:val="009139EA"/>
    <w:rsid w:val="009139EF"/>
    <w:rsid w:val="009139FC"/>
    <w:rsid w:val="00913A14"/>
    <w:rsid w:val="00913A40"/>
    <w:rsid w:val="00913A61"/>
    <w:rsid w:val="00913AA3"/>
    <w:rsid w:val="00913CE7"/>
    <w:rsid w:val="00913D0A"/>
    <w:rsid w:val="00913D64"/>
    <w:rsid w:val="00913DA5"/>
    <w:rsid w:val="00913DB0"/>
    <w:rsid w:val="00913E31"/>
    <w:rsid w:val="00914123"/>
    <w:rsid w:val="009141D7"/>
    <w:rsid w:val="009141EF"/>
    <w:rsid w:val="00914232"/>
    <w:rsid w:val="009142A5"/>
    <w:rsid w:val="0091433B"/>
    <w:rsid w:val="00914391"/>
    <w:rsid w:val="00914439"/>
    <w:rsid w:val="00914457"/>
    <w:rsid w:val="00914481"/>
    <w:rsid w:val="009144A7"/>
    <w:rsid w:val="009144BB"/>
    <w:rsid w:val="009144BE"/>
    <w:rsid w:val="0091452B"/>
    <w:rsid w:val="0091458E"/>
    <w:rsid w:val="009145FC"/>
    <w:rsid w:val="0091462C"/>
    <w:rsid w:val="00914753"/>
    <w:rsid w:val="00914774"/>
    <w:rsid w:val="009147B9"/>
    <w:rsid w:val="009147E7"/>
    <w:rsid w:val="009148E6"/>
    <w:rsid w:val="00914933"/>
    <w:rsid w:val="00914958"/>
    <w:rsid w:val="009149C9"/>
    <w:rsid w:val="00914A6A"/>
    <w:rsid w:val="00914AA6"/>
    <w:rsid w:val="00914AE2"/>
    <w:rsid w:val="00914B0B"/>
    <w:rsid w:val="00914B16"/>
    <w:rsid w:val="00914B21"/>
    <w:rsid w:val="00914BDA"/>
    <w:rsid w:val="00914BF5"/>
    <w:rsid w:val="00914C08"/>
    <w:rsid w:val="00914E46"/>
    <w:rsid w:val="00914E4C"/>
    <w:rsid w:val="00914E99"/>
    <w:rsid w:val="00914EED"/>
    <w:rsid w:val="00914F77"/>
    <w:rsid w:val="00914FD9"/>
    <w:rsid w:val="00915020"/>
    <w:rsid w:val="00915042"/>
    <w:rsid w:val="00915125"/>
    <w:rsid w:val="009151F6"/>
    <w:rsid w:val="0091525A"/>
    <w:rsid w:val="00915277"/>
    <w:rsid w:val="00915346"/>
    <w:rsid w:val="0091539F"/>
    <w:rsid w:val="009153BE"/>
    <w:rsid w:val="009153DB"/>
    <w:rsid w:val="0091540C"/>
    <w:rsid w:val="0091541F"/>
    <w:rsid w:val="00915460"/>
    <w:rsid w:val="00915494"/>
    <w:rsid w:val="009154BD"/>
    <w:rsid w:val="009155C1"/>
    <w:rsid w:val="00915635"/>
    <w:rsid w:val="00915657"/>
    <w:rsid w:val="009156B4"/>
    <w:rsid w:val="009156C6"/>
    <w:rsid w:val="0091575A"/>
    <w:rsid w:val="0091575F"/>
    <w:rsid w:val="00915842"/>
    <w:rsid w:val="00915873"/>
    <w:rsid w:val="009158BA"/>
    <w:rsid w:val="009158C4"/>
    <w:rsid w:val="00915905"/>
    <w:rsid w:val="0091590D"/>
    <w:rsid w:val="0091597D"/>
    <w:rsid w:val="009159C9"/>
    <w:rsid w:val="009159E6"/>
    <w:rsid w:val="00915A64"/>
    <w:rsid w:val="00915A68"/>
    <w:rsid w:val="00915AD8"/>
    <w:rsid w:val="00915B0A"/>
    <w:rsid w:val="00915B54"/>
    <w:rsid w:val="00915B6A"/>
    <w:rsid w:val="00915B9C"/>
    <w:rsid w:val="00915BC2"/>
    <w:rsid w:val="00915BDE"/>
    <w:rsid w:val="00915C9A"/>
    <w:rsid w:val="00915CF1"/>
    <w:rsid w:val="00915D9F"/>
    <w:rsid w:val="00915DFC"/>
    <w:rsid w:val="00915E71"/>
    <w:rsid w:val="00915E78"/>
    <w:rsid w:val="00915E92"/>
    <w:rsid w:val="00915F85"/>
    <w:rsid w:val="00915FA1"/>
    <w:rsid w:val="00915FC3"/>
    <w:rsid w:val="00915FEC"/>
    <w:rsid w:val="00916006"/>
    <w:rsid w:val="0091605E"/>
    <w:rsid w:val="00916140"/>
    <w:rsid w:val="00916142"/>
    <w:rsid w:val="0091617B"/>
    <w:rsid w:val="009161AD"/>
    <w:rsid w:val="00916240"/>
    <w:rsid w:val="00916277"/>
    <w:rsid w:val="009162A9"/>
    <w:rsid w:val="00916332"/>
    <w:rsid w:val="00916335"/>
    <w:rsid w:val="00916347"/>
    <w:rsid w:val="0091637D"/>
    <w:rsid w:val="009163B4"/>
    <w:rsid w:val="00916469"/>
    <w:rsid w:val="00916494"/>
    <w:rsid w:val="00916502"/>
    <w:rsid w:val="00916504"/>
    <w:rsid w:val="00916575"/>
    <w:rsid w:val="009166E2"/>
    <w:rsid w:val="00916741"/>
    <w:rsid w:val="00916743"/>
    <w:rsid w:val="009167F3"/>
    <w:rsid w:val="00916867"/>
    <w:rsid w:val="00916898"/>
    <w:rsid w:val="009168CC"/>
    <w:rsid w:val="009169A7"/>
    <w:rsid w:val="009169EF"/>
    <w:rsid w:val="009169F1"/>
    <w:rsid w:val="009169FD"/>
    <w:rsid w:val="00916A26"/>
    <w:rsid w:val="00916AE5"/>
    <w:rsid w:val="00916B80"/>
    <w:rsid w:val="00916BB9"/>
    <w:rsid w:val="00916C53"/>
    <w:rsid w:val="00916C5A"/>
    <w:rsid w:val="00916C5D"/>
    <w:rsid w:val="00916C7F"/>
    <w:rsid w:val="00916D0A"/>
    <w:rsid w:val="00916D6A"/>
    <w:rsid w:val="00916DE1"/>
    <w:rsid w:val="00916E62"/>
    <w:rsid w:val="00916EAB"/>
    <w:rsid w:val="00917028"/>
    <w:rsid w:val="0091717E"/>
    <w:rsid w:val="00917210"/>
    <w:rsid w:val="0091729E"/>
    <w:rsid w:val="00917332"/>
    <w:rsid w:val="00917351"/>
    <w:rsid w:val="00917372"/>
    <w:rsid w:val="0091742D"/>
    <w:rsid w:val="00917464"/>
    <w:rsid w:val="009174A5"/>
    <w:rsid w:val="009174CE"/>
    <w:rsid w:val="009174FF"/>
    <w:rsid w:val="009175D3"/>
    <w:rsid w:val="0091774C"/>
    <w:rsid w:val="0091774E"/>
    <w:rsid w:val="0091775D"/>
    <w:rsid w:val="00917773"/>
    <w:rsid w:val="0091788A"/>
    <w:rsid w:val="00917920"/>
    <w:rsid w:val="00917940"/>
    <w:rsid w:val="00917997"/>
    <w:rsid w:val="009179AE"/>
    <w:rsid w:val="00917B28"/>
    <w:rsid w:val="00917B4A"/>
    <w:rsid w:val="00917C3C"/>
    <w:rsid w:val="00917C5F"/>
    <w:rsid w:val="00917C73"/>
    <w:rsid w:val="00917D0F"/>
    <w:rsid w:val="00917D25"/>
    <w:rsid w:val="00917D29"/>
    <w:rsid w:val="00917D86"/>
    <w:rsid w:val="00917DB0"/>
    <w:rsid w:val="00917E3C"/>
    <w:rsid w:val="00917F00"/>
    <w:rsid w:val="00917F60"/>
    <w:rsid w:val="00917F64"/>
    <w:rsid w:val="0091F411"/>
    <w:rsid w:val="00920025"/>
    <w:rsid w:val="009200FD"/>
    <w:rsid w:val="009201C6"/>
    <w:rsid w:val="0092021C"/>
    <w:rsid w:val="009202B6"/>
    <w:rsid w:val="009202BA"/>
    <w:rsid w:val="009203EC"/>
    <w:rsid w:val="009204C7"/>
    <w:rsid w:val="009204CF"/>
    <w:rsid w:val="009204F6"/>
    <w:rsid w:val="00920519"/>
    <w:rsid w:val="00920567"/>
    <w:rsid w:val="009205F6"/>
    <w:rsid w:val="009205FE"/>
    <w:rsid w:val="00920640"/>
    <w:rsid w:val="00920687"/>
    <w:rsid w:val="00920813"/>
    <w:rsid w:val="00920856"/>
    <w:rsid w:val="0092099C"/>
    <w:rsid w:val="009209F8"/>
    <w:rsid w:val="00920A23"/>
    <w:rsid w:val="00920A36"/>
    <w:rsid w:val="00920AC6"/>
    <w:rsid w:val="00920B2C"/>
    <w:rsid w:val="00920B9E"/>
    <w:rsid w:val="00920BF1"/>
    <w:rsid w:val="00920C2D"/>
    <w:rsid w:val="00920C62"/>
    <w:rsid w:val="00920C96"/>
    <w:rsid w:val="00920D03"/>
    <w:rsid w:val="00920D31"/>
    <w:rsid w:val="00920DCD"/>
    <w:rsid w:val="00920E06"/>
    <w:rsid w:val="00920E82"/>
    <w:rsid w:val="00920E83"/>
    <w:rsid w:val="00920EDE"/>
    <w:rsid w:val="00920F43"/>
    <w:rsid w:val="00920FD8"/>
    <w:rsid w:val="00920FEC"/>
    <w:rsid w:val="00921022"/>
    <w:rsid w:val="00921083"/>
    <w:rsid w:val="009210E6"/>
    <w:rsid w:val="009210F0"/>
    <w:rsid w:val="0092111A"/>
    <w:rsid w:val="009211C3"/>
    <w:rsid w:val="009211DF"/>
    <w:rsid w:val="009211F2"/>
    <w:rsid w:val="00921203"/>
    <w:rsid w:val="00921241"/>
    <w:rsid w:val="00921255"/>
    <w:rsid w:val="0092131B"/>
    <w:rsid w:val="0092136E"/>
    <w:rsid w:val="00921372"/>
    <w:rsid w:val="009215ED"/>
    <w:rsid w:val="00921634"/>
    <w:rsid w:val="009216A6"/>
    <w:rsid w:val="009216C8"/>
    <w:rsid w:val="009216ED"/>
    <w:rsid w:val="00921757"/>
    <w:rsid w:val="0092181A"/>
    <w:rsid w:val="00921867"/>
    <w:rsid w:val="0092187B"/>
    <w:rsid w:val="0092187E"/>
    <w:rsid w:val="00921968"/>
    <w:rsid w:val="00921971"/>
    <w:rsid w:val="00921BB6"/>
    <w:rsid w:val="00921BE6"/>
    <w:rsid w:val="00921C30"/>
    <w:rsid w:val="00921C78"/>
    <w:rsid w:val="00921C7C"/>
    <w:rsid w:val="00921CDB"/>
    <w:rsid w:val="00921D9B"/>
    <w:rsid w:val="00921FAE"/>
    <w:rsid w:val="00921FC8"/>
    <w:rsid w:val="009220CE"/>
    <w:rsid w:val="00922107"/>
    <w:rsid w:val="0092210E"/>
    <w:rsid w:val="00922177"/>
    <w:rsid w:val="009221B7"/>
    <w:rsid w:val="00922255"/>
    <w:rsid w:val="0092229D"/>
    <w:rsid w:val="009222BA"/>
    <w:rsid w:val="009222E5"/>
    <w:rsid w:val="0092233A"/>
    <w:rsid w:val="0092239D"/>
    <w:rsid w:val="009223C6"/>
    <w:rsid w:val="009223E6"/>
    <w:rsid w:val="0092248D"/>
    <w:rsid w:val="0092249F"/>
    <w:rsid w:val="009224B3"/>
    <w:rsid w:val="009224D5"/>
    <w:rsid w:val="0092251B"/>
    <w:rsid w:val="00922551"/>
    <w:rsid w:val="009225D3"/>
    <w:rsid w:val="0092270C"/>
    <w:rsid w:val="00922732"/>
    <w:rsid w:val="009228F9"/>
    <w:rsid w:val="0092290E"/>
    <w:rsid w:val="00922923"/>
    <w:rsid w:val="00922973"/>
    <w:rsid w:val="00922A40"/>
    <w:rsid w:val="00922A6D"/>
    <w:rsid w:val="00922AC2"/>
    <w:rsid w:val="00922ACE"/>
    <w:rsid w:val="00922B18"/>
    <w:rsid w:val="00922B25"/>
    <w:rsid w:val="00922B4A"/>
    <w:rsid w:val="00922BC3"/>
    <w:rsid w:val="00922CC8"/>
    <w:rsid w:val="00922D5B"/>
    <w:rsid w:val="00922D6F"/>
    <w:rsid w:val="00922D71"/>
    <w:rsid w:val="00922D7F"/>
    <w:rsid w:val="00922D95"/>
    <w:rsid w:val="00922DB9"/>
    <w:rsid w:val="00922E4B"/>
    <w:rsid w:val="00922E8E"/>
    <w:rsid w:val="00922E91"/>
    <w:rsid w:val="00922F00"/>
    <w:rsid w:val="00922F2B"/>
    <w:rsid w:val="00922FBD"/>
    <w:rsid w:val="00922FDB"/>
    <w:rsid w:val="00923061"/>
    <w:rsid w:val="00923076"/>
    <w:rsid w:val="0092307B"/>
    <w:rsid w:val="009230A2"/>
    <w:rsid w:val="00923200"/>
    <w:rsid w:val="00923246"/>
    <w:rsid w:val="009232C0"/>
    <w:rsid w:val="00923331"/>
    <w:rsid w:val="00923397"/>
    <w:rsid w:val="009233B2"/>
    <w:rsid w:val="009233B6"/>
    <w:rsid w:val="00923414"/>
    <w:rsid w:val="00923453"/>
    <w:rsid w:val="009234C1"/>
    <w:rsid w:val="0092350A"/>
    <w:rsid w:val="00923510"/>
    <w:rsid w:val="009236DF"/>
    <w:rsid w:val="00923709"/>
    <w:rsid w:val="0092370A"/>
    <w:rsid w:val="00923738"/>
    <w:rsid w:val="009237F0"/>
    <w:rsid w:val="00923834"/>
    <w:rsid w:val="009238B4"/>
    <w:rsid w:val="009238C8"/>
    <w:rsid w:val="00923945"/>
    <w:rsid w:val="009239AE"/>
    <w:rsid w:val="00923A28"/>
    <w:rsid w:val="00923A43"/>
    <w:rsid w:val="00923A8D"/>
    <w:rsid w:val="00923B16"/>
    <w:rsid w:val="00923B80"/>
    <w:rsid w:val="00923BD3"/>
    <w:rsid w:val="00923D19"/>
    <w:rsid w:val="00923D3E"/>
    <w:rsid w:val="00923E66"/>
    <w:rsid w:val="00923E68"/>
    <w:rsid w:val="00923EFD"/>
    <w:rsid w:val="00923F72"/>
    <w:rsid w:val="00924044"/>
    <w:rsid w:val="009240EF"/>
    <w:rsid w:val="009240F0"/>
    <w:rsid w:val="00924121"/>
    <w:rsid w:val="00924166"/>
    <w:rsid w:val="00924299"/>
    <w:rsid w:val="0092432E"/>
    <w:rsid w:val="00924338"/>
    <w:rsid w:val="00924350"/>
    <w:rsid w:val="009243CF"/>
    <w:rsid w:val="00924410"/>
    <w:rsid w:val="00924414"/>
    <w:rsid w:val="00924485"/>
    <w:rsid w:val="009244A6"/>
    <w:rsid w:val="009244DD"/>
    <w:rsid w:val="00924533"/>
    <w:rsid w:val="00924557"/>
    <w:rsid w:val="00924561"/>
    <w:rsid w:val="009245DB"/>
    <w:rsid w:val="009246E2"/>
    <w:rsid w:val="00924756"/>
    <w:rsid w:val="00924830"/>
    <w:rsid w:val="00924831"/>
    <w:rsid w:val="0092485E"/>
    <w:rsid w:val="009248CF"/>
    <w:rsid w:val="009249DF"/>
    <w:rsid w:val="009249E7"/>
    <w:rsid w:val="00924A7A"/>
    <w:rsid w:val="00924B49"/>
    <w:rsid w:val="00924B89"/>
    <w:rsid w:val="00924BCA"/>
    <w:rsid w:val="00924BDE"/>
    <w:rsid w:val="00924C22"/>
    <w:rsid w:val="00924C7D"/>
    <w:rsid w:val="00924CE8"/>
    <w:rsid w:val="00924D3F"/>
    <w:rsid w:val="00924D83"/>
    <w:rsid w:val="00924DD8"/>
    <w:rsid w:val="00924DE9"/>
    <w:rsid w:val="00924E38"/>
    <w:rsid w:val="00924E46"/>
    <w:rsid w:val="00924E94"/>
    <w:rsid w:val="00924EC9"/>
    <w:rsid w:val="00924F60"/>
    <w:rsid w:val="0092508B"/>
    <w:rsid w:val="009250D4"/>
    <w:rsid w:val="009250EF"/>
    <w:rsid w:val="0092515C"/>
    <w:rsid w:val="0092517B"/>
    <w:rsid w:val="009251D0"/>
    <w:rsid w:val="009251D2"/>
    <w:rsid w:val="009251FE"/>
    <w:rsid w:val="009252B2"/>
    <w:rsid w:val="009253A0"/>
    <w:rsid w:val="00925512"/>
    <w:rsid w:val="00925514"/>
    <w:rsid w:val="0092552B"/>
    <w:rsid w:val="009255A1"/>
    <w:rsid w:val="009255C4"/>
    <w:rsid w:val="0092566D"/>
    <w:rsid w:val="0092568F"/>
    <w:rsid w:val="00925712"/>
    <w:rsid w:val="00925739"/>
    <w:rsid w:val="009257A1"/>
    <w:rsid w:val="009257EA"/>
    <w:rsid w:val="00925859"/>
    <w:rsid w:val="009258EC"/>
    <w:rsid w:val="00925933"/>
    <w:rsid w:val="00925959"/>
    <w:rsid w:val="0092598C"/>
    <w:rsid w:val="00925990"/>
    <w:rsid w:val="009259DD"/>
    <w:rsid w:val="009259E1"/>
    <w:rsid w:val="00925B21"/>
    <w:rsid w:val="00925B28"/>
    <w:rsid w:val="00925B61"/>
    <w:rsid w:val="00925C25"/>
    <w:rsid w:val="00925C91"/>
    <w:rsid w:val="00925CDC"/>
    <w:rsid w:val="00925D1D"/>
    <w:rsid w:val="00925D48"/>
    <w:rsid w:val="00925D64"/>
    <w:rsid w:val="00925D8C"/>
    <w:rsid w:val="00925DB6"/>
    <w:rsid w:val="00925E37"/>
    <w:rsid w:val="00925F0A"/>
    <w:rsid w:val="00925F13"/>
    <w:rsid w:val="00926026"/>
    <w:rsid w:val="0092603C"/>
    <w:rsid w:val="00926049"/>
    <w:rsid w:val="00926066"/>
    <w:rsid w:val="0092608B"/>
    <w:rsid w:val="009260C7"/>
    <w:rsid w:val="009260CB"/>
    <w:rsid w:val="00926150"/>
    <w:rsid w:val="00926221"/>
    <w:rsid w:val="009262C8"/>
    <w:rsid w:val="009263B5"/>
    <w:rsid w:val="009263DE"/>
    <w:rsid w:val="00926480"/>
    <w:rsid w:val="00926522"/>
    <w:rsid w:val="00926599"/>
    <w:rsid w:val="0092664C"/>
    <w:rsid w:val="009266AD"/>
    <w:rsid w:val="00926725"/>
    <w:rsid w:val="00926790"/>
    <w:rsid w:val="0092679C"/>
    <w:rsid w:val="00926823"/>
    <w:rsid w:val="00926830"/>
    <w:rsid w:val="009269B5"/>
    <w:rsid w:val="00926A2E"/>
    <w:rsid w:val="00926A30"/>
    <w:rsid w:val="00926A43"/>
    <w:rsid w:val="00926A5B"/>
    <w:rsid w:val="00926B0A"/>
    <w:rsid w:val="00926C3A"/>
    <w:rsid w:val="00926D2B"/>
    <w:rsid w:val="00926D8C"/>
    <w:rsid w:val="00926DDC"/>
    <w:rsid w:val="00926E8C"/>
    <w:rsid w:val="00926E96"/>
    <w:rsid w:val="00926EDC"/>
    <w:rsid w:val="00926F2C"/>
    <w:rsid w:val="00926F81"/>
    <w:rsid w:val="00926FD5"/>
    <w:rsid w:val="00926FE0"/>
    <w:rsid w:val="009270E1"/>
    <w:rsid w:val="00927108"/>
    <w:rsid w:val="00927203"/>
    <w:rsid w:val="0092720E"/>
    <w:rsid w:val="0092729D"/>
    <w:rsid w:val="009272D0"/>
    <w:rsid w:val="00927352"/>
    <w:rsid w:val="0092736A"/>
    <w:rsid w:val="009274A3"/>
    <w:rsid w:val="009274B0"/>
    <w:rsid w:val="009274EC"/>
    <w:rsid w:val="0092755D"/>
    <w:rsid w:val="0092756A"/>
    <w:rsid w:val="0092758E"/>
    <w:rsid w:val="00927594"/>
    <w:rsid w:val="009275E2"/>
    <w:rsid w:val="0092760F"/>
    <w:rsid w:val="00927685"/>
    <w:rsid w:val="009276A2"/>
    <w:rsid w:val="00927751"/>
    <w:rsid w:val="0092775E"/>
    <w:rsid w:val="00927769"/>
    <w:rsid w:val="00927793"/>
    <w:rsid w:val="0092779C"/>
    <w:rsid w:val="00927800"/>
    <w:rsid w:val="00927894"/>
    <w:rsid w:val="009278CB"/>
    <w:rsid w:val="00927909"/>
    <w:rsid w:val="009279BC"/>
    <w:rsid w:val="00927A8C"/>
    <w:rsid w:val="00927ACC"/>
    <w:rsid w:val="00927AEE"/>
    <w:rsid w:val="00927B04"/>
    <w:rsid w:val="00927B13"/>
    <w:rsid w:val="00927B81"/>
    <w:rsid w:val="00927B97"/>
    <w:rsid w:val="00927C37"/>
    <w:rsid w:val="00927CB2"/>
    <w:rsid w:val="00927CC9"/>
    <w:rsid w:val="00927CD8"/>
    <w:rsid w:val="00927D54"/>
    <w:rsid w:val="00927D6C"/>
    <w:rsid w:val="00927D74"/>
    <w:rsid w:val="00927DCD"/>
    <w:rsid w:val="00927DD4"/>
    <w:rsid w:val="00927E2F"/>
    <w:rsid w:val="0092C497"/>
    <w:rsid w:val="00930018"/>
    <w:rsid w:val="0093008F"/>
    <w:rsid w:val="0093012C"/>
    <w:rsid w:val="0093013F"/>
    <w:rsid w:val="0093015D"/>
    <w:rsid w:val="009301A1"/>
    <w:rsid w:val="009301C4"/>
    <w:rsid w:val="009301C5"/>
    <w:rsid w:val="009301D7"/>
    <w:rsid w:val="009302A5"/>
    <w:rsid w:val="009302DB"/>
    <w:rsid w:val="009302DF"/>
    <w:rsid w:val="00930306"/>
    <w:rsid w:val="00930328"/>
    <w:rsid w:val="00930340"/>
    <w:rsid w:val="0093037B"/>
    <w:rsid w:val="009303BF"/>
    <w:rsid w:val="009303CC"/>
    <w:rsid w:val="0093047B"/>
    <w:rsid w:val="009304BF"/>
    <w:rsid w:val="0093050D"/>
    <w:rsid w:val="0093057B"/>
    <w:rsid w:val="00930618"/>
    <w:rsid w:val="00930664"/>
    <w:rsid w:val="00930665"/>
    <w:rsid w:val="0093066B"/>
    <w:rsid w:val="009306BE"/>
    <w:rsid w:val="009306EA"/>
    <w:rsid w:val="00930790"/>
    <w:rsid w:val="009307C5"/>
    <w:rsid w:val="00930813"/>
    <w:rsid w:val="0093081A"/>
    <w:rsid w:val="00930850"/>
    <w:rsid w:val="00930875"/>
    <w:rsid w:val="009308B2"/>
    <w:rsid w:val="00930913"/>
    <w:rsid w:val="00930944"/>
    <w:rsid w:val="00930A44"/>
    <w:rsid w:val="00930A46"/>
    <w:rsid w:val="00930A49"/>
    <w:rsid w:val="00930B30"/>
    <w:rsid w:val="00930B3D"/>
    <w:rsid w:val="00930B62"/>
    <w:rsid w:val="00930B84"/>
    <w:rsid w:val="00930BA9"/>
    <w:rsid w:val="00930BC6"/>
    <w:rsid w:val="00930BFF"/>
    <w:rsid w:val="00930C06"/>
    <w:rsid w:val="00930C1C"/>
    <w:rsid w:val="00930C77"/>
    <w:rsid w:val="00930C87"/>
    <w:rsid w:val="00930CA3"/>
    <w:rsid w:val="00930D3B"/>
    <w:rsid w:val="00930D52"/>
    <w:rsid w:val="00930DDF"/>
    <w:rsid w:val="00930E58"/>
    <w:rsid w:val="00930F07"/>
    <w:rsid w:val="00930F08"/>
    <w:rsid w:val="00930F38"/>
    <w:rsid w:val="00930F65"/>
    <w:rsid w:val="00930FAE"/>
    <w:rsid w:val="00930FBC"/>
    <w:rsid w:val="009310EF"/>
    <w:rsid w:val="00931147"/>
    <w:rsid w:val="0093114B"/>
    <w:rsid w:val="00931154"/>
    <w:rsid w:val="0093116B"/>
    <w:rsid w:val="00931240"/>
    <w:rsid w:val="0093128C"/>
    <w:rsid w:val="009312EA"/>
    <w:rsid w:val="00931337"/>
    <w:rsid w:val="0093133B"/>
    <w:rsid w:val="0093137E"/>
    <w:rsid w:val="009314DD"/>
    <w:rsid w:val="00931517"/>
    <w:rsid w:val="0093155C"/>
    <w:rsid w:val="00931569"/>
    <w:rsid w:val="009315A8"/>
    <w:rsid w:val="009315D5"/>
    <w:rsid w:val="00931621"/>
    <w:rsid w:val="009316B2"/>
    <w:rsid w:val="009317A5"/>
    <w:rsid w:val="00931831"/>
    <w:rsid w:val="009318B7"/>
    <w:rsid w:val="009318FD"/>
    <w:rsid w:val="00931935"/>
    <w:rsid w:val="00931987"/>
    <w:rsid w:val="009319C9"/>
    <w:rsid w:val="009319D3"/>
    <w:rsid w:val="00931A12"/>
    <w:rsid w:val="00931A49"/>
    <w:rsid w:val="00931AC1"/>
    <w:rsid w:val="00931AF9"/>
    <w:rsid w:val="00931C5F"/>
    <w:rsid w:val="00931C9B"/>
    <w:rsid w:val="00931D33"/>
    <w:rsid w:val="00931D71"/>
    <w:rsid w:val="00931DFE"/>
    <w:rsid w:val="00931E44"/>
    <w:rsid w:val="00931EA5"/>
    <w:rsid w:val="00931EB1"/>
    <w:rsid w:val="00931EB8"/>
    <w:rsid w:val="00931EC2"/>
    <w:rsid w:val="00931EC9"/>
    <w:rsid w:val="00931EF5"/>
    <w:rsid w:val="00931F65"/>
    <w:rsid w:val="00931F9B"/>
    <w:rsid w:val="00932156"/>
    <w:rsid w:val="00932166"/>
    <w:rsid w:val="009321E8"/>
    <w:rsid w:val="009321F1"/>
    <w:rsid w:val="00932247"/>
    <w:rsid w:val="00932355"/>
    <w:rsid w:val="009323B1"/>
    <w:rsid w:val="009323B7"/>
    <w:rsid w:val="009323D1"/>
    <w:rsid w:val="009323E8"/>
    <w:rsid w:val="009324A3"/>
    <w:rsid w:val="009324A4"/>
    <w:rsid w:val="0093250E"/>
    <w:rsid w:val="00932524"/>
    <w:rsid w:val="009325A1"/>
    <w:rsid w:val="009325B0"/>
    <w:rsid w:val="00932603"/>
    <w:rsid w:val="00932627"/>
    <w:rsid w:val="0093266D"/>
    <w:rsid w:val="009326AC"/>
    <w:rsid w:val="009326C6"/>
    <w:rsid w:val="00932723"/>
    <w:rsid w:val="0093272E"/>
    <w:rsid w:val="0093276B"/>
    <w:rsid w:val="0093278D"/>
    <w:rsid w:val="009327B1"/>
    <w:rsid w:val="00932896"/>
    <w:rsid w:val="009328BE"/>
    <w:rsid w:val="009328C3"/>
    <w:rsid w:val="00932989"/>
    <w:rsid w:val="00932994"/>
    <w:rsid w:val="0093299B"/>
    <w:rsid w:val="009329C8"/>
    <w:rsid w:val="009329E6"/>
    <w:rsid w:val="00932A06"/>
    <w:rsid w:val="00932AA4"/>
    <w:rsid w:val="00932AB0"/>
    <w:rsid w:val="00932B09"/>
    <w:rsid w:val="00932B77"/>
    <w:rsid w:val="00932C5E"/>
    <w:rsid w:val="00932C94"/>
    <w:rsid w:val="00932CCD"/>
    <w:rsid w:val="00932E8E"/>
    <w:rsid w:val="00932EAF"/>
    <w:rsid w:val="00932F17"/>
    <w:rsid w:val="00932F1F"/>
    <w:rsid w:val="00932FC9"/>
    <w:rsid w:val="009330FA"/>
    <w:rsid w:val="00933152"/>
    <w:rsid w:val="00933257"/>
    <w:rsid w:val="00933265"/>
    <w:rsid w:val="0093327E"/>
    <w:rsid w:val="00933388"/>
    <w:rsid w:val="00933395"/>
    <w:rsid w:val="009333C3"/>
    <w:rsid w:val="009333DE"/>
    <w:rsid w:val="00933446"/>
    <w:rsid w:val="0093347B"/>
    <w:rsid w:val="0093349A"/>
    <w:rsid w:val="009334B8"/>
    <w:rsid w:val="0093352B"/>
    <w:rsid w:val="00933561"/>
    <w:rsid w:val="00933567"/>
    <w:rsid w:val="0093357A"/>
    <w:rsid w:val="009335E1"/>
    <w:rsid w:val="009335F6"/>
    <w:rsid w:val="0093379E"/>
    <w:rsid w:val="009337B0"/>
    <w:rsid w:val="009337BD"/>
    <w:rsid w:val="009337EC"/>
    <w:rsid w:val="009337F3"/>
    <w:rsid w:val="0093388B"/>
    <w:rsid w:val="009338AD"/>
    <w:rsid w:val="00933924"/>
    <w:rsid w:val="009339B4"/>
    <w:rsid w:val="009339C7"/>
    <w:rsid w:val="00933B20"/>
    <w:rsid w:val="00933B54"/>
    <w:rsid w:val="00933B8F"/>
    <w:rsid w:val="00933BF3"/>
    <w:rsid w:val="00933C38"/>
    <w:rsid w:val="00933CA2"/>
    <w:rsid w:val="00933CB2"/>
    <w:rsid w:val="00933D1F"/>
    <w:rsid w:val="00933D48"/>
    <w:rsid w:val="00933DC6"/>
    <w:rsid w:val="00933DCB"/>
    <w:rsid w:val="00933DD6"/>
    <w:rsid w:val="00933E07"/>
    <w:rsid w:val="00933E35"/>
    <w:rsid w:val="00933E8D"/>
    <w:rsid w:val="00933E97"/>
    <w:rsid w:val="00933E98"/>
    <w:rsid w:val="00933ECE"/>
    <w:rsid w:val="00933EDC"/>
    <w:rsid w:val="00933EE4"/>
    <w:rsid w:val="00933F3E"/>
    <w:rsid w:val="00933F7C"/>
    <w:rsid w:val="00934049"/>
    <w:rsid w:val="00934083"/>
    <w:rsid w:val="009340B9"/>
    <w:rsid w:val="009340F7"/>
    <w:rsid w:val="009340FE"/>
    <w:rsid w:val="00934112"/>
    <w:rsid w:val="00934113"/>
    <w:rsid w:val="00934144"/>
    <w:rsid w:val="0093417A"/>
    <w:rsid w:val="009341AA"/>
    <w:rsid w:val="009341D0"/>
    <w:rsid w:val="00934226"/>
    <w:rsid w:val="0093423A"/>
    <w:rsid w:val="00934240"/>
    <w:rsid w:val="009342A0"/>
    <w:rsid w:val="009342C4"/>
    <w:rsid w:val="00934344"/>
    <w:rsid w:val="009343B5"/>
    <w:rsid w:val="009343FF"/>
    <w:rsid w:val="00934462"/>
    <w:rsid w:val="0093448D"/>
    <w:rsid w:val="009344C7"/>
    <w:rsid w:val="00934582"/>
    <w:rsid w:val="009345C7"/>
    <w:rsid w:val="009345D4"/>
    <w:rsid w:val="009346D2"/>
    <w:rsid w:val="009346E0"/>
    <w:rsid w:val="00934721"/>
    <w:rsid w:val="00934725"/>
    <w:rsid w:val="00934770"/>
    <w:rsid w:val="0093480A"/>
    <w:rsid w:val="00934858"/>
    <w:rsid w:val="00934893"/>
    <w:rsid w:val="009348E6"/>
    <w:rsid w:val="0093491A"/>
    <w:rsid w:val="00934920"/>
    <w:rsid w:val="00934963"/>
    <w:rsid w:val="009349E7"/>
    <w:rsid w:val="00934A08"/>
    <w:rsid w:val="00934A5D"/>
    <w:rsid w:val="00934A64"/>
    <w:rsid w:val="00934B15"/>
    <w:rsid w:val="00934BA5"/>
    <w:rsid w:val="00934BAD"/>
    <w:rsid w:val="00934BF8"/>
    <w:rsid w:val="00934C25"/>
    <w:rsid w:val="00934C7F"/>
    <w:rsid w:val="00934CD1"/>
    <w:rsid w:val="00934CD9"/>
    <w:rsid w:val="00934D97"/>
    <w:rsid w:val="00934DE8"/>
    <w:rsid w:val="00934E02"/>
    <w:rsid w:val="00934E88"/>
    <w:rsid w:val="00934ED4"/>
    <w:rsid w:val="00934EEE"/>
    <w:rsid w:val="00934F32"/>
    <w:rsid w:val="00934FEF"/>
    <w:rsid w:val="00934FF2"/>
    <w:rsid w:val="00935014"/>
    <w:rsid w:val="009350DF"/>
    <w:rsid w:val="009350E1"/>
    <w:rsid w:val="00935107"/>
    <w:rsid w:val="00935218"/>
    <w:rsid w:val="00935287"/>
    <w:rsid w:val="009352D2"/>
    <w:rsid w:val="009352F1"/>
    <w:rsid w:val="0093535F"/>
    <w:rsid w:val="0093538A"/>
    <w:rsid w:val="009353E3"/>
    <w:rsid w:val="0093542D"/>
    <w:rsid w:val="00935490"/>
    <w:rsid w:val="00935492"/>
    <w:rsid w:val="009354B9"/>
    <w:rsid w:val="009354E0"/>
    <w:rsid w:val="0093556A"/>
    <w:rsid w:val="0093565B"/>
    <w:rsid w:val="00935689"/>
    <w:rsid w:val="0093568F"/>
    <w:rsid w:val="0093569B"/>
    <w:rsid w:val="0093575F"/>
    <w:rsid w:val="0093577A"/>
    <w:rsid w:val="009357AA"/>
    <w:rsid w:val="00935808"/>
    <w:rsid w:val="00935816"/>
    <w:rsid w:val="00935847"/>
    <w:rsid w:val="009358C7"/>
    <w:rsid w:val="009358EC"/>
    <w:rsid w:val="0093593D"/>
    <w:rsid w:val="0093594F"/>
    <w:rsid w:val="0093595C"/>
    <w:rsid w:val="009359C6"/>
    <w:rsid w:val="00935A3E"/>
    <w:rsid w:val="00935A61"/>
    <w:rsid w:val="00935AC2"/>
    <w:rsid w:val="00935AE0"/>
    <w:rsid w:val="00935BC5"/>
    <w:rsid w:val="00935C1D"/>
    <w:rsid w:val="00935C47"/>
    <w:rsid w:val="00935C59"/>
    <w:rsid w:val="00935C93"/>
    <w:rsid w:val="00935CAF"/>
    <w:rsid w:val="00935D1B"/>
    <w:rsid w:val="00935D3A"/>
    <w:rsid w:val="00935D46"/>
    <w:rsid w:val="00935D5F"/>
    <w:rsid w:val="00935D61"/>
    <w:rsid w:val="00935D87"/>
    <w:rsid w:val="00935DA6"/>
    <w:rsid w:val="00935E00"/>
    <w:rsid w:val="00935E34"/>
    <w:rsid w:val="00935F1B"/>
    <w:rsid w:val="00935F2D"/>
    <w:rsid w:val="00935FE7"/>
    <w:rsid w:val="00936099"/>
    <w:rsid w:val="009360E1"/>
    <w:rsid w:val="009360EA"/>
    <w:rsid w:val="0093617E"/>
    <w:rsid w:val="0093623D"/>
    <w:rsid w:val="00936296"/>
    <w:rsid w:val="009362B8"/>
    <w:rsid w:val="0093630E"/>
    <w:rsid w:val="009363CA"/>
    <w:rsid w:val="009363FE"/>
    <w:rsid w:val="00936421"/>
    <w:rsid w:val="00936488"/>
    <w:rsid w:val="0093648A"/>
    <w:rsid w:val="0093669F"/>
    <w:rsid w:val="00936728"/>
    <w:rsid w:val="009367FC"/>
    <w:rsid w:val="0093683A"/>
    <w:rsid w:val="00936876"/>
    <w:rsid w:val="009368A8"/>
    <w:rsid w:val="009368E9"/>
    <w:rsid w:val="00936930"/>
    <w:rsid w:val="0093696B"/>
    <w:rsid w:val="00936971"/>
    <w:rsid w:val="00936976"/>
    <w:rsid w:val="0093699A"/>
    <w:rsid w:val="009369E1"/>
    <w:rsid w:val="009369E4"/>
    <w:rsid w:val="00936A8C"/>
    <w:rsid w:val="00936BA4"/>
    <w:rsid w:val="00936BD7"/>
    <w:rsid w:val="00936C26"/>
    <w:rsid w:val="00936C5B"/>
    <w:rsid w:val="00936CD7"/>
    <w:rsid w:val="00936CED"/>
    <w:rsid w:val="00936D35"/>
    <w:rsid w:val="00936D63"/>
    <w:rsid w:val="00936DC2"/>
    <w:rsid w:val="00936E02"/>
    <w:rsid w:val="00936E38"/>
    <w:rsid w:val="00936ECE"/>
    <w:rsid w:val="00936F34"/>
    <w:rsid w:val="00936F92"/>
    <w:rsid w:val="00936FA3"/>
    <w:rsid w:val="00936FD8"/>
    <w:rsid w:val="0093701F"/>
    <w:rsid w:val="00937021"/>
    <w:rsid w:val="00937030"/>
    <w:rsid w:val="009370DD"/>
    <w:rsid w:val="009370E8"/>
    <w:rsid w:val="00937103"/>
    <w:rsid w:val="0093714F"/>
    <w:rsid w:val="009371C7"/>
    <w:rsid w:val="00937241"/>
    <w:rsid w:val="00937411"/>
    <w:rsid w:val="00937435"/>
    <w:rsid w:val="0093744B"/>
    <w:rsid w:val="00937483"/>
    <w:rsid w:val="00937487"/>
    <w:rsid w:val="009374E5"/>
    <w:rsid w:val="00937511"/>
    <w:rsid w:val="009375E0"/>
    <w:rsid w:val="0093760D"/>
    <w:rsid w:val="00937620"/>
    <w:rsid w:val="00937652"/>
    <w:rsid w:val="00937688"/>
    <w:rsid w:val="009376C1"/>
    <w:rsid w:val="00937724"/>
    <w:rsid w:val="00937734"/>
    <w:rsid w:val="0093774A"/>
    <w:rsid w:val="0093776D"/>
    <w:rsid w:val="0093777E"/>
    <w:rsid w:val="009377EB"/>
    <w:rsid w:val="0093784A"/>
    <w:rsid w:val="0093798C"/>
    <w:rsid w:val="009379AE"/>
    <w:rsid w:val="009379F3"/>
    <w:rsid w:val="00937B56"/>
    <w:rsid w:val="00937B62"/>
    <w:rsid w:val="00937BA6"/>
    <w:rsid w:val="00937CAF"/>
    <w:rsid w:val="00937D05"/>
    <w:rsid w:val="00937D0D"/>
    <w:rsid w:val="00937D88"/>
    <w:rsid w:val="00937DD5"/>
    <w:rsid w:val="00937EA7"/>
    <w:rsid w:val="00937EB5"/>
    <w:rsid w:val="00937F46"/>
    <w:rsid w:val="00937F51"/>
    <w:rsid w:val="00937F99"/>
    <w:rsid w:val="0094000D"/>
    <w:rsid w:val="0094005C"/>
    <w:rsid w:val="00940065"/>
    <w:rsid w:val="0094009B"/>
    <w:rsid w:val="009400B5"/>
    <w:rsid w:val="009401B9"/>
    <w:rsid w:val="00940233"/>
    <w:rsid w:val="00940317"/>
    <w:rsid w:val="0094039F"/>
    <w:rsid w:val="009403D6"/>
    <w:rsid w:val="009404A6"/>
    <w:rsid w:val="009404F4"/>
    <w:rsid w:val="009405A0"/>
    <w:rsid w:val="00940640"/>
    <w:rsid w:val="009406CE"/>
    <w:rsid w:val="00940816"/>
    <w:rsid w:val="00940877"/>
    <w:rsid w:val="00940C09"/>
    <w:rsid w:val="00940C0F"/>
    <w:rsid w:val="00940C75"/>
    <w:rsid w:val="00940C7F"/>
    <w:rsid w:val="00940C88"/>
    <w:rsid w:val="00940C9D"/>
    <w:rsid w:val="00940E19"/>
    <w:rsid w:val="00940EC0"/>
    <w:rsid w:val="00940F3E"/>
    <w:rsid w:val="00940F5D"/>
    <w:rsid w:val="00940F7E"/>
    <w:rsid w:val="00940F8D"/>
    <w:rsid w:val="009410E2"/>
    <w:rsid w:val="009410F8"/>
    <w:rsid w:val="00941112"/>
    <w:rsid w:val="0094117C"/>
    <w:rsid w:val="0094119D"/>
    <w:rsid w:val="00941270"/>
    <w:rsid w:val="00941287"/>
    <w:rsid w:val="009412B0"/>
    <w:rsid w:val="009412E3"/>
    <w:rsid w:val="0094137B"/>
    <w:rsid w:val="009413D5"/>
    <w:rsid w:val="009413F7"/>
    <w:rsid w:val="00941436"/>
    <w:rsid w:val="009414A5"/>
    <w:rsid w:val="009414B7"/>
    <w:rsid w:val="009414D5"/>
    <w:rsid w:val="00941536"/>
    <w:rsid w:val="0094155C"/>
    <w:rsid w:val="00941615"/>
    <w:rsid w:val="00941675"/>
    <w:rsid w:val="0094171B"/>
    <w:rsid w:val="00941764"/>
    <w:rsid w:val="00941775"/>
    <w:rsid w:val="0094185E"/>
    <w:rsid w:val="009418EF"/>
    <w:rsid w:val="00941926"/>
    <w:rsid w:val="009419E4"/>
    <w:rsid w:val="00941A7B"/>
    <w:rsid w:val="00941B12"/>
    <w:rsid w:val="00941B5C"/>
    <w:rsid w:val="00941BAE"/>
    <w:rsid w:val="00941C1A"/>
    <w:rsid w:val="00941C34"/>
    <w:rsid w:val="00941C75"/>
    <w:rsid w:val="00941CC0"/>
    <w:rsid w:val="00941D13"/>
    <w:rsid w:val="00941D5E"/>
    <w:rsid w:val="00941D65"/>
    <w:rsid w:val="00941D7A"/>
    <w:rsid w:val="00941DA3"/>
    <w:rsid w:val="00941E75"/>
    <w:rsid w:val="00941F0C"/>
    <w:rsid w:val="00941F42"/>
    <w:rsid w:val="00941F55"/>
    <w:rsid w:val="00941F5F"/>
    <w:rsid w:val="00941FC6"/>
    <w:rsid w:val="00942055"/>
    <w:rsid w:val="00942085"/>
    <w:rsid w:val="009421C4"/>
    <w:rsid w:val="00942210"/>
    <w:rsid w:val="0094224F"/>
    <w:rsid w:val="0094227D"/>
    <w:rsid w:val="0094227F"/>
    <w:rsid w:val="009422DA"/>
    <w:rsid w:val="009422EB"/>
    <w:rsid w:val="00942360"/>
    <w:rsid w:val="00942440"/>
    <w:rsid w:val="00942511"/>
    <w:rsid w:val="0094251A"/>
    <w:rsid w:val="009425FF"/>
    <w:rsid w:val="0094268A"/>
    <w:rsid w:val="009426AC"/>
    <w:rsid w:val="009426C4"/>
    <w:rsid w:val="009426FE"/>
    <w:rsid w:val="00942749"/>
    <w:rsid w:val="00942757"/>
    <w:rsid w:val="00942779"/>
    <w:rsid w:val="00942864"/>
    <w:rsid w:val="00942866"/>
    <w:rsid w:val="00942890"/>
    <w:rsid w:val="00942896"/>
    <w:rsid w:val="009428AF"/>
    <w:rsid w:val="009428B6"/>
    <w:rsid w:val="0094290E"/>
    <w:rsid w:val="00942948"/>
    <w:rsid w:val="009429FF"/>
    <w:rsid w:val="00942A3E"/>
    <w:rsid w:val="00942A5F"/>
    <w:rsid w:val="00942ADB"/>
    <w:rsid w:val="00942C1C"/>
    <w:rsid w:val="00942C91"/>
    <w:rsid w:val="00942D56"/>
    <w:rsid w:val="00942D69"/>
    <w:rsid w:val="00942E10"/>
    <w:rsid w:val="00942E35"/>
    <w:rsid w:val="00942E3B"/>
    <w:rsid w:val="00942E65"/>
    <w:rsid w:val="00942E9B"/>
    <w:rsid w:val="00942F09"/>
    <w:rsid w:val="00942F1E"/>
    <w:rsid w:val="00942FB3"/>
    <w:rsid w:val="00942FC2"/>
    <w:rsid w:val="00942FF7"/>
    <w:rsid w:val="00943128"/>
    <w:rsid w:val="0094312E"/>
    <w:rsid w:val="00943157"/>
    <w:rsid w:val="00943300"/>
    <w:rsid w:val="0094336C"/>
    <w:rsid w:val="0094338B"/>
    <w:rsid w:val="009433D5"/>
    <w:rsid w:val="00943423"/>
    <w:rsid w:val="0094348D"/>
    <w:rsid w:val="0094350E"/>
    <w:rsid w:val="0094352E"/>
    <w:rsid w:val="00943600"/>
    <w:rsid w:val="00943609"/>
    <w:rsid w:val="0094363E"/>
    <w:rsid w:val="009436A2"/>
    <w:rsid w:val="009436BB"/>
    <w:rsid w:val="009436C8"/>
    <w:rsid w:val="009436CC"/>
    <w:rsid w:val="009436D3"/>
    <w:rsid w:val="00943717"/>
    <w:rsid w:val="0094372A"/>
    <w:rsid w:val="0094376C"/>
    <w:rsid w:val="00943783"/>
    <w:rsid w:val="00943841"/>
    <w:rsid w:val="00943850"/>
    <w:rsid w:val="0094386B"/>
    <w:rsid w:val="009438DB"/>
    <w:rsid w:val="0094395A"/>
    <w:rsid w:val="0094396F"/>
    <w:rsid w:val="00943991"/>
    <w:rsid w:val="00943998"/>
    <w:rsid w:val="009439C0"/>
    <w:rsid w:val="00943A7A"/>
    <w:rsid w:val="00943B3A"/>
    <w:rsid w:val="00943C20"/>
    <w:rsid w:val="00943C9B"/>
    <w:rsid w:val="00943CD5"/>
    <w:rsid w:val="00943D3F"/>
    <w:rsid w:val="00943D65"/>
    <w:rsid w:val="00943D7B"/>
    <w:rsid w:val="00943D7C"/>
    <w:rsid w:val="00943DCA"/>
    <w:rsid w:val="00943DF8"/>
    <w:rsid w:val="00943E1D"/>
    <w:rsid w:val="00943E8B"/>
    <w:rsid w:val="00943FD9"/>
    <w:rsid w:val="00944042"/>
    <w:rsid w:val="0094404A"/>
    <w:rsid w:val="009440BD"/>
    <w:rsid w:val="009440DF"/>
    <w:rsid w:val="00944261"/>
    <w:rsid w:val="00944264"/>
    <w:rsid w:val="0094429D"/>
    <w:rsid w:val="009444FB"/>
    <w:rsid w:val="00944548"/>
    <w:rsid w:val="00944626"/>
    <w:rsid w:val="00944716"/>
    <w:rsid w:val="0094472A"/>
    <w:rsid w:val="0094478F"/>
    <w:rsid w:val="00944820"/>
    <w:rsid w:val="0094482C"/>
    <w:rsid w:val="00944963"/>
    <w:rsid w:val="00944A07"/>
    <w:rsid w:val="00944A2C"/>
    <w:rsid w:val="00944AA8"/>
    <w:rsid w:val="00944BE0"/>
    <w:rsid w:val="00944C4D"/>
    <w:rsid w:val="00944CA6"/>
    <w:rsid w:val="00944CDD"/>
    <w:rsid w:val="00944D37"/>
    <w:rsid w:val="00944D64"/>
    <w:rsid w:val="00944DDC"/>
    <w:rsid w:val="00944E32"/>
    <w:rsid w:val="00944E3D"/>
    <w:rsid w:val="00944F7B"/>
    <w:rsid w:val="00944FD5"/>
    <w:rsid w:val="00945021"/>
    <w:rsid w:val="0094506A"/>
    <w:rsid w:val="0094507F"/>
    <w:rsid w:val="009450BF"/>
    <w:rsid w:val="009450E0"/>
    <w:rsid w:val="0094513A"/>
    <w:rsid w:val="009451B5"/>
    <w:rsid w:val="009451D5"/>
    <w:rsid w:val="00945248"/>
    <w:rsid w:val="00945349"/>
    <w:rsid w:val="00945374"/>
    <w:rsid w:val="009453A5"/>
    <w:rsid w:val="0094547B"/>
    <w:rsid w:val="009454A9"/>
    <w:rsid w:val="00945514"/>
    <w:rsid w:val="0094553C"/>
    <w:rsid w:val="00945596"/>
    <w:rsid w:val="0094559B"/>
    <w:rsid w:val="009455C3"/>
    <w:rsid w:val="009455DA"/>
    <w:rsid w:val="009456D0"/>
    <w:rsid w:val="00945798"/>
    <w:rsid w:val="009457C9"/>
    <w:rsid w:val="00945966"/>
    <w:rsid w:val="009459A5"/>
    <w:rsid w:val="009459A9"/>
    <w:rsid w:val="009459C3"/>
    <w:rsid w:val="009459DC"/>
    <w:rsid w:val="00945A0B"/>
    <w:rsid w:val="00945AF3"/>
    <w:rsid w:val="00945B29"/>
    <w:rsid w:val="00945BE0"/>
    <w:rsid w:val="00945C1E"/>
    <w:rsid w:val="00945C3A"/>
    <w:rsid w:val="00945C3E"/>
    <w:rsid w:val="00945C45"/>
    <w:rsid w:val="00945D26"/>
    <w:rsid w:val="00945D43"/>
    <w:rsid w:val="00945DAB"/>
    <w:rsid w:val="00945E23"/>
    <w:rsid w:val="00945E27"/>
    <w:rsid w:val="00945F0E"/>
    <w:rsid w:val="00945F1C"/>
    <w:rsid w:val="00945F85"/>
    <w:rsid w:val="00945F8F"/>
    <w:rsid w:val="00945FFA"/>
    <w:rsid w:val="00946001"/>
    <w:rsid w:val="00946005"/>
    <w:rsid w:val="0094607F"/>
    <w:rsid w:val="009461B1"/>
    <w:rsid w:val="00946208"/>
    <w:rsid w:val="0094628D"/>
    <w:rsid w:val="009462D1"/>
    <w:rsid w:val="00946333"/>
    <w:rsid w:val="00946371"/>
    <w:rsid w:val="0094648C"/>
    <w:rsid w:val="00946503"/>
    <w:rsid w:val="00946549"/>
    <w:rsid w:val="00946592"/>
    <w:rsid w:val="0094659E"/>
    <w:rsid w:val="009465C9"/>
    <w:rsid w:val="00946649"/>
    <w:rsid w:val="0094665F"/>
    <w:rsid w:val="00946680"/>
    <w:rsid w:val="0094669C"/>
    <w:rsid w:val="009466B7"/>
    <w:rsid w:val="009467E5"/>
    <w:rsid w:val="00946840"/>
    <w:rsid w:val="00946846"/>
    <w:rsid w:val="00946899"/>
    <w:rsid w:val="0094689E"/>
    <w:rsid w:val="00946908"/>
    <w:rsid w:val="00946943"/>
    <w:rsid w:val="00946951"/>
    <w:rsid w:val="009469E1"/>
    <w:rsid w:val="00946A4F"/>
    <w:rsid w:val="00946A78"/>
    <w:rsid w:val="00946AC9"/>
    <w:rsid w:val="00946B0D"/>
    <w:rsid w:val="00946B4D"/>
    <w:rsid w:val="00946B63"/>
    <w:rsid w:val="00946C9B"/>
    <w:rsid w:val="00946CA7"/>
    <w:rsid w:val="00946CE9"/>
    <w:rsid w:val="00946CEB"/>
    <w:rsid w:val="00946CFF"/>
    <w:rsid w:val="00946D49"/>
    <w:rsid w:val="00946D77"/>
    <w:rsid w:val="00946DAF"/>
    <w:rsid w:val="00946DD7"/>
    <w:rsid w:val="00946E44"/>
    <w:rsid w:val="00946ECA"/>
    <w:rsid w:val="00947010"/>
    <w:rsid w:val="00947072"/>
    <w:rsid w:val="009470D1"/>
    <w:rsid w:val="009471E8"/>
    <w:rsid w:val="00947213"/>
    <w:rsid w:val="0094728A"/>
    <w:rsid w:val="009472C2"/>
    <w:rsid w:val="009472CC"/>
    <w:rsid w:val="009472F4"/>
    <w:rsid w:val="00947355"/>
    <w:rsid w:val="00947367"/>
    <w:rsid w:val="00947372"/>
    <w:rsid w:val="009473E8"/>
    <w:rsid w:val="009475A7"/>
    <w:rsid w:val="009475CF"/>
    <w:rsid w:val="00947763"/>
    <w:rsid w:val="009477FE"/>
    <w:rsid w:val="0094782E"/>
    <w:rsid w:val="00947853"/>
    <w:rsid w:val="0094786A"/>
    <w:rsid w:val="00947954"/>
    <w:rsid w:val="00947964"/>
    <w:rsid w:val="00947A36"/>
    <w:rsid w:val="00947A72"/>
    <w:rsid w:val="00947ADF"/>
    <w:rsid w:val="00947B70"/>
    <w:rsid w:val="00947C07"/>
    <w:rsid w:val="00947C23"/>
    <w:rsid w:val="00947C25"/>
    <w:rsid w:val="00947D47"/>
    <w:rsid w:val="00947D50"/>
    <w:rsid w:val="00947E29"/>
    <w:rsid w:val="00947E2D"/>
    <w:rsid w:val="00947E89"/>
    <w:rsid w:val="00947EC8"/>
    <w:rsid w:val="00947FC9"/>
    <w:rsid w:val="00947FFC"/>
    <w:rsid w:val="00950060"/>
    <w:rsid w:val="0095015E"/>
    <w:rsid w:val="009501CC"/>
    <w:rsid w:val="009501EB"/>
    <w:rsid w:val="00950224"/>
    <w:rsid w:val="009502B5"/>
    <w:rsid w:val="0095039F"/>
    <w:rsid w:val="00950432"/>
    <w:rsid w:val="0095045C"/>
    <w:rsid w:val="009504A7"/>
    <w:rsid w:val="009504D5"/>
    <w:rsid w:val="00950533"/>
    <w:rsid w:val="00950600"/>
    <w:rsid w:val="00950631"/>
    <w:rsid w:val="00950681"/>
    <w:rsid w:val="009506D7"/>
    <w:rsid w:val="0095072F"/>
    <w:rsid w:val="0095092F"/>
    <w:rsid w:val="00950934"/>
    <w:rsid w:val="0095093C"/>
    <w:rsid w:val="0095093F"/>
    <w:rsid w:val="00950949"/>
    <w:rsid w:val="00950954"/>
    <w:rsid w:val="009509A3"/>
    <w:rsid w:val="009509C7"/>
    <w:rsid w:val="00950A8A"/>
    <w:rsid w:val="00950B1B"/>
    <w:rsid w:val="00950B47"/>
    <w:rsid w:val="00950BA1"/>
    <w:rsid w:val="00950BF8"/>
    <w:rsid w:val="00950C5D"/>
    <w:rsid w:val="00950CB1"/>
    <w:rsid w:val="00950D13"/>
    <w:rsid w:val="00950D52"/>
    <w:rsid w:val="00950D68"/>
    <w:rsid w:val="00950DC7"/>
    <w:rsid w:val="00950DD1"/>
    <w:rsid w:val="00950DE1"/>
    <w:rsid w:val="00950E26"/>
    <w:rsid w:val="00950E5D"/>
    <w:rsid w:val="00950E85"/>
    <w:rsid w:val="00950EDA"/>
    <w:rsid w:val="00950F7B"/>
    <w:rsid w:val="00950FC5"/>
    <w:rsid w:val="00950FEA"/>
    <w:rsid w:val="00950FF1"/>
    <w:rsid w:val="0095104D"/>
    <w:rsid w:val="00951085"/>
    <w:rsid w:val="009510B1"/>
    <w:rsid w:val="009510DF"/>
    <w:rsid w:val="00951120"/>
    <w:rsid w:val="00951163"/>
    <w:rsid w:val="0095117E"/>
    <w:rsid w:val="009511A5"/>
    <w:rsid w:val="009511B7"/>
    <w:rsid w:val="0095125B"/>
    <w:rsid w:val="00951279"/>
    <w:rsid w:val="009512CF"/>
    <w:rsid w:val="00951361"/>
    <w:rsid w:val="009513B4"/>
    <w:rsid w:val="00951409"/>
    <w:rsid w:val="0095144F"/>
    <w:rsid w:val="00951595"/>
    <w:rsid w:val="00951677"/>
    <w:rsid w:val="009516F4"/>
    <w:rsid w:val="0095171D"/>
    <w:rsid w:val="00951785"/>
    <w:rsid w:val="009517A8"/>
    <w:rsid w:val="009517D0"/>
    <w:rsid w:val="009517FB"/>
    <w:rsid w:val="00951897"/>
    <w:rsid w:val="00951911"/>
    <w:rsid w:val="00951A03"/>
    <w:rsid w:val="00951A92"/>
    <w:rsid w:val="00951AC5"/>
    <w:rsid w:val="00951AE0"/>
    <w:rsid w:val="00951B16"/>
    <w:rsid w:val="00951B70"/>
    <w:rsid w:val="00951B93"/>
    <w:rsid w:val="00951BB1"/>
    <w:rsid w:val="00951C1B"/>
    <w:rsid w:val="00951C81"/>
    <w:rsid w:val="00951C9C"/>
    <w:rsid w:val="00951CD3"/>
    <w:rsid w:val="00951CFC"/>
    <w:rsid w:val="00951D5A"/>
    <w:rsid w:val="00951D94"/>
    <w:rsid w:val="00951D95"/>
    <w:rsid w:val="00951E7D"/>
    <w:rsid w:val="00951ECD"/>
    <w:rsid w:val="00951F81"/>
    <w:rsid w:val="00951FC7"/>
    <w:rsid w:val="00951FF1"/>
    <w:rsid w:val="0095203D"/>
    <w:rsid w:val="00952077"/>
    <w:rsid w:val="009520DF"/>
    <w:rsid w:val="0095215A"/>
    <w:rsid w:val="0095219D"/>
    <w:rsid w:val="009521AC"/>
    <w:rsid w:val="00952222"/>
    <w:rsid w:val="00952291"/>
    <w:rsid w:val="009522CF"/>
    <w:rsid w:val="00952318"/>
    <w:rsid w:val="00952326"/>
    <w:rsid w:val="00952344"/>
    <w:rsid w:val="009524CD"/>
    <w:rsid w:val="009524D6"/>
    <w:rsid w:val="00952550"/>
    <w:rsid w:val="00952574"/>
    <w:rsid w:val="009525A4"/>
    <w:rsid w:val="009525EC"/>
    <w:rsid w:val="00952628"/>
    <w:rsid w:val="0095262B"/>
    <w:rsid w:val="00952706"/>
    <w:rsid w:val="00952782"/>
    <w:rsid w:val="00952783"/>
    <w:rsid w:val="00952833"/>
    <w:rsid w:val="009528B4"/>
    <w:rsid w:val="009528CB"/>
    <w:rsid w:val="0095294C"/>
    <w:rsid w:val="00952957"/>
    <w:rsid w:val="0095298D"/>
    <w:rsid w:val="009529B2"/>
    <w:rsid w:val="00952A43"/>
    <w:rsid w:val="00952A61"/>
    <w:rsid w:val="00952AFB"/>
    <w:rsid w:val="00952BC3"/>
    <w:rsid w:val="00952C94"/>
    <w:rsid w:val="00952CA9"/>
    <w:rsid w:val="00952CB3"/>
    <w:rsid w:val="00952CE5"/>
    <w:rsid w:val="00952D79"/>
    <w:rsid w:val="00952E10"/>
    <w:rsid w:val="00952EEB"/>
    <w:rsid w:val="00952EEC"/>
    <w:rsid w:val="00952F29"/>
    <w:rsid w:val="00952F2E"/>
    <w:rsid w:val="00952F40"/>
    <w:rsid w:val="00953114"/>
    <w:rsid w:val="009531BD"/>
    <w:rsid w:val="009531DF"/>
    <w:rsid w:val="00953355"/>
    <w:rsid w:val="00953384"/>
    <w:rsid w:val="00953392"/>
    <w:rsid w:val="009533E5"/>
    <w:rsid w:val="00953533"/>
    <w:rsid w:val="009535E3"/>
    <w:rsid w:val="00953615"/>
    <w:rsid w:val="0095363C"/>
    <w:rsid w:val="009536B5"/>
    <w:rsid w:val="009536F9"/>
    <w:rsid w:val="009536FA"/>
    <w:rsid w:val="0095381B"/>
    <w:rsid w:val="0095383E"/>
    <w:rsid w:val="009538D2"/>
    <w:rsid w:val="009538FB"/>
    <w:rsid w:val="0095392D"/>
    <w:rsid w:val="0095394D"/>
    <w:rsid w:val="00953983"/>
    <w:rsid w:val="009539B1"/>
    <w:rsid w:val="00953AB7"/>
    <w:rsid w:val="00953B63"/>
    <w:rsid w:val="00953B83"/>
    <w:rsid w:val="00953BBF"/>
    <w:rsid w:val="00953C9E"/>
    <w:rsid w:val="00953D72"/>
    <w:rsid w:val="00953D86"/>
    <w:rsid w:val="00953DD8"/>
    <w:rsid w:val="00953F0C"/>
    <w:rsid w:val="00953F1D"/>
    <w:rsid w:val="00954044"/>
    <w:rsid w:val="009540FC"/>
    <w:rsid w:val="00954159"/>
    <w:rsid w:val="009541B5"/>
    <w:rsid w:val="0095423F"/>
    <w:rsid w:val="009542F3"/>
    <w:rsid w:val="0095439A"/>
    <w:rsid w:val="009544C4"/>
    <w:rsid w:val="009546B3"/>
    <w:rsid w:val="00954717"/>
    <w:rsid w:val="00954754"/>
    <w:rsid w:val="0095475F"/>
    <w:rsid w:val="009547E4"/>
    <w:rsid w:val="009548D0"/>
    <w:rsid w:val="0095490A"/>
    <w:rsid w:val="00954920"/>
    <w:rsid w:val="009549A6"/>
    <w:rsid w:val="009549C0"/>
    <w:rsid w:val="009549DE"/>
    <w:rsid w:val="009549FB"/>
    <w:rsid w:val="00954A28"/>
    <w:rsid w:val="00954AA6"/>
    <w:rsid w:val="00954AC8"/>
    <w:rsid w:val="00954B06"/>
    <w:rsid w:val="00954B08"/>
    <w:rsid w:val="00954B31"/>
    <w:rsid w:val="00954B45"/>
    <w:rsid w:val="00954C7D"/>
    <w:rsid w:val="00954CD1"/>
    <w:rsid w:val="00954D9D"/>
    <w:rsid w:val="00954E20"/>
    <w:rsid w:val="00954E63"/>
    <w:rsid w:val="00954E92"/>
    <w:rsid w:val="00954EA5"/>
    <w:rsid w:val="00954EAF"/>
    <w:rsid w:val="00954EDD"/>
    <w:rsid w:val="00954F83"/>
    <w:rsid w:val="00954FE5"/>
    <w:rsid w:val="0095501C"/>
    <w:rsid w:val="0095504B"/>
    <w:rsid w:val="00955050"/>
    <w:rsid w:val="0095505E"/>
    <w:rsid w:val="009550F1"/>
    <w:rsid w:val="0095511D"/>
    <w:rsid w:val="0095511E"/>
    <w:rsid w:val="0095514F"/>
    <w:rsid w:val="00955156"/>
    <w:rsid w:val="00955170"/>
    <w:rsid w:val="00955204"/>
    <w:rsid w:val="009552C2"/>
    <w:rsid w:val="009552D9"/>
    <w:rsid w:val="00955304"/>
    <w:rsid w:val="0095531F"/>
    <w:rsid w:val="00955328"/>
    <w:rsid w:val="009553BB"/>
    <w:rsid w:val="009553CC"/>
    <w:rsid w:val="00955417"/>
    <w:rsid w:val="00955433"/>
    <w:rsid w:val="009554D4"/>
    <w:rsid w:val="009554EA"/>
    <w:rsid w:val="009555B9"/>
    <w:rsid w:val="00955613"/>
    <w:rsid w:val="00955629"/>
    <w:rsid w:val="00955633"/>
    <w:rsid w:val="00955768"/>
    <w:rsid w:val="0095588B"/>
    <w:rsid w:val="009558B5"/>
    <w:rsid w:val="0095592F"/>
    <w:rsid w:val="009559BE"/>
    <w:rsid w:val="009559D4"/>
    <w:rsid w:val="00955A99"/>
    <w:rsid w:val="00955AC1"/>
    <w:rsid w:val="00955B76"/>
    <w:rsid w:val="00955B97"/>
    <w:rsid w:val="00955BE8"/>
    <w:rsid w:val="00955C22"/>
    <w:rsid w:val="00955C57"/>
    <w:rsid w:val="00955C8D"/>
    <w:rsid w:val="00955D13"/>
    <w:rsid w:val="00955D24"/>
    <w:rsid w:val="00955E2A"/>
    <w:rsid w:val="00955E83"/>
    <w:rsid w:val="00955FC1"/>
    <w:rsid w:val="00956097"/>
    <w:rsid w:val="009560E1"/>
    <w:rsid w:val="00956259"/>
    <w:rsid w:val="009562FD"/>
    <w:rsid w:val="00956331"/>
    <w:rsid w:val="00956368"/>
    <w:rsid w:val="0095636D"/>
    <w:rsid w:val="0095637E"/>
    <w:rsid w:val="0095638C"/>
    <w:rsid w:val="0095638E"/>
    <w:rsid w:val="0095642C"/>
    <w:rsid w:val="009565AF"/>
    <w:rsid w:val="009565E3"/>
    <w:rsid w:val="00956739"/>
    <w:rsid w:val="00956780"/>
    <w:rsid w:val="00956784"/>
    <w:rsid w:val="0095679A"/>
    <w:rsid w:val="009568E1"/>
    <w:rsid w:val="00956976"/>
    <w:rsid w:val="009569FD"/>
    <w:rsid w:val="00956A2C"/>
    <w:rsid w:val="00956A79"/>
    <w:rsid w:val="00956A98"/>
    <w:rsid w:val="00956AFF"/>
    <w:rsid w:val="00956B54"/>
    <w:rsid w:val="00956B7B"/>
    <w:rsid w:val="00956B86"/>
    <w:rsid w:val="00956BAF"/>
    <w:rsid w:val="00956C21"/>
    <w:rsid w:val="00956C8B"/>
    <w:rsid w:val="00956C8D"/>
    <w:rsid w:val="00956D26"/>
    <w:rsid w:val="00956D9F"/>
    <w:rsid w:val="00956EA1"/>
    <w:rsid w:val="00956ED9"/>
    <w:rsid w:val="00956EF1"/>
    <w:rsid w:val="00956F38"/>
    <w:rsid w:val="00956F40"/>
    <w:rsid w:val="00956F56"/>
    <w:rsid w:val="00956FF2"/>
    <w:rsid w:val="00956FF3"/>
    <w:rsid w:val="00957042"/>
    <w:rsid w:val="00957070"/>
    <w:rsid w:val="009570B2"/>
    <w:rsid w:val="009570D9"/>
    <w:rsid w:val="00957157"/>
    <w:rsid w:val="009571AC"/>
    <w:rsid w:val="0095724F"/>
    <w:rsid w:val="00957281"/>
    <w:rsid w:val="0095734D"/>
    <w:rsid w:val="009573C6"/>
    <w:rsid w:val="009573E8"/>
    <w:rsid w:val="0095741D"/>
    <w:rsid w:val="009574A2"/>
    <w:rsid w:val="00957548"/>
    <w:rsid w:val="00957559"/>
    <w:rsid w:val="00957618"/>
    <w:rsid w:val="009576A9"/>
    <w:rsid w:val="009576D6"/>
    <w:rsid w:val="00957719"/>
    <w:rsid w:val="0095772A"/>
    <w:rsid w:val="00957775"/>
    <w:rsid w:val="00957784"/>
    <w:rsid w:val="009577BD"/>
    <w:rsid w:val="00957827"/>
    <w:rsid w:val="009578D9"/>
    <w:rsid w:val="009578DE"/>
    <w:rsid w:val="0095798C"/>
    <w:rsid w:val="009579A8"/>
    <w:rsid w:val="009579B1"/>
    <w:rsid w:val="00957A03"/>
    <w:rsid w:val="00957A58"/>
    <w:rsid w:val="00957A59"/>
    <w:rsid w:val="00957A8E"/>
    <w:rsid w:val="00957B12"/>
    <w:rsid w:val="00957BE9"/>
    <w:rsid w:val="00957CD0"/>
    <w:rsid w:val="00957D59"/>
    <w:rsid w:val="00957E09"/>
    <w:rsid w:val="00957E29"/>
    <w:rsid w:val="00957E99"/>
    <w:rsid w:val="00957EB1"/>
    <w:rsid w:val="00957ECE"/>
    <w:rsid w:val="00957EF6"/>
    <w:rsid w:val="00957F5B"/>
    <w:rsid w:val="00957FD6"/>
    <w:rsid w:val="00957FEF"/>
    <w:rsid w:val="0096005F"/>
    <w:rsid w:val="00960090"/>
    <w:rsid w:val="009600E3"/>
    <w:rsid w:val="0096011E"/>
    <w:rsid w:val="00960144"/>
    <w:rsid w:val="009601C9"/>
    <w:rsid w:val="00960210"/>
    <w:rsid w:val="00960216"/>
    <w:rsid w:val="009602DE"/>
    <w:rsid w:val="00960354"/>
    <w:rsid w:val="00960413"/>
    <w:rsid w:val="00960417"/>
    <w:rsid w:val="00960449"/>
    <w:rsid w:val="00960459"/>
    <w:rsid w:val="009604B0"/>
    <w:rsid w:val="009604FE"/>
    <w:rsid w:val="0096055C"/>
    <w:rsid w:val="0096061F"/>
    <w:rsid w:val="00960639"/>
    <w:rsid w:val="00960649"/>
    <w:rsid w:val="0096066C"/>
    <w:rsid w:val="009606B2"/>
    <w:rsid w:val="009606DC"/>
    <w:rsid w:val="009606E5"/>
    <w:rsid w:val="009606F0"/>
    <w:rsid w:val="009606F6"/>
    <w:rsid w:val="009607F0"/>
    <w:rsid w:val="00960872"/>
    <w:rsid w:val="009608AE"/>
    <w:rsid w:val="009608B6"/>
    <w:rsid w:val="009608FE"/>
    <w:rsid w:val="0096095B"/>
    <w:rsid w:val="009609EB"/>
    <w:rsid w:val="00960A01"/>
    <w:rsid w:val="00960ADC"/>
    <w:rsid w:val="00960AEC"/>
    <w:rsid w:val="00960B8B"/>
    <w:rsid w:val="00960B98"/>
    <w:rsid w:val="00960BC6"/>
    <w:rsid w:val="00960BEF"/>
    <w:rsid w:val="00960CC6"/>
    <w:rsid w:val="00960CE0"/>
    <w:rsid w:val="00960D27"/>
    <w:rsid w:val="00960D37"/>
    <w:rsid w:val="00960D77"/>
    <w:rsid w:val="00960D97"/>
    <w:rsid w:val="00960E1C"/>
    <w:rsid w:val="00960E30"/>
    <w:rsid w:val="00960E3C"/>
    <w:rsid w:val="00960E43"/>
    <w:rsid w:val="00960EE0"/>
    <w:rsid w:val="00960F0E"/>
    <w:rsid w:val="00960F75"/>
    <w:rsid w:val="00960F96"/>
    <w:rsid w:val="00961001"/>
    <w:rsid w:val="00961004"/>
    <w:rsid w:val="00961081"/>
    <w:rsid w:val="00961085"/>
    <w:rsid w:val="009610B5"/>
    <w:rsid w:val="009610CF"/>
    <w:rsid w:val="009610F2"/>
    <w:rsid w:val="0096110F"/>
    <w:rsid w:val="00961170"/>
    <w:rsid w:val="009611B4"/>
    <w:rsid w:val="009611D8"/>
    <w:rsid w:val="00961286"/>
    <w:rsid w:val="009612A0"/>
    <w:rsid w:val="009612EC"/>
    <w:rsid w:val="00961322"/>
    <w:rsid w:val="0096141F"/>
    <w:rsid w:val="00961424"/>
    <w:rsid w:val="0096149E"/>
    <w:rsid w:val="009614CA"/>
    <w:rsid w:val="00961501"/>
    <w:rsid w:val="00961577"/>
    <w:rsid w:val="009615D5"/>
    <w:rsid w:val="00961618"/>
    <w:rsid w:val="00961676"/>
    <w:rsid w:val="009616AD"/>
    <w:rsid w:val="009616EB"/>
    <w:rsid w:val="009616FA"/>
    <w:rsid w:val="009618A8"/>
    <w:rsid w:val="00961994"/>
    <w:rsid w:val="009619B4"/>
    <w:rsid w:val="00961A06"/>
    <w:rsid w:val="00961A6C"/>
    <w:rsid w:val="00961C3A"/>
    <w:rsid w:val="00961C7C"/>
    <w:rsid w:val="00961E04"/>
    <w:rsid w:val="00961ED3"/>
    <w:rsid w:val="00961F42"/>
    <w:rsid w:val="00961F43"/>
    <w:rsid w:val="00961FF2"/>
    <w:rsid w:val="0096200A"/>
    <w:rsid w:val="0096202B"/>
    <w:rsid w:val="00962065"/>
    <w:rsid w:val="00962099"/>
    <w:rsid w:val="009620D8"/>
    <w:rsid w:val="009620F2"/>
    <w:rsid w:val="0096215B"/>
    <w:rsid w:val="009621E7"/>
    <w:rsid w:val="00962208"/>
    <w:rsid w:val="009622FD"/>
    <w:rsid w:val="009623AA"/>
    <w:rsid w:val="009623CB"/>
    <w:rsid w:val="0096249E"/>
    <w:rsid w:val="00962527"/>
    <w:rsid w:val="0096252A"/>
    <w:rsid w:val="009625EF"/>
    <w:rsid w:val="009626BB"/>
    <w:rsid w:val="00962707"/>
    <w:rsid w:val="00962742"/>
    <w:rsid w:val="00962755"/>
    <w:rsid w:val="009627B3"/>
    <w:rsid w:val="0096282B"/>
    <w:rsid w:val="00962841"/>
    <w:rsid w:val="00962877"/>
    <w:rsid w:val="00962891"/>
    <w:rsid w:val="00962971"/>
    <w:rsid w:val="0096298C"/>
    <w:rsid w:val="009629D1"/>
    <w:rsid w:val="009629EB"/>
    <w:rsid w:val="00962A98"/>
    <w:rsid w:val="00962AAE"/>
    <w:rsid w:val="00962AB6"/>
    <w:rsid w:val="00962B8C"/>
    <w:rsid w:val="00962CFA"/>
    <w:rsid w:val="00962D1B"/>
    <w:rsid w:val="00962D77"/>
    <w:rsid w:val="00962DA2"/>
    <w:rsid w:val="00962DCE"/>
    <w:rsid w:val="00962ED4"/>
    <w:rsid w:val="00962F41"/>
    <w:rsid w:val="00962FC7"/>
    <w:rsid w:val="009630E4"/>
    <w:rsid w:val="009630FC"/>
    <w:rsid w:val="00963110"/>
    <w:rsid w:val="00963147"/>
    <w:rsid w:val="00963155"/>
    <w:rsid w:val="0096315C"/>
    <w:rsid w:val="00963170"/>
    <w:rsid w:val="009631A8"/>
    <w:rsid w:val="009631B4"/>
    <w:rsid w:val="009631D3"/>
    <w:rsid w:val="0096325A"/>
    <w:rsid w:val="00963274"/>
    <w:rsid w:val="00963314"/>
    <w:rsid w:val="009634CA"/>
    <w:rsid w:val="0096353D"/>
    <w:rsid w:val="00963604"/>
    <w:rsid w:val="009636AA"/>
    <w:rsid w:val="009636B4"/>
    <w:rsid w:val="0096372E"/>
    <w:rsid w:val="00963768"/>
    <w:rsid w:val="0096382E"/>
    <w:rsid w:val="0096388E"/>
    <w:rsid w:val="0096389B"/>
    <w:rsid w:val="009638A6"/>
    <w:rsid w:val="009638DE"/>
    <w:rsid w:val="00963977"/>
    <w:rsid w:val="00963998"/>
    <w:rsid w:val="00963A06"/>
    <w:rsid w:val="00963A36"/>
    <w:rsid w:val="00963A47"/>
    <w:rsid w:val="00963A4E"/>
    <w:rsid w:val="00963A58"/>
    <w:rsid w:val="00963AC3"/>
    <w:rsid w:val="00963AD6"/>
    <w:rsid w:val="00963B91"/>
    <w:rsid w:val="00963D4D"/>
    <w:rsid w:val="00963DC9"/>
    <w:rsid w:val="00963E0E"/>
    <w:rsid w:val="00963E85"/>
    <w:rsid w:val="00963EDA"/>
    <w:rsid w:val="00963F33"/>
    <w:rsid w:val="00963F3C"/>
    <w:rsid w:val="00963F65"/>
    <w:rsid w:val="00964074"/>
    <w:rsid w:val="00964163"/>
    <w:rsid w:val="0096420C"/>
    <w:rsid w:val="00964244"/>
    <w:rsid w:val="00964333"/>
    <w:rsid w:val="00964343"/>
    <w:rsid w:val="009643A4"/>
    <w:rsid w:val="0096450B"/>
    <w:rsid w:val="0096453C"/>
    <w:rsid w:val="00964543"/>
    <w:rsid w:val="009645A8"/>
    <w:rsid w:val="0096480F"/>
    <w:rsid w:val="0096487A"/>
    <w:rsid w:val="00964907"/>
    <w:rsid w:val="0096492A"/>
    <w:rsid w:val="00964952"/>
    <w:rsid w:val="00964956"/>
    <w:rsid w:val="009649CD"/>
    <w:rsid w:val="009649F8"/>
    <w:rsid w:val="00964A20"/>
    <w:rsid w:val="00964ADE"/>
    <w:rsid w:val="00964B03"/>
    <w:rsid w:val="00964B29"/>
    <w:rsid w:val="00964B5A"/>
    <w:rsid w:val="00964B76"/>
    <w:rsid w:val="00964BE7"/>
    <w:rsid w:val="00964BFC"/>
    <w:rsid w:val="00964C74"/>
    <w:rsid w:val="00964D0F"/>
    <w:rsid w:val="00964DFA"/>
    <w:rsid w:val="00964E40"/>
    <w:rsid w:val="00964EC6"/>
    <w:rsid w:val="00964F45"/>
    <w:rsid w:val="00964FB2"/>
    <w:rsid w:val="00964FD5"/>
    <w:rsid w:val="00965033"/>
    <w:rsid w:val="0096509B"/>
    <w:rsid w:val="00965102"/>
    <w:rsid w:val="00965117"/>
    <w:rsid w:val="0096514D"/>
    <w:rsid w:val="009652EC"/>
    <w:rsid w:val="009653A3"/>
    <w:rsid w:val="009653EC"/>
    <w:rsid w:val="00965409"/>
    <w:rsid w:val="0096540D"/>
    <w:rsid w:val="0096547A"/>
    <w:rsid w:val="009654E8"/>
    <w:rsid w:val="009654E9"/>
    <w:rsid w:val="0096554B"/>
    <w:rsid w:val="00965623"/>
    <w:rsid w:val="0096562C"/>
    <w:rsid w:val="0096566D"/>
    <w:rsid w:val="00965706"/>
    <w:rsid w:val="00965756"/>
    <w:rsid w:val="00965777"/>
    <w:rsid w:val="0096577A"/>
    <w:rsid w:val="009657A1"/>
    <w:rsid w:val="009657DA"/>
    <w:rsid w:val="00965809"/>
    <w:rsid w:val="0096580F"/>
    <w:rsid w:val="00965812"/>
    <w:rsid w:val="009658FC"/>
    <w:rsid w:val="00965921"/>
    <w:rsid w:val="00965A8B"/>
    <w:rsid w:val="00965BAE"/>
    <w:rsid w:val="00965BCB"/>
    <w:rsid w:val="00965C31"/>
    <w:rsid w:val="00965C90"/>
    <w:rsid w:val="00965CB9"/>
    <w:rsid w:val="00965CD0"/>
    <w:rsid w:val="00965D87"/>
    <w:rsid w:val="00965E74"/>
    <w:rsid w:val="00965F71"/>
    <w:rsid w:val="00966004"/>
    <w:rsid w:val="0096610F"/>
    <w:rsid w:val="00966196"/>
    <w:rsid w:val="009661DF"/>
    <w:rsid w:val="00966215"/>
    <w:rsid w:val="00966389"/>
    <w:rsid w:val="009663BF"/>
    <w:rsid w:val="009663CA"/>
    <w:rsid w:val="00966416"/>
    <w:rsid w:val="00966430"/>
    <w:rsid w:val="00966455"/>
    <w:rsid w:val="00966533"/>
    <w:rsid w:val="00966577"/>
    <w:rsid w:val="009665EE"/>
    <w:rsid w:val="0096661F"/>
    <w:rsid w:val="00966715"/>
    <w:rsid w:val="00966754"/>
    <w:rsid w:val="00966782"/>
    <w:rsid w:val="0096681B"/>
    <w:rsid w:val="00966829"/>
    <w:rsid w:val="00966867"/>
    <w:rsid w:val="0096693D"/>
    <w:rsid w:val="009669CE"/>
    <w:rsid w:val="00966A49"/>
    <w:rsid w:val="00966AFB"/>
    <w:rsid w:val="00966B4A"/>
    <w:rsid w:val="00966B94"/>
    <w:rsid w:val="00966B9B"/>
    <w:rsid w:val="00966C3D"/>
    <w:rsid w:val="00966C5F"/>
    <w:rsid w:val="00966C69"/>
    <w:rsid w:val="00966C70"/>
    <w:rsid w:val="00966C92"/>
    <w:rsid w:val="00966CA8"/>
    <w:rsid w:val="00966CB1"/>
    <w:rsid w:val="00966D5C"/>
    <w:rsid w:val="00966D65"/>
    <w:rsid w:val="00966E5D"/>
    <w:rsid w:val="00966E67"/>
    <w:rsid w:val="00966E94"/>
    <w:rsid w:val="00966F6E"/>
    <w:rsid w:val="00967004"/>
    <w:rsid w:val="0096703E"/>
    <w:rsid w:val="00967058"/>
    <w:rsid w:val="00967099"/>
    <w:rsid w:val="009670A1"/>
    <w:rsid w:val="009670AB"/>
    <w:rsid w:val="009671CC"/>
    <w:rsid w:val="009671F2"/>
    <w:rsid w:val="009671FF"/>
    <w:rsid w:val="0096725B"/>
    <w:rsid w:val="0096725E"/>
    <w:rsid w:val="00967267"/>
    <w:rsid w:val="0096728A"/>
    <w:rsid w:val="0096729F"/>
    <w:rsid w:val="00967357"/>
    <w:rsid w:val="00967362"/>
    <w:rsid w:val="0096737A"/>
    <w:rsid w:val="009673B6"/>
    <w:rsid w:val="00967413"/>
    <w:rsid w:val="00967433"/>
    <w:rsid w:val="009674FA"/>
    <w:rsid w:val="00967595"/>
    <w:rsid w:val="0096768C"/>
    <w:rsid w:val="00967768"/>
    <w:rsid w:val="009677BC"/>
    <w:rsid w:val="0096784E"/>
    <w:rsid w:val="0096786A"/>
    <w:rsid w:val="009678BC"/>
    <w:rsid w:val="00967917"/>
    <w:rsid w:val="00967965"/>
    <w:rsid w:val="00967973"/>
    <w:rsid w:val="00967974"/>
    <w:rsid w:val="009679DD"/>
    <w:rsid w:val="009679F9"/>
    <w:rsid w:val="00967A17"/>
    <w:rsid w:val="00967A1C"/>
    <w:rsid w:val="00967A54"/>
    <w:rsid w:val="00967A55"/>
    <w:rsid w:val="00967AB8"/>
    <w:rsid w:val="00967B01"/>
    <w:rsid w:val="00967B34"/>
    <w:rsid w:val="00967B6A"/>
    <w:rsid w:val="00967BC4"/>
    <w:rsid w:val="00967CDE"/>
    <w:rsid w:val="00967E06"/>
    <w:rsid w:val="00967E43"/>
    <w:rsid w:val="00967F0A"/>
    <w:rsid w:val="00970025"/>
    <w:rsid w:val="00970045"/>
    <w:rsid w:val="00970084"/>
    <w:rsid w:val="009700BB"/>
    <w:rsid w:val="009701A8"/>
    <w:rsid w:val="009701B6"/>
    <w:rsid w:val="009702D3"/>
    <w:rsid w:val="0097036E"/>
    <w:rsid w:val="0097039E"/>
    <w:rsid w:val="009703D8"/>
    <w:rsid w:val="00970463"/>
    <w:rsid w:val="009704F4"/>
    <w:rsid w:val="00970577"/>
    <w:rsid w:val="0097062A"/>
    <w:rsid w:val="00970697"/>
    <w:rsid w:val="009706B5"/>
    <w:rsid w:val="009706E0"/>
    <w:rsid w:val="00970702"/>
    <w:rsid w:val="00970731"/>
    <w:rsid w:val="00970740"/>
    <w:rsid w:val="0097076F"/>
    <w:rsid w:val="009707A6"/>
    <w:rsid w:val="009707FD"/>
    <w:rsid w:val="0097083A"/>
    <w:rsid w:val="00970859"/>
    <w:rsid w:val="009708BE"/>
    <w:rsid w:val="009708CA"/>
    <w:rsid w:val="00970984"/>
    <w:rsid w:val="00970995"/>
    <w:rsid w:val="009709E7"/>
    <w:rsid w:val="00970BBC"/>
    <w:rsid w:val="00970C67"/>
    <w:rsid w:val="00970D1D"/>
    <w:rsid w:val="00970D5D"/>
    <w:rsid w:val="00970DE3"/>
    <w:rsid w:val="00970E15"/>
    <w:rsid w:val="00970F41"/>
    <w:rsid w:val="00970F46"/>
    <w:rsid w:val="00971061"/>
    <w:rsid w:val="009710CC"/>
    <w:rsid w:val="009710D8"/>
    <w:rsid w:val="00971108"/>
    <w:rsid w:val="0097111B"/>
    <w:rsid w:val="0097116D"/>
    <w:rsid w:val="009711CD"/>
    <w:rsid w:val="00971310"/>
    <w:rsid w:val="0097136B"/>
    <w:rsid w:val="00971389"/>
    <w:rsid w:val="0097138B"/>
    <w:rsid w:val="00971505"/>
    <w:rsid w:val="009715D5"/>
    <w:rsid w:val="0097160D"/>
    <w:rsid w:val="0097165B"/>
    <w:rsid w:val="009716A4"/>
    <w:rsid w:val="009716C2"/>
    <w:rsid w:val="009717D8"/>
    <w:rsid w:val="009718C1"/>
    <w:rsid w:val="009718D3"/>
    <w:rsid w:val="00971956"/>
    <w:rsid w:val="00971993"/>
    <w:rsid w:val="009719AF"/>
    <w:rsid w:val="009719C2"/>
    <w:rsid w:val="00971A23"/>
    <w:rsid w:val="00971A30"/>
    <w:rsid w:val="00971B57"/>
    <w:rsid w:val="00971B6E"/>
    <w:rsid w:val="00971B81"/>
    <w:rsid w:val="00971B98"/>
    <w:rsid w:val="00971BC3"/>
    <w:rsid w:val="00971CE5"/>
    <w:rsid w:val="00971D4A"/>
    <w:rsid w:val="00971DEB"/>
    <w:rsid w:val="00971E14"/>
    <w:rsid w:val="00971EC1"/>
    <w:rsid w:val="00971F0A"/>
    <w:rsid w:val="00971F7B"/>
    <w:rsid w:val="00971F8A"/>
    <w:rsid w:val="00971F9D"/>
    <w:rsid w:val="00971FD2"/>
    <w:rsid w:val="00971FFC"/>
    <w:rsid w:val="009720AE"/>
    <w:rsid w:val="0097211B"/>
    <w:rsid w:val="00972188"/>
    <w:rsid w:val="0097218C"/>
    <w:rsid w:val="00972271"/>
    <w:rsid w:val="009722CB"/>
    <w:rsid w:val="009722D2"/>
    <w:rsid w:val="009723D4"/>
    <w:rsid w:val="0097248A"/>
    <w:rsid w:val="00972502"/>
    <w:rsid w:val="00972508"/>
    <w:rsid w:val="00972561"/>
    <w:rsid w:val="00972566"/>
    <w:rsid w:val="009725BD"/>
    <w:rsid w:val="0097272B"/>
    <w:rsid w:val="0097277E"/>
    <w:rsid w:val="009727B5"/>
    <w:rsid w:val="0097296B"/>
    <w:rsid w:val="0097298C"/>
    <w:rsid w:val="00972A6C"/>
    <w:rsid w:val="00972A8A"/>
    <w:rsid w:val="00972CC0"/>
    <w:rsid w:val="00972D27"/>
    <w:rsid w:val="00972D93"/>
    <w:rsid w:val="00972DAD"/>
    <w:rsid w:val="00972DFF"/>
    <w:rsid w:val="00972E29"/>
    <w:rsid w:val="00972E83"/>
    <w:rsid w:val="00972E9D"/>
    <w:rsid w:val="00972F18"/>
    <w:rsid w:val="00972F23"/>
    <w:rsid w:val="00972F66"/>
    <w:rsid w:val="00972F81"/>
    <w:rsid w:val="00973011"/>
    <w:rsid w:val="009730AA"/>
    <w:rsid w:val="009730F9"/>
    <w:rsid w:val="00973102"/>
    <w:rsid w:val="00973131"/>
    <w:rsid w:val="009731D0"/>
    <w:rsid w:val="00973275"/>
    <w:rsid w:val="00973285"/>
    <w:rsid w:val="009732A0"/>
    <w:rsid w:val="009732B4"/>
    <w:rsid w:val="00973366"/>
    <w:rsid w:val="009733A5"/>
    <w:rsid w:val="009733CE"/>
    <w:rsid w:val="0097343C"/>
    <w:rsid w:val="0097343D"/>
    <w:rsid w:val="0097350D"/>
    <w:rsid w:val="0097355E"/>
    <w:rsid w:val="0097356A"/>
    <w:rsid w:val="009736BA"/>
    <w:rsid w:val="009736D6"/>
    <w:rsid w:val="009736F8"/>
    <w:rsid w:val="00973748"/>
    <w:rsid w:val="00973790"/>
    <w:rsid w:val="009738F0"/>
    <w:rsid w:val="009738F2"/>
    <w:rsid w:val="009738FC"/>
    <w:rsid w:val="0097391B"/>
    <w:rsid w:val="0097397A"/>
    <w:rsid w:val="009739EB"/>
    <w:rsid w:val="009739F8"/>
    <w:rsid w:val="00973A69"/>
    <w:rsid w:val="00973ACB"/>
    <w:rsid w:val="00973B04"/>
    <w:rsid w:val="00973B84"/>
    <w:rsid w:val="00973B9F"/>
    <w:rsid w:val="00973BE5"/>
    <w:rsid w:val="00973C2E"/>
    <w:rsid w:val="00973D0A"/>
    <w:rsid w:val="00973D51"/>
    <w:rsid w:val="00973D7C"/>
    <w:rsid w:val="00973DAD"/>
    <w:rsid w:val="00973DD2"/>
    <w:rsid w:val="00973DD3"/>
    <w:rsid w:val="00973DFD"/>
    <w:rsid w:val="00973E04"/>
    <w:rsid w:val="00973E37"/>
    <w:rsid w:val="00973EF5"/>
    <w:rsid w:val="00973EF8"/>
    <w:rsid w:val="00973F6A"/>
    <w:rsid w:val="00973FBD"/>
    <w:rsid w:val="00973FDA"/>
    <w:rsid w:val="0097404C"/>
    <w:rsid w:val="0097415B"/>
    <w:rsid w:val="009741EB"/>
    <w:rsid w:val="00974224"/>
    <w:rsid w:val="0097422F"/>
    <w:rsid w:val="0097424B"/>
    <w:rsid w:val="009742DE"/>
    <w:rsid w:val="00974338"/>
    <w:rsid w:val="00974387"/>
    <w:rsid w:val="009743D4"/>
    <w:rsid w:val="009744AA"/>
    <w:rsid w:val="009744EC"/>
    <w:rsid w:val="00974542"/>
    <w:rsid w:val="0097458A"/>
    <w:rsid w:val="009745B3"/>
    <w:rsid w:val="00974619"/>
    <w:rsid w:val="00974681"/>
    <w:rsid w:val="00974719"/>
    <w:rsid w:val="009747A3"/>
    <w:rsid w:val="009748FF"/>
    <w:rsid w:val="00974944"/>
    <w:rsid w:val="009749E0"/>
    <w:rsid w:val="009749E5"/>
    <w:rsid w:val="00974A14"/>
    <w:rsid w:val="00974ACC"/>
    <w:rsid w:val="00974B4D"/>
    <w:rsid w:val="00974B84"/>
    <w:rsid w:val="00974BB6"/>
    <w:rsid w:val="00974C09"/>
    <w:rsid w:val="00974DCF"/>
    <w:rsid w:val="00974E2B"/>
    <w:rsid w:val="00974E79"/>
    <w:rsid w:val="00974F2C"/>
    <w:rsid w:val="00974F94"/>
    <w:rsid w:val="00975060"/>
    <w:rsid w:val="009750FE"/>
    <w:rsid w:val="00975174"/>
    <w:rsid w:val="00975233"/>
    <w:rsid w:val="009752C7"/>
    <w:rsid w:val="00975332"/>
    <w:rsid w:val="009753AD"/>
    <w:rsid w:val="009753E6"/>
    <w:rsid w:val="0097542E"/>
    <w:rsid w:val="00975454"/>
    <w:rsid w:val="0097550A"/>
    <w:rsid w:val="0097551F"/>
    <w:rsid w:val="00975568"/>
    <w:rsid w:val="009755A3"/>
    <w:rsid w:val="009755AD"/>
    <w:rsid w:val="0097564E"/>
    <w:rsid w:val="00975698"/>
    <w:rsid w:val="0097569A"/>
    <w:rsid w:val="009756A1"/>
    <w:rsid w:val="009756F5"/>
    <w:rsid w:val="0097571E"/>
    <w:rsid w:val="00975766"/>
    <w:rsid w:val="0097579C"/>
    <w:rsid w:val="0097580C"/>
    <w:rsid w:val="0097580E"/>
    <w:rsid w:val="009758EC"/>
    <w:rsid w:val="00975902"/>
    <w:rsid w:val="009759BE"/>
    <w:rsid w:val="009759E2"/>
    <w:rsid w:val="00975A57"/>
    <w:rsid w:val="00975A97"/>
    <w:rsid w:val="00975AB4"/>
    <w:rsid w:val="00975B6D"/>
    <w:rsid w:val="00975BC1"/>
    <w:rsid w:val="00975C22"/>
    <w:rsid w:val="00975C38"/>
    <w:rsid w:val="00975C62"/>
    <w:rsid w:val="00975D56"/>
    <w:rsid w:val="00975DB4"/>
    <w:rsid w:val="00975E67"/>
    <w:rsid w:val="00975F2B"/>
    <w:rsid w:val="00975F74"/>
    <w:rsid w:val="00975F82"/>
    <w:rsid w:val="00975F86"/>
    <w:rsid w:val="00975FDF"/>
    <w:rsid w:val="00976029"/>
    <w:rsid w:val="00976035"/>
    <w:rsid w:val="009760A8"/>
    <w:rsid w:val="0097611B"/>
    <w:rsid w:val="00976165"/>
    <w:rsid w:val="0097619E"/>
    <w:rsid w:val="0097622E"/>
    <w:rsid w:val="00976291"/>
    <w:rsid w:val="009762C6"/>
    <w:rsid w:val="00976354"/>
    <w:rsid w:val="009763E5"/>
    <w:rsid w:val="009763F7"/>
    <w:rsid w:val="009763FF"/>
    <w:rsid w:val="009764B0"/>
    <w:rsid w:val="00976518"/>
    <w:rsid w:val="00976573"/>
    <w:rsid w:val="00976656"/>
    <w:rsid w:val="00976698"/>
    <w:rsid w:val="009766C4"/>
    <w:rsid w:val="009767E2"/>
    <w:rsid w:val="0097690F"/>
    <w:rsid w:val="00976940"/>
    <w:rsid w:val="009769C8"/>
    <w:rsid w:val="00976A4F"/>
    <w:rsid w:val="00976A67"/>
    <w:rsid w:val="00976AA3"/>
    <w:rsid w:val="00976AC9"/>
    <w:rsid w:val="00976ADA"/>
    <w:rsid w:val="00976AF2"/>
    <w:rsid w:val="00976B01"/>
    <w:rsid w:val="00976C4C"/>
    <w:rsid w:val="00976CE4"/>
    <w:rsid w:val="00976DCB"/>
    <w:rsid w:val="00976E90"/>
    <w:rsid w:val="00976EF2"/>
    <w:rsid w:val="00976F61"/>
    <w:rsid w:val="00976F71"/>
    <w:rsid w:val="00976F85"/>
    <w:rsid w:val="00976FF5"/>
    <w:rsid w:val="00977014"/>
    <w:rsid w:val="00977032"/>
    <w:rsid w:val="00977041"/>
    <w:rsid w:val="00977059"/>
    <w:rsid w:val="00977154"/>
    <w:rsid w:val="00977170"/>
    <w:rsid w:val="0097719C"/>
    <w:rsid w:val="009771C3"/>
    <w:rsid w:val="00977284"/>
    <w:rsid w:val="009772FA"/>
    <w:rsid w:val="009773AD"/>
    <w:rsid w:val="009773EB"/>
    <w:rsid w:val="009773F5"/>
    <w:rsid w:val="0097741C"/>
    <w:rsid w:val="00977438"/>
    <w:rsid w:val="00977445"/>
    <w:rsid w:val="00977475"/>
    <w:rsid w:val="009774B2"/>
    <w:rsid w:val="00977527"/>
    <w:rsid w:val="00977565"/>
    <w:rsid w:val="00977617"/>
    <w:rsid w:val="00977633"/>
    <w:rsid w:val="0097767D"/>
    <w:rsid w:val="009776D0"/>
    <w:rsid w:val="0097784D"/>
    <w:rsid w:val="00977896"/>
    <w:rsid w:val="009778F8"/>
    <w:rsid w:val="00977914"/>
    <w:rsid w:val="00977952"/>
    <w:rsid w:val="00977998"/>
    <w:rsid w:val="00977A36"/>
    <w:rsid w:val="00977A99"/>
    <w:rsid w:val="00977AB9"/>
    <w:rsid w:val="00977B1A"/>
    <w:rsid w:val="00977B92"/>
    <w:rsid w:val="00977C0B"/>
    <w:rsid w:val="00977C3D"/>
    <w:rsid w:val="00977C7D"/>
    <w:rsid w:val="00977CA9"/>
    <w:rsid w:val="00977D13"/>
    <w:rsid w:val="00977D22"/>
    <w:rsid w:val="00977E63"/>
    <w:rsid w:val="00977EDD"/>
    <w:rsid w:val="00977F0E"/>
    <w:rsid w:val="00977F50"/>
    <w:rsid w:val="00977FB4"/>
    <w:rsid w:val="0098002D"/>
    <w:rsid w:val="00980141"/>
    <w:rsid w:val="00980154"/>
    <w:rsid w:val="00980174"/>
    <w:rsid w:val="009801CF"/>
    <w:rsid w:val="009801D3"/>
    <w:rsid w:val="0098023E"/>
    <w:rsid w:val="00980338"/>
    <w:rsid w:val="0098034D"/>
    <w:rsid w:val="009803BA"/>
    <w:rsid w:val="00980420"/>
    <w:rsid w:val="0098043D"/>
    <w:rsid w:val="00980498"/>
    <w:rsid w:val="0098049B"/>
    <w:rsid w:val="0098054D"/>
    <w:rsid w:val="00980569"/>
    <w:rsid w:val="009805E5"/>
    <w:rsid w:val="00980640"/>
    <w:rsid w:val="009806A8"/>
    <w:rsid w:val="009806C3"/>
    <w:rsid w:val="00980721"/>
    <w:rsid w:val="0098076D"/>
    <w:rsid w:val="00980777"/>
    <w:rsid w:val="0098086A"/>
    <w:rsid w:val="00980874"/>
    <w:rsid w:val="00980897"/>
    <w:rsid w:val="009808D4"/>
    <w:rsid w:val="00980969"/>
    <w:rsid w:val="0098098F"/>
    <w:rsid w:val="009809CF"/>
    <w:rsid w:val="00980ACE"/>
    <w:rsid w:val="00980AFE"/>
    <w:rsid w:val="00980B00"/>
    <w:rsid w:val="00980B54"/>
    <w:rsid w:val="00980BC5"/>
    <w:rsid w:val="00980BE6"/>
    <w:rsid w:val="00980BED"/>
    <w:rsid w:val="00980C44"/>
    <w:rsid w:val="00980C5D"/>
    <w:rsid w:val="00980C83"/>
    <w:rsid w:val="00980CCC"/>
    <w:rsid w:val="00980CF2"/>
    <w:rsid w:val="00980D02"/>
    <w:rsid w:val="00980D1D"/>
    <w:rsid w:val="00980D5E"/>
    <w:rsid w:val="00980E71"/>
    <w:rsid w:val="00980F1F"/>
    <w:rsid w:val="009810BF"/>
    <w:rsid w:val="009810E1"/>
    <w:rsid w:val="009810E7"/>
    <w:rsid w:val="00981102"/>
    <w:rsid w:val="00981145"/>
    <w:rsid w:val="00981161"/>
    <w:rsid w:val="0098117B"/>
    <w:rsid w:val="009811ED"/>
    <w:rsid w:val="00981369"/>
    <w:rsid w:val="0098138A"/>
    <w:rsid w:val="009813DE"/>
    <w:rsid w:val="009813EA"/>
    <w:rsid w:val="0098140D"/>
    <w:rsid w:val="00981447"/>
    <w:rsid w:val="0098148A"/>
    <w:rsid w:val="009814FB"/>
    <w:rsid w:val="00981517"/>
    <w:rsid w:val="00981595"/>
    <w:rsid w:val="00981629"/>
    <w:rsid w:val="0098162F"/>
    <w:rsid w:val="0098173A"/>
    <w:rsid w:val="00981793"/>
    <w:rsid w:val="009817D8"/>
    <w:rsid w:val="00981835"/>
    <w:rsid w:val="00981886"/>
    <w:rsid w:val="009818C7"/>
    <w:rsid w:val="009818E8"/>
    <w:rsid w:val="00981904"/>
    <w:rsid w:val="0098192B"/>
    <w:rsid w:val="0098192C"/>
    <w:rsid w:val="00981972"/>
    <w:rsid w:val="00981983"/>
    <w:rsid w:val="00981A36"/>
    <w:rsid w:val="00981A4A"/>
    <w:rsid w:val="00981AA1"/>
    <w:rsid w:val="00981B25"/>
    <w:rsid w:val="00981B8E"/>
    <w:rsid w:val="00981B9A"/>
    <w:rsid w:val="00981BE1"/>
    <w:rsid w:val="00981C5B"/>
    <w:rsid w:val="00981C71"/>
    <w:rsid w:val="00981C87"/>
    <w:rsid w:val="00981C8F"/>
    <w:rsid w:val="00981C96"/>
    <w:rsid w:val="00981CC7"/>
    <w:rsid w:val="00981E7B"/>
    <w:rsid w:val="00981EA1"/>
    <w:rsid w:val="00981EF6"/>
    <w:rsid w:val="00981F05"/>
    <w:rsid w:val="00981FA9"/>
    <w:rsid w:val="009820CA"/>
    <w:rsid w:val="0098211E"/>
    <w:rsid w:val="009821FD"/>
    <w:rsid w:val="00982303"/>
    <w:rsid w:val="00982436"/>
    <w:rsid w:val="009824C6"/>
    <w:rsid w:val="0098252F"/>
    <w:rsid w:val="0098262A"/>
    <w:rsid w:val="00982646"/>
    <w:rsid w:val="009826E7"/>
    <w:rsid w:val="009827A1"/>
    <w:rsid w:val="0098289F"/>
    <w:rsid w:val="009828BA"/>
    <w:rsid w:val="009828DB"/>
    <w:rsid w:val="00982A3D"/>
    <w:rsid w:val="00982A8A"/>
    <w:rsid w:val="00982AD3"/>
    <w:rsid w:val="00982C2E"/>
    <w:rsid w:val="00982C68"/>
    <w:rsid w:val="00982D3F"/>
    <w:rsid w:val="00982E22"/>
    <w:rsid w:val="00982F50"/>
    <w:rsid w:val="0098313F"/>
    <w:rsid w:val="00983178"/>
    <w:rsid w:val="009831E3"/>
    <w:rsid w:val="0098324E"/>
    <w:rsid w:val="0098325E"/>
    <w:rsid w:val="009832AF"/>
    <w:rsid w:val="009832B1"/>
    <w:rsid w:val="00983357"/>
    <w:rsid w:val="00983391"/>
    <w:rsid w:val="009833FC"/>
    <w:rsid w:val="0098347B"/>
    <w:rsid w:val="009834C3"/>
    <w:rsid w:val="0098351E"/>
    <w:rsid w:val="009835DB"/>
    <w:rsid w:val="009835E7"/>
    <w:rsid w:val="0098361D"/>
    <w:rsid w:val="0098364F"/>
    <w:rsid w:val="0098366B"/>
    <w:rsid w:val="009836FB"/>
    <w:rsid w:val="0098373D"/>
    <w:rsid w:val="00983867"/>
    <w:rsid w:val="0098386F"/>
    <w:rsid w:val="0098399B"/>
    <w:rsid w:val="00983A84"/>
    <w:rsid w:val="00983AEC"/>
    <w:rsid w:val="00983B3C"/>
    <w:rsid w:val="00983BBA"/>
    <w:rsid w:val="00983C25"/>
    <w:rsid w:val="00983C45"/>
    <w:rsid w:val="00983C8C"/>
    <w:rsid w:val="00983D66"/>
    <w:rsid w:val="00983D76"/>
    <w:rsid w:val="00983DDA"/>
    <w:rsid w:val="00983DDD"/>
    <w:rsid w:val="00983E07"/>
    <w:rsid w:val="00983E21"/>
    <w:rsid w:val="00983E30"/>
    <w:rsid w:val="00983E3E"/>
    <w:rsid w:val="00983E49"/>
    <w:rsid w:val="00983F5A"/>
    <w:rsid w:val="00983F5E"/>
    <w:rsid w:val="00983F69"/>
    <w:rsid w:val="00983FAA"/>
    <w:rsid w:val="00983FCA"/>
    <w:rsid w:val="0098402A"/>
    <w:rsid w:val="009840E0"/>
    <w:rsid w:val="00984136"/>
    <w:rsid w:val="009841CF"/>
    <w:rsid w:val="009841DD"/>
    <w:rsid w:val="009842E2"/>
    <w:rsid w:val="00984304"/>
    <w:rsid w:val="00984329"/>
    <w:rsid w:val="009843F3"/>
    <w:rsid w:val="00984438"/>
    <w:rsid w:val="00984442"/>
    <w:rsid w:val="009844AE"/>
    <w:rsid w:val="00984548"/>
    <w:rsid w:val="009845D1"/>
    <w:rsid w:val="009845DC"/>
    <w:rsid w:val="00984630"/>
    <w:rsid w:val="00984756"/>
    <w:rsid w:val="009847A3"/>
    <w:rsid w:val="009847B3"/>
    <w:rsid w:val="009847EE"/>
    <w:rsid w:val="00984800"/>
    <w:rsid w:val="0098487F"/>
    <w:rsid w:val="009848CF"/>
    <w:rsid w:val="00984918"/>
    <w:rsid w:val="009849F9"/>
    <w:rsid w:val="00984A23"/>
    <w:rsid w:val="00984A44"/>
    <w:rsid w:val="00984A57"/>
    <w:rsid w:val="00984AB9"/>
    <w:rsid w:val="00984B09"/>
    <w:rsid w:val="00984B12"/>
    <w:rsid w:val="00984B34"/>
    <w:rsid w:val="00984B70"/>
    <w:rsid w:val="00984BB7"/>
    <w:rsid w:val="00984BD5"/>
    <w:rsid w:val="00984BFA"/>
    <w:rsid w:val="00984C22"/>
    <w:rsid w:val="00984C26"/>
    <w:rsid w:val="00984C58"/>
    <w:rsid w:val="00984C7C"/>
    <w:rsid w:val="00984C7D"/>
    <w:rsid w:val="00984CE8"/>
    <w:rsid w:val="00984DA7"/>
    <w:rsid w:val="00984DAD"/>
    <w:rsid w:val="00984DCE"/>
    <w:rsid w:val="00984DE8"/>
    <w:rsid w:val="00984E08"/>
    <w:rsid w:val="00984E10"/>
    <w:rsid w:val="00984E5C"/>
    <w:rsid w:val="00984E9E"/>
    <w:rsid w:val="00984F17"/>
    <w:rsid w:val="00984F63"/>
    <w:rsid w:val="00984F7B"/>
    <w:rsid w:val="00984F91"/>
    <w:rsid w:val="0098506A"/>
    <w:rsid w:val="00985176"/>
    <w:rsid w:val="0098518C"/>
    <w:rsid w:val="0098524C"/>
    <w:rsid w:val="00985269"/>
    <w:rsid w:val="0098526B"/>
    <w:rsid w:val="0098538D"/>
    <w:rsid w:val="00985392"/>
    <w:rsid w:val="00985410"/>
    <w:rsid w:val="00985417"/>
    <w:rsid w:val="009854CA"/>
    <w:rsid w:val="009854EB"/>
    <w:rsid w:val="00985520"/>
    <w:rsid w:val="00985577"/>
    <w:rsid w:val="009855B9"/>
    <w:rsid w:val="009855E8"/>
    <w:rsid w:val="009856EF"/>
    <w:rsid w:val="0098572A"/>
    <w:rsid w:val="0098577D"/>
    <w:rsid w:val="009857CA"/>
    <w:rsid w:val="00985851"/>
    <w:rsid w:val="0098586A"/>
    <w:rsid w:val="00985923"/>
    <w:rsid w:val="00985942"/>
    <w:rsid w:val="0098594E"/>
    <w:rsid w:val="00985950"/>
    <w:rsid w:val="00985978"/>
    <w:rsid w:val="00985A34"/>
    <w:rsid w:val="00985B35"/>
    <w:rsid w:val="00985C02"/>
    <w:rsid w:val="00985C16"/>
    <w:rsid w:val="00985C32"/>
    <w:rsid w:val="00985C45"/>
    <w:rsid w:val="00985D2B"/>
    <w:rsid w:val="00985D47"/>
    <w:rsid w:val="00985D73"/>
    <w:rsid w:val="00985DF8"/>
    <w:rsid w:val="00985E1B"/>
    <w:rsid w:val="00985EA9"/>
    <w:rsid w:val="00985F05"/>
    <w:rsid w:val="00985F4D"/>
    <w:rsid w:val="0098604C"/>
    <w:rsid w:val="00986095"/>
    <w:rsid w:val="009860DA"/>
    <w:rsid w:val="0098615E"/>
    <w:rsid w:val="009861A2"/>
    <w:rsid w:val="0098628C"/>
    <w:rsid w:val="009862F8"/>
    <w:rsid w:val="00986356"/>
    <w:rsid w:val="00986489"/>
    <w:rsid w:val="009864B4"/>
    <w:rsid w:val="009864B8"/>
    <w:rsid w:val="009864DA"/>
    <w:rsid w:val="009864EB"/>
    <w:rsid w:val="009864EF"/>
    <w:rsid w:val="00986566"/>
    <w:rsid w:val="00986576"/>
    <w:rsid w:val="009866AF"/>
    <w:rsid w:val="009866E8"/>
    <w:rsid w:val="009866EA"/>
    <w:rsid w:val="0098673B"/>
    <w:rsid w:val="00986742"/>
    <w:rsid w:val="00986744"/>
    <w:rsid w:val="00986878"/>
    <w:rsid w:val="0098693D"/>
    <w:rsid w:val="0098696A"/>
    <w:rsid w:val="00986996"/>
    <w:rsid w:val="00986A00"/>
    <w:rsid w:val="00986A1A"/>
    <w:rsid w:val="00986A32"/>
    <w:rsid w:val="00986A8E"/>
    <w:rsid w:val="00986AC7"/>
    <w:rsid w:val="00986B30"/>
    <w:rsid w:val="00986B47"/>
    <w:rsid w:val="00986B60"/>
    <w:rsid w:val="00986C12"/>
    <w:rsid w:val="00986CE3"/>
    <w:rsid w:val="00986CFC"/>
    <w:rsid w:val="00986D0F"/>
    <w:rsid w:val="00986D33"/>
    <w:rsid w:val="00986DB7"/>
    <w:rsid w:val="00986E3C"/>
    <w:rsid w:val="00986E43"/>
    <w:rsid w:val="00986E72"/>
    <w:rsid w:val="00986E75"/>
    <w:rsid w:val="00986E7A"/>
    <w:rsid w:val="00986E7E"/>
    <w:rsid w:val="00986E8F"/>
    <w:rsid w:val="00986E96"/>
    <w:rsid w:val="00986FF9"/>
    <w:rsid w:val="00987035"/>
    <w:rsid w:val="00987082"/>
    <w:rsid w:val="009870AE"/>
    <w:rsid w:val="009870DC"/>
    <w:rsid w:val="009870E2"/>
    <w:rsid w:val="009870F6"/>
    <w:rsid w:val="00987156"/>
    <w:rsid w:val="0098718A"/>
    <w:rsid w:val="00987217"/>
    <w:rsid w:val="00987239"/>
    <w:rsid w:val="00987277"/>
    <w:rsid w:val="0098728D"/>
    <w:rsid w:val="009872D3"/>
    <w:rsid w:val="00987331"/>
    <w:rsid w:val="00987396"/>
    <w:rsid w:val="0098739F"/>
    <w:rsid w:val="00987422"/>
    <w:rsid w:val="00987468"/>
    <w:rsid w:val="00987488"/>
    <w:rsid w:val="009874C5"/>
    <w:rsid w:val="00987563"/>
    <w:rsid w:val="009875E5"/>
    <w:rsid w:val="009875F0"/>
    <w:rsid w:val="009875F3"/>
    <w:rsid w:val="00987630"/>
    <w:rsid w:val="0098764E"/>
    <w:rsid w:val="0098767D"/>
    <w:rsid w:val="009877C3"/>
    <w:rsid w:val="00987804"/>
    <w:rsid w:val="0098781C"/>
    <w:rsid w:val="0098782A"/>
    <w:rsid w:val="00987883"/>
    <w:rsid w:val="009878C6"/>
    <w:rsid w:val="009878D7"/>
    <w:rsid w:val="009878F3"/>
    <w:rsid w:val="009879F8"/>
    <w:rsid w:val="00987AFF"/>
    <w:rsid w:val="00987B7D"/>
    <w:rsid w:val="00987BE6"/>
    <w:rsid w:val="00987C1C"/>
    <w:rsid w:val="00987C8C"/>
    <w:rsid w:val="00987CE5"/>
    <w:rsid w:val="00987CE9"/>
    <w:rsid w:val="00987D80"/>
    <w:rsid w:val="00987DC5"/>
    <w:rsid w:val="00987DFF"/>
    <w:rsid w:val="00987E3A"/>
    <w:rsid w:val="00987E3C"/>
    <w:rsid w:val="00987E40"/>
    <w:rsid w:val="00987F2C"/>
    <w:rsid w:val="00987F79"/>
    <w:rsid w:val="00987FBB"/>
    <w:rsid w:val="00987FC6"/>
    <w:rsid w:val="00990022"/>
    <w:rsid w:val="0099002F"/>
    <w:rsid w:val="00990082"/>
    <w:rsid w:val="00990101"/>
    <w:rsid w:val="00990180"/>
    <w:rsid w:val="009902D1"/>
    <w:rsid w:val="009902EF"/>
    <w:rsid w:val="00990336"/>
    <w:rsid w:val="009903BF"/>
    <w:rsid w:val="0099043F"/>
    <w:rsid w:val="009904D1"/>
    <w:rsid w:val="00990542"/>
    <w:rsid w:val="00990544"/>
    <w:rsid w:val="00990586"/>
    <w:rsid w:val="009905C3"/>
    <w:rsid w:val="00990646"/>
    <w:rsid w:val="009906E8"/>
    <w:rsid w:val="009906F3"/>
    <w:rsid w:val="009906FA"/>
    <w:rsid w:val="00990753"/>
    <w:rsid w:val="00990849"/>
    <w:rsid w:val="00990933"/>
    <w:rsid w:val="00990957"/>
    <w:rsid w:val="009909C3"/>
    <w:rsid w:val="00990A03"/>
    <w:rsid w:val="00990A68"/>
    <w:rsid w:val="00990ADD"/>
    <w:rsid w:val="00990B14"/>
    <w:rsid w:val="00990B20"/>
    <w:rsid w:val="00990B62"/>
    <w:rsid w:val="00990BC5"/>
    <w:rsid w:val="00990C09"/>
    <w:rsid w:val="00990CE1"/>
    <w:rsid w:val="00990D77"/>
    <w:rsid w:val="00990D8E"/>
    <w:rsid w:val="00990E27"/>
    <w:rsid w:val="00990E65"/>
    <w:rsid w:val="00990E9F"/>
    <w:rsid w:val="00990FFF"/>
    <w:rsid w:val="00991106"/>
    <w:rsid w:val="0099114A"/>
    <w:rsid w:val="009911EA"/>
    <w:rsid w:val="0099121E"/>
    <w:rsid w:val="009912AD"/>
    <w:rsid w:val="009912E8"/>
    <w:rsid w:val="00991312"/>
    <w:rsid w:val="009913DA"/>
    <w:rsid w:val="0099140D"/>
    <w:rsid w:val="0099141F"/>
    <w:rsid w:val="00991425"/>
    <w:rsid w:val="00991598"/>
    <w:rsid w:val="009915F6"/>
    <w:rsid w:val="00991600"/>
    <w:rsid w:val="00991614"/>
    <w:rsid w:val="00991645"/>
    <w:rsid w:val="00991683"/>
    <w:rsid w:val="0099168B"/>
    <w:rsid w:val="0099170B"/>
    <w:rsid w:val="009917C6"/>
    <w:rsid w:val="00991828"/>
    <w:rsid w:val="0099184F"/>
    <w:rsid w:val="00991865"/>
    <w:rsid w:val="009918B5"/>
    <w:rsid w:val="00991935"/>
    <w:rsid w:val="00991943"/>
    <w:rsid w:val="00991953"/>
    <w:rsid w:val="00991961"/>
    <w:rsid w:val="00991A77"/>
    <w:rsid w:val="00991A89"/>
    <w:rsid w:val="00991ACE"/>
    <w:rsid w:val="00991BC3"/>
    <w:rsid w:val="00991BDC"/>
    <w:rsid w:val="00991BEC"/>
    <w:rsid w:val="00991C39"/>
    <w:rsid w:val="00991C3B"/>
    <w:rsid w:val="00991C7D"/>
    <w:rsid w:val="00991D57"/>
    <w:rsid w:val="00991DBF"/>
    <w:rsid w:val="00991E59"/>
    <w:rsid w:val="00991F44"/>
    <w:rsid w:val="00991FCB"/>
    <w:rsid w:val="0099206D"/>
    <w:rsid w:val="00992076"/>
    <w:rsid w:val="00992087"/>
    <w:rsid w:val="0099231F"/>
    <w:rsid w:val="00992329"/>
    <w:rsid w:val="0099233A"/>
    <w:rsid w:val="009924BC"/>
    <w:rsid w:val="009924CA"/>
    <w:rsid w:val="00992535"/>
    <w:rsid w:val="00992556"/>
    <w:rsid w:val="009925B7"/>
    <w:rsid w:val="00992621"/>
    <w:rsid w:val="0099266A"/>
    <w:rsid w:val="009926EB"/>
    <w:rsid w:val="0099272D"/>
    <w:rsid w:val="00992760"/>
    <w:rsid w:val="009927B9"/>
    <w:rsid w:val="0099284F"/>
    <w:rsid w:val="0099289D"/>
    <w:rsid w:val="00992965"/>
    <w:rsid w:val="00992999"/>
    <w:rsid w:val="00992A67"/>
    <w:rsid w:val="00992A94"/>
    <w:rsid w:val="00992AE4"/>
    <w:rsid w:val="00992B37"/>
    <w:rsid w:val="00992B7A"/>
    <w:rsid w:val="00992C02"/>
    <w:rsid w:val="00992C34"/>
    <w:rsid w:val="00992CEF"/>
    <w:rsid w:val="00992D0A"/>
    <w:rsid w:val="00992D36"/>
    <w:rsid w:val="00992D5F"/>
    <w:rsid w:val="00992D60"/>
    <w:rsid w:val="00992D69"/>
    <w:rsid w:val="00992DBA"/>
    <w:rsid w:val="00992DFE"/>
    <w:rsid w:val="00992E43"/>
    <w:rsid w:val="00992E63"/>
    <w:rsid w:val="00992E83"/>
    <w:rsid w:val="00992EB5"/>
    <w:rsid w:val="0099306C"/>
    <w:rsid w:val="009930A9"/>
    <w:rsid w:val="009930BE"/>
    <w:rsid w:val="00993178"/>
    <w:rsid w:val="009931E6"/>
    <w:rsid w:val="009931E9"/>
    <w:rsid w:val="009931F2"/>
    <w:rsid w:val="0099320A"/>
    <w:rsid w:val="00993216"/>
    <w:rsid w:val="00993231"/>
    <w:rsid w:val="00993286"/>
    <w:rsid w:val="009932B5"/>
    <w:rsid w:val="00993340"/>
    <w:rsid w:val="00993384"/>
    <w:rsid w:val="0099338C"/>
    <w:rsid w:val="009933BA"/>
    <w:rsid w:val="009933F7"/>
    <w:rsid w:val="009934AC"/>
    <w:rsid w:val="009934F2"/>
    <w:rsid w:val="00993544"/>
    <w:rsid w:val="009935F3"/>
    <w:rsid w:val="009936DD"/>
    <w:rsid w:val="00993768"/>
    <w:rsid w:val="00993790"/>
    <w:rsid w:val="009937FF"/>
    <w:rsid w:val="0099381C"/>
    <w:rsid w:val="009938B2"/>
    <w:rsid w:val="009938DC"/>
    <w:rsid w:val="00993905"/>
    <w:rsid w:val="009939D6"/>
    <w:rsid w:val="00993A25"/>
    <w:rsid w:val="00993A69"/>
    <w:rsid w:val="00993A7F"/>
    <w:rsid w:val="00993A8D"/>
    <w:rsid w:val="00993BB0"/>
    <w:rsid w:val="00993C26"/>
    <w:rsid w:val="00993C52"/>
    <w:rsid w:val="00993C59"/>
    <w:rsid w:val="00993C68"/>
    <w:rsid w:val="00993CFB"/>
    <w:rsid w:val="00993D04"/>
    <w:rsid w:val="00993DDB"/>
    <w:rsid w:val="00993E38"/>
    <w:rsid w:val="00993E5B"/>
    <w:rsid w:val="00993E88"/>
    <w:rsid w:val="00993EEE"/>
    <w:rsid w:val="00993F90"/>
    <w:rsid w:val="00994013"/>
    <w:rsid w:val="0099422B"/>
    <w:rsid w:val="0099427B"/>
    <w:rsid w:val="009942E5"/>
    <w:rsid w:val="00994314"/>
    <w:rsid w:val="00994422"/>
    <w:rsid w:val="00994622"/>
    <w:rsid w:val="009946E1"/>
    <w:rsid w:val="0099471F"/>
    <w:rsid w:val="00994737"/>
    <w:rsid w:val="00994900"/>
    <w:rsid w:val="0099492B"/>
    <w:rsid w:val="00994957"/>
    <w:rsid w:val="0099499E"/>
    <w:rsid w:val="009949D6"/>
    <w:rsid w:val="009949E9"/>
    <w:rsid w:val="00994A27"/>
    <w:rsid w:val="00994A58"/>
    <w:rsid w:val="00994A96"/>
    <w:rsid w:val="00994AAE"/>
    <w:rsid w:val="00994B3E"/>
    <w:rsid w:val="00994C1A"/>
    <w:rsid w:val="00994C54"/>
    <w:rsid w:val="00994CC7"/>
    <w:rsid w:val="00994DFB"/>
    <w:rsid w:val="00994E1A"/>
    <w:rsid w:val="00994E26"/>
    <w:rsid w:val="00994E41"/>
    <w:rsid w:val="00994E4C"/>
    <w:rsid w:val="00994FE4"/>
    <w:rsid w:val="00995049"/>
    <w:rsid w:val="00995182"/>
    <w:rsid w:val="0099519B"/>
    <w:rsid w:val="00995220"/>
    <w:rsid w:val="0099527E"/>
    <w:rsid w:val="0099534D"/>
    <w:rsid w:val="00995395"/>
    <w:rsid w:val="009953A4"/>
    <w:rsid w:val="009953AB"/>
    <w:rsid w:val="009953C2"/>
    <w:rsid w:val="009953DB"/>
    <w:rsid w:val="00995492"/>
    <w:rsid w:val="009954D4"/>
    <w:rsid w:val="00995554"/>
    <w:rsid w:val="0099561B"/>
    <w:rsid w:val="009956BF"/>
    <w:rsid w:val="009956DB"/>
    <w:rsid w:val="0099570C"/>
    <w:rsid w:val="00995752"/>
    <w:rsid w:val="00995757"/>
    <w:rsid w:val="0099578F"/>
    <w:rsid w:val="009957D7"/>
    <w:rsid w:val="009957F7"/>
    <w:rsid w:val="00995900"/>
    <w:rsid w:val="00995929"/>
    <w:rsid w:val="009959A5"/>
    <w:rsid w:val="009959B6"/>
    <w:rsid w:val="009959C6"/>
    <w:rsid w:val="00995A84"/>
    <w:rsid w:val="00995AC6"/>
    <w:rsid w:val="00995B16"/>
    <w:rsid w:val="00995B62"/>
    <w:rsid w:val="00995C50"/>
    <w:rsid w:val="00995C57"/>
    <w:rsid w:val="00995C5D"/>
    <w:rsid w:val="00995CF0"/>
    <w:rsid w:val="00995D0B"/>
    <w:rsid w:val="00995DB3"/>
    <w:rsid w:val="00995DFD"/>
    <w:rsid w:val="00995E04"/>
    <w:rsid w:val="00995E51"/>
    <w:rsid w:val="00995E6D"/>
    <w:rsid w:val="00995E77"/>
    <w:rsid w:val="00995E7C"/>
    <w:rsid w:val="00995EA9"/>
    <w:rsid w:val="00995EB0"/>
    <w:rsid w:val="00996126"/>
    <w:rsid w:val="0099612E"/>
    <w:rsid w:val="0099613B"/>
    <w:rsid w:val="00996186"/>
    <w:rsid w:val="0099618A"/>
    <w:rsid w:val="00996199"/>
    <w:rsid w:val="009961AC"/>
    <w:rsid w:val="009961D4"/>
    <w:rsid w:val="00996244"/>
    <w:rsid w:val="00996261"/>
    <w:rsid w:val="0099629C"/>
    <w:rsid w:val="009962ED"/>
    <w:rsid w:val="009962EE"/>
    <w:rsid w:val="009962F3"/>
    <w:rsid w:val="009962F4"/>
    <w:rsid w:val="00996344"/>
    <w:rsid w:val="0099639B"/>
    <w:rsid w:val="009963FB"/>
    <w:rsid w:val="00996406"/>
    <w:rsid w:val="00996410"/>
    <w:rsid w:val="00996493"/>
    <w:rsid w:val="00996662"/>
    <w:rsid w:val="00996682"/>
    <w:rsid w:val="009966BA"/>
    <w:rsid w:val="009966DB"/>
    <w:rsid w:val="00996752"/>
    <w:rsid w:val="0099680F"/>
    <w:rsid w:val="009968DD"/>
    <w:rsid w:val="009968ED"/>
    <w:rsid w:val="00996928"/>
    <w:rsid w:val="00996989"/>
    <w:rsid w:val="009969E2"/>
    <w:rsid w:val="00996A28"/>
    <w:rsid w:val="00996A46"/>
    <w:rsid w:val="00996A56"/>
    <w:rsid w:val="00996A75"/>
    <w:rsid w:val="00996AA1"/>
    <w:rsid w:val="00996AAD"/>
    <w:rsid w:val="00996B69"/>
    <w:rsid w:val="00996B7C"/>
    <w:rsid w:val="00996B9B"/>
    <w:rsid w:val="00996BA8"/>
    <w:rsid w:val="00996C98"/>
    <w:rsid w:val="00996D09"/>
    <w:rsid w:val="00996D38"/>
    <w:rsid w:val="00996D4D"/>
    <w:rsid w:val="00996DC1"/>
    <w:rsid w:val="00996DD1"/>
    <w:rsid w:val="00996E13"/>
    <w:rsid w:val="00997021"/>
    <w:rsid w:val="0099706A"/>
    <w:rsid w:val="0099709F"/>
    <w:rsid w:val="009970A1"/>
    <w:rsid w:val="009970E0"/>
    <w:rsid w:val="009970F3"/>
    <w:rsid w:val="009970F6"/>
    <w:rsid w:val="0099728E"/>
    <w:rsid w:val="00997353"/>
    <w:rsid w:val="00997396"/>
    <w:rsid w:val="009973F9"/>
    <w:rsid w:val="00997462"/>
    <w:rsid w:val="00997465"/>
    <w:rsid w:val="0099751C"/>
    <w:rsid w:val="00997681"/>
    <w:rsid w:val="00997713"/>
    <w:rsid w:val="00997726"/>
    <w:rsid w:val="00997766"/>
    <w:rsid w:val="009977A7"/>
    <w:rsid w:val="00997829"/>
    <w:rsid w:val="00997839"/>
    <w:rsid w:val="00997894"/>
    <w:rsid w:val="009978CE"/>
    <w:rsid w:val="00997931"/>
    <w:rsid w:val="00997A36"/>
    <w:rsid w:val="00997AB8"/>
    <w:rsid w:val="00997AD9"/>
    <w:rsid w:val="00997B14"/>
    <w:rsid w:val="00997B1B"/>
    <w:rsid w:val="00997BF9"/>
    <w:rsid w:val="00997C28"/>
    <w:rsid w:val="00997C38"/>
    <w:rsid w:val="00997C54"/>
    <w:rsid w:val="00997C7E"/>
    <w:rsid w:val="00997D10"/>
    <w:rsid w:val="00997D2F"/>
    <w:rsid w:val="00997DD5"/>
    <w:rsid w:val="00997E5F"/>
    <w:rsid w:val="00997EBE"/>
    <w:rsid w:val="00997F45"/>
    <w:rsid w:val="00997F66"/>
    <w:rsid w:val="00997F8B"/>
    <w:rsid w:val="009A0014"/>
    <w:rsid w:val="009A0022"/>
    <w:rsid w:val="009A0044"/>
    <w:rsid w:val="009A013E"/>
    <w:rsid w:val="009A018A"/>
    <w:rsid w:val="009A01C3"/>
    <w:rsid w:val="009A01D7"/>
    <w:rsid w:val="009A0340"/>
    <w:rsid w:val="009A0406"/>
    <w:rsid w:val="009A0413"/>
    <w:rsid w:val="009A0431"/>
    <w:rsid w:val="009A0445"/>
    <w:rsid w:val="009A0492"/>
    <w:rsid w:val="009A04AA"/>
    <w:rsid w:val="009A0518"/>
    <w:rsid w:val="009A054C"/>
    <w:rsid w:val="009A0561"/>
    <w:rsid w:val="009A0584"/>
    <w:rsid w:val="009A05FA"/>
    <w:rsid w:val="009A06E6"/>
    <w:rsid w:val="009A076B"/>
    <w:rsid w:val="009A081F"/>
    <w:rsid w:val="009A0835"/>
    <w:rsid w:val="009A08C3"/>
    <w:rsid w:val="009A0947"/>
    <w:rsid w:val="009A0A01"/>
    <w:rsid w:val="009A0B36"/>
    <w:rsid w:val="009A0B37"/>
    <w:rsid w:val="009A0B49"/>
    <w:rsid w:val="009A0B77"/>
    <w:rsid w:val="009A0B89"/>
    <w:rsid w:val="009A0C12"/>
    <w:rsid w:val="009A0CD7"/>
    <w:rsid w:val="009A0CD8"/>
    <w:rsid w:val="009A0CF1"/>
    <w:rsid w:val="009A0D0C"/>
    <w:rsid w:val="009A0D5B"/>
    <w:rsid w:val="009A0D88"/>
    <w:rsid w:val="009A0D94"/>
    <w:rsid w:val="009A0E33"/>
    <w:rsid w:val="009A0E96"/>
    <w:rsid w:val="009A0F19"/>
    <w:rsid w:val="009A0F23"/>
    <w:rsid w:val="009A0F5B"/>
    <w:rsid w:val="009A0FCA"/>
    <w:rsid w:val="009A0FE4"/>
    <w:rsid w:val="009A101E"/>
    <w:rsid w:val="009A102A"/>
    <w:rsid w:val="009A103B"/>
    <w:rsid w:val="009A103E"/>
    <w:rsid w:val="009A10F0"/>
    <w:rsid w:val="009A119F"/>
    <w:rsid w:val="009A11AE"/>
    <w:rsid w:val="009A11DA"/>
    <w:rsid w:val="009A1328"/>
    <w:rsid w:val="009A1349"/>
    <w:rsid w:val="009A146F"/>
    <w:rsid w:val="009A1478"/>
    <w:rsid w:val="009A14E0"/>
    <w:rsid w:val="009A14E6"/>
    <w:rsid w:val="009A15F2"/>
    <w:rsid w:val="009A16F5"/>
    <w:rsid w:val="009A1743"/>
    <w:rsid w:val="009A187D"/>
    <w:rsid w:val="009A188E"/>
    <w:rsid w:val="009A1890"/>
    <w:rsid w:val="009A18A9"/>
    <w:rsid w:val="009A18D2"/>
    <w:rsid w:val="009A19C1"/>
    <w:rsid w:val="009A1A7F"/>
    <w:rsid w:val="009A1A9B"/>
    <w:rsid w:val="009A1ABD"/>
    <w:rsid w:val="009A1B1B"/>
    <w:rsid w:val="009A1B22"/>
    <w:rsid w:val="009A1CD1"/>
    <w:rsid w:val="009A1DC1"/>
    <w:rsid w:val="009A1E98"/>
    <w:rsid w:val="009A1EE4"/>
    <w:rsid w:val="009A1F49"/>
    <w:rsid w:val="009A1F65"/>
    <w:rsid w:val="009A1FA4"/>
    <w:rsid w:val="009A1FC7"/>
    <w:rsid w:val="009A2039"/>
    <w:rsid w:val="009A2063"/>
    <w:rsid w:val="009A20E4"/>
    <w:rsid w:val="009A21D5"/>
    <w:rsid w:val="009A21D9"/>
    <w:rsid w:val="009A229B"/>
    <w:rsid w:val="009A22BC"/>
    <w:rsid w:val="009A22CF"/>
    <w:rsid w:val="009A2320"/>
    <w:rsid w:val="009A233C"/>
    <w:rsid w:val="009A2389"/>
    <w:rsid w:val="009A23E2"/>
    <w:rsid w:val="009A23FD"/>
    <w:rsid w:val="009A242F"/>
    <w:rsid w:val="009A2434"/>
    <w:rsid w:val="009A2435"/>
    <w:rsid w:val="009A24F1"/>
    <w:rsid w:val="009A254C"/>
    <w:rsid w:val="009A25E5"/>
    <w:rsid w:val="009A265B"/>
    <w:rsid w:val="009A2682"/>
    <w:rsid w:val="009A2708"/>
    <w:rsid w:val="009A271D"/>
    <w:rsid w:val="009A2823"/>
    <w:rsid w:val="009A2841"/>
    <w:rsid w:val="009A2892"/>
    <w:rsid w:val="009A28C1"/>
    <w:rsid w:val="009A28E6"/>
    <w:rsid w:val="009A28F2"/>
    <w:rsid w:val="009A29E5"/>
    <w:rsid w:val="009A2A39"/>
    <w:rsid w:val="009A2AA5"/>
    <w:rsid w:val="009A2B7B"/>
    <w:rsid w:val="009A2BAB"/>
    <w:rsid w:val="009A2C16"/>
    <w:rsid w:val="009A2C19"/>
    <w:rsid w:val="009A2C33"/>
    <w:rsid w:val="009A2CC6"/>
    <w:rsid w:val="009A2D7A"/>
    <w:rsid w:val="009A2E13"/>
    <w:rsid w:val="009A2E74"/>
    <w:rsid w:val="009A2F33"/>
    <w:rsid w:val="009A2FA9"/>
    <w:rsid w:val="009A3050"/>
    <w:rsid w:val="009A3114"/>
    <w:rsid w:val="009A3129"/>
    <w:rsid w:val="009A3130"/>
    <w:rsid w:val="009A31D4"/>
    <w:rsid w:val="009A321C"/>
    <w:rsid w:val="009A3265"/>
    <w:rsid w:val="009A32E2"/>
    <w:rsid w:val="009A3300"/>
    <w:rsid w:val="009A33A5"/>
    <w:rsid w:val="009A33BB"/>
    <w:rsid w:val="009A347A"/>
    <w:rsid w:val="009A34AD"/>
    <w:rsid w:val="009A356B"/>
    <w:rsid w:val="009A3586"/>
    <w:rsid w:val="009A35D7"/>
    <w:rsid w:val="009A368E"/>
    <w:rsid w:val="009A37A2"/>
    <w:rsid w:val="009A3867"/>
    <w:rsid w:val="009A394C"/>
    <w:rsid w:val="009A396A"/>
    <w:rsid w:val="009A3985"/>
    <w:rsid w:val="009A39F7"/>
    <w:rsid w:val="009A3AD6"/>
    <w:rsid w:val="009A3AE2"/>
    <w:rsid w:val="009A3AE8"/>
    <w:rsid w:val="009A3B9C"/>
    <w:rsid w:val="009A3BD0"/>
    <w:rsid w:val="009A3CF0"/>
    <w:rsid w:val="009A3D34"/>
    <w:rsid w:val="009A3DEF"/>
    <w:rsid w:val="009A3E25"/>
    <w:rsid w:val="009A3ECC"/>
    <w:rsid w:val="009A3EF9"/>
    <w:rsid w:val="009A3F33"/>
    <w:rsid w:val="009A3F49"/>
    <w:rsid w:val="009A3F91"/>
    <w:rsid w:val="009A3FD3"/>
    <w:rsid w:val="009A400E"/>
    <w:rsid w:val="009A4091"/>
    <w:rsid w:val="009A40D5"/>
    <w:rsid w:val="009A40E1"/>
    <w:rsid w:val="009A411B"/>
    <w:rsid w:val="009A413A"/>
    <w:rsid w:val="009A41BD"/>
    <w:rsid w:val="009A4231"/>
    <w:rsid w:val="009A4282"/>
    <w:rsid w:val="009A429D"/>
    <w:rsid w:val="009A42B1"/>
    <w:rsid w:val="009A4301"/>
    <w:rsid w:val="009A4308"/>
    <w:rsid w:val="009A4353"/>
    <w:rsid w:val="009A4391"/>
    <w:rsid w:val="009A4399"/>
    <w:rsid w:val="009A43A6"/>
    <w:rsid w:val="009A4569"/>
    <w:rsid w:val="009A45D4"/>
    <w:rsid w:val="009A460A"/>
    <w:rsid w:val="009A467D"/>
    <w:rsid w:val="009A469C"/>
    <w:rsid w:val="009A46E6"/>
    <w:rsid w:val="009A4704"/>
    <w:rsid w:val="009A47DE"/>
    <w:rsid w:val="009A4991"/>
    <w:rsid w:val="009A49CC"/>
    <w:rsid w:val="009A49D9"/>
    <w:rsid w:val="009A4AB5"/>
    <w:rsid w:val="009A4B2A"/>
    <w:rsid w:val="009A4B5C"/>
    <w:rsid w:val="009A4B87"/>
    <w:rsid w:val="009A4C8E"/>
    <w:rsid w:val="009A4C91"/>
    <w:rsid w:val="009A4CBF"/>
    <w:rsid w:val="009A4D2F"/>
    <w:rsid w:val="009A4D33"/>
    <w:rsid w:val="009A4DAD"/>
    <w:rsid w:val="009A4E10"/>
    <w:rsid w:val="009A4E20"/>
    <w:rsid w:val="009A4E6B"/>
    <w:rsid w:val="009A4E9C"/>
    <w:rsid w:val="009A4EF8"/>
    <w:rsid w:val="009A4F1E"/>
    <w:rsid w:val="009A4F28"/>
    <w:rsid w:val="009A5039"/>
    <w:rsid w:val="009A5045"/>
    <w:rsid w:val="009A506B"/>
    <w:rsid w:val="009A5098"/>
    <w:rsid w:val="009A50A2"/>
    <w:rsid w:val="009A510B"/>
    <w:rsid w:val="009A515E"/>
    <w:rsid w:val="009A5240"/>
    <w:rsid w:val="009A524A"/>
    <w:rsid w:val="009A5296"/>
    <w:rsid w:val="009A52C2"/>
    <w:rsid w:val="009A535B"/>
    <w:rsid w:val="009A535C"/>
    <w:rsid w:val="009A53EA"/>
    <w:rsid w:val="009A53F5"/>
    <w:rsid w:val="009A543D"/>
    <w:rsid w:val="009A5485"/>
    <w:rsid w:val="009A555F"/>
    <w:rsid w:val="009A5606"/>
    <w:rsid w:val="009A57D8"/>
    <w:rsid w:val="009A586B"/>
    <w:rsid w:val="009A58EF"/>
    <w:rsid w:val="009A5917"/>
    <w:rsid w:val="009A593F"/>
    <w:rsid w:val="009A59D0"/>
    <w:rsid w:val="009A5A37"/>
    <w:rsid w:val="009A5AC4"/>
    <w:rsid w:val="009A5AF5"/>
    <w:rsid w:val="009A5B55"/>
    <w:rsid w:val="009A5B89"/>
    <w:rsid w:val="009A5C24"/>
    <w:rsid w:val="009A5C27"/>
    <w:rsid w:val="009A5C45"/>
    <w:rsid w:val="009A5CF6"/>
    <w:rsid w:val="009A5CF7"/>
    <w:rsid w:val="009A5D04"/>
    <w:rsid w:val="009A5D39"/>
    <w:rsid w:val="009A5D9E"/>
    <w:rsid w:val="009A5DC4"/>
    <w:rsid w:val="009A5E75"/>
    <w:rsid w:val="009A5EB7"/>
    <w:rsid w:val="009A5F12"/>
    <w:rsid w:val="009A5F3E"/>
    <w:rsid w:val="009A5FCB"/>
    <w:rsid w:val="009A5FD2"/>
    <w:rsid w:val="009A601C"/>
    <w:rsid w:val="009A6024"/>
    <w:rsid w:val="009A6042"/>
    <w:rsid w:val="009A6046"/>
    <w:rsid w:val="009A60AC"/>
    <w:rsid w:val="009A6111"/>
    <w:rsid w:val="009A616F"/>
    <w:rsid w:val="009A61E0"/>
    <w:rsid w:val="009A61EC"/>
    <w:rsid w:val="009A6215"/>
    <w:rsid w:val="009A622D"/>
    <w:rsid w:val="009A6374"/>
    <w:rsid w:val="009A6380"/>
    <w:rsid w:val="009A63AA"/>
    <w:rsid w:val="009A63C6"/>
    <w:rsid w:val="009A63FA"/>
    <w:rsid w:val="009A648E"/>
    <w:rsid w:val="009A64B8"/>
    <w:rsid w:val="009A64DF"/>
    <w:rsid w:val="009A64EC"/>
    <w:rsid w:val="009A6527"/>
    <w:rsid w:val="009A654B"/>
    <w:rsid w:val="009A65C7"/>
    <w:rsid w:val="009A6623"/>
    <w:rsid w:val="009A6663"/>
    <w:rsid w:val="009A67DB"/>
    <w:rsid w:val="009A680B"/>
    <w:rsid w:val="009A68F3"/>
    <w:rsid w:val="009A6A74"/>
    <w:rsid w:val="009A6A95"/>
    <w:rsid w:val="009A6AF1"/>
    <w:rsid w:val="009A6B11"/>
    <w:rsid w:val="009A6BC3"/>
    <w:rsid w:val="009A6C92"/>
    <w:rsid w:val="009A6CD4"/>
    <w:rsid w:val="009A6D04"/>
    <w:rsid w:val="009A6D14"/>
    <w:rsid w:val="009A6D1F"/>
    <w:rsid w:val="009A6D50"/>
    <w:rsid w:val="009A6DAE"/>
    <w:rsid w:val="009A6DB6"/>
    <w:rsid w:val="009A6DF5"/>
    <w:rsid w:val="009A6E81"/>
    <w:rsid w:val="009A6E8A"/>
    <w:rsid w:val="009A6EA6"/>
    <w:rsid w:val="009A6F0E"/>
    <w:rsid w:val="009A7028"/>
    <w:rsid w:val="009A707D"/>
    <w:rsid w:val="009A7291"/>
    <w:rsid w:val="009A72A1"/>
    <w:rsid w:val="009A72AF"/>
    <w:rsid w:val="009A72EB"/>
    <w:rsid w:val="009A7315"/>
    <w:rsid w:val="009A7346"/>
    <w:rsid w:val="009A7398"/>
    <w:rsid w:val="009A73DB"/>
    <w:rsid w:val="009A7422"/>
    <w:rsid w:val="009A7455"/>
    <w:rsid w:val="009A753B"/>
    <w:rsid w:val="009A75C0"/>
    <w:rsid w:val="009A7653"/>
    <w:rsid w:val="009A766A"/>
    <w:rsid w:val="009A76CB"/>
    <w:rsid w:val="009A7718"/>
    <w:rsid w:val="009A7724"/>
    <w:rsid w:val="009A78DD"/>
    <w:rsid w:val="009A79A6"/>
    <w:rsid w:val="009A79AF"/>
    <w:rsid w:val="009A7A35"/>
    <w:rsid w:val="009A7A7C"/>
    <w:rsid w:val="009A7AD9"/>
    <w:rsid w:val="009A7AF7"/>
    <w:rsid w:val="009A7AFD"/>
    <w:rsid w:val="009A7B85"/>
    <w:rsid w:val="009A7BB7"/>
    <w:rsid w:val="009A7BEC"/>
    <w:rsid w:val="009A7C8B"/>
    <w:rsid w:val="009A7D48"/>
    <w:rsid w:val="009A7DE9"/>
    <w:rsid w:val="009A7E76"/>
    <w:rsid w:val="009A7EAF"/>
    <w:rsid w:val="009A7F39"/>
    <w:rsid w:val="009A7F66"/>
    <w:rsid w:val="009A7F82"/>
    <w:rsid w:val="009A7FA7"/>
    <w:rsid w:val="009B0084"/>
    <w:rsid w:val="009B00BF"/>
    <w:rsid w:val="009B00E1"/>
    <w:rsid w:val="009B00E5"/>
    <w:rsid w:val="009B0106"/>
    <w:rsid w:val="009B0141"/>
    <w:rsid w:val="009B01A5"/>
    <w:rsid w:val="009B01F7"/>
    <w:rsid w:val="009B0217"/>
    <w:rsid w:val="009B03F2"/>
    <w:rsid w:val="009B041E"/>
    <w:rsid w:val="009B0483"/>
    <w:rsid w:val="009B0511"/>
    <w:rsid w:val="009B051B"/>
    <w:rsid w:val="009B053F"/>
    <w:rsid w:val="009B05AE"/>
    <w:rsid w:val="009B0642"/>
    <w:rsid w:val="009B069E"/>
    <w:rsid w:val="009B06DD"/>
    <w:rsid w:val="009B078C"/>
    <w:rsid w:val="009B079D"/>
    <w:rsid w:val="009B0850"/>
    <w:rsid w:val="009B08E8"/>
    <w:rsid w:val="009B09E9"/>
    <w:rsid w:val="009B0C8A"/>
    <w:rsid w:val="009B0CA6"/>
    <w:rsid w:val="009B0D60"/>
    <w:rsid w:val="009B0DDE"/>
    <w:rsid w:val="009B0E0F"/>
    <w:rsid w:val="009B0E20"/>
    <w:rsid w:val="009B0EDA"/>
    <w:rsid w:val="009B0EDB"/>
    <w:rsid w:val="009B0F66"/>
    <w:rsid w:val="009B0FEB"/>
    <w:rsid w:val="009B1013"/>
    <w:rsid w:val="009B1081"/>
    <w:rsid w:val="009B108B"/>
    <w:rsid w:val="009B10E4"/>
    <w:rsid w:val="009B1120"/>
    <w:rsid w:val="009B1135"/>
    <w:rsid w:val="009B1137"/>
    <w:rsid w:val="009B11C2"/>
    <w:rsid w:val="009B11D2"/>
    <w:rsid w:val="009B125E"/>
    <w:rsid w:val="009B12C6"/>
    <w:rsid w:val="009B134B"/>
    <w:rsid w:val="009B1365"/>
    <w:rsid w:val="009B1570"/>
    <w:rsid w:val="009B15A5"/>
    <w:rsid w:val="009B15FA"/>
    <w:rsid w:val="009B1648"/>
    <w:rsid w:val="009B1654"/>
    <w:rsid w:val="009B1673"/>
    <w:rsid w:val="009B167E"/>
    <w:rsid w:val="009B1720"/>
    <w:rsid w:val="009B1788"/>
    <w:rsid w:val="009B17C9"/>
    <w:rsid w:val="009B17E3"/>
    <w:rsid w:val="009B1855"/>
    <w:rsid w:val="009B18C5"/>
    <w:rsid w:val="009B18F2"/>
    <w:rsid w:val="009B19EC"/>
    <w:rsid w:val="009B1A14"/>
    <w:rsid w:val="009B1A25"/>
    <w:rsid w:val="009B1A50"/>
    <w:rsid w:val="009B1AE8"/>
    <w:rsid w:val="009B1B6B"/>
    <w:rsid w:val="009B1BC0"/>
    <w:rsid w:val="009B1BEE"/>
    <w:rsid w:val="009B1BFE"/>
    <w:rsid w:val="009B1C89"/>
    <w:rsid w:val="009B1D22"/>
    <w:rsid w:val="009B1D81"/>
    <w:rsid w:val="009B1DC6"/>
    <w:rsid w:val="009B1E52"/>
    <w:rsid w:val="009B1E96"/>
    <w:rsid w:val="009B1FC3"/>
    <w:rsid w:val="009B1FC6"/>
    <w:rsid w:val="009B1FCB"/>
    <w:rsid w:val="009B20B1"/>
    <w:rsid w:val="009B20FC"/>
    <w:rsid w:val="009B2100"/>
    <w:rsid w:val="009B2148"/>
    <w:rsid w:val="009B217A"/>
    <w:rsid w:val="009B224B"/>
    <w:rsid w:val="009B224E"/>
    <w:rsid w:val="009B2338"/>
    <w:rsid w:val="009B238F"/>
    <w:rsid w:val="009B23B4"/>
    <w:rsid w:val="009B23FE"/>
    <w:rsid w:val="009B2426"/>
    <w:rsid w:val="009B24B1"/>
    <w:rsid w:val="009B24C0"/>
    <w:rsid w:val="009B2576"/>
    <w:rsid w:val="009B25A8"/>
    <w:rsid w:val="009B267A"/>
    <w:rsid w:val="009B26BE"/>
    <w:rsid w:val="009B26D8"/>
    <w:rsid w:val="009B26D9"/>
    <w:rsid w:val="009B2781"/>
    <w:rsid w:val="009B2841"/>
    <w:rsid w:val="009B28CD"/>
    <w:rsid w:val="009B290F"/>
    <w:rsid w:val="009B294D"/>
    <w:rsid w:val="009B2A10"/>
    <w:rsid w:val="009B2B3C"/>
    <w:rsid w:val="009B2B4A"/>
    <w:rsid w:val="009B2B83"/>
    <w:rsid w:val="009B2C0C"/>
    <w:rsid w:val="009B2C4D"/>
    <w:rsid w:val="009B2C83"/>
    <w:rsid w:val="009B2CC0"/>
    <w:rsid w:val="009B2D67"/>
    <w:rsid w:val="009B2D83"/>
    <w:rsid w:val="009B2DB0"/>
    <w:rsid w:val="009B2DF4"/>
    <w:rsid w:val="009B2E72"/>
    <w:rsid w:val="009B2F1C"/>
    <w:rsid w:val="009B2F8A"/>
    <w:rsid w:val="009B307B"/>
    <w:rsid w:val="009B3088"/>
    <w:rsid w:val="009B30AD"/>
    <w:rsid w:val="009B30BC"/>
    <w:rsid w:val="009B30EA"/>
    <w:rsid w:val="009B3145"/>
    <w:rsid w:val="009B31AA"/>
    <w:rsid w:val="009B31D4"/>
    <w:rsid w:val="009B3202"/>
    <w:rsid w:val="009B326B"/>
    <w:rsid w:val="009B328D"/>
    <w:rsid w:val="009B32DF"/>
    <w:rsid w:val="009B32F1"/>
    <w:rsid w:val="009B334E"/>
    <w:rsid w:val="009B33CC"/>
    <w:rsid w:val="009B33DA"/>
    <w:rsid w:val="009B33FA"/>
    <w:rsid w:val="009B3401"/>
    <w:rsid w:val="009B340D"/>
    <w:rsid w:val="009B34DB"/>
    <w:rsid w:val="009B34EF"/>
    <w:rsid w:val="009B34FD"/>
    <w:rsid w:val="009B352E"/>
    <w:rsid w:val="009B3553"/>
    <w:rsid w:val="009B3620"/>
    <w:rsid w:val="009B3629"/>
    <w:rsid w:val="009B362A"/>
    <w:rsid w:val="009B364A"/>
    <w:rsid w:val="009B36D2"/>
    <w:rsid w:val="009B3787"/>
    <w:rsid w:val="009B37AB"/>
    <w:rsid w:val="009B37D6"/>
    <w:rsid w:val="009B384A"/>
    <w:rsid w:val="009B3860"/>
    <w:rsid w:val="009B386C"/>
    <w:rsid w:val="009B389B"/>
    <w:rsid w:val="009B38A7"/>
    <w:rsid w:val="009B390E"/>
    <w:rsid w:val="009B39E7"/>
    <w:rsid w:val="009B3A69"/>
    <w:rsid w:val="009B3A83"/>
    <w:rsid w:val="009B3AC7"/>
    <w:rsid w:val="009B3B02"/>
    <w:rsid w:val="009B3B98"/>
    <w:rsid w:val="009B3BB2"/>
    <w:rsid w:val="009B3BD1"/>
    <w:rsid w:val="009B3BF5"/>
    <w:rsid w:val="009B3D85"/>
    <w:rsid w:val="009B3DC6"/>
    <w:rsid w:val="009B3DD0"/>
    <w:rsid w:val="009B3E22"/>
    <w:rsid w:val="009B3E29"/>
    <w:rsid w:val="009B3E57"/>
    <w:rsid w:val="009B3ECB"/>
    <w:rsid w:val="009B3EE7"/>
    <w:rsid w:val="009B3EFC"/>
    <w:rsid w:val="009B3F25"/>
    <w:rsid w:val="009B3FE8"/>
    <w:rsid w:val="009B402D"/>
    <w:rsid w:val="009B4064"/>
    <w:rsid w:val="009B4090"/>
    <w:rsid w:val="009B40B1"/>
    <w:rsid w:val="009B40F4"/>
    <w:rsid w:val="009B412A"/>
    <w:rsid w:val="009B4138"/>
    <w:rsid w:val="009B4180"/>
    <w:rsid w:val="009B42D4"/>
    <w:rsid w:val="009B430D"/>
    <w:rsid w:val="009B4354"/>
    <w:rsid w:val="009B4381"/>
    <w:rsid w:val="009B4388"/>
    <w:rsid w:val="009B4393"/>
    <w:rsid w:val="009B4472"/>
    <w:rsid w:val="009B458C"/>
    <w:rsid w:val="009B45A6"/>
    <w:rsid w:val="009B45E6"/>
    <w:rsid w:val="009B4617"/>
    <w:rsid w:val="009B4665"/>
    <w:rsid w:val="009B46F1"/>
    <w:rsid w:val="009B470A"/>
    <w:rsid w:val="009B4713"/>
    <w:rsid w:val="009B4777"/>
    <w:rsid w:val="009B47EF"/>
    <w:rsid w:val="009B484F"/>
    <w:rsid w:val="009B48CC"/>
    <w:rsid w:val="009B48E7"/>
    <w:rsid w:val="009B48F1"/>
    <w:rsid w:val="009B492F"/>
    <w:rsid w:val="009B4944"/>
    <w:rsid w:val="009B4951"/>
    <w:rsid w:val="009B4952"/>
    <w:rsid w:val="009B4970"/>
    <w:rsid w:val="009B49DC"/>
    <w:rsid w:val="009B4AB6"/>
    <w:rsid w:val="009B4B13"/>
    <w:rsid w:val="009B4B37"/>
    <w:rsid w:val="009B4BFF"/>
    <w:rsid w:val="009B4C86"/>
    <w:rsid w:val="009B4C9E"/>
    <w:rsid w:val="009B4CCD"/>
    <w:rsid w:val="009B4CD6"/>
    <w:rsid w:val="009B4D1F"/>
    <w:rsid w:val="009B4D44"/>
    <w:rsid w:val="009B4D77"/>
    <w:rsid w:val="009B4D8A"/>
    <w:rsid w:val="009B4E15"/>
    <w:rsid w:val="009B4E65"/>
    <w:rsid w:val="009B4F1A"/>
    <w:rsid w:val="009B4FC4"/>
    <w:rsid w:val="009B5146"/>
    <w:rsid w:val="009B518E"/>
    <w:rsid w:val="009B5198"/>
    <w:rsid w:val="009B51B0"/>
    <w:rsid w:val="009B5247"/>
    <w:rsid w:val="009B52BC"/>
    <w:rsid w:val="009B534B"/>
    <w:rsid w:val="009B538B"/>
    <w:rsid w:val="009B5427"/>
    <w:rsid w:val="009B543F"/>
    <w:rsid w:val="009B54C6"/>
    <w:rsid w:val="009B5606"/>
    <w:rsid w:val="009B5665"/>
    <w:rsid w:val="009B5683"/>
    <w:rsid w:val="009B5692"/>
    <w:rsid w:val="009B56AE"/>
    <w:rsid w:val="009B56C5"/>
    <w:rsid w:val="009B5742"/>
    <w:rsid w:val="009B579C"/>
    <w:rsid w:val="009B57B7"/>
    <w:rsid w:val="009B57C0"/>
    <w:rsid w:val="009B57D8"/>
    <w:rsid w:val="009B582F"/>
    <w:rsid w:val="009B5887"/>
    <w:rsid w:val="009B588B"/>
    <w:rsid w:val="009B5967"/>
    <w:rsid w:val="009B598D"/>
    <w:rsid w:val="009B59AD"/>
    <w:rsid w:val="009B59E7"/>
    <w:rsid w:val="009B59F9"/>
    <w:rsid w:val="009B5A06"/>
    <w:rsid w:val="009B5A43"/>
    <w:rsid w:val="009B5A99"/>
    <w:rsid w:val="009B5BA9"/>
    <w:rsid w:val="009B5BCF"/>
    <w:rsid w:val="009B5C0B"/>
    <w:rsid w:val="009B5C9D"/>
    <w:rsid w:val="009B5CC2"/>
    <w:rsid w:val="009B5EAA"/>
    <w:rsid w:val="009B5FB2"/>
    <w:rsid w:val="009B6011"/>
    <w:rsid w:val="009B60AD"/>
    <w:rsid w:val="009B60D5"/>
    <w:rsid w:val="009B6149"/>
    <w:rsid w:val="009B6160"/>
    <w:rsid w:val="009B61DB"/>
    <w:rsid w:val="009B6205"/>
    <w:rsid w:val="009B6222"/>
    <w:rsid w:val="009B62CD"/>
    <w:rsid w:val="009B62DB"/>
    <w:rsid w:val="009B62DC"/>
    <w:rsid w:val="009B62E0"/>
    <w:rsid w:val="009B630E"/>
    <w:rsid w:val="009B631F"/>
    <w:rsid w:val="009B637C"/>
    <w:rsid w:val="009B63A3"/>
    <w:rsid w:val="009B63DE"/>
    <w:rsid w:val="009B63E8"/>
    <w:rsid w:val="009B6429"/>
    <w:rsid w:val="009B642A"/>
    <w:rsid w:val="009B6456"/>
    <w:rsid w:val="009B646A"/>
    <w:rsid w:val="009B64CB"/>
    <w:rsid w:val="009B64DF"/>
    <w:rsid w:val="009B651C"/>
    <w:rsid w:val="009B6541"/>
    <w:rsid w:val="009B6568"/>
    <w:rsid w:val="009B657D"/>
    <w:rsid w:val="009B659C"/>
    <w:rsid w:val="009B659F"/>
    <w:rsid w:val="009B65A8"/>
    <w:rsid w:val="009B6610"/>
    <w:rsid w:val="009B6611"/>
    <w:rsid w:val="009B66AB"/>
    <w:rsid w:val="009B673C"/>
    <w:rsid w:val="009B6777"/>
    <w:rsid w:val="009B6951"/>
    <w:rsid w:val="009B69C4"/>
    <w:rsid w:val="009B69C8"/>
    <w:rsid w:val="009B69D8"/>
    <w:rsid w:val="009B69E7"/>
    <w:rsid w:val="009B6ACD"/>
    <w:rsid w:val="009B6B27"/>
    <w:rsid w:val="009B6B5A"/>
    <w:rsid w:val="009B6CB8"/>
    <w:rsid w:val="009B6D09"/>
    <w:rsid w:val="009B6D3E"/>
    <w:rsid w:val="009B6D74"/>
    <w:rsid w:val="009B6E03"/>
    <w:rsid w:val="009B6E33"/>
    <w:rsid w:val="009B6E43"/>
    <w:rsid w:val="009B6E4A"/>
    <w:rsid w:val="009B6E8C"/>
    <w:rsid w:val="009B6ED8"/>
    <w:rsid w:val="009B6F43"/>
    <w:rsid w:val="009B70BE"/>
    <w:rsid w:val="009B7174"/>
    <w:rsid w:val="009B71C4"/>
    <w:rsid w:val="009B7246"/>
    <w:rsid w:val="009B75DC"/>
    <w:rsid w:val="009B763F"/>
    <w:rsid w:val="009B7683"/>
    <w:rsid w:val="009B76CD"/>
    <w:rsid w:val="009B76E1"/>
    <w:rsid w:val="009B76F3"/>
    <w:rsid w:val="009B775E"/>
    <w:rsid w:val="009B779E"/>
    <w:rsid w:val="009B77A8"/>
    <w:rsid w:val="009B77C9"/>
    <w:rsid w:val="009B788B"/>
    <w:rsid w:val="009B7953"/>
    <w:rsid w:val="009B7967"/>
    <w:rsid w:val="009B7A1A"/>
    <w:rsid w:val="009B7A2C"/>
    <w:rsid w:val="009B7B80"/>
    <w:rsid w:val="009B7BAD"/>
    <w:rsid w:val="009B7BD8"/>
    <w:rsid w:val="009B7C08"/>
    <w:rsid w:val="009B7CCA"/>
    <w:rsid w:val="009B7CF7"/>
    <w:rsid w:val="009B7D28"/>
    <w:rsid w:val="009B7D30"/>
    <w:rsid w:val="009B7D55"/>
    <w:rsid w:val="009B7D66"/>
    <w:rsid w:val="009B7D8C"/>
    <w:rsid w:val="009B7D9C"/>
    <w:rsid w:val="009B7E84"/>
    <w:rsid w:val="009B7F12"/>
    <w:rsid w:val="009B7F21"/>
    <w:rsid w:val="009B7F4F"/>
    <w:rsid w:val="009B7F90"/>
    <w:rsid w:val="009B7F98"/>
    <w:rsid w:val="009B7FC3"/>
    <w:rsid w:val="009C0069"/>
    <w:rsid w:val="009C00F4"/>
    <w:rsid w:val="009C0187"/>
    <w:rsid w:val="009C01BE"/>
    <w:rsid w:val="009C01FE"/>
    <w:rsid w:val="009C025A"/>
    <w:rsid w:val="009C02AF"/>
    <w:rsid w:val="009C0327"/>
    <w:rsid w:val="009C0338"/>
    <w:rsid w:val="009C034F"/>
    <w:rsid w:val="009C0381"/>
    <w:rsid w:val="009C03F6"/>
    <w:rsid w:val="009C051F"/>
    <w:rsid w:val="009C053E"/>
    <w:rsid w:val="009C05D0"/>
    <w:rsid w:val="009C05F4"/>
    <w:rsid w:val="009C0638"/>
    <w:rsid w:val="009C066C"/>
    <w:rsid w:val="009C06E1"/>
    <w:rsid w:val="009C0788"/>
    <w:rsid w:val="009C07B3"/>
    <w:rsid w:val="009C07C0"/>
    <w:rsid w:val="009C07E1"/>
    <w:rsid w:val="009C08C1"/>
    <w:rsid w:val="009C08FA"/>
    <w:rsid w:val="009C0901"/>
    <w:rsid w:val="009C0A68"/>
    <w:rsid w:val="009C0B86"/>
    <w:rsid w:val="009C0C36"/>
    <w:rsid w:val="009C0C5E"/>
    <w:rsid w:val="009C0CE3"/>
    <w:rsid w:val="009C0D00"/>
    <w:rsid w:val="009C0D3D"/>
    <w:rsid w:val="009C0D44"/>
    <w:rsid w:val="009C0E24"/>
    <w:rsid w:val="009C0E4D"/>
    <w:rsid w:val="009C0E50"/>
    <w:rsid w:val="009C0EB9"/>
    <w:rsid w:val="009C0F05"/>
    <w:rsid w:val="009C0F67"/>
    <w:rsid w:val="009C0FCE"/>
    <w:rsid w:val="009C1032"/>
    <w:rsid w:val="009C103D"/>
    <w:rsid w:val="009C1082"/>
    <w:rsid w:val="009C1175"/>
    <w:rsid w:val="009C11A7"/>
    <w:rsid w:val="009C11D4"/>
    <w:rsid w:val="009C11E3"/>
    <w:rsid w:val="009C1239"/>
    <w:rsid w:val="009C1250"/>
    <w:rsid w:val="009C1265"/>
    <w:rsid w:val="009C12CF"/>
    <w:rsid w:val="009C131F"/>
    <w:rsid w:val="009C1378"/>
    <w:rsid w:val="009C138A"/>
    <w:rsid w:val="009C13D8"/>
    <w:rsid w:val="009C1427"/>
    <w:rsid w:val="009C1586"/>
    <w:rsid w:val="009C15F0"/>
    <w:rsid w:val="009C15F3"/>
    <w:rsid w:val="009C1610"/>
    <w:rsid w:val="009C1620"/>
    <w:rsid w:val="009C179B"/>
    <w:rsid w:val="009C17F1"/>
    <w:rsid w:val="009C188A"/>
    <w:rsid w:val="009C18D2"/>
    <w:rsid w:val="009C1924"/>
    <w:rsid w:val="009C1959"/>
    <w:rsid w:val="009C1962"/>
    <w:rsid w:val="009C1970"/>
    <w:rsid w:val="009C19DB"/>
    <w:rsid w:val="009C1A0C"/>
    <w:rsid w:val="009C1A1C"/>
    <w:rsid w:val="009C1AA4"/>
    <w:rsid w:val="009C1B36"/>
    <w:rsid w:val="009C1B4B"/>
    <w:rsid w:val="009C1BBF"/>
    <w:rsid w:val="009C1C1E"/>
    <w:rsid w:val="009C1C33"/>
    <w:rsid w:val="009C1CCB"/>
    <w:rsid w:val="009C1D00"/>
    <w:rsid w:val="009C1D28"/>
    <w:rsid w:val="009C1D38"/>
    <w:rsid w:val="009C1D3B"/>
    <w:rsid w:val="009C1D7F"/>
    <w:rsid w:val="009C1D9C"/>
    <w:rsid w:val="009C1DE8"/>
    <w:rsid w:val="009C1DFD"/>
    <w:rsid w:val="009C1EAC"/>
    <w:rsid w:val="009C1F4B"/>
    <w:rsid w:val="009C1FF1"/>
    <w:rsid w:val="009C2046"/>
    <w:rsid w:val="009C205C"/>
    <w:rsid w:val="009C20A9"/>
    <w:rsid w:val="009C20E0"/>
    <w:rsid w:val="009C20F5"/>
    <w:rsid w:val="009C20FC"/>
    <w:rsid w:val="009C213D"/>
    <w:rsid w:val="009C216D"/>
    <w:rsid w:val="009C21C2"/>
    <w:rsid w:val="009C2236"/>
    <w:rsid w:val="009C22B6"/>
    <w:rsid w:val="009C22D3"/>
    <w:rsid w:val="009C22D6"/>
    <w:rsid w:val="009C22E4"/>
    <w:rsid w:val="009C2342"/>
    <w:rsid w:val="009C2351"/>
    <w:rsid w:val="009C2434"/>
    <w:rsid w:val="009C2460"/>
    <w:rsid w:val="009C2576"/>
    <w:rsid w:val="009C25A1"/>
    <w:rsid w:val="009C25A8"/>
    <w:rsid w:val="009C2619"/>
    <w:rsid w:val="009C2631"/>
    <w:rsid w:val="009C265D"/>
    <w:rsid w:val="009C2766"/>
    <w:rsid w:val="009C2790"/>
    <w:rsid w:val="009C279C"/>
    <w:rsid w:val="009C27C7"/>
    <w:rsid w:val="009C2934"/>
    <w:rsid w:val="009C2946"/>
    <w:rsid w:val="009C29C0"/>
    <w:rsid w:val="009C29ED"/>
    <w:rsid w:val="009C2AB7"/>
    <w:rsid w:val="009C2ABB"/>
    <w:rsid w:val="009C2B02"/>
    <w:rsid w:val="009C2B46"/>
    <w:rsid w:val="009C2B8D"/>
    <w:rsid w:val="009C2BA5"/>
    <w:rsid w:val="009C2C3C"/>
    <w:rsid w:val="009C2C82"/>
    <w:rsid w:val="009C2D5F"/>
    <w:rsid w:val="009C2D9F"/>
    <w:rsid w:val="009C2E57"/>
    <w:rsid w:val="009C2E8B"/>
    <w:rsid w:val="009C2EB6"/>
    <w:rsid w:val="009C3004"/>
    <w:rsid w:val="009C3032"/>
    <w:rsid w:val="009C3035"/>
    <w:rsid w:val="009C3104"/>
    <w:rsid w:val="009C3118"/>
    <w:rsid w:val="009C314F"/>
    <w:rsid w:val="009C31CC"/>
    <w:rsid w:val="009C3242"/>
    <w:rsid w:val="009C330E"/>
    <w:rsid w:val="009C3339"/>
    <w:rsid w:val="009C33A0"/>
    <w:rsid w:val="009C33F7"/>
    <w:rsid w:val="009C345C"/>
    <w:rsid w:val="009C3596"/>
    <w:rsid w:val="009C359E"/>
    <w:rsid w:val="009C360F"/>
    <w:rsid w:val="009C3771"/>
    <w:rsid w:val="009C387D"/>
    <w:rsid w:val="009C3880"/>
    <w:rsid w:val="009C389B"/>
    <w:rsid w:val="009C38A3"/>
    <w:rsid w:val="009C38FC"/>
    <w:rsid w:val="009C3921"/>
    <w:rsid w:val="009C393D"/>
    <w:rsid w:val="009C397A"/>
    <w:rsid w:val="009C398E"/>
    <w:rsid w:val="009C39DA"/>
    <w:rsid w:val="009C39EC"/>
    <w:rsid w:val="009C3A21"/>
    <w:rsid w:val="009C3B42"/>
    <w:rsid w:val="009C3B97"/>
    <w:rsid w:val="009C3E0F"/>
    <w:rsid w:val="009C3E18"/>
    <w:rsid w:val="009C3E81"/>
    <w:rsid w:val="009C3E98"/>
    <w:rsid w:val="009C3F18"/>
    <w:rsid w:val="009C3F65"/>
    <w:rsid w:val="009C3FB3"/>
    <w:rsid w:val="009C3FCF"/>
    <w:rsid w:val="009C40AE"/>
    <w:rsid w:val="009C41AB"/>
    <w:rsid w:val="009C41FC"/>
    <w:rsid w:val="009C4251"/>
    <w:rsid w:val="009C4253"/>
    <w:rsid w:val="009C42C6"/>
    <w:rsid w:val="009C42E7"/>
    <w:rsid w:val="009C42E8"/>
    <w:rsid w:val="009C4356"/>
    <w:rsid w:val="009C4386"/>
    <w:rsid w:val="009C4414"/>
    <w:rsid w:val="009C4456"/>
    <w:rsid w:val="009C44C8"/>
    <w:rsid w:val="009C4544"/>
    <w:rsid w:val="009C45DD"/>
    <w:rsid w:val="009C46A7"/>
    <w:rsid w:val="009C4771"/>
    <w:rsid w:val="009C482E"/>
    <w:rsid w:val="009C48B2"/>
    <w:rsid w:val="009C4901"/>
    <w:rsid w:val="009C49C2"/>
    <w:rsid w:val="009C49F1"/>
    <w:rsid w:val="009C4AC0"/>
    <w:rsid w:val="009C4ACD"/>
    <w:rsid w:val="009C4B06"/>
    <w:rsid w:val="009C4B0B"/>
    <w:rsid w:val="009C4BD8"/>
    <w:rsid w:val="009C4C54"/>
    <w:rsid w:val="009C4C6D"/>
    <w:rsid w:val="009C4C9B"/>
    <w:rsid w:val="009C4CD5"/>
    <w:rsid w:val="009C4D28"/>
    <w:rsid w:val="009C4DD8"/>
    <w:rsid w:val="009C4E71"/>
    <w:rsid w:val="009C4FEF"/>
    <w:rsid w:val="009C5044"/>
    <w:rsid w:val="009C5048"/>
    <w:rsid w:val="009C50AB"/>
    <w:rsid w:val="009C5106"/>
    <w:rsid w:val="009C514A"/>
    <w:rsid w:val="009C517A"/>
    <w:rsid w:val="009C528C"/>
    <w:rsid w:val="009C52AD"/>
    <w:rsid w:val="009C52F3"/>
    <w:rsid w:val="009C535F"/>
    <w:rsid w:val="009C5373"/>
    <w:rsid w:val="009C53E5"/>
    <w:rsid w:val="009C540B"/>
    <w:rsid w:val="009C56A3"/>
    <w:rsid w:val="009C56B3"/>
    <w:rsid w:val="009C576D"/>
    <w:rsid w:val="009C58AD"/>
    <w:rsid w:val="009C58BE"/>
    <w:rsid w:val="009C58C8"/>
    <w:rsid w:val="009C593E"/>
    <w:rsid w:val="009C5942"/>
    <w:rsid w:val="009C59A1"/>
    <w:rsid w:val="009C59D5"/>
    <w:rsid w:val="009C59E5"/>
    <w:rsid w:val="009C59E9"/>
    <w:rsid w:val="009C5B1A"/>
    <w:rsid w:val="009C5B62"/>
    <w:rsid w:val="009C5BAB"/>
    <w:rsid w:val="009C5CA9"/>
    <w:rsid w:val="009C5CB2"/>
    <w:rsid w:val="009C5CF4"/>
    <w:rsid w:val="009C5D03"/>
    <w:rsid w:val="009C5E13"/>
    <w:rsid w:val="009C5E24"/>
    <w:rsid w:val="009C5E46"/>
    <w:rsid w:val="009C5E4B"/>
    <w:rsid w:val="009C5F18"/>
    <w:rsid w:val="009C5FBE"/>
    <w:rsid w:val="009C6097"/>
    <w:rsid w:val="009C6114"/>
    <w:rsid w:val="009C615D"/>
    <w:rsid w:val="009C6210"/>
    <w:rsid w:val="009C62A4"/>
    <w:rsid w:val="009C630D"/>
    <w:rsid w:val="009C63A2"/>
    <w:rsid w:val="009C63B1"/>
    <w:rsid w:val="009C63EA"/>
    <w:rsid w:val="009C63EB"/>
    <w:rsid w:val="009C640F"/>
    <w:rsid w:val="009C641A"/>
    <w:rsid w:val="009C6667"/>
    <w:rsid w:val="009C66BA"/>
    <w:rsid w:val="009C6742"/>
    <w:rsid w:val="009C6898"/>
    <w:rsid w:val="009C6899"/>
    <w:rsid w:val="009C689E"/>
    <w:rsid w:val="009C68D0"/>
    <w:rsid w:val="009C698B"/>
    <w:rsid w:val="009C69BC"/>
    <w:rsid w:val="009C6B14"/>
    <w:rsid w:val="009C6B4B"/>
    <w:rsid w:val="009C6BD5"/>
    <w:rsid w:val="009C6BDD"/>
    <w:rsid w:val="009C6C28"/>
    <w:rsid w:val="009C6C40"/>
    <w:rsid w:val="009C6C92"/>
    <w:rsid w:val="009C6CBB"/>
    <w:rsid w:val="009C6CE2"/>
    <w:rsid w:val="009C6D06"/>
    <w:rsid w:val="009C6D0D"/>
    <w:rsid w:val="009C6D7F"/>
    <w:rsid w:val="009C6DA9"/>
    <w:rsid w:val="009C6E43"/>
    <w:rsid w:val="009C6E4D"/>
    <w:rsid w:val="009C6EB5"/>
    <w:rsid w:val="009C6EB9"/>
    <w:rsid w:val="009C6F6A"/>
    <w:rsid w:val="009C6FD0"/>
    <w:rsid w:val="009C708D"/>
    <w:rsid w:val="009C70CA"/>
    <w:rsid w:val="009C717F"/>
    <w:rsid w:val="009C71C3"/>
    <w:rsid w:val="009C71C9"/>
    <w:rsid w:val="009C72DA"/>
    <w:rsid w:val="009C733F"/>
    <w:rsid w:val="009C734E"/>
    <w:rsid w:val="009C735C"/>
    <w:rsid w:val="009C7398"/>
    <w:rsid w:val="009C73BE"/>
    <w:rsid w:val="009C73F7"/>
    <w:rsid w:val="009C740F"/>
    <w:rsid w:val="009C7430"/>
    <w:rsid w:val="009C7433"/>
    <w:rsid w:val="009C75B7"/>
    <w:rsid w:val="009C75F6"/>
    <w:rsid w:val="009C75FB"/>
    <w:rsid w:val="009C7630"/>
    <w:rsid w:val="009C7646"/>
    <w:rsid w:val="009C7714"/>
    <w:rsid w:val="009C7724"/>
    <w:rsid w:val="009C77BE"/>
    <w:rsid w:val="009C782B"/>
    <w:rsid w:val="009C784B"/>
    <w:rsid w:val="009C7871"/>
    <w:rsid w:val="009C7891"/>
    <w:rsid w:val="009C78A7"/>
    <w:rsid w:val="009C78D1"/>
    <w:rsid w:val="009C7916"/>
    <w:rsid w:val="009C792B"/>
    <w:rsid w:val="009C799C"/>
    <w:rsid w:val="009C79DE"/>
    <w:rsid w:val="009C7A2E"/>
    <w:rsid w:val="009C7A82"/>
    <w:rsid w:val="009C7B16"/>
    <w:rsid w:val="009C7B31"/>
    <w:rsid w:val="009C7B38"/>
    <w:rsid w:val="009C7B4E"/>
    <w:rsid w:val="009C7B6F"/>
    <w:rsid w:val="009C7E4E"/>
    <w:rsid w:val="009C7EBE"/>
    <w:rsid w:val="009C7EFC"/>
    <w:rsid w:val="009C7F99"/>
    <w:rsid w:val="009C7FD8"/>
    <w:rsid w:val="009C7FE5"/>
    <w:rsid w:val="009D00FD"/>
    <w:rsid w:val="009D0116"/>
    <w:rsid w:val="009D0138"/>
    <w:rsid w:val="009D0142"/>
    <w:rsid w:val="009D019A"/>
    <w:rsid w:val="009D01A7"/>
    <w:rsid w:val="009D01EF"/>
    <w:rsid w:val="009D0222"/>
    <w:rsid w:val="009D024D"/>
    <w:rsid w:val="009D0295"/>
    <w:rsid w:val="009D02E1"/>
    <w:rsid w:val="009D0442"/>
    <w:rsid w:val="009D044B"/>
    <w:rsid w:val="009D044D"/>
    <w:rsid w:val="009D04AD"/>
    <w:rsid w:val="009D04B7"/>
    <w:rsid w:val="009D04C2"/>
    <w:rsid w:val="009D0570"/>
    <w:rsid w:val="009D05FE"/>
    <w:rsid w:val="009D0669"/>
    <w:rsid w:val="009D06C7"/>
    <w:rsid w:val="009D06EC"/>
    <w:rsid w:val="009D078E"/>
    <w:rsid w:val="009D0802"/>
    <w:rsid w:val="009D082C"/>
    <w:rsid w:val="009D088B"/>
    <w:rsid w:val="009D08B0"/>
    <w:rsid w:val="009D08D2"/>
    <w:rsid w:val="009D097D"/>
    <w:rsid w:val="009D09C0"/>
    <w:rsid w:val="009D0B21"/>
    <w:rsid w:val="009D0BAE"/>
    <w:rsid w:val="009D0BB7"/>
    <w:rsid w:val="009D0BC3"/>
    <w:rsid w:val="009D0BD6"/>
    <w:rsid w:val="009D0BDD"/>
    <w:rsid w:val="009D0C63"/>
    <w:rsid w:val="009D0CA4"/>
    <w:rsid w:val="009D0CB4"/>
    <w:rsid w:val="009D0CBD"/>
    <w:rsid w:val="009D0CEB"/>
    <w:rsid w:val="009D0D10"/>
    <w:rsid w:val="009D0D22"/>
    <w:rsid w:val="009D0D89"/>
    <w:rsid w:val="009D0DD4"/>
    <w:rsid w:val="009D0E46"/>
    <w:rsid w:val="009D0ECD"/>
    <w:rsid w:val="009D0EFD"/>
    <w:rsid w:val="009D0F47"/>
    <w:rsid w:val="009D0FA9"/>
    <w:rsid w:val="009D0FCB"/>
    <w:rsid w:val="009D0FE1"/>
    <w:rsid w:val="009D10E7"/>
    <w:rsid w:val="009D1118"/>
    <w:rsid w:val="009D1265"/>
    <w:rsid w:val="009D126D"/>
    <w:rsid w:val="009D12A8"/>
    <w:rsid w:val="009D12CF"/>
    <w:rsid w:val="009D14AB"/>
    <w:rsid w:val="009D14F4"/>
    <w:rsid w:val="009D1502"/>
    <w:rsid w:val="009D151C"/>
    <w:rsid w:val="009D1553"/>
    <w:rsid w:val="009D1581"/>
    <w:rsid w:val="009D15AA"/>
    <w:rsid w:val="009D170B"/>
    <w:rsid w:val="009D1798"/>
    <w:rsid w:val="009D17AA"/>
    <w:rsid w:val="009D17F3"/>
    <w:rsid w:val="009D181E"/>
    <w:rsid w:val="009D18C1"/>
    <w:rsid w:val="009D1927"/>
    <w:rsid w:val="009D197B"/>
    <w:rsid w:val="009D19A6"/>
    <w:rsid w:val="009D1A17"/>
    <w:rsid w:val="009D1A45"/>
    <w:rsid w:val="009D1A65"/>
    <w:rsid w:val="009D1A7F"/>
    <w:rsid w:val="009D1A92"/>
    <w:rsid w:val="009D1AE7"/>
    <w:rsid w:val="009D1B1C"/>
    <w:rsid w:val="009D1BAE"/>
    <w:rsid w:val="009D1BC3"/>
    <w:rsid w:val="009D1BF9"/>
    <w:rsid w:val="009D1C70"/>
    <w:rsid w:val="009D1C8A"/>
    <w:rsid w:val="009D1CC1"/>
    <w:rsid w:val="009D1CE1"/>
    <w:rsid w:val="009D1D35"/>
    <w:rsid w:val="009D1D47"/>
    <w:rsid w:val="009D1D6F"/>
    <w:rsid w:val="009D1DBF"/>
    <w:rsid w:val="009D1E86"/>
    <w:rsid w:val="009D1EC5"/>
    <w:rsid w:val="009D1F32"/>
    <w:rsid w:val="009D2003"/>
    <w:rsid w:val="009D207D"/>
    <w:rsid w:val="009D208B"/>
    <w:rsid w:val="009D20C5"/>
    <w:rsid w:val="009D2178"/>
    <w:rsid w:val="009D2203"/>
    <w:rsid w:val="009D2295"/>
    <w:rsid w:val="009D2326"/>
    <w:rsid w:val="009D2333"/>
    <w:rsid w:val="009D236F"/>
    <w:rsid w:val="009D258A"/>
    <w:rsid w:val="009D258F"/>
    <w:rsid w:val="009D2593"/>
    <w:rsid w:val="009D25F9"/>
    <w:rsid w:val="009D2621"/>
    <w:rsid w:val="009D26F7"/>
    <w:rsid w:val="009D280E"/>
    <w:rsid w:val="009D28AA"/>
    <w:rsid w:val="009D28BE"/>
    <w:rsid w:val="009D2933"/>
    <w:rsid w:val="009D2988"/>
    <w:rsid w:val="009D2992"/>
    <w:rsid w:val="009D29BC"/>
    <w:rsid w:val="009D29C3"/>
    <w:rsid w:val="009D29EF"/>
    <w:rsid w:val="009D2A03"/>
    <w:rsid w:val="009D2A0C"/>
    <w:rsid w:val="009D2A2A"/>
    <w:rsid w:val="009D2ACF"/>
    <w:rsid w:val="009D2B3D"/>
    <w:rsid w:val="009D2B6E"/>
    <w:rsid w:val="009D2BCD"/>
    <w:rsid w:val="009D2BEF"/>
    <w:rsid w:val="009D2C44"/>
    <w:rsid w:val="009D2D37"/>
    <w:rsid w:val="009D2D3C"/>
    <w:rsid w:val="009D2DCD"/>
    <w:rsid w:val="009D2E08"/>
    <w:rsid w:val="009D2E61"/>
    <w:rsid w:val="009D2ECD"/>
    <w:rsid w:val="009D2F04"/>
    <w:rsid w:val="009D2F56"/>
    <w:rsid w:val="009D2FAD"/>
    <w:rsid w:val="009D3093"/>
    <w:rsid w:val="009D30A7"/>
    <w:rsid w:val="009D30C1"/>
    <w:rsid w:val="009D30E9"/>
    <w:rsid w:val="009D311E"/>
    <w:rsid w:val="009D315D"/>
    <w:rsid w:val="009D3170"/>
    <w:rsid w:val="009D3300"/>
    <w:rsid w:val="009D34BB"/>
    <w:rsid w:val="009D34D9"/>
    <w:rsid w:val="009D34F2"/>
    <w:rsid w:val="009D350A"/>
    <w:rsid w:val="009D355E"/>
    <w:rsid w:val="009D3615"/>
    <w:rsid w:val="009D3685"/>
    <w:rsid w:val="009D36C2"/>
    <w:rsid w:val="009D36FD"/>
    <w:rsid w:val="009D3704"/>
    <w:rsid w:val="009D3767"/>
    <w:rsid w:val="009D379C"/>
    <w:rsid w:val="009D37B3"/>
    <w:rsid w:val="009D383F"/>
    <w:rsid w:val="009D387D"/>
    <w:rsid w:val="009D3897"/>
    <w:rsid w:val="009D38B0"/>
    <w:rsid w:val="009D390F"/>
    <w:rsid w:val="009D3921"/>
    <w:rsid w:val="009D3928"/>
    <w:rsid w:val="009D3971"/>
    <w:rsid w:val="009D399D"/>
    <w:rsid w:val="009D39DC"/>
    <w:rsid w:val="009D3A37"/>
    <w:rsid w:val="009D3A38"/>
    <w:rsid w:val="009D3AD4"/>
    <w:rsid w:val="009D3B01"/>
    <w:rsid w:val="009D3C89"/>
    <w:rsid w:val="009D3D99"/>
    <w:rsid w:val="009D3DF2"/>
    <w:rsid w:val="009D3E25"/>
    <w:rsid w:val="009D3E92"/>
    <w:rsid w:val="009D3EDE"/>
    <w:rsid w:val="009D3EF0"/>
    <w:rsid w:val="009D3FCF"/>
    <w:rsid w:val="009D4070"/>
    <w:rsid w:val="009D4078"/>
    <w:rsid w:val="009D4083"/>
    <w:rsid w:val="009D40C8"/>
    <w:rsid w:val="009D40D6"/>
    <w:rsid w:val="009D4149"/>
    <w:rsid w:val="009D41A9"/>
    <w:rsid w:val="009D41B6"/>
    <w:rsid w:val="009D41E8"/>
    <w:rsid w:val="009D421D"/>
    <w:rsid w:val="009D4222"/>
    <w:rsid w:val="009D4238"/>
    <w:rsid w:val="009D428B"/>
    <w:rsid w:val="009D4360"/>
    <w:rsid w:val="009D436B"/>
    <w:rsid w:val="009D439F"/>
    <w:rsid w:val="009D43F8"/>
    <w:rsid w:val="009D4420"/>
    <w:rsid w:val="009D448F"/>
    <w:rsid w:val="009D44F3"/>
    <w:rsid w:val="009D44F9"/>
    <w:rsid w:val="009D4512"/>
    <w:rsid w:val="009D45CB"/>
    <w:rsid w:val="009D461B"/>
    <w:rsid w:val="009D4627"/>
    <w:rsid w:val="009D466F"/>
    <w:rsid w:val="009D4684"/>
    <w:rsid w:val="009D46E7"/>
    <w:rsid w:val="009D4730"/>
    <w:rsid w:val="009D4782"/>
    <w:rsid w:val="009D478D"/>
    <w:rsid w:val="009D4880"/>
    <w:rsid w:val="009D4AAB"/>
    <w:rsid w:val="009D4B50"/>
    <w:rsid w:val="009D4BBB"/>
    <w:rsid w:val="009D4BC3"/>
    <w:rsid w:val="009D4BFA"/>
    <w:rsid w:val="009D4C22"/>
    <w:rsid w:val="009D4CAF"/>
    <w:rsid w:val="009D4DEF"/>
    <w:rsid w:val="009D4E2F"/>
    <w:rsid w:val="009D4EF6"/>
    <w:rsid w:val="009D501F"/>
    <w:rsid w:val="009D504C"/>
    <w:rsid w:val="009D51C0"/>
    <w:rsid w:val="009D51DF"/>
    <w:rsid w:val="009D5223"/>
    <w:rsid w:val="009D5352"/>
    <w:rsid w:val="009D5358"/>
    <w:rsid w:val="009D53A6"/>
    <w:rsid w:val="009D53A9"/>
    <w:rsid w:val="009D53CF"/>
    <w:rsid w:val="009D5425"/>
    <w:rsid w:val="009D545F"/>
    <w:rsid w:val="009D5465"/>
    <w:rsid w:val="009D5561"/>
    <w:rsid w:val="009D5582"/>
    <w:rsid w:val="009D5587"/>
    <w:rsid w:val="009D560E"/>
    <w:rsid w:val="009D5641"/>
    <w:rsid w:val="009D566E"/>
    <w:rsid w:val="009D56B0"/>
    <w:rsid w:val="009D56B7"/>
    <w:rsid w:val="009D56CF"/>
    <w:rsid w:val="009D570E"/>
    <w:rsid w:val="009D576E"/>
    <w:rsid w:val="009D5799"/>
    <w:rsid w:val="009D57F6"/>
    <w:rsid w:val="009D5837"/>
    <w:rsid w:val="009D5894"/>
    <w:rsid w:val="009D597F"/>
    <w:rsid w:val="009D59D6"/>
    <w:rsid w:val="009D5B18"/>
    <w:rsid w:val="009D5B21"/>
    <w:rsid w:val="009D5C03"/>
    <w:rsid w:val="009D5C0C"/>
    <w:rsid w:val="009D5C0F"/>
    <w:rsid w:val="009D5C95"/>
    <w:rsid w:val="009D5CC2"/>
    <w:rsid w:val="009D5D66"/>
    <w:rsid w:val="009D5E2F"/>
    <w:rsid w:val="009D5E8D"/>
    <w:rsid w:val="009D5F12"/>
    <w:rsid w:val="009D5F35"/>
    <w:rsid w:val="009D5F75"/>
    <w:rsid w:val="009D5FB8"/>
    <w:rsid w:val="009D6003"/>
    <w:rsid w:val="009D60D1"/>
    <w:rsid w:val="009D6110"/>
    <w:rsid w:val="009D6131"/>
    <w:rsid w:val="009D6300"/>
    <w:rsid w:val="009D6331"/>
    <w:rsid w:val="009D6371"/>
    <w:rsid w:val="009D638B"/>
    <w:rsid w:val="009D63CE"/>
    <w:rsid w:val="009D63D6"/>
    <w:rsid w:val="009D645F"/>
    <w:rsid w:val="009D64E6"/>
    <w:rsid w:val="009D6533"/>
    <w:rsid w:val="009D6551"/>
    <w:rsid w:val="009D6627"/>
    <w:rsid w:val="009D672B"/>
    <w:rsid w:val="009D6789"/>
    <w:rsid w:val="009D67B0"/>
    <w:rsid w:val="009D67DD"/>
    <w:rsid w:val="009D68A9"/>
    <w:rsid w:val="009D68CB"/>
    <w:rsid w:val="009D6997"/>
    <w:rsid w:val="009D69AF"/>
    <w:rsid w:val="009D69C1"/>
    <w:rsid w:val="009D6A33"/>
    <w:rsid w:val="009D6A53"/>
    <w:rsid w:val="009D6A5A"/>
    <w:rsid w:val="009D6A89"/>
    <w:rsid w:val="009D6B7D"/>
    <w:rsid w:val="009D6BB0"/>
    <w:rsid w:val="009D6C25"/>
    <w:rsid w:val="009D6CBE"/>
    <w:rsid w:val="009D6CEE"/>
    <w:rsid w:val="009D6D43"/>
    <w:rsid w:val="009D6D8B"/>
    <w:rsid w:val="009D6DE1"/>
    <w:rsid w:val="009D6E3C"/>
    <w:rsid w:val="009D6E69"/>
    <w:rsid w:val="009D6F01"/>
    <w:rsid w:val="009D6F93"/>
    <w:rsid w:val="009D7068"/>
    <w:rsid w:val="009D7076"/>
    <w:rsid w:val="009D707F"/>
    <w:rsid w:val="009D7143"/>
    <w:rsid w:val="009D7149"/>
    <w:rsid w:val="009D72DA"/>
    <w:rsid w:val="009D7349"/>
    <w:rsid w:val="009D734D"/>
    <w:rsid w:val="009D7393"/>
    <w:rsid w:val="009D73F1"/>
    <w:rsid w:val="009D742C"/>
    <w:rsid w:val="009D74C8"/>
    <w:rsid w:val="009D74CB"/>
    <w:rsid w:val="009D75F4"/>
    <w:rsid w:val="009D7675"/>
    <w:rsid w:val="009D76CD"/>
    <w:rsid w:val="009D7749"/>
    <w:rsid w:val="009D777E"/>
    <w:rsid w:val="009D7841"/>
    <w:rsid w:val="009D7852"/>
    <w:rsid w:val="009D7892"/>
    <w:rsid w:val="009D789B"/>
    <w:rsid w:val="009D79C6"/>
    <w:rsid w:val="009D7A8D"/>
    <w:rsid w:val="009D7A9F"/>
    <w:rsid w:val="009D7AD2"/>
    <w:rsid w:val="009D7AE5"/>
    <w:rsid w:val="009D7B26"/>
    <w:rsid w:val="009D7B30"/>
    <w:rsid w:val="009D7B8F"/>
    <w:rsid w:val="009D7BCA"/>
    <w:rsid w:val="009D7BF6"/>
    <w:rsid w:val="009D7C4D"/>
    <w:rsid w:val="009D7CAD"/>
    <w:rsid w:val="009D7D4C"/>
    <w:rsid w:val="009D7D77"/>
    <w:rsid w:val="009D7DEB"/>
    <w:rsid w:val="009D7E33"/>
    <w:rsid w:val="009D7E58"/>
    <w:rsid w:val="009D7E91"/>
    <w:rsid w:val="009D7ED7"/>
    <w:rsid w:val="009D7F02"/>
    <w:rsid w:val="009D7F18"/>
    <w:rsid w:val="009D8644"/>
    <w:rsid w:val="009E0014"/>
    <w:rsid w:val="009E001F"/>
    <w:rsid w:val="009E002D"/>
    <w:rsid w:val="009E003A"/>
    <w:rsid w:val="009E0051"/>
    <w:rsid w:val="009E00F6"/>
    <w:rsid w:val="009E0191"/>
    <w:rsid w:val="009E01EB"/>
    <w:rsid w:val="009E020B"/>
    <w:rsid w:val="009E0266"/>
    <w:rsid w:val="009E029A"/>
    <w:rsid w:val="009E02C7"/>
    <w:rsid w:val="009E02D9"/>
    <w:rsid w:val="009E02DF"/>
    <w:rsid w:val="009E038D"/>
    <w:rsid w:val="009E0396"/>
    <w:rsid w:val="009E03C7"/>
    <w:rsid w:val="009E03E2"/>
    <w:rsid w:val="009E0436"/>
    <w:rsid w:val="009E043B"/>
    <w:rsid w:val="009E047B"/>
    <w:rsid w:val="009E04C0"/>
    <w:rsid w:val="009E04C8"/>
    <w:rsid w:val="009E04D8"/>
    <w:rsid w:val="009E05CE"/>
    <w:rsid w:val="009E060C"/>
    <w:rsid w:val="009E0650"/>
    <w:rsid w:val="009E065A"/>
    <w:rsid w:val="009E06BB"/>
    <w:rsid w:val="009E0726"/>
    <w:rsid w:val="009E0758"/>
    <w:rsid w:val="009E0794"/>
    <w:rsid w:val="009E07A7"/>
    <w:rsid w:val="009E07D8"/>
    <w:rsid w:val="009E07FF"/>
    <w:rsid w:val="009E0810"/>
    <w:rsid w:val="009E0839"/>
    <w:rsid w:val="009E0887"/>
    <w:rsid w:val="009E0939"/>
    <w:rsid w:val="009E0A7F"/>
    <w:rsid w:val="009E0AA4"/>
    <w:rsid w:val="009E0B06"/>
    <w:rsid w:val="009E0BA8"/>
    <w:rsid w:val="009E0C78"/>
    <w:rsid w:val="009E0C84"/>
    <w:rsid w:val="009E0D91"/>
    <w:rsid w:val="009E0DD8"/>
    <w:rsid w:val="009E0E24"/>
    <w:rsid w:val="009E0E4F"/>
    <w:rsid w:val="009E0EC8"/>
    <w:rsid w:val="009E0EFF"/>
    <w:rsid w:val="009E0F28"/>
    <w:rsid w:val="009E0F50"/>
    <w:rsid w:val="009E0F60"/>
    <w:rsid w:val="009E0F75"/>
    <w:rsid w:val="009E0F76"/>
    <w:rsid w:val="009E100A"/>
    <w:rsid w:val="009E1023"/>
    <w:rsid w:val="009E1037"/>
    <w:rsid w:val="009E1044"/>
    <w:rsid w:val="009E1071"/>
    <w:rsid w:val="009E111A"/>
    <w:rsid w:val="009E1262"/>
    <w:rsid w:val="009E1295"/>
    <w:rsid w:val="009E12AA"/>
    <w:rsid w:val="009E12C5"/>
    <w:rsid w:val="009E12FD"/>
    <w:rsid w:val="009E1366"/>
    <w:rsid w:val="009E13B3"/>
    <w:rsid w:val="009E1415"/>
    <w:rsid w:val="009E145F"/>
    <w:rsid w:val="009E14FD"/>
    <w:rsid w:val="009E151F"/>
    <w:rsid w:val="009E1555"/>
    <w:rsid w:val="009E156F"/>
    <w:rsid w:val="009E1677"/>
    <w:rsid w:val="009E16BB"/>
    <w:rsid w:val="009E16BF"/>
    <w:rsid w:val="009E16D7"/>
    <w:rsid w:val="009E1754"/>
    <w:rsid w:val="009E17DB"/>
    <w:rsid w:val="009E181E"/>
    <w:rsid w:val="009E1851"/>
    <w:rsid w:val="009E18F1"/>
    <w:rsid w:val="009E18F5"/>
    <w:rsid w:val="009E190B"/>
    <w:rsid w:val="009E191E"/>
    <w:rsid w:val="009E1930"/>
    <w:rsid w:val="009E19BF"/>
    <w:rsid w:val="009E1A28"/>
    <w:rsid w:val="009E1A45"/>
    <w:rsid w:val="009E1A65"/>
    <w:rsid w:val="009E1A66"/>
    <w:rsid w:val="009E1B3A"/>
    <w:rsid w:val="009E1BE8"/>
    <w:rsid w:val="009E1D42"/>
    <w:rsid w:val="009E1D97"/>
    <w:rsid w:val="009E1DA9"/>
    <w:rsid w:val="009E1E56"/>
    <w:rsid w:val="009E1E86"/>
    <w:rsid w:val="009E1F5A"/>
    <w:rsid w:val="009E2037"/>
    <w:rsid w:val="009E2151"/>
    <w:rsid w:val="009E218B"/>
    <w:rsid w:val="009E21FE"/>
    <w:rsid w:val="009E221B"/>
    <w:rsid w:val="009E2267"/>
    <w:rsid w:val="009E22F1"/>
    <w:rsid w:val="009E2325"/>
    <w:rsid w:val="009E2391"/>
    <w:rsid w:val="009E2496"/>
    <w:rsid w:val="009E2516"/>
    <w:rsid w:val="009E2527"/>
    <w:rsid w:val="009E25E8"/>
    <w:rsid w:val="009E270F"/>
    <w:rsid w:val="009E2847"/>
    <w:rsid w:val="009E28ED"/>
    <w:rsid w:val="009E293D"/>
    <w:rsid w:val="009E29AD"/>
    <w:rsid w:val="009E29C0"/>
    <w:rsid w:val="009E2B29"/>
    <w:rsid w:val="009E2B32"/>
    <w:rsid w:val="009E2B69"/>
    <w:rsid w:val="009E2BBB"/>
    <w:rsid w:val="009E2CD0"/>
    <w:rsid w:val="009E2D5C"/>
    <w:rsid w:val="009E2DDF"/>
    <w:rsid w:val="009E2E1B"/>
    <w:rsid w:val="009E2E1F"/>
    <w:rsid w:val="009E2E5C"/>
    <w:rsid w:val="009E2EB1"/>
    <w:rsid w:val="009E2F2D"/>
    <w:rsid w:val="009E2F2E"/>
    <w:rsid w:val="009E2F3D"/>
    <w:rsid w:val="009E2F6E"/>
    <w:rsid w:val="009E3039"/>
    <w:rsid w:val="009E309B"/>
    <w:rsid w:val="009E30CD"/>
    <w:rsid w:val="009E311A"/>
    <w:rsid w:val="009E325B"/>
    <w:rsid w:val="009E3276"/>
    <w:rsid w:val="009E32A7"/>
    <w:rsid w:val="009E32AA"/>
    <w:rsid w:val="009E32F0"/>
    <w:rsid w:val="009E3305"/>
    <w:rsid w:val="009E33E6"/>
    <w:rsid w:val="009E34A6"/>
    <w:rsid w:val="009E34C1"/>
    <w:rsid w:val="009E351B"/>
    <w:rsid w:val="009E3524"/>
    <w:rsid w:val="009E357E"/>
    <w:rsid w:val="009E35A8"/>
    <w:rsid w:val="009E3610"/>
    <w:rsid w:val="009E3615"/>
    <w:rsid w:val="009E36B8"/>
    <w:rsid w:val="009E36E8"/>
    <w:rsid w:val="009E3766"/>
    <w:rsid w:val="009E377F"/>
    <w:rsid w:val="009E3786"/>
    <w:rsid w:val="009E37C2"/>
    <w:rsid w:val="009E37F7"/>
    <w:rsid w:val="009E38A2"/>
    <w:rsid w:val="009E391C"/>
    <w:rsid w:val="009E3970"/>
    <w:rsid w:val="009E3985"/>
    <w:rsid w:val="009E39B2"/>
    <w:rsid w:val="009E39BA"/>
    <w:rsid w:val="009E39E5"/>
    <w:rsid w:val="009E3A4B"/>
    <w:rsid w:val="009E3A90"/>
    <w:rsid w:val="009E3AD4"/>
    <w:rsid w:val="009E3B2A"/>
    <w:rsid w:val="009E3B7A"/>
    <w:rsid w:val="009E3BDC"/>
    <w:rsid w:val="009E3C08"/>
    <w:rsid w:val="009E3C19"/>
    <w:rsid w:val="009E3C29"/>
    <w:rsid w:val="009E3C51"/>
    <w:rsid w:val="009E3E16"/>
    <w:rsid w:val="009E3E4A"/>
    <w:rsid w:val="009E3F20"/>
    <w:rsid w:val="009E3F48"/>
    <w:rsid w:val="009E3F57"/>
    <w:rsid w:val="009E3FAB"/>
    <w:rsid w:val="009E4069"/>
    <w:rsid w:val="009E408A"/>
    <w:rsid w:val="009E4142"/>
    <w:rsid w:val="009E4237"/>
    <w:rsid w:val="009E4242"/>
    <w:rsid w:val="009E429F"/>
    <w:rsid w:val="009E42A1"/>
    <w:rsid w:val="009E43D9"/>
    <w:rsid w:val="009E44A0"/>
    <w:rsid w:val="009E44BE"/>
    <w:rsid w:val="009E44C0"/>
    <w:rsid w:val="009E44DB"/>
    <w:rsid w:val="009E451D"/>
    <w:rsid w:val="009E454D"/>
    <w:rsid w:val="009E45BC"/>
    <w:rsid w:val="009E4600"/>
    <w:rsid w:val="009E46F0"/>
    <w:rsid w:val="009E4703"/>
    <w:rsid w:val="009E4715"/>
    <w:rsid w:val="009E47D9"/>
    <w:rsid w:val="009E48FB"/>
    <w:rsid w:val="009E4908"/>
    <w:rsid w:val="009E491D"/>
    <w:rsid w:val="009E4934"/>
    <w:rsid w:val="009E4985"/>
    <w:rsid w:val="009E49A4"/>
    <w:rsid w:val="009E49BC"/>
    <w:rsid w:val="009E4A03"/>
    <w:rsid w:val="009E4A22"/>
    <w:rsid w:val="009E4A32"/>
    <w:rsid w:val="009E4A5F"/>
    <w:rsid w:val="009E4ACF"/>
    <w:rsid w:val="009E4AD9"/>
    <w:rsid w:val="009E4B24"/>
    <w:rsid w:val="009E4B93"/>
    <w:rsid w:val="009E4BC4"/>
    <w:rsid w:val="009E4C9C"/>
    <w:rsid w:val="009E4CB8"/>
    <w:rsid w:val="009E4CCD"/>
    <w:rsid w:val="009E4CEC"/>
    <w:rsid w:val="009E4CF8"/>
    <w:rsid w:val="009E4D55"/>
    <w:rsid w:val="009E4DB8"/>
    <w:rsid w:val="009E4DC1"/>
    <w:rsid w:val="009E4E1A"/>
    <w:rsid w:val="009E4E6B"/>
    <w:rsid w:val="009E4EA0"/>
    <w:rsid w:val="009E50A0"/>
    <w:rsid w:val="009E50A6"/>
    <w:rsid w:val="009E5148"/>
    <w:rsid w:val="009E5169"/>
    <w:rsid w:val="009E52C3"/>
    <w:rsid w:val="009E52E7"/>
    <w:rsid w:val="009E52E8"/>
    <w:rsid w:val="009E5303"/>
    <w:rsid w:val="009E5306"/>
    <w:rsid w:val="009E5380"/>
    <w:rsid w:val="009E53D7"/>
    <w:rsid w:val="009E5433"/>
    <w:rsid w:val="009E550B"/>
    <w:rsid w:val="009E55E3"/>
    <w:rsid w:val="009E5650"/>
    <w:rsid w:val="009E56E1"/>
    <w:rsid w:val="009E570C"/>
    <w:rsid w:val="009E5718"/>
    <w:rsid w:val="009E57A6"/>
    <w:rsid w:val="009E583B"/>
    <w:rsid w:val="009E5882"/>
    <w:rsid w:val="009E59B4"/>
    <w:rsid w:val="009E59B5"/>
    <w:rsid w:val="009E5B56"/>
    <w:rsid w:val="009E5B58"/>
    <w:rsid w:val="009E5BC6"/>
    <w:rsid w:val="009E5CC3"/>
    <w:rsid w:val="009E5CCF"/>
    <w:rsid w:val="009E5D0F"/>
    <w:rsid w:val="009E5D11"/>
    <w:rsid w:val="009E5D13"/>
    <w:rsid w:val="009E5D58"/>
    <w:rsid w:val="009E5E4A"/>
    <w:rsid w:val="009E5E50"/>
    <w:rsid w:val="009E5E5D"/>
    <w:rsid w:val="009E5E74"/>
    <w:rsid w:val="009E5EF9"/>
    <w:rsid w:val="009E5EFA"/>
    <w:rsid w:val="009E5F83"/>
    <w:rsid w:val="009E6035"/>
    <w:rsid w:val="009E608A"/>
    <w:rsid w:val="009E6096"/>
    <w:rsid w:val="009E60C4"/>
    <w:rsid w:val="009E60E7"/>
    <w:rsid w:val="009E6126"/>
    <w:rsid w:val="009E61D2"/>
    <w:rsid w:val="009E6238"/>
    <w:rsid w:val="009E6338"/>
    <w:rsid w:val="009E635B"/>
    <w:rsid w:val="009E6391"/>
    <w:rsid w:val="009E63BF"/>
    <w:rsid w:val="009E63DB"/>
    <w:rsid w:val="009E6441"/>
    <w:rsid w:val="009E646D"/>
    <w:rsid w:val="009E6529"/>
    <w:rsid w:val="009E65F7"/>
    <w:rsid w:val="009E6628"/>
    <w:rsid w:val="009E6635"/>
    <w:rsid w:val="009E6671"/>
    <w:rsid w:val="009E66C7"/>
    <w:rsid w:val="009E678B"/>
    <w:rsid w:val="009E67FC"/>
    <w:rsid w:val="009E68DB"/>
    <w:rsid w:val="009E6959"/>
    <w:rsid w:val="009E6965"/>
    <w:rsid w:val="009E69A0"/>
    <w:rsid w:val="009E69BA"/>
    <w:rsid w:val="009E6A08"/>
    <w:rsid w:val="009E6A14"/>
    <w:rsid w:val="009E6B51"/>
    <w:rsid w:val="009E6B97"/>
    <w:rsid w:val="009E6C14"/>
    <w:rsid w:val="009E6C99"/>
    <w:rsid w:val="009E6CC4"/>
    <w:rsid w:val="009E6CCA"/>
    <w:rsid w:val="009E6E30"/>
    <w:rsid w:val="009E6E6C"/>
    <w:rsid w:val="009E6EF2"/>
    <w:rsid w:val="009E6F25"/>
    <w:rsid w:val="009E6F46"/>
    <w:rsid w:val="009E6F72"/>
    <w:rsid w:val="009E6FE7"/>
    <w:rsid w:val="009E707B"/>
    <w:rsid w:val="009E710C"/>
    <w:rsid w:val="009E712A"/>
    <w:rsid w:val="009E7154"/>
    <w:rsid w:val="009E7233"/>
    <w:rsid w:val="009E72D1"/>
    <w:rsid w:val="009E72E3"/>
    <w:rsid w:val="009E72FD"/>
    <w:rsid w:val="009E7339"/>
    <w:rsid w:val="009E742A"/>
    <w:rsid w:val="009E74F0"/>
    <w:rsid w:val="009E74F2"/>
    <w:rsid w:val="009E74F9"/>
    <w:rsid w:val="009E7536"/>
    <w:rsid w:val="009E75DC"/>
    <w:rsid w:val="009E7623"/>
    <w:rsid w:val="009E768B"/>
    <w:rsid w:val="009E77FA"/>
    <w:rsid w:val="009E7818"/>
    <w:rsid w:val="009E784B"/>
    <w:rsid w:val="009E784F"/>
    <w:rsid w:val="009E78FC"/>
    <w:rsid w:val="009E7924"/>
    <w:rsid w:val="009E7A17"/>
    <w:rsid w:val="009E7A98"/>
    <w:rsid w:val="009E7AB7"/>
    <w:rsid w:val="009E7B1F"/>
    <w:rsid w:val="009E7B4F"/>
    <w:rsid w:val="009E7B8D"/>
    <w:rsid w:val="009E7BBE"/>
    <w:rsid w:val="009E7C00"/>
    <w:rsid w:val="009E7C65"/>
    <w:rsid w:val="009E7D02"/>
    <w:rsid w:val="009E7D8C"/>
    <w:rsid w:val="009E7E00"/>
    <w:rsid w:val="009E7E72"/>
    <w:rsid w:val="009E7EBF"/>
    <w:rsid w:val="009E7F21"/>
    <w:rsid w:val="009E7F23"/>
    <w:rsid w:val="009E7F2A"/>
    <w:rsid w:val="009E7F61"/>
    <w:rsid w:val="009E7F9E"/>
    <w:rsid w:val="009E7F9F"/>
    <w:rsid w:val="009F0016"/>
    <w:rsid w:val="009F0040"/>
    <w:rsid w:val="009F008A"/>
    <w:rsid w:val="009F00A1"/>
    <w:rsid w:val="009F00BE"/>
    <w:rsid w:val="009F0162"/>
    <w:rsid w:val="009F019B"/>
    <w:rsid w:val="009F01A7"/>
    <w:rsid w:val="009F01AE"/>
    <w:rsid w:val="009F01D9"/>
    <w:rsid w:val="009F01E2"/>
    <w:rsid w:val="009F02CC"/>
    <w:rsid w:val="009F02D5"/>
    <w:rsid w:val="009F0331"/>
    <w:rsid w:val="009F0442"/>
    <w:rsid w:val="009F0443"/>
    <w:rsid w:val="009F0469"/>
    <w:rsid w:val="009F04E1"/>
    <w:rsid w:val="009F04FF"/>
    <w:rsid w:val="009F061E"/>
    <w:rsid w:val="009F064A"/>
    <w:rsid w:val="009F0760"/>
    <w:rsid w:val="009F07D2"/>
    <w:rsid w:val="009F0813"/>
    <w:rsid w:val="009F0869"/>
    <w:rsid w:val="009F08A0"/>
    <w:rsid w:val="009F08E3"/>
    <w:rsid w:val="009F08FE"/>
    <w:rsid w:val="009F0914"/>
    <w:rsid w:val="009F09AB"/>
    <w:rsid w:val="009F09BD"/>
    <w:rsid w:val="009F09BE"/>
    <w:rsid w:val="009F0A13"/>
    <w:rsid w:val="009F0A61"/>
    <w:rsid w:val="009F0ABE"/>
    <w:rsid w:val="009F0B39"/>
    <w:rsid w:val="009F0B69"/>
    <w:rsid w:val="009F0C12"/>
    <w:rsid w:val="009F0D41"/>
    <w:rsid w:val="009F0D45"/>
    <w:rsid w:val="009F0D5E"/>
    <w:rsid w:val="009F0D73"/>
    <w:rsid w:val="009F0DCA"/>
    <w:rsid w:val="009F0DFC"/>
    <w:rsid w:val="009F0EAF"/>
    <w:rsid w:val="009F0EB7"/>
    <w:rsid w:val="009F0F28"/>
    <w:rsid w:val="009F0F34"/>
    <w:rsid w:val="009F0F47"/>
    <w:rsid w:val="009F0F4F"/>
    <w:rsid w:val="009F0FAC"/>
    <w:rsid w:val="009F104B"/>
    <w:rsid w:val="009F10CB"/>
    <w:rsid w:val="009F10D5"/>
    <w:rsid w:val="009F11E6"/>
    <w:rsid w:val="009F1209"/>
    <w:rsid w:val="009F1272"/>
    <w:rsid w:val="009F1296"/>
    <w:rsid w:val="009F12B7"/>
    <w:rsid w:val="009F12F4"/>
    <w:rsid w:val="009F1374"/>
    <w:rsid w:val="009F138E"/>
    <w:rsid w:val="009F139E"/>
    <w:rsid w:val="009F13A5"/>
    <w:rsid w:val="009F13B0"/>
    <w:rsid w:val="009F13F8"/>
    <w:rsid w:val="009F1426"/>
    <w:rsid w:val="009F142B"/>
    <w:rsid w:val="009F143B"/>
    <w:rsid w:val="009F14BA"/>
    <w:rsid w:val="009F14DE"/>
    <w:rsid w:val="009F14EA"/>
    <w:rsid w:val="009F1552"/>
    <w:rsid w:val="009F156C"/>
    <w:rsid w:val="009F157A"/>
    <w:rsid w:val="009F157C"/>
    <w:rsid w:val="009F15C3"/>
    <w:rsid w:val="009F162E"/>
    <w:rsid w:val="009F1749"/>
    <w:rsid w:val="009F17BD"/>
    <w:rsid w:val="009F17C0"/>
    <w:rsid w:val="009F1805"/>
    <w:rsid w:val="009F1849"/>
    <w:rsid w:val="009F18D3"/>
    <w:rsid w:val="009F1900"/>
    <w:rsid w:val="009F190E"/>
    <w:rsid w:val="009F1A20"/>
    <w:rsid w:val="009F1A75"/>
    <w:rsid w:val="009F1A8E"/>
    <w:rsid w:val="009F1B4D"/>
    <w:rsid w:val="009F1BB5"/>
    <w:rsid w:val="009F1BDE"/>
    <w:rsid w:val="009F1C1A"/>
    <w:rsid w:val="009F1C3D"/>
    <w:rsid w:val="009F1C58"/>
    <w:rsid w:val="009F1CB2"/>
    <w:rsid w:val="009F1CD8"/>
    <w:rsid w:val="009F1D8D"/>
    <w:rsid w:val="009F1DEF"/>
    <w:rsid w:val="009F1E3B"/>
    <w:rsid w:val="009F1E71"/>
    <w:rsid w:val="009F1F4A"/>
    <w:rsid w:val="009F1FA2"/>
    <w:rsid w:val="009F2015"/>
    <w:rsid w:val="009F202F"/>
    <w:rsid w:val="009F2131"/>
    <w:rsid w:val="009F21AB"/>
    <w:rsid w:val="009F2212"/>
    <w:rsid w:val="009F2253"/>
    <w:rsid w:val="009F227B"/>
    <w:rsid w:val="009F22B8"/>
    <w:rsid w:val="009F22C0"/>
    <w:rsid w:val="009F22DF"/>
    <w:rsid w:val="009F2334"/>
    <w:rsid w:val="009F235E"/>
    <w:rsid w:val="009F23FA"/>
    <w:rsid w:val="009F244A"/>
    <w:rsid w:val="009F24B1"/>
    <w:rsid w:val="009F252E"/>
    <w:rsid w:val="009F254C"/>
    <w:rsid w:val="009F257D"/>
    <w:rsid w:val="009F2586"/>
    <w:rsid w:val="009F2598"/>
    <w:rsid w:val="009F25B6"/>
    <w:rsid w:val="009F26DB"/>
    <w:rsid w:val="009F2722"/>
    <w:rsid w:val="009F2743"/>
    <w:rsid w:val="009F27CB"/>
    <w:rsid w:val="009F2842"/>
    <w:rsid w:val="009F288E"/>
    <w:rsid w:val="009F290E"/>
    <w:rsid w:val="009F2936"/>
    <w:rsid w:val="009F2ABB"/>
    <w:rsid w:val="009F2B01"/>
    <w:rsid w:val="009F2B3C"/>
    <w:rsid w:val="009F2B4D"/>
    <w:rsid w:val="009F2BC5"/>
    <w:rsid w:val="009F2BF3"/>
    <w:rsid w:val="009F2C0F"/>
    <w:rsid w:val="009F2C75"/>
    <w:rsid w:val="009F2D20"/>
    <w:rsid w:val="009F2DC9"/>
    <w:rsid w:val="009F2DD1"/>
    <w:rsid w:val="009F2E10"/>
    <w:rsid w:val="009F2F38"/>
    <w:rsid w:val="009F2F71"/>
    <w:rsid w:val="009F3001"/>
    <w:rsid w:val="009F3048"/>
    <w:rsid w:val="009F3125"/>
    <w:rsid w:val="009F3154"/>
    <w:rsid w:val="009F3378"/>
    <w:rsid w:val="009F3392"/>
    <w:rsid w:val="009F33B4"/>
    <w:rsid w:val="009F3432"/>
    <w:rsid w:val="009F346A"/>
    <w:rsid w:val="009F348F"/>
    <w:rsid w:val="009F35CD"/>
    <w:rsid w:val="009F35F8"/>
    <w:rsid w:val="009F362B"/>
    <w:rsid w:val="009F3706"/>
    <w:rsid w:val="009F370D"/>
    <w:rsid w:val="009F3731"/>
    <w:rsid w:val="009F373F"/>
    <w:rsid w:val="009F3897"/>
    <w:rsid w:val="009F3941"/>
    <w:rsid w:val="009F3957"/>
    <w:rsid w:val="009F395E"/>
    <w:rsid w:val="009F398A"/>
    <w:rsid w:val="009F39A3"/>
    <w:rsid w:val="009F39EC"/>
    <w:rsid w:val="009F3A30"/>
    <w:rsid w:val="009F3A6E"/>
    <w:rsid w:val="009F3ACC"/>
    <w:rsid w:val="009F3AEC"/>
    <w:rsid w:val="009F3AEF"/>
    <w:rsid w:val="009F3B38"/>
    <w:rsid w:val="009F3B45"/>
    <w:rsid w:val="009F3B78"/>
    <w:rsid w:val="009F3B86"/>
    <w:rsid w:val="009F3C54"/>
    <w:rsid w:val="009F3DDD"/>
    <w:rsid w:val="009F3EB1"/>
    <w:rsid w:val="009F3EBA"/>
    <w:rsid w:val="009F3F65"/>
    <w:rsid w:val="009F3F95"/>
    <w:rsid w:val="009F40A0"/>
    <w:rsid w:val="009F41AC"/>
    <w:rsid w:val="009F41D9"/>
    <w:rsid w:val="009F4378"/>
    <w:rsid w:val="009F43C5"/>
    <w:rsid w:val="009F43F5"/>
    <w:rsid w:val="009F4430"/>
    <w:rsid w:val="009F444D"/>
    <w:rsid w:val="009F44E7"/>
    <w:rsid w:val="009F4547"/>
    <w:rsid w:val="009F4551"/>
    <w:rsid w:val="009F4599"/>
    <w:rsid w:val="009F465F"/>
    <w:rsid w:val="009F468D"/>
    <w:rsid w:val="009F4785"/>
    <w:rsid w:val="009F47D6"/>
    <w:rsid w:val="009F4805"/>
    <w:rsid w:val="009F4897"/>
    <w:rsid w:val="009F489F"/>
    <w:rsid w:val="009F48E2"/>
    <w:rsid w:val="009F4923"/>
    <w:rsid w:val="009F49A7"/>
    <w:rsid w:val="009F49C5"/>
    <w:rsid w:val="009F4A26"/>
    <w:rsid w:val="009F4A2E"/>
    <w:rsid w:val="009F4BFF"/>
    <w:rsid w:val="009F4C00"/>
    <w:rsid w:val="009F4C62"/>
    <w:rsid w:val="009F4C7A"/>
    <w:rsid w:val="009F4C87"/>
    <w:rsid w:val="009F4D1F"/>
    <w:rsid w:val="009F4D7E"/>
    <w:rsid w:val="009F4D84"/>
    <w:rsid w:val="009F4E92"/>
    <w:rsid w:val="009F4EA0"/>
    <w:rsid w:val="009F4EA5"/>
    <w:rsid w:val="009F4ED1"/>
    <w:rsid w:val="009F4F04"/>
    <w:rsid w:val="009F4FB3"/>
    <w:rsid w:val="009F5092"/>
    <w:rsid w:val="009F513E"/>
    <w:rsid w:val="009F518F"/>
    <w:rsid w:val="009F51BD"/>
    <w:rsid w:val="009F5281"/>
    <w:rsid w:val="009F52C1"/>
    <w:rsid w:val="009F52F5"/>
    <w:rsid w:val="009F5363"/>
    <w:rsid w:val="009F53EF"/>
    <w:rsid w:val="009F54AE"/>
    <w:rsid w:val="009F54C0"/>
    <w:rsid w:val="009F550C"/>
    <w:rsid w:val="009F5514"/>
    <w:rsid w:val="009F5567"/>
    <w:rsid w:val="009F55DB"/>
    <w:rsid w:val="009F56A5"/>
    <w:rsid w:val="009F5716"/>
    <w:rsid w:val="009F571A"/>
    <w:rsid w:val="009F5786"/>
    <w:rsid w:val="009F57A9"/>
    <w:rsid w:val="009F57D5"/>
    <w:rsid w:val="009F587B"/>
    <w:rsid w:val="009F58A8"/>
    <w:rsid w:val="009F58EB"/>
    <w:rsid w:val="009F5916"/>
    <w:rsid w:val="009F591B"/>
    <w:rsid w:val="009F591E"/>
    <w:rsid w:val="009F5955"/>
    <w:rsid w:val="009F5960"/>
    <w:rsid w:val="009F5A11"/>
    <w:rsid w:val="009F5AA0"/>
    <w:rsid w:val="009F5AFC"/>
    <w:rsid w:val="009F5B31"/>
    <w:rsid w:val="009F5B3B"/>
    <w:rsid w:val="009F5BB0"/>
    <w:rsid w:val="009F5BFA"/>
    <w:rsid w:val="009F5C32"/>
    <w:rsid w:val="009F5C53"/>
    <w:rsid w:val="009F5D93"/>
    <w:rsid w:val="009F5DA1"/>
    <w:rsid w:val="009F5DC5"/>
    <w:rsid w:val="009F5E65"/>
    <w:rsid w:val="009F5EBB"/>
    <w:rsid w:val="009F5F5C"/>
    <w:rsid w:val="009F6059"/>
    <w:rsid w:val="009F610F"/>
    <w:rsid w:val="009F616B"/>
    <w:rsid w:val="009F616D"/>
    <w:rsid w:val="009F618D"/>
    <w:rsid w:val="009F61CC"/>
    <w:rsid w:val="009F6269"/>
    <w:rsid w:val="009F626E"/>
    <w:rsid w:val="009F62F4"/>
    <w:rsid w:val="009F630F"/>
    <w:rsid w:val="009F6333"/>
    <w:rsid w:val="009F634B"/>
    <w:rsid w:val="009F6367"/>
    <w:rsid w:val="009F63F1"/>
    <w:rsid w:val="009F6404"/>
    <w:rsid w:val="009F642E"/>
    <w:rsid w:val="009F648C"/>
    <w:rsid w:val="009F65B3"/>
    <w:rsid w:val="009F65D4"/>
    <w:rsid w:val="009F65F3"/>
    <w:rsid w:val="009F6664"/>
    <w:rsid w:val="009F6685"/>
    <w:rsid w:val="009F66D8"/>
    <w:rsid w:val="009F6756"/>
    <w:rsid w:val="009F6790"/>
    <w:rsid w:val="009F686F"/>
    <w:rsid w:val="009F687D"/>
    <w:rsid w:val="009F6890"/>
    <w:rsid w:val="009F68B3"/>
    <w:rsid w:val="009F68D0"/>
    <w:rsid w:val="009F6931"/>
    <w:rsid w:val="009F693B"/>
    <w:rsid w:val="009F697F"/>
    <w:rsid w:val="009F6980"/>
    <w:rsid w:val="009F6A71"/>
    <w:rsid w:val="009F6A98"/>
    <w:rsid w:val="009F6B42"/>
    <w:rsid w:val="009F6B5E"/>
    <w:rsid w:val="009F6B5F"/>
    <w:rsid w:val="009F6BA4"/>
    <w:rsid w:val="009F6BC4"/>
    <w:rsid w:val="009F6BE3"/>
    <w:rsid w:val="009F6C10"/>
    <w:rsid w:val="009F6C38"/>
    <w:rsid w:val="009F6CCF"/>
    <w:rsid w:val="009F6D28"/>
    <w:rsid w:val="009F6D50"/>
    <w:rsid w:val="009F6E4B"/>
    <w:rsid w:val="009F6E7C"/>
    <w:rsid w:val="009F6EA7"/>
    <w:rsid w:val="009F705B"/>
    <w:rsid w:val="009F7063"/>
    <w:rsid w:val="009F70E3"/>
    <w:rsid w:val="009F70E9"/>
    <w:rsid w:val="009F7103"/>
    <w:rsid w:val="009F7109"/>
    <w:rsid w:val="009F710E"/>
    <w:rsid w:val="009F711A"/>
    <w:rsid w:val="009F7174"/>
    <w:rsid w:val="009F71B9"/>
    <w:rsid w:val="009F71E4"/>
    <w:rsid w:val="009F7261"/>
    <w:rsid w:val="009F7271"/>
    <w:rsid w:val="009F7279"/>
    <w:rsid w:val="009F727E"/>
    <w:rsid w:val="009F72BD"/>
    <w:rsid w:val="009F72D1"/>
    <w:rsid w:val="009F7325"/>
    <w:rsid w:val="009F73D6"/>
    <w:rsid w:val="009F73FE"/>
    <w:rsid w:val="009F7492"/>
    <w:rsid w:val="009F75FB"/>
    <w:rsid w:val="009F7645"/>
    <w:rsid w:val="009F77A6"/>
    <w:rsid w:val="009F782E"/>
    <w:rsid w:val="009F7839"/>
    <w:rsid w:val="009F7848"/>
    <w:rsid w:val="009F787D"/>
    <w:rsid w:val="009F7911"/>
    <w:rsid w:val="009F798D"/>
    <w:rsid w:val="009F79BB"/>
    <w:rsid w:val="009F79CB"/>
    <w:rsid w:val="009F79FF"/>
    <w:rsid w:val="009F7A01"/>
    <w:rsid w:val="009F7AC5"/>
    <w:rsid w:val="009F7B8A"/>
    <w:rsid w:val="009F7C04"/>
    <w:rsid w:val="009F7C14"/>
    <w:rsid w:val="009F7C3D"/>
    <w:rsid w:val="009F7CEF"/>
    <w:rsid w:val="009F7D18"/>
    <w:rsid w:val="009F7D34"/>
    <w:rsid w:val="009F7EBC"/>
    <w:rsid w:val="009F7EC5"/>
    <w:rsid w:val="009F7ECC"/>
    <w:rsid w:val="009F7F1A"/>
    <w:rsid w:val="009F7F98"/>
    <w:rsid w:val="009F7FAD"/>
    <w:rsid w:val="00A00010"/>
    <w:rsid w:val="00A00045"/>
    <w:rsid w:val="00A0005D"/>
    <w:rsid w:val="00A000E4"/>
    <w:rsid w:val="00A001F0"/>
    <w:rsid w:val="00A00257"/>
    <w:rsid w:val="00A003A1"/>
    <w:rsid w:val="00A00476"/>
    <w:rsid w:val="00A00669"/>
    <w:rsid w:val="00A006B5"/>
    <w:rsid w:val="00A0078F"/>
    <w:rsid w:val="00A00794"/>
    <w:rsid w:val="00A00833"/>
    <w:rsid w:val="00A00870"/>
    <w:rsid w:val="00A00908"/>
    <w:rsid w:val="00A0095B"/>
    <w:rsid w:val="00A0098E"/>
    <w:rsid w:val="00A009CE"/>
    <w:rsid w:val="00A009EF"/>
    <w:rsid w:val="00A00AD0"/>
    <w:rsid w:val="00A00AF0"/>
    <w:rsid w:val="00A00BBA"/>
    <w:rsid w:val="00A00D48"/>
    <w:rsid w:val="00A00D6B"/>
    <w:rsid w:val="00A00D9C"/>
    <w:rsid w:val="00A00DBB"/>
    <w:rsid w:val="00A00DDC"/>
    <w:rsid w:val="00A00E7E"/>
    <w:rsid w:val="00A00E89"/>
    <w:rsid w:val="00A00ECE"/>
    <w:rsid w:val="00A00F58"/>
    <w:rsid w:val="00A00FAB"/>
    <w:rsid w:val="00A01039"/>
    <w:rsid w:val="00A01041"/>
    <w:rsid w:val="00A01157"/>
    <w:rsid w:val="00A011B5"/>
    <w:rsid w:val="00A01213"/>
    <w:rsid w:val="00A01299"/>
    <w:rsid w:val="00A012B1"/>
    <w:rsid w:val="00A01316"/>
    <w:rsid w:val="00A01322"/>
    <w:rsid w:val="00A0142C"/>
    <w:rsid w:val="00A01489"/>
    <w:rsid w:val="00A015FF"/>
    <w:rsid w:val="00A016D8"/>
    <w:rsid w:val="00A01769"/>
    <w:rsid w:val="00A017BF"/>
    <w:rsid w:val="00A01817"/>
    <w:rsid w:val="00A0183F"/>
    <w:rsid w:val="00A01840"/>
    <w:rsid w:val="00A01857"/>
    <w:rsid w:val="00A01971"/>
    <w:rsid w:val="00A01AB7"/>
    <w:rsid w:val="00A01AFB"/>
    <w:rsid w:val="00A01B1F"/>
    <w:rsid w:val="00A01BB2"/>
    <w:rsid w:val="00A01BDD"/>
    <w:rsid w:val="00A01C15"/>
    <w:rsid w:val="00A01C37"/>
    <w:rsid w:val="00A01C5A"/>
    <w:rsid w:val="00A01CD2"/>
    <w:rsid w:val="00A01CDC"/>
    <w:rsid w:val="00A01D58"/>
    <w:rsid w:val="00A01F1D"/>
    <w:rsid w:val="00A01F8E"/>
    <w:rsid w:val="00A02031"/>
    <w:rsid w:val="00A0209F"/>
    <w:rsid w:val="00A020E3"/>
    <w:rsid w:val="00A020EF"/>
    <w:rsid w:val="00A021AD"/>
    <w:rsid w:val="00A02204"/>
    <w:rsid w:val="00A02213"/>
    <w:rsid w:val="00A022A2"/>
    <w:rsid w:val="00A0232A"/>
    <w:rsid w:val="00A02392"/>
    <w:rsid w:val="00A02411"/>
    <w:rsid w:val="00A024EC"/>
    <w:rsid w:val="00A025D0"/>
    <w:rsid w:val="00A025F0"/>
    <w:rsid w:val="00A02605"/>
    <w:rsid w:val="00A026D5"/>
    <w:rsid w:val="00A0274C"/>
    <w:rsid w:val="00A027A6"/>
    <w:rsid w:val="00A028E1"/>
    <w:rsid w:val="00A02923"/>
    <w:rsid w:val="00A02A62"/>
    <w:rsid w:val="00A02A87"/>
    <w:rsid w:val="00A02AB9"/>
    <w:rsid w:val="00A02AD3"/>
    <w:rsid w:val="00A02AFC"/>
    <w:rsid w:val="00A02BF9"/>
    <w:rsid w:val="00A02C1A"/>
    <w:rsid w:val="00A02C23"/>
    <w:rsid w:val="00A02C46"/>
    <w:rsid w:val="00A02C8C"/>
    <w:rsid w:val="00A02CAA"/>
    <w:rsid w:val="00A02CAC"/>
    <w:rsid w:val="00A02CCF"/>
    <w:rsid w:val="00A02E25"/>
    <w:rsid w:val="00A02E71"/>
    <w:rsid w:val="00A02F9C"/>
    <w:rsid w:val="00A02FEE"/>
    <w:rsid w:val="00A0307A"/>
    <w:rsid w:val="00A0309C"/>
    <w:rsid w:val="00A030F1"/>
    <w:rsid w:val="00A0310D"/>
    <w:rsid w:val="00A0314A"/>
    <w:rsid w:val="00A03207"/>
    <w:rsid w:val="00A03379"/>
    <w:rsid w:val="00A033C6"/>
    <w:rsid w:val="00A033D0"/>
    <w:rsid w:val="00A03445"/>
    <w:rsid w:val="00A0350D"/>
    <w:rsid w:val="00A03571"/>
    <w:rsid w:val="00A03587"/>
    <w:rsid w:val="00A03590"/>
    <w:rsid w:val="00A03614"/>
    <w:rsid w:val="00A03627"/>
    <w:rsid w:val="00A0367E"/>
    <w:rsid w:val="00A03738"/>
    <w:rsid w:val="00A0375A"/>
    <w:rsid w:val="00A0378E"/>
    <w:rsid w:val="00A037D0"/>
    <w:rsid w:val="00A0382C"/>
    <w:rsid w:val="00A0384E"/>
    <w:rsid w:val="00A039BE"/>
    <w:rsid w:val="00A039DC"/>
    <w:rsid w:val="00A03A56"/>
    <w:rsid w:val="00A03A5F"/>
    <w:rsid w:val="00A03B06"/>
    <w:rsid w:val="00A03BDE"/>
    <w:rsid w:val="00A03C03"/>
    <w:rsid w:val="00A03CCE"/>
    <w:rsid w:val="00A03CE5"/>
    <w:rsid w:val="00A03CF8"/>
    <w:rsid w:val="00A03D61"/>
    <w:rsid w:val="00A03DDE"/>
    <w:rsid w:val="00A03E75"/>
    <w:rsid w:val="00A03FA4"/>
    <w:rsid w:val="00A04054"/>
    <w:rsid w:val="00A04121"/>
    <w:rsid w:val="00A0412D"/>
    <w:rsid w:val="00A041A0"/>
    <w:rsid w:val="00A041F9"/>
    <w:rsid w:val="00A04255"/>
    <w:rsid w:val="00A04271"/>
    <w:rsid w:val="00A0427E"/>
    <w:rsid w:val="00A0436A"/>
    <w:rsid w:val="00A043DF"/>
    <w:rsid w:val="00A04439"/>
    <w:rsid w:val="00A044A1"/>
    <w:rsid w:val="00A044B9"/>
    <w:rsid w:val="00A044ED"/>
    <w:rsid w:val="00A0452F"/>
    <w:rsid w:val="00A04646"/>
    <w:rsid w:val="00A04667"/>
    <w:rsid w:val="00A046BD"/>
    <w:rsid w:val="00A0487D"/>
    <w:rsid w:val="00A049C2"/>
    <w:rsid w:val="00A04A86"/>
    <w:rsid w:val="00A04B7A"/>
    <w:rsid w:val="00A04C2E"/>
    <w:rsid w:val="00A04CC7"/>
    <w:rsid w:val="00A04D6E"/>
    <w:rsid w:val="00A04DA4"/>
    <w:rsid w:val="00A04DB8"/>
    <w:rsid w:val="00A04DF8"/>
    <w:rsid w:val="00A04E2B"/>
    <w:rsid w:val="00A04E8E"/>
    <w:rsid w:val="00A04E9E"/>
    <w:rsid w:val="00A04EF4"/>
    <w:rsid w:val="00A04F9E"/>
    <w:rsid w:val="00A04FE3"/>
    <w:rsid w:val="00A05020"/>
    <w:rsid w:val="00A05139"/>
    <w:rsid w:val="00A051B0"/>
    <w:rsid w:val="00A05217"/>
    <w:rsid w:val="00A052A5"/>
    <w:rsid w:val="00A05323"/>
    <w:rsid w:val="00A053A0"/>
    <w:rsid w:val="00A053D3"/>
    <w:rsid w:val="00A0555F"/>
    <w:rsid w:val="00A055A8"/>
    <w:rsid w:val="00A055AD"/>
    <w:rsid w:val="00A05607"/>
    <w:rsid w:val="00A05615"/>
    <w:rsid w:val="00A0561D"/>
    <w:rsid w:val="00A05647"/>
    <w:rsid w:val="00A0564B"/>
    <w:rsid w:val="00A0577B"/>
    <w:rsid w:val="00A057E4"/>
    <w:rsid w:val="00A05842"/>
    <w:rsid w:val="00A05890"/>
    <w:rsid w:val="00A05952"/>
    <w:rsid w:val="00A059B0"/>
    <w:rsid w:val="00A05A57"/>
    <w:rsid w:val="00A05B51"/>
    <w:rsid w:val="00A05C6E"/>
    <w:rsid w:val="00A05CF6"/>
    <w:rsid w:val="00A05D13"/>
    <w:rsid w:val="00A05D49"/>
    <w:rsid w:val="00A05E6C"/>
    <w:rsid w:val="00A05EBE"/>
    <w:rsid w:val="00A05EFB"/>
    <w:rsid w:val="00A05F03"/>
    <w:rsid w:val="00A05F74"/>
    <w:rsid w:val="00A05FA3"/>
    <w:rsid w:val="00A05FC5"/>
    <w:rsid w:val="00A0605F"/>
    <w:rsid w:val="00A06074"/>
    <w:rsid w:val="00A060C1"/>
    <w:rsid w:val="00A0615A"/>
    <w:rsid w:val="00A061D7"/>
    <w:rsid w:val="00A061E1"/>
    <w:rsid w:val="00A062F3"/>
    <w:rsid w:val="00A0631A"/>
    <w:rsid w:val="00A06370"/>
    <w:rsid w:val="00A063DF"/>
    <w:rsid w:val="00A063EB"/>
    <w:rsid w:val="00A06457"/>
    <w:rsid w:val="00A06518"/>
    <w:rsid w:val="00A06547"/>
    <w:rsid w:val="00A06554"/>
    <w:rsid w:val="00A06595"/>
    <w:rsid w:val="00A065FC"/>
    <w:rsid w:val="00A06615"/>
    <w:rsid w:val="00A066AE"/>
    <w:rsid w:val="00A066D2"/>
    <w:rsid w:val="00A066D9"/>
    <w:rsid w:val="00A0670D"/>
    <w:rsid w:val="00A06714"/>
    <w:rsid w:val="00A06715"/>
    <w:rsid w:val="00A06785"/>
    <w:rsid w:val="00A067B7"/>
    <w:rsid w:val="00A0685B"/>
    <w:rsid w:val="00A0690C"/>
    <w:rsid w:val="00A0691A"/>
    <w:rsid w:val="00A06986"/>
    <w:rsid w:val="00A069B5"/>
    <w:rsid w:val="00A06A1D"/>
    <w:rsid w:val="00A06A4C"/>
    <w:rsid w:val="00A06A9F"/>
    <w:rsid w:val="00A06AF9"/>
    <w:rsid w:val="00A06AFB"/>
    <w:rsid w:val="00A06B2B"/>
    <w:rsid w:val="00A06B7D"/>
    <w:rsid w:val="00A06C4D"/>
    <w:rsid w:val="00A06C6E"/>
    <w:rsid w:val="00A06C81"/>
    <w:rsid w:val="00A06CF5"/>
    <w:rsid w:val="00A06D2A"/>
    <w:rsid w:val="00A06D9C"/>
    <w:rsid w:val="00A06E1E"/>
    <w:rsid w:val="00A06E20"/>
    <w:rsid w:val="00A06E2A"/>
    <w:rsid w:val="00A06EDF"/>
    <w:rsid w:val="00A06F1C"/>
    <w:rsid w:val="00A06F4E"/>
    <w:rsid w:val="00A06F55"/>
    <w:rsid w:val="00A07064"/>
    <w:rsid w:val="00A0708F"/>
    <w:rsid w:val="00A07230"/>
    <w:rsid w:val="00A0724A"/>
    <w:rsid w:val="00A07268"/>
    <w:rsid w:val="00A072CF"/>
    <w:rsid w:val="00A0746D"/>
    <w:rsid w:val="00A075C6"/>
    <w:rsid w:val="00A07664"/>
    <w:rsid w:val="00A07726"/>
    <w:rsid w:val="00A0778F"/>
    <w:rsid w:val="00A077D5"/>
    <w:rsid w:val="00A077E9"/>
    <w:rsid w:val="00A07825"/>
    <w:rsid w:val="00A07873"/>
    <w:rsid w:val="00A078A4"/>
    <w:rsid w:val="00A078F4"/>
    <w:rsid w:val="00A079D4"/>
    <w:rsid w:val="00A07A17"/>
    <w:rsid w:val="00A07B73"/>
    <w:rsid w:val="00A07B98"/>
    <w:rsid w:val="00A07BA0"/>
    <w:rsid w:val="00A07C46"/>
    <w:rsid w:val="00A07D79"/>
    <w:rsid w:val="00A07E2F"/>
    <w:rsid w:val="00A07E55"/>
    <w:rsid w:val="00A07E68"/>
    <w:rsid w:val="00A07E71"/>
    <w:rsid w:val="00A07EDD"/>
    <w:rsid w:val="00A07EE1"/>
    <w:rsid w:val="00A07F82"/>
    <w:rsid w:val="00A07FB8"/>
    <w:rsid w:val="00A1003A"/>
    <w:rsid w:val="00A1004F"/>
    <w:rsid w:val="00A1015F"/>
    <w:rsid w:val="00A10181"/>
    <w:rsid w:val="00A101A0"/>
    <w:rsid w:val="00A101FA"/>
    <w:rsid w:val="00A101FC"/>
    <w:rsid w:val="00A10287"/>
    <w:rsid w:val="00A102D7"/>
    <w:rsid w:val="00A1033E"/>
    <w:rsid w:val="00A10366"/>
    <w:rsid w:val="00A10370"/>
    <w:rsid w:val="00A103D3"/>
    <w:rsid w:val="00A1042E"/>
    <w:rsid w:val="00A10471"/>
    <w:rsid w:val="00A1056C"/>
    <w:rsid w:val="00A10576"/>
    <w:rsid w:val="00A105BA"/>
    <w:rsid w:val="00A105D3"/>
    <w:rsid w:val="00A105FE"/>
    <w:rsid w:val="00A10662"/>
    <w:rsid w:val="00A10665"/>
    <w:rsid w:val="00A107A3"/>
    <w:rsid w:val="00A107ED"/>
    <w:rsid w:val="00A10810"/>
    <w:rsid w:val="00A108F0"/>
    <w:rsid w:val="00A108FF"/>
    <w:rsid w:val="00A10996"/>
    <w:rsid w:val="00A10A88"/>
    <w:rsid w:val="00A10C07"/>
    <w:rsid w:val="00A10C09"/>
    <w:rsid w:val="00A10CED"/>
    <w:rsid w:val="00A10D05"/>
    <w:rsid w:val="00A10D54"/>
    <w:rsid w:val="00A10D5C"/>
    <w:rsid w:val="00A10D6E"/>
    <w:rsid w:val="00A10DA7"/>
    <w:rsid w:val="00A10DEF"/>
    <w:rsid w:val="00A10DFB"/>
    <w:rsid w:val="00A10E32"/>
    <w:rsid w:val="00A10E74"/>
    <w:rsid w:val="00A10ED8"/>
    <w:rsid w:val="00A10EE3"/>
    <w:rsid w:val="00A10EF5"/>
    <w:rsid w:val="00A10F0D"/>
    <w:rsid w:val="00A10F17"/>
    <w:rsid w:val="00A10F62"/>
    <w:rsid w:val="00A10F66"/>
    <w:rsid w:val="00A10F68"/>
    <w:rsid w:val="00A10F8A"/>
    <w:rsid w:val="00A10FA4"/>
    <w:rsid w:val="00A10FD5"/>
    <w:rsid w:val="00A10FF7"/>
    <w:rsid w:val="00A1109F"/>
    <w:rsid w:val="00A11149"/>
    <w:rsid w:val="00A11151"/>
    <w:rsid w:val="00A11183"/>
    <w:rsid w:val="00A11213"/>
    <w:rsid w:val="00A1121F"/>
    <w:rsid w:val="00A11226"/>
    <w:rsid w:val="00A11251"/>
    <w:rsid w:val="00A11272"/>
    <w:rsid w:val="00A11282"/>
    <w:rsid w:val="00A112B6"/>
    <w:rsid w:val="00A11325"/>
    <w:rsid w:val="00A11331"/>
    <w:rsid w:val="00A113A8"/>
    <w:rsid w:val="00A114B6"/>
    <w:rsid w:val="00A114C3"/>
    <w:rsid w:val="00A11536"/>
    <w:rsid w:val="00A11588"/>
    <w:rsid w:val="00A1162D"/>
    <w:rsid w:val="00A1170E"/>
    <w:rsid w:val="00A1171A"/>
    <w:rsid w:val="00A1172E"/>
    <w:rsid w:val="00A11783"/>
    <w:rsid w:val="00A11802"/>
    <w:rsid w:val="00A1183A"/>
    <w:rsid w:val="00A11861"/>
    <w:rsid w:val="00A11932"/>
    <w:rsid w:val="00A11959"/>
    <w:rsid w:val="00A1195A"/>
    <w:rsid w:val="00A11A87"/>
    <w:rsid w:val="00A11B09"/>
    <w:rsid w:val="00A11BEB"/>
    <w:rsid w:val="00A11C19"/>
    <w:rsid w:val="00A11CED"/>
    <w:rsid w:val="00A11D3A"/>
    <w:rsid w:val="00A11D5C"/>
    <w:rsid w:val="00A11E59"/>
    <w:rsid w:val="00A11E78"/>
    <w:rsid w:val="00A11F20"/>
    <w:rsid w:val="00A11F94"/>
    <w:rsid w:val="00A11FCC"/>
    <w:rsid w:val="00A11FFE"/>
    <w:rsid w:val="00A120BD"/>
    <w:rsid w:val="00A12129"/>
    <w:rsid w:val="00A12157"/>
    <w:rsid w:val="00A1217D"/>
    <w:rsid w:val="00A121D2"/>
    <w:rsid w:val="00A1225B"/>
    <w:rsid w:val="00A12278"/>
    <w:rsid w:val="00A122FD"/>
    <w:rsid w:val="00A1230A"/>
    <w:rsid w:val="00A123A7"/>
    <w:rsid w:val="00A123B5"/>
    <w:rsid w:val="00A123D4"/>
    <w:rsid w:val="00A12473"/>
    <w:rsid w:val="00A124CE"/>
    <w:rsid w:val="00A12537"/>
    <w:rsid w:val="00A1262C"/>
    <w:rsid w:val="00A1267B"/>
    <w:rsid w:val="00A126A7"/>
    <w:rsid w:val="00A126ED"/>
    <w:rsid w:val="00A127C6"/>
    <w:rsid w:val="00A127D3"/>
    <w:rsid w:val="00A1285C"/>
    <w:rsid w:val="00A12871"/>
    <w:rsid w:val="00A12879"/>
    <w:rsid w:val="00A1291B"/>
    <w:rsid w:val="00A12A01"/>
    <w:rsid w:val="00A12AB8"/>
    <w:rsid w:val="00A12AD5"/>
    <w:rsid w:val="00A12B27"/>
    <w:rsid w:val="00A12B46"/>
    <w:rsid w:val="00A12B65"/>
    <w:rsid w:val="00A12B66"/>
    <w:rsid w:val="00A12C58"/>
    <w:rsid w:val="00A12CC4"/>
    <w:rsid w:val="00A12CF9"/>
    <w:rsid w:val="00A12D04"/>
    <w:rsid w:val="00A12D2E"/>
    <w:rsid w:val="00A12DC1"/>
    <w:rsid w:val="00A12DFA"/>
    <w:rsid w:val="00A12E80"/>
    <w:rsid w:val="00A12E9C"/>
    <w:rsid w:val="00A12EC5"/>
    <w:rsid w:val="00A12EED"/>
    <w:rsid w:val="00A13008"/>
    <w:rsid w:val="00A13038"/>
    <w:rsid w:val="00A130A9"/>
    <w:rsid w:val="00A13106"/>
    <w:rsid w:val="00A1313A"/>
    <w:rsid w:val="00A131B5"/>
    <w:rsid w:val="00A132A0"/>
    <w:rsid w:val="00A1344E"/>
    <w:rsid w:val="00A134EC"/>
    <w:rsid w:val="00A1358D"/>
    <w:rsid w:val="00A1364C"/>
    <w:rsid w:val="00A136F8"/>
    <w:rsid w:val="00A13736"/>
    <w:rsid w:val="00A13773"/>
    <w:rsid w:val="00A1378D"/>
    <w:rsid w:val="00A137B7"/>
    <w:rsid w:val="00A137CD"/>
    <w:rsid w:val="00A13858"/>
    <w:rsid w:val="00A13896"/>
    <w:rsid w:val="00A13945"/>
    <w:rsid w:val="00A139E3"/>
    <w:rsid w:val="00A13A0F"/>
    <w:rsid w:val="00A13A57"/>
    <w:rsid w:val="00A13A9D"/>
    <w:rsid w:val="00A13BB7"/>
    <w:rsid w:val="00A13BC2"/>
    <w:rsid w:val="00A13CAB"/>
    <w:rsid w:val="00A13E37"/>
    <w:rsid w:val="00A13E4A"/>
    <w:rsid w:val="00A13E98"/>
    <w:rsid w:val="00A13ED5"/>
    <w:rsid w:val="00A13F00"/>
    <w:rsid w:val="00A13FDD"/>
    <w:rsid w:val="00A13FF7"/>
    <w:rsid w:val="00A1404E"/>
    <w:rsid w:val="00A14053"/>
    <w:rsid w:val="00A1406D"/>
    <w:rsid w:val="00A140DB"/>
    <w:rsid w:val="00A1412B"/>
    <w:rsid w:val="00A1412F"/>
    <w:rsid w:val="00A14141"/>
    <w:rsid w:val="00A141D2"/>
    <w:rsid w:val="00A14205"/>
    <w:rsid w:val="00A142A0"/>
    <w:rsid w:val="00A142AC"/>
    <w:rsid w:val="00A1433C"/>
    <w:rsid w:val="00A14391"/>
    <w:rsid w:val="00A143C9"/>
    <w:rsid w:val="00A14410"/>
    <w:rsid w:val="00A1443C"/>
    <w:rsid w:val="00A14485"/>
    <w:rsid w:val="00A144BE"/>
    <w:rsid w:val="00A144C4"/>
    <w:rsid w:val="00A1455F"/>
    <w:rsid w:val="00A14605"/>
    <w:rsid w:val="00A146A7"/>
    <w:rsid w:val="00A1477B"/>
    <w:rsid w:val="00A147A5"/>
    <w:rsid w:val="00A1482A"/>
    <w:rsid w:val="00A148A9"/>
    <w:rsid w:val="00A148D2"/>
    <w:rsid w:val="00A148F8"/>
    <w:rsid w:val="00A14973"/>
    <w:rsid w:val="00A149A6"/>
    <w:rsid w:val="00A14A7E"/>
    <w:rsid w:val="00A14AB3"/>
    <w:rsid w:val="00A14B29"/>
    <w:rsid w:val="00A14B2D"/>
    <w:rsid w:val="00A14BDE"/>
    <w:rsid w:val="00A14BE7"/>
    <w:rsid w:val="00A14D08"/>
    <w:rsid w:val="00A14D63"/>
    <w:rsid w:val="00A14DC7"/>
    <w:rsid w:val="00A14E06"/>
    <w:rsid w:val="00A14E41"/>
    <w:rsid w:val="00A14E6D"/>
    <w:rsid w:val="00A14F1B"/>
    <w:rsid w:val="00A14FD6"/>
    <w:rsid w:val="00A15033"/>
    <w:rsid w:val="00A15054"/>
    <w:rsid w:val="00A150D6"/>
    <w:rsid w:val="00A15111"/>
    <w:rsid w:val="00A1511F"/>
    <w:rsid w:val="00A1518C"/>
    <w:rsid w:val="00A152D0"/>
    <w:rsid w:val="00A152DC"/>
    <w:rsid w:val="00A152E0"/>
    <w:rsid w:val="00A152F8"/>
    <w:rsid w:val="00A15395"/>
    <w:rsid w:val="00A153CC"/>
    <w:rsid w:val="00A154C8"/>
    <w:rsid w:val="00A155F1"/>
    <w:rsid w:val="00A155F4"/>
    <w:rsid w:val="00A15636"/>
    <w:rsid w:val="00A1564B"/>
    <w:rsid w:val="00A15706"/>
    <w:rsid w:val="00A1571C"/>
    <w:rsid w:val="00A15721"/>
    <w:rsid w:val="00A1576D"/>
    <w:rsid w:val="00A157B3"/>
    <w:rsid w:val="00A1583E"/>
    <w:rsid w:val="00A15912"/>
    <w:rsid w:val="00A159A3"/>
    <w:rsid w:val="00A159E3"/>
    <w:rsid w:val="00A159FD"/>
    <w:rsid w:val="00A15A4B"/>
    <w:rsid w:val="00A15A6B"/>
    <w:rsid w:val="00A15A9F"/>
    <w:rsid w:val="00A15B18"/>
    <w:rsid w:val="00A15BB1"/>
    <w:rsid w:val="00A15BE3"/>
    <w:rsid w:val="00A15BEE"/>
    <w:rsid w:val="00A15C4E"/>
    <w:rsid w:val="00A15C6C"/>
    <w:rsid w:val="00A15C7C"/>
    <w:rsid w:val="00A15C9F"/>
    <w:rsid w:val="00A15D5F"/>
    <w:rsid w:val="00A15D6F"/>
    <w:rsid w:val="00A15D77"/>
    <w:rsid w:val="00A15E2F"/>
    <w:rsid w:val="00A15E67"/>
    <w:rsid w:val="00A15EC9"/>
    <w:rsid w:val="00A15ECC"/>
    <w:rsid w:val="00A15F02"/>
    <w:rsid w:val="00A15FB1"/>
    <w:rsid w:val="00A15FE7"/>
    <w:rsid w:val="00A1602A"/>
    <w:rsid w:val="00A16114"/>
    <w:rsid w:val="00A16237"/>
    <w:rsid w:val="00A16297"/>
    <w:rsid w:val="00A162CA"/>
    <w:rsid w:val="00A16322"/>
    <w:rsid w:val="00A16493"/>
    <w:rsid w:val="00A165A0"/>
    <w:rsid w:val="00A16652"/>
    <w:rsid w:val="00A166AC"/>
    <w:rsid w:val="00A166B5"/>
    <w:rsid w:val="00A166E8"/>
    <w:rsid w:val="00A1670F"/>
    <w:rsid w:val="00A16736"/>
    <w:rsid w:val="00A16789"/>
    <w:rsid w:val="00A1679B"/>
    <w:rsid w:val="00A16847"/>
    <w:rsid w:val="00A16889"/>
    <w:rsid w:val="00A16948"/>
    <w:rsid w:val="00A169A5"/>
    <w:rsid w:val="00A169AA"/>
    <w:rsid w:val="00A169EB"/>
    <w:rsid w:val="00A16A94"/>
    <w:rsid w:val="00A16AE6"/>
    <w:rsid w:val="00A16BDE"/>
    <w:rsid w:val="00A16BF8"/>
    <w:rsid w:val="00A16CB4"/>
    <w:rsid w:val="00A16D6C"/>
    <w:rsid w:val="00A16DA8"/>
    <w:rsid w:val="00A16E06"/>
    <w:rsid w:val="00A16EAB"/>
    <w:rsid w:val="00A16F91"/>
    <w:rsid w:val="00A16FA8"/>
    <w:rsid w:val="00A1709A"/>
    <w:rsid w:val="00A1709F"/>
    <w:rsid w:val="00A171EB"/>
    <w:rsid w:val="00A172AE"/>
    <w:rsid w:val="00A17362"/>
    <w:rsid w:val="00A17363"/>
    <w:rsid w:val="00A17376"/>
    <w:rsid w:val="00A17529"/>
    <w:rsid w:val="00A175BA"/>
    <w:rsid w:val="00A1761A"/>
    <w:rsid w:val="00A176F1"/>
    <w:rsid w:val="00A177FB"/>
    <w:rsid w:val="00A1781A"/>
    <w:rsid w:val="00A1784D"/>
    <w:rsid w:val="00A1788B"/>
    <w:rsid w:val="00A17891"/>
    <w:rsid w:val="00A178A6"/>
    <w:rsid w:val="00A178B5"/>
    <w:rsid w:val="00A178D7"/>
    <w:rsid w:val="00A178DB"/>
    <w:rsid w:val="00A17949"/>
    <w:rsid w:val="00A1799F"/>
    <w:rsid w:val="00A179C9"/>
    <w:rsid w:val="00A179EF"/>
    <w:rsid w:val="00A17A3A"/>
    <w:rsid w:val="00A17ABB"/>
    <w:rsid w:val="00A17AF2"/>
    <w:rsid w:val="00A17B47"/>
    <w:rsid w:val="00A17B88"/>
    <w:rsid w:val="00A17BF5"/>
    <w:rsid w:val="00A17C78"/>
    <w:rsid w:val="00A17C99"/>
    <w:rsid w:val="00A17CCA"/>
    <w:rsid w:val="00A17D26"/>
    <w:rsid w:val="00A17D4C"/>
    <w:rsid w:val="00A17DA8"/>
    <w:rsid w:val="00A17E4E"/>
    <w:rsid w:val="00A17E83"/>
    <w:rsid w:val="00A17EB1"/>
    <w:rsid w:val="00A2006D"/>
    <w:rsid w:val="00A20096"/>
    <w:rsid w:val="00A200CC"/>
    <w:rsid w:val="00A2015B"/>
    <w:rsid w:val="00A20226"/>
    <w:rsid w:val="00A20297"/>
    <w:rsid w:val="00A20298"/>
    <w:rsid w:val="00A20338"/>
    <w:rsid w:val="00A20422"/>
    <w:rsid w:val="00A2042B"/>
    <w:rsid w:val="00A2044F"/>
    <w:rsid w:val="00A204C9"/>
    <w:rsid w:val="00A205C4"/>
    <w:rsid w:val="00A20678"/>
    <w:rsid w:val="00A20700"/>
    <w:rsid w:val="00A20758"/>
    <w:rsid w:val="00A2075B"/>
    <w:rsid w:val="00A2077E"/>
    <w:rsid w:val="00A2084C"/>
    <w:rsid w:val="00A20866"/>
    <w:rsid w:val="00A208CC"/>
    <w:rsid w:val="00A208E7"/>
    <w:rsid w:val="00A209B1"/>
    <w:rsid w:val="00A209C6"/>
    <w:rsid w:val="00A20A15"/>
    <w:rsid w:val="00A20B95"/>
    <w:rsid w:val="00A20C45"/>
    <w:rsid w:val="00A20C50"/>
    <w:rsid w:val="00A20C7A"/>
    <w:rsid w:val="00A20E55"/>
    <w:rsid w:val="00A20E88"/>
    <w:rsid w:val="00A20EB7"/>
    <w:rsid w:val="00A20ED2"/>
    <w:rsid w:val="00A20EF4"/>
    <w:rsid w:val="00A20FA2"/>
    <w:rsid w:val="00A20FFA"/>
    <w:rsid w:val="00A21019"/>
    <w:rsid w:val="00A2105A"/>
    <w:rsid w:val="00A210AC"/>
    <w:rsid w:val="00A210E7"/>
    <w:rsid w:val="00A21171"/>
    <w:rsid w:val="00A2124A"/>
    <w:rsid w:val="00A2124B"/>
    <w:rsid w:val="00A21261"/>
    <w:rsid w:val="00A21336"/>
    <w:rsid w:val="00A213B3"/>
    <w:rsid w:val="00A213FE"/>
    <w:rsid w:val="00A2140A"/>
    <w:rsid w:val="00A21460"/>
    <w:rsid w:val="00A214BD"/>
    <w:rsid w:val="00A214D5"/>
    <w:rsid w:val="00A21502"/>
    <w:rsid w:val="00A21544"/>
    <w:rsid w:val="00A215F9"/>
    <w:rsid w:val="00A21775"/>
    <w:rsid w:val="00A21782"/>
    <w:rsid w:val="00A2179C"/>
    <w:rsid w:val="00A21848"/>
    <w:rsid w:val="00A2185A"/>
    <w:rsid w:val="00A219F1"/>
    <w:rsid w:val="00A21BBB"/>
    <w:rsid w:val="00A21BE1"/>
    <w:rsid w:val="00A21BF1"/>
    <w:rsid w:val="00A21D50"/>
    <w:rsid w:val="00A21DAE"/>
    <w:rsid w:val="00A21DB0"/>
    <w:rsid w:val="00A21F89"/>
    <w:rsid w:val="00A21F8A"/>
    <w:rsid w:val="00A21FDA"/>
    <w:rsid w:val="00A22019"/>
    <w:rsid w:val="00A2202E"/>
    <w:rsid w:val="00A220FF"/>
    <w:rsid w:val="00A22192"/>
    <w:rsid w:val="00A221E9"/>
    <w:rsid w:val="00A22200"/>
    <w:rsid w:val="00A2223C"/>
    <w:rsid w:val="00A2223D"/>
    <w:rsid w:val="00A222E2"/>
    <w:rsid w:val="00A22303"/>
    <w:rsid w:val="00A22331"/>
    <w:rsid w:val="00A223D9"/>
    <w:rsid w:val="00A2241A"/>
    <w:rsid w:val="00A2242C"/>
    <w:rsid w:val="00A2246B"/>
    <w:rsid w:val="00A224B6"/>
    <w:rsid w:val="00A22527"/>
    <w:rsid w:val="00A22572"/>
    <w:rsid w:val="00A225F8"/>
    <w:rsid w:val="00A22661"/>
    <w:rsid w:val="00A226A7"/>
    <w:rsid w:val="00A22836"/>
    <w:rsid w:val="00A2285E"/>
    <w:rsid w:val="00A228B6"/>
    <w:rsid w:val="00A22924"/>
    <w:rsid w:val="00A22948"/>
    <w:rsid w:val="00A22A7A"/>
    <w:rsid w:val="00A22AFB"/>
    <w:rsid w:val="00A22B1A"/>
    <w:rsid w:val="00A22B51"/>
    <w:rsid w:val="00A22B5B"/>
    <w:rsid w:val="00A22BB3"/>
    <w:rsid w:val="00A22BE2"/>
    <w:rsid w:val="00A22C9C"/>
    <w:rsid w:val="00A22CEC"/>
    <w:rsid w:val="00A22D1F"/>
    <w:rsid w:val="00A22E22"/>
    <w:rsid w:val="00A22E93"/>
    <w:rsid w:val="00A22EC0"/>
    <w:rsid w:val="00A22F2C"/>
    <w:rsid w:val="00A22F2F"/>
    <w:rsid w:val="00A22F4D"/>
    <w:rsid w:val="00A22F5A"/>
    <w:rsid w:val="00A22F5D"/>
    <w:rsid w:val="00A22FA0"/>
    <w:rsid w:val="00A22FB3"/>
    <w:rsid w:val="00A22FDF"/>
    <w:rsid w:val="00A22FF6"/>
    <w:rsid w:val="00A22FFF"/>
    <w:rsid w:val="00A23055"/>
    <w:rsid w:val="00A230DD"/>
    <w:rsid w:val="00A23123"/>
    <w:rsid w:val="00A23126"/>
    <w:rsid w:val="00A23145"/>
    <w:rsid w:val="00A23153"/>
    <w:rsid w:val="00A2316D"/>
    <w:rsid w:val="00A231AB"/>
    <w:rsid w:val="00A23264"/>
    <w:rsid w:val="00A232ED"/>
    <w:rsid w:val="00A23473"/>
    <w:rsid w:val="00A23529"/>
    <w:rsid w:val="00A23619"/>
    <w:rsid w:val="00A23662"/>
    <w:rsid w:val="00A23689"/>
    <w:rsid w:val="00A236B8"/>
    <w:rsid w:val="00A237B2"/>
    <w:rsid w:val="00A237D9"/>
    <w:rsid w:val="00A2381F"/>
    <w:rsid w:val="00A2382A"/>
    <w:rsid w:val="00A23866"/>
    <w:rsid w:val="00A23976"/>
    <w:rsid w:val="00A239C9"/>
    <w:rsid w:val="00A23A98"/>
    <w:rsid w:val="00A23AAD"/>
    <w:rsid w:val="00A23B51"/>
    <w:rsid w:val="00A23BB8"/>
    <w:rsid w:val="00A23C44"/>
    <w:rsid w:val="00A23C67"/>
    <w:rsid w:val="00A23DD3"/>
    <w:rsid w:val="00A23DF9"/>
    <w:rsid w:val="00A23E33"/>
    <w:rsid w:val="00A23E6B"/>
    <w:rsid w:val="00A23FE9"/>
    <w:rsid w:val="00A24024"/>
    <w:rsid w:val="00A24031"/>
    <w:rsid w:val="00A240FB"/>
    <w:rsid w:val="00A24114"/>
    <w:rsid w:val="00A24157"/>
    <w:rsid w:val="00A241D6"/>
    <w:rsid w:val="00A2421E"/>
    <w:rsid w:val="00A242AF"/>
    <w:rsid w:val="00A242B4"/>
    <w:rsid w:val="00A24362"/>
    <w:rsid w:val="00A2448C"/>
    <w:rsid w:val="00A24493"/>
    <w:rsid w:val="00A244BD"/>
    <w:rsid w:val="00A244C1"/>
    <w:rsid w:val="00A24533"/>
    <w:rsid w:val="00A24565"/>
    <w:rsid w:val="00A24569"/>
    <w:rsid w:val="00A2458D"/>
    <w:rsid w:val="00A24651"/>
    <w:rsid w:val="00A24676"/>
    <w:rsid w:val="00A2469D"/>
    <w:rsid w:val="00A246BA"/>
    <w:rsid w:val="00A246C6"/>
    <w:rsid w:val="00A246E6"/>
    <w:rsid w:val="00A24783"/>
    <w:rsid w:val="00A247B3"/>
    <w:rsid w:val="00A247BD"/>
    <w:rsid w:val="00A248EB"/>
    <w:rsid w:val="00A24960"/>
    <w:rsid w:val="00A24979"/>
    <w:rsid w:val="00A24980"/>
    <w:rsid w:val="00A249A7"/>
    <w:rsid w:val="00A24A28"/>
    <w:rsid w:val="00A24AA3"/>
    <w:rsid w:val="00A24B17"/>
    <w:rsid w:val="00A24B5C"/>
    <w:rsid w:val="00A24B99"/>
    <w:rsid w:val="00A24C00"/>
    <w:rsid w:val="00A24C03"/>
    <w:rsid w:val="00A24C29"/>
    <w:rsid w:val="00A24C33"/>
    <w:rsid w:val="00A24C35"/>
    <w:rsid w:val="00A24C61"/>
    <w:rsid w:val="00A24D21"/>
    <w:rsid w:val="00A24D38"/>
    <w:rsid w:val="00A24D4D"/>
    <w:rsid w:val="00A24D95"/>
    <w:rsid w:val="00A24DAF"/>
    <w:rsid w:val="00A24DB0"/>
    <w:rsid w:val="00A24DC6"/>
    <w:rsid w:val="00A24F28"/>
    <w:rsid w:val="00A24F53"/>
    <w:rsid w:val="00A24F9C"/>
    <w:rsid w:val="00A24FA9"/>
    <w:rsid w:val="00A2504B"/>
    <w:rsid w:val="00A25103"/>
    <w:rsid w:val="00A2511D"/>
    <w:rsid w:val="00A25194"/>
    <w:rsid w:val="00A251DF"/>
    <w:rsid w:val="00A25310"/>
    <w:rsid w:val="00A25384"/>
    <w:rsid w:val="00A2541C"/>
    <w:rsid w:val="00A25461"/>
    <w:rsid w:val="00A254A4"/>
    <w:rsid w:val="00A256F5"/>
    <w:rsid w:val="00A257B6"/>
    <w:rsid w:val="00A257DC"/>
    <w:rsid w:val="00A258F3"/>
    <w:rsid w:val="00A25949"/>
    <w:rsid w:val="00A259BC"/>
    <w:rsid w:val="00A259FB"/>
    <w:rsid w:val="00A25A14"/>
    <w:rsid w:val="00A25B81"/>
    <w:rsid w:val="00A25B87"/>
    <w:rsid w:val="00A25BF3"/>
    <w:rsid w:val="00A25D58"/>
    <w:rsid w:val="00A25EC3"/>
    <w:rsid w:val="00A25ED3"/>
    <w:rsid w:val="00A25F25"/>
    <w:rsid w:val="00A25F96"/>
    <w:rsid w:val="00A25F99"/>
    <w:rsid w:val="00A25FB0"/>
    <w:rsid w:val="00A25FC0"/>
    <w:rsid w:val="00A25FF6"/>
    <w:rsid w:val="00A26033"/>
    <w:rsid w:val="00A260B0"/>
    <w:rsid w:val="00A2610E"/>
    <w:rsid w:val="00A2612F"/>
    <w:rsid w:val="00A26141"/>
    <w:rsid w:val="00A2616F"/>
    <w:rsid w:val="00A26235"/>
    <w:rsid w:val="00A262C7"/>
    <w:rsid w:val="00A263BC"/>
    <w:rsid w:val="00A263F6"/>
    <w:rsid w:val="00A26424"/>
    <w:rsid w:val="00A26460"/>
    <w:rsid w:val="00A26497"/>
    <w:rsid w:val="00A264C8"/>
    <w:rsid w:val="00A264E2"/>
    <w:rsid w:val="00A26557"/>
    <w:rsid w:val="00A265AE"/>
    <w:rsid w:val="00A265B9"/>
    <w:rsid w:val="00A26610"/>
    <w:rsid w:val="00A26639"/>
    <w:rsid w:val="00A267F2"/>
    <w:rsid w:val="00A26907"/>
    <w:rsid w:val="00A269CA"/>
    <w:rsid w:val="00A26A21"/>
    <w:rsid w:val="00A26AC6"/>
    <w:rsid w:val="00A26ADE"/>
    <w:rsid w:val="00A26B38"/>
    <w:rsid w:val="00A26B49"/>
    <w:rsid w:val="00A26B56"/>
    <w:rsid w:val="00A26BE9"/>
    <w:rsid w:val="00A26C28"/>
    <w:rsid w:val="00A26C59"/>
    <w:rsid w:val="00A26D15"/>
    <w:rsid w:val="00A26DBA"/>
    <w:rsid w:val="00A26DC5"/>
    <w:rsid w:val="00A26EBD"/>
    <w:rsid w:val="00A26FA2"/>
    <w:rsid w:val="00A2706F"/>
    <w:rsid w:val="00A27070"/>
    <w:rsid w:val="00A270DC"/>
    <w:rsid w:val="00A270FB"/>
    <w:rsid w:val="00A27137"/>
    <w:rsid w:val="00A27161"/>
    <w:rsid w:val="00A271A9"/>
    <w:rsid w:val="00A271E6"/>
    <w:rsid w:val="00A27256"/>
    <w:rsid w:val="00A27280"/>
    <w:rsid w:val="00A272A4"/>
    <w:rsid w:val="00A272AA"/>
    <w:rsid w:val="00A272AD"/>
    <w:rsid w:val="00A272EF"/>
    <w:rsid w:val="00A2730F"/>
    <w:rsid w:val="00A27342"/>
    <w:rsid w:val="00A2736F"/>
    <w:rsid w:val="00A2745F"/>
    <w:rsid w:val="00A274DE"/>
    <w:rsid w:val="00A27522"/>
    <w:rsid w:val="00A27572"/>
    <w:rsid w:val="00A2760D"/>
    <w:rsid w:val="00A2760E"/>
    <w:rsid w:val="00A27756"/>
    <w:rsid w:val="00A279AC"/>
    <w:rsid w:val="00A279DC"/>
    <w:rsid w:val="00A27A7A"/>
    <w:rsid w:val="00A27D90"/>
    <w:rsid w:val="00A27DD9"/>
    <w:rsid w:val="00A27E27"/>
    <w:rsid w:val="00A27EAB"/>
    <w:rsid w:val="00A27EFA"/>
    <w:rsid w:val="00A27F1F"/>
    <w:rsid w:val="00A27F88"/>
    <w:rsid w:val="00A30028"/>
    <w:rsid w:val="00A3004F"/>
    <w:rsid w:val="00A30063"/>
    <w:rsid w:val="00A300AA"/>
    <w:rsid w:val="00A300BD"/>
    <w:rsid w:val="00A300C9"/>
    <w:rsid w:val="00A300FD"/>
    <w:rsid w:val="00A30139"/>
    <w:rsid w:val="00A3014C"/>
    <w:rsid w:val="00A30184"/>
    <w:rsid w:val="00A3025B"/>
    <w:rsid w:val="00A30372"/>
    <w:rsid w:val="00A303DA"/>
    <w:rsid w:val="00A3045A"/>
    <w:rsid w:val="00A304A4"/>
    <w:rsid w:val="00A30513"/>
    <w:rsid w:val="00A305A9"/>
    <w:rsid w:val="00A3062E"/>
    <w:rsid w:val="00A30638"/>
    <w:rsid w:val="00A306E5"/>
    <w:rsid w:val="00A30741"/>
    <w:rsid w:val="00A307B8"/>
    <w:rsid w:val="00A3081D"/>
    <w:rsid w:val="00A30834"/>
    <w:rsid w:val="00A30843"/>
    <w:rsid w:val="00A30937"/>
    <w:rsid w:val="00A30947"/>
    <w:rsid w:val="00A30971"/>
    <w:rsid w:val="00A30977"/>
    <w:rsid w:val="00A3097B"/>
    <w:rsid w:val="00A309AB"/>
    <w:rsid w:val="00A309B7"/>
    <w:rsid w:val="00A309ED"/>
    <w:rsid w:val="00A30A08"/>
    <w:rsid w:val="00A30A9E"/>
    <w:rsid w:val="00A30AA9"/>
    <w:rsid w:val="00A30B22"/>
    <w:rsid w:val="00A30B66"/>
    <w:rsid w:val="00A30BB2"/>
    <w:rsid w:val="00A30BD1"/>
    <w:rsid w:val="00A30CC9"/>
    <w:rsid w:val="00A30CFA"/>
    <w:rsid w:val="00A30D24"/>
    <w:rsid w:val="00A30D55"/>
    <w:rsid w:val="00A30DA4"/>
    <w:rsid w:val="00A30E9C"/>
    <w:rsid w:val="00A30F6D"/>
    <w:rsid w:val="00A30FEB"/>
    <w:rsid w:val="00A3101E"/>
    <w:rsid w:val="00A31195"/>
    <w:rsid w:val="00A311AA"/>
    <w:rsid w:val="00A311DE"/>
    <w:rsid w:val="00A311F4"/>
    <w:rsid w:val="00A31253"/>
    <w:rsid w:val="00A312AA"/>
    <w:rsid w:val="00A312E1"/>
    <w:rsid w:val="00A31475"/>
    <w:rsid w:val="00A31487"/>
    <w:rsid w:val="00A31489"/>
    <w:rsid w:val="00A314C7"/>
    <w:rsid w:val="00A314EB"/>
    <w:rsid w:val="00A31556"/>
    <w:rsid w:val="00A3157F"/>
    <w:rsid w:val="00A31592"/>
    <w:rsid w:val="00A315CF"/>
    <w:rsid w:val="00A31672"/>
    <w:rsid w:val="00A316A0"/>
    <w:rsid w:val="00A316BE"/>
    <w:rsid w:val="00A316C4"/>
    <w:rsid w:val="00A31704"/>
    <w:rsid w:val="00A31769"/>
    <w:rsid w:val="00A317B4"/>
    <w:rsid w:val="00A317B7"/>
    <w:rsid w:val="00A31840"/>
    <w:rsid w:val="00A318A8"/>
    <w:rsid w:val="00A318DC"/>
    <w:rsid w:val="00A318FB"/>
    <w:rsid w:val="00A31944"/>
    <w:rsid w:val="00A31A6E"/>
    <w:rsid w:val="00A31BD8"/>
    <w:rsid w:val="00A31C05"/>
    <w:rsid w:val="00A31C25"/>
    <w:rsid w:val="00A31C3A"/>
    <w:rsid w:val="00A31C41"/>
    <w:rsid w:val="00A31D1B"/>
    <w:rsid w:val="00A31D65"/>
    <w:rsid w:val="00A31D97"/>
    <w:rsid w:val="00A31D9D"/>
    <w:rsid w:val="00A31DAC"/>
    <w:rsid w:val="00A31DB4"/>
    <w:rsid w:val="00A31DB9"/>
    <w:rsid w:val="00A31E01"/>
    <w:rsid w:val="00A31E14"/>
    <w:rsid w:val="00A31F07"/>
    <w:rsid w:val="00A31F1A"/>
    <w:rsid w:val="00A31F30"/>
    <w:rsid w:val="00A31FD7"/>
    <w:rsid w:val="00A32021"/>
    <w:rsid w:val="00A321A6"/>
    <w:rsid w:val="00A321C0"/>
    <w:rsid w:val="00A32245"/>
    <w:rsid w:val="00A32283"/>
    <w:rsid w:val="00A322B7"/>
    <w:rsid w:val="00A3230D"/>
    <w:rsid w:val="00A3237C"/>
    <w:rsid w:val="00A32435"/>
    <w:rsid w:val="00A3246B"/>
    <w:rsid w:val="00A3249A"/>
    <w:rsid w:val="00A324B3"/>
    <w:rsid w:val="00A324CB"/>
    <w:rsid w:val="00A32574"/>
    <w:rsid w:val="00A32611"/>
    <w:rsid w:val="00A3266C"/>
    <w:rsid w:val="00A326E0"/>
    <w:rsid w:val="00A326FE"/>
    <w:rsid w:val="00A32712"/>
    <w:rsid w:val="00A327FA"/>
    <w:rsid w:val="00A32831"/>
    <w:rsid w:val="00A32970"/>
    <w:rsid w:val="00A329FE"/>
    <w:rsid w:val="00A32A7B"/>
    <w:rsid w:val="00A32AA5"/>
    <w:rsid w:val="00A32AD2"/>
    <w:rsid w:val="00A32B1A"/>
    <w:rsid w:val="00A32B1B"/>
    <w:rsid w:val="00A32B3E"/>
    <w:rsid w:val="00A32B7F"/>
    <w:rsid w:val="00A32BCC"/>
    <w:rsid w:val="00A32BD1"/>
    <w:rsid w:val="00A32BD7"/>
    <w:rsid w:val="00A32CEA"/>
    <w:rsid w:val="00A32CFF"/>
    <w:rsid w:val="00A32D44"/>
    <w:rsid w:val="00A32D46"/>
    <w:rsid w:val="00A32D8F"/>
    <w:rsid w:val="00A32DFE"/>
    <w:rsid w:val="00A32E42"/>
    <w:rsid w:val="00A32E6D"/>
    <w:rsid w:val="00A32F1C"/>
    <w:rsid w:val="00A32F3C"/>
    <w:rsid w:val="00A33034"/>
    <w:rsid w:val="00A33082"/>
    <w:rsid w:val="00A3318D"/>
    <w:rsid w:val="00A33242"/>
    <w:rsid w:val="00A332B2"/>
    <w:rsid w:val="00A332FD"/>
    <w:rsid w:val="00A33345"/>
    <w:rsid w:val="00A3336A"/>
    <w:rsid w:val="00A333D3"/>
    <w:rsid w:val="00A33437"/>
    <w:rsid w:val="00A3343B"/>
    <w:rsid w:val="00A3345A"/>
    <w:rsid w:val="00A33466"/>
    <w:rsid w:val="00A334FD"/>
    <w:rsid w:val="00A3354E"/>
    <w:rsid w:val="00A335A7"/>
    <w:rsid w:val="00A33608"/>
    <w:rsid w:val="00A3368A"/>
    <w:rsid w:val="00A33727"/>
    <w:rsid w:val="00A3372A"/>
    <w:rsid w:val="00A3379C"/>
    <w:rsid w:val="00A3386F"/>
    <w:rsid w:val="00A338B8"/>
    <w:rsid w:val="00A338D4"/>
    <w:rsid w:val="00A33A70"/>
    <w:rsid w:val="00A33AF2"/>
    <w:rsid w:val="00A33BAC"/>
    <w:rsid w:val="00A33C44"/>
    <w:rsid w:val="00A33C85"/>
    <w:rsid w:val="00A33C98"/>
    <w:rsid w:val="00A33D59"/>
    <w:rsid w:val="00A33E33"/>
    <w:rsid w:val="00A33E40"/>
    <w:rsid w:val="00A33E4A"/>
    <w:rsid w:val="00A33E5C"/>
    <w:rsid w:val="00A33EAA"/>
    <w:rsid w:val="00A33FA8"/>
    <w:rsid w:val="00A33FDB"/>
    <w:rsid w:val="00A34038"/>
    <w:rsid w:val="00A3404D"/>
    <w:rsid w:val="00A3412A"/>
    <w:rsid w:val="00A341A7"/>
    <w:rsid w:val="00A341FA"/>
    <w:rsid w:val="00A34330"/>
    <w:rsid w:val="00A3437A"/>
    <w:rsid w:val="00A343F2"/>
    <w:rsid w:val="00A34435"/>
    <w:rsid w:val="00A34455"/>
    <w:rsid w:val="00A344C3"/>
    <w:rsid w:val="00A3450B"/>
    <w:rsid w:val="00A3455D"/>
    <w:rsid w:val="00A34586"/>
    <w:rsid w:val="00A3458D"/>
    <w:rsid w:val="00A34620"/>
    <w:rsid w:val="00A34691"/>
    <w:rsid w:val="00A346FF"/>
    <w:rsid w:val="00A34706"/>
    <w:rsid w:val="00A3470F"/>
    <w:rsid w:val="00A3472B"/>
    <w:rsid w:val="00A347D9"/>
    <w:rsid w:val="00A3483A"/>
    <w:rsid w:val="00A34849"/>
    <w:rsid w:val="00A34888"/>
    <w:rsid w:val="00A348F8"/>
    <w:rsid w:val="00A348FB"/>
    <w:rsid w:val="00A34A48"/>
    <w:rsid w:val="00A34AE6"/>
    <w:rsid w:val="00A34B21"/>
    <w:rsid w:val="00A34B3F"/>
    <w:rsid w:val="00A34B40"/>
    <w:rsid w:val="00A34B42"/>
    <w:rsid w:val="00A34C99"/>
    <w:rsid w:val="00A34CC1"/>
    <w:rsid w:val="00A34D2A"/>
    <w:rsid w:val="00A34D36"/>
    <w:rsid w:val="00A34DA6"/>
    <w:rsid w:val="00A34E0A"/>
    <w:rsid w:val="00A34E61"/>
    <w:rsid w:val="00A34F58"/>
    <w:rsid w:val="00A35030"/>
    <w:rsid w:val="00A3512A"/>
    <w:rsid w:val="00A35166"/>
    <w:rsid w:val="00A351DC"/>
    <w:rsid w:val="00A35253"/>
    <w:rsid w:val="00A35299"/>
    <w:rsid w:val="00A352C4"/>
    <w:rsid w:val="00A3542A"/>
    <w:rsid w:val="00A35436"/>
    <w:rsid w:val="00A35459"/>
    <w:rsid w:val="00A354AD"/>
    <w:rsid w:val="00A3555C"/>
    <w:rsid w:val="00A35574"/>
    <w:rsid w:val="00A355C1"/>
    <w:rsid w:val="00A355C6"/>
    <w:rsid w:val="00A3561B"/>
    <w:rsid w:val="00A35696"/>
    <w:rsid w:val="00A3570B"/>
    <w:rsid w:val="00A3572C"/>
    <w:rsid w:val="00A35737"/>
    <w:rsid w:val="00A357C4"/>
    <w:rsid w:val="00A358C1"/>
    <w:rsid w:val="00A3592B"/>
    <w:rsid w:val="00A35AC1"/>
    <w:rsid w:val="00A35B16"/>
    <w:rsid w:val="00A35B1E"/>
    <w:rsid w:val="00A35B50"/>
    <w:rsid w:val="00A35C01"/>
    <w:rsid w:val="00A35C84"/>
    <w:rsid w:val="00A35C85"/>
    <w:rsid w:val="00A35CAB"/>
    <w:rsid w:val="00A35F25"/>
    <w:rsid w:val="00A35F80"/>
    <w:rsid w:val="00A36072"/>
    <w:rsid w:val="00A3608C"/>
    <w:rsid w:val="00A360BA"/>
    <w:rsid w:val="00A36101"/>
    <w:rsid w:val="00A3610D"/>
    <w:rsid w:val="00A36158"/>
    <w:rsid w:val="00A3627C"/>
    <w:rsid w:val="00A362B0"/>
    <w:rsid w:val="00A362F0"/>
    <w:rsid w:val="00A362F1"/>
    <w:rsid w:val="00A3630B"/>
    <w:rsid w:val="00A36387"/>
    <w:rsid w:val="00A36397"/>
    <w:rsid w:val="00A363B7"/>
    <w:rsid w:val="00A363FB"/>
    <w:rsid w:val="00A36437"/>
    <w:rsid w:val="00A36486"/>
    <w:rsid w:val="00A364BF"/>
    <w:rsid w:val="00A364D1"/>
    <w:rsid w:val="00A3652E"/>
    <w:rsid w:val="00A3655B"/>
    <w:rsid w:val="00A36581"/>
    <w:rsid w:val="00A36644"/>
    <w:rsid w:val="00A3665E"/>
    <w:rsid w:val="00A366BA"/>
    <w:rsid w:val="00A366C4"/>
    <w:rsid w:val="00A36704"/>
    <w:rsid w:val="00A36722"/>
    <w:rsid w:val="00A36831"/>
    <w:rsid w:val="00A3684F"/>
    <w:rsid w:val="00A3685B"/>
    <w:rsid w:val="00A3686E"/>
    <w:rsid w:val="00A368CD"/>
    <w:rsid w:val="00A368D3"/>
    <w:rsid w:val="00A368EA"/>
    <w:rsid w:val="00A3695B"/>
    <w:rsid w:val="00A36973"/>
    <w:rsid w:val="00A36996"/>
    <w:rsid w:val="00A369AB"/>
    <w:rsid w:val="00A36A70"/>
    <w:rsid w:val="00A36B16"/>
    <w:rsid w:val="00A36B56"/>
    <w:rsid w:val="00A36B87"/>
    <w:rsid w:val="00A36BFF"/>
    <w:rsid w:val="00A36C76"/>
    <w:rsid w:val="00A36CC2"/>
    <w:rsid w:val="00A36CFC"/>
    <w:rsid w:val="00A36D29"/>
    <w:rsid w:val="00A36D2E"/>
    <w:rsid w:val="00A36D53"/>
    <w:rsid w:val="00A36DA4"/>
    <w:rsid w:val="00A36DBC"/>
    <w:rsid w:val="00A36DD9"/>
    <w:rsid w:val="00A36DE7"/>
    <w:rsid w:val="00A36E41"/>
    <w:rsid w:val="00A36E64"/>
    <w:rsid w:val="00A36FC4"/>
    <w:rsid w:val="00A36FE1"/>
    <w:rsid w:val="00A3700C"/>
    <w:rsid w:val="00A37014"/>
    <w:rsid w:val="00A37026"/>
    <w:rsid w:val="00A37054"/>
    <w:rsid w:val="00A3712D"/>
    <w:rsid w:val="00A37131"/>
    <w:rsid w:val="00A37159"/>
    <w:rsid w:val="00A37185"/>
    <w:rsid w:val="00A371B8"/>
    <w:rsid w:val="00A371B9"/>
    <w:rsid w:val="00A371F9"/>
    <w:rsid w:val="00A3723F"/>
    <w:rsid w:val="00A372CF"/>
    <w:rsid w:val="00A372D6"/>
    <w:rsid w:val="00A37300"/>
    <w:rsid w:val="00A37418"/>
    <w:rsid w:val="00A37500"/>
    <w:rsid w:val="00A37507"/>
    <w:rsid w:val="00A3760B"/>
    <w:rsid w:val="00A37694"/>
    <w:rsid w:val="00A376E0"/>
    <w:rsid w:val="00A37781"/>
    <w:rsid w:val="00A37796"/>
    <w:rsid w:val="00A377BA"/>
    <w:rsid w:val="00A37811"/>
    <w:rsid w:val="00A3783F"/>
    <w:rsid w:val="00A378EB"/>
    <w:rsid w:val="00A37961"/>
    <w:rsid w:val="00A379C8"/>
    <w:rsid w:val="00A379FF"/>
    <w:rsid w:val="00A37B7B"/>
    <w:rsid w:val="00A37BEA"/>
    <w:rsid w:val="00A37C40"/>
    <w:rsid w:val="00A37C9A"/>
    <w:rsid w:val="00A37D7E"/>
    <w:rsid w:val="00A37E4A"/>
    <w:rsid w:val="00A37EE4"/>
    <w:rsid w:val="00A37F4A"/>
    <w:rsid w:val="00A37F67"/>
    <w:rsid w:val="00A37FBB"/>
    <w:rsid w:val="00A37FDA"/>
    <w:rsid w:val="00A4003F"/>
    <w:rsid w:val="00A400D8"/>
    <w:rsid w:val="00A400E3"/>
    <w:rsid w:val="00A40112"/>
    <w:rsid w:val="00A4013D"/>
    <w:rsid w:val="00A4013F"/>
    <w:rsid w:val="00A401B2"/>
    <w:rsid w:val="00A402D6"/>
    <w:rsid w:val="00A4035E"/>
    <w:rsid w:val="00A403A3"/>
    <w:rsid w:val="00A403CD"/>
    <w:rsid w:val="00A404F5"/>
    <w:rsid w:val="00A405AE"/>
    <w:rsid w:val="00A406B9"/>
    <w:rsid w:val="00A406C8"/>
    <w:rsid w:val="00A406E5"/>
    <w:rsid w:val="00A407E0"/>
    <w:rsid w:val="00A40800"/>
    <w:rsid w:val="00A4084C"/>
    <w:rsid w:val="00A40882"/>
    <w:rsid w:val="00A408BE"/>
    <w:rsid w:val="00A4091B"/>
    <w:rsid w:val="00A4096E"/>
    <w:rsid w:val="00A4097B"/>
    <w:rsid w:val="00A40B11"/>
    <w:rsid w:val="00A40B73"/>
    <w:rsid w:val="00A40B74"/>
    <w:rsid w:val="00A40C62"/>
    <w:rsid w:val="00A40CAF"/>
    <w:rsid w:val="00A40CB2"/>
    <w:rsid w:val="00A40CFF"/>
    <w:rsid w:val="00A40D5B"/>
    <w:rsid w:val="00A40D81"/>
    <w:rsid w:val="00A40E15"/>
    <w:rsid w:val="00A40E25"/>
    <w:rsid w:val="00A40E5B"/>
    <w:rsid w:val="00A40EBF"/>
    <w:rsid w:val="00A40F8F"/>
    <w:rsid w:val="00A40F93"/>
    <w:rsid w:val="00A4101F"/>
    <w:rsid w:val="00A41040"/>
    <w:rsid w:val="00A41047"/>
    <w:rsid w:val="00A4104B"/>
    <w:rsid w:val="00A41104"/>
    <w:rsid w:val="00A4113B"/>
    <w:rsid w:val="00A411C7"/>
    <w:rsid w:val="00A41242"/>
    <w:rsid w:val="00A412BC"/>
    <w:rsid w:val="00A41374"/>
    <w:rsid w:val="00A413A4"/>
    <w:rsid w:val="00A413DB"/>
    <w:rsid w:val="00A41440"/>
    <w:rsid w:val="00A41495"/>
    <w:rsid w:val="00A41529"/>
    <w:rsid w:val="00A4152C"/>
    <w:rsid w:val="00A4157C"/>
    <w:rsid w:val="00A4157D"/>
    <w:rsid w:val="00A415DC"/>
    <w:rsid w:val="00A41649"/>
    <w:rsid w:val="00A4166C"/>
    <w:rsid w:val="00A4169B"/>
    <w:rsid w:val="00A416A7"/>
    <w:rsid w:val="00A41700"/>
    <w:rsid w:val="00A4176E"/>
    <w:rsid w:val="00A4179C"/>
    <w:rsid w:val="00A41844"/>
    <w:rsid w:val="00A418EC"/>
    <w:rsid w:val="00A4190C"/>
    <w:rsid w:val="00A4192E"/>
    <w:rsid w:val="00A41951"/>
    <w:rsid w:val="00A4196F"/>
    <w:rsid w:val="00A419E2"/>
    <w:rsid w:val="00A419F3"/>
    <w:rsid w:val="00A41A8D"/>
    <w:rsid w:val="00A41B31"/>
    <w:rsid w:val="00A41B41"/>
    <w:rsid w:val="00A41B6E"/>
    <w:rsid w:val="00A41BA3"/>
    <w:rsid w:val="00A41C1E"/>
    <w:rsid w:val="00A41C36"/>
    <w:rsid w:val="00A41CBD"/>
    <w:rsid w:val="00A41CC4"/>
    <w:rsid w:val="00A41CE7"/>
    <w:rsid w:val="00A41DE6"/>
    <w:rsid w:val="00A41E55"/>
    <w:rsid w:val="00A41E8A"/>
    <w:rsid w:val="00A41EAD"/>
    <w:rsid w:val="00A41F2F"/>
    <w:rsid w:val="00A41F5C"/>
    <w:rsid w:val="00A41F72"/>
    <w:rsid w:val="00A42070"/>
    <w:rsid w:val="00A42092"/>
    <w:rsid w:val="00A42098"/>
    <w:rsid w:val="00A421A2"/>
    <w:rsid w:val="00A423E9"/>
    <w:rsid w:val="00A42537"/>
    <w:rsid w:val="00A42597"/>
    <w:rsid w:val="00A42606"/>
    <w:rsid w:val="00A42610"/>
    <w:rsid w:val="00A42629"/>
    <w:rsid w:val="00A42633"/>
    <w:rsid w:val="00A4266C"/>
    <w:rsid w:val="00A426D8"/>
    <w:rsid w:val="00A42744"/>
    <w:rsid w:val="00A42783"/>
    <w:rsid w:val="00A427FD"/>
    <w:rsid w:val="00A4285B"/>
    <w:rsid w:val="00A428BE"/>
    <w:rsid w:val="00A42986"/>
    <w:rsid w:val="00A42991"/>
    <w:rsid w:val="00A429B4"/>
    <w:rsid w:val="00A42A1D"/>
    <w:rsid w:val="00A42A3C"/>
    <w:rsid w:val="00A42A61"/>
    <w:rsid w:val="00A42A9D"/>
    <w:rsid w:val="00A42AB6"/>
    <w:rsid w:val="00A42B3A"/>
    <w:rsid w:val="00A42B77"/>
    <w:rsid w:val="00A42BAB"/>
    <w:rsid w:val="00A42BC6"/>
    <w:rsid w:val="00A42CD7"/>
    <w:rsid w:val="00A42CF9"/>
    <w:rsid w:val="00A42E68"/>
    <w:rsid w:val="00A42EDA"/>
    <w:rsid w:val="00A42EDF"/>
    <w:rsid w:val="00A42F14"/>
    <w:rsid w:val="00A42F85"/>
    <w:rsid w:val="00A42FFE"/>
    <w:rsid w:val="00A43052"/>
    <w:rsid w:val="00A430AA"/>
    <w:rsid w:val="00A430D1"/>
    <w:rsid w:val="00A4316B"/>
    <w:rsid w:val="00A431D4"/>
    <w:rsid w:val="00A4328A"/>
    <w:rsid w:val="00A43377"/>
    <w:rsid w:val="00A433C3"/>
    <w:rsid w:val="00A433CF"/>
    <w:rsid w:val="00A4347C"/>
    <w:rsid w:val="00A434E5"/>
    <w:rsid w:val="00A43507"/>
    <w:rsid w:val="00A43537"/>
    <w:rsid w:val="00A435E9"/>
    <w:rsid w:val="00A437A8"/>
    <w:rsid w:val="00A437C5"/>
    <w:rsid w:val="00A439D0"/>
    <w:rsid w:val="00A439D6"/>
    <w:rsid w:val="00A439F8"/>
    <w:rsid w:val="00A43A04"/>
    <w:rsid w:val="00A43A2B"/>
    <w:rsid w:val="00A43A2F"/>
    <w:rsid w:val="00A43A60"/>
    <w:rsid w:val="00A43A83"/>
    <w:rsid w:val="00A43AE3"/>
    <w:rsid w:val="00A43B44"/>
    <w:rsid w:val="00A43BB7"/>
    <w:rsid w:val="00A43BC1"/>
    <w:rsid w:val="00A43BF8"/>
    <w:rsid w:val="00A43CEB"/>
    <w:rsid w:val="00A43DA9"/>
    <w:rsid w:val="00A43EE5"/>
    <w:rsid w:val="00A43EF8"/>
    <w:rsid w:val="00A43F6D"/>
    <w:rsid w:val="00A43F9D"/>
    <w:rsid w:val="00A43FE8"/>
    <w:rsid w:val="00A440CD"/>
    <w:rsid w:val="00A44138"/>
    <w:rsid w:val="00A441D2"/>
    <w:rsid w:val="00A44219"/>
    <w:rsid w:val="00A4423A"/>
    <w:rsid w:val="00A442B6"/>
    <w:rsid w:val="00A4435E"/>
    <w:rsid w:val="00A44363"/>
    <w:rsid w:val="00A4441D"/>
    <w:rsid w:val="00A44450"/>
    <w:rsid w:val="00A4445A"/>
    <w:rsid w:val="00A444B0"/>
    <w:rsid w:val="00A445EF"/>
    <w:rsid w:val="00A445F4"/>
    <w:rsid w:val="00A44693"/>
    <w:rsid w:val="00A446B7"/>
    <w:rsid w:val="00A44708"/>
    <w:rsid w:val="00A44725"/>
    <w:rsid w:val="00A447BD"/>
    <w:rsid w:val="00A44842"/>
    <w:rsid w:val="00A44890"/>
    <w:rsid w:val="00A44895"/>
    <w:rsid w:val="00A448AF"/>
    <w:rsid w:val="00A4497F"/>
    <w:rsid w:val="00A449AD"/>
    <w:rsid w:val="00A449C6"/>
    <w:rsid w:val="00A44A1A"/>
    <w:rsid w:val="00A44A74"/>
    <w:rsid w:val="00A44AB0"/>
    <w:rsid w:val="00A44AD7"/>
    <w:rsid w:val="00A44B0B"/>
    <w:rsid w:val="00A44B10"/>
    <w:rsid w:val="00A44B2B"/>
    <w:rsid w:val="00A44B82"/>
    <w:rsid w:val="00A44C2D"/>
    <w:rsid w:val="00A44C52"/>
    <w:rsid w:val="00A44D45"/>
    <w:rsid w:val="00A44D99"/>
    <w:rsid w:val="00A44FF3"/>
    <w:rsid w:val="00A45000"/>
    <w:rsid w:val="00A45112"/>
    <w:rsid w:val="00A4517C"/>
    <w:rsid w:val="00A45264"/>
    <w:rsid w:val="00A4528F"/>
    <w:rsid w:val="00A45370"/>
    <w:rsid w:val="00A4537E"/>
    <w:rsid w:val="00A45396"/>
    <w:rsid w:val="00A4539A"/>
    <w:rsid w:val="00A453D8"/>
    <w:rsid w:val="00A453F0"/>
    <w:rsid w:val="00A45476"/>
    <w:rsid w:val="00A45583"/>
    <w:rsid w:val="00A455E3"/>
    <w:rsid w:val="00A45691"/>
    <w:rsid w:val="00A4570C"/>
    <w:rsid w:val="00A45726"/>
    <w:rsid w:val="00A457AB"/>
    <w:rsid w:val="00A4583E"/>
    <w:rsid w:val="00A45988"/>
    <w:rsid w:val="00A45A53"/>
    <w:rsid w:val="00A45A90"/>
    <w:rsid w:val="00A45A93"/>
    <w:rsid w:val="00A45AD9"/>
    <w:rsid w:val="00A45BA5"/>
    <w:rsid w:val="00A45C1F"/>
    <w:rsid w:val="00A45C73"/>
    <w:rsid w:val="00A45CF7"/>
    <w:rsid w:val="00A45D43"/>
    <w:rsid w:val="00A45DBE"/>
    <w:rsid w:val="00A45DD9"/>
    <w:rsid w:val="00A45E26"/>
    <w:rsid w:val="00A45E3B"/>
    <w:rsid w:val="00A45F73"/>
    <w:rsid w:val="00A45F7B"/>
    <w:rsid w:val="00A45F92"/>
    <w:rsid w:val="00A45FC9"/>
    <w:rsid w:val="00A45FEF"/>
    <w:rsid w:val="00A46016"/>
    <w:rsid w:val="00A46026"/>
    <w:rsid w:val="00A460DF"/>
    <w:rsid w:val="00A460FB"/>
    <w:rsid w:val="00A461A6"/>
    <w:rsid w:val="00A461E9"/>
    <w:rsid w:val="00A46260"/>
    <w:rsid w:val="00A462E0"/>
    <w:rsid w:val="00A46328"/>
    <w:rsid w:val="00A46358"/>
    <w:rsid w:val="00A46384"/>
    <w:rsid w:val="00A4638F"/>
    <w:rsid w:val="00A4639A"/>
    <w:rsid w:val="00A46444"/>
    <w:rsid w:val="00A46450"/>
    <w:rsid w:val="00A46474"/>
    <w:rsid w:val="00A46475"/>
    <w:rsid w:val="00A46480"/>
    <w:rsid w:val="00A464B3"/>
    <w:rsid w:val="00A46518"/>
    <w:rsid w:val="00A4653E"/>
    <w:rsid w:val="00A46540"/>
    <w:rsid w:val="00A4657E"/>
    <w:rsid w:val="00A4658E"/>
    <w:rsid w:val="00A465AC"/>
    <w:rsid w:val="00A46627"/>
    <w:rsid w:val="00A46712"/>
    <w:rsid w:val="00A4675B"/>
    <w:rsid w:val="00A467E2"/>
    <w:rsid w:val="00A4689A"/>
    <w:rsid w:val="00A46908"/>
    <w:rsid w:val="00A46920"/>
    <w:rsid w:val="00A46962"/>
    <w:rsid w:val="00A469BC"/>
    <w:rsid w:val="00A469F9"/>
    <w:rsid w:val="00A46A0E"/>
    <w:rsid w:val="00A46A5C"/>
    <w:rsid w:val="00A46A67"/>
    <w:rsid w:val="00A46A96"/>
    <w:rsid w:val="00A46AF8"/>
    <w:rsid w:val="00A46C59"/>
    <w:rsid w:val="00A46CAA"/>
    <w:rsid w:val="00A46CB0"/>
    <w:rsid w:val="00A46CD7"/>
    <w:rsid w:val="00A46D4B"/>
    <w:rsid w:val="00A46D83"/>
    <w:rsid w:val="00A46D98"/>
    <w:rsid w:val="00A46E0B"/>
    <w:rsid w:val="00A46E89"/>
    <w:rsid w:val="00A46EEB"/>
    <w:rsid w:val="00A46F6B"/>
    <w:rsid w:val="00A4706B"/>
    <w:rsid w:val="00A47160"/>
    <w:rsid w:val="00A4723D"/>
    <w:rsid w:val="00A4725A"/>
    <w:rsid w:val="00A4725D"/>
    <w:rsid w:val="00A47262"/>
    <w:rsid w:val="00A472DE"/>
    <w:rsid w:val="00A472F5"/>
    <w:rsid w:val="00A47354"/>
    <w:rsid w:val="00A4737F"/>
    <w:rsid w:val="00A4744C"/>
    <w:rsid w:val="00A474B6"/>
    <w:rsid w:val="00A475A5"/>
    <w:rsid w:val="00A4763A"/>
    <w:rsid w:val="00A47685"/>
    <w:rsid w:val="00A476A5"/>
    <w:rsid w:val="00A476BF"/>
    <w:rsid w:val="00A476E2"/>
    <w:rsid w:val="00A47730"/>
    <w:rsid w:val="00A477C7"/>
    <w:rsid w:val="00A4781C"/>
    <w:rsid w:val="00A47844"/>
    <w:rsid w:val="00A4786D"/>
    <w:rsid w:val="00A478BF"/>
    <w:rsid w:val="00A478D4"/>
    <w:rsid w:val="00A479C9"/>
    <w:rsid w:val="00A479D1"/>
    <w:rsid w:val="00A479DD"/>
    <w:rsid w:val="00A47A22"/>
    <w:rsid w:val="00A47A3B"/>
    <w:rsid w:val="00A47A86"/>
    <w:rsid w:val="00A47AD1"/>
    <w:rsid w:val="00A47B0D"/>
    <w:rsid w:val="00A47B42"/>
    <w:rsid w:val="00A47B6F"/>
    <w:rsid w:val="00A47B7A"/>
    <w:rsid w:val="00A47BB6"/>
    <w:rsid w:val="00A47BCF"/>
    <w:rsid w:val="00A47C15"/>
    <w:rsid w:val="00A47D72"/>
    <w:rsid w:val="00A47D8B"/>
    <w:rsid w:val="00A47DEF"/>
    <w:rsid w:val="00A47E99"/>
    <w:rsid w:val="00A47ECC"/>
    <w:rsid w:val="00A47EE8"/>
    <w:rsid w:val="00A47F7A"/>
    <w:rsid w:val="00A47FBF"/>
    <w:rsid w:val="00A47FC2"/>
    <w:rsid w:val="00A47FF3"/>
    <w:rsid w:val="00A5002C"/>
    <w:rsid w:val="00A500A6"/>
    <w:rsid w:val="00A50165"/>
    <w:rsid w:val="00A501A9"/>
    <w:rsid w:val="00A501B9"/>
    <w:rsid w:val="00A501F2"/>
    <w:rsid w:val="00A50245"/>
    <w:rsid w:val="00A5025A"/>
    <w:rsid w:val="00A50267"/>
    <w:rsid w:val="00A502F5"/>
    <w:rsid w:val="00A502FC"/>
    <w:rsid w:val="00A5034B"/>
    <w:rsid w:val="00A503D9"/>
    <w:rsid w:val="00A50453"/>
    <w:rsid w:val="00A504E2"/>
    <w:rsid w:val="00A504FB"/>
    <w:rsid w:val="00A5050F"/>
    <w:rsid w:val="00A5059F"/>
    <w:rsid w:val="00A505D4"/>
    <w:rsid w:val="00A50654"/>
    <w:rsid w:val="00A5069C"/>
    <w:rsid w:val="00A506EB"/>
    <w:rsid w:val="00A50749"/>
    <w:rsid w:val="00A5076C"/>
    <w:rsid w:val="00A508AE"/>
    <w:rsid w:val="00A50979"/>
    <w:rsid w:val="00A50A75"/>
    <w:rsid w:val="00A50AA3"/>
    <w:rsid w:val="00A50ABD"/>
    <w:rsid w:val="00A50AD2"/>
    <w:rsid w:val="00A50BB7"/>
    <w:rsid w:val="00A50BDC"/>
    <w:rsid w:val="00A50C12"/>
    <w:rsid w:val="00A50C2C"/>
    <w:rsid w:val="00A50CA1"/>
    <w:rsid w:val="00A50CBE"/>
    <w:rsid w:val="00A50CF2"/>
    <w:rsid w:val="00A50D56"/>
    <w:rsid w:val="00A50EE2"/>
    <w:rsid w:val="00A50F0F"/>
    <w:rsid w:val="00A51091"/>
    <w:rsid w:val="00A510A4"/>
    <w:rsid w:val="00A51120"/>
    <w:rsid w:val="00A51231"/>
    <w:rsid w:val="00A5124C"/>
    <w:rsid w:val="00A5129E"/>
    <w:rsid w:val="00A5130A"/>
    <w:rsid w:val="00A5130E"/>
    <w:rsid w:val="00A51360"/>
    <w:rsid w:val="00A51478"/>
    <w:rsid w:val="00A5150C"/>
    <w:rsid w:val="00A5170F"/>
    <w:rsid w:val="00A51901"/>
    <w:rsid w:val="00A5194E"/>
    <w:rsid w:val="00A519B1"/>
    <w:rsid w:val="00A519D8"/>
    <w:rsid w:val="00A51A44"/>
    <w:rsid w:val="00A51A64"/>
    <w:rsid w:val="00A51A81"/>
    <w:rsid w:val="00A51B2F"/>
    <w:rsid w:val="00A51B37"/>
    <w:rsid w:val="00A51B61"/>
    <w:rsid w:val="00A51B8C"/>
    <w:rsid w:val="00A51BAB"/>
    <w:rsid w:val="00A51BFF"/>
    <w:rsid w:val="00A51DBF"/>
    <w:rsid w:val="00A51DF3"/>
    <w:rsid w:val="00A51E59"/>
    <w:rsid w:val="00A51F5A"/>
    <w:rsid w:val="00A51FB8"/>
    <w:rsid w:val="00A51FFE"/>
    <w:rsid w:val="00A52000"/>
    <w:rsid w:val="00A52006"/>
    <w:rsid w:val="00A52019"/>
    <w:rsid w:val="00A5203A"/>
    <w:rsid w:val="00A5205A"/>
    <w:rsid w:val="00A52090"/>
    <w:rsid w:val="00A520F3"/>
    <w:rsid w:val="00A5210D"/>
    <w:rsid w:val="00A5213B"/>
    <w:rsid w:val="00A521CD"/>
    <w:rsid w:val="00A522C8"/>
    <w:rsid w:val="00A52371"/>
    <w:rsid w:val="00A523AE"/>
    <w:rsid w:val="00A523BC"/>
    <w:rsid w:val="00A524A9"/>
    <w:rsid w:val="00A525E8"/>
    <w:rsid w:val="00A52616"/>
    <w:rsid w:val="00A52640"/>
    <w:rsid w:val="00A526D2"/>
    <w:rsid w:val="00A5270A"/>
    <w:rsid w:val="00A527FD"/>
    <w:rsid w:val="00A52856"/>
    <w:rsid w:val="00A5285B"/>
    <w:rsid w:val="00A528C6"/>
    <w:rsid w:val="00A528E3"/>
    <w:rsid w:val="00A52912"/>
    <w:rsid w:val="00A52923"/>
    <w:rsid w:val="00A5298E"/>
    <w:rsid w:val="00A52A05"/>
    <w:rsid w:val="00A52AC1"/>
    <w:rsid w:val="00A52AF4"/>
    <w:rsid w:val="00A52B81"/>
    <w:rsid w:val="00A52BD0"/>
    <w:rsid w:val="00A52BD2"/>
    <w:rsid w:val="00A52D75"/>
    <w:rsid w:val="00A52D86"/>
    <w:rsid w:val="00A52D92"/>
    <w:rsid w:val="00A52D9C"/>
    <w:rsid w:val="00A52DF8"/>
    <w:rsid w:val="00A52DFF"/>
    <w:rsid w:val="00A52E91"/>
    <w:rsid w:val="00A52ED4"/>
    <w:rsid w:val="00A52ED7"/>
    <w:rsid w:val="00A52EDF"/>
    <w:rsid w:val="00A52EEF"/>
    <w:rsid w:val="00A52F0A"/>
    <w:rsid w:val="00A52F0E"/>
    <w:rsid w:val="00A53117"/>
    <w:rsid w:val="00A53185"/>
    <w:rsid w:val="00A531B7"/>
    <w:rsid w:val="00A531BD"/>
    <w:rsid w:val="00A531C2"/>
    <w:rsid w:val="00A531ED"/>
    <w:rsid w:val="00A531F6"/>
    <w:rsid w:val="00A53216"/>
    <w:rsid w:val="00A53246"/>
    <w:rsid w:val="00A53309"/>
    <w:rsid w:val="00A5339D"/>
    <w:rsid w:val="00A53402"/>
    <w:rsid w:val="00A534AC"/>
    <w:rsid w:val="00A534DF"/>
    <w:rsid w:val="00A53507"/>
    <w:rsid w:val="00A53538"/>
    <w:rsid w:val="00A535E7"/>
    <w:rsid w:val="00A53659"/>
    <w:rsid w:val="00A5367C"/>
    <w:rsid w:val="00A5377F"/>
    <w:rsid w:val="00A537BD"/>
    <w:rsid w:val="00A537F1"/>
    <w:rsid w:val="00A537F9"/>
    <w:rsid w:val="00A53840"/>
    <w:rsid w:val="00A53846"/>
    <w:rsid w:val="00A53847"/>
    <w:rsid w:val="00A53854"/>
    <w:rsid w:val="00A5387E"/>
    <w:rsid w:val="00A53902"/>
    <w:rsid w:val="00A53922"/>
    <w:rsid w:val="00A53987"/>
    <w:rsid w:val="00A53A63"/>
    <w:rsid w:val="00A53A94"/>
    <w:rsid w:val="00A53B13"/>
    <w:rsid w:val="00A53B49"/>
    <w:rsid w:val="00A53C05"/>
    <w:rsid w:val="00A53C32"/>
    <w:rsid w:val="00A53C4E"/>
    <w:rsid w:val="00A53C5D"/>
    <w:rsid w:val="00A53C78"/>
    <w:rsid w:val="00A53CA9"/>
    <w:rsid w:val="00A53D2B"/>
    <w:rsid w:val="00A53D54"/>
    <w:rsid w:val="00A53DD1"/>
    <w:rsid w:val="00A53E4D"/>
    <w:rsid w:val="00A53E7D"/>
    <w:rsid w:val="00A53EFE"/>
    <w:rsid w:val="00A53FFD"/>
    <w:rsid w:val="00A54111"/>
    <w:rsid w:val="00A541CA"/>
    <w:rsid w:val="00A541D3"/>
    <w:rsid w:val="00A54206"/>
    <w:rsid w:val="00A54233"/>
    <w:rsid w:val="00A5428C"/>
    <w:rsid w:val="00A5429D"/>
    <w:rsid w:val="00A543DA"/>
    <w:rsid w:val="00A5447C"/>
    <w:rsid w:val="00A54622"/>
    <w:rsid w:val="00A54626"/>
    <w:rsid w:val="00A54680"/>
    <w:rsid w:val="00A5469A"/>
    <w:rsid w:val="00A5473A"/>
    <w:rsid w:val="00A54774"/>
    <w:rsid w:val="00A54799"/>
    <w:rsid w:val="00A547C8"/>
    <w:rsid w:val="00A547DA"/>
    <w:rsid w:val="00A547E0"/>
    <w:rsid w:val="00A54803"/>
    <w:rsid w:val="00A54857"/>
    <w:rsid w:val="00A54928"/>
    <w:rsid w:val="00A5498A"/>
    <w:rsid w:val="00A54ADF"/>
    <w:rsid w:val="00A54B02"/>
    <w:rsid w:val="00A54B19"/>
    <w:rsid w:val="00A54B7B"/>
    <w:rsid w:val="00A54BFC"/>
    <w:rsid w:val="00A54C4A"/>
    <w:rsid w:val="00A54C65"/>
    <w:rsid w:val="00A54C79"/>
    <w:rsid w:val="00A54CE5"/>
    <w:rsid w:val="00A54DAF"/>
    <w:rsid w:val="00A54DD4"/>
    <w:rsid w:val="00A54E18"/>
    <w:rsid w:val="00A54E1A"/>
    <w:rsid w:val="00A54E76"/>
    <w:rsid w:val="00A54E7C"/>
    <w:rsid w:val="00A54ECC"/>
    <w:rsid w:val="00A54F09"/>
    <w:rsid w:val="00A54F12"/>
    <w:rsid w:val="00A54F59"/>
    <w:rsid w:val="00A55009"/>
    <w:rsid w:val="00A5504E"/>
    <w:rsid w:val="00A5509B"/>
    <w:rsid w:val="00A55124"/>
    <w:rsid w:val="00A5516E"/>
    <w:rsid w:val="00A551E4"/>
    <w:rsid w:val="00A5520C"/>
    <w:rsid w:val="00A5521D"/>
    <w:rsid w:val="00A55240"/>
    <w:rsid w:val="00A55248"/>
    <w:rsid w:val="00A5525E"/>
    <w:rsid w:val="00A5538E"/>
    <w:rsid w:val="00A553B8"/>
    <w:rsid w:val="00A553BA"/>
    <w:rsid w:val="00A553D2"/>
    <w:rsid w:val="00A553E0"/>
    <w:rsid w:val="00A5540E"/>
    <w:rsid w:val="00A5541C"/>
    <w:rsid w:val="00A554C5"/>
    <w:rsid w:val="00A554FB"/>
    <w:rsid w:val="00A55530"/>
    <w:rsid w:val="00A55585"/>
    <w:rsid w:val="00A555E5"/>
    <w:rsid w:val="00A555FC"/>
    <w:rsid w:val="00A5560C"/>
    <w:rsid w:val="00A55814"/>
    <w:rsid w:val="00A5582B"/>
    <w:rsid w:val="00A5583F"/>
    <w:rsid w:val="00A5587B"/>
    <w:rsid w:val="00A558CE"/>
    <w:rsid w:val="00A558D0"/>
    <w:rsid w:val="00A558F0"/>
    <w:rsid w:val="00A55917"/>
    <w:rsid w:val="00A55925"/>
    <w:rsid w:val="00A559AF"/>
    <w:rsid w:val="00A559CD"/>
    <w:rsid w:val="00A55A03"/>
    <w:rsid w:val="00A55AAD"/>
    <w:rsid w:val="00A55B31"/>
    <w:rsid w:val="00A55B5E"/>
    <w:rsid w:val="00A55BFF"/>
    <w:rsid w:val="00A55C47"/>
    <w:rsid w:val="00A55C73"/>
    <w:rsid w:val="00A55C92"/>
    <w:rsid w:val="00A55D3F"/>
    <w:rsid w:val="00A55D71"/>
    <w:rsid w:val="00A55DAC"/>
    <w:rsid w:val="00A55DF9"/>
    <w:rsid w:val="00A55EBC"/>
    <w:rsid w:val="00A55EC8"/>
    <w:rsid w:val="00A55EE6"/>
    <w:rsid w:val="00A55FEB"/>
    <w:rsid w:val="00A5600A"/>
    <w:rsid w:val="00A5613A"/>
    <w:rsid w:val="00A5617C"/>
    <w:rsid w:val="00A561FD"/>
    <w:rsid w:val="00A5620F"/>
    <w:rsid w:val="00A562A0"/>
    <w:rsid w:val="00A562EB"/>
    <w:rsid w:val="00A56391"/>
    <w:rsid w:val="00A56463"/>
    <w:rsid w:val="00A56518"/>
    <w:rsid w:val="00A565C3"/>
    <w:rsid w:val="00A56646"/>
    <w:rsid w:val="00A566E9"/>
    <w:rsid w:val="00A5670B"/>
    <w:rsid w:val="00A56712"/>
    <w:rsid w:val="00A567BB"/>
    <w:rsid w:val="00A567CD"/>
    <w:rsid w:val="00A567F4"/>
    <w:rsid w:val="00A56812"/>
    <w:rsid w:val="00A5681A"/>
    <w:rsid w:val="00A56837"/>
    <w:rsid w:val="00A56843"/>
    <w:rsid w:val="00A56873"/>
    <w:rsid w:val="00A5687E"/>
    <w:rsid w:val="00A56882"/>
    <w:rsid w:val="00A569B6"/>
    <w:rsid w:val="00A569C4"/>
    <w:rsid w:val="00A56A05"/>
    <w:rsid w:val="00A56A94"/>
    <w:rsid w:val="00A56B4B"/>
    <w:rsid w:val="00A56B9E"/>
    <w:rsid w:val="00A56C72"/>
    <w:rsid w:val="00A56CD7"/>
    <w:rsid w:val="00A56CE6"/>
    <w:rsid w:val="00A56D2F"/>
    <w:rsid w:val="00A56DB8"/>
    <w:rsid w:val="00A56DE5"/>
    <w:rsid w:val="00A56E93"/>
    <w:rsid w:val="00A56EA7"/>
    <w:rsid w:val="00A56EB1"/>
    <w:rsid w:val="00A56EE2"/>
    <w:rsid w:val="00A57050"/>
    <w:rsid w:val="00A5705D"/>
    <w:rsid w:val="00A570AA"/>
    <w:rsid w:val="00A570CE"/>
    <w:rsid w:val="00A571B3"/>
    <w:rsid w:val="00A57231"/>
    <w:rsid w:val="00A572A7"/>
    <w:rsid w:val="00A572CC"/>
    <w:rsid w:val="00A573DF"/>
    <w:rsid w:val="00A5743D"/>
    <w:rsid w:val="00A57451"/>
    <w:rsid w:val="00A57485"/>
    <w:rsid w:val="00A574FF"/>
    <w:rsid w:val="00A57521"/>
    <w:rsid w:val="00A57529"/>
    <w:rsid w:val="00A57532"/>
    <w:rsid w:val="00A57551"/>
    <w:rsid w:val="00A5758E"/>
    <w:rsid w:val="00A575B4"/>
    <w:rsid w:val="00A575C0"/>
    <w:rsid w:val="00A575D3"/>
    <w:rsid w:val="00A575DE"/>
    <w:rsid w:val="00A5760A"/>
    <w:rsid w:val="00A57644"/>
    <w:rsid w:val="00A5767D"/>
    <w:rsid w:val="00A576D1"/>
    <w:rsid w:val="00A576DE"/>
    <w:rsid w:val="00A57710"/>
    <w:rsid w:val="00A57724"/>
    <w:rsid w:val="00A5772B"/>
    <w:rsid w:val="00A5772C"/>
    <w:rsid w:val="00A57745"/>
    <w:rsid w:val="00A577D0"/>
    <w:rsid w:val="00A57807"/>
    <w:rsid w:val="00A5781C"/>
    <w:rsid w:val="00A57839"/>
    <w:rsid w:val="00A5786A"/>
    <w:rsid w:val="00A57942"/>
    <w:rsid w:val="00A57948"/>
    <w:rsid w:val="00A579F4"/>
    <w:rsid w:val="00A57A19"/>
    <w:rsid w:val="00A57A9B"/>
    <w:rsid w:val="00A57B52"/>
    <w:rsid w:val="00A57BB4"/>
    <w:rsid w:val="00A57C4A"/>
    <w:rsid w:val="00A57CA5"/>
    <w:rsid w:val="00A57D51"/>
    <w:rsid w:val="00A57D59"/>
    <w:rsid w:val="00A57E0E"/>
    <w:rsid w:val="00A57E45"/>
    <w:rsid w:val="00A57E87"/>
    <w:rsid w:val="00A57E88"/>
    <w:rsid w:val="00A57ED7"/>
    <w:rsid w:val="00A57EF8"/>
    <w:rsid w:val="00A57F68"/>
    <w:rsid w:val="00A60008"/>
    <w:rsid w:val="00A60038"/>
    <w:rsid w:val="00A60190"/>
    <w:rsid w:val="00A601F0"/>
    <w:rsid w:val="00A60290"/>
    <w:rsid w:val="00A60368"/>
    <w:rsid w:val="00A60369"/>
    <w:rsid w:val="00A60383"/>
    <w:rsid w:val="00A60399"/>
    <w:rsid w:val="00A60492"/>
    <w:rsid w:val="00A60550"/>
    <w:rsid w:val="00A60586"/>
    <w:rsid w:val="00A605A5"/>
    <w:rsid w:val="00A605F9"/>
    <w:rsid w:val="00A60666"/>
    <w:rsid w:val="00A60683"/>
    <w:rsid w:val="00A606EC"/>
    <w:rsid w:val="00A606F4"/>
    <w:rsid w:val="00A607AB"/>
    <w:rsid w:val="00A607AC"/>
    <w:rsid w:val="00A6086E"/>
    <w:rsid w:val="00A6086F"/>
    <w:rsid w:val="00A608B8"/>
    <w:rsid w:val="00A6091B"/>
    <w:rsid w:val="00A60AB1"/>
    <w:rsid w:val="00A60BA9"/>
    <w:rsid w:val="00A60BCD"/>
    <w:rsid w:val="00A60C48"/>
    <w:rsid w:val="00A60CF2"/>
    <w:rsid w:val="00A60D09"/>
    <w:rsid w:val="00A60D0A"/>
    <w:rsid w:val="00A60D7B"/>
    <w:rsid w:val="00A60E8F"/>
    <w:rsid w:val="00A60E91"/>
    <w:rsid w:val="00A60E9F"/>
    <w:rsid w:val="00A60F59"/>
    <w:rsid w:val="00A60F7A"/>
    <w:rsid w:val="00A61002"/>
    <w:rsid w:val="00A610B9"/>
    <w:rsid w:val="00A610E9"/>
    <w:rsid w:val="00A611FD"/>
    <w:rsid w:val="00A61293"/>
    <w:rsid w:val="00A612CD"/>
    <w:rsid w:val="00A612F2"/>
    <w:rsid w:val="00A613C9"/>
    <w:rsid w:val="00A61405"/>
    <w:rsid w:val="00A61406"/>
    <w:rsid w:val="00A61460"/>
    <w:rsid w:val="00A6147A"/>
    <w:rsid w:val="00A614BB"/>
    <w:rsid w:val="00A61547"/>
    <w:rsid w:val="00A61556"/>
    <w:rsid w:val="00A61689"/>
    <w:rsid w:val="00A616C1"/>
    <w:rsid w:val="00A61726"/>
    <w:rsid w:val="00A6175E"/>
    <w:rsid w:val="00A617E1"/>
    <w:rsid w:val="00A61831"/>
    <w:rsid w:val="00A6183F"/>
    <w:rsid w:val="00A61925"/>
    <w:rsid w:val="00A61939"/>
    <w:rsid w:val="00A61985"/>
    <w:rsid w:val="00A61AC4"/>
    <w:rsid w:val="00A61ADF"/>
    <w:rsid w:val="00A61BD7"/>
    <w:rsid w:val="00A61BDB"/>
    <w:rsid w:val="00A61BE0"/>
    <w:rsid w:val="00A61C41"/>
    <w:rsid w:val="00A61C50"/>
    <w:rsid w:val="00A61D2A"/>
    <w:rsid w:val="00A61D61"/>
    <w:rsid w:val="00A61DB2"/>
    <w:rsid w:val="00A61DFE"/>
    <w:rsid w:val="00A61E11"/>
    <w:rsid w:val="00A61E2D"/>
    <w:rsid w:val="00A61EB7"/>
    <w:rsid w:val="00A61F95"/>
    <w:rsid w:val="00A61FE0"/>
    <w:rsid w:val="00A62037"/>
    <w:rsid w:val="00A62040"/>
    <w:rsid w:val="00A62044"/>
    <w:rsid w:val="00A620FB"/>
    <w:rsid w:val="00A6213B"/>
    <w:rsid w:val="00A62196"/>
    <w:rsid w:val="00A6228F"/>
    <w:rsid w:val="00A62294"/>
    <w:rsid w:val="00A623B4"/>
    <w:rsid w:val="00A623CF"/>
    <w:rsid w:val="00A623D7"/>
    <w:rsid w:val="00A624E1"/>
    <w:rsid w:val="00A624FF"/>
    <w:rsid w:val="00A62569"/>
    <w:rsid w:val="00A625CA"/>
    <w:rsid w:val="00A625CF"/>
    <w:rsid w:val="00A625D1"/>
    <w:rsid w:val="00A626A6"/>
    <w:rsid w:val="00A626A8"/>
    <w:rsid w:val="00A626DD"/>
    <w:rsid w:val="00A6271E"/>
    <w:rsid w:val="00A627D4"/>
    <w:rsid w:val="00A6286B"/>
    <w:rsid w:val="00A628B2"/>
    <w:rsid w:val="00A62920"/>
    <w:rsid w:val="00A629B6"/>
    <w:rsid w:val="00A62A6B"/>
    <w:rsid w:val="00A62A92"/>
    <w:rsid w:val="00A62AA4"/>
    <w:rsid w:val="00A62AD4"/>
    <w:rsid w:val="00A62AE0"/>
    <w:rsid w:val="00A62B0F"/>
    <w:rsid w:val="00A62B3B"/>
    <w:rsid w:val="00A62B5E"/>
    <w:rsid w:val="00A62DA0"/>
    <w:rsid w:val="00A62DC2"/>
    <w:rsid w:val="00A62E18"/>
    <w:rsid w:val="00A62E57"/>
    <w:rsid w:val="00A62EC8"/>
    <w:rsid w:val="00A62F19"/>
    <w:rsid w:val="00A62F1D"/>
    <w:rsid w:val="00A62F45"/>
    <w:rsid w:val="00A62FB1"/>
    <w:rsid w:val="00A62FEB"/>
    <w:rsid w:val="00A62FF1"/>
    <w:rsid w:val="00A630DF"/>
    <w:rsid w:val="00A631E9"/>
    <w:rsid w:val="00A6329D"/>
    <w:rsid w:val="00A632C2"/>
    <w:rsid w:val="00A632D8"/>
    <w:rsid w:val="00A632EF"/>
    <w:rsid w:val="00A632F9"/>
    <w:rsid w:val="00A63321"/>
    <w:rsid w:val="00A63374"/>
    <w:rsid w:val="00A63472"/>
    <w:rsid w:val="00A634FA"/>
    <w:rsid w:val="00A6352D"/>
    <w:rsid w:val="00A63620"/>
    <w:rsid w:val="00A63670"/>
    <w:rsid w:val="00A636BD"/>
    <w:rsid w:val="00A6376A"/>
    <w:rsid w:val="00A637F5"/>
    <w:rsid w:val="00A63817"/>
    <w:rsid w:val="00A63840"/>
    <w:rsid w:val="00A6385D"/>
    <w:rsid w:val="00A6393D"/>
    <w:rsid w:val="00A639B1"/>
    <w:rsid w:val="00A639E3"/>
    <w:rsid w:val="00A63B3D"/>
    <w:rsid w:val="00A63B58"/>
    <w:rsid w:val="00A63C0D"/>
    <w:rsid w:val="00A63D20"/>
    <w:rsid w:val="00A63D67"/>
    <w:rsid w:val="00A63DC6"/>
    <w:rsid w:val="00A63DF3"/>
    <w:rsid w:val="00A63DF6"/>
    <w:rsid w:val="00A63F0B"/>
    <w:rsid w:val="00A63F12"/>
    <w:rsid w:val="00A63F90"/>
    <w:rsid w:val="00A6400C"/>
    <w:rsid w:val="00A64100"/>
    <w:rsid w:val="00A6415D"/>
    <w:rsid w:val="00A64188"/>
    <w:rsid w:val="00A64251"/>
    <w:rsid w:val="00A642BE"/>
    <w:rsid w:val="00A643BB"/>
    <w:rsid w:val="00A643E7"/>
    <w:rsid w:val="00A64412"/>
    <w:rsid w:val="00A644ED"/>
    <w:rsid w:val="00A645B1"/>
    <w:rsid w:val="00A645B4"/>
    <w:rsid w:val="00A64611"/>
    <w:rsid w:val="00A64652"/>
    <w:rsid w:val="00A64668"/>
    <w:rsid w:val="00A64673"/>
    <w:rsid w:val="00A64689"/>
    <w:rsid w:val="00A646CF"/>
    <w:rsid w:val="00A64721"/>
    <w:rsid w:val="00A64792"/>
    <w:rsid w:val="00A647D8"/>
    <w:rsid w:val="00A647F8"/>
    <w:rsid w:val="00A64846"/>
    <w:rsid w:val="00A649D2"/>
    <w:rsid w:val="00A64A0A"/>
    <w:rsid w:val="00A64A52"/>
    <w:rsid w:val="00A64AAB"/>
    <w:rsid w:val="00A64AFF"/>
    <w:rsid w:val="00A64B52"/>
    <w:rsid w:val="00A64BD4"/>
    <w:rsid w:val="00A64C70"/>
    <w:rsid w:val="00A64C84"/>
    <w:rsid w:val="00A64DF0"/>
    <w:rsid w:val="00A64E8C"/>
    <w:rsid w:val="00A64ED0"/>
    <w:rsid w:val="00A65007"/>
    <w:rsid w:val="00A65010"/>
    <w:rsid w:val="00A65067"/>
    <w:rsid w:val="00A6509F"/>
    <w:rsid w:val="00A65102"/>
    <w:rsid w:val="00A65124"/>
    <w:rsid w:val="00A65187"/>
    <w:rsid w:val="00A651BF"/>
    <w:rsid w:val="00A652B0"/>
    <w:rsid w:val="00A6537A"/>
    <w:rsid w:val="00A65492"/>
    <w:rsid w:val="00A654FF"/>
    <w:rsid w:val="00A65624"/>
    <w:rsid w:val="00A656CE"/>
    <w:rsid w:val="00A65752"/>
    <w:rsid w:val="00A65853"/>
    <w:rsid w:val="00A6587C"/>
    <w:rsid w:val="00A65923"/>
    <w:rsid w:val="00A659A6"/>
    <w:rsid w:val="00A65A46"/>
    <w:rsid w:val="00A65A87"/>
    <w:rsid w:val="00A65A91"/>
    <w:rsid w:val="00A65ABD"/>
    <w:rsid w:val="00A65AF2"/>
    <w:rsid w:val="00A65B01"/>
    <w:rsid w:val="00A65B03"/>
    <w:rsid w:val="00A65B0B"/>
    <w:rsid w:val="00A65B64"/>
    <w:rsid w:val="00A65B92"/>
    <w:rsid w:val="00A65BC4"/>
    <w:rsid w:val="00A65BD1"/>
    <w:rsid w:val="00A65BF4"/>
    <w:rsid w:val="00A65BFE"/>
    <w:rsid w:val="00A65C36"/>
    <w:rsid w:val="00A65C4B"/>
    <w:rsid w:val="00A65C81"/>
    <w:rsid w:val="00A65D8E"/>
    <w:rsid w:val="00A65DCB"/>
    <w:rsid w:val="00A65E91"/>
    <w:rsid w:val="00A65ED5"/>
    <w:rsid w:val="00A65F97"/>
    <w:rsid w:val="00A66038"/>
    <w:rsid w:val="00A660A0"/>
    <w:rsid w:val="00A660C9"/>
    <w:rsid w:val="00A660CF"/>
    <w:rsid w:val="00A660F3"/>
    <w:rsid w:val="00A66124"/>
    <w:rsid w:val="00A6626F"/>
    <w:rsid w:val="00A662B4"/>
    <w:rsid w:val="00A662F0"/>
    <w:rsid w:val="00A66397"/>
    <w:rsid w:val="00A663DE"/>
    <w:rsid w:val="00A6665A"/>
    <w:rsid w:val="00A666F6"/>
    <w:rsid w:val="00A66726"/>
    <w:rsid w:val="00A6672E"/>
    <w:rsid w:val="00A66750"/>
    <w:rsid w:val="00A6679F"/>
    <w:rsid w:val="00A667AC"/>
    <w:rsid w:val="00A66800"/>
    <w:rsid w:val="00A6683C"/>
    <w:rsid w:val="00A668AA"/>
    <w:rsid w:val="00A66904"/>
    <w:rsid w:val="00A66986"/>
    <w:rsid w:val="00A669D4"/>
    <w:rsid w:val="00A669D7"/>
    <w:rsid w:val="00A66A0A"/>
    <w:rsid w:val="00A66A64"/>
    <w:rsid w:val="00A66A6A"/>
    <w:rsid w:val="00A66A8B"/>
    <w:rsid w:val="00A66ABB"/>
    <w:rsid w:val="00A66B1F"/>
    <w:rsid w:val="00A66B4E"/>
    <w:rsid w:val="00A66DD2"/>
    <w:rsid w:val="00A66E02"/>
    <w:rsid w:val="00A66E0F"/>
    <w:rsid w:val="00A66E23"/>
    <w:rsid w:val="00A66E7B"/>
    <w:rsid w:val="00A66EA0"/>
    <w:rsid w:val="00A66EBF"/>
    <w:rsid w:val="00A66F1A"/>
    <w:rsid w:val="00A66F29"/>
    <w:rsid w:val="00A66F94"/>
    <w:rsid w:val="00A6701E"/>
    <w:rsid w:val="00A670C6"/>
    <w:rsid w:val="00A670E6"/>
    <w:rsid w:val="00A6713E"/>
    <w:rsid w:val="00A67192"/>
    <w:rsid w:val="00A67229"/>
    <w:rsid w:val="00A672A9"/>
    <w:rsid w:val="00A67330"/>
    <w:rsid w:val="00A67343"/>
    <w:rsid w:val="00A673CC"/>
    <w:rsid w:val="00A673E3"/>
    <w:rsid w:val="00A6740A"/>
    <w:rsid w:val="00A67451"/>
    <w:rsid w:val="00A674B7"/>
    <w:rsid w:val="00A67578"/>
    <w:rsid w:val="00A675B3"/>
    <w:rsid w:val="00A67620"/>
    <w:rsid w:val="00A6765A"/>
    <w:rsid w:val="00A67691"/>
    <w:rsid w:val="00A676C3"/>
    <w:rsid w:val="00A676CE"/>
    <w:rsid w:val="00A676F5"/>
    <w:rsid w:val="00A67796"/>
    <w:rsid w:val="00A6780F"/>
    <w:rsid w:val="00A67863"/>
    <w:rsid w:val="00A6786E"/>
    <w:rsid w:val="00A67881"/>
    <w:rsid w:val="00A67974"/>
    <w:rsid w:val="00A679F9"/>
    <w:rsid w:val="00A67AA7"/>
    <w:rsid w:val="00A67AC7"/>
    <w:rsid w:val="00A67B52"/>
    <w:rsid w:val="00A67BC2"/>
    <w:rsid w:val="00A67BDF"/>
    <w:rsid w:val="00A67BED"/>
    <w:rsid w:val="00A67BF5"/>
    <w:rsid w:val="00A67C50"/>
    <w:rsid w:val="00A67CB2"/>
    <w:rsid w:val="00A67CB5"/>
    <w:rsid w:val="00A67CD4"/>
    <w:rsid w:val="00A67D01"/>
    <w:rsid w:val="00A67D62"/>
    <w:rsid w:val="00A67D70"/>
    <w:rsid w:val="00A67D8C"/>
    <w:rsid w:val="00A67DB0"/>
    <w:rsid w:val="00A67E38"/>
    <w:rsid w:val="00A67E66"/>
    <w:rsid w:val="00A67E9B"/>
    <w:rsid w:val="00A67EF5"/>
    <w:rsid w:val="00A67F2A"/>
    <w:rsid w:val="00A67FD5"/>
    <w:rsid w:val="00A68312"/>
    <w:rsid w:val="00A7003B"/>
    <w:rsid w:val="00A70054"/>
    <w:rsid w:val="00A70066"/>
    <w:rsid w:val="00A700AA"/>
    <w:rsid w:val="00A70112"/>
    <w:rsid w:val="00A7011D"/>
    <w:rsid w:val="00A70121"/>
    <w:rsid w:val="00A70140"/>
    <w:rsid w:val="00A701D9"/>
    <w:rsid w:val="00A701FD"/>
    <w:rsid w:val="00A70201"/>
    <w:rsid w:val="00A70256"/>
    <w:rsid w:val="00A702A5"/>
    <w:rsid w:val="00A70451"/>
    <w:rsid w:val="00A70477"/>
    <w:rsid w:val="00A704A9"/>
    <w:rsid w:val="00A704D7"/>
    <w:rsid w:val="00A705BB"/>
    <w:rsid w:val="00A70634"/>
    <w:rsid w:val="00A70679"/>
    <w:rsid w:val="00A706E2"/>
    <w:rsid w:val="00A70758"/>
    <w:rsid w:val="00A70760"/>
    <w:rsid w:val="00A707B6"/>
    <w:rsid w:val="00A70855"/>
    <w:rsid w:val="00A708A7"/>
    <w:rsid w:val="00A708CC"/>
    <w:rsid w:val="00A708D1"/>
    <w:rsid w:val="00A70942"/>
    <w:rsid w:val="00A70B2E"/>
    <w:rsid w:val="00A70B52"/>
    <w:rsid w:val="00A70B56"/>
    <w:rsid w:val="00A70CC9"/>
    <w:rsid w:val="00A70CDC"/>
    <w:rsid w:val="00A70DD1"/>
    <w:rsid w:val="00A70DDD"/>
    <w:rsid w:val="00A70DFA"/>
    <w:rsid w:val="00A70EFB"/>
    <w:rsid w:val="00A70F4C"/>
    <w:rsid w:val="00A70F5F"/>
    <w:rsid w:val="00A70F72"/>
    <w:rsid w:val="00A70F99"/>
    <w:rsid w:val="00A70FD2"/>
    <w:rsid w:val="00A71026"/>
    <w:rsid w:val="00A71083"/>
    <w:rsid w:val="00A7116A"/>
    <w:rsid w:val="00A7116F"/>
    <w:rsid w:val="00A71187"/>
    <w:rsid w:val="00A711C3"/>
    <w:rsid w:val="00A711D6"/>
    <w:rsid w:val="00A7122F"/>
    <w:rsid w:val="00A7135E"/>
    <w:rsid w:val="00A7144E"/>
    <w:rsid w:val="00A71585"/>
    <w:rsid w:val="00A715A2"/>
    <w:rsid w:val="00A715DD"/>
    <w:rsid w:val="00A71610"/>
    <w:rsid w:val="00A7166F"/>
    <w:rsid w:val="00A716EF"/>
    <w:rsid w:val="00A71787"/>
    <w:rsid w:val="00A717A9"/>
    <w:rsid w:val="00A7181D"/>
    <w:rsid w:val="00A71864"/>
    <w:rsid w:val="00A71868"/>
    <w:rsid w:val="00A71890"/>
    <w:rsid w:val="00A71907"/>
    <w:rsid w:val="00A7199D"/>
    <w:rsid w:val="00A7199F"/>
    <w:rsid w:val="00A719E8"/>
    <w:rsid w:val="00A719E9"/>
    <w:rsid w:val="00A71A15"/>
    <w:rsid w:val="00A71A6B"/>
    <w:rsid w:val="00A71A6E"/>
    <w:rsid w:val="00A71AA0"/>
    <w:rsid w:val="00A71AAA"/>
    <w:rsid w:val="00A71B2F"/>
    <w:rsid w:val="00A71B36"/>
    <w:rsid w:val="00A71B8D"/>
    <w:rsid w:val="00A71BBA"/>
    <w:rsid w:val="00A71C01"/>
    <w:rsid w:val="00A71C76"/>
    <w:rsid w:val="00A71CA6"/>
    <w:rsid w:val="00A71CAA"/>
    <w:rsid w:val="00A71D0D"/>
    <w:rsid w:val="00A71DB4"/>
    <w:rsid w:val="00A71DDB"/>
    <w:rsid w:val="00A71DED"/>
    <w:rsid w:val="00A71DF3"/>
    <w:rsid w:val="00A71E08"/>
    <w:rsid w:val="00A71ECB"/>
    <w:rsid w:val="00A71FC6"/>
    <w:rsid w:val="00A71FCE"/>
    <w:rsid w:val="00A71FD4"/>
    <w:rsid w:val="00A71FDA"/>
    <w:rsid w:val="00A72006"/>
    <w:rsid w:val="00A7203B"/>
    <w:rsid w:val="00A7208B"/>
    <w:rsid w:val="00A72091"/>
    <w:rsid w:val="00A720AC"/>
    <w:rsid w:val="00A720BA"/>
    <w:rsid w:val="00A720E5"/>
    <w:rsid w:val="00A7212C"/>
    <w:rsid w:val="00A72148"/>
    <w:rsid w:val="00A72261"/>
    <w:rsid w:val="00A722CF"/>
    <w:rsid w:val="00A72310"/>
    <w:rsid w:val="00A72362"/>
    <w:rsid w:val="00A723C1"/>
    <w:rsid w:val="00A723D2"/>
    <w:rsid w:val="00A7247D"/>
    <w:rsid w:val="00A7249E"/>
    <w:rsid w:val="00A724AB"/>
    <w:rsid w:val="00A72674"/>
    <w:rsid w:val="00A726B5"/>
    <w:rsid w:val="00A7288C"/>
    <w:rsid w:val="00A728B7"/>
    <w:rsid w:val="00A72942"/>
    <w:rsid w:val="00A7297B"/>
    <w:rsid w:val="00A729FC"/>
    <w:rsid w:val="00A72A06"/>
    <w:rsid w:val="00A72A91"/>
    <w:rsid w:val="00A72A9F"/>
    <w:rsid w:val="00A72AA3"/>
    <w:rsid w:val="00A72B4E"/>
    <w:rsid w:val="00A72B5A"/>
    <w:rsid w:val="00A72BCB"/>
    <w:rsid w:val="00A72C2B"/>
    <w:rsid w:val="00A72C44"/>
    <w:rsid w:val="00A72D1A"/>
    <w:rsid w:val="00A72D29"/>
    <w:rsid w:val="00A72DBD"/>
    <w:rsid w:val="00A72DFE"/>
    <w:rsid w:val="00A72E5D"/>
    <w:rsid w:val="00A72E9D"/>
    <w:rsid w:val="00A72EC2"/>
    <w:rsid w:val="00A72FB0"/>
    <w:rsid w:val="00A7311C"/>
    <w:rsid w:val="00A73133"/>
    <w:rsid w:val="00A7320B"/>
    <w:rsid w:val="00A7321D"/>
    <w:rsid w:val="00A7328B"/>
    <w:rsid w:val="00A73291"/>
    <w:rsid w:val="00A732C4"/>
    <w:rsid w:val="00A7330F"/>
    <w:rsid w:val="00A7337E"/>
    <w:rsid w:val="00A733C7"/>
    <w:rsid w:val="00A733D2"/>
    <w:rsid w:val="00A73419"/>
    <w:rsid w:val="00A7349E"/>
    <w:rsid w:val="00A734F8"/>
    <w:rsid w:val="00A73514"/>
    <w:rsid w:val="00A7354E"/>
    <w:rsid w:val="00A735AA"/>
    <w:rsid w:val="00A735AC"/>
    <w:rsid w:val="00A735BD"/>
    <w:rsid w:val="00A73670"/>
    <w:rsid w:val="00A736C8"/>
    <w:rsid w:val="00A73863"/>
    <w:rsid w:val="00A73876"/>
    <w:rsid w:val="00A738E2"/>
    <w:rsid w:val="00A738F9"/>
    <w:rsid w:val="00A73987"/>
    <w:rsid w:val="00A739D9"/>
    <w:rsid w:val="00A73A99"/>
    <w:rsid w:val="00A73AB9"/>
    <w:rsid w:val="00A73ACB"/>
    <w:rsid w:val="00A73D11"/>
    <w:rsid w:val="00A73E24"/>
    <w:rsid w:val="00A73E25"/>
    <w:rsid w:val="00A73E2D"/>
    <w:rsid w:val="00A73F94"/>
    <w:rsid w:val="00A73FB9"/>
    <w:rsid w:val="00A7405D"/>
    <w:rsid w:val="00A74109"/>
    <w:rsid w:val="00A7411D"/>
    <w:rsid w:val="00A7416F"/>
    <w:rsid w:val="00A7418B"/>
    <w:rsid w:val="00A741F8"/>
    <w:rsid w:val="00A7420A"/>
    <w:rsid w:val="00A742A3"/>
    <w:rsid w:val="00A742B8"/>
    <w:rsid w:val="00A742D3"/>
    <w:rsid w:val="00A742FD"/>
    <w:rsid w:val="00A74310"/>
    <w:rsid w:val="00A74318"/>
    <w:rsid w:val="00A7437A"/>
    <w:rsid w:val="00A7440A"/>
    <w:rsid w:val="00A7440F"/>
    <w:rsid w:val="00A74413"/>
    <w:rsid w:val="00A74416"/>
    <w:rsid w:val="00A74448"/>
    <w:rsid w:val="00A7462B"/>
    <w:rsid w:val="00A7466C"/>
    <w:rsid w:val="00A746A0"/>
    <w:rsid w:val="00A746FF"/>
    <w:rsid w:val="00A7475F"/>
    <w:rsid w:val="00A74794"/>
    <w:rsid w:val="00A747D8"/>
    <w:rsid w:val="00A74815"/>
    <w:rsid w:val="00A74873"/>
    <w:rsid w:val="00A7487E"/>
    <w:rsid w:val="00A74967"/>
    <w:rsid w:val="00A74972"/>
    <w:rsid w:val="00A74A16"/>
    <w:rsid w:val="00A74A68"/>
    <w:rsid w:val="00A74A9B"/>
    <w:rsid w:val="00A74AB7"/>
    <w:rsid w:val="00A74ABB"/>
    <w:rsid w:val="00A74AFB"/>
    <w:rsid w:val="00A74B66"/>
    <w:rsid w:val="00A74BF2"/>
    <w:rsid w:val="00A74C1F"/>
    <w:rsid w:val="00A74C3C"/>
    <w:rsid w:val="00A74C5A"/>
    <w:rsid w:val="00A74CA7"/>
    <w:rsid w:val="00A74D7A"/>
    <w:rsid w:val="00A74E14"/>
    <w:rsid w:val="00A74E1F"/>
    <w:rsid w:val="00A74E92"/>
    <w:rsid w:val="00A74F34"/>
    <w:rsid w:val="00A74F3D"/>
    <w:rsid w:val="00A74F62"/>
    <w:rsid w:val="00A74FC0"/>
    <w:rsid w:val="00A74FF5"/>
    <w:rsid w:val="00A75039"/>
    <w:rsid w:val="00A75061"/>
    <w:rsid w:val="00A750C2"/>
    <w:rsid w:val="00A75103"/>
    <w:rsid w:val="00A7510B"/>
    <w:rsid w:val="00A75216"/>
    <w:rsid w:val="00A7529B"/>
    <w:rsid w:val="00A7529E"/>
    <w:rsid w:val="00A75305"/>
    <w:rsid w:val="00A7540A"/>
    <w:rsid w:val="00A7544D"/>
    <w:rsid w:val="00A75486"/>
    <w:rsid w:val="00A754C2"/>
    <w:rsid w:val="00A754D6"/>
    <w:rsid w:val="00A754D8"/>
    <w:rsid w:val="00A75510"/>
    <w:rsid w:val="00A75527"/>
    <w:rsid w:val="00A75555"/>
    <w:rsid w:val="00A7561D"/>
    <w:rsid w:val="00A7564E"/>
    <w:rsid w:val="00A75652"/>
    <w:rsid w:val="00A75733"/>
    <w:rsid w:val="00A7576D"/>
    <w:rsid w:val="00A75825"/>
    <w:rsid w:val="00A7585E"/>
    <w:rsid w:val="00A75862"/>
    <w:rsid w:val="00A75979"/>
    <w:rsid w:val="00A75A4C"/>
    <w:rsid w:val="00A75A52"/>
    <w:rsid w:val="00A75AA3"/>
    <w:rsid w:val="00A75AD5"/>
    <w:rsid w:val="00A75B0E"/>
    <w:rsid w:val="00A75B25"/>
    <w:rsid w:val="00A75B62"/>
    <w:rsid w:val="00A75C13"/>
    <w:rsid w:val="00A75C82"/>
    <w:rsid w:val="00A75D03"/>
    <w:rsid w:val="00A75D1D"/>
    <w:rsid w:val="00A75D62"/>
    <w:rsid w:val="00A75D68"/>
    <w:rsid w:val="00A75DEC"/>
    <w:rsid w:val="00A75E84"/>
    <w:rsid w:val="00A75F05"/>
    <w:rsid w:val="00A75F4B"/>
    <w:rsid w:val="00A75FB4"/>
    <w:rsid w:val="00A75FB5"/>
    <w:rsid w:val="00A7604A"/>
    <w:rsid w:val="00A7605D"/>
    <w:rsid w:val="00A761A1"/>
    <w:rsid w:val="00A76259"/>
    <w:rsid w:val="00A762AC"/>
    <w:rsid w:val="00A762C1"/>
    <w:rsid w:val="00A762D0"/>
    <w:rsid w:val="00A76318"/>
    <w:rsid w:val="00A76325"/>
    <w:rsid w:val="00A763E9"/>
    <w:rsid w:val="00A763EB"/>
    <w:rsid w:val="00A763FD"/>
    <w:rsid w:val="00A76418"/>
    <w:rsid w:val="00A7650A"/>
    <w:rsid w:val="00A7650D"/>
    <w:rsid w:val="00A7650F"/>
    <w:rsid w:val="00A76531"/>
    <w:rsid w:val="00A765A0"/>
    <w:rsid w:val="00A766A3"/>
    <w:rsid w:val="00A766DF"/>
    <w:rsid w:val="00A76739"/>
    <w:rsid w:val="00A76781"/>
    <w:rsid w:val="00A7678A"/>
    <w:rsid w:val="00A767FE"/>
    <w:rsid w:val="00A768B5"/>
    <w:rsid w:val="00A768BF"/>
    <w:rsid w:val="00A769C8"/>
    <w:rsid w:val="00A76A60"/>
    <w:rsid w:val="00A76BB6"/>
    <w:rsid w:val="00A76C7F"/>
    <w:rsid w:val="00A76CA9"/>
    <w:rsid w:val="00A76CE9"/>
    <w:rsid w:val="00A76D2C"/>
    <w:rsid w:val="00A76D87"/>
    <w:rsid w:val="00A76DB5"/>
    <w:rsid w:val="00A76DC6"/>
    <w:rsid w:val="00A76E1B"/>
    <w:rsid w:val="00A76E3A"/>
    <w:rsid w:val="00A76E5F"/>
    <w:rsid w:val="00A76E70"/>
    <w:rsid w:val="00A76EE2"/>
    <w:rsid w:val="00A76EEA"/>
    <w:rsid w:val="00A76F6B"/>
    <w:rsid w:val="00A76F70"/>
    <w:rsid w:val="00A77005"/>
    <w:rsid w:val="00A77010"/>
    <w:rsid w:val="00A770A0"/>
    <w:rsid w:val="00A7713A"/>
    <w:rsid w:val="00A77183"/>
    <w:rsid w:val="00A772A6"/>
    <w:rsid w:val="00A772B4"/>
    <w:rsid w:val="00A772CA"/>
    <w:rsid w:val="00A772E2"/>
    <w:rsid w:val="00A77303"/>
    <w:rsid w:val="00A77320"/>
    <w:rsid w:val="00A77352"/>
    <w:rsid w:val="00A774AC"/>
    <w:rsid w:val="00A774D3"/>
    <w:rsid w:val="00A7750A"/>
    <w:rsid w:val="00A7751D"/>
    <w:rsid w:val="00A7754B"/>
    <w:rsid w:val="00A77550"/>
    <w:rsid w:val="00A775FA"/>
    <w:rsid w:val="00A7765C"/>
    <w:rsid w:val="00A776EC"/>
    <w:rsid w:val="00A776F1"/>
    <w:rsid w:val="00A7771F"/>
    <w:rsid w:val="00A7779F"/>
    <w:rsid w:val="00A777DF"/>
    <w:rsid w:val="00A77835"/>
    <w:rsid w:val="00A77934"/>
    <w:rsid w:val="00A77966"/>
    <w:rsid w:val="00A77AD7"/>
    <w:rsid w:val="00A77AEC"/>
    <w:rsid w:val="00A77AFD"/>
    <w:rsid w:val="00A77B42"/>
    <w:rsid w:val="00A77B7E"/>
    <w:rsid w:val="00A77B8D"/>
    <w:rsid w:val="00A77C6E"/>
    <w:rsid w:val="00A77C7B"/>
    <w:rsid w:val="00A77C83"/>
    <w:rsid w:val="00A77D01"/>
    <w:rsid w:val="00A77DAB"/>
    <w:rsid w:val="00A77E4A"/>
    <w:rsid w:val="00A77E56"/>
    <w:rsid w:val="00A77E61"/>
    <w:rsid w:val="00A77EEC"/>
    <w:rsid w:val="00A77F23"/>
    <w:rsid w:val="00A77FC9"/>
    <w:rsid w:val="00A77FD5"/>
    <w:rsid w:val="00A80019"/>
    <w:rsid w:val="00A8008F"/>
    <w:rsid w:val="00A800A7"/>
    <w:rsid w:val="00A800D0"/>
    <w:rsid w:val="00A8010B"/>
    <w:rsid w:val="00A8014C"/>
    <w:rsid w:val="00A801CE"/>
    <w:rsid w:val="00A801FF"/>
    <w:rsid w:val="00A80207"/>
    <w:rsid w:val="00A80243"/>
    <w:rsid w:val="00A8027A"/>
    <w:rsid w:val="00A80432"/>
    <w:rsid w:val="00A8044F"/>
    <w:rsid w:val="00A8046E"/>
    <w:rsid w:val="00A804E3"/>
    <w:rsid w:val="00A80588"/>
    <w:rsid w:val="00A805FD"/>
    <w:rsid w:val="00A80643"/>
    <w:rsid w:val="00A806BB"/>
    <w:rsid w:val="00A807A6"/>
    <w:rsid w:val="00A8080C"/>
    <w:rsid w:val="00A80851"/>
    <w:rsid w:val="00A808F3"/>
    <w:rsid w:val="00A80903"/>
    <w:rsid w:val="00A80905"/>
    <w:rsid w:val="00A8098A"/>
    <w:rsid w:val="00A809AC"/>
    <w:rsid w:val="00A809BB"/>
    <w:rsid w:val="00A80A51"/>
    <w:rsid w:val="00A80A79"/>
    <w:rsid w:val="00A80B55"/>
    <w:rsid w:val="00A80B88"/>
    <w:rsid w:val="00A80BD7"/>
    <w:rsid w:val="00A80BE4"/>
    <w:rsid w:val="00A80C0D"/>
    <w:rsid w:val="00A80CBA"/>
    <w:rsid w:val="00A80CE2"/>
    <w:rsid w:val="00A80D27"/>
    <w:rsid w:val="00A80D7D"/>
    <w:rsid w:val="00A80DB8"/>
    <w:rsid w:val="00A80DB9"/>
    <w:rsid w:val="00A80DCB"/>
    <w:rsid w:val="00A80E23"/>
    <w:rsid w:val="00A80E48"/>
    <w:rsid w:val="00A80F03"/>
    <w:rsid w:val="00A80F26"/>
    <w:rsid w:val="00A80F85"/>
    <w:rsid w:val="00A81041"/>
    <w:rsid w:val="00A81053"/>
    <w:rsid w:val="00A810A2"/>
    <w:rsid w:val="00A810B9"/>
    <w:rsid w:val="00A811CD"/>
    <w:rsid w:val="00A811F0"/>
    <w:rsid w:val="00A811F5"/>
    <w:rsid w:val="00A81222"/>
    <w:rsid w:val="00A81248"/>
    <w:rsid w:val="00A812A7"/>
    <w:rsid w:val="00A81480"/>
    <w:rsid w:val="00A814A1"/>
    <w:rsid w:val="00A81549"/>
    <w:rsid w:val="00A815A6"/>
    <w:rsid w:val="00A8164C"/>
    <w:rsid w:val="00A81683"/>
    <w:rsid w:val="00A816AA"/>
    <w:rsid w:val="00A816D4"/>
    <w:rsid w:val="00A81708"/>
    <w:rsid w:val="00A81737"/>
    <w:rsid w:val="00A81787"/>
    <w:rsid w:val="00A817B1"/>
    <w:rsid w:val="00A818E2"/>
    <w:rsid w:val="00A818EA"/>
    <w:rsid w:val="00A8196B"/>
    <w:rsid w:val="00A81A7C"/>
    <w:rsid w:val="00A81A9C"/>
    <w:rsid w:val="00A81AB9"/>
    <w:rsid w:val="00A81AD2"/>
    <w:rsid w:val="00A81C21"/>
    <w:rsid w:val="00A81C9C"/>
    <w:rsid w:val="00A81CE1"/>
    <w:rsid w:val="00A81D19"/>
    <w:rsid w:val="00A81DBE"/>
    <w:rsid w:val="00A81DCC"/>
    <w:rsid w:val="00A81DEA"/>
    <w:rsid w:val="00A81DFD"/>
    <w:rsid w:val="00A81E78"/>
    <w:rsid w:val="00A81EE1"/>
    <w:rsid w:val="00A81F48"/>
    <w:rsid w:val="00A81F97"/>
    <w:rsid w:val="00A8217D"/>
    <w:rsid w:val="00A8221B"/>
    <w:rsid w:val="00A82226"/>
    <w:rsid w:val="00A8229E"/>
    <w:rsid w:val="00A8234E"/>
    <w:rsid w:val="00A82417"/>
    <w:rsid w:val="00A8243B"/>
    <w:rsid w:val="00A82493"/>
    <w:rsid w:val="00A824BA"/>
    <w:rsid w:val="00A8250B"/>
    <w:rsid w:val="00A8251D"/>
    <w:rsid w:val="00A82580"/>
    <w:rsid w:val="00A825CF"/>
    <w:rsid w:val="00A82640"/>
    <w:rsid w:val="00A82673"/>
    <w:rsid w:val="00A82693"/>
    <w:rsid w:val="00A826A7"/>
    <w:rsid w:val="00A82713"/>
    <w:rsid w:val="00A8271F"/>
    <w:rsid w:val="00A827C8"/>
    <w:rsid w:val="00A827CC"/>
    <w:rsid w:val="00A82846"/>
    <w:rsid w:val="00A82849"/>
    <w:rsid w:val="00A82894"/>
    <w:rsid w:val="00A8298B"/>
    <w:rsid w:val="00A829A0"/>
    <w:rsid w:val="00A82B1D"/>
    <w:rsid w:val="00A82C09"/>
    <w:rsid w:val="00A82C19"/>
    <w:rsid w:val="00A82CE3"/>
    <w:rsid w:val="00A82CFB"/>
    <w:rsid w:val="00A82D47"/>
    <w:rsid w:val="00A82DD0"/>
    <w:rsid w:val="00A82DD9"/>
    <w:rsid w:val="00A82E2A"/>
    <w:rsid w:val="00A82E34"/>
    <w:rsid w:val="00A82E6E"/>
    <w:rsid w:val="00A82E90"/>
    <w:rsid w:val="00A82F38"/>
    <w:rsid w:val="00A82F7D"/>
    <w:rsid w:val="00A82FE1"/>
    <w:rsid w:val="00A82FEC"/>
    <w:rsid w:val="00A83038"/>
    <w:rsid w:val="00A830BC"/>
    <w:rsid w:val="00A830F4"/>
    <w:rsid w:val="00A831B2"/>
    <w:rsid w:val="00A83258"/>
    <w:rsid w:val="00A8325B"/>
    <w:rsid w:val="00A8329B"/>
    <w:rsid w:val="00A832A0"/>
    <w:rsid w:val="00A8331C"/>
    <w:rsid w:val="00A833B3"/>
    <w:rsid w:val="00A833C0"/>
    <w:rsid w:val="00A83546"/>
    <w:rsid w:val="00A83566"/>
    <w:rsid w:val="00A8359C"/>
    <w:rsid w:val="00A83608"/>
    <w:rsid w:val="00A8361C"/>
    <w:rsid w:val="00A83669"/>
    <w:rsid w:val="00A836FA"/>
    <w:rsid w:val="00A8378E"/>
    <w:rsid w:val="00A8388B"/>
    <w:rsid w:val="00A839FE"/>
    <w:rsid w:val="00A83A47"/>
    <w:rsid w:val="00A83A9F"/>
    <w:rsid w:val="00A83AB7"/>
    <w:rsid w:val="00A83B4D"/>
    <w:rsid w:val="00A83B54"/>
    <w:rsid w:val="00A83BB1"/>
    <w:rsid w:val="00A83C1B"/>
    <w:rsid w:val="00A83C96"/>
    <w:rsid w:val="00A83DCA"/>
    <w:rsid w:val="00A83E2E"/>
    <w:rsid w:val="00A83E7E"/>
    <w:rsid w:val="00A83EB4"/>
    <w:rsid w:val="00A83EC0"/>
    <w:rsid w:val="00A83EDC"/>
    <w:rsid w:val="00A83EFD"/>
    <w:rsid w:val="00A83F36"/>
    <w:rsid w:val="00A83FA8"/>
    <w:rsid w:val="00A83FB1"/>
    <w:rsid w:val="00A83FF5"/>
    <w:rsid w:val="00A83FFB"/>
    <w:rsid w:val="00A8402B"/>
    <w:rsid w:val="00A84084"/>
    <w:rsid w:val="00A84089"/>
    <w:rsid w:val="00A840CE"/>
    <w:rsid w:val="00A84103"/>
    <w:rsid w:val="00A84104"/>
    <w:rsid w:val="00A8411F"/>
    <w:rsid w:val="00A84122"/>
    <w:rsid w:val="00A8415B"/>
    <w:rsid w:val="00A8419F"/>
    <w:rsid w:val="00A841AA"/>
    <w:rsid w:val="00A841AC"/>
    <w:rsid w:val="00A84216"/>
    <w:rsid w:val="00A842F9"/>
    <w:rsid w:val="00A843B3"/>
    <w:rsid w:val="00A843D6"/>
    <w:rsid w:val="00A843E7"/>
    <w:rsid w:val="00A843F3"/>
    <w:rsid w:val="00A844ED"/>
    <w:rsid w:val="00A84569"/>
    <w:rsid w:val="00A8460C"/>
    <w:rsid w:val="00A8466A"/>
    <w:rsid w:val="00A846E6"/>
    <w:rsid w:val="00A8472A"/>
    <w:rsid w:val="00A8472F"/>
    <w:rsid w:val="00A84768"/>
    <w:rsid w:val="00A8479D"/>
    <w:rsid w:val="00A84808"/>
    <w:rsid w:val="00A8480F"/>
    <w:rsid w:val="00A84853"/>
    <w:rsid w:val="00A84854"/>
    <w:rsid w:val="00A8485E"/>
    <w:rsid w:val="00A8487E"/>
    <w:rsid w:val="00A84882"/>
    <w:rsid w:val="00A848A3"/>
    <w:rsid w:val="00A848F4"/>
    <w:rsid w:val="00A84913"/>
    <w:rsid w:val="00A84994"/>
    <w:rsid w:val="00A849A6"/>
    <w:rsid w:val="00A849CE"/>
    <w:rsid w:val="00A84A8A"/>
    <w:rsid w:val="00A84B31"/>
    <w:rsid w:val="00A84B7B"/>
    <w:rsid w:val="00A84BB2"/>
    <w:rsid w:val="00A84C68"/>
    <w:rsid w:val="00A84D3A"/>
    <w:rsid w:val="00A84DA9"/>
    <w:rsid w:val="00A84DB2"/>
    <w:rsid w:val="00A84E3A"/>
    <w:rsid w:val="00A84EEE"/>
    <w:rsid w:val="00A84F16"/>
    <w:rsid w:val="00A84F20"/>
    <w:rsid w:val="00A84F3A"/>
    <w:rsid w:val="00A84F8A"/>
    <w:rsid w:val="00A84FFA"/>
    <w:rsid w:val="00A85004"/>
    <w:rsid w:val="00A8500A"/>
    <w:rsid w:val="00A85036"/>
    <w:rsid w:val="00A85037"/>
    <w:rsid w:val="00A85098"/>
    <w:rsid w:val="00A850EE"/>
    <w:rsid w:val="00A8512B"/>
    <w:rsid w:val="00A851A8"/>
    <w:rsid w:val="00A85204"/>
    <w:rsid w:val="00A8524E"/>
    <w:rsid w:val="00A8525B"/>
    <w:rsid w:val="00A85289"/>
    <w:rsid w:val="00A8529F"/>
    <w:rsid w:val="00A8547B"/>
    <w:rsid w:val="00A854D5"/>
    <w:rsid w:val="00A85593"/>
    <w:rsid w:val="00A855B4"/>
    <w:rsid w:val="00A855ED"/>
    <w:rsid w:val="00A85661"/>
    <w:rsid w:val="00A85684"/>
    <w:rsid w:val="00A856FB"/>
    <w:rsid w:val="00A85798"/>
    <w:rsid w:val="00A858F6"/>
    <w:rsid w:val="00A85903"/>
    <w:rsid w:val="00A85A6C"/>
    <w:rsid w:val="00A85AAF"/>
    <w:rsid w:val="00A85AD5"/>
    <w:rsid w:val="00A85AE3"/>
    <w:rsid w:val="00A85B75"/>
    <w:rsid w:val="00A85BE6"/>
    <w:rsid w:val="00A85BEE"/>
    <w:rsid w:val="00A85C0D"/>
    <w:rsid w:val="00A85C21"/>
    <w:rsid w:val="00A85C4E"/>
    <w:rsid w:val="00A85C6C"/>
    <w:rsid w:val="00A85C84"/>
    <w:rsid w:val="00A85C87"/>
    <w:rsid w:val="00A85CFD"/>
    <w:rsid w:val="00A85D48"/>
    <w:rsid w:val="00A85DF9"/>
    <w:rsid w:val="00A85DFA"/>
    <w:rsid w:val="00A85ED3"/>
    <w:rsid w:val="00A85ED7"/>
    <w:rsid w:val="00A85F6A"/>
    <w:rsid w:val="00A8600D"/>
    <w:rsid w:val="00A86020"/>
    <w:rsid w:val="00A860E1"/>
    <w:rsid w:val="00A8612B"/>
    <w:rsid w:val="00A86157"/>
    <w:rsid w:val="00A8616C"/>
    <w:rsid w:val="00A8622E"/>
    <w:rsid w:val="00A862A4"/>
    <w:rsid w:val="00A863B6"/>
    <w:rsid w:val="00A863CA"/>
    <w:rsid w:val="00A863E2"/>
    <w:rsid w:val="00A86448"/>
    <w:rsid w:val="00A864A0"/>
    <w:rsid w:val="00A864B6"/>
    <w:rsid w:val="00A864DF"/>
    <w:rsid w:val="00A864F5"/>
    <w:rsid w:val="00A8651B"/>
    <w:rsid w:val="00A8654F"/>
    <w:rsid w:val="00A865A3"/>
    <w:rsid w:val="00A865E2"/>
    <w:rsid w:val="00A86610"/>
    <w:rsid w:val="00A86623"/>
    <w:rsid w:val="00A868A9"/>
    <w:rsid w:val="00A868E8"/>
    <w:rsid w:val="00A8690C"/>
    <w:rsid w:val="00A8694C"/>
    <w:rsid w:val="00A86955"/>
    <w:rsid w:val="00A86973"/>
    <w:rsid w:val="00A8699F"/>
    <w:rsid w:val="00A86A09"/>
    <w:rsid w:val="00A86A59"/>
    <w:rsid w:val="00A86A94"/>
    <w:rsid w:val="00A86AF4"/>
    <w:rsid w:val="00A86C1D"/>
    <w:rsid w:val="00A86C3B"/>
    <w:rsid w:val="00A86CDA"/>
    <w:rsid w:val="00A86DCC"/>
    <w:rsid w:val="00A86DE6"/>
    <w:rsid w:val="00A86DE9"/>
    <w:rsid w:val="00A86E5A"/>
    <w:rsid w:val="00A86F2E"/>
    <w:rsid w:val="00A86F6A"/>
    <w:rsid w:val="00A86F70"/>
    <w:rsid w:val="00A8702B"/>
    <w:rsid w:val="00A87073"/>
    <w:rsid w:val="00A87100"/>
    <w:rsid w:val="00A87125"/>
    <w:rsid w:val="00A87126"/>
    <w:rsid w:val="00A87238"/>
    <w:rsid w:val="00A87266"/>
    <w:rsid w:val="00A8726B"/>
    <w:rsid w:val="00A8732B"/>
    <w:rsid w:val="00A87338"/>
    <w:rsid w:val="00A87344"/>
    <w:rsid w:val="00A87346"/>
    <w:rsid w:val="00A87351"/>
    <w:rsid w:val="00A87372"/>
    <w:rsid w:val="00A87423"/>
    <w:rsid w:val="00A8747E"/>
    <w:rsid w:val="00A87495"/>
    <w:rsid w:val="00A874BE"/>
    <w:rsid w:val="00A874E0"/>
    <w:rsid w:val="00A874EF"/>
    <w:rsid w:val="00A874F2"/>
    <w:rsid w:val="00A8753C"/>
    <w:rsid w:val="00A875AD"/>
    <w:rsid w:val="00A875C7"/>
    <w:rsid w:val="00A8765D"/>
    <w:rsid w:val="00A8766B"/>
    <w:rsid w:val="00A87684"/>
    <w:rsid w:val="00A8770E"/>
    <w:rsid w:val="00A877B3"/>
    <w:rsid w:val="00A877E9"/>
    <w:rsid w:val="00A8785A"/>
    <w:rsid w:val="00A87904"/>
    <w:rsid w:val="00A87974"/>
    <w:rsid w:val="00A879F5"/>
    <w:rsid w:val="00A87A10"/>
    <w:rsid w:val="00A87A51"/>
    <w:rsid w:val="00A87ADC"/>
    <w:rsid w:val="00A87B04"/>
    <w:rsid w:val="00A87B33"/>
    <w:rsid w:val="00A87B38"/>
    <w:rsid w:val="00A87C4C"/>
    <w:rsid w:val="00A87D96"/>
    <w:rsid w:val="00A87DF5"/>
    <w:rsid w:val="00A87E4C"/>
    <w:rsid w:val="00A87F15"/>
    <w:rsid w:val="00A87FF0"/>
    <w:rsid w:val="00A90042"/>
    <w:rsid w:val="00A9004F"/>
    <w:rsid w:val="00A900F8"/>
    <w:rsid w:val="00A90158"/>
    <w:rsid w:val="00A9015B"/>
    <w:rsid w:val="00A90167"/>
    <w:rsid w:val="00A90175"/>
    <w:rsid w:val="00A90194"/>
    <w:rsid w:val="00A90229"/>
    <w:rsid w:val="00A90389"/>
    <w:rsid w:val="00A903B2"/>
    <w:rsid w:val="00A90436"/>
    <w:rsid w:val="00A904A0"/>
    <w:rsid w:val="00A90515"/>
    <w:rsid w:val="00A90573"/>
    <w:rsid w:val="00A90661"/>
    <w:rsid w:val="00A9066F"/>
    <w:rsid w:val="00A906B6"/>
    <w:rsid w:val="00A906CA"/>
    <w:rsid w:val="00A906E0"/>
    <w:rsid w:val="00A906E5"/>
    <w:rsid w:val="00A9070B"/>
    <w:rsid w:val="00A9071C"/>
    <w:rsid w:val="00A90744"/>
    <w:rsid w:val="00A9082D"/>
    <w:rsid w:val="00A9085D"/>
    <w:rsid w:val="00A908A7"/>
    <w:rsid w:val="00A908C3"/>
    <w:rsid w:val="00A908FC"/>
    <w:rsid w:val="00A909FB"/>
    <w:rsid w:val="00A90A3C"/>
    <w:rsid w:val="00A90B19"/>
    <w:rsid w:val="00A90B49"/>
    <w:rsid w:val="00A90B65"/>
    <w:rsid w:val="00A90BCB"/>
    <w:rsid w:val="00A90BDD"/>
    <w:rsid w:val="00A90C22"/>
    <w:rsid w:val="00A90D27"/>
    <w:rsid w:val="00A90D89"/>
    <w:rsid w:val="00A90E19"/>
    <w:rsid w:val="00A90E63"/>
    <w:rsid w:val="00A90ECD"/>
    <w:rsid w:val="00A90FA7"/>
    <w:rsid w:val="00A90FF1"/>
    <w:rsid w:val="00A9100D"/>
    <w:rsid w:val="00A9101A"/>
    <w:rsid w:val="00A91033"/>
    <w:rsid w:val="00A91097"/>
    <w:rsid w:val="00A91161"/>
    <w:rsid w:val="00A9118F"/>
    <w:rsid w:val="00A911F1"/>
    <w:rsid w:val="00A9124A"/>
    <w:rsid w:val="00A91281"/>
    <w:rsid w:val="00A9136F"/>
    <w:rsid w:val="00A91405"/>
    <w:rsid w:val="00A91429"/>
    <w:rsid w:val="00A91465"/>
    <w:rsid w:val="00A91483"/>
    <w:rsid w:val="00A9149F"/>
    <w:rsid w:val="00A91593"/>
    <w:rsid w:val="00A915B6"/>
    <w:rsid w:val="00A915C6"/>
    <w:rsid w:val="00A91621"/>
    <w:rsid w:val="00A91699"/>
    <w:rsid w:val="00A91718"/>
    <w:rsid w:val="00A91720"/>
    <w:rsid w:val="00A917AE"/>
    <w:rsid w:val="00A91909"/>
    <w:rsid w:val="00A91968"/>
    <w:rsid w:val="00A9196D"/>
    <w:rsid w:val="00A919A0"/>
    <w:rsid w:val="00A91A70"/>
    <w:rsid w:val="00A91B1F"/>
    <w:rsid w:val="00A91B2F"/>
    <w:rsid w:val="00A91B32"/>
    <w:rsid w:val="00A91B54"/>
    <w:rsid w:val="00A91B85"/>
    <w:rsid w:val="00A91BAA"/>
    <w:rsid w:val="00A91BF3"/>
    <w:rsid w:val="00A91C35"/>
    <w:rsid w:val="00A91DCD"/>
    <w:rsid w:val="00A91DEB"/>
    <w:rsid w:val="00A91E44"/>
    <w:rsid w:val="00A91E84"/>
    <w:rsid w:val="00A91F6F"/>
    <w:rsid w:val="00A91FAB"/>
    <w:rsid w:val="00A91FCD"/>
    <w:rsid w:val="00A9204E"/>
    <w:rsid w:val="00A9207E"/>
    <w:rsid w:val="00A920EC"/>
    <w:rsid w:val="00A92152"/>
    <w:rsid w:val="00A92155"/>
    <w:rsid w:val="00A921DF"/>
    <w:rsid w:val="00A92214"/>
    <w:rsid w:val="00A9227A"/>
    <w:rsid w:val="00A922CE"/>
    <w:rsid w:val="00A922EA"/>
    <w:rsid w:val="00A92369"/>
    <w:rsid w:val="00A92385"/>
    <w:rsid w:val="00A923B3"/>
    <w:rsid w:val="00A923E9"/>
    <w:rsid w:val="00A92400"/>
    <w:rsid w:val="00A9241B"/>
    <w:rsid w:val="00A92562"/>
    <w:rsid w:val="00A92603"/>
    <w:rsid w:val="00A92626"/>
    <w:rsid w:val="00A9265D"/>
    <w:rsid w:val="00A92678"/>
    <w:rsid w:val="00A92692"/>
    <w:rsid w:val="00A926D5"/>
    <w:rsid w:val="00A9274C"/>
    <w:rsid w:val="00A9276A"/>
    <w:rsid w:val="00A9276B"/>
    <w:rsid w:val="00A92792"/>
    <w:rsid w:val="00A927D8"/>
    <w:rsid w:val="00A92865"/>
    <w:rsid w:val="00A92880"/>
    <w:rsid w:val="00A92917"/>
    <w:rsid w:val="00A92942"/>
    <w:rsid w:val="00A92986"/>
    <w:rsid w:val="00A929A7"/>
    <w:rsid w:val="00A92A13"/>
    <w:rsid w:val="00A92A55"/>
    <w:rsid w:val="00A92A8F"/>
    <w:rsid w:val="00A92AA0"/>
    <w:rsid w:val="00A92AAD"/>
    <w:rsid w:val="00A92AF0"/>
    <w:rsid w:val="00A92B54"/>
    <w:rsid w:val="00A92BB1"/>
    <w:rsid w:val="00A92D45"/>
    <w:rsid w:val="00A92D57"/>
    <w:rsid w:val="00A92D7C"/>
    <w:rsid w:val="00A92DAC"/>
    <w:rsid w:val="00A92DD4"/>
    <w:rsid w:val="00A92DE9"/>
    <w:rsid w:val="00A92E12"/>
    <w:rsid w:val="00A92E27"/>
    <w:rsid w:val="00A92E53"/>
    <w:rsid w:val="00A92E7B"/>
    <w:rsid w:val="00A92ED3"/>
    <w:rsid w:val="00A92F41"/>
    <w:rsid w:val="00A92F61"/>
    <w:rsid w:val="00A92F9E"/>
    <w:rsid w:val="00A92FC9"/>
    <w:rsid w:val="00A92FF8"/>
    <w:rsid w:val="00A9301E"/>
    <w:rsid w:val="00A93051"/>
    <w:rsid w:val="00A930D7"/>
    <w:rsid w:val="00A93159"/>
    <w:rsid w:val="00A93209"/>
    <w:rsid w:val="00A9321B"/>
    <w:rsid w:val="00A9326E"/>
    <w:rsid w:val="00A9329F"/>
    <w:rsid w:val="00A932A7"/>
    <w:rsid w:val="00A93302"/>
    <w:rsid w:val="00A93315"/>
    <w:rsid w:val="00A93336"/>
    <w:rsid w:val="00A933A8"/>
    <w:rsid w:val="00A9349B"/>
    <w:rsid w:val="00A93521"/>
    <w:rsid w:val="00A9360B"/>
    <w:rsid w:val="00A9362C"/>
    <w:rsid w:val="00A9368D"/>
    <w:rsid w:val="00A937B3"/>
    <w:rsid w:val="00A937C1"/>
    <w:rsid w:val="00A937DC"/>
    <w:rsid w:val="00A93809"/>
    <w:rsid w:val="00A93816"/>
    <w:rsid w:val="00A9384F"/>
    <w:rsid w:val="00A93894"/>
    <w:rsid w:val="00A93927"/>
    <w:rsid w:val="00A939D7"/>
    <w:rsid w:val="00A939F1"/>
    <w:rsid w:val="00A939FE"/>
    <w:rsid w:val="00A93A0C"/>
    <w:rsid w:val="00A93A41"/>
    <w:rsid w:val="00A93A7E"/>
    <w:rsid w:val="00A93A80"/>
    <w:rsid w:val="00A93AE5"/>
    <w:rsid w:val="00A93B87"/>
    <w:rsid w:val="00A93B94"/>
    <w:rsid w:val="00A93BA9"/>
    <w:rsid w:val="00A93C5A"/>
    <w:rsid w:val="00A93C8E"/>
    <w:rsid w:val="00A93CEC"/>
    <w:rsid w:val="00A93D18"/>
    <w:rsid w:val="00A93DE2"/>
    <w:rsid w:val="00A93DE3"/>
    <w:rsid w:val="00A93E00"/>
    <w:rsid w:val="00A93F38"/>
    <w:rsid w:val="00A93F9B"/>
    <w:rsid w:val="00A94039"/>
    <w:rsid w:val="00A94060"/>
    <w:rsid w:val="00A94074"/>
    <w:rsid w:val="00A9407C"/>
    <w:rsid w:val="00A9409D"/>
    <w:rsid w:val="00A940E5"/>
    <w:rsid w:val="00A9417D"/>
    <w:rsid w:val="00A94195"/>
    <w:rsid w:val="00A941E9"/>
    <w:rsid w:val="00A94234"/>
    <w:rsid w:val="00A9425E"/>
    <w:rsid w:val="00A9426B"/>
    <w:rsid w:val="00A942A4"/>
    <w:rsid w:val="00A9430F"/>
    <w:rsid w:val="00A94478"/>
    <w:rsid w:val="00A94524"/>
    <w:rsid w:val="00A9456D"/>
    <w:rsid w:val="00A9457E"/>
    <w:rsid w:val="00A945B7"/>
    <w:rsid w:val="00A94734"/>
    <w:rsid w:val="00A94838"/>
    <w:rsid w:val="00A94856"/>
    <w:rsid w:val="00A9488A"/>
    <w:rsid w:val="00A94898"/>
    <w:rsid w:val="00A948D1"/>
    <w:rsid w:val="00A94907"/>
    <w:rsid w:val="00A9491F"/>
    <w:rsid w:val="00A94974"/>
    <w:rsid w:val="00A949A8"/>
    <w:rsid w:val="00A949AA"/>
    <w:rsid w:val="00A949E4"/>
    <w:rsid w:val="00A94A0B"/>
    <w:rsid w:val="00A94A2C"/>
    <w:rsid w:val="00A94B11"/>
    <w:rsid w:val="00A94C26"/>
    <w:rsid w:val="00A94C28"/>
    <w:rsid w:val="00A94C2E"/>
    <w:rsid w:val="00A94C44"/>
    <w:rsid w:val="00A94C53"/>
    <w:rsid w:val="00A94CCF"/>
    <w:rsid w:val="00A94D33"/>
    <w:rsid w:val="00A94D7B"/>
    <w:rsid w:val="00A94E2A"/>
    <w:rsid w:val="00A94E65"/>
    <w:rsid w:val="00A94EE2"/>
    <w:rsid w:val="00A94F65"/>
    <w:rsid w:val="00A94F97"/>
    <w:rsid w:val="00A94F9F"/>
    <w:rsid w:val="00A94FC5"/>
    <w:rsid w:val="00A95099"/>
    <w:rsid w:val="00A950A8"/>
    <w:rsid w:val="00A950CF"/>
    <w:rsid w:val="00A9515A"/>
    <w:rsid w:val="00A9516B"/>
    <w:rsid w:val="00A9516F"/>
    <w:rsid w:val="00A95175"/>
    <w:rsid w:val="00A95233"/>
    <w:rsid w:val="00A95238"/>
    <w:rsid w:val="00A9524D"/>
    <w:rsid w:val="00A95304"/>
    <w:rsid w:val="00A953F0"/>
    <w:rsid w:val="00A9542E"/>
    <w:rsid w:val="00A9546B"/>
    <w:rsid w:val="00A95491"/>
    <w:rsid w:val="00A954A8"/>
    <w:rsid w:val="00A954CE"/>
    <w:rsid w:val="00A95556"/>
    <w:rsid w:val="00A95557"/>
    <w:rsid w:val="00A9558F"/>
    <w:rsid w:val="00A955B8"/>
    <w:rsid w:val="00A955C7"/>
    <w:rsid w:val="00A9576B"/>
    <w:rsid w:val="00A95793"/>
    <w:rsid w:val="00A957AF"/>
    <w:rsid w:val="00A95879"/>
    <w:rsid w:val="00A9589D"/>
    <w:rsid w:val="00A9593E"/>
    <w:rsid w:val="00A9594C"/>
    <w:rsid w:val="00A9595A"/>
    <w:rsid w:val="00A959ED"/>
    <w:rsid w:val="00A959FA"/>
    <w:rsid w:val="00A95A52"/>
    <w:rsid w:val="00A95A84"/>
    <w:rsid w:val="00A95A8A"/>
    <w:rsid w:val="00A95B55"/>
    <w:rsid w:val="00A95C3A"/>
    <w:rsid w:val="00A95C41"/>
    <w:rsid w:val="00A95C6A"/>
    <w:rsid w:val="00A95D5C"/>
    <w:rsid w:val="00A95E3E"/>
    <w:rsid w:val="00A95E4A"/>
    <w:rsid w:val="00A95EBB"/>
    <w:rsid w:val="00A95F3A"/>
    <w:rsid w:val="00A95FD8"/>
    <w:rsid w:val="00A95FE9"/>
    <w:rsid w:val="00A96025"/>
    <w:rsid w:val="00A96036"/>
    <w:rsid w:val="00A96125"/>
    <w:rsid w:val="00A9619A"/>
    <w:rsid w:val="00A96213"/>
    <w:rsid w:val="00A96237"/>
    <w:rsid w:val="00A9627E"/>
    <w:rsid w:val="00A96355"/>
    <w:rsid w:val="00A96356"/>
    <w:rsid w:val="00A96367"/>
    <w:rsid w:val="00A9639F"/>
    <w:rsid w:val="00A963EC"/>
    <w:rsid w:val="00A96432"/>
    <w:rsid w:val="00A9648D"/>
    <w:rsid w:val="00A964C2"/>
    <w:rsid w:val="00A964CF"/>
    <w:rsid w:val="00A96509"/>
    <w:rsid w:val="00A96655"/>
    <w:rsid w:val="00A966C3"/>
    <w:rsid w:val="00A96768"/>
    <w:rsid w:val="00A96779"/>
    <w:rsid w:val="00A967D0"/>
    <w:rsid w:val="00A967DB"/>
    <w:rsid w:val="00A96804"/>
    <w:rsid w:val="00A9683A"/>
    <w:rsid w:val="00A96881"/>
    <w:rsid w:val="00A96888"/>
    <w:rsid w:val="00A96942"/>
    <w:rsid w:val="00A96990"/>
    <w:rsid w:val="00A96A9C"/>
    <w:rsid w:val="00A96AC5"/>
    <w:rsid w:val="00A96B21"/>
    <w:rsid w:val="00A96C6D"/>
    <w:rsid w:val="00A96CB9"/>
    <w:rsid w:val="00A96CF7"/>
    <w:rsid w:val="00A96E8B"/>
    <w:rsid w:val="00A96E98"/>
    <w:rsid w:val="00A96EC4"/>
    <w:rsid w:val="00A96EE4"/>
    <w:rsid w:val="00A96F34"/>
    <w:rsid w:val="00A96F61"/>
    <w:rsid w:val="00A96F8B"/>
    <w:rsid w:val="00A96FBE"/>
    <w:rsid w:val="00A96FC1"/>
    <w:rsid w:val="00A9706E"/>
    <w:rsid w:val="00A97072"/>
    <w:rsid w:val="00A970E5"/>
    <w:rsid w:val="00A97156"/>
    <w:rsid w:val="00A97163"/>
    <w:rsid w:val="00A9717B"/>
    <w:rsid w:val="00A9718D"/>
    <w:rsid w:val="00A971D5"/>
    <w:rsid w:val="00A9724F"/>
    <w:rsid w:val="00A9738B"/>
    <w:rsid w:val="00A973C2"/>
    <w:rsid w:val="00A973C4"/>
    <w:rsid w:val="00A9743E"/>
    <w:rsid w:val="00A974FC"/>
    <w:rsid w:val="00A97592"/>
    <w:rsid w:val="00A975CC"/>
    <w:rsid w:val="00A975FF"/>
    <w:rsid w:val="00A9769E"/>
    <w:rsid w:val="00A976DD"/>
    <w:rsid w:val="00A97743"/>
    <w:rsid w:val="00A977E7"/>
    <w:rsid w:val="00A97924"/>
    <w:rsid w:val="00A9794A"/>
    <w:rsid w:val="00A979F8"/>
    <w:rsid w:val="00A97A20"/>
    <w:rsid w:val="00A97ABB"/>
    <w:rsid w:val="00A97AD6"/>
    <w:rsid w:val="00A97B00"/>
    <w:rsid w:val="00A97C50"/>
    <w:rsid w:val="00A97C85"/>
    <w:rsid w:val="00A97CEC"/>
    <w:rsid w:val="00A97D2A"/>
    <w:rsid w:val="00A97DE1"/>
    <w:rsid w:val="00A97E10"/>
    <w:rsid w:val="00A97E9A"/>
    <w:rsid w:val="00A97ECA"/>
    <w:rsid w:val="00A97ECC"/>
    <w:rsid w:val="00A97F74"/>
    <w:rsid w:val="00A97FF1"/>
    <w:rsid w:val="00A97FF8"/>
    <w:rsid w:val="00AA00BA"/>
    <w:rsid w:val="00AA00EC"/>
    <w:rsid w:val="00AA014E"/>
    <w:rsid w:val="00AA0156"/>
    <w:rsid w:val="00AA01D3"/>
    <w:rsid w:val="00AA02BD"/>
    <w:rsid w:val="00AA02C5"/>
    <w:rsid w:val="00AA033C"/>
    <w:rsid w:val="00AA033E"/>
    <w:rsid w:val="00AA03C9"/>
    <w:rsid w:val="00AA03EF"/>
    <w:rsid w:val="00AA040D"/>
    <w:rsid w:val="00AA042C"/>
    <w:rsid w:val="00AA0432"/>
    <w:rsid w:val="00AA04DE"/>
    <w:rsid w:val="00AA04E1"/>
    <w:rsid w:val="00AA04FA"/>
    <w:rsid w:val="00AA0591"/>
    <w:rsid w:val="00AA0599"/>
    <w:rsid w:val="00AA05AB"/>
    <w:rsid w:val="00AA05FE"/>
    <w:rsid w:val="00AA0632"/>
    <w:rsid w:val="00AA0638"/>
    <w:rsid w:val="00AA0664"/>
    <w:rsid w:val="00AA06D5"/>
    <w:rsid w:val="00AA06F2"/>
    <w:rsid w:val="00AA0793"/>
    <w:rsid w:val="00AA07A5"/>
    <w:rsid w:val="00AA0842"/>
    <w:rsid w:val="00AA0875"/>
    <w:rsid w:val="00AA098F"/>
    <w:rsid w:val="00AA09A3"/>
    <w:rsid w:val="00AA0A1F"/>
    <w:rsid w:val="00AA0A43"/>
    <w:rsid w:val="00AA0A7D"/>
    <w:rsid w:val="00AA0B11"/>
    <w:rsid w:val="00AA0B2C"/>
    <w:rsid w:val="00AA0C01"/>
    <w:rsid w:val="00AA0C45"/>
    <w:rsid w:val="00AA0C62"/>
    <w:rsid w:val="00AA0CA1"/>
    <w:rsid w:val="00AA0CE5"/>
    <w:rsid w:val="00AA0CFE"/>
    <w:rsid w:val="00AA0D1B"/>
    <w:rsid w:val="00AA0E7A"/>
    <w:rsid w:val="00AA0E81"/>
    <w:rsid w:val="00AA0E9D"/>
    <w:rsid w:val="00AA0EBE"/>
    <w:rsid w:val="00AA0ED8"/>
    <w:rsid w:val="00AA0F27"/>
    <w:rsid w:val="00AA0F8E"/>
    <w:rsid w:val="00AA1012"/>
    <w:rsid w:val="00AA1026"/>
    <w:rsid w:val="00AA1033"/>
    <w:rsid w:val="00AA11A4"/>
    <w:rsid w:val="00AA12E7"/>
    <w:rsid w:val="00AA12F0"/>
    <w:rsid w:val="00AA131C"/>
    <w:rsid w:val="00AA1327"/>
    <w:rsid w:val="00AA1437"/>
    <w:rsid w:val="00AA143E"/>
    <w:rsid w:val="00AA145C"/>
    <w:rsid w:val="00AA14D5"/>
    <w:rsid w:val="00AA161D"/>
    <w:rsid w:val="00AA1760"/>
    <w:rsid w:val="00AA176A"/>
    <w:rsid w:val="00AA177D"/>
    <w:rsid w:val="00AA177E"/>
    <w:rsid w:val="00AA17FD"/>
    <w:rsid w:val="00AA181B"/>
    <w:rsid w:val="00AA18FF"/>
    <w:rsid w:val="00AA192A"/>
    <w:rsid w:val="00AA1974"/>
    <w:rsid w:val="00AA1979"/>
    <w:rsid w:val="00AA1A8A"/>
    <w:rsid w:val="00AA1B78"/>
    <w:rsid w:val="00AA1BDB"/>
    <w:rsid w:val="00AA1C76"/>
    <w:rsid w:val="00AA1CD1"/>
    <w:rsid w:val="00AA1D69"/>
    <w:rsid w:val="00AA1D73"/>
    <w:rsid w:val="00AA1D83"/>
    <w:rsid w:val="00AA1DD2"/>
    <w:rsid w:val="00AA1DF8"/>
    <w:rsid w:val="00AA1E80"/>
    <w:rsid w:val="00AA1EA9"/>
    <w:rsid w:val="00AA1F3A"/>
    <w:rsid w:val="00AA1FFD"/>
    <w:rsid w:val="00AA203F"/>
    <w:rsid w:val="00AA207D"/>
    <w:rsid w:val="00AA216D"/>
    <w:rsid w:val="00AA2239"/>
    <w:rsid w:val="00AA2312"/>
    <w:rsid w:val="00AA23A8"/>
    <w:rsid w:val="00AA2425"/>
    <w:rsid w:val="00AA2428"/>
    <w:rsid w:val="00AA2443"/>
    <w:rsid w:val="00AA249E"/>
    <w:rsid w:val="00AA24AE"/>
    <w:rsid w:val="00AA24C8"/>
    <w:rsid w:val="00AA24FB"/>
    <w:rsid w:val="00AA250E"/>
    <w:rsid w:val="00AA2587"/>
    <w:rsid w:val="00AA2589"/>
    <w:rsid w:val="00AA260F"/>
    <w:rsid w:val="00AA275B"/>
    <w:rsid w:val="00AA2778"/>
    <w:rsid w:val="00AA27FC"/>
    <w:rsid w:val="00AA2801"/>
    <w:rsid w:val="00AA282B"/>
    <w:rsid w:val="00AA28C2"/>
    <w:rsid w:val="00AA28F8"/>
    <w:rsid w:val="00AA2913"/>
    <w:rsid w:val="00AA29B5"/>
    <w:rsid w:val="00AA2A0B"/>
    <w:rsid w:val="00AA2A3A"/>
    <w:rsid w:val="00AA2B37"/>
    <w:rsid w:val="00AA2B52"/>
    <w:rsid w:val="00AA2B5B"/>
    <w:rsid w:val="00AA2B88"/>
    <w:rsid w:val="00AA2B9E"/>
    <w:rsid w:val="00AA2BA5"/>
    <w:rsid w:val="00AA2BE6"/>
    <w:rsid w:val="00AA2CAB"/>
    <w:rsid w:val="00AA2CE6"/>
    <w:rsid w:val="00AA2D35"/>
    <w:rsid w:val="00AA2D38"/>
    <w:rsid w:val="00AA2D81"/>
    <w:rsid w:val="00AA2D91"/>
    <w:rsid w:val="00AA2DB6"/>
    <w:rsid w:val="00AA2E1F"/>
    <w:rsid w:val="00AA2E4B"/>
    <w:rsid w:val="00AA2E94"/>
    <w:rsid w:val="00AA2EA5"/>
    <w:rsid w:val="00AA2ECE"/>
    <w:rsid w:val="00AA2F98"/>
    <w:rsid w:val="00AA30C5"/>
    <w:rsid w:val="00AA30F8"/>
    <w:rsid w:val="00AA30FE"/>
    <w:rsid w:val="00AA3153"/>
    <w:rsid w:val="00AA3155"/>
    <w:rsid w:val="00AA31C5"/>
    <w:rsid w:val="00AA336B"/>
    <w:rsid w:val="00AA3382"/>
    <w:rsid w:val="00AA3456"/>
    <w:rsid w:val="00AA34C8"/>
    <w:rsid w:val="00AA3534"/>
    <w:rsid w:val="00AA35EC"/>
    <w:rsid w:val="00AA3600"/>
    <w:rsid w:val="00AA362B"/>
    <w:rsid w:val="00AA36DF"/>
    <w:rsid w:val="00AA36FE"/>
    <w:rsid w:val="00AA3726"/>
    <w:rsid w:val="00AA388B"/>
    <w:rsid w:val="00AA38BB"/>
    <w:rsid w:val="00AA38BF"/>
    <w:rsid w:val="00AA396C"/>
    <w:rsid w:val="00AA397B"/>
    <w:rsid w:val="00AA39DC"/>
    <w:rsid w:val="00AA3A06"/>
    <w:rsid w:val="00AA3A25"/>
    <w:rsid w:val="00AA3AE9"/>
    <w:rsid w:val="00AA3B7F"/>
    <w:rsid w:val="00AA3B9C"/>
    <w:rsid w:val="00AA3BA5"/>
    <w:rsid w:val="00AA3BC5"/>
    <w:rsid w:val="00AA3C44"/>
    <w:rsid w:val="00AA3C57"/>
    <w:rsid w:val="00AA3C64"/>
    <w:rsid w:val="00AA3C65"/>
    <w:rsid w:val="00AA3DA9"/>
    <w:rsid w:val="00AA3DEF"/>
    <w:rsid w:val="00AA3E56"/>
    <w:rsid w:val="00AA3E84"/>
    <w:rsid w:val="00AA3E9B"/>
    <w:rsid w:val="00AA3EBB"/>
    <w:rsid w:val="00AA3FCC"/>
    <w:rsid w:val="00AA4016"/>
    <w:rsid w:val="00AA40A2"/>
    <w:rsid w:val="00AA40AC"/>
    <w:rsid w:val="00AA4121"/>
    <w:rsid w:val="00AA4184"/>
    <w:rsid w:val="00AA41CC"/>
    <w:rsid w:val="00AA425C"/>
    <w:rsid w:val="00AA42B1"/>
    <w:rsid w:val="00AA4317"/>
    <w:rsid w:val="00AA435E"/>
    <w:rsid w:val="00AA43D9"/>
    <w:rsid w:val="00AA4410"/>
    <w:rsid w:val="00AA44A6"/>
    <w:rsid w:val="00AA44B5"/>
    <w:rsid w:val="00AA4537"/>
    <w:rsid w:val="00AA457C"/>
    <w:rsid w:val="00AA4598"/>
    <w:rsid w:val="00AA463F"/>
    <w:rsid w:val="00AA475B"/>
    <w:rsid w:val="00AA47B2"/>
    <w:rsid w:val="00AA47EC"/>
    <w:rsid w:val="00AA481A"/>
    <w:rsid w:val="00AA4978"/>
    <w:rsid w:val="00AA49A8"/>
    <w:rsid w:val="00AA49BB"/>
    <w:rsid w:val="00AA49F1"/>
    <w:rsid w:val="00AA49F5"/>
    <w:rsid w:val="00AA4A18"/>
    <w:rsid w:val="00AA4A5E"/>
    <w:rsid w:val="00AA4B53"/>
    <w:rsid w:val="00AA4BAC"/>
    <w:rsid w:val="00AA4C01"/>
    <w:rsid w:val="00AA4C7F"/>
    <w:rsid w:val="00AA4C8B"/>
    <w:rsid w:val="00AA4C90"/>
    <w:rsid w:val="00AA4D5D"/>
    <w:rsid w:val="00AA4D9A"/>
    <w:rsid w:val="00AA4ECD"/>
    <w:rsid w:val="00AA4EE6"/>
    <w:rsid w:val="00AA4F3A"/>
    <w:rsid w:val="00AA4F6C"/>
    <w:rsid w:val="00AA4FEB"/>
    <w:rsid w:val="00AA500A"/>
    <w:rsid w:val="00AA5039"/>
    <w:rsid w:val="00AA5065"/>
    <w:rsid w:val="00AA512A"/>
    <w:rsid w:val="00AA514C"/>
    <w:rsid w:val="00AA5185"/>
    <w:rsid w:val="00AA518B"/>
    <w:rsid w:val="00AA5195"/>
    <w:rsid w:val="00AA51AC"/>
    <w:rsid w:val="00AA525C"/>
    <w:rsid w:val="00AA52AB"/>
    <w:rsid w:val="00AA52B2"/>
    <w:rsid w:val="00AA5309"/>
    <w:rsid w:val="00AA530A"/>
    <w:rsid w:val="00AA5319"/>
    <w:rsid w:val="00AA532A"/>
    <w:rsid w:val="00AA534F"/>
    <w:rsid w:val="00AA53A9"/>
    <w:rsid w:val="00AA53B3"/>
    <w:rsid w:val="00AA53F9"/>
    <w:rsid w:val="00AA548D"/>
    <w:rsid w:val="00AA54B8"/>
    <w:rsid w:val="00AA5506"/>
    <w:rsid w:val="00AA561F"/>
    <w:rsid w:val="00AA562B"/>
    <w:rsid w:val="00AA563E"/>
    <w:rsid w:val="00AA5643"/>
    <w:rsid w:val="00AA56D3"/>
    <w:rsid w:val="00AA5785"/>
    <w:rsid w:val="00AA57DF"/>
    <w:rsid w:val="00AA580C"/>
    <w:rsid w:val="00AA5979"/>
    <w:rsid w:val="00AA5990"/>
    <w:rsid w:val="00AA59EF"/>
    <w:rsid w:val="00AA59FE"/>
    <w:rsid w:val="00AA5A19"/>
    <w:rsid w:val="00AA5A76"/>
    <w:rsid w:val="00AA5A95"/>
    <w:rsid w:val="00AA5AAD"/>
    <w:rsid w:val="00AA5AD5"/>
    <w:rsid w:val="00AA5B1D"/>
    <w:rsid w:val="00AA5BBD"/>
    <w:rsid w:val="00AA5C6B"/>
    <w:rsid w:val="00AA5C96"/>
    <w:rsid w:val="00AA5CE5"/>
    <w:rsid w:val="00AA5DE4"/>
    <w:rsid w:val="00AA5E73"/>
    <w:rsid w:val="00AA5EA2"/>
    <w:rsid w:val="00AA5F28"/>
    <w:rsid w:val="00AA5FB1"/>
    <w:rsid w:val="00AA5FFF"/>
    <w:rsid w:val="00AA6074"/>
    <w:rsid w:val="00AA60CE"/>
    <w:rsid w:val="00AA60D3"/>
    <w:rsid w:val="00AA60ED"/>
    <w:rsid w:val="00AA60F6"/>
    <w:rsid w:val="00AA613E"/>
    <w:rsid w:val="00AA6179"/>
    <w:rsid w:val="00AA61D0"/>
    <w:rsid w:val="00AA6207"/>
    <w:rsid w:val="00AA62AB"/>
    <w:rsid w:val="00AA635E"/>
    <w:rsid w:val="00AA6377"/>
    <w:rsid w:val="00AA6425"/>
    <w:rsid w:val="00AA652A"/>
    <w:rsid w:val="00AA65B1"/>
    <w:rsid w:val="00AA65B5"/>
    <w:rsid w:val="00AA65E5"/>
    <w:rsid w:val="00AA6623"/>
    <w:rsid w:val="00AA6652"/>
    <w:rsid w:val="00AA6656"/>
    <w:rsid w:val="00AA6719"/>
    <w:rsid w:val="00AA6767"/>
    <w:rsid w:val="00AA6776"/>
    <w:rsid w:val="00AA6789"/>
    <w:rsid w:val="00AA6847"/>
    <w:rsid w:val="00AA68A8"/>
    <w:rsid w:val="00AA68AF"/>
    <w:rsid w:val="00AA68F3"/>
    <w:rsid w:val="00AA6956"/>
    <w:rsid w:val="00AA699A"/>
    <w:rsid w:val="00AA69A0"/>
    <w:rsid w:val="00AA69EB"/>
    <w:rsid w:val="00AA6B1C"/>
    <w:rsid w:val="00AA6B3F"/>
    <w:rsid w:val="00AA6B6D"/>
    <w:rsid w:val="00AA6BD8"/>
    <w:rsid w:val="00AA6BFA"/>
    <w:rsid w:val="00AA6C51"/>
    <w:rsid w:val="00AA6CBD"/>
    <w:rsid w:val="00AA6E2A"/>
    <w:rsid w:val="00AA6EC9"/>
    <w:rsid w:val="00AA6F7A"/>
    <w:rsid w:val="00AA6F99"/>
    <w:rsid w:val="00AA6FAC"/>
    <w:rsid w:val="00AA6FC8"/>
    <w:rsid w:val="00AA6FC9"/>
    <w:rsid w:val="00AA70C5"/>
    <w:rsid w:val="00AA70E2"/>
    <w:rsid w:val="00AA7144"/>
    <w:rsid w:val="00AA718B"/>
    <w:rsid w:val="00AA719D"/>
    <w:rsid w:val="00AA71C8"/>
    <w:rsid w:val="00AA71DF"/>
    <w:rsid w:val="00AA721A"/>
    <w:rsid w:val="00AA7276"/>
    <w:rsid w:val="00AA72F2"/>
    <w:rsid w:val="00AA7300"/>
    <w:rsid w:val="00AA7305"/>
    <w:rsid w:val="00AA736B"/>
    <w:rsid w:val="00AA73A9"/>
    <w:rsid w:val="00AA73C6"/>
    <w:rsid w:val="00AA74C7"/>
    <w:rsid w:val="00AA74E8"/>
    <w:rsid w:val="00AA7592"/>
    <w:rsid w:val="00AA75CC"/>
    <w:rsid w:val="00AA75E0"/>
    <w:rsid w:val="00AA7655"/>
    <w:rsid w:val="00AA76B7"/>
    <w:rsid w:val="00AA77BA"/>
    <w:rsid w:val="00AA77FC"/>
    <w:rsid w:val="00AA77FE"/>
    <w:rsid w:val="00AA781E"/>
    <w:rsid w:val="00AA7826"/>
    <w:rsid w:val="00AA7881"/>
    <w:rsid w:val="00AA792D"/>
    <w:rsid w:val="00AA7968"/>
    <w:rsid w:val="00AA7993"/>
    <w:rsid w:val="00AA79C1"/>
    <w:rsid w:val="00AA79FD"/>
    <w:rsid w:val="00AA7A86"/>
    <w:rsid w:val="00AA7C14"/>
    <w:rsid w:val="00AA7C8E"/>
    <w:rsid w:val="00AA7D26"/>
    <w:rsid w:val="00AA7D2D"/>
    <w:rsid w:val="00AA7DCC"/>
    <w:rsid w:val="00AA7DDF"/>
    <w:rsid w:val="00AA7F3D"/>
    <w:rsid w:val="00AA7F7C"/>
    <w:rsid w:val="00AA7FDA"/>
    <w:rsid w:val="00AB002D"/>
    <w:rsid w:val="00AB015A"/>
    <w:rsid w:val="00AB02C8"/>
    <w:rsid w:val="00AB02FE"/>
    <w:rsid w:val="00AB03A8"/>
    <w:rsid w:val="00AB040B"/>
    <w:rsid w:val="00AB043B"/>
    <w:rsid w:val="00AB04C1"/>
    <w:rsid w:val="00AB04D8"/>
    <w:rsid w:val="00AB0507"/>
    <w:rsid w:val="00AB072B"/>
    <w:rsid w:val="00AB076B"/>
    <w:rsid w:val="00AB078B"/>
    <w:rsid w:val="00AB07B7"/>
    <w:rsid w:val="00AB0831"/>
    <w:rsid w:val="00AB08AE"/>
    <w:rsid w:val="00AB08EC"/>
    <w:rsid w:val="00AB09E5"/>
    <w:rsid w:val="00AB0A2A"/>
    <w:rsid w:val="00AB0A6B"/>
    <w:rsid w:val="00AB0B23"/>
    <w:rsid w:val="00AB0B6F"/>
    <w:rsid w:val="00AB0B83"/>
    <w:rsid w:val="00AB0BE1"/>
    <w:rsid w:val="00AB0C14"/>
    <w:rsid w:val="00AB0C3F"/>
    <w:rsid w:val="00AB0C5B"/>
    <w:rsid w:val="00AB0C8E"/>
    <w:rsid w:val="00AB0C99"/>
    <w:rsid w:val="00AB0CFC"/>
    <w:rsid w:val="00AB0D7E"/>
    <w:rsid w:val="00AB0E0E"/>
    <w:rsid w:val="00AB0E3E"/>
    <w:rsid w:val="00AB0E63"/>
    <w:rsid w:val="00AB0E73"/>
    <w:rsid w:val="00AB0E8D"/>
    <w:rsid w:val="00AB0EAA"/>
    <w:rsid w:val="00AB0EB2"/>
    <w:rsid w:val="00AB0EE1"/>
    <w:rsid w:val="00AB0F7E"/>
    <w:rsid w:val="00AB0F9E"/>
    <w:rsid w:val="00AB0FA2"/>
    <w:rsid w:val="00AB0FB1"/>
    <w:rsid w:val="00AB0FFC"/>
    <w:rsid w:val="00AB103E"/>
    <w:rsid w:val="00AB10D9"/>
    <w:rsid w:val="00AB10E4"/>
    <w:rsid w:val="00AB10FB"/>
    <w:rsid w:val="00AB1107"/>
    <w:rsid w:val="00AB1132"/>
    <w:rsid w:val="00AB1143"/>
    <w:rsid w:val="00AB1200"/>
    <w:rsid w:val="00AB12BC"/>
    <w:rsid w:val="00AB1367"/>
    <w:rsid w:val="00AB1486"/>
    <w:rsid w:val="00AB15B6"/>
    <w:rsid w:val="00AB15D2"/>
    <w:rsid w:val="00AB15DF"/>
    <w:rsid w:val="00AB160E"/>
    <w:rsid w:val="00AB1681"/>
    <w:rsid w:val="00AB170F"/>
    <w:rsid w:val="00AB173B"/>
    <w:rsid w:val="00AB1761"/>
    <w:rsid w:val="00AB1792"/>
    <w:rsid w:val="00AB17BF"/>
    <w:rsid w:val="00AB1815"/>
    <w:rsid w:val="00AB186D"/>
    <w:rsid w:val="00AB1877"/>
    <w:rsid w:val="00AB18BD"/>
    <w:rsid w:val="00AB18E5"/>
    <w:rsid w:val="00AB1904"/>
    <w:rsid w:val="00AB1993"/>
    <w:rsid w:val="00AB1A37"/>
    <w:rsid w:val="00AB1A56"/>
    <w:rsid w:val="00AB1A77"/>
    <w:rsid w:val="00AB1AC4"/>
    <w:rsid w:val="00AB1B42"/>
    <w:rsid w:val="00AB1BC5"/>
    <w:rsid w:val="00AB1C41"/>
    <w:rsid w:val="00AB1C91"/>
    <w:rsid w:val="00AB1CBB"/>
    <w:rsid w:val="00AB1CCF"/>
    <w:rsid w:val="00AB1CDA"/>
    <w:rsid w:val="00AB1D1E"/>
    <w:rsid w:val="00AB1D9B"/>
    <w:rsid w:val="00AB1D9D"/>
    <w:rsid w:val="00AB1E5C"/>
    <w:rsid w:val="00AB1EB9"/>
    <w:rsid w:val="00AB1F68"/>
    <w:rsid w:val="00AB1F7E"/>
    <w:rsid w:val="00AB1FAF"/>
    <w:rsid w:val="00AB200C"/>
    <w:rsid w:val="00AB20FE"/>
    <w:rsid w:val="00AB210A"/>
    <w:rsid w:val="00AB2121"/>
    <w:rsid w:val="00AB213A"/>
    <w:rsid w:val="00AB21C7"/>
    <w:rsid w:val="00AB2260"/>
    <w:rsid w:val="00AB22B4"/>
    <w:rsid w:val="00AB2346"/>
    <w:rsid w:val="00AB2351"/>
    <w:rsid w:val="00AB23A0"/>
    <w:rsid w:val="00AB2404"/>
    <w:rsid w:val="00AB2494"/>
    <w:rsid w:val="00AB24BE"/>
    <w:rsid w:val="00AB2548"/>
    <w:rsid w:val="00AB262D"/>
    <w:rsid w:val="00AB26A1"/>
    <w:rsid w:val="00AB26BF"/>
    <w:rsid w:val="00AB279E"/>
    <w:rsid w:val="00AB27CC"/>
    <w:rsid w:val="00AB2854"/>
    <w:rsid w:val="00AB2985"/>
    <w:rsid w:val="00AB29A5"/>
    <w:rsid w:val="00AB29F5"/>
    <w:rsid w:val="00AB29FD"/>
    <w:rsid w:val="00AB2A80"/>
    <w:rsid w:val="00AB2AF5"/>
    <w:rsid w:val="00AB2B65"/>
    <w:rsid w:val="00AB2B8A"/>
    <w:rsid w:val="00AB2C4B"/>
    <w:rsid w:val="00AB2CC5"/>
    <w:rsid w:val="00AB2CC8"/>
    <w:rsid w:val="00AB2D3A"/>
    <w:rsid w:val="00AB2D8B"/>
    <w:rsid w:val="00AB2DAF"/>
    <w:rsid w:val="00AB2DBC"/>
    <w:rsid w:val="00AB2E64"/>
    <w:rsid w:val="00AB2E9B"/>
    <w:rsid w:val="00AB2EA3"/>
    <w:rsid w:val="00AB2ECB"/>
    <w:rsid w:val="00AB3042"/>
    <w:rsid w:val="00AB305A"/>
    <w:rsid w:val="00AB306F"/>
    <w:rsid w:val="00AB3197"/>
    <w:rsid w:val="00AB3255"/>
    <w:rsid w:val="00AB326E"/>
    <w:rsid w:val="00AB32DA"/>
    <w:rsid w:val="00AB3333"/>
    <w:rsid w:val="00AB33D5"/>
    <w:rsid w:val="00AB33F2"/>
    <w:rsid w:val="00AB34A4"/>
    <w:rsid w:val="00AB34AC"/>
    <w:rsid w:val="00AB34B8"/>
    <w:rsid w:val="00AB35E2"/>
    <w:rsid w:val="00AB3733"/>
    <w:rsid w:val="00AB3740"/>
    <w:rsid w:val="00AB377F"/>
    <w:rsid w:val="00AB378A"/>
    <w:rsid w:val="00AB37B5"/>
    <w:rsid w:val="00AB3818"/>
    <w:rsid w:val="00AB388E"/>
    <w:rsid w:val="00AB38E0"/>
    <w:rsid w:val="00AB3923"/>
    <w:rsid w:val="00AB39B2"/>
    <w:rsid w:val="00AB39BD"/>
    <w:rsid w:val="00AB3B1A"/>
    <w:rsid w:val="00AB3B26"/>
    <w:rsid w:val="00AB3B9C"/>
    <w:rsid w:val="00AB3BAE"/>
    <w:rsid w:val="00AB3BC0"/>
    <w:rsid w:val="00AB3C07"/>
    <w:rsid w:val="00AB3CB1"/>
    <w:rsid w:val="00AB3CBB"/>
    <w:rsid w:val="00AB3CFD"/>
    <w:rsid w:val="00AB3D38"/>
    <w:rsid w:val="00AB3D8D"/>
    <w:rsid w:val="00AB3DF3"/>
    <w:rsid w:val="00AB3E22"/>
    <w:rsid w:val="00AB3E4A"/>
    <w:rsid w:val="00AB3E6F"/>
    <w:rsid w:val="00AB3F9A"/>
    <w:rsid w:val="00AB407F"/>
    <w:rsid w:val="00AB40A4"/>
    <w:rsid w:val="00AB40CF"/>
    <w:rsid w:val="00AB40F0"/>
    <w:rsid w:val="00AB4103"/>
    <w:rsid w:val="00AB4124"/>
    <w:rsid w:val="00AB41FE"/>
    <w:rsid w:val="00AB4204"/>
    <w:rsid w:val="00AB4221"/>
    <w:rsid w:val="00AB42B9"/>
    <w:rsid w:val="00AB42DA"/>
    <w:rsid w:val="00AB4311"/>
    <w:rsid w:val="00AB4380"/>
    <w:rsid w:val="00AB439B"/>
    <w:rsid w:val="00AB44B8"/>
    <w:rsid w:val="00AB44D3"/>
    <w:rsid w:val="00AB4523"/>
    <w:rsid w:val="00AB4568"/>
    <w:rsid w:val="00AB457C"/>
    <w:rsid w:val="00AB45CC"/>
    <w:rsid w:val="00AB45CE"/>
    <w:rsid w:val="00AB461E"/>
    <w:rsid w:val="00AB4733"/>
    <w:rsid w:val="00AB479B"/>
    <w:rsid w:val="00AB4880"/>
    <w:rsid w:val="00AB488E"/>
    <w:rsid w:val="00AB48DE"/>
    <w:rsid w:val="00AB4904"/>
    <w:rsid w:val="00AB4912"/>
    <w:rsid w:val="00AB4943"/>
    <w:rsid w:val="00AB496A"/>
    <w:rsid w:val="00AB49F2"/>
    <w:rsid w:val="00AB4A02"/>
    <w:rsid w:val="00AB4BE2"/>
    <w:rsid w:val="00AB4D70"/>
    <w:rsid w:val="00AB4D7C"/>
    <w:rsid w:val="00AB4DFA"/>
    <w:rsid w:val="00AB4E02"/>
    <w:rsid w:val="00AB4E14"/>
    <w:rsid w:val="00AB4E2D"/>
    <w:rsid w:val="00AB4E43"/>
    <w:rsid w:val="00AB4E5A"/>
    <w:rsid w:val="00AB4E72"/>
    <w:rsid w:val="00AB4EA1"/>
    <w:rsid w:val="00AB4F83"/>
    <w:rsid w:val="00AB4FC6"/>
    <w:rsid w:val="00AB4FCE"/>
    <w:rsid w:val="00AB505C"/>
    <w:rsid w:val="00AB508E"/>
    <w:rsid w:val="00AB509E"/>
    <w:rsid w:val="00AB5112"/>
    <w:rsid w:val="00AB5155"/>
    <w:rsid w:val="00AB51C4"/>
    <w:rsid w:val="00AB51F2"/>
    <w:rsid w:val="00AB5200"/>
    <w:rsid w:val="00AB520C"/>
    <w:rsid w:val="00AB5271"/>
    <w:rsid w:val="00AB5293"/>
    <w:rsid w:val="00AB52EB"/>
    <w:rsid w:val="00AB530C"/>
    <w:rsid w:val="00AB535E"/>
    <w:rsid w:val="00AB53FA"/>
    <w:rsid w:val="00AB5423"/>
    <w:rsid w:val="00AB5430"/>
    <w:rsid w:val="00AB547C"/>
    <w:rsid w:val="00AB5558"/>
    <w:rsid w:val="00AB5607"/>
    <w:rsid w:val="00AB5613"/>
    <w:rsid w:val="00AB5615"/>
    <w:rsid w:val="00AB562B"/>
    <w:rsid w:val="00AB567C"/>
    <w:rsid w:val="00AB56CC"/>
    <w:rsid w:val="00AB5764"/>
    <w:rsid w:val="00AB57A0"/>
    <w:rsid w:val="00AB581E"/>
    <w:rsid w:val="00AB5A3D"/>
    <w:rsid w:val="00AB5A41"/>
    <w:rsid w:val="00AB5C5D"/>
    <w:rsid w:val="00AB5CC4"/>
    <w:rsid w:val="00AB5D25"/>
    <w:rsid w:val="00AB5D2E"/>
    <w:rsid w:val="00AB5DDF"/>
    <w:rsid w:val="00AB5F4D"/>
    <w:rsid w:val="00AB5FC0"/>
    <w:rsid w:val="00AB5FDE"/>
    <w:rsid w:val="00AB6012"/>
    <w:rsid w:val="00AB6086"/>
    <w:rsid w:val="00AB609C"/>
    <w:rsid w:val="00AB60FA"/>
    <w:rsid w:val="00AB612E"/>
    <w:rsid w:val="00AB61EB"/>
    <w:rsid w:val="00AB6203"/>
    <w:rsid w:val="00AB62C0"/>
    <w:rsid w:val="00AB631C"/>
    <w:rsid w:val="00AB64B7"/>
    <w:rsid w:val="00AB650A"/>
    <w:rsid w:val="00AB651B"/>
    <w:rsid w:val="00AB6538"/>
    <w:rsid w:val="00AB6565"/>
    <w:rsid w:val="00AB660F"/>
    <w:rsid w:val="00AB6667"/>
    <w:rsid w:val="00AB674D"/>
    <w:rsid w:val="00AB681C"/>
    <w:rsid w:val="00AB6827"/>
    <w:rsid w:val="00AB6851"/>
    <w:rsid w:val="00AB688C"/>
    <w:rsid w:val="00AB6951"/>
    <w:rsid w:val="00AB69FE"/>
    <w:rsid w:val="00AB6A0E"/>
    <w:rsid w:val="00AB6A1A"/>
    <w:rsid w:val="00AB6A34"/>
    <w:rsid w:val="00AB6B0D"/>
    <w:rsid w:val="00AB6B2D"/>
    <w:rsid w:val="00AB6B6B"/>
    <w:rsid w:val="00AB6B96"/>
    <w:rsid w:val="00AB6C03"/>
    <w:rsid w:val="00AB6CBE"/>
    <w:rsid w:val="00AB6D0A"/>
    <w:rsid w:val="00AB6D59"/>
    <w:rsid w:val="00AB6D78"/>
    <w:rsid w:val="00AB6D91"/>
    <w:rsid w:val="00AB6DAF"/>
    <w:rsid w:val="00AB6DC0"/>
    <w:rsid w:val="00AB6E8C"/>
    <w:rsid w:val="00AB6FB7"/>
    <w:rsid w:val="00AB7010"/>
    <w:rsid w:val="00AB7098"/>
    <w:rsid w:val="00AB70A7"/>
    <w:rsid w:val="00AB70C0"/>
    <w:rsid w:val="00AB70EA"/>
    <w:rsid w:val="00AB726A"/>
    <w:rsid w:val="00AB7270"/>
    <w:rsid w:val="00AB73B2"/>
    <w:rsid w:val="00AB73E3"/>
    <w:rsid w:val="00AB741F"/>
    <w:rsid w:val="00AB7439"/>
    <w:rsid w:val="00AB744A"/>
    <w:rsid w:val="00AB74C3"/>
    <w:rsid w:val="00AB74CA"/>
    <w:rsid w:val="00AB74DE"/>
    <w:rsid w:val="00AB7555"/>
    <w:rsid w:val="00AB75DD"/>
    <w:rsid w:val="00AB7669"/>
    <w:rsid w:val="00AB771E"/>
    <w:rsid w:val="00AB7720"/>
    <w:rsid w:val="00AB773B"/>
    <w:rsid w:val="00AB7791"/>
    <w:rsid w:val="00AB77C7"/>
    <w:rsid w:val="00AB77F4"/>
    <w:rsid w:val="00AB7863"/>
    <w:rsid w:val="00AB78DA"/>
    <w:rsid w:val="00AB78DE"/>
    <w:rsid w:val="00AB797D"/>
    <w:rsid w:val="00AB7A6C"/>
    <w:rsid w:val="00AB7A70"/>
    <w:rsid w:val="00AB7A8E"/>
    <w:rsid w:val="00AB7AF0"/>
    <w:rsid w:val="00AB7B47"/>
    <w:rsid w:val="00AB7B4D"/>
    <w:rsid w:val="00AB7BA6"/>
    <w:rsid w:val="00AB7C1F"/>
    <w:rsid w:val="00AB7C9B"/>
    <w:rsid w:val="00AB7D31"/>
    <w:rsid w:val="00AB7D56"/>
    <w:rsid w:val="00AB7D5F"/>
    <w:rsid w:val="00AB7DAE"/>
    <w:rsid w:val="00AB7E2E"/>
    <w:rsid w:val="00AB7E65"/>
    <w:rsid w:val="00AB7F2C"/>
    <w:rsid w:val="00AC0013"/>
    <w:rsid w:val="00AC0038"/>
    <w:rsid w:val="00AC0099"/>
    <w:rsid w:val="00AC00B7"/>
    <w:rsid w:val="00AC00C1"/>
    <w:rsid w:val="00AC00E6"/>
    <w:rsid w:val="00AC0166"/>
    <w:rsid w:val="00AC017A"/>
    <w:rsid w:val="00AC01BA"/>
    <w:rsid w:val="00AC021F"/>
    <w:rsid w:val="00AC0223"/>
    <w:rsid w:val="00AC022F"/>
    <w:rsid w:val="00AC02E5"/>
    <w:rsid w:val="00AC0300"/>
    <w:rsid w:val="00AC030B"/>
    <w:rsid w:val="00AC034A"/>
    <w:rsid w:val="00AC03CD"/>
    <w:rsid w:val="00AC03CF"/>
    <w:rsid w:val="00AC03D8"/>
    <w:rsid w:val="00AC04A7"/>
    <w:rsid w:val="00AC04F9"/>
    <w:rsid w:val="00AC053E"/>
    <w:rsid w:val="00AC0616"/>
    <w:rsid w:val="00AC06A5"/>
    <w:rsid w:val="00AC072F"/>
    <w:rsid w:val="00AC0735"/>
    <w:rsid w:val="00AC0770"/>
    <w:rsid w:val="00AC078E"/>
    <w:rsid w:val="00AC07E6"/>
    <w:rsid w:val="00AC0810"/>
    <w:rsid w:val="00AC0822"/>
    <w:rsid w:val="00AC0824"/>
    <w:rsid w:val="00AC085D"/>
    <w:rsid w:val="00AC08F3"/>
    <w:rsid w:val="00AC0969"/>
    <w:rsid w:val="00AC0999"/>
    <w:rsid w:val="00AC0A6B"/>
    <w:rsid w:val="00AC0A86"/>
    <w:rsid w:val="00AC0AA8"/>
    <w:rsid w:val="00AC0B7A"/>
    <w:rsid w:val="00AC0B9B"/>
    <w:rsid w:val="00AC0BCA"/>
    <w:rsid w:val="00AC0BF0"/>
    <w:rsid w:val="00AC0BF2"/>
    <w:rsid w:val="00AC0C08"/>
    <w:rsid w:val="00AC0C88"/>
    <w:rsid w:val="00AC0C97"/>
    <w:rsid w:val="00AC0CB8"/>
    <w:rsid w:val="00AC0D3F"/>
    <w:rsid w:val="00AC0D6A"/>
    <w:rsid w:val="00AC0D79"/>
    <w:rsid w:val="00AC0DA9"/>
    <w:rsid w:val="00AC0F00"/>
    <w:rsid w:val="00AC1022"/>
    <w:rsid w:val="00AC10F9"/>
    <w:rsid w:val="00AC1107"/>
    <w:rsid w:val="00AC110F"/>
    <w:rsid w:val="00AC11BB"/>
    <w:rsid w:val="00AC1291"/>
    <w:rsid w:val="00AC12FF"/>
    <w:rsid w:val="00AC13FF"/>
    <w:rsid w:val="00AC14C0"/>
    <w:rsid w:val="00AC1558"/>
    <w:rsid w:val="00AC15C9"/>
    <w:rsid w:val="00AC1642"/>
    <w:rsid w:val="00AC1682"/>
    <w:rsid w:val="00AC1691"/>
    <w:rsid w:val="00AC1741"/>
    <w:rsid w:val="00AC1775"/>
    <w:rsid w:val="00AC17A5"/>
    <w:rsid w:val="00AC1861"/>
    <w:rsid w:val="00AC1891"/>
    <w:rsid w:val="00AC18E9"/>
    <w:rsid w:val="00AC1959"/>
    <w:rsid w:val="00AC1A7E"/>
    <w:rsid w:val="00AC1A85"/>
    <w:rsid w:val="00AC1B8B"/>
    <w:rsid w:val="00AC1B95"/>
    <w:rsid w:val="00AC1C31"/>
    <w:rsid w:val="00AC1C34"/>
    <w:rsid w:val="00AC1C41"/>
    <w:rsid w:val="00AC1C81"/>
    <w:rsid w:val="00AC1D11"/>
    <w:rsid w:val="00AC1D63"/>
    <w:rsid w:val="00AC1D6A"/>
    <w:rsid w:val="00AC1D72"/>
    <w:rsid w:val="00AC1DB2"/>
    <w:rsid w:val="00AC1E27"/>
    <w:rsid w:val="00AC1EC6"/>
    <w:rsid w:val="00AC1F28"/>
    <w:rsid w:val="00AC1F82"/>
    <w:rsid w:val="00AC2016"/>
    <w:rsid w:val="00AC2021"/>
    <w:rsid w:val="00AC20FA"/>
    <w:rsid w:val="00AC2121"/>
    <w:rsid w:val="00AC2179"/>
    <w:rsid w:val="00AC2231"/>
    <w:rsid w:val="00AC22B5"/>
    <w:rsid w:val="00AC22BF"/>
    <w:rsid w:val="00AC2414"/>
    <w:rsid w:val="00AC2482"/>
    <w:rsid w:val="00AC24ED"/>
    <w:rsid w:val="00AC2515"/>
    <w:rsid w:val="00AC2527"/>
    <w:rsid w:val="00AC258A"/>
    <w:rsid w:val="00AC25B3"/>
    <w:rsid w:val="00AC25C8"/>
    <w:rsid w:val="00AC262D"/>
    <w:rsid w:val="00AC2684"/>
    <w:rsid w:val="00AC26ED"/>
    <w:rsid w:val="00AC2722"/>
    <w:rsid w:val="00AC2763"/>
    <w:rsid w:val="00AC277D"/>
    <w:rsid w:val="00AC2780"/>
    <w:rsid w:val="00AC27EF"/>
    <w:rsid w:val="00AC282C"/>
    <w:rsid w:val="00AC293A"/>
    <w:rsid w:val="00AC2963"/>
    <w:rsid w:val="00AC2969"/>
    <w:rsid w:val="00AC2A0B"/>
    <w:rsid w:val="00AC2A94"/>
    <w:rsid w:val="00AC2B10"/>
    <w:rsid w:val="00AC2B1B"/>
    <w:rsid w:val="00AC2B6D"/>
    <w:rsid w:val="00AC2B94"/>
    <w:rsid w:val="00AC2BAE"/>
    <w:rsid w:val="00AC2C33"/>
    <w:rsid w:val="00AC2C65"/>
    <w:rsid w:val="00AC2C87"/>
    <w:rsid w:val="00AC2C8D"/>
    <w:rsid w:val="00AC2D10"/>
    <w:rsid w:val="00AC2D11"/>
    <w:rsid w:val="00AC2D12"/>
    <w:rsid w:val="00AC2D26"/>
    <w:rsid w:val="00AC2D2C"/>
    <w:rsid w:val="00AC2D35"/>
    <w:rsid w:val="00AC2D5A"/>
    <w:rsid w:val="00AC2E40"/>
    <w:rsid w:val="00AC2E7C"/>
    <w:rsid w:val="00AC2EC5"/>
    <w:rsid w:val="00AC2EE6"/>
    <w:rsid w:val="00AC2EF7"/>
    <w:rsid w:val="00AC2EF8"/>
    <w:rsid w:val="00AC2F18"/>
    <w:rsid w:val="00AC2F3B"/>
    <w:rsid w:val="00AC30C3"/>
    <w:rsid w:val="00AC30CA"/>
    <w:rsid w:val="00AC3180"/>
    <w:rsid w:val="00AC31BA"/>
    <w:rsid w:val="00AC3217"/>
    <w:rsid w:val="00AC3230"/>
    <w:rsid w:val="00AC3265"/>
    <w:rsid w:val="00AC3311"/>
    <w:rsid w:val="00AC332B"/>
    <w:rsid w:val="00AC33F7"/>
    <w:rsid w:val="00AC351D"/>
    <w:rsid w:val="00AC3543"/>
    <w:rsid w:val="00AC3581"/>
    <w:rsid w:val="00AC359F"/>
    <w:rsid w:val="00AC360B"/>
    <w:rsid w:val="00AC361C"/>
    <w:rsid w:val="00AC364D"/>
    <w:rsid w:val="00AC36A8"/>
    <w:rsid w:val="00AC36DC"/>
    <w:rsid w:val="00AC36E3"/>
    <w:rsid w:val="00AC371B"/>
    <w:rsid w:val="00AC3776"/>
    <w:rsid w:val="00AC3844"/>
    <w:rsid w:val="00AC3847"/>
    <w:rsid w:val="00AC389E"/>
    <w:rsid w:val="00AC39B7"/>
    <w:rsid w:val="00AC3A47"/>
    <w:rsid w:val="00AC3AF3"/>
    <w:rsid w:val="00AC3B51"/>
    <w:rsid w:val="00AC3B64"/>
    <w:rsid w:val="00AC3C6A"/>
    <w:rsid w:val="00AC3C7B"/>
    <w:rsid w:val="00AC3CEA"/>
    <w:rsid w:val="00AC3D89"/>
    <w:rsid w:val="00AC3DA7"/>
    <w:rsid w:val="00AC3DE7"/>
    <w:rsid w:val="00AC3EB3"/>
    <w:rsid w:val="00AC3ED6"/>
    <w:rsid w:val="00AC3F03"/>
    <w:rsid w:val="00AC3F4F"/>
    <w:rsid w:val="00AC3F54"/>
    <w:rsid w:val="00AC4055"/>
    <w:rsid w:val="00AC4107"/>
    <w:rsid w:val="00AC414F"/>
    <w:rsid w:val="00AC4278"/>
    <w:rsid w:val="00AC4320"/>
    <w:rsid w:val="00AC4341"/>
    <w:rsid w:val="00AC434D"/>
    <w:rsid w:val="00AC4361"/>
    <w:rsid w:val="00AC44B5"/>
    <w:rsid w:val="00AC44E6"/>
    <w:rsid w:val="00AC44F4"/>
    <w:rsid w:val="00AC45A6"/>
    <w:rsid w:val="00AC45A8"/>
    <w:rsid w:val="00AC45AB"/>
    <w:rsid w:val="00AC45C0"/>
    <w:rsid w:val="00AC45C9"/>
    <w:rsid w:val="00AC45DF"/>
    <w:rsid w:val="00AC45ED"/>
    <w:rsid w:val="00AC4603"/>
    <w:rsid w:val="00AC4669"/>
    <w:rsid w:val="00AC466A"/>
    <w:rsid w:val="00AC46B7"/>
    <w:rsid w:val="00AC4728"/>
    <w:rsid w:val="00AC4755"/>
    <w:rsid w:val="00AC4785"/>
    <w:rsid w:val="00AC4799"/>
    <w:rsid w:val="00AC47F5"/>
    <w:rsid w:val="00AC4809"/>
    <w:rsid w:val="00AC4852"/>
    <w:rsid w:val="00AC4861"/>
    <w:rsid w:val="00AC4868"/>
    <w:rsid w:val="00AC487B"/>
    <w:rsid w:val="00AC4994"/>
    <w:rsid w:val="00AC49DC"/>
    <w:rsid w:val="00AC4A0D"/>
    <w:rsid w:val="00AC4A28"/>
    <w:rsid w:val="00AC4A43"/>
    <w:rsid w:val="00AC4B41"/>
    <w:rsid w:val="00AC4BF5"/>
    <w:rsid w:val="00AC4C13"/>
    <w:rsid w:val="00AC4CB0"/>
    <w:rsid w:val="00AC4CD9"/>
    <w:rsid w:val="00AC4CE4"/>
    <w:rsid w:val="00AC4D56"/>
    <w:rsid w:val="00AC4D5C"/>
    <w:rsid w:val="00AC4D5F"/>
    <w:rsid w:val="00AC4D8A"/>
    <w:rsid w:val="00AC4D90"/>
    <w:rsid w:val="00AC4DF3"/>
    <w:rsid w:val="00AC4DFD"/>
    <w:rsid w:val="00AC4E14"/>
    <w:rsid w:val="00AC4E73"/>
    <w:rsid w:val="00AC4E9E"/>
    <w:rsid w:val="00AC4F38"/>
    <w:rsid w:val="00AC4F6C"/>
    <w:rsid w:val="00AC4FA3"/>
    <w:rsid w:val="00AC4FCE"/>
    <w:rsid w:val="00AC4FE1"/>
    <w:rsid w:val="00AC500C"/>
    <w:rsid w:val="00AC5071"/>
    <w:rsid w:val="00AC50DD"/>
    <w:rsid w:val="00AC515E"/>
    <w:rsid w:val="00AC5173"/>
    <w:rsid w:val="00AC5187"/>
    <w:rsid w:val="00AC51C8"/>
    <w:rsid w:val="00AC51DB"/>
    <w:rsid w:val="00AC51DE"/>
    <w:rsid w:val="00AC51E4"/>
    <w:rsid w:val="00AC51EA"/>
    <w:rsid w:val="00AC52E2"/>
    <w:rsid w:val="00AC52F4"/>
    <w:rsid w:val="00AC5335"/>
    <w:rsid w:val="00AC538F"/>
    <w:rsid w:val="00AC5457"/>
    <w:rsid w:val="00AC547C"/>
    <w:rsid w:val="00AC5513"/>
    <w:rsid w:val="00AC5658"/>
    <w:rsid w:val="00AC5671"/>
    <w:rsid w:val="00AC569E"/>
    <w:rsid w:val="00AC56F0"/>
    <w:rsid w:val="00AC5708"/>
    <w:rsid w:val="00AC5772"/>
    <w:rsid w:val="00AC577A"/>
    <w:rsid w:val="00AC579B"/>
    <w:rsid w:val="00AC5828"/>
    <w:rsid w:val="00AC5858"/>
    <w:rsid w:val="00AC5877"/>
    <w:rsid w:val="00AC58AD"/>
    <w:rsid w:val="00AC58F7"/>
    <w:rsid w:val="00AC5AD2"/>
    <w:rsid w:val="00AC5B51"/>
    <w:rsid w:val="00AC5BA9"/>
    <w:rsid w:val="00AC5BC6"/>
    <w:rsid w:val="00AC5C18"/>
    <w:rsid w:val="00AC5C4F"/>
    <w:rsid w:val="00AC5C61"/>
    <w:rsid w:val="00AC5C85"/>
    <w:rsid w:val="00AC5CA1"/>
    <w:rsid w:val="00AC5CE3"/>
    <w:rsid w:val="00AC5CFA"/>
    <w:rsid w:val="00AC5D46"/>
    <w:rsid w:val="00AC5D82"/>
    <w:rsid w:val="00AC5D98"/>
    <w:rsid w:val="00AC5DE4"/>
    <w:rsid w:val="00AC5E79"/>
    <w:rsid w:val="00AC5ED0"/>
    <w:rsid w:val="00AC5F86"/>
    <w:rsid w:val="00AC5F8A"/>
    <w:rsid w:val="00AC5FB6"/>
    <w:rsid w:val="00AC6074"/>
    <w:rsid w:val="00AC60AD"/>
    <w:rsid w:val="00AC618D"/>
    <w:rsid w:val="00AC6226"/>
    <w:rsid w:val="00AC62A4"/>
    <w:rsid w:val="00AC62AA"/>
    <w:rsid w:val="00AC6340"/>
    <w:rsid w:val="00AC6349"/>
    <w:rsid w:val="00AC638F"/>
    <w:rsid w:val="00AC6454"/>
    <w:rsid w:val="00AC6475"/>
    <w:rsid w:val="00AC64E4"/>
    <w:rsid w:val="00AC652F"/>
    <w:rsid w:val="00AC661A"/>
    <w:rsid w:val="00AC6672"/>
    <w:rsid w:val="00AC66D6"/>
    <w:rsid w:val="00AC674C"/>
    <w:rsid w:val="00AC6753"/>
    <w:rsid w:val="00AC6775"/>
    <w:rsid w:val="00AC67AF"/>
    <w:rsid w:val="00AC67BC"/>
    <w:rsid w:val="00AC67F3"/>
    <w:rsid w:val="00AC6844"/>
    <w:rsid w:val="00AC68FC"/>
    <w:rsid w:val="00AC69A5"/>
    <w:rsid w:val="00AC69BB"/>
    <w:rsid w:val="00AC6A60"/>
    <w:rsid w:val="00AC6A93"/>
    <w:rsid w:val="00AC6A96"/>
    <w:rsid w:val="00AC6ABB"/>
    <w:rsid w:val="00AC6AF8"/>
    <w:rsid w:val="00AC6B98"/>
    <w:rsid w:val="00AC6C5A"/>
    <w:rsid w:val="00AC6C74"/>
    <w:rsid w:val="00AC6CC4"/>
    <w:rsid w:val="00AC6D75"/>
    <w:rsid w:val="00AC6E0F"/>
    <w:rsid w:val="00AC6E21"/>
    <w:rsid w:val="00AC6E28"/>
    <w:rsid w:val="00AC6EA7"/>
    <w:rsid w:val="00AC6EE0"/>
    <w:rsid w:val="00AC6F05"/>
    <w:rsid w:val="00AC6F68"/>
    <w:rsid w:val="00AC6F83"/>
    <w:rsid w:val="00AC6F97"/>
    <w:rsid w:val="00AC6FB7"/>
    <w:rsid w:val="00AC702B"/>
    <w:rsid w:val="00AC705A"/>
    <w:rsid w:val="00AC70C2"/>
    <w:rsid w:val="00AC7159"/>
    <w:rsid w:val="00AC71DB"/>
    <w:rsid w:val="00AC7225"/>
    <w:rsid w:val="00AC7226"/>
    <w:rsid w:val="00AC7281"/>
    <w:rsid w:val="00AC729E"/>
    <w:rsid w:val="00AC72C4"/>
    <w:rsid w:val="00AC73B5"/>
    <w:rsid w:val="00AC7439"/>
    <w:rsid w:val="00AC74A6"/>
    <w:rsid w:val="00AC7521"/>
    <w:rsid w:val="00AC7566"/>
    <w:rsid w:val="00AC75EE"/>
    <w:rsid w:val="00AC77CE"/>
    <w:rsid w:val="00AC78A2"/>
    <w:rsid w:val="00AC78AE"/>
    <w:rsid w:val="00AC7975"/>
    <w:rsid w:val="00AC7996"/>
    <w:rsid w:val="00AC79BC"/>
    <w:rsid w:val="00AC7A2F"/>
    <w:rsid w:val="00AC7A79"/>
    <w:rsid w:val="00AC7C0F"/>
    <w:rsid w:val="00AC7C25"/>
    <w:rsid w:val="00AC7C31"/>
    <w:rsid w:val="00AC7C82"/>
    <w:rsid w:val="00AC7D1A"/>
    <w:rsid w:val="00AC7D36"/>
    <w:rsid w:val="00AC7D81"/>
    <w:rsid w:val="00AC7D99"/>
    <w:rsid w:val="00AC7DBB"/>
    <w:rsid w:val="00AC7DC9"/>
    <w:rsid w:val="00AC7E1A"/>
    <w:rsid w:val="00AC7E45"/>
    <w:rsid w:val="00AC7EF7"/>
    <w:rsid w:val="00AC7F43"/>
    <w:rsid w:val="00AC7FA5"/>
    <w:rsid w:val="00AC7FCD"/>
    <w:rsid w:val="00ACB372"/>
    <w:rsid w:val="00AD0085"/>
    <w:rsid w:val="00AD00D3"/>
    <w:rsid w:val="00AD00DB"/>
    <w:rsid w:val="00AD0190"/>
    <w:rsid w:val="00AD01A9"/>
    <w:rsid w:val="00AD0213"/>
    <w:rsid w:val="00AD0284"/>
    <w:rsid w:val="00AD02CD"/>
    <w:rsid w:val="00AD0300"/>
    <w:rsid w:val="00AD0328"/>
    <w:rsid w:val="00AD03A1"/>
    <w:rsid w:val="00AD03A6"/>
    <w:rsid w:val="00AD03EC"/>
    <w:rsid w:val="00AD046B"/>
    <w:rsid w:val="00AD04A3"/>
    <w:rsid w:val="00AD0534"/>
    <w:rsid w:val="00AD05E4"/>
    <w:rsid w:val="00AD05FD"/>
    <w:rsid w:val="00AD061C"/>
    <w:rsid w:val="00AD0654"/>
    <w:rsid w:val="00AD07B4"/>
    <w:rsid w:val="00AD07F6"/>
    <w:rsid w:val="00AD07FE"/>
    <w:rsid w:val="00AD0885"/>
    <w:rsid w:val="00AD08D4"/>
    <w:rsid w:val="00AD08F7"/>
    <w:rsid w:val="00AD090E"/>
    <w:rsid w:val="00AD09E9"/>
    <w:rsid w:val="00AD0A5F"/>
    <w:rsid w:val="00AD0B84"/>
    <w:rsid w:val="00AD0CA8"/>
    <w:rsid w:val="00AD0CAD"/>
    <w:rsid w:val="00AD0CED"/>
    <w:rsid w:val="00AD0D42"/>
    <w:rsid w:val="00AD0DF5"/>
    <w:rsid w:val="00AD0E24"/>
    <w:rsid w:val="00AD0EF0"/>
    <w:rsid w:val="00AD0F29"/>
    <w:rsid w:val="00AD0F34"/>
    <w:rsid w:val="00AD0FA1"/>
    <w:rsid w:val="00AD1009"/>
    <w:rsid w:val="00AD108A"/>
    <w:rsid w:val="00AD1109"/>
    <w:rsid w:val="00AD11C5"/>
    <w:rsid w:val="00AD122D"/>
    <w:rsid w:val="00AD1275"/>
    <w:rsid w:val="00AD1386"/>
    <w:rsid w:val="00AD139D"/>
    <w:rsid w:val="00AD14CA"/>
    <w:rsid w:val="00AD158F"/>
    <w:rsid w:val="00AD1601"/>
    <w:rsid w:val="00AD16B3"/>
    <w:rsid w:val="00AD16E6"/>
    <w:rsid w:val="00AD16F3"/>
    <w:rsid w:val="00AD17AA"/>
    <w:rsid w:val="00AD17F1"/>
    <w:rsid w:val="00AD180A"/>
    <w:rsid w:val="00AD18E4"/>
    <w:rsid w:val="00AD1A10"/>
    <w:rsid w:val="00AD1A73"/>
    <w:rsid w:val="00AD1A7C"/>
    <w:rsid w:val="00AD1AA2"/>
    <w:rsid w:val="00AD1B12"/>
    <w:rsid w:val="00AD1B27"/>
    <w:rsid w:val="00AD1B46"/>
    <w:rsid w:val="00AD1B66"/>
    <w:rsid w:val="00AD1C15"/>
    <w:rsid w:val="00AD1C53"/>
    <w:rsid w:val="00AD1D26"/>
    <w:rsid w:val="00AD1D36"/>
    <w:rsid w:val="00AD1E22"/>
    <w:rsid w:val="00AD1E96"/>
    <w:rsid w:val="00AD1F10"/>
    <w:rsid w:val="00AD1F4D"/>
    <w:rsid w:val="00AD1F5A"/>
    <w:rsid w:val="00AD1FB5"/>
    <w:rsid w:val="00AD1FE8"/>
    <w:rsid w:val="00AD207A"/>
    <w:rsid w:val="00AD215F"/>
    <w:rsid w:val="00AD2182"/>
    <w:rsid w:val="00AD2199"/>
    <w:rsid w:val="00AD2204"/>
    <w:rsid w:val="00AD22A0"/>
    <w:rsid w:val="00AD22AB"/>
    <w:rsid w:val="00AD232C"/>
    <w:rsid w:val="00AD239F"/>
    <w:rsid w:val="00AD23C6"/>
    <w:rsid w:val="00AD240C"/>
    <w:rsid w:val="00AD2452"/>
    <w:rsid w:val="00AD2464"/>
    <w:rsid w:val="00AD24B4"/>
    <w:rsid w:val="00AD25AD"/>
    <w:rsid w:val="00AD260E"/>
    <w:rsid w:val="00AD264F"/>
    <w:rsid w:val="00AD2650"/>
    <w:rsid w:val="00AD266E"/>
    <w:rsid w:val="00AD26B6"/>
    <w:rsid w:val="00AD273E"/>
    <w:rsid w:val="00AD274E"/>
    <w:rsid w:val="00AD279C"/>
    <w:rsid w:val="00AD27B9"/>
    <w:rsid w:val="00AD27E9"/>
    <w:rsid w:val="00AD27F7"/>
    <w:rsid w:val="00AD27FC"/>
    <w:rsid w:val="00AD2842"/>
    <w:rsid w:val="00AD28DA"/>
    <w:rsid w:val="00AD2903"/>
    <w:rsid w:val="00AD2907"/>
    <w:rsid w:val="00AD297D"/>
    <w:rsid w:val="00AD2A26"/>
    <w:rsid w:val="00AD2ADA"/>
    <w:rsid w:val="00AD2AFD"/>
    <w:rsid w:val="00AD2B2E"/>
    <w:rsid w:val="00AD2BD0"/>
    <w:rsid w:val="00AD2C6E"/>
    <w:rsid w:val="00AD2CF9"/>
    <w:rsid w:val="00AD2D03"/>
    <w:rsid w:val="00AD2D16"/>
    <w:rsid w:val="00AD2D85"/>
    <w:rsid w:val="00AD2E43"/>
    <w:rsid w:val="00AD2EF5"/>
    <w:rsid w:val="00AD31FA"/>
    <w:rsid w:val="00AD3263"/>
    <w:rsid w:val="00AD3281"/>
    <w:rsid w:val="00AD32B9"/>
    <w:rsid w:val="00AD32F1"/>
    <w:rsid w:val="00AD3362"/>
    <w:rsid w:val="00AD3375"/>
    <w:rsid w:val="00AD340F"/>
    <w:rsid w:val="00AD3419"/>
    <w:rsid w:val="00AD3474"/>
    <w:rsid w:val="00AD3477"/>
    <w:rsid w:val="00AD3527"/>
    <w:rsid w:val="00AD35B9"/>
    <w:rsid w:val="00AD3643"/>
    <w:rsid w:val="00AD364A"/>
    <w:rsid w:val="00AD3661"/>
    <w:rsid w:val="00AD36F0"/>
    <w:rsid w:val="00AD3763"/>
    <w:rsid w:val="00AD377D"/>
    <w:rsid w:val="00AD3798"/>
    <w:rsid w:val="00AD37E6"/>
    <w:rsid w:val="00AD37EB"/>
    <w:rsid w:val="00AD382F"/>
    <w:rsid w:val="00AD38EF"/>
    <w:rsid w:val="00AD3980"/>
    <w:rsid w:val="00AD3981"/>
    <w:rsid w:val="00AD39C4"/>
    <w:rsid w:val="00AD3A50"/>
    <w:rsid w:val="00AD3AD2"/>
    <w:rsid w:val="00AD3AF5"/>
    <w:rsid w:val="00AD3B62"/>
    <w:rsid w:val="00AD3B8E"/>
    <w:rsid w:val="00AD3C71"/>
    <w:rsid w:val="00AD3CDA"/>
    <w:rsid w:val="00AD3DF3"/>
    <w:rsid w:val="00AD3E2E"/>
    <w:rsid w:val="00AD3E7E"/>
    <w:rsid w:val="00AD3EE1"/>
    <w:rsid w:val="00AD3F0C"/>
    <w:rsid w:val="00AD3F21"/>
    <w:rsid w:val="00AD3F7A"/>
    <w:rsid w:val="00AD3FD2"/>
    <w:rsid w:val="00AD40C8"/>
    <w:rsid w:val="00AD40D8"/>
    <w:rsid w:val="00AD41C3"/>
    <w:rsid w:val="00AD4209"/>
    <w:rsid w:val="00AD4249"/>
    <w:rsid w:val="00AD426A"/>
    <w:rsid w:val="00AD42F5"/>
    <w:rsid w:val="00AD44B4"/>
    <w:rsid w:val="00AD44E3"/>
    <w:rsid w:val="00AD4559"/>
    <w:rsid w:val="00AD455B"/>
    <w:rsid w:val="00AD458E"/>
    <w:rsid w:val="00AD46C8"/>
    <w:rsid w:val="00AD46E7"/>
    <w:rsid w:val="00AD4771"/>
    <w:rsid w:val="00AD481B"/>
    <w:rsid w:val="00AD4866"/>
    <w:rsid w:val="00AD4868"/>
    <w:rsid w:val="00AD4899"/>
    <w:rsid w:val="00AD48CA"/>
    <w:rsid w:val="00AD492B"/>
    <w:rsid w:val="00AD49A0"/>
    <w:rsid w:val="00AD4A1B"/>
    <w:rsid w:val="00AD4A98"/>
    <w:rsid w:val="00AD4BFB"/>
    <w:rsid w:val="00AD4C13"/>
    <w:rsid w:val="00AD4C3A"/>
    <w:rsid w:val="00AD4CD4"/>
    <w:rsid w:val="00AD4CE9"/>
    <w:rsid w:val="00AD4CEB"/>
    <w:rsid w:val="00AD4D8F"/>
    <w:rsid w:val="00AD4E32"/>
    <w:rsid w:val="00AD4EA6"/>
    <w:rsid w:val="00AD4EA8"/>
    <w:rsid w:val="00AD4F0B"/>
    <w:rsid w:val="00AD502C"/>
    <w:rsid w:val="00AD517F"/>
    <w:rsid w:val="00AD518A"/>
    <w:rsid w:val="00AD5191"/>
    <w:rsid w:val="00AD519D"/>
    <w:rsid w:val="00AD51EC"/>
    <w:rsid w:val="00AD52DE"/>
    <w:rsid w:val="00AD5321"/>
    <w:rsid w:val="00AD538C"/>
    <w:rsid w:val="00AD53E7"/>
    <w:rsid w:val="00AD5460"/>
    <w:rsid w:val="00AD54BA"/>
    <w:rsid w:val="00AD54EA"/>
    <w:rsid w:val="00AD5583"/>
    <w:rsid w:val="00AD558B"/>
    <w:rsid w:val="00AD55E4"/>
    <w:rsid w:val="00AD5667"/>
    <w:rsid w:val="00AD573A"/>
    <w:rsid w:val="00AD577C"/>
    <w:rsid w:val="00AD57BC"/>
    <w:rsid w:val="00AD57D4"/>
    <w:rsid w:val="00AD5837"/>
    <w:rsid w:val="00AD5853"/>
    <w:rsid w:val="00AD585A"/>
    <w:rsid w:val="00AD5867"/>
    <w:rsid w:val="00AD5872"/>
    <w:rsid w:val="00AD58C6"/>
    <w:rsid w:val="00AD5936"/>
    <w:rsid w:val="00AD5A05"/>
    <w:rsid w:val="00AD5A1B"/>
    <w:rsid w:val="00AD5AA6"/>
    <w:rsid w:val="00AD5AC5"/>
    <w:rsid w:val="00AD5AEE"/>
    <w:rsid w:val="00AD5B07"/>
    <w:rsid w:val="00AD5B40"/>
    <w:rsid w:val="00AD5B99"/>
    <w:rsid w:val="00AD5BC8"/>
    <w:rsid w:val="00AD5BE2"/>
    <w:rsid w:val="00AD5C16"/>
    <w:rsid w:val="00AD5C37"/>
    <w:rsid w:val="00AD5C5A"/>
    <w:rsid w:val="00AD5CE2"/>
    <w:rsid w:val="00AD5D13"/>
    <w:rsid w:val="00AD5D7E"/>
    <w:rsid w:val="00AD5DAC"/>
    <w:rsid w:val="00AD5EE5"/>
    <w:rsid w:val="00AD5EEB"/>
    <w:rsid w:val="00AD5EEE"/>
    <w:rsid w:val="00AD5F3E"/>
    <w:rsid w:val="00AD5FBC"/>
    <w:rsid w:val="00AD5FEE"/>
    <w:rsid w:val="00AD6063"/>
    <w:rsid w:val="00AD6091"/>
    <w:rsid w:val="00AD60AF"/>
    <w:rsid w:val="00AD60EE"/>
    <w:rsid w:val="00AD617C"/>
    <w:rsid w:val="00AD61BC"/>
    <w:rsid w:val="00AD61E8"/>
    <w:rsid w:val="00AD62CA"/>
    <w:rsid w:val="00AD62F0"/>
    <w:rsid w:val="00AD63BF"/>
    <w:rsid w:val="00AD63EF"/>
    <w:rsid w:val="00AD6445"/>
    <w:rsid w:val="00AD65B2"/>
    <w:rsid w:val="00AD6696"/>
    <w:rsid w:val="00AD66AF"/>
    <w:rsid w:val="00AD673D"/>
    <w:rsid w:val="00AD678B"/>
    <w:rsid w:val="00AD67FF"/>
    <w:rsid w:val="00AD681E"/>
    <w:rsid w:val="00AD6825"/>
    <w:rsid w:val="00AD68BF"/>
    <w:rsid w:val="00AD68C5"/>
    <w:rsid w:val="00AD68E1"/>
    <w:rsid w:val="00AD6951"/>
    <w:rsid w:val="00AD6962"/>
    <w:rsid w:val="00AD6A1E"/>
    <w:rsid w:val="00AD6AA8"/>
    <w:rsid w:val="00AD6AB5"/>
    <w:rsid w:val="00AD6BB3"/>
    <w:rsid w:val="00AD6C28"/>
    <w:rsid w:val="00AD6C46"/>
    <w:rsid w:val="00AD6C6F"/>
    <w:rsid w:val="00AD6D07"/>
    <w:rsid w:val="00AD6DA3"/>
    <w:rsid w:val="00AD6DC5"/>
    <w:rsid w:val="00AD6DFE"/>
    <w:rsid w:val="00AD6E31"/>
    <w:rsid w:val="00AD6F69"/>
    <w:rsid w:val="00AD6F89"/>
    <w:rsid w:val="00AD7032"/>
    <w:rsid w:val="00AD7060"/>
    <w:rsid w:val="00AD7065"/>
    <w:rsid w:val="00AD70EC"/>
    <w:rsid w:val="00AD7198"/>
    <w:rsid w:val="00AD72EF"/>
    <w:rsid w:val="00AD735A"/>
    <w:rsid w:val="00AD73B0"/>
    <w:rsid w:val="00AD7412"/>
    <w:rsid w:val="00AD7419"/>
    <w:rsid w:val="00AD74C0"/>
    <w:rsid w:val="00AD7535"/>
    <w:rsid w:val="00AD760F"/>
    <w:rsid w:val="00AD7616"/>
    <w:rsid w:val="00AD76E4"/>
    <w:rsid w:val="00AD770E"/>
    <w:rsid w:val="00AD773E"/>
    <w:rsid w:val="00AD7797"/>
    <w:rsid w:val="00AD781C"/>
    <w:rsid w:val="00AD7914"/>
    <w:rsid w:val="00AD791C"/>
    <w:rsid w:val="00AD79CC"/>
    <w:rsid w:val="00AD7A55"/>
    <w:rsid w:val="00AD7A63"/>
    <w:rsid w:val="00AD7A71"/>
    <w:rsid w:val="00AD7AC7"/>
    <w:rsid w:val="00AD7B5F"/>
    <w:rsid w:val="00AD7CA3"/>
    <w:rsid w:val="00AD7CAA"/>
    <w:rsid w:val="00AD7CC4"/>
    <w:rsid w:val="00AD7D0C"/>
    <w:rsid w:val="00AD7D4C"/>
    <w:rsid w:val="00AD7D64"/>
    <w:rsid w:val="00AD7EAC"/>
    <w:rsid w:val="00AD7F28"/>
    <w:rsid w:val="00AD7F4F"/>
    <w:rsid w:val="00AD7FB5"/>
    <w:rsid w:val="00AD7FEA"/>
    <w:rsid w:val="00AE007B"/>
    <w:rsid w:val="00AE00D6"/>
    <w:rsid w:val="00AE00D7"/>
    <w:rsid w:val="00AE0133"/>
    <w:rsid w:val="00AE013E"/>
    <w:rsid w:val="00AE01F9"/>
    <w:rsid w:val="00AE026E"/>
    <w:rsid w:val="00AE02C2"/>
    <w:rsid w:val="00AE033C"/>
    <w:rsid w:val="00AE0483"/>
    <w:rsid w:val="00AE04F4"/>
    <w:rsid w:val="00AE0568"/>
    <w:rsid w:val="00AE058F"/>
    <w:rsid w:val="00AE063B"/>
    <w:rsid w:val="00AE065F"/>
    <w:rsid w:val="00AE0672"/>
    <w:rsid w:val="00AE06BE"/>
    <w:rsid w:val="00AE06D7"/>
    <w:rsid w:val="00AE0723"/>
    <w:rsid w:val="00AE0752"/>
    <w:rsid w:val="00AE07F1"/>
    <w:rsid w:val="00AE07F2"/>
    <w:rsid w:val="00AE082D"/>
    <w:rsid w:val="00AE095F"/>
    <w:rsid w:val="00AE09B1"/>
    <w:rsid w:val="00AE0AF8"/>
    <w:rsid w:val="00AE0DC2"/>
    <w:rsid w:val="00AE0EAB"/>
    <w:rsid w:val="00AE0ED4"/>
    <w:rsid w:val="00AE0EF4"/>
    <w:rsid w:val="00AE0F2E"/>
    <w:rsid w:val="00AE0FE9"/>
    <w:rsid w:val="00AE1012"/>
    <w:rsid w:val="00AE10B7"/>
    <w:rsid w:val="00AE10EA"/>
    <w:rsid w:val="00AE11BD"/>
    <w:rsid w:val="00AE120E"/>
    <w:rsid w:val="00AE1233"/>
    <w:rsid w:val="00AE12E6"/>
    <w:rsid w:val="00AE1321"/>
    <w:rsid w:val="00AE132E"/>
    <w:rsid w:val="00AE139A"/>
    <w:rsid w:val="00AE13DA"/>
    <w:rsid w:val="00AE13E9"/>
    <w:rsid w:val="00AE1413"/>
    <w:rsid w:val="00AE1419"/>
    <w:rsid w:val="00AE1487"/>
    <w:rsid w:val="00AE150F"/>
    <w:rsid w:val="00AE152D"/>
    <w:rsid w:val="00AE1580"/>
    <w:rsid w:val="00AE1584"/>
    <w:rsid w:val="00AE15C1"/>
    <w:rsid w:val="00AE15C9"/>
    <w:rsid w:val="00AE1618"/>
    <w:rsid w:val="00AE1683"/>
    <w:rsid w:val="00AE1705"/>
    <w:rsid w:val="00AE17A9"/>
    <w:rsid w:val="00AE17BC"/>
    <w:rsid w:val="00AE17C6"/>
    <w:rsid w:val="00AE1843"/>
    <w:rsid w:val="00AE186D"/>
    <w:rsid w:val="00AE1873"/>
    <w:rsid w:val="00AE191B"/>
    <w:rsid w:val="00AE1969"/>
    <w:rsid w:val="00AE198D"/>
    <w:rsid w:val="00AE1A8C"/>
    <w:rsid w:val="00AE1AEE"/>
    <w:rsid w:val="00AE1C03"/>
    <w:rsid w:val="00AE1C0B"/>
    <w:rsid w:val="00AE1C29"/>
    <w:rsid w:val="00AE1C7A"/>
    <w:rsid w:val="00AE1CF3"/>
    <w:rsid w:val="00AE1D23"/>
    <w:rsid w:val="00AE1D4F"/>
    <w:rsid w:val="00AE1D63"/>
    <w:rsid w:val="00AE1DE4"/>
    <w:rsid w:val="00AE1E12"/>
    <w:rsid w:val="00AE1EF4"/>
    <w:rsid w:val="00AE1F10"/>
    <w:rsid w:val="00AE1F37"/>
    <w:rsid w:val="00AE1F42"/>
    <w:rsid w:val="00AE1F81"/>
    <w:rsid w:val="00AE2016"/>
    <w:rsid w:val="00AE205A"/>
    <w:rsid w:val="00AE2089"/>
    <w:rsid w:val="00AE213F"/>
    <w:rsid w:val="00AE2232"/>
    <w:rsid w:val="00AE223C"/>
    <w:rsid w:val="00AE2357"/>
    <w:rsid w:val="00AE2358"/>
    <w:rsid w:val="00AE2372"/>
    <w:rsid w:val="00AE241B"/>
    <w:rsid w:val="00AE2431"/>
    <w:rsid w:val="00AE249B"/>
    <w:rsid w:val="00AE24E2"/>
    <w:rsid w:val="00AE2670"/>
    <w:rsid w:val="00AE271C"/>
    <w:rsid w:val="00AE271E"/>
    <w:rsid w:val="00AE272E"/>
    <w:rsid w:val="00AE2733"/>
    <w:rsid w:val="00AE273C"/>
    <w:rsid w:val="00AE2758"/>
    <w:rsid w:val="00AE278D"/>
    <w:rsid w:val="00AE2796"/>
    <w:rsid w:val="00AE27B0"/>
    <w:rsid w:val="00AE27CF"/>
    <w:rsid w:val="00AE28A3"/>
    <w:rsid w:val="00AE291A"/>
    <w:rsid w:val="00AE2975"/>
    <w:rsid w:val="00AE29FC"/>
    <w:rsid w:val="00AE2A3E"/>
    <w:rsid w:val="00AE2A62"/>
    <w:rsid w:val="00AE2A93"/>
    <w:rsid w:val="00AE2AA5"/>
    <w:rsid w:val="00AE2AB1"/>
    <w:rsid w:val="00AE2C73"/>
    <w:rsid w:val="00AE2DF5"/>
    <w:rsid w:val="00AE2E1C"/>
    <w:rsid w:val="00AE2E35"/>
    <w:rsid w:val="00AE2E3B"/>
    <w:rsid w:val="00AE2EE1"/>
    <w:rsid w:val="00AE2F07"/>
    <w:rsid w:val="00AE2F73"/>
    <w:rsid w:val="00AE2F75"/>
    <w:rsid w:val="00AE2FB9"/>
    <w:rsid w:val="00AE2FE9"/>
    <w:rsid w:val="00AE3048"/>
    <w:rsid w:val="00AE30A9"/>
    <w:rsid w:val="00AE30AE"/>
    <w:rsid w:val="00AE31B0"/>
    <w:rsid w:val="00AE32C1"/>
    <w:rsid w:val="00AE32CC"/>
    <w:rsid w:val="00AE333F"/>
    <w:rsid w:val="00AE334D"/>
    <w:rsid w:val="00AE3366"/>
    <w:rsid w:val="00AE336A"/>
    <w:rsid w:val="00AE338C"/>
    <w:rsid w:val="00AE33AA"/>
    <w:rsid w:val="00AE3408"/>
    <w:rsid w:val="00AE345F"/>
    <w:rsid w:val="00AE34A1"/>
    <w:rsid w:val="00AE34DB"/>
    <w:rsid w:val="00AE357A"/>
    <w:rsid w:val="00AE35AF"/>
    <w:rsid w:val="00AE35B9"/>
    <w:rsid w:val="00AE35F0"/>
    <w:rsid w:val="00AE3670"/>
    <w:rsid w:val="00AE371A"/>
    <w:rsid w:val="00AE37CC"/>
    <w:rsid w:val="00AE386A"/>
    <w:rsid w:val="00AE387B"/>
    <w:rsid w:val="00AE38A5"/>
    <w:rsid w:val="00AE38D3"/>
    <w:rsid w:val="00AE38F6"/>
    <w:rsid w:val="00AE3910"/>
    <w:rsid w:val="00AE3964"/>
    <w:rsid w:val="00AE39A7"/>
    <w:rsid w:val="00AE3A44"/>
    <w:rsid w:val="00AE3A8B"/>
    <w:rsid w:val="00AE3AD4"/>
    <w:rsid w:val="00AE3C28"/>
    <w:rsid w:val="00AE3C52"/>
    <w:rsid w:val="00AE3D75"/>
    <w:rsid w:val="00AE3E0E"/>
    <w:rsid w:val="00AE3F28"/>
    <w:rsid w:val="00AE3F6C"/>
    <w:rsid w:val="00AE3F8A"/>
    <w:rsid w:val="00AE3F9D"/>
    <w:rsid w:val="00AE404A"/>
    <w:rsid w:val="00AE40DF"/>
    <w:rsid w:val="00AE40E9"/>
    <w:rsid w:val="00AE40F3"/>
    <w:rsid w:val="00AE4111"/>
    <w:rsid w:val="00AE4127"/>
    <w:rsid w:val="00AE4143"/>
    <w:rsid w:val="00AE4162"/>
    <w:rsid w:val="00AE41D0"/>
    <w:rsid w:val="00AE41F0"/>
    <w:rsid w:val="00AE42AA"/>
    <w:rsid w:val="00AE42CA"/>
    <w:rsid w:val="00AE42FE"/>
    <w:rsid w:val="00AE434A"/>
    <w:rsid w:val="00AE43DA"/>
    <w:rsid w:val="00AE4468"/>
    <w:rsid w:val="00AE449E"/>
    <w:rsid w:val="00AE44EF"/>
    <w:rsid w:val="00AE452B"/>
    <w:rsid w:val="00AE4577"/>
    <w:rsid w:val="00AE4641"/>
    <w:rsid w:val="00AE4648"/>
    <w:rsid w:val="00AE4692"/>
    <w:rsid w:val="00AE4707"/>
    <w:rsid w:val="00AE4720"/>
    <w:rsid w:val="00AE47A0"/>
    <w:rsid w:val="00AE47C2"/>
    <w:rsid w:val="00AE4819"/>
    <w:rsid w:val="00AE4827"/>
    <w:rsid w:val="00AE486B"/>
    <w:rsid w:val="00AE48F7"/>
    <w:rsid w:val="00AE490E"/>
    <w:rsid w:val="00AE4999"/>
    <w:rsid w:val="00AE4A28"/>
    <w:rsid w:val="00AE4A54"/>
    <w:rsid w:val="00AE4A68"/>
    <w:rsid w:val="00AE4B0B"/>
    <w:rsid w:val="00AE4B49"/>
    <w:rsid w:val="00AE4BE6"/>
    <w:rsid w:val="00AE4C73"/>
    <w:rsid w:val="00AE4CF2"/>
    <w:rsid w:val="00AE4D66"/>
    <w:rsid w:val="00AE4DB1"/>
    <w:rsid w:val="00AE4ECA"/>
    <w:rsid w:val="00AE4ED4"/>
    <w:rsid w:val="00AE4EE4"/>
    <w:rsid w:val="00AE4F35"/>
    <w:rsid w:val="00AE4F69"/>
    <w:rsid w:val="00AE4F97"/>
    <w:rsid w:val="00AE502D"/>
    <w:rsid w:val="00AE503F"/>
    <w:rsid w:val="00AE5052"/>
    <w:rsid w:val="00AE5064"/>
    <w:rsid w:val="00AE50A2"/>
    <w:rsid w:val="00AE50CC"/>
    <w:rsid w:val="00AE5163"/>
    <w:rsid w:val="00AE5237"/>
    <w:rsid w:val="00AE52D7"/>
    <w:rsid w:val="00AE53A8"/>
    <w:rsid w:val="00AE53B3"/>
    <w:rsid w:val="00AE552B"/>
    <w:rsid w:val="00AE555F"/>
    <w:rsid w:val="00AE559C"/>
    <w:rsid w:val="00AE55B0"/>
    <w:rsid w:val="00AE5636"/>
    <w:rsid w:val="00AE5641"/>
    <w:rsid w:val="00AE56B6"/>
    <w:rsid w:val="00AE56D1"/>
    <w:rsid w:val="00AE56FF"/>
    <w:rsid w:val="00AE57AD"/>
    <w:rsid w:val="00AE5861"/>
    <w:rsid w:val="00AE58AE"/>
    <w:rsid w:val="00AE5919"/>
    <w:rsid w:val="00AE5928"/>
    <w:rsid w:val="00AE5956"/>
    <w:rsid w:val="00AE5A18"/>
    <w:rsid w:val="00AE5ABE"/>
    <w:rsid w:val="00AE5B3C"/>
    <w:rsid w:val="00AE5BDC"/>
    <w:rsid w:val="00AE5C1C"/>
    <w:rsid w:val="00AE5C3C"/>
    <w:rsid w:val="00AE5CE9"/>
    <w:rsid w:val="00AE5D0C"/>
    <w:rsid w:val="00AE5D16"/>
    <w:rsid w:val="00AE5E59"/>
    <w:rsid w:val="00AE5E8B"/>
    <w:rsid w:val="00AE5F25"/>
    <w:rsid w:val="00AE5FB7"/>
    <w:rsid w:val="00AE6080"/>
    <w:rsid w:val="00AE608A"/>
    <w:rsid w:val="00AE60AA"/>
    <w:rsid w:val="00AE6165"/>
    <w:rsid w:val="00AE617F"/>
    <w:rsid w:val="00AE619E"/>
    <w:rsid w:val="00AE61BE"/>
    <w:rsid w:val="00AE61F8"/>
    <w:rsid w:val="00AE6245"/>
    <w:rsid w:val="00AE6291"/>
    <w:rsid w:val="00AE62A0"/>
    <w:rsid w:val="00AE62C9"/>
    <w:rsid w:val="00AE62E1"/>
    <w:rsid w:val="00AE6388"/>
    <w:rsid w:val="00AE63CA"/>
    <w:rsid w:val="00AE640B"/>
    <w:rsid w:val="00AE640C"/>
    <w:rsid w:val="00AE6477"/>
    <w:rsid w:val="00AE6479"/>
    <w:rsid w:val="00AE64BD"/>
    <w:rsid w:val="00AE6581"/>
    <w:rsid w:val="00AE65ED"/>
    <w:rsid w:val="00AE662D"/>
    <w:rsid w:val="00AE666F"/>
    <w:rsid w:val="00AE6722"/>
    <w:rsid w:val="00AE673C"/>
    <w:rsid w:val="00AE67A3"/>
    <w:rsid w:val="00AE67DA"/>
    <w:rsid w:val="00AE67E4"/>
    <w:rsid w:val="00AE67F0"/>
    <w:rsid w:val="00AE687C"/>
    <w:rsid w:val="00AE688C"/>
    <w:rsid w:val="00AE68FA"/>
    <w:rsid w:val="00AE6916"/>
    <w:rsid w:val="00AE692C"/>
    <w:rsid w:val="00AE69B7"/>
    <w:rsid w:val="00AE69DF"/>
    <w:rsid w:val="00AE69E1"/>
    <w:rsid w:val="00AE69F4"/>
    <w:rsid w:val="00AE6A3A"/>
    <w:rsid w:val="00AE6A40"/>
    <w:rsid w:val="00AE6AA2"/>
    <w:rsid w:val="00AE6AA6"/>
    <w:rsid w:val="00AE6AB5"/>
    <w:rsid w:val="00AE6AC0"/>
    <w:rsid w:val="00AE6AE6"/>
    <w:rsid w:val="00AE6B11"/>
    <w:rsid w:val="00AE6B57"/>
    <w:rsid w:val="00AE6BFD"/>
    <w:rsid w:val="00AE6C18"/>
    <w:rsid w:val="00AE6C57"/>
    <w:rsid w:val="00AE6CB9"/>
    <w:rsid w:val="00AE6D86"/>
    <w:rsid w:val="00AE6E00"/>
    <w:rsid w:val="00AE6E2E"/>
    <w:rsid w:val="00AE6E31"/>
    <w:rsid w:val="00AE6E90"/>
    <w:rsid w:val="00AE6F1C"/>
    <w:rsid w:val="00AE6F2C"/>
    <w:rsid w:val="00AE6F4D"/>
    <w:rsid w:val="00AE7032"/>
    <w:rsid w:val="00AE704D"/>
    <w:rsid w:val="00AE70AC"/>
    <w:rsid w:val="00AE70AD"/>
    <w:rsid w:val="00AE70AF"/>
    <w:rsid w:val="00AE70DD"/>
    <w:rsid w:val="00AE712A"/>
    <w:rsid w:val="00AE7131"/>
    <w:rsid w:val="00AE71A2"/>
    <w:rsid w:val="00AE71BB"/>
    <w:rsid w:val="00AE725B"/>
    <w:rsid w:val="00AE7264"/>
    <w:rsid w:val="00AE72E3"/>
    <w:rsid w:val="00AE7314"/>
    <w:rsid w:val="00AE735E"/>
    <w:rsid w:val="00AE7394"/>
    <w:rsid w:val="00AE740D"/>
    <w:rsid w:val="00AE74D6"/>
    <w:rsid w:val="00AE7558"/>
    <w:rsid w:val="00AE7650"/>
    <w:rsid w:val="00AE76A6"/>
    <w:rsid w:val="00AE76D7"/>
    <w:rsid w:val="00AE76F6"/>
    <w:rsid w:val="00AE775E"/>
    <w:rsid w:val="00AE77F3"/>
    <w:rsid w:val="00AE7896"/>
    <w:rsid w:val="00AE7976"/>
    <w:rsid w:val="00AE797D"/>
    <w:rsid w:val="00AE7A73"/>
    <w:rsid w:val="00AE7ADA"/>
    <w:rsid w:val="00AE7AE7"/>
    <w:rsid w:val="00AE7AF3"/>
    <w:rsid w:val="00AE7B3D"/>
    <w:rsid w:val="00AE7B8F"/>
    <w:rsid w:val="00AE7CEB"/>
    <w:rsid w:val="00AE7D37"/>
    <w:rsid w:val="00AE7D54"/>
    <w:rsid w:val="00AE7D9D"/>
    <w:rsid w:val="00AE7DBF"/>
    <w:rsid w:val="00AE7DD1"/>
    <w:rsid w:val="00AE7E11"/>
    <w:rsid w:val="00AF004D"/>
    <w:rsid w:val="00AF00E9"/>
    <w:rsid w:val="00AF01B4"/>
    <w:rsid w:val="00AF0275"/>
    <w:rsid w:val="00AF02F2"/>
    <w:rsid w:val="00AF0342"/>
    <w:rsid w:val="00AF034B"/>
    <w:rsid w:val="00AF03C6"/>
    <w:rsid w:val="00AF048C"/>
    <w:rsid w:val="00AF04D8"/>
    <w:rsid w:val="00AF0523"/>
    <w:rsid w:val="00AF0562"/>
    <w:rsid w:val="00AF0568"/>
    <w:rsid w:val="00AF05CA"/>
    <w:rsid w:val="00AF0619"/>
    <w:rsid w:val="00AF0669"/>
    <w:rsid w:val="00AF070B"/>
    <w:rsid w:val="00AF077E"/>
    <w:rsid w:val="00AF07A9"/>
    <w:rsid w:val="00AF07CC"/>
    <w:rsid w:val="00AF07DD"/>
    <w:rsid w:val="00AF07F1"/>
    <w:rsid w:val="00AF0830"/>
    <w:rsid w:val="00AF09B1"/>
    <w:rsid w:val="00AF09CE"/>
    <w:rsid w:val="00AF09D6"/>
    <w:rsid w:val="00AF09DD"/>
    <w:rsid w:val="00AF0A26"/>
    <w:rsid w:val="00AF0A5F"/>
    <w:rsid w:val="00AF0A82"/>
    <w:rsid w:val="00AF0BC2"/>
    <w:rsid w:val="00AF0CC9"/>
    <w:rsid w:val="00AF0D21"/>
    <w:rsid w:val="00AF0D51"/>
    <w:rsid w:val="00AF0D74"/>
    <w:rsid w:val="00AF0DE1"/>
    <w:rsid w:val="00AF0E21"/>
    <w:rsid w:val="00AF0E54"/>
    <w:rsid w:val="00AF0EA6"/>
    <w:rsid w:val="00AF0EAF"/>
    <w:rsid w:val="00AF0EF3"/>
    <w:rsid w:val="00AF0F54"/>
    <w:rsid w:val="00AF0F97"/>
    <w:rsid w:val="00AF0FD1"/>
    <w:rsid w:val="00AF1043"/>
    <w:rsid w:val="00AF105A"/>
    <w:rsid w:val="00AF108F"/>
    <w:rsid w:val="00AF10B2"/>
    <w:rsid w:val="00AF10E0"/>
    <w:rsid w:val="00AF10EF"/>
    <w:rsid w:val="00AF114F"/>
    <w:rsid w:val="00AF11D2"/>
    <w:rsid w:val="00AF1220"/>
    <w:rsid w:val="00AF128C"/>
    <w:rsid w:val="00AF12F7"/>
    <w:rsid w:val="00AF134A"/>
    <w:rsid w:val="00AF13D1"/>
    <w:rsid w:val="00AF141F"/>
    <w:rsid w:val="00AF149D"/>
    <w:rsid w:val="00AF1538"/>
    <w:rsid w:val="00AF1572"/>
    <w:rsid w:val="00AF15B1"/>
    <w:rsid w:val="00AF1674"/>
    <w:rsid w:val="00AF1743"/>
    <w:rsid w:val="00AF1763"/>
    <w:rsid w:val="00AF1778"/>
    <w:rsid w:val="00AF17C8"/>
    <w:rsid w:val="00AF1860"/>
    <w:rsid w:val="00AF1862"/>
    <w:rsid w:val="00AF18D4"/>
    <w:rsid w:val="00AF1921"/>
    <w:rsid w:val="00AF1950"/>
    <w:rsid w:val="00AF1976"/>
    <w:rsid w:val="00AF19BF"/>
    <w:rsid w:val="00AF1A2F"/>
    <w:rsid w:val="00AF1A66"/>
    <w:rsid w:val="00AF1ACF"/>
    <w:rsid w:val="00AF1AD3"/>
    <w:rsid w:val="00AF1B80"/>
    <w:rsid w:val="00AF1B9F"/>
    <w:rsid w:val="00AF1BB3"/>
    <w:rsid w:val="00AF1C50"/>
    <w:rsid w:val="00AF1C81"/>
    <w:rsid w:val="00AF1CEA"/>
    <w:rsid w:val="00AF1D97"/>
    <w:rsid w:val="00AF1D9B"/>
    <w:rsid w:val="00AF1DE9"/>
    <w:rsid w:val="00AF1E31"/>
    <w:rsid w:val="00AF1E36"/>
    <w:rsid w:val="00AF1EFE"/>
    <w:rsid w:val="00AF1FA2"/>
    <w:rsid w:val="00AF2132"/>
    <w:rsid w:val="00AF2178"/>
    <w:rsid w:val="00AF217C"/>
    <w:rsid w:val="00AF2247"/>
    <w:rsid w:val="00AF22B6"/>
    <w:rsid w:val="00AF2379"/>
    <w:rsid w:val="00AF238F"/>
    <w:rsid w:val="00AF23B2"/>
    <w:rsid w:val="00AF23FF"/>
    <w:rsid w:val="00AF2419"/>
    <w:rsid w:val="00AF246C"/>
    <w:rsid w:val="00AF24EC"/>
    <w:rsid w:val="00AF24FC"/>
    <w:rsid w:val="00AF2502"/>
    <w:rsid w:val="00AF2550"/>
    <w:rsid w:val="00AF258A"/>
    <w:rsid w:val="00AF2616"/>
    <w:rsid w:val="00AF2617"/>
    <w:rsid w:val="00AF2626"/>
    <w:rsid w:val="00AF268E"/>
    <w:rsid w:val="00AF26B8"/>
    <w:rsid w:val="00AF26C0"/>
    <w:rsid w:val="00AF2745"/>
    <w:rsid w:val="00AF277A"/>
    <w:rsid w:val="00AF281C"/>
    <w:rsid w:val="00AF28BB"/>
    <w:rsid w:val="00AF28BD"/>
    <w:rsid w:val="00AF2932"/>
    <w:rsid w:val="00AF2943"/>
    <w:rsid w:val="00AF295D"/>
    <w:rsid w:val="00AF2965"/>
    <w:rsid w:val="00AF29EC"/>
    <w:rsid w:val="00AF2A2D"/>
    <w:rsid w:val="00AF2A50"/>
    <w:rsid w:val="00AF2B26"/>
    <w:rsid w:val="00AF2B40"/>
    <w:rsid w:val="00AF2BCC"/>
    <w:rsid w:val="00AF2BEB"/>
    <w:rsid w:val="00AF2C5B"/>
    <w:rsid w:val="00AF2E5D"/>
    <w:rsid w:val="00AF2E92"/>
    <w:rsid w:val="00AF2EBB"/>
    <w:rsid w:val="00AF2F23"/>
    <w:rsid w:val="00AF2FC4"/>
    <w:rsid w:val="00AF2FD1"/>
    <w:rsid w:val="00AF2FED"/>
    <w:rsid w:val="00AF3004"/>
    <w:rsid w:val="00AF3023"/>
    <w:rsid w:val="00AF307A"/>
    <w:rsid w:val="00AF30FD"/>
    <w:rsid w:val="00AF30FE"/>
    <w:rsid w:val="00AF3174"/>
    <w:rsid w:val="00AF3182"/>
    <w:rsid w:val="00AF31EB"/>
    <w:rsid w:val="00AF3263"/>
    <w:rsid w:val="00AF32A3"/>
    <w:rsid w:val="00AF32B4"/>
    <w:rsid w:val="00AF3351"/>
    <w:rsid w:val="00AF33E1"/>
    <w:rsid w:val="00AF3445"/>
    <w:rsid w:val="00AF349A"/>
    <w:rsid w:val="00AF350E"/>
    <w:rsid w:val="00AF351F"/>
    <w:rsid w:val="00AF356D"/>
    <w:rsid w:val="00AF357F"/>
    <w:rsid w:val="00AF3584"/>
    <w:rsid w:val="00AF359E"/>
    <w:rsid w:val="00AF3603"/>
    <w:rsid w:val="00AF361B"/>
    <w:rsid w:val="00AF36A8"/>
    <w:rsid w:val="00AF36AF"/>
    <w:rsid w:val="00AF36BB"/>
    <w:rsid w:val="00AF36C9"/>
    <w:rsid w:val="00AF3713"/>
    <w:rsid w:val="00AF37BA"/>
    <w:rsid w:val="00AF37C5"/>
    <w:rsid w:val="00AF3808"/>
    <w:rsid w:val="00AF38A5"/>
    <w:rsid w:val="00AF391F"/>
    <w:rsid w:val="00AF396F"/>
    <w:rsid w:val="00AF3982"/>
    <w:rsid w:val="00AF39CD"/>
    <w:rsid w:val="00AF3A5F"/>
    <w:rsid w:val="00AF3B05"/>
    <w:rsid w:val="00AF3B10"/>
    <w:rsid w:val="00AF3BA4"/>
    <w:rsid w:val="00AF3CA3"/>
    <w:rsid w:val="00AF3CB9"/>
    <w:rsid w:val="00AF3D0B"/>
    <w:rsid w:val="00AF3D4C"/>
    <w:rsid w:val="00AF3DE3"/>
    <w:rsid w:val="00AF3DFD"/>
    <w:rsid w:val="00AF3EE2"/>
    <w:rsid w:val="00AF3F48"/>
    <w:rsid w:val="00AF3F95"/>
    <w:rsid w:val="00AF3F96"/>
    <w:rsid w:val="00AF3FD3"/>
    <w:rsid w:val="00AF3FF6"/>
    <w:rsid w:val="00AF405D"/>
    <w:rsid w:val="00AF4068"/>
    <w:rsid w:val="00AF40FB"/>
    <w:rsid w:val="00AF41A9"/>
    <w:rsid w:val="00AF41C2"/>
    <w:rsid w:val="00AF41DD"/>
    <w:rsid w:val="00AF41E4"/>
    <w:rsid w:val="00AF4200"/>
    <w:rsid w:val="00AF4273"/>
    <w:rsid w:val="00AF42EA"/>
    <w:rsid w:val="00AF4335"/>
    <w:rsid w:val="00AF4345"/>
    <w:rsid w:val="00AF442B"/>
    <w:rsid w:val="00AF4460"/>
    <w:rsid w:val="00AF448E"/>
    <w:rsid w:val="00AF44C4"/>
    <w:rsid w:val="00AF451F"/>
    <w:rsid w:val="00AF45A2"/>
    <w:rsid w:val="00AF4606"/>
    <w:rsid w:val="00AF461C"/>
    <w:rsid w:val="00AF466A"/>
    <w:rsid w:val="00AF46EB"/>
    <w:rsid w:val="00AF47A4"/>
    <w:rsid w:val="00AF47C6"/>
    <w:rsid w:val="00AF47CA"/>
    <w:rsid w:val="00AF48C3"/>
    <w:rsid w:val="00AF4911"/>
    <w:rsid w:val="00AF49A0"/>
    <w:rsid w:val="00AF4A3F"/>
    <w:rsid w:val="00AF4A4A"/>
    <w:rsid w:val="00AF4B07"/>
    <w:rsid w:val="00AF4B78"/>
    <w:rsid w:val="00AF4C55"/>
    <w:rsid w:val="00AF4CA6"/>
    <w:rsid w:val="00AF4D15"/>
    <w:rsid w:val="00AF4D47"/>
    <w:rsid w:val="00AF4D90"/>
    <w:rsid w:val="00AF4E80"/>
    <w:rsid w:val="00AF4EA5"/>
    <w:rsid w:val="00AF4EEF"/>
    <w:rsid w:val="00AF4F18"/>
    <w:rsid w:val="00AF4F3F"/>
    <w:rsid w:val="00AF4F8C"/>
    <w:rsid w:val="00AF4FEE"/>
    <w:rsid w:val="00AF5061"/>
    <w:rsid w:val="00AF50FF"/>
    <w:rsid w:val="00AF5131"/>
    <w:rsid w:val="00AF515E"/>
    <w:rsid w:val="00AF51C4"/>
    <w:rsid w:val="00AF520E"/>
    <w:rsid w:val="00AF52C0"/>
    <w:rsid w:val="00AF52E6"/>
    <w:rsid w:val="00AF5530"/>
    <w:rsid w:val="00AF5536"/>
    <w:rsid w:val="00AF5543"/>
    <w:rsid w:val="00AF555C"/>
    <w:rsid w:val="00AF5599"/>
    <w:rsid w:val="00AF562C"/>
    <w:rsid w:val="00AF5637"/>
    <w:rsid w:val="00AF5666"/>
    <w:rsid w:val="00AF56A4"/>
    <w:rsid w:val="00AF56AC"/>
    <w:rsid w:val="00AF56B4"/>
    <w:rsid w:val="00AF571A"/>
    <w:rsid w:val="00AF57FF"/>
    <w:rsid w:val="00AF580E"/>
    <w:rsid w:val="00AF58C8"/>
    <w:rsid w:val="00AF58EE"/>
    <w:rsid w:val="00AF59CB"/>
    <w:rsid w:val="00AF59F8"/>
    <w:rsid w:val="00AF5A56"/>
    <w:rsid w:val="00AF5A96"/>
    <w:rsid w:val="00AF5AFD"/>
    <w:rsid w:val="00AF5BBF"/>
    <w:rsid w:val="00AF5C01"/>
    <w:rsid w:val="00AF5C23"/>
    <w:rsid w:val="00AF5CA1"/>
    <w:rsid w:val="00AF5CD8"/>
    <w:rsid w:val="00AF5D1A"/>
    <w:rsid w:val="00AF5D6F"/>
    <w:rsid w:val="00AF5D9F"/>
    <w:rsid w:val="00AF5DC7"/>
    <w:rsid w:val="00AF5E04"/>
    <w:rsid w:val="00AF5E33"/>
    <w:rsid w:val="00AF5F83"/>
    <w:rsid w:val="00AF5F8F"/>
    <w:rsid w:val="00AF6001"/>
    <w:rsid w:val="00AF6098"/>
    <w:rsid w:val="00AF60E4"/>
    <w:rsid w:val="00AF6186"/>
    <w:rsid w:val="00AF61A4"/>
    <w:rsid w:val="00AF61A6"/>
    <w:rsid w:val="00AF61A7"/>
    <w:rsid w:val="00AF61B1"/>
    <w:rsid w:val="00AF6246"/>
    <w:rsid w:val="00AF628D"/>
    <w:rsid w:val="00AF629F"/>
    <w:rsid w:val="00AF6342"/>
    <w:rsid w:val="00AF6360"/>
    <w:rsid w:val="00AF63B1"/>
    <w:rsid w:val="00AF63B4"/>
    <w:rsid w:val="00AF63E8"/>
    <w:rsid w:val="00AF643C"/>
    <w:rsid w:val="00AF64CC"/>
    <w:rsid w:val="00AF661B"/>
    <w:rsid w:val="00AF66B0"/>
    <w:rsid w:val="00AF66C3"/>
    <w:rsid w:val="00AF672B"/>
    <w:rsid w:val="00AF6753"/>
    <w:rsid w:val="00AF67EC"/>
    <w:rsid w:val="00AF6813"/>
    <w:rsid w:val="00AF68EE"/>
    <w:rsid w:val="00AF69BA"/>
    <w:rsid w:val="00AF6A2C"/>
    <w:rsid w:val="00AF6A3C"/>
    <w:rsid w:val="00AF6A80"/>
    <w:rsid w:val="00AF6A8A"/>
    <w:rsid w:val="00AF6B24"/>
    <w:rsid w:val="00AF6B2E"/>
    <w:rsid w:val="00AF6B47"/>
    <w:rsid w:val="00AF6BB1"/>
    <w:rsid w:val="00AF6C85"/>
    <w:rsid w:val="00AF6C96"/>
    <w:rsid w:val="00AF6C9A"/>
    <w:rsid w:val="00AF6CE5"/>
    <w:rsid w:val="00AF6D3F"/>
    <w:rsid w:val="00AF6DA6"/>
    <w:rsid w:val="00AF6E04"/>
    <w:rsid w:val="00AF6E0B"/>
    <w:rsid w:val="00AF6F62"/>
    <w:rsid w:val="00AF6F9F"/>
    <w:rsid w:val="00AF7002"/>
    <w:rsid w:val="00AF7055"/>
    <w:rsid w:val="00AF70E0"/>
    <w:rsid w:val="00AF7130"/>
    <w:rsid w:val="00AF71A7"/>
    <w:rsid w:val="00AF71EA"/>
    <w:rsid w:val="00AF723E"/>
    <w:rsid w:val="00AF7248"/>
    <w:rsid w:val="00AF72A1"/>
    <w:rsid w:val="00AF72F1"/>
    <w:rsid w:val="00AF7330"/>
    <w:rsid w:val="00AF73E1"/>
    <w:rsid w:val="00AF7411"/>
    <w:rsid w:val="00AF744F"/>
    <w:rsid w:val="00AF74A4"/>
    <w:rsid w:val="00AF74AD"/>
    <w:rsid w:val="00AF7521"/>
    <w:rsid w:val="00AF7577"/>
    <w:rsid w:val="00AF7597"/>
    <w:rsid w:val="00AF75B8"/>
    <w:rsid w:val="00AF75C4"/>
    <w:rsid w:val="00AF7637"/>
    <w:rsid w:val="00AF76B2"/>
    <w:rsid w:val="00AF77D3"/>
    <w:rsid w:val="00AF77E1"/>
    <w:rsid w:val="00AF78F5"/>
    <w:rsid w:val="00AF7939"/>
    <w:rsid w:val="00AF7A4C"/>
    <w:rsid w:val="00AF7A66"/>
    <w:rsid w:val="00AF7B1F"/>
    <w:rsid w:val="00AF7B48"/>
    <w:rsid w:val="00AF7B9F"/>
    <w:rsid w:val="00AF7C2E"/>
    <w:rsid w:val="00AF7C48"/>
    <w:rsid w:val="00AF7C53"/>
    <w:rsid w:val="00AF7CD3"/>
    <w:rsid w:val="00AF7CE4"/>
    <w:rsid w:val="00AF7CEB"/>
    <w:rsid w:val="00AF7D56"/>
    <w:rsid w:val="00AF7D5C"/>
    <w:rsid w:val="00AF7EE9"/>
    <w:rsid w:val="00AF7F39"/>
    <w:rsid w:val="00AF7FE3"/>
    <w:rsid w:val="00AF7FF8"/>
    <w:rsid w:val="00B00061"/>
    <w:rsid w:val="00B00072"/>
    <w:rsid w:val="00B00080"/>
    <w:rsid w:val="00B00083"/>
    <w:rsid w:val="00B000FC"/>
    <w:rsid w:val="00B0014C"/>
    <w:rsid w:val="00B00168"/>
    <w:rsid w:val="00B001AC"/>
    <w:rsid w:val="00B001BF"/>
    <w:rsid w:val="00B001DB"/>
    <w:rsid w:val="00B001DF"/>
    <w:rsid w:val="00B00279"/>
    <w:rsid w:val="00B002BA"/>
    <w:rsid w:val="00B002BF"/>
    <w:rsid w:val="00B002F8"/>
    <w:rsid w:val="00B00319"/>
    <w:rsid w:val="00B00358"/>
    <w:rsid w:val="00B0036E"/>
    <w:rsid w:val="00B0039B"/>
    <w:rsid w:val="00B00443"/>
    <w:rsid w:val="00B004BB"/>
    <w:rsid w:val="00B004BE"/>
    <w:rsid w:val="00B00518"/>
    <w:rsid w:val="00B0057C"/>
    <w:rsid w:val="00B005A1"/>
    <w:rsid w:val="00B005BF"/>
    <w:rsid w:val="00B005DF"/>
    <w:rsid w:val="00B0061A"/>
    <w:rsid w:val="00B006E8"/>
    <w:rsid w:val="00B00744"/>
    <w:rsid w:val="00B007D6"/>
    <w:rsid w:val="00B00801"/>
    <w:rsid w:val="00B00873"/>
    <w:rsid w:val="00B008CE"/>
    <w:rsid w:val="00B008D0"/>
    <w:rsid w:val="00B008DB"/>
    <w:rsid w:val="00B00900"/>
    <w:rsid w:val="00B0091B"/>
    <w:rsid w:val="00B00934"/>
    <w:rsid w:val="00B0093C"/>
    <w:rsid w:val="00B0096D"/>
    <w:rsid w:val="00B009F9"/>
    <w:rsid w:val="00B00A68"/>
    <w:rsid w:val="00B00A7A"/>
    <w:rsid w:val="00B00A9C"/>
    <w:rsid w:val="00B00AFC"/>
    <w:rsid w:val="00B00B63"/>
    <w:rsid w:val="00B00C68"/>
    <w:rsid w:val="00B00C7F"/>
    <w:rsid w:val="00B00D26"/>
    <w:rsid w:val="00B00DA3"/>
    <w:rsid w:val="00B00E23"/>
    <w:rsid w:val="00B00E61"/>
    <w:rsid w:val="00B00EC9"/>
    <w:rsid w:val="00B00FC9"/>
    <w:rsid w:val="00B01012"/>
    <w:rsid w:val="00B010A2"/>
    <w:rsid w:val="00B010F2"/>
    <w:rsid w:val="00B0118D"/>
    <w:rsid w:val="00B01234"/>
    <w:rsid w:val="00B012A9"/>
    <w:rsid w:val="00B0130F"/>
    <w:rsid w:val="00B0135F"/>
    <w:rsid w:val="00B013A3"/>
    <w:rsid w:val="00B013A8"/>
    <w:rsid w:val="00B0141B"/>
    <w:rsid w:val="00B01426"/>
    <w:rsid w:val="00B0142E"/>
    <w:rsid w:val="00B01574"/>
    <w:rsid w:val="00B015B3"/>
    <w:rsid w:val="00B015CA"/>
    <w:rsid w:val="00B0175E"/>
    <w:rsid w:val="00B01788"/>
    <w:rsid w:val="00B0179D"/>
    <w:rsid w:val="00B017B8"/>
    <w:rsid w:val="00B017D4"/>
    <w:rsid w:val="00B017DC"/>
    <w:rsid w:val="00B017DF"/>
    <w:rsid w:val="00B018F2"/>
    <w:rsid w:val="00B019F1"/>
    <w:rsid w:val="00B01ADB"/>
    <w:rsid w:val="00B01B60"/>
    <w:rsid w:val="00B01B7D"/>
    <w:rsid w:val="00B01B7F"/>
    <w:rsid w:val="00B01C6D"/>
    <w:rsid w:val="00B01DDF"/>
    <w:rsid w:val="00B01E30"/>
    <w:rsid w:val="00B01F5E"/>
    <w:rsid w:val="00B01FC9"/>
    <w:rsid w:val="00B01FDC"/>
    <w:rsid w:val="00B01FDE"/>
    <w:rsid w:val="00B02052"/>
    <w:rsid w:val="00B02079"/>
    <w:rsid w:val="00B02090"/>
    <w:rsid w:val="00B02118"/>
    <w:rsid w:val="00B0211D"/>
    <w:rsid w:val="00B02147"/>
    <w:rsid w:val="00B02249"/>
    <w:rsid w:val="00B0224C"/>
    <w:rsid w:val="00B022E9"/>
    <w:rsid w:val="00B022F6"/>
    <w:rsid w:val="00B02386"/>
    <w:rsid w:val="00B023C1"/>
    <w:rsid w:val="00B023FE"/>
    <w:rsid w:val="00B02453"/>
    <w:rsid w:val="00B0246B"/>
    <w:rsid w:val="00B024D2"/>
    <w:rsid w:val="00B025B4"/>
    <w:rsid w:val="00B02714"/>
    <w:rsid w:val="00B027C0"/>
    <w:rsid w:val="00B027CB"/>
    <w:rsid w:val="00B027E8"/>
    <w:rsid w:val="00B027FE"/>
    <w:rsid w:val="00B02890"/>
    <w:rsid w:val="00B028F0"/>
    <w:rsid w:val="00B0291B"/>
    <w:rsid w:val="00B0296A"/>
    <w:rsid w:val="00B029A5"/>
    <w:rsid w:val="00B02A58"/>
    <w:rsid w:val="00B02AED"/>
    <w:rsid w:val="00B02B00"/>
    <w:rsid w:val="00B02B01"/>
    <w:rsid w:val="00B02BC1"/>
    <w:rsid w:val="00B02CA7"/>
    <w:rsid w:val="00B02CA8"/>
    <w:rsid w:val="00B02CBD"/>
    <w:rsid w:val="00B02CD4"/>
    <w:rsid w:val="00B02D50"/>
    <w:rsid w:val="00B02DF3"/>
    <w:rsid w:val="00B02E79"/>
    <w:rsid w:val="00B02EBB"/>
    <w:rsid w:val="00B02EF2"/>
    <w:rsid w:val="00B02EF4"/>
    <w:rsid w:val="00B02FAD"/>
    <w:rsid w:val="00B03057"/>
    <w:rsid w:val="00B0311A"/>
    <w:rsid w:val="00B0316A"/>
    <w:rsid w:val="00B0316C"/>
    <w:rsid w:val="00B031BA"/>
    <w:rsid w:val="00B031BC"/>
    <w:rsid w:val="00B031D0"/>
    <w:rsid w:val="00B031E2"/>
    <w:rsid w:val="00B032A5"/>
    <w:rsid w:val="00B0331A"/>
    <w:rsid w:val="00B03329"/>
    <w:rsid w:val="00B03445"/>
    <w:rsid w:val="00B0352B"/>
    <w:rsid w:val="00B03543"/>
    <w:rsid w:val="00B03572"/>
    <w:rsid w:val="00B0359D"/>
    <w:rsid w:val="00B03630"/>
    <w:rsid w:val="00B036B8"/>
    <w:rsid w:val="00B03719"/>
    <w:rsid w:val="00B0376C"/>
    <w:rsid w:val="00B037A1"/>
    <w:rsid w:val="00B0384F"/>
    <w:rsid w:val="00B038A8"/>
    <w:rsid w:val="00B038AD"/>
    <w:rsid w:val="00B039E8"/>
    <w:rsid w:val="00B03A0E"/>
    <w:rsid w:val="00B03A22"/>
    <w:rsid w:val="00B03B91"/>
    <w:rsid w:val="00B03BA0"/>
    <w:rsid w:val="00B03BBC"/>
    <w:rsid w:val="00B03C25"/>
    <w:rsid w:val="00B03C7B"/>
    <w:rsid w:val="00B03CB1"/>
    <w:rsid w:val="00B03D46"/>
    <w:rsid w:val="00B03DF0"/>
    <w:rsid w:val="00B03E03"/>
    <w:rsid w:val="00B03E30"/>
    <w:rsid w:val="00B03E6B"/>
    <w:rsid w:val="00B03F1B"/>
    <w:rsid w:val="00B03F86"/>
    <w:rsid w:val="00B03FAA"/>
    <w:rsid w:val="00B0401B"/>
    <w:rsid w:val="00B0404F"/>
    <w:rsid w:val="00B040F4"/>
    <w:rsid w:val="00B04111"/>
    <w:rsid w:val="00B04160"/>
    <w:rsid w:val="00B041D6"/>
    <w:rsid w:val="00B04253"/>
    <w:rsid w:val="00B0425D"/>
    <w:rsid w:val="00B0428E"/>
    <w:rsid w:val="00B04319"/>
    <w:rsid w:val="00B04365"/>
    <w:rsid w:val="00B0441C"/>
    <w:rsid w:val="00B044D5"/>
    <w:rsid w:val="00B04517"/>
    <w:rsid w:val="00B04546"/>
    <w:rsid w:val="00B045DE"/>
    <w:rsid w:val="00B0466B"/>
    <w:rsid w:val="00B04672"/>
    <w:rsid w:val="00B0472D"/>
    <w:rsid w:val="00B04828"/>
    <w:rsid w:val="00B0483C"/>
    <w:rsid w:val="00B04854"/>
    <w:rsid w:val="00B04864"/>
    <w:rsid w:val="00B048B7"/>
    <w:rsid w:val="00B04923"/>
    <w:rsid w:val="00B04988"/>
    <w:rsid w:val="00B04A3A"/>
    <w:rsid w:val="00B04A3B"/>
    <w:rsid w:val="00B04A8D"/>
    <w:rsid w:val="00B04AB7"/>
    <w:rsid w:val="00B04B1D"/>
    <w:rsid w:val="00B04B4B"/>
    <w:rsid w:val="00B04BC9"/>
    <w:rsid w:val="00B04C6B"/>
    <w:rsid w:val="00B04DB6"/>
    <w:rsid w:val="00B04DFE"/>
    <w:rsid w:val="00B04DFF"/>
    <w:rsid w:val="00B04E08"/>
    <w:rsid w:val="00B04E0B"/>
    <w:rsid w:val="00B04E70"/>
    <w:rsid w:val="00B04E8A"/>
    <w:rsid w:val="00B04E97"/>
    <w:rsid w:val="00B04F03"/>
    <w:rsid w:val="00B04FB2"/>
    <w:rsid w:val="00B04FBE"/>
    <w:rsid w:val="00B05061"/>
    <w:rsid w:val="00B0509D"/>
    <w:rsid w:val="00B050ED"/>
    <w:rsid w:val="00B0518D"/>
    <w:rsid w:val="00B05192"/>
    <w:rsid w:val="00B051C0"/>
    <w:rsid w:val="00B051E6"/>
    <w:rsid w:val="00B051EF"/>
    <w:rsid w:val="00B052E3"/>
    <w:rsid w:val="00B05334"/>
    <w:rsid w:val="00B0535A"/>
    <w:rsid w:val="00B0540B"/>
    <w:rsid w:val="00B054AE"/>
    <w:rsid w:val="00B056BA"/>
    <w:rsid w:val="00B056BE"/>
    <w:rsid w:val="00B056E4"/>
    <w:rsid w:val="00B05749"/>
    <w:rsid w:val="00B057DC"/>
    <w:rsid w:val="00B05916"/>
    <w:rsid w:val="00B05918"/>
    <w:rsid w:val="00B0592C"/>
    <w:rsid w:val="00B05964"/>
    <w:rsid w:val="00B0596F"/>
    <w:rsid w:val="00B059A8"/>
    <w:rsid w:val="00B059FF"/>
    <w:rsid w:val="00B05A07"/>
    <w:rsid w:val="00B05AF0"/>
    <w:rsid w:val="00B05B70"/>
    <w:rsid w:val="00B05C26"/>
    <w:rsid w:val="00B05C39"/>
    <w:rsid w:val="00B05C3B"/>
    <w:rsid w:val="00B05C94"/>
    <w:rsid w:val="00B05CC9"/>
    <w:rsid w:val="00B05CD2"/>
    <w:rsid w:val="00B05D0A"/>
    <w:rsid w:val="00B05D10"/>
    <w:rsid w:val="00B05D9F"/>
    <w:rsid w:val="00B05DBC"/>
    <w:rsid w:val="00B05E03"/>
    <w:rsid w:val="00B05E09"/>
    <w:rsid w:val="00B05E3B"/>
    <w:rsid w:val="00B05E9B"/>
    <w:rsid w:val="00B05EBA"/>
    <w:rsid w:val="00B05EC2"/>
    <w:rsid w:val="00B05FA0"/>
    <w:rsid w:val="00B05FE9"/>
    <w:rsid w:val="00B06066"/>
    <w:rsid w:val="00B0608B"/>
    <w:rsid w:val="00B060FB"/>
    <w:rsid w:val="00B06106"/>
    <w:rsid w:val="00B06118"/>
    <w:rsid w:val="00B061D1"/>
    <w:rsid w:val="00B061DA"/>
    <w:rsid w:val="00B06249"/>
    <w:rsid w:val="00B062F0"/>
    <w:rsid w:val="00B06359"/>
    <w:rsid w:val="00B06385"/>
    <w:rsid w:val="00B06386"/>
    <w:rsid w:val="00B0649A"/>
    <w:rsid w:val="00B064BB"/>
    <w:rsid w:val="00B0657B"/>
    <w:rsid w:val="00B0658D"/>
    <w:rsid w:val="00B06650"/>
    <w:rsid w:val="00B066A2"/>
    <w:rsid w:val="00B066D1"/>
    <w:rsid w:val="00B066FC"/>
    <w:rsid w:val="00B0673C"/>
    <w:rsid w:val="00B067F6"/>
    <w:rsid w:val="00B067FB"/>
    <w:rsid w:val="00B06841"/>
    <w:rsid w:val="00B069A6"/>
    <w:rsid w:val="00B069F8"/>
    <w:rsid w:val="00B06AA9"/>
    <w:rsid w:val="00B06ADB"/>
    <w:rsid w:val="00B06B0B"/>
    <w:rsid w:val="00B06B24"/>
    <w:rsid w:val="00B06B4F"/>
    <w:rsid w:val="00B06BD9"/>
    <w:rsid w:val="00B06BEA"/>
    <w:rsid w:val="00B06C35"/>
    <w:rsid w:val="00B06C51"/>
    <w:rsid w:val="00B06C91"/>
    <w:rsid w:val="00B06D92"/>
    <w:rsid w:val="00B06E15"/>
    <w:rsid w:val="00B06ED6"/>
    <w:rsid w:val="00B06F10"/>
    <w:rsid w:val="00B06F26"/>
    <w:rsid w:val="00B06F3D"/>
    <w:rsid w:val="00B06F7E"/>
    <w:rsid w:val="00B06FA8"/>
    <w:rsid w:val="00B06FDD"/>
    <w:rsid w:val="00B07087"/>
    <w:rsid w:val="00B07090"/>
    <w:rsid w:val="00B0709C"/>
    <w:rsid w:val="00B070B4"/>
    <w:rsid w:val="00B07261"/>
    <w:rsid w:val="00B07284"/>
    <w:rsid w:val="00B0737D"/>
    <w:rsid w:val="00B07408"/>
    <w:rsid w:val="00B0743C"/>
    <w:rsid w:val="00B07476"/>
    <w:rsid w:val="00B07518"/>
    <w:rsid w:val="00B0751A"/>
    <w:rsid w:val="00B07548"/>
    <w:rsid w:val="00B07561"/>
    <w:rsid w:val="00B075C6"/>
    <w:rsid w:val="00B075D2"/>
    <w:rsid w:val="00B076B6"/>
    <w:rsid w:val="00B076B9"/>
    <w:rsid w:val="00B076D1"/>
    <w:rsid w:val="00B076E2"/>
    <w:rsid w:val="00B076E6"/>
    <w:rsid w:val="00B0772A"/>
    <w:rsid w:val="00B0775A"/>
    <w:rsid w:val="00B077D2"/>
    <w:rsid w:val="00B07859"/>
    <w:rsid w:val="00B0788D"/>
    <w:rsid w:val="00B078A1"/>
    <w:rsid w:val="00B0792A"/>
    <w:rsid w:val="00B079D8"/>
    <w:rsid w:val="00B07A70"/>
    <w:rsid w:val="00B07ADA"/>
    <w:rsid w:val="00B07AE0"/>
    <w:rsid w:val="00B07B25"/>
    <w:rsid w:val="00B07B4D"/>
    <w:rsid w:val="00B07B78"/>
    <w:rsid w:val="00B07BDF"/>
    <w:rsid w:val="00B07C12"/>
    <w:rsid w:val="00B07D0D"/>
    <w:rsid w:val="00B07D24"/>
    <w:rsid w:val="00B07DBF"/>
    <w:rsid w:val="00B07E47"/>
    <w:rsid w:val="00B07E65"/>
    <w:rsid w:val="00B07F09"/>
    <w:rsid w:val="00B100DE"/>
    <w:rsid w:val="00B100F0"/>
    <w:rsid w:val="00B10100"/>
    <w:rsid w:val="00B10108"/>
    <w:rsid w:val="00B10164"/>
    <w:rsid w:val="00B10175"/>
    <w:rsid w:val="00B10193"/>
    <w:rsid w:val="00B101D9"/>
    <w:rsid w:val="00B10204"/>
    <w:rsid w:val="00B10241"/>
    <w:rsid w:val="00B102E3"/>
    <w:rsid w:val="00B102F5"/>
    <w:rsid w:val="00B102FE"/>
    <w:rsid w:val="00B10399"/>
    <w:rsid w:val="00B103D0"/>
    <w:rsid w:val="00B10402"/>
    <w:rsid w:val="00B10404"/>
    <w:rsid w:val="00B10444"/>
    <w:rsid w:val="00B1058A"/>
    <w:rsid w:val="00B1060A"/>
    <w:rsid w:val="00B10626"/>
    <w:rsid w:val="00B10655"/>
    <w:rsid w:val="00B10669"/>
    <w:rsid w:val="00B106F2"/>
    <w:rsid w:val="00B107B0"/>
    <w:rsid w:val="00B10883"/>
    <w:rsid w:val="00B10938"/>
    <w:rsid w:val="00B10A01"/>
    <w:rsid w:val="00B10A26"/>
    <w:rsid w:val="00B10A71"/>
    <w:rsid w:val="00B10A7E"/>
    <w:rsid w:val="00B10C0E"/>
    <w:rsid w:val="00B10C4E"/>
    <w:rsid w:val="00B10D0E"/>
    <w:rsid w:val="00B10DCA"/>
    <w:rsid w:val="00B10DD4"/>
    <w:rsid w:val="00B10E06"/>
    <w:rsid w:val="00B10E75"/>
    <w:rsid w:val="00B10EA4"/>
    <w:rsid w:val="00B10F2F"/>
    <w:rsid w:val="00B10F79"/>
    <w:rsid w:val="00B10FB9"/>
    <w:rsid w:val="00B10FF0"/>
    <w:rsid w:val="00B1101F"/>
    <w:rsid w:val="00B11027"/>
    <w:rsid w:val="00B1104D"/>
    <w:rsid w:val="00B1108E"/>
    <w:rsid w:val="00B111BA"/>
    <w:rsid w:val="00B111BC"/>
    <w:rsid w:val="00B11347"/>
    <w:rsid w:val="00B1138F"/>
    <w:rsid w:val="00B1146B"/>
    <w:rsid w:val="00B115AA"/>
    <w:rsid w:val="00B115F7"/>
    <w:rsid w:val="00B116C8"/>
    <w:rsid w:val="00B11726"/>
    <w:rsid w:val="00B1176F"/>
    <w:rsid w:val="00B117EE"/>
    <w:rsid w:val="00B1181E"/>
    <w:rsid w:val="00B118B1"/>
    <w:rsid w:val="00B118DF"/>
    <w:rsid w:val="00B118E4"/>
    <w:rsid w:val="00B1190E"/>
    <w:rsid w:val="00B11A48"/>
    <w:rsid w:val="00B11A4C"/>
    <w:rsid w:val="00B11A67"/>
    <w:rsid w:val="00B11ACB"/>
    <w:rsid w:val="00B11AD6"/>
    <w:rsid w:val="00B11B00"/>
    <w:rsid w:val="00B11B4A"/>
    <w:rsid w:val="00B11BC4"/>
    <w:rsid w:val="00B11BC5"/>
    <w:rsid w:val="00B11BE5"/>
    <w:rsid w:val="00B11C2C"/>
    <w:rsid w:val="00B11C49"/>
    <w:rsid w:val="00B11C71"/>
    <w:rsid w:val="00B11C9E"/>
    <w:rsid w:val="00B11D59"/>
    <w:rsid w:val="00B11DF8"/>
    <w:rsid w:val="00B11E29"/>
    <w:rsid w:val="00B11E43"/>
    <w:rsid w:val="00B11E55"/>
    <w:rsid w:val="00B11E57"/>
    <w:rsid w:val="00B11FAB"/>
    <w:rsid w:val="00B1205B"/>
    <w:rsid w:val="00B12063"/>
    <w:rsid w:val="00B120BF"/>
    <w:rsid w:val="00B120CB"/>
    <w:rsid w:val="00B1214D"/>
    <w:rsid w:val="00B12196"/>
    <w:rsid w:val="00B1223C"/>
    <w:rsid w:val="00B12286"/>
    <w:rsid w:val="00B12298"/>
    <w:rsid w:val="00B122C4"/>
    <w:rsid w:val="00B123D2"/>
    <w:rsid w:val="00B12438"/>
    <w:rsid w:val="00B1247C"/>
    <w:rsid w:val="00B124A5"/>
    <w:rsid w:val="00B12547"/>
    <w:rsid w:val="00B12552"/>
    <w:rsid w:val="00B1260A"/>
    <w:rsid w:val="00B1263A"/>
    <w:rsid w:val="00B12641"/>
    <w:rsid w:val="00B126AF"/>
    <w:rsid w:val="00B126C7"/>
    <w:rsid w:val="00B12719"/>
    <w:rsid w:val="00B1277F"/>
    <w:rsid w:val="00B1286D"/>
    <w:rsid w:val="00B12913"/>
    <w:rsid w:val="00B12940"/>
    <w:rsid w:val="00B12947"/>
    <w:rsid w:val="00B1298C"/>
    <w:rsid w:val="00B1299B"/>
    <w:rsid w:val="00B12A55"/>
    <w:rsid w:val="00B12A92"/>
    <w:rsid w:val="00B12B18"/>
    <w:rsid w:val="00B12B4E"/>
    <w:rsid w:val="00B12B77"/>
    <w:rsid w:val="00B12B89"/>
    <w:rsid w:val="00B12B8D"/>
    <w:rsid w:val="00B12BA2"/>
    <w:rsid w:val="00B12C53"/>
    <w:rsid w:val="00B12CD0"/>
    <w:rsid w:val="00B12D1A"/>
    <w:rsid w:val="00B12D1D"/>
    <w:rsid w:val="00B12D9C"/>
    <w:rsid w:val="00B12E4A"/>
    <w:rsid w:val="00B12F5D"/>
    <w:rsid w:val="00B12F82"/>
    <w:rsid w:val="00B12F8D"/>
    <w:rsid w:val="00B12FA6"/>
    <w:rsid w:val="00B12FB2"/>
    <w:rsid w:val="00B1304F"/>
    <w:rsid w:val="00B1310B"/>
    <w:rsid w:val="00B13125"/>
    <w:rsid w:val="00B131C1"/>
    <w:rsid w:val="00B131F9"/>
    <w:rsid w:val="00B1324A"/>
    <w:rsid w:val="00B13291"/>
    <w:rsid w:val="00B132D9"/>
    <w:rsid w:val="00B1336C"/>
    <w:rsid w:val="00B13374"/>
    <w:rsid w:val="00B13384"/>
    <w:rsid w:val="00B13437"/>
    <w:rsid w:val="00B1343C"/>
    <w:rsid w:val="00B13544"/>
    <w:rsid w:val="00B1356C"/>
    <w:rsid w:val="00B13652"/>
    <w:rsid w:val="00B13710"/>
    <w:rsid w:val="00B13747"/>
    <w:rsid w:val="00B13750"/>
    <w:rsid w:val="00B13821"/>
    <w:rsid w:val="00B1383E"/>
    <w:rsid w:val="00B13854"/>
    <w:rsid w:val="00B138A6"/>
    <w:rsid w:val="00B138EA"/>
    <w:rsid w:val="00B13929"/>
    <w:rsid w:val="00B1392B"/>
    <w:rsid w:val="00B13935"/>
    <w:rsid w:val="00B13965"/>
    <w:rsid w:val="00B13A84"/>
    <w:rsid w:val="00B13B07"/>
    <w:rsid w:val="00B13B1E"/>
    <w:rsid w:val="00B13B6B"/>
    <w:rsid w:val="00B13BBC"/>
    <w:rsid w:val="00B13BE5"/>
    <w:rsid w:val="00B13CF3"/>
    <w:rsid w:val="00B13D2E"/>
    <w:rsid w:val="00B13D3C"/>
    <w:rsid w:val="00B13D85"/>
    <w:rsid w:val="00B13DC9"/>
    <w:rsid w:val="00B13E3C"/>
    <w:rsid w:val="00B13E3F"/>
    <w:rsid w:val="00B13E42"/>
    <w:rsid w:val="00B13EED"/>
    <w:rsid w:val="00B13EF5"/>
    <w:rsid w:val="00B13F02"/>
    <w:rsid w:val="00B13F99"/>
    <w:rsid w:val="00B14002"/>
    <w:rsid w:val="00B1404F"/>
    <w:rsid w:val="00B14055"/>
    <w:rsid w:val="00B14087"/>
    <w:rsid w:val="00B1408E"/>
    <w:rsid w:val="00B140D0"/>
    <w:rsid w:val="00B14196"/>
    <w:rsid w:val="00B14235"/>
    <w:rsid w:val="00B1428D"/>
    <w:rsid w:val="00B1428E"/>
    <w:rsid w:val="00B14299"/>
    <w:rsid w:val="00B142A0"/>
    <w:rsid w:val="00B142AF"/>
    <w:rsid w:val="00B14311"/>
    <w:rsid w:val="00B1435C"/>
    <w:rsid w:val="00B1438B"/>
    <w:rsid w:val="00B14502"/>
    <w:rsid w:val="00B14529"/>
    <w:rsid w:val="00B14598"/>
    <w:rsid w:val="00B145FB"/>
    <w:rsid w:val="00B14725"/>
    <w:rsid w:val="00B14734"/>
    <w:rsid w:val="00B1476A"/>
    <w:rsid w:val="00B148CC"/>
    <w:rsid w:val="00B148DC"/>
    <w:rsid w:val="00B1492E"/>
    <w:rsid w:val="00B14976"/>
    <w:rsid w:val="00B1498F"/>
    <w:rsid w:val="00B149DD"/>
    <w:rsid w:val="00B14A90"/>
    <w:rsid w:val="00B14AC4"/>
    <w:rsid w:val="00B14ACE"/>
    <w:rsid w:val="00B14AD0"/>
    <w:rsid w:val="00B14B04"/>
    <w:rsid w:val="00B14B3D"/>
    <w:rsid w:val="00B14B61"/>
    <w:rsid w:val="00B14BA8"/>
    <w:rsid w:val="00B14BD0"/>
    <w:rsid w:val="00B14C18"/>
    <w:rsid w:val="00B14C23"/>
    <w:rsid w:val="00B14C5F"/>
    <w:rsid w:val="00B14C78"/>
    <w:rsid w:val="00B14C9D"/>
    <w:rsid w:val="00B14CD4"/>
    <w:rsid w:val="00B14CD6"/>
    <w:rsid w:val="00B14D3D"/>
    <w:rsid w:val="00B14D49"/>
    <w:rsid w:val="00B14DCE"/>
    <w:rsid w:val="00B14E35"/>
    <w:rsid w:val="00B14E75"/>
    <w:rsid w:val="00B14E86"/>
    <w:rsid w:val="00B14F4C"/>
    <w:rsid w:val="00B1509D"/>
    <w:rsid w:val="00B150B9"/>
    <w:rsid w:val="00B150E7"/>
    <w:rsid w:val="00B15116"/>
    <w:rsid w:val="00B15133"/>
    <w:rsid w:val="00B15140"/>
    <w:rsid w:val="00B1516D"/>
    <w:rsid w:val="00B15174"/>
    <w:rsid w:val="00B1527F"/>
    <w:rsid w:val="00B15287"/>
    <w:rsid w:val="00B15327"/>
    <w:rsid w:val="00B153AA"/>
    <w:rsid w:val="00B1548B"/>
    <w:rsid w:val="00B154A5"/>
    <w:rsid w:val="00B154AD"/>
    <w:rsid w:val="00B15552"/>
    <w:rsid w:val="00B155D1"/>
    <w:rsid w:val="00B1560A"/>
    <w:rsid w:val="00B15655"/>
    <w:rsid w:val="00B156B4"/>
    <w:rsid w:val="00B156BF"/>
    <w:rsid w:val="00B156EA"/>
    <w:rsid w:val="00B1571C"/>
    <w:rsid w:val="00B15766"/>
    <w:rsid w:val="00B157C9"/>
    <w:rsid w:val="00B1582A"/>
    <w:rsid w:val="00B15840"/>
    <w:rsid w:val="00B158F2"/>
    <w:rsid w:val="00B15905"/>
    <w:rsid w:val="00B1598D"/>
    <w:rsid w:val="00B159BF"/>
    <w:rsid w:val="00B15AF8"/>
    <w:rsid w:val="00B15AF9"/>
    <w:rsid w:val="00B15B58"/>
    <w:rsid w:val="00B15B77"/>
    <w:rsid w:val="00B15B8D"/>
    <w:rsid w:val="00B15CD7"/>
    <w:rsid w:val="00B15CEC"/>
    <w:rsid w:val="00B15DEB"/>
    <w:rsid w:val="00B15E2F"/>
    <w:rsid w:val="00B15E47"/>
    <w:rsid w:val="00B15E4B"/>
    <w:rsid w:val="00B15E82"/>
    <w:rsid w:val="00B15E95"/>
    <w:rsid w:val="00B15EB9"/>
    <w:rsid w:val="00B15F20"/>
    <w:rsid w:val="00B15F99"/>
    <w:rsid w:val="00B15FA4"/>
    <w:rsid w:val="00B15FBD"/>
    <w:rsid w:val="00B15FCA"/>
    <w:rsid w:val="00B16059"/>
    <w:rsid w:val="00B160F8"/>
    <w:rsid w:val="00B1618D"/>
    <w:rsid w:val="00B1623E"/>
    <w:rsid w:val="00B162F7"/>
    <w:rsid w:val="00B1631E"/>
    <w:rsid w:val="00B163BE"/>
    <w:rsid w:val="00B163EC"/>
    <w:rsid w:val="00B163FB"/>
    <w:rsid w:val="00B164B9"/>
    <w:rsid w:val="00B16535"/>
    <w:rsid w:val="00B1654A"/>
    <w:rsid w:val="00B16550"/>
    <w:rsid w:val="00B16591"/>
    <w:rsid w:val="00B165B0"/>
    <w:rsid w:val="00B1661B"/>
    <w:rsid w:val="00B16706"/>
    <w:rsid w:val="00B167B1"/>
    <w:rsid w:val="00B167CB"/>
    <w:rsid w:val="00B167D9"/>
    <w:rsid w:val="00B1682D"/>
    <w:rsid w:val="00B1685A"/>
    <w:rsid w:val="00B168D9"/>
    <w:rsid w:val="00B169B5"/>
    <w:rsid w:val="00B169D8"/>
    <w:rsid w:val="00B169E8"/>
    <w:rsid w:val="00B169FA"/>
    <w:rsid w:val="00B16A3D"/>
    <w:rsid w:val="00B16A4A"/>
    <w:rsid w:val="00B16AC1"/>
    <w:rsid w:val="00B16BB8"/>
    <w:rsid w:val="00B16BF7"/>
    <w:rsid w:val="00B16C7D"/>
    <w:rsid w:val="00B16C9E"/>
    <w:rsid w:val="00B16CB8"/>
    <w:rsid w:val="00B16CDA"/>
    <w:rsid w:val="00B16CE7"/>
    <w:rsid w:val="00B16CF8"/>
    <w:rsid w:val="00B16D06"/>
    <w:rsid w:val="00B16D31"/>
    <w:rsid w:val="00B16D90"/>
    <w:rsid w:val="00B16DCD"/>
    <w:rsid w:val="00B16DD4"/>
    <w:rsid w:val="00B16DEE"/>
    <w:rsid w:val="00B16E5E"/>
    <w:rsid w:val="00B16E85"/>
    <w:rsid w:val="00B16EBD"/>
    <w:rsid w:val="00B16EC4"/>
    <w:rsid w:val="00B16ED9"/>
    <w:rsid w:val="00B16EEB"/>
    <w:rsid w:val="00B16EFF"/>
    <w:rsid w:val="00B16FAE"/>
    <w:rsid w:val="00B16FB7"/>
    <w:rsid w:val="00B16FE7"/>
    <w:rsid w:val="00B17066"/>
    <w:rsid w:val="00B170C0"/>
    <w:rsid w:val="00B17130"/>
    <w:rsid w:val="00B17138"/>
    <w:rsid w:val="00B17146"/>
    <w:rsid w:val="00B172EC"/>
    <w:rsid w:val="00B17457"/>
    <w:rsid w:val="00B175B3"/>
    <w:rsid w:val="00B1763D"/>
    <w:rsid w:val="00B17693"/>
    <w:rsid w:val="00B176E6"/>
    <w:rsid w:val="00B177D3"/>
    <w:rsid w:val="00B177EA"/>
    <w:rsid w:val="00B17803"/>
    <w:rsid w:val="00B17835"/>
    <w:rsid w:val="00B178BF"/>
    <w:rsid w:val="00B178CC"/>
    <w:rsid w:val="00B178F5"/>
    <w:rsid w:val="00B1793C"/>
    <w:rsid w:val="00B17A12"/>
    <w:rsid w:val="00B17B90"/>
    <w:rsid w:val="00B17BF5"/>
    <w:rsid w:val="00B17C07"/>
    <w:rsid w:val="00B17C8B"/>
    <w:rsid w:val="00B17D4F"/>
    <w:rsid w:val="00B17D5C"/>
    <w:rsid w:val="00B17D69"/>
    <w:rsid w:val="00B17D77"/>
    <w:rsid w:val="00B17DAA"/>
    <w:rsid w:val="00B17E7D"/>
    <w:rsid w:val="00B17ED3"/>
    <w:rsid w:val="00B17EEC"/>
    <w:rsid w:val="00B17EF1"/>
    <w:rsid w:val="00B17F5D"/>
    <w:rsid w:val="00B17F64"/>
    <w:rsid w:val="00B17F9B"/>
    <w:rsid w:val="00B17FA5"/>
    <w:rsid w:val="00B20047"/>
    <w:rsid w:val="00B20049"/>
    <w:rsid w:val="00B2007B"/>
    <w:rsid w:val="00B20132"/>
    <w:rsid w:val="00B2013C"/>
    <w:rsid w:val="00B20188"/>
    <w:rsid w:val="00B201CF"/>
    <w:rsid w:val="00B2021C"/>
    <w:rsid w:val="00B20220"/>
    <w:rsid w:val="00B2022A"/>
    <w:rsid w:val="00B20270"/>
    <w:rsid w:val="00B20298"/>
    <w:rsid w:val="00B202A4"/>
    <w:rsid w:val="00B202AB"/>
    <w:rsid w:val="00B2033B"/>
    <w:rsid w:val="00B203F0"/>
    <w:rsid w:val="00B2044E"/>
    <w:rsid w:val="00B2044F"/>
    <w:rsid w:val="00B204EC"/>
    <w:rsid w:val="00B204EE"/>
    <w:rsid w:val="00B2053A"/>
    <w:rsid w:val="00B205DE"/>
    <w:rsid w:val="00B20678"/>
    <w:rsid w:val="00B20723"/>
    <w:rsid w:val="00B20725"/>
    <w:rsid w:val="00B2082E"/>
    <w:rsid w:val="00B2085B"/>
    <w:rsid w:val="00B2095D"/>
    <w:rsid w:val="00B2095F"/>
    <w:rsid w:val="00B2096F"/>
    <w:rsid w:val="00B209F5"/>
    <w:rsid w:val="00B20A30"/>
    <w:rsid w:val="00B20A49"/>
    <w:rsid w:val="00B20AB8"/>
    <w:rsid w:val="00B20ACE"/>
    <w:rsid w:val="00B20C2B"/>
    <w:rsid w:val="00B20C93"/>
    <w:rsid w:val="00B20DC3"/>
    <w:rsid w:val="00B20E19"/>
    <w:rsid w:val="00B20E9C"/>
    <w:rsid w:val="00B20EA7"/>
    <w:rsid w:val="00B20F87"/>
    <w:rsid w:val="00B20FF0"/>
    <w:rsid w:val="00B20FFF"/>
    <w:rsid w:val="00B2109E"/>
    <w:rsid w:val="00B210FF"/>
    <w:rsid w:val="00B21149"/>
    <w:rsid w:val="00B2118D"/>
    <w:rsid w:val="00B212E5"/>
    <w:rsid w:val="00B2137F"/>
    <w:rsid w:val="00B21461"/>
    <w:rsid w:val="00B214F2"/>
    <w:rsid w:val="00B215E8"/>
    <w:rsid w:val="00B21640"/>
    <w:rsid w:val="00B21650"/>
    <w:rsid w:val="00B21675"/>
    <w:rsid w:val="00B216AD"/>
    <w:rsid w:val="00B21735"/>
    <w:rsid w:val="00B21748"/>
    <w:rsid w:val="00B2176E"/>
    <w:rsid w:val="00B217DF"/>
    <w:rsid w:val="00B217F9"/>
    <w:rsid w:val="00B2185E"/>
    <w:rsid w:val="00B21896"/>
    <w:rsid w:val="00B21901"/>
    <w:rsid w:val="00B21A06"/>
    <w:rsid w:val="00B21A50"/>
    <w:rsid w:val="00B21AAE"/>
    <w:rsid w:val="00B21AD6"/>
    <w:rsid w:val="00B21AE0"/>
    <w:rsid w:val="00B21B0C"/>
    <w:rsid w:val="00B21B19"/>
    <w:rsid w:val="00B21BB1"/>
    <w:rsid w:val="00B21D43"/>
    <w:rsid w:val="00B21DB5"/>
    <w:rsid w:val="00B21DEC"/>
    <w:rsid w:val="00B21E09"/>
    <w:rsid w:val="00B21E6F"/>
    <w:rsid w:val="00B21EB1"/>
    <w:rsid w:val="00B21EFE"/>
    <w:rsid w:val="00B21F2F"/>
    <w:rsid w:val="00B21F9B"/>
    <w:rsid w:val="00B21FB7"/>
    <w:rsid w:val="00B21FE4"/>
    <w:rsid w:val="00B220A1"/>
    <w:rsid w:val="00B220BB"/>
    <w:rsid w:val="00B220F0"/>
    <w:rsid w:val="00B221C7"/>
    <w:rsid w:val="00B221E1"/>
    <w:rsid w:val="00B22276"/>
    <w:rsid w:val="00B222DA"/>
    <w:rsid w:val="00B222DC"/>
    <w:rsid w:val="00B22410"/>
    <w:rsid w:val="00B22420"/>
    <w:rsid w:val="00B2248E"/>
    <w:rsid w:val="00B22490"/>
    <w:rsid w:val="00B224EE"/>
    <w:rsid w:val="00B22521"/>
    <w:rsid w:val="00B2265C"/>
    <w:rsid w:val="00B2267A"/>
    <w:rsid w:val="00B22734"/>
    <w:rsid w:val="00B22741"/>
    <w:rsid w:val="00B22873"/>
    <w:rsid w:val="00B22883"/>
    <w:rsid w:val="00B22884"/>
    <w:rsid w:val="00B228BB"/>
    <w:rsid w:val="00B228C6"/>
    <w:rsid w:val="00B22910"/>
    <w:rsid w:val="00B22A8C"/>
    <w:rsid w:val="00B22AB7"/>
    <w:rsid w:val="00B22B55"/>
    <w:rsid w:val="00B22BCA"/>
    <w:rsid w:val="00B22BCE"/>
    <w:rsid w:val="00B22BD2"/>
    <w:rsid w:val="00B22BFA"/>
    <w:rsid w:val="00B22CD0"/>
    <w:rsid w:val="00B22D39"/>
    <w:rsid w:val="00B22D50"/>
    <w:rsid w:val="00B22D57"/>
    <w:rsid w:val="00B22DBD"/>
    <w:rsid w:val="00B22DD0"/>
    <w:rsid w:val="00B22DFF"/>
    <w:rsid w:val="00B22F0E"/>
    <w:rsid w:val="00B22F11"/>
    <w:rsid w:val="00B22F2F"/>
    <w:rsid w:val="00B22F54"/>
    <w:rsid w:val="00B22FCB"/>
    <w:rsid w:val="00B22FFF"/>
    <w:rsid w:val="00B2303C"/>
    <w:rsid w:val="00B23067"/>
    <w:rsid w:val="00B23125"/>
    <w:rsid w:val="00B23134"/>
    <w:rsid w:val="00B23136"/>
    <w:rsid w:val="00B23140"/>
    <w:rsid w:val="00B23242"/>
    <w:rsid w:val="00B232FB"/>
    <w:rsid w:val="00B23308"/>
    <w:rsid w:val="00B23368"/>
    <w:rsid w:val="00B23387"/>
    <w:rsid w:val="00B2339C"/>
    <w:rsid w:val="00B233BE"/>
    <w:rsid w:val="00B23470"/>
    <w:rsid w:val="00B234A3"/>
    <w:rsid w:val="00B2351C"/>
    <w:rsid w:val="00B235C8"/>
    <w:rsid w:val="00B235E4"/>
    <w:rsid w:val="00B2360A"/>
    <w:rsid w:val="00B23626"/>
    <w:rsid w:val="00B236C0"/>
    <w:rsid w:val="00B23797"/>
    <w:rsid w:val="00B237D5"/>
    <w:rsid w:val="00B2387D"/>
    <w:rsid w:val="00B2388E"/>
    <w:rsid w:val="00B238C0"/>
    <w:rsid w:val="00B238C8"/>
    <w:rsid w:val="00B238F7"/>
    <w:rsid w:val="00B23912"/>
    <w:rsid w:val="00B23939"/>
    <w:rsid w:val="00B23A38"/>
    <w:rsid w:val="00B23A49"/>
    <w:rsid w:val="00B23B87"/>
    <w:rsid w:val="00B23CD4"/>
    <w:rsid w:val="00B23CEA"/>
    <w:rsid w:val="00B23D14"/>
    <w:rsid w:val="00B23E37"/>
    <w:rsid w:val="00B23EDE"/>
    <w:rsid w:val="00B23EE8"/>
    <w:rsid w:val="00B23F48"/>
    <w:rsid w:val="00B23F52"/>
    <w:rsid w:val="00B23F67"/>
    <w:rsid w:val="00B23FB0"/>
    <w:rsid w:val="00B23FCC"/>
    <w:rsid w:val="00B2400D"/>
    <w:rsid w:val="00B24027"/>
    <w:rsid w:val="00B24043"/>
    <w:rsid w:val="00B2409B"/>
    <w:rsid w:val="00B240B1"/>
    <w:rsid w:val="00B240B6"/>
    <w:rsid w:val="00B240DF"/>
    <w:rsid w:val="00B24175"/>
    <w:rsid w:val="00B241BF"/>
    <w:rsid w:val="00B241D6"/>
    <w:rsid w:val="00B241E2"/>
    <w:rsid w:val="00B241EC"/>
    <w:rsid w:val="00B24300"/>
    <w:rsid w:val="00B24312"/>
    <w:rsid w:val="00B24322"/>
    <w:rsid w:val="00B2432E"/>
    <w:rsid w:val="00B24353"/>
    <w:rsid w:val="00B2437E"/>
    <w:rsid w:val="00B243EB"/>
    <w:rsid w:val="00B24485"/>
    <w:rsid w:val="00B244E7"/>
    <w:rsid w:val="00B24506"/>
    <w:rsid w:val="00B24558"/>
    <w:rsid w:val="00B245CA"/>
    <w:rsid w:val="00B245F7"/>
    <w:rsid w:val="00B24650"/>
    <w:rsid w:val="00B24680"/>
    <w:rsid w:val="00B2469E"/>
    <w:rsid w:val="00B246C2"/>
    <w:rsid w:val="00B246CE"/>
    <w:rsid w:val="00B2474F"/>
    <w:rsid w:val="00B247A5"/>
    <w:rsid w:val="00B24853"/>
    <w:rsid w:val="00B24A24"/>
    <w:rsid w:val="00B24A58"/>
    <w:rsid w:val="00B24AC3"/>
    <w:rsid w:val="00B24B4D"/>
    <w:rsid w:val="00B24C51"/>
    <w:rsid w:val="00B24C9E"/>
    <w:rsid w:val="00B24D81"/>
    <w:rsid w:val="00B24DCD"/>
    <w:rsid w:val="00B24DFB"/>
    <w:rsid w:val="00B24E8F"/>
    <w:rsid w:val="00B24E97"/>
    <w:rsid w:val="00B24E9B"/>
    <w:rsid w:val="00B24FBC"/>
    <w:rsid w:val="00B24FFB"/>
    <w:rsid w:val="00B25016"/>
    <w:rsid w:val="00B25038"/>
    <w:rsid w:val="00B250A4"/>
    <w:rsid w:val="00B25138"/>
    <w:rsid w:val="00B25196"/>
    <w:rsid w:val="00B25218"/>
    <w:rsid w:val="00B25231"/>
    <w:rsid w:val="00B252E8"/>
    <w:rsid w:val="00B25358"/>
    <w:rsid w:val="00B25407"/>
    <w:rsid w:val="00B254C2"/>
    <w:rsid w:val="00B2557F"/>
    <w:rsid w:val="00B255BC"/>
    <w:rsid w:val="00B255E0"/>
    <w:rsid w:val="00B25643"/>
    <w:rsid w:val="00B257D1"/>
    <w:rsid w:val="00B25944"/>
    <w:rsid w:val="00B25974"/>
    <w:rsid w:val="00B259D7"/>
    <w:rsid w:val="00B259F4"/>
    <w:rsid w:val="00B25B2B"/>
    <w:rsid w:val="00B25B3C"/>
    <w:rsid w:val="00B25B6D"/>
    <w:rsid w:val="00B25C4E"/>
    <w:rsid w:val="00B25CD6"/>
    <w:rsid w:val="00B25D92"/>
    <w:rsid w:val="00B25DE4"/>
    <w:rsid w:val="00B25DF0"/>
    <w:rsid w:val="00B25DF7"/>
    <w:rsid w:val="00B25DFB"/>
    <w:rsid w:val="00B25E29"/>
    <w:rsid w:val="00B25E30"/>
    <w:rsid w:val="00B25E81"/>
    <w:rsid w:val="00B25F2B"/>
    <w:rsid w:val="00B25F38"/>
    <w:rsid w:val="00B25FB2"/>
    <w:rsid w:val="00B2600C"/>
    <w:rsid w:val="00B26058"/>
    <w:rsid w:val="00B26059"/>
    <w:rsid w:val="00B260FB"/>
    <w:rsid w:val="00B261B4"/>
    <w:rsid w:val="00B2623D"/>
    <w:rsid w:val="00B2625C"/>
    <w:rsid w:val="00B2629F"/>
    <w:rsid w:val="00B262CF"/>
    <w:rsid w:val="00B263B3"/>
    <w:rsid w:val="00B263C9"/>
    <w:rsid w:val="00B263D5"/>
    <w:rsid w:val="00B26529"/>
    <w:rsid w:val="00B265AE"/>
    <w:rsid w:val="00B265EE"/>
    <w:rsid w:val="00B26610"/>
    <w:rsid w:val="00B26678"/>
    <w:rsid w:val="00B2672D"/>
    <w:rsid w:val="00B26790"/>
    <w:rsid w:val="00B267C6"/>
    <w:rsid w:val="00B267DC"/>
    <w:rsid w:val="00B2681C"/>
    <w:rsid w:val="00B2687D"/>
    <w:rsid w:val="00B268AB"/>
    <w:rsid w:val="00B2695B"/>
    <w:rsid w:val="00B26963"/>
    <w:rsid w:val="00B26AC7"/>
    <w:rsid w:val="00B26B1A"/>
    <w:rsid w:val="00B26B1F"/>
    <w:rsid w:val="00B26B2B"/>
    <w:rsid w:val="00B26B85"/>
    <w:rsid w:val="00B26B91"/>
    <w:rsid w:val="00B26BA0"/>
    <w:rsid w:val="00B26C27"/>
    <w:rsid w:val="00B26CC1"/>
    <w:rsid w:val="00B26D1D"/>
    <w:rsid w:val="00B26E43"/>
    <w:rsid w:val="00B26E8A"/>
    <w:rsid w:val="00B26F35"/>
    <w:rsid w:val="00B26F5F"/>
    <w:rsid w:val="00B26FA9"/>
    <w:rsid w:val="00B26FCD"/>
    <w:rsid w:val="00B26FDA"/>
    <w:rsid w:val="00B27024"/>
    <w:rsid w:val="00B2702C"/>
    <w:rsid w:val="00B27076"/>
    <w:rsid w:val="00B2707C"/>
    <w:rsid w:val="00B2707E"/>
    <w:rsid w:val="00B270BF"/>
    <w:rsid w:val="00B27108"/>
    <w:rsid w:val="00B2716F"/>
    <w:rsid w:val="00B271E4"/>
    <w:rsid w:val="00B2728C"/>
    <w:rsid w:val="00B272D7"/>
    <w:rsid w:val="00B27345"/>
    <w:rsid w:val="00B2734F"/>
    <w:rsid w:val="00B27405"/>
    <w:rsid w:val="00B2743C"/>
    <w:rsid w:val="00B2748A"/>
    <w:rsid w:val="00B274F3"/>
    <w:rsid w:val="00B27537"/>
    <w:rsid w:val="00B2759F"/>
    <w:rsid w:val="00B275F1"/>
    <w:rsid w:val="00B276B3"/>
    <w:rsid w:val="00B27714"/>
    <w:rsid w:val="00B27778"/>
    <w:rsid w:val="00B2778D"/>
    <w:rsid w:val="00B2780C"/>
    <w:rsid w:val="00B279A3"/>
    <w:rsid w:val="00B279BD"/>
    <w:rsid w:val="00B27A39"/>
    <w:rsid w:val="00B27AAD"/>
    <w:rsid w:val="00B27AD5"/>
    <w:rsid w:val="00B27ADD"/>
    <w:rsid w:val="00B27AF6"/>
    <w:rsid w:val="00B27B0D"/>
    <w:rsid w:val="00B27B17"/>
    <w:rsid w:val="00B27B41"/>
    <w:rsid w:val="00B27BE6"/>
    <w:rsid w:val="00B27C78"/>
    <w:rsid w:val="00B27D06"/>
    <w:rsid w:val="00B27D2A"/>
    <w:rsid w:val="00B27D99"/>
    <w:rsid w:val="00B27DB3"/>
    <w:rsid w:val="00B27DB4"/>
    <w:rsid w:val="00B27DD8"/>
    <w:rsid w:val="00B27DDF"/>
    <w:rsid w:val="00B27EC1"/>
    <w:rsid w:val="00B27F8E"/>
    <w:rsid w:val="00B27FD8"/>
    <w:rsid w:val="00B27FDB"/>
    <w:rsid w:val="00B27FE5"/>
    <w:rsid w:val="00B27FEB"/>
    <w:rsid w:val="00B27FED"/>
    <w:rsid w:val="00B27FFC"/>
    <w:rsid w:val="00B30037"/>
    <w:rsid w:val="00B3005E"/>
    <w:rsid w:val="00B30093"/>
    <w:rsid w:val="00B301A5"/>
    <w:rsid w:val="00B30238"/>
    <w:rsid w:val="00B30240"/>
    <w:rsid w:val="00B302FE"/>
    <w:rsid w:val="00B3031D"/>
    <w:rsid w:val="00B30375"/>
    <w:rsid w:val="00B30494"/>
    <w:rsid w:val="00B304A6"/>
    <w:rsid w:val="00B304D0"/>
    <w:rsid w:val="00B305B3"/>
    <w:rsid w:val="00B30648"/>
    <w:rsid w:val="00B30672"/>
    <w:rsid w:val="00B306D0"/>
    <w:rsid w:val="00B306FC"/>
    <w:rsid w:val="00B3085E"/>
    <w:rsid w:val="00B30917"/>
    <w:rsid w:val="00B30938"/>
    <w:rsid w:val="00B3095A"/>
    <w:rsid w:val="00B3098E"/>
    <w:rsid w:val="00B309A5"/>
    <w:rsid w:val="00B309E5"/>
    <w:rsid w:val="00B30A20"/>
    <w:rsid w:val="00B30BF7"/>
    <w:rsid w:val="00B30BFD"/>
    <w:rsid w:val="00B30C61"/>
    <w:rsid w:val="00B30CDF"/>
    <w:rsid w:val="00B30DA0"/>
    <w:rsid w:val="00B30E06"/>
    <w:rsid w:val="00B30EBE"/>
    <w:rsid w:val="00B30EE0"/>
    <w:rsid w:val="00B30F04"/>
    <w:rsid w:val="00B30F15"/>
    <w:rsid w:val="00B30F4B"/>
    <w:rsid w:val="00B3101C"/>
    <w:rsid w:val="00B3107A"/>
    <w:rsid w:val="00B31095"/>
    <w:rsid w:val="00B310B1"/>
    <w:rsid w:val="00B31131"/>
    <w:rsid w:val="00B3114B"/>
    <w:rsid w:val="00B31165"/>
    <w:rsid w:val="00B31185"/>
    <w:rsid w:val="00B311AC"/>
    <w:rsid w:val="00B311BC"/>
    <w:rsid w:val="00B3122C"/>
    <w:rsid w:val="00B31238"/>
    <w:rsid w:val="00B31239"/>
    <w:rsid w:val="00B31252"/>
    <w:rsid w:val="00B3127A"/>
    <w:rsid w:val="00B312B6"/>
    <w:rsid w:val="00B312EC"/>
    <w:rsid w:val="00B31357"/>
    <w:rsid w:val="00B31368"/>
    <w:rsid w:val="00B3136B"/>
    <w:rsid w:val="00B31435"/>
    <w:rsid w:val="00B3144D"/>
    <w:rsid w:val="00B31491"/>
    <w:rsid w:val="00B314A1"/>
    <w:rsid w:val="00B314CC"/>
    <w:rsid w:val="00B316AC"/>
    <w:rsid w:val="00B31733"/>
    <w:rsid w:val="00B3177B"/>
    <w:rsid w:val="00B317AE"/>
    <w:rsid w:val="00B317B6"/>
    <w:rsid w:val="00B31995"/>
    <w:rsid w:val="00B319DD"/>
    <w:rsid w:val="00B319E8"/>
    <w:rsid w:val="00B31A0C"/>
    <w:rsid w:val="00B31A98"/>
    <w:rsid w:val="00B31AEC"/>
    <w:rsid w:val="00B31B14"/>
    <w:rsid w:val="00B31B6B"/>
    <w:rsid w:val="00B31B6F"/>
    <w:rsid w:val="00B31B9A"/>
    <w:rsid w:val="00B31BA5"/>
    <w:rsid w:val="00B31BDB"/>
    <w:rsid w:val="00B31BF0"/>
    <w:rsid w:val="00B31C00"/>
    <w:rsid w:val="00B31C0D"/>
    <w:rsid w:val="00B31C51"/>
    <w:rsid w:val="00B31C66"/>
    <w:rsid w:val="00B31CBD"/>
    <w:rsid w:val="00B31CDA"/>
    <w:rsid w:val="00B31D37"/>
    <w:rsid w:val="00B31D92"/>
    <w:rsid w:val="00B31D9F"/>
    <w:rsid w:val="00B31DC8"/>
    <w:rsid w:val="00B31DDF"/>
    <w:rsid w:val="00B31E18"/>
    <w:rsid w:val="00B31E3E"/>
    <w:rsid w:val="00B31E9F"/>
    <w:rsid w:val="00B31ECB"/>
    <w:rsid w:val="00B3206A"/>
    <w:rsid w:val="00B320EB"/>
    <w:rsid w:val="00B32142"/>
    <w:rsid w:val="00B3215F"/>
    <w:rsid w:val="00B321A4"/>
    <w:rsid w:val="00B32244"/>
    <w:rsid w:val="00B32269"/>
    <w:rsid w:val="00B322B7"/>
    <w:rsid w:val="00B32383"/>
    <w:rsid w:val="00B3239F"/>
    <w:rsid w:val="00B323CF"/>
    <w:rsid w:val="00B32404"/>
    <w:rsid w:val="00B32421"/>
    <w:rsid w:val="00B32435"/>
    <w:rsid w:val="00B324C1"/>
    <w:rsid w:val="00B324DD"/>
    <w:rsid w:val="00B3250F"/>
    <w:rsid w:val="00B32606"/>
    <w:rsid w:val="00B32629"/>
    <w:rsid w:val="00B32680"/>
    <w:rsid w:val="00B32682"/>
    <w:rsid w:val="00B32693"/>
    <w:rsid w:val="00B3269F"/>
    <w:rsid w:val="00B32768"/>
    <w:rsid w:val="00B3279F"/>
    <w:rsid w:val="00B327C2"/>
    <w:rsid w:val="00B3283B"/>
    <w:rsid w:val="00B3289F"/>
    <w:rsid w:val="00B328C4"/>
    <w:rsid w:val="00B329E0"/>
    <w:rsid w:val="00B329F7"/>
    <w:rsid w:val="00B32A3F"/>
    <w:rsid w:val="00B32A90"/>
    <w:rsid w:val="00B32ABE"/>
    <w:rsid w:val="00B32B46"/>
    <w:rsid w:val="00B32B58"/>
    <w:rsid w:val="00B32BAD"/>
    <w:rsid w:val="00B32C20"/>
    <w:rsid w:val="00B32C43"/>
    <w:rsid w:val="00B32C52"/>
    <w:rsid w:val="00B32CF0"/>
    <w:rsid w:val="00B32CF6"/>
    <w:rsid w:val="00B32D07"/>
    <w:rsid w:val="00B32E70"/>
    <w:rsid w:val="00B32EB0"/>
    <w:rsid w:val="00B32F50"/>
    <w:rsid w:val="00B32F88"/>
    <w:rsid w:val="00B32F98"/>
    <w:rsid w:val="00B3307F"/>
    <w:rsid w:val="00B330A0"/>
    <w:rsid w:val="00B33128"/>
    <w:rsid w:val="00B33132"/>
    <w:rsid w:val="00B33139"/>
    <w:rsid w:val="00B33173"/>
    <w:rsid w:val="00B33271"/>
    <w:rsid w:val="00B3332B"/>
    <w:rsid w:val="00B3337A"/>
    <w:rsid w:val="00B3342F"/>
    <w:rsid w:val="00B33442"/>
    <w:rsid w:val="00B33578"/>
    <w:rsid w:val="00B3357B"/>
    <w:rsid w:val="00B3358A"/>
    <w:rsid w:val="00B33590"/>
    <w:rsid w:val="00B33630"/>
    <w:rsid w:val="00B33650"/>
    <w:rsid w:val="00B33693"/>
    <w:rsid w:val="00B336CB"/>
    <w:rsid w:val="00B336F8"/>
    <w:rsid w:val="00B3374A"/>
    <w:rsid w:val="00B33786"/>
    <w:rsid w:val="00B33807"/>
    <w:rsid w:val="00B3386E"/>
    <w:rsid w:val="00B33885"/>
    <w:rsid w:val="00B338A2"/>
    <w:rsid w:val="00B338E0"/>
    <w:rsid w:val="00B338EE"/>
    <w:rsid w:val="00B33982"/>
    <w:rsid w:val="00B339A9"/>
    <w:rsid w:val="00B339C7"/>
    <w:rsid w:val="00B33B3F"/>
    <w:rsid w:val="00B33B70"/>
    <w:rsid w:val="00B33B97"/>
    <w:rsid w:val="00B33B9A"/>
    <w:rsid w:val="00B33BD1"/>
    <w:rsid w:val="00B33C78"/>
    <w:rsid w:val="00B33CCC"/>
    <w:rsid w:val="00B33D4E"/>
    <w:rsid w:val="00B33DC7"/>
    <w:rsid w:val="00B33E00"/>
    <w:rsid w:val="00B33E31"/>
    <w:rsid w:val="00B33E36"/>
    <w:rsid w:val="00B33EDA"/>
    <w:rsid w:val="00B3404E"/>
    <w:rsid w:val="00B34079"/>
    <w:rsid w:val="00B34088"/>
    <w:rsid w:val="00B34094"/>
    <w:rsid w:val="00B3409D"/>
    <w:rsid w:val="00B340BE"/>
    <w:rsid w:val="00B34132"/>
    <w:rsid w:val="00B341C4"/>
    <w:rsid w:val="00B341EE"/>
    <w:rsid w:val="00B3432B"/>
    <w:rsid w:val="00B34374"/>
    <w:rsid w:val="00B343B1"/>
    <w:rsid w:val="00B3443B"/>
    <w:rsid w:val="00B34457"/>
    <w:rsid w:val="00B3446C"/>
    <w:rsid w:val="00B344F2"/>
    <w:rsid w:val="00B34505"/>
    <w:rsid w:val="00B34573"/>
    <w:rsid w:val="00B345A6"/>
    <w:rsid w:val="00B34606"/>
    <w:rsid w:val="00B34640"/>
    <w:rsid w:val="00B346F9"/>
    <w:rsid w:val="00B3479D"/>
    <w:rsid w:val="00B3485C"/>
    <w:rsid w:val="00B34885"/>
    <w:rsid w:val="00B348FF"/>
    <w:rsid w:val="00B34975"/>
    <w:rsid w:val="00B349C5"/>
    <w:rsid w:val="00B34A51"/>
    <w:rsid w:val="00B34A5B"/>
    <w:rsid w:val="00B34A6E"/>
    <w:rsid w:val="00B34B89"/>
    <w:rsid w:val="00B34B9A"/>
    <w:rsid w:val="00B34BEC"/>
    <w:rsid w:val="00B34BF3"/>
    <w:rsid w:val="00B34C93"/>
    <w:rsid w:val="00B34D0E"/>
    <w:rsid w:val="00B34D6B"/>
    <w:rsid w:val="00B34E68"/>
    <w:rsid w:val="00B34E74"/>
    <w:rsid w:val="00B34ECE"/>
    <w:rsid w:val="00B34F19"/>
    <w:rsid w:val="00B34F34"/>
    <w:rsid w:val="00B3509E"/>
    <w:rsid w:val="00B3512A"/>
    <w:rsid w:val="00B35143"/>
    <w:rsid w:val="00B351DC"/>
    <w:rsid w:val="00B351E0"/>
    <w:rsid w:val="00B35225"/>
    <w:rsid w:val="00B3522C"/>
    <w:rsid w:val="00B3526B"/>
    <w:rsid w:val="00B352E5"/>
    <w:rsid w:val="00B35314"/>
    <w:rsid w:val="00B3543B"/>
    <w:rsid w:val="00B3554D"/>
    <w:rsid w:val="00B35562"/>
    <w:rsid w:val="00B35598"/>
    <w:rsid w:val="00B35616"/>
    <w:rsid w:val="00B3571B"/>
    <w:rsid w:val="00B35772"/>
    <w:rsid w:val="00B3579E"/>
    <w:rsid w:val="00B3589F"/>
    <w:rsid w:val="00B358C9"/>
    <w:rsid w:val="00B3594E"/>
    <w:rsid w:val="00B35976"/>
    <w:rsid w:val="00B35980"/>
    <w:rsid w:val="00B35A14"/>
    <w:rsid w:val="00B35B52"/>
    <w:rsid w:val="00B35B71"/>
    <w:rsid w:val="00B35BC7"/>
    <w:rsid w:val="00B35BD4"/>
    <w:rsid w:val="00B35BED"/>
    <w:rsid w:val="00B35C9A"/>
    <w:rsid w:val="00B35CB9"/>
    <w:rsid w:val="00B35D51"/>
    <w:rsid w:val="00B35DC6"/>
    <w:rsid w:val="00B35DD5"/>
    <w:rsid w:val="00B35DD6"/>
    <w:rsid w:val="00B35E95"/>
    <w:rsid w:val="00B35EA0"/>
    <w:rsid w:val="00B35EA8"/>
    <w:rsid w:val="00B35ECC"/>
    <w:rsid w:val="00B35ED4"/>
    <w:rsid w:val="00B35EF4"/>
    <w:rsid w:val="00B35F56"/>
    <w:rsid w:val="00B36088"/>
    <w:rsid w:val="00B360AE"/>
    <w:rsid w:val="00B360C8"/>
    <w:rsid w:val="00B360D8"/>
    <w:rsid w:val="00B360E3"/>
    <w:rsid w:val="00B3612B"/>
    <w:rsid w:val="00B36152"/>
    <w:rsid w:val="00B36192"/>
    <w:rsid w:val="00B361B9"/>
    <w:rsid w:val="00B361CB"/>
    <w:rsid w:val="00B361CC"/>
    <w:rsid w:val="00B361E2"/>
    <w:rsid w:val="00B3620A"/>
    <w:rsid w:val="00B36292"/>
    <w:rsid w:val="00B362B1"/>
    <w:rsid w:val="00B36314"/>
    <w:rsid w:val="00B36335"/>
    <w:rsid w:val="00B363AD"/>
    <w:rsid w:val="00B364E6"/>
    <w:rsid w:val="00B36610"/>
    <w:rsid w:val="00B3666B"/>
    <w:rsid w:val="00B366C8"/>
    <w:rsid w:val="00B36725"/>
    <w:rsid w:val="00B3674A"/>
    <w:rsid w:val="00B3678B"/>
    <w:rsid w:val="00B367CE"/>
    <w:rsid w:val="00B3681A"/>
    <w:rsid w:val="00B36945"/>
    <w:rsid w:val="00B36AD4"/>
    <w:rsid w:val="00B36AE8"/>
    <w:rsid w:val="00B36AF0"/>
    <w:rsid w:val="00B36AFA"/>
    <w:rsid w:val="00B36C5C"/>
    <w:rsid w:val="00B36C98"/>
    <w:rsid w:val="00B36C9C"/>
    <w:rsid w:val="00B36D0C"/>
    <w:rsid w:val="00B36D17"/>
    <w:rsid w:val="00B36D19"/>
    <w:rsid w:val="00B36EFD"/>
    <w:rsid w:val="00B36F65"/>
    <w:rsid w:val="00B36FE0"/>
    <w:rsid w:val="00B37034"/>
    <w:rsid w:val="00B3708C"/>
    <w:rsid w:val="00B370ED"/>
    <w:rsid w:val="00B371A1"/>
    <w:rsid w:val="00B371F7"/>
    <w:rsid w:val="00B371FD"/>
    <w:rsid w:val="00B37220"/>
    <w:rsid w:val="00B37252"/>
    <w:rsid w:val="00B37254"/>
    <w:rsid w:val="00B3728E"/>
    <w:rsid w:val="00B372C9"/>
    <w:rsid w:val="00B372F6"/>
    <w:rsid w:val="00B3744B"/>
    <w:rsid w:val="00B37609"/>
    <w:rsid w:val="00B37687"/>
    <w:rsid w:val="00B3770A"/>
    <w:rsid w:val="00B37784"/>
    <w:rsid w:val="00B37829"/>
    <w:rsid w:val="00B37847"/>
    <w:rsid w:val="00B37888"/>
    <w:rsid w:val="00B378E8"/>
    <w:rsid w:val="00B37960"/>
    <w:rsid w:val="00B37A3E"/>
    <w:rsid w:val="00B37A70"/>
    <w:rsid w:val="00B37AFE"/>
    <w:rsid w:val="00B37B37"/>
    <w:rsid w:val="00B37B61"/>
    <w:rsid w:val="00B37BA3"/>
    <w:rsid w:val="00B37BBD"/>
    <w:rsid w:val="00B37BF1"/>
    <w:rsid w:val="00B37C2C"/>
    <w:rsid w:val="00B37CC3"/>
    <w:rsid w:val="00B37D42"/>
    <w:rsid w:val="00B37DBC"/>
    <w:rsid w:val="00B37E78"/>
    <w:rsid w:val="00B37E8F"/>
    <w:rsid w:val="00B37F15"/>
    <w:rsid w:val="00B400A6"/>
    <w:rsid w:val="00B400E0"/>
    <w:rsid w:val="00B401EB"/>
    <w:rsid w:val="00B40210"/>
    <w:rsid w:val="00B40227"/>
    <w:rsid w:val="00B4023B"/>
    <w:rsid w:val="00B402F5"/>
    <w:rsid w:val="00B40389"/>
    <w:rsid w:val="00B403CD"/>
    <w:rsid w:val="00B403F6"/>
    <w:rsid w:val="00B40406"/>
    <w:rsid w:val="00B40407"/>
    <w:rsid w:val="00B40446"/>
    <w:rsid w:val="00B40460"/>
    <w:rsid w:val="00B40509"/>
    <w:rsid w:val="00B4051D"/>
    <w:rsid w:val="00B40534"/>
    <w:rsid w:val="00B40556"/>
    <w:rsid w:val="00B405B6"/>
    <w:rsid w:val="00B407A4"/>
    <w:rsid w:val="00B40825"/>
    <w:rsid w:val="00B40834"/>
    <w:rsid w:val="00B4083A"/>
    <w:rsid w:val="00B40912"/>
    <w:rsid w:val="00B4093B"/>
    <w:rsid w:val="00B409E4"/>
    <w:rsid w:val="00B40B1C"/>
    <w:rsid w:val="00B40B47"/>
    <w:rsid w:val="00B40BAF"/>
    <w:rsid w:val="00B40BDB"/>
    <w:rsid w:val="00B40CDC"/>
    <w:rsid w:val="00B40D05"/>
    <w:rsid w:val="00B40D94"/>
    <w:rsid w:val="00B40E9A"/>
    <w:rsid w:val="00B40FAB"/>
    <w:rsid w:val="00B4119B"/>
    <w:rsid w:val="00B411BE"/>
    <w:rsid w:val="00B41215"/>
    <w:rsid w:val="00B4124F"/>
    <w:rsid w:val="00B41287"/>
    <w:rsid w:val="00B41338"/>
    <w:rsid w:val="00B413B5"/>
    <w:rsid w:val="00B413B8"/>
    <w:rsid w:val="00B413BA"/>
    <w:rsid w:val="00B413C6"/>
    <w:rsid w:val="00B4146A"/>
    <w:rsid w:val="00B41471"/>
    <w:rsid w:val="00B41472"/>
    <w:rsid w:val="00B41597"/>
    <w:rsid w:val="00B4160F"/>
    <w:rsid w:val="00B4165D"/>
    <w:rsid w:val="00B4167E"/>
    <w:rsid w:val="00B417A2"/>
    <w:rsid w:val="00B4180C"/>
    <w:rsid w:val="00B41810"/>
    <w:rsid w:val="00B41851"/>
    <w:rsid w:val="00B4188B"/>
    <w:rsid w:val="00B418E5"/>
    <w:rsid w:val="00B419E8"/>
    <w:rsid w:val="00B41A34"/>
    <w:rsid w:val="00B41A86"/>
    <w:rsid w:val="00B41B17"/>
    <w:rsid w:val="00B41B35"/>
    <w:rsid w:val="00B41B3E"/>
    <w:rsid w:val="00B41BC4"/>
    <w:rsid w:val="00B41C10"/>
    <w:rsid w:val="00B41CA0"/>
    <w:rsid w:val="00B41CBB"/>
    <w:rsid w:val="00B41CCC"/>
    <w:rsid w:val="00B41D09"/>
    <w:rsid w:val="00B41D2E"/>
    <w:rsid w:val="00B41D7B"/>
    <w:rsid w:val="00B41D7C"/>
    <w:rsid w:val="00B41DA6"/>
    <w:rsid w:val="00B41DC6"/>
    <w:rsid w:val="00B41DD7"/>
    <w:rsid w:val="00B41E3A"/>
    <w:rsid w:val="00B41EDE"/>
    <w:rsid w:val="00B41F33"/>
    <w:rsid w:val="00B41F5F"/>
    <w:rsid w:val="00B41F69"/>
    <w:rsid w:val="00B41F8B"/>
    <w:rsid w:val="00B41F94"/>
    <w:rsid w:val="00B41F99"/>
    <w:rsid w:val="00B41FE5"/>
    <w:rsid w:val="00B42082"/>
    <w:rsid w:val="00B420AA"/>
    <w:rsid w:val="00B420CD"/>
    <w:rsid w:val="00B42150"/>
    <w:rsid w:val="00B42161"/>
    <w:rsid w:val="00B4217F"/>
    <w:rsid w:val="00B421B6"/>
    <w:rsid w:val="00B421BA"/>
    <w:rsid w:val="00B421EC"/>
    <w:rsid w:val="00B4225C"/>
    <w:rsid w:val="00B422C1"/>
    <w:rsid w:val="00B422EF"/>
    <w:rsid w:val="00B4240B"/>
    <w:rsid w:val="00B42418"/>
    <w:rsid w:val="00B4243B"/>
    <w:rsid w:val="00B42447"/>
    <w:rsid w:val="00B42487"/>
    <w:rsid w:val="00B42497"/>
    <w:rsid w:val="00B424AB"/>
    <w:rsid w:val="00B42523"/>
    <w:rsid w:val="00B4252F"/>
    <w:rsid w:val="00B4254C"/>
    <w:rsid w:val="00B425F9"/>
    <w:rsid w:val="00B4262B"/>
    <w:rsid w:val="00B42708"/>
    <w:rsid w:val="00B42711"/>
    <w:rsid w:val="00B4271A"/>
    <w:rsid w:val="00B42733"/>
    <w:rsid w:val="00B42759"/>
    <w:rsid w:val="00B4276B"/>
    <w:rsid w:val="00B4282E"/>
    <w:rsid w:val="00B42877"/>
    <w:rsid w:val="00B428FF"/>
    <w:rsid w:val="00B42967"/>
    <w:rsid w:val="00B4299E"/>
    <w:rsid w:val="00B42A1C"/>
    <w:rsid w:val="00B42AD8"/>
    <w:rsid w:val="00B42BE6"/>
    <w:rsid w:val="00B42C46"/>
    <w:rsid w:val="00B42C78"/>
    <w:rsid w:val="00B42DB8"/>
    <w:rsid w:val="00B42E05"/>
    <w:rsid w:val="00B42E1B"/>
    <w:rsid w:val="00B42F2E"/>
    <w:rsid w:val="00B42F79"/>
    <w:rsid w:val="00B42FFC"/>
    <w:rsid w:val="00B430D7"/>
    <w:rsid w:val="00B43155"/>
    <w:rsid w:val="00B43166"/>
    <w:rsid w:val="00B431A5"/>
    <w:rsid w:val="00B431C0"/>
    <w:rsid w:val="00B43206"/>
    <w:rsid w:val="00B4321D"/>
    <w:rsid w:val="00B43235"/>
    <w:rsid w:val="00B43260"/>
    <w:rsid w:val="00B4329B"/>
    <w:rsid w:val="00B43304"/>
    <w:rsid w:val="00B43368"/>
    <w:rsid w:val="00B4340D"/>
    <w:rsid w:val="00B434C8"/>
    <w:rsid w:val="00B434EF"/>
    <w:rsid w:val="00B43567"/>
    <w:rsid w:val="00B43573"/>
    <w:rsid w:val="00B435C9"/>
    <w:rsid w:val="00B43612"/>
    <w:rsid w:val="00B43692"/>
    <w:rsid w:val="00B436A9"/>
    <w:rsid w:val="00B43896"/>
    <w:rsid w:val="00B4391A"/>
    <w:rsid w:val="00B4398C"/>
    <w:rsid w:val="00B439CC"/>
    <w:rsid w:val="00B439E1"/>
    <w:rsid w:val="00B439ED"/>
    <w:rsid w:val="00B43A26"/>
    <w:rsid w:val="00B43A8E"/>
    <w:rsid w:val="00B43AF6"/>
    <w:rsid w:val="00B43B26"/>
    <w:rsid w:val="00B43BAF"/>
    <w:rsid w:val="00B43CAA"/>
    <w:rsid w:val="00B43D4F"/>
    <w:rsid w:val="00B43D6A"/>
    <w:rsid w:val="00B43DF1"/>
    <w:rsid w:val="00B43E16"/>
    <w:rsid w:val="00B43E20"/>
    <w:rsid w:val="00B43E3A"/>
    <w:rsid w:val="00B43E49"/>
    <w:rsid w:val="00B43EB8"/>
    <w:rsid w:val="00B43F09"/>
    <w:rsid w:val="00B43FA8"/>
    <w:rsid w:val="00B440CF"/>
    <w:rsid w:val="00B440F9"/>
    <w:rsid w:val="00B44190"/>
    <w:rsid w:val="00B441B2"/>
    <w:rsid w:val="00B441F2"/>
    <w:rsid w:val="00B44279"/>
    <w:rsid w:val="00B443B8"/>
    <w:rsid w:val="00B443CD"/>
    <w:rsid w:val="00B443ED"/>
    <w:rsid w:val="00B44468"/>
    <w:rsid w:val="00B446BD"/>
    <w:rsid w:val="00B446DF"/>
    <w:rsid w:val="00B44704"/>
    <w:rsid w:val="00B4470D"/>
    <w:rsid w:val="00B44834"/>
    <w:rsid w:val="00B448C9"/>
    <w:rsid w:val="00B448D7"/>
    <w:rsid w:val="00B4495A"/>
    <w:rsid w:val="00B44974"/>
    <w:rsid w:val="00B4497B"/>
    <w:rsid w:val="00B4499F"/>
    <w:rsid w:val="00B44AAD"/>
    <w:rsid w:val="00B44B03"/>
    <w:rsid w:val="00B44B8C"/>
    <w:rsid w:val="00B44BDA"/>
    <w:rsid w:val="00B44D3C"/>
    <w:rsid w:val="00B44D87"/>
    <w:rsid w:val="00B44DA8"/>
    <w:rsid w:val="00B44E44"/>
    <w:rsid w:val="00B44E49"/>
    <w:rsid w:val="00B44F48"/>
    <w:rsid w:val="00B44FC4"/>
    <w:rsid w:val="00B4501A"/>
    <w:rsid w:val="00B45080"/>
    <w:rsid w:val="00B45092"/>
    <w:rsid w:val="00B45102"/>
    <w:rsid w:val="00B45150"/>
    <w:rsid w:val="00B45165"/>
    <w:rsid w:val="00B451D4"/>
    <w:rsid w:val="00B451D9"/>
    <w:rsid w:val="00B45247"/>
    <w:rsid w:val="00B45275"/>
    <w:rsid w:val="00B452CB"/>
    <w:rsid w:val="00B4535B"/>
    <w:rsid w:val="00B4537A"/>
    <w:rsid w:val="00B4537D"/>
    <w:rsid w:val="00B4541F"/>
    <w:rsid w:val="00B454B7"/>
    <w:rsid w:val="00B45515"/>
    <w:rsid w:val="00B4557A"/>
    <w:rsid w:val="00B455D6"/>
    <w:rsid w:val="00B4577E"/>
    <w:rsid w:val="00B457C1"/>
    <w:rsid w:val="00B457FF"/>
    <w:rsid w:val="00B4581B"/>
    <w:rsid w:val="00B45857"/>
    <w:rsid w:val="00B458A7"/>
    <w:rsid w:val="00B459A9"/>
    <w:rsid w:val="00B459B4"/>
    <w:rsid w:val="00B45A74"/>
    <w:rsid w:val="00B45AE2"/>
    <w:rsid w:val="00B45B60"/>
    <w:rsid w:val="00B45B89"/>
    <w:rsid w:val="00B45BF4"/>
    <w:rsid w:val="00B45C70"/>
    <w:rsid w:val="00B45C86"/>
    <w:rsid w:val="00B45D10"/>
    <w:rsid w:val="00B45D4D"/>
    <w:rsid w:val="00B45D74"/>
    <w:rsid w:val="00B45DD7"/>
    <w:rsid w:val="00B45E48"/>
    <w:rsid w:val="00B45F84"/>
    <w:rsid w:val="00B45F97"/>
    <w:rsid w:val="00B45FCF"/>
    <w:rsid w:val="00B46039"/>
    <w:rsid w:val="00B4603B"/>
    <w:rsid w:val="00B46073"/>
    <w:rsid w:val="00B46124"/>
    <w:rsid w:val="00B4613C"/>
    <w:rsid w:val="00B46187"/>
    <w:rsid w:val="00B4618F"/>
    <w:rsid w:val="00B46236"/>
    <w:rsid w:val="00B46244"/>
    <w:rsid w:val="00B46275"/>
    <w:rsid w:val="00B462C2"/>
    <w:rsid w:val="00B46334"/>
    <w:rsid w:val="00B46352"/>
    <w:rsid w:val="00B463C5"/>
    <w:rsid w:val="00B463D8"/>
    <w:rsid w:val="00B464B5"/>
    <w:rsid w:val="00B4657A"/>
    <w:rsid w:val="00B4665F"/>
    <w:rsid w:val="00B46677"/>
    <w:rsid w:val="00B4672D"/>
    <w:rsid w:val="00B46740"/>
    <w:rsid w:val="00B467D9"/>
    <w:rsid w:val="00B4680F"/>
    <w:rsid w:val="00B4681F"/>
    <w:rsid w:val="00B46900"/>
    <w:rsid w:val="00B46933"/>
    <w:rsid w:val="00B46A3A"/>
    <w:rsid w:val="00B46A78"/>
    <w:rsid w:val="00B46A9A"/>
    <w:rsid w:val="00B46AFA"/>
    <w:rsid w:val="00B46B2D"/>
    <w:rsid w:val="00B46B3F"/>
    <w:rsid w:val="00B46B4F"/>
    <w:rsid w:val="00B46BB3"/>
    <w:rsid w:val="00B46BBC"/>
    <w:rsid w:val="00B46C29"/>
    <w:rsid w:val="00B46C98"/>
    <w:rsid w:val="00B46CDE"/>
    <w:rsid w:val="00B46D25"/>
    <w:rsid w:val="00B46D38"/>
    <w:rsid w:val="00B46DAD"/>
    <w:rsid w:val="00B46E90"/>
    <w:rsid w:val="00B46FBB"/>
    <w:rsid w:val="00B46FCC"/>
    <w:rsid w:val="00B4703A"/>
    <w:rsid w:val="00B4703F"/>
    <w:rsid w:val="00B4708D"/>
    <w:rsid w:val="00B470C9"/>
    <w:rsid w:val="00B471AC"/>
    <w:rsid w:val="00B471EE"/>
    <w:rsid w:val="00B47236"/>
    <w:rsid w:val="00B4728D"/>
    <w:rsid w:val="00B472AC"/>
    <w:rsid w:val="00B472EC"/>
    <w:rsid w:val="00B4733C"/>
    <w:rsid w:val="00B47374"/>
    <w:rsid w:val="00B474BE"/>
    <w:rsid w:val="00B474D7"/>
    <w:rsid w:val="00B47524"/>
    <w:rsid w:val="00B475EA"/>
    <w:rsid w:val="00B47648"/>
    <w:rsid w:val="00B4764D"/>
    <w:rsid w:val="00B47678"/>
    <w:rsid w:val="00B476C3"/>
    <w:rsid w:val="00B476E9"/>
    <w:rsid w:val="00B4780D"/>
    <w:rsid w:val="00B47812"/>
    <w:rsid w:val="00B47826"/>
    <w:rsid w:val="00B478D7"/>
    <w:rsid w:val="00B478DB"/>
    <w:rsid w:val="00B47A17"/>
    <w:rsid w:val="00B47A95"/>
    <w:rsid w:val="00B47ADA"/>
    <w:rsid w:val="00B47AF3"/>
    <w:rsid w:val="00B47B27"/>
    <w:rsid w:val="00B47B77"/>
    <w:rsid w:val="00B47B81"/>
    <w:rsid w:val="00B47B86"/>
    <w:rsid w:val="00B47BF9"/>
    <w:rsid w:val="00B47E6B"/>
    <w:rsid w:val="00B47E92"/>
    <w:rsid w:val="00B47EE2"/>
    <w:rsid w:val="00B47EEC"/>
    <w:rsid w:val="00B47F8B"/>
    <w:rsid w:val="00B47FC0"/>
    <w:rsid w:val="00B50054"/>
    <w:rsid w:val="00B500F3"/>
    <w:rsid w:val="00B5013A"/>
    <w:rsid w:val="00B5015A"/>
    <w:rsid w:val="00B5016E"/>
    <w:rsid w:val="00B50193"/>
    <w:rsid w:val="00B501C1"/>
    <w:rsid w:val="00B5021B"/>
    <w:rsid w:val="00B50274"/>
    <w:rsid w:val="00B50289"/>
    <w:rsid w:val="00B50297"/>
    <w:rsid w:val="00B502BF"/>
    <w:rsid w:val="00B5030E"/>
    <w:rsid w:val="00B50340"/>
    <w:rsid w:val="00B5034E"/>
    <w:rsid w:val="00B50394"/>
    <w:rsid w:val="00B5047F"/>
    <w:rsid w:val="00B504A7"/>
    <w:rsid w:val="00B50520"/>
    <w:rsid w:val="00B50595"/>
    <w:rsid w:val="00B50662"/>
    <w:rsid w:val="00B5070C"/>
    <w:rsid w:val="00B5073E"/>
    <w:rsid w:val="00B50781"/>
    <w:rsid w:val="00B50860"/>
    <w:rsid w:val="00B5087D"/>
    <w:rsid w:val="00B508B9"/>
    <w:rsid w:val="00B5093C"/>
    <w:rsid w:val="00B50941"/>
    <w:rsid w:val="00B5097A"/>
    <w:rsid w:val="00B50983"/>
    <w:rsid w:val="00B509B1"/>
    <w:rsid w:val="00B509DD"/>
    <w:rsid w:val="00B50A56"/>
    <w:rsid w:val="00B50AF1"/>
    <w:rsid w:val="00B50B2F"/>
    <w:rsid w:val="00B50BC6"/>
    <w:rsid w:val="00B50C00"/>
    <w:rsid w:val="00B50D21"/>
    <w:rsid w:val="00B50D38"/>
    <w:rsid w:val="00B50DDF"/>
    <w:rsid w:val="00B50E44"/>
    <w:rsid w:val="00B50E8C"/>
    <w:rsid w:val="00B50F23"/>
    <w:rsid w:val="00B50F67"/>
    <w:rsid w:val="00B50F6D"/>
    <w:rsid w:val="00B50FA9"/>
    <w:rsid w:val="00B50FC6"/>
    <w:rsid w:val="00B50FFF"/>
    <w:rsid w:val="00B51082"/>
    <w:rsid w:val="00B51153"/>
    <w:rsid w:val="00B51217"/>
    <w:rsid w:val="00B51315"/>
    <w:rsid w:val="00B51322"/>
    <w:rsid w:val="00B51368"/>
    <w:rsid w:val="00B5138C"/>
    <w:rsid w:val="00B5138D"/>
    <w:rsid w:val="00B51406"/>
    <w:rsid w:val="00B5141E"/>
    <w:rsid w:val="00B5145B"/>
    <w:rsid w:val="00B514B5"/>
    <w:rsid w:val="00B51524"/>
    <w:rsid w:val="00B5157A"/>
    <w:rsid w:val="00B51600"/>
    <w:rsid w:val="00B51620"/>
    <w:rsid w:val="00B51680"/>
    <w:rsid w:val="00B516CF"/>
    <w:rsid w:val="00B5170E"/>
    <w:rsid w:val="00B51823"/>
    <w:rsid w:val="00B51895"/>
    <w:rsid w:val="00B518ED"/>
    <w:rsid w:val="00B519B1"/>
    <w:rsid w:val="00B519D8"/>
    <w:rsid w:val="00B51A71"/>
    <w:rsid w:val="00B51A91"/>
    <w:rsid w:val="00B51A9F"/>
    <w:rsid w:val="00B51AA0"/>
    <w:rsid w:val="00B51ACD"/>
    <w:rsid w:val="00B51AFC"/>
    <w:rsid w:val="00B51BA8"/>
    <w:rsid w:val="00B51BFC"/>
    <w:rsid w:val="00B51C24"/>
    <w:rsid w:val="00B51C2D"/>
    <w:rsid w:val="00B51CD1"/>
    <w:rsid w:val="00B51CF9"/>
    <w:rsid w:val="00B51D72"/>
    <w:rsid w:val="00B51D7C"/>
    <w:rsid w:val="00B51D7E"/>
    <w:rsid w:val="00B51DBB"/>
    <w:rsid w:val="00B51DF5"/>
    <w:rsid w:val="00B51E19"/>
    <w:rsid w:val="00B51E26"/>
    <w:rsid w:val="00B51E42"/>
    <w:rsid w:val="00B51EC8"/>
    <w:rsid w:val="00B51F8A"/>
    <w:rsid w:val="00B51F8F"/>
    <w:rsid w:val="00B51F92"/>
    <w:rsid w:val="00B51FF4"/>
    <w:rsid w:val="00B52026"/>
    <w:rsid w:val="00B520F5"/>
    <w:rsid w:val="00B52110"/>
    <w:rsid w:val="00B521A4"/>
    <w:rsid w:val="00B52232"/>
    <w:rsid w:val="00B522C6"/>
    <w:rsid w:val="00B52320"/>
    <w:rsid w:val="00B523CC"/>
    <w:rsid w:val="00B52414"/>
    <w:rsid w:val="00B5244B"/>
    <w:rsid w:val="00B52458"/>
    <w:rsid w:val="00B52479"/>
    <w:rsid w:val="00B524C0"/>
    <w:rsid w:val="00B52568"/>
    <w:rsid w:val="00B525EB"/>
    <w:rsid w:val="00B526D5"/>
    <w:rsid w:val="00B52760"/>
    <w:rsid w:val="00B527BB"/>
    <w:rsid w:val="00B527EF"/>
    <w:rsid w:val="00B52866"/>
    <w:rsid w:val="00B5286B"/>
    <w:rsid w:val="00B52894"/>
    <w:rsid w:val="00B528EE"/>
    <w:rsid w:val="00B52914"/>
    <w:rsid w:val="00B529B3"/>
    <w:rsid w:val="00B529DF"/>
    <w:rsid w:val="00B52A01"/>
    <w:rsid w:val="00B52A8A"/>
    <w:rsid w:val="00B52AC9"/>
    <w:rsid w:val="00B52B0B"/>
    <w:rsid w:val="00B52B6F"/>
    <w:rsid w:val="00B52C3C"/>
    <w:rsid w:val="00B52C70"/>
    <w:rsid w:val="00B52C72"/>
    <w:rsid w:val="00B52C8E"/>
    <w:rsid w:val="00B52CE7"/>
    <w:rsid w:val="00B52D36"/>
    <w:rsid w:val="00B52DE6"/>
    <w:rsid w:val="00B52EE6"/>
    <w:rsid w:val="00B52EF7"/>
    <w:rsid w:val="00B52F07"/>
    <w:rsid w:val="00B52F0F"/>
    <w:rsid w:val="00B52F17"/>
    <w:rsid w:val="00B52F49"/>
    <w:rsid w:val="00B52F57"/>
    <w:rsid w:val="00B52F83"/>
    <w:rsid w:val="00B52F94"/>
    <w:rsid w:val="00B52FAF"/>
    <w:rsid w:val="00B52FC9"/>
    <w:rsid w:val="00B5302A"/>
    <w:rsid w:val="00B53075"/>
    <w:rsid w:val="00B5308B"/>
    <w:rsid w:val="00B530EB"/>
    <w:rsid w:val="00B530FB"/>
    <w:rsid w:val="00B531B5"/>
    <w:rsid w:val="00B53295"/>
    <w:rsid w:val="00B532A2"/>
    <w:rsid w:val="00B532E4"/>
    <w:rsid w:val="00B5337C"/>
    <w:rsid w:val="00B533B8"/>
    <w:rsid w:val="00B533E2"/>
    <w:rsid w:val="00B53406"/>
    <w:rsid w:val="00B53484"/>
    <w:rsid w:val="00B53496"/>
    <w:rsid w:val="00B534F8"/>
    <w:rsid w:val="00B53519"/>
    <w:rsid w:val="00B535EA"/>
    <w:rsid w:val="00B5360A"/>
    <w:rsid w:val="00B53625"/>
    <w:rsid w:val="00B53637"/>
    <w:rsid w:val="00B53676"/>
    <w:rsid w:val="00B5367B"/>
    <w:rsid w:val="00B53746"/>
    <w:rsid w:val="00B537DA"/>
    <w:rsid w:val="00B5386B"/>
    <w:rsid w:val="00B538B0"/>
    <w:rsid w:val="00B53903"/>
    <w:rsid w:val="00B53904"/>
    <w:rsid w:val="00B5395C"/>
    <w:rsid w:val="00B539A6"/>
    <w:rsid w:val="00B539A7"/>
    <w:rsid w:val="00B53A4C"/>
    <w:rsid w:val="00B53AF0"/>
    <w:rsid w:val="00B53B46"/>
    <w:rsid w:val="00B53BB3"/>
    <w:rsid w:val="00B53BEF"/>
    <w:rsid w:val="00B53BFA"/>
    <w:rsid w:val="00B53C08"/>
    <w:rsid w:val="00B53C24"/>
    <w:rsid w:val="00B53C69"/>
    <w:rsid w:val="00B53C82"/>
    <w:rsid w:val="00B53C8C"/>
    <w:rsid w:val="00B53CA6"/>
    <w:rsid w:val="00B53CD7"/>
    <w:rsid w:val="00B53D2D"/>
    <w:rsid w:val="00B53D55"/>
    <w:rsid w:val="00B53D6A"/>
    <w:rsid w:val="00B53DA4"/>
    <w:rsid w:val="00B53E36"/>
    <w:rsid w:val="00B53E63"/>
    <w:rsid w:val="00B53E67"/>
    <w:rsid w:val="00B53F37"/>
    <w:rsid w:val="00B53F57"/>
    <w:rsid w:val="00B5403E"/>
    <w:rsid w:val="00B54070"/>
    <w:rsid w:val="00B54071"/>
    <w:rsid w:val="00B54074"/>
    <w:rsid w:val="00B5411F"/>
    <w:rsid w:val="00B54140"/>
    <w:rsid w:val="00B54211"/>
    <w:rsid w:val="00B542D2"/>
    <w:rsid w:val="00B542D6"/>
    <w:rsid w:val="00B542F3"/>
    <w:rsid w:val="00B5432D"/>
    <w:rsid w:val="00B54381"/>
    <w:rsid w:val="00B54410"/>
    <w:rsid w:val="00B5443D"/>
    <w:rsid w:val="00B5448A"/>
    <w:rsid w:val="00B544A1"/>
    <w:rsid w:val="00B54511"/>
    <w:rsid w:val="00B54580"/>
    <w:rsid w:val="00B5459B"/>
    <w:rsid w:val="00B545B2"/>
    <w:rsid w:val="00B5460B"/>
    <w:rsid w:val="00B546B5"/>
    <w:rsid w:val="00B54799"/>
    <w:rsid w:val="00B547B5"/>
    <w:rsid w:val="00B54878"/>
    <w:rsid w:val="00B548AC"/>
    <w:rsid w:val="00B548E0"/>
    <w:rsid w:val="00B54906"/>
    <w:rsid w:val="00B5490E"/>
    <w:rsid w:val="00B54A47"/>
    <w:rsid w:val="00B54A60"/>
    <w:rsid w:val="00B54A89"/>
    <w:rsid w:val="00B54A94"/>
    <w:rsid w:val="00B54AB9"/>
    <w:rsid w:val="00B54B80"/>
    <w:rsid w:val="00B54CE5"/>
    <w:rsid w:val="00B54D01"/>
    <w:rsid w:val="00B54D10"/>
    <w:rsid w:val="00B54DAE"/>
    <w:rsid w:val="00B54DB6"/>
    <w:rsid w:val="00B54E06"/>
    <w:rsid w:val="00B54E65"/>
    <w:rsid w:val="00B54F23"/>
    <w:rsid w:val="00B54F42"/>
    <w:rsid w:val="00B54F63"/>
    <w:rsid w:val="00B54FF7"/>
    <w:rsid w:val="00B54FFB"/>
    <w:rsid w:val="00B55064"/>
    <w:rsid w:val="00B55082"/>
    <w:rsid w:val="00B5508E"/>
    <w:rsid w:val="00B550BF"/>
    <w:rsid w:val="00B551C4"/>
    <w:rsid w:val="00B551FB"/>
    <w:rsid w:val="00B55203"/>
    <w:rsid w:val="00B55282"/>
    <w:rsid w:val="00B5535B"/>
    <w:rsid w:val="00B553CB"/>
    <w:rsid w:val="00B553FC"/>
    <w:rsid w:val="00B55424"/>
    <w:rsid w:val="00B5543B"/>
    <w:rsid w:val="00B55456"/>
    <w:rsid w:val="00B5547A"/>
    <w:rsid w:val="00B5548C"/>
    <w:rsid w:val="00B55493"/>
    <w:rsid w:val="00B554AC"/>
    <w:rsid w:val="00B555C9"/>
    <w:rsid w:val="00B5573E"/>
    <w:rsid w:val="00B55760"/>
    <w:rsid w:val="00B557A9"/>
    <w:rsid w:val="00B5586B"/>
    <w:rsid w:val="00B558BB"/>
    <w:rsid w:val="00B559EE"/>
    <w:rsid w:val="00B55A32"/>
    <w:rsid w:val="00B55A68"/>
    <w:rsid w:val="00B55ACF"/>
    <w:rsid w:val="00B55B13"/>
    <w:rsid w:val="00B55B27"/>
    <w:rsid w:val="00B55B3B"/>
    <w:rsid w:val="00B55B40"/>
    <w:rsid w:val="00B55B55"/>
    <w:rsid w:val="00B55B59"/>
    <w:rsid w:val="00B55BD2"/>
    <w:rsid w:val="00B55C7F"/>
    <w:rsid w:val="00B55C97"/>
    <w:rsid w:val="00B55CB0"/>
    <w:rsid w:val="00B55CD1"/>
    <w:rsid w:val="00B55CFD"/>
    <w:rsid w:val="00B55D8C"/>
    <w:rsid w:val="00B55E30"/>
    <w:rsid w:val="00B55E3D"/>
    <w:rsid w:val="00B55ED4"/>
    <w:rsid w:val="00B55FA0"/>
    <w:rsid w:val="00B55FA1"/>
    <w:rsid w:val="00B55FCF"/>
    <w:rsid w:val="00B56079"/>
    <w:rsid w:val="00B5607B"/>
    <w:rsid w:val="00B56186"/>
    <w:rsid w:val="00B5621A"/>
    <w:rsid w:val="00B56229"/>
    <w:rsid w:val="00B56236"/>
    <w:rsid w:val="00B5626D"/>
    <w:rsid w:val="00B56290"/>
    <w:rsid w:val="00B562C4"/>
    <w:rsid w:val="00B5631A"/>
    <w:rsid w:val="00B56349"/>
    <w:rsid w:val="00B563ED"/>
    <w:rsid w:val="00B564B4"/>
    <w:rsid w:val="00B5653B"/>
    <w:rsid w:val="00B565B7"/>
    <w:rsid w:val="00B565D1"/>
    <w:rsid w:val="00B56608"/>
    <w:rsid w:val="00B56695"/>
    <w:rsid w:val="00B567EB"/>
    <w:rsid w:val="00B568AA"/>
    <w:rsid w:val="00B56919"/>
    <w:rsid w:val="00B569CE"/>
    <w:rsid w:val="00B569E6"/>
    <w:rsid w:val="00B569F5"/>
    <w:rsid w:val="00B56A3E"/>
    <w:rsid w:val="00B56AB2"/>
    <w:rsid w:val="00B56AC4"/>
    <w:rsid w:val="00B56AC9"/>
    <w:rsid w:val="00B56B60"/>
    <w:rsid w:val="00B56BEA"/>
    <w:rsid w:val="00B56C20"/>
    <w:rsid w:val="00B56C95"/>
    <w:rsid w:val="00B56D01"/>
    <w:rsid w:val="00B56D24"/>
    <w:rsid w:val="00B56D48"/>
    <w:rsid w:val="00B56D71"/>
    <w:rsid w:val="00B56E0A"/>
    <w:rsid w:val="00B56E4A"/>
    <w:rsid w:val="00B56E4E"/>
    <w:rsid w:val="00B56E4F"/>
    <w:rsid w:val="00B56E60"/>
    <w:rsid w:val="00B56F05"/>
    <w:rsid w:val="00B56F20"/>
    <w:rsid w:val="00B56F24"/>
    <w:rsid w:val="00B56F2E"/>
    <w:rsid w:val="00B56F36"/>
    <w:rsid w:val="00B56F38"/>
    <w:rsid w:val="00B56F9C"/>
    <w:rsid w:val="00B56FBF"/>
    <w:rsid w:val="00B5702E"/>
    <w:rsid w:val="00B57079"/>
    <w:rsid w:val="00B57086"/>
    <w:rsid w:val="00B570E4"/>
    <w:rsid w:val="00B571C6"/>
    <w:rsid w:val="00B57201"/>
    <w:rsid w:val="00B57208"/>
    <w:rsid w:val="00B5725F"/>
    <w:rsid w:val="00B5728D"/>
    <w:rsid w:val="00B57341"/>
    <w:rsid w:val="00B5735F"/>
    <w:rsid w:val="00B5741D"/>
    <w:rsid w:val="00B574D9"/>
    <w:rsid w:val="00B575CD"/>
    <w:rsid w:val="00B5762D"/>
    <w:rsid w:val="00B57653"/>
    <w:rsid w:val="00B576AB"/>
    <w:rsid w:val="00B576EA"/>
    <w:rsid w:val="00B5772A"/>
    <w:rsid w:val="00B57751"/>
    <w:rsid w:val="00B577D3"/>
    <w:rsid w:val="00B57806"/>
    <w:rsid w:val="00B578FB"/>
    <w:rsid w:val="00B57902"/>
    <w:rsid w:val="00B5790C"/>
    <w:rsid w:val="00B57A87"/>
    <w:rsid w:val="00B57AA6"/>
    <w:rsid w:val="00B57B06"/>
    <w:rsid w:val="00B57C36"/>
    <w:rsid w:val="00B57C43"/>
    <w:rsid w:val="00B57C45"/>
    <w:rsid w:val="00B57CF4"/>
    <w:rsid w:val="00B57D45"/>
    <w:rsid w:val="00B57DD2"/>
    <w:rsid w:val="00B57E1B"/>
    <w:rsid w:val="00B57E9C"/>
    <w:rsid w:val="00B57FB6"/>
    <w:rsid w:val="00B60054"/>
    <w:rsid w:val="00B60056"/>
    <w:rsid w:val="00B60113"/>
    <w:rsid w:val="00B602BA"/>
    <w:rsid w:val="00B60303"/>
    <w:rsid w:val="00B6030F"/>
    <w:rsid w:val="00B6032A"/>
    <w:rsid w:val="00B6036F"/>
    <w:rsid w:val="00B60375"/>
    <w:rsid w:val="00B603A8"/>
    <w:rsid w:val="00B603F7"/>
    <w:rsid w:val="00B604D0"/>
    <w:rsid w:val="00B60516"/>
    <w:rsid w:val="00B6057E"/>
    <w:rsid w:val="00B605E2"/>
    <w:rsid w:val="00B60609"/>
    <w:rsid w:val="00B6064D"/>
    <w:rsid w:val="00B60699"/>
    <w:rsid w:val="00B606A6"/>
    <w:rsid w:val="00B606E8"/>
    <w:rsid w:val="00B60777"/>
    <w:rsid w:val="00B607E9"/>
    <w:rsid w:val="00B60806"/>
    <w:rsid w:val="00B60884"/>
    <w:rsid w:val="00B608B7"/>
    <w:rsid w:val="00B6090F"/>
    <w:rsid w:val="00B60926"/>
    <w:rsid w:val="00B60929"/>
    <w:rsid w:val="00B60960"/>
    <w:rsid w:val="00B60A81"/>
    <w:rsid w:val="00B60A90"/>
    <w:rsid w:val="00B60B53"/>
    <w:rsid w:val="00B60B58"/>
    <w:rsid w:val="00B60B7E"/>
    <w:rsid w:val="00B60B87"/>
    <w:rsid w:val="00B60BD7"/>
    <w:rsid w:val="00B60C3F"/>
    <w:rsid w:val="00B60CA4"/>
    <w:rsid w:val="00B60CAA"/>
    <w:rsid w:val="00B60CF9"/>
    <w:rsid w:val="00B60D60"/>
    <w:rsid w:val="00B60D61"/>
    <w:rsid w:val="00B60D65"/>
    <w:rsid w:val="00B60DCE"/>
    <w:rsid w:val="00B60DDD"/>
    <w:rsid w:val="00B60DEF"/>
    <w:rsid w:val="00B60E57"/>
    <w:rsid w:val="00B60E61"/>
    <w:rsid w:val="00B60F21"/>
    <w:rsid w:val="00B60F7E"/>
    <w:rsid w:val="00B60FBF"/>
    <w:rsid w:val="00B60FCD"/>
    <w:rsid w:val="00B611EF"/>
    <w:rsid w:val="00B6126F"/>
    <w:rsid w:val="00B6129A"/>
    <w:rsid w:val="00B612DF"/>
    <w:rsid w:val="00B612E1"/>
    <w:rsid w:val="00B61348"/>
    <w:rsid w:val="00B6137F"/>
    <w:rsid w:val="00B61407"/>
    <w:rsid w:val="00B614BA"/>
    <w:rsid w:val="00B6165E"/>
    <w:rsid w:val="00B61695"/>
    <w:rsid w:val="00B61716"/>
    <w:rsid w:val="00B617A6"/>
    <w:rsid w:val="00B61826"/>
    <w:rsid w:val="00B6182A"/>
    <w:rsid w:val="00B6182B"/>
    <w:rsid w:val="00B61869"/>
    <w:rsid w:val="00B618C0"/>
    <w:rsid w:val="00B618CD"/>
    <w:rsid w:val="00B618F8"/>
    <w:rsid w:val="00B6195A"/>
    <w:rsid w:val="00B61988"/>
    <w:rsid w:val="00B61A35"/>
    <w:rsid w:val="00B61BF8"/>
    <w:rsid w:val="00B61C4A"/>
    <w:rsid w:val="00B61C82"/>
    <w:rsid w:val="00B61CC9"/>
    <w:rsid w:val="00B61D87"/>
    <w:rsid w:val="00B61DA9"/>
    <w:rsid w:val="00B61E30"/>
    <w:rsid w:val="00B61F05"/>
    <w:rsid w:val="00B61F16"/>
    <w:rsid w:val="00B61F54"/>
    <w:rsid w:val="00B61F63"/>
    <w:rsid w:val="00B61F88"/>
    <w:rsid w:val="00B61FF8"/>
    <w:rsid w:val="00B6200C"/>
    <w:rsid w:val="00B62094"/>
    <w:rsid w:val="00B62194"/>
    <w:rsid w:val="00B62204"/>
    <w:rsid w:val="00B6221D"/>
    <w:rsid w:val="00B62236"/>
    <w:rsid w:val="00B6232F"/>
    <w:rsid w:val="00B62380"/>
    <w:rsid w:val="00B623E1"/>
    <w:rsid w:val="00B62570"/>
    <w:rsid w:val="00B62670"/>
    <w:rsid w:val="00B6267F"/>
    <w:rsid w:val="00B6268C"/>
    <w:rsid w:val="00B626D6"/>
    <w:rsid w:val="00B627AA"/>
    <w:rsid w:val="00B6282E"/>
    <w:rsid w:val="00B6291B"/>
    <w:rsid w:val="00B6292A"/>
    <w:rsid w:val="00B62953"/>
    <w:rsid w:val="00B62969"/>
    <w:rsid w:val="00B629A8"/>
    <w:rsid w:val="00B62AB2"/>
    <w:rsid w:val="00B62B13"/>
    <w:rsid w:val="00B62B3D"/>
    <w:rsid w:val="00B62B6B"/>
    <w:rsid w:val="00B62BCC"/>
    <w:rsid w:val="00B62C03"/>
    <w:rsid w:val="00B62C04"/>
    <w:rsid w:val="00B62C1E"/>
    <w:rsid w:val="00B62C3A"/>
    <w:rsid w:val="00B62C4E"/>
    <w:rsid w:val="00B62C67"/>
    <w:rsid w:val="00B62C81"/>
    <w:rsid w:val="00B62CD2"/>
    <w:rsid w:val="00B62D26"/>
    <w:rsid w:val="00B62DC1"/>
    <w:rsid w:val="00B62DC5"/>
    <w:rsid w:val="00B62E0E"/>
    <w:rsid w:val="00B62E8A"/>
    <w:rsid w:val="00B62E8B"/>
    <w:rsid w:val="00B62EAC"/>
    <w:rsid w:val="00B62EFA"/>
    <w:rsid w:val="00B63031"/>
    <w:rsid w:val="00B63051"/>
    <w:rsid w:val="00B63075"/>
    <w:rsid w:val="00B631CA"/>
    <w:rsid w:val="00B631D6"/>
    <w:rsid w:val="00B63298"/>
    <w:rsid w:val="00B63317"/>
    <w:rsid w:val="00B63335"/>
    <w:rsid w:val="00B6339B"/>
    <w:rsid w:val="00B63430"/>
    <w:rsid w:val="00B63491"/>
    <w:rsid w:val="00B634F3"/>
    <w:rsid w:val="00B6354B"/>
    <w:rsid w:val="00B635BD"/>
    <w:rsid w:val="00B635C7"/>
    <w:rsid w:val="00B635EE"/>
    <w:rsid w:val="00B63638"/>
    <w:rsid w:val="00B6373A"/>
    <w:rsid w:val="00B6374C"/>
    <w:rsid w:val="00B63769"/>
    <w:rsid w:val="00B637AF"/>
    <w:rsid w:val="00B637F1"/>
    <w:rsid w:val="00B63829"/>
    <w:rsid w:val="00B63838"/>
    <w:rsid w:val="00B638B4"/>
    <w:rsid w:val="00B63A69"/>
    <w:rsid w:val="00B63A9F"/>
    <w:rsid w:val="00B63B18"/>
    <w:rsid w:val="00B63B89"/>
    <w:rsid w:val="00B63B98"/>
    <w:rsid w:val="00B63C02"/>
    <w:rsid w:val="00B63C46"/>
    <w:rsid w:val="00B63C4D"/>
    <w:rsid w:val="00B63C50"/>
    <w:rsid w:val="00B63CBC"/>
    <w:rsid w:val="00B63CF2"/>
    <w:rsid w:val="00B63D02"/>
    <w:rsid w:val="00B63DC1"/>
    <w:rsid w:val="00B63DD0"/>
    <w:rsid w:val="00B63F2A"/>
    <w:rsid w:val="00B6400E"/>
    <w:rsid w:val="00B6400F"/>
    <w:rsid w:val="00B6405E"/>
    <w:rsid w:val="00B64073"/>
    <w:rsid w:val="00B640BC"/>
    <w:rsid w:val="00B64117"/>
    <w:rsid w:val="00B64127"/>
    <w:rsid w:val="00B641EB"/>
    <w:rsid w:val="00B64270"/>
    <w:rsid w:val="00B643B4"/>
    <w:rsid w:val="00B64407"/>
    <w:rsid w:val="00B6442C"/>
    <w:rsid w:val="00B64568"/>
    <w:rsid w:val="00B64584"/>
    <w:rsid w:val="00B645A8"/>
    <w:rsid w:val="00B645D9"/>
    <w:rsid w:val="00B645F5"/>
    <w:rsid w:val="00B6461B"/>
    <w:rsid w:val="00B6476F"/>
    <w:rsid w:val="00B6478E"/>
    <w:rsid w:val="00B64802"/>
    <w:rsid w:val="00B64847"/>
    <w:rsid w:val="00B64878"/>
    <w:rsid w:val="00B64911"/>
    <w:rsid w:val="00B649C3"/>
    <w:rsid w:val="00B649EA"/>
    <w:rsid w:val="00B64A3C"/>
    <w:rsid w:val="00B64AC5"/>
    <w:rsid w:val="00B64AF7"/>
    <w:rsid w:val="00B64B1D"/>
    <w:rsid w:val="00B64B45"/>
    <w:rsid w:val="00B64B71"/>
    <w:rsid w:val="00B64B7E"/>
    <w:rsid w:val="00B64C1B"/>
    <w:rsid w:val="00B64CD5"/>
    <w:rsid w:val="00B64D33"/>
    <w:rsid w:val="00B64D8C"/>
    <w:rsid w:val="00B64FAF"/>
    <w:rsid w:val="00B6500D"/>
    <w:rsid w:val="00B6506E"/>
    <w:rsid w:val="00B6509D"/>
    <w:rsid w:val="00B650D3"/>
    <w:rsid w:val="00B650E3"/>
    <w:rsid w:val="00B65107"/>
    <w:rsid w:val="00B65146"/>
    <w:rsid w:val="00B6516B"/>
    <w:rsid w:val="00B65194"/>
    <w:rsid w:val="00B651CD"/>
    <w:rsid w:val="00B6521D"/>
    <w:rsid w:val="00B6526C"/>
    <w:rsid w:val="00B65278"/>
    <w:rsid w:val="00B653F1"/>
    <w:rsid w:val="00B6544B"/>
    <w:rsid w:val="00B6548B"/>
    <w:rsid w:val="00B654B6"/>
    <w:rsid w:val="00B65526"/>
    <w:rsid w:val="00B65533"/>
    <w:rsid w:val="00B6553A"/>
    <w:rsid w:val="00B65558"/>
    <w:rsid w:val="00B655B4"/>
    <w:rsid w:val="00B655C8"/>
    <w:rsid w:val="00B6565A"/>
    <w:rsid w:val="00B656C1"/>
    <w:rsid w:val="00B65750"/>
    <w:rsid w:val="00B6579F"/>
    <w:rsid w:val="00B657AD"/>
    <w:rsid w:val="00B6580B"/>
    <w:rsid w:val="00B6581C"/>
    <w:rsid w:val="00B658D5"/>
    <w:rsid w:val="00B658E5"/>
    <w:rsid w:val="00B65904"/>
    <w:rsid w:val="00B65934"/>
    <w:rsid w:val="00B659B7"/>
    <w:rsid w:val="00B659C3"/>
    <w:rsid w:val="00B659C5"/>
    <w:rsid w:val="00B659ED"/>
    <w:rsid w:val="00B65A20"/>
    <w:rsid w:val="00B65A35"/>
    <w:rsid w:val="00B65A67"/>
    <w:rsid w:val="00B65ABB"/>
    <w:rsid w:val="00B65B0E"/>
    <w:rsid w:val="00B65B0F"/>
    <w:rsid w:val="00B65B34"/>
    <w:rsid w:val="00B65B3B"/>
    <w:rsid w:val="00B65BEE"/>
    <w:rsid w:val="00B65C37"/>
    <w:rsid w:val="00B65CDD"/>
    <w:rsid w:val="00B65D0E"/>
    <w:rsid w:val="00B65D66"/>
    <w:rsid w:val="00B65E1B"/>
    <w:rsid w:val="00B65E40"/>
    <w:rsid w:val="00B65E83"/>
    <w:rsid w:val="00B65EB3"/>
    <w:rsid w:val="00B65EFD"/>
    <w:rsid w:val="00B65F18"/>
    <w:rsid w:val="00B661DE"/>
    <w:rsid w:val="00B66222"/>
    <w:rsid w:val="00B6626F"/>
    <w:rsid w:val="00B662C4"/>
    <w:rsid w:val="00B662CD"/>
    <w:rsid w:val="00B6637E"/>
    <w:rsid w:val="00B66383"/>
    <w:rsid w:val="00B663A8"/>
    <w:rsid w:val="00B6644B"/>
    <w:rsid w:val="00B6648B"/>
    <w:rsid w:val="00B664EB"/>
    <w:rsid w:val="00B66613"/>
    <w:rsid w:val="00B66633"/>
    <w:rsid w:val="00B6663E"/>
    <w:rsid w:val="00B6667D"/>
    <w:rsid w:val="00B666B8"/>
    <w:rsid w:val="00B66746"/>
    <w:rsid w:val="00B66782"/>
    <w:rsid w:val="00B6681A"/>
    <w:rsid w:val="00B66827"/>
    <w:rsid w:val="00B6688A"/>
    <w:rsid w:val="00B668EF"/>
    <w:rsid w:val="00B6693C"/>
    <w:rsid w:val="00B66982"/>
    <w:rsid w:val="00B669D5"/>
    <w:rsid w:val="00B669F9"/>
    <w:rsid w:val="00B66A14"/>
    <w:rsid w:val="00B66A15"/>
    <w:rsid w:val="00B66A3C"/>
    <w:rsid w:val="00B66A4F"/>
    <w:rsid w:val="00B66B38"/>
    <w:rsid w:val="00B66B63"/>
    <w:rsid w:val="00B66BA3"/>
    <w:rsid w:val="00B66BED"/>
    <w:rsid w:val="00B66C1D"/>
    <w:rsid w:val="00B66CBE"/>
    <w:rsid w:val="00B66D83"/>
    <w:rsid w:val="00B66DB3"/>
    <w:rsid w:val="00B66E53"/>
    <w:rsid w:val="00B66EA6"/>
    <w:rsid w:val="00B6715B"/>
    <w:rsid w:val="00B6716E"/>
    <w:rsid w:val="00B673EE"/>
    <w:rsid w:val="00B674BE"/>
    <w:rsid w:val="00B6756E"/>
    <w:rsid w:val="00B675F8"/>
    <w:rsid w:val="00B6762C"/>
    <w:rsid w:val="00B676AF"/>
    <w:rsid w:val="00B67752"/>
    <w:rsid w:val="00B67819"/>
    <w:rsid w:val="00B67848"/>
    <w:rsid w:val="00B67859"/>
    <w:rsid w:val="00B67929"/>
    <w:rsid w:val="00B67989"/>
    <w:rsid w:val="00B679D8"/>
    <w:rsid w:val="00B679EE"/>
    <w:rsid w:val="00B67AC2"/>
    <w:rsid w:val="00B67B19"/>
    <w:rsid w:val="00B67BE1"/>
    <w:rsid w:val="00B67CD1"/>
    <w:rsid w:val="00B67CDF"/>
    <w:rsid w:val="00B67D6C"/>
    <w:rsid w:val="00B67E0D"/>
    <w:rsid w:val="00B67E4A"/>
    <w:rsid w:val="00B67EF0"/>
    <w:rsid w:val="00B67F4F"/>
    <w:rsid w:val="00B67FB1"/>
    <w:rsid w:val="00B67FB3"/>
    <w:rsid w:val="00B67FBB"/>
    <w:rsid w:val="00B67FBE"/>
    <w:rsid w:val="00B70005"/>
    <w:rsid w:val="00B70025"/>
    <w:rsid w:val="00B70140"/>
    <w:rsid w:val="00B7014A"/>
    <w:rsid w:val="00B70162"/>
    <w:rsid w:val="00B7016A"/>
    <w:rsid w:val="00B701DC"/>
    <w:rsid w:val="00B701F1"/>
    <w:rsid w:val="00B701FA"/>
    <w:rsid w:val="00B70275"/>
    <w:rsid w:val="00B70442"/>
    <w:rsid w:val="00B704C7"/>
    <w:rsid w:val="00B704CF"/>
    <w:rsid w:val="00B705BD"/>
    <w:rsid w:val="00B705FE"/>
    <w:rsid w:val="00B705FF"/>
    <w:rsid w:val="00B70662"/>
    <w:rsid w:val="00B70663"/>
    <w:rsid w:val="00B7066A"/>
    <w:rsid w:val="00B7066B"/>
    <w:rsid w:val="00B7067A"/>
    <w:rsid w:val="00B70691"/>
    <w:rsid w:val="00B706E2"/>
    <w:rsid w:val="00B7074E"/>
    <w:rsid w:val="00B707CD"/>
    <w:rsid w:val="00B707E4"/>
    <w:rsid w:val="00B707EB"/>
    <w:rsid w:val="00B70879"/>
    <w:rsid w:val="00B7088A"/>
    <w:rsid w:val="00B70896"/>
    <w:rsid w:val="00B708A8"/>
    <w:rsid w:val="00B708D2"/>
    <w:rsid w:val="00B70978"/>
    <w:rsid w:val="00B70993"/>
    <w:rsid w:val="00B7099F"/>
    <w:rsid w:val="00B709B4"/>
    <w:rsid w:val="00B70A1C"/>
    <w:rsid w:val="00B70A3F"/>
    <w:rsid w:val="00B70A87"/>
    <w:rsid w:val="00B70A9A"/>
    <w:rsid w:val="00B70B2F"/>
    <w:rsid w:val="00B70BC3"/>
    <w:rsid w:val="00B70BE1"/>
    <w:rsid w:val="00B70BE9"/>
    <w:rsid w:val="00B70C6D"/>
    <w:rsid w:val="00B70D2D"/>
    <w:rsid w:val="00B70E2A"/>
    <w:rsid w:val="00B70E79"/>
    <w:rsid w:val="00B70EB0"/>
    <w:rsid w:val="00B70EDE"/>
    <w:rsid w:val="00B70F05"/>
    <w:rsid w:val="00B70F80"/>
    <w:rsid w:val="00B710B3"/>
    <w:rsid w:val="00B71166"/>
    <w:rsid w:val="00B7123D"/>
    <w:rsid w:val="00B7125B"/>
    <w:rsid w:val="00B712A1"/>
    <w:rsid w:val="00B712B5"/>
    <w:rsid w:val="00B712FC"/>
    <w:rsid w:val="00B71321"/>
    <w:rsid w:val="00B71322"/>
    <w:rsid w:val="00B7132B"/>
    <w:rsid w:val="00B71417"/>
    <w:rsid w:val="00B71487"/>
    <w:rsid w:val="00B714FE"/>
    <w:rsid w:val="00B7159A"/>
    <w:rsid w:val="00B715B6"/>
    <w:rsid w:val="00B715C4"/>
    <w:rsid w:val="00B715D2"/>
    <w:rsid w:val="00B7163E"/>
    <w:rsid w:val="00B71728"/>
    <w:rsid w:val="00B7175E"/>
    <w:rsid w:val="00B7183E"/>
    <w:rsid w:val="00B71A44"/>
    <w:rsid w:val="00B71B8F"/>
    <w:rsid w:val="00B71B93"/>
    <w:rsid w:val="00B71BD9"/>
    <w:rsid w:val="00B71BF2"/>
    <w:rsid w:val="00B71C09"/>
    <w:rsid w:val="00B71C0D"/>
    <w:rsid w:val="00B71C19"/>
    <w:rsid w:val="00B71C9E"/>
    <w:rsid w:val="00B71CAD"/>
    <w:rsid w:val="00B71DFF"/>
    <w:rsid w:val="00B71E4B"/>
    <w:rsid w:val="00B71E99"/>
    <w:rsid w:val="00B71FAE"/>
    <w:rsid w:val="00B72005"/>
    <w:rsid w:val="00B72006"/>
    <w:rsid w:val="00B72022"/>
    <w:rsid w:val="00B720A7"/>
    <w:rsid w:val="00B720B9"/>
    <w:rsid w:val="00B720E0"/>
    <w:rsid w:val="00B720F4"/>
    <w:rsid w:val="00B720F9"/>
    <w:rsid w:val="00B7210B"/>
    <w:rsid w:val="00B7211A"/>
    <w:rsid w:val="00B72127"/>
    <w:rsid w:val="00B72133"/>
    <w:rsid w:val="00B7213A"/>
    <w:rsid w:val="00B721BB"/>
    <w:rsid w:val="00B7224C"/>
    <w:rsid w:val="00B7227B"/>
    <w:rsid w:val="00B7227C"/>
    <w:rsid w:val="00B7229F"/>
    <w:rsid w:val="00B722B8"/>
    <w:rsid w:val="00B7231E"/>
    <w:rsid w:val="00B72336"/>
    <w:rsid w:val="00B7240F"/>
    <w:rsid w:val="00B7244F"/>
    <w:rsid w:val="00B72478"/>
    <w:rsid w:val="00B7248B"/>
    <w:rsid w:val="00B724DA"/>
    <w:rsid w:val="00B72542"/>
    <w:rsid w:val="00B72582"/>
    <w:rsid w:val="00B725D2"/>
    <w:rsid w:val="00B72655"/>
    <w:rsid w:val="00B72760"/>
    <w:rsid w:val="00B727A4"/>
    <w:rsid w:val="00B7289F"/>
    <w:rsid w:val="00B72934"/>
    <w:rsid w:val="00B72943"/>
    <w:rsid w:val="00B72955"/>
    <w:rsid w:val="00B729A9"/>
    <w:rsid w:val="00B729F0"/>
    <w:rsid w:val="00B72AE6"/>
    <w:rsid w:val="00B72AEE"/>
    <w:rsid w:val="00B72B64"/>
    <w:rsid w:val="00B72BC8"/>
    <w:rsid w:val="00B72BF4"/>
    <w:rsid w:val="00B72C08"/>
    <w:rsid w:val="00B72DCD"/>
    <w:rsid w:val="00B72EC7"/>
    <w:rsid w:val="00B7300E"/>
    <w:rsid w:val="00B73096"/>
    <w:rsid w:val="00B7312D"/>
    <w:rsid w:val="00B73138"/>
    <w:rsid w:val="00B73242"/>
    <w:rsid w:val="00B73281"/>
    <w:rsid w:val="00B73337"/>
    <w:rsid w:val="00B733E9"/>
    <w:rsid w:val="00B733EA"/>
    <w:rsid w:val="00B733ED"/>
    <w:rsid w:val="00B7342E"/>
    <w:rsid w:val="00B7348A"/>
    <w:rsid w:val="00B735A0"/>
    <w:rsid w:val="00B73606"/>
    <w:rsid w:val="00B73635"/>
    <w:rsid w:val="00B73688"/>
    <w:rsid w:val="00B736AF"/>
    <w:rsid w:val="00B73715"/>
    <w:rsid w:val="00B73754"/>
    <w:rsid w:val="00B7378F"/>
    <w:rsid w:val="00B737B5"/>
    <w:rsid w:val="00B737BB"/>
    <w:rsid w:val="00B737EC"/>
    <w:rsid w:val="00B73918"/>
    <w:rsid w:val="00B739BB"/>
    <w:rsid w:val="00B73A55"/>
    <w:rsid w:val="00B73A60"/>
    <w:rsid w:val="00B73A96"/>
    <w:rsid w:val="00B73A9C"/>
    <w:rsid w:val="00B73AAB"/>
    <w:rsid w:val="00B73B48"/>
    <w:rsid w:val="00B73B73"/>
    <w:rsid w:val="00B73B9C"/>
    <w:rsid w:val="00B73BC8"/>
    <w:rsid w:val="00B73C27"/>
    <w:rsid w:val="00B73CE4"/>
    <w:rsid w:val="00B73D0B"/>
    <w:rsid w:val="00B73D2C"/>
    <w:rsid w:val="00B73D51"/>
    <w:rsid w:val="00B73D69"/>
    <w:rsid w:val="00B73DAC"/>
    <w:rsid w:val="00B73E31"/>
    <w:rsid w:val="00B73E7E"/>
    <w:rsid w:val="00B73EF8"/>
    <w:rsid w:val="00B73F67"/>
    <w:rsid w:val="00B73F96"/>
    <w:rsid w:val="00B73FA6"/>
    <w:rsid w:val="00B74049"/>
    <w:rsid w:val="00B740D9"/>
    <w:rsid w:val="00B74116"/>
    <w:rsid w:val="00B7413D"/>
    <w:rsid w:val="00B7415F"/>
    <w:rsid w:val="00B74162"/>
    <w:rsid w:val="00B74169"/>
    <w:rsid w:val="00B741A7"/>
    <w:rsid w:val="00B741AD"/>
    <w:rsid w:val="00B74206"/>
    <w:rsid w:val="00B742DA"/>
    <w:rsid w:val="00B74353"/>
    <w:rsid w:val="00B743CA"/>
    <w:rsid w:val="00B74403"/>
    <w:rsid w:val="00B74427"/>
    <w:rsid w:val="00B7443A"/>
    <w:rsid w:val="00B74453"/>
    <w:rsid w:val="00B7445F"/>
    <w:rsid w:val="00B744C2"/>
    <w:rsid w:val="00B744E2"/>
    <w:rsid w:val="00B74513"/>
    <w:rsid w:val="00B74568"/>
    <w:rsid w:val="00B745AD"/>
    <w:rsid w:val="00B745DB"/>
    <w:rsid w:val="00B74621"/>
    <w:rsid w:val="00B74641"/>
    <w:rsid w:val="00B74683"/>
    <w:rsid w:val="00B7469C"/>
    <w:rsid w:val="00B74714"/>
    <w:rsid w:val="00B7472B"/>
    <w:rsid w:val="00B74749"/>
    <w:rsid w:val="00B7478C"/>
    <w:rsid w:val="00B7478F"/>
    <w:rsid w:val="00B748D4"/>
    <w:rsid w:val="00B748E5"/>
    <w:rsid w:val="00B7492E"/>
    <w:rsid w:val="00B74989"/>
    <w:rsid w:val="00B74994"/>
    <w:rsid w:val="00B74A1D"/>
    <w:rsid w:val="00B74A63"/>
    <w:rsid w:val="00B74AA7"/>
    <w:rsid w:val="00B74B0F"/>
    <w:rsid w:val="00B74B22"/>
    <w:rsid w:val="00B74C77"/>
    <w:rsid w:val="00B74CE5"/>
    <w:rsid w:val="00B74CF8"/>
    <w:rsid w:val="00B74D25"/>
    <w:rsid w:val="00B74D36"/>
    <w:rsid w:val="00B74D77"/>
    <w:rsid w:val="00B74DBB"/>
    <w:rsid w:val="00B74DBC"/>
    <w:rsid w:val="00B74DD5"/>
    <w:rsid w:val="00B74DFB"/>
    <w:rsid w:val="00B74E3D"/>
    <w:rsid w:val="00B74E65"/>
    <w:rsid w:val="00B74EBA"/>
    <w:rsid w:val="00B74EDA"/>
    <w:rsid w:val="00B74F5E"/>
    <w:rsid w:val="00B74F93"/>
    <w:rsid w:val="00B74FAC"/>
    <w:rsid w:val="00B75068"/>
    <w:rsid w:val="00B750F6"/>
    <w:rsid w:val="00B75131"/>
    <w:rsid w:val="00B75137"/>
    <w:rsid w:val="00B7514F"/>
    <w:rsid w:val="00B75168"/>
    <w:rsid w:val="00B7517A"/>
    <w:rsid w:val="00B751DA"/>
    <w:rsid w:val="00B751DC"/>
    <w:rsid w:val="00B75203"/>
    <w:rsid w:val="00B7520C"/>
    <w:rsid w:val="00B7529C"/>
    <w:rsid w:val="00B752A1"/>
    <w:rsid w:val="00B752A2"/>
    <w:rsid w:val="00B752DF"/>
    <w:rsid w:val="00B7530F"/>
    <w:rsid w:val="00B75314"/>
    <w:rsid w:val="00B75327"/>
    <w:rsid w:val="00B7535C"/>
    <w:rsid w:val="00B75366"/>
    <w:rsid w:val="00B7536A"/>
    <w:rsid w:val="00B753BE"/>
    <w:rsid w:val="00B753E5"/>
    <w:rsid w:val="00B75408"/>
    <w:rsid w:val="00B7541C"/>
    <w:rsid w:val="00B754EC"/>
    <w:rsid w:val="00B75529"/>
    <w:rsid w:val="00B755D4"/>
    <w:rsid w:val="00B755E4"/>
    <w:rsid w:val="00B75600"/>
    <w:rsid w:val="00B7566A"/>
    <w:rsid w:val="00B756B2"/>
    <w:rsid w:val="00B756DA"/>
    <w:rsid w:val="00B7570A"/>
    <w:rsid w:val="00B757AD"/>
    <w:rsid w:val="00B75838"/>
    <w:rsid w:val="00B7588D"/>
    <w:rsid w:val="00B75923"/>
    <w:rsid w:val="00B75A0E"/>
    <w:rsid w:val="00B75B0A"/>
    <w:rsid w:val="00B75B7A"/>
    <w:rsid w:val="00B75B80"/>
    <w:rsid w:val="00B75C00"/>
    <w:rsid w:val="00B75D26"/>
    <w:rsid w:val="00B75DEA"/>
    <w:rsid w:val="00B75EEA"/>
    <w:rsid w:val="00B75F0C"/>
    <w:rsid w:val="00B75FE7"/>
    <w:rsid w:val="00B76072"/>
    <w:rsid w:val="00B760BE"/>
    <w:rsid w:val="00B7610C"/>
    <w:rsid w:val="00B76117"/>
    <w:rsid w:val="00B76172"/>
    <w:rsid w:val="00B763D6"/>
    <w:rsid w:val="00B763DF"/>
    <w:rsid w:val="00B763FB"/>
    <w:rsid w:val="00B76408"/>
    <w:rsid w:val="00B764DE"/>
    <w:rsid w:val="00B7651F"/>
    <w:rsid w:val="00B76520"/>
    <w:rsid w:val="00B7655E"/>
    <w:rsid w:val="00B7658C"/>
    <w:rsid w:val="00B765B7"/>
    <w:rsid w:val="00B76621"/>
    <w:rsid w:val="00B7663A"/>
    <w:rsid w:val="00B7664E"/>
    <w:rsid w:val="00B76650"/>
    <w:rsid w:val="00B7667B"/>
    <w:rsid w:val="00B7667F"/>
    <w:rsid w:val="00B766A1"/>
    <w:rsid w:val="00B76742"/>
    <w:rsid w:val="00B76763"/>
    <w:rsid w:val="00B767BB"/>
    <w:rsid w:val="00B767FD"/>
    <w:rsid w:val="00B76814"/>
    <w:rsid w:val="00B76866"/>
    <w:rsid w:val="00B768AB"/>
    <w:rsid w:val="00B768B1"/>
    <w:rsid w:val="00B768F2"/>
    <w:rsid w:val="00B76945"/>
    <w:rsid w:val="00B76991"/>
    <w:rsid w:val="00B76A3B"/>
    <w:rsid w:val="00B76A5B"/>
    <w:rsid w:val="00B76B13"/>
    <w:rsid w:val="00B76CC3"/>
    <w:rsid w:val="00B76DB9"/>
    <w:rsid w:val="00B76DD7"/>
    <w:rsid w:val="00B76E16"/>
    <w:rsid w:val="00B76F43"/>
    <w:rsid w:val="00B76F83"/>
    <w:rsid w:val="00B76F88"/>
    <w:rsid w:val="00B76F99"/>
    <w:rsid w:val="00B76FB6"/>
    <w:rsid w:val="00B77055"/>
    <w:rsid w:val="00B770C4"/>
    <w:rsid w:val="00B7710D"/>
    <w:rsid w:val="00B7711B"/>
    <w:rsid w:val="00B77132"/>
    <w:rsid w:val="00B771FF"/>
    <w:rsid w:val="00B77216"/>
    <w:rsid w:val="00B77264"/>
    <w:rsid w:val="00B772A9"/>
    <w:rsid w:val="00B772D1"/>
    <w:rsid w:val="00B772D7"/>
    <w:rsid w:val="00B773BB"/>
    <w:rsid w:val="00B77411"/>
    <w:rsid w:val="00B77453"/>
    <w:rsid w:val="00B7746B"/>
    <w:rsid w:val="00B774A7"/>
    <w:rsid w:val="00B77513"/>
    <w:rsid w:val="00B77538"/>
    <w:rsid w:val="00B7755D"/>
    <w:rsid w:val="00B77579"/>
    <w:rsid w:val="00B77601"/>
    <w:rsid w:val="00B7772A"/>
    <w:rsid w:val="00B7773D"/>
    <w:rsid w:val="00B777B7"/>
    <w:rsid w:val="00B77905"/>
    <w:rsid w:val="00B7793C"/>
    <w:rsid w:val="00B779C5"/>
    <w:rsid w:val="00B779CE"/>
    <w:rsid w:val="00B77AB9"/>
    <w:rsid w:val="00B77ABB"/>
    <w:rsid w:val="00B77AD2"/>
    <w:rsid w:val="00B77AEC"/>
    <w:rsid w:val="00B77BF1"/>
    <w:rsid w:val="00B77BF2"/>
    <w:rsid w:val="00B77CCD"/>
    <w:rsid w:val="00B77CF6"/>
    <w:rsid w:val="00B77D40"/>
    <w:rsid w:val="00B77DDE"/>
    <w:rsid w:val="00B77E17"/>
    <w:rsid w:val="00B77E51"/>
    <w:rsid w:val="00B80038"/>
    <w:rsid w:val="00B80115"/>
    <w:rsid w:val="00B8024E"/>
    <w:rsid w:val="00B802FB"/>
    <w:rsid w:val="00B80335"/>
    <w:rsid w:val="00B80357"/>
    <w:rsid w:val="00B803C7"/>
    <w:rsid w:val="00B80492"/>
    <w:rsid w:val="00B804F6"/>
    <w:rsid w:val="00B8052C"/>
    <w:rsid w:val="00B805A3"/>
    <w:rsid w:val="00B805AB"/>
    <w:rsid w:val="00B805D3"/>
    <w:rsid w:val="00B80640"/>
    <w:rsid w:val="00B8072E"/>
    <w:rsid w:val="00B80733"/>
    <w:rsid w:val="00B807D8"/>
    <w:rsid w:val="00B8088A"/>
    <w:rsid w:val="00B808FA"/>
    <w:rsid w:val="00B80994"/>
    <w:rsid w:val="00B80996"/>
    <w:rsid w:val="00B809C1"/>
    <w:rsid w:val="00B80A77"/>
    <w:rsid w:val="00B80A86"/>
    <w:rsid w:val="00B80AE8"/>
    <w:rsid w:val="00B80B87"/>
    <w:rsid w:val="00B80B96"/>
    <w:rsid w:val="00B80BE9"/>
    <w:rsid w:val="00B80C3C"/>
    <w:rsid w:val="00B80C83"/>
    <w:rsid w:val="00B80CA0"/>
    <w:rsid w:val="00B80D03"/>
    <w:rsid w:val="00B80D4B"/>
    <w:rsid w:val="00B80D55"/>
    <w:rsid w:val="00B80D5F"/>
    <w:rsid w:val="00B80D8D"/>
    <w:rsid w:val="00B80D9E"/>
    <w:rsid w:val="00B80DE4"/>
    <w:rsid w:val="00B80E51"/>
    <w:rsid w:val="00B80E9D"/>
    <w:rsid w:val="00B80F1C"/>
    <w:rsid w:val="00B80FA3"/>
    <w:rsid w:val="00B80FA4"/>
    <w:rsid w:val="00B80FDF"/>
    <w:rsid w:val="00B80FFF"/>
    <w:rsid w:val="00B81106"/>
    <w:rsid w:val="00B8110B"/>
    <w:rsid w:val="00B8113C"/>
    <w:rsid w:val="00B811D0"/>
    <w:rsid w:val="00B811E1"/>
    <w:rsid w:val="00B81206"/>
    <w:rsid w:val="00B81265"/>
    <w:rsid w:val="00B8126D"/>
    <w:rsid w:val="00B81323"/>
    <w:rsid w:val="00B8136B"/>
    <w:rsid w:val="00B8138B"/>
    <w:rsid w:val="00B813CF"/>
    <w:rsid w:val="00B81443"/>
    <w:rsid w:val="00B81498"/>
    <w:rsid w:val="00B814EA"/>
    <w:rsid w:val="00B81629"/>
    <w:rsid w:val="00B8165F"/>
    <w:rsid w:val="00B816E7"/>
    <w:rsid w:val="00B816E8"/>
    <w:rsid w:val="00B81771"/>
    <w:rsid w:val="00B81780"/>
    <w:rsid w:val="00B817A9"/>
    <w:rsid w:val="00B818D8"/>
    <w:rsid w:val="00B8196C"/>
    <w:rsid w:val="00B81978"/>
    <w:rsid w:val="00B819C3"/>
    <w:rsid w:val="00B81AC3"/>
    <w:rsid w:val="00B81ADC"/>
    <w:rsid w:val="00B81B2B"/>
    <w:rsid w:val="00B81B3D"/>
    <w:rsid w:val="00B81CA5"/>
    <w:rsid w:val="00B81CCF"/>
    <w:rsid w:val="00B81CF2"/>
    <w:rsid w:val="00B81D0F"/>
    <w:rsid w:val="00B81D13"/>
    <w:rsid w:val="00B81E37"/>
    <w:rsid w:val="00B81ED4"/>
    <w:rsid w:val="00B81EFA"/>
    <w:rsid w:val="00B81F32"/>
    <w:rsid w:val="00B8210E"/>
    <w:rsid w:val="00B82168"/>
    <w:rsid w:val="00B82169"/>
    <w:rsid w:val="00B821AF"/>
    <w:rsid w:val="00B821EB"/>
    <w:rsid w:val="00B8222F"/>
    <w:rsid w:val="00B82261"/>
    <w:rsid w:val="00B82264"/>
    <w:rsid w:val="00B82295"/>
    <w:rsid w:val="00B822F3"/>
    <w:rsid w:val="00B8234D"/>
    <w:rsid w:val="00B823C0"/>
    <w:rsid w:val="00B823CA"/>
    <w:rsid w:val="00B823EB"/>
    <w:rsid w:val="00B8246E"/>
    <w:rsid w:val="00B82529"/>
    <w:rsid w:val="00B82595"/>
    <w:rsid w:val="00B825E2"/>
    <w:rsid w:val="00B8263F"/>
    <w:rsid w:val="00B8265D"/>
    <w:rsid w:val="00B82746"/>
    <w:rsid w:val="00B827AC"/>
    <w:rsid w:val="00B827CB"/>
    <w:rsid w:val="00B827CF"/>
    <w:rsid w:val="00B82803"/>
    <w:rsid w:val="00B82818"/>
    <w:rsid w:val="00B8282B"/>
    <w:rsid w:val="00B82849"/>
    <w:rsid w:val="00B828B1"/>
    <w:rsid w:val="00B82A37"/>
    <w:rsid w:val="00B82A7F"/>
    <w:rsid w:val="00B82A89"/>
    <w:rsid w:val="00B82ABC"/>
    <w:rsid w:val="00B82ADC"/>
    <w:rsid w:val="00B82ADF"/>
    <w:rsid w:val="00B82B65"/>
    <w:rsid w:val="00B82BD2"/>
    <w:rsid w:val="00B82BE4"/>
    <w:rsid w:val="00B82C40"/>
    <w:rsid w:val="00B82CAF"/>
    <w:rsid w:val="00B82CDF"/>
    <w:rsid w:val="00B82DAA"/>
    <w:rsid w:val="00B82DBB"/>
    <w:rsid w:val="00B82DC1"/>
    <w:rsid w:val="00B82DEC"/>
    <w:rsid w:val="00B82E57"/>
    <w:rsid w:val="00B82EAB"/>
    <w:rsid w:val="00B82EB4"/>
    <w:rsid w:val="00B82F3C"/>
    <w:rsid w:val="00B82F52"/>
    <w:rsid w:val="00B82FBD"/>
    <w:rsid w:val="00B82FF1"/>
    <w:rsid w:val="00B8308A"/>
    <w:rsid w:val="00B83099"/>
    <w:rsid w:val="00B830A2"/>
    <w:rsid w:val="00B830B4"/>
    <w:rsid w:val="00B830CC"/>
    <w:rsid w:val="00B830D2"/>
    <w:rsid w:val="00B83117"/>
    <w:rsid w:val="00B83127"/>
    <w:rsid w:val="00B83156"/>
    <w:rsid w:val="00B83185"/>
    <w:rsid w:val="00B83231"/>
    <w:rsid w:val="00B83290"/>
    <w:rsid w:val="00B8339E"/>
    <w:rsid w:val="00B83501"/>
    <w:rsid w:val="00B83515"/>
    <w:rsid w:val="00B8359C"/>
    <w:rsid w:val="00B835A2"/>
    <w:rsid w:val="00B83611"/>
    <w:rsid w:val="00B836BA"/>
    <w:rsid w:val="00B836F5"/>
    <w:rsid w:val="00B83701"/>
    <w:rsid w:val="00B8376B"/>
    <w:rsid w:val="00B8377E"/>
    <w:rsid w:val="00B8388A"/>
    <w:rsid w:val="00B838A5"/>
    <w:rsid w:val="00B838EF"/>
    <w:rsid w:val="00B8396F"/>
    <w:rsid w:val="00B83AAD"/>
    <w:rsid w:val="00B83AB8"/>
    <w:rsid w:val="00B83ADA"/>
    <w:rsid w:val="00B83AE6"/>
    <w:rsid w:val="00B83AFB"/>
    <w:rsid w:val="00B83B34"/>
    <w:rsid w:val="00B83B90"/>
    <w:rsid w:val="00B83CDC"/>
    <w:rsid w:val="00B83D20"/>
    <w:rsid w:val="00B83D5B"/>
    <w:rsid w:val="00B83DF6"/>
    <w:rsid w:val="00B83E3F"/>
    <w:rsid w:val="00B83E42"/>
    <w:rsid w:val="00B83F43"/>
    <w:rsid w:val="00B83FAD"/>
    <w:rsid w:val="00B83FE5"/>
    <w:rsid w:val="00B84057"/>
    <w:rsid w:val="00B8406E"/>
    <w:rsid w:val="00B840EA"/>
    <w:rsid w:val="00B840EE"/>
    <w:rsid w:val="00B84188"/>
    <w:rsid w:val="00B8428E"/>
    <w:rsid w:val="00B842EA"/>
    <w:rsid w:val="00B84314"/>
    <w:rsid w:val="00B843CD"/>
    <w:rsid w:val="00B843F8"/>
    <w:rsid w:val="00B84484"/>
    <w:rsid w:val="00B84489"/>
    <w:rsid w:val="00B84498"/>
    <w:rsid w:val="00B84501"/>
    <w:rsid w:val="00B8451A"/>
    <w:rsid w:val="00B847C7"/>
    <w:rsid w:val="00B847CF"/>
    <w:rsid w:val="00B8480B"/>
    <w:rsid w:val="00B84832"/>
    <w:rsid w:val="00B848E0"/>
    <w:rsid w:val="00B848F2"/>
    <w:rsid w:val="00B84A00"/>
    <w:rsid w:val="00B84A66"/>
    <w:rsid w:val="00B84BBF"/>
    <w:rsid w:val="00B84BC0"/>
    <w:rsid w:val="00B84BED"/>
    <w:rsid w:val="00B84C7A"/>
    <w:rsid w:val="00B84C9C"/>
    <w:rsid w:val="00B84DF9"/>
    <w:rsid w:val="00B84E8D"/>
    <w:rsid w:val="00B84EEE"/>
    <w:rsid w:val="00B84EF5"/>
    <w:rsid w:val="00B84F87"/>
    <w:rsid w:val="00B8511F"/>
    <w:rsid w:val="00B85124"/>
    <w:rsid w:val="00B85189"/>
    <w:rsid w:val="00B851A5"/>
    <w:rsid w:val="00B851C0"/>
    <w:rsid w:val="00B852A9"/>
    <w:rsid w:val="00B852B9"/>
    <w:rsid w:val="00B852F8"/>
    <w:rsid w:val="00B853AF"/>
    <w:rsid w:val="00B853F3"/>
    <w:rsid w:val="00B8543B"/>
    <w:rsid w:val="00B85460"/>
    <w:rsid w:val="00B85494"/>
    <w:rsid w:val="00B854B0"/>
    <w:rsid w:val="00B85554"/>
    <w:rsid w:val="00B85598"/>
    <w:rsid w:val="00B8559C"/>
    <w:rsid w:val="00B855C6"/>
    <w:rsid w:val="00B855F1"/>
    <w:rsid w:val="00B85676"/>
    <w:rsid w:val="00B856A8"/>
    <w:rsid w:val="00B856B1"/>
    <w:rsid w:val="00B856C1"/>
    <w:rsid w:val="00B8574D"/>
    <w:rsid w:val="00B857B5"/>
    <w:rsid w:val="00B857F5"/>
    <w:rsid w:val="00B85809"/>
    <w:rsid w:val="00B85855"/>
    <w:rsid w:val="00B858E7"/>
    <w:rsid w:val="00B85999"/>
    <w:rsid w:val="00B8599B"/>
    <w:rsid w:val="00B859FF"/>
    <w:rsid w:val="00B85A21"/>
    <w:rsid w:val="00B85A2B"/>
    <w:rsid w:val="00B85AD9"/>
    <w:rsid w:val="00B85B08"/>
    <w:rsid w:val="00B85B35"/>
    <w:rsid w:val="00B85D89"/>
    <w:rsid w:val="00B85DEB"/>
    <w:rsid w:val="00B85DEE"/>
    <w:rsid w:val="00B85DFC"/>
    <w:rsid w:val="00B85E3A"/>
    <w:rsid w:val="00B85E4D"/>
    <w:rsid w:val="00B85E5E"/>
    <w:rsid w:val="00B85EB1"/>
    <w:rsid w:val="00B85F3D"/>
    <w:rsid w:val="00B85F65"/>
    <w:rsid w:val="00B85F88"/>
    <w:rsid w:val="00B85F95"/>
    <w:rsid w:val="00B85FF0"/>
    <w:rsid w:val="00B86040"/>
    <w:rsid w:val="00B8609C"/>
    <w:rsid w:val="00B860B8"/>
    <w:rsid w:val="00B860BB"/>
    <w:rsid w:val="00B860E8"/>
    <w:rsid w:val="00B860FE"/>
    <w:rsid w:val="00B861C0"/>
    <w:rsid w:val="00B861CE"/>
    <w:rsid w:val="00B86257"/>
    <w:rsid w:val="00B862F9"/>
    <w:rsid w:val="00B863BD"/>
    <w:rsid w:val="00B8641C"/>
    <w:rsid w:val="00B8642E"/>
    <w:rsid w:val="00B8644A"/>
    <w:rsid w:val="00B86501"/>
    <w:rsid w:val="00B86514"/>
    <w:rsid w:val="00B86597"/>
    <w:rsid w:val="00B865B6"/>
    <w:rsid w:val="00B86658"/>
    <w:rsid w:val="00B8667F"/>
    <w:rsid w:val="00B8669A"/>
    <w:rsid w:val="00B86725"/>
    <w:rsid w:val="00B8683D"/>
    <w:rsid w:val="00B8686C"/>
    <w:rsid w:val="00B868C4"/>
    <w:rsid w:val="00B868D4"/>
    <w:rsid w:val="00B868D7"/>
    <w:rsid w:val="00B868E0"/>
    <w:rsid w:val="00B868E9"/>
    <w:rsid w:val="00B868F1"/>
    <w:rsid w:val="00B86925"/>
    <w:rsid w:val="00B86967"/>
    <w:rsid w:val="00B86979"/>
    <w:rsid w:val="00B86A67"/>
    <w:rsid w:val="00B86A71"/>
    <w:rsid w:val="00B86BE8"/>
    <w:rsid w:val="00B86C8D"/>
    <w:rsid w:val="00B86CB5"/>
    <w:rsid w:val="00B86CF5"/>
    <w:rsid w:val="00B86D04"/>
    <w:rsid w:val="00B86D25"/>
    <w:rsid w:val="00B86E2A"/>
    <w:rsid w:val="00B86E77"/>
    <w:rsid w:val="00B86EB8"/>
    <w:rsid w:val="00B86F14"/>
    <w:rsid w:val="00B86F5E"/>
    <w:rsid w:val="00B86F7D"/>
    <w:rsid w:val="00B86FA4"/>
    <w:rsid w:val="00B87062"/>
    <w:rsid w:val="00B8706D"/>
    <w:rsid w:val="00B870FA"/>
    <w:rsid w:val="00B8711D"/>
    <w:rsid w:val="00B87145"/>
    <w:rsid w:val="00B87151"/>
    <w:rsid w:val="00B871A2"/>
    <w:rsid w:val="00B871D9"/>
    <w:rsid w:val="00B8725E"/>
    <w:rsid w:val="00B87341"/>
    <w:rsid w:val="00B87361"/>
    <w:rsid w:val="00B87375"/>
    <w:rsid w:val="00B87422"/>
    <w:rsid w:val="00B8747D"/>
    <w:rsid w:val="00B8748C"/>
    <w:rsid w:val="00B874A8"/>
    <w:rsid w:val="00B874D2"/>
    <w:rsid w:val="00B874EA"/>
    <w:rsid w:val="00B87513"/>
    <w:rsid w:val="00B87600"/>
    <w:rsid w:val="00B87664"/>
    <w:rsid w:val="00B8767E"/>
    <w:rsid w:val="00B87680"/>
    <w:rsid w:val="00B876C6"/>
    <w:rsid w:val="00B876F3"/>
    <w:rsid w:val="00B87702"/>
    <w:rsid w:val="00B8776E"/>
    <w:rsid w:val="00B87794"/>
    <w:rsid w:val="00B87796"/>
    <w:rsid w:val="00B877E6"/>
    <w:rsid w:val="00B8787C"/>
    <w:rsid w:val="00B87919"/>
    <w:rsid w:val="00B879E8"/>
    <w:rsid w:val="00B87A5A"/>
    <w:rsid w:val="00B87AD5"/>
    <w:rsid w:val="00B87ADC"/>
    <w:rsid w:val="00B87B0D"/>
    <w:rsid w:val="00B87B12"/>
    <w:rsid w:val="00B87BA2"/>
    <w:rsid w:val="00B87BCA"/>
    <w:rsid w:val="00B87BE5"/>
    <w:rsid w:val="00B87BF9"/>
    <w:rsid w:val="00B87C64"/>
    <w:rsid w:val="00B87CAE"/>
    <w:rsid w:val="00B87CDF"/>
    <w:rsid w:val="00B87D09"/>
    <w:rsid w:val="00B87D1B"/>
    <w:rsid w:val="00B87D92"/>
    <w:rsid w:val="00B87E24"/>
    <w:rsid w:val="00B87E96"/>
    <w:rsid w:val="00B87F38"/>
    <w:rsid w:val="00B87F51"/>
    <w:rsid w:val="00B87F62"/>
    <w:rsid w:val="00B87F69"/>
    <w:rsid w:val="00B87FEA"/>
    <w:rsid w:val="00B9004E"/>
    <w:rsid w:val="00B9009F"/>
    <w:rsid w:val="00B900AC"/>
    <w:rsid w:val="00B901C3"/>
    <w:rsid w:val="00B901E1"/>
    <w:rsid w:val="00B90200"/>
    <w:rsid w:val="00B90220"/>
    <w:rsid w:val="00B90234"/>
    <w:rsid w:val="00B90418"/>
    <w:rsid w:val="00B9043F"/>
    <w:rsid w:val="00B90481"/>
    <w:rsid w:val="00B90664"/>
    <w:rsid w:val="00B90689"/>
    <w:rsid w:val="00B906C2"/>
    <w:rsid w:val="00B906E5"/>
    <w:rsid w:val="00B906FF"/>
    <w:rsid w:val="00B90729"/>
    <w:rsid w:val="00B90773"/>
    <w:rsid w:val="00B907DA"/>
    <w:rsid w:val="00B9081F"/>
    <w:rsid w:val="00B9086F"/>
    <w:rsid w:val="00B908D2"/>
    <w:rsid w:val="00B908F8"/>
    <w:rsid w:val="00B9090E"/>
    <w:rsid w:val="00B9094B"/>
    <w:rsid w:val="00B909CC"/>
    <w:rsid w:val="00B909F4"/>
    <w:rsid w:val="00B90A25"/>
    <w:rsid w:val="00B90A60"/>
    <w:rsid w:val="00B90A68"/>
    <w:rsid w:val="00B90BD1"/>
    <w:rsid w:val="00B90BFF"/>
    <w:rsid w:val="00B90D51"/>
    <w:rsid w:val="00B90D58"/>
    <w:rsid w:val="00B90DD5"/>
    <w:rsid w:val="00B90DD9"/>
    <w:rsid w:val="00B90DE0"/>
    <w:rsid w:val="00B90E27"/>
    <w:rsid w:val="00B90E2B"/>
    <w:rsid w:val="00B90E4B"/>
    <w:rsid w:val="00B90E7C"/>
    <w:rsid w:val="00B90F45"/>
    <w:rsid w:val="00B90F64"/>
    <w:rsid w:val="00B90FA6"/>
    <w:rsid w:val="00B91001"/>
    <w:rsid w:val="00B91021"/>
    <w:rsid w:val="00B910A6"/>
    <w:rsid w:val="00B9111C"/>
    <w:rsid w:val="00B9111E"/>
    <w:rsid w:val="00B91174"/>
    <w:rsid w:val="00B91326"/>
    <w:rsid w:val="00B91340"/>
    <w:rsid w:val="00B91390"/>
    <w:rsid w:val="00B913C9"/>
    <w:rsid w:val="00B913E1"/>
    <w:rsid w:val="00B91419"/>
    <w:rsid w:val="00B91443"/>
    <w:rsid w:val="00B9146D"/>
    <w:rsid w:val="00B914E5"/>
    <w:rsid w:val="00B9150D"/>
    <w:rsid w:val="00B91547"/>
    <w:rsid w:val="00B9155F"/>
    <w:rsid w:val="00B91610"/>
    <w:rsid w:val="00B916AE"/>
    <w:rsid w:val="00B91734"/>
    <w:rsid w:val="00B91804"/>
    <w:rsid w:val="00B9180F"/>
    <w:rsid w:val="00B91834"/>
    <w:rsid w:val="00B918F1"/>
    <w:rsid w:val="00B91978"/>
    <w:rsid w:val="00B91985"/>
    <w:rsid w:val="00B91B80"/>
    <w:rsid w:val="00B91BF2"/>
    <w:rsid w:val="00B91C24"/>
    <w:rsid w:val="00B91C61"/>
    <w:rsid w:val="00B91C87"/>
    <w:rsid w:val="00B91CF2"/>
    <w:rsid w:val="00B91D0C"/>
    <w:rsid w:val="00B91D27"/>
    <w:rsid w:val="00B91DA5"/>
    <w:rsid w:val="00B91DAC"/>
    <w:rsid w:val="00B91DBC"/>
    <w:rsid w:val="00B91EC2"/>
    <w:rsid w:val="00B91F65"/>
    <w:rsid w:val="00B91F6F"/>
    <w:rsid w:val="00B91F90"/>
    <w:rsid w:val="00B91F95"/>
    <w:rsid w:val="00B91FBE"/>
    <w:rsid w:val="00B92079"/>
    <w:rsid w:val="00B9216C"/>
    <w:rsid w:val="00B92212"/>
    <w:rsid w:val="00B9222A"/>
    <w:rsid w:val="00B923FB"/>
    <w:rsid w:val="00B9242D"/>
    <w:rsid w:val="00B92476"/>
    <w:rsid w:val="00B924D7"/>
    <w:rsid w:val="00B925A5"/>
    <w:rsid w:val="00B92606"/>
    <w:rsid w:val="00B9263D"/>
    <w:rsid w:val="00B9264D"/>
    <w:rsid w:val="00B9264E"/>
    <w:rsid w:val="00B9265C"/>
    <w:rsid w:val="00B927EA"/>
    <w:rsid w:val="00B92821"/>
    <w:rsid w:val="00B928D0"/>
    <w:rsid w:val="00B92990"/>
    <w:rsid w:val="00B929B1"/>
    <w:rsid w:val="00B92A27"/>
    <w:rsid w:val="00B92BC2"/>
    <w:rsid w:val="00B92BDE"/>
    <w:rsid w:val="00B92CFA"/>
    <w:rsid w:val="00B92D25"/>
    <w:rsid w:val="00B92E0B"/>
    <w:rsid w:val="00B92E5E"/>
    <w:rsid w:val="00B92E60"/>
    <w:rsid w:val="00B92E94"/>
    <w:rsid w:val="00B92EA5"/>
    <w:rsid w:val="00B92F0D"/>
    <w:rsid w:val="00B92F7C"/>
    <w:rsid w:val="00B9300F"/>
    <w:rsid w:val="00B9305D"/>
    <w:rsid w:val="00B930D6"/>
    <w:rsid w:val="00B930F5"/>
    <w:rsid w:val="00B93156"/>
    <w:rsid w:val="00B93180"/>
    <w:rsid w:val="00B931E1"/>
    <w:rsid w:val="00B931E5"/>
    <w:rsid w:val="00B93234"/>
    <w:rsid w:val="00B93338"/>
    <w:rsid w:val="00B93376"/>
    <w:rsid w:val="00B93423"/>
    <w:rsid w:val="00B9347F"/>
    <w:rsid w:val="00B934A4"/>
    <w:rsid w:val="00B934D4"/>
    <w:rsid w:val="00B93521"/>
    <w:rsid w:val="00B935C4"/>
    <w:rsid w:val="00B935F8"/>
    <w:rsid w:val="00B93633"/>
    <w:rsid w:val="00B93654"/>
    <w:rsid w:val="00B93688"/>
    <w:rsid w:val="00B936CB"/>
    <w:rsid w:val="00B937E2"/>
    <w:rsid w:val="00B9383C"/>
    <w:rsid w:val="00B9385D"/>
    <w:rsid w:val="00B9386D"/>
    <w:rsid w:val="00B938C4"/>
    <w:rsid w:val="00B938F6"/>
    <w:rsid w:val="00B93900"/>
    <w:rsid w:val="00B93982"/>
    <w:rsid w:val="00B93B16"/>
    <w:rsid w:val="00B93B9C"/>
    <w:rsid w:val="00B93BBB"/>
    <w:rsid w:val="00B93BF3"/>
    <w:rsid w:val="00B93DB0"/>
    <w:rsid w:val="00B93DFA"/>
    <w:rsid w:val="00B93E10"/>
    <w:rsid w:val="00B93EA2"/>
    <w:rsid w:val="00B93EC3"/>
    <w:rsid w:val="00B93EEE"/>
    <w:rsid w:val="00B93F70"/>
    <w:rsid w:val="00B93F89"/>
    <w:rsid w:val="00B941BD"/>
    <w:rsid w:val="00B941EC"/>
    <w:rsid w:val="00B941FB"/>
    <w:rsid w:val="00B942A0"/>
    <w:rsid w:val="00B942CE"/>
    <w:rsid w:val="00B942EC"/>
    <w:rsid w:val="00B94322"/>
    <w:rsid w:val="00B9432D"/>
    <w:rsid w:val="00B943FB"/>
    <w:rsid w:val="00B94481"/>
    <w:rsid w:val="00B94604"/>
    <w:rsid w:val="00B9464C"/>
    <w:rsid w:val="00B94657"/>
    <w:rsid w:val="00B946A4"/>
    <w:rsid w:val="00B94775"/>
    <w:rsid w:val="00B9477C"/>
    <w:rsid w:val="00B9479B"/>
    <w:rsid w:val="00B948DC"/>
    <w:rsid w:val="00B948FE"/>
    <w:rsid w:val="00B9490A"/>
    <w:rsid w:val="00B9493D"/>
    <w:rsid w:val="00B94A21"/>
    <w:rsid w:val="00B94A51"/>
    <w:rsid w:val="00B94ADD"/>
    <w:rsid w:val="00B94AEE"/>
    <w:rsid w:val="00B94B0A"/>
    <w:rsid w:val="00B94B94"/>
    <w:rsid w:val="00B94C63"/>
    <w:rsid w:val="00B94C6F"/>
    <w:rsid w:val="00B94CDF"/>
    <w:rsid w:val="00B94DC3"/>
    <w:rsid w:val="00B94DFD"/>
    <w:rsid w:val="00B94E09"/>
    <w:rsid w:val="00B94E65"/>
    <w:rsid w:val="00B94F38"/>
    <w:rsid w:val="00B94F45"/>
    <w:rsid w:val="00B94FBB"/>
    <w:rsid w:val="00B94FDF"/>
    <w:rsid w:val="00B95065"/>
    <w:rsid w:val="00B950AF"/>
    <w:rsid w:val="00B950BD"/>
    <w:rsid w:val="00B9510C"/>
    <w:rsid w:val="00B951F8"/>
    <w:rsid w:val="00B95239"/>
    <w:rsid w:val="00B95315"/>
    <w:rsid w:val="00B95386"/>
    <w:rsid w:val="00B953F1"/>
    <w:rsid w:val="00B95417"/>
    <w:rsid w:val="00B9542F"/>
    <w:rsid w:val="00B95447"/>
    <w:rsid w:val="00B95451"/>
    <w:rsid w:val="00B95474"/>
    <w:rsid w:val="00B95486"/>
    <w:rsid w:val="00B954C5"/>
    <w:rsid w:val="00B95528"/>
    <w:rsid w:val="00B9552B"/>
    <w:rsid w:val="00B95580"/>
    <w:rsid w:val="00B95586"/>
    <w:rsid w:val="00B955F7"/>
    <w:rsid w:val="00B95620"/>
    <w:rsid w:val="00B95662"/>
    <w:rsid w:val="00B95794"/>
    <w:rsid w:val="00B95795"/>
    <w:rsid w:val="00B95822"/>
    <w:rsid w:val="00B95860"/>
    <w:rsid w:val="00B95873"/>
    <w:rsid w:val="00B95876"/>
    <w:rsid w:val="00B959A6"/>
    <w:rsid w:val="00B95A66"/>
    <w:rsid w:val="00B95B08"/>
    <w:rsid w:val="00B95B37"/>
    <w:rsid w:val="00B95BB1"/>
    <w:rsid w:val="00B95BBE"/>
    <w:rsid w:val="00B95C78"/>
    <w:rsid w:val="00B95C7F"/>
    <w:rsid w:val="00B95C90"/>
    <w:rsid w:val="00B95C9E"/>
    <w:rsid w:val="00B95DF0"/>
    <w:rsid w:val="00B95E0F"/>
    <w:rsid w:val="00B95E2A"/>
    <w:rsid w:val="00B95F4B"/>
    <w:rsid w:val="00B95FCB"/>
    <w:rsid w:val="00B96030"/>
    <w:rsid w:val="00B96050"/>
    <w:rsid w:val="00B96058"/>
    <w:rsid w:val="00B9605B"/>
    <w:rsid w:val="00B96107"/>
    <w:rsid w:val="00B961BA"/>
    <w:rsid w:val="00B96243"/>
    <w:rsid w:val="00B962A0"/>
    <w:rsid w:val="00B962EE"/>
    <w:rsid w:val="00B96313"/>
    <w:rsid w:val="00B9632C"/>
    <w:rsid w:val="00B96339"/>
    <w:rsid w:val="00B96445"/>
    <w:rsid w:val="00B96503"/>
    <w:rsid w:val="00B96511"/>
    <w:rsid w:val="00B9659A"/>
    <w:rsid w:val="00B965B4"/>
    <w:rsid w:val="00B965E2"/>
    <w:rsid w:val="00B96602"/>
    <w:rsid w:val="00B96627"/>
    <w:rsid w:val="00B966AE"/>
    <w:rsid w:val="00B966B6"/>
    <w:rsid w:val="00B966EB"/>
    <w:rsid w:val="00B9671D"/>
    <w:rsid w:val="00B96746"/>
    <w:rsid w:val="00B96852"/>
    <w:rsid w:val="00B968E8"/>
    <w:rsid w:val="00B96902"/>
    <w:rsid w:val="00B96916"/>
    <w:rsid w:val="00B96954"/>
    <w:rsid w:val="00B96963"/>
    <w:rsid w:val="00B969CD"/>
    <w:rsid w:val="00B969E7"/>
    <w:rsid w:val="00B96A62"/>
    <w:rsid w:val="00B96A6B"/>
    <w:rsid w:val="00B96AF6"/>
    <w:rsid w:val="00B96B05"/>
    <w:rsid w:val="00B96B56"/>
    <w:rsid w:val="00B96BDC"/>
    <w:rsid w:val="00B96BDF"/>
    <w:rsid w:val="00B96C0C"/>
    <w:rsid w:val="00B96C16"/>
    <w:rsid w:val="00B96C32"/>
    <w:rsid w:val="00B96C89"/>
    <w:rsid w:val="00B96CC6"/>
    <w:rsid w:val="00B96D2E"/>
    <w:rsid w:val="00B96D5A"/>
    <w:rsid w:val="00B96D69"/>
    <w:rsid w:val="00B96D8A"/>
    <w:rsid w:val="00B96DDC"/>
    <w:rsid w:val="00B96DE1"/>
    <w:rsid w:val="00B96DE5"/>
    <w:rsid w:val="00B96E22"/>
    <w:rsid w:val="00B96F3D"/>
    <w:rsid w:val="00B96FA7"/>
    <w:rsid w:val="00B96FE1"/>
    <w:rsid w:val="00B97131"/>
    <w:rsid w:val="00B97139"/>
    <w:rsid w:val="00B971F3"/>
    <w:rsid w:val="00B9722C"/>
    <w:rsid w:val="00B97293"/>
    <w:rsid w:val="00B972AA"/>
    <w:rsid w:val="00B972B3"/>
    <w:rsid w:val="00B97401"/>
    <w:rsid w:val="00B9740F"/>
    <w:rsid w:val="00B975F8"/>
    <w:rsid w:val="00B976C4"/>
    <w:rsid w:val="00B976CA"/>
    <w:rsid w:val="00B9772A"/>
    <w:rsid w:val="00B97754"/>
    <w:rsid w:val="00B977C8"/>
    <w:rsid w:val="00B9785A"/>
    <w:rsid w:val="00B978B5"/>
    <w:rsid w:val="00B979A0"/>
    <w:rsid w:val="00B979C8"/>
    <w:rsid w:val="00B97A17"/>
    <w:rsid w:val="00B97A1D"/>
    <w:rsid w:val="00B97A25"/>
    <w:rsid w:val="00B97B2A"/>
    <w:rsid w:val="00B97BF1"/>
    <w:rsid w:val="00B97C02"/>
    <w:rsid w:val="00B97C44"/>
    <w:rsid w:val="00B97C76"/>
    <w:rsid w:val="00B97CEE"/>
    <w:rsid w:val="00B97D54"/>
    <w:rsid w:val="00B97DC6"/>
    <w:rsid w:val="00B97E6F"/>
    <w:rsid w:val="00B97F4D"/>
    <w:rsid w:val="00B97F54"/>
    <w:rsid w:val="00B97FFE"/>
    <w:rsid w:val="00BA0016"/>
    <w:rsid w:val="00BA0030"/>
    <w:rsid w:val="00BA0038"/>
    <w:rsid w:val="00BA006C"/>
    <w:rsid w:val="00BA00FF"/>
    <w:rsid w:val="00BA0198"/>
    <w:rsid w:val="00BA01E8"/>
    <w:rsid w:val="00BA01F7"/>
    <w:rsid w:val="00BA020F"/>
    <w:rsid w:val="00BA028F"/>
    <w:rsid w:val="00BA02EA"/>
    <w:rsid w:val="00BA036D"/>
    <w:rsid w:val="00BA03E9"/>
    <w:rsid w:val="00BA0452"/>
    <w:rsid w:val="00BA05EA"/>
    <w:rsid w:val="00BA064A"/>
    <w:rsid w:val="00BA06C5"/>
    <w:rsid w:val="00BA078E"/>
    <w:rsid w:val="00BA07EF"/>
    <w:rsid w:val="00BA0801"/>
    <w:rsid w:val="00BA08AE"/>
    <w:rsid w:val="00BA08E3"/>
    <w:rsid w:val="00BA0939"/>
    <w:rsid w:val="00BA0957"/>
    <w:rsid w:val="00BA0960"/>
    <w:rsid w:val="00BA097E"/>
    <w:rsid w:val="00BA099D"/>
    <w:rsid w:val="00BA09E5"/>
    <w:rsid w:val="00BA0AA0"/>
    <w:rsid w:val="00BA0AC5"/>
    <w:rsid w:val="00BA0AE9"/>
    <w:rsid w:val="00BA0B00"/>
    <w:rsid w:val="00BA0B82"/>
    <w:rsid w:val="00BA0B8D"/>
    <w:rsid w:val="00BA0BA1"/>
    <w:rsid w:val="00BA0BE5"/>
    <w:rsid w:val="00BA0D11"/>
    <w:rsid w:val="00BA0D14"/>
    <w:rsid w:val="00BA0DA6"/>
    <w:rsid w:val="00BA0DC0"/>
    <w:rsid w:val="00BA0DCD"/>
    <w:rsid w:val="00BA0E0A"/>
    <w:rsid w:val="00BA0E2C"/>
    <w:rsid w:val="00BA0E82"/>
    <w:rsid w:val="00BA0E83"/>
    <w:rsid w:val="00BA0EDB"/>
    <w:rsid w:val="00BA0F97"/>
    <w:rsid w:val="00BA0FDE"/>
    <w:rsid w:val="00BA1060"/>
    <w:rsid w:val="00BA11C9"/>
    <w:rsid w:val="00BA1234"/>
    <w:rsid w:val="00BA1244"/>
    <w:rsid w:val="00BA128F"/>
    <w:rsid w:val="00BA12C1"/>
    <w:rsid w:val="00BA138F"/>
    <w:rsid w:val="00BA13ED"/>
    <w:rsid w:val="00BA1400"/>
    <w:rsid w:val="00BA1467"/>
    <w:rsid w:val="00BA15C8"/>
    <w:rsid w:val="00BA15D4"/>
    <w:rsid w:val="00BA1651"/>
    <w:rsid w:val="00BA1685"/>
    <w:rsid w:val="00BA169B"/>
    <w:rsid w:val="00BA1741"/>
    <w:rsid w:val="00BA175B"/>
    <w:rsid w:val="00BA17F3"/>
    <w:rsid w:val="00BA17FA"/>
    <w:rsid w:val="00BA18B8"/>
    <w:rsid w:val="00BA19B8"/>
    <w:rsid w:val="00BA19CA"/>
    <w:rsid w:val="00BA19D5"/>
    <w:rsid w:val="00BA19EC"/>
    <w:rsid w:val="00BA1A14"/>
    <w:rsid w:val="00BA1A5E"/>
    <w:rsid w:val="00BA1B1E"/>
    <w:rsid w:val="00BA1B37"/>
    <w:rsid w:val="00BA1B47"/>
    <w:rsid w:val="00BA1BF5"/>
    <w:rsid w:val="00BA1C09"/>
    <w:rsid w:val="00BA1C1F"/>
    <w:rsid w:val="00BA1C91"/>
    <w:rsid w:val="00BA1CA1"/>
    <w:rsid w:val="00BA1CF8"/>
    <w:rsid w:val="00BA1CFC"/>
    <w:rsid w:val="00BA1D90"/>
    <w:rsid w:val="00BA1DD2"/>
    <w:rsid w:val="00BA1E9A"/>
    <w:rsid w:val="00BA1F28"/>
    <w:rsid w:val="00BA1F2C"/>
    <w:rsid w:val="00BA1FB9"/>
    <w:rsid w:val="00BA1FE2"/>
    <w:rsid w:val="00BA20EE"/>
    <w:rsid w:val="00BA2161"/>
    <w:rsid w:val="00BA21E4"/>
    <w:rsid w:val="00BA21ED"/>
    <w:rsid w:val="00BA21EE"/>
    <w:rsid w:val="00BA221B"/>
    <w:rsid w:val="00BA2255"/>
    <w:rsid w:val="00BA226D"/>
    <w:rsid w:val="00BA2298"/>
    <w:rsid w:val="00BA2380"/>
    <w:rsid w:val="00BA240A"/>
    <w:rsid w:val="00BA245A"/>
    <w:rsid w:val="00BA24A1"/>
    <w:rsid w:val="00BA2570"/>
    <w:rsid w:val="00BA258B"/>
    <w:rsid w:val="00BA25B7"/>
    <w:rsid w:val="00BA25F7"/>
    <w:rsid w:val="00BA2606"/>
    <w:rsid w:val="00BA2634"/>
    <w:rsid w:val="00BA264A"/>
    <w:rsid w:val="00BA264E"/>
    <w:rsid w:val="00BA267A"/>
    <w:rsid w:val="00BA26A5"/>
    <w:rsid w:val="00BA26C8"/>
    <w:rsid w:val="00BA26D1"/>
    <w:rsid w:val="00BA2725"/>
    <w:rsid w:val="00BA275E"/>
    <w:rsid w:val="00BA2799"/>
    <w:rsid w:val="00BA27AF"/>
    <w:rsid w:val="00BA27F2"/>
    <w:rsid w:val="00BA287A"/>
    <w:rsid w:val="00BA28DA"/>
    <w:rsid w:val="00BA2A0C"/>
    <w:rsid w:val="00BA2A52"/>
    <w:rsid w:val="00BA2AC1"/>
    <w:rsid w:val="00BA2AF5"/>
    <w:rsid w:val="00BA2AF7"/>
    <w:rsid w:val="00BA2B69"/>
    <w:rsid w:val="00BA2B9F"/>
    <w:rsid w:val="00BA2C1F"/>
    <w:rsid w:val="00BA2C25"/>
    <w:rsid w:val="00BA2CD8"/>
    <w:rsid w:val="00BA2CED"/>
    <w:rsid w:val="00BA2CF5"/>
    <w:rsid w:val="00BA2D10"/>
    <w:rsid w:val="00BA2E28"/>
    <w:rsid w:val="00BA2F04"/>
    <w:rsid w:val="00BA2F5F"/>
    <w:rsid w:val="00BA2F98"/>
    <w:rsid w:val="00BA301B"/>
    <w:rsid w:val="00BA3052"/>
    <w:rsid w:val="00BA3064"/>
    <w:rsid w:val="00BA30B6"/>
    <w:rsid w:val="00BA30DE"/>
    <w:rsid w:val="00BA319A"/>
    <w:rsid w:val="00BA3216"/>
    <w:rsid w:val="00BA32B2"/>
    <w:rsid w:val="00BA32BC"/>
    <w:rsid w:val="00BA32F4"/>
    <w:rsid w:val="00BA332B"/>
    <w:rsid w:val="00BA33AD"/>
    <w:rsid w:val="00BA33BD"/>
    <w:rsid w:val="00BA33D0"/>
    <w:rsid w:val="00BA3403"/>
    <w:rsid w:val="00BA3475"/>
    <w:rsid w:val="00BA34C2"/>
    <w:rsid w:val="00BA3518"/>
    <w:rsid w:val="00BA35B6"/>
    <w:rsid w:val="00BA36FA"/>
    <w:rsid w:val="00BA3712"/>
    <w:rsid w:val="00BA3726"/>
    <w:rsid w:val="00BA3740"/>
    <w:rsid w:val="00BA3754"/>
    <w:rsid w:val="00BA37BF"/>
    <w:rsid w:val="00BA37DA"/>
    <w:rsid w:val="00BA383E"/>
    <w:rsid w:val="00BA3965"/>
    <w:rsid w:val="00BA39EB"/>
    <w:rsid w:val="00BA3A45"/>
    <w:rsid w:val="00BA3AC4"/>
    <w:rsid w:val="00BA3B3E"/>
    <w:rsid w:val="00BA3B52"/>
    <w:rsid w:val="00BA3B90"/>
    <w:rsid w:val="00BA3BA6"/>
    <w:rsid w:val="00BA3BDC"/>
    <w:rsid w:val="00BA3C5F"/>
    <w:rsid w:val="00BA3C6D"/>
    <w:rsid w:val="00BA3D3B"/>
    <w:rsid w:val="00BA3D79"/>
    <w:rsid w:val="00BA3DFC"/>
    <w:rsid w:val="00BA3E0D"/>
    <w:rsid w:val="00BA3E39"/>
    <w:rsid w:val="00BA3E49"/>
    <w:rsid w:val="00BA3EE3"/>
    <w:rsid w:val="00BA3F03"/>
    <w:rsid w:val="00BA3FBC"/>
    <w:rsid w:val="00BA3FE6"/>
    <w:rsid w:val="00BA40E4"/>
    <w:rsid w:val="00BA4123"/>
    <w:rsid w:val="00BA414E"/>
    <w:rsid w:val="00BA415A"/>
    <w:rsid w:val="00BA417E"/>
    <w:rsid w:val="00BA4197"/>
    <w:rsid w:val="00BA419F"/>
    <w:rsid w:val="00BA41C1"/>
    <w:rsid w:val="00BA41CB"/>
    <w:rsid w:val="00BA420F"/>
    <w:rsid w:val="00BA4239"/>
    <w:rsid w:val="00BA4283"/>
    <w:rsid w:val="00BA42B3"/>
    <w:rsid w:val="00BA42C7"/>
    <w:rsid w:val="00BA42E7"/>
    <w:rsid w:val="00BA43C3"/>
    <w:rsid w:val="00BA4400"/>
    <w:rsid w:val="00BA441C"/>
    <w:rsid w:val="00BA4427"/>
    <w:rsid w:val="00BA447B"/>
    <w:rsid w:val="00BA449C"/>
    <w:rsid w:val="00BA44AA"/>
    <w:rsid w:val="00BA44DE"/>
    <w:rsid w:val="00BA44E9"/>
    <w:rsid w:val="00BA4513"/>
    <w:rsid w:val="00BA4528"/>
    <w:rsid w:val="00BA45C5"/>
    <w:rsid w:val="00BA4642"/>
    <w:rsid w:val="00BA46F4"/>
    <w:rsid w:val="00BA4701"/>
    <w:rsid w:val="00BA4726"/>
    <w:rsid w:val="00BA47A5"/>
    <w:rsid w:val="00BA47E1"/>
    <w:rsid w:val="00BA4852"/>
    <w:rsid w:val="00BA4867"/>
    <w:rsid w:val="00BA48B1"/>
    <w:rsid w:val="00BA48D5"/>
    <w:rsid w:val="00BA48E7"/>
    <w:rsid w:val="00BA492C"/>
    <w:rsid w:val="00BA49A3"/>
    <w:rsid w:val="00BA4A07"/>
    <w:rsid w:val="00BA4B03"/>
    <w:rsid w:val="00BA4B49"/>
    <w:rsid w:val="00BA4BA0"/>
    <w:rsid w:val="00BA4C28"/>
    <w:rsid w:val="00BA4C3A"/>
    <w:rsid w:val="00BA4C76"/>
    <w:rsid w:val="00BA4C94"/>
    <w:rsid w:val="00BA4CFC"/>
    <w:rsid w:val="00BA4D69"/>
    <w:rsid w:val="00BA4E11"/>
    <w:rsid w:val="00BA4E24"/>
    <w:rsid w:val="00BA4E4F"/>
    <w:rsid w:val="00BA4EA6"/>
    <w:rsid w:val="00BA4EDA"/>
    <w:rsid w:val="00BA4F74"/>
    <w:rsid w:val="00BA508C"/>
    <w:rsid w:val="00BA5171"/>
    <w:rsid w:val="00BA518E"/>
    <w:rsid w:val="00BA51AA"/>
    <w:rsid w:val="00BA51CF"/>
    <w:rsid w:val="00BA5232"/>
    <w:rsid w:val="00BA5390"/>
    <w:rsid w:val="00BA53E3"/>
    <w:rsid w:val="00BA54D7"/>
    <w:rsid w:val="00BA5580"/>
    <w:rsid w:val="00BA5593"/>
    <w:rsid w:val="00BA55DD"/>
    <w:rsid w:val="00BA5699"/>
    <w:rsid w:val="00BA56C7"/>
    <w:rsid w:val="00BA57D1"/>
    <w:rsid w:val="00BA5845"/>
    <w:rsid w:val="00BA5866"/>
    <w:rsid w:val="00BA5892"/>
    <w:rsid w:val="00BA590C"/>
    <w:rsid w:val="00BA5A13"/>
    <w:rsid w:val="00BA5A5A"/>
    <w:rsid w:val="00BA5AB7"/>
    <w:rsid w:val="00BA5AE9"/>
    <w:rsid w:val="00BA5B0A"/>
    <w:rsid w:val="00BA5C4B"/>
    <w:rsid w:val="00BA5C7A"/>
    <w:rsid w:val="00BA5CED"/>
    <w:rsid w:val="00BA5D61"/>
    <w:rsid w:val="00BA5D73"/>
    <w:rsid w:val="00BA5DB0"/>
    <w:rsid w:val="00BA5E2D"/>
    <w:rsid w:val="00BA5F14"/>
    <w:rsid w:val="00BA5F5C"/>
    <w:rsid w:val="00BA5F9F"/>
    <w:rsid w:val="00BA5FDE"/>
    <w:rsid w:val="00BA5FF7"/>
    <w:rsid w:val="00BA6047"/>
    <w:rsid w:val="00BA60B0"/>
    <w:rsid w:val="00BA60CC"/>
    <w:rsid w:val="00BA60E4"/>
    <w:rsid w:val="00BA61CF"/>
    <w:rsid w:val="00BA629C"/>
    <w:rsid w:val="00BA62D6"/>
    <w:rsid w:val="00BA630C"/>
    <w:rsid w:val="00BA6426"/>
    <w:rsid w:val="00BA64B8"/>
    <w:rsid w:val="00BA64BD"/>
    <w:rsid w:val="00BA65B9"/>
    <w:rsid w:val="00BA6639"/>
    <w:rsid w:val="00BA668F"/>
    <w:rsid w:val="00BA6692"/>
    <w:rsid w:val="00BA671B"/>
    <w:rsid w:val="00BA6793"/>
    <w:rsid w:val="00BA67B2"/>
    <w:rsid w:val="00BA6883"/>
    <w:rsid w:val="00BA6AE3"/>
    <w:rsid w:val="00BA6B35"/>
    <w:rsid w:val="00BA6BAF"/>
    <w:rsid w:val="00BA6C63"/>
    <w:rsid w:val="00BA6C96"/>
    <w:rsid w:val="00BA6DA4"/>
    <w:rsid w:val="00BA6DD1"/>
    <w:rsid w:val="00BA6DDD"/>
    <w:rsid w:val="00BA6E33"/>
    <w:rsid w:val="00BA6E9D"/>
    <w:rsid w:val="00BA6F2D"/>
    <w:rsid w:val="00BA6F31"/>
    <w:rsid w:val="00BA6F59"/>
    <w:rsid w:val="00BA6FD6"/>
    <w:rsid w:val="00BA7010"/>
    <w:rsid w:val="00BA7013"/>
    <w:rsid w:val="00BA7088"/>
    <w:rsid w:val="00BA70BC"/>
    <w:rsid w:val="00BA722F"/>
    <w:rsid w:val="00BA729F"/>
    <w:rsid w:val="00BA73FD"/>
    <w:rsid w:val="00BA7490"/>
    <w:rsid w:val="00BA74E8"/>
    <w:rsid w:val="00BA74FB"/>
    <w:rsid w:val="00BA7582"/>
    <w:rsid w:val="00BA758B"/>
    <w:rsid w:val="00BA7652"/>
    <w:rsid w:val="00BA768A"/>
    <w:rsid w:val="00BA76CB"/>
    <w:rsid w:val="00BA76E9"/>
    <w:rsid w:val="00BA770A"/>
    <w:rsid w:val="00BA7728"/>
    <w:rsid w:val="00BA7733"/>
    <w:rsid w:val="00BA773D"/>
    <w:rsid w:val="00BA7851"/>
    <w:rsid w:val="00BA7895"/>
    <w:rsid w:val="00BA79E0"/>
    <w:rsid w:val="00BA7A05"/>
    <w:rsid w:val="00BA7A19"/>
    <w:rsid w:val="00BA7AF4"/>
    <w:rsid w:val="00BA7B7D"/>
    <w:rsid w:val="00BA7BFD"/>
    <w:rsid w:val="00BA7C90"/>
    <w:rsid w:val="00BA7CEF"/>
    <w:rsid w:val="00BA7D8A"/>
    <w:rsid w:val="00BA7DDF"/>
    <w:rsid w:val="00BA7E8D"/>
    <w:rsid w:val="00BA7EA7"/>
    <w:rsid w:val="00BA7EB2"/>
    <w:rsid w:val="00BA7EFC"/>
    <w:rsid w:val="00BA7F34"/>
    <w:rsid w:val="00BA7F6E"/>
    <w:rsid w:val="00BA7FFE"/>
    <w:rsid w:val="00BB0036"/>
    <w:rsid w:val="00BB0039"/>
    <w:rsid w:val="00BB0047"/>
    <w:rsid w:val="00BB00D2"/>
    <w:rsid w:val="00BB00DF"/>
    <w:rsid w:val="00BB00EF"/>
    <w:rsid w:val="00BB0135"/>
    <w:rsid w:val="00BB014D"/>
    <w:rsid w:val="00BB0246"/>
    <w:rsid w:val="00BB02B8"/>
    <w:rsid w:val="00BB03A0"/>
    <w:rsid w:val="00BB03DE"/>
    <w:rsid w:val="00BB0435"/>
    <w:rsid w:val="00BB05C9"/>
    <w:rsid w:val="00BB05F8"/>
    <w:rsid w:val="00BB0629"/>
    <w:rsid w:val="00BB0641"/>
    <w:rsid w:val="00BB0665"/>
    <w:rsid w:val="00BB0666"/>
    <w:rsid w:val="00BB06B2"/>
    <w:rsid w:val="00BB06D0"/>
    <w:rsid w:val="00BB071E"/>
    <w:rsid w:val="00BB0727"/>
    <w:rsid w:val="00BB075F"/>
    <w:rsid w:val="00BB0767"/>
    <w:rsid w:val="00BB076A"/>
    <w:rsid w:val="00BB07A0"/>
    <w:rsid w:val="00BB07F1"/>
    <w:rsid w:val="00BB0809"/>
    <w:rsid w:val="00BB080E"/>
    <w:rsid w:val="00BB08AC"/>
    <w:rsid w:val="00BB0950"/>
    <w:rsid w:val="00BB095D"/>
    <w:rsid w:val="00BB0965"/>
    <w:rsid w:val="00BB0966"/>
    <w:rsid w:val="00BB098A"/>
    <w:rsid w:val="00BB0A23"/>
    <w:rsid w:val="00BB0A35"/>
    <w:rsid w:val="00BB0A5D"/>
    <w:rsid w:val="00BB0AE2"/>
    <w:rsid w:val="00BB0B2B"/>
    <w:rsid w:val="00BB0B61"/>
    <w:rsid w:val="00BB0B8B"/>
    <w:rsid w:val="00BB0BFD"/>
    <w:rsid w:val="00BB0C7A"/>
    <w:rsid w:val="00BB0CB0"/>
    <w:rsid w:val="00BB0D24"/>
    <w:rsid w:val="00BB0F6D"/>
    <w:rsid w:val="00BB0F73"/>
    <w:rsid w:val="00BB0F96"/>
    <w:rsid w:val="00BB0FC0"/>
    <w:rsid w:val="00BB0FE9"/>
    <w:rsid w:val="00BB0FF2"/>
    <w:rsid w:val="00BB1090"/>
    <w:rsid w:val="00BB1133"/>
    <w:rsid w:val="00BB1182"/>
    <w:rsid w:val="00BB1188"/>
    <w:rsid w:val="00BB11AF"/>
    <w:rsid w:val="00BB11D3"/>
    <w:rsid w:val="00BB1292"/>
    <w:rsid w:val="00BB1356"/>
    <w:rsid w:val="00BB136D"/>
    <w:rsid w:val="00BB13F9"/>
    <w:rsid w:val="00BB145A"/>
    <w:rsid w:val="00BB152E"/>
    <w:rsid w:val="00BB154D"/>
    <w:rsid w:val="00BB155B"/>
    <w:rsid w:val="00BB161D"/>
    <w:rsid w:val="00BB1697"/>
    <w:rsid w:val="00BB169F"/>
    <w:rsid w:val="00BB16D8"/>
    <w:rsid w:val="00BB170A"/>
    <w:rsid w:val="00BB1798"/>
    <w:rsid w:val="00BB17A8"/>
    <w:rsid w:val="00BB1897"/>
    <w:rsid w:val="00BB1898"/>
    <w:rsid w:val="00BB19AA"/>
    <w:rsid w:val="00BB19AD"/>
    <w:rsid w:val="00BB1A35"/>
    <w:rsid w:val="00BB1AE8"/>
    <w:rsid w:val="00BB1B3E"/>
    <w:rsid w:val="00BB1B90"/>
    <w:rsid w:val="00BB1B91"/>
    <w:rsid w:val="00BB1BC0"/>
    <w:rsid w:val="00BB1BD9"/>
    <w:rsid w:val="00BB1BF3"/>
    <w:rsid w:val="00BB1C13"/>
    <w:rsid w:val="00BB1C1E"/>
    <w:rsid w:val="00BB1C55"/>
    <w:rsid w:val="00BB1CB1"/>
    <w:rsid w:val="00BB1E60"/>
    <w:rsid w:val="00BB1EC3"/>
    <w:rsid w:val="00BB1F32"/>
    <w:rsid w:val="00BB1F77"/>
    <w:rsid w:val="00BB1FC5"/>
    <w:rsid w:val="00BB2048"/>
    <w:rsid w:val="00BB20AE"/>
    <w:rsid w:val="00BB2152"/>
    <w:rsid w:val="00BB2186"/>
    <w:rsid w:val="00BB21F3"/>
    <w:rsid w:val="00BB2211"/>
    <w:rsid w:val="00BB2232"/>
    <w:rsid w:val="00BB2260"/>
    <w:rsid w:val="00BB22C5"/>
    <w:rsid w:val="00BB2338"/>
    <w:rsid w:val="00BB236B"/>
    <w:rsid w:val="00BB23DA"/>
    <w:rsid w:val="00BB2448"/>
    <w:rsid w:val="00BB24BD"/>
    <w:rsid w:val="00BB2521"/>
    <w:rsid w:val="00BB2581"/>
    <w:rsid w:val="00BB25B7"/>
    <w:rsid w:val="00BB25FB"/>
    <w:rsid w:val="00BB2601"/>
    <w:rsid w:val="00BB265A"/>
    <w:rsid w:val="00BB2663"/>
    <w:rsid w:val="00BB2788"/>
    <w:rsid w:val="00BB27DF"/>
    <w:rsid w:val="00BB2834"/>
    <w:rsid w:val="00BB2837"/>
    <w:rsid w:val="00BB288D"/>
    <w:rsid w:val="00BB28C5"/>
    <w:rsid w:val="00BB28F4"/>
    <w:rsid w:val="00BB2995"/>
    <w:rsid w:val="00BB2A4F"/>
    <w:rsid w:val="00BB2A73"/>
    <w:rsid w:val="00BB2AB7"/>
    <w:rsid w:val="00BB2ADD"/>
    <w:rsid w:val="00BB2B08"/>
    <w:rsid w:val="00BB2BA5"/>
    <w:rsid w:val="00BB2CAB"/>
    <w:rsid w:val="00BB2CCC"/>
    <w:rsid w:val="00BB2CED"/>
    <w:rsid w:val="00BB2D01"/>
    <w:rsid w:val="00BB2D0D"/>
    <w:rsid w:val="00BB2D15"/>
    <w:rsid w:val="00BB2D9F"/>
    <w:rsid w:val="00BB2E46"/>
    <w:rsid w:val="00BB2E48"/>
    <w:rsid w:val="00BB305E"/>
    <w:rsid w:val="00BB30CD"/>
    <w:rsid w:val="00BB318F"/>
    <w:rsid w:val="00BB321D"/>
    <w:rsid w:val="00BB32D7"/>
    <w:rsid w:val="00BB32F3"/>
    <w:rsid w:val="00BB331C"/>
    <w:rsid w:val="00BB33FC"/>
    <w:rsid w:val="00BB34FF"/>
    <w:rsid w:val="00BB350C"/>
    <w:rsid w:val="00BB3559"/>
    <w:rsid w:val="00BB3663"/>
    <w:rsid w:val="00BB366F"/>
    <w:rsid w:val="00BB36EC"/>
    <w:rsid w:val="00BB37EA"/>
    <w:rsid w:val="00BB3823"/>
    <w:rsid w:val="00BB387E"/>
    <w:rsid w:val="00BB3906"/>
    <w:rsid w:val="00BB39EF"/>
    <w:rsid w:val="00BB3A17"/>
    <w:rsid w:val="00BB3A36"/>
    <w:rsid w:val="00BB3A95"/>
    <w:rsid w:val="00BB3B64"/>
    <w:rsid w:val="00BB3B95"/>
    <w:rsid w:val="00BB3BAC"/>
    <w:rsid w:val="00BB3BF1"/>
    <w:rsid w:val="00BB3C0B"/>
    <w:rsid w:val="00BB3C4F"/>
    <w:rsid w:val="00BB3C54"/>
    <w:rsid w:val="00BB3CE7"/>
    <w:rsid w:val="00BB3CF2"/>
    <w:rsid w:val="00BB3DD9"/>
    <w:rsid w:val="00BB3E0C"/>
    <w:rsid w:val="00BB3EB1"/>
    <w:rsid w:val="00BB3EC2"/>
    <w:rsid w:val="00BB3ED9"/>
    <w:rsid w:val="00BB3F4B"/>
    <w:rsid w:val="00BB404C"/>
    <w:rsid w:val="00BB40D6"/>
    <w:rsid w:val="00BB410B"/>
    <w:rsid w:val="00BB4134"/>
    <w:rsid w:val="00BB413A"/>
    <w:rsid w:val="00BB4141"/>
    <w:rsid w:val="00BB41F7"/>
    <w:rsid w:val="00BB422A"/>
    <w:rsid w:val="00BB4239"/>
    <w:rsid w:val="00BB4283"/>
    <w:rsid w:val="00BB4331"/>
    <w:rsid w:val="00BB442E"/>
    <w:rsid w:val="00BB44A5"/>
    <w:rsid w:val="00BB44D5"/>
    <w:rsid w:val="00BB44E3"/>
    <w:rsid w:val="00BB45AE"/>
    <w:rsid w:val="00BB45BD"/>
    <w:rsid w:val="00BB460E"/>
    <w:rsid w:val="00BB4629"/>
    <w:rsid w:val="00BB462D"/>
    <w:rsid w:val="00BB46EE"/>
    <w:rsid w:val="00BB4800"/>
    <w:rsid w:val="00BB4804"/>
    <w:rsid w:val="00BB481A"/>
    <w:rsid w:val="00BB4842"/>
    <w:rsid w:val="00BB486E"/>
    <w:rsid w:val="00BB48D2"/>
    <w:rsid w:val="00BB48EA"/>
    <w:rsid w:val="00BB497B"/>
    <w:rsid w:val="00BB49FE"/>
    <w:rsid w:val="00BB4A05"/>
    <w:rsid w:val="00BB4A11"/>
    <w:rsid w:val="00BB4A49"/>
    <w:rsid w:val="00BB4A50"/>
    <w:rsid w:val="00BB4B60"/>
    <w:rsid w:val="00BB4B6C"/>
    <w:rsid w:val="00BB4DC1"/>
    <w:rsid w:val="00BB4E22"/>
    <w:rsid w:val="00BB4E75"/>
    <w:rsid w:val="00BB4E83"/>
    <w:rsid w:val="00BB4F11"/>
    <w:rsid w:val="00BB4F1D"/>
    <w:rsid w:val="00BB4F81"/>
    <w:rsid w:val="00BB4FB9"/>
    <w:rsid w:val="00BB4FD3"/>
    <w:rsid w:val="00BB5030"/>
    <w:rsid w:val="00BB5036"/>
    <w:rsid w:val="00BB5063"/>
    <w:rsid w:val="00BB50E3"/>
    <w:rsid w:val="00BB510A"/>
    <w:rsid w:val="00BB5125"/>
    <w:rsid w:val="00BB512A"/>
    <w:rsid w:val="00BB512B"/>
    <w:rsid w:val="00BB51CB"/>
    <w:rsid w:val="00BB51FA"/>
    <w:rsid w:val="00BB5227"/>
    <w:rsid w:val="00BB52A1"/>
    <w:rsid w:val="00BB52C9"/>
    <w:rsid w:val="00BB5391"/>
    <w:rsid w:val="00BB53E2"/>
    <w:rsid w:val="00BB5404"/>
    <w:rsid w:val="00BB540A"/>
    <w:rsid w:val="00BB542C"/>
    <w:rsid w:val="00BB54C0"/>
    <w:rsid w:val="00BB550C"/>
    <w:rsid w:val="00BB556C"/>
    <w:rsid w:val="00BB5630"/>
    <w:rsid w:val="00BB5688"/>
    <w:rsid w:val="00BB56BA"/>
    <w:rsid w:val="00BB56E7"/>
    <w:rsid w:val="00BB573A"/>
    <w:rsid w:val="00BB57F3"/>
    <w:rsid w:val="00BB584D"/>
    <w:rsid w:val="00BB5882"/>
    <w:rsid w:val="00BB5889"/>
    <w:rsid w:val="00BB58AB"/>
    <w:rsid w:val="00BB58BA"/>
    <w:rsid w:val="00BB58C9"/>
    <w:rsid w:val="00BB5906"/>
    <w:rsid w:val="00BB5956"/>
    <w:rsid w:val="00BB597B"/>
    <w:rsid w:val="00BB59C2"/>
    <w:rsid w:val="00BB5A29"/>
    <w:rsid w:val="00BB5A5D"/>
    <w:rsid w:val="00BB5AB1"/>
    <w:rsid w:val="00BB5B2F"/>
    <w:rsid w:val="00BB5B5B"/>
    <w:rsid w:val="00BB5BA3"/>
    <w:rsid w:val="00BB5BAA"/>
    <w:rsid w:val="00BB5C09"/>
    <w:rsid w:val="00BB5C39"/>
    <w:rsid w:val="00BB5C7E"/>
    <w:rsid w:val="00BB5C8E"/>
    <w:rsid w:val="00BB5C92"/>
    <w:rsid w:val="00BB5CA6"/>
    <w:rsid w:val="00BB5CD1"/>
    <w:rsid w:val="00BB5DE4"/>
    <w:rsid w:val="00BB5F09"/>
    <w:rsid w:val="00BB5FCB"/>
    <w:rsid w:val="00BB6023"/>
    <w:rsid w:val="00BB6055"/>
    <w:rsid w:val="00BB60ED"/>
    <w:rsid w:val="00BB6263"/>
    <w:rsid w:val="00BB6270"/>
    <w:rsid w:val="00BB6283"/>
    <w:rsid w:val="00BB62B4"/>
    <w:rsid w:val="00BB635B"/>
    <w:rsid w:val="00BB6371"/>
    <w:rsid w:val="00BB63A8"/>
    <w:rsid w:val="00BB640D"/>
    <w:rsid w:val="00BB6414"/>
    <w:rsid w:val="00BB6493"/>
    <w:rsid w:val="00BB6557"/>
    <w:rsid w:val="00BB655A"/>
    <w:rsid w:val="00BB65B2"/>
    <w:rsid w:val="00BB6610"/>
    <w:rsid w:val="00BB6657"/>
    <w:rsid w:val="00BB6670"/>
    <w:rsid w:val="00BB667B"/>
    <w:rsid w:val="00BB66A4"/>
    <w:rsid w:val="00BB66AB"/>
    <w:rsid w:val="00BB67AB"/>
    <w:rsid w:val="00BB67BC"/>
    <w:rsid w:val="00BB67C0"/>
    <w:rsid w:val="00BB67C9"/>
    <w:rsid w:val="00BB67F4"/>
    <w:rsid w:val="00BB6918"/>
    <w:rsid w:val="00BB6919"/>
    <w:rsid w:val="00BB6928"/>
    <w:rsid w:val="00BB6939"/>
    <w:rsid w:val="00BB69DB"/>
    <w:rsid w:val="00BB6A1D"/>
    <w:rsid w:val="00BB6A7F"/>
    <w:rsid w:val="00BB6B2A"/>
    <w:rsid w:val="00BB6B6D"/>
    <w:rsid w:val="00BB6D54"/>
    <w:rsid w:val="00BB6D84"/>
    <w:rsid w:val="00BB6DBC"/>
    <w:rsid w:val="00BB6DE9"/>
    <w:rsid w:val="00BB6DF6"/>
    <w:rsid w:val="00BB6E34"/>
    <w:rsid w:val="00BB6E80"/>
    <w:rsid w:val="00BB6EA3"/>
    <w:rsid w:val="00BB6F41"/>
    <w:rsid w:val="00BB6F50"/>
    <w:rsid w:val="00BB7027"/>
    <w:rsid w:val="00BB70C7"/>
    <w:rsid w:val="00BB70DA"/>
    <w:rsid w:val="00BB70DB"/>
    <w:rsid w:val="00BB7130"/>
    <w:rsid w:val="00BB7171"/>
    <w:rsid w:val="00BB7181"/>
    <w:rsid w:val="00BB719D"/>
    <w:rsid w:val="00BB7211"/>
    <w:rsid w:val="00BB7252"/>
    <w:rsid w:val="00BB7397"/>
    <w:rsid w:val="00BB74A7"/>
    <w:rsid w:val="00BB74C2"/>
    <w:rsid w:val="00BB74EF"/>
    <w:rsid w:val="00BB7504"/>
    <w:rsid w:val="00BB756A"/>
    <w:rsid w:val="00BB7575"/>
    <w:rsid w:val="00BB75FF"/>
    <w:rsid w:val="00BB7636"/>
    <w:rsid w:val="00BB7648"/>
    <w:rsid w:val="00BB76F2"/>
    <w:rsid w:val="00BB7736"/>
    <w:rsid w:val="00BB7765"/>
    <w:rsid w:val="00BB77DA"/>
    <w:rsid w:val="00BB780C"/>
    <w:rsid w:val="00BB781A"/>
    <w:rsid w:val="00BB7967"/>
    <w:rsid w:val="00BB7996"/>
    <w:rsid w:val="00BB79BD"/>
    <w:rsid w:val="00BB7A2E"/>
    <w:rsid w:val="00BB7A31"/>
    <w:rsid w:val="00BB7A6D"/>
    <w:rsid w:val="00BB7B75"/>
    <w:rsid w:val="00BB7B94"/>
    <w:rsid w:val="00BB7BB9"/>
    <w:rsid w:val="00BB7C44"/>
    <w:rsid w:val="00BB7C59"/>
    <w:rsid w:val="00BB7D87"/>
    <w:rsid w:val="00BB7E48"/>
    <w:rsid w:val="00BB7EC4"/>
    <w:rsid w:val="00BB7F77"/>
    <w:rsid w:val="00BB7F86"/>
    <w:rsid w:val="00BB7F9E"/>
    <w:rsid w:val="00BB7FBC"/>
    <w:rsid w:val="00BC007C"/>
    <w:rsid w:val="00BC0122"/>
    <w:rsid w:val="00BC0190"/>
    <w:rsid w:val="00BC01D9"/>
    <w:rsid w:val="00BC020F"/>
    <w:rsid w:val="00BC029B"/>
    <w:rsid w:val="00BC0392"/>
    <w:rsid w:val="00BC0399"/>
    <w:rsid w:val="00BC03A2"/>
    <w:rsid w:val="00BC042A"/>
    <w:rsid w:val="00BC0447"/>
    <w:rsid w:val="00BC05AE"/>
    <w:rsid w:val="00BC05E8"/>
    <w:rsid w:val="00BC0644"/>
    <w:rsid w:val="00BC0687"/>
    <w:rsid w:val="00BC0862"/>
    <w:rsid w:val="00BC08D3"/>
    <w:rsid w:val="00BC08FD"/>
    <w:rsid w:val="00BC0960"/>
    <w:rsid w:val="00BC09F0"/>
    <w:rsid w:val="00BC0A28"/>
    <w:rsid w:val="00BC0B69"/>
    <w:rsid w:val="00BC0C4E"/>
    <w:rsid w:val="00BC0CAB"/>
    <w:rsid w:val="00BC0CB0"/>
    <w:rsid w:val="00BC0D21"/>
    <w:rsid w:val="00BC0DB2"/>
    <w:rsid w:val="00BC0DC4"/>
    <w:rsid w:val="00BC0EC3"/>
    <w:rsid w:val="00BC0ECE"/>
    <w:rsid w:val="00BC0F1C"/>
    <w:rsid w:val="00BC0F91"/>
    <w:rsid w:val="00BC0FB3"/>
    <w:rsid w:val="00BC10CF"/>
    <w:rsid w:val="00BC1129"/>
    <w:rsid w:val="00BC1235"/>
    <w:rsid w:val="00BC12BC"/>
    <w:rsid w:val="00BC1344"/>
    <w:rsid w:val="00BC135C"/>
    <w:rsid w:val="00BC136E"/>
    <w:rsid w:val="00BC1393"/>
    <w:rsid w:val="00BC13F5"/>
    <w:rsid w:val="00BC1445"/>
    <w:rsid w:val="00BC1447"/>
    <w:rsid w:val="00BC144B"/>
    <w:rsid w:val="00BC14CA"/>
    <w:rsid w:val="00BC14D2"/>
    <w:rsid w:val="00BC1521"/>
    <w:rsid w:val="00BC1526"/>
    <w:rsid w:val="00BC1533"/>
    <w:rsid w:val="00BC1548"/>
    <w:rsid w:val="00BC1552"/>
    <w:rsid w:val="00BC15C9"/>
    <w:rsid w:val="00BC15F3"/>
    <w:rsid w:val="00BC1605"/>
    <w:rsid w:val="00BC1669"/>
    <w:rsid w:val="00BC1690"/>
    <w:rsid w:val="00BC17C5"/>
    <w:rsid w:val="00BC17FF"/>
    <w:rsid w:val="00BC180F"/>
    <w:rsid w:val="00BC182D"/>
    <w:rsid w:val="00BC18DE"/>
    <w:rsid w:val="00BC1963"/>
    <w:rsid w:val="00BC1988"/>
    <w:rsid w:val="00BC19E3"/>
    <w:rsid w:val="00BC19E9"/>
    <w:rsid w:val="00BC19EC"/>
    <w:rsid w:val="00BC1A18"/>
    <w:rsid w:val="00BC1A38"/>
    <w:rsid w:val="00BC1A8A"/>
    <w:rsid w:val="00BC1AF0"/>
    <w:rsid w:val="00BC1B7C"/>
    <w:rsid w:val="00BC1BA5"/>
    <w:rsid w:val="00BC1C0B"/>
    <w:rsid w:val="00BC1DBB"/>
    <w:rsid w:val="00BC1E47"/>
    <w:rsid w:val="00BC1E72"/>
    <w:rsid w:val="00BC1F20"/>
    <w:rsid w:val="00BC1F45"/>
    <w:rsid w:val="00BC1F56"/>
    <w:rsid w:val="00BC1F60"/>
    <w:rsid w:val="00BC1F69"/>
    <w:rsid w:val="00BC1FA1"/>
    <w:rsid w:val="00BC20AE"/>
    <w:rsid w:val="00BC2102"/>
    <w:rsid w:val="00BC2151"/>
    <w:rsid w:val="00BC21AE"/>
    <w:rsid w:val="00BC21E9"/>
    <w:rsid w:val="00BC2232"/>
    <w:rsid w:val="00BC228E"/>
    <w:rsid w:val="00BC231C"/>
    <w:rsid w:val="00BC2428"/>
    <w:rsid w:val="00BC247F"/>
    <w:rsid w:val="00BC251E"/>
    <w:rsid w:val="00BC2570"/>
    <w:rsid w:val="00BC25A0"/>
    <w:rsid w:val="00BC26C7"/>
    <w:rsid w:val="00BC26FA"/>
    <w:rsid w:val="00BC2727"/>
    <w:rsid w:val="00BC2755"/>
    <w:rsid w:val="00BC2784"/>
    <w:rsid w:val="00BC27B6"/>
    <w:rsid w:val="00BC280D"/>
    <w:rsid w:val="00BC28D5"/>
    <w:rsid w:val="00BC28EC"/>
    <w:rsid w:val="00BC2923"/>
    <w:rsid w:val="00BC29D6"/>
    <w:rsid w:val="00BC2AE6"/>
    <w:rsid w:val="00BC2B98"/>
    <w:rsid w:val="00BC2CDC"/>
    <w:rsid w:val="00BC2D1F"/>
    <w:rsid w:val="00BC2D86"/>
    <w:rsid w:val="00BC2DFF"/>
    <w:rsid w:val="00BC2E84"/>
    <w:rsid w:val="00BC2E9F"/>
    <w:rsid w:val="00BC2EB9"/>
    <w:rsid w:val="00BC2EEE"/>
    <w:rsid w:val="00BC2F61"/>
    <w:rsid w:val="00BC2FB2"/>
    <w:rsid w:val="00BC2FDD"/>
    <w:rsid w:val="00BC3079"/>
    <w:rsid w:val="00BC307A"/>
    <w:rsid w:val="00BC30D9"/>
    <w:rsid w:val="00BC31F6"/>
    <w:rsid w:val="00BC32B2"/>
    <w:rsid w:val="00BC32BF"/>
    <w:rsid w:val="00BC33FD"/>
    <w:rsid w:val="00BC3488"/>
    <w:rsid w:val="00BC34DF"/>
    <w:rsid w:val="00BC3508"/>
    <w:rsid w:val="00BC354E"/>
    <w:rsid w:val="00BC358D"/>
    <w:rsid w:val="00BC35A4"/>
    <w:rsid w:val="00BC360A"/>
    <w:rsid w:val="00BC3674"/>
    <w:rsid w:val="00BC369E"/>
    <w:rsid w:val="00BC36CF"/>
    <w:rsid w:val="00BC36F1"/>
    <w:rsid w:val="00BC3808"/>
    <w:rsid w:val="00BC3830"/>
    <w:rsid w:val="00BC3864"/>
    <w:rsid w:val="00BC386D"/>
    <w:rsid w:val="00BC38CC"/>
    <w:rsid w:val="00BC393C"/>
    <w:rsid w:val="00BC3A89"/>
    <w:rsid w:val="00BC3AB1"/>
    <w:rsid w:val="00BC3AE1"/>
    <w:rsid w:val="00BC3AE2"/>
    <w:rsid w:val="00BC3B11"/>
    <w:rsid w:val="00BC3B4C"/>
    <w:rsid w:val="00BC3C10"/>
    <w:rsid w:val="00BC3C40"/>
    <w:rsid w:val="00BC3C79"/>
    <w:rsid w:val="00BC3C7E"/>
    <w:rsid w:val="00BC3D04"/>
    <w:rsid w:val="00BC3D08"/>
    <w:rsid w:val="00BC3D29"/>
    <w:rsid w:val="00BC3D52"/>
    <w:rsid w:val="00BC3D75"/>
    <w:rsid w:val="00BC3D76"/>
    <w:rsid w:val="00BC3DA4"/>
    <w:rsid w:val="00BC3E6E"/>
    <w:rsid w:val="00BC3EB2"/>
    <w:rsid w:val="00BC3EDE"/>
    <w:rsid w:val="00BC4253"/>
    <w:rsid w:val="00BC4268"/>
    <w:rsid w:val="00BC4285"/>
    <w:rsid w:val="00BC4286"/>
    <w:rsid w:val="00BC4359"/>
    <w:rsid w:val="00BC43E4"/>
    <w:rsid w:val="00BC43E8"/>
    <w:rsid w:val="00BC43EA"/>
    <w:rsid w:val="00BC4431"/>
    <w:rsid w:val="00BC4459"/>
    <w:rsid w:val="00BC44C4"/>
    <w:rsid w:val="00BC4536"/>
    <w:rsid w:val="00BC454B"/>
    <w:rsid w:val="00BC4561"/>
    <w:rsid w:val="00BC4571"/>
    <w:rsid w:val="00BC4622"/>
    <w:rsid w:val="00BC4641"/>
    <w:rsid w:val="00BC46A7"/>
    <w:rsid w:val="00BC46CF"/>
    <w:rsid w:val="00BC46F3"/>
    <w:rsid w:val="00BC477C"/>
    <w:rsid w:val="00BC4825"/>
    <w:rsid w:val="00BC4882"/>
    <w:rsid w:val="00BC48F0"/>
    <w:rsid w:val="00BC4910"/>
    <w:rsid w:val="00BC49A2"/>
    <w:rsid w:val="00BC49CB"/>
    <w:rsid w:val="00BC4A14"/>
    <w:rsid w:val="00BC4A2D"/>
    <w:rsid w:val="00BC4A36"/>
    <w:rsid w:val="00BC4A95"/>
    <w:rsid w:val="00BC4AAC"/>
    <w:rsid w:val="00BC4BAD"/>
    <w:rsid w:val="00BC4BBC"/>
    <w:rsid w:val="00BC4BD5"/>
    <w:rsid w:val="00BC4C42"/>
    <w:rsid w:val="00BC4CAE"/>
    <w:rsid w:val="00BC4D53"/>
    <w:rsid w:val="00BC4D87"/>
    <w:rsid w:val="00BC4DC8"/>
    <w:rsid w:val="00BC4E12"/>
    <w:rsid w:val="00BC4E15"/>
    <w:rsid w:val="00BC4E7E"/>
    <w:rsid w:val="00BC4F0A"/>
    <w:rsid w:val="00BC4F57"/>
    <w:rsid w:val="00BC4F7E"/>
    <w:rsid w:val="00BC5001"/>
    <w:rsid w:val="00BC5015"/>
    <w:rsid w:val="00BC50EC"/>
    <w:rsid w:val="00BC522C"/>
    <w:rsid w:val="00BC5257"/>
    <w:rsid w:val="00BC5279"/>
    <w:rsid w:val="00BC52E6"/>
    <w:rsid w:val="00BC52ED"/>
    <w:rsid w:val="00BC5373"/>
    <w:rsid w:val="00BC5396"/>
    <w:rsid w:val="00BC5433"/>
    <w:rsid w:val="00BC546C"/>
    <w:rsid w:val="00BC5488"/>
    <w:rsid w:val="00BC54C7"/>
    <w:rsid w:val="00BC54E6"/>
    <w:rsid w:val="00BC553A"/>
    <w:rsid w:val="00BC5577"/>
    <w:rsid w:val="00BC5578"/>
    <w:rsid w:val="00BC55AD"/>
    <w:rsid w:val="00BC55B5"/>
    <w:rsid w:val="00BC5684"/>
    <w:rsid w:val="00BC56B6"/>
    <w:rsid w:val="00BC578D"/>
    <w:rsid w:val="00BC5877"/>
    <w:rsid w:val="00BC58B3"/>
    <w:rsid w:val="00BC58E6"/>
    <w:rsid w:val="00BC591A"/>
    <w:rsid w:val="00BC592A"/>
    <w:rsid w:val="00BC5970"/>
    <w:rsid w:val="00BC5A06"/>
    <w:rsid w:val="00BC5A23"/>
    <w:rsid w:val="00BC5A44"/>
    <w:rsid w:val="00BC5A98"/>
    <w:rsid w:val="00BC5AEE"/>
    <w:rsid w:val="00BC5C4A"/>
    <w:rsid w:val="00BC5C50"/>
    <w:rsid w:val="00BC5C92"/>
    <w:rsid w:val="00BC5CB1"/>
    <w:rsid w:val="00BC5D1A"/>
    <w:rsid w:val="00BC5D1F"/>
    <w:rsid w:val="00BC5D4A"/>
    <w:rsid w:val="00BC5D68"/>
    <w:rsid w:val="00BC5E2B"/>
    <w:rsid w:val="00BC5E39"/>
    <w:rsid w:val="00BC5EA7"/>
    <w:rsid w:val="00BC5F53"/>
    <w:rsid w:val="00BC5F9B"/>
    <w:rsid w:val="00BC5FD6"/>
    <w:rsid w:val="00BC609E"/>
    <w:rsid w:val="00BC60B2"/>
    <w:rsid w:val="00BC60D2"/>
    <w:rsid w:val="00BC60F8"/>
    <w:rsid w:val="00BC6165"/>
    <w:rsid w:val="00BC6213"/>
    <w:rsid w:val="00BC625E"/>
    <w:rsid w:val="00BC6279"/>
    <w:rsid w:val="00BC62F9"/>
    <w:rsid w:val="00BC62FD"/>
    <w:rsid w:val="00BC6308"/>
    <w:rsid w:val="00BC634B"/>
    <w:rsid w:val="00BC63FC"/>
    <w:rsid w:val="00BC640F"/>
    <w:rsid w:val="00BC64C6"/>
    <w:rsid w:val="00BC64D7"/>
    <w:rsid w:val="00BC6524"/>
    <w:rsid w:val="00BC6532"/>
    <w:rsid w:val="00BC6535"/>
    <w:rsid w:val="00BC660A"/>
    <w:rsid w:val="00BC6640"/>
    <w:rsid w:val="00BC678F"/>
    <w:rsid w:val="00BC6792"/>
    <w:rsid w:val="00BC67AA"/>
    <w:rsid w:val="00BC67CB"/>
    <w:rsid w:val="00BC683C"/>
    <w:rsid w:val="00BC685A"/>
    <w:rsid w:val="00BC689B"/>
    <w:rsid w:val="00BC6999"/>
    <w:rsid w:val="00BC6A11"/>
    <w:rsid w:val="00BC6B6D"/>
    <w:rsid w:val="00BC6BA7"/>
    <w:rsid w:val="00BC6BFF"/>
    <w:rsid w:val="00BC6C1A"/>
    <w:rsid w:val="00BC6C6C"/>
    <w:rsid w:val="00BC6CD7"/>
    <w:rsid w:val="00BC6E0A"/>
    <w:rsid w:val="00BC6E19"/>
    <w:rsid w:val="00BC6E37"/>
    <w:rsid w:val="00BC6E5D"/>
    <w:rsid w:val="00BC6EEE"/>
    <w:rsid w:val="00BC6F0B"/>
    <w:rsid w:val="00BC6F2A"/>
    <w:rsid w:val="00BC6FB1"/>
    <w:rsid w:val="00BC7010"/>
    <w:rsid w:val="00BC7058"/>
    <w:rsid w:val="00BC7289"/>
    <w:rsid w:val="00BC729E"/>
    <w:rsid w:val="00BC7320"/>
    <w:rsid w:val="00BC7332"/>
    <w:rsid w:val="00BC73DF"/>
    <w:rsid w:val="00BC7400"/>
    <w:rsid w:val="00BC7486"/>
    <w:rsid w:val="00BC74AC"/>
    <w:rsid w:val="00BC752B"/>
    <w:rsid w:val="00BC752F"/>
    <w:rsid w:val="00BC7635"/>
    <w:rsid w:val="00BC7714"/>
    <w:rsid w:val="00BC7746"/>
    <w:rsid w:val="00BC775D"/>
    <w:rsid w:val="00BC7777"/>
    <w:rsid w:val="00BC7780"/>
    <w:rsid w:val="00BC78A7"/>
    <w:rsid w:val="00BC78B1"/>
    <w:rsid w:val="00BC78D3"/>
    <w:rsid w:val="00BC79AE"/>
    <w:rsid w:val="00BC7A34"/>
    <w:rsid w:val="00BC7A62"/>
    <w:rsid w:val="00BC7A76"/>
    <w:rsid w:val="00BC7B74"/>
    <w:rsid w:val="00BC7BFD"/>
    <w:rsid w:val="00BC7C70"/>
    <w:rsid w:val="00BC7CCB"/>
    <w:rsid w:val="00BC7D13"/>
    <w:rsid w:val="00BC7DCB"/>
    <w:rsid w:val="00BC7DE8"/>
    <w:rsid w:val="00BC7E24"/>
    <w:rsid w:val="00BC7E53"/>
    <w:rsid w:val="00BC7EB4"/>
    <w:rsid w:val="00BC7F4A"/>
    <w:rsid w:val="00BC7FFB"/>
    <w:rsid w:val="00BD0055"/>
    <w:rsid w:val="00BD01A9"/>
    <w:rsid w:val="00BD01C0"/>
    <w:rsid w:val="00BD01EA"/>
    <w:rsid w:val="00BD0209"/>
    <w:rsid w:val="00BD0242"/>
    <w:rsid w:val="00BD02AA"/>
    <w:rsid w:val="00BD02D0"/>
    <w:rsid w:val="00BD03A4"/>
    <w:rsid w:val="00BD04B8"/>
    <w:rsid w:val="00BD0529"/>
    <w:rsid w:val="00BD0541"/>
    <w:rsid w:val="00BD0561"/>
    <w:rsid w:val="00BD05C7"/>
    <w:rsid w:val="00BD06A6"/>
    <w:rsid w:val="00BD06FB"/>
    <w:rsid w:val="00BD071B"/>
    <w:rsid w:val="00BD074F"/>
    <w:rsid w:val="00BD07B1"/>
    <w:rsid w:val="00BD07BF"/>
    <w:rsid w:val="00BD0803"/>
    <w:rsid w:val="00BD084D"/>
    <w:rsid w:val="00BD0863"/>
    <w:rsid w:val="00BD0942"/>
    <w:rsid w:val="00BD094A"/>
    <w:rsid w:val="00BD09AC"/>
    <w:rsid w:val="00BD09E9"/>
    <w:rsid w:val="00BD0ACC"/>
    <w:rsid w:val="00BD0AEB"/>
    <w:rsid w:val="00BD0B56"/>
    <w:rsid w:val="00BD0B58"/>
    <w:rsid w:val="00BD0B68"/>
    <w:rsid w:val="00BD0CE6"/>
    <w:rsid w:val="00BD0D4F"/>
    <w:rsid w:val="00BD0DA9"/>
    <w:rsid w:val="00BD0DB1"/>
    <w:rsid w:val="00BD0E77"/>
    <w:rsid w:val="00BD0EF0"/>
    <w:rsid w:val="00BD0EFD"/>
    <w:rsid w:val="00BD0F51"/>
    <w:rsid w:val="00BD0FD9"/>
    <w:rsid w:val="00BD0FDF"/>
    <w:rsid w:val="00BD101C"/>
    <w:rsid w:val="00BD104E"/>
    <w:rsid w:val="00BD107A"/>
    <w:rsid w:val="00BD10C7"/>
    <w:rsid w:val="00BD114B"/>
    <w:rsid w:val="00BD117E"/>
    <w:rsid w:val="00BD11D7"/>
    <w:rsid w:val="00BD11F6"/>
    <w:rsid w:val="00BD1234"/>
    <w:rsid w:val="00BD128D"/>
    <w:rsid w:val="00BD12A4"/>
    <w:rsid w:val="00BD12BC"/>
    <w:rsid w:val="00BD1330"/>
    <w:rsid w:val="00BD133D"/>
    <w:rsid w:val="00BD1361"/>
    <w:rsid w:val="00BD139B"/>
    <w:rsid w:val="00BD13B4"/>
    <w:rsid w:val="00BD1403"/>
    <w:rsid w:val="00BD1409"/>
    <w:rsid w:val="00BD1410"/>
    <w:rsid w:val="00BD142B"/>
    <w:rsid w:val="00BD1492"/>
    <w:rsid w:val="00BD1546"/>
    <w:rsid w:val="00BD15F3"/>
    <w:rsid w:val="00BD15F9"/>
    <w:rsid w:val="00BD15FB"/>
    <w:rsid w:val="00BD1622"/>
    <w:rsid w:val="00BD1640"/>
    <w:rsid w:val="00BD1672"/>
    <w:rsid w:val="00BD168C"/>
    <w:rsid w:val="00BD16C8"/>
    <w:rsid w:val="00BD16D8"/>
    <w:rsid w:val="00BD16E7"/>
    <w:rsid w:val="00BD1702"/>
    <w:rsid w:val="00BD1769"/>
    <w:rsid w:val="00BD17AE"/>
    <w:rsid w:val="00BD17C6"/>
    <w:rsid w:val="00BD1856"/>
    <w:rsid w:val="00BD1881"/>
    <w:rsid w:val="00BD191F"/>
    <w:rsid w:val="00BD19A4"/>
    <w:rsid w:val="00BD19D2"/>
    <w:rsid w:val="00BD19D5"/>
    <w:rsid w:val="00BD19E3"/>
    <w:rsid w:val="00BD1B00"/>
    <w:rsid w:val="00BD1BD4"/>
    <w:rsid w:val="00BD1BF8"/>
    <w:rsid w:val="00BD1C06"/>
    <w:rsid w:val="00BD1C1E"/>
    <w:rsid w:val="00BD1C3B"/>
    <w:rsid w:val="00BD1CB5"/>
    <w:rsid w:val="00BD1D9D"/>
    <w:rsid w:val="00BD1DCA"/>
    <w:rsid w:val="00BD1DDE"/>
    <w:rsid w:val="00BD1DF2"/>
    <w:rsid w:val="00BD1DF4"/>
    <w:rsid w:val="00BD1EB0"/>
    <w:rsid w:val="00BD1EDC"/>
    <w:rsid w:val="00BD1EFF"/>
    <w:rsid w:val="00BD1F10"/>
    <w:rsid w:val="00BD1F39"/>
    <w:rsid w:val="00BD1F95"/>
    <w:rsid w:val="00BD1FF1"/>
    <w:rsid w:val="00BD2043"/>
    <w:rsid w:val="00BD2225"/>
    <w:rsid w:val="00BD2298"/>
    <w:rsid w:val="00BD22EC"/>
    <w:rsid w:val="00BD2372"/>
    <w:rsid w:val="00BD2400"/>
    <w:rsid w:val="00BD2411"/>
    <w:rsid w:val="00BD2464"/>
    <w:rsid w:val="00BD2493"/>
    <w:rsid w:val="00BD2549"/>
    <w:rsid w:val="00BD25A8"/>
    <w:rsid w:val="00BD25FF"/>
    <w:rsid w:val="00BD2614"/>
    <w:rsid w:val="00BD2636"/>
    <w:rsid w:val="00BD2645"/>
    <w:rsid w:val="00BD276D"/>
    <w:rsid w:val="00BD2774"/>
    <w:rsid w:val="00BD27D4"/>
    <w:rsid w:val="00BD27F5"/>
    <w:rsid w:val="00BD2879"/>
    <w:rsid w:val="00BD28FF"/>
    <w:rsid w:val="00BD2A95"/>
    <w:rsid w:val="00BD2AE3"/>
    <w:rsid w:val="00BD2AFE"/>
    <w:rsid w:val="00BD2B79"/>
    <w:rsid w:val="00BD2B8E"/>
    <w:rsid w:val="00BD2BBF"/>
    <w:rsid w:val="00BD2BFC"/>
    <w:rsid w:val="00BD2C03"/>
    <w:rsid w:val="00BD2C4D"/>
    <w:rsid w:val="00BD2CBD"/>
    <w:rsid w:val="00BD2E7B"/>
    <w:rsid w:val="00BD2EFC"/>
    <w:rsid w:val="00BD2F0B"/>
    <w:rsid w:val="00BD2F73"/>
    <w:rsid w:val="00BD2F9B"/>
    <w:rsid w:val="00BD3030"/>
    <w:rsid w:val="00BD304E"/>
    <w:rsid w:val="00BD306A"/>
    <w:rsid w:val="00BD30F2"/>
    <w:rsid w:val="00BD313F"/>
    <w:rsid w:val="00BD3164"/>
    <w:rsid w:val="00BD3204"/>
    <w:rsid w:val="00BD328A"/>
    <w:rsid w:val="00BD3292"/>
    <w:rsid w:val="00BD32E6"/>
    <w:rsid w:val="00BD33C4"/>
    <w:rsid w:val="00BD33F8"/>
    <w:rsid w:val="00BD3467"/>
    <w:rsid w:val="00BD349D"/>
    <w:rsid w:val="00BD34B8"/>
    <w:rsid w:val="00BD3538"/>
    <w:rsid w:val="00BD3541"/>
    <w:rsid w:val="00BD356E"/>
    <w:rsid w:val="00BD35C0"/>
    <w:rsid w:val="00BD35EA"/>
    <w:rsid w:val="00BD3683"/>
    <w:rsid w:val="00BD36C6"/>
    <w:rsid w:val="00BD3746"/>
    <w:rsid w:val="00BD3758"/>
    <w:rsid w:val="00BD37AF"/>
    <w:rsid w:val="00BD37CF"/>
    <w:rsid w:val="00BD3860"/>
    <w:rsid w:val="00BD387C"/>
    <w:rsid w:val="00BD395C"/>
    <w:rsid w:val="00BD39AA"/>
    <w:rsid w:val="00BD39BF"/>
    <w:rsid w:val="00BD39CB"/>
    <w:rsid w:val="00BD3A4F"/>
    <w:rsid w:val="00BD3AC0"/>
    <w:rsid w:val="00BD3AC8"/>
    <w:rsid w:val="00BD3B19"/>
    <w:rsid w:val="00BD3B1E"/>
    <w:rsid w:val="00BD3B21"/>
    <w:rsid w:val="00BD3B29"/>
    <w:rsid w:val="00BD3B90"/>
    <w:rsid w:val="00BD3BB1"/>
    <w:rsid w:val="00BD3BDD"/>
    <w:rsid w:val="00BD3C8D"/>
    <w:rsid w:val="00BD3CF5"/>
    <w:rsid w:val="00BD3D00"/>
    <w:rsid w:val="00BD3D1A"/>
    <w:rsid w:val="00BD3D3D"/>
    <w:rsid w:val="00BD3D50"/>
    <w:rsid w:val="00BD3D52"/>
    <w:rsid w:val="00BD3D70"/>
    <w:rsid w:val="00BD3D9D"/>
    <w:rsid w:val="00BD3DDB"/>
    <w:rsid w:val="00BD3E0E"/>
    <w:rsid w:val="00BD3E50"/>
    <w:rsid w:val="00BD3F18"/>
    <w:rsid w:val="00BD3FAA"/>
    <w:rsid w:val="00BD3FB7"/>
    <w:rsid w:val="00BD3FCA"/>
    <w:rsid w:val="00BD410D"/>
    <w:rsid w:val="00BD410F"/>
    <w:rsid w:val="00BD412A"/>
    <w:rsid w:val="00BD423C"/>
    <w:rsid w:val="00BD42B7"/>
    <w:rsid w:val="00BD4313"/>
    <w:rsid w:val="00BD4333"/>
    <w:rsid w:val="00BD4350"/>
    <w:rsid w:val="00BD4403"/>
    <w:rsid w:val="00BD444D"/>
    <w:rsid w:val="00BD449D"/>
    <w:rsid w:val="00BD44BB"/>
    <w:rsid w:val="00BD451A"/>
    <w:rsid w:val="00BD4677"/>
    <w:rsid w:val="00BD4681"/>
    <w:rsid w:val="00BD4792"/>
    <w:rsid w:val="00BD47E9"/>
    <w:rsid w:val="00BD48B3"/>
    <w:rsid w:val="00BD48F8"/>
    <w:rsid w:val="00BD4912"/>
    <w:rsid w:val="00BD49A4"/>
    <w:rsid w:val="00BD49B7"/>
    <w:rsid w:val="00BD4A7E"/>
    <w:rsid w:val="00BD4C07"/>
    <w:rsid w:val="00BD4C34"/>
    <w:rsid w:val="00BD4C50"/>
    <w:rsid w:val="00BD4C52"/>
    <w:rsid w:val="00BD4CD0"/>
    <w:rsid w:val="00BD4D42"/>
    <w:rsid w:val="00BD4E1A"/>
    <w:rsid w:val="00BD4E2E"/>
    <w:rsid w:val="00BD4EA0"/>
    <w:rsid w:val="00BD4EBF"/>
    <w:rsid w:val="00BD4F49"/>
    <w:rsid w:val="00BD4F50"/>
    <w:rsid w:val="00BD4F54"/>
    <w:rsid w:val="00BD4F90"/>
    <w:rsid w:val="00BD4FF0"/>
    <w:rsid w:val="00BD4FF5"/>
    <w:rsid w:val="00BD506D"/>
    <w:rsid w:val="00BD512E"/>
    <w:rsid w:val="00BD5137"/>
    <w:rsid w:val="00BD5157"/>
    <w:rsid w:val="00BD515E"/>
    <w:rsid w:val="00BD5172"/>
    <w:rsid w:val="00BD519E"/>
    <w:rsid w:val="00BD51D5"/>
    <w:rsid w:val="00BD51E4"/>
    <w:rsid w:val="00BD51F3"/>
    <w:rsid w:val="00BD5247"/>
    <w:rsid w:val="00BD525A"/>
    <w:rsid w:val="00BD528C"/>
    <w:rsid w:val="00BD52AE"/>
    <w:rsid w:val="00BD5319"/>
    <w:rsid w:val="00BD532E"/>
    <w:rsid w:val="00BD533F"/>
    <w:rsid w:val="00BD537C"/>
    <w:rsid w:val="00BD549E"/>
    <w:rsid w:val="00BD54C7"/>
    <w:rsid w:val="00BD54EE"/>
    <w:rsid w:val="00BD5500"/>
    <w:rsid w:val="00BD5538"/>
    <w:rsid w:val="00BD56EC"/>
    <w:rsid w:val="00BD5734"/>
    <w:rsid w:val="00BD5856"/>
    <w:rsid w:val="00BD58C3"/>
    <w:rsid w:val="00BD59E5"/>
    <w:rsid w:val="00BD59F9"/>
    <w:rsid w:val="00BD5A30"/>
    <w:rsid w:val="00BD5A42"/>
    <w:rsid w:val="00BD5AA4"/>
    <w:rsid w:val="00BD5B1B"/>
    <w:rsid w:val="00BD5B51"/>
    <w:rsid w:val="00BD5C6B"/>
    <w:rsid w:val="00BD5CB3"/>
    <w:rsid w:val="00BD5CD8"/>
    <w:rsid w:val="00BD5D56"/>
    <w:rsid w:val="00BD5D82"/>
    <w:rsid w:val="00BD5DB0"/>
    <w:rsid w:val="00BD5E0D"/>
    <w:rsid w:val="00BD5E13"/>
    <w:rsid w:val="00BD5E8F"/>
    <w:rsid w:val="00BD5EDF"/>
    <w:rsid w:val="00BD5F08"/>
    <w:rsid w:val="00BD5F0F"/>
    <w:rsid w:val="00BD5F1F"/>
    <w:rsid w:val="00BD5F70"/>
    <w:rsid w:val="00BD5FAD"/>
    <w:rsid w:val="00BD5FAE"/>
    <w:rsid w:val="00BD5FBD"/>
    <w:rsid w:val="00BD6060"/>
    <w:rsid w:val="00BD60FF"/>
    <w:rsid w:val="00BD615F"/>
    <w:rsid w:val="00BD6177"/>
    <w:rsid w:val="00BD619F"/>
    <w:rsid w:val="00BD6204"/>
    <w:rsid w:val="00BD622F"/>
    <w:rsid w:val="00BD627C"/>
    <w:rsid w:val="00BD6286"/>
    <w:rsid w:val="00BD62BF"/>
    <w:rsid w:val="00BD6331"/>
    <w:rsid w:val="00BD633A"/>
    <w:rsid w:val="00BD6358"/>
    <w:rsid w:val="00BD640E"/>
    <w:rsid w:val="00BD6442"/>
    <w:rsid w:val="00BD646A"/>
    <w:rsid w:val="00BD64B7"/>
    <w:rsid w:val="00BD64C1"/>
    <w:rsid w:val="00BD64DA"/>
    <w:rsid w:val="00BD6520"/>
    <w:rsid w:val="00BD652F"/>
    <w:rsid w:val="00BD664B"/>
    <w:rsid w:val="00BD670B"/>
    <w:rsid w:val="00BD6737"/>
    <w:rsid w:val="00BD6765"/>
    <w:rsid w:val="00BD6842"/>
    <w:rsid w:val="00BD68F7"/>
    <w:rsid w:val="00BD68FE"/>
    <w:rsid w:val="00BD691C"/>
    <w:rsid w:val="00BD6A72"/>
    <w:rsid w:val="00BD6B84"/>
    <w:rsid w:val="00BD6BE7"/>
    <w:rsid w:val="00BD6C15"/>
    <w:rsid w:val="00BD6C27"/>
    <w:rsid w:val="00BD6C3A"/>
    <w:rsid w:val="00BD6C81"/>
    <w:rsid w:val="00BD6CAF"/>
    <w:rsid w:val="00BD6CB1"/>
    <w:rsid w:val="00BD6DE2"/>
    <w:rsid w:val="00BD6F53"/>
    <w:rsid w:val="00BD6F67"/>
    <w:rsid w:val="00BD6F80"/>
    <w:rsid w:val="00BD6F8E"/>
    <w:rsid w:val="00BD6FA0"/>
    <w:rsid w:val="00BD6FA3"/>
    <w:rsid w:val="00BD6FBA"/>
    <w:rsid w:val="00BD7045"/>
    <w:rsid w:val="00BD7089"/>
    <w:rsid w:val="00BD7091"/>
    <w:rsid w:val="00BD70C1"/>
    <w:rsid w:val="00BD7135"/>
    <w:rsid w:val="00BD71C5"/>
    <w:rsid w:val="00BD71EF"/>
    <w:rsid w:val="00BD721A"/>
    <w:rsid w:val="00BD7318"/>
    <w:rsid w:val="00BD731E"/>
    <w:rsid w:val="00BD7349"/>
    <w:rsid w:val="00BD73EF"/>
    <w:rsid w:val="00BD7549"/>
    <w:rsid w:val="00BD75A3"/>
    <w:rsid w:val="00BD75AE"/>
    <w:rsid w:val="00BD75E6"/>
    <w:rsid w:val="00BD7670"/>
    <w:rsid w:val="00BD7708"/>
    <w:rsid w:val="00BD775C"/>
    <w:rsid w:val="00BD7763"/>
    <w:rsid w:val="00BD781D"/>
    <w:rsid w:val="00BD7846"/>
    <w:rsid w:val="00BD785C"/>
    <w:rsid w:val="00BD78A9"/>
    <w:rsid w:val="00BD78EF"/>
    <w:rsid w:val="00BD793C"/>
    <w:rsid w:val="00BD79D7"/>
    <w:rsid w:val="00BD7A57"/>
    <w:rsid w:val="00BD7A65"/>
    <w:rsid w:val="00BD7AE4"/>
    <w:rsid w:val="00BD7B48"/>
    <w:rsid w:val="00BD7BC6"/>
    <w:rsid w:val="00BD7C01"/>
    <w:rsid w:val="00BD7C45"/>
    <w:rsid w:val="00BD7E05"/>
    <w:rsid w:val="00BD7E23"/>
    <w:rsid w:val="00BD7EC4"/>
    <w:rsid w:val="00BD7EDF"/>
    <w:rsid w:val="00BD7EEB"/>
    <w:rsid w:val="00BD7F76"/>
    <w:rsid w:val="00BD7FBD"/>
    <w:rsid w:val="00BD7FEA"/>
    <w:rsid w:val="00BE00B1"/>
    <w:rsid w:val="00BE0279"/>
    <w:rsid w:val="00BE0362"/>
    <w:rsid w:val="00BE03E3"/>
    <w:rsid w:val="00BE03E8"/>
    <w:rsid w:val="00BE0559"/>
    <w:rsid w:val="00BE05CF"/>
    <w:rsid w:val="00BE062B"/>
    <w:rsid w:val="00BE06F0"/>
    <w:rsid w:val="00BE0770"/>
    <w:rsid w:val="00BE0784"/>
    <w:rsid w:val="00BE0796"/>
    <w:rsid w:val="00BE07B3"/>
    <w:rsid w:val="00BE080E"/>
    <w:rsid w:val="00BE083C"/>
    <w:rsid w:val="00BE0875"/>
    <w:rsid w:val="00BE09BB"/>
    <w:rsid w:val="00BE09D0"/>
    <w:rsid w:val="00BE09F9"/>
    <w:rsid w:val="00BE0A1F"/>
    <w:rsid w:val="00BE0A45"/>
    <w:rsid w:val="00BE0A4D"/>
    <w:rsid w:val="00BE0B70"/>
    <w:rsid w:val="00BE0C43"/>
    <w:rsid w:val="00BE0CF5"/>
    <w:rsid w:val="00BE0D56"/>
    <w:rsid w:val="00BE0E3A"/>
    <w:rsid w:val="00BE0ECD"/>
    <w:rsid w:val="00BE0F10"/>
    <w:rsid w:val="00BE0F62"/>
    <w:rsid w:val="00BE0FC7"/>
    <w:rsid w:val="00BE1000"/>
    <w:rsid w:val="00BE100A"/>
    <w:rsid w:val="00BE10EF"/>
    <w:rsid w:val="00BE11B3"/>
    <w:rsid w:val="00BE11FE"/>
    <w:rsid w:val="00BE1288"/>
    <w:rsid w:val="00BE12D1"/>
    <w:rsid w:val="00BE134A"/>
    <w:rsid w:val="00BE137A"/>
    <w:rsid w:val="00BE1441"/>
    <w:rsid w:val="00BE14B7"/>
    <w:rsid w:val="00BE1509"/>
    <w:rsid w:val="00BE15A4"/>
    <w:rsid w:val="00BE170F"/>
    <w:rsid w:val="00BE1767"/>
    <w:rsid w:val="00BE1922"/>
    <w:rsid w:val="00BE193C"/>
    <w:rsid w:val="00BE1990"/>
    <w:rsid w:val="00BE1998"/>
    <w:rsid w:val="00BE199A"/>
    <w:rsid w:val="00BE19B1"/>
    <w:rsid w:val="00BE19E8"/>
    <w:rsid w:val="00BE1A29"/>
    <w:rsid w:val="00BE1A2C"/>
    <w:rsid w:val="00BE1A7A"/>
    <w:rsid w:val="00BE1B13"/>
    <w:rsid w:val="00BE1B1D"/>
    <w:rsid w:val="00BE1B67"/>
    <w:rsid w:val="00BE1B73"/>
    <w:rsid w:val="00BE1BC8"/>
    <w:rsid w:val="00BE1BC9"/>
    <w:rsid w:val="00BE1CA8"/>
    <w:rsid w:val="00BE1CC9"/>
    <w:rsid w:val="00BE1DDC"/>
    <w:rsid w:val="00BE1DF2"/>
    <w:rsid w:val="00BE1E88"/>
    <w:rsid w:val="00BE1E9D"/>
    <w:rsid w:val="00BE1FE1"/>
    <w:rsid w:val="00BE21AA"/>
    <w:rsid w:val="00BE21D2"/>
    <w:rsid w:val="00BE2299"/>
    <w:rsid w:val="00BE2322"/>
    <w:rsid w:val="00BE23AD"/>
    <w:rsid w:val="00BE2405"/>
    <w:rsid w:val="00BE2467"/>
    <w:rsid w:val="00BE247C"/>
    <w:rsid w:val="00BE254D"/>
    <w:rsid w:val="00BE2556"/>
    <w:rsid w:val="00BE2562"/>
    <w:rsid w:val="00BE25A3"/>
    <w:rsid w:val="00BE260D"/>
    <w:rsid w:val="00BE2665"/>
    <w:rsid w:val="00BE2674"/>
    <w:rsid w:val="00BE267E"/>
    <w:rsid w:val="00BE26B7"/>
    <w:rsid w:val="00BE276A"/>
    <w:rsid w:val="00BE2779"/>
    <w:rsid w:val="00BE277B"/>
    <w:rsid w:val="00BE287B"/>
    <w:rsid w:val="00BE289B"/>
    <w:rsid w:val="00BE2930"/>
    <w:rsid w:val="00BE2931"/>
    <w:rsid w:val="00BE2A07"/>
    <w:rsid w:val="00BE2A3F"/>
    <w:rsid w:val="00BE2A7A"/>
    <w:rsid w:val="00BE2ACA"/>
    <w:rsid w:val="00BE2BB8"/>
    <w:rsid w:val="00BE2C11"/>
    <w:rsid w:val="00BE2C1D"/>
    <w:rsid w:val="00BE2C21"/>
    <w:rsid w:val="00BE2C7A"/>
    <w:rsid w:val="00BE2CA4"/>
    <w:rsid w:val="00BE2D7A"/>
    <w:rsid w:val="00BE2D8C"/>
    <w:rsid w:val="00BE2DF1"/>
    <w:rsid w:val="00BE2E3A"/>
    <w:rsid w:val="00BE2E50"/>
    <w:rsid w:val="00BE2E59"/>
    <w:rsid w:val="00BE2E5E"/>
    <w:rsid w:val="00BE2EA6"/>
    <w:rsid w:val="00BE2EEA"/>
    <w:rsid w:val="00BE2FAB"/>
    <w:rsid w:val="00BE2FF4"/>
    <w:rsid w:val="00BE3023"/>
    <w:rsid w:val="00BE308A"/>
    <w:rsid w:val="00BE30AB"/>
    <w:rsid w:val="00BE30F4"/>
    <w:rsid w:val="00BE3137"/>
    <w:rsid w:val="00BE315D"/>
    <w:rsid w:val="00BE317E"/>
    <w:rsid w:val="00BE3188"/>
    <w:rsid w:val="00BE3245"/>
    <w:rsid w:val="00BE32C5"/>
    <w:rsid w:val="00BE32F1"/>
    <w:rsid w:val="00BE3326"/>
    <w:rsid w:val="00BE334E"/>
    <w:rsid w:val="00BE3393"/>
    <w:rsid w:val="00BE33CF"/>
    <w:rsid w:val="00BE3409"/>
    <w:rsid w:val="00BE3442"/>
    <w:rsid w:val="00BE3463"/>
    <w:rsid w:val="00BE34DC"/>
    <w:rsid w:val="00BE34F3"/>
    <w:rsid w:val="00BE3523"/>
    <w:rsid w:val="00BE35A9"/>
    <w:rsid w:val="00BE35AF"/>
    <w:rsid w:val="00BE35D7"/>
    <w:rsid w:val="00BE3747"/>
    <w:rsid w:val="00BE3769"/>
    <w:rsid w:val="00BE3854"/>
    <w:rsid w:val="00BE3929"/>
    <w:rsid w:val="00BE3A12"/>
    <w:rsid w:val="00BE3A19"/>
    <w:rsid w:val="00BE3A38"/>
    <w:rsid w:val="00BE3A75"/>
    <w:rsid w:val="00BE3BBE"/>
    <w:rsid w:val="00BE3BC0"/>
    <w:rsid w:val="00BE3BD6"/>
    <w:rsid w:val="00BE3C41"/>
    <w:rsid w:val="00BE3D1B"/>
    <w:rsid w:val="00BE3D85"/>
    <w:rsid w:val="00BE3D9B"/>
    <w:rsid w:val="00BE3DAF"/>
    <w:rsid w:val="00BE3E00"/>
    <w:rsid w:val="00BE3E03"/>
    <w:rsid w:val="00BE3E1E"/>
    <w:rsid w:val="00BE3E43"/>
    <w:rsid w:val="00BE3E5D"/>
    <w:rsid w:val="00BE3E8B"/>
    <w:rsid w:val="00BE3EDD"/>
    <w:rsid w:val="00BE3EE1"/>
    <w:rsid w:val="00BE3F80"/>
    <w:rsid w:val="00BE40EE"/>
    <w:rsid w:val="00BE40FF"/>
    <w:rsid w:val="00BE418A"/>
    <w:rsid w:val="00BE41B3"/>
    <w:rsid w:val="00BE41C0"/>
    <w:rsid w:val="00BE4213"/>
    <w:rsid w:val="00BE421A"/>
    <w:rsid w:val="00BE42B4"/>
    <w:rsid w:val="00BE4328"/>
    <w:rsid w:val="00BE4339"/>
    <w:rsid w:val="00BE453D"/>
    <w:rsid w:val="00BE454B"/>
    <w:rsid w:val="00BE45AB"/>
    <w:rsid w:val="00BE45C4"/>
    <w:rsid w:val="00BE46CD"/>
    <w:rsid w:val="00BE4772"/>
    <w:rsid w:val="00BE477B"/>
    <w:rsid w:val="00BE4792"/>
    <w:rsid w:val="00BE4847"/>
    <w:rsid w:val="00BE4939"/>
    <w:rsid w:val="00BE4993"/>
    <w:rsid w:val="00BE49B2"/>
    <w:rsid w:val="00BE4A80"/>
    <w:rsid w:val="00BE4C58"/>
    <w:rsid w:val="00BE4CE4"/>
    <w:rsid w:val="00BE4D40"/>
    <w:rsid w:val="00BE4D5A"/>
    <w:rsid w:val="00BE4D9F"/>
    <w:rsid w:val="00BE4E55"/>
    <w:rsid w:val="00BE4E73"/>
    <w:rsid w:val="00BE4F07"/>
    <w:rsid w:val="00BE4F7A"/>
    <w:rsid w:val="00BE4F8D"/>
    <w:rsid w:val="00BE4FD4"/>
    <w:rsid w:val="00BE4FDF"/>
    <w:rsid w:val="00BE4FE0"/>
    <w:rsid w:val="00BE506B"/>
    <w:rsid w:val="00BE50A6"/>
    <w:rsid w:val="00BE50A7"/>
    <w:rsid w:val="00BE50B6"/>
    <w:rsid w:val="00BE50FE"/>
    <w:rsid w:val="00BE512B"/>
    <w:rsid w:val="00BE51C7"/>
    <w:rsid w:val="00BE51D4"/>
    <w:rsid w:val="00BE5207"/>
    <w:rsid w:val="00BE532C"/>
    <w:rsid w:val="00BE5378"/>
    <w:rsid w:val="00BE53AA"/>
    <w:rsid w:val="00BE543E"/>
    <w:rsid w:val="00BE5477"/>
    <w:rsid w:val="00BE547B"/>
    <w:rsid w:val="00BE563A"/>
    <w:rsid w:val="00BE56F4"/>
    <w:rsid w:val="00BE570E"/>
    <w:rsid w:val="00BE572A"/>
    <w:rsid w:val="00BE5802"/>
    <w:rsid w:val="00BE583A"/>
    <w:rsid w:val="00BE5906"/>
    <w:rsid w:val="00BE592A"/>
    <w:rsid w:val="00BE5946"/>
    <w:rsid w:val="00BE5A82"/>
    <w:rsid w:val="00BE5B28"/>
    <w:rsid w:val="00BE5B91"/>
    <w:rsid w:val="00BE5BE5"/>
    <w:rsid w:val="00BE5C33"/>
    <w:rsid w:val="00BE5DBB"/>
    <w:rsid w:val="00BE5DCD"/>
    <w:rsid w:val="00BE5DCE"/>
    <w:rsid w:val="00BE5DD4"/>
    <w:rsid w:val="00BE5DF7"/>
    <w:rsid w:val="00BE5EB7"/>
    <w:rsid w:val="00BE5EC0"/>
    <w:rsid w:val="00BE5ED1"/>
    <w:rsid w:val="00BE5EF5"/>
    <w:rsid w:val="00BE60A0"/>
    <w:rsid w:val="00BE6226"/>
    <w:rsid w:val="00BE6228"/>
    <w:rsid w:val="00BE6291"/>
    <w:rsid w:val="00BE62D4"/>
    <w:rsid w:val="00BE6322"/>
    <w:rsid w:val="00BE6396"/>
    <w:rsid w:val="00BE6399"/>
    <w:rsid w:val="00BE63D6"/>
    <w:rsid w:val="00BE63E0"/>
    <w:rsid w:val="00BE641D"/>
    <w:rsid w:val="00BE649B"/>
    <w:rsid w:val="00BE65C1"/>
    <w:rsid w:val="00BE6717"/>
    <w:rsid w:val="00BE67CA"/>
    <w:rsid w:val="00BE67D4"/>
    <w:rsid w:val="00BE6806"/>
    <w:rsid w:val="00BE688E"/>
    <w:rsid w:val="00BE691F"/>
    <w:rsid w:val="00BE6941"/>
    <w:rsid w:val="00BE6A2F"/>
    <w:rsid w:val="00BE6A8D"/>
    <w:rsid w:val="00BE6A90"/>
    <w:rsid w:val="00BE6AFC"/>
    <w:rsid w:val="00BE6B15"/>
    <w:rsid w:val="00BE6B75"/>
    <w:rsid w:val="00BE6C54"/>
    <w:rsid w:val="00BE6C8E"/>
    <w:rsid w:val="00BE6CE4"/>
    <w:rsid w:val="00BE6DB0"/>
    <w:rsid w:val="00BE6DB2"/>
    <w:rsid w:val="00BE6E18"/>
    <w:rsid w:val="00BE6E41"/>
    <w:rsid w:val="00BE6E94"/>
    <w:rsid w:val="00BE6F23"/>
    <w:rsid w:val="00BE6F4E"/>
    <w:rsid w:val="00BE6FC2"/>
    <w:rsid w:val="00BE7072"/>
    <w:rsid w:val="00BE7097"/>
    <w:rsid w:val="00BE710E"/>
    <w:rsid w:val="00BE7134"/>
    <w:rsid w:val="00BE7179"/>
    <w:rsid w:val="00BE71BF"/>
    <w:rsid w:val="00BE7233"/>
    <w:rsid w:val="00BE7243"/>
    <w:rsid w:val="00BE7256"/>
    <w:rsid w:val="00BE72B8"/>
    <w:rsid w:val="00BE730A"/>
    <w:rsid w:val="00BE7311"/>
    <w:rsid w:val="00BE7325"/>
    <w:rsid w:val="00BE732C"/>
    <w:rsid w:val="00BE7417"/>
    <w:rsid w:val="00BE74C2"/>
    <w:rsid w:val="00BE74C8"/>
    <w:rsid w:val="00BE7521"/>
    <w:rsid w:val="00BE7531"/>
    <w:rsid w:val="00BE7581"/>
    <w:rsid w:val="00BE7628"/>
    <w:rsid w:val="00BE76AB"/>
    <w:rsid w:val="00BE7723"/>
    <w:rsid w:val="00BE7737"/>
    <w:rsid w:val="00BE774F"/>
    <w:rsid w:val="00BE7771"/>
    <w:rsid w:val="00BE77BA"/>
    <w:rsid w:val="00BE77C8"/>
    <w:rsid w:val="00BE7804"/>
    <w:rsid w:val="00BE7856"/>
    <w:rsid w:val="00BE794B"/>
    <w:rsid w:val="00BE796A"/>
    <w:rsid w:val="00BE79FF"/>
    <w:rsid w:val="00BE7A10"/>
    <w:rsid w:val="00BE7A44"/>
    <w:rsid w:val="00BE7A62"/>
    <w:rsid w:val="00BE7B3A"/>
    <w:rsid w:val="00BE7B79"/>
    <w:rsid w:val="00BE7B8A"/>
    <w:rsid w:val="00BE7C79"/>
    <w:rsid w:val="00BE7C83"/>
    <w:rsid w:val="00BE7C85"/>
    <w:rsid w:val="00BE7D56"/>
    <w:rsid w:val="00BE7D89"/>
    <w:rsid w:val="00BE7D8F"/>
    <w:rsid w:val="00BE7DBC"/>
    <w:rsid w:val="00BE7DC8"/>
    <w:rsid w:val="00BE7DE2"/>
    <w:rsid w:val="00BE7ECA"/>
    <w:rsid w:val="00BE7F62"/>
    <w:rsid w:val="00BE7FD3"/>
    <w:rsid w:val="00BE8F9F"/>
    <w:rsid w:val="00BF0076"/>
    <w:rsid w:val="00BF0109"/>
    <w:rsid w:val="00BF0190"/>
    <w:rsid w:val="00BF0255"/>
    <w:rsid w:val="00BF0256"/>
    <w:rsid w:val="00BF0268"/>
    <w:rsid w:val="00BF0338"/>
    <w:rsid w:val="00BF0341"/>
    <w:rsid w:val="00BF0346"/>
    <w:rsid w:val="00BF035A"/>
    <w:rsid w:val="00BF0377"/>
    <w:rsid w:val="00BF03B7"/>
    <w:rsid w:val="00BF03E0"/>
    <w:rsid w:val="00BF048F"/>
    <w:rsid w:val="00BF05B4"/>
    <w:rsid w:val="00BF05DB"/>
    <w:rsid w:val="00BF06CE"/>
    <w:rsid w:val="00BF06DB"/>
    <w:rsid w:val="00BF0768"/>
    <w:rsid w:val="00BF0769"/>
    <w:rsid w:val="00BF076F"/>
    <w:rsid w:val="00BF07C9"/>
    <w:rsid w:val="00BF082D"/>
    <w:rsid w:val="00BF0836"/>
    <w:rsid w:val="00BF0862"/>
    <w:rsid w:val="00BF08D9"/>
    <w:rsid w:val="00BF0920"/>
    <w:rsid w:val="00BF0984"/>
    <w:rsid w:val="00BF0A66"/>
    <w:rsid w:val="00BF0AD3"/>
    <w:rsid w:val="00BF0B80"/>
    <w:rsid w:val="00BF0BD4"/>
    <w:rsid w:val="00BF0C19"/>
    <w:rsid w:val="00BF0C57"/>
    <w:rsid w:val="00BF0D3B"/>
    <w:rsid w:val="00BF0D97"/>
    <w:rsid w:val="00BF0DC6"/>
    <w:rsid w:val="00BF0DCC"/>
    <w:rsid w:val="00BF0E25"/>
    <w:rsid w:val="00BF0EB1"/>
    <w:rsid w:val="00BF0F03"/>
    <w:rsid w:val="00BF0F24"/>
    <w:rsid w:val="00BF0F6D"/>
    <w:rsid w:val="00BF0F91"/>
    <w:rsid w:val="00BF0FAE"/>
    <w:rsid w:val="00BF0FE6"/>
    <w:rsid w:val="00BF10FD"/>
    <w:rsid w:val="00BF11D2"/>
    <w:rsid w:val="00BF1243"/>
    <w:rsid w:val="00BF12D3"/>
    <w:rsid w:val="00BF12F8"/>
    <w:rsid w:val="00BF1302"/>
    <w:rsid w:val="00BF136D"/>
    <w:rsid w:val="00BF1454"/>
    <w:rsid w:val="00BF14B5"/>
    <w:rsid w:val="00BF14CB"/>
    <w:rsid w:val="00BF1511"/>
    <w:rsid w:val="00BF1568"/>
    <w:rsid w:val="00BF156F"/>
    <w:rsid w:val="00BF1684"/>
    <w:rsid w:val="00BF16B1"/>
    <w:rsid w:val="00BF16C5"/>
    <w:rsid w:val="00BF16DF"/>
    <w:rsid w:val="00BF16E9"/>
    <w:rsid w:val="00BF1701"/>
    <w:rsid w:val="00BF173A"/>
    <w:rsid w:val="00BF17C6"/>
    <w:rsid w:val="00BF17D2"/>
    <w:rsid w:val="00BF17F5"/>
    <w:rsid w:val="00BF181B"/>
    <w:rsid w:val="00BF19B7"/>
    <w:rsid w:val="00BF19FB"/>
    <w:rsid w:val="00BF1A4A"/>
    <w:rsid w:val="00BF1A52"/>
    <w:rsid w:val="00BF1AAA"/>
    <w:rsid w:val="00BF1B3D"/>
    <w:rsid w:val="00BF1C7C"/>
    <w:rsid w:val="00BF1D09"/>
    <w:rsid w:val="00BF1D10"/>
    <w:rsid w:val="00BF1D41"/>
    <w:rsid w:val="00BF1D5C"/>
    <w:rsid w:val="00BF1DF5"/>
    <w:rsid w:val="00BF1E2D"/>
    <w:rsid w:val="00BF1E74"/>
    <w:rsid w:val="00BF1E89"/>
    <w:rsid w:val="00BF1F78"/>
    <w:rsid w:val="00BF1FC7"/>
    <w:rsid w:val="00BF20E6"/>
    <w:rsid w:val="00BF2117"/>
    <w:rsid w:val="00BF2180"/>
    <w:rsid w:val="00BF21A4"/>
    <w:rsid w:val="00BF21DB"/>
    <w:rsid w:val="00BF22E3"/>
    <w:rsid w:val="00BF2316"/>
    <w:rsid w:val="00BF23F6"/>
    <w:rsid w:val="00BF23F9"/>
    <w:rsid w:val="00BF2448"/>
    <w:rsid w:val="00BF24AC"/>
    <w:rsid w:val="00BF24BB"/>
    <w:rsid w:val="00BF25A3"/>
    <w:rsid w:val="00BF26E4"/>
    <w:rsid w:val="00BF2727"/>
    <w:rsid w:val="00BF27E8"/>
    <w:rsid w:val="00BF27EC"/>
    <w:rsid w:val="00BF2812"/>
    <w:rsid w:val="00BF285D"/>
    <w:rsid w:val="00BF285F"/>
    <w:rsid w:val="00BF2894"/>
    <w:rsid w:val="00BF28DD"/>
    <w:rsid w:val="00BF2935"/>
    <w:rsid w:val="00BF298C"/>
    <w:rsid w:val="00BF2A00"/>
    <w:rsid w:val="00BF2A71"/>
    <w:rsid w:val="00BF2A99"/>
    <w:rsid w:val="00BF2BCB"/>
    <w:rsid w:val="00BF2D69"/>
    <w:rsid w:val="00BF2D88"/>
    <w:rsid w:val="00BF2DD7"/>
    <w:rsid w:val="00BF2E74"/>
    <w:rsid w:val="00BF303E"/>
    <w:rsid w:val="00BF3059"/>
    <w:rsid w:val="00BF30A8"/>
    <w:rsid w:val="00BF3189"/>
    <w:rsid w:val="00BF31F1"/>
    <w:rsid w:val="00BF32BF"/>
    <w:rsid w:val="00BF32C4"/>
    <w:rsid w:val="00BF33D3"/>
    <w:rsid w:val="00BF33E9"/>
    <w:rsid w:val="00BF33EC"/>
    <w:rsid w:val="00BF359C"/>
    <w:rsid w:val="00BF35F9"/>
    <w:rsid w:val="00BF362B"/>
    <w:rsid w:val="00BF36F9"/>
    <w:rsid w:val="00BF3782"/>
    <w:rsid w:val="00BF37B0"/>
    <w:rsid w:val="00BF37DD"/>
    <w:rsid w:val="00BF3801"/>
    <w:rsid w:val="00BF391C"/>
    <w:rsid w:val="00BF396A"/>
    <w:rsid w:val="00BF39C0"/>
    <w:rsid w:val="00BF39E5"/>
    <w:rsid w:val="00BF39FE"/>
    <w:rsid w:val="00BF3A0C"/>
    <w:rsid w:val="00BF3A66"/>
    <w:rsid w:val="00BF3A86"/>
    <w:rsid w:val="00BF3B04"/>
    <w:rsid w:val="00BF3B30"/>
    <w:rsid w:val="00BF3BF7"/>
    <w:rsid w:val="00BF3C51"/>
    <w:rsid w:val="00BF3C59"/>
    <w:rsid w:val="00BF3C7F"/>
    <w:rsid w:val="00BF3C81"/>
    <w:rsid w:val="00BF3CB3"/>
    <w:rsid w:val="00BF3D03"/>
    <w:rsid w:val="00BF3D0B"/>
    <w:rsid w:val="00BF3DDA"/>
    <w:rsid w:val="00BF3E00"/>
    <w:rsid w:val="00BF3E68"/>
    <w:rsid w:val="00BF3E6E"/>
    <w:rsid w:val="00BF3EB1"/>
    <w:rsid w:val="00BF3EDE"/>
    <w:rsid w:val="00BF3FAE"/>
    <w:rsid w:val="00BF3FB0"/>
    <w:rsid w:val="00BF40E5"/>
    <w:rsid w:val="00BF4102"/>
    <w:rsid w:val="00BF413D"/>
    <w:rsid w:val="00BF4185"/>
    <w:rsid w:val="00BF4267"/>
    <w:rsid w:val="00BF428B"/>
    <w:rsid w:val="00BF42A8"/>
    <w:rsid w:val="00BF42F9"/>
    <w:rsid w:val="00BF43AF"/>
    <w:rsid w:val="00BF43B6"/>
    <w:rsid w:val="00BF43E5"/>
    <w:rsid w:val="00BF43E8"/>
    <w:rsid w:val="00BF4413"/>
    <w:rsid w:val="00BF447A"/>
    <w:rsid w:val="00BF44F3"/>
    <w:rsid w:val="00BF4505"/>
    <w:rsid w:val="00BF451F"/>
    <w:rsid w:val="00BF452A"/>
    <w:rsid w:val="00BF4572"/>
    <w:rsid w:val="00BF45B7"/>
    <w:rsid w:val="00BF462F"/>
    <w:rsid w:val="00BF466D"/>
    <w:rsid w:val="00BF472F"/>
    <w:rsid w:val="00BF4808"/>
    <w:rsid w:val="00BF486B"/>
    <w:rsid w:val="00BF48FD"/>
    <w:rsid w:val="00BF4944"/>
    <w:rsid w:val="00BF494D"/>
    <w:rsid w:val="00BF4954"/>
    <w:rsid w:val="00BF499D"/>
    <w:rsid w:val="00BF49B3"/>
    <w:rsid w:val="00BF4AEA"/>
    <w:rsid w:val="00BF4B34"/>
    <w:rsid w:val="00BF4B43"/>
    <w:rsid w:val="00BF4B93"/>
    <w:rsid w:val="00BF4BA4"/>
    <w:rsid w:val="00BF4BDD"/>
    <w:rsid w:val="00BF4BDF"/>
    <w:rsid w:val="00BF4C2A"/>
    <w:rsid w:val="00BF4C36"/>
    <w:rsid w:val="00BF4CAF"/>
    <w:rsid w:val="00BF4D2A"/>
    <w:rsid w:val="00BF4D79"/>
    <w:rsid w:val="00BF4E1A"/>
    <w:rsid w:val="00BF4E2A"/>
    <w:rsid w:val="00BF4ECE"/>
    <w:rsid w:val="00BF4F09"/>
    <w:rsid w:val="00BF4FAE"/>
    <w:rsid w:val="00BF4FD6"/>
    <w:rsid w:val="00BF5041"/>
    <w:rsid w:val="00BF50A8"/>
    <w:rsid w:val="00BF50D4"/>
    <w:rsid w:val="00BF50DA"/>
    <w:rsid w:val="00BF5103"/>
    <w:rsid w:val="00BF518F"/>
    <w:rsid w:val="00BF51C8"/>
    <w:rsid w:val="00BF5208"/>
    <w:rsid w:val="00BF525B"/>
    <w:rsid w:val="00BF52CE"/>
    <w:rsid w:val="00BF541E"/>
    <w:rsid w:val="00BF5424"/>
    <w:rsid w:val="00BF54D9"/>
    <w:rsid w:val="00BF5551"/>
    <w:rsid w:val="00BF558B"/>
    <w:rsid w:val="00BF5699"/>
    <w:rsid w:val="00BF5771"/>
    <w:rsid w:val="00BF57E4"/>
    <w:rsid w:val="00BF5816"/>
    <w:rsid w:val="00BF583C"/>
    <w:rsid w:val="00BF583E"/>
    <w:rsid w:val="00BF5846"/>
    <w:rsid w:val="00BF5852"/>
    <w:rsid w:val="00BF585B"/>
    <w:rsid w:val="00BF5870"/>
    <w:rsid w:val="00BF587E"/>
    <w:rsid w:val="00BF5918"/>
    <w:rsid w:val="00BF5923"/>
    <w:rsid w:val="00BF5976"/>
    <w:rsid w:val="00BF5978"/>
    <w:rsid w:val="00BF5979"/>
    <w:rsid w:val="00BF5A07"/>
    <w:rsid w:val="00BF5A0F"/>
    <w:rsid w:val="00BF5AA0"/>
    <w:rsid w:val="00BF5AB5"/>
    <w:rsid w:val="00BF5B3A"/>
    <w:rsid w:val="00BF5BD2"/>
    <w:rsid w:val="00BF5C06"/>
    <w:rsid w:val="00BF5C21"/>
    <w:rsid w:val="00BF5C77"/>
    <w:rsid w:val="00BF5CE7"/>
    <w:rsid w:val="00BF5CEA"/>
    <w:rsid w:val="00BF5CFB"/>
    <w:rsid w:val="00BF5D21"/>
    <w:rsid w:val="00BF5D27"/>
    <w:rsid w:val="00BF5D70"/>
    <w:rsid w:val="00BF5DB0"/>
    <w:rsid w:val="00BF5E07"/>
    <w:rsid w:val="00BF5E08"/>
    <w:rsid w:val="00BF5E72"/>
    <w:rsid w:val="00BF5F09"/>
    <w:rsid w:val="00BF5FE1"/>
    <w:rsid w:val="00BF5FEE"/>
    <w:rsid w:val="00BF5FF8"/>
    <w:rsid w:val="00BF5FFF"/>
    <w:rsid w:val="00BF60DA"/>
    <w:rsid w:val="00BF60E2"/>
    <w:rsid w:val="00BF624F"/>
    <w:rsid w:val="00BF6371"/>
    <w:rsid w:val="00BF63F3"/>
    <w:rsid w:val="00BF640F"/>
    <w:rsid w:val="00BF6453"/>
    <w:rsid w:val="00BF6484"/>
    <w:rsid w:val="00BF64E7"/>
    <w:rsid w:val="00BF64FE"/>
    <w:rsid w:val="00BF6578"/>
    <w:rsid w:val="00BF65AE"/>
    <w:rsid w:val="00BF65B6"/>
    <w:rsid w:val="00BF6693"/>
    <w:rsid w:val="00BF66C6"/>
    <w:rsid w:val="00BF66FD"/>
    <w:rsid w:val="00BF6732"/>
    <w:rsid w:val="00BF673F"/>
    <w:rsid w:val="00BF6749"/>
    <w:rsid w:val="00BF67A5"/>
    <w:rsid w:val="00BF67EE"/>
    <w:rsid w:val="00BF67FF"/>
    <w:rsid w:val="00BF69D8"/>
    <w:rsid w:val="00BF69F3"/>
    <w:rsid w:val="00BF6A70"/>
    <w:rsid w:val="00BF6AFA"/>
    <w:rsid w:val="00BF6AFF"/>
    <w:rsid w:val="00BF6BB2"/>
    <w:rsid w:val="00BF6BDD"/>
    <w:rsid w:val="00BF6C1A"/>
    <w:rsid w:val="00BF6C31"/>
    <w:rsid w:val="00BF6CF1"/>
    <w:rsid w:val="00BF6D36"/>
    <w:rsid w:val="00BF6D68"/>
    <w:rsid w:val="00BF6D87"/>
    <w:rsid w:val="00BF6DFE"/>
    <w:rsid w:val="00BF6E4F"/>
    <w:rsid w:val="00BF6E56"/>
    <w:rsid w:val="00BF6E7B"/>
    <w:rsid w:val="00BF6E8B"/>
    <w:rsid w:val="00BF6EAA"/>
    <w:rsid w:val="00BF6F06"/>
    <w:rsid w:val="00BF6F5D"/>
    <w:rsid w:val="00BF6FB2"/>
    <w:rsid w:val="00BF6FB6"/>
    <w:rsid w:val="00BF7025"/>
    <w:rsid w:val="00BF7046"/>
    <w:rsid w:val="00BF70B2"/>
    <w:rsid w:val="00BF70C9"/>
    <w:rsid w:val="00BF70ED"/>
    <w:rsid w:val="00BF70F2"/>
    <w:rsid w:val="00BF711E"/>
    <w:rsid w:val="00BF7126"/>
    <w:rsid w:val="00BF7132"/>
    <w:rsid w:val="00BF7197"/>
    <w:rsid w:val="00BF71AA"/>
    <w:rsid w:val="00BF71D8"/>
    <w:rsid w:val="00BF71F0"/>
    <w:rsid w:val="00BF727B"/>
    <w:rsid w:val="00BF7281"/>
    <w:rsid w:val="00BF73B7"/>
    <w:rsid w:val="00BF73CA"/>
    <w:rsid w:val="00BF73DD"/>
    <w:rsid w:val="00BF73F9"/>
    <w:rsid w:val="00BF740C"/>
    <w:rsid w:val="00BF752C"/>
    <w:rsid w:val="00BF752E"/>
    <w:rsid w:val="00BF753D"/>
    <w:rsid w:val="00BF7554"/>
    <w:rsid w:val="00BF7580"/>
    <w:rsid w:val="00BF7587"/>
    <w:rsid w:val="00BF7594"/>
    <w:rsid w:val="00BF7642"/>
    <w:rsid w:val="00BF7660"/>
    <w:rsid w:val="00BF772D"/>
    <w:rsid w:val="00BF7745"/>
    <w:rsid w:val="00BF774E"/>
    <w:rsid w:val="00BF777B"/>
    <w:rsid w:val="00BF7808"/>
    <w:rsid w:val="00BF7859"/>
    <w:rsid w:val="00BF7897"/>
    <w:rsid w:val="00BF78C0"/>
    <w:rsid w:val="00BF78DE"/>
    <w:rsid w:val="00BF7934"/>
    <w:rsid w:val="00BF79C4"/>
    <w:rsid w:val="00BF7A19"/>
    <w:rsid w:val="00BF7A20"/>
    <w:rsid w:val="00BF7A70"/>
    <w:rsid w:val="00BF7AB2"/>
    <w:rsid w:val="00BF7AF7"/>
    <w:rsid w:val="00BF7B70"/>
    <w:rsid w:val="00BF7B77"/>
    <w:rsid w:val="00BF7B82"/>
    <w:rsid w:val="00BF7BA1"/>
    <w:rsid w:val="00BF7BF2"/>
    <w:rsid w:val="00BF7BFA"/>
    <w:rsid w:val="00BF7CA8"/>
    <w:rsid w:val="00BF7CCE"/>
    <w:rsid w:val="00BF7D1B"/>
    <w:rsid w:val="00BF7D1F"/>
    <w:rsid w:val="00BF7D59"/>
    <w:rsid w:val="00BF7D76"/>
    <w:rsid w:val="00BF7D92"/>
    <w:rsid w:val="00BF7E04"/>
    <w:rsid w:val="00BF7EBF"/>
    <w:rsid w:val="00BF7EF4"/>
    <w:rsid w:val="00BF7F09"/>
    <w:rsid w:val="00BF7F2B"/>
    <w:rsid w:val="00BF7F2F"/>
    <w:rsid w:val="00BF7F52"/>
    <w:rsid w:val="00BF7F7A"/>
    <w:rsid w:val="00C00021"/>
    <w:rsid w:val="00C0005C"/>
    <w:rsid w:val="00C000A5"/>
    <w:rsid w:val="00C000DE"/>
    <w:rsid w:val="00C0012E"/>
    <w:rsid w:val="00C0019F"/>
    <w:rsid w:val="00C001AF"/>
    <w:rsid w:val="00C001B5"/>
    <w:rsid w:val="00C001FF"/>
    <w:rsid w:val="00C00238"/>
    <w:rsid w:val="00C00292"/>
    <w:rsid w:val="00C002F3"/>
    <w:rsid w:val="00C002FF"/>
    <w:rsid w:val="00C00378"/>
    <w:rsid w:val="00C0044A"/>
    <w:rsid w:val="00C005E8"/>
    <w:rsid w:val="00C0060C"/>
    <w:rsid w:val="00C0062D"/>
    <w:rsid w:val="00C00672"/>
    <w:rsid w:val="00C00675"/>
    <w:rsid w:val="00C00789"/>
    <w:rsid w:val="00C00819"/>
    <w:rsid w:val="00C00849"/>
    <w:rsid w:val="00C00892"/>
    <w:rsid w:val="00C008F8"/>
    <w:rsid w:val="00C00931"/>
    <w:rsid w:val="00C0098C"/>
    <w:rsid w:val="00C00A11"/>
    <w:rsid w:val="00C00B23"/>
    <w:rsid w:val="00C00B8F"/>
    <w:rsid w:val="00C00BD4"/>
    <w:rsid w:val="00C00BDE"/>
    <w:rsid w:val="00C00BF6"/>
    <w:rsid w:val="00C00C70"/>
    <w:rsid w:val="00C00D5E"/>
    <w:rsid w:val="00C00D65"/>
    <w:rsid w:val="00C00D67"/>
    <w:rsid w:val="00C00DB9"/>
    <w:rsid w:val="00C00DCA"/>
    <w:rsid w:val="00C00DD4"/>
    <w:rsid w:val="00C00E40"/>
    <w:rsid w:val="00C00EF6"/>
    <w:rsid w:val="00C00F2F"/>
    <w:rsid w:val="00C00F55"/>
    <w:rsid w:val="00C0102A"/>
    <w:rsid w:val="00C0104A"/>
    <w:rsid w:val="00C0105B"/>
    <w:rsid w:val="00C0109C"/>
    <w:rsid w:val="00C01107"/>
    <w:rsid w:val="00C01147"/>
    <w:rsid w:val="00C01185"/>
    <w:rsid w:val="00C01187"/>
    <w:rsid w:val="00C0119E"/>
    <w:rsid w:val="00C011D1"/>
    <w:rsid w:val="00C011FB"/>
    <w:rsid w:val="00C01211"/>
    <w:rsid w:val="00C0128A"/>
    <w:rsid w:val="00C012C8"/>
    <w:rsid w:val="00C01325"/>
    <w:rsid w:val="00C013CF"/>
    <w:rsid w:val="00C0140D"/>
    <w:rsid w:val="00C0146B"/>
    <w:rsid w:val="00C0148F"/>
    <w:rsid w:val="00C0150D"/>
    <w:rsid w:val="00C016F7"/>
    <w:rsid w:val="00C0174A"/>
    <w:rsid w:val="00C01781"/>
    <w:rsid w:val="00C017A4"/>
    <w:rsid w:val="00C0180B"/>
    <w:rsid w:val="00C0186B"/>
    <w:rsid w:val="00C01871"/>
    <w:rsid w:val="00C0187F"/>
    <w:rsid w:val="00C018EC"/>
    <w:rsid w:val="00C0199F"/>
    <w:rsid w:val="00C01A2B"/>
    <w:rsid w:val="00C01A3C"/>
    <w:rsid w:val="00C01A8A"/>
    <w:rsid w:val="00C01BA2"/>
    <w:rsid w:val="00C01BC4"/>
    <w:rsid w:val="00C01BDE"/>
    <w:rsid w:val="00C01C24"/>
    <w:rsid w:val="00C01C7B"/>
    <w:rsid w:val="00C01C83"/>
    <w:rsid w:val="00C01CAB"/>
    <w:rsid w:val="00C01CF2"/>
    <w:rsid w:val="00C01D16"/>
    <w:rsid w:val="00C01D60"/>
    <w:rsid w:val="00C01DA0"/>
    <w:rsid w:val="00C01E54"/>
    <w:rsid w:val="00C01EF4"/>
    <w:rsid w:val="00C01F43"/>
    <w:rsid w:val="00C01F71"/>
    <w:rsid w:val="00C01F88"/>
    <w:rsid w:val="00C02004"/>
    <w:rsid w:val="00C02055"/>
    <w:rsid w:val="00C020A6"/>
    <w:rsid w:val="00C02156"/>
    <w:rsid w:val="00C02262"/>
    <w:rsid w:val="00C022F8"/>
    <w:rsid w:val="00C02319"/>
    <w:rsid w:val="00C0233E"/>
    <w:rsid w:val="00C023B4"/>
    <w:rsid w:val="00C023CE"/>
    <w:rsid w:val="00C0240E"/>
    <w:rsid w:val="00C024AA"/>
    <w:rsid w:val="00C02513"/>
    <w:rsid w:val="00C02521"/>
    <w:rsid w:val="00C0256F"/>
    <w:rsid w:val="00C025C8"/>
    <w:rsid w:val="00C02617"/>
    <w:rsid w:val="00C0264B"/>
    <w:rsid w:val="00C0267F"/>
    <w:rsid w:val="00C026C2"/>
    <w:rsid w:val="00C02831"/>
    <w:rsid w:val="00C02887"/>
    <w:rsid w:val="00C028E6"/>
    <w:rsid w:val="00C0292A"/>
    <w:rsid w:val="00C02A05"/>
    <w:rsid w:val="00C02A0B"/>
    <w:rsid w:val="00C02AA0"/>
    <w:rsid w:val="00C02AA4"/>
    <w:rsid w:val="00C02B19"/>
    <w:rsid w:val="00C02B48"/>
    <w:rsid w:val="00C02BB1"/>
    <w:rsid w:val="00C02BCE"/>
    <w:rsid w:val="00C02C47"/>
    <w:rsid w:val="00C02D38"/>
    <w:rsid w:val="00C02E9E"/>
    <w:rsid w:val="00C02EB7"/>
    <w:rsid w:val="00C02EC1"/>
    <w:rsid w:val="00C02F56"/>
    <w:rsid w:val="00C0306D"/>
    <w:rsid w:val="00C030B0"/>
    <w:rsid w:val="00C031EE"/>
    <w:rsid w:val="00C03258"/>
    <w:rsid w:val="00C03275"/>
    <w:rsid w:val="00C0329A"/>
    <w:rsid w:val="00C032E0"/>
    <w:rsid w:val="00C03344"/>
    <w:rsid w:val="00C03391"/>
    <w:rsid w:val="00C033C1"/>
    <w:rsid w:val="00C0341A"/>
    <w:rsid w:val="00C0346A"/>
    <w:rsid w:val="00C034C9"/>
    <w:rsid w:val="00C03531"/>
    <w:rsid w:val="00C03552"/>
    <w:rsid w:val="00C035E5"/>
    <w:rsid w:val="00C035E9"/>
    <w:rsid w:val="00C035EA"/>
    <w:rsid w:val="00C0364F"/>
    <w:rsid w:val="00C036A9"/>
    <w:rsid w:val="00C036FC"/>
    <w:rsid w:val="00C03701"/>
    <w:rsid w:val="00C03876"/>
    <w:rsid w:val="00C038A0"/>
    <w:rsid w:val="00C038D7"/>
    <w:rsid w:val="00C03907"/>
    <w:rsid w:val="00C03954"/>
    <w:rsid w:val="00C03A31"/>
    <w:rsid w:val="00C03A64"/>
    <w:rsid w:val="00C03BBB"/>
    <w:rsid w:val="00C03C2F"/>
    <w:rsid w:val="00C03C41"/>
    <w:rsid w:val="00C03C67"/>
    <w:rsid w:val="00C03C99"/>
    <w:rsid w:val="00C03CB9"/>
    <w:rsid w:val="00C03CF9"/>
    <w:rsid w:val="00C03D2A"/>
    <w:rsid w:val="00C03DD0"/>
    <w:rsid w:val="00C03E0C"/>
    <w:rsid w:val="00C03E45"/>
    <w:rsid w:val="00C03E54"/>
    <w:rsid w:val="00C03E72"/>
    <w:rsid w:val="00C03EAE"/>
    <w:rsid w:val="00C03FFD"/>
    <w:rsid w:val="00C04011"/>
    <w:rsid w:val="00C04021"/>
    <w:rsid w:val="00C04088"/>
    <w:rsid w:val="00C040D4"/>
    <w:rsid w:val="00C04156"/>
    <w:rsid w:val="00C041BB"/>
    <w:rsid w:val="00C04217"/>
    <w:rsid w:val="00C042EE"/>
    <w:rsid w:val="00C04364"/>
    <w:rsid w:val="00C04443"/>
    <w:rsid w:val="00C044D1"/>
    <w:rsid w:val="00C044D5"/>
    <w:rsid w:val="00C04555"/>
    <w:rsid w:val="00C04569"/>
    <w:rsid w:val="00C045E1"/>
    <w:rsid w:val="00C04681"/>
    <w:rsid w:val="00C047D3"/>
    <w:rsid w:val="00C04882"/>
    <w:rsid w:val="00C048F3"/>
    <w:rsid w:val="00C04903"/>
    <w:rsid w:val="00C04A4D"/>
    <w:rsid w:val="00C04A70"/>
    <w:rsid w:val="00C04A77"/>
    <w:rsid w:val="00C04AC8"/>
    <w:rsid w:val="00C04B43"/>
    <w:rsid w:val="00C04B69"/>
    <w:rsid w:val="00C04C7E"/>
    <w:rsid w:val="00C04D70"/>
    <w:rsid w:val="00C04D82"/>
    <w:rsid w:val="00C04D94"/>
    <w:rsid w:val="00C04D96"/>
    <w:rsid w:val="00C04E14"/>
    <w:rsid w:val="00C04E2E"/>
    <w:rsid w:val="00C04E2F"/>
    <w:rsid w:val="00C04FFB"/>
    <w:rsid w:val="00C050C3"/>
    <w:rsid w:val="00C05114"/>
    <w:rsid w:val="00C0519B"/>
    <w:rsid w:val="00C051A1"/>
    <w:rsid w:val="00C0526F"/>
    <w:rsid w:val="00C052B6"/>
    <w:rsid w:val="00C05336"/>
    <w:rsid w:val="00C0541B"/>
    <w:rsid w:val="00C0546C"/>
    <w:rsid w:val="00C0548D"/>
    <w:rsid w:val="00C05498"/>
    <w:rsid w:val="00C05548"/>
    <w:rsid w:val="00C0555B"/>
    <w:rsid w:val="00C05613"/>
    <w:rsid w:val="00C0566D"/>
    <w:rsid w:val="00C05701"/>
    <w:rsid w:val="00C05711"/>
    <w:rsid w:val="00C05761"/>
    <w:rsid w:val="00C0579F"/>
    <w:rsid w:val="00C05827"/>
    <w:rsid w:val="00C05829"/>
    <w:rsid w:val="00C0582F"/>
    <w:rsid w:val="00C05841"/>
    <w:rsid w:val="00C058F2"/>
    <w:rsid w:val="00C059BD"/>
    <w:rsid w:val="00C05A3D"/>
    <w:rsid w:val="00C05ABD"/>
    <w:rsid w:val="00C05B04"/>
    <w:rsid w:val="00C05BF5"/>
    <w:rsid w:val="00C05C09"/>
    <w:rsid w:val="00C05C9F"/>
    <w:rsid w:val="00C05CAA"/>
    <w:rsid w:val="00C05CBD"/>
    <w:rsid w:val="00C05CF8"/>
    <w:rsid w:val="00C05D50"/>
    <w:rsid w:val="00C05DBD"/>
    <w:rsid w:val="00C05DF4"/>
    <w:rsid w:val="00C05EE0"/>
    <w:rsid w:val="00C05F16"/>
    <w:rsid w:val="00C05F32"/>
    <w:rsid w:val="00C05F3A"/>
    <w:rsid w:val="00C05F47"/>
    <w:rsid w:val="00C05F4E"/>
    <w:rsid w:val="00C05FE0"/>
    <w:rsid w:val="00C0605D"/>
    <w:rsid w:val="00C060A9"/>
    <w:rsid w:val="00C06171"/>
    <w:rsid w:val="00C061DB"/>
    <w:rsid w:val="00C06216"/>
    <w:rsid w:val="00C06288"/>
    <w:rsid w:val="00C0628A"/>
    <w:rsid w:val="00C062CD"/>
    <w:rsid w:val="00C0634B"/>
    <w:rsid w:val="00C06362"/>
    <w:rsid w:val="00C0636A"/>
    <w:rsid w:val="00C06385"/>
    <w:rsid w:val="00C06397"/>
    <w:rsid w:val="00C063DC"/>
    <w:rsid w:val="00C06443"/>
    <w:rsid w:val="00C06463"/>
    <w:rsid w:val="00C065D2"/>
    <w:rsid w:val="00C065D9"/>
    <w:rsid w:val="00C0665B"/>
    <w:rsid w:val="00C066A9"/>
    <w:rsid w:val="00C066E0"/>
    <w:rsid w:val="00C0677A"/>
    <w:rsid w:val="00C06794"/>
    <w:rsid w:val="00C0679D"/>
    <w:rsid w:val="00C067A6"/>
    <w:rsid w:val="00C0680B"/>
    <w:rsid w:val="00C068B0"/>
    <w:rsid w:val="00C06982"/>
    <w:rsid w:val="00C0698C"/>
    <w:rsid w:val="00C069FB"/>
    <w:rsid w:val="00C06A13"/>
    <w:rsid w:val="00C06A41"/>
    <w:rsid w:val="00C06A93"/>
    <w:rsid w:val="00C06AEC"/>
    <w:rsid w:val="00C06D59"/>
    <w:rsid w:val="00C06D5A"/>
    <w:rsid w:val="00C06E26"/>
    <w:rsid w:val="00C06EE4"/>
    <w:rsid w:val="00C06EEA"/>
    <w:rsid w:val="00C06EEB"/>
    <w:rsid w:val="00C06F18"/>
    <w:rsid w:val="00C06F66"/>
    <w:rsid w:val="00C06F77"/>
    <w:rsid w:val="00C06F8B"/>
    <w:rsid w:val="00C0701E"/>
    <w:rsid w:val="00C07077"/>
    <w:rsid w:val="00C0708B"/>
    <w:rsid w:val="00C070FA"/>
    <w:rsid w:val="00C070FE"/>
    <w:rsid w:val="00C07110"/>
    <w:rsid w:val="00C071C3"/>
    <w:rsid w:val="00C07212"/>
    <w:rsid w:val="00C07283"/>
    <w:rsid w:val="00C0739C"/>
    <w:rsid w:val="00C073D1"/>
    <w:rsid w:val="00C07459"/>
    <w:rsid w:val="00C07477"/>
    <w:rsid w:val="00C07484"/>
    <w:rsid w:val="00C074F1"/>
    <w:rsid w:val="00C074FE"/>
    <w:rsid w:val="00C07501"/>
    <w:rsid w:val="00C07528"/>
    <w:rsid w:val="00C07566"/>
    <w:rsid w:val="00C075BB"/>
    <w:rsid w:val="00C076B7"/>
    <w:rsid w:val="00C076D3"/>
    <w:rsid w:val="00C076EC"/>
    <w:rsid w:val="00C07704"/>
    <w:rsid w:val="00C077CF"/>
    <w:rsid w:val="00C077D7"/>
    <w:rsid w:val="00C07887"/>
    <w:rsid w:val="00C078C6"/>
    <w:rsid w:val="00C078CE"/>
    <w:rsid w:val="00C07A2C"/>
    <w:rsid w:val="00C07A39"/>
    <w:rsid w:val="00C07AB3"/>
    <w:rsid w:val="00C07ADB"/>
    <w:rsid w:val="00C07B45"/>
    <w:rsid w:val="00C07CE9"/>
    <w:rsid w:val="00C07D1B"/>
    <w:rsid w:val="00C07D42"/>
    <w:rsid w:val="00C07D44"/>
    <w:rsid w:val="00C07E1F"/>
    <w:rsid w:val="00C07E3A"/>
    <w:rsid w:val="00C07EF7"/>
    <w:rsid w:val="00C07F7D"/>
    <w:rsid w:val="00C07FAF"/>
    <w:rsid w:val="00C07FF0"/>
    <w:rsid w:val="00C1007A"/>
    <w:rsid w:val="00C100A5"/>
    <w:rsid w:val="00C100AA"/>
    <w:rsid w:val="00C100D1"/>
    <w:rsid w:val="00C100E6"/>
    <w:rsid w:val="00C100E9"/>
    <w:rsid w:val="00C100F5"/>
    <w:rsid w:val="00C101C1"/>
    <w:rsid w:val="00C102AB"/>
    <w:rsid w:val="00C10436"/>
    <w:rsid w:val="00C10478"/>
    <w:rsid w:val="00C10519"/>
    <w:rsid w:val="00C10551"/>
    <w:rsid w:val="00C10558"/>
    <w:rsid w:val="00C105D9"/>
    <w:rsid w:val="00C106CB"/>
    <w:rsid w:val="00C10729"/>
    <w:rsid w:val="00C107A7"/>
    <w:rsid w:val="00C107AB"/>
    <w:rsid w:val="00C10813"/>
    <w:rsid w:val="00C10828"/>
    <w:rsid w:val="00C108B6"/>
    <w:rsid w:val="00C10998"/>
    <w:rsid w:val="00C10A41"/>
    <w:rsid w:val="00C10A72"/>
    <w:rsid w:val="00C10A82"/>
    <w:rsid w:val="00C10A8E"/>
    <w:rsid w:val="00C10B6A"/>
    <w:rsid w:val="00C10BAB"/>
    <w:rsid w:val="00C10BAE"/>
    <w:rsid w:val="00C10BCE"/>
    <w:rsid w:val="00C10BE2"/>
    <w:rsid w:val="00C10BF5"/>
    <w:rsid w:val="00C10C27"/>
    <w:rsid w:val="00C10C7D"/>
    <w:rsid w:val="00C10D1A"/>
    <w:rsid w:val="00C10DD1"/>
    <w:rsid w:val="00C10DE7"/>
    <w:rsid w:val="00C10FD3"/>
    <w:rsid w:val="00C11044"/>
    <w:rsid w:val="00C11046"/>
    <w:rsid w:val="00C11067"/>
    <w:rsid w:val="00C1110D"/>
    <w:rsid w:val="00C11145"/>
    <w:rsid w:val="00C111B2"/>
    <w:rsid w:val="00C1123C"/>
    <w:rsid w:val="00C114DD"/>
    <w:rsid w:val="00C115E6"/>
    <w:rsid w:val="00C115FE"/>
    <w:rsid w:val="00C11636"/>
    <w:rsid w:val="00C1167D"/>
    <w:rsid w:val="00C116ED"/>
    <w:rsid w:val="00C11741"/>
    <w:rsid w:val="00C11752"/>
    <w:rsid w:val="00C1178A"/>
    <w:rsid w:val="00C11832"/>
    <w:rsid w:val="00C11854"/>
    <w:rsid w:val="00C1186F"/>
    <w:rsid w:val="00C118B5"/>
    <w:rsid w:val="00C118D3"/>
    <w:rsid w:val="00C11912"/>
    <w:rsid w:val="00C11964"/>
    <w:rsid w:val="00C119B9"/>
    <w:rsid w:val="00C11AB9"/>
    <w:rsid w:val="00C11B54"/>
    <w:rsid w:val="00C11BAA"/>
    <w:rsid w:val="00C11C95"/>
    <w:rsid w:val="00C11CD3"/>
    <w:rsid w:val="00C11CEC"/>
    <w:rsid w:val="00C11E63"/>
    <w:rsid w:val="00C11F47"/>
    <w:rsid w:val="00C11FA1"/>
    <w:rsid w:val="00C11FE0"/>
    <w:rsid w:val="00C122C1"/>
    <w:rsid w:val="00C122CB"/>
    <w:rsid w:val="00C122E1"/>
    <w:rsid w:val="00C12301"/>
    <w:rsid w:val="00C1235C"/>
    <w:rsid w:val="00C12384"/>
    <w:rsid w:val="00C123C4"/>
    <w:rsid w:val="00C1245B"/>
    <w:rsid w:val="00C12631"/>
    <w:rsid w:val="00C1268F"/>
    <w:rsid w:val="00C126B1"/>
    <w:rsid w:val="00C126E2"/>
    <w:rsid w:val="00C12729"/>
    <w:rsid w:val="00C12751"/>
    <w:rsid w:val="00C12754"/>
    <w:rsid w:val="00C128A3"/>
    <w:rsid w:val="00C1297D"/>
    <w:rsid w:val="00C12A58"/>
    <w:rsid w:val="00C12AA2"/>
    <w:rsid w:val="00C12AA4"/>
    <w:rsid w:val="00C12AA7"/>
    <w:rsid w:val="00C12ABB"/>
    <w:rsid w:val="00C12B9B"/>
    <w:rsid w:val="00C12BA2"/>
    <w:rsid w:val="00C12C52"/>
    <w:rsid w:val="00C12C62"/>
    <w:rsid w:val="00C12C64"/>
    <w:rsid w:val="00C12CAE"/>
    <w:rsid w:val="00C12CB5"/>
    <w:rsid w:val="00C12CD5"/>
    <w:rsid w:val="00C12CEC"/>
    <w:rsid w:val="00C12D17"/>
    <w:rsid w:val="00C12D1C"/>
    <w:rsid w:val="00C12D83"/>
    <w:rsid w:val="00C12DA0"/>
    <w:rsid w:val="00C12DA5"/>
    <w:rsid w:val="00C12DA8"/>
    <w:rsid w:val="00C12DDD"/>
    <w:rsid w:val="00C12E1F"/>
    <w:rsid w:val="00C12EEF"/>
    <w:rsid w:val="00C12FCF"/>
    <w:rsid w:val="00C12FEE"/>
    <w:rsid w:val="00C13090"/>
    <w:rsid w:val="00C130E5"/>
    <w:rsid w:val="00C131E3"/>
    <w:rsid w:val="00C13206"/>
    <w:rsid w:val="00C132B9"/>
    <w:rsid w:val="00C132DF"/>
    <w:rsid w:val="00C133B3"/>
    <w:rsid w:val="00C13406"/>
    <w:rsid w:val="00C1346C"/>
    <w:rsid w:val="00C134B7"/>
    <w:rsid w:val="00C134C2"/>
    <w:rsid w:val="00C134CE"/>
    <w:rsid w:val="00C13583"/>
    <w:rsid w:val="00C1358F"/>
    <w:rsid w:val="00C135CE"/>
    <w:rsid w:val="00C13660"/>
    <w:rsid w:val="00C136D7"/>
    <w:rsid w:val="00C13726"/>
    <w:rsid w:val="00C137E2"/>
    <w:rsid w:val="00C1389B"/>
    <w:rsid w:val="00C138F4"/>
    <w:rsid w:val="00C139A1"/>
    <w:rsid w:val="00C139C4"/>
    <w:rsid w:val="00C13AC7"/>
    <w:rsid w:val="00C13AD2"/>
    <w:rsid w:val="00C13B77"/>
    <w:rsid w:val="00C13C8D"/>
    <w:rsid w:val="00C13CB7"/>
    <w:rsid w:val="00C13D8E"/>
    <w:rsid w:val="00C13DE7"/>
    <w:rsid w:val="00C13E01"/>
    <w:rsid w:val="00C13EA2"/>
    <w:rsid w:val="00C13EC0"/>
    <w:rsid w:val="00C13ED3"/>
    <w:rsid w:val="00C13ED6"/>
    <w:rsid w:val="00C13EF4"/>
    <w:rsid w:val="00C13FA9"/>
    <w:rsid w:val="00C13FC7"/>
    <w:rsid w:val="00C14007"/>
    <w:rsid w:val="00C140F2"/>
    <w:rsid w:val="00C1419D"/>
    <w:rsid w:val="00C141E1"/>
    <w:rsid w:val="00C1420C"/>
    <w:rsid w:val="00C14262"/>
    <w:rsid w:val="00C1429F"/>
    <w:rsid w:val="00C142FF"/>
    <w:rsid w:val="00C14331"/>
    <w:rsid w:val="00C14360"/>
    <w:rsid w:val="00C143A7"/>
    <w:rsid w:val="00C1446E"/>
    <w:rsid w:val="00C144DF"/>
    <w:rsid w:val="00C144E0"/>
    <w:rsid w:val="00C144EB"/>
    <w:rsid w:val="00C1451F"/>
    <w:rsid w:val="00C14525"/>
    <w:rsid w:val="00C145A9"/>
    <w:rsid w:val="00C145C9"/>
    <w:rsid w:val="00C14673"/>
    <w:rsid w:val="00C1467B"/>
    <w:rsid w:val="00C146FF"/>
    <w:rsid w:val="00C1486A"/>
    <w:rsid w:val="00C148B4"/>
    <w:rsid w:val="00C148C8"/>
    <w:rsid w:val="00C148F9"/>
    <w:rsid w:val="00C1491C"/>
    <w:rsid w:val="00C14A2C"/>
    <w:rsid w:val="00C14A2F"/>
    <w:rsid w:val="00C14A3A"/>
    <w:rsid w:val="00C14BD6"/>
    <w:rsid w:val="00C14C20"/>
    <w:rsid w:val="00C14C2D"/>
    <w:rsid w:val="00C14C3D"/>
    <w:rsid w:val="00C14C82"/>
    <w:rsid w:val="00C14D13"/>
    <w:rsid w:val="00C14D29"/>
    <w:rsid w:val="00C14D60"/>
    <w:rsid w:val="00C14DF2"/>
    <w:rsid w:val="00C14F01"/>
    <w:rsid w:val="00C15031"/>
    <w:rsid w:val="00C150AC"/>
    <w:rsid w:val="00C150B8"/>
    <w:rsid w:val="00C150E6"/>
    <w:rsid w:val="00C1510A"/>
    <w:rsid w:val="00C151BA"/>
    <w:rsid w:val="00C1527B"/>
    <w:rsid w:val="00C15409"/>
    <w:rsid w:val="00C1543E"/>
    <w:rsid w:val="00C15509"/>
    <w:rsid w:val="00C15517"/>
    <w:rsid w:val="00C155A4"/>
    <w:rsid w:val="00C155BA"/>
    <w:rsid w:val="00C155E9"/>
    <w:rsid w:val="00C156A4"/>
    <w:rsid w:val="00C156CF"/>
    <w:rsid w:val="00C15714"/>
    <w:rsid w:val="00C15728"/>
    <w:rsid w:val="00C15786"/>
    <w:rsid w:val="00C157EE"/>
    <w:rsid w:val="00C1584B"/>
    <w:rsid w:val="00C1592D"/>
    <w:rsid w:val="00C15A31"/>
    <w:rsid w:val="00C15AF0"/>
    <w:rsid w:val="00C15B30"/>
    <w:rsid w:val="00C15B32"/>
    <w:rsid w:val="00C15B8E"/>
    <w:rsid w:val="00C15BB6"/>
    <w:rsid w:val="00C15BDC"/>
    <w:rsid w:val="00C15C09"/>
    <w:rsid w:val="00C15C23"/>
    <w:rsid w:val="00C15C6C"/>
    <w:rsid w:val="00C15D20"/>
    <w:rsid w:val="00C15D4B"/>
    <w:rsid w:val="00C15D67"/>
    <w:rsid w:val="00C15D85"/>
    <w:rsid w:val="00C15D96"/>
    <w:rsid w:val="00C15E98"/>
    <w:rsid w:val="00C15EB2"/>
    <w:rsid w:val="00C15EDC"/>
    <w:rsid w:val="00C15F4F"/>
    <w:rsid w:val="00C15F89"/>
    <w:rsid w:val="00C15F90"/>
    <w:rsid w:val="00C15FA1"/>
    <w:rsid w:val="00C160E3"/>
    <w:rsid w:val="00C16139"/>
    <w:rsid w:val="00C1620A"/>
    <w:rsid w:val="00C1622C"/>
    <w:rsid w:val="00C16314"/>
    <w:rsid w:val="00C16377"/>
    <w:rsid w:val="00C1642F"/>
    <w:rsid w:val="00C164A0"/>
    <w:rsid w:val="00C164B7"/>
    <w:rsid w:val="00C164F1"/>
    <w:rsid w:val="00C16590"/>
    <w:rsid w:val="00C1662D"/>
    <w:rsid w:val="00C16665"/>
    <w:rsid w:val="00C1668F"/>
    <w:rsid w:val="00C166BD"/>
    <w:rsid w:val="00C166BF"/>
    <w:rsid w:val="00C166E9"/>
    <w:rsid w:val="00C16748"/>
    <w:rsid w:val="00C167FC"/>
    <w:rsid w:val="00C16843"/>
    <w:rsid w:val="00C1687E"/>
    <w:rsid w:val="00C168EE"/>
    <w:rsid w:val="00C16A7B"/>
    <w:rsid w:val="00C16B45"/>
    <w:rsid w:val="00C16B8E"/>
    <w:rsid w:val="00C16C05"/>
    <w:rsid w:val="00C16C55"/>
    <w:rsid w:val="00C16C58"/>
    <w:rsid w:val="00C16C62"/>
    <w:rsid w:val="00C16C6A"/>
    <w:rsid w:val="00C16D65"/>
    <w:rsid w:val="00C16D93"/>
    <w:rsid w:val="00C16E42"/>
    <w:rsid w:val="00C16E50"/>
    <w:rsid w:val="00C16E5D"/>
    <w:rsid w:val="00C16EFF"/>
    <w:rsid w:val="00C16F0C"/>
    <w:rsid w:val="00C16F21"/>
    <w:rsid w:val="00C16F41"/>
    <w:rsid w:val="00C16F79"/>
    <w:rsid w:val="00C16FF8"/>
    <w:rsid w:val="00C17097"/>
    <w:rsid w:val="00C17099"/>
    <w:rsid w:val="00C17219"/>
    <w:rsid w:val="00C1721B"/>
    <w:rsid w:val="00C173AA"/>
    <w:rsid w:val="00C173C7"/>
    <w:rsid w:val="00C17432"/>
    <w:rsid w:val="00C17447"/>
    <w:rsid w:val="00C17684"/>
    <w:rsid w:val="00C176FC"/>
    <w:rsid w:val="00C17774"/>
    <w:rsid w:val="00C17817"/>
    <w:rsid w:val="00C17839"/>
    <w:rsid w:val="00C17841"/>
    <w:rsid w:val="00C1796C"/>
    <w:rsid w:val="00C179F6"/>
    <w:rsid w:val="00C17AD9"/>
    <w:rsid w:val="00C17B61"/>
    <w:rsid w:val="00C17C84"/>
    <w:rsid w:val="00C17D1A"/>
    <w:rsid w:val="00C17D6D"/>
    <w:rsid w:val="00C17DA1"/>
    <w:rsid w:val="00C17DCF"/>
    <w:rsid w:val="00C17E54"/>
    <w:rsid w:val="00C17F0A"/>
    <w:rsid w:val="00C17F16"/>
    <w:rsid w:val="00C17F1C"/>
    <w:rsid w:val="00C17F44"/>
    <w:rsid w:val="00C17F96"/>
    <w:rsid w:val="00C17FFD"/>
    <w:rsid w:val="00C2007C"/>
    <w:rsid w:val="00C20099"/>
    <w:rsid w:val="00C200FF"/>
    <w:rsid w:val="00C2017C"/>
    <w:rsid w:val="00C20194"/>
    <w:rsid w:val="00C201F8"/>
    <w:rsid w:val="00C20207"/>
    <w:rsid w:val="00C20213"/>
    <w:rsid w:val="00C20288"/>
    <w:rsid w:val="00C202B2"/>
    <w:rsid w:val="00C202F1"/>
    <w:rsid w:val="00C2031C"/>
    <w:rsid w:val="00C2034D"/>
    <w:rsid w:val="00C20355"/>
    <w:rsid w:val="00C2037D"/>
    <w:rsid w:val="00C2039A"/>
    <w:rsid w:val="00C203B9"/>
    <w:rsid w:val="00C203CB"/>
    <w:rsid w:val="00C2040E"/>
    <w:rsid w:val="00C20425"/>
    <w:rsid w:val="00C2044D"/>
    <w:rsid w:val="00C2048E"/>
    <w:rsid w:val="00C20492"/>
    <w:rsid w:val="00C20503"/>
    <w:rsid w:val="00C205B3"/>
    <w:rsid w:val="00C205BC"/>
    <w:rsid w:val="00C206CE"/>
    <w:rsid w:val="00C206D3"/>
    <w:rsid w:val="00C206F6"/>
    <w:rsid w:val="00C20745"/>
    <w:rsid w:val="00C20794"/>
    <w:rsid w:val="00C207B9"/>
    <w:rsid w:val="00C20867"/>
    <w:rsid w:val="00C2086B"/>
    <w:rsid w:val="00C20878"/>
    <w:rsid w:val="00C208E3"/>
    <w:rsid w:val="00C208FC"/>
    <w:rsid w:val="00C20919"/>
    <w:rsid w:val="00C2091D"/>
    <w:rsid w:val="00C2094D"/>
    <w:rsid w:val="00C20957"/>
    <w:rsid w:val="00C209C8"/>
    <w:rsid w:val="00C209EB"/>
    <w:rsid w:val="00C209FE"/>
    <w:rsid w:val="00C20A61"/>
    <w:rsid w:val="00C20ADF"/>
    <w:rsid w:val="00C20C06"/>
    <w:rsid w:val="00C20C1C"/>
    <w:rsid w:val="00C20C69"/>
    <w:rsid w:val="00C20C6B"/>
    <w:rsid w:val="00C20CB7"/>
    <w:rsid w:val="00C20CCE"/>
    <w:rsid w:val="00C20D9A"/>
    <w:rsid w:val="00C20DB8"/>
    <w:rsid w:val="00C20E11"/>
    <w:rsid w:val="00C20F6C"/>
    <w:rsid w:val="00C20FE1"/>
    <w:rsid w:val="00C20FF9"/>
    <w:rsid w:val="00C2100C"/>
    <w:rsid w:val="00C21053"/>
    <w:rsid w:val="00C2106A"/>
    <w:rsid w:val="00C210E2"/>
    <w:rsid w:val="00C211D2"/>
    <w:rsid w:val="00C21275"/>
    <w:rsid w:val="00C21291"/>
    <w:rsid w:val="00C212A2"/>
    <w:rsid w:val="00C212E2"/>
    <w:rsid w:val="00C2134C"/>
    <w:rsid w:val="00C213BC"/>
    <w:rsid w:val="00C213C7"/>
    <w:rsid w:val="00C2146A"/>
    <w:rsid w:val="00C21480"/>
    <w:rsid w:val="00C21493"/>
    <w:rsid w:val="00C2151F"/>
    <w:rsid w:val="00C215C6"/>
    <w:rsid w:val="00C2164B"/>
    <w:rsid w:val="00C2164D"/>
    <w:rsid w:val="00C21689"/>
    <w:rsid w:val="00C216C1"/>
    <w:rsid w:val="00C216EE"/>
    <w:rsid w:val="00C21710"/>
    <w:rsid w:val="00C2183E"/>
    <w:rsid w:val="00C2185D"/>
    <w:rsid w:val="00C2187D"/>
    <w:rsid w:val="00C21940"/>
    <w:rsid w:val="00C21954"/>
    <w:rsid w:val="00C21A22"/>
    <w:rsid w:val="00C21A47"/>
    <w:rsid w:val="00C21AB1"/>
    <w:rsid w:val="00C21B42"/>
    <w:rsid w:val="00C21B78"/>
    <w:rsid w:val="00C21B9A"/>
    <w:rsid w:val="00C21C45"/>
    <w:rsid w:val="00C21CD6"/>
    <w:rsid w:val="00C21D01"/>
    <w:rsid w:val="00C21DF0"/>
    <w:rsid w:val="00C21E1E"/>
    <w:rsid w:val="00C21E3D"/>
    <w:rsid w:val="00C21EB7"/>
    <w:rsid w:val="00C21EB8"/>
    <w:rsid w:val="00C22015"/>
    <w:rsid w:val="00C22040"/>
    <w:rsid w:val="00C2204E"/>
    <w:rsid w:val="00C22066"/>
    <w:rsid w:val="00C22107"/>
    <w:rsid w:val="00C22162"/>
    <w:rsid w:val="00C2217B"/>
    <w:rsid w:val="00C221AB"/>
    <w:rsid w:val="00C222A0"/>
    <w:rsid w:val="00C222FD"/>
    <w:rsid w:val="00C2233A"/>
    <w:rsid w:val="00C223B3"/>
    <w:rsid w:val="00C22413"/>
    <w:rsid w:val="00C224CB"/>
    <w:rsid w:val="00C224D7"/>
    <w:rsid w:val="00C22512"/>
    <w:rsid w:val="00C2252D"/>
    <w:rsid w:val="00C2254A"/>
    <w:rsid w:val="00C2256E"/>
    <w:rsid w:val="00C2259C"/>
    <w:rsid w:val="00C225B8"/>
    <w:rsid w:val="00C225CA"/>
    <w:rsid w:val="00C225E8"/>
    <w:rsid w:val="00C227D3"/>
    <w:rsid w:val="00C2281C"/>
    <w:rsid w:val="00C22928"/>
    <w:rsid w:val="00C2295A"/>
    <w:rsid w:val="00C229A1"/>
    <w:rsid w:val="00C22A27"/>
    <w:rsid w:val="00C22AEF"/>
    <w:rsid w:val="00C22AFA"/>
    <w:rsid w:val="00C22C5C"/>
    <w:rsid w:val="00C22CD2"/>
    <w:rsid w:val="00C22CF1"/>
    <w:rsid w:val="00C22D0D"/>
    <w:rsid w:val="00C22DB0"/>
    <w:rsid w:val="00C22DBA"/>
    <w:rsid w:val="00C22DD7"/>
    <w:rsid w:val="00C22E87"/>
    <w:rsid w:val="00C22F0B"/>
    <w:rsid w:val="00C22F20"/>
    <w:rsid w:val="00C22F26"/>
    <w:rsid w:val="00C23018"/>
    <w:rsid w:val="00C23051"/>
    <w:rsid w:val="00C23057"/>
    <w:rsid w:val="00C2306E"/>
    <w:rsid w:val="00C23122"/>
    <w:rsid w:val="00C23140"/>
    <w:rsid w:val="00C2314A"/>
    <w:rsid w:val="00C231ED"/>
    <w:rsid w:val="00C2323E"/>
    <w:rsid w:val="00C23276"/>
    <w:rsid w:val="00C23297"/>
    <w:rsid w:val="00C232CC"/>
    <w:rsid w:val="00C232E3"/>
    <w:rsid w:val="00C23329"/>
    <w:rsid w:val="00C23353"/>
    <w:rsid w:val="00C23379"/>
    <w:rsid w:val="00C233DA"/>
    <w:rsid w:val="00C23408"/>
    <w:rsid w:val="00C23453"/>
    <w:rsid w:val="00C23460"/>
    <w:rsid w:val="00C23484"/>
    <w:rsid w:val="00C234E6"/>
    <w:rsid w:val="00C2354A"/>
    <w:rsid w:val="00C2358F"/>
    <w:rsid w:val="00C235F3"/>
    <w:rsid w:val="00C23667"/>
    <w:rsid w:val="00C23750"/>
    <w:rsid w:val="00C237A9"/>
    <w:rsid w:val="00C2381D"/>
    <w:rsid w:val="00C23846"/>
    <w:rsid w:val="00C23871"/>
    <w:rsid w:val="00C23885"/>
    <w:rsid w:val="00C2388A"/>
    <w:rsid w:val="00C238CB"/>
    <w:rsid w:val="00C23905"/>
    <w:rsid w:val="00C23955"/>
    <w:rsid w:val="00C23969"/>
    <w:rsid w:val="00C239A5"/>
    <w:rsid w:val="00C239D6"/>
    <w:rsid w:val="00C239E4"/>
    <w:rsid w:val="00C23A1E"/>
    <w:rsid w:val="00C23A4C"/>
    <w:rsid w:val="00C23B0E"/>
    <w:rsid w:val="00C23B8B"/>
    <w:rsid w:val="00C23B9F"/>
    <w:rsid w:val="00C23BB1"/>
    <w:rsid w:val="00C23C23"/>
    <w:rsid w:val="00C23CFE"/>
    <w:rsid w:val="00C23D14"/>
    <w:rsid w:val="00C23EE9"/>
    <w:rsid w:val="00C23F0A"/>
    <w:rsid w:val="00C2401D"/>
    <w:rsid w:val="00C24138"/>
    <w:rsid w:val="00C241DA"/>
    <w:rsid w:val="00C241EB"/>
    <w:rsid w:val="00C24206"/>
    <w:rsid w:val="00C24217"/>
    <w:rsid w:val="00C2423D"/>
    <w:rsid w:val="00C242AA"/>
    <w:rsid w:val="00C242D4"/>
    <w:rsid w:val="00C2431D"/>
    <w:rsid w:val="00C24391"/>
    <w:rsid w:val="00C24449"/>
    <w:rsid w:val="00C24499"/>
    <w:rsid w:val="00C2451E"/>
    <w:rsid w:val="00C24579"/>
    <w:rsid w:val="00C2465B"/>
    <w:rsid w:val="00C246A8"/>
    <w:rsid w:val="00C246D0"/>
    <w:rsid w:val="00C2475B"/>
    <w:rsid w:val="00C2478F"/>
    <w:rsid w:val="00C247B0"/>
    <w:rsid w:val="00C24820"/>
    <w:rsid w:val="00C24864"/>
    <w:rsid w:val="00C24930"/>
    <w:rsid w:val="00C2497E"/>
    <w:rsid w:val="00C24B02"/>
    <w:rsid w:val="00C24B7E"/>
    <w:rsid w:val="00C24BA6"/>
    <w:rsid w:val="00C24BC0"/>
    <w:rsid w:val="00C24C29"/>
    <w:rsid w:val="00C24C6E"/>
    <w:rsid w:val="00C24CCF"/>
    <w:rsid w:val="00C24CD8"/>
    <w:rsid w:val="00C24CEC"/>
    <w:rsid w:val="00C24D2C"/>
    <w:rsid w:val="00C24D95"/>
    <w:rsid w:val="00C24DC0"/>
    <w:rsid w:val="00C24DC9"/>
    <w:rsid w:val="00C24DF9"/>
    <w:rsid w:val="00C24E13"/>
    <w:rsid w:val="00C24E3C"/>
    <w:rsid w:val="00C24EA7"/>
    <w:rsid w:val="00C24EAA"/>
    <w:rsid w:val="00C24EBD"/>
    <w:rsid w:val="00C250C0"/>
    <w:rsid w:val="00C25117"/>
    <w:rsid w:val="00C2518A"/>
    <w:rsid w:val="00C251FC"/>
    <w:rsid w:val="00C252A0"/>
    <w:rsid w:val="00C252B8"/>
    <w:rsid w:val="00C252FE"/>
    <w:rsid w:val="00C25335"/>
    <w:rsid w:val="00C253A2"/>
    <w:rsid w:val="00C253D3"/>
    <w:rsid w:val="00C253D4"/>
    <w:rsid w:val="00C2540B"/>
    <w:rsid w:val="00C25460"/>
    <w:rsid w:val="00C254F0"/>
    <w:rsid w:val="00C254F9"/>
    <w:rsid w:val="00C25505"/>
    <w:rsid w:val="00C2554C"/>
    <w:rsid w:val="00C25593"/>
    <w:rsid w:val="00C255E8"/>
    <w:rsid w:val="00C25602"/>
    <w:rsid w:val="00C25650"/>
    <w:rsid w:val="00C25702"/>
    <w:rsid w:val="00C25758"/>
    <w:rsid w:val="00C2575D"/>
    <w:rsid w:val="00C2576D"/>
    <w:rsid w:val="00C257A1"/>
    <w:rsid w:val="00C2581C"/>
    <w:rsid w:val="00C25832"/>
    <w:rsid w:val="00C258A3"/>
    <w:rsid w:val="00C25A30"/>
    <w:rsid w:val="00C25A50"/>
    <w:rsid w:val="00C25A5B"/>
    <w:rsid w:val="00C25A60"/>
    <w:rsid w:val="00C25A94"/>
    <w:rsid w:val="00C25B34"/>
    <w:rsid w:val="00C25B35"/>
    <w:rsid w:val="00C25BB5"/>
    <w:rsid w:val="00C25C6D"/>
    <w:rsid w:val="00C25CCE"/>
    <w:rsid w:val="00C25D05"/>
    <w:rsid w:val="00C25DDF"/>
    <w:rsid w:val="00C25E73"/>
    <w:rsid w:val="00C25EE9"/>
    <w:rsid w:val="00C25FF2"/>
    <w:rsid w:val="00C2602D"/>
    <w:rsid w:val="00C26073"/>
    <w:rsid w:val="00C260A1"/>
    <w:rsid w:val="00C260F2"/>
    <w:rsid w:val="00C261C9"/>
    <w:rsid w:val="00C261F4"/>
    <w:rsid w:val="00C2622D"/>
    <w:rsid w:val="00C262A8"/>
    <w:rsid w:val="00C262F0"/>
    <w:rsid w:val="00C2638E"/>
    <w:rsid w:val="00C263DE"/>
    <w:rsid w:val="00C2642B"/>
    <w:rsid w:val="00C26484"/>
    <w:rsid w:val="00C26514"/>
    <w:rsid w:val="00C26574"/>
    <w:rsid w:val="00C265D1"/>
    <w:rsid w:val="00C2662D"/>
    <w:rsid w:val="00C2665E"/>
    <w:rsid w:val="00C26688"/>
    <w:rsid w:val="00C266EE"/>
    <w:rsid w:val="00C2672C"/>
    <w:rsid w:val="00C26770"/>
    <w:rsid w:val="00C267AC"/>
    <w:rsid w:val="00C2682B"/>
    <w:rsid w:val="00C268DA"/>
    <w:rsid w:val="00C268FE"/>
    <w:rsid w:val="00C26946"/>
    <w:rsid w:val="00C2696E"/>
    <w:rsid w:val="00C269CE"/>
    <w:rsid w:val="00C26AB8"/>
    <w:rsid w:val="00C26CB0"/>
    <w:rsid w:val="00C26D37"/>
    <w:rsid w:val="00C26D3E"/>
    <w:rsid w:val="00C26D6E"/>
    <w:rsid w:val="00C26DC6"/>
    <w:rsid w:val="00C26DD9"/>
    <w:rsid w:val="00C26E20"/>
    <w:rsid w:val="00C26E43"/>
    <w:rsid w:val="00C26E72"/>
    <w:rsid w:val="00C26F1F"/>
    <w:rsid w:val="00C26F85"/>
    <w:rsid w:val="00C26FF3"/>
    <w:rsid w:val="00C26FFD"/>
    <w:rsid w:val="00C270B5"/>
    <w:rsid w:val="00C2717F"/>
    <w:rsid w:val="00C27194"/>
    <w:rsid w:val="00C271C8"/>
    <w:rsid w:val="00C27240"/>
    <w:rsid w:val="00C27263"/>
    <w:rsid w:val="00C27307"/>
    <w:rsid w:val="00C2742C"/>
    <w:rsid w:val="00C274C5"/>
    <w:rsid w:val="00C274DA"/>
    <w:rsid w:val="00C2751D"/>
    <w:rsid w:val="00C27556"/>
    <w:rsid w:val="00C27608"/>
    <w:rsid w:val="00C27673"/>
    <w:rsid w:val="00C276C6"/>
    <w:rsid w:val="00C276C8"/>
    <w:rsid w:val="00C276CA"/>
    <w:rsid w:val="00C276F2"/>
    <w:rsid w:val="00C27769"/>
    <w:rsid w:val="00C27790"/>
    <w:rsid w:val="00C277E8"/>
    <w:rsid w:val="00C278A0"/>
    <w:rsid w:val="00C279A3"/>
    <w:rsid w:val="00C279B3"/>
    <w:rsid w:val="00C279D6"/>
    <w:rsid w:val="00C279ED"/>
    <w:rsid w:val="00C27A14"/>
    <w:rsid w:val="00C27A4B"/>
    <w:rsid w:val="00C27AAF"/>
    <w:rsid w:val="00C27ADD"/>
    <w:rsid w:val="00C27AE9"/>
    <w:rsid w:val="00C27AF2"/>
    <w:rsid w:val="00C27B1C"/>
    <w:rsid w:val="00C27B67"/>
    <w:rsid w:val="00C27C18"/>
    <w:rsid w:val="00C27CB3"/>
    <w:rsid w:val="00C27CD1"/>
    <w:rsid w:val="00C27CE2"/>
    <w:rsid w:val="00C27DFA"/>
    <w:rsid w:val="00C27E25"/>
    <w:rsid w:val="00C27E4C"/>
    <w:rsid w:val="00C27F06"/>
    <w:rsid w:val="00C27F0F"/>
    <w:rsid w:val="00C27F8C"/>
    <w:rsid w:val="00C27FA9"/>
    <w:rsid w:val="00C3000D"/>
    <w:rsid w:val="00C30071"/>
    <w:rsid w:val="00C300CA"/>
    <w:rsid w:val="00C30180"/>
    <w:rsid w:val="00C30198"/>
    <w:rsid w:val="00C302A1"/>
    <w:rsid w:val="00C30358"/>
    <w:rsid w:val="00C3039A"/>
    <w:rsid w:val="00C303BC"/>
    <w:rsid w:val="00C303C0"/>
    <w:rsid w:val="00C303D8"/>
    <w:rsid w:val="00C30456"/>
    <w:rsid w:val="00C304B0"/>
    <w:rsid w:val="00C304D4"/>
    <w:rsid w:val="00C3059C"/>
    <w:rsid w:val="00C305C0"/>
    <w:rsid w:val="00C305E3"/>
    <w:rsid w:val="00C3076F"/>
    <w:rsid w:val="00C3077A"/>
    <w:rsid w:val="00C307A2"/>
    <w:rsid w:val="00C307CB"/>
    <w:rsid w:val="00C30870"/>
    <w:rsid w:val="00C30878"/>
    <w:rsid w:val="00C308AD"/>
    <w:rsid w:val="00C308F6"/>
    <w:rsid w:val="00C30904"/>
    <w:rsid w:val="00C30989"/>
    <w:rsid w:val="00C30A0B"/>
    <w:rsid w:val="00C30A25"/>
    <w:rsid w:val="00C30ABC"/>
    <w:rsid w:val="00C30AF1"/>
    <w:rsid w:val="00C30B5A"/>
    <w:rsid w:val="00C30BFA"/>
    <w:rsid w:val="00C30C36"/>
    <w:rsid w:val="00C30D30"/>
    <w:rsid w:val="00C30DAC"/>
    <w:rsid w:val="00C30DAF"/>
    <w:rsid w:val="00C30DF6"/>
    <w:rsid w:val="00C30F2F"/>
    <w:rsid w:val="00C30FDA"/>
    <w:rsid w:val="00C30FEE"/>
    <w:rsid w:val="00C3102F"/>
    <w:rsid w:val="00C3109A"/>
    <w:rsid w:val="00C310D0"/>
    <w:rsid w:val="00C31169"/>
    <w:rsid w:val="00C3117C"/>
    <w:rsid w:val="00C31187"/>
    <w:rsid w:val="00C311AD"/>
    <w:rsid w:val="00C31207"/>
    <w:rsid w:val="00C31209"/>
    <w:rsid w:val="00C3121E"/>
    <w:rsid w:val="00C31361"/>
    <w:rsid w:val="00C3138C"/>
    <w:rsid w:val="00C313AD"/>
    <w:rsid w:val="00C313DE"/>
    <w:rsid w:val="00C3143D"/>
    <w:rsid w:val="00C31599"/>
    <w:rsid w:val="00C315C9"/>
    <w:rsid w:val="00C3166D"/>
    <w:rsid w:val="00C3167D"/>
    <w:rsid w:val="00C316A7"/>
    <w:rsid w:val="00C3170D"/>
    <w:rsid w:val="00C3184B"/>
    <w:rsid w:val="00C31859"/>
    <w:rsid w:val="00C31919"/>
    <w:rsid w:val="00C31976"/>
    <w:rsid w:val="00C31986"/>
    <w:rsid w:val="00C319AA"/>
    <w:rsid w:val="00C31A12"/>
    <w:rsid w:val="00C31A32"/>
    <w:rsid w:val="00C31A67"/>
    <w:rsid w:val="00C31B09"/>
    <w:rsid w:val="00C31C15"/>
    <w:rsid w:val="00C31C41"/>
    <w:rsid w:val="00C31C6E"/>
    <w:rsid w:val="00C31C74"/>
    <w:rsid w:val="00C31CF8"/>
    <w:rsid w:val="00C31D04"/>
    <w:rsid w:val="00C31D7D"/>
    <w:rsid w:val="00C31DF9"/>
    <w:rsid w:val="00C31E3D"/>
    <w:rsid w:val="00C31E5A"/>
    <w:rsid w:val="00C31E99"/>
    <w:rsid w:val="00C31E9D"/>
    <w:rsid w:val="00C31EB1"/>
    <w:rsid w:val="00C31EED"/>
    <w:rsid w:val="00C31F4C"/>
    <w:rsid w:val="00C31F72"/>
    <w:rsid w:val="00C31F95"/>
    <w:rsid w:val="00C31FED"/>
    <w:rsid w:val="00C32046"/>
    <w:rsid w:val="00C320B3"/>
    <w:rsid w:val="00C3217F"/>
    <w:rsid w:val="00C321A7"/>
    <w:rsid w:val="00C3220E"/>
    <w:rsid w:val="00C3226D"/>
    <w:rsid w:val="00C32273"/>
    <w:rsid w:val="00C32287"/>
    <w:rsid w:val="00C32357"/>
    <w:rsid w:val="00C32492"/>
    <w:rsid w:val="00C324D7"/>
    <w:rsid w:val="00C324E6"/>
    <w:rsid w:val="00C32508"/>
    <w:rsid w:val="00C32527"/>
    <w:rsid w:val="00C32590"/>
    <w:rsid w:val="00C3263D"/>
    <w:rsid w:val="00C32645"/>
    <w:rsid w:val="00C3267A"/>
    <w:rsid w:val="00C3267F"/>
    <w:rsid w:val="00C3269A"/>
    <w:rsid w:val="00C326E7"/>
    <w:rsid w:val="00C327A2"/>
    <w:rsid w:val="00C32811"/>
    <w:rsid w:val="00C32873"/>
    <w:rsid w:val="00C32909"/>
    <w:rsid w:val="00C32988"/>
    <w:rsid w:val="00C32991"/>
    <w:rsid w:val="00C329B3"/>
    <w:rsid w:val="00C329BF"/>
    <w:rsid w:val="00C329EF"/>
    <w:rsid w:val="00C32A80"/>
    <w:rsid w:val="00C32A8C"/>
    <w:rsid w:val="00C32B5E"/>
    <w:rsid w:val="00C32BCE"/>
    <w:rsid w:val="00C32C1D"/>
    <w:rsid w:val="00C32CBB"/>
    <w:rsid w:val="00C32CDE"/>
    <w:rsid w:val="00C32D13"/>
    <w:rsid w:val="00C32D24"/>
    <w:rsid w:val="00C32D53"/>
    <w:rsid w:val="00C32DFE"/>
    <w:rsid w:val="00C32E2C"/>
    <w:rsid w:val="00C32E77"/>
    <w:rsid w:val="00C32E8C"/>
    <w:rsid w:val="00C33007"/>
    <w:rsid w:val="00C33013"/>
    <w:rsid w:val="00C3301C"/>
    <w:rsid w:val="00C33056"/>
    <w:rsid w:val="00C33075"/>
    <w:rsid w:val="00C33082"/>
    <w:rsid w:val="00C330EB"/>
    <w:rsid w:val="00C330F4"/>
    <w:rsid w:val="00C3312D"/>
    <w:rsid w:val="00C33179"/>
    <w:rsid w:val="00C33184"/>
    <w:rsid w:val="00C3319C"/>
    <w:rsid w:val="00C331FA"/>
    <w:rsid w:val="00C33301"/>
    <w:rsid w:val="00C333CC"/>
    <w:rsid w:val="00C3340C"/>
    <w:rsid w:val="00C33413"/>
    <w:rsid w:val="00C33429"/>
    <w:rsid w:val="00C33430"/>
    <w:rsid w:val="00C33474"/>
    <w:rsid w:val="00C33565"/>
    <w:rsid w:val="00C33675"/>
    <w:rsid w:val="00C336BA"/>
    <w:rsid w:val="00C336C9"/>
    <w:rsid w:val="00C3370F"/>
    <w:rsid w:val="00C337B6"/>
    <w:rsid w:val="00C337BB"/>
    <w:rsid w:val="00C337D9"/>
    <w:rsid w:val="00C337FF"/>
    <w:rsid w:val="00C33836"/>
    <w:rsid w:val="00C3384C"/>
    <w:rsid w:val="00C3387A"/>
    <w:rsid w:val="00C338E2"/>
    <w:rsid w:val="00C33983"/>
    <w:rsid w:val="00C339BB"/>
    <w:rsid w:val="00C339EA"/>
    <w:rsid w:val="00C33A02"/>
    <w:rsid w:val="00C33A0A"/>
    <w:rsid w:val="00C33A4E"/>
    <w:rsid w:val="00C33AD1"/>
    <w:rsid w:val="00C33CBA"/>
    <w:rsid w:val="00C33CD0"/>
    <w:rsid w:val="00C33D2D"/>
    <w:rsid w:val="00C33D32"/>
    <w:rsid w:val="00C33D50"/>
    <w:rsid w:val="00C33DC5"/>
    <w:rsid w:val="00C33DE4"/>
    <w:rsid w:val="00C33DF2"/>
    <w:rsid w:val="00C33E5B"/>
    <w:rsid w:val="00C33E64"/>
    <w:rsid w:val="00C33ED0"/>
    <w:rsid w:val="00C33F93"/>
    <w:rsid w:val="00C33FBD"/>
    <w:rsid w:val="00C33FF8"/>
    <w:rsid w:val="00C3411F"/>
    <w:rsid w:val="00C34160"/>
    <w:rsid w:val="00C341F6"/>
    <w:rsid w:val="00C341FF"/>
    <w:rsid w:val="00C3420A"/>
    <w:rsid w:val="00C3422F"/>
    <w:rsid w:val="00C34283"/>
    <w:rsid w:val="00C34295"/>
    <w:rsid w:val="00C342B4"/>
    <w:rsid w:val="00C342DA"/>
    <w:rsid w:val="00C34343"/>
    <w:rsid w:val="00C343A7"/>
    <w:rsid w:val="00C343C2"/>
    <w:rsid w:val="00C343F2"/>
    <w:rsid w:val="00C34423"/>
    <w:rsid w:val="00C3444F"/>
    <w:rsid w:val="00C34486"/>
    <w:rsid w:val="00C34498"/>
    <w:rsid w:val="00C345B9"/>
    <w:rsid w:val="00C345CA"/>
    <w:rsid w:val="00C345E0"/>
    <w:rsid w:val="00C34634"/>
    <w:rsid w:val="00C3469D"/>
    <w:rsid w:val="00C34726"/>
    <w:rsid w:val="00C347B7"/>
    <w:rsid w:val="00C34816"/>
    <w:rsid w:val="00C34984"/>
    <w:rsid w:val="00C349A0"/>
    <w:rsid w:val="00C349BB"/>
    <w:rsid w:val="00C349CB"/>
    <w:rsid w:val="00C34A09"/>
    <w:rsid w:val="00C34A14"/>
    <w:rsid w:val="00C34A60"/>
    <w:rsid w:val="00C34A6E"/>
    <w:rsid w:val="00C34BA9"/>
    <w:rsid w:val="00C34C07"/>
    <w:rsid w:val="00C34C08"/>
    <w:rsid w:val="00C34C7D"/>
    <w:rsid w:val="00C34D01"/>
    <w:rsid w:val="00C34D47"/>
    <w:rsid w:val="00C34D83"/>
    <w:rsid w:val="00C34DFA"/>
    <w:rsid w:val="00C34E2F"/>
    <w:rsid w:val="00C34E48"/>
    <w:rsid w:val="00C34E70"/>
    <w:rsid w:val="00C34EB7"/>
    <w:rsid w:val="00C34ECF"/>
    <w:rsid w:val="00C34EF1"/>
    <w:rsid w:val="00C34F1C"/>
    <w:rsid w:val="00C34F29"/>
    <w:rsid w:val="00C34F2B"/>
    <w:rsid w:val="00C35016"/>
    <w:rsid w:val="00C350FE"/>
    <w:rsid w:val="00C35164"/>
    <w:rsid w:val="00C35197"/>
    <w:rsid w:val="00C351BF"/>
    <w:rsid w:val="00C352E3"/>
    <w:rsid w:val="00C35395"/>
    <w:rsid w:val="00C353D3"/>
    <w:rsid w:val="00C35429"/>
    <w:rsid w:val="00C3545A"/>
    <w:rsid w:val="00C35497"/>
    <w:rsid w:val="00C35502"/>
    <w:rsid w:val="00C35510"/>
    <w:rsid w:val="00C35586"/>
    <w:rsid w:val="00C355D4"/>
    <w:rsid w:val="00C35652"/>
    <w:rsid w:val="00C3566E"/>
    <w:rsid w:val="00C35693"/>
    <w:rsid w:val="00C356C1"/>
    <w:rsid w:val="00C35714"/>
    <w:rsid w:val="00C3571A"/>
    <w:rsid w:val="00C3578A"/>
    <w:rsid w:val="00C35795"/>
    <w:rsid w:val="00C3579C"/>
    <w:rsid w:val="00C357A4"/>
    <w:rsid w:val="00C3586D"/>
    <w:rsid w:val="00C358FA"/>
    <w:rsid w:val="00C35B25"/>
    <w:rsid w:val="00C35B75"/>
    <w:rsid w:val="00C35BFF"/>
    <w:rsid w:val="00C35C18"/>
    <w:rsid w:val="00C35CD7"/>
    <w:rsid w:val="00C35CDA"/>
    <w:rsid w:val="00C35D02"/>
    <w:rsid w:val="00C35D41"/>
    <w:rsid w:val="00C35E49"/>
    <w:rsid w:val="00C35F6E"/>
    <w:rsid w:val="00C3605B"/>
    <w:rsid w:val="00C360E3"/>
    <w:rsid w:val="00C36197"/>
    <w:rsid w:val="00C361E0"/>
    <w:rsid w:val="00C361FA"/>
    <w:rsid w:val="00C36222"/>
    <w:rsid w:val="00C3622C"/>
    <w:rsid w:val="00C36253"/>
    <w:rsid w:val="00C362AD"/>
    <w:rsid w:val="00C362B0"/>
    <w:rsid w:val="00C362D7"/>
    <w:rsid w:val="00C3634C"/>
    <w:rsid w:val="00C363C8"/>
    <w:rsid w:val="00C36428"/>
    <w:rsid w:val="00C3648A"/>
    <w:rsid w:val="00C364C3"/>
    <w:rsid w:val="00C364DF"/>
    <w:rsid w:val="00C364E4"/>
    <w:rsid w:val="00C36565"/>
    <w:rsid w:val="00C365D1"/>
    <w:rsid w:val="00C36638"/>
    <w:rsid w:val="00C366F3"/>
    <w:rsid w:val="00C36712"/>
    <w:rsid w:val="00C3683B"/>
    <w:rsid w:val="00C36887"/>
    <w:rsid w:val="00C368C0"/>
    <w:rsid w:val="00C368F0"/>
    <w:rsid w:val="00C3694C"/>
    <w:rsid w:val="00C369CC"/>
    <w:rsid w:val="00C36A0F"/>
    <w:rsid w:val="00C36A23"/>
    <w:rsid w:val="00C36A55"/>
    <w:rsid w:val="00C36B53"/>
    <w:rsid w:val="00C36B6C"/>
    <w:rsid w:val="00C36B71"/>
    <w:rsid w:val="00C36C16"/>
    <w:rsid w:val="00C36C6A"/>
    <w:rsid w:val="00C36C87"/>
    <w:rsid w:val="00C36CDE"/>
    <w:rsid w:val="00C36CF4"/>
    <w:rsid w:val="00C36D13"/>
    <w:rsid w:val="00C36D57"/>
    <w:rsid w:val="00C36D7E"/>
    <w:rsid w:val="00C36DE4"/>
    <w:rsid w:val="00C36E09"/>
    <w:rsid w:val="00C36E39"/>
    <w:rsid w:val="00C36F46"/>
    <w:rsid w:val="00C36F48"/>
    <w:rsid w:val="00C36F4D"/>
    <w:rsid w:val="00C36F4F"/>
    <w:rsid w:val="00C36F5F"/>
    <w:rsid w:val="00C36FF1"/>
    <w:rsid w:val="00C37003"/>
    <w:rsid w:val="00C37023"/>
    <w:rsid w:val="00C37029"/>
    <w:rsid w:val="00C371F5"/>
    <w:rsid w:val="00C3724A"/>
    <w:rsid w:val="00C37282"/>
    <w:rsid w:val="00C372C2"/>
    <w:rsid w:val="00C3730C"/>
    <w:rsid w:val="00C37351"/>
    <w:rsid w:val="00C373B1"/>
    <w:rsid w:val="00C373B7"/>
    <w:rsid w:val="00C373D5"/>
    <w:rsid w:val="00C37427"/>
    <w:rsid w:val="00C37484"/>
    <w:rsid w:val="00C374BB"/>
    <w:rsid w:val="00C374FE"/>
    <w:rsid w:val="00C37570"/>
    <w:rsid w:val="00C375A0"/>
    <w:rsid w:val="00C375C5"/>
    <w:rsid w:val="00C37602"/>
    <w:rsid w:val="00C37662"/>
    <w:rsid w:val="00C37682"/>
    <w:rsid w:val="00C3779C"/>
    <w:rsid w:val="00C3784C"/>
    <w:rsid w:val="00C37935"/>
    <w:rsid w:val="00C37D9D"/>
    <w:rsid w:val="00C37D9E"/>
    <w:rsid w:val="00C37E24"/>
    <w:rsid w:val="00C37E71"/>
    <w:rsid w:val="00C37E9C"/>
    <w:rsid w:val="00C37EC4"/>
    <w:rsid w:val="00C37F21"/>
    <w:rsid w:val="00C37F2F"/>
    <w:rsid w:val="00C37F4D"/>
    <w:rsid w:val="00C37F62"/>
    <w:rsid w:val="00C40187"/>
    <w:rsid w:val="00C401BB"/>
    <w:rsid w:val="00C40201"/>
    <w:rsid w:val="00C40266"/>
    <w:rsid w:val="00C402A9"/>
    <w:rsid w:val="00C402EF"/>
    <w:rsid w:val="00C40319"/>
    <w:rsid w:val="00C40350"/>
    <w:rsid w:val="00C403A6"/>
    <w:rsid w:val="00C40464"/>
    <w:rsid w:val="00C404B0"/>
    <w:rsid w:val="00C4059D"/>
    <w:rsid w:val="00C40754"/>
    <w:rsid w:val="00C407AB"/>
    <w:rsid w:val="00C407CC"/>
    <w:rsid w:val="00C407E0"/>
    <w:rsid w:val="00C4081E"/>
    <w:rsid w:val="00C40824"/>
    <w:rsid w:val="00C4087B"/>
    <w:rsid w:val="00C4089A"/>
    <w:rsid w:val="00C408E9"/>
    <w:rsid w:val="00C409B1"/>
    <w:rsid w:val="00C40A2D"/>
    <w:rsid w:val="00C40A9C"/>
    <w:rsid w:val="00C40AEB"/>
    <w:rsid w:val="00C40B72"/>
    <w:rsid w:val="00C40C47"/>
    <w:rsid w:val="00C40CB4"/>
    <w:rsid w:val="00C40D01"/>
    <w:rsid w:val="00C40D48"/>
    <w:rsid w:val="00C40D86"/>
    <w:rsid w:val="00C40E39"/>
    <w:rsid w:val="00C40F30"/>
    <w:rsid w:val="00C40FB1"/>
    <w:rsid w:val="00C4102E"/>
    <w:rsid w:val="00C4108F"/>
    <w:rsid w:val="00C410B4"/>
    <w:rsid w:val="00C411D8"/>
    <w:rsid w:val="00C41251"/>
    <w:rsid w:val="00C4126D"/>
    <w:rsid w:val="00C41399"/>
    <w:rsid w:val="00C413AB"/>
    <w:rsid w:val="00C413FA"/>
    <w:rsid w:val="00C41403"/>
    <w:rsid w:val="00C414EB"/>
    <w:rsid w:val="00C4161A"/>
    <w:rsid w:val="00C41624"/>
    <w:rsid w:val="00C41663"/>
    <w:rsid w:val="00C416F7"/>
    <w:rsid w:val="00C4181D"/>
    <w:rsid w:val="00C418A7"/>
    <w:rsid w:val="00C418C5"/>
    <w:rsid w:val="00C41912"/>
    <w:rsid w:val="00C4193E"/>
    <w:rsid w:val="00C41969"/>
    <w:rsid w:val="00C419E4"/>
    <w:rsid w:val="00C419F0"/>
    <w:rsid w:val="00C41AC6"/>
    <w:rsid w:val="00C41ADB"/>
    <w:rsid w:val="00C41B2D"/>
    <w:rsid w:val="00C41B48"/>
    <w:rsid w:val="00C41B4F"/>
    <w:rsid w:val="00C41BDE"/>
    <w:rsid w:val="00C41BE1"/>
    <w:rsid w:val="00C41CBE"/>
    <w:rsid w:val="00C41CEA"/>
    <w:rsid w:val="00C41D2C"/>
    <w:rsid w:val="00C41DF6"/>
    <w:rsid w:val="00C41FC1"/>
    <w:rsid w:val="00C421C3"/>
    <w:rsid w:val="00C421C6"/>
    <w:rsid w:val="00C42259"/>
    <w:rsid w:val="00C42297"/>
    <w:rsid w:val="00C422E6"/>
    <w:rsid w:val="00C42414"/>
    <w:rsid w:val="00C4244A"/>
    <w:rsid w:val="00C4249D"/>
    <w:rsid w:val="00C425A5"/>
    <w:rsid w:val="00C425B2"/>
    <w:rsid w:val="00C42669"/>
    <w:rsid w:val="00C426B7"/>
    <w:rsid w:val="00C42753"/>
    <w:rsid w:val="00C427CC"/>
    <w:rsid w:val="00C42812"/>
    <w:rsid w:val="00C42815"/>
    <w:rsid w:val="00C428CD"/>
    <w:rsid w:val="00C42961"/>
    <w:rsid w:val="00C429D1"/>
    <w:rsid w:val="00C429DB"/>
    <w:rsid w:val="00C429EF"/>
    <w:rsid w:val="00C42A34"/>
    <w:rsid w:val="00C42AEB"/>
    <w:rsid w:val="00C42B05"/>
    <w:rsid w:val="00C42B11"/>
    <w:rsid w:val="00C42B34"/>
    <w:rsid w:val="00C42CD5"/>
    <w:rsid w:val="00C42D24"/>
    <w:rsid w:val="00C42D32"/>
    <w:rsid w:val="00C42D70"/>
    <w:rsid w:val="00C42DBB"/>
    <w:rsid w:val="00C42DE5"/>
    <w:rsid w:val="00C42DF2"/>
    <w:rsid w:val="00C42E34"/>
    <w:rsid w:val="00C42E3A"/>
    <w:rsid w:val="00C42E51"/>
    <w:rsid w:val="00C42E66"/>
    <w:rsid w:val="00C42EBE"/>
    <w:rsid w:val="00C42F1A"/>
    <w:rsid w:val="00C42F30"/>
    <w:rsid w:val="00C42F82"/>
    <w:rsid w:val="00C42F90"/>
    <w:rsid w:val="00C42F97"/>
    <w:rsid w:val="00C42FA6"/>
    <w:rsid w:val="00C42FB7"/>
    <w:rsid w:val="00C42FE6"/>
    <w:rsid w:val="00C43007"/>
    <w:rsid w:val="00C4305A"/>
    <w:rsid w:val="00C43066"/>
    <w:rsid w:val="00C4306E"/>
    <w:rsid w:val="00C43084"/>
    <w:rsid w:val="00C43095"/>
    <w:rsid w:val="00C430BF"/>
    <w:rsid w:val="00C430C8"/>
    <w:rsid w:val="00C430D4"/>
    <w:rsid w:val="00C4315F"/>
    <w:rsid w:val="00C4318C"/>
    <w:rsid w:val="00C43202"/>
    <w:rsid w:val="00C43257"/>
    <w:rsid w:val="00C433B8"/>
    <w:rsid w:val="00C433CE"/>
    <w:rsid w:val="00C433FE"/>
    <w:rsid w:val="00C4345D"/>
    <w:rsid w:val="00C43576"/>
    <w:rsid w:val="00C4358F"/>
    <w:rsid w:val="00C435CD"/>
    <w:rsid w:val="00C435F4"/>
    <w:rsid w:val="00C4364D"/>
    <w:rsid w:val="00C43669"/>
    <w:rsid w:val="00C43715"/>
    <w:rsid w:val="00C43795"/>
    <w:rsid w:val="00C437B8"/>
    <w:rsid w:val="00C437C8"/>
    <w:rsid w:val="00C437D6"/>
    <w:rsid w:val="00C43813"/>
    <w:rsid w:val="00C43916"/>
    <w:rsid w:val="00C43961"/>
    <w:rsid w:val="00C43963"/>
    <w:rsid w:val="00C4396F"/>
    <w:rsid w:val="00C43998"/>
    <w:rsid w:val="00C439FB"/>
    <w:rsid w:val="00C43A40"/>
    <w:rsid w:val="00C43A66"/>
    <w:rsid w:val="00C43ABF"/>
    <w:rsid w:val="00C43AD8"/>
    <w:rsid w:val="00C43B97"/>
    <w:rsid w:val="00C43C63"/>
    <w:rsid w:val="00C43F00"/>
    <w:rsid w:val="00C43F96"/>
    <w:rsid w:val="00C43FA3"/>
    <w:rsid w:val="00C43FDC"/>
    <w:rsid w:val="00C44011"/>
    <w:rsid w:val="00C44016"/>
    <w:rsid w:val="00C4402F"/>
    <w:rsid w:val="00C440D7"/>
    <w:rsid w:val="00C440F2"/>
    <w:rsid w:val="00C44140"/>
    <w:rsid w:val="00C44160"/>
    <w:rsid w:val="00C44196"/>
    <w:rsid w:val="00C44258"/>
    <w:rsid w:val="00C442C4"/>
    <w:rsid w:val="00C442D5"/>
    <w:rsid w:val="00C44336"/>
    <w:rsid w:val="00C4433A"/>
    <w:rsid w:val="00C4433C"/>
    <w:rsid w:val="00C4435C"/>
    <w:rsid w:val="00C443F9"/>
    <w:rsid w:val="00C44427"/>
    <w:rsid w:val="00C44434"/>
    <w:rsid w:val="00C44489"/>
    <w:rsid w:val="00C444F0"/>
    <w:rsid w:val="00C444FD"/>
    <w:rsid w:val="00C4454A"/>
    <w:rsid w:val="00C445B0"/>
    <w:rsid w:val="00C445B1"/>
    <w:rsid w:val="00C446FE"/>
    <w:rsid w:val="00C44832"/>
    <w:rsid w:val="00C44859"/>
    <w:rsid w:val="00C44897"/>
    <w:rsid w:val="00C44921"/>
    <w:rsid w:val="00C4495F"/>
    <w:rsid w:val="00C4498D"/>
    <w:rsid w:val="00C44A09"/>
    <w:rsid w:val="00C44A34"/>
    <w:rsid w:val="00C44A68"/>
    <w:rsid w:val="00C44A6C"/>
    <w:rsid w:val="00C44A86"/>
    <w:rsid w:val="00C44AAB"/>
    <w:rsid w:val="00C44AB6"/>
    <w:rsid w:val="00C44B85"/>
    <w:rsid w:val="00C44BA8"/>
    <w:rsid w:val="00C44C91"/>
    <w:rsid w:val="00C44C99"/>
    <w:rsid w:val="00C44CB6"/>
    <w:rsid w:val="00C44D1E"/>
    <w:rsid w:val="00C44D56"/>
    <w:rsid w:val="00C44D8C"/>
    <w:rsid w:val="00C44D8E"/>
    <w:rsid w:val="00C44D9E"/>
    <w:rsid w:val="00C44E39"/>
    <w:rsid w:val="00C44E83"/>
    <w:rsid w:val="00C44F99"/>
    <w:rsid w:val="00C44FC4"/>
    <w:rsid w:val="00C45032"/>
    <w:rsid w:val="00C45091"/>
    <w:rsid w:val="00C451CF"/>
    <w:rsid w:val="00C4520C"/>
    <w:rsid w:val="00C4527B"/>
    <w:rsid w:val="00C452D0"/>
    <w:rsid w:val="00C45309"/>
    <w:rsid w:val="00C45384"/>
    <w:rsid w:val="00C453E7"/>
    <w:rsid w:val="00C45408"/>
    <w:rsid w:val="00C454B9"/>
    <w:rsid w:val="00C45528"/>
    <w:rsid w:val="00C455DB"/>
    <w:rsid w:val="00C45602"/>
    <w:rsid w:val="00C45658"/>
    <w:rsid w:val="00C456B8"/>
    <w:rsid w:val="00C456CD"/>
    <w:rsid w:val="00C4577D"/>
    <w:rsid w:val="00C45792"/>
    <w:rsid w:val="00C4579D"/>
    <w:rsid w:val="00C457D3"/>
    <w:rsid w:val="00C45839"/>
    <w:rsid w:val="00C45842"/>
    <w:rsid w:val="00C45858"/>
    <w:rsid w:val="00C458B7"/>
    <w:rsid w:val="00C458E0"/>
    <w:rsid w:val="00C45926"/>
    <w:rsid w:val="00C4592E"/>
    <w:rsid w:val="00C4592F"/>
    <w:rsid w:val="00C45936"/>
    <w:rsid w:val="00C4598E"/>
    <w:rsid w:val="00C459B3"/>
    <w:rsid w:val="00C45A4C"/>
    <w:rsid w:val="00C45A72"/>
    <w:rsid w:val="00C45A82"/>
    <w:rsid w:val="00C45ABE"/>
    <w:rsid w:val="00C45B04"/>
    <w:rsid w:val="00C45B1E"/>
    <w:rsid w:val="00C45B71"/>
    <w:rsid w:val="00C45C56"/>
    <w:rsid w:val="00C45CCD"/>
    <w:rsid w:val="00C45D11"/>
    <w:rsid w:val="00C45D54"/>
    <w:rsid w:val="00C45DA5"/>
    <w:rsid w:val="00C45DB5"/>
    <w:rsid w:val="00C45E13"/>
    <w:rsid w:val="00C45E2F"/>
    <w:rsid w:val="00C45E3D"/>
    <w:rsid w:val="00C45E51"/>
    <w:rsid w:val="00C45E7D"/>
    <w:rsid w:val="00C45EDB"/>
    <w:rsid w:val="00C45F09"/>
    <w:rsid w:val="00C45F2E"/>
    <w:rsid w:val="00C4603A"/>
    <w:rsid w:val="00C4607D"/>
    <w:rsid w:val="00C460CB"/>
    <w:rsid w:val="00C460D8"/>
    <w:rsid w:val="00C460FD"/>
    <w:rsid w:val="00C46136"/>
    <w:rsid w:val="00C4614C"/>
    <w:rsid w:val="00C4615F"/>
    <w:rsid w:val="00C461AA"/>
    <w:rsid w:val="00C461C7"/>
    <w:rsid w:val="00C461E2"/>
    <w:rsid w:val="00C461EA"/>
    <w:rsid w:val="00C461EF"/>
    <w:rsid w:val="00C4626A"/>
    <w:rsid w:val="00C462DC"/>
    <w:rsid w:val="00C462E9"/>
    <w:rsid w:val="00C46347"/>
    <w:rsid w:val="00C463CB"/>
    <w:rsid w:val="00C463D0"/>
    <w:rsid w:val="00C46417"/>
    <w:rsid w:val="00C46426"/>
    <w:rsid w:val="00C46578"/>
    <w:rsid w:val="00C46589"/>
    <w:rsid w:val="00C4661E"/>
    <w:rsid w:val="00C46665"/>
    <w:rsid w:val="00C466DB"/>
    <w:rsid w:val="00C4670F"/>
    <w:rsid w:val="00C4679A"/>
    <w:rsid w:val="00C467F0"/>
    <w:rsid w:val="00C46971"/>
    <w:rsid w:val="00C469A3"/>
    <w:rsid w:val="00C469A4"/>
    <w:rsid w:val="00C46A0A"/>
    <w:rsid w:val="00C46A29"/>
    <w:rsid w:val="00C46A64"/>
    <w:rsid w:val="00C46AB0"/>
    <w:rsid w:val="00C46B3A"/>
    <w:rsid w:val="00C46B42"/>
    <w:rsid w:val="00C46B88"/>
    <w:rsid w:val="00C46C19"/>
    <w:rsid w:val="00C46C7F"/>
    <w:rsid w:val="00C46C89"/>
    <w:rsid w:val="00C46CCC"/>
    <w:rsid w:val="00C46CED"/>
    <w:rsid w:val="00C46DA0"/>
    <w:rsid w:val="00C46DA3"/>
    <w:rsid w:val="00C46DE8"/>
    <w:rsid w:val="00C46E02"/>
    <w:rsid w:val="00C46E0A"/>
    <w:rsid w:val="00C46E18"/>
    <w:rsid w:val="00C46EAB"/>
    <w:rsid w:val="00C46F57"/>
    <w:rsid w:val="00C47015"/>
    <w:rsid w:val="00C4701F"/>
    <w:rsid w:val="00C470BA"/>
    <w:rsid w:val="00C470C8"/>
    <w:rsid w:val="00C4716B"/>
    <w:rsid w:val="00C47194"/>
    <w:rsid w:val="00C471F3"/>
    <w:rsid w:val="00C471FB"/>
    <w:rsid w:val="00C4725A"/>
    <w:rsid w:val="00C4730C"/>
    <w:rsid w:val="00C4732E"/>
    <w:rsid w:val="00C4735E"/>
    <w:rsid w:val="00C473E2"/>
    <w:rsid w:val="00C473E3"/>
    <w:rsid w:val="00C473F7"/>
    <w:rsid w:val="00C47441"/>
    <w:rsid w:val="00C47483"/>
    <w:rsid w:val="00C4750A"/>
    <w:rsid w:val="00C47566"/>
    <w:rsid w:val="00C47568"/>
    <w:rsid w:val="00C475CD"/>
    <w:rsid w:val="00C47697"/>
    <w:rsid w:val="00C477EE"/>
    <w:rsid w:val="00C478AC"/>
    <w:rsid w:val="00C478E3"/>
    <w:rsid w:val="00C4792C"/>
    <w:rsid w:val="00C47937"/>
    <w:rsid w:val="00C4795C"/>
    <w:rsid w:val="00C47A19"/>
    <w:rsid w:val="00C47A1E"/>
    <w:rsid w:val="00C47A2A"/>
    <w:rsid w:val="00C47A4C"/>
    <w:rsid w:val="00C47A69"/>
    <w:rsid w:val="00C47AA7"/>
    <w:rsid w:val="00C47B47"/>
    <w:rsid w:val="00C47B98"/>
    <w:rsid w:val="00C47B9B"/>
    <w:rsid w:val="00C47C1D"/>
    <w:rsid w:val="00C47C52"/>
    <w:rsid w:val="00C47C6D"/>
    <w:rsid w:val="00C47C81"/>
    <w:rsid w:val="00C47D73"/>
    <w:rsid w:val="00C47DA4"/>
    <w:rsid w:val="00C47F08"/>
    <w:rsid w:val="00C5002B"/>
    <w:rsid w:val="00C50083"/>
    <w:rsid w:val="00C5013E"/>
    <w:rsid w:val="00C50209"/>
    <w:rsid w:val="00C50229"/>
    <w:rsid w:val="00C50281"/>
    <w:rsid w:val="00C5028A"/>
    <w:rsid w:val="00C5030F"/>
    <w:rsid w:val="00C50365"/>
    <w:rsid w:val="00C5036A"/>
    <w:rsid w:val="00C50374"/>
    <w:rsid w:val="00C50389"/>
    <w:rsid w:val="00C503E4"/>
    <w:rsid w:val="00C5043C"/>
    <w:rsid w:val="00C50492"/>
    <w:rsid w:val="00C5055E"/>
    <w:rsid w:val="00C505F9"/>
    <w:rsid w:val="00C506AA"/>
    <w:rsid w:val="00C506E4"/>
    <w:rsid w:val="00C50757"/>
    <w:rsid w:val="00C5093E"/>
    <w:rsid w:val="00C5095A"/>
    <w:rsid w:val="00C50A0E"/>
    <w:rsid w:val="00C50A42"/>
    <w:rsid w:val="00C50A4E"/>
    <w:rsid w:val="00C50A5D"/>
    <w:rsid w:val="00C50AE5"/>
    <w:rsid w:val="00C50AF5"/>
    <w:rsid w:val="00C50B18"/>
    <w:rsid w:val="00C50B3B"/>
    <w:rsid w:val="00C50BE7"/>
    <w:rsid w:val="00C50CFB"/>
    <w:rsid w:val="00C50D1C"/>
    <w:rsid w:val="00C50D67"/>
    <w:rsid w:val="00C50D85"/>
    <w:rsid w:val="00C50DB2"/>
    <w:rsid w:val="00C50DF1"/>
    <w:rsid w:val="00C50E29"/>
    <w:rsid w:val="00C50E3D"/>
    <w:rsid w:val="00C50E75"/>
    <w:rsid w:val="00C50E94"/>
    <w:rsid w:val="00C50EDD"/>
    <w:rsid w:val="00C50FB6"/>
    <w:rsid w:val="00C50FBF"/>
    <w:rsid w:val="00C510FD"/>
    <w:rsid w:val="00C51278"/>
    <w:rsid w:val="00C51377"/>
    <w:rsid w:val="00C5143E"/>
    <w:rsid w:val="00C5144D"/>
    <w:rsid w:val="00C514D9"/>
    <w:rsid w:val="00C514E7"/>
    <w:rsid w:val="00C5156C"/>
    <w:rsid w:val="00C51585"/>
    <w:rsid w:val="00C515A9"/>
    <w:rsid w:val="00C515E3"/>
    <w:rsid w:val="00C5161B"/>
    <w:rsid w:val="00C51651"/>
    <w:rsid w:val="00C516F3"/>
    <w:rsid w:val="00C517BA"/>
    <w:rsid w:val="00C517FC"/>
    <w:rsid w:val="00C5188B"/>
    <w:rsid w:val="00C519B6"/>
    <w:rsid w:val="00C519C2"/>
    <w:rsid w:val="00C519D0"/>
    <w:rsid w:val="00C51A1E"/>
    <w:rsid w:val="00C51A5B"/>
    <w:rsid w:val="00C51A78"/>
    <w:rsid w:val="00C51AF0"/>
    <w:rsid w:val="00C51AF2"/>
    <w:rsid w:val="00C51B34"/>
    <w:rsid w:val="00C51B3F"/>
    <w:rsid w:val="00C51B6A"/>
    <w:rsid w:val="00C51BD0"/>
    <w:rsid w:val="00C51C34"/>
    <w:rsid w:val="00C51C53"/>
    <w:rsid w:val="00C51C74"/>
    <w:rsid w:val="00C51CC4"/>
    <w:rsid w:val="00C51D2F"/>
    <w:rsid w:val="00C51DCC"/>
    <w:rsid w:val="00C51DDE"/>
    <w:rsid w:val="00C51F3E"/>
    <w:rsid w:val="00C51F85"/>
    <w:rsid w:val="00C51FB5"/>
    <w:rsid w:val="00C51FEC"/>
    <w:rsid w:val="00C52083"/>
    <w:rsid w:val="00C520CC"/>
    <w:rsid w:val="00C52195"/>
    <w:rsid w:val="00C521CA"/>
    <w:rsid w:val="00C52237"/>
    <w:rsid w:val="00C5227F"/>
    <w:rsid w:val="00C52343"/>
    <w:rsid w:val="00C524AD"/>
    <w:rsid w:val="00C524DE"/>
    <w:rsid w:val="00C524F2"/>
    <w:rsid w:val="00C5263A"/>
    <w:rsid w:val="00C52648"/>
    <w:rsid w:val="00C52653"/>
    <w:rsid w:val="00C52768"/>
    <w:rsid w:val="00C5277B"/>
    <w:rsid w:val="00C52841"/>
    <w:rsid w:val="00C52849"/>
    <w:rsid w:val="00C5297C"/>
    <w:rsid w:val="00C52A8C"/>
    <w:rsid w:val="00C52A9D"/>
    <w:rsid w:val="00C52ABF"/>
    <w:rsid w:val="00C52ACB"/>
    <w:rsid w:val="00C52AD6"/>
    <w:rsid w:val="00C52B9D"/>
    <w:rsid w:val="00C52C21"/>
    <w:rsid w:val="00C52C6C"/>
    <w:rsid w:val="00C52CFB"/>
    <w:rsid w:val="00C52D1D"/>
    <w:rsid w:val="00C52D45"/>
    <w:rsid w:val="00C52D59"/>
    <w:rsid w:val="00C52D6D"/>
    <w:rsid w:val="00C52D7F"/>
    <w:rsid w:val="00C52D97"/>
    <w:rsid w:val="00C52DD8"/>
    <w:rsid w:val="00C52E0B"/>
    <w:rsid w:val="00C52E12"/>
    <w:rsid w:val="00C52E16"/>
    <w:rsid w:val="00C52E59"/>
    <w:rsid w:val="00C52EFB"/>
    <w:rsid w:val="00C52F15"/>
    <w:rsid w:val="00C52F1F"/>
    <w:rsid w:val="00C52FA3"/>
    <w:rsid w:val="00C530AA"/>
    <w:rsid w:val="00C530D5"/>
    <w:rsid w:val="00C530FA"/>
    <w:rsid w:val="00C5310C"/>
    <w:rsid w:val="00C53124"/>
    <w:rsid w:val="00C5312E"/>
    <w:rsid w:val="00C53148"/>
    <w:rsid w:val="00C531C9"/>
    <w:rsid w:val="00C531E7"/>
    <w:rsid w:val="00C53255"/>
    <w:rsid w:val="00C53256"/>
    <w:rsid w:val="00C53263"/>
    <w:rsid w:val="00C532F7"/>
    <w:rsid w:val="00C5334D"/>
    <w:rsid w:val="00C5335C"/>
    <w:rsid w:val="00C53374"/>
    <w:rsid w:val="00C533E3"/>
    <w:rsid w:val="00C53474"/>
    <w:rsid w:val="00C5348D"/>
    <w:rsid w:val="00C5350D"/>
    <w:rsid w:val="00C53600"/>
    <w:rsid w:val="00C53677"/>
    <w:rsid w:val="00C536D7"/>
    <w:rsid w:val="00C536D9"/>
    <w:rsid w:val="00C53837"/>
    <w:rsid w:val="00C53908"/>
    <w:rsid w:val="00C53924"/>
    <w:rsid w:val="00C5396A"/>
    <w:rsid w:val="00C539C3"/>
    <w:rsid w:val="00C53ABA"/>
    <w:rsid w:val="00C53AC0"/>
    <w:rsid w:val="00C53B1C"/>
    <w:rsid w:val="00C53B21"/>
    <w:rsid w:val="00C53BB6"/>
    <w:rsid w:val="00C53C19"/>
    <w:rsid w:val="00C53C5F"/>
    <w:rsid w:val="00C53CBD"/>
    <w:rsid w:val="00C53CF9"/>
    <w:rsid w:val="00C53D1E"/>
    <w:rsid w:val="00C53DBA"/>
    <w:rsid w:val="00C53DE6"/>
    <w:rsid w:val="00C53DF4"/>
    <w:rsid w:val="00C53E7C"/>
    <w:rsid w:val="00C53EB7"/>
    <w:rsid w:val="00C53EDD"/>
    <w:rsid w:val="00C53F75"/>
    <w:rsid w:val="00C53FC4"/>
    <w:rsid w:val="00C54012"/>
    <w:rsid w:val="00C54024"/>
    <w:rsid w:val="00C5402E"/>
    <w:rsid w:val="00C54053"/>
    <w:rsid w:val="00C54066"/>
    <w:rsid w:val="00C5406F"/>
    <w:rsid w:val="00C54077"/>
    <w:rsid w:val="00C540AB"/>
    <w:rsid w:val="00C54254"/>
    <w:rsid w:val="00C5426A"/>
    <w:rsid w:val="00C542E3"/>
    <w:rsid w:val="00C54351"/>
    <w:rsid w:val="00C543F8"/>
    <w:rsid w:val="00C54415"/>
    <w:rsid w:val="00C544C6"/>
    <w:rsid w:val="00C544CA"/>
    <w:rsid w:val="00C544EB"/>
    <w:rsid w:val="00C54508"/>
    <w:rsid w:val="00C54562"/>
    <w:rsid w:val="00C54588"/>
    <w:rsid w:val="00C545AE"/>
    <w:rsid w:val="00C545CB"/>
    <w:rsid w:val="00C5462A"/>
    <w:rsid w:val="00C54646"/>
    <w:rsid w:val="00C546A8"/>
    <w:rsid w:val="00C54723"/>
    <w:rsid w:val="00C5481B"/>
    <w:rsid w:val="00C54910"/>
    <w:rsid w:val="00C5491D"/>
    <w:rsid w:val="00C5491F"/>
    <w:rsid w:val="00C54946"/>
    <w:rsid w:val="00C5497F"/>
    <w:rsid w:val="00C54983"/>
    <w:rsid w:val="00C549B7"/>
    <w:rsid w:val="00C54BE5"/>
    <w:rsid w:val="00C54C58"/>
    <w:rsid w:val="00C54D11"/>
    <w:rsid w:val="00C54D44"/>
    <w:rsid w:val="00C54DB6"/>
    <w:rsid w:val="00C54E3A"/>
    <w:rsid w:val="00C54E44"/>
    <w:rsid w:val="00C54F5D"/>
    <w:rsid w:val="00C54F91"/>
    <w:rsid w:val="00C54FA4"/>
    <w:rsid w:val="00C54FB7"/>
    <w:rsid w:val="00C54FE2"/>
    <w:rsid w:val="00C54FEE"/>
    <w:rsid w:val="00C55027"/>
    <w:rsid w:val="00C55071"/>
    <w:rsid w:val="00C5507B"/>
    <w:rsid w:val="00C55194"/>
    <w:rsid w:val="00C551F8"/>
    <w:rsid w:val="00C55223"/>
    <w:rsid w:val="00C55272"/>
    <w:rsid w:val="00C5529C"/>
    <w:rsid w:val="00C552A6"/>
    <w:rsid w:val="00C552D5"/>
    <w:rsid w:val="00C55334"/>
    <w:rsid w:val="00C5537C"/>
    <w:rsid w:val="00C5537F"/>
    <w:rsid w:val="00C553B9"/>
    <w:rsid w:val="00C55436"/>
    <w:rsid w:val="00C55468"/>
    <w:rsid w:val="00C5550F"/>
    <w:rsid w:val="00C55530"/>
    <w:rsid w:val="00C55582"/>
    <w:rsid w:val="00C555A4"/>
    <w:rsid w:val="00C555C0"/>
    <w:rsid w:val="00C55612"/>
    <w:rsid w:val="00C55632"/>
    <w:rsid w:val="00C55649"/>
    <w:rsid w:val="00C556F0"/>
    <w:rsid w:val="00C55765"/>
    <w:rsid w:val="00C55783"/>
    <w:rsid w:val="00C557C9"/>
    <w:rsid w:val="00C5583E"/>
    <w:rsid w:val="00C5590B"/>
    <w:rsid w:val="00C55A69"/>
    <w:rsid w:val="00C55AB3"/>
    <w:rsid w:val="00C55AE7"/>
    <w:rsid w:val="00C55B08"/>
    <w:rsid w:val="00C55C1C"/>
    <w:rsid w:val="00C55C36"/>
    <w:rsid w:val="00C55C86"/>
    <w:rsid w:val="00C55CFD"/>
    <w:rsid w:val="00C55D2C"/>
    <w:rsid w:val="00C55D52"/>
    <w:rsid w:val="00C55DB5"/>
    <w:rsid w:val="00C55DD2"/>
    <w:rsid w:val="00C55E09"/>
    <w:rsid w:val="00C55E6C"/>
    <w:rsid w:val="00C55E9D"/>
    <w:rsid w:val="00C55F47"/>
    <w:rsid w:val="00C55F5C"/>
    <w:rsid w:val="00C55FB7"/>
    <w:rsid w:val="00C560CF"/>
    <w:rsid w:val="00C56182"/>
    <w:rsid w:val="00C561A5"/>
    <w:rsid w:val="00C561AD"/>
    <w:rsid w:val="00C5625D"/>
    <w:rsid w:val="00C562A3"/>
    <w:rsid w:val="00C56319"/>
    <w:rsid w:val="00C56390"/>
    <w:rsid w:val="00C563F4"/>
    <w:rsid w:val="00C564AA"/>
    <w:rsid w:val="00C564DE"/>
    <w:rsid w:val="00C56532"/>
    <w:rsid w:val="00C565F2"/>
    <w:rsid w:val="00C56645"/>
    <w:rsid w:val="00C5676A"/>
    <w:rsid w:val="00C567CB"/>
    <w:rsid w:val="00C56875"/>
    <w:rsid w:val="00C568ED"/>
    <w:rsid w:val="00C56946"/>
    <w:rsid w:val="00C56A0B"/>
    <w:rsid w:val="00C56AC4"/>
    <w:rsid w:val="00C56AEC"/>
    <w:rsid w:val="00C56B48"/>
    <w:rsid w:val="00C56C16"/>
    <w:rsid w:val="00C56E3D"/>
    <w:rsid w:val="00C56E75"/>
    <w:rsid w:val="00C56ECE"/>
    <w:rsid w:val="00C56EE5"/>
    <w:rsid w:val="00C56EF4"/>
    <w:rsid w:val="00C56F6C"/>
    <w:rsid w:val="00C56FA9"/>
    <w:rsid w:val="00C56FF8"/>
    <w:rsid w:val="00C57017"/>
    <w:rsid w:val="00C57084"/>
    <w:rsid w:val="00C5711F"/>
    <w:rsid w:val="00C571A4"/>
    <w:rsid w:val="00C571EC"/>
    <w:rsid w:val="00C572F8"/>
    <w:rsid w:val="00C57338"/>
    <w:rsid w:val="00C573EE"/>
    <w:rsid w:val="00C5741A"/>
    <w:rsid w:val="00C57438"/>
    <w:rsid w:val="00C57461"/>
    <w:rsid w:val="00C57535"/>
    <w:rsid w:val="00C57544"/>
    <w:rsid w:val="00C5755E"/>
    <w:rsid w:val="00C5759E"/>
    <w:rsid w:val="00C575B7"/>
    <w:rsid w:val="00C575EC"/>
    <w:rsid w:val="00C57673"/>
    <w:rsid w:val="00C57697"/>
    <w:rsid w:val="00C576C3"/>
    <w:rsid w:val="00C57707"/>
    <w:rsid w:val="00C577C5"/>
    <w:rsid w:val="00C57800"/>
    <w:rsid w:val="00C57843"/>
    <w:rsid w:val="00C578CE"/>
    <w:rsid w:val="00C5793D"/>
    <w:rsid w:val="00C579BD"/>
    <w:rsid w:val="00C57A1E"/>
    <w:rsid w:val="00C57A56"/>
    <w:rsid w:val="00C57B0D"/>
    <w:rsid w:val="00C57B63"/>
    <w:rsid w:val="00C57BD7"/>
    <w:rsid w:val="00C57C3B"/>
    <w:rsid w:val="00C57C3D"/>
    <w:rsid w:val="00C57C99"/>
    <w:rsid w:val="00C57CB3"/>
    <w:rsid w:val="00C57CF2"/>
    <w:rsid w:val="00C57D1A"/>
    <w:rsid w:val="00C57D26"/>
    <w:rsid w:val="00C57D33"/>
    <w:rsid w:val="00C57D86"/>
    <w:rsid w:val="00C57DFC"/>
    <w:rsid w:val="00C57E1E"/>
    <w:rsid w:val="00C57E68"/>
    <w:rsid w:val="00C57EE7"/>
    <w:rsid w:val="00C57F12"/>
    <w:rsid w:val="00C57F40"/>
    <w:rsid w:val="00C600C5"/>
    <w:rsid w:val="00C6014C"/>
    <w:rsid w:val="00C60205"/>
    <w:rsid w:val="00C6022E"/>
    <w:rsid w:val="00C60283"/>
    <w:rsid w:val="00C602A5"/>
    <w:rsid w:val="00C6033F"/>
    <w:rsid w:val="00C603AF"/>
    <w:rsid w:val="00C60435"/>
    <w:rsid w:val="00C60440"/>
    <w:rsid w:val="00C60513"/>
    <w:rsid w:val="00C6056A"/>
    <w:rsid w:val="00C60585"/>
    <w:rsid w:val="00C60596"/>
    <w:rsid w:val="00C6059B"/>
    <w:rsid w:val="00C605F4"/>
    <w:rsid w:val="00C606D2"/>
    <w:rsid w:val="00C60711"/>
    <w:rsid w:val="00C607B0"/>
    <w:rsid w:val="00C607BA"/>
    <w:rsid w:val="00C6080C"/>
    <w:rsid w:val="00C60968"/>
    <w:rsid w:val="00C60970"/>
    <w:rsid w:val="00C609D3"/>
    <w:rsid w:val="00C609DE"/>
    <w:rsid w:val="00C60A06"/>
    <w:rsid w:val="00C60A1D"/>
    <w:rsid w:val="00C60A47"/>
    <w:rsid w:val="00C60ADB"/>
    <w:rsid w:val="00C60B4C"/>
    <w:rsid w:val="00C60B70"/>
    <w:rsid w:val="00C60BE1"/>
    <w:rsid w:val="00C60C26"/>
    <w:rsid w:val="00C60C3F"/>
    <w:rsid w:val="00C60C62"/>
    <w:rsid w:val="00C60CFC"/>
    <w:rsid w:val="00C60D5D"/>
    <w:rsid w:val="00C60DA5"/>
    <w:rsid w:val="00C60E10"/>
    <w:rsid w:val="00C60E24"/>
    <w:rsid w:val="00C60E8F"/>
    <w:rsid w:val="00C60F0D"/>
    <w:rsid w:val="00C60F87"/>
    <w:rsid w:val="00C60FA8"/>
    <w:rsid w:val="00C60FC5"/>
    <w:rsid w:val="00C610A7"/>
    <w:rsid w:val="00C610CA"/>
    <w:rsid w:val="00C61188"/>
    <w:rsid w:val="00C61207"/>
    <w:rsid w:val="00C61237"/>
    <w:rsid w:val="00C61244"/>
    <w:rsid w:val="00C61291"/>
    <w:rsid w:val="00C612FD"/>
    <w:rsid w:val="00C61332"/>
    <w:rsid w:val="00C61360"/>
    <w:rsid w:val="00C613B5"/>
    <w:rsid w:val="00C6142A"/>
    <w:rsid w:val="00C61433"/>
    <w:rsid w:val="00C614A8"/>
    <w:rsid w:val="00C61561"/>
    <w:rsid w:val="00C61603"/>
    <w:rsid w:val="00C616D6"/>
    <w:rsid w:val="00C61724"/>
    <w:rsid w:val="00C61771"/>
    <w:rsid w:val="00C617A4"/>
    <w:rsid w:val="00C617E1"/>
    <w:rsid w:val="00C6182C"/>
    <w:rsid w:val="00C61837"/>
    <w:rsid w:val="00C618AF"/>
    <w:rsid w:val="00C618BD"/>
    <w:rsid w:val="00C618C2"/>
    <w:rsid w:val="00C618C6"/>
    <w:rsid w:val="00C6190E"/>
    <w:rsid w:val="00C6192D"/>
    <w:rsid w:val="00C6196B"/>
    <w:rsid w:val="00C619A4"/>
    <w:rsid w:val="00C619F5"/>
    <w:rsid w:val="00C61B7F"/>
    <w:rsid w:val="00C61B8D"/>
    <w:rsid w:val="00C61BF4"/>
    <w:rsid w:val="00C61C05"/>
    <w:rsid w:val="00C61C3E"/>
    <w:rsid w:val="00C61C96"/>
    <w:rsid w:val="00C61CA0"/>
    <w:rsid w:val="00C61D44"/>
    <w:rsid w:val="00C61D9D"/>
    <w:rsid w:val="00C61E32"/>
    <w:rsid w:val="00C61E43"/>
    <w:rsid w:val="00C61EC1"/>
    <w:rsid w:val="00C61F84"/>
    <w:rsid w:val="00C61FF2"/>
    <w:rsid w:val="00C62027"/>
    <w:rsid w:val="00C62071"/>
    <w:rsid w:val="00C620EF"/>
    <w:rsid w:val="00C62175"/>
    <w:rsid w:val="00C621AF"/>
    <w:rsid w:val="00C621EB"/>
    <w:rsid w:val="00C62241"/>
    <w:rsid w:val="00C6224D"/>
    <w:rsid w:val="00C622F1"/>
    <w:rsid w:val="00C62335"/>
    <w:rsid w:val="00C62459"/>
    <w:rsid w:val="00C62467"/>
    <w:rsid w:val="00C6254B"/>
    <w:rsid w:val="00C62586"/>
    <w:rsid w:val="00C625FA"/>
    <w:rsid w:val="00C6260D"/>
    <w:rsid w:val="00C62611"/>
    <w:rsid w:val="00C62670"/>
    <w:rsid w:val="00C626D8"/>
    <w:rsid w:val="00C626F9"/>
    <w:rsid w:val="00C62711"/>
    <w:rsid w:val="00C62716"/>
    <w:rsid w:val="00C62749"/>
    <w:rsid w:val="00C6290E"/>
    <w:rsid w:val="00C6291A"/>
    <w:rsid w:val="00C6296E"/>
    <w:rsid w:val="00C6299C"/>
    <w:rsid w:val="00C629D9"/>
    <w:rsid w:val="00C62ADF"/>
    <w:rsid w:val="00C62B6A"/>
    <w:rsid w:val="00C62B7D"/>
    <w:rsid w:val="00C62C0C"/>
    <w:rsid w:val="00C62C22"/>
    <w:rsid w:val="00C62C37"/>
    <w:rsid w:val="00C62C90"/>
    <w:rsid w:val="00C62C9C"/>
    <w:rsid w:val="00C62D4A"/>
    <w:rsid w:val="00C62DCA"/>
    <w:rsid w:val="00C62DF2"/>
    <w:rsid w:val="00C62E05"/>
    <w:rsid w:val="00C62EBC"/>
    <w:rsid w:val="00C62F44"/>
    <w:rsid w:val="00C62F48"/>
    <w:rsid w:val="00C62F4A"/>
    <w:rsid w:val="00C63026"/>
    <w:rsid w:val="00C63046"/>
    <w:rsid w:val="00C63098"/>
    <w:rsid w:val="00C630A7"/>
    <w:rsid w:val="00C63108"/>
    <w:rsid w:val="00C631FB"/>
    <w:rsid w:val="00C63278"/>
    <w:rsid w:val="00C63315"/>
    <w:rsid w:val="00C63328"/>
    <w:rsid w:val="00C63390"/>
    <w:rsid w:val="00C63400"/>
    <w:rsid w:val="00C63452"/>
    <w:rsid w:val="00C63503"/>
    <w:rsid w:val="00C63567"/>
    <w:rsid w:val="00C636B5"/>
    <w:rsid w:val="00C6370C"/>
    <w:rsid w:val="00C63874"/>
    <w:rsid w:val="00C6388C"/>
    <w:rsid w:val="00C638F5"/>
    <w:rsid w:val="00C6397A"/>
    <w:rsid w:val="00C639A9"/>
    <w:rsid w:val="00C639ED"/>
    <w:rsid w:val="00C63AAF"/>
    <w:rsid w:val="00C63AF4"/>
    <w:rsid w:val="00C63B3B"/>
    <w:rsid w:val="00C63B4E"/>
    <w:rsid w:val="00C63BD7"/>
    <w:rsid w:val="00C63BFB"/>
    <w:rsid w:val="00C63C09"/>
    <w:rsid w:val="00C63C3D"/>
    <w:rsid w:val="00C63C94"/>
    <w:rsid w:val="00C63D72"/>
    <w:rsid w:val="00C63E50"/>
    <w:rsid w:val="00C63E6F"/>
    <w:rsid w:val="00C63F44"/>
    <w:rsid w:val="00C63F71"/>
    <w:rsid w:val="00C63F88"/>
    <w:rsid w:val="00C63F9C"/>
    <w:rsid w:val="00C63FA2"/>
    <w:rsid w:val="00C63FB9"/>
    <w:rsid w:val="00C63FED"/>
    <w:rsid w:val="00C64006"/>
    <w:rsid w:val="00C64095"/>
    <w:rsid w:val="00C640B5"/>
    <w:rsid w:val="00C640DB"/>
    <w:rsid w:val="00C64102"/>
    <w:rsid w:val="00C64116"/>
    <w:rsid w:val="00C64133"/>
    <w:rsid w:val="00C64176"/>
    <w:rsid w:val="00C641B8"/>
    <w:rsid w:val="00C64220"/>
    <w:rsid w:val="00C64229"/>
    <w:rsid w:val="00C64269"/>
    <w:rsid w:val="00C642BE"/>
    <w:rsid w:val="00C642C4"/>
    <w:rsid w:val="00C643AF"/>
    <w:rsid w:val="00C64424"/>
    <w:rsid w:val="00C64444"/>
    <w:rsid w:val="00C645FB"/>
    <w:rsid w:val="00C64601"/>
    <w:rsid w:val="00C64648"/>
    <w:rsid w:val="00C646A2"/>
    <w:rsid w:val="00C646C4"/>
    <w:rsid w:val="00C646D4"/>
    <w:rsid w:val="00C64700"/>
    <w:rsid w:val="00C6473C"/>
    <w:rsid w:val="00C64769"/>
    <w:rsid w:val="00C647A9"/>
    <w:rsid w:val="00C647BD"/>
    <w:rsid w:val="00C647D0"/>
    <w:rsid w:val="00C64807"/>
    <w:rsid w:val="00C64821"/>
    <w:rsid w:val="00C6483D"/>
    <w:rsid w:val="00C6486E"/>
    <w:rsid w:val="00C6489C"/>
    <w:rsid w:val="00C648C4"/>
    <w:rsid w:val="00C648D1"/>
    <w:rsid w:val="00C6492B"/>
    <w:rsid w:val="00C64951"/>
    <w:rsid w:val="00C649BD"/>
    <w:rsid w:val="00C649C9"/>
    <w:rsid w:val="00C64A13"/>
    <w:rsid w:val="00C64A4C"/>
    <w:rsid w:val="00C64AE9"/>
    <w:rsid w:val="00C64B2E"/>
    <w:rsid w:val="00C64BE8"/>
    <w:rsid w:val="00C64C7E"/>
    <w:rsid w:val="00C64C87"/>
    <w:rsid w:val="00C64CA6"/>
    <w:rsid w:val="00C64D60"/>
    <w:rsid w:val="00C64DAC"/>
    <w:rsid w:val="00C64E69"/>
    <w:rsid w:val="00C64F0E"/>
    <w:rsid w:val="00C64F99"/>
    <w:rsid w:val="00C64FCF"/>
    <w:rsid w:val="00C65003"/>
    <w:rsid w:val="00C6501C"/>
    <w:rsid w:val="00C651B4"/>
    <w:rsid w:val="00C65257"/>
    <w:rsid w:val="00C6526E"/>
    <w:rsid w:val="00C652E6"/>
    <w:rsid w:val="00C653C1"/>
    <w:rsid w:val="00C653E6"/>
    <w:rsid w:val="00C6540B"/>
    <w:rsid w:val="00C6545E"/>
    <w:rsid w:val="00C65487"/>
    <w:rsid w:val="00C654A2"/>
    <w:rsid w:val="00C654A7"/>
    <w:rsid w:val="00C6551F"/>
    <w:rsid w:val="00C65533"/>
    <w:rsid w:val="00C65537"/>
    <w:rsid w:val="00C655E4"/>
    <w:rsid w:val="00C6562E"/>
    <w:rsid w:val="00C65697"/>
    <w:rsid w:val="00C656C0"/>
    <w:rsid w:val="00C656D2"/>
    <w:rsid w:val="00C6577D"/>
    <w:rsid w:val="00C658AB"/>
    <w:rsid w:val="00C65994"/>
    <w:rsid w:val="00C65A3F"/>
    <w:rsid w:val="00C65ADF"/>
    <w:rsid w:val="00C65B44"/>
    <w:rsid w:val="00C65B51"/>
    <w:rsid w:val="00C65BFC"/>
    <w:rsid w:val="00C65C2D"/>
    <w:rsid w:val="00C65C6C"/>
    <w:rsid w:val="00C65CD0"/>
    <w:rsid w:val="00C65CED"/>
    <w:rsid w:val="00C65D33"/>
    <w:rsid w:val="00C65D67"/>
    <w:rsid w:val="00C65DBB"/>
    <w:rsid w:val="00C65DEF"/>
    <w:rsid w:val="00C65DFB"/>
    <w:rsid w:val="00C65E4D"/>
    <w:rsid w:val="00C65E61"/>
    <w:rsid w:val="00C65FCE"/>
    <w:rsid w:val="00C66024"/>
    <w:rsid w:val="00C6606B"/>
    <w:rsid w:val="00C66077"/>
    <w:rsid w:val="00C660CF"/>
    <w:rsid w:val="00C66153"/>
    <w:rsid w:val="00C66165"/>
    <w:rsid w:val="00C66169"/>
    <w:rsid w:val="00C66179"/>
    <w:rsid w:val="00C66240"/>
    <w:rsid w:val="00C66248"/>
    <w:rsid w:val="00C66293"/>
    <w:rsid w:val="00C662D9"/>
    <w:rsid w:val="00C66305"/>
    <w:rsid w:val="00C6630E"/>
    <w:rsid w:val="00C66384"/>
    <w:rsid w:val="00C663A3"/>
    <w:rsid w:val="00C6641D"/>
    <w:rsid w:val="00C6644B"/>
    <w:rsid w:val="00C66457"/>
    <w:rsid w:val="00C66487"/>
    <w:rsid w:val="00C66495"/>
    <w:rsid w:val="00C664F5"/>
    <w:rsid w:val="00C66502"/>
    <w:rsid w:val="00C66552"/>
    <w:rsid w:val="00C66585"/>
    <w:rsid w:val="00C665EE"/>
    <w:rsid w:val="00C66616"/>
    <w:rsid w:val="00C66689"/>
    <w:rsid w:val="00C666B7"/>
    <w:rsid w:val="00C66732"/>
    <w:rsid w:val="00C66740"/>
    <w:rsid w:val="00C6675B"/>
    <w:rsid w:val="00C6676D"/>
    <w:rsid w:val="00C6681F"/>
    <w:rsid w:val="00C66820"/>
    <w:rsid w:val="00C66837"/>
    <w:rsid w:val="00C66860"/>
    <w:rsid w:val="00C668E1"/>
    <w:rsid w:val="00C66929"/>
    <w:rsid w:val="00C669B4"/>
    <w:rsid w:val="00C66A15"/>
    <w:rsid w:val="00C66A2C"/>
    <w:rsid w:val="00C66ADD"/>
    <w:rsid w:val="00C66B07"/>
    <w:rsid w:val="00C66B17"/>
    <w:rsid w:val="00C66B41"/>
    <w:rsid w:val="00C66B6C"/>
    <w:rsid w:val="00C66BDA"/>
    <w:rsid w:val="00C66BE3"/>
    <w:rsid w:val="00C66CA2"/>
    <w:rsid w:val="00C66CF4"/>
    <w:rsid w:val="00C66D03"/>
    <w:rsid w:val="00C66D39"/>
    <w:rsid w:val="00C66D57"/>
    <w:rsid w:val="00C66DF7"/>
    <w:rsid w:val="00C66E15"/>
    <w:rsid w:val="00C66E53"/>
    <w:rsid w:val="00C66E60"/>
    <w:rsid w:val="00C66E79"/>
    <w:rsid w:val="00C66EA5"/>
    <w:rsid w:val="00C66F20"/>
    <w:rsid w:val="00C66F59"/>
    <w:rsid w:val="00C66FAB"/>
    <w:rsid w:val="00C66FDE"/>
    <w:rsid w:val="00C67088"/>
    <w:rsid w:val="00C6710D"/>
    <w:rsid w:val="00C6721A"/>
    <w:rsid w:val="00C67240"/>
    <w:rsid w:val="00C67368"/>
    <w:rsid w:val="00C673E5"/>
    <w:rsid w:val="00C6749C"/>
    <w:rsid w:val="00C674C5"/>
    <w:rsid w:val="00C674E6"/>
    <w:rsid w:val="00C6758F"/>
    <w:rsid w:val="00C675E4"/>
    <w:rsid w:val="00C67670"/>
    <w:rsid w:val="00C6775D"/>
    <w:rsid w:val="00C677DB"/>
    <w:rsid w:val="00C678E4"/>
    <w:rsid w:val="00C67936"/>
    <w:rsid w:val="00C67993"/>
    <w:rsid w:val="00C67A0A"/>
    <w:rsid w:val="00C67AA9"/>
    <w:rsid w:val="00C67D07"/>
    <w:rsid w:val="00C67DBF"/>
    <w:rsid w:val="00C67E14"/>
    <w:rsid w:val="00C67E1C"/>
    <w:rsid w:val="00C67E4D"/>
    <w:rsid w:val="00C67E5A"/>
    <w:rsid w:val="00C67E5C"/>
    <w:rsid w:val="00C67ED9"/>
    <w:rsid w:val="00C67EDD"/>
    <w:rsid w:val="00C67F1C"/>
    <w:rsid w:val="00C67F7B"/>
    <w:rsid w:val="00C67FB4"/>
    <w:rsid w:val="00C67FD1"/>
    <w:rsid w:val="00C700A1"/>
    <w:rsid w:val="00C700C3"/>
    <w:rsid w:val="00C7015D"/>
    <w:rsid w:val="00C70170"/>
    <w:rsid w:val="00C70175"/>
    <w:rsid w:val="00C7019A"/>
    <w:rsid w:val="00C701D8"/>
    <w:rsid w:val="00C7020F"/>
    <w:rsid w:val="00C70240"/>
    <w:rsid w:val="00C70241"/>
    <w:rsid w:val="00C70274"/>
    <w:rsid w:val="00C702D6"/>
    <w:rsid w:val="00C70343"/>
    <w:rsid w:val="00C703A9"/>
    <w:rsid w:val="00C70416"/>
    <w:rsid w:val="00C7054C"/>
    <w:rsid w:val="00C70604"/>
    <w:rsid w:val="00C7060D"/>
    <w:rsid w:val="00C7062B"/>
    <w:rsid w:val="00C7062F"/>
    <w:rsid w:val="00C70722"/>
    <w:rsid w:val="00C70730"/>
    <w:rsid w:val="00C707AB"/>
    <w:rsid w:val="00C707BC"/>
    <w:rsid w:val="00C70885"/>
    <w:rsid w:val="00C708DA"/>
    <w:rsid w:val="00C70928"/>
    <w:rsid w:val="00C7093C"/>
    <w:rsid w:val="00C709B0"/>
    <w:rsid w:val="00C709F0"/>
    <w:rsid w:val="00C70A67"/>
    <w:rsid w:val="00C70A7F"/>
    <w:rsid w:val="00C70C01"/>
    <w:rsid w:val="00C70C50"/>
    <w:rsid w:val="00C70CDD"/>
    <w:rsid w:val="00C70D70"/>
    <w:rsid w:val="00C70D8D"/>
    <w:rsid w:val="00C70DCE"/>
    <w:rsid w:val="00C70DE6"/>
    <w:rsid w:val="00C70DF9"/>
    <w:rsid w:val="00C70E67"/>
    <w:rsid w:val="00C70E98"/>
    <w:rsid w:val="00C70F2F"/>
    <w:rsid w:val="00C70F54"/>
    <w:rsid w:val="00C70FE3"/>
    <w:rsid w:val="00C71062"/>
    <w:rsid w:val="00C71096"/>
    <w:rsid w:val="00C710AC"/>
    <w:rsid w:val="00C710D6"/>
    <w:rsid w:val="00C71208"/>
    <w:rsid w:val="00C71212"/>
    <w:rsid w:val="00C71328"/>
    <w:rsid w:val="00C71339"/>
    <w:rsid w:val="00C7137F"/>
    <w:rsid w:val="00C71434"/>
    <w:rsid w:val="00C7150A"/>
    <w:rsid w:val="00C7156F"/>
    <w:rsid w:val="00C715BA"/>
    <w:rsid w:val="00C715CA"/>
    <w:rsid w:val="00C71648"/>
    <w:rsid w:val="00C71682"/>
    <w:rsid w:val="00C716A9"/>
    <w:rsid w:val="00C71784"/>
    <w:rsid w:val="00C7179D"/>
    <w:rsid w:val="00C71805"/>
    <w:rsid w:val="00C71885"/>
    <w:rsid w:val="00C7192A"/>
    <w:rsid w:val="00C71956"/>
    <w:rsid w:val="00C7196C"/>
    <w:rsid w:val="00C71A10"/>
    <w:rsid w:val="00C71B14"/>
    <w:rsid w:val="00C71B35"/>
    <w:rsid w:val="00C71B55"/>
    <w:rsid w:val="00C71B77"/>
    <w:rsid w:val="00C71B9C"/>
    <w:rsid w:val="00C71C9F"/>
    <w:rsid w:val="00C71CAA"/>
    <w:rsid w:val="00C71CF3"/>
    <w:rsid w:val="00C71D06"/>
    <w:rsid w:val="00C71D48"/>
    <w:rsid w:val="00C71DE9"/>
    <w:rsid w:val="00C71E9E"/>
    <w:rsid w:val="00C71EBC"/>
    <w:rsid w:val="00C71EBF"/>
    <w:rsid w:val="00C71F26"/>
    <w:rsid w:val="00C71F45"/>
    <w:rsid w:val="00C72027"/>
    <w:rsid w:val="00C72068"/>
    <w:rsid w:val="00C7208E"/>
    <w:rsid w:val="00C720C6"/>
    <w:rsid w:val="00C720FE"/>
    <w:rsid w:val="00C72109"/>
    <w:rsid w:val="00C721CA"/>
    <w:rsid w:val="00C721D2"/>
    <w:rsid w:val="00C72222"/>
    <w:rsid w:val="00C722E9"/>
    <w:rsid w:val="00C72357"/>
    <w:rsid w:val="00C723C7"/>
    <w:rsid w:val="00C72475"/>
    <w:rsid w:val="00C724EC"/>
    <w:rsid w:val="00C7252D"/>
    <w:rsid w:val="00C72594"/>
    <w:rsid w:val="00C72613"/>
    <w:rsid w:val="00C72633"/>
    <w:rsid w:val="00C726FA"/>
    <w:rsid w:val="00C7270B"/>
    <w:rsid w:val="00C72735"/>
    <w:rsid w:val="00C72752"/>
    <w:rsid w:val="00C7278A"/>
    <w:rsid w:val="00C72790"/>
    <w:rsid w:val="00C727AC"/>
    <w:rsid w:val="00C727BA"/>
    <w:rsid w:val="00C72808"/>
    <w:rsid w:val="00C72827"/>
    <w:rsid w:val="00C72887"/>
    <w:rsid w:val="00C728A2"/>
    <w:rsid w:val="00C728A8"/>
    <w:rsid w:val="00C728BC"/>
    <w:rsid w:val="00C72914"/>
    <w:rsid w:val="00C7294E"/>
    <w:rsid w:val="00C7297A"/>
    <w:rsid w:val="00C729C2"/>
    <w:rsid w:val="00C72A19"/>
    <w:rsid w:val="00C72A41"/>
    <w:rsid w:val="00C72A49"/>
    <w:rsid w:val="00C72ACB"/>
    <w:rsid w:val="00C72BB4"/>
    <w:rsid w:val="00C72BB6"/>
    <w:rsid w:val="00C72BBD"/>
    <w:rsid w:val="00C72BF4"/>
    <w:rsid w:val="00C72D3A"/>
    <w:rsid w:val="00C72E1A"/>
    <w:rsid w:val="00C72ECF"/>
    <w:rsid w:val="00C72F73"/>
    <w:rsid w:val="00C72FC9"/>
    <w:rsid w:val="00C73016"/>
    <w:rsid w:val="00C73021"/>
    <w:rsid w:val="00C730E5"/>
    <w:rsid w:val="00C73167"/>
    <w:rsid w:val="00C731E2"/>
    <w:rsid w:val="00C73214"/>
    <w:rsid w:val="00C73292"/>
    <w:rsid w:val="00C7329B"/>
    <w:rsid w:val="00C7331D"/>
    <w:rsid w:val="00C73341"/>
    <w:rsid w:val="00C7334B"/>
    <w:rsid w:val="00C7335D"/>
    <w:rsid w:val="00C733E3"/>
    <w:rsid w:val="00C73423"/>
    <w:rsid w:val="00C73459"/>
    <w:rsid w:val="00C73463"/>
    <w:rsid w:val="00C734AC"/>
    <w:rsid w:val="00C734B5"/>
    <w:rsid w:val="00C734C3"/>
    <w:rsid w:val="00C734C5"/>
    <w:rsid w:val="00C73532"/>
    <w:rsid w:val="00C73550"/>
    <w:rsid w:val="00C73557"/>
    <w:rsid w:val="00C7358D"/>
    <w:rsid w:val="00C735FB"/>
    <w:rsid w:val="00C73668"/>
    <w:rsid w:val="00C7367F"/>
    <w:rsid w:val="00C7379A"/>
    <w:rsid w:val="00C73828"/>
    <w:rsid w:val="00C73858"/>
    <w:rsid w:val="00C739D0"/>
    <w:rsid w:val="00C739E3"/>
    <w:rsid w:val="00C739ED"/>
    <w:rsid w:val="00C73B5A"/>
    <w:rsid w:val="00C73B64"/>
    <w:rsid w:val="00C73BB5"/>
    <w:rsid w:val="00C73BC6"/>
    <w:rsid w:val="00C73C06"/>
    <w:rsid w:val="00C73C3C"/>
    <w:rsid w:val="00C73C74"/>
    <w:rsid w:val="00C73CD9"/>
    <w:rsid w:val="00C73D18"/>
    <w:rsid w:val="00C73D95"/>
    <w:rsid w:val="00C73DBF"/>
    <w:rsid w:val="00C73EBD"/>
    <w:rsid w:val="00C73EDD"/>
    <w:rsid w:val="00C73EEC"/>
    <w:rsid w:val="00C73F1C"/>
    <w:rsid w:val="00C7403B"/>
    <w:rsid w:val="00C7404E"/>
    <w:rsid w:val="00C740B7"/>
    <w:rsid w:val="00C74162"/>
    <w:rsid w:val="00C741AA"/>
    <w:rsid w:val="00C741FB"/>
    <w:rsid w:val="00C74265"/>
    <w:rsid w:val="00C742C2"/>
    <w:rsid w:val="00C742F1"/>
    <w:rsid w:val="00C742F6"/>
    <w:rsid w:val="00C7432F"/>
    <w:rsid w:val="00C7437E"/>
    <w:rsid w:val="00C74456"/>
    <w:rsid w:val="00C744AE"/>
    <w:rsid w:val="00C744E1"/>
    <w:rsid w:val="00C74517"/>
    <w:rsid w:val="00C74583"/>
    <w:rsid w:val="00C74689"/>
    <w:rsid w:val="00C746C6"/>
    <w:rsid w:val="00C746FB"/>
    <w:rsid w:val="00C74751"/>
    <w:rsid w:val="00C747E2"/>
    <w:rsid w:val="00C74816"/>
    <w:rsid w:val="00C7495F"/>
    <w:rsid w:val="00C74A5C"/>
    <w:rsid w:val="00C74A7B"/>
    <w:rsid w:val="00C74ABD"/>
    <w:rsid w:val="00C74AD6"/>
    <w:rsid w:val="00C74B49"/>
    <w:rsid w:val="00C74B8A"/>
    <w:rsid w:val="00C74B97"/>
    <w:rsid w:val="00C74BE9"/>
    <w:rsid w:val="00C74C50"/>
    <w:rsid w:val="00C74D28"/>
    <w:rsid w:val="00C74D60"/>
    <w:rsid w:val="00C74E50"/>
    <w:rsid w:val="00C74ED0"/>
    <w:rsid w:val="00C74ED3"/>
    <w:rsid w:val="00C74F68"/>
    <w:rsid w:val="00C74F75"/>
    <w:rsid w:val="00C74FFD"/>
    <w:rsid w:val="00C75018"/>
    <w:rsid w:val="00C75033"/>
    <w:rsid w:val="00C75036"/>
    <w:rsid w:val="00C750E4"/>
    <w:rsid w:val="00C75181"/>
    <w:rsid w:val="00C751A8"/>
    <w:rsid w:val="00C751AB"/>
    <w:rsid w:val="00C751FE"/>
    <w:rsid w:val="00C75223"/>
    <w:rsid w:val="00C7522E"/>
    <w:rsid w:val="00C75280"/>
    <w:rsid w:val="00C75293"/>
    <w:rsid w:val="00C752B2"/>
    <w:rsid w:val="00C753C9"/>
    <w:rsid w:val="00C753CF"/>
    <w:rsid w:val="00C7541B"/>
    <w:rsid w:val="00C75452"/>
    <w:rsid w:val="00C75492"/>
    <w:rsid w:val="00C75530"/>
    <w:rsid w:val="00C75620"/>
    <w:rsid w:val="00C7566D"/>
    <w:rsid w:val="00C75687"/>
    <w:rsid w:val="00C75701"/>
    <w:rsid w:val="00C7574C"/>
    <w:rsid w:val="00C75757"/>
    <w:rsid w:val="00C7578C"/>
    <w:rsid w:val="00C757B3"/>
    <w:rsid w:val="00C757B9"/>
    <w:rsid w:val="00C75802"/>
    <w:rsid w:val="00C75829"/>
    <w:rsid w:val="00C75864"/>
    <w:rsid w:val="00C758F2"/>
    <w:rsid w:val="00C758F4"/>
    <w:rsid w:val="00C758F7"/>
    <w:rsid w:val="00C75965"/>
    <w:rsid w:val="00C75976"/>
    <w:rsid w:val="00C75B36"/>
    <w:rsid w:val="00C75C4E"/>
    <w:rsid w:val="00C75CC2"/>
    <w:rsid w:val="00C75CCB"/>
    <w:rsid w:val="00C75D05"/>
    <w:rsid w:val="00C75D35"/>
    <w:rsid w:val="00C75D3C"/>
    <w:rsid w:val="00C75DA1"/>
    <w:rsid w:val="00C75E33"/>
    <w:rsid w:val="00C75E3B"/>
    <w:rsid w:val="00C75EB4"/>
    <w:rsid w:val="00C75EE5"/>
    <w:rsid w:val="00C75F9E"/>
    <w:rsid w:val="00C75FA6"/>
    <w:rsid w:val="00C75FC0"/>
    <w:rsid w:val="00C75FF3"/>
    <w:rsid w:val="00C7605F"/>
    <w:rsid w:val="00C760DE"/>
    <w:rsid w:val="00C761BF"/>
    <w:rsid w:val="00C7622F"/>
    <w:rsid w:val="00C7624C"/>
    <w:rsid w:val="00C76266"/>
    <w:rsid w:val="00C7626D"/>
    <w:rsid w:val="00C762D0"/>
    <w:rsid w:val="00C7630D"/>
    <w:rsid w:val="00C763EC"/>
    <w:rsid w:val="00C76424"/>
    <w:rsid w:val="00C76426"/>
    <w:rsid w:val="00C7643C"/>
    <w:rsid w:val="00C7649B"/>
    <w:rsid w:val="00C764AD"/>
    <w:rsid w:val="00C764D6"/>
    <w:rsid w:val="00C7651E"/>
    <w:rsid w:val="00C76527"/>
    <w:rsid w:val="00C765EA"/>
    <w:rsid w:val="00C76618"/>
    <w:rsid w:val="00C7661F"/>
    <w:rsid w:val="00C7665F"/>
    <w:rsid w:val="00C76669"/>
    <w:rsid w:val="00C7668D"/>
    <w:rsid w:val="00C76691"/>
    <w:rsid w:val="00C766FD"/>
    <w:rsid w:val="00C7675F"/>
    <w:rsid w:val="00C76788"/>
    <w:rsid w:val="00C7679A"/>
    <w:rsid w:val="00C767B0"/>
    <w:rsid w:val="00C7687A"/>
    <w:rsid w:val="00C768A2"/>
    <w:rsid w:val="00C768D7"/>
    <w:rsid w:val="00C768D8"/>
    <w:rsid w:val="00C76969"/>
    <w:rsid w:val="00C76990"/>
    <w:rsid w:val="00C769EB"/>
    <w:rsid w:val="00C76A19"/>
    <w:rsid w:val="00C76A55"/>
    <w:rsid w:val="00C76B64"/>
    <w:rsid w:val="00C76B9B"/>
    <w:rsid w:val="00C76BB2"/>
    <w:rsid w:val="00C76C93"/>
    <w:rsid w:val="00C76CC7"/>
    <w:rsid w:val="00C76D13"/>
    <w:rsid w:val="00C76D52"/>
    <w:rsid w:val="00C76DC7"/>
    <w:rsid w:val="00C76DCA"/>
    <w:rsid w:val="00C76DE7"/>
    <w:rsid w:val="00C76F4F"/>
    <w:rsid w:val="00C76F98"/>
    <w:rsid w:val="00C76F9C"/>
    <w:rsid w:val="00C76FA2"/>
    <w:rsid w:val="00C77066"/>
    <w:rsid w:val="00C770D5"/>
    <w:rsid w:val="00C77255"/>
    <w:rsid w:val="00C772A0"/>
    <w:rsid w:val="00C772DA"/>
    <w:rsid w:val="00C772E4"/>
    <w:rsid w:val="00C77342"/>
    <w:rsid w:val="00C77382"/>
    <w:rsid w:val="00C773F2"/>
    <w:rsid w:val="00C77406"/>
    <w:rsid w:val="00C7740E"/>
    <w:rsid w:val="00C77419"/>
    <w:rsid w:val="00C77477"/>
    <w:rsid w:val="00C774DF"/>
    <w:rsid w:val="00C775D4"/>
    <w:rsid w:val="00C775F7"/>
    <w:rsid w:val="00C77653"/>
    <w:rsid w:val="00C77689"/>
    <w:rsid w:val="00C77717"/>
    <w:rsid w:val="00C77774"/>
    <w:rsid w:val="00C77804"/>
    <w:rsid w:val="00C77892"/>
    <w:rsid w:val="00C779B4"/>
    <w:rsid w:val="00C779DC"/>
    <w:rsid w:val="00C77A72"/>
    <w:rsid w:val="00C77B75"/>
    <w:rsid w:val="00C77BCF"/>
    <w:rsid w:val="00C77C90"/>
    <w:rsid w:val="00C77D44"/>
    <w:rsid w:val="00C77DB8"/>
    <w:rsid w:val="00C77E0D"/>
    <w:rsid w:val="00C77E5C"/>
    <w:rsid w:val="00C77E7D"/>
    <w:rsid w:val="00C77E82"/>
    <w:rsid w:val="00C77E98"/>
    <w:rsid w:val="00C77EB1"/>
    <w:rsid w:val="00C77EF9"/>
    <w:rsid w:val="00C77FB6"/>
    <w:rsid w:val="00C80176"/>
    <w:rsid w:val="00C80186"/>
    <w:rsid w:val="00C8022F"/>
    <w:rsid w:val="00C80240"/>
    <w:rsid w:val="00C80268"/>
    <w:rsid w:val="00C802FA"/>
    <w:rsid w:val="00C8032F"/>
    <w:rsid w:val="00C80335"/>
    <w:rsid w:val="00C803A1"/>
    <w:rsid w:val="00C803CB"/>
    <w:rsid w:val="00C80427"/>
    <w:rsid w:val="00C80448"/>
    <w:rsid w:val="00C804FD"/>
    <w:rsid w:val="00C80520"/>
    <w:rsid w:val="00C80539"/>
    <w:rsid w:val="00C80569"/>
    <w:rsid w:val="00C8059E"/>
    <w:rsid w:val="00C805BD"/>
    <w:rsid w:val="00C805D1"/>
    <w:rsid w:val="00C80625"/>
    <w:rsid w:val="00C80634"/>
    <w:rsid w:val="00C8063E"/>
    <w:rsid w:val="00C80652"/>
    <w:rsid w:val="00C806A4"/>
    <w:rsid w:val="00C806CB"/>
    <w:rsid w:val="00C8072D"/>
    <w:rsid w:val="00C8083D"/>
    <w:rsid w:val="00C808DE"/>
    <w:rsid w:val="00C808E9"/>
    <w:rsid w:val="00C80948"/>
    <w:rsid w:val="00C80994"/>
    <w:rsid w:val="00C809CE"/>
    <w:rsid w:val="00C80A0B"/>
    <w:rsid w:val="00C80A65"/>
    <w:rsid w:val="00C80B0A"/>
    <w:rsid w:val="00C80B66"/>
    <w:rsid w:val="00C80BB1"/>
    <w:rsid w:val="00C80BC4"/>
    <w:rsid w:val="00C80BD3"/>
    <w:rsid w:val="00C80C0C"/>
    <w:rsid w:val="00C80C46"/>
    <w:rsid w:val="00C80CAD"/>
    <w:rsid w:val="00C80EEF"/>
    <w:rsid w:val="00C80FA2"/>
    <w:rsid w:val="00C80FBE"/>
    <w:rsid w:val="00C80FC3"/>
    <w:rsid w:val="00C81027"/>
    <w:rsid w:val="00C81064"/>
    <w:rsid w:val="00C810CB"/>
    <w:rsid w:val="00C81177"/>
    <w:rsid w:val="00C8118F"/>
    <w:rsid w:val="00C811D9"/>
    <w:rsid w:val="00C81284"/>
    <w:rsid w:val="00C81285"/>
    <w:rsid w:val="00C812E0"/>
    <w:rsid w:val="00C81422"/>
    <w:rsid w:val="00C81488"/>
    <w:rsid w:val="00C81499"/>
    <w:rsid w:val="00C814B3"/>
    <w:rsid w:val="00C81568"/>
    <w:rsid w:val="00C815A3"/>
    <w:rsid w:val="00C815F0"/>
    <w:rsid w:val="00C81607"/>
    <w:rsid w:val="00C8173C"/>
    <w:rsid w:val="00C81780"/>
    <w:rsid w:val="00C817B0"/>
    <w:rsid w:val="00C817C7"/>
    <w:rsid w:val="00C817DD"/>
    <w:rsid w:val="00C817E0"/>
    <w:rsid w:val="00C81819"/>
    <w:rsid w:val="00C8185D"/>
    <w:rsid w:val="00C8187F"/>
    <w:rsid w:val="00C818FA"/>
    <w:rsid w:val="00C81925"/>
    <w:rsid w:val="00C819A5"/>
    <w:rsid w:val="00C81A5E"/>
    <w:rsid w:val="00C81AAE"/>
    <w:rsid w:val="00C81AB6"/>
    <w:rsid w:val="00C81B4D"/>
    <w:rsid w:val="00C81C68"/>
    <w:rsid w:val="00C81CBA"/>
    <w:rsid w:val="00C81D21"/>
    <w:rsid w:val="00C81EBD"/>
    <w:rsid w:val="00C81F61"/>
    <w:rsid w:val="00C81F6A"/>
    <w:rsid w:val="00C82028"/>
    <w:rsid w:val="00C82062"/>
    <w:rsid w:val="00C82205"/>
    <w:rsid w:val="00C82252"/>
    <w:rsid w:val="00C82258"/>
    <w:rsid w:val="00C82322"/>
    <w:rsid w:val="00C8233D"/>
    <w:rsid w:val="00C82342"/>
    <w:rsid w:val="00C82344"/>
    <w:rsid w:val="00C82372"/>
    <w:rsid w:val="00C823A9"/>
    <w:rsid w:val="00C823B4"/>
    <w:rsid w:val="00C823B7"/>
    <w:rsid w:val="00C823E1"/>
    <w:rsid w:val="00C823FD"/>
    <w:rsid w:val="00C8246D"/>
    <w:rsid w:val="00C825D9"/>
    <w:rsid w:val="00C8262F"/>
    <w:rsid w:val="00C82633"/>
    <w:rsid w:val="00C826AC"/>
    <w:rsid w:val="00C826D5"/>
    <w:rsid w:val="00C82819"/>
    <w:rsid w:val="00C8283D"/>
    <w:rsid w:val="00C82920"/>
    <w:rsid w:val="00C82923"/>
    <w:rsid w:val="00C829F2"/>
    <w:rsid w:val="00C829F9"/>
    <w:rsid w:val="00C82A6A"/>
    <w:rsid w:val="00C82A80"/>
    <w:rsid w:val="00C82B26"/>
    <w:rsid w:val="00C82B45"/>
    <w:rsid w:val="00C82B6A"/>
    <w:rsid w:val="00C82C54"/>
    <w:rsid w:val="00C82C7E"/>
    <w:rsid w:val="00C82CCD"/>
    <w:rsid w:val="00C82D0B"/>
    <w:rsid w:val="00C82D14"/>
    <w:rsid w:val="00C82D7C"/>
    <w:rsid w:val="00C82D80"/>
    <w:rsid w:val="00C82DDD"/>
    <w:rsid w:val="00C82E44"/>
    <w:rsid w:val="00C82E7B"/>
    <w:rsid w:val="00C82EA1"/>
    <w:rsid w:val="00C82ED0"/>
    <w:rsid w:val="00C82EE1"/>
    <w:rsid w:val="00C82EFA"/>
    <w:rsid w:val="00C82FCB"/>
    <w:rsid w:val="00C83052"/>
    <w:rsid w:val="00C83055"/>
    <w:rsid w:val="00C830C3"/>
    <w:rsid w:val="00C83102"/>
    <w:rsid w:val="00C83176"/>
    <w:rsid w:val="00C8318B"/>
    <w:rsid w:val="00C831AC"/>
    <w:rsid w:val="00C832A5"/>
    <w:rsid w:val="00C8333F"/>
    <w:rsid w:val="00C83394"/>
    <w:rsid w:val="00C833E3"/>
    <w:rsid w:val="00C83427"/>
    <w:rsid w:val="00C834D7"/>
    <w:rsid w:val="00C8356C"/>
    <w:rsid w:val="00C835D4"/>
    <w:rsid w:val="00C835FA"/>
    <w:rsid w:val="00C83800"/>
    <w:rsid w:val="00C83807"/>
    <w:rsid w:val="00C83811"/>
    <w:rsid w:val="00C83819"/>
    <w:rsid w:val="00C8382A"/>
    <w:rsid w:val="00C8387C"/>
    <w:rsid w:val="00C838AF"/>
    <w:rsid w:val="00C838D4"/>
    <w:rsid w:val="00C838E6"/>
    <w:rsid w:val="00C838F2"/>
    <w:rsid w:val="00C83918"/>
    <w:rsid w:val="00C83A2F"/>
    <w:rsid w:val="00C83A43"/>
    <w:rsid w:val="00C83A57"/>
    <w:rsid w:val="00C83AD5"/>
    <w:rsid w:val="00C83B11"/>
    <w:rsid w:val="00C83B6F"/>
    <w:rsid w:val="00C83BCE"/>
    <w:rsid w:val="00C83C45"/>
    <w:rsid w:val="00C83C5F"/>
    <w:rsid w:val="00C83CA4"/>
    <w:rsid w:val="00C83CFA"/>
    <w:rsid w:val="00C83D5C"/>
    <w:rsid w:val="00C83D6F"/>
    <w:rsid w:val="00C83D70"/>
    <w:rsid w:val="00C83DEF"/>
    <w:rsid w:val="00C83E50"/>
    <w:rsid w:val="00C83EC4"/>
    <w:rsid w:val="00C83EC9"/>
    <w:rsid w:val="00C83EDF"/>
    <w:rsid w:val="00C83FB5"/>
    <w:rsid w:val="00C83FC8"/>
    <w:rsid w:val="00C83FE8"/>
    <w:rsid w:val="00C83FF2"/>
    <w:rsid w:val="00C8406C"/>
    <w:rsid w:val="00C840C4"/>
    <w:rsid w:val="00C840D7"/>
    <w:rsid w:val="00C8418C"/>
    <w:rsid w:val="00C841A4"/>
    <w:rsid w:val="00C841D0"/>
    <w:rsid w:val="00C84341"/>
    <w:rsid w:val="00C843B3"/>
    <w:rsid w:val="00C84492"/>
    <w:rsid w:val="00C8453E"/>
    <w:rsid w:val="00C8458C"/>
    <w:rsid w:val="00C845E8"/>
    <w:rsid w:val="00C84609"/>
    <w:rsid w:val="00C84613"/>
    <w:rsid w:val="00C84647"/>
    <w:rsid w:val="00C84664"/>
    <w:rsid w:val="00C846F6"/>
    <w:rsid w:val="00C8474F"/>
    <w:rsid w:val="00C8476A"/>
    <w:rsid w:val="00C847B2"/>
    <w:rsid w:val="00C847D5"/>
    <w:rsid w:val="00C847D8"/>
    <w:rsid w:val="00C84801"/>
    <w:rsid w:val="00C84832"/>
    <w:rsid w:val="00C84975"/>
    <w:rsid w:val="00C849EB"/>
    <w:rsid w:val="00C84A03"/>
    <w:rsid w:val="00C84A04"/>
    <w:rsid w:val="00C84A42"/>
    <w:rsid w:val="00C84A67"/>
    <w:rsid w:val="00C84AC1"/>
    <w:rsid w:val="00C84B91"/>
    <w:rsid w:val="00C84BA7"/>
    <w:rsid w:val="00C84BE7"/>
    <w:rsid w:val="00C84BF1"/>
    <w:rsid w:val="00C84C22"/>
    <w:rsid w:val="00C84C6A"/>
    <w:rsid w:val="00C84CB5"/>
    <w:rsid w:val="00C84CD6"/>
    <w:rsid w:val="00C84D1F"/>
    <w:rsid w:val="00C84D59"/>
    <w:rsid w:val="00C84D80"/>
    <w:rsid w:val="00C84D8D"/>
    <w:rsid w:val="00C84E0A"/>
    <w:rsid w:val="00C84E50"/>
    <w:rsid w:val="00C84E77"/>
    <w:rsid w:val="00C84E7F"/>
    <w:rsid w:val="00C84ED9"/>
    <w:rsid w:val="00C84F91"/>
    <w:rsid w:val="00C84F98"/>
    <w:rsid w:val="00C8505C"/>
    <w:rsid w:val="00C8506C"/>
    <w:rsid w:val="00C850E5"/>
    <w:rsid w:val="00C8511A"/>
    <w:rsid w:val="00C8515F"/>
    <w:rsid w:val="00C8517F"/>
    <w:rsid w:val="00C8520E"/>
    <w:rsid w:val="00C85243"/>
    <w:rsid w:val="00C85256"/>
    <w:rsid w:val="00C85257"/>
    <w:rsid w:val="00C85292"/>
    <w:rsid w:val="00C85295"/>
    <w:rsid w:val="00C852F3"/>
    <w:rsid w:val="00C85413"/>
    <w:rsid w:val="00C8541D"/>
    <w:rsid w:val="00C85454"/>
    <w:rsid w:val="00C85494"/>
    <w:rsid w:val="00C854AF"/>
    <w:rsid w:val="00C854EA"/>
    <w:rsid w:val="00C854F7"/>
    <w:rsid w:val="00C854FB"/>
    <w:rsid w:val="00C8550C"/>
    <w:rsid w:val="00C85532"/>
    <w:rsid w:val="00C85596"/>
    <w:rsid w:val="00C855FE"/>
    <w:rsid w:val="00C8563D"/>
    <w:rsid w:val="00C85663"/>
    <w:rsid w:val="00C856A5"/>
    <w:rsid w:val="00C856D1"/>
    <w:rsid w:val="00C856EB"/>
    <w:rsid w:val="00C857C2"/>
    <w:rsid w:val="00C857C5"/>
    <w:rsid w:val="00C858D1"/>
    <w:rsid w:val="00C85940"/>
    <w:rsid w:val="00C85948"/>
    <w:rsid w:val="00C8594B"/>
    <w:rsid w:val="00C85975"/>
    <w:rsid w:val="00C859B7"/>
    <w:rsid w:val="00C85A73"/>
    <w:rsid w:val="00C85B58"/>
    <w:rsid w:val="00C85BC5"/>
    <w:rsid w:val="00C85BEA"/>
    <w:rsid w:val="00C85C12"/>
    <w:rsid w:val="00C85CFF"/>
    <w:rsid w:val="00C85D03"/>
    <w:rsid w:val="00C85E14"/>
    <w:rsid w:val="00C85E67"/>
    <w:rsid w:val="00C85F05"/>
    <w:rsid w:val="00C85FDA"/>
    <w:rsid w:val="00C85FDE"/>
    <w:rsid w:val="00C860FE"/>
    <w:rsid w:val="00C8624A"/>
    <w:rsid w:val="00C862AD"/>
    <w:rsid w:val="00C862C5"/>
    <w:rsid w:val="00C862DD"/>
    <w:rsid w:val="00C862FC"/>
    <w:rsid w:val="00C86446"/>
    <w:rsid w:val="00C864BE"/>
    <w:rsid w:val="00C864C8"/>
    <w:rsid w:val="00C86536"/>
    <w:rsid w:val="00C86561"/>
    <w:rsid w:val="00C86628"/>
    <w:rsid w:val="00C86651"/>
    <w:rsid w:val="00C8666F"/>
    <w:rsid w:val="00C8688F"/>
    <w:rsid w:val="00C8692E"/>
    <w:rsid w:val="00C8696C"/>
    <w:rsid w:val="00C86981"/>
    <w:rsid w:val="00C86A94"/>
    <w:rsid w:val="00C86B30"/>
    <w:rsid w:val="00C86B51"/>
    <w:rsid w:val="00C86BE2"/>
    <w:rsid w:val="00C86C47"/>
    <w:rsid w:val="00C86C83"/>
    <w:rsid w:val="00C86CC3"/>
    <w:rsid w:val="00C86CF2"/>
    <w:rsid w:val="00C86D33"/>
    <w:rsid w:val="00C86D7B"/>
    <w:rsid w:val="00C86DAD"/>
    <w:rsid w:val="00C86DD1"/>
    <w:rsid w:val="00C86DF4"/>
    <w:rsid w:val="00C86E1A"/>
    <w:rsid w:val="00C86E22"/>
    <w:rsid w:val="00C86E56"/>
    <w:rsid w:val="00C86E90"/>
    <w:rsid w:val="00C86EE5"/>
    <w:rsid w:val="00C86F4A"/>
    <w:rsid w:val="00C86FA2"/>
    <w:rsid w:val="00C86FF4"/>
    <w:rsid w:val="00C87047"/>
    <w:rsid w:val="00C87074"/>
    <w:rsid w:val="00C870B4"/>
    <w:rsid w:val="00C870DA"/>
    <w:rsid w:val="00C87176"/>
    <w:rsid w:val="00C8717F"/>
    <w:rsid w:val="00C871E9"/>
    <w:rsid w:val="00C87249"/>
    <w:rsid w:val="00C87250"/>
    <w:rsid w:val="00C87337"/>
    <w:rsid w:val="00C8734E"/>
    <w:rsid w:val="00C8740D"/>
    <w:rsid w:val="00C87485"/>
    <w:rsid w:val="00C874FD"/>
    <w:rsid w:val="00C87503"/>
    <w:rsid w:val="00C87512"/>
    <w:rsid w:val="00C87542"/>
    <w:rsid w:val="00C8756F"/>
    <w:rsid w:val="00C87575"/>
    <w:rsid w:val="00C875B1"/>
    <w:rsid w:val="00C87698"/>
    <w:rsid w:val="00C8773A"/>
    <w:rsid w:val="00C87777"/>
    <w:rsid w:val="00C877ED"/>
    <w:rsid w:val="00C87803"/>
    <w:rsid w:val="00C87845"/>
    <w:rsid w:val="00C87849"/>
    <w:rsid w:val="00C8786E"/>
    <w:rsid w:val="00C87927"/>
    <w:rsid w:val="00C8797E"/>
    <w:rsid w:val="00C87A0E"/>
    <w:rsid w:val="00C87AD4"/>
    <w:rsid w:val="00C87B54"/>
    <w:rsid w:val="00C87C03"/>
    <w:rsid w:val="00C87C08"/>
    <w:rsid w:val="00C87C1C"/>
    <w:rsid w:val="00C87CB4"/>
    <w:rsid w:val="00C87CC4"/>
    <w:rsid w:val="00C87CE4"/>
    <w:rsid w:val="00C87D2C"/>
    <w:rsid w:val="00C87D4E"/>
    <w:rsid w:val="00C87E5D"/>
    <w:rsid w:val="00C87ED9"/>
    <w:rsid w:val="00C87F65"/>
    <w:rsid w:val="00C87F9A"/>
    <w:rsid w:val="00C900F7"/>
    <w:rsid w:val="00C90112"/>
    <w:rsid w:val="00C9012E"/>
    <w:rsid w:val="00C90239"/>
    <w:rsid w:val="00C902C5"/>
    <w:rsid w:val="00C902EE"/>
    <w:rsid w:val="00C90313"/>
    <w:rsid w:val="00C9038C"/>
    <w:rsid w:val="00C9043E"/>
    <w:rsid w:val="00C90447"/>
    <w:rsid w:val="00C90475"/>
    <w:rsid w:val="00C904D3"/>
    <w:rsid w:val="00C904DF"/>
    <w:rsid w:val="00C90518"/>
    <w:rsid w:val="00C90525"/>
    <w:rsid w:val="00C90556"/>
    <w:rsid w:val="00C9058D"/>
    <w:rsid w:val="00C90608"/>
    <w:rsid w:val="00C90652"/>
    <w:rsid w:val="00C906D3"/>
    <w:rsid w:val="00C90743"/>
    <w:rsid w:val="00C90746"/>
    <w:rsid w:val="00C90797"/>
    <w:rsid w:val="00C907B1"/>
    <w:rsid w:val="00C908C7"/>
    <w:rsid w:val="00C90992"/>
    <w:rsid w:val="00C90AA8"/>
    <w:rsid w:val="00C90B10"/>
    <w:rsid w:val="00C90B49"/>
    <w:rsid w:val="00C90B72"/>
    <w:rsid w:val="00C90B8C"/>
    <w:rsid w:val="00C90B95"/>
    <w:rsid w:val="00C90BD0"/>
    <w:rsid w:val="00C90C27"/>
    <w:rsid w:val="00C90C28"/>
    <w:rsid w:val="00C90C8A"/>
    <w:rsid w:val="00C90D4F"/>
    <w:rsid w:val="00C90F4A"/>
    <w:rsid w:val="00C90FB9"/>
    <w:rsid w:val="00C90FC2"/>
    <w:rsid w:val="00C9108A"/>
    <w:rsid w:val="00C91114"/>
    <w:rsid w:val="00C91152"/>
    <w:rsid w:val="00C91181"/>
    <w:rsid w:val="00C91219"/>
    <w:rsid w:val="00C9142E"/>
    <w:rsid w:val="00C914F1"/>
    <w:rsid w:val="00C914F6"/>
    <w:rsid w:val="00C91510"/>
    <w:rsid w:val="00C91543"/>
    <w:rsid w:val="00C9159E"/>
    <w:rsid w:val="00C91619"/>
    <w:rsid w:val="00C9168B"/>
    <w:rsid w:val="00C9172A"/>
    <w:rsid w:val="00C9176E"/>
    <w:rsid w:val="00C917CB"/>
    <w:rsid w:val="00C91822"/>
    <w:rsid w:val="00C918F6"/>
    <w:rsid w:val="00C91A06"/>
    <w:rsid w:val="00C91A8E"/>
    <w:rsid w:val="00C91B29"/>
    <w:rsid w:val="00C91B4A"/>
    <w:rsid w:val="00C91C0E"/>
    <w:rsid w:val="00C91C83"/>
    <w:rsid w:val="00C91CC8"/>
    <w:rsid w:val="00C91D08"/>
    <w:rsid w:val="00C91D26"/>
    <w:rsid w:val="00C91D8C"/>
    <w:rsid w:val="00C91DE5"/>
    <w:rsid w:val="00C91E10"/>
    <w:rsid w:val="00C91ED1"/>
    <w:rsid w:val="00C91EE2"/>
    <w:rsid w:val="00C91F5F"/>
    <w:rsid w:val="00C91F62"/>
    <w:rsid w:val="00C91F6A"/>
    <w:rsid w:val="00C9208D"/>
    <w:rsid w:val="00C9208F"/>
    <w:rsid w:val="00C92148"/>
    <w:rsid w:val="00C92159"/>
    <w:rsid w:val="00C9216F"/>
    <w:rsid w:val="00C921BC"/>
    <w:rsid w:val="00C922B5"/>
    <w:rsid w:val="00C922D3"/>
    <w:rsid w:val="00C924DA"/>
    <w:rsid w:val="00C924DC"/>
    <w:rsid w:val="00C92510"/>
    <w:rsid w:val="00C925FF"/>
    <w:rsid w:val="00C92627"/>
    <w:rsid w:val="00C926CA"/>
    <w:rsid w:val="00C926E5"/>
    <w:rsid w:val="00C92710"/>
    <w:rsid w:val="00C9279D"/>
    <w:rsid w:val="00C927EB"/>
    <w:rsid w:val="00C9283A"/>
    <w:rsid w:val="00C9297C"/>
    <w:rsid w:val="00C92983"/>
    <w:rsid w:val="00C92A23"/>
    <w:rsid w:val="00C92A4E"/>
    <w:rsid w:val="00C92B04"/>
    <w:rsid w:val="00C92B35"/>
    <w:rsid w:val="00C92B74"/>
    <w:rsid w:val="00C92B81"/>
    <w:rsid w:val="00C92C4F"/>
    <w:rsid w:val="00C92C60"/>
    <w:rsid w:val="00C92C96"/>
    <w:rsid w:val="00C92CE3"/>
    <w:rsid w:val="00C92D75"/>
    <w:rsid w:val="00C92DF4"/>
    <w:rsid w:val="00C92E1C"/>
    <w:rsid w:val="00C92EA8"/>
    <w:rsid w:val="00C92FA1"/>
    <w:rsid w:val="00C93018"/>
    <w:rsid w:val="00C93043"/>
    <w:rsid w:val="00C93066"/>
    <w:rsid w:val="00C93083"/>
    <w:rsid w:val="00C930EE"/>
    <w:rsid w:val="00C93133"/>
    <w:rsid w:val="00C931CB"/>
    <w:rsid w:val="00C93228"/>
    <w:rsid w:val="00C932C1"/>
    <w:rsid w:val="00C93452"/>
    <w:rsid w:val="00C9355F"/>
    <w:rsid w:val="00C935EB"/>
    <w:rsid w:val="00C93640"/>
    <w:rsid w:val="00C9369F"/>
    <w:rsid w:val="00C936E6"/>
    <w:rsid w:val="00C9377C"/>
    <w:rsid w:val="00C93851"/>
    <w:rsid w:val="00C938BC"/>
    <w:rsid w:val="00C9399A"/>
    <w:rsid w:val="00C93A12"/>
    <w:rsid w:val="00C93A14"/>
    <w:rsid w:val="00C93AA7"/>
    <w:rsid w:val="00C93B1E"/>
    <w:rsid w:val="00C93B87"/>
    <w:rsid w:val="00C93CE5"/>
    <w:rsid w:val="00C93CF2"/>
    <w:rsid w:val="00C93D24"/>
    <w:rsid w:val="00C93D49"/>
    <w:rsid w:val="00C93D6C"/>
    <w:rsid w:val="00C93DC7"/>
    <w:rsid w:val="00C93DCF"/>
    <w:rsid w:val="00C93EBD"/>
    <w:rsid w:val="00C93EDC"/>
    <w:rsid w:val="00C93EF5"/>
    <w:rsid w:val="00C93EF9"/>
    <w:rsid w:val="00C93EFF"/>
    <w:rsid w:val="00C93F24"/>
    <w:rsid w:val="00C94085"/>
    <w:rsid w:val="00C940C8"/>
    <w:rsid w:val="00C941B1"/>
    <w:rsid w:val="00C941CA"/>
    <w:rsid w:val="00C9421B"/>
    <w:rsid w:val="00C94221"/>
    <w:rsid w:val="00C9422B"/>
    <w:rsid w:val="00C942D6"/>
    <w:rsid w:val="00C9430F"/>
    <w:rsid w:val="00C94315"/>
    <w:rsid w:val="00C94378"/>
    <w:rsid w:val="00C9441C"/>
    <w:rsid w:val="00C944A0"/>
    <w:rsid w:val="00C944D3"/>
    <w:rsid w:val="00C94549"/>
    <w:rsid w:val="00C9457E"/>
    <w:rsid w:val="00C94693"/>
    <w:rsid w:val="00C946ED"/>
    <w:rsid w:val="00C94780"/>
    <w:rsid w:val="00C947E9"/>
    <w:rsid w:val="00C9485F"/>
    <w:rsid w:val="00C948A6"/>
    <w:rsid w:val="00C948FF"/>
    <w:rsid w:val="00C94A50"/>
    <w:rsid w:val="00C94ACB"/>
    <w:rsid w:val="00C94B18"/>
    <w:rsid w:val="00C94B36"/>
    <w:rsid w:val="00C94B44"/>
    <w:rsid w:val="00C94B58"/>
    <w:rsid w:val="00C94C22"/>
    <w:rsid w:val="00C94C6B"/>
    <w:rsid w:val="00C94C90"/>
    <w:rsid w:val="00C94CD5"/>
    <w:rsid w:val="00C94D29"/>
    <w:rsid w:val="00C94E16"/>
    <w:rsid w:val="00C94E18"/>
    <w:rsid w:val="00C94E99"/>
    <w:rsid w:val="00C94F64"/>
    <w:rsid w:val="00C94FED"/>
    <w:rsid w:val="00C95015"/>
    <w:rsid w:val="00C9505E"/>
    <w:rsid w:val="00C950C0"/>
    <w:rsid w:val="00C95100"/>
    <w:rsid w:val="00C9510E"/>
    <w:rsid w:val="00C9516C"/>
    <w:rsid w:val="00C951FD"/>
    <w:rsid w:val="00C9525D"/>
    <w:rsid w:val="00C95263"/>
    <w:rsid w:val="00C952EA"/>
    <w:rsid w:val="00C95301"/>
    <w:rsid w:val="00C95326"/>
    <w:rsid w:val="00C95388"/>
    <w:rsid w:val="00C953A9"/>
    <w:rsid w:val="00C95506"/>
    <w:rsid w:val="00C9551E"/>
    <w:rsid w:val="00C9556A"/>
    <w:rsid w:val="00C95590"/>
    <w:rsid w:val="00C95685"/>
    <w:rsid w:val="00C956D2"/>
    <w:rsid w:val="00C95771"/>
    <w:rsid w:val="00C957A2"/>
    <w:rsid w:val="00C958F5"/>
    <w:rsid w:val="00C95948"/>
    <w:rsid w:val="00C9594D"/>
    <w:rsid w:val="00C9597A"/>
    <w:rsid w:val="00C95A11"/>
    <w:rsid w:val="00C95A1A"/>
    <w:rsid w:val="00C95AA6"/>
    <w:rsid w:val="00C95B90"/>
    <w:rsid w:val="00C95BE5"/>
    <w:rsid w:val="00C95C0C"/>
    <w:rsid w:val="00C95C0D"/>
    <w:rsid w:val="00C95C3F"/>
    <w:rsid w:val="00C95C60"/>
    <w:rsid w:val="00C95CF3"/>
    <w:rsid w:val="00C95D3F"/>
    <w:rsid w:val="00C95DA5"/>
    <w:rsid w:val="00C95DD0"/>
    <w:rsid w:val="00C95F9C"/>
    <w:rsid w:val="00C95FE4"/>
    <w:rsid w:val="00C96036"/>
    <w:rsid w:val="00C9604A"/>
    <w:rsid w:val="00C9607D"/>
    <w:rsid w:val="00C960E7"/>
    <w:rsid w:val="00C96194"/>
    <w:rsid w:val="00C96209"/>
    <w:rsid w:val="00C962B2"/>
    <w:rsid w:val="00C9630F"/>
    <w:rsid w:val="00C964A4"/>
    <w:rsid w:val="00C964F5"/>
    <w:rsid w:val="00C9654C"/>
    <w:rsid w:val="00C9655B"/>
    <w:rsid w:val="00C965BC"/>
    <w:rsid w:val="00C965DD"/>
    <w:rsid w:val="00C96608"/>
    <w:rsid w:val="00C9664D"/>
    <w:rsid w:val="00C96652"/>
    <w:rsid w:val="00C96733"/>
    <w:rsid w:val="00C96772"/>
    <w:rsid w:val="00C967BF"/>
    <w:rsid w:val="00C9682C"/>
    <w:rsid w:val="00C968EC"/>
    <w:rsid w:val="00C96965"/>
    <w:rsid w:val="00C96A36"/>
    <w:rsid w:val="00C96A76"/>
    <w:rsid w:val="00C96A8B"/>
    <w:rsid w:val="00C96B40"/>
    <w:rsid w:val="00C96BD3"/>
    <w:rsid w:val="00C96C0A"/>
    <w:rsid w:val="00C96C5F"/>
    <w:rsid w:val="00C96C77"/>
    <w:rsid w:val="00C96C9B"/>
    <w:rsid w:val="00C96CDD"/>
    <w:rsid w:val="00C96D8B"/>
    <w:rsid w:val="00C96E18"/>
    <w:rsid w:val="00C96EDE"/>
    <w:rsid w:val="00C96F7C"/>
    <w:rsid w:val="00C97178"/>
    <w:rsid w:val="00C9719C"/>
    <w:rsid w:val="00C97200"/>
    <w:rsid w:val="00C97280"/>
    <w:rsid w:val="00C97385"/>
    <w:rsid w:val="00C973A3"/>
    <w:rsid w:val="00C973B4"/>
    <w:rsid w:val="00C973C4"/>
    <w:rsid w:val="00C97442"/>
    <w:rsid w:val="00C974A3"/>
    <w:rsid w:val="00C974B2"/>
    <w:rsid w:val="00C974B7"/>
    <w:rsid w:val="00C9750F"/>
    <w:rsid w:val="00C975B8"/>
    <w:rsid w:val="00C97643"/>
    <w:rsid w:val="00C97664"/>
    <w:rsid w:val="00C9775F"/>
    <w:rsid w:val="00C977C7"/>
    <w:rsid w:val="00C9789F"/>
    <w:rsid w:val="00C978E3"/>
    <w:rsid w:val="00C978E7"/>
    <w:rsid w:val="00C97933"/>
    <w:rsid w:val="00C9795A"/>
    <w:rsid w:val="00C97964"/>
    <w:rsid w:val="00C979A2"/>
    <w:rsid w:val="00C97A08"/>
    <w:rsid w:val="00C97A45"/>
    <w:rsid w:val="00C97AF7"/>
    <w:rsid w:val="00C97B92"/>
    <w:rsid w:val="00C97C9D"/>
    <w:rsid w:val="00C97D2D"/>
    <w:rsid w:val="00C97DE4"/>
    <w:rsid w:val="00C97EB6"/>
    <w:rsid w:val="00C97FC4"/>
    <w:rsid w:val="00CA001C"/>
    <w:rsid w:val="00CA0061"/>
    <w:rsid w:val="00CA015F"/>
    <w:rsid w:val="00CA01BA"/>
    <w:rsid w:val="00CA01BD"/>
    <w:rsid w:val="00CA0347"/>
    <w:rsid w:val="00CA03CE"/>
    <w:rsid w:val="00CA03D8"/>
    <w:rsid w:val="00CA03F8"/>
    <w:rsid w:val="00CA0437"/>
    <w:rsid w:val="00CA0474"/>
    <w:rsid w:val="00CA0483"/>
    <w:rsid w:val="00CA061E"/>
    <w:rsid w:val="00CA07E4"/>
    <w:rsid w:val="00CA0846"/>
    <w:rsid w:val="00CA0881"/>
    <w:rsid w:val="00CA09B0"/>
    <w:rsid w:val="00CA09D6"/>
    <w:rsid w:val="00CA0A48"/>
    <w:rsid w:val="00CA0AEF"/>
    <w:rsid w:val="00CA0B46"/>
    <w:rsid w:val="00CA0B88"/>
    <w:rsid w:val="00CA0C5D"/>
    <w:rsid w:val="00CA0CD8"/>
    <w:rsid w:val="00CA0D8B"/>
    <w:rsid w:val="00CA0E38"/>
    <w:rsid w:val="00CA0E4A"/>
    <w:rsid w:val="00CA0ED3"/>
    <w:rsid w:val="00CA0F4A"/>
    <w:rsid w:val="00CA0F54"/>
    <w:rsid w:val="00CA0FBF"/>
    <w:rsid w:val="00CA0FE8"/>
    <w:rsid w:val="00CA1060"/>
    <w:rsid w:val="00CA1127"/>
    <w:rsid w:val="00CA1141"/>
    <w:rsid w:val="00CA12E9"/>
    <w:rsid w:val="00CA12F4"/>
    <w:rsid w:val="00CA1363"/>
    <w:rsid w:val="00CA1382"/>
    <w:rsid w:val="00CA13D3"/>
    <w:rsid w:val="00CA13DD"/>
    <w:rsid w:val="00CA1461"/>
    <w:rsid w:val="00CA1495"/>
    <w:rsid w:val="00CA14C9"/>
    <w:rsid w:val="00CA151B"/>
    <w:rsid w:val="00CA1591"/>
    <w:rsid w:val="00CA15C2"/>
    <w:rsid w:val="00CA15EA"/>
    <w:rsid w:val="00CA15FB"/>
    <w:rsid w:val="00CA1689"/>
    <w:rsid w:val="00CA16FF"/>
    <w:rsid w:val="00CA1702"/>
    <w:rsid w:val="00CA174F"/>
    <w:rsid w:val="00CA1756"/>
    <w:rsid w:val="00CA176A"/>
    <w:rsid w:val="00CA17C7"/>
    <w:rsid w:val="00CA17F8"/>
    <w:rsid w:val="00CA1813"/>
    <w:rsid w:val="00CA18F7"/>
    <w:rsid w:val="00CA19A0"/>
    <w:rsid w:val="00CA19AA"/>
    <w:rsid w:val="00CA19FE"/>
    <w:rsid w:val="00CA1A03"/>
    <w:rsid w:val="00CA1A2C"/>
    <w:rsid w:val="00CA1A7F"/>
    <w:rsid w:val="00CA1AC6"/>
    <w:rsid w:val="00CA1BCF"/>
    <w:rsid w:val="00CA1C4C"/>
    <w:rsid w:val="00CA1CA6"/>
    <w:rsid w:val="00CA1CC5"/>
    <w:rsid w:val="00CA1D31"/>
    <w:rsid w:val="00CA1D35"/>
    <w:rsid w:val="00CA1DD1"/>
    <w:rsid w:val="00CA1E35"/>
    <w:rsid w:val="00CA1E40"/>
    <w:rsid w:val="00CA1E5B"/>
    <w:rsid w:val="00CA1EAB"/>
    <w:rsid w:val="00CA1EAD"/>
    <w:rsid w:val="00CA2018"/>
    <w:rsid w:val="00CA2023"/>
    <w:rsid w:val="00CA204B"/>
    <w:rsid w:val="00CA20D0"/>
    <w:rsid w:val="00CA20EB"/>
    <w:rsid w:val="00CA2177"/>
    <w:rsid w:val="00CA21B7"/>
    <w:rsid w:val="00CA22B3"/>
    <w:rsid w:val="00CA22D3"/>
    <w:rsid w:val="00CA2329"/>
    <w:rsid w:val="00CA238A"/>
    <w:rsid w:val="00CA23E9"/>
    <w:rsid w:val="00CA2463"/>
    <w:rsid w:val="00CA2534"/>
    <w:rsid w:val="00CA257D"/>
    <w:rsid w:val="00CA26A7"/>
    <w:rsid w:val="00CA2732"/>
    <w:rsid w:val="00CA2737"/>
    <w:rsid w:val="00CA276A"/>
    <w:rsid w:val="00CA2794"/>
    <w:rsid w:val="00CA2809"/>
    <w:rsid w:val="00CA293E"/>
    <w:rsid w:val="00CA2940"/>
    <w:rsid w:val="00CA29D6"/>
    <w:rsid w:val="00CA29DD"/>
    <w:rsid w:val="00CA2AA8"/>
    <w:rsid w:val="00CA2B0D"/>
    <w:rsid w:val="00CA2B10"/>
    <w:rsid w:val="00CA2B13"/>
    <w:rsid w:val="00CA2B38"/>
    <w:rsid w:val="00CA2B58"/>
    <w:rsid w:val="00CA2B6F"/>
    <w:rsid w:val="00CA2BD0"/>
    <w:rsid w:val="00CA2C6C"/>
    <w:rsid w:val="00CA2C82"/>
    <w:rsid w:val="00CA2CD7"/>
    <w:rsid w:val="00CA2CF9"/>
    <w:rsid w:val="00CA2D48"/>
    <w:rsid w:val="00CA2DB6"/>
    <w:rsid w:val="00CA2E0F"/>
    <w:rsid w:val="00CA2E1B"/>
    <w:rsid w:val="00CA2EC6"/>
    <w:rsid w:val="00CA2EDD"/>
    <w:rsid w:val="00CA2F31"/>
    <w:rsid w:val="00CA2F4D"/>
    <w:rsid w:val="00CA30C5"/>
    <w:rsid w:val="00CA31E4"/>
    <w:rsid w:val="00CA325C"/>
    <w:rsid w:val="00CA3278"/>
    <w:rsid w:val="00CA32AA"/>
    <w:rsid w:val="00CA32BF"/>
    <w:rsid w:val="00CA331A"/>
    <w:rsid w:val="00CA3362"/>
    <w:rsid w:val="00CA33A8"/>
    <w:rsid w:val="00CA33BA"/>
    <w:rsid w:val="00CA341C"/>
    <w:rsid w:val="00CA343C"/>
    <w:rsid w:val="00CA3491"/>
    <w:rsid w:val="00CA34E2"/>
    <w:rsid w:val="00CA3511"/>
    <w:rsid w:val="00CA3547"/>
    <w:rsid w:val="00CA3550"/>
    <w:rsid w:val="00CA356D"/>
    <w:rsid w:val="00CA35A4"/>
    <w:rsid w:val="00CA35AF"/>
    <w:rsid w:val="00CA35B8"/>
    <w:rsid w:val="00CA35BB"/>
    <w:rsid w:val="00CA35F4"/>
    <w:rsid w:val="00CA3627"/>
    <w:rsid w:val="00CA36D7"/>
    <w:rsid w:val="00CA3714"/>
    <w:rsid w:val="00CA3859"/>
    <w:rsid w:val="00CA3921"/>
    <w:rsid w:val="00CA39EE"/>
    <w:rsid w:val="00CA39F2"/>
    <w:rsid w:val="00CA3A64"/>
    <w:rsid w:val="00CA3A6A"/>
    <w:rsid w:val="00CA3ABA"/>
    <w:rsid w:val="00CA3ADF"/>
    <w:rsid w:val="00CA3B73"/>
    <w:rsid w:val="00CA3C4B"/>
    <w:rsid w:val="00CA3D36"/>
    <w:rsid w:val="00CA3DB5"/>
    <w:rsid w:val="00CA3DEC"/>
    <w:rsid w:val="00CA3E38"/>
    <w:rsid w:val="00CA3EE8"/>
    <w:rsid w:val="00CA3EEE"/>
    <w:rsid w:val="00CA3F4A"/>
    <w:rsid w:val="00CA3FB2"/>
    <w:rsid w:val="00CA403A"/>
    <w:rsid w:val="00CA419B"/>
    <w:rsid w:val="00CA41A3"/>
    <w:rsid w:val="00CA41BB"/>
    <w:rsid w:val="00CA41F9"/>
    <w:rsid w:val="00CA4234"/>
    <w:rsid w:val="00CA4264"/>
    <w:rsid w:val="00CA4274"/>
    <w:rsid w:val="00CA4325"/>
    <w:rsid w:val="00CA43ED"/>
    <w:rsid w:val="00CA441F"/>
    <w:rsid w:val="00CA4420"/>
    <w:rsid w:val="00CA4430"/>
    <w:rsid w:val="00CA4438"/>
    <w:rsid w:val="00CA444E"/>
    <w:rsid w:val="00CA44D3"/>
    <w:rsid w:val="00CA44FC"/>
    <w:rsid w:val="00CA450D"/>
    <w:rsid w:val="00CA4569"/>
    <w:rsid w:val="00CA4582"/>
    <w:rsid w:val="00CA45CB"/>
    <w:rsid w:val="00CA45CC"/>
    <w:rsid w:val="00CA463D"/>
    <w:rsid w:val="00CA4660"/>
    <w:rsid w:val="00CA46F7"/>
    <w:rsid w:val="00CA478A"/>
    <w:rsid w:val="00CA4798"/>
    <w:rsid w:val="00CA480A"/>
    <w:rsid w:val="00CA4814"/>
    <w:rsid w:val="00CA4856"/>
    <w:rsid w:val="00CA4959"/>
    <w:rsid w:val="00CA49E5"/>
    <w:rsid w:val="00CA49EF"/>
    <w:rsid w:val="00CA4A0F"/>
    <w:rsid w:val="00CA4A1E"/>
    <w:rsid w:val="00CA4A30"/>
    <w:rsid w:val="00CA4A6F"/>
    <w:rsid w:val="00CA4B80"/>
    <w:rsid w:val="00CA4B92"/>
    <w:rsid w:val="00CA4B9D"/>
    <w:rsid w:val="00CA4BFE"/>
    <w:rsid w:val="00CA4C3A"/>
    <w:rsid w:val="00CA4C95"/>
    <w:rsid w:val="00CA4CFE"/>
    <w:rsid w:val="00CA4D86"/>
    <w:rsid w:val="00CA4D91"/>
    <w:rsid w:val="00CA4DB1"/>
    <w:rsid w:val="00CA4DFC"/>
    <w:rsid w:val="00CA4E56"/>
    <w:rsid w:val="00CA4E5B"/>
    <w:rsid w:val="00CA4F4E"/>
    <w:rsid w:val="00CA4FBF"/>
    <w:rsid w:val="00CA4FC0"/>
    <w:rsid w:val="00CA505E"/>
    <w:rsid w:val="00CA509F"/>
    <w:rsid w:val="00CA50A1"/>
    <w:rsid w:val="00CA50A4"/>
    <w:rsid w:val="00CA50A8"/>
    <w:rsid w:val="00CA50B2"/>
    <w:rsid w:val="00CA5120"/>
    <w:rsid w:val="00CA5176"/>
    <w:rsid w:val="00CA5232"/>
    <w:rsid w:val="00CA5249"/>
    <w:rsid w:val="00CA52B9"/>
    <w:rsid w:val="00CA52CB"/>
    <w:rsid w:val="00CA5302"/>
    <w:rsid w:val="00CA5315"/>
    <w:rsid w:val="00CA5392"/>
    <w:rsid w:val="00CA53A0"/>
    <w:rsid w:val="00CA53D6"/>
    <w:rsid w:val="00CA53E0"/>
    <w:rsid w:val="00CA53F3"/>
    <w:rsid w:val="00CA548F"/>
    <w:rsid w:val="00CA54D6"/>
    <w:rsid w:val="00CA54E0"/>
    <w:rsid w:val="00CA5520"/>
    <w:rsid w:val="00CA55A3"/>
    <w:rsid w:val="00CA55B6"/>
    <w:rsid w:val="00CA566D"/>
    <w:rsid w:val="00CA5724"/>
    <w:rsid w:val="00CA5737"/>
    <w:rsid w:val="00CA57D5"/>
    <w:rsid w:val="00CA5811"/>
    <w:rsid w:val="00CA5833"/>
    <w:rsid w:val="00CA58C2"/>
    <w:rsid w:val="00CA5922"/>
    <w:rsid w:val="00CA5A2A"/>
    <w:rsid w:val="00CA5A48"/>
    <w:rsid w:val="00CA5A51"/>
    <w:rsid w:val="00CA5A58"/>
    <w:rsid w:val="00CA5ABA"/>
    <w:rsid w:val="00CA5ADF"/>
    <w:rsid w:val="00CA5B01"/>
    <w:rsid w:val="00CA5B13"/>
    <w:rsid w:val="00CA5B5F"/>
    <w:rsid w:val="00CA5BA8"/>
    <w:rsid w:val="00CA5BFB"/>
    <w:rsid w:val="00CA5CF7"/>
    <w:rsid w:val="00CA5D01"/>
    <w:rsid w:val="00CA5D63"/>
    <w:rsid w:val="00CA5DBE"/>
    <w:rsid w:val="00CA5DDA"/>
    <w:rsid w:val="00CA5DF6"/>
    <w:rsid w:val="00CA5E6E"/>
    <w:rsid w:val="00CA5F4F"/>
    <w:rsid w:val="00CA6143"/>
    <w:rsid w:val="00CA622E"/>
    <w:rsid w:val="00CA6235"/>
    <w:rsid w:val="00CA637E"/>
    <w:rsid w:val="00CA6423"/>
    <w:rsid w:val="00CA647E"/>
    <w:rsid w:val="00CA64A2"/>
    <w:rsid w:val="00CA64E1"/>
    <w:rsid w:val="00CA6585"/>
    <w:rsid w:val="00CA658B"/>
    <w:rsid w:val="00CA6595"/>
    <w:rsid w:val="00CA65C6"/>
    <w:rsid w:val="00CA66D9"/>
    <w:rsid w:val="00CA66EB"/>
    <w:rsid w:val="00CA6844"/>
    <w:rsid w:val="00CA6881"/>
    <w:rsid w:val="00CA68DC"/>
    <w:rsid w:val="00CA68F7"/>
    <w:rsid w:val="00CA696F"/>
    <w:rsid w:val="00CA69BB"/>
    <w:rsid w:val="00CA6A2C"/>
    <w:rsid w:val="00CA6A6D"/>
    <w:rsid w:val="00CA6A89"/>
    <w:rsid w:val="00CA6ABC"/>
    <w:rsid w:val="00CA6B2E"/>
    <w:rsid w:val="00CA6BAF"/>
    <w:rsid w:val="00CA6BB7"/>
    <w:rsid w:val="00CA6C55"/>
    <w:rsid w:val="00CA6C90"/>
    <w:rsid w:val="00CA6D0E"/>
    <w:rsid w:val="00CA6D5D"/>
    <w:rsid w:val="00CA6E19"/>
    <w:rsid w:val="00CA6E36"/>
    <w:rsid w:val="00CA6E79"/>
    <w:rsid w:val="00CA6EA1"/>
    <w:rsid w:val="00CA6EED"/>
    <w:rsid w:val="00CA6F41"/>
    <w:rsid w:val="00CA6F51"/>
    <w:rsid w:val="00CA6F84"/>
    <w:rsid w:val="00CA6F9C"/>
    <w:rsid w:val="00CA6FDC"/>
    <w:rsid w:val="00CA7007"/>
    <w:rsid w:val="00CA7118"/>
    <w:rsid w:val="00CA716D"/>
    <w:rsid w:val="00CA717D"/>
    <w:rsid w:val="00CA71AE"/>
    <w:rsid w:val="00CA71F0"/>
    <w:rsid w:val="00CA71FD"/>
    <w:rsid w:val="00CA7265"/>
    <w:rsid w:val="00CA72B3"/>
    <w:rsid w:val="00CA7374"/>
    <w:rsid w:val="00CA741D"/>
    <w:rsid w:val="00CA74B9"/>
    <w:rsid w:val="00CA75BF"/>
    <w:rsid w:val="00CA767A"/>
    <w:rsid w:val="00CA77B2"/>
    <w:rsid w:val="00CA78E2"/>
    <w:rsid w:val="00CA78FC"/>
    <w:rsid w:val="00CA78FE"/>
    <w:rsid w:val="00CA7A29"/>
    <w:rsid w:val="00CA7AD6"/>
    <w:rsid w:val="00CA7B83"/>
    <w:rsid w:val="00CA7BB7"/>
    <w:rsid w:val="00CA7BF3"/>
    <w:rsid w:val="00CA7C22"/>
    <w:rsid w:val="00CA7C58"/>
    <w:rsid w:val="00CA7CA9"/>
    <w:rsid w:val="00CA7CCA"/>
    <w:rsid w:val="00CA7D59"/>
    <w:rsid w:val="00CA7D73"/>
    <w:rsid w:val="00CA7DB9"/>
    <w:rsid w:val="00CA7E42"/>
    <w:rsid w:val="00CA7E4A"/>
    <w:rsid w:val="00CA7EFB"/>
    <w:rsid w:val="00CA7F11"/>
    <w:rsid w:val="00CA7F14"/>
    <w:rsid w:val="00CA7FC9"/>
    <w:rsid w:val="00CA7FE4"/>
    <w:rsid w:val="00CB0026"/>
    <w:rsid w:val="00CB004A"/>
    <w:rsid w:val="00CB00BC"/>
    <w:rsid w:val="00CB01DB"/>
    <w:rsid w:val="00CB0219"/>
    <w:rsid w:val="00CB0249"/>
    <w:rsid w:val="00CB025F"/>
    <w:rsid w:val="00CB0278"/>
    <w:rsid w:val="00CB02AD"/>
    <w:rsid w:val="00CB02D7"/>
    <w:rsid w:val="00CB03DC"/>
    <w:rsid w:val="00CB03FF"/>
    <w:rsid w:val="00CB0437"/>
    <w:rsid w:val="00CB04BD"/>
    <w:rsid w:val="00CB04E5"/>
    <w:rsid w:val="00CB0556"/>
    <w:rsid w:val="00CB05D0"/>
    <w:rsid w:val="00CB064C"/>
    <w:rsid w:val="00CB065C"/>
    <w:rsid w:val="00CB06A8"/>
    <w:rsid w:val="00CB06E3"/>
    <w:rsid w:val="00CB0716"/>
    <w:rsid w:val="00CB0859"/>
    <w:rsid w:val="00CB0892"/>
    <w:rsid w:val="00CB08AF"/>
    <w:rsid w:val="00CB08BF"/>
    <w:rsid w:val="00CB08EC"/>
    <w:rsid w:val="00CB0951"/>
    <w:rsid w:val="00CB0A07"/>
    <w:rsid w:val="00CB0A7C"/>
    <w:rsid w:val="00CB0AF0"/>
    <w:rsid w:val="00CB0AF1"/>
    <w:rsid w:val="00CB0B00"/>
    <w:rsid w:val="00CB0B6E"/>
    <w:rsid w:val="00CB0B77"/>
    <w:rsid w:val="00CB0BBE"/>
    <w:rsid w:val="00CB0BCF"/>
    <w:rsid w:val="00CB0C84"/>
    <w:rsid w:val="00CB0CC7"/>
    <w:rsid w:val="00CB0CE5"/>
    <w:rsid w:val="00CB0CF5"/>
    <w:rsid w:val="00CB0D31"/>
    <w:rsid w:val="00CB0D7F"/>
    <w:rsid w:val="00CB0DB8"/>
    <w:rsid w:val="00CB0EA3"/>
    <w:rsid w:val="00CB0ECA"/>
    <w:rsid w:val="00CB0EE5"/>
    <w:rsid w:val="00CB0EE8"/>
    <w:rsid w:val="00CB0EF0"/>
    <w:rsid w:val="00CB0F32"/>
    <w:rsid w:val="00CB0F53"/>
    <w:rsid w:val="00CB0F84"/>
    <w:rsid w:val="00CB110C"/>
    <w:rsid w:val="00CB11AB"/>
    <w:rsid w:val="00CB1276"/>
    <w:rsid w:val="00CB12E2"/>
    <w:rsid w:val="00CB1347"/>
    <w:rsid w:val="00CB136F"/>
    <w:rsid w:val="00CB1384"/>
    <w:rsid w:val="00CB1396"/>
    <w:rsid w:val="00CB13EE"/>
    <w:rsid w:val="00CB1499"/>
    <w:rsid w:val="00CB14D1"/>
    <w:rsid w:val="00CB14FF"/>
    <w:rsid w:val="00CB1501"/>
    <w:rsid w:val="00CB15CA"/>
    <w:rsid w:val="00CB15DA"/>
    <w:rsid w:val="00CB1660"/>
    <w:rsid w:val="00CB1665"/>
    <w:rsid w:val="00CB16A4"/>
    <w:rsid w:val="00CB16B7"/>
    <w:rsid w:val="00CB16E1"/>
    <w:rsid w:val="00CB16E5"/>
    <w:rsid w:val="00CB16FC"/>
    <w:rsid w:val="00CB1724"/>
    <w:rsid w:val="00CB172F"/>
    <w:rsid w:val="00CB1733"/>
    <w:rsid w:val="00CB1743"/>
    <w:rsid w:val="00CB1751"/>
    <w:rsid w:val="00CB1792"/>
    <w:rsid w:val="00CB17B1"/>
    <w:rsid w:val="00CB17D5"/>
    <w:rsid w:val="00CB17EA"/>
    <w:rsid w:val="00CB185D"/>
    <w:rsid w:val="00CB18C9"/>
    <w:rsid w:val="00CB1914"/>
    <w:rsid w:val="00CB1960"/>
    <w:rsid w:val="00CB1968"/>
    <w:rsid w:val="00CB197A"/>
    <w:rsid w:val="00CB1988"/>
    <w:rsid w:val="00CB19B5"/>
    <w:rsid w:val="00CB19BE"/>
    <w:rsid w:val="00CB19E4"/>
    <w:rsid w:val="00CB19FD"/>
    <w:rsid w:val="00CB1A10"/>
    <w:rsid w:val="00CB1A31"/>
    <w:rsid w:val="00CB1A34"/>
    <w:rsid w:val="00CB1A4E"/>
    <w:rsid w:val="00CB1A95"/>
    <w:rsid w:val="00CB1A9F"/>
    <w:rsid w:val="00CB1AE5"/>
    <w:rsid w:val="00CB1B66"/>
    <w:rsid w:val="00CB1B82"/>
    <w:rsid w:val="00CB1BDB"/>
    <w:rsid w:val="00CB1C14"/>
    <w:rsid w:val="00CB1C67"/>
    <w:rsid w:val="00CB1C82"/>
    <w:rsid w:val="00CB1C83"/>
    <w:rsid w:val="00CB1CA4"/>
    <w:rsid w:val="00CB1CDC"/>
    <w:rsid w:val="00CB1D18"/>
    <w:rsid w:val="00CB1D36"/>
    <w:rsid w:val="00CB1D45"/>
    <w:rsid w:val="00CB1D54"/>
    <w:rsid w:val="00CB1DF6"/>
    <w:rsid w:val="00CB1E55"/>
    <w:rsid w:val="00CB1EEE"/>
    <w:rsid w:val="00CB1F66"/>
    <w:rsid w:val="00CB1FF2"/>
    <w:rsid w:val="00CB204D"/>
    <w:rsid w:val="00CB205C"/>
    <w:rsid w:val="00CB20B3"/>
    <w:rsid w:val="00CB20E2"/>
    <w:rsid w:val="00CB20EF"/>
    <w:rsid w:val="00CB210B"/>
    <w:rsid w:val="00CB2125"/>
    <w:rsid w:val="00CB212A"/>
    <w:rsid w:val="00CB218C"/>
    <w:rsid w:val="00CB233F"/>
    <w:rsid w:val="00CB2348"/>
    <w:rsid w:val="00CB236D"/>
    <w:rsid w:val="00CB236F"/>
    <w:rsid w:val="00CB2386"/>
    <w:rsid w:val="00CB23B5"/>
    <w:rsid w:val="00CB23E9"/>
    <w:rsid w:val="00CB23F7"/>
    <w:rsid w:val="00CB2448"/>
    <w:rsid w:val="00CB2475"/>
    <w:rsid w:val="00CB24A2"/>
    <w:rsid w:val="00CB24EB"/>
    <w:rsid w:val="00CB2586"/>
    <w:rsid w:val="00CB26C2"/>
    <w:rsid w:val="00CB2739"/>
    <w:rsid w:val="00CB2753"/>
    <w:rsid w:val="00CB275E"/>
    <w:rsid w:val="00CB2765"/>
    <w:rsid w:val="00CB27B3"/>
    <w:rsid w:val="00CB2821"/>
    <w:rsid w:val="00CB2881"/>
    <w:rsid w:val="00CB28A4"/>
    <w:rsid w:val="00CB28AC"/>
    <w:rsid w:val="00CB28FD"/>
    <w:rsid w:val="00CB2916"/>
    <w:rsid w:val="00CB291B"/>
    <w:rsid w:val="00CB2928"/>
    <w:rsid w:val="00CB292E"/>
    <w:rsid w:val="00CB2974"/>
    <w:rsid w:val="00CB2B59"/>
    <w:rsid w:val="00CB2BE0"/>
    <w:rsid w:val="00CB2BF6"/>
    <w:rsid w:val="00CB2C03"/>
    <w:rsid w:val="00CB2CA1"/>
    <w:rsid w:val="00CB2CAE"/>
    <w:rsid w:val="00CB2D35"/>
    <w:rsid w:val="00CB2DAB"/>
    <w:rsid w:val="00CB2DAE"/>
    <w:rsid w:val="00CB2DB5"/>
    <w:rsid w:val="00CB2DE5"/>
    <w:rsid w:val="00CB2E0D"/>
    <w:rsid w:val="00CB2E13"/>
    <w:rsid w:val="00CB2E25"/>
    <w:rsid w:val="00CB2E57"/>
    <w:rsid w:val="00CB2E6C"/>
    <w:rsid w:val="00CB2EF7"/>
    <w:rsid w:val="00CB2F1F"/>
    <w:rsid w:val="00CB2F71"/>
    <w:rsid w:val="00CB2F89"/>
    <w:rsid w:val="00CB2F98"/>
    <w:rsid w:val="00CB2F9C"/>
    <w:rsid w:val="00CB2FAB"/>
    <w:rsid w:val="00CB2FBD"/>
    <w:rsid w:val="00CB3011"/>
    <w:rsid w:val="00CB302F"/>
    <w:rsid w:val="00CB30B5"/>
    <w:rsid w:val="00CB3207"/>
    <w:rsid w:val="00CB332A"/>
    <w:rsid w:val="00CB3387"/>
    <w:rsid w:val="00CB338A"/>
    <w:rsid w:val="00CB33A6"/>
    <w:rsid w:val="00CB3425"/>
    <w:rsid w:val="00CB348A"/>
    <w:rsid w:val="00CB34AC"/>
    <w:rsid w:val="00CB34D1"/>
    <w:rsid w:val="00CB36AC"/>
    <w:rsid w:val="00CB36C1"/>
    <w:rsid w:val="00CB36D6"/>
    <w:rsid w:val="00CB376C"/>
    <w:rsid w:val="00CB377A"/>
    <w:rsid w:val="00CB378B"/>
    <w:rsid w:val="00CB3799"/>
    <w:rsid w:val="00CB37C5"/>
    <w:rsid w:val="00CB3940"/>
    <w:rsid w:val="00CB39B3"/>
    <w:rsid w:val="00CB39E3"/>
    <w:rsid w:val="00CB3B0F"/>
    <w:rsid w:val="00CB3BA6"/>
    <w:rsid w:val="00CB3BD0"/>
    <w:rsid w:val="00CB3D6E"/>
    <w:rsid w:val="00CB3DB0"/>
    <w:rsid w:val="00CB3E44"/>
    <w:rsid w:val="00CB3E67"/>
    <w:rsid w:val="00CB3EBF"/>
    <w:rsid w:val="00CB3ED6"/>
    <w:rsid w:val="00CB4164"/>
    <w:rsid w:val="00CB41DE"/>
    <w:rsid w:val="00CB42F7"/>
    <w:rsid w:val="00CB435E"/>
    <w:rsid w:val="00CB43D3"/>
    <w:rsid w:val="00CB4409"/>
    <w:rsid w:val="00CB45F6"/>
    <w:rsid w:val="00CB4633"/>
    <w:rsid w:val="00CB4697"/>
    <w:rsid w:val="00CB472D"/>
    <w:rsid w:val="00CB4824"/>
    <w:rsid w:val="00CB4837"/>
    <w:rsid w:val="00CB4886"/>
    <w:rsid w:val="00CB48BC"/>
    <w:rsid w:val="00CB48D0"/>
    <w:rsid w:val="00CB4918"/>
    <w:rsid w:val="00CB4931"/>
    <w:rsid w:val="00CB4948"/>
    <w:rsid w:val="00CB49FE"/>
    <w:rsid w:val="00CB4B73"/>
    <w:rsid w:val="00CB4BF3"/>
    <w:rsid w:val="00CB4C3A"/>
    <w:rsid w:val="00CB4CA1"/>
    <w:rsid w:val="00CB4D4F"/>
    <w:rsid w:val="00CB4D52"/>
    <w:rsid w:val="00CB4D57"/>
    <w:rsid w:val="00CB4DA7"/>
    <w:rsid w:val="00CB4E83"/>
    <w:rsid w:val="00CB4EB0"/>
    <w:rsid w:val="00CB4F1E"/>
    <w:rsid w:val="00CB4F92"/>
    <w:rsid w:val="00CB5011"/>
    <w:rsid w:val="00CB5059"/>
    <w:rsid w:val="00CB5094"/>
    <w:rsid w:val="00CB5188"/>
    <w:rsid w:val="00CB5333"/>
    <w:rsid w:val="00CB5370"/>
    <w:rsid w:val="00CB538D"/>
    <w:rsid w:val="00CB53C1"/>
    <w:rsid w:val="00CB53D4"/>
    <w:rsid w:val="00CB547E"/>
    <w:rsid w:val="00CB5507"/>
    <w:rsid w:val="00CB551A"/>
    <w:rsid w:val="00CB554F"/>
    <w:rsid w:val="00CB555A"/>
    <w:rsid w:val="00CB55AC"/>
    <w:rsid w:val="00CB55CA"/>
    <w:rsid w:val="00CB55E9"/>
    <w:rsid w:val="00CB5635"/>
    <w:rsid w:val="00CB5651"/>
    <w:rsid w:val="00CB566A"/>
    <w:rsid w:val="00CB57C7"/>
    <w:rsid w:val="00CB57DD"/>
    <w:rsid w:val="00CB581F"/>
    <w:rsid w:val="00CB5921"/>
    <w:rsid w:val="00CB592F"/>
    <w:rsid w:val="00CB59D1"/>
    <w:rsid w:val="00CB5AD1"/>
    <w:rsid w:val="00CB5B8D"/>
    <w:rsid w:val="00CB5C5C"/>
    <w:rsid w:val="00CB5C5E"/>
    <w:rsid w:val="00CB5CEF"/>
    <w:rsid w:val="00CB5D9A"/>
    <w:rsid w:val="00CB5DB0"/>
    <w:rsid w:val="00CB5DC5"/>
    <w:rsid w:val="00CB5E0B"/>
    <w:rsid w:val="00CB5E27"/>
    <w:rsid w:val="00CB5F2C"/>
    <w:rsid w:val="00CB5FC0"/>
    <w:rsid w:val="00CB5FEF"/>
    <w:rsid w:val="00CB60AB"/>
    <w:rsid w:val="00CB60FA"/>
    <w:rsid w:val="00CB6136"/>
    <w:rsid w:val="00CB6173"/>
    <w:rsid w:val="00CB6185"/>
    <w:rsid w:val="00CB618E"/>
    <w:rsid w:val="00CB619F"/>
    <w:rsid w:val="00CB6221"/>
    <w:rsid w:val="00CB623E"/>
    <w:rsid w:val="00CB6362"/>
    <w:rsid w:val="00CB6423"/>
    <w:rsid w:val="00CB6481"/>
    <w:rsid w:val="00CB6516"/>
    <w:rsid w:val="00CB65DC"/>
    <w:rsid w:val="00CB65E1"/>
    <w:rsid w:val="00CB6638"/>
    <w:rsid w:val="00CB6644"/>
    <w:rsid w:val="00CB6690"/>
    <w:rsid w:val="00CB66E0"/>
    <w:rsid w:val="00CB6741"/>
    <w:rsid w:val="00CB679D"/>
    <w:rsid w:val="00CB6841"/>
    <w:rsid w:val="00CB687C"/>
    <w:rsid w:val="00CB68BE"/>
    <w:rsid w:val="00CB68C2"/>
    <w:rsid w:val="00CB694A"/>
    <w:rsid w:val="00CB6970"/>
    <w:rsid w:val="00CB6AAF"/>
    <w:rsid w:val="00CB6B19"/>
    <w:rsid w:val="00CB6B32"/>
    <w:rsid w:val="00CB6BB1"/>
    <w:rsid w:val="00CB6BBF"/>
    <w:rsid w:val="00CB6BFD"/>
    <w:rsid w:val="00CB6C93"/>
    <w:rsid w:val="00CB6CA9"/>
    <w:rsid w:val="00CB6CFF"/>
    <w:rsid w:val="00CB6D16"/>
    <w:rsid w:val="00CB6D99"/>
    <w:rsid w:val="00CB6DCE"/>
    <w:rsid w:val="00CB6ECE"/>
    <w:rsid w:val="00CB702E"/>
    <w:rsid w:val="00CB702F"/>
    <w:rsid w:val="00CB705B"/>
    <w:rsid w:val="00CB7065"/>
    <w:rsid w:val="00CB7066"/>
    <w:rsid w:val="00CB706E"/>
    <w:rsid w:val="00CB70B1"/>
    <w:rsid w:val="00CB70D6"/>
    <w:rsid w:val="00CB70DD"/>
    <w:rsid w:val="00CB7283"/>
    <w:rsid w:val="00CB728B"/>
    <w:rsid w:val="00CB72FF"/>
    <w:rsid w:val="00CB7306"/>
    <w:rsid w:val="00CB731C"/>
    <w:rsid w:val="00CB7332"/>
    <w:rsid w:val="00CB7339"/>
    <w:rsid w:val="00CB7355"/>
    <w:rsid w:val="00CB7370"/>
    <w:rsid w:val="00CB73B2"/>
    <w:rsid w:val="00CB73C8"/>
    <w:rsid w:val="00CB73DF"/>
    <w:rsid w:val="00CB741F"/>
    <w:rsid w:val="00CB74BE"/>
    <w:rsid w:val="00CB752F"/>
    <w:rsid w:val="00CB753C"/>
    <w:rsid w:val="00CB753E"/>
    <w:rsid w:val="00CB754E"/>
    <w:rsid w:val="00CB75A1"/>
    <w:rsid w:val="00CB75F6"/>
    <w:rsid w:val="00CB76AE"/>
    <w:rsid w:val="00CB76D9"/>
    <w:rsid w:val="00CB7743"/>
    <w:rsid w:val="00CB77A7"/>
    <w:rsid w:val="00CB77AC"/>
    <w:rsid w:val="00CB7904"/>
    <w:rsid w:val="00CB79AF"/>
    <w:rsid w:val="00CB79CE"/>
    <w:rsid w:val="00CB7A23"/>
    <w:rsid w:val="00CB7A5F"/>
    <w:rsid w:val="00CB7B3D"/>
    <w:rsid w:val="00CB7B43"/>
    <w:rsid w:val="00CB7B4F"/>
    <w:rsid w:val="00CB7BC2"/>
    <w:rsid w:val="00CB7C25"/>
    <w:rsid w:val="00CB7D06"/>
    <w:rsid w:val="00CB7D12"/>
    <w:rsid w:val="00CB7D53"/>
    <w:rsid w:val="00CB7D94"/>
    <w:rsid w:val="00CB7DE0"/>
    <w:rsid w:val="00CB7E05"/>
    <w:rsid w:val="00CB7EE5"/>
    <w:rsid w:val="00CB7F18"/>
    <w:rsid w:val="00CC0004"/>
    <w:rsid w:val="00CC0043"/>
    <w:rsid w:val="00CC0251"/>
    <w:rsid w:val="00CC0254"/>
    <w:rsid w:val="00CC02AB"/>
    <w:rsid w:val="00CC02E4"/>
    <w:rsid w:val="00CC034D"/>
    <w:rsid w:val="00CC034E"/>
    <w:rsid w:val="00CC0416"/>
    <w:rsid w:val="00CC045D"/>
    <w:rsid w:val="00CC0465"/>
    <w:rsid w:val="00CC0507"/>
    <w:rsid w:val="00CC051E"/>
    <w:rsid w:val="00CC0521"/>
    <w:rsid w:val="00CC0527"/>
    <w:rsid w:val="00CC053E"/>
    <w:rsid w:val="00CC058B"/>
    <w:rsid w:val="00CC05F7"/>
    <w:rsid w:val="00CC0640"/>
    <w:rsid w:val="00CC0686"/>
    <w:rsid w:val="00CC0733"/>
    <w:rsid w:val="00CC0893"/>
    <w:rsid w:val="00CC0935"/>
    <w:rsid w:val="00CC095D"/>
    <w:rsid w:val="00CC0997"/>
    <w:rsid w:val="00CC0A42"/>
    <w:rsid w:val="00CC0A43"/>
    <w:rsid w:val="00CC0A5E"/>
    <w:rsid w:val="00CC0B26"/>
    <w:rsid w:val="00CC0B62"/>
    <w:rsid w:val="00CC0B73"/>
    <w:rsid w:val="00CC0BF4"/>
    <w:rsid w:val="00CC0C03"/>
    <w:rsid w:val="00CC0C8C"/>
    <w:rsid w:val="00CC0DF7"/>
    <w:rsid w:val="00CC0E83"/>
    <w:rsid w:val="00CC0E97"/>
    <w:rsid w:val="00CC0EC0"/>
    <w:rsid w:val="00CC0EFA"/>
    <w:rsid w:val="00CC0F25"/>
    <w:rsid w:val="00CC0F6E"/>
    <w:rsid w:val="00CC1031"/>
    <w:rsid w:val="00CC103E"/>
    <w:rsid w:val="00CC106F"/>
    <w:rsid w:val="00CC1105"/>
    <w:rsid w:val="00CC1154"/>
    <w:rsid w:val="00CC116A"/>
    <w:rsid w:val="00CC1189"/>
    <w:rsid w:val="00CC12CA"/>
    <w:rsid w:val="00CC1328"/>
    <w:rsid w:val="00CC1391"/>
    <w:rsid w:val="00CC1402"/>
    <w:rsid w:val="00CC142D"/>
    <w:rsid w:val="00CC14B1"/>
    <w:rsid w:val="00CC1529"/>
    <w:rsid w:val="00CC1536"/>
    <w:rsid w:val="00CC1562"/>
    <w:rsid w:val="00CC156B"/>
    <w:rsid w:val="00CC157D"/>
    <w:rsid w:val="00CC15E1"/>
    <w:rsid w:val="00CC15ED"/>
    <w:rsid w:val="00CC16B8"/>
    <w:rsid w:val="00CC173C"/>
    <w:rsid w:val="00CC1756"/>
    <w:rsid w:val="00CC17B7"/>
    <w:rsid w:val="00CC180A"/>
    <w:rsid w:val="00CC18F5"/>
    <w:rsid w:val="00CC1A03"/>
    <w:rsid w:val="00CC1A37"/>
    <w:rsid w:val="00CC1AAA"/>
    <w:rsid w:val="00CC1B4D"/>
    <w:rsid w:val="00CC1BE7"/>
    <w:rsid w:val="00CC1CAF"/>
    <w:rsid w:val="00CC1CBF"/>
    <w:rsid w:val="00CC1D1E"/>
    <w:rsid w:val="00CC1D3B"/>
    <w:rsid w:val="00CC1D56"/>
    <w:rsid w:val="00CC1D6E"/>
    <w:rsid w:val="00CC1D9C"/>
    <w:rsid w:val="00CC1DEC"/>
    <w:rsid w:val="00CC1E2F"/>
    <w:rsid w:val="00CC1E46"/>
    <w:rsid w:val="00CC1E5F"/>
    <w:rsid w:val="00CC2060"/>
    <w:rsid w:val="00CC208B"/>
    <w:rsid w:val="00CC210F"/>
    <w:rsid w:val="00CC2145"/>
    <w:rsid w:val="00CC2183"/>
    <w:rsid w:val="00CC2198"/>
    <w:rsid w:val="00CC221D"/>
    <w:rsid w:val="00CC223A"/>
    <w:rsid w:val="00CC2252"/>
    <w:rsid w:val="00CC2260"/>
    <w:rsid w:val="00CC22D2"/>
    <w:rsid w:val="00CC2331"/>
    <w:rsid w:val="00CC233A"/>
    <w:rsid w:val="00CC233B"/>
    <w:rsid w:val="00CC237D"/>
    <w:rsid w:val="00CC2496"/>
    <w:rsid w:val="00CC24D5"/>
    <w:rsid w:val="00CC2522"/>
    <w:rsid w:val="00CC25BA"/>
    <w:rsid w:val="00CC25F1"/>
    <w:rsid w:val="00CC264A"/>
    <w:rsid w:val="00CC270D"/>
    <w:rsid w:val="00CC2725"/>
    <w:rsid w:val="00CC276E"/>
    <w:rsid w:val="00CC2812"/>
    <w:rsid w:val="00CC2884"/>
    <w:rsid w:val="00CC2909"/>
    <w:rsid w:val="00CC2943"/>
    <w:rsid w:val="00CC294F"/>
    <w:rsid w:val="00CC2997"/>
    <w:rsid w:val="00CC299F"/>
    <w:rsid w:val="00CC2A27"/>
    <w:rsid w:val="00CC2A93"/>
    <w:rsid w:val="00CC2B08"/>
    <w:rsid w:val="00CC2B1A"/>
    <w:rsid w:val="00CC2B28"/>
    <w:rsid w:val="00CC2B35"/>
    <w:rsid w:val="00CC2B36"/>
    <w:rsid w:val="00CC2BB5"/>
    <w:rsid w:val="00CC2BF7"/>
    <w:rsid w:val="00CC2C22"/>
    <w:rsid w:val="00CC2C4C"/>
    <w:rsid w:val="00CC2D58"/>
    <w:rsid w:val="00CC2D86"/>
    <w:rsid w:val="00CC2DBB"/>
    <w:rsid w:val="00CC2E4C"/>
    <w:rsid w:val="00CC2F4B"/>
    <w:rsid w:val="00CC2F6C"/>
    <w:rsid w:val="00CC2F94"/>
    <w:rsid w:val="00CC3011"/>
    <w:rsid w:val="00CC3115"/>
    <w:rsid w:val="00CC3146"/>
    <w:rsid w:val="00CC314B"/>
    <w:rsid w:val="00CC318E"/>
    <w:rsid w:val="00CC3270"/>
    <w:rsid w:val="00CC3364"/>
    <w:rsid w:val="00CC3390"/>
    <w:rsid w:val="00CC3395"/>
    <w:rsid w:val="00CC33A6"/>
    <w:rsid w:val="00CC3466"/>
    <w:rsid w:val="00CC3479"/>
    <w:rsid w:val="00CC3491"/>
    <w:rsid w:val="00CC34CE"/>
    <w:rsid w:val="00CC34D2"/>
    <w:rsid w:val="00CC3504"/>
    <w:rsid w:val="00CC3513"/>
    <w:rsid w:val="00CC355A"/>
    <w:rsid w:val="00CC3578"/>
    <w:rsid w:val="00CC357B"/>
    <w:rsid w:val="00CC3618"/>
    <w:rsid w:val="00CC3625"/>
    <w:rsid w:val="00CC3629"/>
    <w:rsid w:val="00CC369E"/>
    <w:rsid w:val="00CC3861"/>
    <w:rsid w:val="00CC392B"/>
    <w:rsid w:val="00CC3933"/>
    <w:rsid w:val="00CC39C0"/>
    <w:rsid w:val="00CC3A50"/>
    <w:rsid w:val="00CC3B1A"/>
    <w:rsid w:val="00CC3B41"/>
    <w:rsid w:val="00CC3B52"/>
    <w:rsid w:val="00CC3B7A"/>
    <w:rsid w:val="00CC3C2C"/>
    <w:rsid w:val="00CC3C57"/>
    <w:rsid w:val="00CC3C71"/>
    <w:rsid w:val="00CC3C7C"/>
    <w:rsid w:val="00CC3C92"/>
    <w:rsid w:val="00CC3CC2"/>
    <w:rsid w:val="00CC3DBB"/>
    <w:rsid w:val="00CC3EBD"/>
    <w:rsid w:val="00CC3EE0"/>
    <w:rsid w:val="00CC3F42"/>
    <w:rsid w:val="00CC3F4F"/>
    <w:rsid w:val="00CC3F5F"/>
    <w:rsid w:val="00CC3F7C"/>
    <w:rsid w:val="00CC3FA6"/>
    <w:rsid w:val="00CC3FE0"/>
    <w:rsid w:val="00CC3FEE"/>
    <w:rsid w:val="00CC4046"/>
    <w:rsid w:val="00CC412B"/>
    <w:rsid w:val="00CC41D1"/>
    <w:rsid w:val="00CC41E8"/>
    <w:rsid w:val="00CC4217"/>
    <w:rsid w:val="00CC42A7"/>
    <w:rsid w:val="00CC434F"/>
    <w:rsid w:val="00CC435E"/>
    <w:rsid w:val="00CC440B"/>
    <w:rsid w:val="00CC4423"/>
    <w:rsid w:val="00CC445B"/>
    <w:rsid w:val="00CC4465"/>
    <w:rsid w:val="00CC450C"/>
    <w:rsid w:val="00CC4596"/>
    <w:rsid w:val="00CC45D6"/>
    <w:rsid w:val="00CC45F4"/>
    <w:rsid w:val="00CC4657"/>
    <w:rsid w:val="00CC471E"/>
    <w:rsid w:val="00CC474C"/>
    <w:rsid w:val="00CC497D"/>
    <w:rsid w:val="00CC4982"/>
    <w:rsid w:val="00CC49F8"/>
    <w:rsid w:val="00CC4A6F"/>
    <w:rsid w:val="00CC4A7D"/>
    <w:rsid w:val="00CC4AA4"/>
    <w:rsid w:val="00CC4AE5"/>
    <w:rsid w:val="00CC4B99"/>
    <w:rsid w:val="00CC4BEA"/>
    <w:rsid w:val="00CC4C6B"/>
    <w:rsid w:val="00CC4CAE"/>
    <w:rsid w:val="00CC4D06"/>
    <w:rsid w:val="00CC4D07"/>
    <w:rsid w:val="00CC4D25"/>
    <w:rsid w:val="00CC4D84"/>
    <w:rsid w:val="00CC4DC9"/>
    <w:rsid w:val="00CC4E43"/>
    <w:rsid w:val="00CC4EAF"/>
    <w:rsid w:val="00CC4F7D"/>
    <w:rsid w:val="00CC4FBA"/>
    <w:rsid w:val="00CC504F"/>
    <w:rsid w:val="00CC505B"/>
    <w:rsid w:val="00CC50B8"/>
    <w:rsid w:val="00CC5117"/>
    <w:rsid w:val="00CC5183"/>
    <w:rsid w:val="00CC51AE"/>
    <w:rsid w:val="00CC5271"/>
    <w:rsid w:val="00CC52E3"/>
    <w:rsid w:val="00CC52F3"/>
    <w:rsid w:val="00CC5315"/>
    <w:rsid w:val="00CC5381"/>
    <w:rsid w:val="00CC541A"/>
    <w:rsid w:val="00CC54DB"/>
    <w:rsid w:val="00CC54E5"/>
    <w:rsid w:val="00CC5533"/>
    <w:rsid w:val="00CC5555"/>
    <w:rsid w:val="00CC56A0"/>
    <w:rsid w:val="00CC5750"/>
    <w:rsid w:val="00CC5773"/>
    <w:rsid w:val="00CC57C7"/>
    <w:rsid w:val="00CC57D3"/>
    <w:rsid w:val="00CC582A"/>
    <w:rsid w:val="00CC5861"/>
    <w:rsid w:val="00CC588B"/>
    <w:rsid w:val="00CC5918"/>
    <w:rsid w:val="00CC5966"/>
    <w:rsid w:val="00CC59BC"/>
    <w:rsid w:val="00CC5A19"/>
    <w:rsid w:val="00CC5A31"/>
    <w:rsid w:val="00CC5A52"/>
    <w:rsid w:val="00CC5AD1"/>
    <w:rsid w:val="00CC5ADB"/>
    <w:rsid w:val="00CC5BB6"/>
    <w:rsid w:val="00CC5BB9"/>
    <w:rsid w:val="00CC5C3B"/>
    <w:rsid w:val="00CC5C71"/>
    <w:rsid w:val="00CC5D1B"/>
    <w:rsid w:val="00CC5D92"/>
    <w:rsid w:val="00CC5D9A"/>
    <w:rsid w:val="00CC5DB2"/>
    <w:rsid w:val="00CC5DCE"/>
    <w:rsid w:val="00CC5DE2"/>
    <w:rsid w:val="00CC5E6F"/>
    <w:rsid w:val="00CC5E88"/>
    <w:rsid w:val="00CC5EBB"/>
    <w:rsid w:val="00CC5F8B"/>
    <w:rsid w:val="00CC5FEF"/>
    <w:rsid w:val="00CC6029"/>
    <w:rsid w:val="00CC609D"/>
    <w:rsid w:val="00CC617C"/>
    <w:rsid w:val="00CC61E0"/>
    <w:rsid w:val="00CC6206"/>
    <w:rsid w:val="00CC6218"/>
    <w:rsid w:val="00CC627B"/>
    <w:rsid w:val="00CC630E"/>
    <w:rsid w:val="00CC635B"/>
    <w:rsid w:val="00CC6361"/>
    <w:rsid w:val="00CC6379"/>
    <w:rsid w:val="00CC63B9"/>
    <w:rsid w:val="00CC6531"/>
    <w:rsid w:val="00CC657E"/>
    <w:rsid w:val="00CC668A"/>
    <w:rsid w:val="00CC66C7"/>
    <w:rsid w:val="00CC677C"/>
    <w:rsid w:val="00CC6886"/>
    <w:rsid w:val="00CC6A1C"/>
    <w:rsid w:val="00CC6A30"/>
    <w:rsid w:val="00CC6AC9"/>
    <w:rsid w:val="00CC6B6D"/>
    <w:rsid w:val="00CC6B7D"/>
    <w:rsid w:val="00CC6B96"/>
    <w:rsid w:val="00CC6C23"/>
    <w:rsid w:val="00CC6CD2"/>
    <w:rsid w:val="00CC6ED0"/>
    <w:rsid w:val="00CC6ED4"/>
    <w:rsid w:val="00CC6F46"/>
    <w:rsid w:val="00CC6F51"/>
    <w:rsid w:val="00CC6F52"/>
    <w:rsid w:val="00CC6F65"/>
    <w:rsid w:val="00CC6FB9"/>
    <w:rsid w:val="00CC6FC3"/>
    <w:rsid w:val="00CC70F1"/>
    <w:rsid w:val="00CC7107"/>
    <w:rsid w:val="00CC714C"/>
    <w:rsid w:val="00CC7151"/>
    <w:rsid w:val="00CC71B9"/>
    <w:rsid w:val="00CC72A0"/>
    <w:rsid w:val="00CC73B0"/>
    <w:rsid w:val="00CC7400"/>
    <w:rsid w:val="00CC748F"/>
    <w:rsid w:val="00CC7497"/>
    <w:rsid w:val="00CC74D5"/>
    <w:rsid w:val="00CC7570"/>
    <w:rsid w:val="00CC759D"/>
    <w:rsid w:val="00CC75C2"/>
    <w:rsid w:val="00CC7608"/>
    <w:rsid w:val="00CC7618"/>
    <w:rsid w:val="00CC764B"/>
    <w:rsid w:val="00CC765D"/>
    <w:rsid w:val="00CC7675"/>
    <w:rsid w:val="00CC768E"/>
    <w:rsid w:val="00CC76E4"/>
    <w:rsid w:val="00CC7762"/>
    <w:rsid w:val="00CC7766"/>
    <w:rsid w:val="00CC781C"/>
    <w:rsid w:val="00CC78DC"/>
    <w:rsid w:val="00CC798A"/>
    <w:rsid w:val="00CC79DB"/>
    <w:rsid w:val="00CC7A46"/>
    <w:rsid w:val="00CC7A4A"/>
    <w:rsid w:val="00CC7CA7"/>
    <w:rsid w:val="00CC7D76"/>
    <w:rsid w:val="00CC7E2A"/>
    <w:rsid w:val="00CC7EBB"/>
    <w:rsid w:val="00CC7EBC"/>
    <w:rsid w:val="00CC7EE8"/>
    <w:rsid w:val="00CC7F44"/>
    <w:rsid w:val="00CC7F57"/>
    <w:rsid w:val="00CC7FC4"/>
    <w:rsid w:val="00CCA735"/>
    <w:rsid w:val="00CD000F"/>
    <w:rsid w:val="00CD00BE"/>
    <w:rsid w:val="00CD0114"/>
    <w:rsid w:val="00CD0161"/>
    <w:rsid w:val="00CD01FE"/>
    <w:rsid w:val="00CD0266"/>
    <w:rsid w:val="00CD02EF"/>
    <w:rsid w:val="00CD02FE"/>
    <w:rsid w:val="00CD03EB"/>
    <w:rsid w:val="00CD0416"/>
    <w:rsid w:val="00CD04B0"/>
    <w:rsid w:val="00CD0509"/>
    <w:rsid w:val="00CD0598"/>
    <w:rsid w:val="00CD05B5"/>
    <w:rsid w:val="00CD05BD"/>
    <w:rsid w:val="00CD06C1"/>
    <w:rsid w:val="00CD06ED"/>
    <w:rsid w:val="00CD075B"/>
    <w:rsid w:val="00CD07A2"/>
    <w:rsid w:val="00CD08D9"/>
    <w:rsid w:val="00CD091B"/>
    <w:rsid w:val="00CD0962"/>
    <w:rsid w:val="00CD09BB"/>
    <w:rsid w:val="00CD09DD"/>
    <w:rsid w:val="00CD0A1D"/>
    <w:rsid w:val="00CD0B3C"/>
    <w:rsid w:val="00CD0BB5"/>
    <w:rsid w:val="00CD0BDC"/>
    <w:rsid w:val="00CD0C3B"/>
    <w:rsid w:val="00CD0C80"/>
    <w:rsid w:val="00CD0CD3"/>
    <w:rsid w:val="00CD0CE5"/>
    <w:rsid w:val="00CD0D3F"/>
    <w:rsid w:val="00CD0D49"/>
    <w:rsid w:val="00CD0DA5"/>
    <w:rsid w:val="00CD0DBE"/>
    <w:rsid w:val="00CD0E09"/>
    <w:rsid w:val="00CD0E37"/>
    <w:rsid w:val="00CD0E94"/>
    <w:rsid w:val="00CD0EEE"/>
    <w:rsid w:val="00CD0F38"/>
    <w:rsid w:val="00CD0F93"/>
    <w:rsid w:val="00CD0FCF"/>
    <w:rsid w:val="00CD0FD8"/>
    <w:rsid w:val="00CD0FFA"/>
    <w:rsid w:val="00CD1049"/>
    <w:rsid w:val="00CD1069"/>
    <w:rsid w:val="00CD10A4"/>
    <w:rsid w:val="00CD10F5"/>
    <w:rsid w:val="00CD1106"/>
    <w:rsid w:val="00CD118C"/>
    <w:rsid w:val="00CD1227"/>
    <w:rsid w:val="00CD12A7"/>
    <w:rsid w:val="00CD12EA"/>
    <w:rsid w:val="00CD1322"/>
    <w:rsid w:val="00CD1373"/>
    <w:rsid w:val="00CD139F"/>
    <w:rsid w:val="00CD13CE"/>
    <w:rsid w:val="00CD1406"/>
    <w:rsid w:val="00CD1437"/>
    <w:rsid w:val="00CD144D"/>
    <w:rsid w:val="00CD1482"/>
    <w:rsid w:val="00CD1571"/>
    <w:rsid w:val="00CD1587"/>
    <w:rsid w:val="00CD15A7"/>
    <w:rsid w:val="00CD15E6"/>
    <w:rsid w:val="00CD16A4"/>
    <w:rsid w:val="00CD16D3"/>
    <w:rsid w:val="00CD1701"/>
    <w:rsid w:val="00CD1741"/>
    <w:rsid w:val="00CD1787"/>
    <w:rsid w:val="00CD186F"/>
    <w:rsid w:val="00CD1887"/>
    <w:rsid w:val="00CD18AD"/>
    <w:rsid w:val="00CD18BE"/>
    <w:rsid w:val="00CD18F3"/>
    <w:rsid w:val="00CD18F6"/>
    <w:rsid w:val="00CD1906"/>
    <w:rsid w:val="00CD191D"/>
    <w:rsid w:val="00CD1933"/>
    <w:rsid w:val="00CD1969"/>
    <w:rsid w:val="00CD1979"/>
    <w:rsid w:val="00CD19F8"/>
    <w:rsid w:val="00CD1A20"/>
    <w:rsid w:val="00CD1A69"/>
    <w:rsid w:val="00CD1A7A"/>
    <w:rsid w:val="00CD1A99"/>
    <w:rsid w:val="00CD1AD1"/>
    <w:rsid w:val="00CD1B58"/>
    <w:rsid w:val="00CD1B9A"/>
    <w:rsid w:val="00CD1BA0"/>
    <w:rsid w:val="00CD1C6A"/>
    <w:rsid w:val="00CD1D1D"/>
    <w:rsid w:val="00CD1D2A"/>
    <w:rsid w:val="00CD1D9F"/>
    <w:rsid w:val="00CD1DBE"/>
    <w:rsid w:val="00CD1DC1"/>
    <w:rsid w:val="00CD1DC2"/>
    <w:rsid w:val="00CD1E21"/>
    <w:rsid w:val="00CD1E2A"/>
    <w:rsid w:val="00CD1E3E"/>
    <w:rsid w:val="00CD1EFC"/>
    <w:rsid w:val="00CD1F30"/>
    <w:rsid w:val="00CD1FB0"/>
    <w:rsid w:val="00CD1FC0"/>
    <w:rsid w:val="00CD1FF0"/>
    <w:rsid w:val="00CD20A4"/>
    <w:rsid w:val="00CD2164"/>
    <w:rsid w:val="00CD224D"/>
    <w:rsid w:val="00CD226B"/>
    <w:rsid w:val="00CD22E1"/>
    <w:rsid w:val="00CD2308"/>
    <w:rsid w:val="00CD2360"/>
    <w:rsid w:val="00CD2363"/>
    <w:rsid w:val="00CD23C7"/>
    <w:rsid w:val="00CD2413"/>
    <w:rsid w:val="00CD2494"/>
    <w:rsid w:val="00CD24F1"/>
    <w:rsid w:val="00CD24FD"/>
    <w:rsid w:val="00CD25CE"/>
    <w:rsid w:val="00CD263C"/>
    <w:rsid w:val="00CD26EC"/>
    <w:rsid w:val="00CD2703"/>
    <w:rsid w:val="00CD2727"/>
    <w:rsid w:val="00CD27D4"/>
    <w:rsid w:val="00CD27FC"/>
    <w:rsid w:val="00CD2A04"/>
    <w:rsid w:val="00CD2B1A"/>
    <w:rsid w:val="00CD2B2A"/>
    <w:rsid w:val="00CD2BA6"/>
    <w:rsid w:val="00CD2D2B"/>
    <w:rsid w:val="00CD2DD2"/>
    <w:rsid w:val="00CD2DD7"/>
    <w:rsid w:val="00CD2E04"/>
    <w:rsid w:val="00CD2E46"/>
    <w:rsid w:val="00CD2EDD"/>
    <w:rsid w:val="00CD2F2F"/>
    <w:rsid w:val="00CD2FAE"/>
    <w:rsid w:val="00CD2FF5"/>
    <w:rsid w:val="00CD303B"/>
    <w:rsid w:val="00CD303F"/>
    <w:rsid w:val="00CD3072"/>
    <w:rsid w:val="00CD3088"/>
    <w:rsid w:val="00CD30B0"/>
    <w:rsid w:val="00CD30B1"/>
    <w:rsid w:val="00CD30FB"/>
    <w:rsid w:val="00CD314F"/>
    <w:rsid w:val="00CD3179"/>
    <w:rsid w:val="00CD31FF"/>
    <w:rsid w:val="00CD324F"/>
    <w:rsid w:val="00CD325C"/>
    <w:rsid w:val="00CD32DF"/>
    <w:rsid w:val="00CD340C"/>
    <w:rsid w:val="00CD3463"/>
    <w:rsid w:val="00CD34F2"/>
    <w:rsid w:val="00CD3582"/>
    <w:rsid w:val="00CD3672"/>
    <w:rsid w:val="00CD3692"/>
    <w:rsid w:val="00CD36C8"/>
    <w:rsid w:val="00CD377C"/>
    <w:rsid w:val="00CD38AF"/>
    <w:rsid w:val="00CD38C5"/>
    <w:rsid w:val="00CD396B"/>
    <w:rsid w:val="00CD39D4"/>
    <w:rsid w:val="00CD3A06"/>
    <w:rsid w:val="00CD3A33"/>
    <w:rsid w:val="00CD3A8C"/>
    <w:rsid w:val="00CD3B47"/>
    <w:rsid w:val="00CD3B56"/>
    <w:rsid w:val="00CD3B73"/>
    <w:rsid w:val="00CD3C1E"/>
    <w:rsid w:val="00CD3C24"/>
    <w:rsid w:val="00CD3CC1"/>
    <w:rsid w:val="00CD3CD7"/>
    <w:rsid w:val="00CD3D40"/>
    <w:rsid w:val="00CD3D53"/>
    <w:rsid w:val="00CD3EAE"/>
    <w:rsid w:val="00CD3EB4"/>
    <w:rsid w:val="00CD3F34"/>
    <w:rsid w:val="00CD3F6A"/>
    <w:rsid w:val="00CD3F97"/>
    <w:rsid w:val="00CD3FC8"/>
    <w:rsid w:val="00CD3FD5"/>
    <w:rsid w:val="00CD400B"/>
    <w:rsid w:val="00CD4022"/>
    <w:rsid w:val="00CD4046"/>
    <w:rsid w:val="00CD4052"/>
    <w:rsid w:val="00CD408A"/>
    <w:rsid w:val="00CD4108"/>
    <w:rsid w:val="00CD410B"/>
    <w:rsid w:val="00CD41C6"/>
    <w:rsid w:val="00CD41DC"/>
    <w:rsid w:val="00CD4216"/>
    <w:rsid w:val="00CD424A"/>
    <w:rsid w:val="00CD4283"/>
    <w:rsid w:val="00CD4323"/>
    <w:rsid w:val="00CD43A2"/>
    <w:rsid w:val="00CD444B"/>
    <w:rsid w:val="00CD4519"/>
    <w:rsid w:val="00CD4551"/>
    <w:rsid w:val="00CD463D"/>
    <w:rsid w:val="00CD46E4"/>
    <w:rsid w:val="00CD4736"/>
    <w:rsid w:val="00CD4738"/>
    <w:rsid w:val="00CD482B"/>
    <w:rsid w:val="00CD487C"/>
    <w:rsid w:val="00CD48AB"/>
    <w:rsid w:val="00CD48DD"/>
    <w:rsid w:val="00CD48E5"/>
    <w:rsid w:val="00CD49AD"/>
    <w:rsid w:val="00CD4A08"/>
    <w:rsid w:val="00CD4A32"/>
    <w:rsid w:val="00CD4ACA"/>
    <w:rsid w:val="00CD4AEC"/>
    <w:rsid w:val="00CD4B13"/>
    <w:rsid w:val="00CD4B62"/>
    <w:rsid w:val="00CD4BB9"/>
    <w:rsid w:val="00CD4BE2"/>
    <w:rsid w:val="00CD4C0C"/>
    <w:rsid w:val="00CD4C4C"/>
    <w:rsid w:val="00CD4C54"/>
    <w:rsid w:val="00CD4C7A"/>
    <w:rsid w:val="00CD4C92"/>
    <w:rsid w:val="00CD4CB6"/>
    <w:rsid w:val="00CD4CD3"/>
    <w:rsid w:val="00CD4D76"/>
    <w:rsid w:val="00CD4D7F"/>
    <w:rsid w:val="00CD4E24"/>
    <w:rsid w:val="00CD4E7C"/>
    <w:rsid w:val="00CD4EEA"/>
    <w:rsid w:val="00CD4F71"/>
    <w:rsid w:val="00CD4FAB"/>
    <w:rsid w:val="00CD5012"/>
    <w:rsid w:val="00CD50A3"/>
    <w:rsid w:val="00CD511E"/>
    <w:rsid w:val="00CD5177"/>
    <w:rsid w:val="00CD51A1"/>
    <w:rsid w:val="00CD51C1"/>
    <w:rsid w:val="00CD51D1"/>
    <w:rsid w:val="00CD5255"/>
    <w:rsid w:val="00CD529D"/>
    <w:rsid w:val="00CD52B2"/>
    <w:rsid w:val="00CD52D1"/>
    <w:rsid w:val="00CD5340"/>
    <w:rsid w:val="00CD539A"/>
    <w:rsid w:val="00CD53D0"/>
    <w:rsid w:val="00CD54E9"/>
    <w:rsid w:val="00CD5533"/>
    <w:rsid w:val="00CD554D"/>
    <w:rsid w:val="00CD557E"/>
    <w:rsid w:val="00CD5649"/>
    <w:rsid w:val="00CD5661"/>
    <w:rsid w:val="00CD5665"/>
    <w:rsid w:val="00CD569D"/>
    <w:rsid w:val="00CD56BD"/>
    <w:rsid w:val="00CD56CC"/>
    <w:rsid w:val="00CD56D5"/>
    <w:rsid w:val="00CD578B"/>
    <w:rsid w:val="00CD5838"/>
    <w:rsid w:val="00CD5860"/>
    <w:rsid w:val="00CD58DE"/>
    <w:rsid w:val="00CD591E"/>
    <w:rsid w:val="00CD593D"/>
    <w:rsid w:val="00CD5987"/>
    <w:rsid w:val="00CD59B3"/>
    <w:rsid w:val="00CD5AE7"/>
    <w:rsid w:val="00CD5AF9"/>
    <w:rsid w:val="00CD5B87"/>
    <w:rsid w:val="00CD5BFB"/>
    <w:rsid w:val="00CD5C44"/>
    <w:rsid w:val="00CD5CD9"/>
    <w:rsid w:val="00CD5D09"/>
    <w:rsid w:val="00CD5D46"/>
    <w:rsid w:val="00CD5D53"/>
    <w:rsid w:val="00CD5DD6"/>
    <w:rsid w:val="00CD5E09"/>
    <w:rsid w:val="00CD5E18"/>
    <w:rsid w:val="00CD5F2F"/>
    <w:rsid w:val="00CD5FD7"/>
    <w:rsid w:val="00CD6010"/>
    <w:rsid w:val="00CD60DF"/>
    <w:rsid w:val="00CD610C"/>
    <w:rsid w:val="00CD6163"/>
    <w:rsid w:val="00CD61D1"/>
    <w:rsid w:val="00CD61D8"/>
    <w:rsid w:val="00CD621A"/>
    <w:rsid w:val="00CD622E"/>
    <w:rsid w:val="00CD628A"/>
    <w:rsid w:val="00CD629B"/>
    <w:rsid w:val="00CD636E"/>
    <w:rsid w:val="00CD6418"/>
    <w:rsid w:val="00CD64AF"/>
    <w:rsid w:val="00CD6507"/>
    <w:rsid w:val="00CD6508"/>
    <w:rsid w:val="00CD6565"/>
    <w:rsid w:val="00CD6569"/>
    <w:rsid w:val="00CD6596"/>
    <w:rsid w:val="00CD65B3"/>
    <w:rsid w:val="00CD6714"/>
    <w:rsid w:val="00CD673E"/>
    <w:rsid w:val="00CD6772"/>
    <w:rsid w:val="00CD6799"/>
    <w:rsid w:val="00CD67D1"/>
    <w:rsid w:val="00CD67DC"/>
    <w:rsid w:val="00CD6810"/>
    <w:rsid w:val="00CD6854"/>
    <w:rsid w:val="00CD687A"/>
    <w:rsid w:val="00CD688F"/>
    <w:rsid w:val="00CD68A4"/>
    <w:rsid w:val="00CD68C0"/>
    <w:rsid w:val="00CD6926"/>
    <w:rsid w:val="00CD69C5"/>
    <w:rsid w:val="00CD6AB3"/>
    <w:rsid w:val="00CD6C35"/>
    <w:rsid w:val="00CD6CAE"/>
    <w:rsid w:val="00CD6CC9"/>
    <w:rsid w:val="00CD6CD0"/>
    <w:rsid w:val="00CD6D07"/>
    <w:rsid w:val="00CD6D8E"/>
    <w:rsid w:val="00CD6E24"/>
    <w:rsid w:val="00CD6EC5"/>
    <w:rsid w:val="00CD6F28"/>
    <w:rsid w:val="00CD6F2B"/>
    <w:rsid w:val="00CD6F6D"/>
    <w:rsid w:val="00CD6F7C"/>
    <w:rsid w:val="00CD6F99"/>
    <w:rsid w:val="00CD6FE7"/>
    <w:rsid w:val="00CD7066"/>
    <w:rsid w:val="00CD7080"/>
    <w:rsid w:val="00CD70AD"/>
    <w:rsid w:val="00CD70C7"/>
    <w:rsid w:val="00CD7153"/>
    <w:rsid w:val="00CD7166"/>
    <w:rsid w:val="00CD7185"/>
    <w:rsid w:val="00CD71E3"/>
    <w:rsid w:val="00CD7252"/>
    <w:rsid w:val="00CD7365"/>
    <w:rsid w:val="00CD7374"/>
    <w:rsid w:val="00CD745A"/>
    <w:rsid w:val="00CD74A7"/>
    <w:rsid w:val="00CD74E3"/>
    <w:rsid w:val="00CD751C"/>
    <w:rsid w:val="00CD75C6"/>
    <w:rsid w:val="00CD75E6"/>
    <w:rsid w:val="00CD75EC"/>
    <w:rsid w:val="00CD7622"/>
    <w:rsid w:val="00CD7635"/>
    <w:rsid w:val="00CD7645"/>
    <w:rsid w:val="00CD76B3"/>
    <w:rsid w:val="00CD782D"/>
    <w:rsid w:val="00CD7873"/>
    <w:rsid w:val="00CD7898"/>
    <w:rsid w:val="00CD78C3"/>
    <w:rsid w:val="00CD78D3"/>
    <w:rsid w:val="00CD78F0"/>
    <w:rsid w:val="00CD7998"/>
    <w:rsid w:val="00CD79B2"/>
    <w:rsid w:val="00CD7AB9"/>
    <w:rsid w:val="00CD7AD4"/>
    <w:rsid w:val="00CD7B41"/>
    <w:rsid w:val="00CD7CBD"/>
    <w:rsid w:val="00CD7CE7"/>
    <w:rsid w:val="00CD7DB1"/>
    <w:rsid w:val="00CD7E06"/>
    <w:rsid w:val="00CD7E4E"/>
    <w:rsid w:val="00CD7E99"/>
    <w:rsid w:val="00CD7EB9"/>
    <w:rsid w:val="00CD7EC7"/>
    <w:rsid w:val="00CD7EF0"/>
    <w:rsid w:val="00CDAAC8"/>
    <w:rsid w:val="00CDD686"/>
    <w:rsid w:val="00CE0049"/>
    <w:rsid w:val="00CE0058"/>
    <w:rsid w:val="00CE005E"/>
    <w:rsid w:val="00CE0070"/>
    <w:rsid w:val="00CE0072"/>
    <w:rsid w:val="00CE00A1"/>
    <w:rsid w:val="00CE0200"/>
    <w:rsid w:val="00CE0268"/>
    <w:rsid w:val="00CE0289"/>
    <w:rsid w:val="00CE0298"/>
    <w:rsid w:val="00CE02AE"/>
    <w:rsid w:val="00CE02B1"/>
    <w:rsid w:val="00CE03D6"/>
    <w:rsid w:val="00CE0408"/>
    <w:rsid w:val="00CE040C"/>
    <w:rsid w:val="00CE044C"/>
    <w:rsid w:val="00CE0482"/>
    <w:rsid w:val="00CE0487"/>
    <w:rsid w:val="00CE0529"/>
    <w:rsid w:val="00CE0635"/>
    <w:rsid w:val="00CE06E1"/>
    <w:rsid w:val="00CE073A"/>
    <w:rsid w:val="00CE074E"/>
    <w:rsid w:val="00CE078E"/>
    <w:rsid w:val="00CE080E"/>
    <w:rsid w:val="00CE0985"/>
    <w:rsid w:val="00CE0B5D"/>
    <w:rsid w:val="00CE0B5F"/>
    <w:rsid w:val="00CE0C81"/>
    <w:rsid w:val="00CE0CB9"/>
    <w:rsid w:val="00CE0DA5"/>
    <w:rsid w:val="00CE0E77"/>
    <w:rsid w:val="00CE0EBB"/>
    <w:rsid w:val="00CE0EF8"/>
    <w:rsid w:val="00CE0F85"/>
    <w:rsid w:val="00CE0FF2"/>
    <w:rsid w:val="00CE10D1"/>
    <w:rsid w:val="00CE1185"/>
    <w:rsid w:val="00CE11FE"/>
    <w:rsid w:val="00CE1296"/>
    <w:rsid w:val="00CE1346"/>
    <w:rsid w:val="00CE1352"/>
    <w:rsid w:val="00CE1367"/>
    <w:rsid w:val="00CE13C7"/>
    <w:rsid w:val="00CE13E4"/>
    <w:rsid w:val="00CE147A"/>
    <w:rsid w:val="00CE14A7"/>
    <w:rsid w:val="00CE14A8"/>
    <w:rsid w:val="00CE14B1"/>
    <w:rsid w:val="00CE150A"/>
    <w:rsid w:val="00CE1523"/>
    <w:rsid w:val="00CE1635"/>
    <w:rsid w:val="00CE16E7"/>
    <w:rsid w:val="00CE17B6"/>
    <w:rsid w:val="00CE17CF"/>
    <w:rsid w:val="00CE17F2"/>
    <w:rsid w:val="00CE1811"/>
    <w:rsid w:val="00CE187B"/>
    <w:rsid w:val="00CE18ED"/>
    <w:rsid w:val="00CE18F5"/>
    <w:rsid w:val="00CE18FC"/>
    <w:rsid w:val="00CE198A"/>
    <w:rsid w:val="00CE199F"/>
    <w:rsid w:val="00CE19E7"/>
    <w:rsid w:val="00CE19FA"/>
    <w:rsid w:val="00CE1A01"/>
    <w:rsid w:val="00CE1B47"/>
    <w:rsid w:val="00CE1B76"/>
    <w:rsid w:val="00CE1BA6"/>
    <w:rsid w:val="00CE1BA9"/>
    <w:rsid w:val="00CE1BDA"/>
    <w:rsid w:val="00CE1C30"/>
    <w:rsid w:val="00CE1C37"/>
    <w:rsid w:val="00CE1C56"/>
    <w:rsid w:val="00CE1CB0"/>
    <w:rsid w:val="00CE1D04"/>
    <w:rsid w:val="00CE1DF9"/>
    <w:rsid w:val="00CE1E7A"/>
    <w:rsid w:val="00CE1F13"/>
    <w:rsid w:val="00CE1F9B"/>
    <w:rsid w:val="00CE1FC2"/>
    <w:rsid w:val="00CE1FDD"/>
    <w:rsid w:val="00CE2022"/>
    <w:rsid w:val="00CE20D5"/>
    <w:rsid w:val="00CE2122"/>
    <w:rsid w:val="00CE2144"/>
    <w:rsid w:val="00CE22B6"/>
    <w:rsid w:val="00CE22D4"/>
    <w:rsid w:val="00CE235F"/>
    <w:rsid w:val="00CE2380"/>
    <w:rsid w:val="00CE23A9"/>
    <w:rsid w:val="00CE23EC"/>
    <w:rsid w:val="00CE2403"/>
    <w:rsid w:val="00CE2444"/>
    <w:rsid w:val="00CE2451"/>
    <w:rsid w:val="00CE25D0"/>
    <w:rsid w:val="00CE25D3"/>
    <w:rsid w:val="00CE2646"/>
    <w:rsid w:val="00CE2680"/>
    <w:rsid w:val="00CE2687"/>
    <w:rsid w:val="00CE26C2"/>
    <w:rsid w:val="00CE26C5"/>
    <w:rsid w:val="00CE270B"/>
    <w:rsid w:val="00CE270F"/>
    <w:rsid w:val="00CE2771"/>
    <w:rsid w:val="00CE2772"/>
    <w:rsid w:val="00CE27BE"/>
    <w:rsid w:val="00CE2813"/>
    <w:rsid w:val="00CE2896"/>
    <w:rsid w:val="00CE28AC"/>
    <w:rsid w:val="00CE298B"/>
    <w:rsid w:val="00CE29B1"/>
    <w:rsid w:val="00CE29CE"/>
    <w:rsid w:val="00CE2A34"/>
    <w:rsid w:val="00CE2A3D"/>
    <w:rsid w:val="00CE2A91"/>
    <w:rsid w:val="00CE2AA8"/>
    <w:rsid w:val="00CE2CA1"/>
    <w:rsid w:val="00CE2CA6"/>
    <w:rsid w:val="00CE2D20"/>
    <w:rsid w:val="00CE2D7C"/>
    <w:rsid w:val="00CE2E1B"/>
    <w:rsid w:val="00CE2E44"/>
    <w:rsid w:val="00CE2F43"/>
    <w:rsid w:val="00CE2F9D"/>
    <w:rsid w:val="00CE2FA0"/>
    <w:rsid w:val="00CE2FAB"/>
    <w:rsid w:val="00CE309E"/>
    <w:rsid w:val="00CE30AE"/>
    <w:rsid w:val="00CE30F1"/>
    <w:rsid w:val="00CE3143"/>
    <w:rsid w:val="00CE317C"/>
    <w:rsid w:val="00CE31C3"/>
    <w:rsid w:val="00CE3200"/>
    <w:rsid w:val="00CE3234"/>
    <w:rsid w:val="00CE334A"/>
    <w:rsid w:val="00CE335F"/>
    <w:rsid w:val="00CE33A8"/>
    <w:rsid w:val="00CE33AA"/>
    <w:rsid w:val="00CE345B"/>
    <w:rsid w:val="00CE3476"/>
    <w:rsid w:val="00CE34F7"/>
    <w:rsid w:val="00CE3508"/>
    <w:rsid w:val="00CE3528"/>
    <w:rsid w:val="00CE352F"/>
    <w:rsid w:val="00CE355E"/>
    <w:rsid w:val="00CE3568"/>
    <w:rsid w:val="00CE3591"/>
    <w:rsid w:val="00CE35A7"/>
    <w:rsid w:val="00CE35C8"/>
    <w:rsid w:val="00CE35FB"/>
    <w:rsid w:val="00CE35FE"/>
    <w:rsid w:val="00CE363A"/>
    <w:rsid w:val="00CE3672"/>
    <w:rsid w:val="00CE36AA"/>
    <w:rsid w:val="00CE36C3"/>
    <w:rsid w:val="00CE36EB"/>
    <w:rsid w:val="00CE36ED"/>
    <w:rsid w:val="00CE385B"/>
    <w:rsid w:val="00CE38B6"/>
    <w:rsid w:val="00CE38DB"/>
    <w:rsid w:val="00CE3A11"/>
    <w:rsid w:val="00CE3B8D"/>
    <w:rsid w:val="00CE3C2B"/>
    <w:rsid w:val="00CE3D1D"/>
    <w:rsid w:val="00CE3D27"/>
    <w:rsid w:val="00CE3D2C"/>
    <w:rsid w:val="00CE3D45"/>
    <w:rsid w:val="00CE3D84"/>
    <w:rsid w:val="00CE3DB0"/>
    <w:rsid w:val="00CE3DC5"/>
    <w:rsid w:val="00CE3DDC"/>
    <w:rsid w:val="00CE3E1E"/>
    <w:rsid w:val="00CE3E2D"/>
    <w:rsid w:val="00CE3F1C"/>
    <w:rsid w:val="00CE3F41"/>
    <w:rsid w:val="00CE3F76"/>
    <w:rsid w:val="00CE402F"/>
    <w:rsid w:val="00CE40BD"/>
    <w:rsid w:val="00CE40C7"/>
    <w:rsid w:val="00CE40DF"/>
    <w:rsid w:val="00CE4121"/>
    <w:rsid w:val="00CE412B"/>
    <w:rsid w:val="00CE413E"/>
    <w:rsid w:val="00CE415E"/>
    <w:rsid w:val="00CE41FC"/>
    <w:rsid w:val="00CE421A"/>
    <w:rsid w:val="00CE4222"/>
    <w:rsid w:val="00CE425F"/>
    <w:rsid w:val="00CE4329"/>
    <w:rsid w:val="00CE4373"/>
    <w:rsid w:val="00CE43C5"/>
    <w:rsid w:val="00CE4446"/>
    <w:rsid w:val="00CE44E7"/>
    <w:rsid w:val="00CE45A4"/>
    <w:rsid w:val="00CE45E5"/>
    <w:rsid w:val="00CE4659"/>
    <w:rsid w:val="00CE467C"/>
    <w:rsid w:val="00CE46F7"/>
    <w:rsid w:val="00CE478E"/>
    <w:rsid w:val="00CE47A3"/>
    <w:rsid w:val="00CE4860"/>
    <w:rsid w:val="00CE4898"/>
    <w:rsid w:val="00CE48BA"/>
    <w:rsid w:val="00CE48D0"/>
    <w:rsid w:val="00CE48E3"/>
    <w:rsid w:val="00CE48EF"/>
    <w:rsid w:val="00CE4932"/>
    <w:rsid w:val="00CE493E"/>
    <w:rsid w:val="00CE49C5"/>
    <w:rsid w:val="00CE49D9"/>
    <w:rsid w:val="00CE49E8"/>
    <w:rsid w:val="00CE4A06"/>
    <w:rsid w:val="00CE4A32"/>
    <w:rsid w:val="00CE4A77"/>
    <w:rsid w:val="00CE4A96"/>
    <w:rsid w:val="00CE4B1F"/>
    <w:rsid w:val="00CE4B84"/>
    <w:rsid w:val="00CE4BE3"/>
    <w:rsid w:val="00CE4D80"/>
    <w:rsid w:val="00CE4D9C"/>
    <w:rsid w:val="00CE4DAC"/>
    <w:rsid w:val="00CE4DB5"/>
    <w:rsid w:val="00CE4E60"/>
    <w:rsid w:val="00CE4EA2"/>
    <w:rsid w:val="00CE4F55"/>
    <w:rsid w:val="00CE4FAD"/>
    <w:rsid w:val="00CE4FCF"/>
    <w:rsid w:val="00CE5120"/>
    <w:rsid w:val="00CE5186"/>
    <w:rsid w:val="00CE519B"/>
    <w:rsid w:val="00CE525C"/>
    <w:rsid w:val="00CE526C"/>
    <w:rsid w:val="00CE528D"/>
    <w:rsid w:val="00CE5291"/>
    <w:rsid w:val="00CE52B5"/>
    <w:rsid w:val="00CE52D4"/>
    <w:rsid w:val="00CE531B"/>
    <w:rsid w:val="00CE5381"/>
    <w:rsid w:val="00CE53A5"/>
    <w:rsid w:val="00CE5488"/>
    <w:rsid w:val="00CE54BE"/>
    <w:rsid w:val="00CE54C9"/>
    <w:rsid w:val="00CE54F3"/>
    <w:rsid w:val="00CE5511"/>
    <w:rsid w:val="00CE5562"/>
    <w:rsid w:val="00CE55ED"/>
    <w:rsid w:val="00CE55F0"/>
    <w:rsid w:val="00CE5645"/>
    <w:rsid w:val="00CE5691"/>
    <w:rsid w:val="00CE5743"/>
    <w:rsid w:val="00CE5777"/>
    <w:rsid w:val="00CE57BB"/>
    <w:rsid w:val="00CE5819"/>
    <w:rsid w:val="00CE5874"/>
    <w:rsid w:val="00CE5895"/>
    <w:rsid w:val="00CE58B0"/>
    <w:rsid w:val="00CE5953"/>
    <w:rsid w:val="00CE5A7D"/>
    <w:rsid w:val="00CE5AA0"/>
    <w:rsid w:val="00CE5AAE"/>
    <w:rsid w:val="00CE5AB2"/>
    <w:rsid w:val="00CE5B10"/>
    <w:rsid w:val="00CE5B55"/>
    <w:rsid w:val="00CE5BBD"/>
    <w:rsid w:val="00CE5CA3"/>
    <w:rsid w:val="00CE5CCB"/>
    <w:rsid w:val="00CE5D07"/>
    <w:rsid w:val="00CE5D23"/>
    <w:rsid w:val="00CE5D25"/>
    <w:rsid w:val="00CE5D65"/>
    <w:rsid w:val="00CE5DA2"/>
    <w:rsid w:val="00CE5DCA"/>
    <w:rsid w:val="00CE5DD1"/>
    <w:rsid w:val="00CE5DD9"/>
    <w:rsid w:val="00CE5E5D"/>
    <w:rsid w:val="00CE5E6B"/>
    <w:rsid w:val="00CE5EE5"/>
    <w:rsid w:val="00CE5F64"/>
    <w:rsid w:val="00CE5FF5"/>
    <w:rsid w:val="00CE61CE"/>
    <w:rsid w:val="00CE6235"/>
    <w:rsid w:val="00CE625D"/>
    <w:rsid w:val="00CE62A4"/>
    <w:rsid w:val="00CE62DE"/>
    <w:rsid w:val="00CE6366"/>
    <w:rsid w:val="00CE638C"/>
    <w:rsid w:val="00CE63B9"/>
    <w:rsid w:val="00CE63D1"/>
    <w:rsid w:val="00CE6446"/>
    <w:rsid w:val="00CE647B"/>
    <w:rsid w:val="00CE64A2"/>
    <w:rsid w:val="00CE6518"/>
    <w:rsid w:val="00CE656D"/>
    <w:rsid w:val="00CE6680"/>
    <w:rsid w:val="00CE66B2"/>
    <w:rsid w:val="00CE6770"/>
    <w:rsid w:val="00CE679C"/>
    <w:rsid w:val="00CE67B4"/>
    <w:rsid w:val="00CE67CE"/>
    <w:rsid w:val="00CE67F1"/>
    <w:rsid w:val="00CE68FE"/>
    <w:rsid w:val="00CE6A40"/>
    <w:rsid w:val="00CE6AC6"/>
    <w:rsid w:val="00CE6B4C"/>
    <w:rsid w:val="00CE6B70"/>
    <w:rsid w:val="00CE6B76"/>
    <w:rsid w:val="00CE6BE3"/>
    <w:rsid w:val="00CE6C99"/>
    <w:rsid w:val="00CE6CA4"/>
    <w:rsid w:val="00CE6D3A"/>
    <w:rsid w:val="00CE6D98"/>
    <w:rsid w:val="00CE6E3C"/>
    <w:rsid w:val="00CE6E81"/>
    <w:rsid w:val="00CE6F48"/>
    <w:rsid w:val="00CE7004"/>
    <w:rsid w:val="00CE7042"/>
    <w:rsid w:val="00CE709A"/>
    <w:rsid w:val="00CE70A8"/>
    <w:rsid w:val="00CE7126"/>
    <w:rsid w:val="00CE7331"/>
    <w:rsid w:val="00CE7349"/>
    <w:rsid w:val="00CE734E"/>
    <w:rsid w:val="00CE745F"/>
    <w:rsid w:val="00CE7517"/>
    <w:rsid w:val="00CE75A3"/>
    <w:rsid w:val="00CE75CE"/>
    <w:rsid w:val="00CE768D"/>
    <w:rsid w:val="00CE76DE"/>
    <w:rsid w:val="00CE76E4"/>
    <w:rsid w:val="00CE77A0"/>
    <w:rsid w:val="00CE77DF"/>
    <w:rsid w:val="00CE77E8"/>
    <w:rsid w:val="00CE7815"/>
    <w:rsid w:val="00CE78ED"/>
    <w:rsid w:val="00CE7907"/>
    <w:rsid w:val="00CE795D"/>
    <w:rsid w:val="00CE79F0"/>
    <w:rsid w:val="00CE7A04"/>
    <w:rsid w:val="00CE7A39"/>
    <w:rsid w:val="00CE7A44"/>
    <w:rsid w:val="00CE7A64"/>
    <w:rsid w:val="00CE7B11"/>
    <w:rsid w:val="00CE7BA5"/>
    <w:rsid w:val="00CE7C28"/>
    <w:rsid w:val="00CE7C2F"/>
    <w:rsid w:val="00CE7C3F"/>
    <w:rsid w:val="00CE7C4E"/>
    <w:rsid w:val="00CE7C6B"/>
    <w:rsid w:val="00CE7C72"/>
    <w:rsid w:val="00CE7CC4"/>
    <w:rsid w:val="00CE7D7A"/>
    <w:rsid w:val="00CE7DC2"/>
    <w:rsid w:val="00CE7DCE"/>
    <w:rsid w:val="00CE7E33"/>
    <w:rsid w:val="00CE7E60"/>
    <w:rsid w:val="00CE7E71"/>
    <w:rsid w:val="00CE7EAE"/>
    <w:rsid w:val="00CE7EB8"/>
    <w:rsid w:val="00CE7EE6"/>
    <w:rsid w:val="00CE7EEA"/>
    <w:rsid w:val="00CE7F25"/>
    <w:rsid w:val="00CE7FF6"/>
    <w:rsid w:val="00CF0096"/>
    <w:rsid w:val="00CF009C"/>
    <w:rsid w:val="00CF00CA"/>
    <w:rsid w:val="00CF0212"/>
    <w:rsid w:val="00CF036C"/>
    <w:rsid w:val="00CF03CA"/>
    <w:rsid w:val="00CF0463"/>
    <w:rsid w:val="00CF047C"/>
    <w:rsid w:val="00CF049E"/>
    <w:rsid w:val="00CF04B4"/>
    <w:rsid w:val="00CF04D6"/>
    <w:rsid w:val="00CF04E2"/>
    <w:rsid w:val="00CF0500"/>
    <w:rsid w:val="00CF0518"/>
    <w:rsid w:val="00CF057E"/>
    <w:rsid w:val="00CF0590"/>
    <w:rsid w:val="00CF05B4"/>
    <w:rsid w:val="00CF05BD"/>
    <w:rsid w:val="00CF060A"/>
    <w:rsid w:val="00CF0617"/>
    <w:rsid w:val="00CF0656"/>
    <w:rsid w:val="00CF06B0"/>
    <w:rsid w:val="00CF06E9"/>
    <w:rsid w:val="00CF07A3"/>
    <w:rsid w:val="00CF0837"/>
    <w:rsid w:val="00CF0860"/>
    <w:rsid w:val="00CF088E"/>
    <w:rsid w:val="00CF0915"/>
    <w:rsid w:val="00CF096E"/>
    <w:rsid w:val="00CF0B3C"/>
    <w:rsid w:val="00CF0B91"/>
    <w:rsid w:val="00CF0C93"/>
    <w:rsid w:val="00CF0CD6"/>
    <w:rsid w:val="00CF0D30"/>
    <w:rsid w:val="00CF0DA2"/>
    <w:rsid w:val="00CF0F8A"/>
    <w:rsid w:val="00CF0FA0"/>
    <w:rsid w:val="00CF103A"/>
    <w:rsid w:val="00CF1080"/>
    <w:rsid w:val="00CF108D"/>
    <w:rsid w:val="00CF10B8"/>
    <w:rsid w:val="00CF10BF"/>
    <w:rsid w:val="00CF1113"/>
    <w:rsid w:val="00CF116A"/>
    <w:rsid w:val="00CF11B9"/>
    <w:rsid w:val="00CF1211"/>
    <w:rsid w:val="00CF127D"/>
    <w:rsid w:val="00CF12BD"/>
    <w:rsid w:val="00CF1369"/>
    <w:rsid w:val="00CF13D0"/>
    <w:rsid w:val="00CF13F8"/>
    <w:rsid w:val="00CF140D"/>
    <w:rsid w:val="00CF1444"/>
    <w:rsid w:val="00CF1458"/>
    <w:rsid w:val="00CF14C8"/>
    <w:rsid w:val="00CF14D2"/>
    <w:rsid w:val="00CF14EE"/>
    <w:rsid w:val="00CF150D"/>
    <w:rsid w:val="00CF159C"/>
    <w:rsid w:val="00CF15A2"/>
    <w:rsid w:val="00CF15D2"/>
    <w:rsid w:val="00CF1638"/>
    <w:rsid w:val="00CF164A"/>
    <w:rsid w:val="00CF1667"/>
    <w:rsid w:val="00CF171E"/>
    <w:rsid w:val="00CF179B"/>
    <w:rsid w:val="00CF186B"/>
    <w:rsid w:val="00CF18A6"/>
    <w:rsid w:val="00CF18A8"/>
    <w:rsid w:val="00CF19A9"/>
    <w:rsid w:val="00CF19E8"/>
    <w:rsid w:val="00CF1A21"/>
    <w:rsid w:val="00CF1A2C"/>
    <w:rsid w:val="00CF1A42"/>
    <w:rsid w:val="00CF1B27"/>
    <w:rsid w:val="00CF1B67"/>
    <w:rsid w:val="00CF1B7B"/>
    <w:rsid w:val="00CF1C04"/>
    <w:rsid w:val="00CF1C88"/>
    <w:rsid w:val="00CF1D34"/>
    <w:rsid w:val="00CF1D3E"/>
    <w:rsid w:val="00CF1D75"/>
    <w:rsid w:val="00CF1DE5"/>
    <w:rsid w:val="00CF1E37"/>
    <w:rsid w:val="00CF1E53"/>
    <w:rsid w:val="00CF1EC2"/>
    <w:rsid w:val="00CF1F55"/>
    <w:rsid w:val="00CF1F5D"/>
    <w:rsid w:val="00CF1F65"/>
    <w:rsid w:val="00CF1FC5"/>
    <w:rsid w:val="00CF1FD8"/>
    <w:rsid w:val="00CF205F"/>
    <w:rsid w:val="00CF20B6"/>
    <w:rsid w:val="00CF21B9"/>
    <w:rsid w:val="00CF2227"/>
    <w:rsid w:val="00CF223C"/>
    <w:rsid w:val="00CF227D"/>
    <w:rsid w:val="00CF230A"/>
    <w:rsid w:val="00CF2357"/>
    <w:rsid w:val="00CF235E"/>
    <w:rsid w:val="00CF251B"/>
    <w:rsid w:val="00CF252A"/>
    <w:rsid w:val="00CF2548"/>
    <w:rsid w:val="00CF256C"/>
    <w:rsid w:val="00CF2647"/>
    <w:rsid w:val="00CF264B"/>
    <w:rsid w:val="00CF26D2"/>
    <w:rsid w:val="00CF2812"/>
    <w:rsid w:val="00CF2819"/>
    <w:rsid w:val="00CF2859"/>
    <w:rsid w:val="00CF2894"/>
    <w:rsid w:val="00CF28CF"/>
    <w:rsid w:val="00CF2917"/>
    <w:rsid w:val="00CF29AC"/>
    <w:rsid w:val="00CF29CD"/>
    <w:rsid w:val="00CF29CF"/>
    <w:rsid w:val="00CF2A93"/>
    <w:rsid w:val="00CF2ADD"/>
    <w:rsid w:val="00CF2AE2"/>
    <w:rsid w:val="00CF2B04"/>
    <w:rsid w:val="00CF2B92"/>
    <w:rsid w:val="00CF2BD3"/>
    <w:rsid w:val="00CF2D66"/>
    <w:rsid w:val="00CF2D9B"/>
    <w:rsid w:val="00CF2DA4"/>
    <w:rsid w:val="00CF2DBD"/>
    <w:rsid w:val="00CF2E0A"/>
    <w:rsid w:val="00CF2EAB"/>
    <w:rsid w:val="00CF2EE5"/>
    <w:rsid w:val="00CF2F24"/>
    <w:rsid w:val="00CF2F47"/>
    <w:rsid w:val="00CF2F4F"/>
    <w:rsid w:val="00CF2F8A"/>
    <w:rsid w:val="00CF2FB7"/>
    <w:rsid w:val="00CF2FFE"/>
    <w:rsid w:val="00CF3062"/>
    <w:rsid w:val="00CF308B"/>
    <w:rsid w:val="00CF30E8"/>
    <w:rsid w:val="00CF3170"/>
    <w:rsid w:val="00CF31D5"/>
    <w:rsid w:val="00CF3371"/>
    <w:rsid w:val="00CF3387"/>
    <w:rsid w:val="00CF3406"/>
    <w:rsid w:val="00CF3407"/>
    <w:rsid w:val="00CF3414"/>
    <w:rsid w:val="00CF3432"/>
    <w:rsid w:val="00CF3496"/>
    <w:rsid w:val="00CF34C5"/>
    <w:rsid w:val="00CF3517"/>
    <w:rsid w:val="00CF3522"/>
    <w:rsid w:val="00CF354C"/>
    <w:rsid w:val="00CF362D"/>
    <w:rsid w:val="00CF3719"/>
    <w:rsid w:val="00CF3748"/>
    <w:rsid w:val="00CF37A2"/>
    <w:rsid w:val="00CF37DE"/>
    <w:rsid w:val="00CF37F7"/>
    <w:rsid w:val="00CF3879"/>
    <w:rsid w:val="00CF38FE"/>
    <w:rsid w:val="00CF394C"/>
    <w:rsid w:val="00CF3A87"/>
    <w:rsid w:val="00CF3AD8"/>
    <w:rsid w:val="00CF3AD9"/>
    <w:rsid w:val="00CF3B5C"/>
    <w:rsid w:val="00CF3B63"/>
    <w:rsid w:val="00CF3C58"/>
    <w:rsid w:val="00CF3CBC"/>
    <w:rsid w:val="00CF3CE9"/>
    <w:rsid w:val="00CF3D17"/>
    <w:rsid w:val="00CF3D35"/>
    <w:rsid w:val="00CF3D81"/>
    <w:rsid w:val="00CF3DB1"/>
    <w:rsid w:val="00CF3E4B"/>
    <w:rsid w:val="00CF3E59"/>
    <w:rsid w:val="00CF3E90"/>
    <w:rsid w:val="00CF3EB6"/>
    <w:rsid w:val="00CF3EFC"/>
    <w:rsid w:val="00CF3F02"/>
    <w:rsid w:val="00CF400D"/>
    <w:rsid w:val="00CF4114"/>
    <w:rsid w:val="00CF411B"/>
    <w:rsid w:val="00CF4132"/>
    <w:rsid w:val="00CF4139"/>
    <w:rsid w:val="00CF4143"/>
    <w:rsid w:val="00CF41B1"/>
    <w:rsid w:val="00CF41BA"/>
    <w:rsid w:val="00CF41C0"/>
    <w:rsid w:val="00CF41D9"/>
    <w:rsid w:val="00CF423A"/>
    <w:rsid w:val="00CF4280"/>
    <w:rsid w:val="00CF4307"/>
    <w:rsid w:val="00CF433C"/>
    <w:rsid w:val="00CF438F"/>
    <w:rsid w:val="00CF439A"/>
    <w:rsid w:val="00CF43A4"/>
    <w:rsid w:val="00CF43EF"/>
    <w:rsid w:val="00CF4449"/>
    <w:rsid w:val="00CF4475"/>
    <w:rsid w:val="00CF4541"/>
    <w:rsid w:val="00CF4604"/>
    <w:rsid w:val="00CF4607"/>
    <w:rsid w:val="00CF4679"/>
    <w:rsid w:val="00CF46FF"/>
    <w:rsid w:val="00CF473D"/>
    <w:rsid w:val="00CF4796"/>
    <w:rsid w:val="00CF4799"/>
    <w:rsid w:val="00CF47C9"/>
    <w:rsid w:val="00CF4825"/>
    <w:rsid w:val="00CF4855"/>
    <w:rsid w:val="00CF4875"/>
    <w:rsid w:val="00CF4910"/>
    <w:rsid w:val="00CF495B"/>
    <w:rsid w:val="00CF49BD"/>
    <w:rsid w:val="00CF49E4"/>
    <w:rsid w:val="00CF4A9D"/>
    <w:rsid w:val="00CF4B03"/>
    <w:rsid w:val="00CF4B28"/>
    <w:rsid w:val="00CF4B93"/>
    <w:rsid w:val="00CF4B99"/>
    <w:rsid w:val="00CF4C28"/>
    <w:rsid w:val="00CF4C60"/>
    <w:rsid w:val="00CF4CE2"/>
    <w:rsid w:val="00CF4CED"/>
    <w:rsid w:val="00CF4CFE"/>
    <w:rsid w:val="00CF4D3D"/>
    <w:rsid w:val="00CF4D53"/>
    <w:rsid w:val="00CF4D62"/>
    <w:rsid w:val="00CF4DBF"/>
    <w:rsid w:val="00CF4EAA"/>
    <w:rsid w:val="00CF4ED4"/>
    <w:rsid w:val="00CF4F29"/>
    <w:rsid w:val="00CF4F8A"/>
    <w:rsid w:val="00CF4F91"/>
    <w:rsid w:val="00CF4FA3"/>
    <w:rsid w:val="00CF50C7"/>
    <w:rsid w:val="00CF50E4"/>
    <w:rsid w:val="00CF50EE"/>
    <w:rsid w:val="00CF5112"/>
    <w:rsid w:val="00CF517A"/>
    <w:rsid w:val="00CF520C"/>
    <w:rsid w:val="00CF5238"/>
    <w:rsid w:val="00CF5292"/>
    <w:rsid w:val="00CF52F8"/>
    <w:rsid w:val="00CF531F"/>
    <w:rsid w:val="00CF537F"/>
    <w:rsid w:val="00CF5435"/>
    <w:rsid w:val="00CF54AB"/>
    <w:rsid w:val="00CF5500"/>
    <w:rsid w:val="00CF551B"/>
    <w:rsid w:val="00CF5576"/>
    <w:rsid w:val="00CF55A4"/>
    <w:rsid w:val="00CF568E"/>
    <w:rsid w:val="00CF569B"/>
    <w:rsid w:val="00CF572D"/>
    <w:rsid w:val="00CF5811"/>
    <w:rsid w:val="00CF58D2"/>
    <w:rsid w:val="00CF5988"/>
    <w:rsid w:val="00CF59AC"/>
    <w:rsid w:val="00CF5A7C"/>
    <w:rsid w:val="00CF5ADA"/>
    <w:rsid w:val="00CF5ADB"/>
    <w:rsid w:val="00CF5AE7"/>
    <w:rsid w:val="00CF5B29"/>
    <w:rsid w:val="00CF5BCB"/>
    <w:rsid w:val="00CF5C25"/>
    <w:rsid w:val="00CF5C90"/>
    <w:rsid w:val="00CF5CB8"/>
    <w:rsid w:val="00CF5E33"/>
    <w:rsid w:val="00CF5E40"/>
    <w:rsid w:val="00CF5EAE"/>
    <w:rsid w:val="00CF5F18"/>
    <w:rsid w:val="00CF5F29"/>
    <w:rsid w:val="00CF5F35"/>
    <w:rsid w:val="00CF5F5D"/>
    <w:rsid w:val="00CF5FB0"/>
    <w:rsid w:val="00CF5FDB"/>
    <w:rsid w:val="00CF600C"/>
    <w:rsid w:val="00CF6035"/>
    <w:rsid w:val="00CF6097"/>
    <w:rsid w:val="00CF6113"/>
    <w:rsid w:val="00CF617D"/>
    <w:rsid w:val="00CF6199"/>
    <w:rsid w:val="00CF61E9"/>
    <w:rsid w:val="00CF62B2"/>
    <w:rsid w:val="00CF62FD"/>
    <w:rsid w:val="00CF633A"/>
    <w:rsid w:val="00CF6357"/>
    <w:rsid w:val="00CF637F"/>
    <w:rsid w:val="00CF63AA"/>
    <w:rsid w:val="00CF653A"/>
    <w:rsid w:val="00CF656C"/>
    <w:rsid w:val="00CF6669"/>
    <w:rsid w:val="00CF66AE"/>
    <w:rsid w:val="00CF66DF"/>
    <w:rsid w:val="00CF6725"/>
    <w:rsid w:val="00CF672D"/>
    <w:rsid w:val="00CF686B"/>
    <w:rsid w:val="00CF690C"/>
    <w:rsid w:val="00CF69A2"/>
    <w:rsid w:val="00CF6A3B"/>
    <w:rsid w:val="00CF6AAD"/>
    <w:rsid w:val="00CF6AAF"/>
    <w:rsid w:val="00CF6AE5"/>
    <w:rsid w:val="00CF6AEB"/>
    <w:rsid w:val="00CF6B8C"/>
    <w:rsid w:val="00CF6B9F"/>
    <w:rsid w:val="00CF6BA1"/>
    <w:rsid w:val="00CF6CDF"/>
    <w:rsid w:val="00CF6D18"/>
    <w:rsid w:val="00CF6D54"/>
    <w:rsid w:val="00CF6D83"/>
    <w:rsid w:val="00CF6DA2"/>
    <w:rsid w:val="00CF6DA8"/>
    <w:rsid w:val="00CF6E05"/>
    <w:rsid w:val="00CF6E38"/>
    <w:rsid w:val="00CF6E78"/>
    <w:rsid w:val="00CF6EF9"/>
    <w:rsid w:val="00CF6F18"/>
    <w:rsid w:val="00CF6F21"/>
    <w:rsid w:val="00CF7032"/>
    <w:rsid w:val="00CF7045"/>
    <w:rsid w:val="00CF7064"/>
    <w:rsid w:val="00CF7069"/>
    <w:rsid w:val="00CF7087"/>
    <w:rsid w:val="00CF7108"/>
    <w:rsid w:val="00CF7171"/>
    <w:rsid w:val="00CF71AC"/>
    <w:rsid w:val="00CF71E3"/>
    <w:rsid w:val="00CF7210"/>
    <w:rsid w:val="00CF72B1"/>
    <w:rsid w:val="00CF7397"/>
    <w:rsid w:val="00CF73B5"/>
    <w:rsid w:val="00CF7407"/>
    <w:rsid w:val="00CF7411"/>
    <w:rsid w:val="00CF74E9"/>
    <w:rsid w:val="00CF75CD"/>
    <w:rsid w:val="00CF779A"/>
    <w:rsid w:val="00CF77A0"/>
    <w:rsid w:val="00CF77A7"/>
    <w:rsid w:val="00CF77B4"/>
    <w:rsid w:val="00CF7843"/>
    <w:rsid w:val="00CF7977"/>
    <w:rsid w:val="00CF79E9"/>
    <w:rsid w:val="00CF7A0A"/>
    <w:rsid w:val="00CF7A31"/>
    <w:rsid w:val="00CF7B36"/>
    <w:rsid w:val="00CF7BDE"/>
    <w:rsid w:val="00CF7C70"/>
    <w:rsid w:val="00CF7CE5"/>
    <w:rsid w:val="00CF7D11"/>
    <w:rsid w:val="00CF7D80"/>
    <w:rsid w:val="00CF7DD1"/>
    <w:rsid w:val="00CF7E12"/>
    <w:rsid w:val="00CF7E5C"/>
    <w:rsid w:val="00CF7E66"/>
    <w:rsid w:val="00CF7E97"/>
    <w:rsid w:val="00CF7E9F"/>
    <w:rsid w:val="00CF7EE7"/>
    <w:rsid w:val="00CF7F39"/>
    <w:rsid w:val="00D00005"/>
    <w:rsid w:val="00D0002B"/>
    <w:rsid w:val="00D0005C"/>
    <w:rsid w:val="00D00085"/>
    <w:rsid w:val="00D0009F"/>
    <w:rsid w:val="00D000C3"/>
    <w:rsid w:val="00D00114"/>
    <w:rsid w:val="00D00191"/>
    <w:rsid w:val="00D001BC"/>
    <w:rsid w:val="00D001D3"/>
    <w:rsid w:val="00D001F0"/>
    <w:rsid w:val="00D002AD"/>
    <w:rsid w:val="00D002E7"/>
    <w:rsid w:val="00D0033D"/>
    <w:rsid w:val="00D003A5"/>
    <w:rsid w:val="00D00475"/>
    <w:rsid w:val="00D00486"/>
    <w:rsid w:val="00D00629"/>
    <w:rsid w:val="00D00670"/>
    <w:rsid w:val="00D006B6"/>
    <w:rsid w:val="00D006D8"/>
    <w:rsid w:val="00D006E2"/>
    <w:rsid w:val="00D006F8"/>
    <w:rsid w:val="00D008EB"/>
    <w:rsid w:val="00D008F2"/>
    <w:rsid w:val="00D0092C"/>
    <w:rsid w:val="00D0094A"/>
    <w:rsid w:val="00D00960"/>
    <w:rsid w:val="00D0098D"/>
    <w:rsid w:val="00D009C6"/>
    <w:rsid w:val="00D00A3C"/>
    <w:rsid w:val="00D00A51"/>
    <w:rsid w:val="00D00AA0"/>
    <w:rsid w:val="00D00AC0"/>
    <w:rsid w:val="00D00B42"/>
    <w:rsid w:val="00D00B85"/>
    <w:rsid w:val="00D00BE2"/>
    <w:rsid w:val="00D00BE5"/>
    <w:rsid w:val="00D00C3A"/>
    <w:rsid w:val="00D00C46"/>
    <w:rsid w:val="00D00D22"/>
    <w:rsid w:val="00D00D46"/>
    <w:rsid w:val="00D00D91"/>
    <w:rsid w:val="00D00DDC"/>
    <w:rsid w:val="00D00E10"/>
    <w:rsid w:val="00D00E3F"/>
    <w:rsid w:val="00D00EDA"/>
    <w:rsid w:val="00D00F56"/>
    <w:rsid w:val="00D00F78"/>
    <w:rsid w:val="00D00FE6"/>
    <w:rsid w:val="00D00FFC"/>
    <w:rsid w:val="00D00FFD"/>
    <w:rsid w:val="00D0101A"/>
    <w:rsid w:val="00D01219"/>
    <w:rsid w:val="00D01249"/>
    <w:rsid w:val="00D0124E"/>
    <w:rsid w:val="00D01287"/>
    <w:rsid w:val="00D012EC"/>
    <w:rsid w:val="00D013E1"/>
    <w:rsid w:val="00D013FA"/>
    <w:rsid w:val="00D01424"/>
    <w:rsid w:val="00D0147B"/>
    <w:rsid w:val="00D014C5"/>
    <w:rsid w:val="00D0158E"/>
    <w:rsid w:val="00D016D1"/>
    <w:rsid w:val="00D0181D"/>
    <w:rsid w:val="00D01869"/>
    <w:rsid w:val="00D018C7"/>
    <w:rsid w:val="00D018E9"/>
    <w:rsid w:val="00D01A11"/>
    <w:rsid w:val="00D01A31"/>
    <w:rsid w:val="00D01BCF"/>
    <w:rsid w:val="00D01BF1"/>
    <w:rsid w:val="00D01C40"/>
    <w:rsid w:val="00D01C60"/>
    <w:rsid w:val="00D01C64"/>
    <w:rsid w:val="00D01D06"/>
    <w:rsid w:val="00D01D0C"/>
    <w:rsid w:val="00D01D36"/>
    <w:rsid w:val="00D01DB0"/>
    <w:rsid w:val="00D01DB1"/>
    <w:rsid w:val="00D01DDA"/>
    <w:rsid w:val="00D01DEC"/>
    <w:rsid w:val="00D01DF9"/>
    <w:rsid w:val="00D01E7A"/>
    <w:rsid w:val="00D01EB5"/>
    <w:rsid w:val="00D01F37"/>
    <w:rsid w:val="00D01F7B"/>
    <w:rsid w:val="00D01FDC"/>
    <w:rsid w:val="00D02015"/>
    <w:rsid w:val="00D020D5"/>
    <w:rsid w:val="00D0215E"/>
    <w:rsid w:val="00D021BA"/>
    <w:rsid w:val="00D02211"/>
    <w:rsid w:val="00D02299"/>
    <w:rsid w:val="00D022A6"/>
    <w:rsid w:val="00D0233E"/>
    <w:rsid w:val="00D0238F"/>
    <w:rsid w:val="00D023F1"/>
    <w:rsid w:val="00D02409"/>
    <w:rsid w:val="00D0250C"/>
    <w:rsid w:val="00D025C6"/>
    <w:rsid w:val="00D0271A"/>
    <w:rsid w:val="00D02756"/>
    <w:rsid w:val="00D0275C"/>
    <w:rsid w:val="00D02802"/>
    <w:rsid w:val="00D02862"/>
    <w:rsid w:val="00D02894"/>
    <w:rsid w:val="00D028D7"/>
    <w:rsid w:val="00D029C7"/>
    <w:rsid w:val="00D029E9"/>
    <w:rsid w:val="00D02A0C"/>
    <w:rsid w:val="00D02A3B"/>
    <w:rsid w:val="00D02B4E"/>
    <w:rsid w:val="00D02B6D"/>
    <w:rsid w:val="00D02CE4"/>
    <w:rsid w:val="00D02D69"/>
    <w:rsid w:val="00D02F64"/>
    <w:rsid w:val="00D02F78"/>
    <w:rsid w:val="00D02F9B"/>
    <w:rsid w:val="00D02FA6"/>
    <w:rsid w:val="00D02FAC"/>
    <w:rsid w:val="00D02FC6"/>
    <w:rsid w:val="00D0300E"/>
    <w:rsid w:val="00D0308C"/>
    <w:rsid w:val="00D030A2"/>
    <w:rsid w:val="00D03120"/>
    <w:rsid w:val="00D0313C"/>
    <w:rsid w:val="00D03152"/>
    <w:rsid w:val="00D031C6"/>
    <w:rsid w:val="00D031D1"/>
    <w:rsid w:val="00D03234"/>
    <w:rsid w:val="00D03256"/>
    <w:rsid w:val="00D032A2"/>
    <w:rsid w:val="00D032A4"/>
    <w:rsid w:val="00D032B9"/>
    <w:rsid w:val="00D03302"/>
    <w:rsid w:val="00D0331D"/>
    <w:rsid w:val="00D03350"/>
    <w:rsid w:val="00D033AD"/>
    <w:rsid w:val="00D034D0"/>
    <w:rsid w:val="00D034FE"/>
    <w:rsid w:val="00D035A1"/>
    <w:rsid w:val="00D0360E"/>
    <w:rsid w:val="00D036A6"/>
    <w:rsid w:val="00D03773"/>
    <w:rsid w:val="00D03793"/>
    <w:rsid w:val="00D037D2"/>
    <w:rsid w:val="00D038DE"/>
    <w:rsid w:val="00D03949"/>
    <w:rsid w:val="00D0394D"/>
    <w:rsid w:val="00D03A0E"/>
    <w:rsid w:val="00D03A92"/>
    <w:rsid w:val="00D03AD5"/>
    <w:rsid w:val="00D03AFE"/>
    <w:rsid w:val="00D03B56"/>
    <w:rsid w:val="00D03B8B"/>
    <w:rsid w:val="00D03B93"/>
    <w:rsid w:val="00D03BA3"/>
    <w:rsid w:val="00D03C3B"/>
    <w:rsid w:val="00D03CB8"/>
    <w:rsid w:val="00D03CCD"/>
    <w:rsid w:val="00D03D1A"/>
    <w:rsid w:val="00D03D31"/>
    <w:rsid w:val="00D03DD3"/>
    <w:rsid w:val="00D03DF8"/>
    <w:rsid w:val="00D03EA1"/>
    <w:rsid w:val="00D03FD2"/>
    <w:rsid w:val="00D04004"/>
    <w:rsid w:val="00D040FF"/>
    <w:rsid w:val="00D04118"/>
    <w:rsid w:val="00D0412A"/>
    <w:rsid w:val="00D0414D"/>
    <w:rsid w:val="00D0416D"/>
    <w:rsid w:val="00D041B3"/>
    <w:rsid w:val="00D041CA"/>
    <w:rsid w:val="00D04213"/>
    <w:rsid w:val="00D0422F"/>
    <w:rsid w:val="00D04268"/>
    <w:rsid w:val="00D042D4"/>
    <w:rsid w:val="00D0430F"/>
    <w:rsid w:val="00D0442B"/>
    <w:rsid w:val="00D044D6"/>
    <w:rsid w:val="00D0453A"/>
    <w:rsid w:val="00D04565"/>
    <w:rsid w:val="00D045B6"/>
    <w:rsid w:val="00D04618"/>
    <w:rsid w:val="00D04642"/>
    <w:rsid w:val="00D0470C"/>
    <w:rsid w:val="00D04792"/>
    <w:rsid w:val="00D047B0"/>
    <w:rsid w:val="00D047C3"/>
    <w:rsid w:val="00D04810"/>
    <w:rsid w:val="00D04903"/>
    <w:rsid w:val="00D04955"/>
    <w:rsid w:val="00D04976"/>
    <w:rsid w:val="00D049B3"/>
    <w:rsid w:val="00D04A02"/>
    <w:rsid w:val="00D04A17"/>
    <w:rsid w:val="00D04A3B"/>
    <w:rsid w:val="00D04A4A"/>
    <w:rsid w:val="00D04A74"/>
    <w:rsid w:val="00D04A7D"/>
    <w:rsid w:val="00D04CC9"/>
    <w:rsid w:val="00D04D19"/>
    <w:rsid w:val="00D04D9F"/>
    <w:rsid w:val="00D04E2D"/>
    <w:rsid w:val="00D04F3B"/>
    <w:rsid w:val="00D04F47"/>
    <w:rsid w:val="00D04F48"/>
    <w:rsid w:val="00D05001"/>
    <w:rsid w:val="00D0505B"/>
    <w:rsid w:val="00D050B6"/>
    <w:rsid w:val="00D0511C"/>
    <w:rsid w:val="00D05147"/>
    <w:rsid w:val="00D051B6"/>
    <w:rsid w:val="00D051EB"/>
    <w:rsid w:val="00D0527C"/>
    <w:rsid w:val="00D05280"/>
    <w:rsid w:val="00D0529A"/>
    <w:rsid w:val="00D052BF"/>
    <w:rsid w:val="00D05305"/>
    <w:rsid w:val="00D0530D"/>
    <w:rsid w:val="00D053CD"/>
    <w:rsid w:val="00D05452"/>
    <w:rsid w:val="00D05570"/>
    <w:rsid w:val="00D055B1"/>
    <w:rsid w:val="00D0561C"/>
    <w:rsid w:val="00D056BB"/>
    <w:rsid w:val="00D056DD"/>
    <w:rsid w:val="00D05756"/>
    <w:rsid w:val="00D0579E"/>
    <w:rsid w:val="00D057C0"/>
    <w:rsid w:val="00D057EA"/>
    <w:rsid w:val="00D057F4"/>
    <w:rsid w:val="00D0582B"/>
    <w:rsid w:val="00D05835"/>
    <w:rsid w:val="00D05848"/>
    <w:rsid w:val="00D05867"/>
    <w:rsid w:val="00D05878"/>
    <w:rsid w:val="00D0587C"/>
    <w:rsid w:val="00D05905"/>
    <w:rsid w:val="00D0594A"/>
    <w:rsid w:val="00D059FD"/>
    <w:rsid w:val="00D05A4A"/>
    <w:rsid w:val="00D05B49"/>
    <w:rsid w:val="00D05C64"/>
    <w:rsid w:val="00D05C9B"/>
    <w:rsid w:val="00D05CCA"/>
    <w:rsid w:val="00D05CDB"/>
    <w:rsid w:val="00D05D65"/>
    <w:rsid w:val="00D05E2F"/>
    <w:rsid w:val="00D05E3B"/>
    <w:rsid w:val="00D05E4B"/>
    <w:rsid w:val="00D05E90"/>
    <w:rsid w:val="00D05EB5"/>
    <w:rsid w:val="00D05EBB"/>
    <w:rsid w:val="00D05EBE"/>
    <w:rsid w:val="00D05EC9"/>
    <w:rsid w:val="00D05F66"/>
    <w:rsid w:val="00D05FA8"/>
    <w:rsid w:val="00D0603B"/>
    <w:rsid w:val="00D0607C"/>
    <w:rsid w:val="00D06109"/>
    <w:rsid w:val="00D06134"/>
    <w:rsid w:val="00D0616D"/>
    <w:rsid w:val="00D061A2"/>
    <w:rsid w:val="00D061D8"/>
    <w:rsid w:val="00D06207"/>
    <w:rsid w:val="00D06256"/>
    <w:rsid w:val="00D0631D"/>
    <w:rsid w:val="00D0634D"/>
    <w:rsid w:val="00D063B7"/>
    <w:rsid w:val="00D063EE"/>
    <w:rsid w:val="00D063F0"/>
    <w:rsid w:val="00D06419"/>
    <w:rsid w:val="00D06436"/>
    <w:rsid w:val="00D06483"/>
    <w:rsid w:val="00D0655C"/>
    <w:rsid w:val="00D06590"/>
    <w:rsid w:val="00D06593"/>
    <w:rsid w:val="00D065DF"/>
    <w:rsid w:val="00D065EA"/>
    <w:rsid w:val="00D065EB"/>
    <w:rsid w:val="00D0663E"/>
    <w:rsid w:val="00D06740"/>
    <w:rsid w:val="00D067A2"/>
    <w:rsid w:val="00D067AF"/>
    <w:rsid w:val="00D067DC"/>
    <w:rsid w:val="00D06826"/>
    <w:rsid w:val="00D06843"/>
    <w:rsid w:val="00D06879"/>
    <w:rsid w:val="00D0688A"/>
    <w:rsid w:val="00D0690F"/>
    <w:rsid w:val="00D06913"/>
    <w:rsid w:val="00D069A4"/>
    <w:rsid w:val="00D069E3"/>
    <w:rsid w:val="00D069ED"/>
    <w:rsid w:val="00D06A2F"/>
    <w:rsid w:val="00D06A50"/>
    <w:rsid w:val="00D06AC7"/>
    <w:rsid w:val="00D06B07"/>
    <w:rsid w:val="00D06B5F"/>
    <w:rsid w:val="00D06C1D"/>
    <w:rsid w:val="00D06C43"/>
    <w:rsid w:val="00D06C4C"/>
    <w:rsid w:val="00D06C85"/>
    <w:rsid w:val="00D06C98"/>
    <w:rsid w:val="00D06CD0"/>
    <w:rsid w:val="00D06CF0"/>
    <w:rsid w:val="00D06D7B"/>
    <w:rsid w:val="00D06D9C"/>
    <w:rsid w:val="00D06DB7"/>
    <w:rsid w:val="00D06DC3"/>
    <w:rsid w:val="00D06DD0"/>
    <w:rsid w:val="00D06E72"/>
    <w:rsid w:val="00D06EF9"/>
    <w:rsid w:val="00D06F7A"/>
    <w:rsid w:val="00D06F99"/>
    <w:rsid w:val="00D06FB9"/>
    <w:rsid w:val="00D06FD9"/>
    <w:rsid w:val="00D0701C"/>
    <w:rsid w:val="00D0705D"/>
    <w:rsid w:val="00D070B0"/>
    <w:rsid w:val="00D07105"/>
    <w:rsid w:val="00D0710E"/>
    <w:rsid w:val="00D07114"/>
    <w:rsid w:val="00D07164"/>
    <w:rsid w:val="00D071DC"/>
    <w:rsid w:val="00D07207"/>
    <w:rsid w:val="00D0721B"/>
    <w:rsid w:val="00D07344"/>
    <w:rsid w:val="00D0734F"/>
    <w:rsid w:val="00D0736B"/>
    <w:rsid w:val="00D074FD"/>
    <w:rsid w:val="00D075BE"/>
    <w:rsid w:val="00D075E5"/>
    <w:rsid w:val="00D07766"/>
    <w:rsid w:val="00D07882"/>
    <w:rsid w:val="00D0788F"/>
    <w:rsid w:val="00D078C9"/>
    <w:rsid w:val="00D07950"/>
    <w:rsid w:val="00D07A7C"/>
    <w:rsid w:val="00D07A95"/>
    <w:rsid w:val="00D07AA5"/>
    <w:rsid w:val="00D07B16"/>
    <w:rsid w:val="00D07B1C"/>
    <w:rsid w:val="00D07B27"/>
    <w:rsid w:val="00D07B60"/>
    <w:rsid w:val="00D07B77"/>
    <w:rsid w:val="00D07C0A"/>
    <w:rsid w:val="00D07C4C"/>
    <w:rsid w:val="00D07C52"/>
    <w:rsid w:val="00D07C8D"/>
    <w:rsid w:val="00D07C9A"/>
    <w:rsid w:val="00D07D00"/>
    <w:rsid w:val="00D07D17"/>
    <w:rsid w:val="00D07D1B"/>
    <w:rsid w:val="00D07D7D"/>
    <w:rsid w:val="00D07D9F"/>
    <w:rsid w:val="00D07DA1"/>
    <w:rsid w:val="00D07DD5"/>
    <w:rsid w:val="00D07E4A"/>
    <w:rsid w:val="00D07F42"/>
    <w:rsid w:val="00D07F5F"/>
    <w:rsid w:val="00D07F97"/>
    <w:rsid w:val="00D1005B"/>
    <w:rsid w:val="00D1007C"/>
    <w:rsid w:val="00D10084"/>
    <w:rsid w:val="00D1008B"/>
    <w:rsid w:val="00D100A3"/>
    <w:rsid w:val="00D10208"/>
    <w:rsid w:val="00D102FA"/>
    <w:rsid w:val="00D103B8"/>
    <w:rsid w:val="00D10470"/>
    <w:rsid w:val="00D10582"/>
    <w:rsid w:val="00D10600"/>
    <w:rsid w:val="00D1063B"/>
    <w:rsid w:val="00D1063F"/>
    <w:rsid w:val="00D1073A"/>
    <w:rsid w:val="00D10776"/>
    <w:rsid w:val="00D10810"/>
    <w:rsid w:val="00D1083F"/>
    <w:rsid w:val="00D10909"/>
    <w:rsid w:val="00D1099B"/>
    <w:rsid w:val="00D10A17"/>
    <w:rsid w:val="00D10A73"/>
    <w:rsid w:val="00D10ADB"/>
    <w:rsid w:val="00D10AF4"/>
    <w:rsid w:val="00D10AFE"/>
    <w:rsid w:val="00D10B47"/>
    <w:rsid w:val="00D10B5E"/>
    <w:rsid w:val="00D10BAA"/>
    <w:rsid w:val="00D10BB8"/>
    <w:rsid w:val="00D10C1E"/>
    <w:rsid w:val="00D10C83"/>
    <w:rsid w:val="00D10CCB"/>
    <w:rsid w:val="00D10D1B"/>
    <w:rsid w:val="00D10D90"/>
    <w:rsid w:val="00D10DF8"/>
    <w:rsid w:val="00D10E52"/>
    <w:rsid w:val="00D10E76"/>
    <w:rsid w:val="00D10F01"/>
    <w:rsid w:val="00D10F17"/>
    <w:rsid w:val="00D10FB4"/>
    <w:rsid w:val="00D10FC0"/>
    <w:rsid w:val="00D110C7"/>
    <w:rsid w:val="00D11134"/>
    <w:rsid w:val="00D11175"/>
    <w:rsid w:val="00D1121B"/>
    <w:rsid w:val="00D1127C"/>
    <w:rsid w:val="00D11342"/>
    <w:rsid w:val="00D1137D"/>
    <w:rsid w:val="00D1138A"/>
    <w:rsid w:val="00D1139D"/>
    <w:rsid w:val="00D1142E"/>
    <w:rsid w:val="00D11442"/>
    <w:rsid w:val="00D114B1"/>
    <w:rsid w:val="00D11603"/>
    <w:rsid w:val="00D1160A"/>
    <w:rsid w:val="00D11782"/>
    <w:rsid w:val="00D11799"/>
    <w:rsid w:val="00D11810"/>
    <w:rsid w:val="00D11816"/>
    <w:rsid w:val="00D11876"/>
    <w:rsid w:val="00D118A5"/>
    <w:rsid w:val="00D11975"/>
    <w:rsid w:val="00D119B3"/>
    <w:rsid w:val="00D11AC7"/>
    <w:rsid w:val="00D11B50"/>
    <w:rsid w:val="00D11B90"/>
    <w:rsid w:val="00D11BAB"/>
    <w:rsid w:val="00D11C0B"/>
    <w:rsid w:val="00D11C19"/>
    <w:rsid w:val="00D11C1F"/>
    <w:rsid w:val="00D11C3B"/>
    <w:rsid w:val="00D11C47"/>
    <w:rsid w:val="00D11C69"/>
    <w:rsid w:val="00D11CA3"/>
    <w:rsid w:val="00D11D2F"/>
    <w:rsid w:val="00D11D42"/>
    <w:rsid w:val="00D11D6B"/>
    <w:rsid w:val="00D11DBD"/>
    <w:rsid w:val="00D11E2E"/>
    <w:rsid w:val="00D11E5E"/>
    <w:rsid w:val="00D11E7F"/>
    <w:rsid w:val="00D11ED5"/>
    <w:rsid w:val="00D11EE9"/>
    <w:rsid w:val="00D11EEC"/>
    <w:rsid w:val="00D11F4B"/>
    <w:rsid w:val="00D11F4D"/>
    <w:rsid w:val="00D12008"/>
    <w:rsid w:val="00D12026"/>
    <w:rsid w:val="00D1210B"/>
    <w:rsid w:val="00D12243"/>
    <w:rsid w:val="00D12299"/>
    <w:rsid w:val="00D12327"/>
    <w:rsid w:val="00D12369"/>
    <w:rsid w:val="00D12374"/>
    <w:rsid w:val="00D123C4"/>
    <w:rsid w:val="00D123F0"/>
    <w:rsid w:val="00D12511"/>
    <w:rsid w:val="00D1259B"/>
    <w:rsid w:val="00D125B9"/>
    <w:rsid w:val="00D12615"/>
    <w:rsid w:val="00D126F4"/>
    <w:rsid w:val="00D1270A"/>
    <w:rsid w:val="00D127D3"/>
    <w:rsid w:val="00D12815"/>
    <w:rsid w:val="00D1281D"/>
    <w:rsid w:val="00D1286F"/>
    <w:rsid w:val="00D12881"/>
    <w:rsid w:val="00D128BE"/>
    <w:rsid w:val="00D12950"/>
    <w:rsid w:val="00D12953"/>
    <w:rsid w:val="00D12992"/>
    <w:rsid w:val="00D12A49"/>
    <w:rsid w:val="00D12A4E"/>
    <w:rsid w:val="00D12A5F"/>
    <w:rsid w:val="00D12AE3"/>
    <w:rsid w:val="00D12B1E"/>
    <w:rsid w:val="00D12B29"/>
    <w:rsid w:val="00D12B2B"/>
    <w:rsid w:val="00D12B51"/>
    <w:rsid w:val="00D12BB1"/>
    <w:rsid w:val="00D12C11"/>
    <w:rsid w:val="00D12C14"/>
    <w:rsid w:val="00D12C1E"/>
    <w:rsid w:val="00D12D6C"/>
    <w:rsid w:val="00D12D81"/>
    <w:rsid w:val="00D12D95"/>
    <w:rsid w:val="00D12E0B"/>
    <w:rsid w:val="00D12EC0"/>
    <w:rsid w:val="00D12F16"/>
    <w:rsid w:val="00D12F96"/>
    <w:rsid w:val="00D130CE"/>
    <w:rsid w:val="00D13107"/>
    <w:rsid w:val="00D13119"/>
    <w:rsid w:val="00D1313A"/>
    <w:rsid w:val="00D1314C"/>
    <w:rsid w:val="00D1315D"/>
    <w:rsid w:val="00D13163"/>
    <w:rsid w:val="00D13230"/>
    <w:rsid w:val="00D13232"/>
    <w:rsid w:val="00D1323F"/>
    <w:rsid w:val="00D13353"/>
    <w:rsid w:val="00D133B8"/>
    <w:rsid w:val="00D133FF"/>
    <w:rsid w:val="00D1343A"/>
    <w:rsid w:val="00D13500"/>
    <w:rsid w:val="00D13518"/>
    <w:rsid w:val="00D1355A"/>
    <w:rsid w:val="00D135B5"/>
    <w:rsid w:val="00D135F0"/>
    <w:rsid w:val="00D13653"/>
    <w:rsid w:val="00D1367C"/>
    <w:rsid w:val="00D13688"/>
    <w:rsid w:val="00D136DE"/>
    <w:rsid w:val="00D1375D"/>
    <w:rsid w:val="00D13762"/>
    <w:rsid w:val="00D137C1"/>
    <w:rsid w:val="00D13820"/>
    <w:rsid w:val="00D1383D"/>
    <w:rsid w:val="00D13878"/>
    <w:rsid w:val="00D138D3"/>
    <w:rsid w:val="00D13924"/>
    <w:rsid w:val="00D1393D"/>
    <w:rsid w:val="00D13988"/>
    <w:rsid w:val="00D139D6"/>
    <w:rsid w:val="00D13A13"/>
    <w:rsid w:val="00D13B0E"/>
    <w:rsid w:val="00D13B98"/>
    <w:rsid w:val="00D13C0E"/>
    <w:rsid w:val="00D13C5C"/>
    <w:rsid w:val="00D13C75"/>
    <w:rsid w:val="00D13D23"/>
    <w:rsid w:val="00D13D78"/>
    <w:rsid w:val="00D13E3A"/>
    <w:rsid w:val="00D13E53"/>
    <w:rsid w:val="00D13E85"/>
    <w:rsid w:val="00D13E94"/>
    <w:rsid w:val="00D13EF8"/>
    <w:rsid w:val="00D13F49"/>
    <w:rsid w:val="00D140C0"/>
    <w:rsid w:val="00D140C1"/>
    <w:rsid w:val="00D140E7"/>
    <w:rsid w:val="00D140F5"/>
    <w:rsid w:val="00D1411F"/>
    <w:rsid w:val="00D14134"/>
    <w:rsid w:val="00D1415C"/>
    <w:rsid w:val="00D14265"/>
    <w:rsid w:val="00D142BA"/>
    <w:rsid w:val="00D142E1"/>
    <w:rsid w:val="00D14341"/>
    <w:rsid w:val="00D1439D"/>
    <w:rsid w:val="00D143D9"/>
    <w:rsid w:val="00D143E7"/>
    <w:rsid w:val="00D143EC"/>
    <w:rsid w:val="00D14452"/>
    <w:rsid w:val="00D1448E"/>
    <w:rsid w:val="00D144CE"/>
    <w:rsid w:val="00D14556"/>
    <w:rsid w:val="00D1455C"/>
    <w:rsid w:val="00D145AB"/>
    <w:rsid w:val="00D145FF"/>
    <w:rsid w:val="00D14612"/>
    <w:rsid w:val="00D14651"/>
    <w:rsid w:val="00D147A6"/>
    <w:rsid w:val="00D14823"/>
    <w:rsid w:val="00D1484E"/>
    <w:rsid w:val="00D148A3"/>
    <w:rsid w:val="00D148F3"/>
    <w:rsid w:val="00D14904"/>
    <w:rsid w:val="00D14909"/>
    <w:rsid w:val="00D14983"/>
    <w:rsid w:val="00D149D2"/>
    <w:rsid w:val="00D14B5B"/>
    <w:rsid w:val="00D14B82"/>
    <w:rsid w:val="00D14BCA"/>
    <w:rsid w:val="00D14BE0"/>
    <w:rsid w:val="00D14C26"/>
    <w:rsid w:val="00D14CBE"/>
    <w:rsid w:val="00D14CD8"/>
    <w:rsid w:val="00D14D08"/>
    <w:rsid w:val="00D14D49"/>
    <w:rsid w:val="00D14D90"/>
    <w:rsid w:val="00D14DD0"/>
    <w:rsid w:val="00D14DE0"/>
    <w:rsid w:val="00D14E0F"/>
    <w:rsid w:val="00D14EB8"/>
    <w:rsid w:val="00D14EFC"/>
    <w:rsid w:val="00D14F84"/>
    <w:rsid w:val="00D150EA"/>
    <w:rsid w:val="00D151B2"/>
    <w:rsid w:val="00D151F4"/>
    <w:rsid w:val="00D15224"/>
    <w:rsid w:val="00D15373"/>
    <w:rsid w:val="00D15396"/>
    <w:rsid w:val="00D1542D"/>
    <w:rsid w:val="00D15601"/>
    <w:rsid w:val="00D15665"/>
    <w:rsid w:val="00D157B9"/>
    <w:rsid w:val="00D1580D"/>
    <w:rsid w:val="00D15835"/>
    <w:rsid w:val="00D15880"/>
    <w:rsid w:val="00D159C8"/>
    <w:rsid w:val="00D15A18"/>
    <w:rsid w:val="00D15A36"/>
    <w:rsid w:val="00D15A71"/>
    <w:rsid w:val="00D15AFB"/>
    <w:rsid w:val="00D15B3E"/>
    <w:rsid w:val="00D15BDB"/>
    <w:rsid w:val="00D15C20"/>
    <w:rsid w:val="00D15CAA"/>
    <w:rsid w:val="00D15CEA"/>
    <w:rsid w:val="00D15D71"/>
    <w:rsid w:val="00D15DC4"/>
    <w:rsid w:val="00D15DE9"/>
    <w:rsid w:val="00D15E1A"/>
    <w:rsid w:val="00D15E5C"/>
    <w:rsid w:val="00D15F23"/>
    <w:rsid w:val="00D15FA2"/>
    <w:rsid w:val="00D16044"/>
    <w:rsid w:val="00D1608F"/>
    <w:rsid w:val="00D160CB"/>
    <w:rsid w:val="00D160EE"/>
    <w:rsid w:val="00D16118"/>
    <w:rsid w:val="00D16163"/>
    <w:rsid w:val="00D16261"/>
    <w:rsid w:val="00D162CD"/>
    <w:rsid w:val="00D1637A"/>
    <w:rsid w:val="00D163B9"/>
    <w:rsid w:val="00D16408"/>
    <w:rsid w:val="00D1646B"/>
    <w:rsid w:val="00D16485"/>
    <w:rsid w:val="00D164FB"/>
    <w:rsid w:val="00D165AD"/>
    <w:rsid w:val="00D165E1"/>
    <w:rsid w:val="00D16722"/>
    <w:rsid w:val="00D1673B"/>
    <w:rsid w:val="00D167CA"/>
    <w:rsid w:val="00D167EB"/>
    <w:rsid w:val="00D1683B"/>
    <w:rsid w:val="00D1684C"/>
    <w:rsid w:val="00D168EE"/>
    <w:rsid w:val="00D16901"/>
    <w:rsid w:val="00D16956"/>
    <w:rsid w:val="00D16994"/>
    <w:rsid w:val="00D169AB"/>
    <w:rsid w:val="00D169AC"/>
    <w:rsid w:val="00D16AF3"/>
    <w:rsid w:val="00D16B5D"/>
    <w:rsid w:val="00D16B80"/>
    <w:rsid w:val="00D16BA4"/>
    <w:rsid w:val="00D16BB8"/>
    <w:rsid w:val="00D16BF6"/>
    <w:rsid w:val="00D16C40"/>
    <w:rsid w:val="00D16CAB"/>
    <w:rsid w:val="00D16DA6"/>
    <w:rsid w:val="00D16DCB"/>
    <w:rsid w:val="00D16E45"/>
    <w:rsid w:val="00D16E5A"/>
    <w:rsid w:val="00D16EE6"/>
    <w:rsid w:val="00D16F1F"/>
    <w:rsid w:val="00D16F28"/>
    <w:rsid w:val="00D1700C"/>
    <w:rsid w:val="00D17033"/>
    <w:rsid w:val="00D17067"/>
    <w:rsid w:val="00D1706E"/>
    <w:rsid w:val="00D170FF"/>
    <w:rsid w:val="00D17162"/>
    <w:rsid w:val="00D1717F"/>
    <w:rsid w:val="00D171E2"/>
    <w:rsid w:val="00D171E9"/>
    <w:rsid w:val="00D17232"/>
    <w:rsid w:val="00D17303"/>
    <w:rsid w:val="00D1732A"/>
    <w:rsid w:val="00D1732B"/>
    <w:rsid w:val="00D1732C"/>
    <w:rsid w:val="00D17489"/>
    <w:rsid w:val="00D17567"/>
    <w:rsid w:val="00D175C6"/>
    <w:rsid w:val="00D176C7"/>
    <w:rsid w:val="00D176D4"/>
    <w:rsid w:val="00D177A6"/>
    <w:rsid w:val="00D17859"/>
    <w:rsid w:val="00D17894"/>
    <w:rsid w:val="00D178E4"/>
    <w:rsid w:val="00D17947"/>
    <w:rsid w:val="00D17953"/>
    <w:rsid w:val="00D17A6F"/>
    <w:rsid w:val="00D17AA0"/>
    <w:rsid w:val="00D17AB3"/>
    <w:rsid w:val="00D17AD0"/>
    <w:rsid w:val="00D17AD8"/>
    <w:rsid w:val="00D17B18"/>
    <w:rsid w:val="00D17B28"/>
    <w:rsid w:val="00D17CC9"/>
    <w:rsid w:val="00D17D03"/>
    <w:rsid w:val="00D17D67"/>
    <w:rsid w:val="00D17D8E"/>
    <w:rsid w:val="00D17DA0"/>
    <w:rsid w:val="00D17DE3"/>
    <w:rsid w:val="00D17E2A"/>
    <w:rsid w:val="00D17E7B"/>
    <w:rsid w:val="00D17E88"/>
    <w:rsid w:val="00D17EE9"/>
    <w:rsid w:val="00D17F62"/>
    <w:rsid w:val="00D17FEB"/>
    <w:rsid w:val="00D20009"/>
    <w:rsid w:val="00D2005F"/>
    <w:rsid w:val="00D2014E"/>
    <w:rsid w:val="00D2017C"/>
    <w:rsid w:val="00D20279"/>
    <w:rsid w:val="00D202DA"/>
    <w:rsid w:val="00D202F4"/>
    <w:rsid w:val="00D2030D"/>
    <w:rsid w:val="00D2032C"/>
    <w:rsid w:val="00D203B5"/>
    <w:rsid w:val="00D20438"/>
    <w:rsid w:val="00D20471"/>
    <w:rsid w:val="00D204EB"/>
    <w:rsid w:val="00D204F0"/>
    <w:rsid w:val="00D20505"/>
    <w:rsid w:val="00D20511"/>
    <w:rsid w:val="00D20529"/>
    <w:rsid w:val="00D2056B"/>
    <w:rsid w:val="00D205CA"/>
    <w:rsid w:val="00D2066F"/>
    <w:rsid w:val="00D2070D"/>
    <w:rsid w:val="00D2074F"/>
    <w:rsid w:val="00D207FE"/>
    <w:rsid w:val="00D208F7"/>
    <w:rsid w:val="00D2090F"/>
    <w:rsid w:val="00D20AE7"/>
    <w:rsid w:val="00D20B00"/>
    <w:rsid w:val="00D20B15"/>
    <w:rsid w:val="00D20B2D"/>
    <w:rsid w:val="00D20B36"/>
    <w:rsid w:val="00D20B67"/>
    <w:rsid w:val="00D20B8D"/>
    <w:rsid w:val="00D20BBD"/>
    <w:rsid w:val="00D20C10"/>
    <w:rsid w:val="00D20DBB"/>
    <w:rsid w:val="00D20DCF"/>
    <w:rsid w:val="00D20E45"/>
    <w:rsid w:val="00D20EA0"/>
    <w:rsid w:val="00D20ECE"/>
    <w:rsid w:val="00D20F5E"/>
    <w:rsid w:val="00D20F6F"/>
    <w:rsid w:val="00D20F8F"/>
    <w:rsid w:val="00D2109E"/>
    <w:rsid w:val="00D210AA"/>
    <w:rsid w:val="00D210C0"/>
    <w:rsid w:val="00D2118C"/>
    <w:rsid w:val="00D2118E"/>
    <w:rsid w:val="00D211F8"/>
    <w:rsid w:val="00D212A2"/>
    <w:rsid w:val="00D2132A"/>
    <w:rsid w:val="00D21395"/>
    <w:rsid w:val="00D213A8"/>
    <w:rsid w:val="00D213BE"/>
    <w:rsid w:val="00D213CD"/>
    <w:rsid w:val="00D21443"/>
    <w:rsid w:val="00D21460"/>
    <w:rsid w:val="00D2150F"/>
    <w:rsid w:val="00D2151D"/>
    <w:rsid w:val="00D21547"/>
    <w:rsid w:val="00D216D9"/>
    <w:rsid w:val="00D217A6"/>
    <w:rsid w:val="00D2180F"/>
    <w:rsid w:val="00D21891"/>
    <w:rsid w:val="00D218DE"/>
    <w:rsid w:val="00D219A2"/>
    <w:rsid w:val="00D21A5C"/>
    <w:rsid w:val="00D21AA7"/>
    <w:rsid w:val="00D21AC9"/>
    <w:rsid w:val="00D21AD4"/>
    <w:rsid w:val="00D21AD6"/>
    <w:rsid w:val="00D21ADC"/>
    <w:rsid w:val="00D21B3B"/>
    <w:rsid w:val="00D21D17"/>
    <w:rsid w:val="00D21D92"/>
    <w:rsid w:val="00D21D93"/>
    <w:rsid w:val="00D21EB2"/>
    <w:rsid w:val="00D21FA2"/>
    <w:rsid w:val="00D21FF2"/>
    <w:rsid w:val="00D2211D"/>
    <w:rsid w:val="00D22120"/>
    <w:rsid w:val="00D22124"/>
    <w:rsid w:val="00D222B8"/>
    <w:rsid w:val="00D222EA"/>
    <w:rsid w:val="00D2230A"/>
    <w:rsid w:val="00D22335"/>
    <w:rsid w:val="00D22374"/>
    <w:rsid w:val="00D2237A"/>
    <w:rsid w:val="00D2239F"/>
    <w:rsid w:val="00D223D7"/>
    <w:rsid w:val="00D2243D"/>
    <w:rsid w:val="00D22481"/>
    <w:rsid w:val="00D224C6"/>
    <w:rsid w:val="00D2257B"/>
    <w:rsid w:val="00D225A3"/>
    <w:rsid w:val="00D225AB"/>
    <w:rsid w:val="00D225D8"/>
    <w:rsid w:val="00D225EB"/>
    <w:rsid w:val="00D22683"/>
    <w:rsid w:val="00D227D5"/>
    <w:rsid w:val="00D227F3"/>
    <w:rsid w:val="00D22817"/>
    <w:rsid w:val="00D22944"/>
    <w:rsid w:val="00D229C5"/>
    <w:rsid w:val="00D22A31"/>
    <w:rsid w:val="00D22A57"/>
    <w:rsid w:val="00D22AD0"/>
    <w:rsid w:val="00D22AD7"/>
    <w:rsid w:val="00D22B2B"/>
    <w:rsid w:val="00D22B45"/>
    <w:rsid w:val="00D22C0A"/>
    <w:rsid w:val="00D22C69"/>
    <w:rsid w:val="00D22CAA"/>
    <w:rsid w:val="00D22D33"/>
    <w:rsid w:val="00D22E29"/>
    <w:rsid w:val="00D22EAD"/>
    <w:rsid w:val="00D22EBF"/>
    <w:rsid w:val="00D22FA9"/>
    <w:rsid w:val="00D22FC8"/>
    <w:rsid w:val="00D23013"/>
    <w:rsid w:val="00D23063"/>
    <w:rsid w:val="00D2316A"/>
    <w:rsid w:val="00D23295"/>
    <w:rsid w:val="00D232A5"/>
    <w:rsid w:val="00D232DC"/>
    <w:rsid w:val="00D232DF"/>
    <w:rsid w:val="00D232E0"/>
    <w:rsid w:val="00D232E6"/>
    <w:rsid w:val="00D23343"/>
    <w:rsid w:val="00D233D0"/>
    <w:rsid w:val="00D233F4"/>
    <w:rsid w:val="00D23415"/>
    <w:rsid w:val="00D23420"/>
    <w:rsid w:val="00D23470"/>
    <w:rsid w:val="00D234DF"/>
    <w:rsid w:val="00D234E7"/>
    <w:rsid w:val="00D23557"/>
    <w:rsid w:val="00D23646"/>
    <w:rsid w:val="00D2365E"/>
    <w:rsid w:val="00D23676"/>
    <w:rsid w:val="00D2375F"/>
    <w:rsid w:val="00D23776"/>
    <w:rsid w:val="00D23877"/>
    <w:rsid w:val="00D2388D"/>
    <w:rsid w:val="00D238B3"/>
    <w:rsid w:val="00D2391F"/>
    <w:rsid w:val="00D23937"/>
    <w:rsid w:val="00D23957"/>
    <w:rsid w:val="00D23961"/>
    <w:rsid w:val="00D23997"/>
    <w:rsid w:val="00D23A2C"/>
    <w:rsid w:val="00D23A50"/>
    <w:rsid w:val="00D23AF9"/>
    <w:rsid w:val="00D23BA0"/>
    <w:rsid w:val="00D23C37"/>
    <w:rsid w:val="00D23C70"/>
    <w:rsid w:val="00D23C75"/>
    <w:rsid w:val="00D23C85"/>
    <w:rsid w:val="00D23CB0"/>
    <w:rsid w:val="00D23CB3"/>
    <w:rsid w:val="00D23CE2"/>
    <w:rsid w:val="00D23D30"/>
    <w:rsid w:val="00D23D59"/>
    <w:rsid w:val="00D23E0E"/>
    <w:rsid w:val="00D23E3F"/>
    <w:rsid w:val="00D23E87"/>
    <w:rsid w:val="00D23ED6"/>
    <w:rsid w:val="00D23FB1"/>
    <w:rsid w:val="00D240D0"/>
    <w:rsid w:val="00D240EE"/>
    <w:rsid w:val="00D24100"/>
    <w:rsid w:val="00D2419F"/>
    <w:rsid w:val="00D241A9"/>
    <w:rsid w:val="00D24215"/>
    <w:rsid w:val="00D24225"/>
    <w:rsid w:val="00D24227"/>
    <w:rsid w:val="00D2424F"/>
    <w:rsid w:val="00D242A6"/>
    <w:rsid w:val="00D242D3"/>
    <w:rsid w:val="00D242F9"/>
    <w:rsid w:val="00D24315"/>
    <w:rsid w:val="00D2436F"/>
    <w:rsid w:val="00D24482"/>
    <w:rsid w:val="00D24492"/>
    <w:rsid w:val="00D244BF"/>
    <w:rsid w:val="00D244E3"/>
    <w:rsid w:val="00D24589"/>
    <w:rsid w:val="00D245AA"/>
    <w:rsid w:val="00D24651"/>
    <w:rsid w:val="00D246E6"/>
    <w:rsid w:val="00D24715"/>
    <w:rsid w:val="00D24717"/>
    <w:rsid w:val="00D24726"/>
    <w:rsid w:val="00D2475C"/>
    <w:rsid w:val="00D247DE"/>
    <w:rsid w:val="00D24829"/>
    <w:rsid w:val="00D2484A"/>
    <w:rsid w:val="00D248EC"/>
    <w:rsid w:val="00D2494D"/>
    <w:rsid w:val="00D24A2B"/>
    <w:rsid w:val="00D24B79"/>
    <w:rsid w:val="00D24C57"/>
    <w:rsid w:val="00D24C6A"/>
    <w:rsid w:val="00D24C7D"/>
    <w:rsid w:val="00D24CEE"/>
    <w:rsid w:val="00D24D18"/>
    <w:rsid w:val="00D24D88"/>
    <w:rsid w:val="00D24DAB"/>
    <w:rsid w:val="00D24DAE"/>
    <w:rsid w:val="00D24E2D"/>
    <w:rsid w:val="00D24E5C"/>
    <w:rsid w:val="00D24E84"/>
    <w:rsid w:val="00D24EF8"/>
    <w:rsid w:val="00D24F44"/>
    <w:rsid w:val="00D24F88"/>
    <w:rsid w:val="00D24FAA"/>
    <w:rsid w:val="00D25027"/>
    <w:rsid w:val="00D2504B"/>
    <w:rsid w:val="00D2508D"/>
    <w:rsid w:val="00D250BD"/>
    <w:rsid w:val="00D250D1"/>
    <w:rsid w:val="00D251A4"/>
    <w:rsid w:val="00D25226"/>
    <w:rsid w:val="00D252DB"/>
    <w:rsid w:val="00D254BA"/>
    <w:rsid w:val="00D254CE"/>
    <w:rsid w:val="00D254F1"/>
    <w:rsid w:val="00D2555A"/>
    <w:rsid w:val="00D2557D"/>
    <w:rsid w:val="00D2560C"/>
    <w:rsid w:val="00D2560D"/>
    <w:rsid w:val="00D25632"/>
    <w:rsid w:val="00D25638"/>
    <w:rsid w:val="00D25680"/>
    <w:rsid w:val="00D25725"/>
    <w:rsid w:val="00D25821"/>
    <w:rsid w:val="00D25880"/>
    <w:rsid w:val="00D258E8"/>
    <w:rsid w:val="00D258F1"/>
    <w:rsid w:val="00D259F9"/>
    <w:rsid w:val="00D25AF3"/>
    <w:rsid w:val="00D25B1E"/>
    <w:rsid w:val="00D25B35"/>
    <w:rsid w:val="00D25BDC"/>
    <w:rsid w:val="00D25C00"/>
    <w:rsid w:val="00D25C2F"/>
    <w:rsid w:val="00D25C80"/>
    <w:rsid w:val="00D25CA3"/>
    <w:rsid w:val="00D25CC8"/>
    <w:rsid w:val="00D25CE3"/>
    <w:rsid w:val="00D25D85"/>
    <w:rsid w:val="00D25E28"/>
    <w:rsid w:val="00D25E59"/>
    <w:rsid w:val="00D25ECE"/>
    <w:rsid w:val="00D25ED0"/>
    <w:rsid w:val="00D25EFA"/>
    <w:rsid w:val="00D25F23"/>
    <w:rsid w:val="00D25FC3"/>
    <w:rsid w:val="00D26022"/>
    <w:rsid w:val="00D26024"/>
    <w:rsid w:val="00D26146"/>
    <w:rsid w:val="00D26161"/>
    <w:rsid w:val="00D26171"/>
    <w:rsid w:val="00D2617A"/>
    <w:rsid w:val="00D261C4"/>
    <w:rsid w:val="00D2621A"/>
    <w:rsid w:val="00D26246"/>
    <w:rsid w:val="00D26269"/>
    <w:rsid w:val="00D262C7"/>
    <w:rsid w:val="00D262D6"/>
    <w:rsid w:val="00D26489"/>
    <w:rsid w:val="00D264BC"/>
    <w:rsid w:val="00D265FC"/>
    <w:rsid w:val="00D2662A"/>
    <w:rsid w:val="00D266A6"/>
    <w:rsid w:val="00D266ED"/>
    <w:rsid w:val="00D26797"/>
    <w:rsid w:val="00D268F2"/>
    <w:rsid w:val="00D268F3"/>
    <w:rsid w:val="00D26907"/>
    <w:rsid w:val="00D2696A"/>
    <w:rsid w:val="00D26983"/>
    <w:rsid w:val="00D269FA"/>
    <w:rsid w:val="00D26A2B"/>
    <w:rsid w:val="00D26A73"/>
    <w:rsid w:val="00D26BD0"/>
    <w:rsid w:val="00D26C1F"/>
    <w:rsid w:val="00D26CD7"/>
    <w:rsid w:val="00D26D6A"/>
    <w:rsid w:val="00D26D99"/>
    <w:rsid w:val="00D26DB2"/>
    <w:rsid w:val="00D26DC7"/>
    <w:rsid w:val="00D26DDF"/>
    <w:rsid w:val="00D26E8D"/>
    <w:rsid w:val="00D26EBF"/>
    <w:rsid w:val="00D26F2D"/>
    <w:rsid w:val="00D270BB"/>
    <w:rsid w:val="00D27175"/>
    <w:rsid w:val="00D271AA"/>
    <w:rsid w:val="00D271AE"/>
    <w:rsid w:val="00D2721A"/>
    <w:rsid w:val="00D27237"/>
    <w:rsid w:val="00D27243"/>
    <w:rsid w:val="00D27253"/>
    <w:rsid w:val="00D27290"/>
    <w:rsid w:val="00D272C1"/>
    <w:rsid w:val="00D272D2"/>
    <w:rsid w:val="00D272F1"/>
    <w:rsid w:val="00D272F2"/>
    <w:rsid w:val="00D2734D"/>
    <w:rsid w:val="00D27385"/>
    <w:rsid w:val="00D2746E"/>
    <w:rsid w:val="00D27485"/>
    <w:rsid w:val="00D27490"/>
    <w:rsid w:val="00D274CB"/>
    <w:rsid w:val="00D274EE"/>
    <w:rsid w:val="00D27514"/>
    <w:rsid w:val="00D275B9"/>
    <w:rsid w:val="00D27668"/>
    <w:rsid w:val="00D276C9"/>
    <w:rsid w:val="00D27756"/>
    <w:rsid w:val="00D27794"/>
    <w:rsid w:val="00D27799"/>
    <w:rsid w:val="00D277CB"/>
    <w:rsid w:val="00D27848"/>
    <w:rsid w:val="00D2784D"/>
    <w:rsid w:val="00D2787D"/>
    <w:rsid w:val="00D27910"/>
    <w:rsid w:val="00D27979"/>
    <w:rsid w:val="00D279F9"/>
    <w:rsid w:val="00D27A05"/>
    <w:rsid w:val="00D27AAA"/>
    <w:rsid w:val="00D27AC4"/>
    <w:rsid w:val="00D27B69"/>
    <w:rsid w:val="00D27BB0"/>
    <w:rsid w:val="00D27BDE"/>
    <w:rsid w:val="00D27C3F"/>
    <w:rsid w:val="00D27D74"/>
    <w:rsid w:val="00D27D84"/>
    <w:rsid w:val="00D27DC8"/>
    <w:rsid w:val="00D27DFC"/>
    <w:rsid w:val="00D27E3A"/>
    <w:rsid w:val="00D27E43"/>
    <w:rsid w:val="00D27EAA"/>
    <w:rsid w:val="00D27EC8"/>
    <w:rsid w:val="00D27F3D"/>
    <w:rsid w:val="00D27F53"/>
    <w:rsid w:val="00D27F61"/>
    <w:rsid w:val="00D27F8D"/>
    <w:rsid w:val="00D27FE9"/>
    <w:rsid w:val="00D27FF9"/>
    <w:rsid w:val="00D30027"/>
    <w:rsid w:val="00D30089"/>
    <w:rsid w:val="00D30093"/>
    <w:rsid w:val="00D3019E"/>
    <w:rsid w:val="00D301BF"/>
    <w:rsid w:val="00D301F3"/>
    <w:rsid w:val="00D30257"/>
    <w:rsid w:val="00D302EE"/>
    <w:rsid w:val="00D30368"/>
    <w:rsid w:val="00D303FB"/>
    <w:rsid w:val="00D30437"/>
    <w:rsid w:val="00D304AC"/>
    <w:rsid w:val="00D304B2"/>
    <w:rsid w:val="00D304FE"/>
    <w:rsid w:val="00D30501"/>
    <w:rsid w:val="00D3050B"/>
    <w:rsid w:val="00D305DD"/>
    <w:rsid w:val="00D306F4"/>
    <w:rsid w:val="00D3081D"/>
    <w:rsid w:val="00D308E7"/>
    <w:rsid w:val="00D309C0"/>
    <w:rsid w:val="00D30AC5"/>
    <w:rsid w:val="00D30AFA"/>
    <w:rsid w:val="00D30B5E"/>
    <w:rsid w:val="00D30B6D"/>
    <w:rsid w:val="00D30B7B"/>
    <w:rsid w:val="00D30B87"/>
    <w:rsid w:val="00D30C9F"/>
    <w:rsid w:val="00D30CAC"/>
    <w:rsid w:val="00D30D1F"/>
    <w:rsid w:val="00D30D28"/>
    <w:rsid w:val="00D30D4A"/>
    <w:rsid w:val="00D30DCB"/>
    <w:rsid w:val="00D30DF6"/>
    <w:rsid w:val="00D30E19"/>
    <w:rsid w:val="00D30E20"/>
    <w:rsid w:val="00D30EDD"/>
    <w:rsid w:val="00D30FA1"/>
    <w:rsid w:val="00D30FC9"/>
    <w:rsid w:val="00D30FFA"/>
    <w:rsid w:val="00D310A7"/>
    <w:rsid w:val="00D31146"/>
    <w:rsid w:val="00D31162"/>
    <w:rsid w:val="00D3116B"/>
    <w:rsid w:val="00D311E2"/>
    <w:rsid w:val="00D31220"/>
    <w:rsid w:val="00D3126B"/>
    <w:rsid w:val="00D31316"/>
    <w:rsid w:val="00D3133C"/>
    <w:rsid w:val="00D313E9"/>
    <w:rsid w:val="00D31465"/>
    <w:rsid w:val="00D314C8"/>
    <w:rsid w:val="00D3153F"/>
    <w:rsid w:val="00D3157C"/>
    <w:rsid w:val="00D316D5"/>
    <w:rsid w:val="00D31707"/>
    <w:rsid w:val="00D3171C"/>
    <w:rsid w:val="00D31723"/>
    <w:rsid w:val="00D3178D"/>
    <w:rsid w:val="00D3178E"/>
    <w:rsid w:val="00D317E4"/>
    <w:rsid w:val="00D3188A"/>
    <w:rsid w:val="00D318DF"/>
    <w:rsid w:val="00D31928"/>
    <w:rsid w:val="00D31938"/>
    <w:rsid w:val="00D31953"/>
    <w:rsid w:val="00D31995"/>
    <w:rsid w:val="00D319DD"/>
    <w:rsid w:val="00D319EF"/>
    <w:rsid w:val="00D31A24"/>
    <w:rsid w:val="00D31AD2"/>
    <w:rsid w:val="00D31BC4"/>
    <w:rsid w:val="00D31C02"/>
    <w:rsid w:val="00D31C2E"/>
    <w:rsid w:val="00D31C7B"/>
    <w:rsid w:val="00D31D33"/>
    <w:rsid w:val="00D31D85"/>
    <w:rsid w:val="00D31DAA"/>
    <w:rsid w:val="00D31EFE"/>
    <w:rsid w:val="00D32063"/>
    <w:rsid w:val="00D32098"/>
    <w:rsid w:val="00D32161"/>
    <w:rsid w:val="00D32234"/>
    <w:rsid w:val="00D3228B"/>
    <w:rsid w:val="00D3229F"/>
    <w:rsid w:val="00D322BD"/>
    <w:rsid w:val="00D3230F"/>
    <w:rsid w:val="00D323F2"/>
    <w:rsid w:val="00D32459"/>
    <w:rsid w:val="00D32477"/>
    <w:rsid w:val="00D324A2"/>
    <w:rsid w:val="00D324B0"/>
    <w:rsid w:val="00D32500"/>
    <w:rsid w:val="00D3253E"/>
    <w:rsid w:val="00D3254D"/>
    <w:rsid w:val="00D3275D"/>
    <w:rsid w:val="00D32789"/>
    <w:rsid w:val="00D3279B"/>
    <w:rsid w:val="00D32816"/>
    <w:rsid w:val="00D3285C"/>
    <w:rsid w:val="00D328A0"/>
    <w:rsid w:val="00D328C7"/>
    <w:rsid w:val="00D328C8"/>
    <w:rsid w:val="00D329C4"/>
    <w:rsid w:val="00D329E7"/>
    <w:rsid w:val="00D32A15"/>
    <w:rsid w:val="00D32ACF"/>
    <w:rsid w:val="00D32BD1"/>
    <w:rsid w:val="00D32C3C"/>
    <w:rsid w:val="00D32C49"/>
    <w:rsid w:val="00D32D31"/>
    <w:rsid w:val="00D32D5A"/>
    <w:rsid w:val="00D32DAF"/>
    <w:rsid w:val="00D32DCC"/>
    <w:rsid w:val="00D32E34"/>
    <w:rsid w:val="00D32E6E"/>
    <w:rsid w:val="00D32EE0"/>
    <w:rsid w:val="00D32F4B"/>
    <w:rsid w:val="00D32F50"/>
    <w:rsid w:val="00D32F92"/>
    <w:rsid w:val="00D32FB6"/>
    <w:rsid w:val="00D32FBE"/>
    <w:rsid w:val="00D32FD6"/>
    <w:rsid w:val="00D33043"/>
    <w:rsid w:val="00D33062"/>
    <w:rsid w:val="00D330F0"/>
    <w:rsid w:val="00D330FF"/>
    <w:rsid w:val="00D3311F"/>
    <w:rsid w:val="00D3312D"/>
    <w:rsid w:val="00D33158"/>
    <w:rsid w:val="00D331BD"/>
    <w:rsid w:val="00D332A3"/>
    <w:rsid w:val="00D332A9"/>
    <w:rsid w:val="00D332C2"/>
    <w:rsid w:val="00D33309"/>
    <w:rsid w:val="00D33420"/>
    <w:rsid w:val="00D3345D"/>
    <w:rsid w:val="00D334AD"/>
    <w:rsid w:val="00D334CD"/>
    <w:rsid w:val="00D33523"/>
    <w:rsid w:val="00D3353D"/>
    <w:rsid w:val="00D335FF"/>
    <w:rsid w:val="00D3364F"/>
    <w:rsid w:val="00D3367C"/>
    <w:rsid w:val="00D33709"/>
    <w:rsid w:val="00D3374A"/>
    <w:rsid w:val="00D3380F"/>
    <w:rsid w:val="00D33931"/>
    <w:rsid w:val="00D3394C"/>
    <w:rsid w:val="00D3395D"/>
    <w:rsid w:val="00D3396A"/>
    <w:rsid w:val="00D33971"/>
    <w:rsid w:val="00D3397C"/>
    <w:rsid w:val="00D33A26"/>
    <w:rsid w:val="00D33A2A"/>
    <w:rsid w:val="00D33A68"/>
    <w:rsid w:val="00D33A7B"/>
    <w:rsid w:val="00D33AAF"/>
    <w:rsid w:val="00D33B3F"/>
    <w:rsid w:val="00D33B61"/>
    <w:rsid w:val="00D33B64"/>
    <w:rsid w:val="00D33B69"/>
    <w:rsid w:val="00D33C1D"/>
    <w:rsid w:val="00D33C4E"/>
    <w:rsid w:val="00D33C9B"/>
    <w:rsid w:val="00D33D13"/>
    <w:rsid w:val="00D33D30"/>
    <w:rsid w:val="00D33D4B"/>
    <w:rsid w:val="00D33D4E"/>
    <w:rsid w:val="00D33D4F"/>
    <w:rsid w:val="00D33EAC"/>
    <w:rsid w:val="00D33ECC"/>
    <w:rsid w:val="00D33F1A"/>
    <w:rsid w:val="00D33FDD"/>
    <w:rsid w:val="00D34121"/>
    <w:rsid w:val="00D34184"/>
    <w:rsid w:val="00D3418F"/>
    <w:rsid w:val="00D341AA"/>
    <w:rsid w:val="00D341D8"/>
    <w:rsid w:val="00D34218"/>
    <w:rsid w:val="00D34239"/>
    <w:rsid w:val="00D34277"/>
    <w:rsid w:val="00D3430E"/>
    <w:rsid w:val="00D3431D"/>
    <w:rsid w:val="00D343D5"/>
    <w:rsid w:val="00D344EF"/>
    <w:rsid w:val="00D344FD"/>
    <w:rsid w:val="00D34550"/>
    <w:rsid w:val="00D3459F"/>
    <w:rsid w:val="00D34668"/>
    <w:rsid w:val="00D34676"/>
    <w:rsid w:val="00D346C8"/>
    <w:rsid w:val="00D34704"/>
    <w:rsid w:val="00D34761"/>
    <w:rsid w:val="00D3476C"/>
    <w:rsid w:val="00D34879"/>
    <w:rsid w:val="00D34899"/>
    <w:rsid w:val="00D348E6"/>
    <w:rsid w:val="00D34A12"/>
    <w:rsid w:val="00D34A21"/>
    <w:rsid w:val="00D34AA2"/>
    <w:rsid w:val="00D34AFC"/>
    <w:rsid w:val="00D34B6B"/>
    <w:rsid w:val="00D34BAE"/>
    <w:rsid w:val="00D34C25"/>
    <w:rsid w:val="00D34C5D"/>
    <w:rsid w:val="00D34C74"/>
    <w:rsid w:val="00D34CEC"/>
    <w:rsid w:val="00D34E45"/>
    <w:rsid w:val="00D34EBD"/>
    <w:rsid w:val="00D34ECA"/>
    <w:rsid w:val="00D34EF3"/>
    <w:rsid w:val="00D34F90"/>
    <w:rsid w:val="00D34FA8"/>
    <w:rsid w:val="00D35056"/>
    <w:rsid w:val="00D3511D"/>
    <w:rsid w:val="00D3515F"/>
    <w:rsid w:val="00D352E3"/>
    <w:rsid w:val="00D35309"/>
    <w:rsid w:val="00D35364"/>
    <w:rsid w:val="00D35468"/>
    <w:rsid w:val="00D354D4"/>
    <w:rsid w:val="00D35503"/>
    <w:rsid w:val="00D35554"/>
    <w:rsid w:val="00D3555D"/>
    <w:rsid w:val="00D355B8"/>
    <w:rsid w:val="00D355C3"/>
    <w:rsid w:val="00D355C9"/>
    <w:rsid w:val="00D35662"/>
    <w:rsid w:val="00D35686"/>
    <w:rsid w:val="00D35692"/>
    <w:rsid w:val="00D35746"/>
    <w:rsid w:val="00D35779"/>
    <w:rsid w:val="00D357A9"/>
    <w:rsid w:val="00D35889"/>
    <w:rsid w:val="00D358FA"/>
    <w:rsid w:val="00D359AC"/>
    <w:rsid w:val="00D359ED"/>
    <w:rsid w:val="00D35AF7"/>
    <w:rsid w:val="00D35C3D"/>
    <w:rsid w:val="00D35D21"/>
    <w:rsid w:val="00D35DC1"/>
    <w:rsid w:val="00D35E64"/>
    <w:rsid w:val="00D35E8A"/>
    <w:rsid w:val="00D35ECD"/>
    <w:rsid w:val="00D35EE3"/>
    <w:rsid w:val="00D35EFB"/>
    <w:rsid w:val="00D35FB9"/>
    <w:rsid w:val="00D35FED"/>
    <w:rsid w:val="00D35FF2"/>
    <w:rsid w:val="00D36015"/>
    <w:rsid w:val="00D361BF"/>
    <w:rsid w:val="00D361C7"/>
    <w:rsid w:val="00D3625B"/>
    <w:rsid w:val="00D36265"/>
    <w:rsid w:val="00D36294"/>
    <w:rsid w:val="00D362E8"/>
    <w:rsid w:val="00D362EA"/>
    <w:rsid w:val="00D362FD"/>
    <w:rsid w:val="00D36341"/>
    <w:rsid w:val="00D3647A"/>
    <w:rsid w:val="00D36493"/>
    <w:rsid w:val="00D364AB"/>
    <w:rsid w:val="00D36531"/>
    <w:rsid w:val="00D36540"/>
    <w:rsid w:val="00D36552"/>
    <w:rsid w:val="00D365EA"/>
    <w:rsid w:val="00D3663B"/>
    <w:rsid w:val="00D36644"/>
    <w:rsid w:val="00D366E8"/>
    <w:rsid w:val="00D366FF"/>
    <w:rsid w:val="00D36767"/>
    <w:rsid w:val="00D36771"/>
    <w:rsid w:val="00D36806"/>
    <w:rsid w:val="00D368EC"/>
    <w:rsid w:val="00D3699C"/>
    <w:rsid w:val="00D36A82"/>
    <w:rsid w:val="00D36B40"/>
    <w:rsid w:val="00D36B63"/>
    <w:rsid w:val="00D36D44"/>
    <w:rsid w:val="00D36D66"/>
    <w:rsid w:val="00D36DA4"/>
    <w:rsid w:val="00D36E7D"/>
    <w:rsid w:val="00D36E8D"/>
    <w:rsid w:val="00D36EEA"/>
    <w:rsid w:val="00D36F19"/>
    <w:rsid w:val="00D3702B"/>
    <w:rsid w:val="00D37053"/>
    <w:rsid w:val="00D370A1"/>
    <w:rsid w:val="00D370FF"/>
    <w:rsid w:val="00D37103"/>
    <w:rsid w:val="00D3716B"/>
    <w:rsid w:val="00D3716C"/>
    <w:rsid w:val="00D371EE"/>
    <w:rsid w:val="00D3730D"/>
    <w:rsid w:val="00D37380"/>
    <w:rsid w:val="00D37384"/>
    <w:rsid w:val="00D37398"/>
    <w:rsid w:val="00D37456"/>
    <w:rsid w:val="00D3749A"/>
    <w:rsid w:val="00D37582"/>
    <w:rsid w:val="00D375D8"/>
    <w:rsid w:val="00D3760E"/>
    <w:rsid w:val="00D376B3"/>
    <w:rsid w:val="00D37719"/>
    <w:rsid w:val="00D3775F"/>
    <w:rsid w:val="00D377A1"/>
    <w:rsid w:val="00D377E7"/>
    <w:rsid w:val="00D3780E"/>
    <w:rsid w:val="00D3784B"/>
    <w:rsid w:val="00D3785A"/>
    <w:rsid w:val="00D378B9"/>
    <w:rsid w:val="00D378FE"/>
    <w:rsid w:val="00D3793A"/>
    <w:rsid w:val="00D37941"/>
    <w:rsid w:val="00D37984"/>
    <w:rsid w:val="00D37988"/>
    <w:rsid w:val="00D379C9"/>
    <w:rsid w:val="00D379F5"/>
    <w:rsid w:val="00D37A7F"/>
    <w:rsid w:val="00D37AE7"/>
    <w:rsid w:val="00D37B05"/>
    <w:rsid w:val="00D37B0C"/>
    <w:rsid w:val="00D37B3B"/>
    <w:rsid w:val="00D37BA7"/>
    <w:rsid w:val="00D37BE4"/>
    <w:rsid w:val="00D37BF5"/>
    <w:rsid w:val="00D37C8E"/>
    <w:rsid w:val="00D37CE9"/>
    <w:rsid w:val="00D37D52"/>
    <w:rsid w:val="00D37D9A"/>
    <w:rsid w:val="00D37DC7"/>
    <w:rsid w:val="00D37DF5"/>
    <w:rsid w:val="00D37E3F"/>
    <w:rsid w:val="00D37E60"/>
    <w:rsid w:val="00D37E6A"/>
    <w:rsid w:val="00D37E73"/>
    <w:rsid w:val="00D37EB0"/>
    <w:rsid w:val="00D37ED1"/>
    <w:rsid w:val="00D37F03"/>
    <w:rsid w:val="00D37F15"/>
    <w:rsid w:val="00D37FEB"/>
    <w:rsid w:val="00D400C8"/>
    <w:rsid w:val="00D400CB"/>
    <w:rsid w:val="00D400FE"/>
    <w:rsid w:val="00D4018C"/>
    <w:rsid w:val="00D401A2"/>
    <w:rsid w:val="00D401D9"/>
    <w:rsid w:val="00D40216"/>
    <w:rsid w:val="00D4022D"/>
    <w:rsid w:val="00D4024B"/>
    <w:rsid w:val="00D40347"/>
    <w:rsid w:val="00D40374"/>
    <w:rsid w:val="00D403E0"/>
    <w:rsid w:val="00D403EA"/>
    <w:rsid w:val="00D40556"/>
    <w:rsid w:val="00D4057C"/>
    <w:rsid w:val="00D405B6"/>
    <w:rsid w:val="00D405C7"/>
    <w:rsid w:val="00D406FA"/>
    <w:rsid w:val="00D407D5"/>
    <w:rsid w:val="00D40806"/>
    <w:rsid w:val="00D40818"/>
    <w:rsid w:val="00D409A8"/>
    <w:rsid w:val="00D40A38"/>
    <w:rsid w:val="00D40A3B"/>
    <w:rsid w:val="00D40A6C"/>
    <w:rsid w:val="00D40AA7"/>
    <w:rsid w:val="00D40ACE"/>
    <w:rsid w:val="00D40AE6"/>
    <w:rsid w:val="00D40AF8"/>
    <w:rsid w:val="00D40B8D"/>
    <w:rsid w:val="00D40C94"/>
    <w:rsid w:val="00D40C9F"/>
    <w:rsid w:val="00D40D5A"/>
    <w:rsid w:val="00D40D63"/>
    <w:rsid w:val="00D40E87"/>
    <w:rsid w:val="00D40EAC"/>
    <w:rsid w:val="00D40EBE"/>
    <w:rsid w:val="00D40F1D"/>
    <w:rsid w:val="00D40F39"/>
    <w:rsid w:val="00D40FD8"/>
    <w:rsid w:val="00D41057"/>
    <w:rsid w:val="00D410A5"/>
    <w:rsid w:val="00D4111B"/>
    <w:rsid w:val="00D41132"/>
    <w:rsid w:val="00D412C5"/>
    <w:rsid w:val="00D41314"/>
    <w:rsid w:val="00D41321"/>
    <w:rsid w:val="00D41384"/>
    <w:rsid w:val="00D4139D"/>
    <w:rsid w:val="00D413B6"/>
    <w:rsid w:val="00D413C0"/>
    <w:rsid w:val="00D413C3"/>
    <w:rsid w:val="00D4145A"/>
    <w:rsid w:val="00D4158F"/>
    <w:rsid w:val="00D41638"/>
    <w:rsid w:val="00D41650"/>
    <w:rsid w:val="00D41695"/>
    <w:rsid w:val="00D4170A"/>
    <w:rsid w:val="00D4171E"/>
    <w:rsid w:val="00D41749"/>
    <w:rsid w:val="00D4177A"/>
    <w:rsid w:val="00D41813"/>
    <w:rsid w:val="00D41815"/>
    <w:rsid w:val="00D41990"/>
    <w:rsid w:val="00D419A2"/>
    <w:rsid w:val="00D41A55"/>
    <w:rsid w:val="00D41A8F"/>
    <w:rsid w:val="00D41B07"/>
    <w:rsid w:val="00D41B25"/>
    <w:rsid w:val="00D41B2B"/>
    <w:rsid w:val="00D41BB7"/>
    <w:rsid w:val="00D41C02"/>
    <w:rsid w:val="00D41C7A"/>
    <w:rsid w:val="00D41C8A"/>
    <w:rsid w:val="00D41CF7"/>
    <w:rsid w:val="00D41D2D"/>
    <w:rsid w:val="00D41D54"/>
    <w:rsid w:val="00D41D82"/>
    <w:rsid w:val="00D41E35"/>
    <w:rsid w:val="00D41E3E"/>
    <w:rsid w:val="00D41E6B"/>
    <w:rsid w:val="00D41EBF"/>
    <w:rsid w:val="00D41EC5"/>
    <w:rsid w:val="00D41F2A"/>
    <w:rsid w:val="00D41F38"/>
    <w:rsid w:val="00D41F87"/>
    <w:rsid w:val="00D41FA1"/>
    <w:rsid w:val="00D420FB"/>
    <w:rsid w:val="00D42117"/>
    <w:rsid w:val="00D42125"/>
    <w:rsid w:val="00D4216D"/>
    <w:rsid w:val="00D42174"/>
    <w:rsid w:val="00D4232A"/>
    <w:rsid w:val="00D4234D"/>
    <w:rsid w:val="00D423BE"/>
    <w:rsid w:val="00D423CE"/>
    <w:rsid w:val="00D423D5"/>
    <w:rsid w:val="00D42411"/>
    <w:rsid w:val="00D42434"/>
    <w:rsid w:val="00D424D5"/>
    <w:rsid w:val="00D42587"/>
    <w:rsid w:val="00D4261E"/>
    <w:rsid w:val="00D4267B"/>
    <w:rsid w:val="00D426F1"/>
    <w:rsid w:val="00D4273B"/>
    <w:rsid w:val="00D42776"/>
    <w:rsid w:val="00D4278F"/>
    <w:rsid w:val="00D427D3"/>
    <w:rsid w:val="00D42896"/>
    <w:rsid w:val="00D4296E"/>
    <w:rsid w:val="00D429B3"/>
    <w:rsid w:val="00D42A3B"/>
    <w:rsid w:val="00D42AB3"/>
    <w:rsid w:val="00D42B13"/>
    <w:rsid w:val="00D42B40"/>
    <w:rsid w:val="00D42B45"/>
    <w:rsid w:val="00D42BD0"/>
    <w:rsid w:val="00D42C00"/>
    <w:rsid w:val="00D42C12"/>
    <w:rsid w:val="00D42C77"/>
    <w:rsid w:val="00D42CC2"/>
    <w:rsid w:val="00D42CC5"/>
    <w:rsid w:val="00D42DDC"/>
    <w:rsid w:val="00D42DEA"/>
    <w:rsid w:val="00D42E10"/>
    <w:rsid w:val="00D42F64"/>
    <w:rsid w:val="00D42FAA"/>
    <w:rsid w:val="00D42FC5"/>
    <w:rsid w:val="00D42FCE"/>
    <w:rsid w:val="00D43070"/>
    <w:rsid w:val="00D430A3"/>
    <w:rsid w:val="00D4310A"/>
    <w:rsid w:val="00D43165"/>
    <w:rsid w:val="00D43355"/>
    <w:rsid w:val="00D43378"/>
    <w:rsid w:val="00D43392"/>
    <w:rsid w:val="00D433EF"/>
    <w:rsid w:val="00D434AB"/>
    <w:rsid w:val="00D434FD"/>
    <w:rsid w:val="00D43541"/>
    <w:rsid w:val="00D4365E"/>
    <w:rsid w:val="00D43680"/>
    <w:rsid w:val="00D43698"/>
    <w:rsid w:val="00D436B8"/>
    <w:rsid w:val="00D436D8"/>
    <w:rsid w:val="00D436E7"/>
    <w:rsid w:val="00D437B7"/>
    <w:rsid w:val="00D437BD"/>
    <w:rsid w:val="00D437DD"/>
    <w:rsid w:val="00D437F5"/>
    <w:rsid w:val="00D4380D"/>
    <w:rsid w:val="00D43815"/>
    <w:rsid w:val="00D4389A"/>
    <w:rsid w:val="00D4389C"/>
    <w:rsid w:val="00D438AF"/>
    <w:rsid w:val="00D438FA"/>
    <w:rsid w:val="00D4393C"/>
    <w:rsid w:val="00D43953"/>
    <w:rsid w:val="00D43AB3"/>
    <w:rsid w:val="00D43AF1"/>
    <w:rsid w:val="00D43B65"/>
    <w:rsid w:val="00D43C10"/>
    <w:rsid w:val="00D43C16"/>
    <w:rsid w:val="00D43CAD"/>
    <w:rsid w:val="00D43CC0"/>
    <w:rsid w:val="00D43E5A"/>
    <w:rsid w:val="00D43ECC"/>
    <w:rsid w:val="00D43ECF"/>
    <w:rsid w:val="00D43F0A"/>
    <w:rsid w:val="00D43FE3"/>
    <w:rsid w:val="00D43FF6"/>
    <w:rsid w:val="00D4402F"/>
    <w:rsid w:val="00D44058"/>
    <w:rsid w:val="00D44076"/>
    <w:rsid w:val="00D44113"/>
    <w:rsid w:val="00D441B7"/>
    <w:rsid w:val="00D441F2"/>
    <w:rsid w:val="00D4427A"/>
    <w:rsid w:val="00D442EE"/>
    <w:rsid w:val="00D44311"/>
    <w:rsid w:val="00D44360"/>
    <w:rsid w:val="00D44610"/>
    <w:rsid w:val="00D44691"/>
    <w:rsid w:val="00D446EA"/>
    <w:rsid w:val="00D446EB"/>
    <w:rsid w:val="00D446FA"/>
    <w:rsid w:val="00D44711"/>
    <w:rsid w:val="00D4473B"/>
    <w:rsid w:val="00D4476A"/>
    <w:rsid w:val="00D4477C"/>
    <w:rsid w:val="00D44794"/>
    <w:rsid w:val="00D44827"/>
    <w:rsid w:val="00D4483B"/>
    <w:rsid w:val="00D4488C"/>
    <w:rsid w:val="00D4488F"/>
    <w:rsid w:val="00D448A1"/>
    <w:rsid w:val="00D44960"/>
    <w:rsid w:val="00D449E8"/>
    <w:rsid w:val="00D44A24"/>
    <w:rsid w:val="00D44A8E"/>
    <w:rsid w:val="00D44AB7"/>
    <w:rsid w:val="00D44AB8"/>
    <w:rsid w:val="00D44B89"/>
    <w:rsid w:val="00D44BC6"/>
    <w:rsid w:val="00D44BDE"/>
    <w:rsid w:val="00D44BE3"/>
    <w:rsid w:val="00D44E58"/>
    <w:rsid w:val="00D44E93"/>
    <w:rsid w:val="00D44EFC"/>
    <w:rsid w:val="00D44FB2"/>
    <w:rsid w:val="00D45042"/>
    <w:rsid w:val="00D4507E"/>
    <w:rsid w:val="00D4508D"/>
    <w:rsid w:val="00D45094"/>
    <w:rsid w:val="00D451DE"/>
    <w:rsid w:val="00D45212"/>
    <w:rsid w:val="00D4524D"/>
    <w:rsid w:val="00D4527C"/>
    <w:rsid w:val="00D452D7"/>
    <w:rsid w:val="00D45309"/>
    <w:rsid w:val="00D4530C"/>
    <w:rsid w:val="00D4531F"/>
    <w:rsid w:val="00D45357"/>
    <w:rsid w:val="00D45363"/>
    <w:rsid w:val="00D45366"/>
    <w:rsid w:val="00D453D3"/>
    <w:rsid w:val="00D453D7"/>
    <w:rsid w:val="00D45470"/>
    <w:rsid w:val="00D45497"/>
    <w:rsid w:val="00D455D1"/>
    <w:rsid w:val="00D455EB"/>
    <w:rsid w:val="00D4567C"/>
    <w:rsid w:val="00D45696"/>
    <w:rsid w:val="00D456A7"/>
    <w:rsid w:val="00D45702"/>
    <w:rsid w:val="00D457ED"/>
    <w:rsid w:val="00D457F2"/>
    <w:rsid w:val="00D457F3"/>
    <w:rsid w:val="00D45835"/>
    <w:rsid w:val="00D45893"/>
    <w:rsid w:val="00D458A7"/>
    <w:rsid w:val="00D45909"/>
    <w:rsid w:val="00D45939"/>
    <w:rsid w:val="00D459AA"/>
    <w:rsid w:val="00D459D6"/>
    <w:rsid w:val="00D45A09"/>
    <w:rsid w:val="00D45A18"/>
    <w:rsid w:val="00D45A25"/>
    <w:rsid w:val="00D45A9A"/>
    <w:rsid w:val="00D45BC0"/>
    <w:rsid w:val="00D45BDE"/>
    <w:rsid w:val="00D45BF7"/>
    <w:rsid w:val="00D45C5B"/>
    <w:rsid w:val="00D45C77"/>
    <w:rsid w:val="00D45CC9"/>
    <w:rsid w:val="00D45CD2"/>
    <w:rsid w:val="00D45CE9"/>
    <w:rsid w:val="00D45D2F"/>
    <w:rsid w:val="00D45DA1"/>
    <w:rsid w:val="00D45E82"/>
    <w:rsid w:val="00D45ED9"/>
    <w:rsid w:val="00D45EFC"/>
    <w:rsid w:val="00D45F63"/>
    <w:rsid w:val="00D45FC7"/>
    <w:rsid w:val="00D46030"/>
    <w:rsid w:val="00D4603C"/>
    <w:rsid w:val="00D4607B"/>
    <w:rsid w:val="00D460A0"/>
    <w:rsid w:val="00D460E8"/>
    <w:rsid w:val="00D461DA"/>
    <w:rsid w:val="00D4620B"/>
    <w:rsid w:val="00D46257"/>
    <w:rsid w:val="00D462D0"/>
    <w:rsid w:val="00D462DF"/>
    <w:rsid w:val="00D462F7"/>
    <w:rsid w:val="00D46302"/>
    <w:rsid w:val="00D463BC"/>
    <w:rsid w:val="00D463C7"/>
    <w:rsid w:val="00D463C8"/>
    <w:rsid w:val="00D4642B"/>
    <w:rsid w:val="00D4644A"/>
    <w:rsid w:val="00D4649E"/>
    <w:rsid w:val="00D464EC"/>
    <w:rsid w:val="00D46521"/>
    <w:rsid w:val="00D46523"/>
    <w:rsid w:val="00D46545"/>
    <w:rsid w:val="00D46608"/>
    <w:rsid w:val="00D4666C"/>
    <w:rsid w:val="00D467A8"/>
    <w:rsid w:val="00D467DB"/>
    <w:rsid w:val="00D467F8"/>
    <w:rsid w:val="00D4680A"/>
    <w:rsid w:val="00D46847"/>
    <w:rsid w:val="00D46886"/>
    <w:rsid w:val="00D468A7"/>
    <w:rsid w:val="00D46951"/>
    <w:rsid w:val="00D46952"/>
    <w:rsid w:val="00D46986"/>
    <w:rsid w:val="00D46989"/>
    <w:rsid w:val="00D4699C"/>
    <w:rsid w:val="00D46A1A"/>
    <w:rsid w:val="00D46B24"/>
    <w:rsid w:val="00D46B67"/>
    <w:rsid w:val="00D46BD7"/>
    <w:rsid w:val="00D46C40"/>
    <w:rsid w:val="00D46D22"/>
    <w:rsid w:val="00D46D2A"/>
    <w:rsid w:val="00D46DB8"/>
    <w:rsid w:val="00D46E19"/>
    <w:rsid w:val="00D46E36"/>
    <w:rsid w:val="00D46E3C"/>
    <w:rsid w:val="00D46E46"/>
    <w:rsid w:val="00D46EDD"/>
    <w:rsid w:val="00D47004"/>
    <w:rsid w:val="00D470D5"/>
    <w:rsid w:val="00D47139"/>
    <w:rsid w:val="00D471B8"/>
    <w:rsid w:val="00D47204"/>
    <w:rsid w:val="00D47277"/>
    <w:rsid w:val="00D472ED"/>
    <w:rsid w:val="00D47372"/>
    <w:rsid w:val="00D47374"/>
    <w:rsid w:val="00D4754A"/>
    <w:rsid w:val="00D47690"/>
    <w:rsid w:val="00D47754"/>
    <w:rsid w:val="00D47796"/>
    <w:rsid w:val="00D47803"/>
    <w:rsid w:val="00D4781D"/>
    <w:rsid w:val="00D47867"/>
    <w:rsid w:val="00D478EE"/>
    <w:rsid w:val="00D47905"/>
    <w:rsid w:val="00D4793E"/>
    <w:rsid w:val="00D47A87"/>
    <w:rsid w:val="00D47A90"/>
    <w:rsid w:val="00D47A96"/>
    <w:rsid w:val="00D47AB9"/>
    <w:rsid w:val="00D47B2D"/>
    <w:rsid w:val="00D47B5D"/>
    <w:rsid w:val="00D47B81"/>
    <w:rsid w:val="00D47C8C"/>
    <w:rsid w:val="00D47C9D"/>
    <w:rsid w:val="00D47CBB"/>
    <w:rsid w:val="00D47CFE"/>
    <w:rsid w:val="00D47D6A"/>
    <w:rsid w:val="00D47DBE"/>
    <w:rsid w:val="00D47EB6"/>
    <w:rsid w:val="00D47ECE"/>
    <w:rsid w:val="00D47EF3"/>
    <w:rsid w:val="00D47FC9"/>
    <w:rsid w:val="00D50056"/>
    <w:rsid w:val="00D50073"/>
    <w:rsid w:val="00D50093"/>
    <w:rsid w:val="00D500FC"/>
    <w:rsid w:val="00D50119"/>
    <w:rsid w:val="00D5011D"/>
    <w:rsid w:val="00D50144"/>
    <w:rsid w:val="00D501A1"/>
    <w:rsid w:val="00D501D8"/>
    <w:rsid w:val="00D501FF"/>
    <w:rsid w:val="00D50279"/>
    <w:rsid w:val="00D50282"/>
    <w:rsid w:val="00D5028D"/>
    <w:rsid w:val="00D50296"/>
    <w:rsid w:val="00D502A5"/>
    <w:rsid w:val="00D50370"/>
    <w:rsid w:val="00D503B6"/>
    <w:rsid w:val="00D503EC"/>
    <w:rsid w:val="00D503EE"/>
    <w:rsid w:val="00D50497"/>
    <w:rsid w:val="00D504E2"/>
    <w:rsid w:val="00D5058D"/>
    <w:rsid w:val="00D50660"/>
    <w:rsid w:val="00D50664"/>
    <w:rsid w:val="00D50671"/>
    <w:rsid w:val="00D50678"/>
    <w:rsid w:val="00D5069E"/>
    <w:rsid w:val="00D506C9"/>
    <w:rsid w:val="00D5077A"/>
    <w:rsid w:val="00D50790"/>
    <w:rsid w:val="00D507AB"/>
    <w:rsid w:val="00D507C1"/>
    <w:rsid w:val="00D507DC"/>
    <w:rsid w:val="00D50803"/>
    <w:rsid w:val="00D50840"/>
    <w:rsid w:val="00D50868"/>
    <w:rsid w:val="00D50889"/>
    <w:rsid w:val="00D508D2"/>
    <w:rsid w:val="00D5092C"/>
    <w:rsid w:val="00D509A7"/>
    <w:rsid w:val="00D509E8"/>
    <w:rsid w:val="00D50A2B"/>
    <w:rsid w:val="00D50A55"/>
    <w:rsid w:val="00D50A5F"/>
    <w:rsid w:val="00D50AB6"/>
    <w:rsid w:val="00D50AE9"/>
    <w:rsid w:val="00D50B01"/>
    <w:rsid w:val="00D50B66"/>
    <w:rsid w:val="00D50B7D"/>
    <w:rsid w:val="00D50B83"/>
    <w:rsid w:val="00D50B90"/>
    <w:rsid w:val="00D50BA7"/>
    <w:rsid w:val="00D50BCB"/>
    <w:rsid w:val="00D50C17"/>
    <w:rsid w:val="00D50D17"/>
    <w:rsid w:val="00D50D94"/>
    <w:rsid w:val="00D50DF5"/>
    <w:rsid w:val="00D50E5B"/>
    <w:rsid w:val="00D50EED"/>
    <w:rsid w:val="00D50EFF"/>
    <w:rsid w:val="00D50FAD"/>
    <w:rsid w:val="00D51023"/>
    <w:rsid w:val="00D51033"/>
    <w:rsid w:val="00D51079"/>
    <w:rsid w:val="00D510A6"/>
    <w:rsid w:val="00D5113D"/>
    <w:rsid w:val="00D51148"/>
    <w:rsid w:val="00D511F6"/>
    <w:rsid w:val="00D5120A"/>
    <w:rsid w:val="00D5124A"/>
    <w:rsid w:val="00D5128E"/>
    <w:rsid w:val="00D51303"/>
    <w:rsid w:val="00D5137A"/>
    <w:rsid w:val="00D513D8"/>
    <w:rsid w:val="00D5149D"/>
    <w:rsid w:val="00D514AF"/>
    <w:rsid w:val="00D514EE"/>
    <w:rsid w:val="00D5155E"/>
    <w:rsid w:val="00D515B5"/>
    <w:rsid w:val="00D51625"/>
    <w:rsid w:val="00D51627"/>
    <w:rsid w:val="00D5165A"/>
    <w:rsid w:val="00D51714"/>
    <w:rsid w:val="00D51724"/>
    <w:rsid w:val="00D51788"/>
    <w:rsid w:val="00D517AB"/>
    <w:rsid w:val="00D51819"/>
    <w:rsid w:val="00D51A18"/>
    <w:rsid w:val="00D51A25"/>
    <w:rsid w:val="00D51ADD"/>
    <w:rsid w:val="00D51B24"/>
    <w:rsid w:val="00D51B2F"/>
    <w:rsid w:val="00D51B32"/>
    <w:rsid w:val="00D51B81"/>
    <w:rsid w:val="00D51CF6"/>
    <w:rsid w:val="00D51D10"/>
    <w:rsid w:val="00D51D4A"/>
    <w:rsid w:val="00D51DF6"/>
    <w:rsid w:val="00D51E60"/>
    <w:rsid w:val="00D51E92"/>
    <w:rsid w:val="00D51E9D"/>
    <w:rsid w:val="00D51ED8"/>
    <w:rsid w:val="00D51FAE"/>
    <w:rsid w:val="00D51FBA"/>
    <w:rsid w:val="00D51FD1"/>
    <w:rsid w:val="00D52035"/>
    <w:rsid w:val="00D52043"/>
    <w:rsid w:val="00D52049"/>
    <w:rsid w:val="00D5207C"/>
    <w:rsid w:val="00D520C8"/>
    <w:rsid w:val="00D520F5"/>
    <w:rsid w:val="00D52223"/>
    <w:rsid w:val="00D5224A"/>
    <w:rsid w:val="00D52267"/>
    <w:rsid w:val="00D522BC"/>
    <w:rsid w:val="00D52411"/>
    <w:rsid w:val="00D5243F"/>
    <w:rsid w:val="00D52489"/>
    <w:rsid w:val="00D524C9"/>
    <w:rsid w:val="00D524CB"/>
    <w:rsid w:val="00D5251B"/>
    <w:rsid w:val="00D5251D"/>
    <w:rsid w:val="00D52530"/>
    <w:rsid w:val="00D5256E"/>
    <w:rsid w:val="00D525FA"/>
    <w:rsid w:val="00D52632"/>
    <w:rsid w:val="00D527B8"/>
    <w:rsid w:val="00D528A1"/>
    <w:rsid w:val="00D529D1"/>
    <w:rsid w:val="00D52A64"/>
    <w:rsid w:val="00D52A72"/>
    <w:rsid w:val="00D52AB8"/>
    <w:rsid w:val="00D52ADB"/>
    <w:rsid w:val="00D52AFF"/>
    <w:rsid w:val="00D52B27"/>
    <w:rsid w:val="00D52B34"/>
    <w:rsid w:val="00D52B72"/>
    <w:rsid w:val="00D52BA8"/>
    <w:rsid w:val="00D52BEE"/>
    <w:rsid w:val="00D52C40"/>
    <w:rsid w:val="00D52C47"/>
    <w:rsid w:val="00D52C5F"/>
    <w:rsid w:val="00D52D5B"/>
    <w:rsid w:val="00D52E1A"/>
    <w:rsid w:val="00D52E1B"/>
    <w:rsid w:val="00D52E1F"/>
    <w:rsid w:val="00D52E4B"/>
    <w:rsid w:val="00D52EA7"/>
    <w:rsid w:val="00D52F3B"/>
    <w:rsid w:val="00D52F58"/>
    <w:rsid w:val="00D52F6F"/>
    <w:rsid w:val="00D52F92"/>
    <w:rsid w:val="00D52FA0"/>
    <w:rsid w:val="00D53054"/>
    <w:rsid w:val="00D53084"/>
    <w:rsid w:val="00D530C5"/>
    <w:rsid w:val="00D530FB"/>
    <w:rsid w:val="00D53144"/>
    <w:rsid w:val="00D5315C"/>
    <w:rsid w:val="00D5319F"/>
    <w:rsid w:val="00D53388"/>
    <w:rsid w:val="00D5339C"/>
    <w:rsid w:val="00D533AB"/>
    <w:rsid w:val="00D533E0"/>
    <w:rsid w:val="00D534B3"/>
    <w:rsid w:val="00D53525"/>
    <w:rsid w:val="00D5353C"/>
    <w:rsid w:val="00D5358A"/>
    <w:rsid w:val="00D5360D"/>
    <w:rsid w:val="00D53641"/>
    <w:rsid w:val="00D53647"/>
    <w:rsid w:val="00D53671"/>
    <w:rsid w:val="00D536DE"/>
    <w:rsid w:val="00D53705"/>
    <w:rsid w:val="00D53710"/>
    <w:rsid w:val="00D5373B"/>
    <w:rsid w:val="00D537B9"/>
    <w:rsid w:val="00D53860"/>
    <w:rsid w:val="00D538C1"/>
    <w:rsid w:val="00D538C3"/>
    <w:rsid w:val="00D53981"/>
    <w:rsid w:val="00D53A2B"/>
    <w:rsid w:val="00D53A35"/>
    <w:rsid w:val="00D53A89"/>
    <w:rsid w:val="00D53BA2"/>
    <w:rsid w:val="00D53BCA"/>
    <w:rsid w:val="00D53BCF"/>
    <w:rsid w:val="00D53C58"/>
    <w:rsid w:val="00D53C78"/>
    <w:rsid w:val="00D53D2C"/>
    <w:rsid w:val="00D53DD2"/>
    <w:rsid w:val="00D53E4F"/>
    <w:rsid w:val="00D53E50"/>
    <w:rsid w:val="00D53EC1"/>
    <w:rsid w:val="00D53F01"/>
    <w:rsid w:val="00D53F14"/>
    <w:rsid w:val="00D53F43"/>
    <w:rsid w:val="00D53FF2"/>
    <w:rsid w:val="00D5409A"/>
    <w:rsid w:val="00D5409E"/>
    <w:rsid w:val="00D540B5"/>
    <w:rsid w:val="00D5411C"/>
    <w:rsid w:val="00D541E3"/>
    <w:rsid w:val="00D541E7"/>
    <w:rsid w:val="00D54204"/>
    <w:rsid w:val="00D5421A"/>
    <w:rsid w:val="00D5423C"/>
    <w:rsid w:val="00D54254"/>
    <w:rsid w:val="00D5429E"/>
    <w:rsid w:val="00D542BB"/>
    <w:rsid w:val="00D5439A"/>
    <w:rsid w:val="00D543E2"/>
    <w:rsid w:val="00D54402"/>
    <w:rsid w:val="00D54435"/>
    <w:rsid w:val="00D54483"/>
    <w:rsid w:val="00D544A8"/>
    <w:rsid w:val="00D545BC"/>
    <w:rsid w:val="00D5461A"/>
    <w:rsid w:val="00D5461E"/>
    <w:rsid w:val="00D54651"/>
    <w:rsid w:val="00D546B3"/>
    <w:rsid w:val="00D546C5"/>
    <w:rsid w:val="00D546D7"/>
    <w:rsid w:val="00D546DF"/>
    <w:rsid w:val="00D5477E"/>
    <w:rsid w:val="00D5477F"/>
    <w:rsid w:val="00D549B1"/>
    <w:rsid w:val="00D549D4"/>
    <w:rsid w:val="00D549E1"/>
    <w:rsid w:val="00D549F4"/>
    <w:rsid w:val="00D549F7"/>
    <w:rsid w:val="00D54A7C"/>
    <w:rsid w:val="00D54A96"/>
    <w:rsid w:val="00D54B0A"/>
    <w:rsid w:val="00D54B85"/>
    <w:rsid w:val="00D54B8D"/>
    <w:rsid w:val="00D54B98"/>
    <w:rsid w:val="00D54BA2"/>
    <w:rsid w:val="00D54BFF"/>
    <w:rsid w:val="00D54C19"/>
    <w:rsid w:val="00D54CD8"/>
    <w:rsid w:val="00D54CE4"/>
    <w:rsid w:val="00D54CF4"/>
    <w:rsid w:val="00D54CFE"/>
    <w:rsid w:val="00D54DAD"/>
    <w:rsid w:val="00D54DB1"/>
    <w:rsid w:val="00D54E43"/>
    <w:rsid w:val="00D54E65"/>
    <w:rsid w:val="00D54E8C"/>
    <w:rsid w:val="00D54FF5"/>
    <w:rsid w:val="00D5504F"/>
    <w:rsid w:val="00D55055"/>
    <w:rsid w:val="00D5512E"/>
    <w:rsid w:val="00D55183"/>
    <w:rsid w:val="00D551F3"/>
    <w:rsid w:val="00D5524E"/>
    <w:rsid w:val="00D55271"/>
    <w:rsid w:val="00D552F5"/>
    <w:rsid w:val="00D5532E"/>
    <w:rsid w:val="00D553A5"/>
    <w:rsid w:val="00D553A8"/>
    <w:rsid w:val="00D553D6"/>
    <w:rsid w:val="00D555E0"/>
    <w:rsid w:val="00D556F3"/>
    <w:rsid w:val="00D556F7"/>
    <w:rsid w:val="00D557A4"/>
    <w:rsid w:val="00D557C7"/>
    <w:rsid w:val="00D558A4"/>
    <w:rsid w:val="00D558EB"/>
    <w:rsid w:val="00D558FD"/>
    <w:rsid w:val="00D5597D"/>
    <w:rsid w:val="00D55991"/>
    <w:rsid w:val="00D55A79"/>
    <w:rsid w:val="00D55C0E"/>
    <w:rsid w:val="00D55C18"/>
    <w:rsid w:val="00D55C35"/>
    <w:rsid w:val="00D55C58"/>
    <w:rsid w:val="00D55C7A"/>
    <w:rsid w:val="00D55C9B"/>
    <w:rsid w:val="00D55CB7"/>
    <w:rsid w:val="00D55D12"/>
    <w:rsid w:val="00D55D68"/>
    <w:rsid w:val="00D55DA3"/>
    <w:rsid w:val="00D55DDA"/>
    <w:rsid w:val="00D55E0A"/>
    <w:rsid w:val="00D55E4E"/>
    <w:rsid w:val="00D55EEF"/>
    <w:rsid w:val="00D55F0A"/>
    <w:rsid w:val="00D55F19"/>
    <w:rsid w:val="00D55F72"/>
    <w:rsid w:val="00D55F8E"/>
    <w:rsid w:val="00D55FBF"/>
    <w:rsid w:val="00D56018"/>
    <w:rsid w:val="00D5603B"/>
    <w:rsid w:val="00D56067"/>
    <w:rsid w:val="00D560AA"/>
    <w:rsid w:val="00D560AE"/>
    <w:rsid w:val="00D560DD"/>
    <w:rsid w:val="00D56100"/>
    <w:rsid w:val="00D5616B"/>
    <w:rsid w:val="00D5618E"/>
    <w:rsid w:val="00D56190"/>
    <w:rsid w:val="00D561B7"/>
    <w:rsid w:val="00D56208"/>
    <w:rsid w:val="00D56234"/>
    <w:rsid w:val="00D562AF"/>
    <w:rsid w:val="00D562E1"/>
    <w:rsid w:val="00D562FE"/>
    <w:rsid w:val="00D56317"/>
    <w:rsid w:val="00D56374"/>
    <w:rsid w:val="00D56497"/>
    <w:rsid w:val="00D564A6"/>
    <w:rsid w:val="00D56597"/>
    <w:rsid w:val="00D5661A"/>
    <w:rsid w:val="00D56671"/>
    <w:rsid w:val="00D566D7"/>
    <w:rsid w:val="00D566EA"/>
    <w:rsid w:val="00D56787"/>
    <w:rsid w:val="00D567C1"/>
    <w:rsid w:val="00D56840"/>
    <w:rsid w:val="00D56864"/>
    <w:rsid w:val="00D56883"/>
    <w:rsid w:val="00D56898"/>
    <w:rsid w:val="00D568C3"/>
    <w:rsid w:val="00D568E8"/>
    <w:rsid w:val="00D56948"/>
    <w:rsid w:val="00D56978"/>
    <w:rsid w:val="00D569A9"/>
    <w:rsid w:val="00D569D5"/>
    <w:rsid w:val="00D56A4D"/>
    <w:rsid w:val="00D56A57"/>
    <w:rsid w:val="00D56A68"/>
    <w:rsid w:val="00D56A8B"/>
    <w:rsid w:val="00D56BF6"/>
    <w:rsid w:val="00D56C39"/>
    <w:rsid w:val="00D56D28"/>
    <w:rsid w:val="00D56DAA"/>
    <w:rsid w:val="00D56DF3"/>
    <w:rsid w:val="00D56E93"/>
    <w:rsid w:val="00D56E98"/>
    <w:rsid w:val="00D56F18"/>
    <w:rsid w:val="00D56F42"/>
    <w:rsid w:val="00D56FC5"/>
    <w:rsid w:val="00D57018"/>
    <w:rsid w:val="00D57070"/>
    <w:rsid w:val="00D570AD"/>
    <w:rsid w:val="00D57106"/>
    <w:rsid w:val="00D57119"/>
    <w:rsid w:val="00D571A4"/>
    <w:rsid w:val="00D571D1"/>
    <w:rsid w:val="00D5721A"/>
    <w:rsid w:val="00D572D2"/>
    <w:rsid w:val="00D572F0"/>
    <w:rsid w:val="00D5733A"/>
    <w:rsid w:val="00D5733B"/>
    <w:rsid w:val="00D57346"/>
    <w:rsid w:val="00D57364"/>
    <w:rsid w:val="00D573E2"/>
    <w:rsid w:val="00D57495"/>
    <w:rsid w:val="00D574D3"/>
    <w:rsid w:val="00D57566"/>
    <w:rsid w:val="00D575AC"/>
    <w:rsid w:val="00D575D5"/>
    <w:rsid w:val="00D57600"/>
    <w:rsid w:val="00D57605"/>
    <w:rsid w:val="00D5761A"/>
    <w:rsid w:val="00D57685"/>
    <w:rsid w:val="00D5769C"/>
    <w:rsid w:val="00D576A7"/>
    <w:rsid w:val="00D5781E"/>
    <w:rsid w:val="00D57823"/>
    <w:rsid w:val="00D57885"/>
    <w:rsid w:val="00D5788D"/>
    <w:rsid w:val="00D578B5"/>
    <w:rsid w:val="00D579BB"/>
    <w:rsid w:val="00D57A00"/>
    <w:rsid w:val="00D57A80"/>
    <w:rsid w:val="00D57A9E"/>
    <w:rsid w:val="00D57AC7"/>
    <w:rsid w:val="00D57B75"/>
    <w:rsid w:val="00D57BAF"/>
    <w:rsid w:val="00D57BBF"/>
    <w:rsid w:val="00D57C13"/>
    <w:rsid w:val="00D57C4E"/>
    <w:rsid w:val="00D57CC6"/>
    <w:rsid w:val="00D57CEA"/>
    <w:rsid w:val="00D57D6A"/>
    <w:rsid w:val="00D57DC9"/>
    <w:rsid w:val="00D57DEB"/>
    <w:rsid w:val="00D57DF5"/>
    <w:rsid w:val="00D57E09"/>
    <w:rsid w:val="00D57E15"/>
    <w:rsid w:val="00D57E72"/>
    <w:rsid w:val="00D57F47"/>
    <w:rsid w:val="00D60124"/>
    <w:rsid w:val="00D601C3"/>
    <w:rsid w:val="00D601C6"/>
    <w:rsid w:val="00D60261"/>
    <w:rsid w:val="00D602D8"/>
    <w:rsid w:val="00D60337"/>
    <w:rsid w:val="00D603A4"/>
    <w:rsid w:val="00D6041D"/>
    <w:rsid w:val="00D604B5"/>
    <w:rsid w:val="00D604C7"/>
    <w:rsid w:val="00D60504"/>
    <w:rsid w:val="00D60619"/>
    <w:rsid w:val="00D60687"/>
    <w:rsid w:val="00D606E0"/>
    <w:rsid w:val="00D60700"/>
    <w:rsid w:val="00D60704"/>
    <w:rsid w:val="00D60767"/>
    <w:rsid w:val="00D607AC"/>
    <w:rsid w:val="00D607C7"/>
    <w:rsid w:val="00D60811"/>
    <w:rsid w:val="00D60824"/>
    <w:rsid w:val="00D608F0"/>
    <w:rsid w:val="00D6091F"/>
    <w:rsid w:val="00D60938"/>
    <w:rsid w:val="00D6094C"/>
    <w:rsid w:val="00D60966"/>
    <w:rsid w:val="00D609CC"/>
    <w:rsid w:val="00D60A97"/>
    <w:rsid w:val="00D60AB8"/>
    <w:rsid w:val="00D60BC8"/>
    <w:rsid w:val="00D60BF1"/>
    <w:rsid w:val="00D60BF7"/>
    <w:rsid w:val="00D60CA8"/>
    <w:rsid w:val="00D60CBF"/>
    <w:rsid w:val="00D60D1F"/>
    <w:rsid w:val="00D60D6D"/>
    <w:rsid w:val="00D60DF1"/>
    <w:rsid w:val="00D60DF4"/>
    <w:rsid w:val="00D60E05"/>
    <w:rsid w:val="00D60E50"/>
    <w:rsid w:val="00D60F5B"/>
    <w:rsid w:val="00D60F9B"/>
    <w:rsid w:val="00D60FA2"/>
    <w:rsid w:val="00D610E1"/>
    <w:rsid w:val="00D610F7"/>
    <w:rsid w:val="00D610F8"/>
    <w:rsid w:val="00D6110F"/>
    <w:rsid w:val="00D6118E"/>
    <w:rsid w:val="00D611EF"/>
    <w:rsid w:val="00D613BE"/>
    <w:rsid w:val="00D613DD"/>
    <w:rsid w:val="00D6140B"/>
    <w:rsid w:val="00D61458"/>
    <w:rsid w:val="00D61492"/>
    <w:rsid w:val="00D614D0"/>
    <w:rsid w:val="00D614DD"/>
    <w:rsid w:val="00D614EC"/>
    <w:rsid w:val="00D6153D"/>
    <w:rsid w:val="00D615F9"/>
    <w:rsid w:val="00D61612"/>
    <w:rsid w:val="00D61689"/>
    <w:rsid w:val="00D616E2"/>
    <w:rsid w:val="00D616EA"/>
    <w:rsid w:val="00D6170A"/>
    <w:rsid w:val="00D61827"/>
    <w:rsid w:val="00D61848"/>
    <w:rsid w:val="00D61869"/>
    <w:rsid w:val="00D6186B"/>
    <w:rsid w:val="00D61874"/>
    <w:rsid w:val="00D6189E"/>
    <w:rsid w:val="00D618C0"/>
    <w:rsid w:val="00D6192A"/>
    <w:rsid w:val="00D619E4"/>
    <w:rsid w:val="00D61BB0"/>
    <w:rsid w:val="00D61BD5"/>
    <w:rsid w:val="00D61C61"/>
    <w:rsid w:val="00D61C6F"/>
    <w:rsid w:val="00D61CD2"/>
    <w:rsid w:val="00D61D48"/>
    <w:rsid w:val="00D61D74"/>
    <w:rsid w:val="00D61D85"/>
    <w:rsid w:val="00D61DDF"/>
    <w:rsid w:val="00D61E0D"/>
    <w:rsid w:val="00D61E65"/>
    <w:rsid w:val="00D61FA8"/>
    <w:rsid w:val="00D61FC1"/>
    <w:rsid w:val="00D620C9"/>
    <w:rsid w:val="00D62126"/>
    <w:rsid w:val="00D62149"/>
    <w:rsid w:val="00D6215C"/>
    <w:rsid w:val="00D621B8"/>
    <w:rsid w:val="00D62264"/>
    <w:rsid w:val="00D622D8"/>
    <w:rsid w:val="00D622D9"/>
    <w:rsid w:val="00D6233B"/>
    <w:rsid w:val="00D62394"/>
    <w:rsid w:val="00D623E4"/>
    <w:rsid w:val="00D62418"/>
    <w:rsid w:val="00D6243A"/>
    <w:rsid w:val="00D62444"/>
    <w:rsid w:val="00D624D2"/>
    <w:rsid w:val="00D62504"/>
    <w:rsid w:val="00D62522"/>
    <w:rsid w:val="00D6254D"/>
    <w:rsid w:val="00D6258D"/>
    <w:rsid w:val="00D625C5"/>
    <w:rsid w:val="00D6261A"/>
    <w:rsid w:val="00D6266F"/>
    <w:rsid w:val="00D6267F"/>
    <w:rsid w:val="00D626D5"/>
    <w:rsid w:val="00D62700"/>
    <w:rsid w:val="00D6272D"/>
    <w:rsid w:val="00D627F0"/>
    <w:rsid w:val="00D62812"/>
    <w:rsid w:val="00D62850"/>
    <w:rsid w:val="00D62878"/>
    <w:rsid w:val="00D62888"/>
    <w:rsid w:val="00D6288C"/>
    <w:rsid w:val="00D62898"/>
    <w:rsid w:val="00D62946"/>
    <w:rsid w:val="00D6295B"/>
    <w:rsid w:val="00D6296E"/>
    <w:rsid w:val="00D629AF"/>
    <w:rsid w:val="00D629C0"/>
    <w:rsid w:val="00D629C8"/>
    <w:rsid w:val="00D629E9"/>
    <w:rsid w:val="00D62A6F"/>
    <w:rsid w:val="00D62A8E"/>
    <w:rsid w:val="00D62BC3"/>
    <w:rsid w:val="00D62C1E"/>
    <w:rsid w:val="00D62C70"/>
    <w:rsid w:val="00D62C8F"/>
    <w:rsid w:val="00D62D0A"/>
    <w:rsid w:val="00D62D62"/>
    <w:rsid w:val="00D62D77"/>
    <w:rsid w:val="00D62D87"/>
    <w:rsid w:val="00D62D8B"/>
    <w:rsid w:val="00D62DCA"/>
    <w:rsid w:val="00D62DF0"/>
    <w:rsid w:val="00D62E04"/>
    <w:rsid w:val="00D62EB1"/>
    <w:rsid w:val="00D62F9D"/>
    <w:rsid w:val="00D62FF1"/>
    <w:rsid w:val="00D63031"/>
    <w:rsid w:val="00D63093"/>
    <w:rsid w:val="00D630E2"/>
    <w:rsid w:val="00D6311E"/>
    <w:rsid w:val="00D63139"/>
    <w:rsid w:val="00D6318D"/>
    <w:rsid w:val="00D63261"/>
    <w:rsid w:val="00D63287"/>
    <w:rsid w:val="00D6329E"/>
    <w:rsid w:val="00D63303"/>
    <w:rsid w:val="00D63311"/>
    <w:rsid w:val="00D63356"/>
    <w:rsid w:val="00D6335E"/>
    <w:rsid w:val="00D63374"/>
    <w:rsid w:val="00D633AD"/>
    <w:rsid w:val="00D633B9"/>
    <w:rsid w:val="00D634BA"/>
    <w:rsid w:val="00D634BC"/>
    <w:rsid w:val="00D634EA"/>
    <w:rsid w:val="00D63577"/>
    <w:rsid w:val="00D635DE"/>
    <w:rsid w:val="00D635EE"/>
    <w:rsid w:val="00D6366F"/>
    <w:rsid w:val="00D63689"/>
    <w:rsid w:val="00D63842"/>
    <w:rsid w:val="00D63849"/>
    <w:rsid w:val="00D638BD"/>
    <w:rsid w:val="00D6391D"/>
    <w:rsid w:val="00D639C2"/>
    <w:rsid w:val="00D639E4"/>
    <w:rsid w:val="00D63A1A"/>
    <w:rsid w:val="00D63AEB"/>
    <w:rsid w:val="00D63B45"/>
    <w:rsid w:val="00D63B5E"/>
    <w:rsid w:val="00D63BC6"/>
    <w:rsid w:val="00D63C30"/>
    <w:rsid w:val="00D63CD9"/>
    <w:rsid w:val="00D63CE5"/>
    <w:rsid w:val="00D63D41"/>
    <w:rsid w:val="00D63D7B"/>
    <w:rsid w:val="00D63DCC"/>
    <w:rsid w:val="00D63DDD"/>
    <w:rsid w:val="00D63E00"/>
    <w:rsid w:val="00D63F8A"/>
    <w:rsid w:val="00D63FBE"/>
    <w:rsid w:val="00D63FDB"/>
    <w:rsid w:val="00D64070"/>
    <w:rsid w:val="00D640D4"/>
    <w:rsid w:val="00D64172"/>
    <w:rsid w:val="00D641A3"/>
    <w:rsid w:val="00D641B2"/>
    <w:rsid w:val="00D6422F"/>
    <w:rsid w:val="00D6423E"/>
    <w:rsid w:val="00D64273"/>
    <w:rsid w:val="00D642DA"/>
    <w:rsid w:val="00D64359"/>
    <w:rsid w:val="00D6436C"/>
    <w:rsid w:val="00D6437F"/>
    <w:rsid w:val="00D64507"/>
    <w:rsid w:val="00D645C9"/>
    <w:rsid w:val="00D64663"/>
    <w:rsid w:val="00D646A8"/>
    <w:rsid w:val="00D646AC"/>
    <w:rsid w:val="00D6470C"/>
    <w:rsid w:val="00D6482D"/>
    <w:rsid w:val="00D64879"/>
    <w:rsid w:val="00D648A8"/>
    <w:rsid w:val="00D648AE"/>
    <w:rsid w:val="00D648C9"/>
    <w:rsid w:val="00D64991"/>
    <w:rsid w:val="00D649ED"/>
    <w:rsid w:val="00D649F2"/>
    <w:rsid w:val="00D64A6D"/>
    <w:rsid w:val="00D64AD9"/>
    <w:rsid w:val="00D64B38"/>
    <w:rsid w:val="00D64B82"/>
    <w:rsid w:val="00D64BA0"/>
    <w:rsid w:val="00D64BE6"/>
    <w:rsid w:val="00D64C5F"/>
    <w:rsid w:val="00D64C85"/>
    <w:rsid w:val="00D64CFD"/>
    <w:rsid w:val="00D64D3D"/>
    <w:rsid w:val="00D64D9B"/>
    <w:rsid w:val="00D64DBB"/>
    <w:rsid w:val="00D64DC1"/>
    <w:rsid w:val="00D64DC3"/>
    <w:rsid w:val="00D64EF1"/>
    <w:rsid w:val="00D64F11"/>
    <w:rsid w:val="00D6507C"/>
    <w:rsid w:val="00D6518A"/>
    <w:rsid w:val="00D65217"/>
    <w:rsid w:val="00D6525F"/>
    <w:rsid w:val="00D65262"/>
    <w:rsid w:val="00D6526D"/>
    <w:rsid w:val="00D65383"/>
    <w:rsid w:val="00D65462"/>
    <w:rsid w:val="00D654A5"/>
    <w:rsid w:val="00D654B2"/>
    <w:rsid w:val="00D654B9"/>
    <w:rsid w:val="00D654F7"/>
    <w:rsid w:val="00D65529"/>
    <w:rsid w:val="00D65599"/>
    <w:rsid w:val="00D655D5"/>
    <w:rsid w:val="00D65648"/>
    <w:rsid w:val="00D656A1"/>
    <w:rsid w:val="00D65712"/>
    <w:rsid w:val="00D65724"/>
    <w:rsid w:val="00D65756"/>
    <w:rsid w:val="00D65795"/>
    <w:rsid w:val="00D6579A"/>
    <w:rsid w:val="00D658B7"/>
    <w:rsid w:val="00D658D6"/>
    <w:rsid w:val="00D65956"/>
    <w:rsid w:val="00D659C8"/>
    <w:rsid w:val="00D659E2"/>
    <w:rsid w:val="00D65AA2"/>
    <w:rsid w:val="00D65B0B"/>
    <w:rsid w:val="00D65B14"/>
    <w:rsid w:val="00D65B55"/>
    <w:rsid w:val="00D65BB0"/>
    <w:rsid w:val="00D65C35"/>
    <w:rsid w:val="00D65D3E"/>
    <w:rsid w:val="00D65D80"/>
    <w:rsid w:val="00D65D9B"/>
    <w:rsid w:val="00D65E44"/>
    <w:rsid w:val="00D65ED3"/>
    <w:rsid w:val="00D65F1D"/>
    <w:rsid w:val="00D65F23"/>
    <w:rsid w:val="00D65F35"/>
    <w:rsid w:val="00D65F3D"/>
    <w:rsid w:val="00D65F4B"/>
    <w:rsid w:val="00D65FB2"/>
    <w:rsid w:val="00D65FBE"/>
    <w:rsid w:val="00D65FC5"/>
    <w:rsid w:val="00D6607F"/>
    <w:rsid w:val="00D66099"/>
    <w:rsid w:val="00D660C2"/>
    <w:rsid w:val="00D660F5"/>
    <w:rsid w:val="00D6613D"/>
    <w:rsid w:val="00D6613E"/>
    <w:rsid w:val="00D661A6"/>
    <w:rsid w:val="00D661AC"/>
    <w:rsid w:val="00D661C9"/>
    <w:rsid w:val="00D66372"/>
    <w:rsid w:val="00D6650A"/>
    <w:rsid w:val="00D6653A"/>
    <w:rsid w:val="00D66570"/>
    <w:rsid w:val="00D6658A"/>
    <w:rsid w:val="00D66594"/>
    <w:rsid w:val="00D665B4"/>
    <w:rsid w:val="00D665DF"/>
    <w:rsid w:val="00D666D8"/>
    <w:rsid w:val="00D667B6"/>
    <w:rsid w:val="00D66826"/>
    <w:rsid w:val="00D668CF"/>
    <w:rsid w:val="00D668DD"/>
    <w:rsid w:val="00D66901"/>
    <w:rsid w:val="00D66915"/>
    <w:rsid w:val="00D66952"/>
    <w:rsid w:val="00D6695F"/>
    <w:rsid w:val="00D66A16"/>
    <w:rsid w:val="00D66B0C"/>
    <w:rsid w:val="00D66B5A"/>
    <w:rsid w:val="00D66B5D"/>
    <w:rsid w:val="00D66B69"/>
    <w:rsid w:val="00D66B75"/>
    <w:rsid w:val="00D66B7B"/>
    <w:rsid w:val="00D66C01"/>
    <w:rsid w:val="00D66C2E"/>
    <w:rsid w:val="00D66C81"/>
    <w:rsid w:val="00D66C90"/>
    <w:rsid w:val="00D66CC7"/>
    <w:rsid w:val="00D66DC7"/>
    <w:rsid w:val="00D66E09"/>
    <w:rsid w:val="00D66E10"/>
    <w:rsid w:val="00D66E18"/>
    <w:rsid w:val="00D66E5F"/>
    <w:rsid w:val="00D66ED1"/>
    <w:rsid w:val="00D66F86"/>
    <w:rsid w:val="00D66FA4"/>
    <w:rsid w:val="00D6700E"/>
    <w:rsid w:val="00D6717F"/>
    <w:rsid w:val="00D672A3"/>
    <w:rsid w:val="00D672C7"/>
    <w:rsid w:val="00D672CF"/>
    <w:rsid w:val="00D672DF"/>
    <w:rsid w:val="00D672F0"/>
    <w:rsid w:val="00D67371"/>
    <w:rsid w:val="00D673E6"/>
    <w:rsid w:val="00D674E6"/>
    <w:rsid w:val="00D6761F"/>
    <w:rsid w:val="00D67774"/>
    <w:rsid w:val="00D677E9"/>
    <w:rsid w:val="00D6782F"/>
    <w:rsid w:val="00D67835"/>
    <w:rsid w:val="00D6783B"/>
    <w:rsid w:val="00D67885"/>
    <w:rsid w:val="00D6795A"/>
    <w:rsid w:val="00D679EB"/>
    <w:rsid w:val="00D67A29"/>
    <w:rsid w:val="00D67A2D"/>
    <w:rsid w:val="00D67A80"/>
    <w:rsid w:val="00D67A84"/>
    <w:rsid w:val="00D67AAF"/>
    <w:rsid w:val="00D67BD2"/>
    <w:rsid w:val="00D67C42"/>
    <w:rsid w:val="00D67CCC"/>
    <w:rsid w:val="00D67D69"/>
    <w:rsid w:val="00D67D8A"/>
    <w:rsid w:val="00D67E1E"/>
    <w:rsid w:val="00D67E36"/>
    <w:rsid w:val="00D67E4A"/>
    <w:rsid w:val="00D67EDB"/>
    <w:rsid w:val="00D67FAD"/>
    <w:rsid w:val="00D700D0"/>
    <w:rsid w:val="00D700D8"/>
    <w:rsid w:val="00D70146"/>
    <w:rsid w:val="00D7014D"/>
    <w:rsid w:val="00D7016C"/>
    <w:rsid w:val="00D70307"/>
    <w:rsid w:val="00D70317"/>
    <w:rsid w:val="00D70362"/>
    <w:rsid w:val="00D703F2"/>
    <w:rsid w:val="00D70410"/>
    <w:rsid w:val="00D7041D"/>
    <w:rsid w:val="00D7046B"/>
    <w:rsid w:val="00D7050C"/>
    <w:rsid w:val="00D7054F"/>
    <w:rsid w:val="00D70580"/>
    <w:rsid w:val="00D70677"/>
    <w:rsid w:val="00D706ED"/>
    <w:rsid w:val="00D706FC"/>
    <w:rsid w:val="00D7074E"/>
    <w:rsid w:val="00D7078C"/>
    <w:rsid w:val="00D708FC"/>
    <w:rsid w:val="00D70938"/>
    <w:rsid w:val="00D709A5"/>
    <w:rsid w:val="00D70A0C"/>
    <w:rsid w:val="00D70A2D"/>
    <w:rsid w:val="00D70A8D"/>
    <w:rsid w:val="00D70AEE"/>
    <w:rsid w:val="00D70CC6"/>
    <w:rsid w:val="00D70E2F"/>
    <w:rsid w:val="00D70F0E"/>
    <w:rsid w:val="00D70F3B"/>
    <w:rsid w:val="00D70F47"/>
    <w:rsid w:val="00D70F9B"/>
    <w:rsid w:val="00D70FB9"/>
    <w:rsid w:val="00D70FCD"/>
    <w:rsid w:val="00D70FD6"/>
    <w:rsid w:val="00D70FE9"/>
    <w:rsid w:val="00D7106D"/>
    <w:rsid w:val="00D71071"/>
    <w:rsid w:val="00D71186"/>
    <w:rsid w:val="00D711BC"/>
    <w:rsid w:val="00D711BF"/>
    <w:rsid w:val="00D71212"/>
    <w:rsid w:val="00D7129A"/>
    <w:rsid w:val="00D7131F"/>
    <w:rsid w:val="00D71334"/>
    <w:rsid w:val="00D7143B"/>
    <w:rsid w:val="00D71470"/>
    <w:rsid w:val="00D71510"/>
    <w:rsid w:val="00D71576"/>
    <w:rsid w:val="00D715B8"/>
    <w:rsid w:val="00D715F5"/>
    <w:rsid w:val="00D71630"/>
    <w:rsid w:val="00D7166C"/>
    <w:rsid w:val="00D7169E"/>
    <w:rsid w:val="00D716ED"/>
    <w:rsid w:val="00D7174E"/>
    <w:rsid w:val="00D71761"/>
    <w:rsid w:val="00D7177C"/>
    <w:rsid w:val="00D717D4"/>
    <w:rsid w:val="00D7182C"/>
    <w:rsid w:val="00D7188C"/>
    <w:rsid w:val="00D718C9"/>
    <w:rsid w:val="00D718D5"/>
    <w:rsid w:val="00D71981"/>
    <w:rsid w:val="00D7199F"/>
    <w:rsid w:val="00D719A2"/>
    <w:rsid w:val="00D71A4F"/>
    <w:rsid w:val="00D71A7E"/>
    <w:rsid w:val="00D71A92"/>
    <w:rsid w:val="00D71AAF"/>
    <w:rsid w:val="00D71AF6"/>
    <w:rsid w:val="00D71B71"/>
    <w:rsid w:val="00D71B82"/>
    <w:rsid w:val="00D71C39"/>
    <w:rsid w:val="00D71D4D"/>
    <w:rsid w:val="00D71D4F"/>
    <w:rsid w:val="00D71DCC"/>
    <w:rsid w:val="00D71E38"/>
    <w:rsid w:val="00D71E5E"/>
    <w:rsid w:val="00D71EA9"/>
    <w:rsid w:val="00D71EE7"/>
    <w:rsid w:val="00D71EFE"/>
    <w:rsid w:val="00D71F21"/>
    <w:rsid w:val="00D71F40"/>
    <w:rsid w:val="00D72041"/>
    <w:rsid w:val="00D720E8"/>
    <w:rsid w:val="00D721A0"/>
    <w:rsid w:val="00D721A9"/>
    <w:rsid w:val="00D721E8"/>
    <w:rsid w:val="00D722C5"/>
    <w:rsid w:val="00D7242C"/>
    <w:rsid w:val="00D724AF"/>
    <w:rsid w:val="00D72516"/>
    <w:rsid w:val="00D7252D"/>
    <w:rsid w:val="00D72693"/>
    <w:rsid w:val="00D726CC"/>
    <w:rsid w:val="00D726F1"/>
    <w:rsid w:val="00D727BF"/>
    <w:rsid w:val="00D727FD"/>
    <w:rsid w:val="00D72827"/>
    <w:rsid w:val="00D7293C"/>
    <w:rsid w:val="00D7297C"/>
    <w:rsid w:val="00D729AF"/>
    <w:rsid w:val="00D729F2"/>
    <w:rsid w:val="00D72A15"/>
    <w:rsid w:val="00D72AEB"/>
    <w:rsid w:val="00D72B10"/>
    <w:rsid w:val="00D72BEF"/>
    <w:rsid w:val="00D72C4D"/>
    <w:rsid w:val="00D72CBF"/>
    <w:rsid w:val="00D72D27"/>
    <w:rsid w:val="00D72D44"/>
    <w:rsid w:val="00D72DC2"/>
    <w:rsid w:val="00D72DC9"/>
    <w:rsid w:val="00D72E28"/>
    <w:rsid w:val="00D72E58"/>
    <w:rsid w:val="00D72F56"/>
    <w:rsid w:val="00D72F86"/>
    <w:rsid w:val="00D73095"/>
    <w:rsid w:val="00D73155"/>
    <w:rsid w:val="00D731FF"/>
    <w:rsid w:val="00D7329B"/>
    <w:rsid w:val="00D732F1"/>
    <w:rsid w:val="00D7336B"/>
    <w:rsid w:val="00D73381"/>
    <w:rsid w:val="00D73407"/>
    <w:rsid w:val="00D73426"/>
    <w:rsid w:val="00D7343D"/>
    <w:rsid w:val="00D734BB"/>
    <w:rsid w:val="00D734BC"/>
    <w:rsid w:val="00D734F1"/>
    <w:rsid w:val="00D73502"/>
    <w:rsid w:val="00D73548"/>
    <w:rsid w:val="00D7355D"/>
    <w:rsid w:val="00D7357D"/>
    <w:rsid w:val="00D7359D"/>
    <w:rsid w:val="00D735C7"/>
    <w:rsid w:val="00D73614"/>
    <w:rsid w:val="00D7361F"/>
    <w:rsid w:val="00D73677"/>
    <w:rsid w:val="00D736EA"/>
    <w:rsid w:val="00D73767"/>
    <w:rsid w:val="00D7376A"/>
    <w:rsid w:val="00D737B6"/>
    <w:rsid w:val="00D73825"/>
    <w:rsid w:val="00D73838"/>
    <w:rsid w:val="00D738E3"/>
    <w:rsid w:val="00D738F4"/>
    <w:rsid w:val="00D739C3"/>
    <w:rsid w:val="00D73A08"/>
    <w:rsid w:val="00D73A8D"/>
    <w:rsid w:val="00D73A92"/>
    <w:rsid w:val="00D73B9D"/>
    <w:rsid w:val="00D73C0A"/>
    <w:rsid w:val="00D73C61"/>
    <w:rsid w:val="00D73C62"/>
    <w:rsid w:val="00D73CAD"/>
    <w:rsid w:val="00D73D29"/>
    <w:rsid w:val="00D73D31"/>
    <w:rsid w:val="00D73DCE"/>
    <w:rsid w:val="00D73E15"/>
    <w:rsid w:val="00D73E7D"/>
    <w:rsid w:val="00D73E93"/>
    <w:rsid w:val="00D73ED6"/>
    <w:rsid w:val="00D73F19"/>
    <w:rsid w:val="00D73F24"/>
    <w:rsid w:val="00D73F34"/>
    <w:rsid w:val="00D73F89"/>
    <w:rsid w:val="00D7404B"/>
    <w:rsid w:val="00D7407C"/>
    <w:rsid w:val="00D74156"/>
    <w:rsid w:val="00D7416B"/>
    <w:rsid w:val="00D7417D"/>
    <w:rsid w:val="00D74181"/>
    <w:rsid w:val="00D741F0"/>
    <w:rsid w:val="00D741F4"/>
    <w:rsid w:val="00D7421B"/>
    <w:rsid w:val="00D7425B"/>
    <w:rsid w:val="00D74263"/>
    <w:rsid w:val="00D7427B"/>
    <w:rsid w:val="00D742B6"/>
    <w:rsid w:val="00D74310"/>
    <w:rsid w:val="00D74350"/>
    <w:rsid w:val="00D74376"/>
    <w:rsid w:val="00D744AA"/>
    <w:rsid w:val="00D7456C"/>
    <w:rsid w:val="00D74585"/>
    <w:rsid w:val="00D7470C"/>
    <w:rsid w:val="00D747EF"/>
    <w:rsid w:val="00D74803"/>
    <w:rsid w:val="00D7484A"/>
    <w:rsid w:val="00D74880"/>
    <w:rsid w:val="00D748E5"/>
    <w:rsid w:val="00D7490A"/>
    <w:rsid w:val="00D7491A"/>
    <w:rsid w:val="00D749A8"/>
    <w:rsid w:val="00D749B7"/>
    <w:rsid w:val="00D749CB"/>
    <w:rsid w:val="00D74A1D"/>
    <w:rsid w:val="00D74A26"/>
    <w:rsid w:val="00D74A3B"/>
    <w:rsid w:val="00D74AB7"/>
    <w:rsid w:val="00D74AE8"/>
    <w:rsid w:val="00D74AF0"/>
    <w:rsid w:val="00D74B10"/>
    <w:rsid w:val="00D74B39"/>
    <w:rsid w:val="00D74C01"/>
    <w:rsid w:val="00D74C27"/>
    <w:rsid w:val="00D74C28"/>
    <w:rsid w:val="00D74CD4"/>
    <w:rsid w:val="00D74CE9"/>
    <w:rsid w:val="00D74D0A"/>
    <w:rsid w:val="00D74D10"/>
    <w:rsid w:val="00D74D3A"/>
    <w:rsid w:val="00D74D59"/>
    <w:rsid w:val="00D74D75"/>
    <w:rsid w:val="00D74E05"/>
    <w:rsid w:val="00D74E80"/>
    <w:rsid w:val="00D7515F"/>
    <w:rsid w:val="00D7516F"/>
    <w:rsid w:val="00D75194"/>
    <w:rsid w:val="00D752BF"/>
    <w:rsid w:val="00D752E2"/>
    <w:rsid w:val="00D75314"/>
    <w:rsid w:val="00D7531C"/>
    <w:rsid w:val="00D75322"/>
    <w:rsid w:val="00D7538B"/>
    <w:rsid w:val="00D754C5"/>
    <w:rsid w:val="00D75565"/>
    <w:rsid w:val="00D75566"/>
    <w:rsid w:val="00D75598"/>
    <w:rsid w:val="00D755AD"/>
    <w:rsid w:val="00D75660"/>
    <w:rsid w:val="00D75690"/>
    <w:rsid w:val="00D75726"/>
    <w:rsid w:val="00D7574A"/>
    <w:rsid w:val="00D757CA"/>
    <w:rsid w:val="00D75864"/>
    <w:rsid w:val="00D75955"/>
    <w:rsid w:val="00D75966"/>
    <w:rsid w:val="00D7597D"/>
    <w:rsid w:val="00D75A1A"/>
    <w:rsid w:val="00D75A42"/>
    <w:rsid w:val="00D75A86"/>
    <w:rsid w:val="00D75B38"/>
    <w:rsid w:val="00D75BCC"/>
    <w:rsid w:val="00D75BED"/>
    <w:rsid w:val="00D75C9F"/>
    <w:rsid w:val="00D75D3F"/>
    <w:rsid w:val="00D75D9D"/>
    <w:rsid w:val="00D75E2F"/>
    <w:rsid w:val="00D75E49"/>
    <w:rsid w:val="00D75E4D"/>
    <w:rsid w:val="00D75E7E"/>
    <w:rsid w:val="00D75EA1"/>
    <w:rsid w:val="00D75F68"/>
    <w:rsid w:val="00D75F80"/>
    <w:rsid w:val="00D7600C"/>
    <w:rsid w:val="00D76063"/>
    <w:rsid w:val="00D760EC"/>
    <w:rsid w:val="00D76105"/>
    <w:rsid w:val="00D76189"/>
    <w:rsid w:val="00D761C8"/>
    <w:rsid w:val="00D76237"/>
    <w:rsid w:val="00D7627E"/>
    <w:rsid w:val="00D762DC"/>
    <w:rsid w:val="00D76324"/>
    <w:rsid w:val="00D76337"/>
    <w:rsid w:val="00D76416"/>
    <w:rsid w:val="00D7650A"/>
    <w:rsid w:val="00D7657E"/>
    <w:rsid w:val="00D7661B"/>
    <w:rsid w:val="00D76650"/>
    <w:rsid w:val="00D76678"/>
    <w:rsid w:val="00D7668F"/>
    <w:rsid w:val="00D76776"/>
    <w:rsid w:val="00D767C2"/>
    <w:rsid w:val="00D76860"/>
    <w:rsid w:val="00D768E3"/>
    <w:rsid w:val="00D768F8"/>
    <w:rsid w:val="00D768FA"/>
    <w:rsid w:val="00D76984"/>
    <w:rsid w:val="00D76A2A"/>
    <w:rsid w:val="00D76A83"/>
    <w:rsid w:val="00D76A89"/>
    <w:rsid w:val="00D76A98"/>
    <w:rsid w:val="00D76AFA"/>
    <w:rsid w:val="00D76B33"/>
    <w:rsid w:val="00D76BA0"/>
    <w:rsid w:val="00D76C6B"/>
    <w:rsid w:val="00D76C9C"/>
    <w:rsid w:val="00D76E2E"/>
    <w:rsid w:val="00D76F2C"/>
    <w:rsid w:val="00D76F38"/>
    <w:rsid w:val="00D76F88"/>
    <w:rsid w:val="00D76FF8"/>
    <w:rsid w:val="00D7706B"/>
    <w:rsid w:val="00D770AE"/>
    <w:rsid w:val="00D770B6"/>
    <w:rsid w:val="00D77100"/>
    <w:rsid w:val="00D7715E"/>
    <w:rsid w:val="00D771B5"/>
    <w:rsid w:val="00D771B6"/>
    <w:rsid w:val="00D771E6"/>
    <w:rsid w:val="00D771EA"/>
    <w:rsid w:val="00D7732E"/>
    <w:rsid w:val="00D7744F"/>
    <w:rsid w:val="00D7746E"/>
    <w:rsid w:val="00D774EF"/>
    <w:rsid w:val="00D7754D"/>
    <w:rsid w:val="00D775A6"/>
    <w:rsid w:val="00D775E6"/>
    <w:rsid w:val="00D775F1"/>
    <w:rsid w:val="00D77602"/>
    <w:rsid w:val="00D7769A"/>
    <w:rsid w:val="00D77725"/>
    <w:rsid w:val="00D7772D"/>
    <w:rsid w:val="00D777A6"/>
    <w:rsid w:val="00D777B4"/>
    <w:rsid w:val="00D777D1"/>
    <w:rsid w:val="00D7787F"/>
    <w:rsid w:val="00D778C7"/>
    <w:rsid w:val="00D778E1"/>
    <w:rsid w:val="00D7798A"/>
    <w:rsid w:val="00D779CD"/>
    <w:rsid w:val="00D77A2B"/>
    <w:rsid w:val="00D77AA0"/>
    <w:rsid w:val="00D77AC7"/>
    <w:rsid w:val="00D77B0B"/>
    <w:rsid w:val="00D77B39"/>
    <w:rsid w:val="00D77B43"/>
    <w:rsid w:val="00D77B99"/>
    <w:rsid w:val="00D77BED"/>
    <w:rsid w:val="00D77CC4"/>
    <w:rsid w:val="00D77D8F"/>
    <w:rsid w:val="00D77E2A"/>
    <w:rsid w:val="00D77E48"/>
    <w:rsid w:val="00D77E65"/>
    <w:rsid w:val="00D77EBC"/>
    <w:rsid w:val="00D77EDF"/>
    <w:rsid w:val="00D77FF8"/>
    <w:rsid w:val="00D80058"/>
    <w:rsid w:val="00D80064"/>
    <w:rsid w:val="00D80067"/>
    <w:rsid w:val="00D8006D"/>
    <w:rsid w:val="00D80072"/>
    <w:rsid w:val="00D800E6"/>
    <w:rsid w:val="00D8011D"/>
    <w:rsid w:val="00D8018D"/>
    <w:rsid w:val="00D801E4"/>
    <w:rsid w:val="00D80219"/>
    <w:rsid w:val="00D8024A"/>
    <w:rsid w:val="00D802BD"/>
    <w:rsid w:val="00D802F3"/>
    <w:rsid w:val="00D803CA"/>
    <w:rsid w:val="00D8040D"/>
    <w:rsid w:val="00D8042C"/>
    <w:rsid w:val="00D804A7"/>
    <w:rsid w:val="00D804FB"/>
    <w:rsid w:val="00D805DC"/>
    <w:rsid w:val="00D805FA"/>
    <w:rsid w:val="00D8063D"/>
    <w:rsid w:val="00D806F3"/>
    <w:rsid w:val="00D80718"/>
    <w:rsid w:val="00D807AA"/>
    <w:rsid w:val="00D8084E"/>
    <w:rsid w:val="00D80882"/>
    <w:rsid w:val="00D808C5"/>
    <w:rsid w:val="00D808DE"/>
    <w:rsid w:val="00D808F2"/>
    <w:rsid w:val="00D80913"/>
    <w:rsid w:val="00D8096F"/>
    <w:rsid w:val="00D8099B"/>
    <w:rsid w:val="00D809FD"/>
    <w:rsid w:val="00D80A4B"/>
    <w:rsid w:val="00D80A6E"/>
    <w:rsid w:val="00D80B0C"/>
    <w:rsid w:val="00D80BFC"/>
    <w:rsid w:val="00D80C3D"/>
    <w:rsid w:val="00D80C7C"/>
    <w:rsid w:val="00D80C86"/>
    <w:rsid w:val="00D80CC2"/>
    <w:rsid w:val="00D80CD7"/>
    <w:rsid w:val="00D80CF0"/>
    <w:rsid w:val="00D80D6F"/>
    <w:rsid w:val="00D80E07"/>
    <w:rsid w:val="00D80E39"/>
    <w:rsid w:val="00D80EDC"/>
    <w:rsid w:val="00D80F04"/>
    <w:rsid w:val="00D80FA5"/>
    <w:rsid w:val="00D80FF3"/>
    <w:rsid w:val="00D8109E"/>
    <w:rsid w:val="00D810B9"/>
    <w:rsid w:val="00D810C7"/>
    <w:rsid w:val="00D810D0"/>
    <w:rsid w:val="00D81118"/>
    <w:rsid w:val="00D81182"/>
    <w:rsid w:val="00D811DA"/>
    <w:rsid w:val="00D811F7"/>
    <w:rsid w:val="00D811F8"/>
    <w:rsid w:val="00D812DF"/>
    <w:rsid w:val="00D812F5"/>
    <w:rsid w:val="00D813EF"/>
    <w:rsid w:val="00D8150C"/>
    <w:rsid w:val="00D8157F"/>
    <w:rsid w:val="00D815E5"/>
    <w:rsid w:val="00D81622"/>
    <w:rsid w:val="00D81631"/>
    <w:rsid w:val="00D8163C"/>
    <w:rsid w:val="00D8164C"/>
    <w:rsid w:val="00D8167E"/>
    <w:rsid w:val="00D817C0"/>
    <w:rsid w:val="00D817D4"/>
    <w:rsid w:val="00D817F1"/>
    <w:rsid w:val="00D8186A"/>
    <w:rsid w:val="00D8189B"/>
    <w:rsid w:val="00D818C5"/>
    <w:rsid w:val="00D8191C"/>
    <w:rsid w:val="00D81938"/>
    <w:rsid w:val="00D8195E"/>
    <w:rsid w:val="00D81A37"/>
    <w:rsid w:val="00D81A8D"/>
    <w:rsid w:val="00D81B71"/>
    <w:rsid w:val="00D81B95"/>
    <w:rsid w:val="00D81BD0"/>
    <w:rsid w:val="00D81BE8"/>
    <w:rsid w:val="00D81C02"/>
    <w:rsid w:val="00D81C12"/>
    <w:rsid w:val="00D81C34"/>
    <w:rsid w:val="00D81D2F"/>
    <w:rsid w:val="00D81D36"/>
    <w:rsid w:val="00D81D5F"/>
    <w:rsid w:val="00D81DC1"/>
    <w:rsid w:val="00D81DEC"/>
    <w:rsid w:val="00D81E02"/>
    <w:rsid w:val="00D81FA0"/>
    <w:rsid w:val="00D82038"/>
    <w:rsid w:val="00D82040"/>
    <w:rsid w:val="00D820C1"/>
    <w:rsid w:val="00D82216"/>
    <w:rsid w:val="00D82227"/>
    <w:rsid w:val="00D822B3"/>
    <w:rsid w:val="00D822B4"/>
    <w:rsid w:val="00D822BA"/>
    <w:rsid w:val="00D822D5"/>
    <w:rsid w:val="00D8236A"/>
    <w:rsid w:val="00D823CD"/>
    <w:rsid w:val="00D8245B"/>
    <w:rsid w:val="00D824DF"/>
    <w:rsid w:val="00D825D2"/>
    <w:rsid w:val="00D825F2"/>
    <w:rsid w:val="00D82646"/>
    <w:rsid w:val="00D8265B"/>
    <w:rsid w:val="00D8267C"/>
    <w:rsid w:val="00D826F7"/>
    <w:rsid w:val="00D82763"/>
    <w:rsid w:val="00D82783"/>
    <w:rsid w:val="00D827FF"/>
    <w:rsid w:val="00D8289F"/>
    <w:rsid w:val="00D828E6"/>
    <w:rsid w:val="00D82934"/>
    <w:rsid w:val="00D8294E"/>
    <w:rsid w:val="00D82958"/>
    <w:rsid w:val="00D82968"/>
    <w:rsid w:val="00D82A18"/>
    <w:rsid w:val="00D82A71"/>
    <w:rsid w:val="00D82BE9"/>
    <w:rsid w:val="00D82BEB"/>
    <w:rsid w:val="00D82BF2"/>
    <w:rsid w:val="00D82BF9"/>
    <w:rsid w:val="00D82C2E"/>
    <w:rsid w:val="00D82C64"/>
    <w:rsid w:val="00D82C97"/>
    <w:rsid w:val="00D82CF6"/>
    <w:rsid w:val="00D82D3E"/>
    <w:rsid w:val="00D82D65"/>
    <w:rsid w:val="00D82E06"/>
    <w:rsid w:val="00D82E0F"/>
    <w:rsid w:val="00D82E62"/>
    <w:rsid w:val="00D82E69"/>
    <w:rsid w:val="00D82E79"/>
    <w:rsid w:val="00D82EDC"/>
    <w:rsid w:val="00D82F10"/>
    <w:rsid w:val="00D82F5B"/>
    <w:rsid w:val="00D82FAA"/>
    <w:rsid w:val="00D82FD7"/>
    <w:rsid w:val="00D83036"/>
    <w:rsid w:val="00D831A2"/>
    <w:rsid w:val="00D8320C"/>
    <w:rsid w:val="00D83213"/>
    <w:rsid w:val="00D832EE"/>
    <w:rsid w:val="00D83315"/>
    <w:rsid w:val="00D83352"/>
    <w:rsid w:val="00D8338D"/>
    <w:rsid w:val="00D833C8"/>
    <w:rsid w:val="00D833F9"/>
    <w:rsid w:val="00D8343B"/>
    <w:rsid w:val="00D8343E"/>
    <w:rsid w:val="00D83445"/>
    <w:rsid w:val="00D8344F"/>
    <w:rsid w:val="00D83520"/>
    <w:rsid w:val="00D8354C"/>
    <w:rsid w:val="00D835AC"/>
    <w:rsid w:val="00D835AF"/>
    <w:rsid w:val="00D835DE"/>
    <w:rsid w:val="00D83602"/>
    <w:rsid w:val="00D83721"/>
    <w:rsid w:val="00D8373E"/>
    <w:rsid w:val="00D8373F"/>
    <w:rsid w:val="00D83752"/>
    <w:rsid w:val="00D83765"/>
    <w:rsid w:val="00D83766"/>
    <w:rsid w:val="00D8378F"/>
    <w:rsid w:val="00D837D0"/>
    <w:rsid w:val="00D837E2"/>
    <w:rsid w:val="00D8386F"/>
    <w:rsid w:val="00D83905"/>
    <w:rsid w:val="00D83924"/>
    <w:rsid w:val="00D83971"/>
    <w:rsid w:val="00D83997"/>
    <w:rsid w:val="00D839B6"/>
    <w:rsid w:val="00D83A00"/>
    <w:rsid w:val="00D83A1E"/>
    <w:rsid w:val="00D83A9D"/>
    <w:rsid w:val="00D83B13"/>
    <w:rsid w:val="00D83B26"/>
    <w:rsid w:val="00D83B52"/>
    <w:rsid w:val="00D83B5E"/>
    <w:rsid w:val="00D83B60"/>
    <w:rsid w:val="00D83B83"/>
    <w:rsid w:val="00D83C27"/>
    <w:rsid w:val="00D83CAF"/>
    <w:rsid w:val="00D83D0B"/>
    <w:rsid w:val="00D83D2D"/>
    <w:rsid w:val="00D83D83"/>
    <w:rsid w:val="00D83DC1"/>
    <w:rsid w:val="00D83DCD"/>
    <w:rsid w:val="00D83EB1"/>
    <w:rsid w:val="00D83F17"/>
    <w:rsid w:val="00D83F5D"/>
    <w:rsid w:val="00D83FA0"/>
    <w:rsid w:val="00D83FA3"/>
    <w:rsid w:val="00D840D7"/>
    <w:rsid w:val="00D840E7"/>
    <w:rsid w:val="00D84307"/>
    <w:rsid w:val="00D84362"/>
    <w:rsid w:val="00D8438D"/>
    <w:rsid w:val="00D844CA"/>
    <w:rsid w:val="00D845B3"/>
    <w:rsid w:val="00D846FE"/>
    <w:rsid w:val="00D84708"/>
    <w:rsid w:val="00D84744"/>
    <w:rsid w:val="00D8483B"/>
    <w:rsid w:val="00D84895"/>
    <w:rsid w:val="00D848C9"/>
    <w:rsid w:val="00D849BE"/>
    <w:rsid w:val="00D84A21"/>
    <w:rsid w:val="00D84A3C"/>
    <w:rsid w:val="00D84B09"/>
    <w:rsid w:val="00D84B6A"/>
    <w:rsid w:val="00D84B87"/>
    <w:rsid w:val="00D84B88"/>
    <w:rsid w:val="00D84BA7"/>
    <w:rsid w:val="00D84BCD"/>
    <w:rsid w:val="00D84BCE"/>
    <w:rsid w:val="00D84C11"/>
    <w:rsid w:val="00D84C13"/>
    <w:rsid w:val="00D84C28"/>
    <w:rsid w:val="00D84C58"/>
    <w:rsid w:val="00D84C5E"/>
    <w:rsid w:val="00D84D11"/>
    <w:rsid w:val="00D84D36"/>
    <w:rsid w:val="00D84D3C"/>
    <w:rsid w:val="00D84D8B"/>
    <w:rsid w:val="00D84DD7"/>
    <w:rsid w:val="00D84DF1"/>
    <w:rsid w:val="00D84E4D"/>
    <w:rsid w:val="00D84E98"/>
    <w:rsid w:val="00D84EC6"/>
    <w:rsid w:val="00D84F09"/>
    <w:rsid w:val="00D84F8C"/>
    <w:rsid w:val="00D84F8F"/>
    <w:rsid w:val="00D84FD7"/>
    <w:rsid w:val="00D84FF9"/>
    <w:rsid w:val="00D8507A"/>
    <w:rsid w:val="00D850B5"/>
    <w:rsid w:val="00D85138"/>
    <w:rsid w:val="00D851B0"/>
    <w:rsid w:val="00D8522D"/>
    <w:rsid w:val="00D85243"/>
    <w:rsid w:val="00D8527C"/>
    <w:rsid w:val="00D85367"/>
    <w:rsid w:val="00D85382"/>
    <w:rsid w:val="00D853D1"/>
    <w:rsid w:val="00D853FB"/>
    <w:rsid w:val="00D85400"/>
    <w:rsid w:val="00D854C0"/>
    <w:rsid w:val="00D854DF"/>
    <w:rsid w:val="00D85506"/>
    <w:rsid w:val="00D85512"/>
    <w:rsid w:val="00D85541"/>
    <w:rsid w:val="00D85546"/>
    <w:rsid w:val="00D8554D"/>
    <w:rsid w:val="00D856F6"/>
    <w:rsid w:val="00D85815"/>
    <w:rsid w:val="00D8581D"/>
    <w:rsid w:val="00D85968"/>
    <w:rsid w:val="00D85A1E"/>
    <w:rsid w:val="00D85A8A"/>
    <w:rsid w:val="00D85BEB"/>
    <w:rsid w:val="00D85BF5"/>
    <w:rsid w:val="00D85C12"/>
    <w:rsid w:val="00D85C25"/>
    <w:rsid w:val="00D85C54"/>
    <w:rsid w:val="00D85C6A"/>
    <w:rsid w:val="00D85CA6"/>
    <w:rsid w:val="00D85D18"/>
    <w:rsid w:val="00D85D25"/>
    <w:rsid w:val="00D85E23"/>
    <w:rsid w:val="00D86016"/>
    <w:rsid w:val="00D86059"/>
    <w:rsid w:val="00D8610D"/>
    <w:rsid w:val="00D86114"/>
    <w:rsid w:val="00D8613B"/>
    <w:rsid w:val="00D86152"/>
    <w:rsid w:val="00D861DD"/>
    <w:rsid w:val="00D86238"/>
    <w:rsid w:val="00D8626F"/>
    <w:rsid w:val="00D862A1"/>
    <w:rsid w:val="00D862CD"/>
    <w:rsid w:val="00D86315"/>
    <w:rsid w:val="00D86391"/>
    <w:rsid w:val="00D86401"/>
    <w:rsid w:val="00D8646C"/>
    <w:rsid w:val="00D864AB"/>
    <w:rsid w:val="00D864EC"/>
    <w:rsid w:val="00D8655B"/>
    <w:rsid w:val="00D86627"/>
    <w:rsid w:val="00D8664A"/>
    <w:rsid w:val="00D86715"/>
    <w:rsid w:val="00D868DC"/>
    <w:rsid w:val="00D8697B"/>
    <w:rsid w:val="00D869E4"/>
    <w:rsid w:val="00D86AB7"/>
    <w:rsid w:val="00D86AF2"/>
    <w:rsid w:val="00D86AFF"/>
    <w:rsid w:val="00D86B6A"/>
    <w:rsid w:val="00D86B92"/>
    <w:rsid w:val="00D86BC0"/>
    <w:rsid w:val="00D86C29"/>
    <w:rsid w:val="00D86D20"/>
    <w:rsid w:val="00D86D82"/>
    <w:rsid w:val="00D86DF1"/>
    <w:rsid w:val="00D86E42"/>
    <w:rsid w:val="00D86E74"/>
    <w:rsid w:val="00D86E7D"/>
    <w:rsid w:val="00D87195"/>
    <w:rsid w:val="00D8719D"/>
    <w:rsid w:val="00D871B9"/>
    <w:rsid w:val="00D872BF"/>
    <w:rsid w:val="00D872FA"/>
    <w:rsid w:val="00D87313"/>
    <w:rsid w:val="00D873CB"/>
    <w:rsid w:val="00D87463"/>
    <w:rsid w:val="00D87490"/>
    <w:rsid w:val="00D874E4"/>
    <w:rsid w:val="00D87570"/>
    <w:rsid w:val="00D8758A"/>
    <w:rsid w:val="00D875AE"/>
    <w:rsid w:val="00D8768B"/>
    <w:rsid w:val="00D876EA"/>
    <w:rsid w:val="00D8773F"/>
    <w:rsid w:val="00D877B0"/>
    <w:rsid w:val="00D87823"/>
    <w:rsid w:val="00D87858"/>
    <w:rsid w:val="00D87859"/>
    <w:rsid w:val="00D8789F"/>
    <w:rsid w:val="00D878E2"/>
    <w:rsid w:val="00D87973"/>
    <w:rsid w:val="00D8799D"/>
    <w:rsid w:val="00D879B8"/>
    <w:rsid w:val="00D879F1"/>
    <w:rsid w:val="00D87A03"/>
    <w:rsid w:val="00D87A3C"/>
    <w:rsid w:val="00D87A44"/>
    <w:rsid w:val="00D87ADB"/>
    <w:rsid w:val="00D87AFE"/>
    <w:rsid w:val="00D87B0D"/>
    <w:rsid w:val="00D87B2F"/>
    <w:rsid w:val="00D87B3C"/>
    <w:rsid w:val="00D87B5C"/>
    <w:rsid w:val="00D87BB0"/>
    <w:rsid w:val="00D87BE2"/>
    <w:rsid w:val="00D87C06"/>
    <w:rsid w:val="00D87C10"/>
    <w:rsid w:val="00D87C3C"/>
    <w:rsid w:val="00D87C82"/>
    <w:rsid w:val="00D87D34"/>
    <w:rsid w:val="00D87D36"/>
    <w:rsid w:val="00D87DBC"/>
    <w:rsid w:val="00D87DFD"/>
    <w:rsid w:val="00D87F14"/>
    <w:rsid w:val="00D87F23"/>
    <w:rsid w:val="00D87FD1"/>
    <w:rsid w:val="00D87FDB"/>
    <w:rsid w:val="00D87FEF"/>
    <w:rsid w:val="00D87FF8"/>
    <w:rsid w:val="00D881E9"/>
    <w:rsid w:val="00D9001B"/>
    <w:rsid w:val="00D90023"/>
    <w:rsid w:val="00D9002A"/>
    <w:rsid w:val="00D90085"/>
    <w:rsid w:val="00D9016F"/>
    <w:rsid w:val="00D90182"/>
    <w:rsid w:val="00D9019C"/>
    <w:rsid w:val="00D901CF"/>
    <w:rsid w:val="00D901DC"/>
    <w:rsid w:val="00D90220"/>
    <w:rsid w:val="00D9025B"/>
    <w:rsid w:val="00D90261"/>
    <w:rsid w:val="00D90433"/>
    <w:rsid w:val="00D90443"/>
    <w:rsid w:val="00D90464"/>
    <w:rsid w:val="00D904DA"/>
    <w:rsid w:val="00D90501"/>
    <w:rsid w:val="00D905C4"/>
    <w:rsid w:val="00D90605"/>
    <w:rsid w:val="00D90693"/>
    <w:rsid w:val="00D90723"/>
    <w:rsid w:val="00D907BC"/>
    <w:rsid w:val="00D907C5"/>
    <w:rsid w:val="00D907EB"/>
    <w:rsid w:val="00D907EC"/>
    <w:rsid w:val="00D90808"/>
    <w:rsid w:val="00D9086B"/>
    <w:rsid w:val="00D90880"/>
    <w:rsid w:val="00D908BC"/>
    <w:rsid w:val="00D909B2"/>
    <w:rsid w:val="00D90A14"/>
    <w:rsid w:val="00D90A5E"/>
    <w:rsid w:val="00D90A74"/>
    <w:rsid w:val="00D90ABF"/>
    <w:rsid w:val="00D90B04"/>
    <w:rsid w:val="00D90B21"/>
    <w:rsid w:val="00D90B8D"/>
    <w:rsid w:val="00D90B9F"/>
    <w:rsid w:val="00D90BD6"/>
    <w:rsid w:val="00D90BE2"/>
    <w:rsid w:val="00D90BF0"/>
    <w:rsid w:val="00D90C11"/>
    <w:rsid w:val="00D90C1F"/>
    <w:rsid w:val="00D90C20"/>
    <w:rsid w:val="00D90C88"/>
    <w:rsid w:val="00D90CD9"/>
    <w:rsid w:val="00D90CFE"/>
    <w:rsid w:val="00D90D5F"/>
    <w:rsid w:val="00D90D62"/>
    <w:rsid w:val="00D90D8B"/>
    <w:rsid w:val="00D90D92"/>
    <w:rsid w:val="00D90DB2"/>
    <w:rsid w:val="00D90F19"/>
    <w:rsid w:val="00D90F56"/>
    <w:rsid w:val="00D90FE8"/>
    <w:rsid w:val="00D9105C"/>
    <w:rsid w:val="00D910F2"/>
    <w:rsid w:val="00D91128"/>
    <w:rsid w:val="00D91185"/>
    <w:rsid w:val="00D91201"/>
    <w:rsid w:val="00D9125E"/>
    <w:rsid w:val="00D9127E"/>
    <w:rsid w:val="00D9128C"/>
    <w:rsid w:val="00D9130C"/>
    <w:rsid w:val="00D91328"/>
    <w:rsid w:val="00D9132A"/>
    <w:rsid w:val="00D913A4"/>
    <w:rsid w:val="00D91443"/>
    <w:rsid w:val="00D91452"/>
    <w:rsid w:val="00D9146C"/>
    <w:rsid w:val="00D914F6"/>
    <w:rsid w:val="00D9156F"/>
    <w:rsid w:val="00D91581"/>
    <w:rsid w:val="00D91589"/>
    <w:rsid w:val="00D915A6"/>
    <w:rsid w:val="00D915DF"/>
    <w:rsid w:val="00D915FA"/>
    <w:rsid w:val="00D9161F"/>
    <w:rsid w:val="00D916D4"/>
    <w:rsid w:val="00D916D5"/>
    <w:rsid w:val="00D916F2"/>
    <w:rsid w:val="00D9170D"/>
    <w:rsid w:val="00D91794"/>
    <w:rsid w:val="00D91856"/>
    <w:rsid w:val="00D918BA"/>
    <w:rsid w:val="00D918CF"/>
    <w:rsid w:val="00D918DC"/>
    <w:rsid w:val="00D918E6"/>
    <w:rsid w:val="00D918EA"/>
    <w:rsid w:val="00D918FF"/>
    <w:rsid w:val="00D91914"/>
    <w:rsid w:val="00D9191B"/>
    <w:rsid w:val="00D9193E"/>
    <w:rsid w:val="00D9199F"/>
    <w:rsid w:val="00D919FC"/>
    <w:rsid w:val="00D91A69"/>
    <w:rsid w:val="00D91A7C"/>
    <w:rsid w:val="00D91A7E"/>
    <w:rsid w:val="00D91AB3"/>
    <w:rsid w:val="00D91AD2"/>
    <w:rsid w:val="00D91B4D"/>
    <w:rsid w:val="00D91BA0"/>
    <w:rsid w:val="00D91BF0"/>
    <w:rsid w:val="00D91BF4"/>
    <w:rsid w:val="00D91BFA"/>
    <w:rsid w:val="00D91D34"/>
    <w:rsid w:val="00D91DFC"/>
    <w:rsid w:val="00D91E31"/>
    <w:rsid w:val="00D91E6B"/>
    <w:rsid w:val="00D91E74"/>
    <w:rsid w:val="00D91EA6"/>
    <w:rsid w:val="00D91EAC"/>
    <w:rsid w:val="00D91EB2"/>
    <w:rsid w:val="00D91F50"/>
    <w:rsid w:val="00D91F58"/>
    <w:rsid w:val="00D91F9E"/>
    <w:rsid w:val="00D91FC1"/>
    <w:rsid w:val="00D91FC5"/>
    <w:rsid w:val="00D92036"/>
    <w:rsid w:val="00D9206C"/>
    <w:rsid w:val="00D920CA"/>
    <w:rsid w:val="00D920E7"/>
    <w:rsid w:val="00D920E9"/>
    <w:rsid w:val="00D921A1"/>
    <w:rsid w:val="00D921BB"/>
    <w:rsid w:val="00D92218"/>
    <w:rsid w:val="00D92237"/>
    <w:rsid w:val="00D92293"/>
    <w:rsid w:val="00D922B5"/>
    <w:rsid w:val="00D9232B"/>
    <w:rsid w:val="00D92392"/>
    <w:rsid w:val="00D923E1"/>
    <w:rsid w:val="00D923F1"/>
    <w:rsid w:val="00D9240F"/>
    <w:rsid w:val="00D92422"/>
    <w:rsid w:val="00D92467"/>
    <w:rsid w:val="00D9246A"/>
    <w:rsid w:val="00D925A4"/>
    <w:rsid w:val="00D92630"/>
    <w:rsid w:val="00D92732"/>
    <w:rsid w:val="00D92741"/>
    <w:rsid w:val="00D927B9"/>
    <w:rsid w:val="00D92825"/>
    <w:rsid w:val="00D92841"/>
    <w:rsid w:val="00D928A0"/>
    <w:rsid w:val="00D928BA"/>
    <w:rsid w:val="00D928C7"/>
    <w:rsid w:val="00D928D8"/>
    <w:rsid w:val="00D9290D"/>
    <w:rsid w:val="00D92987"/>
    <w:rsid w:val="00D92A60"/>
    <w:rsid w:val="00D92A96"/>
    <w:rsid w:val="00D92ABB"/>
    <w:rsid w:val="00D92AC7"/>
    <w:rsid w:val="00D92AC9"/>
    <w:rsid w:val="00D92AFA"/>
    <w:rsid w:val="00D92BD3"/>
    <w:rsid w:val="00D92C1F"/>
    <w:rsid w:val="00D92C71"/>
    <w:rsid w:val="00D92D62"/>
    <w:rsid w:val="00D92D71"/>
    <w:rsid w:val="00D92DB4"/>
    <w:rsid w:val="00D92EA5"/>
    <w:rsid w:val="00D92EB1"/>
    <w:rsid w:val="00D92ED0"/>
    <w:rsid w:val="00D92F26"/>
    <w:rsid w:val="00D92F64"/>
    <w:rsid w:val="00D92FB4"/>
    <w:rsid w:val="00D92FF1"/>
    <w:rsid w:val="00D93002"/>
    <w:rsid w:val="00D9302A"/>
    <w:rsid w:val="00D9309C"/>
    <w:rsid w:val="00D930AB"/>
    <w:rsid w:val="00D930D2"/>
    <w:rsid w:val="00D931DC"/>
    <w:rsid w:val="00D9324C"/>
    <w:rsid w:val="00D9327A"/>
    <w:rsid w:val="00D932A3"/>
    <w:rsid w:val="00D9331B"/>
    <w:rsid w:val="00D933CF"/>
    <w:rsid w:val="00D93419"/>
    <w:rsid w:val="00D93437"/>
    <w:rsid w:val="00D9343F"/>
    <w:rsid w:val="00D934DE"/>
    <w:rsid w:val="00D93501"/>
    <w:rsid w:val="00D9351B"/>
    <w:rsid w:val="00D93742"/>
    <w:rsid w:val="00D9379F"/>
    <w:rsid w:val="00D9387E"/>
    <w:rsid w:val="00D938A1"/>
    <w:rsid w:val="00D938A3"/>
    <w:rsid w:val="00D938C7"/>
    <w:rsid w:val="00D938D3"/>
    <w:rsid w:val="00D938DD"/>
    <w:rsid w:val="00D93940"/>
    <w:rsid w:val="00D93968"/>
    <w:rsid w:val="00D93A12"/>
    <w:rsid w:val="00D93A2C"/>
    <w:rsid w:val="00D93A5B"/>
    <w:rsid w:val="00D93AFF"/>
    <w:rsid w:val="00D93B2B"/>
    <w:rsid w:val="00D93B5C"/>
    <w:rsid w:val="00D93BEB"/>
    <w:rsid w:val="00D93D76"/>
    <w:rsid w:val="00D93DB8"/>
    <w:rsid w:val="00D940D4"/>
    <w:rsid w:val="00D94106"/>
    <w:rsid w:val="00D941F7"/>
    <w:rsid w:val="00D9426D"/>
    <w:rsid w:val="00D943C1"/>
    <w:rsid w:val="00D94411"/>
    <w:rsid w:val="00D94517"/>
    <w:rsid w:val="00D94543"/>
    <w:rsid w:val="00D94565"/>
    <w:rsid w:val="00D9458B"/>
    <w:rsid w:val="00D945E4"/>
    <w:rsid w:val="00D946C2"/>
    <w:rsid w:val="00D94710"/>
    <w:rsid w:val="00D94785"/>
    <w:rsid w:val="00D94816"/>
    <w:rsid w:val="00D94901"/>
    <w:rsid w:val="00D9492E"/>
    <w:rsid w:val="00D94991"/>
    <w:rsid w:val="00D94A06"/>
    <w:rsid w:val="00D94A0E"/>
    <w:rsid w:val="00D94A18"/>
    <w:rsid w:val="00D94A3E"/>
    <w:rsid w:val="00D94A42"/>
    <w:rsid w:val="00D94AC9"/>
    <w:rsid w:val="00D94C2C"/>
    <w:rsid w:val="00D94C7D"/>
    <w:rsid w:val="00D94C82"/>
    <w:rsid w:val="00D94CAE"/>
    <w:rsid w:val="00D94D68"/>
    <w:rsid w:val="00D94DA7"/>
    <w:rsid w:val="00D94DD4"/>
    <w:rsid w:val="00D94E8E"/>
    <w:rsid w:val="00D94F12"/>
    <w:rsid w:val="00D94F13"/>
    <w:rsid w:val="00D94F14"/>
    <w:rsid w:val="00D94F40"/>
    <w:rsid w:val="00D94F41"/>
    <w:rsid w:val="00D94FD5"/>
    <w:rsid w:val="00D950DD"/>
    <w:rsid w:val="00D9510F"/>
    <w:rsid w:val="00D9511F"/>
    <w:rsid w:val="00D9527A"/>
    <w:rsid w:val="00D953D9"/>
    <w:rsid w:val="00D954AA"/>
    <w:rsid w:val="00D954EC"/>
    <w:rsid w:val="00D95507"/>
    <w:rsid w:val="00D9550F"/>
    <w:rsid w:val="00D95532"/>
    <w:rsid w:val="00D95575"/>
    <w:rsid w:val="00D955E3"/>
    <w:rsid w:val="00D956CE"/>
    <w:rsid w:val="00D956F0"/>
    <w:rsid w:val="00D95745"/>
    <w:rsid w:val="00D95789"/>
    <w:rsid w:val="00D957CF"/>
    <w:rsid w:val="00D957E0"/>
    <w:rsid w:val="00D95872"/>
    <w:rsid w:val="00D95918"/>
    <w:rsid w:val="00D95944"/>
    <w:rsid w:val="00D959FE"/>
    <w:rsid w:val="00D95ACB"/>
    <w:rsid w:val="00D95B21"/>
    <w:rsid w:val="00D95B9B"/>
    <w:rsid w:val="00D95C46"/>
    <w:rsid w:val="00D95C7C"/>
    <w:rsid w:val="00D95D2C"/>
    <w:rsid w:val="00D95DC3"/>
    <w:rsid w:val="00D95DF9"/>
    <w:rsid w:val="00D95E41"/>
    <w:rsid w:val="00D95F7A"/>
    <w:rsid w:val="00D95FB6"/>
    <w:rsid w:val="00D96027"/>
    <w:rsid w:val="00D960BA"/>
    <w:rsid w:val="00D96192"/>
    <w:rsid w:val="00D9623F"/>
    <w:rsid w:val="00D9628A"/>
    <w:rsid w:val="00D96297"/>
    <w:rsid w:val="00D96338"/>
    <w:rsid w:val="00D96393"/>
    <w:rsid w:val="00D96400"/>
    <w:rsid w:val="00D96431"/>
    <w:rsid w:val="00D9650F"/>
    <w:rsid w:val="00D96520"/>
    <w:rsid w:val="00D96573"/>
    <w:rsid w:val="00D965B2"/>
    <w:rsid w:val="00D965CB"/>
    <w:rsid w:val="00D965E7"/>
    <w:rsid w:val="00D9664E"/>
    <w:rsid w:val="00D96766"/>
    <w:rsid w:val="00D967AC"/>
    <w:rsid w:val="00D967E8"/>
    <w:rsid w:val="00D9691C"/>
    <w:rsid w:val="00D9698E"/>
    <w:rsid w:val="00D96A21"/>
    <w:rsid w:val="00D96A47"/>
    <w:rsid w:val="00D96AC9"/>
    <w:rsid w:val="00D96B29"/>
    <w:rsid w:val="00D96B2D"/>
    <w:rsid w:val="00D96C87"/>
    <w:rsid w:val="00D96CA0"/>
    <w:rsid w:val="00D96D5B"/>
    <w:rsid w:val="00D96E0F"/>
    <w:rsid w:val="00D96EFE"/>
    <w:rsid w:val="00D96FE9"/>
    <w:rsid w:val="00D9709F"/>
    <w:rsid w:val="00D970E4"/>
    <w:rsid w:val="00D97184"/>
    <w:rsid w:val="00D9720D"/>
    <w:rsid w:val="00D972A5"/>
    <w:rsid w:val="00D972C9"/>
    <w:rsid w:val="00D972D2"/>
    <w:rsid w:val="00D972D6"/>
    <w:rsid w:val="00D97304"/>
    <w:rsid w:val="00D9731D"/>
    <w:rsid w:val="00D973B2"/>
    <w:rsid w:val="00D9743F"/>
    <w:rsid w:val="00D9746F"/>
    <w:rsid w:val="00D974E0"/>
    <w:rsid w:val="00D97556"/>
    <w:rsid w:val="00D97587"/>
    <w:rsid w:val="00D975F7"/>
    <w:rsid w:val="00D97618"/>
    <w:rsid w:val="00D9764F"/>
    <w:rsid w:val="00D97651"/>
    <w:rsid w:val="00D9776A"/>
    <w:rsid w:val="00D97832"/>
    <w:rsid w:val="00D978C7"/>
    <w:rsid w:val="00D97AA5"/>
    <w:rsid w:val="00D97ABE"/>
    <w:rsid w:val="00D97B13"/>
    <w:rsid w:val="00D97B52"/>
    <w:rsid w:val="00D97C02"/>
    <w:rsid w:val="00D97C04"/>
    <w:rsid w:val="00D97C51"/>
    <w:rsid w:val="00D97CDC"/>
    <w:rsid w:val="00D97CF3"/>
    <w:rsid w:val="00D97D69"/>
    <w:rsid w:val="00D97D7B"/>
    <w:rsid w:val="00D97DB3"/>
    <w:rsid w:val="00D97E95"/>
    <w:rsid w:val="00D97EEA"/>
    <w:rsid w:val="00D97F1C"/>
    <w:rsid w:val="00D97F9A"/>
    <w:rsid w:val="00DA000C"/>
    <w:rsid w:val="00DA002F"/>
    <w:rsid w:val="00DA0094"/>
    <w:rsid w:val="00DA00DC"/>
    <w:rsid w:val="00DA0125"/>
    <w:rsid w:val="00DA012B"/>
    <w:rsid w:val="00DA020C"/>
    <w:rsid w:val="00DA0212"/>
    <w:rsid w:val="00DA0281"/>
    <w:rsid w:val="00DA02B3"/>
    <w:rsid w:val="00DA02D9"/>
    <w:rsid w:val="00DA02DD"/>
    <w:rsid w:val="00DA02EA"/>
    <w:rsid w:val="00DA04CA"/>
    <w:rsid w:val="00DA04EE"/>
    <w:rsid w:val="00DA04FA"/>
    <w:rsid w:val="00DA0521"/>
    <w:rsid w:val="00DA0587"/>
    <w:rsid w:val="00DA05A8"/>
    <w:rsid w:val="00DA066E"/>
    <w:rsid w:val="00DA0721"/>
    <w:rsid w:val="00DA078C"/>
    <w:rsid w:val="00DA07C7"/>
    <w:rsid w:val="00DA07D3"/>
    <w:rsid w:val="00DA0852"/>
    <w:rsid w:val="00DA094C"/>
    <w:rsid w:val="00DA0977"/>
    <w:rsid w:val="00DA0980"/>
    <w:rsid w:val="00DA0A8B"/>
    <w:rsid w:val="00DA0AD4"/>
    <w:rsid w:val="00DA0AF0"/>
    <w:rsid w:val="00DA0AF6"/>
    <w:rsid w:val="00DA0B3F"/>
    <w:rsid w:val="00DA0B9F"/>
    <w:rsid w:val="00DA0C06"/>
    <w:rsid w:val="00DA0C96"/>
    <w:rsid w:val="00DA0D12"/>
    <w:rsid w:val="00DA0D1B"/>
    <w:rsid w:val="00DA0D60"/>
    <w:rsid w:val="00DA0D6B"/>
    <w:rsid w:val="00DA0DAD"/>
    <w:rsid w:val="00DA0DB6"/>
    <w:rsid w:val="00DA0E9D"/>
    <w:rsid w:val="00DA0F4E"/>
    <w:rsid w:val="00DA0F88"/>
    <w:rsid w:val="00DA0FD2"/>
    <w:rsid w:val="00DA1077"/>
    <w:rsid w:val="00DA1094"/>
    <w:rsid w:val="00DA1128"/>
    <w:rsid w:val="00DA129F"/>
    <w:rsid w:val="00DA13C0"/>
    <w:rsid w:val="00DA13EC"/>
    <w:rsid w:val="00DA13F2"/>
    <w:rsid w:val="00DA13FA"/>
    <w:rsid w:val="00DA147A"/>
    <w:rsid w:val="00DA1487"/>
    <w:rsid w:val="00DA1527"/>
    <w:rsid w:val="00DA155D"/>
    <w:rsid w:val="00DA1588"/>
    <w:rsid w:val="00DA159C"/>
    <w:rsid w:val="00DA1610"/>
    <w:rsid w:val="00DA168D"/>
    <w:rsid w:val="00DA169C"/>
    <w:rsid w:val="00DA1710"/>
    <w:rsid w:val="00DA1727"/>
    <w:rsid w:val="00DA172A"/>
    <w:rsid w:val="00DA172F"/>
    <w:rsid w:val="00DA177F"/>
    <w:rsid w:val="00DA17EF"/>
    <w:rsid w:val="00DA180E"/>
    <w:rsid w:val="00DA181E"/>
    <w:rsid w:val="00DA18C7"/>
    <w:rsid w:val="00DA18FB"/>
    <w:rsid w:val="00DA1912"/>
    <w:rsid w:val="00DA199D"/>
    <w:rsid w:val="00DA1AAC"/>
    <w:rsid w:val="00DA1ABC"/>
    <w:rsid w:val="00DA1B58"/>
    <w:rsid w:val="00DA1B5A"/>
    <w:rsid w:val="00DA1B5C"/>
    <w:rsid w:val="00DA1B89"/>
    <w:rsid w:val="00DA1BA2"/>
    <w:rsid w:val="00DA1C04"/>
    <w:rsid w:val="00DA1C3B"/>
    <w:rsid w:val="00DA1C69"/>
    <w:rsid w:val="00DA1D0A"/>
    <w:rsid w:val="00DA1D44"/>
    <w:rsid w:val="00DA1E75"/>
    <w:rsid w:val="00DA1EDB"/>
    <w:rsid w:val="00DA1F52"/>
    <w:rsid w:val="00DA1FA0"/>
    <w:rsid w:val="00DA1FE7"/>
    <w:rsid w:val="00DA1FFB"/>
    <w:rsid w:val="00DA2091"/>
    <w:rsid w:val="00DA2140"/>
    <w:rsid w:val="00DA218D"/>
    <w:rsid w:val="00DA21F3"/>
    <w:rsid w:val="00DA220F"/>
    <w:rsid w:val="00DA227E"/>
    <w:rsid w:val="00DA234B"/>
    <w:rsid w:val="00DA2355"/>
    <w:rsid w:val="00DA23B2"/>
    <w:rsid w:val="00DA23EC"/>
    <w:rsid w:val="00DA2442"/>
    <w:rsid w:val="00DA24A9"/>
    <w:rsid w:val="00DA24B4"/>
    <w:rsid w:val="00DA24B7"/>
    <w:rsid w:val="00DA24C4"/>
    <w:rsid w:val="00DA25FC"/>
    <w:rsid w:val="00DA2632"/>
    <w:rsid w:val="00DA273D"/>
    <w:rsid w:val="00DA275D"/>
    <w:rsid w:val="00DA2801"/>
    <w:rsid w:val="00DA2850"/>
    <w:rsid w:val="00DA2886"/>
    <w:rsid w:val="00DA28C7"/>
    <w:rsid w:val="00DA28CA"/>
    <w:rsid w:val="00DA28D9"/>
    <w:rsid w:val="00DA292D"/>
    <w:rsid w:val="00DA2974"/>
    <w:rsid w:val="00DA29C1"/>
    <w:rsid w:val="00DA2A32"/>
    <w:rsid w:val="00DA2A63"/>
    <w:rsid w:val="00DA2AA8"/>
    <w:rsid w:val="00DA2B08"/>
    <w:rsid w:val="00DA2B09"/>
    <w:rsid w:val="00DA2B42"/>
    <w:rsid w:val="00DA2B7C"/>
    <w:rsid w:val="00DA2BF0"/>
    <w:rsid w:val="00DA2C61"/>
    <w:rsid w:val="00DA2C88"/>
    <w:rsid w:val="00DA2C9E"/>
    <w:rsid w:val="00DA2CE2"/>
    <w:rsid w:val="00DA2D01"/>
    <w:rsid w:val="00DA2D8B"/>
    <w:rsid w:val="00DA2E04"/>
    <w:rsid w:val="00DA2E52"/>
    <w:rsid w:val="00DA2EA4"/>
    <w:rsid w:val="00DA2F16"/>
    <w:rsid w:val="00DA2F94"/>
    <w:rsid w:val="00DA2FB5"/>
    <w:rsid w:val="00DA3070"/>
    <w:rsid w:val="00DA3159"/>
    <w:rsid w:val="00DA3180"/>
    <w:rsid w:val="00DA3297"/>
    <w:rsid w:val="00DA3328"/>
    <w:rsid w:val="00DA33CF"/>
    <w:rsid w:val="00DA33E9"/>
    <w:rsid w:val="00DA33EA"/>
    <w:rsid w:val="00DA340F"/>
    <w:rsid w:val="00DA3536"/>
    <w:rsid w:val="00DA3572"/>
    <w:rsid w:val="00DA3641"/>
    <w:rsid w:val="00DA3712"/>
    <w:rsid w:val="00DA3851"/>
    <w:rsid w:val="00DA38A2"/>
    <w:rsid w:val="00DA38D4"/>
    <w:rsid w:val="00DA39F1"/>
    <w:rsid w:val="00DA39FA"/>
    <w:rsid w:val="00DA3A3C"/>
    <w:rsid w:val="00DA3A6C"/>
    <w:rsid w:val="00DA3AA8"/>
    <w:rsid w:val="00DA3AFD"/>
    <w:rsid w:val="00DA3B85"/>
    <w:rsid w:val="00DA3BF0"/>
    <w:rsid w:val="00DA3C04"/>
    <w:rsid w:val="00DA3C84"/>
    <w:rsid w:val="00DA3CA0"/>
    <w:rsid w:val="00DA3CB3"/>
    <w:rsid w:val="00DA3CE6"/>
    <w:rsid w:val="00DA3D20"/>
    <w:rsid w:val="00DA3D91"/>
    <w:rsid w:val="00DA3DE8"/>
    <w:rsid w:val="00DA3E5C"/>
    <w:rsid w:val="00DA3F13"/>
    <w:rsid w:val="00DA3F43"/>
    <w:rsid w:val="00DA3F8C"/>
    <w:rsid w:val="00DA3FB2"/>
    <w:rsid w:val="00DA4009"/>
    <w:rsid w:val="00DA4047"/>
    <w:rsid w:val="00DA40B1"/>
    <w:rsid w:val="00DA40DB"/>
    <w:rsid w:val="00DA40F9"/>
    <w:rsid w:val="00DA411A"/>
    <w:rsid w:val="00DA41C7"/>
    <w:rsid w:val="00DA421C"/>
    <w:rsid w:val="00DA4228"/>
    <w:rsid w:val="00DA4297"/>
    <w:rsid w:val="00DA42B1"/>
    <w:rsid w:val="00DA4362"/>
    <w:rsid w:val="00DA4385"/>
    <w:rsid w:val="00DA439F"/>
    <w:rsid w:val="00DA43C1"/>
    <w:rsid w:val="00DA446D"/>
    <w:rsid w:val="00DA4475"/>
    <w:rsid w:val="00DA4561"/>
    <w:rsid w:val="00DA45A6"/>
    <w:rsid w:val="00DA45AF"/>
    <w:rsid w:val="00DA45BD"/>
    <w:rsid w:val="00DA45C0"/>
    <w:rsid w:val="00DA460C"/>
    <w:rsid w:val="00DA463D"/>
    <w:rsid w:val="00DA463F"/>
    <w:rsid w:val="00DA465A"/>
    <w:rsid w:val="00DA4730"/>
    <w:rsid w:val="00DA4740"/>
    <w:rsid w:val="00DA474A"/>
    <w:rsid w:val="00DA476F"/>
    <w:rsid w:val="00DA4839"/>
    <w:rsid w:val="00DA487B"/>
    <w:rsid w:val="00DA49A3"/>
    <w:rsid w:val="00DA49A5"/>
    <w:rsid w:val="00DA49BE"/>
    <w:rsid w:val="00DA49DD"/>
    <w:rsid w:val="00DA49F8"/>
    <w:rsid w:val="00DA4A9D"/>
    <w:rsid w:val="00DA4B00"/>
    <w:rsid w:val="00DA4B44"/>
    <w:rsid w:val="00DA4B7D"/>
    <w:rsid w:val="00DA4C2A"/>
    <w:rsid w:val="00DA4C76"/>
    <w:rsid w:val="00DA4C88"/>
    <w:rsid w:val="00DA4CCA"/>
    <w:rsid w:val="00DA4CE1"/>
    <w:rsid w:val="00DA4D3C"/>
    <w:rsid w:val="00DA4D96"/>
    <w:rsid w:val="00DA4DA9"/>
    <w:rsid w:val="00DA4DC7"/>
    <w:rsid w:val="00DA4DDC"/>
    <w:rsid w:val="00DA4E4E"/>
    <w:rsid w:val="00DA4E51"/>
    <w:rsid w:val="00DA4E76"/>
    <w:rsid w:val="00DA4F35"/>
    <w:rsid w:val="00DA503A"/>
    <w:rsid w:val="00DA50A2"/>
    <w:rsid w:val="00DA50C2"/>
    <w:rsid w:val="00DA5109"/>
    <w:rsid w:val="00DA5284"/>
    <w:rsid w:val="00DA53A9"/>
    <w:rsid w:val="00DA53BF"/>
    <w:rsid w:val="00DA553D"/>
    <w:rsid w:val="00DA562D"/>
    <w:rsid w:val="00DA566B"/>
    <w:rsid w:val="00DA5682"/>
    <w:rsid w:val="00DA5702"/>
    <w:rsid w:val="00DA5717"/>
    <w:rsid w:val="00DA571C"/>
    <w:rsid w:val="00DA5741"/>
    <w:rsid w:val="00DA5843"/>
    <w:rsid w:val="00DA58A6"/>
    <w:rsid w:val="00DA58B1"/>
    <w:rsid w:val="00DA59A3"/>
    <w:rsid w:val="00DA59B6"/>
    <w:rsid w:val="00DA5A07"/>
    <w:rsid w:val="00DA5A3C"/>
    <w:rsid w:val="00DA5A54"/>
    <w:rsid w:val="00DA5A5F"/>
    <w:rsid w:val="00DA5B93"/>
    <w:rsid w:val="00DA5BFA"/>
    <w:rsid w:val="00DA5CEC"/>
    <w:rsid w:val="00DA5D10"/>
    <w:rsid w:val="00DA5D15"/>
    <w:rsid w:val="00DA5DB5"/>
    <w:rsid w:val="00DA5E1C"/>
    <w:rsid w:val="00DA5E41"/>
    <w:rsid w:val="00DA5E7F"/>
    <w:rsid w:val="00DA5EB3"/>
    <w:rsid w:val="00DA5EFC"/>
    <w:rsid w:val="00DA5F67"/>
    <w:rsid w:val="00DA5F80"/>
    <w:rsid w:val="00DA5F8D"/>
    <w:rsid w:val="00DA6042"/>
    <w:rsid w:val="00DA60AF"/>
    <w:rsid w:val="00DA60F7"/>
    <w:rsid w:val="00DA60F8"/>
    <w:rsid w:val="00DA6100"/>
    <w:rsid w:val="00DA6114"/>
    <w:rsid w:val="00DA6137"/>
    <w:rsid w:val="00DA613F"/>
    <w:rsid w:val="00DA61AA"/>
    <w:rsid w:val="00DA61E4"/>
    <w:rsid w:val="00DA61E6"/>
    <w:rsid w:val="00DA626E"/>
    <w:rsid w:val="00DA629A"/>
    <w:rsid w:val="00DA6337"/>
    <w:rsid w:val="00DA638E"/>
    <w:rsid w:val="00DA63AA"/>
    <w:rsid w:val="00DA63B3"/>
    <w:rsid w:val="00DA63D5"/>
    <w:rsid w:val="00DA645E"/>
    <w:rsid w:val="00DA64AE"/>
    <w:rsid w:val="00DA6534"/>
    <w:rsid w:val="00DA65C4"/>
    <w:rsid w:val="00DA65C9"/>
    <w:rsid w:val="00DA65D6"/>
    <w:rsid w:val="00DA6628"/>
    <w:rsid w:val="00DA66AD"/>
    <w:rsid w:val="00DA66B6"/>
    <w:rsid w:val="00DA670B"/>
    <w:rsid w:val="00DA67B3"/>
    <w:rsid w:val="00DA68E4"/>
    <w:rsid w:val="00DA68EE"/>
    <w:rsid w:val="00DA693E"/>
    <w:rsid w:val="00DA6945"/>
    <w:rsid w:val="00DA6999"/>
    <w:rsid w:val="00DA69BA"/>
    <w:rsid w:val="00DA69BF"/>
    <w:rsid w:val="00DA6A48"/>
    <w:rsid w:val="00DA6A56"/>
    <w:rsid w:val="00DA6AE1"/>
    <w:rsid w:val="00DA6B24"/>
    <w:rsid w:val="00DA6B28"/>
    <w:rsid w:val="00DA6B48"/>
    <w:rsid w:val="00DA6B94"/>
    <w:rsid w:val="00DA6C25"/>
    <w:rsid w:val="00DA6C4C"/>
    <w:rsid w:val="00DA6D0C"/>
    <w:rsid w:val="00DA6D22"/>
    <w:rsid w:val="00DA6E2B"/>
    <w:rsid w:val="00DA6E3B"/>
    <w:rsid w:val="00DA6E5F"/>
    <w:rsid w:val="00DA6E85"/>
    <w:rsid w:val="00DA6ED4"/>
    <w:rsid w:val="00DA6F70"/>
    <w:rsid w:val="00DA6FB9"/>
    <w:rsid w:val="00DA70E4"/>
    <w:rsid w:val="00DA712C"/>
    <w:rsid w:val="00DA71CB"/>
    <w:rsid w:val="00DA7224"/>
    <w:rsid w:val="00DA725E"/>
    <w:rsid w:val="00DA7262"/>
    <w:rsid w:val="00DA728C"/>
    <w:rsid w:val="00DA73E0"/>
    <w:rsid w:val="00DA740D"/>
    <w:rsid w:val="00DA7491"/>
    <w:rsid w:val="00DA7495"/>
    <w:rsid w:val="00DA74EC"/>
    <w:rsid w:val="00DA7506"/>
    <w:rsid w:val="00DA7544"/>
    <w:rsid w:val="00DA7583"/>
    <w:rsid w:val="00DA75E4"/>
    <w:rsid w:val="00DA7695"/>
    <w:rsid w:val="00DA76AC"/>
    <w:rsid w:val="00DA76FB"/>
    <w:rsid w:val="00DA788B"/>
    <w:rsid w:val="00DA78B6"/>
    <w:rsid w:val="00DA78CE"/>
    <w:rsid w:val="00DA78DE"/>
    <w:rsid w:val="00DA7906"/>
    <w:rsid w:val="00DA7932"/>
    <w:rsid w:val="00DA7A78"/>
    <w:rsid w:val="00DA7AAC"/>
    <w:rsid w:val="00DA7B20"/>
    <w:rsid w:val="00DA7B51"/>
    <w:rsid w:val="00DA7B8B"/>
    <w:rsid w:val="00DA7BC6"/>
    <w:rsid w:val="00DA7C81"/>
    <w:rsid w:val="00DA7CBF"/>
    <w:rsid w:val="00DA7DD5"/>
    <w:rsid w:val="00DA7DE7"/>
    <w:rsid w:val="00DA7DF2"/>
    <w:rsid w:val="00DA7F07"/>
    <w:rsid w:val="00DA7F10"/>
    <w:rsid w:val="00DA7F6E"/>
    <w:rsid w:val="00DA7F73"/>
    <w:rsid w:val="00DA7FE3"/>
    <w:rsid w:val="00DB003E"/>
    <w:rsid w:val="00DB0094"/>
    <w:rsid w:val="00DB013B"/>
    <w:rsid w:val="00DB02B9"/>
    <w:rsid w:val="00DB031F"/>
    <w:rsid w:val="00DB0436"/>
    <w:rsid w:val="00DB043A"/>
    <w:rsid w:val="00DB04B5"/>
    <w:rsid w:val="00DB04E7"/>
    <w:rsid w:val="00DB0515"/>
    <w:rsid w:val="00DB051D"/>
    <w:rsid w:val="00DB05A7"/>
    <w:rsid w:val="00DB0660"/>
    <w:rsid w:val="00DB06B7"/>
    <w:rsid w:val="00DB06C4"/>
    <w:rsid w:val="00DB0727"/>
    <w:rsid w:val="00DB074C"/>
    <w:rsid w:val="00DB07CF"/>
    <w:rsid w:val="00DB08A9"/>
    <w:rsid w:val="00DB08C9"/>
    <w:rsid w:val="00DB0951"/>
    <w:rsid w:val="00DB0972"/>
    <w:rsid w:val="00DB0A18"/>
    <w:rsid w:val="00DB0A20"/>
    <w:rsid w:val="00DB0A96"/>
    <w:rsid w:val="00DB0AFD"/>
    <w:rsid w:val="00DB0B74"/>
    <w:rsid w:val="00DB0C6F"/>
    <w:rsid w:val="00DB0CC9"/>
    <w:rsid w:val="00DB0D13"/>
    <w:rsid w:val="00DB0DBF"/>
    <w:rsid w:val="00DB0E28"/>
    <w:rsid w:val="00DB0E7B"/>
    <w:rsid w:val="00DB0ECE"/>
    <w:rsid w:val="00DB0F68"/>
    <w:rsid w:val="00DB0FCE"/>
    <w:rsid w:val="00DB0FEB"/>
    <w:rsid w:val="00DB1031"/>
    <w:rsid w:val="00DB114D"/>
    <w:rsid w:val="00DB1193"/>
    <w:rsid w:val="00DB1274"/>
    <w:rsid w:val="00DB12B9"/>
    <w:rsid w:val="00DB12DF"/>
    <w:rsid w:val="00DB132F"/>
    <w:rsid w:val="00DB13A0"/>
    <w:rsid w:val="00DB13A4"/>
    <w:rsid w:val="00DB1427"/>
    <w:rsid w:val="00DB14D5"/>
    <w:rsid w:val="00DB15A6"/>
    <w:rsid w:val="00DB15FA"/>
    <w:rsid w:val="00DB1664"/>
    <w:rsid w:val="00DB1673"/>
    <w:rsid w:val="00DB1744"/>
    <w:rsid w:val="00DB176D"/>
    <w:rsid w:val="00DB184A"/>
    <w:rsid w:val="00DB185F"/>
    <w:rsid w:val="00DB1943"/>
    <w:rsid w:val="00DB197E"/>
    <w:rsid w:val="00DB19A5"/>
    <w:rsid w:val="00DB19DA"/>
    <w:rsid w:val="00DB1A28"/>
    <w:rsid w:val="00DB1B5D"/>
    <w:rsid w:val="00DB1B8F"/>
    <w:rsid w:val="00DB1BC7"/>
    <w:rsid w:val="00DB1C15"/>
    <w:rsid w:val="00DB1C3B"/>
    <w:rsid w:val="00DB1C3F"/>
    <w:rsid w:val="00DB1C88"/>
    <w:rsid w:val="00DB1C9F"/>
    <w:rsid w:val="00DB1CD7"/>
    <w:rsid w:val="00DB1D53"/>
    <w:rsid w:val="00DB1DA9"/>
    <w:rsid w:val="00DB1DD9"/>
    <w:rsid w:val="00DB1E5B"/>
    <w:rsid w:val="00DB1E86"/>
    <w:rsid w:val="00DB1EA0"/>
    <w:rsid w:val="00DB1FB8"/>
    <w:rsid w:val="00DB1FCD"/>
    <w:rsid w:val="00DB206D"/>
    <w:rsid w:val="00DB210A"/>
    <w:rsid w:val="00DB213F"/>
    <w:rsid w:val="00DB21A2"/>
    <w:rsid w:val="00DB231D"/>
    <w:rsid w:val="00DB2357"/>
    <w:rsid w:val="00DB23CF"/>
    <w:rsid w:val="00DB2437"/>
    <w:rsid w:val="00DB2498"/>
    <w:rsid w:val="00DB249B"/>
    <w:rsid w:val="00DB24B3"/>
    <w:rsid w:val="00DB25CD"/>
    <w:rsid w:val="00DB2799"/>
    <w:rsid w:val="00DB2863"/>
    <w:rsid w:val="00DB28A6"/>
    <w:rsid w:val="00DB29F2"/>
    <w:rsid w:val="00DB2ADC"/>
    <w:rsid w:val="00DB2B12"/>
    <w:rsid w:val="00DB2B9B"/>
    <w:rsid w:val="00DB2C72"/>
    <w:rsid w:val="00DB2C8B"/>
    <w:rsid w:val="00DB2CC5"/>
    <w:rsid w:val="00DB2D09"/>
    <w:rsid w:val="00DB2D23"/>
    <w:rsid w:val="00DB2D64"/>
    <w:rsid w:val="00DB2D67"/>
    <w:rsid w:val="00DB2D7C"/>
    <w:rsid w:val="00DB2D7E"/>
    <w:rsid w:val="00DB2EC7"/>
    <w:rsid w:val="00DB2ED6"/>
    <w:rsid w:val="00DB2F56"/>
    <w:rsid w:val="00DB2F93"/>
    <w:rsid w:val="00DB3033"/>
    <w:rsid w:val="00DB304A"/>
    <w:rsid w:val="00DB30AD"/>
    <w:rsid w:val="00DB30D4"/>
    <w:rsid w:val="00DB30F2"/>
    <w:rsid w:val="00DB311F"/>
    <w:rsid w:val="00DB3152"/>
    <w:rsid w:val="00DB323E"/>
    <w:rsid w:val="00DB32B8"/>
    <w:rsid w:val="00DB32EA"/>
    <w:rsid w:val="00DB32F2"/>
    <w:rsid w:val="00DB337E"/>
    <w:rsid w:val="00DB346B"/>
    <w:rsid w:val="00DB34F1"/>
    <w:rsid w:val="00DB3535"/>
    <w:rsid w:val="00DB36C3"/>
    <w:rsid w:val="00DB36DF"/>
    <w:rsid w:val="00DB3775"/>
    <w:rsid w:val="00DB37A7"/>
    <w:rsid w:val="00DB37C2"/>
    <w:rsid w:val="00DB37CF"/>
    <w:rsid w:val="00DB38EF"/>
    <w:rsid w:val="00DB396F"/>
    <w:rsid w:val="00DB3995"/>
    <w:rsid w:val="00DB39B1"/>
    <w:rsid w:val="00DB3A37"/>
    <w:rsid w:val="00DB3A57"/>
    <w:rsid w:val="00DB3A88"/>
    <w:rsid w:val="00DB3A89"/>
    <w:rsid w:val="00DB3ADA"/>
    <w:rsid w:val="00DB3B02"/>
    <w:rsid w:val="00DB3B79"/>
    <w:rsid w:val="00DB3BEF"/>
    <w:rsid w:val="00DB3C05"/>
    <w:rsid w:val="00DB3CB5"/>
    <w:rsid w:val="00DB3CB8"/>
    <w:rsid w:val="00DB3D0B"/>
    <w:rsid w:val="00DB3D28"/>
    <w:rsid w:val="00DB3DE2"/>
    <w:rsid w:val="00DB3E18"/>
    <w:rsid w:val="00DB3E54"/>
    <w:rsid w:val="00DB3E65"/>
    <w:rsid w:val="00DB3E6F"/>
    <w:rsid w:val="00DB3EA1"/>
    <w:rsid w:val="00DB3EDD"/>
    <w:rsid w:val="00DB3EEE"/>
    <w:rsid w:val="00DB3F2C"/>
    <w:rsid w:val="00DB3F36"/>
    <w:rsid w:val="00DB400B"/>
    <w:rsid w:val="00DB409E"/>
    <w:rsid w:val="00DB40B2"/>
    <w:rsid w:val="00DB40D8"/>
    <w:rsid w:val="00DB4138"/>
    <w:rsid w:val="00DB4155"/>
    <w:rsid w:val="00DB4190"/>
    <w:rsid w:val="00DB4200"/>
    <w:rsid w:val="00DB42C3"/>
    <w:rsid w:val="00DB42F3"/>
    <w:rsid w:val="00DB439A"/>
    <w:rsid w:val="00DB43C2"/>
    <w:rsid w:val="00DB443B"/>
    <w:rsid w:val="00DB444E"/>
    <w:rsid w:val="00DB445A"/>
    <w:rsid w:val="00DB4464"/>
    <w:rsid w:val="00DB446C"/>
    <w:rsid w:val="00DB4474"/>
    <w:rsid w:val="00DB4477"/>
    <w:rsid w:val="00DB45A4"/>
    <w:rsid w:val="00DB4673"/>
    <w:rsid w:val="00DB46C6"/>
    <w:rsid w:val="00DB4705"/>
    <w:rsid w:val="00DB4754"/>
    <w:rsid w:val="00DB483B"/>
    <w:rsid w:val="00DB488C"/>
    <w:rsid w:val="00DB48AF"/>
    <w:rsid w:val="00DB490A"/>
    <w:rsid w:val="00DB491C"/>
    <w:rsid w:val="00DB49A1"/>
    <w:rsid w:val="00DB49BA"/>
    <w:rsid w:val="00DB49E9"/>
    <w:rsid w:val="00DB4A48"/>
    <w:rsid w:val="00DB4AAB"/>
    <w:rsid w:val="00DB4B17"/>
    <w:rsid w:val="00DB4B63"/>
    <w:rsid w:val="00DB4B82"/>
    <w:rsid w:val="00DB4C11"/>
    <w:rsid w:val="00DB4C2B"/>
    <w:rsid w:val="00DB4C69"/>
    <w:rsid w:val="00DB4D4B"/>
    <w:rsid w:val="00DB4D68"/>
    <w:rsid w:val="00DB4D93"/>
    <w:rsid w:val="00DB4DA5"/>
    <w:rsid w:val="00DB4DA9"/>
    <w:rsid w:val="00DB4E26"/>
    <w:rsid w:val="00DB4E62"/>
    <w:rsid w:val="00DB4F14"/>
    <w:rsid w:val="00DB4FAB"/>
    <w:rsid w:val="00DB4FB1"/>
    <w:rsid w:val="00DB4FC5"/>
    <w:rsid w:val="00DB504F"/>
    <w:rsid w:val="00DB5138"/>
    <w:rsid w:val="00DB5190"/>
    <w:rsid w:val="00DB5215"/>
    <w:rsid w:val="00DB527C"/>
    <w:rsid w:val="00DB52C5"/>
    <w:rsid w:val="00DB5340"/>
    <w:rsid w:val="00DB5408"/>
    <w:rsid w:val="00DB5416"/>
    <w:rsid w:val="00DB5454"/>
    <w:rsid w:val="00DB54C6"/>
    <w:rsid w:val="00DB5555"/>
    <w:rsid w:val="00DB558C"/>
    <w:rsid w:val="00DB56C7"/>
    <w:rsid w:val="00DB56CA"/>
    <w:rsid w:val="00DB5722"/>
    <w:rsid w:val="00DB5789"/>
    <w:rsid w:val="00DB5846"/>
    <w:rsid w:val="00DB5950"/>
    <w:rsid w:val="00DB59FD"/>
    <w:rsid w:val="00DB5A70"/>
    <w:rsid w:val="00DB5B71"/>
    <w:rsid w:val="00DB5B79"/>
    <w:rsid w:val="00DB5BA2"/>
    <w:rsid w:val="00DB5BFD"/>
    <w:rsid w:val="00DB5C4C"/>
    <w:rsid w:val="00DB5C50"/>
    <w:rsid w:val="00DB5D37"/>
    <w:rsid w:val="00DB5D3E"/>
    <w:rsid w:val="00DB5E46"/>
    <w:rsid w:val="00DB5E7D"/>
    <w:rsid w:val="00DB5F04"/>
    <w:rsid w:val="00DB5F15"/>
    <w:rsid w:val="00DB5FDF"/>
    <w:rsid w:val="00DB6041"/>
    <w:rsid w:val="00DB6122"/>
    <w:rsid w:val="00DB612C"/>
    <w:rsid w:val="00DB616B"/>
    <w:rsid w:val="00DB6170"/>
    <w:rsid w:val="00DB61A5"/>
    <w:rsid w:val="00DB623A"/>
    <w:rsid w:val="00DB628D"/>
    <w:rsid w:val="00DB63B0"/>
    <w:rsid w:val="00DB63B3"/>
    <w:rsid w:val="00DB6419"/>
    <w:rsid w:val="00DB6431"/>
    <w:rsid w:val="00DB6478"/>
    <w:rsid w:val="00DB64AD"/>
    <w:rsid w:val="00DB64B7"/>
    <w:rsid w:val="00DB64D8"/>
    <w:rsid w:val="00DB64ED"/>
    <w:rsid w:val="00DB65AF"/>
    <w:rsid w:val="00DB65D9"/>
    <w:rsid w:val="00DB65E0"/>
    <w:rsid w:val="00DB6676"/>
    <w:rsid w:val="00DB6772"/>
    <w:rsid w:val="00DB682F"/>
    <w:rsid w:val="00DB68A6"/>
    <w:rsid w:val="00DB692F"/>
    <w:rsid w:val="00DB6936"/>
    <w:rsid w:val="00DB694A"/>
    <w:rsid w:val="00DB6984"/>
    <w:rsid w:val="00DB69AE"/>
    <w:rsid w:val="00DB69FC"/>
    <w:rsid w:val="00DB6A32"/>
    <w:rsid w:val="00DB6B79"/>
    <w:rsid w:val="00DB6BBA"/>
    <w:rsid w:val="00DB6BCF"/>
    <w:rsid w:val="00DB6C17"/>
    <w:rsid w:val="00DB6C36"/>
    <w:rsid w:val="00DB6C5B"/>
    <w:rsid w:val="00DB6C8D"/>
    <w:rsid w:val="00DB6D2B"/>
    <w:rsid w:val="00DB6D5F"/>
    <w:rsid w:val="00DB6D6A"/>
    <w:rsid w:val="00DB6D78"/>
    <w:rsid w:val="00DB6D82"/>
    <w:rsid w:val="00DB6E0D"/>
    <w:rsid w:val="00DB6E28"/>
    <w:rsid w:val="00DB6EB3"/>
    <w:rsid w:val="00DB6F29"/>
    <w:rsid w:val="00DB6F67"/>
    <w:rsid w:val="00DB703F"/>
    <w:rsid w:val="00DB7046"/>
    <w:rsid w:val="00DB706F"/>
    <w:rsid w:val="00DB70B1"/>
    <w:rsid w:val="00DB70C2"/>
    <w:rsid w:val="00DB70F0"/>
    <w:rsid w:val="00DB7137"/>
    <w:rsid w:val="00DB713E"/>
    <w:rsid w:val="00DB718B"/>
    <w:rsid w:val="00DB71E9"/>
    <w:rsid w:val="00DB71F9"/>
    <w:rsid w:val="00DB7224"/>
    <w:rsid w:val="00DB7263"/>
    <w:rsid w:val="00DB72A3"/>
    <w:rsid w:val="00DB72B2"/>
    <w:rsid w:val="00DB7348"/>
    <w:rsid w:val="00DB739E"/>
    <w:rsid w:val="00DB74D7"/>
    <w:rsid w:val="00DB755F"/>
    <w:rsid w:val="00DB7575"/>
    <w:rsid w:val="00DB75CB"/>
    <w:rsid w:val="00DB76D4"/>
    <w:rsid w:val="00DB77EC"/>
    <w:rsid w:val="00DB7875"/>
    <w:rsid w:val="00DB78FA"/>
    <w:rsid w:val="00DB7930"/>
    <w:rsid w:val="00DB7975"/>
    <w:rsid w:val="00DB798A"/>
    <w:rsid w:val="00DB79DB"/>
    <w:rsid w:val="00DB7A22"/>
    <w:rsid w:val="00DB7A2C"/>
    <w:rsid w:val="00DB7B7E"/>
    <w:rsid w:val="00DB7BCA"/>
    <w:rsid w:val="00DB7BCD"/>
    <w:rsid w:val="00DB7BFD"/>
    <w:rsid w:val="00DB7C27"/>
    <w:rsid w:val="00DB7C49"/>
    <w:rsid w:val="00DB7CAB"/>
    <w:rsid w:val="00DB7D1C"/>
    <w:rsid w:val="00DB7D47"/>
    <w:rsid w:val="00DB7DA1"/>
    <w:rsid w:val="00DB7DE0"/>
    <w:rsid w:val="00DB7E3E"/>
    <w:rsid w:val="00DB7E4F"/>
    <w:rsid w:val="00DB7E69"/>
    <w:rsid w:val="00DB7F95"/>
    <w:rsid w:val="00DC0149"/>
    <w:rsid w:val="00DC0187"/>
    <w:rsid w:val="00DC01A3"/>
    <w:rsid w:val="00DC0215"/>
    <w:rsid w:val="00DC027D"/>
    <w:rsid w:val="00DC028D"/>
    <w:rsid w:val="00DC0441"/>
    <w:rsid w:val="00DC0443"/>
    <w:rsid w:val="00DC04B5"/>
    <w:rsid w:val="00DC04F3"/>
    <w:rsid w:val="00DC04F6"/>
    <w:rsid w:val="00DC05AE"/>
    <w:rsid w:val="00DC0682"/>
    <w:rsid w:val="00DC069E"/>
    <w:rsid w:val="00DC0713"/>
    <w:rsid w:val="00DC073A"/>
    <w:rsid w:val="00DC07BE"/>
    <w:rsid w:val="00DC07EC"/>
    <w:rsid w:val="00DC07FB"/>
    <w:rsid w:val="00DC080D"/>
    <w:rsid w:val="00DC0876"/>
    <w:rsid w:val="00DC08F9"/>
    <w:rsid w:val="00DC091D"/>
    <w:rsid w:val="00DC098B"/>
    <w:rsid w:val="00DC0A77"/>
    <w:rsid w:val="00DC0A7E"/>
    <w:rsid w:val="00DC0AC5"/>
    <w:rsid w:val="00DC0B2E"/>
    <w:rsid w:val="00DC0B74"/>
    <w:rsid w:val="00DC0C57"/>
    <w:rsid w:val="00DC0CFF"/>
    <w:rsid w:val="00DC0D6C"/>
    <w:rsid w:val="00DC0D98"/>
    <w:rsid w:val="00DC0DAB"/>
    <w:rsid w:val="00DC0DFF"/>
    <w:rsid w:val="00DC0F10"/>
    <w:rsid w:val="00DC0F2E"/>
    <w:rsid w:val="00DC0F55"/>
    <w:rsid w:val="00DC0F7C"/>
    <w:rsid w:val="00DC0F7F"/>
    <w:rsid w:val="00DC0F80"/>
    <w:rsid w:val="00DC0F90"/>
    <w:rsid w:val="00DC107F"/>
    <w:rsid w:val="00DC1168"/>
    <w:rsid w:val="00DC11AC"/>
    <w:rsid w:val="00DC126D"/>
    <w:rsid w:val="00DC1290"/>
    <w:rsid w:val="00DC1291"/>
    <w:rsid w:val="00DC1306"/>
    <w:rsid w:val="00DC136C"/>
    <w:rsid w:val="00DC14C7"/>
    <w:rsid w:val="00DC14E7"/>
    <w:rsid w:val="00DC157F"/>
    <w:rsid w:val="00DC1641"/>
    <w:rsid w:val="00DC1645"/>
    <w:rsid w:val="00DC167E"/>
    <w:rsid w:val="00DC1690"/>
    <w:rsid w:val="00DC1693"/>
    <w:rsid w:val="00DC16A9"/>
    <w:rsid w:val="00DC16D8"/>
    <w:rsid w:val="00DC16FB"/>
    <w:rsid w:val="00DC1729"/>
    <w:rsid w:val="00DC1787"/>
    <w:rsid w:val="00DC17B7"/>
    <w:rsid w:val="00DC17D4"/>
    <w:rsid w:val="00DC1866"/>
    <w:rsid w:val="00DC18B3"/>
    <w:rsid w:val="00DC18CB"/>
    <w:rsid w:val="00DC198C"/>
    <w:rsid w:val="00DC1AF5"/>
    <w:rsid w:val="00DC1B32"/>
    <w:rsid w:val="00DC1B49"/>
    <w:rsid w:val="00DC1B51"/>
    <w:rsid w:val="00DC1BD3"/>
    <w:rsid w:val="00DC1CEB"/>
    <w:rsid w:val="00DC1D6A"/>
    <w:rsid w:val="00DC1D7D"/>
    <w:rsid w:val="00DC1DB7"/>
    <w:rsid w:val="00DC1E11"/>
    <w:rsid w:val="00DC1E15"/>
    <w:rsid w:val="00DC1E7A"/>
    <w:rsid w:val="00DC1EA6"/>
    <w:rsid w:val="00DC1EF9"/>
    <w:rsid w:val="00DC1F60"/>
    <w:rsid w:val="00DC1FB8"/>
    <w:rsid w:val="00DC2047"/>
    <w:rsid w:val="00DC204E"/>
    <w:rsid w:val="00DC20B8"/>
    <w:rsid w:val="00DC20C5"/>
    <w:rsid w:val="00DC20F6"/>
    <w:rsid w:val="00DC2182"/>
    <w:rsid w:val="00DC218F"/>
    <w:rsid w:val="00DC2220"/>
    <w:rsid w:val="00DC22B8"/>
    <w:rsid w:val="00DC22C2"/>
    <w:rsid w:val="00DC22C8"/>
    <w:rsid w:val="00DC22FF"/>
    <w:rsid w:val="00DC2367"/>
    <w:rsid w:val="00DC2371"/>
    <w:rsid w:val="00DC23A1"/>
    <w:rsid w:val="00DC23D0"/>
    <w:rsid w:val="00DC2453"/>
    <w:rsid w:val="00DC2479"/>
    <w:rsid w:val="00DC24AF"/>
    <w:rsid w:val="00DC252E"/>
    <w:rsid w:val="00DC25A7"/>
    <w:rsid w:val="00DC2616"/>
    <w:rsid w:val="00DC269B"/>
    <w:rsid w:val="00DC26E8"/>
    <w:rsid w:val="00DC272C"/>
    <w:rsid w:val="00DC27D7"/>
    <w:rsid w:val="00DC2865"/>
    <w:rsid w:val="00DC293F"/>
    <w:rsid w:val="00DC2A44"/>
    <w:rsid w:val="00DC2AD0"/>
    <w:rsid w:val="00DC2AD5"/>
    <w:rsid w:val="00DC2B23"/>
    <w:rsid w:val="00DC2B40"/>
    <w:rsid w:val="00DC2B42"/>
    <w:rsid w:val="00DC2B6D"/>
    <w:rsid w:val="00DC2B8F"/>
    <w:rsid w:val="00DC2C1D"/>
    <w:rsid w:val="00DC2C7D"/>
    <w:rsid w:val="00DC2C82"/>
    <w:rsid w:val="00DC2CEC"/>
    <w:rsid w:val="00DC2CF6"/>
    <w:rsid w:val="00DC2DCD"/>
    <w:rsid w:val="00DC2DCF"/>
    <w:rsid w:val="00DC2DE2"/>
    <w:rsid w:val="00DC2E89"/>
    <w:rsid w:val="00DC2F10"/>
    <w:rsid w:val="00DC2FA1"/>
    <w:rsid w:val="00DC2FAC"/>
    <w:rsid w:val="00DC3039"/>
    <w:rsid w:val="00DC30D1"/>
    <w:rsid w:val="00DC30D9"/>
    <w:rsid w:val="00DC313C"/>
    <w:rsid w:val="00DC314E"/>
    <w:rsid w:val="00DC31C1"/>
    <w:rsid w:val="00DC31CF"/>
    <w:rsid w:val="00DC3234"/>
    <w:rsid w:val="00DC326B"/>
    <w:rsid w:val="00DC3281"/>
    <w:rsid w:val="00DC3293"/>
    <w:rsid w:val="00DC329B"/>
    <w:rsid w:val="00DC33C1"/>
    <w:rsid w:val="00DC33F0"/>
    <w:rsid w:val="00DC3417"/>
    <w:rsid w:val="00DC3429"/>
    <w:rsid w:val="00DC347B"/>
    <w:rsid w:val="00DC348C"/>
    <w:rsid w:val="00DC349E"/>
    <w:rsid w:val="00DC351E"/>
    <w:rsid w:val="00DC3535"/>
    <w:rsid w:val="00DC3540"/>
    <w:rsid w:val="00DC358E"/>
    <w:rsid w:val="00DC36DE"/>
    <w:rsid w:val="00DC3794"/>
    <w:rsid w:val="00DC37AD"/>
    <w:rsid w:val="00DC37B1"/>
    <w:rsid w:val="00DC3807"/>
    <w:rsid w:val="00DC3822"/>
    <w:rsid w:val="00DC3876"/>
    <w:rsid w:val="00DC38AD"/>
    <w:rsid w:val="00DC397C"/>
    <w:rsid w:val="00DC3986"/>
    <w:rsid w:val="00DC39AD"/>
    <w:rsid w:val="00DC39CB"/>
    <w:rsid w:val="00DC39D6"/>
    <w:rsid w:val="00DC3A78"/>
    <w:rsid w:val="00DC3AAB"/>
    <w:rsid w:val="00DC3B14"/>
    <w:rsid w:val="00DC3B27"/>
    <w:rsid w:val="00DC3B3D"/>
    <w:rsid w:val="00DC3B5B"/>
    <w:rsid w:val="00DC3B88"/>
    <w:rsid w:val="00DC3B8B"/>
    <w:rsid w:val="00DC3BC0"/>
    <w:rsid w:val="00DC3BCA"/>
    <w:rsid w:val="00DC3BD2"/>
    <w:rsid w:val="00DC3BD5"/>
    <w:rsid w:val="00DC3BF1"/>
    <w:rsid w:val="00DC3C74"/>
    <w:rsid w:val="00DC3C89"/>
    <w:rsid w:val="00DC3C8E"/>
    <w:rsid w:val="00DC3F1E"/>
    <w:rsid w:val="00DC3F62"/>
    <w:rsid w:val="00DC3F81"/>
    <w:rsid w:val="00DC409D"/>
    <w:rsid w:val="00DC40D8"/>
    <w:rsid w:val="00DC40F1"/>
    <w:rsid w:val="00DC413C"/>
    <w:rsid w:val="00DC4141"/>
    <w:rsid w:val="00DC4161"/>
    <w:rsid w:val="00DC4207"/>
    <w:rsid w:val="00DC4213"/>
    <w:rsid w:val="00DC4251"/>
    <w:rsid w:val="00DC426E"/>
    <w:rsid w:val="00DC4278"/>
    <w:rsid w:val="00DC428F"/>
    <w:rsid w:val="00DC429D"/>
    <w:rsid w:val="00DC4307"/>
    <w:rsid w:val="00DC4345"/>
    <w:rsid w:val="00DC43F2"/>
    <w:rsid w:val="00DC4404"/>
    <w:rsid w:val="00DC454E"/>
    <w:rsid w:val="00DC456A"/>
    <w:rsid w:val="00DC45B4"/>
    <w:rsid w:val="00DC45C3"/>
    <w:rsid w:val="00DC4636"/>
    <w:rsid w:val="00DC46CE"/>
    <w:rsid w:val="00DC4714"/>
    <w:rsid w:val="00DC4730"/>
    <w:rsid w:val="00DC47E4"/>
    <w:rsid w:val="00DC4804"/>
    <w:rsid w:val="00DC486F"/>
    <w:rsid w:val="00DC487D"/>
    <w:rsid w:val="00DC4896"/>
    <w:rsid w:val="00DC489E"/>
    <w:rsid w:val="00DC48E4"/>
    <w:rsid w:val="00DC4953"/>
    <w:rsid w:val="00DC498E"/>
    <w:rsid w:val="00DC49DB"/>
    <w:rsid w:val="00DC4A73"/>
    <w:rsid w:val="00DC4A90"/>
    <w:rsid w:val="00DC4A9F"/>
    <w:rsid w:val="00DC4B03"/>
    <w:rsid w:val="00DC4BC7"/>
    <w:rsid w:val="00DC4BEC"/>
    <w:rsid w:val="00DC4C11"/>
    <w:rsid w:val="00DC4D0B"/>
    <w:rsid w:val="00DC4F7A"/>
    <w:rsid w:val="00DC4FB6"/>
    <w:rsid w:val="00DC4FF8"/>
    <w:rsid w:val="00DC4FFD"/>
    <w:rsid w:val="00DC5012"/>
    <w:rsid w:val="00DC5098"/>
    <w:rsid w:val="00DC50BD"/>
    <w:rsid w:val="00DC512D"/>
    <w:rsid w:val="00DC51AB"/>
    <w:rsid w:val="00DC521E"/>
    <w:rsid w:val="00DC5236"/>
    <w:rsid w:val="00DC52F9"/>
    <w:rsid w:val="00DC530B"/>
    <w:rsid w:val="00DC533A"/>
    <w:rsid w:val="00DC538F"/>
    <w:rsid w:val="00DC5466"/>
    <w:rsid w:val="00DC5487"/>
    <w:rsid w:val="00DC5516"/>
    <w:rsid w:val="00DC5582"/>
    <w:rsid w:val="00DC55AB"/>
    <w:rsid w:val="00DC55C3"/>
    <w:rsid w:val="00DC56F7"/>
    <w:rsid w:val="00DC5723"/>
    <w:rsid w:val="00DC5786"/>
    <w:rsid w:val="00DC578C"/>
    <w:rsid w:val="00DC57F7"/>
    <w:rsid w:val="00DC584C"/>
    <w:rsid w:val="00DC5890"/>
    <w:rsid w:val="00DC5892"/>
    <w:rsid w:val="00DC589D"/>
    <w:rsid w:val="00DC58C6"/>
    <w:rsid w:val="00DC5902"/>
    <w:rsid w:val="00DC5934"/>
    <w:rsid w:val="00DC5961"/>
    <w:rsid w:val="00DC5969"/>
    <w:rsid w:val="00DC5A24"/>
    <w:rsid w:val="00DC5A27"/>
    <w:rsid w:val="00DC5A7D"/>
    <w:rsid w:val="00DC5B75"/>
    <w:rsid w:val="00DC5B7D"/>
    <w:rsid w:val="00DC5B95"/>
    <w:rsid w:val="00DC5BE4"/>
    <w:rsid w:val="00DC5D20"/>
    <w:rsid w:val="00DC5DC5"/>
    <w:rsid w:val="00DC5DE4"/>
    <w:rsid w:val="00DC5E2C"/>
    <w:rsid w:val="00DC5E6D"/>
    <w:rsid w:val="00DC5F03"/>
    <w:rsid w:val="00DC5F2A"/>
    <w:rsid w:val="00DC5F5A"/>
    <w:rsid w:val="00DC5FBB"/>
    <w:rsid w:val="00DC60D3"/>
    <w:rsid w:val="00DC620B"/>
    <w:rsid w:val="00DC6319"/>
    <w:rsid w:val="00DC6351"/>
    <w:rsid w:val="00DC6361"/>
    <w:rsid w:val="00DC63D3"/>
    <w:rsid w:val="00DC63FE"/>
    <w:rsid w:val="00DC6442"/>
    <w:rsid w:val="00DC644D"/>
    <w:rsid w:val="00DC6519"/>
    <w:rsid w:val="00DC65E7"/>
    <w:rsid w:val="00DC65EB"/>
    <w:rsid w:val="00DC66E5"/>
    <w:rsid w:val="00DC677C"/>
    <w:rsid w:val="00DC6780"/>
    <w:rsid w:val="00DC6832"/>
    <w:rsid w:val="00DC6839"/>
    <w:rsid w:val="00DC6850"/>
    <w:rsid w:val="00DC6890"/>
    <w:rsid w:val="00DC68DB"/>
    <w:rsid w:val="00DC68F5"/>
    <w:rsid w:val="00DC69BC"/>
    <w:rsid w:val="00DC69C0"/>
    <w:rsid w:val="00DC69C6"/>
    <w:rsid w:val="00DC6A2E"/>
    <w:rsid w:val="00DC6B26"/>
    <w:rsid w:val="00DC6B29"/>
    <w:rsid w:val="00DC6B9A"/>
    <w:rsid w:val="00DC6BA0"/>
    <w:rsid w:val="00DC6BD5"/>
    <w:rsid w:val="00DC6BEF"/>
    <w:rsid w:val="00DC6C26"/>
    <w:rsid w:val="00DC6C45"/>
    <w:rsid w:val="00DC6C4B"/>
    <w:rsid w:val="00DC6C55"/>
    <w:rsid w:val="00DC6C6A"/>
    <w:rsid w:val="00DC6D46"/>
    <w:rsid w:val="00DC7058"/>
    <w:rsid w:val="00DC70DB"/>
    <w:rsid w:val="00DC70F9"/>
    <w:rsid w:val="00DC712D"/>
    <w:rsid w:val="00DC7147"/>
    <w:rsid w:val="00DC7160"/>
    <w:rsid w:val="00DC71C8"/>
    <w:rsid w:val="00DC7234"/>
    <w:rsid w:val="00DC728F"/>
    <w:rsid w:val="00DC72C9"/>
    <w:rsid w:val="00DC730F"/>
    <w:rsid w:val="00DC731D"/>
    <w:rsid w:val="00DC74BB"/>
    <w:rsid w:val="00DC74BE"/>
    <w:rsid w:val="00DC74D1"/>
    <w:rsid w:val="00DC74D2"/>
    <w:rsid w:val="00DC758C"/>
    <w:rsid w:val="00DC761E"/>
    <w:rsid w:val="00DC7664"/>
    <w:rsid w:val="00DC7762"/>
    <w:rsid w:val="00DC77A0"/>
    <w:rsid w:val="00DC77B0"/>
    <w:rsid w:val="00DC7827"/>
    <w:rsid w:val="00DC786A"/>
    <w:rsid w:val="00DC78C9"/>
    <w:rsid w:val="00DC78D5"/>
    <w:rsid w:val="00DC7977"/>
    <w:rsid w:val="00DC79C5"/>
    <w:rsid w:val="00DC79E1"/>
    <w:rsid w:val="00DC7A40"/>
    <w:rsid w:val="00DC7A56"/>
    <w:rsid w:val="00DC7A5E"/>
    <w:rsid w:val="00DC7A69"/>
    <w:rsid w:val="00DC7AD8"/>
    <w:rsid w:val="00DC7B9D"/>
    <w:rsid w:val="00DC7BF6"/>
    <w:rsid w:val="00DC7C75"/>
    <w:rsid w:val="00DC7CF4"/>
    <w:rsid w:val="00DC7D01"/>
    <w:rsid w:val="00DC7D7C"/>
    <w:rsid w:val="00DC7D81"/>
    <w:rsid w:val="00DC7DD0"/>
    <w:rsid w:val="00DC7DF4"/>
    <w:rsid w:val="00DC7E50"/>
    <w:rsid w:val="00DC7E8E"/>
    <w:rsid w:val="00DC7F9F"/>
    <w:rsid w:val="00DC7FDF"/>
    <w:rsid w:val="00DD0075"/>
    <w:rsid w:val="00DD00DC"/>
    <w:rsid w:val="00DD00EC"/>
    <w:rsid w:val="00DD016A"/>
    <w:rsid w:val="00DD018A"/>
    <w:rsid w:val="00DD0191"/>
    <w:rsid w:val="00DD01A7"/>
    <w:rsid w:val="00DD01AF"/>
    <w:rsid w:val="00DD01FE"/>
    <w:rsid w:val="00DD0224"/>
    <w:rsid w:val="00DD0245"/>
    <w:rsid w:val="00DD029C"/>
    <w:rsid w:val="00DD032A"/>
    <w:rsid w:val="00DD032E"/>
    <w:rsid w:val="00DD039D"/>
    <w:rsid w:val="00DD0453"/>
    <w:rsid w:val="00DD0467"/>
    <w:rsid w:val="00DD04FB"/>
    <w:rsid w:val="00DD059F"/>
    <w:rsid w:val="00DD0653"/>
    <w:rsid w:val="00DD0712"/>
    <w:rsid w:val="00DD0751"/>
    <w:rsid w:val="00DD078B"/>
    <w:rsid w:val="00DD0794"/>
    <w:rsid w:val="00DD07DD"/>
    <w:rsid w:val="00DD07E2"/>
    <w:rsid w:val="00DD0880"/>
    <w:rsid w:val="00DD0948"/>
    <w:rsid w:val="00DD0A0D"/>
    <w:rsid w:val="00DD0A25"/>
    <w:rsid w:val="00DD0A51"/>
    <w:rsid w:val="00DD0B5C"/>
    <w:rsid w:val="00DD0C1C"/>
    <w:rsid w:val="00DD0C50"/>
    <w:rsid w:val="00DD0C5B"/>
    <w:rsid w:val="00DD0D6D"/>
    <w:rsid w:val="00DD0D70"/>
    <w:rsid w:val="00DD0DB0"/>
    <w:rsid w:val="00DD0DE3"/>
    <w:rsid w:val="00DD0E0F"/>
    <w:rsid w:val="00DD0E1B"/>
    <w:rsid w:val="00DD0EE9"/>
    <w:rsid w:val="00DD0F9B"/>
    <w:rsid w:val="00DD1018"/>
    <w:rsid w:val="00DD1088"/>
    <w:rsid w:val="00DD108A"/>
    <w:rsid w:val="00DD10E7"/>
    <w:rsid w:val="00DD11A1"/>
    <w:rsid w:val="00DD11F2"/>
    <w:rsid w:val="00DD1218"/>
    <w:rsid w:val="00DD1246"/>
    <w:rsid w:val="00DD12E2"/>
    <w:rsid w:val="00DD12EE"/>
    <w:rsid w:val="00DD1302"/>
    <w:rsid w:val="00DD13AC"/>
    <w:rsid w:val="00DD13C6"/>
    <w:rsid w:val="00DD1406"/>
    <w:rsid w:val="00DD140A"/>
    <w:rsid w:val="00DD141F"/>
    <w:rsid w:val="00DD1487"/>
    <w:rsid w:val="00DD14B2"/>
    <w:rsid w:val="00DD1584"/>
    <w:rsid w:val="00DD1593"/>
    <w:rsid w:val="00DD15B6"/>
    <w:rsid w:val="00DD1750"/>
    <w:rsid w:val="00DD184F"/>
    <w:rsid w:val="00DD18F1"/>
    <w:rsid w:val="00DD19D2"/>
    <w:rsid w:val="00DD1A67"/>
    <w:rsid w:val="00DD1A82"/>
    <w:rsid w:val="00DD1AAA"/>
    <w:rsid w:val="00DD1B27"/>
    <w:rsid w:val="00DD1B6F"/>
    <w:rsid w:val="00DD1B92"/>
    <w:rsid w:val="00DD1C4A"/>
    <w:rsid w:val="00DD1D05"/>
    <w:rsid w:val="00DD1D1D"/>
    <w:rsid w:val="00DD1E07"/>
    <w:rsid w:val="00DD1E78"/>
    <w:rsid w:val="00DD1E8D"/>
    <w:rsid w:val="00DD1EB5"/>
    <w:rsid w:val="00DD1F53"/>
    <w:rsid w:val="00DD1FB5"/>
    <w:rsid w:val="00DD2039"/>
    <w:rsid w:val="00DD212E"/>
    <w:rsid w:val="00DD2145"/>
    <w:rsid w:val="00DD222D"/>
    <w:rsid w:val="00DD226F"/>
    <w:rsid w:val="00DD22DA"/>
    <w:rsid w:val="00DD22DB"/>
    <w:rsid w:val="00DD2331"/>
    <w:rsid w:val="00DD23CC"/>
    <w:rsid w:val="00DD2400"/>
    <w:rsid w:val="00DD2434"/>
    <w:rsid w:val="00DD2465"/>
    <w:rsid w:val="00DD254B"/>
    <w:rsid w:val="00DD25BC"/>
    <w:rsid w:val="00DD25DA"/>
    <w:rsid w:val="00DD25E9"/>
    <w:rsid w:val="00DD25F6"/>
    <w:rsid w:val="00DD268C"/>
    <w:rsid w:val="00DD26B3"/>
    <w:rsid w:val="00DD26C2"/>
    <w:rsid w:val="00DD270B"/>
    <w:rsid w:val="00DD2769"/>
    <w:rsid w:val="00DD2777"/>
    <w:rsid w:val="00DD2791"/>
    <w:rsid w:val="00DD279B"/>
    <w:rsid w:val="00DD2859"/>
    <w:rsid w:val="00DD288D"/>
    <w:rsid w:val="00DD2894"/>
    <w:rsid w:val="00DD28B0"/>
    <w:rsid w:val="00DD28B5"/>
    <w:rsid w:val="00DD28CD"/>
    <w:rsid w:val="00DD2917"/>
    <w:rsid w:val="00DD2984"/>
    <w:rsid w:val="00DD2985"/>
    <w:rsid w:val="00DD29B6"/>
    <w:rsid w:val="00DD2A6F"/>
    <w:rsid w:val="00DD2A71"/>
    <w:rsid w:val="00DD2A9B"/>
    <w:rsid w:val="00DD2AAC"/>
    <w:rsid w:val="00DD2B01"/>
    <w:rsid w:val="00DD2BD1"/>
    <w:rsid w:val="00DD2C1A"/>
    <w:rsid w:val="00DD2C1D"/>
    <w:rsid w:val="00DD2C8E"/>
    <w:rsid w:val="00DD2CD7"/>
    <w:rsid w:val="00DD2CE2"/>
    <w:rsid w:val="00DD2CEF"/>
    <w:rsid w:val="00DD2D6F"/>
    <w:rsid w:val="00DD2DB6"/>
    <w:rsid w:val="00DD2DDB"/>
    <w:rsid w:val="00DD2E82"/>
    <w:rsid w:val="00DD2EBA"/>
    <w:rsid w:val="00DD2ED3"/>
    <w:rsid w:val="00DD2F9F"/>
    <w:rsid w:val="00DD3073"/>
    <w:rsid w:val="00DD3125"/>
    <w:rsid w:val="00DD3152"/>
    <w:rsid w:val="00DD32D4"/>
    <w:rsid w:val="00DD3313"/>
    <w:rsid w:val="00DD337B"/>
    <w:rsid w:val="00DD33FD"/>
    <w:rsid w:val="00DD3463"/>
    <w:rsid w:val="00DD34DE"/>
    <w:rsid w:val="00DD34E7"/>
    <w:rsid w:val="00DD357C"/>
    <w:rsid w:val="00DD36A1"/>
    <w:rsid w:val="00DD36A3"/>
    <w:rsid w:val="00DD36D0"/>
    <w:rsid w:val="00DD3753"/>
    <w:rsid w:val="00DD378E"/>
    <w:rsid w:val="00DD37B1"/>
    <w:rsid w:val="00DD3842"/>
    <w:rsid w:val="00DD3898"/>
    <w:rsid w:val="00DD38FD"/>
    <w:rsid w:val="00DD3909"/>
    <w:rsid w:val="00DD3931"/>
    <w:rsid w:val="00DD39FF"/>
    <w:rsid w:val="00DD3AB4"/>
    <w:rsid w:val="00DD3B4E"/>
    <w:rsid w:val="00DD3B55"/>
    <w:rsid w:val="00DD3BEC"/>
    <w:rsid w:val="00DD3D22"/>
    <w:rsid w:val="00DD3D36"/>
    <w:rsid w:val="00DD3D79"/>
    <w:rsid w:val="00DD3E0C"/>
    <w:rsid w:val="00DD3E95"/>
    <w:rsid w:val="00DD3F27"/>
    <w:rsid w:val="00DD3F57"/>
    <w:rsid w:val="00DD3FA1"/>
    <w:rsid w:val="00DD3FB6"/>
    <w:rsid w:val="00DD3FFD"/>
    <w:rsid w:val="00DD4003"/>
    <w:rsid w:val="00DD40C9"/>
    <w:rsid w:val="00DD412D"/>
    <w:rsid w:val="00DD41FC"/>
    <w:rsid w:val="00DD4241"/>
    <w:rsid w:val="00DD42B0"/>
    <w:rsid w:val="00DD434D"/>
    <w:rsid w:val="00DD4388"/>
    <w:rsid w:val="00DD43A9"/>
    <w:rsid w:val="00DD441F"/>
    <w:rsid w:val="00DD4470"/>
    <w:rsid w:val="00DD4480"/>
    <w:rsid w:val="00DD4485"/>
    <w:rsid w:val="00DD448D"/>
    <w:rsid w:val="00DD45C7"/>
    <w:rsid w:val="00DD45D0"/>
    <w:rsid w:val="00DD46B5"/>
    <w:rsid w:val="00DD46CB"/>
    <w:rsid w:val="00DD46EB"/>
    <w:rsid w:val="00DD46F5"/>
    <w:rsid w:val="00DD472D"/>
    <w:rsid w:val="00DD4743"/>
    <w:rsid w:val="00DD4753"/>
    <w:rsid w:val="00DD484E"/>
    <w:rsid w:val="00DD4855"/>
    <w:rsid w:val="00DD48C9"/>
    <w:rsid w:val="00DD496F"/>
    <w:rsid w:val="00DD4970"/>
    <w:rsid w:val="00DD49A4"/>
    <w:rsid w:val="00DD49F2"/>
    <w:rsid w:val="00DD4A3A"/>
    <w:rsid w:val="00DD4ADC"/>
    <w:rsid w:val="00DD4AF1"/>
    <w:rsid w:val="00DD4BDC"/>
    <w:rsid w:val="00DD4BFD"/>
    <w:rsid w:val="00DD4C3F"/>
    <w:rsid w:val="00DD4D7C"/>
    <w:rsid w:val="00DD4E53"/>
    <w:rsid w:val="00DD4ECF"/>
    <w:rsid w:val="00DD4F21"/>
    <w:rsid w:val="00DD4FA3"/>
    <w:rsid w:val="00DD4FC0"/>
    <w:rsid w:val="00DD5098"/>
    <w:rsid w:val="00DD50A2"/>
    <w:rsid w:val="00DD5157"/>
    <w:rsid w:val="00DD5183"/>
    <w:rsid w:val="00DD51CE"/>
    <w:rsid w:val="00DD520D"/>
    <w:rsid w:val="00DD5304"/>
    <w:rsid w:val="00DD530B"/>
    <w:rsid w:val="00DD533D"/>
    <w:rsid w:val="00DD54B9"/>
    <w:rsid w:val="00DD5514"/>
    <w:rsid w:val="00DD5525"/>
    <w:rsid w:val="00DD5584"/>
    <w:rsid w:val="00DD55BA"/>
    <w:rsid w:val="00DD5621"/>
    <w:rsid w:val="00DD563B"/>
    <w:rsid w:val="00DD564E"/>
    <w:rsid w:val="00DD56A0"/>
    <w:rsid w:val="00DD56B8"/>
    <w:rsid w:val="00DD56E1"/>
    <w:rsid w:val="00DD572D"/>
    <w:rsid w:val="00DD5833"/>
    <w:rsid w:val="00DD58E3"/>
    <w:rsid w:val="00DD58E8"/>
    <w:rsid w:val="00DD58F5"/>
    <w:rsid w:val="00DD5989"/>
    <w:rsid w:val="00DD59A8"/>
    <w:rsid w:val="00DD5A1A"/>
    <w:rsid w:val="00DD5A8D"/>
    <w:rsid w:val="00DD5AB9"/>
    <w:rsid w:val="00DD5C3B"/>
    <w:rsid w:val="00DD5C6B"/>
    <w:rsid w:val="00DD5D74"/>
    <w:rsid w:val="00DD5D82"/>
    <w:rsid w:val="00DD5D8C"/>
    <w:rsid w:val="00DD5E0F"/>
    <w:rsid w:val="00DD5E38"/>
    <w:rsid w:val="00DD5FB5"/>
    <w:rsid w:val="00DD6002"/>
    <w:rsid w:val="00DD600D"/>
    <w:rsid w:val="00DD6157"/>
    <w:rsid w:val="00DD6193"/>
    <w:rsid w:val="00DD61BC"/>
    <w:rsid w:val="00DD620B"/>
    <w:rsid w:val="00DD6294"/>
    <w:rsid w:val="00DD62DD"/>
    <w:rsid w:val="00DD62E4"/>
    <w:rsid w:val="00DD6318"/>
    <w:rsid w:val="00DD637C"/>
    <w:rsid w:val="00DD6435"/>
    <w:rsid w:val="00DD648C"/>
    <w:rsid w:val="00DD65AC"/>
    <w:rsid w:val="00DD65B7"/>
    <w:rsid w:val="00DD6674"/>
    <w:rsid w:val="00DD669A"/>
    <w:rsid w:val="00DD676D"/>
    <w:rsid w:val="00DD6814"/>
    <w:rsid w:val="00DD6847"/>
    <w:rsid w:val="00DD685C"/>
    <w:rsid w:val="00DD6897"/>
    <w:rsid w:val="00DD68BB"/>
    <w:rsid w:val="00DD6907"/>
    <w:rsid w:val="00DD6928"/>
    <w:rsid w:val="00DD6948"/>
    <w:rsid w:val="00DD6978"/>
    <w:rsid w:val="00DD6A04"/>
    <w:rsid w:val="00DD6A57"/>
    <w:rsid w:val="00DD6B9A"/>
    <w:rsid w:val="00DD6BA5"/>
    <w:rsid w:val="00DD6BFA"/>
    <w:rsid w:val="00DD6C00"/>
    <w:rsid w:val="00DD6C35"/>
    <w:rsid w:val="00DD6D04"/>
    <w:rsid w:val="00DD6D15"/>
    <w:rsid w:val="00DD6D87"/>
    <w:rsid w:val="00DD6D90"/>
    <w:rsid w:val="00DD6E62"/>
    <w:rsid w:val="00DD6E77"/>
    <w:rsid w:val="00DD6EB5"/>
    <w:rsid w:val="00DD6F10"/>
    <w:rsid w:val="00DD6F57"/>
    <w:rsid w:val="00DD6F74"/>
    <w:rsid w:val="00DD7051"/>
    <w:rsid w:val="00DD7089"/>
    <w:rsid w:val="00DD70BF"/>
    <w:rsid w:val="00DD70C2"/>
    <w:rsid w:val="00DD70C6"/>
    <w:rsid w:val="00DD70E8"/>
    <w:rsid w:val="00DD713C"/>
    <w:rsid w:val="00DD7170"/>
    <w:rsid w:val="00DD7219"/>
    <w:rsid w:val="00DD721A"/>
    <w:rsid w:val="00DD7223"/>
    <w:rsid w:val="00DD7277"/>
    <w:rsid w:val="00DD7297"/>
    <w:rsid w:val="00DD72AF"/>
    <w:rsid w:val="00DD742C"/>
    <w:rsid w:val="00DD7482"/>
    <w:rsid w:val="00DD750E"/>
    <w:rsid w:val="00DD753D"/>
    <w:rsid w:val="00DD759F"/>
    <w:rsid w:val="00DD7612"/>
    <w:rsid w:val="00DD7646"/>
    <w:rsid w:val="00DD7715"/>
    <w:rsid w:val="00DD7735"/>
    <w:rsid w:val="00DD7833"/>
    <w:rsid w:val="00DD7836"/>
    <w:rsid w:val="00DD7A47"/>
    <w:rsid w:val="00DD7A6E"/>
    <w:rsid w:val="00DD7C32"/>
    <w:rsid w:val="00DD7CBF"/>
    <w:rsid w:val="00DD7D00"/>
    <w:rsid w:val="00DD7D88"/>
    <w:rsid w:val="00DD7DA3"/>
    <w:rsid w:val="00DD7DA9"/>
    <w:rsid w:val="00DD7F4A"/>
    <w:rsid w:val="00DE000B"/>
    <w:rsid w:val="00DE0019"/>
    <w:rsid w:val="00DE001F"/>
    <w:rsid w:val="00DE0023"/>
    <w:rsid w:val="00DE0043"/>
    <w:rsid w:val="00DE0156"/>
    <w:rsid w:val="00DE0173"/>
    <w:rsid w:val="00DE01EF"/>
    <w:rsid w:val="00DE0242"/>
    <w:rsid w:val="00DE026B"/>
    <w:rsid w:val="00DE0323"/>
    <w:rsid w:val="00DE0335"/>
    <w:rsid w:val="00DE0340"/>
    <w:rsid w:val="00DE03B7"/>
    <w:rsid w:val="00DE03F6"/>
    <w:rsid w:val="00DE0477"/>
    <w:rsid w:val="00DE04FF"/>
    <w:rsid w:val="00DE0518"/>
    <w:rsid w:val="00DE05B6"/>
    <w:rsid w:val="00DE05C6"/>
    <w:rsid w:val="00DE05E9"/>
    <w:rsid w:val="00DE0625"/>
    <w:rsid w:val="00DE064A"/>
    <w:rsid w:val="00DE0692"/>
    <w:rsid w:val="00DE0697"/>
    <w:rsid w:val="00DE06E4"/>
    <w:rsid w:val="00DE06EA"/>
    <w:rsid w:val="00DE075F"/>
    <w:rsid w:val="00DE078C"/>
    <w:rsid w:val="00DE085A"/>
    <w:rsid w:val="00DE08CC"/>
    <w:rsid w:val="00DE08CF"/>
    <w:rsid w:val="00DE090A"/>
    <w:rsid w:val="00DE0924"/>
    <w:rsid w:val="00DE09A3"/>
    <w:rsid w:val="00DE09B0"/>
    <w:rsid w:val="00DE09CE"/>
    <w:rsid w:val="00DE09E5"/>
    <w:rsid w:val="00DE0BDC"/>
    <w:rsid w:val="00DE0C2C"/>
    <w:rsid w:val="00DE0C95"/>
    <w:rsid w:val="00DE0C98"/>
    <w:rsid w:val="00DE0CC0"/>
    <w:rsid w:val="00DE0D5A"/>
    <w:rsid w:val="00DE0E56"/>
    <w:rsid w:val="00DE0E73"/>
    <w:rsid w:val="00DE0EA2"/>
    <w:rsid w:val="00DE0ED7"/>
    <w:rsid w:val="00DE0EE3"/>
    <w:rsid w:val="00DE0F37"/>
    <w:rsid w:val="00DE0F49"/>
    <w:rsid w:val="00DE0FD5"/>
    <w:rsid w:val="00DE1007"/>
    <w:rsid w:val="00DE1015"/>
    <w:rsid w:val="00DE1034"/>
    <w:rsid w:val="00DE113E"/>
    <w:rsid w:val="00DE1147"/>
    <w:rsid w:val="00DE1155"/>
    <w:rsid w:val="00DE11AA"/>
    <w:rsid w:val="00DE1217"/>
    <w:rsid w:val="00DE127E"/>
    <w:rsid w:val="00DE134A"/>
    <w:rsid w:val="00DE135B"/>
    <w:rsid w:val="00DE139A"/>
    <w:rsid w:val="00DE14B4"/>
    <w:rsid w:val="00DE14F9"/>
    <w:rsid w:val="00DE14FD"/>
    <w:rsid w:val="00DE15D3"/>
    <w:rsid w:val="00DE15E6"/>
    <w:rsid w:val="00DE1638"/>
    <w:rsid w:val="00DE1743"/>
    <w:rsid w:val="00DE1783"/>
    <w:rsid w:val="00DE179E"/>
    <w:rsid w:val="00DE17AF"/>
    <w:rsid w:val="00DE17F6"/>
    <w:rsid w:val="00DE183F"/>
    <w:rsid w:val="00DE1859"/>
    <w:rsid w:val="00DE19CF"/>
    <w:rsid w:val="00DE1A51"/>
    <w:rsid w:val="00DE1A80"/>
    <w:rsid w:val="00DE1A98"/>
    <w:rsid w:val="00DE1AB6"/>
    <w:rsid w:val="00DE1ADD"/>
    <w:rsid w:val="00DE1B18"/>
    <w:rsid w:val="00DE1B2A"/>
    <w:rsid w:val="00DE1B91"/>
    <w:rsid w:val="00DE1C1F"/>
    <w:rsid w:val="00DE1CA9"/>
    <w:rsid w:val="00DE1CDD"/>
    <w:rsid w:val="00DE1D05"/>
    <w:rsid w:val="00DE1D76"/>
    <w:rsid w:val="00DE1DAE"/>
    <w:rsid w:val="00DE1DC3"/>
    <w:rsid w:val="00DE1DD5"/>
    <w:rsid w:val="00DE1E93"/>
    <w:rsid w:val="00DE1F7E"/>
    <w:rsid w:val="00DE2043"/>
    <w:rsid w:val="00DE2094"/>
    <w:rsid w:val="00DE20AE"/>
    <w:rsid w:val="00DE2123"/>
    <w:rsid w:val="00DE212E"/>
    <w:rsid w:val="00DE2134"/>
    <w:rsid w:val="00DE21BE"/>
    <w:rsid w:val="00DE21FB"/>
    <w:rsid w:val="00DE22F6"/>
    <w:rsid w:val="00DE2358"/>
    <w:rsid w:val="00DE2372"/>
    <w:rsid w:val="00DE238F"/>
    <w:rsid w:val="00DE23A6"/>
    <w:rsid w:val="00DE23D6"/>
    <w:rsid w:val="00DE23E7"/>
    <w:rsid w:val="00DE2579"/>
    <w:rsid w:val="00DE257E"/>
    <w:rsid w:val="00DE259F"/>
    <w:rsid w:val="00DE2646"/>
    <w:rsid w:val="00DE2664"/>
    <w:rsid w:val="00DE2692"/>
    <w:rsid w:val="00DE2749"/>
    <w:rsid w:val="00DE2770"/>
    <w:rsid w:val="00DE277A"/>
    <w:rsid w:val="00DE2820"/>
    <w:rsid w:val="00DE2866"/>
    <w:rsid w:val="00DE28A1"/>
    <w:rsid w:val="00DE28BE"/>
    <w:rsid w:val="00DE28C6"/>
    <w:rsid w:val="00DE28CF"/>
    <w:rsid w:val="00DE2A21"/>
    <w:rsid w:val="00DE2A58"/>
    <w:rsid w:val="00DE2A87"/>
    <w:rsid w:val="00DE2AB9"/>
    <w:rsid w:val="00DE2AF0"/>
    <w:rsid w:val="00DE2BA9"/>
    <w:rsid w:val="00DE2BE5"/>
    <w:rsid w:val="00DE2C5A"/>
    <w:rsid w:val="00DE2C9C"/>
    <w:rsid w:val="00DE2C9E"/>
    <w:rsid w:val="00DE2DF0"/>
    <w:rsid w:val="00DE2E03"/>
    <w:rsid w:val="00DE2F24"/>
    <w:rsid w:val="00DE2F26"/>
    <w:rsid w:val="00DE2F27"/>
    <w:rsid w:val="00DE2FB4"/>
    <w:rsid w:val="00DE306D"/>
    <w:rsid w:val="00DE30C7"/>
    <w:rsid w:val="00DE315B"/>
    <w:rsid w:val="00DE316F"/>
    <w:rsid w:val="00DE32D8"/>
    <w:rsid w:val="00DE32DB"/>
    <w:rsid w:val="00DE3318"/>
    <w:rsid w:val="00DE33DC"/>
    <w:rsid w:val="00DE33E0"/>
    <w:rsid w:val="00DE3454"/>
    <w:rsid w:val="00DE345F"/>
    <w:rsid w:val="00DE34C0"/>
    <w:rsid w:val="00DE34FD"/>
    <w:rsid w:val="00DE353E"/>
    <w:rsid w:val="00DE3554"/>
    <w:rsid w:val="00DE35F8"/>
    <w:rsid w:val="00DE368C"/>
    <w:rsid w:val="00DE369D"/>
    <w:rsid w:val="00DE36A5"/>
    <w:rsid w:val="00DE379C"/>
    <w:rsid w:val="00DE37FC"/>
    <w:rsid w:val="00DE3826"/>
    <w:rsid w:val="00DE3928"/>
    <w:rsid w:val="00DE3963"/>
    <w:rsid w:val="00DE39A9"/>
    <w:rsid w:val="00DE39FB"/>
    <w:rsid w:val="00DE3A63"/>
    <w:rsid w:val="00DE3B2D"/>
    <w:rsid w:val="00DE3BE1"/>
    <w:rsid w:val="00DE3BEA"/>
    <w:rsid w:val="00DE3BF9"/>
    <w:rsid w:val="00DE3C79"/>
    <w:rsid w:val="00DE3C97"/>
    <w:rsid w:val="00DE3D6A"/>
    <w:rsid w:val="00DE3D77"/>
    <w:rsid w:val="00DE3E21"/>
    <w:rsid w:val="00DE3EB1"/>
    <w:rsid w:val="00DE3EF6"/>
    <w:rsid w:val="00DE3F16"/>
    <w:rsid w:val="00DE3F21"/>
    <w:rsid w:val="00DE3F71"/>
    <w:rsid w:val="00DE3F99"/>
    <w:rsid w:val="00DE3FF8"/>
    <w:rsid w:val="00DE408E"/>
    <w:rsid w:val="00DE4168"/>
    <w:rsid w:val="00DE418D"/>
    <w:rsid w:val="00DE4192"/>
    <w:rsid w:val="00DE4210"/>
    <w:rsid w:val="00DE4373"/>
    <w:rsid w:val="00DE43AD"/>
    <w:rsid w:val="00DE43F5"/>
    <w:rsid w:val="00DE43FE"/>
    <w:rsid w:val="00DE43FF"/>
    <w:rsid w:val="00DE447D"/>
    <w:rsid w:val="00DE4568"/>
    <w:rsid w:val="00DE4601"/>
    <w:rsid w:val="00DE4613"/>
    <w:rsid w:val="00DE4662"/>
    <w:rsid w:val="00DE4664"/>
    <w:rsid w:val="00DE47A7"/>
    <w:rsid w:val="00DE4829"/>
    <w:rsid w:val="00DE485D"/>
    <w:rsid w:val="00DE486E"/>
    <w:rsid w:val="00DE4872"/>
    <w:rsid w:val="00DE48AA"/>
    <w:rsid w:val="00DE492A"/>
    <w:rsid w:val="00DE493F"/>
    <w:rsid w:val="00DE4964"/>
    <w:rsid w:val="00DE4965"/>
    <w:rsid w:val="00DE49B1"/>
    <w:rsid w:val="00DE49B6"/>
    <w:rsid w:val="00DE49B8"/>
    <w:rsid w:val="00DE4A0D"/>
    <w:rsid w:val="00DE4A65"/>
    <w:rsid w:val="00DE4A6A"/>
    <w:rsid w:val="00DE4A73"/>
    <w:rsid w:val="00DE4AB9"/>
    <w:rsid w:val="00DE4B3D"/>
    <w:rsid w:val="00DE4B6B"/>
    <w:rsid w:val="00DE4BE9"/>
    <w:rsid w:val="00DE4C48"/>
    <w:rsid w:val="00DE4CBC"/>
    <w:rsid w:val="00DE4D05"/>
    <w:rsid w:val="00DE4D20"/>
    <w:rsid w:val="00DE4D3D"/>
    <w:rsid w:val="00DE4D6E"/>
    <w:rsid w:val="00DE4DAD"/>
    <w:rsid w:val="00DE4DC1"/>
    <w:rsid w:val="00DE4DEE"/>
    <w:rsid w:val="00DE4DFB"/>
    <w:rsid w:val="00DE4E0A"/>
    <w:rsid w:val="00DE4E0D"/>
    <w:rsid w:val="00DE4E7D"/>
    <w:rsid w:val="00DE4EA6"/>
    <w:rsid w:val="00DE4EBF"/>
    <w:rsid w:val="00DE4F1B"/>
    <w:rsid w:val="00DE4FDC"/>
    <w:rsid w:val="00DE502E"/>
    <w:rsid w:val="00DE504B"/>
    <w:rsid w:val="00DE5128"/>
    <w:rsid w:val="00DE51CE"/>
    <w:rsid w:val="00DE51DB"/>
    <w:rsid w:val="00DE52A4"/>
    <w:rsid w:val="00DE52C9"/>
    <w:rsid w:val="00DE52CC"/>
    <w:rsid w:val="00DE532F"/>
    <w:rsid w:val="00DE5449"/>
    <w:rsid w:val="00DE5454"/>
    <w:rsid w:val="00DE554C"/>
    <w:rsid w:val="00DE557F"/>
    <w:rsid w:val="00DE565E"/>
    <w:rsid w:val="00DE57A4"/>
    <w:rsid w:val="00DE57ED"/>
    <w:rsid w:val="00DE5805"/>
    <w:rsid w:val="00DE584B"/>
    <w:rsid w:val="00DE596F"/>
    <w:rsid w:val="00DE5A02"/>
    <w:rsid w:val="00DE5A0A"/>
    <w:rsid w:val="00DE5ABC"/>
    <w:rsid w:val="00DE5AFC"/>
    <w:rsid w:val="00DE5B18"/>
    <w:rsid w:val="00DE5B60"/>
    <w:rsid w:val="00DE5C14"/>
    <w:rsid w:val="00DE5C34"/>
    <w:rsid w:val="00DE5D4A"/>
    <w:rsid w:val="00DE5D4B"/>
    <w:rsid w:val="00DE5D79"/>
    <w:rsid w:val="00DE5DD7"/>
    <w:rsid w:val="00DE5DEA"/>
    <w:rsid w:val="00DE5F0C"/>
    <w:rsid w:val="00DE5F2E"/>
    <w:rsid w:val="00DE5FCA"/>
    <w:rsid w:val="00DE5FF0"/>
    <w:rsid w:val="00DE5FF3"/>
    <w:rsid w:val="00DE607E"/>
    <w:rsid w:val="00DE6096"/>
    <w:rsid w:val="00DE6109"/>
    <w:rsid w:val="00DE6122"/>
    <w:rsid w:val="00DE61A3"/>
    <w:rsid w:val="00DE61DD"/>
    <w:rsid w:val="00DE6251"/>
    <w:rsid w:val="00DE632A"/>
    <w:rsid w:val="00DE6518"/>
    <w:rsid w:val="00DE65B4"/>
    <w:rsid w:val="00DE65E9"/>
    <w:rsid w:val="00DE669C"/>
    <w:rsid w:val="00DE6777"/>
    <w:rsid w:val="00DE67B6"/>
    <w:rsid w:val="00DE6865"/>
    <w:rsid w:val="00DE693D"/>
    <w:rsid w:val="00DE69B1"/>
    <w:rsid w:val="00DE6A22"/>
    <w:rsid w:val="00DE6AFF"/>
    <w:rsid w:val="00DE6B5D"/>
    <w:rsid w:val="00DE6BAB"/>
    <w:rsid w:val="00DE6BB1"/>
    <w:rsid w:val="00DE6D33"/>
    <w:rsid w:val="00DE6D70"/>
    <w:rsid w:val="00DE6D83"/>
    <w:rsid w:val="00DE6E26"/>
    <w:rsid w:val="00DE6EC9"/>
    <w:rsid w:val="00DE6EF9"/>
    <w:rsid w:val="00DE70FD"/>
    <w:rsid w:val="00DE714E"/>
    <w:rsid w:val="00DE716E"/>
    <w:rsid w:val="00DE71A6"/>
    <w:rsid w:val="00DE725F"/>
    <w:rsid w:val="00DE732E"/>
    <w:rsid w:val="00DE7343"/>
    <w:rsid w:val="00DE7368"/>
    <w:rsid w:val="00DE7476"/>
    <w:rsid w:val="00DE74C3"/>
    <w:rsid w:val="00DE74D0"/>
    <w:rsid w:val="00DE7523"/>
    <w:rsid w:val="00DE7563"/>
    <w:rsid w:val="00DE75CD"/>
    <w:rsid w:val="00DE75DD"/>
    <w:rsid w:val="00DE76DF"/>
    <w:rsid w:val="00DE7722"/>
    <w:rsid w:val="00DE774E"/>
    <w:rsid w:val="00DE77A8"/>
    <w:rsid w:val="00DE7839"/>
    <w:rsid w:val="00DE7887"/>
    <w:rsid w:val="00DE789B"/>
    <w:rsid w:val="00DE78BC"/>
    <w:rsid w:val="00DE7A02"/>
    <w:rsid w:val="00DE7B2C"/>
    <w:rsid w:val="00DE7B66"/>
    <w:rsid w:val="00DE7C22"/>
    <w:rsid w:val="00DE7C2F"/>
    <w:rsid w:val="00DE7C7C"/>
    <w:rsid w:val="00DE7C95"/>
    <w:rsid w:val="00DE7D08"/>
    <w:rsid w:val="00DE7D8D"/>
    <w:rsid w:val="00DE7D9C"/>
    <w:rsid w:val="00DF000D"/>
    <w:rsid w:val="00DF00A5"/>
    <w:rsid w:val="00DF012D"/>
    <w:rsid w:val="00DF0189"/>
    <w:rsid w:val="00DF01E7"/>
    <w:rsid w:val="00DF029C"/>
    <w:rsid w:val="00DF02A7"/>
    <w:rsid w:val="00DF0326"/>
    <w:rsid w:val="00DF0424"/>
    <w:rsid w:val="00DF0473"/>
    <w:rsid w:val="00DF05CA"/>
    <w:rsid w:val="00DF05D4"/>
    <w:rsid w:val="00DF0613"/>
    <w:rsid w:val="00DF0667"/>
    <w:rsid w:val="00DF0678"/>
    <w:rsid w:val="00DF068F"/>
    <w:rsid w:val="00DF06A9"/>
    <w:rsid w:val="00DF06F7"/>
    <w:rsid w:val="00DF0728"/>
    <w:rsid w:val="00DF0802"/>
    <w:rsid w:val="00DF0843"/>
    <w:rsid w:val="00DF086F"/>
    <w:rsid w:val="00DF0871"/>
    <w:rsid w:val="00DF0943"/>
    <w:rsid w:val="00DF094E"/>
    <w:rsid w:val="00DF0992"/>
    <w:rsid w:val="00DF09A1"/>
    <w:rsid w:val="00DF09A9"/>
    <w:rsid w:val="00DF09DD"/>
    <w:rsid w:val="00DF09E8"/>
    <w:rsid w:val="00DF0A80"/>
    <w:rsid w:val="00DF0ACA"/>
    <w:rsid w:val="00DF0B76"/>
    <w:rsid w:val="00DF0B77"/>
    <w:rsid w:val="00DF0BE4"/>
    <w:rsid w:val="00DF0C08"/>
    <w:rsid w:val="00DF0C7C"/>
    <w:rsid w:val="00DF0CF5"/>
    <w:rsid w:val="00DF0D0F"/>
    <w:rsid w:val="00DF0D2B"/>
    <w:rsid w:val="00DF0DEC"/>
    <w:rsid w:val="00DF0E89"/>
    <w:rsid w:val="00DF0F12"/>
    <w:rsid w:val="00DF0F28"/>
    <w:rsid w:val="00DF0F3A"/>
    <w:rsid w:val="00DF0F60"/>
    <w:rsid w:val="00DF0F92"/>
    <w:rsid w:val="00DF0F99"/>
    <w:rsid w:val="00DF105D"/>
    <w:rsid w:val="00DF10A2"/>
    <w:rsid w:val="00DF10A3"/>
    <w:rsid w:val="00DF10EA"/>
    <w:rsid w:val="00DF1123"/>
    <w:rsid w:val="00DF119B"/>
    <w:rsid w:val="00DF132F"/>
    <w:rsid w:val="00DF13F7"/>
    <w:rsid w:val="00DF1487"/>
    <w:rsid w:val="00DF1506"/>
    <w:rsid w:val="00DF158A"/>
    <w:rsid w:val="00DF159A"/>
    <w:rsid w:val="00DF15DA"/>
    <w:rsid w:val="00DF15F2"/>
    <w:rsid w:val="00DF1663"/>
    <w:rsid w:val="00DF169D"/>
    <w:rsid w:val="00DF1713"/>
    <w:rsid w:val="00DF177D"/>
    <w:rsid w:val="00DF17F3"/>
    <w:rsid w:val="00DF17F8"/>
    <w:rsid w:val="00DF183E"/>
    <w:rsid w:val="00DF184C"/>
    <w:rsid w:val="00DF18B7"/>
    <w:rsid w:val="00DF18CC"/>
    <w:rsid w:val="00DF19EF"/>
    <w:rsid w:val="00DF1A12"/>
    <w:rsid w:val="00DF1A7E"/>
    <w:rsid w:val="00DF1A84"/>
    <w:rsid w:val="00DF1B8B"/>
    <w:rsid w:val="00DF1C10"/>
    <w:rsid w:val="00DF1C6B"/>
    <w:rsid w:val="00DF1C84"/>
    <w:rsid w:val="00DF1CC3"/>
    <w:rsid w:val="00DF1CFD"/>
    <w:rsid w:val="00DF1D0C"/>
    <w:rsid w:val="00DF1D5B"/>
    <w:rsid w:val="00DF1D72"/>
    <w:rsid w:val="00DF1DA1"/>
    <w:rsid w:val="00DF1DB0"/>
    <w:rsid w:val="00DF1DCD"/>
    <w:rsid w:val="00DF1E0E"/>
    <w:rsid w:val="00DF1EA0"/>
    <w:rsid w:val="00DF1F61"/>
    <w:rsid w:val="00DF1FCC"/>
    <w:rsid w:val="00DF2008"/>
    <w:rsid w:val="00DF2188"/>
    <w:rsid w:val="00DF219A"/>
    <w:rsid w:val="00DF21A4"/>
    <w:rsid w:val="00DF222C"/>
    <w:rsid w:val="00DF222F"/>
    <w:rsid w:val="00DF2242"/>
    <w:rsid w:val="00DF22CD"/>
    <w:rsid w:val="00DF233A"/>
    <w:rsid w:val="00DF2382"/>
    <w:rsid w:val="00DF24D1"/>
    <w:rsid w:val="00DF254A"/>
    <w:rsid w:val="00DF2584"/>
    <w:rsid w:val="00DF261A"/>
    <w:rsid w:val="00DF2651"/>
    <w:rsid w:val="00DF2698"/>
    <w:rsid w:val="00DF26AC"/>
    <w:rsid w:val="00DF26D1"/>
    <w:rsid w:val="00DF2734"/>
    <w:rsid w:val="00DF2767"/>
    <w:rsid w:val="00DF2782"/>
    <w:rsid w:val="00DF27B2"/>
    <w:rsid w:val="00DF2815"/>
    <w:rsid w:val="00DF2854"/>
    <w:rsid w:val="00DF286B"/>
    <w:rsid w:val="00DF28BF"/>
    <w:rsid w:val="00DF293F"/>
    <w:rsid w:val="00DF29B9"/>
    <w:rsid w:val="00DF29DD"/>
    <w:rsid w:val="00DF2A79"/>
    <w:rsid w:val="00DF2AA3"/>
    <w:rsid w:val="00DF2B0E"/>
    <w:rsid w:val="00DF2B74"/>
    <w:rsid w:val="00DF2B91"/>
    <w:rsid w:val="00DF2C07"/>
    <w:rsid w:val="00DF2C4E"/>
    <w:rsid w:val="00DF2E0E"/>
    <w:rsid w:val="00DF2E0F"/>
    <w:rsid w:val="00DF2E34"/>
    <w:rsid w:val="00DF2E50"/>
    <w:rsid w:val="00DF2F1D"/>
    <w:rsid w:val="00DF2F41"/>
    <w:rsid w:val="00DF2F6D"/>
    <w:rsid w:val="00DF3033"/>
    <w:rsid w:val="00DF3122"/>
    <w:rsid w:val="00DF31A6"/>
    <w:rsid w:val="00DF3279"/>
    <w:rsid w:val="00DF3322"/>
    <w:rsid w:val="00DF33D9"/>
    <w:rsid w:val="00DF3511"/>
    <w:rsid w:val="00DF35B0"/>
    <w:rsid w:val="00DF3693"/>
    <w:rsid w:val="00DF37B0"/>
    <w:rsid w:val="00DF37DF"/>
    <w:rsid w:val="00DF37F0"/>
    <w:rsid w:val="00DF37F5"/>
    <w:rsid w:val="00DF38C6"/>
    <w:rsid w:val="00DF38CA"/>
    <w:rsid w:val="00DF38D5"/>
    <w:rsid w:val="00DF391B"/>
    <w:rsid w:val="00DF3929"/>
    <w:rsid w:val="00DF392F"/>
    <w:rsid w:val="00DF3933"/>
    <w:rsid w:val="00DF39A2"/>
    <w:rsid w:val="00DF39CC"/>
    <w:rsid w:val="00DF3A18"/>
    <w:rsid w:val="00DF3A20"/>
    <w:rsid w:val="00DF3A47"/>
    <w:rsid w:val="00DF3A71"/>
    <w:rsid w:val="00DF3AB0"/>
    <w:rsid w:val="00DF3AC5"/>
    <w:rsid w:val="00DF3AFC"/>
    <w:rsid w:val="00DF3B02"/>
    <w:rsid w:val="00DF3BC1"/>
    <w:rsid w:val="00DF3BFF"/>
    <w:rsid w:val="00DF3CD7"/>
    <w:rsid w:val="00DF3D0A"/>
    <w:rsid w:val="00DF3D64"/>
    <w:rsid w:val="00DF3DD2"/>
    <w:rsid w:val="00DF3F30"/>
    <w:rsid w:val="00DF3F7A"/>
    <w:rsid w:val="00DF3FC0"/>
    <w:rsid w:val="00DF3FD5"/>
    <w:rsid w:val="00DF40F2"/>
    <w:rsid w:val="00DF4122"/>
    <w:rsid w:val="00DF414B"/>
    <w:rsid w:val="00DF41A4"/>
    <w:rsid w:val="00DF41BE"/>
    <w:rsid w:val="00DF41CF"/>
    <w:rsid w:val="00DF425D"/>
    <w:rsid w:val="00DF4260"/>
    <w:rsid w:val="00DF4263"/>
    <w:rsid w:val="00DF42B6"/>
    <w:rsid w:val="00DF42BD"/>
    <w:rsid w:val="00DF43F4"/>
    <w:rsid w:val="00DF443F"/>
    <w:rsid w:val="00DF4466"/>
    <w:rsid w:val="00DF447B"/>
    <w:rsid w:val="00DF4521"/>
    <w:rsid w:val="00DF453A"/>
    <w:rsid w:val="00DF46E4"/>
    <w:rsid w:val="00DF4706"/>
    <w:rsid w:val="00DF4716"/>
    <w:rsid w:val="00DF4730"/>
    <w:rsid w:val="00DF47EC"/>
    <w:rsid w:val="00DF4956"/>
    <w:rsid w:val="00DF4974"/>
    <w:rsid w:val="00DF49A6"/>
    <w:rsid w:val="00DF4A26"/>
    <w:rsid w:val="00DF4A45"/>
    <w:rsid w:val="00DF4A72"/>
    <w:rsid w:val="00DF4B5B"/>
    <w:rsid w:val="00DF4B69"/>
    <w:rsid w:val="00DF4BA7"/>
    <w:rsid w:val="00DF4C7E"/>
    <w:rsid w:val="00DF4CA6"/>
    <w:rsid w:val="00DF4CCF"/>
    <w:rsid w:val="00DF4D8D"/>
    <w:rsid w:val="00DF4D93"/>
    <w:rsid w:val="00DF4DB5"/>
    <w:rsid w:val="00DF4F1E"/>
    <w:rsid w:val="00DF4F75"/>
    <w:rsid w:val="00DF4FE8"/>
    <w:rsid w:val="00DF4FF0"/>
    <w:rsid w:val="00DF506F"/>
    <w:rsid w:val="00DF5094"/>
    <w:rsid w:val="00DF50FB"/>
    <w:rsid w:val="00DF5151"/>
    <w:rsid w:val="00DF5190"/>
    <w:rsid w:val="00DF51A2"/>
    <w:rsid w:val="00DF51D3"/>
    <w:rsid w:val="00DF525A"/>
    <w:rsid w:val="00DF52A8"/>
    <w:rsid w:val="00DF52C2"/>
    <w:rsid w:val="00DF5337"/>
    <w:rsid w:val="00DF5427"/>
    <w:rsid w:val="00DF5433"/>
    <w:rsid w:val="00DF543A"/>
    <w:rsid w:val="00DF54E6"/>
    <w:rsid w:val="00DF5555"/>
    <w:rsid w:val="00DF5576"/>
    <w:rsid w:val="00DF55B7"/>
    <w:rsid w:val="00DF55FA"/>
    <w:rsid w:val="00DF56A7"/>
    <w:rsid w:val="00DF5796"/>
    <w:rsid w:val="00DF57E6"/>
    <w:rsid w:val="00DF5877"/>
    <w:rsid w:val="00DF5880"/>
    <w:rsid w:val="00DF588C"/>
    <w:rsid w:val="00DF58A1"/>
    <w:rsid w:val="00DF58A2"/>
    <w:rsid w:val="00DF58E4"/>
    <w:rsid w:val="00DF5908"/>
    <w:rsid w:val="00DF590A"/>
    <w:rsid w:val="00DF5916"/>
    <w:rsid w:val="00DF592C"/>
    <w:rsid w:val="00DF593E"/>
    <w:rsid w:val="00DF59D1"/>
    <w:rsid w:val="00DF5A6E"/>
    <w:rsid w:val="00DF5AC8"/>
    <w:rsid w:val="00DF5AD1"/>
    <w:rsid w:val="00DF5B98"/>
    <w:rsid w:val="00DF5BE1"/>
    <w:rsid w:val="00DF5C37"/>
    <w:rsid w:val="00DF5C73"/>
    <w:rsid w:val="00DF5CB8"/>
    <w:rsid w:val="00DF5D4F"/>
    <w:rsid w:val="00DF5D59"/>
    <w:rsid w:val="00DF5EFD"/>
    <w:rsid w:val="00DF6014"/>
    <w:rsid w:val="00DF6027"/>
    <w:rsid w:val="00DF60A0"/>
    <w:rsid w:val="00DF60EA"/>
    <w:rsid w:val="00DF6114"/>
    <w:rsid w:val="00DF6161"/>
    <w:rsid w:val="00DF6191"/>
    <w:rsid w:val="00DF6197"/>
    <w:rsid w:val="00DF61DA"/>
    <w:rsid w:val="00DF6210"/>
    <w:rsid w:val="00DF6211"/>
    <w:rsid w:val="00DF6220"/>
    <w:rsid w:val="00DF6221"/>
    <w:rsid w:val="00DF6278"/>
    <w:rsid w:val="00DF6294"/>
    <w:rsid w:val="00DF6315"/>
    <w:rsid w:val="00DF6323"/>
    <w:rsid w:val="00DF6352"/>
    <w:rsid w:val="00DF641D"/>
    <w:rsid w:val="00DF64D8"/>
    <w:rsid w:val="00DF64DA"/>
    <w:rsid w:val="00DF6500"/>
    <w:rsid w:val="00DF6513"/>
    <w:rsid w:val="00DF6569"/>
    <w:rsid w:val="00DF658B"/>
    <w:rsid w:val="00DF65AE"/>
    <w:rsid w:val="00DF6609"/>
    <w:rsid w:val="00DF664A"/>
    <w:rsid w:val="00DF6650"/>
    <w:rsid w:val="00DF6759"/>
    <w:rsid w:val="00DF6794"/>
    <w:rsid w:val="00DF67A0"/>
    <w:rsid w:val="00DF67A5"/>
    <w:rsid w:val="00DF67AF"/>
    <w:rsid w:val="00DF6894"/>
    <w:rsid w:val="00DF6909"/>
    <w:rsid w:val="00DF695E"/>
    <w:rsid w:val="00DF69CE"/>
    <w:rsid w:val="00DF69E2"/>
    <w:rsid w:val="00DF6A3D"/>
    <w:rsid w:val="00DF6A50"/>
    <w:rsid w:val="00DF6AB5"/>
    <w:rsid w:val="00DF6B29"/>
    <w:rsid w:val="00DF6BA2"/>
    <w:rsid w:val="00DF6BB4"/>
    <w:rsid w:val="00DF6C0F"/>
    <w:rsid w:val="00DF6D34"/>
    <w:rsid w:val="00DF6D7B"/>
    <w:rsid w:val="00DF6D8D"/>
    <w:rsid w:val="00DF6DB9"/>
    <w:rsid w:val="00DF6E11"/>
    <w:rsid w:val="00DF6E3A"/>
    <w:rsid w:val="00DF6EE4"/>
    <w:rsid w:val="00DF6EEA"/>
    <w:rsid w:val="00DF6F1B"/>
    <w:rsid w:val="00DF6F7A"/>
    <w:rsid w:val="00DF6FB5"/>
    <w:rsid w:val="00DF707E"/>
    <w:rsid w:val="00DF7119"/>
    <w:rsid w:val="00DF71A7"/>
    <w:rsid w:val="00DF71D3"/>
    <w:rsid w:val="00DF71EE"/>
    <w:rsid w:val="00DF727F"/>
    <w:rsid w:val="00DF730C"/>
    <w:rsid w:val="00DF739E"/>
    <w:rsid w:val="00DF73E4"/>
    <w:rsid w:val="00DF7409"/>
    <w:rsid w:val="00DF7427"/>
    <w:rsid w:val="00DF7481"/>
    <w:rsid w:val="00DF7523"/>
    <w:rsid w:val="00DF7588"/>
    <w:rsid w:val="00DF75E7"/>
    <w:rsid w:val="00DF7690"/>
    <w:rsid w:val="00DF76A5"/>
    <w:rsid w:val="00DF7766"/>
    <w:rsid w:val="00DF7789"/>
    <w:rsid w:val="00DF780A"/>
    <w:rsid w:val="00DF783C"/>
    <w:rsid w:val="00DF7882"/>
    <w:rsid w:val="00DF78A4"/>
    <w:rsid w:val="00DF79C3"/>
    <w:rsid w:val="00DF79FE"/>
    <w:rsid w:val="00DF7A02"/>
    <w:rsid w:val="00DF7A3A"/>
    <w:rsid w:val="00DF7A43"/>
    <w:rsid w:val="00DF7A4C"/>
    <w:rsid w:val="00DF7AA9"/>
    <w:rsid w:val="00DF7AC7"/>
    <w:rsid w:val="00DF7B43"/>
    <w:rsid w:val="00DF7B96"/>
    <w:rsid w:val="00DF7BC6"/>
    <w:rsid w:val="00DF7BF1"/>
    <w:rsid w:val="00DF7C12"/>
    <w:rsid w:val="00DF7C6F"/>
    <w:rsid w:val="00DF7CA1"/>
    <w:rsid w:val="00DF7CA9"/>
    <w:rsid w:val="00DF7CE6"/>
    <w:rsid w:val="00DF7D86"/>
    <w:rsid w:val="00DF7D8D"/>
    <w:rsid w:val="00DF7E5E"/>
    <w:rsid w:val="00DF7EE2"/>
    <w:rsid w:val="00DF7F44"/>
    <w:rsid w:val="00DF7F69"/>
    <w:rsid w:val="00DF7F77"/>
    <w:rsid w:val="00E000AD"/>
    <w:rsid w:val="00E00156"/>
    <w:rsid w:val="00E00256"/>
    <w:rsid w:val="00E002C1"/>
    <w:rsid w:val="00E002CD"/>
    <w:rsid w:val="00E002EE"/>
    <w:rsid w:val="00E00303"/>
    <w:rsid w:val="00E003B2"/>
    <w:rsid w:val="00E00481"/>
    <w:rsid w:val="00E004B1"/>
    <w:rsid w:val="00E00515"/>
    <w:rsid w:val="00E00543"/>
    <w:rsid w:val="00E0055E"/>
    <w:rsid w:val="00E005E3"/>
    <w:rsid w:val="00E0066F"/>
    <w:rsid w:val="00E0070B"/>
    <w:rsid w:val="00E0084F"/>
    <w:rsid w:val="00E00865"/>
    <w:rsid w:val="00E008B2"/>
    <w:rsid w:val="00E00966"/>
    <w:rsid w:val="00E0096E"/>
    <w:rsid w:val="00E00A1E"/>
    <w:rsid w:val="00E00A3B"/>
    <w:rsid w:val="00E00A54"/>
    <w:rsid w:val="00E00A94"/>
    <w:rsid w:val="00E00AF3"/>
    <w:rsid w:val="00E00AF5"/>
    <w:rsid w:val="00E00B5E"/>
    <w:rsid w:val="00E00B72"/>
    <w:rsid w:val="00E00C3C"/>
    <w:rsid w:val="00E00CA6"/>
    <w:rsid w:val="00E00CCD"/>
    <w:rsid w:val="00E00D0B"/>
    <w:rsid w:val="00E00D14"/>
    <w:rsid w:val="00E00D38"/>
    <w:rsid w:val="00E00D3A"/>
    <w:rsid w:val="00E00D93"/>
    <w:rsid w:val="00E00DA9"/>
    <w:rsid w:val="00E00DD0"/>
    <w:rsid w:val="00E00E2C"/>
    <w:rsid w:val="00E00E57"/>
    <w:rsid w:val="00E00EC8"/>
    <w:rsid w:val="00E00EEB"/>
    <w:rsid w:val="00E00F15"/>
    <w:rsid w:val="00E00F36"/>
    <w:rsid w:val="00E00FA5"/>
    <w:rsid w:val="00E00FD4"/>
    <w:rsid w:val="00E01051"/>
    <w:rsid w:val="00E0105F"/>
    <w:rsid w:val="00E0106F"/>
    <w:rsid w:val="00E010C1"/>
    <w:rsid w:val="00E010C5"/>
    <w:rsid w:val="00E010DA"/>
    <w:rsid w:val="00E010FF"/>
    <w:rsid w:val="00E0110F"/>
    <w:rsid w:val="00E0117D"/>
    <w:rsid w:val="00E0118A"/>
    <w:rsid w:val="00E0118D"/>
    <w:rsid w:val="00E011CE"/>
    <w:rsid w:val="00E011FD"/>
    <w:rsid w:val="00E0128F"/>
    <w:rsid w:val="00E012D5"/>
    <w:rsid w:val="00E012EE"/>
    <w:rsid w:val="00E01353"/>
    <w:rsid w:val="00E013BD"/>
    <w:rsid w:val="00E013D4"/>
    <w:rsid w:val="00E0146C"/>
    <w:rsid w:val="00E014AE"/>
    <w:rsid w:val="00E014AF"/>
    <w:rsid w:val="00E0153C"/>
    <w:rsid w:val="00E015A9"/>
    <w:rsid w:val="00E015C4"/>
    <w:rsid w:val="00E01622"/>
    <w:rsid w:val="00E01628"/>
    <w:rsid w:val="00E01666"/>
    <w:rsid w:val="00E0167B"/>
    <w:rsid w:val="00E016AE"/>
    <w:rsid w:val="00E016C9"/>
    <w:rsid w:val="00E016D1"/>
    <w:rsid w:val="00E016EE"/>
    <w:rsid w:val="00E01794"/>
    <w:rsid w:val="00E017D9"/>
    <w:rsid w:val="00E01909"/>
    <w:rsid w:val="00E01923"/>
    <w:rsid w:val="00E01955"/>
    <w:rsid w:val="00E01978"/>
    <w:rsid w:val="00E01991"/>
    <w:rsid w:val="00E019AE"/>
    <w:rsid w:val="00E01A4B"/>
    <w:rsid w:val="00E01A63"/>
    <w:rsid w:val="00E01A73"/>
    <w:rsid w:val="00E01A9E"/>
    <w:rsid w:val="00E01AE0"/>
    <w:rsid w:val="00E01B0F"/>
    <w:rsid w:val="00E01BB1"/>
    <w:rsid w:val="00E01BCE"/>
    <w:rsid w:val="00E01BD7"/>
    <w:rsid w:val="00E01C19"/>
    <w:rsid w:val="00E01C47"/>
    <w:rsid w:val="00E01D0A"/>
    <w:rsid w:val="00E01D5C"/>
    <w:rsid w:val="00E01DBF"/>
    <w:rsid w:val="00E01DF5"/>
    <w:rsid w:val="00E01E23"/>
    <w:rsid w:val="00E01E85"/>
    <w:rsid w:val="00E01EB8"/>
    <w:rsid w:val="00E01FA2"/>
    <w:rsid w:val="00E0203F"/>
    <w:rsid w:val="00E02046"/>
    <w:rsid w:val="00E02050"/>
    <w:rsid w:val="00E020B6"/>
    <w:rsid w:val="00E020F0"/>
    <w:rsid w:val="00E0212E"/>
    <w:rsid w:val="00E0213C"/>
    <w:rsid w:val="00E02169"/>
    <w:rsid w:val="00E021AE"/>
    <w:rsid w:val="00E021B8"/>
    <w:rsid w:val="00E021D0"/>
    <w:rsid w:val="00E02206"/>
    <w:rsid w:val="00E0220D"/>
    <w:rsid w:val="00E0221F"/>
    <w:rsid w:val="00E02245"/>
    <w:rsid w:val="00E02261"/>
    <w:rsid w:val="00E02273"/>
    <w:rsid w:val="00E02277"/>
    <w:rsid w:val="00E0237A"/>
    <w:rsid w:val="00E0237C"/>
    <w:rsid w:val="00E0238A"/>
    <w:rsid w:val="00E0246F"/>
    <w:rsid w:val="00E024B4"/>
    <w:rsid w:val="00E02522"/>
    <w:rsid w:val="00E02545"/>
    <w:rsid w:val="00E0254D"/>
    <w:rsid w:val="00E025C0"/>
    <w:rsid w:val="00E0263A"/>
    <w:rsid w:val="00E02652"/>
    <w:rsid w:val="00E02677"/>
    <w:rsid w:val="00E026B6"/>
    <w:rsid w:val="00E0273B"/>
    <w:rsid w:val="00E02808"/>
    <w:rsid w:val="00E02889"/>
    <w:rsid w:val="00E02892"/>
    <w:rsid w:val="00E028ED"/>
    <w:rsid w:val="00E02927"/>
    <w:rsid w:val="00E0298D"/>
    <w:rsid w:val="00E029A3"/>
    <w:rsid w:val="00E029FB"/>
    <w:rsid w:val="00E02A5D"/>
    <w:rsid w:val="00E02AEE"/>
    <w:rsid w:val="00E02B14"/>
    <w:rsid w:val="00E02BB8"/>
    <w:rsid w:val="00E02C86"/>
    <w:rsid w:val="00E02C88"/>
    <w:rsid w:val="00E02CB7"/>
    <w:rsid w:val="00E02CCD"/>
    <w:rsid w:val="00E02D19"/>
    <w:rsid w:val="00E02D2A"/>
    <w:rsid w:val="00E02D3E"/>
    <w:rsid w:val="00E02F10"/>
    <w:rsid w:val="00E02F8F"/>
    <w:rsid w:val="00E02FA2"/>
    <w:rsid w:val="00E02FBA"/>
    <w:rsid w:val="00E03006"/>
    <w:rsid w:val="00E0300A"/>
    <w:rsid w:val="00E03029"/>
    <w:rsid w:val="00E03046"/>
    <w:rsid w:val="00E030E7"/>
    <w:rsid w:val="00E0310F"/>
    <w:rsid w:val="00E031C9"/>
    <w:rsid w:val="00E0321D"/>
    <w:rsid w:val="00E0323F"/>
    <w:rsid w:val="00E032D0"/>
    <w:rsid w:val="00E0335B"/>
    <w:rsid w:val="00E03385"/>
    <w:rsid w:val="00E033F0"/>
    <w:rsid w:val="00E0341B"/>
    <w:rsid w:val="00E03494"/>
    <w:rsid w:val="00E036DC"/>
    <w:rsid w:val="00E036FF"/>
    <w:rsid w:val="00E0376B"/>
    <w:rsid w:val="00E03770"/>
    <w:rsid w:val="00E03771"/>
    <w:rsid w:val="00E03790"/>
    <w:rsid w:val="00E037EF"/>
    <w:rsid w:val="00E037FD"/>
    <w:rsid w:val="00E03993"/>
    <w:rsid w:val="00E03A36"/>
    <w:rsid w:val="00E03BF9"/>
    <w:rsid w:val="00E03C57"/>
    <w:rsid w:val="00E03C63"/>
    <w:rsid w:val="00E03D0C"/>
    <w:rsid w:val="00E03D8F"/>
    <w:rsid w:val="00E03DD3"/>
    <w:rsid w:val="00E03DFF"/>
    <w:rsid w:val="00E03E16"/>
    <w:rsid w:val="00E03E1A"/>
    <w:rsid w:val="00E03E2C"/>
    <w:rsid w:val="00E03EA0"/>
    <w:rsid w:val="00E03EF7"/>
    <w:rsid w:val="00E03F83"/>
    <w:rsid w:val="00E03FF4"/>
    <w:rsid w:val="00E04110"/>
    <w:rsid w:val="00E041BD"/>
    <w:rsid w:val="00E041D8"/>
    <w:rsid w:val="00E04225"/>
    <w:rsid w:val="00E044C0"/>
    <w:rsid w:val="00E045FD"/>
    <w:rsid w:val="00E04623"/>
    <w:rsid w:val="00E0462B"/>
    <w:rsid w:val="00E046D5"/>
    <w:rsid w:val="00E04707"/>
    <w:rsid w:val="00E04731"/>
    <w:rsid w:val="00E04735"/>
    <w:rsid w:val="00E047EB"/>
    <w:rsid w:val="00E04880"/>
    <w:rsid w:val="00E0488F"/>
    <w:rsid w:val="00E048BD"/>
    <w:rsid w:val="00E049DE"/>
    <w:rsid w:val="00E04A84"/>
    <w:rsid w:val="00E04AA8"/>
    <w:rsid w:val="00E04B1A"/>
    <w:rsid w:val="00E04B39"/>
    <w:rsid w:val="00E04B9A"/>
    <w:rsid w:val="00E04BA8"/>
    <w:rsid w:val="00E04BBC"/>
    <w:rsid w:val="00E04C73"/>
    <w:rsid w:val="00E04CFC"/>
    <w:rsid w:val="00E04D1F"/>
    <w:rsid w:val="00E04D7B"/>
    <w:rsid w:val="00E04D98"/>
    <w:rsid w:val="00E04DFD"/>
    <w:rsid w:val="00E04E14"/>
    <w:rsid w:val="00E04E66"/>
    <w:rsid w:val="00E04F32"/>
    <w:rsid w:val="00E050AC"/>
    <w:rsid w:val="00E0516D"/>
    <w:rsid w:val="00E05224"/>
    <w:rsid w:val="00E0522C"/>
    <w:rsid w:val="00E0524B"/>
    <w:rsid w:val="00E05261"/>
    <w:rsid w:val="00E052B3"/>
    <w:rsid w:val="00E05342"/>
    <w:rsid w:val="00E05370"/>
    <w:rsid w:val="00E05395"/>
    <w:rsid w:val="00E0539C"/>
    <w:rsid w:val="00E053DD"/>
    <w:rsid w:val="00E0543F"/>
    <w:rsid w:val="00E054CC"/>
    <w:rsid w:val="00E0552C"/>
    <w:rsid w:val="00E055C9"/>
    <w:rsid w:val="00E0566E"/>
    <w:rsid w:val="00E05697"/>
    <w:rsid w:val="00E056A6"/>
    <w:rsid w:val="00E05746"/>
    <w:rsid w:val="00E0578E"/>
    <w:rsid w:val="00E057C3"/>
    <w:rsid w:val="00E057E6"/>
    <w:rsid w:val="00E057F8"/>
    <w:rsid w:val="00E0583B"/>
    <w:rsid w:val="00E058A9"/>
    <w:rsid w:val="00E0596F"/>
    <w:rsid w:val="00E059D7"/>
    <w:rsid w:val="00E059E5"/>
    <w:rsid w:val="00E05A42"/>
    <w:rsid w:val="00E05A9E"/>
    <w:rsid w:val="00E05B09"/>
    <w:rsid w:val="00E05B47"/>
    <w:rsid w:val="00E05B66"/>
    <w:rsid w:val="00E05C5B"/>
    <w:rsid w:val="00E05C6F"/>
    <w:rsid w:val="00E05CBD"/>
    <w:rsid w:val="00E05CBF"/>
    <w:rsid w:val="00E05D27"/>
    <w:rsid w:val="00E05D36"/>
    <w:rsid w:val="00E05DB2"/>
    <w:rsid w:val="00E05DF5"/>
    <w:rsid w:val="00E05E00"/>
    <w:rsid w:val="00E05E68"/>
    <w:rsid w:val="00E05EA4"/>
    <w:rsid w:val="00E05F3C"/>
    <w:rsid w:val="00E06004"/>
    <w:rsid w:val="00E0601F"/>
    <w:rsid w:val="00E0616D"/>
    <w:rsid w:val="00E06258"/>
    <w:rsid w:val="00E06298"/>
    <w:rsid w:val="00E06389"/>
    <w:rsid w:val="00E063A4"/>
    <w:rsid w:val="00E06509"/>
    <w:rsid w:val="00E0654D"/>
    <w:rsid w:val="00E06570"/>
    <w:rsid w:val="00E065F9"/>
    <w:rsid w:val="00E0661F"/>
    <w:rsid w:val="00E06638"/>
    <w:rsid w:val="00E06669"/>
    <w:rsid w:val="00E066A3"/>
    <w:rsid w:val="00E067BE"/>
    <w:rsid w:val="00E0682D"/>
    <w:rsid w:val="00E06840"/>
    <w:rsid w:val="00E0690F"/>
    <w:rsid w:val="00E06921"/>
    <w:rsid w:val="00E069A1"/>
    <w:rsid w:val="00E06A10"/>
    <w:rsid w:val="00E06A59"/>
    <w:rsid w:val="00E06A5E"/>
    <w:rsid w:val="00E06A6A"/>
    <w:rsid w:val="00E06BCD"/>
    <w:rsid w:val="00E06BDD"/>
    <w:rsid w:val="00E06BEA"/>
    <w:rsid w:val="00E06BEF"/>
    <w:rsid w:val="00E06C44"/>
    <w:rsid w:val="00E06C5B"/>
    <w:rsid w:val="00E06C86"/>
    <w:rsid w:val="00E06CD4"/>
    <w:rsid w:val="00E06D03"/>
    <w:rsid w:val="00E06D44"/>
    <w:rsid w:val="00E06DB8"/>
    <w:rsid w:val="00E06DCF"/>
    <w:rsid w:val="00E06E15"/>
    <w:rsid w:val="00E06E22"/>
    <w:rsid w:val="00E06E85"/>
    <w:rsid w:val="00E06E8B"/>
    <w:rsid w:val="00E06FA7"/>
    <w:rsid w:val="00E07036"/>
    <w:rsid w:val="00E07078"/>
    <w:rsid w:val="00E07094"/>
    <w:rsid w:val="00E07102"/>
    <w:rsid w:val="00E07110"/>
    <w:rsid w:val="00E07128"/>
    <w:rsid w:val="00E071A3"/>
    <w:rsid w:val="00E071CE"/>
    <w:rsid w:val="00E07241"/>
    <w:rsid w:val="00E0726A"/>
    <w:rsid w:val="00E0728F"/>
    <w:rsid w:val="00E072DB"/>
    <w:rsid w:val="00E072E1"/>
    <w:rsid w:val="00E07320"/>
    <w:rsid w:val="00E073AC"/>
    <w:rsid w:val="00E073C6"/>
    <w:rsid w:val="00E0748C"/>
    <w:rsid w:val="00E074CC"/>
    <w:rsid w:val="00E074E8"/>
    <w:rsid w:val="00E075D8"/>
    <w:rsid w:val="00E07612"/>
    <w:rsid w:val="00E07712"/>
    <w:rsid w:val="00E07729"/>
    <w:rsid w:val="00E07796"/>
    <w:rsid w:val="00E0782E"/>
    <w:rsid w:val="00E0785E"/>
    <w:rsid w:val="00E0789F"/>
    <w:rsid w:val="00E078FE"/>
    <w:rsid w:val="00E07A5E"/>
    <w:rsid w:val="00E07B77"/>
    <w:rsid w:val="00E07C36"/>
    <w:rsid w:val="00E07C52"/>
    <w:rsid w:val="00E07CAE"/>
    <w:rsid w:val="00E07DEF"/>
    <w:rsid w:val="00E07E26"/>
    <w:rsid w:val="00E07E4A"/>
    <w:rsid w:val="00E07E78"/>
    <w:rsid w:val="00E07E7B"/>
    <w:rsid w:val="00E07F0D"/>
    <w:rsid w:val="00E07F7B"/>
    <w:rsid w:val="00E07F98"/>
    <w:rsid w:val="00E07FAC"/>
    <w:rsid w:val="00E1005E"/>
    <w:rsid w:val="00E101F2"/>
    <w:rsid w:val="00E10220"/>
    <w:rsid w:val="00E1029E"/>
    <w:rsid w:val="00E10329"/>
    <w:rsid w:val="00E1035B"/>
    <w:rsid w:val="00E1039E"/>
    <w:rsid w:val="00E103C1"/>
    <w:rsid w:val="00E1053E"/>
    <w:rsid w:val="00E10562"/>
    <w:rsid w:val="00E1057F"/>
    <w:rsid w:val="00E1069F"/>
    <w:rsid w:val="00E106C2"/>
    <w:rsid w:val="00E107B4"/>
    <w:rsid w:val="00E107B5"/>
    <w:rsid w:val="00E10883"/>
    <w:rsid w:val="00E10927"/>
    <w:rsid w:val="00E10991"/>
    <w:rsid w:val="00E109F7"/>
    <w:rsid w:val="00E10ABD"/>
    <w:rsid w:val="00E10B5E"/>
    <w:rsid w:val="00E10B75"/>
    <w:rsid w:val="00E10B8D"/>
    <w:rsid w:val="00E10C02"/>
    <w:rsid w:val="00E10C3B"/>
    <w:rsid w:val="00E10C89"/>
    <w:rsid w:val="00E10D05"/>
    <w:rsid w:val="00E10D30"/>
    <w:rsid w:val="00E10D82"/>
    <w:rsid w:val="00E10D92"/>
    <w:rsid w:val="00E10E39"/>
    <w:rsid w:val="00E10E75"/>
    <w:rsid w:val="00E10EAB"/>
    <w:rsid w:val="00E10EE5"/>
    <w:rsid w:val="00E10EF1"/>
    <w:rsid w:val="00E10F3F"/>
    <w:rsid w:val="00E10F4D"/>
    <w:rsid w:val="00E10FB1"/>
    <w:rsid w:val="00E10FEB"/>
    <w:rsid w:val="00E11031"/>
    <w:rsid w:val="00E1120C"/>
    <w:rsid w:val="00E1125E"/>
    <w:rsid w:val="00E112B6"/>
    <w:rsid w:val="00E113D7"/>
    <w:rsid w:val="00E113E5"/>
    <w:rsid w:val="00E114DB"/>
    <w:rsid w:val="00E1151E"/>
    <w:rsid w:val="00E11608"/>
    <w:rsid w:val="00E11695"/>
    <w:rsid w:val="00E11738"/>
    <w:rsid w:val="00E117BB"/>
    <w:rsid w:val="00E1184F"/>
    <w:rsid w:val="00E1185C"/>
    <w:rsid w:val="00E118DF"/>
    <w:rsid w:val="00E119A1"/>
    <w:rsid w:val="00E119ED"/>
    <w:rsid w:val="00E11A19"/>
    <w:rsid w:val="00E11A5A"/>
    <w:rsid w:val="00E11A70"/>
    <w:rsid w:val="00E11AD4"/>
    <w:rsid w:val="00E11B09"/>
    <w:rsid w:val="00E11B0E"/>
    <w:rsid w:val="00E11B2B"/>
    <w:rsid w:val="00E11B52"/>
    <w:rsid w:val="00E11BA5"/>
    <w:rsid w:val="00E11C0E"/>
    <w:rsid w:val="00E11C10"/>
    <w:rsid w:val="00E11C36"/>
    <w:rsid w:val="00E11CBE"/>
    <w:rsid w:val="00E11D15"/>
    <w:rsid w:val="00E11D2E"/>
    <w:rsid w:val="00E11E2F"/>
    <w:rsid w:val="00E11EAC"/>
    <w:rsid w:val="00E11F4F"/>
    <w:rsid w:val="00E11F93"/>
    <w:rsid w:val="00E12029"/>
    <w:rsid w:val="00E12043"/>
    <w:rsid w:val="00E12096"/>
    <w:rsid w:val="00E120EC"/>
    <w:rsid w:val="00E12190"/>
    <w:rsid w:val="00E121EE"/>
    <w:rsid w:val="00E12210"/>
    <w:rsid w:val="00E12245"/>
    <w:rsid w:val="00E12251"/>
    <w:rsid w:val="00E122AA"/>
    <w:rsid w:val="00E123BA"/>
    <w:rsid w:val="00E123D0"/>
    <w:rsid w:val="00E123F0"/>
    <w:rsid w:val="00E12449"/>
    <w:rsid w:val="00E12501"/>
    <w:rsid w:val="00E1255F"/>
    <w:rsid w:val="00E125A4"/>
    <w:rsid w:val="00E125AA"/>
    <w:rsid w:val="00E125D9"/>
    <w:rsid w:val="00E1261E"/>
    <w:rsid w:val="00E1263A"/>
    <w:rsid w:val="00E12659"/>
    <w:rsid w:val="00E126CE"/>
    <w:rsid w:val="00E1277A"/>
    <w:rsid w:val="00E12896"/>
    <w:rsid w:val="00E128CC"/>
    <w:rsid w:val="00E1291C"/>
    <w:rsid w:val="00E12975"/>
    <w:rsid w:val="00E1299A"/>
    <w:rsid w:val="00E12A36"/>
    <w:rsid w:val="00E12A4C"/>
    <w:rsid w:val="00E12A78"/>
    <w:rsid w:val="00E12AA1"/>
    <w:rsid w:val="00E12B2D"/>
    <w:rsid w:val="00E12C00"/>
    <w:rsid w:val="00E12D1D"/>
    <w:rsid w:val="00E12D68"/>
    <w:rsid w:val="00E12E4B"/>
    <w:rsid w:val="00E12E60"/>
    <w:rsid w:val="00E12EE9"/>
    <w:rsid w:val="00E12FB3"/>
    <w:rsid w:val="00E13049"/>
    <w:rsid w:val="00E1304B"/>
    <w:rsid w:val="00E13144"/>
    <w:rsid w:val="00E131F8"/>
    <w:rsid w:val="00E132D5"/>
    <w:rsid w:val="00E132DE"/>
    <w:rsid w:val="00E1331A"/>
    <w:rsid w:val="00E1332B"/>
    <w:rsid w:val="00E1335C"/>
    <w:rsid w:val="00E13435"/>
    <w:rsid w:val="00E13436"/>
    <w:rsid w:val="00E134BA"/>
    <w:rsid w:val="00E13540"/>
    <w:rsid w:val="00E13553"/>
    <w:rsid w:val="00E13558"/>
    <w:rsid w:val="00E13574"/>
    <w:rsid w:val="00E13617"/>
    <w:rsid w:val="00E13781"/>
    <w:rsid w:val="00E137B0"/>
    <w:rsid w:val="00E13816"/>
    <w:rsid w:val="00E138D7"/>
    <w:rsid w:val="00E1391F"/>
    <w:rsid w:val="00E13964"/>
    <w:rsid w:val="00E13980"/>
    <w:rsid w:val="00E139DA"/>
    <w:rsid w:val="00E13A06"/>
    <w:rsid w:val="00E13A20"/>
    <w:rsid w:val="00E13A8A"/>
    <w:rsid w:val="00E13A8C"/>
    <w:rsid w:val="00E13AD0"/>
    <w:rsid w:val="00E13AFE"/>
    <w:rsid w:val="00E13B99"/>
    <w:rsid w:val="00E13BD3"/>
    <w:rsid w:val="00E13D52"/>
    <w:rsid w:val="00E13DBE"/>
    <w:rsid w:val="00E13EDD"/>
    <w:rsid w:val="00E13F8F"/>
    <w:rsid w:val="00E13FCD"/>
    <w:rsid w:val="00E1400F"/>
    <w:rsid w:val="00E14066"/>
    <w:rsid w:val="00E14076"/>
    <w:rsid w:val="00E141A9"/>
    <w:rsid w:val="00E141D2"/>
    <w:rsid w:val="00E14266"/>
    <w:rsid w:val="00E142EB"/>
    <w:rsid w:val="00E142FF"/>
    <w:rsid w:val="00E1434B"/>
    <w:rsid w:val="00E143C9"/>
    <w:rsid w:val="00E14490"/>
    <w:rsid w:val="00E144B9"/>
    <w:rsid w:val="00E1450C"/>
    <w:rsid w:val="00E145B0"/>
    <w:rsid w:val="00E145D5"/>
    <w:rsid w:val="00E145D6"/>
    <w:rsid w:val="00E14630"/>
    <w:rsid w:val="00E1468F"/>
    <w:rsid w:val="00E1474E"/>
    <w:rsid w:val="00E147BB"/>
    <w:rsid w:val="00E147E1"/>
    <w:rsid w:val="00E14833"/>
    <w:rsid w:val="00E14857"/>
    <w:rsid w:val="00E1486D"/>
    <w:rsid w:val="00E14872"/>
    <w:rsid w:val="00E14982"/>
    <w:rsid w:val="00E149B2"/>
    <w:rsid w:val="00E149CB"/>
    <w:rsid w:val="00E14A25"/>
    <w:rsid w:val="00E14A48"/>
    <w:rsid w:val="00E14A91"/>
    <w:rsid w:val="00E14AA6"/>
    <w:rsid w:val="00E14B7E"/>
    <w:rsid w:val="00E14C6A"/>
    <w:rsid w:val="00E14C8F"/>
    <w:rsid w:val="00E14CE9"/>
    <w:rsid w:val="00E14D0E"/>
    <w:rsid w:val="00E14D27"/>
    <w:rsid w:val="00E14D3F"/>
    <w:rsid w:val="00E14D85"/>
    <w:rsid w:val="00E14E14"/>
    <w:rsid w:val="00E14E9F"/>
    <w:rsid w:val="00E14F28"/>
    <w:rsid w:val="00E14FAF"/>
    <w:rsid w:val="00E14FB7"/>
    <w:rsid w:val="00E14FC1"/>
    <w:rsid w:val="00E1501B"/>
    <w:rsid w:val="00E150B1"/>
    <w:rsid w:val="00E150C6"/>
    <w:rsid w:val="00E1510C"/>
    <w:rsid w:val="00E1514D"/>
    <w:rsid w:val="00E1515E"/>
    <w:rsid w:val="00E151AD"/>
    <w:rsid w:val="00E151B8"/>
    <w:rsid w:val="00E151D9"/>
    <w:rsid w:val="00E1522F"/>
    <w:rsid w:val="00E15245"/>
    <w:rsid w:val="00E15249"/>
    <w:rsid w:val="00E152A1"/>
    <w:rsid w:val="00E15357"/>
    <w:rsid w:val="00E153B0"/>
    <w:rsid w:val="00E15448"/>
    <w:rsid w:val="00E15480"/>
    <w:rsid w:val="00E15535"/>
    <w:rsid w:val="00E155F0"/>
    <w:rsid w:val="00E15609"/>
    <w:rsid w:val="00E157F9"/>
    <w:rsid w:val="00E1580F"/>
    <w:rsid w:val="00E15863"/>
    <w:rsid w:val="00E1586E"/>
    <w:rsid w:val="00E158E0"/>
    <w:rsid w:val="00E15A20"/>
    <w:rsid w:val="00E15AB0"/>
    <w:rsid w:val="00E15B9B"/>
    <w:rsid w:val="00E15BE9"/>
    <w:rsid w:val="00E15C00"/>
    <w:rsid w:val="00E15C3D"/>
    <w:rsid w:val="00E15CC1"/>
    <w:rsid w:val="00E15E11"/>
    <w:rsid w:val="00E15E1A"/>
    <w:rsid w:val="00E15E39"/>
    <w:rsid w:val="00E15E8F"/>
    <w:rsid w:val="00E15EB0"/>
    <w:rsid w:val="00E15EDA"/>
    <w:rsid w:val="00E15F45"/>
    <w:rsid w:val="00E15FCC"/>
    <w:rsid w:val="00E15FF4"/>
    <w:rsid w:val="00E1600F"/>
    <w:rsid w:val="00E160DF"/>
    <w:rsid w:val="00E160EE"/>
    <w:rsid w:val="00E161E9"/>
    <w:rsid w:val="00E161EB"/>
    <w:rsid w:val="00E16262"/>
    <w:rsid w:val="00E1634A"/>
    <w:rsid w:val="00E16379"/>
    <w:rsid w:val="00E16399"/>
    <w:rsid w:val="00E1647F"/>
    <w:rsid w:val="00E16494"/>
    <w:rsid w:val="00E164C7"/>
    <w:rsid w:val="00E16540"/>
    <w:rsid w:val="00E1654E"/>
    <w:rsid w:val="00E165E1"/>
    <w:rsid w:val="00E1674A"/>
    <w:rsid w:val="00E16775"/>
    <w:rsid w:val="00E1678B"/>
    <w:rsid w:val="00E16874"/>
    <w:rsid w:val="00E16952"/>
    <w:rsid w:val="00E1695B"/>
    <w:rsid w:val="00E16971"/>
    <w:rsid w:val="00E169DE"/>
    <w:rsid w:val="00E16A46"/>
    <w:rsid w:val="00E16AF1"/>
    <w:rsid w:val="00E16BEA"/>
    <w:rsid w:val="00E16C0E"/>
    <w:rsid w:val="00E16C6E"/>
    <w:rsid w:val="00E16CF7"/>
    <w:rsid w:val="00E16D28"/>
    <w:rsid w:val="00E16D46"/>
    <w:rsid w:val="00E16DB7"/>
    <w:rsid w:val="00E16DDD"/>
    <w:rsid w:val="00E16DEF"/>
    <w:rsid w:val="00E16EA1"/>
    <w:rsid w:val="00E16F09"/>
    <w:rsid w:val="00E16F41"/>
    <w:rsid w:val="00E16F8C"/>
    <w:rsid w:val="00E17052"/>
    <w:rsid w:val="00E1707D"/>
    <w:rsid w:val="00E17118"/>
    <w:rsid w:val="00E17137"/>
    <w:rsid w:val="00E1716F"/>
    <w:rsid w:val="00E171E5"/>
    <w:rsid w:val="00E1721F"/>
    <w:rsid w:val="00E17271"/>
    <w:rsid w:val="00E172F5"/>
    <w:rsid w:val="00E173C9"/>
    <w:rsid w:val="00E1745C"/>
    <w:rsid w:val="00E17498"/>
    <w:rsid w:val="00E174B7"/>
    <w:rsid w:val="00E174CB"/>
    <w:rsid w:val="00E174ED"/>
    <w:rsid w:val="00E17501"/>
    <w:rsid w:val="00E17595"/>
    <w:rsid w:val="00E175C4"/>
    <w:rsid w:val="00E17683"/>
    <w:rsid w:val="00E17691"/>
    <w:rsid w:val="00E176CA"/>
    <w:rsid w:val="00E176FD"/>
    <w:rsid w:val="00E17756"/>
    <w:rsid w:val="00E17770"/>
    <w:rsid w:val="00E177B7"/>
    <w:rsid w:val="00E17963"/>
    <w:rsid w:val="00E17A8B"/>
    <w:rsid w:val="00E17B77"/>
    <w:rsid w:val="00E17D2A"/>
    <w:rsid w:val="00E17D9A"/>
    <w:rsid w:val="00E17DEE"/>
    <w:rsid w:val="00E17DF8"/>
    <w:rsid w:val="00E17E2F"/>
    <w:rsid w:val="00E17E7A"/>
    <w:rsid w:val="00E17F0F"/>
    <w:rsid w:val="00E17F26"/>
    <w:rsid w:val="00E17F2B"/>
    <w:rsid w:val="00E17F4F"/>
    <w:rsid w:val="00E17FC8"/>
    <w:rsid w:val="00E2002D"/>
    <w:rsid w:val="00E20047"/>
    <w:rsid w:val="00E20084"/>
    <w:rsid w:val="00E200C5"/>
    <w:rsid w:val="00E200D0"/>
    <w:rsid w:val="00E200E1"/>
    <w:rsid w:val="00E2015A"/>
    <w:rsid w:val="00E201A6"/>
    <w:rsid w:val="00E20209"/>
    <w:rsid w:val="00E20217"/>
    <w:rsid w:val="00E202D9"/>
    <w:rsid w:val="00E20321"/>
    <w:rsid w:val="00E2039D"/>
    <w:rsid w:val="00E2039E"/>
    <w:rsid w:val="00E204B4"/>
    <w:rsid w:val="00E204EF"/>
    <w:rsid w:val="00E20527"/>
    <w:rsid w:val="00E206A6"/>
    <w:rsid w:val="00E206D3"/>
    <w:rsid w:val="00E2072A"/>
    <w:rsid w:val="00E20766"/>
    <w:rsid w:val="00E207F2"/>
    <w:rsid w:val="00E20846"/>
    <w:rsid w:val="00E20849"/>
    <w:rsid w:val="00E2085A"/>
    <w:rsid w:val="00E208BE"/>
    <w:rsid w:val="00E209D7"/>
    <w:rsid w:val="00E20A62"/>
    <w:rsid w:val="00E20B25"/>
    <w:rsid w:val="00E20B75"/>
    <w:rsid w:val="00E20CD7"/>
    <w:rsid w:val="00E20D16"/>
    <w:rsid w:val="00E20D39"/>
    <w:rsid w:val="00E20DC0"/>
    <w:rsid w:val="00E20EBE"/>
    <w:rsid w:val="00E210AF"/>
    <w:rsid w:val="00E21228"/>
    <w:rsid w:val="00E2122E"/>
    <w:rsid w:val="00E21249"/>
    <w:rsid w:val="00E21256"/>
    <w:rsid w:val="00E212CC"/>
    <w:rsid w:val="00E21357"/>
    <w:rsid w:val="00E213AB"/>
    <w:rsid w:val="00E21429"/>
    <w:rsid w:val="00E2154D"/>
    <w:rsid w:val="00E215D9"/>
    <w:rsid w:val="00E21649"/>
    <w:rsid w:val="00E216F8"/>
    <w:rsid w:val="00E21724"/>
    <w:rsid w:val="00E21776"/>
    <w:rsid w:val="00E2187D"/>
    <w:rsid w:val="00E21924"/>
    <w:rsid w:val="00E21994"/>
    <w:rsid w:val="00E219DF"/>
    <w:rsid w:val="00E21A66"/>
    <w:rsid w:val="00E21ABD"/>
    <w:rsid w:val="00E21AE2"/>
    <w:rsid w:val="00E21AED"/>
    <w:rsid w:val="00E21B52"/>
    <w:rsid w:val="00E21B8F"/>
    <w:rsid w:val="00E21BFA"/>
    <w:rsid w:val="00E21C71"/>
    <w:rsid w:val="00E21D60"/>
    <w:rsid w:val="00E21D6E"/>
    <w:rsid w:val="00E21D84"/>
    <w:rsid w:val="00E21D90"/>
    <w:rsid w:val="00E21DE0"/>
    <w:rsid w:val="00E21E87"/>
    <w:rsid w:val="00E21E91"/>
    <w:rsid w:val="00E21F1D"/>
    <w:rsid w:val="00E21F41"/>
    <w:rsid w:val="00E22108"/>
    <w:rsid w:val="00E2215F"/>
    <w:rsid w:val="00E221A9"/>
    <w:rsid w:val="00E22235"/>
    <w:rsid w:val="00E22239"/>
    <w:rsid w:val="00E22246"/>
    <w:rsid w:val="00E2229A"/>
    <w:rsid w:val="00E222DA"/>
    <w:rsid w:val="00E222FD"/>
    <w:rsid w:val="00E22383"/>
    <w:rsid w:val="00E22390"/>
    <w:rsid w:val="00E2257B"/>
    <w:rsid w:val="00E22593"/>
    <w:rsid w:val="00E22606"/>
    <w:rsid w:val="00E22662"/>
    <w:rsid w:val="00E2267D"/>
    <w:rsid w:val="00E22723"/>
    <w:rsid w:val="00E22891"/>
    <w:rsid w:val="00E2294C"/>
    <w:rsid w:val="00E2294D"/>
    <w:rsid w:val="00E229C2"/>
    <w:rsid w:val="00E22A1F"/>
    <w:rsid w:val="00E22B83"/>
    <w:rsid w:val="00E22B9A"/>
    <w:rsid w:val="00E22C57"/>
    <w:rsid w:val="00E22CBD"/>
    <w:rsid w:val="00E22CD2"/>
    <w:rsid w:val="00E22CFE"/>
    <w:rsid w:val="00E22D56"/>
    <w:rsid w:val="00E22DC8"/>
    <w:rsid w:val="00E22DCB"/>
    <w:rsid w:val="00E22E14"/>
    <w:rsid w:val="00E22E2D"/>
    <w:rsid w:val="00E22E36"/>
    <w:rsid w:val="00E22EEB"/>
    <w:rsid w:val="00E22F05"/>
    <w:rsid w:val="00E22F68"/>
    <w:rsid w:val="00E22FD2"/>
    <w:rsid w:val="00E22FE2"/>
    <w:rsid w:val="00E22FE4"/>
    <w:rsid w:val="00E230BA"/>
    <w:rsid w:val="00E230FE"/>
    <w:rsid w:val="00E2310F"/>
    <w:rsid w:val="00E23129"/>
    <w:rsid w:val="00E2318E"/>
    <w:rsid w:val="00E231A7"/>
    <w:rsid w:val="00E23204"/>
    <w:rsid w:val="00E23234"/>
    <w:rsid w:val="00E2329A"/>
    <w:rsid w:val="00E232F4"/>
    <w:rsid w:val="00E2334F"/>
    <w:rsid w:val="00E233F0"/>
    <w:rsid w:val="00E2340C"/>
    <w:rsid w:val="00E2344C"/>
    <w:rsid w:val="00E23455"/>
    <w:rsid w:val="00E2359B"/>
    <w:rsid w:val="00E235FC"/>
    <w:rsid w:val="00E23677"/>
    <w:rsid w:val="00E2367D"/>
    <w:rsid w:val="00E236B1"/>
    <w:rsid w:val="00E23761"/>
    <w:rsid w:val="00E23774"/>
    <w:rsid w:val="00E23959"/>
    <w:rsid w:val="00E239E8"/>
    <w:rsid w:val="00E23A04"/>
    <w:rsid w:val="00E23A0D"/>
    <w:rsid w:val="00E23A9C"/>
    <w:rsid w:val="00E23B06"/>
    <w:rsid w:val="00E23BED"/>
    <w:rsid w:val="00E23C08"/>
    <w:rsid w:val="00E23E45"/>
    <w:rsid w:val="00E23F1B"/>
    <w:rsid w:val="00E23FCB"/>
    <w:rsid w:val="00E23FCE"/>
    <w:rsid w:val="00E23FFB"/>
    <w:rsid w:val="00E23FFE"/>
    <w:rsid w:val="00E24051"/>
    <w:rsid w:val="00E2409B"/>
    <w:rsid w:val="00E240B7"/>
    <w:rsid w:val="00E2411F"/>
    <w:rsid w:val="00E24183"/>
    <w:rsid w:val="00E24206"/>
    <w:rsid w:val="00E24237"/>
    <w:rsid w:val="00E2426C"/>
    <w:rsid w:val="00E2427D"/>
    <w:rsid w:val="00E24318"/>
    <w:rsid w:val="00E243C6"/>
    <w:rsid w:val="00E243EF"/>
    <w:rsid w:val="00E24475"/>
    <w:rsid w:val="00E24494"/>
    <w:rsid w:val="00E24552"/>
    <w:rsid w:val="00E24573"/>
    <w:rsid w:val="00E24598"/>
    <w:rsid w:val="00E245A4"/>
    <w:rsid w:val="00E245D1"/>
    <w:rsid w:val="00E245F6"/>
    <w:rsid w:val="00E24746"/>
    <w:rsid w:val="00E24830"/>
    <w:rsid w:val="00E248AC"/>
    <w:rsid w:val="00E24921"/>
    <w:rsid w:val="00E24A16"/>
    <w:rsid w:val="00E24A64"/>
    <w:rsid w:val="00E24A94"/>
    <w:rsid w:val="00E24ABE"/>
    <w:rsid w:val="00E24ACB"/>
    <w:rsid w:val="00E24B0D"/>
    <w:rsid w:val="00E24BC9"/>
    <w:rsid w:val="00E24CAE"/>
    <w:rsid w:val="00E24CD9"/>
    <w:rsid w:val="00E24CDB"/>
    <w:rsid w:val="00E24D20"/>
    <w:rsid w:val="00E24D72"/>
    <w:rsid w:val="00E24D84"/>
    <w:rsid w:val="00E24DAE"/>
    <w:rsid w:val="00E24DD2"/>
    <w:rsid w:val="00E24DD9"/>
    <w:rsid w:val="00E24E1B"/>
    <w:rsid w:val="00E24F18"/>
    <w:rsid w:val="00E24F5A"/>
    <w:rsid w:val="00E24F61"/>
    <w:rsid w:val="00E24F71"/>
    <w:rsid w:val="00E24FFB"/>
    <w:rsid w:val="00E2501D"/>
    <w:rsid w:val="00E25032"/>
    <w:rsid w:val="00E250B6"/>
    <w:rsid w:val="00E2513D"/>
    <w:rsid w:val="00E25185"/>
    <w:rsid w:val="00E25343"/>
    <w:rsid w:val="00E253B3"/>
    <w:rsid w:val="00E253C6"/>
    <w:rsid w:val="00E253E0"/>
    <w:rsid w:val="00E25488"/>
    <w:rsid w:val="00E254AE"/>
    <w:rsid w:val="00E2558C"/>
    <w:rsid w:val="00E255B1"/>
    <w:rsid w:val="00E256CD"/>
    <w:rsid w:val="00E257CA"/>
    <w:rsid w:val="00E2589A"/>
    <w:rsid w:val="00E2592B"/>
    <w:rsid w:val="00E2596B"/>
    <w:rsid w:val="00E25998"/>
    <w:rsid w:val="00E259FD"/>
    <w:rsid w:val="00E25A1E"/>
    <w:rsid w:val="00E25A39"/>
    <w:rsid w:val="00E25A95"/>
    <w:rsid w:val="00E25AB6"/>
    <w:rsid w:val="00E25BBB"/>
    <w:rsid w:val="00E25D05"/>
    <w:rsid w:val="00E25D33"/>
    <w:rsid w:val="00E25D9D"/>
    <w:rsid w:val="00E25DAF"/>
    <w:rsid w:val="00E25DF1"/>
    <w:rsid w:val="00E25E54"/>
    <w:rsid w:val="00E25FBA"/>
    <w:rsid w:val="00E2606B"/>
    <w:rsid w:val="00E2607B"/>
    <w:rsid w:val="00E2607F"/>
    <w:rsid w:val="00E26085"/>
    <w:rsid w:val="00E26127"/>
    <w:rsid w:val="00E26149"/>
    <w:rsid w:val="00E26166"/>
    <w:rsid w:val="00E26194"/>
    <w:rsid w:val="00E26326"/>
    <w:rsid w:val="00E26387"/>
    <w:rsid w:val="00E263C5"/>
    <w:rsid w:val="00E263D4"/>
    <w:rsid w:val="00E263D7"/>
    <w:rsid w:val="00E264CB"/>
    <w:rsid w:val="00E264F2"/>
    <w:rsid w:val="00E26501"/>
    <w:rsid w:val="00E2653E"/>
    <w:rsid w:val="00E265D6"/>
    <w:rsid w:val="00E26607"/>
    <w:rsid w:val="00E26693"/>
    <w:rsid w:val="00E266A1"/>
    <w:rsid w:val="00E266B7"/>
    <w:rsid w:val="00E26732"/>
    <w:rsid w:val="00E2673F"/>
    <w:rsid w:val="00E26759"/>
    <w:rsid w:val="00E26760"/>
    <w:rsid w:val="00E267FC"/>
    <w:rsid w:val="00E2689D"/>
    <w:rsid w:val="00E2698C"/>
    <w:rsid w:val="00E26B30"/>
    <w:rsid w:val="00E26B33"/>
    <w:rsid w:val="00E26BD6"/>
    <w:rsid w:val="00E26C05"/>
    <w:rsid w:val="00E26CBD"/>
    <w:rsid w:val="00E26CEC"/>
    <w:rsid w:val="00E26CF4"/>
    <w:rsid w:val="00E26E00"/>
    <w:rsid w:val="00E27005"/>
    <w:rsid w:val="00E27045"/>
    <w:rsid w:val="00E270B8"/>
    <w:rsid w:val="00E270D5"/>
    <w:rsid w:val="00E27186"/>
    <w:rsid w:val="00E27271"/>
    <w:rsid w:val="00E27296"/>
    <w:rsid w:val="00E2732A"/>
    <w:rsid w:val="00E2737F"/>
    <w:rsid w:val="00E27419"/>
    <w:rsid w:val="00E274A7"/>
    <w:rsid w:val="00E274DB"/>
    <w:rsid w:val="00E27520"/>
    <w:rsid w:val="00E27586"/>
    <w:rsid w:val="00E275A5"/>
    <w:rsid w:val="00E275CE"/>
    <w:rsid w:val="00E275F3"/>
    <w:rsid w:val="00E276E0"/>
    <w:rsid w:val="00E276F5"/>
    <w:rsid w:val="00E2770B"/>
    <w:rsid w:val="00E2773D"/>
    <w:rsid w:val="00E27759"/>
    <w:rsid w:val="00E2775F"/>
    <w:rsid w:val="00E2780D"/>
    <w:rsid w:val="00E27871"/>
    <w:rsid w:val="00E27891"/>
    <w:rsid w:val="00E27A29"/>
    <w:rsid w:val="00E27ACE"/>
    <w:rsid w:val="00E27AF5"/>
    <w:rsid w:val="00E27BBC"/>
    <w:rsid w:val="00E27C0F"/>
    <w:rsid w:val="00E27C10"/>
    <w:rsid w:val="00E27C17"/>
    <w:rsid w:val="00E27C1A"/>
    <w:rsid w:val="00E27D36"/>
    <w:rsid w:val="00E27DC8"/>
    <w:rsid w:val="00E27DE9"/>
    <w:rsid w:val="00E27E52"/>
    <w:rsid w:val="00E27E5B"/>
    <w:rsid w:val="00E27E88"/>
    <w:rsid w:val="00E27EBC"/>
    <w:rsid w:val="00E27EC7"/>
    <w:rsid w:val="00E27EF9"/>
    <w:rsid w:val="00E27EFA"/>
    <w:rsid w:val="00E27F25"/>
    <w:rsid w:val="00E27F53"/>
    <w:rsid w:val="00E2F067"/>
    <w:rsid w:val="00E30069"/>
    <w:rsid w:val="00E3007E"/>
    <w:rsid w:val="00E300A9"/>
    <w:rsid w:val="00E3010D"/>
    <w:rsid w:val="00E30212"/>
    <w:rsid w:val="00E302CA"/>
    <w:rsid w:val="00E302FD"/>
    <w:rsid w:val="00E3034D"/>
    <w:rsid w:val="00E3035C"/>
    <w:rsid w:val="00E30457"/>
    <w:rsid w:val="00E30481"/>
    <w:rsid w:val="00E304DB"/>
    <w:rsid w:val="00E30544"/>
    <w:rsid w:val="00E305B8"/>
    <w:rsid w:val="00E305BE"/>
    <w:rsid w:val="00E305BF"/>
    <w:rsid w:val="00E305C0"/>
    <w:rsid w:val="00E305F0"/>
    <w:rsid w:val="00E30626"/>
    <w:rsid w:val="00E30674"/>
    <w:rsid w:val="00E3069C"/>
    <w:rsid w:val="00E306C8"/>
    <w:rsid w:val="00E3070C"/>
    <w:rsid w:val="00E30720"/>
    <w:rsid w:val="00E30737"/>
    <w:rsid w:val="00E307C8"/>
    <w:rsid w:val="00E3081F"/>
    <w:rsid w:val="00E308A5"/>
    <w:rsid w:val="00E30942"/>
    <w:rsid w:val="00E309A9"/>
    <w:rsid w:val="00E30A4F"/>
    <w:rsid w:val="00E30A67"/>
    <w:rsid w:val="00E30A76"/>
    <w:rsid w:val="00E30AB7"/>
    <w:rsid w:val="00E30B7C"/>
    <w:rsid w:val="00E30BCA"/>
    <w:rsid w:val="00E30C43"/>
    <w:rsid w:val="00E30C76"/>
    <w:rsid w:val="00E30D1F"/>
    <w:rsid w:val="00E30D3D"/>
    <w:rsid w:val="00E30EBF"/>
    <w:rsid w:val="00E30EC3"/>
    <w:rsid w:val="00E30EF4"/>
    <w:rsid w:val="00E30EF7"/>
    <w:rsid w:val="00E30EFF"/>
    <w:rsid w:val="00E30F26"/>
    <w:rsid w:val="00E30F6C"/>
    <w:rsid w:val="00E30F7E"/>
    <w:rsid w:val="00E30F8F"/>
    <w:rsid w:val="00E31025"/>
    <w:rsid w:val="00E31132"/>
    <w:rsid w:val="00E311A0"/>
    <w:rsid w:val="00E3124B"/>
    <w:rsid w:val="00E312A3"/>
    <w:rsid w:val="00E31349"/>
    <w:rsid w:val="00E3149E"/>
    <w:rsid w:val="00E31576"/>
    <w:rsid w:val="00E3162E"/>
    <w:rsid w:val="00E31645"/>
    <w:rsid w:val="00E31655"/>
    <w:rsid w:val="00E316AF"/>
    <w:rsid w:val="00E31755"/>
    <w:rsid w:val="00E317B2"/>
    <w:rsid w:val="00E317C7"/>
    <w:rsid w:val="00E317CB"/>
    <w:rsid w:val="00E317D0"/>
    <w:rsid w:val="00E317FA"/>
    <w:rsid w:val="00E318A8"/>
    <w:rsid w:val="00E318C2"/>
    <w:rsid w:val="00E31915"/>
    <w:rsid w:val="00E319BF"/>
    <w:rsid w:val="00E31ADD"/>
    <w:rsid w:val="00E31B04"/>
    <w:rsid w:val="00E31B3D"/>
    <w:rsid w:val="00E31CA1"/>
    <w:rsid w:val="00E31CD6"/>
    <w:rsid w:val="00E31CD7"/>
    <w:rsid w:val="00E31D72"/>
    <w:rsid w:val="00E31D7C"/>
    <w:rsid w:val="00E31D87"/>
    <w:rsid w:val="00E31D8A"/>
    <w:rsid w:val="00E31DE8"/>
    <w:rsid w:val="00E31E4A"/>
    <w:rsid w:val="00E31E61"/>
    <w:rsid w:val="00E31E98"/>
    <w:rsid w:val="00E31EDB"/>
    <w:rsid w:val="00E31EF3"/>
    <w:rsid w:val="00E32011"/>
    <w:rsid w:val="00E32054"/>
    <w:rsid w:val="00E320CE"/>
    <w:rsid w:val="00E32148"/>
    <w:rsid w:val="00E32161"/>
    <w:rsid w:val="00E32169"/>
    <w:rsid w:val="00E32186"/>
    <w:rsid w:val="00E321C0"/>
    <w:rsid w:val="00E321C6"/>
    <w:rsid w:val="00E32260"/>
    <w:rsid w:val="00E322B6"/>
    <w:rsid w:val="00E322FE"/>
    <w:rsid w:val="00E32319"/>
    <w:rsid w:val="00E3231A"/>
    <w:rsid w:val="00E32350"/>
    <w:rsid w:val="00E323B0"/>
    <w:rsid w:val="00E32460"/>
    <w:rsid w:val="00E324C4"/>
    <w:rsid w:val="00E325E1"/>
    <w:rsid w:val="00E32640"/>
    <w:rsid w:val="00E32650"/>
    <w:rsid w:val="00E326D8"/>
    <w:rsid w:val="00E3271F"/>
    <w:rsid w:val="00E32764"/>
    <w:rsid w:val="00E32776"/>
    <w:rsid w:val="00E3279F"/>
    <w:rsid w:val="00E32887"/>
    <w:rsid w:val="00E3288D"/>
    <w:rsid w:val="00E32941"/>
    <w:rsid w:val="00E32A36"/>
    <w:rsid w:val="00E32A9E"/>
    <w:rsid w:val="00E32AFF"/>
    <w:rsid w:val="00E32B2D"/>
    <w:rsid w:val="00E32B3F"/>
    <w:rsid w:val="00E32B80"/>
    <w:rsid w:val="00E32B8E"/>
    <w:rsid w:val="00E32B9D"/>
    <w:rsid w:val="00E32BB1"/>
    <w:rsid w:val="00E32BBA"/>
    <w:rsid w:val="00E32C06"/>
    <w:rsid w:val="00E32C36"/>
    <w:rsid w:val="00E32CC0"/>
    <w:rsid w:val="00E32CCB"/>
    <w:rsid w:val="00E32CD6"/>
    <w:rsid w:val="00E32D1C"/>
    <w:rsid w:val="00E32D25"/>
    <w:rsid w:val="00E32DAA"/>
    <w:rsid w:val="00E32E91"/>
    <w:rsid w:val="00E32F31"/>
    <w:rsid w:val="00E32F7C"/>
    <w:rsid w:val="00E32F7D"/>
    <w:rsid w:val="00E32F85"/>
    <w:rsid w:val="00E32FCB"/>
    <w:rsid w:val="00E3310C"/>
    <w:rsid w:val="00E3311B"/>
    <w:rsid w:val="00E33158"/>
    <w:rsid w:val="00E33171"/>
    <w:rsid w:val="00E331E6"/>
    <w:rsid w:val="00E3329A"/>
    <w:rsid w:val="00E3331D"/>
    <w:rsid w:val="00E33335"/>
    <w:rsid w:val="00E333A7"/>
    <w:rsid w:val="00E333F4"/>
    <w:rsid w:val="00E33426"/>
    <w:rsid w:val="00E33576"/>
    <w:rsid w:val="00E335F3"/>
    <w:rsid w:val="00E33625"/>
    <w:rsid w:val="00E33633"/>
    <w:rsid w:val="00E336B9"/>
    <w:rsid w:val="00E33705"/>
    <w:rsid w:val="00E3375F"/>
    <w:rsid w:val="00E3378A"/>
    <w:rsid w:val="00E3383C"/>
    <w:rsid w:val="00E338E0"/>
    <w:rsid w:val="00E338E9"/>
    <w:rsid w:val="00E3390F"/>
    <w:rsid w:val="00E3398A"/>
    <w:rsid w:val="00E3399C"/>
    <w:rsid w:val="00E33A22"/>
    <w:rsid w:val="00E33A41"/>
    <w:rsid w:val="00E33AAE"/>
    <w:rsid w:val="00E33B3C"/>
    <w:rsid w:val="00E33B94"/>
    <w:rsid w:val="00E33BE0"/>
    <w:rsid w:val="00E33C53"/>
    <w:rsid w:val="00E33CC5"/>
    <w:rsid w:val="00E33CD1"/>
    <w:rsid w:val="00E33D08"/>
    <w:rsid w:val="00E33D53"/>
    <w:rsid w:val="00E33DD7"/>
    <w:rsid w:val="00E33E4B"/>
    <w:rsid w:val="00E33E58"/>
    <w:rsid w:val="00E33EC7"/>
    <w:rsid w:val="00E33EEC"/>
    <w:rsid w:val="00E33F60"/>
    <w:rsid w:val="00E34066"/>
    <w:rsid w:val="00E340D0"/>
    <w:rsid w:val="00E3410A"/>
    <w:rsid w:val="00E3410F"/>
    <w:rsid w:val="00E3416D"/>
    <w:rsid w:val="00E34194"/>
    <w:rsid w:val="00E341CD"/>
    <w:rsid w:val="00E341F0"/>
    <w:rsid w:val="00E34229"/>
    <w:rsid w:val="00E3426A"/>
    <w:rsid w:val="00E34279"/>
    <w:rsid w:val="00E3427A"/>
    <w:rsid w:val="00E342C5"/>
    <w:rsid w:val="00E342D8"/>
    <w:rsid w:val="00E342DE"/>
    <w:rsid w:val="00E3435D"/>
    <w:rsid w:val="00E34398"/>
    <w:rsid w:val="00E3440E"/>
    <w:rsid w:val="00E34454"/>
    <w:rsid w:val="00E34520"/>
    <w:rsid w:val="00E34589"/>
    <w:rsid w:val="00E345C7"/>
    <w:rsid w:val="00E3462F"/>
    <w:rsid w:val="00E346F2"/>
    <w:rsid w:val="00E346F3"/>
    <w:rsid w:val="00E34717"/>
    <w:rsid w:val="00E34727"/>
    <w:rsid w:val="00E34735"/>
    <w:rsid w:val="00E349AC"/>
    <w:rsid w:val="00E349C5"/>
    <w:rsid w:val="00E349C9"/>
    <w:rsid w:val="00E34B48"/>
    <w:rsid w:val="00E34B66"/>
    <w:rsid w:val="00E34BBF"/>
    <w:rsid w:val="00E34BF8"/>
    <w:rsid w:val="00E34CF6"/>
    <w:rsid w:val="00E34E64"/>
    <w:rsid w:val="00E34F3F"/>
    <w:rsid w:val="00E34FA2"/>
    <w:rsid w:val="00E34FA5"/>
    <w:rsid w:val="00E35042"/>
    <w:rsid w:val="00E3527A"/>
    <w:rsid w:val="00E352D8"/>
    <w:rsid w:val="00E35301"/>
    <w:rsid w:val="00E3531E"/>
    <w:rsid w:val="00E353AD"/>
    <w:rsid w:val="00E353E1"/>
    <w:rsid w:val="00E354D1"/>
    <w:rsid w:val="00E35549"/>
    <w:rsid w:val="00E3557D"/>
    <w:rsid w:val="00E35617"/>
    <w:rsid w:val="00E35688"/>
    <w:rsid w:val="00E356A2"/>
    <w:rsid w:val="00E356D7"/>
    <w:rsid w:val="00E356E1"/>
    <w:rsid w:val="00E35774"/>
    <w:rsid w:val="00E3577E"/>
    <w:rsid w:val="00E3580C"/>
    <w:rsid w:val="00E35823"/>
    <w:rsid w:val="00E35827"/>
    <w:rsid w:val="00E358A7"/>
    <w:rsid w:val="00E3599F"/>
    <w:rsid w:val="00E359BD"/>
    <w:rsid w:val="00E359CC"/>
    <w:rsid w:val="00E35A42"/>
    <w:rsid w:val="00E35AF2"/>
    <w:rsid w:val="00E35B48"/>
    <w:rsid w:val="00E35B76"/>
    <w:rsid w:val="00E35C92"/>
    <w:rsid w:val="00E35CAF"/>
    <w:rsid w:val="00E35D10"/>
    <w:rsid w:val="00E35D4A"/>
    <w:rsid w:val="00E35E2E"/>
    <w:rsid w:val="00E35E8C"/>
    <w:rsid w:val="00E35EA5"/>
    <w:rsid w:val="00E35F20"/>
    <w:rsid w:val="00E36093"/>
    <w:rsid w:val="00E360C8"/>
    <w:rsid w:val="00E36166"/>
    <w:rsid w:val="00E361B9"/>
    <w:rsid w:val="00E361D4"/>
    <w:rsid w:val="00E3621D"/>
    <w:rsid w:val="00E36262"/>
    <w:rsid w:val="00E362A9"/>
    <w:rsid w:val="00E362DB"/>
    <w:rsid w:val="00E362F4"/>
    <w:rsid w:val="00E36368"/>
    <w:rsid w:val="00E36373"/>
    <w:rsid w:val="00E36390"/>
    <w:rsid w:val="00E363EF"/>
    <w:rsid w:val="00E36504"/>
    <w:rsid w:val="00E36519"/>
    <w:rsid w:val="00E366C6"/>
    <w:rsid w:val="00E366D2"/>
    <w:rsid w:val="00E366F6"/>
    <w:rsid w:val="00E36720"/>
    <w:rsid w:val="00E3676E"/>
    <w:rsid w:val="00E36786"/>
    <w:rsid w:val="00E36807"/>
    <w:rsid w:val="00E36897"/>
    <w:rsid w:val="00E368D8"/>
    <w:rsid w:val="00E3695E"/>
    <w:rsid w:val="00E36976"/>
    <w:rsid w:val="00E36986"/>
    <w:rsid w:val="00E369F5"/>
    <w:rsid w:val="00E36A0D"/>
    <w:rsid w:val="00E36AAE"/>
    <w:rsid w:val="00E36B13"/>
    <w:rsid w:val="00E36B1E"/>
    <w:rsid w:val="00E36B32"/>
    <w:rsid w:val="00E36B59"/>
    <w:rsid w:val="00E36B7E"/>
    <w:rsid w:val="00E36C5F"/>
    <w:rsid w:val="00E36CBC"/>
    <w:rsid w:val="00E36D4D"/>
    <w:rsid w:val="00E36E0E"/>
    <w:rsid w:val="00E36EDE"/>
    <w:rsid w:val="00E36F04"/>
    <w:rsid w:val="00E36F36"/>
    <w:rsid w:val="00E36F38"/>
    <w:rsid w:val="00E36F5D"/>
    <w:rsid w:val="00E36F6A"/>
    <w:rsid w:val="00E36F80"/>
    <w:rsid w:val="00E37068"/>
    <w:rsid w:val="00E37076"/>
    <w:rsid w:val="00E37121"/>
    <w:rsid w:val="00E37133"/>
    <w:rsid w:val="00E3717C"/>
    <w:rsid w:val="00E3718E"/>
    <w:rsid w:val="00E371D1"/>
    <w:rsid w:val="00E371D2"/>
    <w:rsid w:val="00E371FB"/>
    <w:rsid w:val="00E3730A"/>
    <w:rsid w:val="00E37356"/>
    <w:rsid w:val="00E37397"/>
    <w:rsid w:val="00E37413"/>
    <w:rsid w:val="00E37435"/>
    <w:rsid w:val="00E37485"/>
    <w:rsid w:val="00E374A1"/>
    <w:rsid w:val="00E376A2"/>
    <w:rsid w:val="00E376EE"/>
    <w:rsid w:val="00E37714"/>
    <w:rsid w:val="00E3772F"/>
    <w:rsid w:val="00E37742"/>
    <w:rsid w:val="00E37753"/>
    <w:rsid w:val="00E37794"/>
    <w:rsid w:val="00E377A0"/>
    <w:rsid w:val="00E377FA"/>
    <w:rsid w:val="00E3782F"/>
    <w:rsid w:val="00E37965"/>
    <w:rsid w:val="00E379A3"/>
    <w:rsid w:val="00E379B3"/>
    <w:rsid w:val="00E379FD"/>
    <w:rsid w:val="00E37A29"/>
    <w:rsid w:val="00E37A80"/>
    <w:rsid w:val="00E37B09"/>
    <w:rsid w:val="00E37B2A"/>
    <w:rsid w:val="00E37B56"/>
    <w:rsid w:val="00E37B8A"/>
    <w:rsid w:val="00E37BB5"/>
    <w:rsid w:val="00E37BEF"/>
    <w:rsid w:val="00E37C0F"/>
    <w:rsid w:val="00E37DE5"/>
    <w:rsid w:val="00E37E4A"/>
    <w:rsid w:val="00E37EBE"/>
    <w:rsid w:val="00E37FC2"/>
    <w:rsid w:val="00E3875C"/>
    <w:rsid w:val="00E40069"/>
    <w:rsid w:val="00E4006A"/>
    <w:rsid w:val="00E40151"/>
    <w:rsid w:val="00E40154"/>
    <w:rsid w:val="00E40180"/>
    <w:rsid w:val="00E4024C"/>
    <w:rsid w:val="00E402AE"/>
    <w:rsid w:val="00E40341"/>
    <w:rsid w:val="00E4037B"/>
    <w:rsid w:val="00E40642"/>
    <w:rsid w:val="00E406E8"/>
    <w:rsid w:val="00E40722"/>
    <w:rsid w:val="00E40745"/>
    <w:rsid w:val="00E4081B"/>
    <w:rsid w:val="00E408AA"/>
    <w:rsid w:val="00E40934"/>
    <w:rsid w:val="00E4094B"/>
    <w:rsid w:val="00E40998"/>
    <w:rsid w:val="00E409E0"/>
    <w:rsid w:val="00E40A00"/>
    <w:rsid w:val="00E40A07"/>
    <w:rsid w:val="00E40A1F"/>
    <w:rsid w:val="00E40A39"/>
    <w:rsid w:val="00E40A58"/>
    <w:rsid w:val="00E40B39"/>
    <w:rsid w:val="00E40B58"/>
    <w:rsid w:val="00E40B7C"/>
    <w:rsid w:val="00E40BF5"/>
    <w:rsid w:val="00E40C33"/>
    <w:rsid w:val="00E40C5C"/>
    <w:rsid w:val="00E40CB0"/>
    <w:rsid w:val="00E40CFC"/>
    <w:rsid w:val="00E40D03"/>
    <w:rsid w:val="00E40D6F"/>
    <w:rsid w:val="00E40D97"/>
    <w:rsid w:val="00E40E11"/>
    <w:rsid w:val="00E40EA8"/>
    <w:rsid w:val="00E40EC4"/>
    <w:rsid w:val="00E40F77"/>
    <w:rsid w:val="00E40FC9"/>
    <w:rsid w:val="00E41040"/>
    <w:rsid w:val="00E410BE"/>
    <w:rsid w:val="00E410C4"/>
    <w:rsid w:val="00E41159"/>
    <w:rsid w:val="00E4115A"/>
    <w:rsid w:val="00E41176"/>
    <w:rsid w:val="00E4117D"/>
    <w:rsid w:val="00E41188"/>
    <w:rsid w:val="00E4128C"/>
    <w:rsid w:val="00E41298"/>
    <w:rsid w:val="00E41332"/>
    <w:rsid w:val="00E41342"/>
    <w:rsid w:val="00E413DA"/>
    <w:rsid w:val="00E41500"/>
    <w:rsid w:val="00E415DB"/>
    <w:rsid w:val="00E415FB"/>
    <w:rsid w:val="00E416C3"/>
    <w:rsid w:val="00E416F1"/>
    <w:rsid w:val="00E4171F"/>
    <w:rsid w:val="00E41815"/>
    <w:rsid w:val="00E41902"/>
    <w:rsid w:val="00E419B5"/>
    <w:rsid w:val="00E419CC"/>
    <w:rsid w:val="00E419E7"/>
    <w:rsid w:val="00E41A47"/>
    <w:rsid w:val="00E41A4F"/>
    <w:rsid w:val="00E41A88"/>
    <w:rsid w:val="00E41AC2"/>
    <w:rsid w:val="00E41AF4"/>
    <w:rsid w:val="00E41B05"/>
    <w:rsid w:val="00E41B5D"/>
    <w:rsid w:val="00E41B63"/>
    <w:rsid w:val="00E41BE1"/>
    <w:rsid w:val="00E41CF6"/>
    <w:rsid w:val="00E41D09"/>
    <w:rsid w:val="00E41DD6"/>
    <w:rsid w:val="00E41E6C"/>
    <w:rsid w:val="00E41EA8"/>
    <w:rsid w:val="00E41FAD"/>
    <w:rsid w:val="00E41FB9"/>
    <w:rsid w:val="00E42082"/>
    <w:rsid w:val="00E4218D"/>
    <w:rsid w:val="00E421A3"/>
    <w:rsid w:val="00E4227A"/>
    <w:rsid w:val="00E422A6"/>
    <w:rsid w:val="00E422F0"/>
    <w:rsid w:val="00E42320"/>
    <w:rsid w:val="00E42386"/>
    <w:rsid w:val="00E423D6"/>
    <w:rsid w:val="00E423DC"/>
    <w:rsid w:val="00E42489"/>
    <w:rsid w:val="00E4248E"/>
    <w:rsid w:val="00E424BA"/>
    <w:rsid w:val="00E424D7"/>
    <w:rsid w:val="00E424F7"/>
    <w:rsid w:val="00E425CF"/>
    <w:rsid w:val="00E42674"/>
    <w:rsid w:val="00E426B7"/>
    <w:rsid w:val="00E427E9"/>
    <w:rsid w:val="00E427FD"/>
    <w:rsid w:val="00E4282D"/>
    <w:rsid w:val="00E4290A"/>
    <w:rsid w:val="00E42921"/>
    <w:rsid w:val="00E42998"/>
    <w:rsid w:val="00E42A03"/>
    <w:rsid w:val="00E42A08"/>
    <w:rsid w:val="00E42A80"/>
    <w:rsid w:val="00E42A93"/>
    <w:rsid w:val="00E42B94"/>
    <w:rsid w:val="00E42BC4"/>
    <w:rsid w:val="00E42BED"/>
    <w:rsid w:val="00E42BFC"/>
    <w:rsid w:val="00E42D1B"/>
    <w:rsid w:val="00E42D9B"/>
    <w:rsid w:val="00E42DFA"/>
    <w:rsid w:val="00E42E0D"/>
    <w:rsid w:val="00E42E95"/>
    <w:rsid w:val="00E42EDD"/>
    <w:rsid w:val="00E42F0A"/>
    <w:rsid w:val="00E42FAF"/>
    <w:rsid w:val="00E42FC3"/>
    <w:rsid w:val="00E42FC7"/>
    <w:rsid w:val="00E43015"/>
    <w:rsid w:val="00E4305A"/>
    <w:rsid w:val="00E4308B"/>
    <w:rsid w:val="00E430A2"/>
    <w:rsid w:val="00E430FC"/>
    <w:rsid w:val="00E43181"/>
    <w:rsid w:val="00E43184"/>
    <w:rsid w:val="00E43195"/>
    <w:rsid w:val="00E43218"/>
    <w:rsid w:val="00E4329A"/>
    <w:rsid w:val="00E432EE"/>
    <w:rsid w:val="00E43354"/>
    <w:rsid w:val="00E435F0"/>
    <w:rsid w:val="00E43755"/>
    <w:rsid w:val="00E4379C"/>
    <w:rsid w:val="00E43976"/>
    <w:rsid w:val="00E439D4"/>
    <w:rsid w:val="00E43A05"/>
    <w:rsid w:val="00E43A35"/>
    <w:rsid w:val="00E43A55"/>
    <w:rsid w:val="00E43A7E"/>
    <w:rsid w:val="00E43AB2"/>
    <w:rsid w:val="00E43B4F"/>
    <w:rsid w:val="00E43B89"/>
    <w:rsid w:val="00E43BCA"/>
    <w:rsid w:val="00E43BD8"/>
    <w:rsid w:val="00E43C20"/>
    <w:rsid w:val="00E43C46"/>
    <w:rsid w:val="00E43CAE"/>
    <w:rsid w:val="00E43CE5"/>
    <w:rsid w:val="00E43CEB"/>
    <w:rsid w:val="00E43D04"/>
    <w:rsid w:val="00E43D0D"/>
    <w:rsid w:val="00E43D7C"/>
    <w:rsid w:val="00E43DB8"/>
    <w:rsid w:val="00E43E36"/>
    <w:rsid w:val="00E43E9D"/>
    <w:rsid w:val="00E43EA4"/>
    <w:rsid w:val="00E43EB4"/>
    <w:rsid w:val="00E43EBA"/>
    <w:rsid w:val="00E43EBF"/>
    <w:rsid w:val="00E43F5F"/>
    <w:rsid w:val="00E43F8A"/>
    <w:rsid w:val="00E43F90"/>
    <w:rsid w:val="00E43FFB"/>
    <w:rsid w:val="00E440B1"/>
    <w:rsid w:val="00E440B2"/>
    <w:rsid w:val="00E4414C"/>
    <w:rsid w:val="00E44227"/>
    <w:rsid w:val="00E44229"/>
    <w:rsid w:val="00E4429E"/>
    <w:rsid w:val="00E4434B"/>
    <w:rsid w:val="00E44355"/>
    <w:rsid w:val="00E444C2"/>
    <w:rsid w:val="00E4452B"/>
    <w:rsid w:val="00E445B1"/>
    <w:rsid w:val="00E445C8"/>
    <w:rsid w:val="00E44663"/>
    <w:rsid w:val="00E4468D"/>
    <w:rsid w:val="00E44715"/>
    <w:rsid w:val="00E44734"/>
    <w:rsid w:val="00E4474D"/>
    <w:rsid w:val="00E44778"/>
    <w:rsid w:val="00E44797"/>
    <w:rsid w:val="00E447C0"/>
    <w:rsid w:val="00E44879"/>
    <w:rsid w:val="00E4487C"/>
    <w:rsid w:val="00E448B0"/>
    <w:rsid w:val="00E44978"/>
    <w:rsid w:val="00E44A32"/>
    <w:rsid w:val="00E44A71"/>
    <w:rsid w:val="00E44ACC"/>
    <w:rsid w:val="00E44BA1"/>
    <w:rsid w:val="00E44C64"/>
    <w:rsid w:val="00E44C9B"/>
    <w:rsid w:val="00E44CA3"/>
    <w:rsid w:val="00E44D3B"/>
    <w:rsid w:val="00E44E06"/>
    <w:rsid w:val="00E44E48"/>
    <w:rsid w:val="00E44E64"/>
    <w:rsid w:val="00E44E86"/>
    <w:rsid w:val="00E44EF7"/>
    <w:rsid w:val="00E44F06"/>
    <w:rsid w:val="00E44FC9"/>
    <w:rsid w:val="00E4500E"/>
    <w:rsid w:val="00E45043"/>
    <w:rsid w:val="00E450A7"/>
    <w:rsid w:val="00E4512F"/>
    <w:rsid w:val="00E451D0"/>
    <w:rsid w:val="00E451F0"/>
    <w:rsid w:val="00E45246"/>
    <w:rsid w:val="00E4537B"/>
    <w:rsid w:val="00E4547A"/>
    <w:rsid w:val="00E4550B"/>
    <w:rsid w:val="00E4555A"/>
    <w:rsid w:val="00E45563"/>
    <w:rsid w:val="00E4557D"/>
    <w:rsid w:val="00E45582"/>
    <w:rsid w:val="00E45591"/>
    <w:rsid w:val="00E455B1"/>
    <w:rsid w:val="00E45618"/>
    <w:rsid w:val="00E45692"/>
    <w:rsid w:val="00E456FE"/>
    <w:rsid w:val="00E4573D"/>
    <w:rsid w:val="00E45768"/>
    <w:rsid w:val="00E45785"/>
    <w:rsid w:val="00E457E7"/>
    <w:rsid w:val="00E45832"/>
    <w:rsid w:val="00E4584F"/>
    <w:rsid w:val="00E4586E"/>
    <w:rsid w:val="00E458A5"/>
    <w:rsid w:val="00E458B8"/>
    <w:rsid w:val="00E45915"/>
    <w:rsid w:val="00E45935"/>
    <w:rsid w:val="00E4598A"/>
    <w:rsid w:val="00E459F0"/>
    <w:rsid w:val="00E45A03"/>
    <w:rsid w:val="00E45A69"/>
    <w:rsid w:val="00E45A8A"/>
    <w:rsid w:val="00E45AE2"/>
    <w:rsid w:val="00E45B02"/>
    <w:rsid w:val="00E45B0E"/>
    <w:rsid w:val="00E45B4F"/>
    <w:rsid w:val="00E45B69"/>
    <w:rsid w:val="00E45BC8"/>
    <w:rsid w:val="00E45C95"/>
    <w:rsid w:val="00E45CB1"/>
    <w:rsid w:val="00E45CD5"/>
    <w:rsid w:val="00E45D03"/>
    <w:rsid w:val="00E45D14"/>
    <w:rsid w:val="00E45DBD"/>
    <w:rsid w:val="00E45DC1"/>
    <w:rsid w:val="00E45E40"/>
    <w:rsid w:val="00E45ED0"/>
    <w:rsid w:val="00E45F44"/>
    <w:rsid w:val="00E46051"/>
    <w:rsid w:val="00E46072"/>
    <w:rsid w:val="00E46091"/>
    <w:rsid w:val="00E460A1"/>
    <w:rsid w:val="00E460D6"/>
    <w:rsid w:val="00E460EB"/>
    <w:rsid w:val="00E461EC"/>
    <w:rsid w:val="00E4624B"/>
    <w:rsid w:val="00E4624F"/>
    <w:rsid w:val="00E462B3"/>
    <w:rsid w:val="00E46456"/>
    <w:rsid w:val="00E464B6"/>
    <w:rsid w:val="00E464FD"/>
    <w:rsid w:val="00E4651B"/>
    <w:rsid w:val="00E465E9"/>
    <w:rsid w:val="00E466D8"/>
    <w:rsid w:val="00E4679D"/>
    <w:rsid w:val="00E467F9"/>
    <w:rsid w:val="00E46817"/>
    <w:rsid w:val="00E46835"/>
    <w:rsid w:val="00E468D2"/>
    <w:rsid w:val="00E468EE"/>
    <w:rsid w:val="00E46933"/>
    <w:rsid w:val="00E46A23"/>
    <w:rsid w:val="00E46A3C"/>
    <w:rsid w:val="00E46ABE"/>
    <w:rsid w:val="00E46BC1"/>
    <w:rsid w:val="00E46BD1"/>
    <w:rsid w:val="00E46BF5"/>
    <w:rsid w:val="00E46C03"/>
    <w:rsid w:val="00E46C25"/>
    <w:rsid w:val="00E46C7B"/>
    <w:rsid w:val="00E46C92"/>
    <w:rsid w:val="00E46D98"/>
    <w:rsid w:val="00E46DA0"/>
    <w:rsid w:val="00E46E85"/>
    <w:rsid w:val="00E46EFB"/>
    <w:rsid w:val="00E46F98"/>
    <w:rsid w:val="00E47004"/>
    <w:rsid w:val="00E4708A"/>
    <w:rsid w:val="00E470C3"/>
    <w:rsid w:val="00E470D7"/>
    <w:rsid w:val="00E4713D"/>
    <w:rsid w:val="00E47147"/>
    <w:rsid w:val="00E47172"/>
    <w:rsid w:val="00E471CF"/>
    <w:rsid w:val="00E4724A"/>
    <w:rsid w:val="00E4727D"/>
    <w:rsid w:val="00E472A1"/>
    <w:rsid w:val="00E472A3"/>
    <w:rsid w:val="00E472D2"/>
    <w:rsid w:val="00E472F0"/>
    <w:rsid w:val="00E47386"/>
    <w:rsid w:val="00E4743E"/>
    <w:rsid w:val="00E47514"/>
    <w:rsid w:val="00E47549"/>
    <w:rsid w:val="00E47683"/>
    <w:rsid w:val="00E476FC"/>
    <w:rsid w:val="00E47726"/>
    <w:rsid w:val="00E4775C"/>
    <w:rsid w:val="00E4779F"/>
    <w:rsid w:val="00E47912"/>
    <w:rsid w:val="00E4791C"/>
    <w:rsid w:val="00E47966"/>
    <w:rsid w:val="00E479A2"/>
    <w:rsid w:val="00E479CD"/>
    <w:rsid w:val="00E479D3"/>
    <w:rsid w:val="00E479D6"/>
    <w:rsid w:val="00E479FC"/>
    <w:rsid w:val="00E47AB5"/>
    <w:rsid w:val="00E47AE6"/>
    <w:rsid w:val="00E47AEB"/>
    <w:rsid w:val="00E47AF3"/>
    <w:rsid w:val="00E47B2B"/>
    <w:rsid w:val="00E47B3D"/>
    <w:rsid w:val="00E47B3E"/>
    <w:rsid w:val="00E47BE2"/>
    <w:rsid w:val="00E47C42"/>
    <w:rsid w:val="00E47C7F"/>
    <w:rsid w:val="00E47CF4"/>
    <w:rsid w:val="00E47D37"/>
    <w:rsid w:val="00E47D3D"/>
    <w:rsid w:val="00E47E4B"/>
    <w:rsid w:val="00E47EA5"/>
    <w:rsid w:val="00E47FC7"/>
    <w:rsid w:val="00E500B4"/>
    <w:rsid w:val="00E5010B"/>
    <w:rsid w:val="00E50154"/>
    <w:rsid w:val="00E5016F"/>
    <w:rsid w:val="00E501B5"/>
    <w:rsid w:val="00E5022E"/>
    <w:rsid w:val="00E502B8"/>
    <w:rsid w:val="00E502E6"/>
    <w:rsid w:val="00E50352"/>
    <w:rsid w:val="00E503B6"/>
    <w:rsid w:val="00E503DC"/>
    <w:rsid w:val="00E503E0"/>
    <w:rsid w:val="00E50422"/>
    <w:rsid w:val="00E5047F"/>
    <w:rsid w:val="00E50486"/>
    <w:rsid w:val="00E504A0"/>
    <w:rsid w:val="00E504BF"/>
    <w:rsid w:val="00E504EB"/>
    <w:rsid w:val="00E50509"/>
    <w:rsid w:val="00E50600"/>
    <w:rsid w:val="00E50648"/>
    <w:rsid w:val="00E50691"/>
    <w:rsid w:val="00E50693"/>
    <w:rsid w:val="00E506E9"/>
    <w:rsid w:val="00E50708"/>
    <w:rsid w:val="00E50717"/>
    <w:rsid w:val="00E50748"/>
    <w:rsid w:val="00E5079A"/>
    <w:rsid w:val="00E508F7"/>
    <w:rsid w:val="00E50AC3"/>
    <w:rsid w:val="00E50C02"/>
    <w:rsid w:val="00E50C59"/>
    <w:rsid w:val="00E50C92"/>
    <w:rsid w:val="00E50CD3"/>
    <w:rsid w:val="00E50D5D"/>
    <w:rsid w:val="00E50E78"/>
    <w:rsid w:val="00E50F32"/>
    <w:rsid w:val="00E50F8E"/>
    <w:rsid w:val="00E51013"/>
    <w:rsid w:val="00E510B2"/>
    <w:rsid w:val="00E510FA"/>
    <w:rsid w:val="00E51118"/>
    <w:rsid w:val="00E511A4"/>
    <w:rsid w:val="00E511BF"/>
    <w:rsid w:val="00E511F1"/>
    <w:rsid w:val="00E5122A"/>
    <w:rsid w:val="00E51231"/>
    <w:rsid w:val="00E5127C"/>
    <w:rsid w:val="00E512A9"/>
    <w:rsid w:val="00E512C1"/>
    <w:rsid w:val="00E51346"/>
    <w:rsid w:val="00E5147B"/>
    <w:rsid w:val="00E51486"/>
    <w:rsid w:val="00E51497"/>
    <w:rsid w:val="00E514D6"/>
    <w:rsid w:val="00E514FC"/>
    <w:rsid w:val="00E5152E"/>
    <w:rsid w:val="00E515DA"/>
    <w:rsid w:val="00E51615"/>
    <w:rsid w:val="00E51631"/>
    <w:rsid w:val="00E51638"/>
    <w:rsid w:val="00E5168E"/>
    <w:rsid w:val="00E516D1"/>
    <w:rsid w:val="00E516F5"/>
    <w:rsid w:val="00E517B0"/>
    <w:rsid w:val="00E517EF"/>
    <w:rsid w:val="00E518C9"/>
    <w:rsid w:val="00E518F4"/>
    <w:rsid w:val="00E518F9"/>
    <w:rsid w:val="00E518FA"/>
    <w:rsid w:val="00E5192A"/>
    <w:rsid w:val="00E51A40"/>
    <w:rsid w:val="00E51A4B"/>
    <w:rsid w:val="00E51B40"/>
    <w:rsid w:val="00E51B62"/>
    <w:rsid w:val="00E51B86"/>
    <w:rsid w:val="00E51C99"/>
    <w:rsid w:val="00E51D1B"/>
    <w:rsid w:val="00E51D43"/>
    <w:rsid w:val="00E51D5A"/>
    <w:rsid w:val="00E51D6F"/>
    <w:rsid w:val="00E51D71"/>
    <w:rsid w:val="00E51DC8"/>
    <w:rsid w:val="00E51E2F"/>
    <w:rsid w:val="00E51ED0"/>
    <w:rsid w:val="00E51EE5"/>
    <w:rsid w:val="00E51F50"/>
    <w:rsid w:val="00E51F80"/>
    <w:rsid w:val="00E52002"/>
    <w:rsid w:val="00E52080"/>
    <w:rsid w:val="00E52125"/>
    <w:rsid w:val="00E521AC"/>
    <w:rsid w:val="00E52240"/>
    <w:rsid w:val="00E5225A"/>
    <w:rsid w:val="00E52284"/>
    <w:rsid w:val="00E52313"/>
    <w:rsid w:val="00E523AD"/>
    <w:rsid w:val="00E523DA"/>
    <w:rsid w:val="00E52546"/>
    <w:rsid w:val="00E52599"/>
    <w:rsid w:val="00E525D6"/>
    <w:rsid w:val="00E526FF"/>
    <w:rsid w:val="00E5281B"/>
    <w:rsid w:val="00E528E7"/>
    <w:rsid w:val="00E528E9"/>
    <w:rsid w:val="00E52A1A"/>
    <w:rsid w:val="00E52A94"/>
    <w:rsid w:val="00E52B16"/>
    <w:rsid w:val="00E52B82"/>
    <w:rsid w:val="00E52BB9"/>
    <w:rsid w:val="00E52C77"/>
    <w:rsid w:val="00E52D6A"/>
    <w:rsid w:val="00E52DC1"/>
    <w:rsid w:val="00E52E0B"/>
    <w:rsid w:val="00E52F19"/>
    <w:rsid w:val="00E53009"/>
    <w:rsid w:val="00E5301B"/>
    <w:rsid w:val="00E53049"/>
    <w:rsid w:val="00E53128"/>
    <w:rsid w:val="00E5321A"/>
    <w:rsid w:val="00E53369"/>
    <w:rsid w:val="00E533A2"/>
    <w:rsid w:val="00E533AC"/>
    <w:rsid w:val="00E533BB"/>
    <w:rsid w:val="00E53441"/>
    <w:rsid w:val="00E5348C"/>
    <w:rsid w:val="00E53545"/>
    <w:rsid w:val="00E5359E"/>
    <w:rsid w:val="00E535A7"/>
    <w:rsid w:val="00E53635"/>
    <w:rsid w:val="00E5365A"/>
    <w:rsid w:val="00E536B2"/>
    <w:rsid w:val="00E536BE"/>
    <w:rsid w:val="00E5373D"/>
    <w:rsid w:val="00E53811"/>
    <w:rsid w:val="00E5381A"/>
    <w:rsid w:val="00E5382D"/>
    <w:rsid w:val="00E5384C"/>
    <w:rsid w:val="00E53878"/>
    <w:rsid w:val="00E538D4"/>
    <w:rsid w:val="00E5390F"/>
    <w:rsid w:val="00E539E2"/>
    <w:rsid w:val="00E539FE"/>
    <w:rsid w:val="00E53A5D"/>
    <w:rsid w:val="00E53A72"/>
    <w:rsid w:val="00E53B57"/>
    <w:rsid w:val="00E53B8F"/>
    <w:rsid w:val="00E53BFB"/>
    <w:rsid w:val="00E53D15"/>
    <w:rsid w:val="00E53D25"/>
    <w:rsid w:val="00E53D4F"/>
    <w:rsid w:val="00E53D5C"/>
    <w:rsid w:val="00E53DCD"/>
    <w:rsid w:val="00E53DEF"/>
    <w:rsid w:val="00E53E02"/>
    <w:rsid w:val="00E53E62"/>
    <w:rsid w:val="00E53E63"/>
    <w:rsid w:val="00E53E73"/>
    <w:rsid w:val="00E53F04"/>
    <w:rsid w:val="00E53F0C"/>
    <w:rsid w:val="00E53F2F"/>
    <w:rsid w:val="00E53F89"/>
    <w:rsid w:val="00E53F9B"/>
    <w:rsid w:val="00E53FFB"/>
    <w:rsid w:val="00E54046"/>
    <w:rsid w:val="00E540DD"/>
    <w:rsid w:val="00E5413F"/>
    <w:rsid w:val="00E5415A"/>
    <w:rsid w:val="00E541DE"/>
    <w:rsid w:val="00E541EE"/>
    <w:rsid w:val="00E5425A"/>
    <w:rsid w:val="00E542A7"/>
    <w:rsid w:val="00E54325"/>
    <w:rsid w:val="00E54326"/>
    <w:rsid w:val="00E5432F"/>
    <w:rsid w:val="00E54412"/>
    <w:rsid w:val="00E544F4"/>
    <w:rsid w:val="00E5451D"/>
    <w:rsid w:val="00E5464C"/>
    <w:rsid w:val="00E54778"/>
    <w:rsid w:val="00E54788"/>
    <w:rsid w:val="00E547B0"/>
    <w:rsid w:val="00E547DF"/>
    <w:rsid w:val="00E54866"/>
    <w:rsid w:val="00E54930"/>
    <w:rsid w:val="00E5494F"/>
    <w:rsid w:val="00E54951"/>
    <w:rsid w:val="00E5497C"/>
    <w:rsid w:val="00E549F3"/>
    <w:rsid w:val="00E54A4B"/>
    <w:rsid w:val="00E54B5C"/>
    <w:rsid w:val="00E54B73"/>
    <w:rsid w:val="00E54BD9"/>
    <w:rsid w:val="00E54BEE"/>
    <w:rsid w:val="00E54C3F"/>
    <w:rsid w:val="00E54CB3"/>
    <w:rsid w:val="00E54CFA"/>
    <w:rsid w:val="00E54D29"/>
    <w:rsid w:val="00E54D54"/>
    <w:rsid w:val="00E54D56"/>
    <w:rsid w:val="00E54DD8"/>
    <w:rsid w:val="00E54E2D"/>
    <w:rsid w:val="00E54E86"/>
    <w:rsid w:val="00E54EB9"/>
    <w:rsid w:val="00E54EE3"/>
    <w:rsid w:val="00E54EFE"/>
    <w:rsid w:val="00E54F43"/>
    <w:rsid w:val="00E54FFB"/>
    <w:rsid w:val="00E55081"/>
    <w:rsid w:val="00E550AF"/>
    <w:rsid w:val="00E550BA"/>
    <w:rsid w:val="00E550F9"/>
    <w:rsid w:val="00E5516B"/>
    <w:rsid w:val="00E5521B"/>
    <w:rsid w:val="00E552D4"/>
    <w:rsid w:val="00E553C6"/>
    <w:rsid w:val="00E55429"/>
    <w:rsid w:val="00E55474"/>
    <w:rsid w:val="00E554AA"/>
    <w:rsid w:val="00E554E6"/>
    <w:rsid w:val="00E55534"/>
    <w:rsid w:val="00E5557D"/>
    <w:rsid w:val="00E555DF"/>
    <w:rsid w:val="00E55757"/>
    <w:rsid w:val="00E557AC"/>
    <w:rsid w:val="00E557DD"/>
    <w:rsid w:val="00E55818"/>
    <w:rsid w:val="00E55900"/>
    <w:rsid w:val="00E5595B"/>
    <w:rsid w:val="00E55A31"/>
    <w:rsid w:val="00E55A80"/>
    <w:rsid w:val="00E55AA0"/>
    <w:rsid w:val="00E55AC0"/>
    <w:rsid w:val="00E55ADD"/>
    <w:rsid w:val="00E55B0B"/>
    <w:rsid w:val="00E55B3C"/>
    <w:rsid w:val="00E55B74"/>
    <w:rsid w:val="00E55BB5"/>
    <w:rsid w:val="00E55C3C"/>
    <w:rsid w:val="00E55C84"/>
    <w:rsid w:val="00E55CAF"/>
    <w:rsid w:val="00E55DFA"/>
    <w:rsid w:val="00E55E25"/>
    <w:rsid w:val="00E55E40"/>
    <w:rsid w:val="00E55E83"/>
    <w:rsid w:val="00E55E9D"/>
    <w:rsid w:val="00E55F03"/>
    <w:rsid w:val="00E55F20"/>
    <w:rsid w:val="00E55F5E"/>
    <w:rsid w:val="00E55F72"/>
    <w:rsid w:val="00E55F82"/>
    <w:rsid w:val="00E56024"/>
    <w:rsid w:val="00E56045"/>
    <w:rsid w:val="00E56119"/>
    <w:rsid w:val="00E56184"/>
    <w:rsid w:val="00E5618D"/>
    <w:rsid w:val="00E5618F"/>
    <w:rsid w:val="00E56225"/>
    <w:rsid w:val="00E562D2"/>
    <w:rsid w:val="00E56366"/>
    <w:rsid w:val="00E56497"/>
    <w:rsid w:val="00E56518"/>
    <w:rsid w:val="00E5654E"/>
    <w:rsid w:val="00E56560"/>
    <w:rsid w:val="00E5656D"/>
    <w:rsid w:val="00E56612"/>
    <w:rsid w:val="00E56617"/>
    <w:rsid w:val="00E566D4"/>
    <w:rsid w:val="00E5674D"/>
    <w:rsid w:val="00E5679A"/>
    <w:rsid w:val="00E567B9"/>
    <w:rsid w:val="00E567C4"/>
    <w:rsid w:val="00E568C5"/>
    <w:rsid w:val="00E568D9"/>
    <w:rsid w:val="00E568F2"/>
    <w:rsid w:val="00E56921"/>
    <w:rsid w:val="00E56931"/>
    <w:rsid w:val="00E5695B"/>
    <w:rsid w:val="00E569A3"/>
    <w:rsid w:val="00E569FC"/>
    <w:rsid w:val="00E56A0B"/>
    <w:rsid w:val="00E56A31"/>
    <w:rsid w:val="00E56A42"/>
    <w:rsid w:val="00E56AE4"/>
    <w:rsid w:val="00E56BA6"/>
    <w:rsid w:val="00E56C8E"/>
    <w:rsid w:val="00E56CAF"/>
    <w:rsid w:val="00E56D0D"/>
    <w:rsid w:val="00E56D47"/>
    <w:rsid w:val="00E56D4B"/>
    <w:rsid w:val="00E56E8E"/>
    <w:rsid w:val="00E56F2B"/>
    <w:rsid w:val="00E56F90"/>
    <w:rsid w:val="00E56FAC"/>
    <w:rsid w:val="00E57116"/>
    <w:rsid w:val="00E57162"/>
    <w:rsid w:val="00E571D9"/>
    <w:rsid w:val="00E57276"/>
    <w:rsid w:val="00E57286"/>
    <w:rsid w:val="00E572A2"/>
    <w:rsid w:val="00E572B4"/>
    <w:rsid w:val="00E573D8"/>
    <w:rsid w:val="00E573DB"/>
    <w:rsid w:val="00E5747A"/>
    <w:rsid w:val="00E5752A"/>
    <w:rsid w:val="00E575C1"/>
    <w:rsid w:val="00E575E5"/>
    <w:rsid w:val="00E575F9"/>
    <w:rsid w:val="00E57658"/>
    <w:rsid w:val="00E57668"/>
    <w:rsid w:val="00E57694"/>
    <w:rsid w:val="00E577A0"/>
    <w:rsid w:val="00E5782B"/>
    <w:rsid w:val="00E5787E"/>
    <w:rsid w:val="00E57880"/>
    <w:rsid w:val="00E578A1"/>
    <w:rsid w:val="00E578F2"/>
    <w:rsid w:val="00E5799A"/>
    <w:rsid w:val="00E57A11"/>
    <w:rsid w:val="00E57A22"/>
    <w:rsid w:val="00E57A62"/>
    <w:rsid w:val="00E57AC3"/>
    <w:rsid w:val="00E57AF3"/>
    <w:rsid w:val="00E57B1E"/>
    <w:rsid w:val="00E57B2F"/>
    <w:rsid w:val="00E57BC4"/>
    <w:rsid w:val="00E57D0D"/>
    <w:rsid w:val="00E57D49"/>
    <w:rsid w:val="00E57D62"/>
    <w:rsid w:val="00E57DBF"/>
    <w:rsid w:val="00E57E45"/>
    <w:rsid w:val="00E57EBA"/>
    <w:rsid w:val="00E57F3B"/>
    <w:rsid w:val="00E57F44"/>
    <w:rsid w:val="00E60055"/>
    <w:rsid w:val="00E6007C"/>
    <w:rsid w:val="00E6007E"/>
    <w:rsid w:val="00E60083"/>
    <w:rsid w:val="00E600D7"/>
    <w:rsid w:val="00E6010E"/>
    <w:rsid w:val="00E60167"/>
    <w:rsid w:val="00E6017F"/>
    <w:rsid w:val="00E60244"/>
    <w:rsid w:val="00E60277"/>
    <w:rsid w:val="00E6027C"/>
    <w:rsid w:val="00E60356"/>
    <w:rsid w:val="00E603AB"/>
    <w:rsid w:val="00E603EA"/>
    <w:rsid w:val="00E60408"/>
    <w:rsid w:val="00E60442"/>
    <w:rsid w:val="00E60463"/>
    <w:rsid w:val="00E6056C"/>
    <w:rsid w:val="00E605D1"/>
    <w:rsid w:val="00E60625"/>
    <w:rsid w:val="00E60799"/>
    <w:rsid w:val="00E607C3"/>
    <w:rsid w:val="00E607E0"/>
    <w:rsid w:val="00E60820"/>
    <w:rsid w:val="00E60862"/>
    <w:rsid w:val="00E6090C"/>
    <w:rsid w:val="00E60940"/>
    <w:rsid w:val="00E6095F"/>
    <w:rsid w:val="00E609B6"/>
    <w:rsid w:val="00E609FB"/>
    <w:rsid w:val="00E60A1A"/>
    <w:rsid w:val="00E60A95"/>
    <w:rsid w:val="00E60AF6"/>
    <w:rsid w:val="00E60BE6"/>
    <w:rsid w:val="00E60C0D"/>
    <w:rsid w:val="00E60C0F"/>
    <w:rsid w:val="00E60C45"/>
    <w:rsid w:val="00E60C58"/>
    <w:rsid w:val="00E60D24"/>
    <w:rsid w:val="00E60D54"/>
    <w:rsid w:val="00E60D6D"/>
    <w:rsid w:val="00E60DC5"/>
    <w:rsid w:val="00E60E07"/>
    <w:rsid w:val="00E60E94"/>
    <w:rsid w:val="00E60EA2"/>
    <w:rsid w:val="00E60F5C"/>
    <w:rsid w:val="00E60FA1"/>
    <w:rsid w:val="00E61089"/>
    <w:rsid w:val="00E61092"/>
    <w:rsid w:val="00E61095"/>
    <w:rsid w:val="00E610C5"/>
    <w:rsid w:val="00E6114C"/>
    <w:rsid w:val="00E61252"/>
    <w:rsid w:val="00E612B9"/>
    <w:rsid w:val="00E612C5"/>
    <w:rsid w:val="00E61315"/>
    <w:rsid w:val="00E61353"/>
    <w:rsid w:val="00E613BE"/>
    <w:rsid w:val="00E613E3"/>
    <w:rsid w:val="00E61405"/>
    <w:rsid w:val="00E61430"/>
    <w:rsid w:val="00E61435"/>
    <w:rsid w:val="00E61492"/>
    <w:rsid w:val="00E614A6"/>
    <w:rsid w:val="00E614DB"/>
    <w:rsid w:val="00E61509"/>
    <w:rsid w:val="00E6157C"/>
    <w:rsid w:val="00E615C9"/>
    <w:rsid w:val="00E615E0"/>
    <w:rsid w:val="00E61664"/>
    <w:rsid w:val="00E6169A"/>
    <w:rsid w:val="00E6169E"/>
    <w:rsid w:val="00E6172A"/>
    <w:rsid w:val="00E6183B"/>
    <w:rsid w:val="00E61898"/>
    <w:rsid w:val="00E618C7"/>
    <w:rsid w:val="00E61961"/>
    <w:rsid w:val="00E6197D"/>
    <w:rsid w:val="00E619FD"/>
    <w:rsid w:val="00E61A87"/>
    <w:rsid w:val="00E61AE2"/>
    <w:rsid w:val="00E61AE8"/>
    <w:rsid w:val="00E61B34"/>
    <w:rsid w:val="00E61B4F"/>
    <w:rsid w:val="00E61B85"/>
    <w:rsid w:val="00E61B8B"/>
    <w:rsid w:val="00E61C40"/>
    <w:rsid w:val="00E61C76"/>
    <w:rsid w:val="00E61C7F"/>
    <w:rsid w:val="00E61D1D"/>
    <w:rsid w:val="00E61D2A"/>
    <w:rsid w:val="00E61F1C"/>
    <w:rsid w:val="00E61F26"/>
    <w:rsid w:val="00E61F3D"/>
    <w:rsid w:val="00E61FA8"/>
    <w:rsid w:val="00E6206F"/>
    <w:rsid w:val="00E62094"/>
    <w:rsid w:val="00E620AF"/>
    <w:rsid w:val="00E620D9"/>
    <w:rsid w:val="00E6212E"/>
    <w:rsid w:val="00E62171"/>
    <w:rsid w:val="00E621D5"/>
    <w:rsid w:val="00E621DD"/>
    <w:rsid w:val="00E6221C"/>
    <w:rsid w:val="00E62228"/>
    <w:rsid w:val="00E6228F"/>
    <w:rsid w:val="00E62291"/>
    <w:rsid w:val="00E622FB"/>
    <w:rsid w:val="00E62321"/>
    <w:rsid w:val="00E62558"/>
    <w:rsid w:val="00E62625"/>
    <w:rsid w:val="00E62626"/>
    <w:rsid w:val="00E62750"/>
    <w:rsid w:val="00E62789"/>
    <w:rsid w:val="00E627BF"/>
    <w:rsid w:val="00E6281A"/>
    <w:rsid w:val="00E628A2"/>
    <w:rsid w:val="00E62934"/>
    <w:rsid w:val="00E6294D"/>
    <w:rsid w:val="00E62998"/>
    <w:rsid w:val="00E629BC"/>
    <w:rsid w:val="00E62A33"/>
    <w:rsid w:val="00E62A5E"/>
    <w:rsid w:val="00E62AAC"/>
    <w:rsid w:val="00E62B43"/>
    <w:rsid w:val="00E62B47"/>
    <w:rsid w:val="00E62B6C"/>
    <w:rsid w:val="00E62CC4"/>
    <w:rsid w:val="00E62CE4"/>
    <w:rsid w:val="00E62CEA"/>
    <w:rsid w:val="00E62D0F"/>
    <w:rsid w:val="00E62D66"/>
    <w:rsid w:val="00E62D9A"/>
    <w:rsid w:val="00E62E19"/>
    <w:rsid w:val="00E62E7A"/>
    <w:rsid w:val="00E62F50"/>
    <w:rsid w:val="00E62F5B"/>
    <w:rsid w:val="00E62F79"/>
    <w:rsid w:val="00E62F8D"/>
    <w:rsid w:val="00E630C0"/>
    <w:rsid w:val="00E6314E"/>
    <w:rsid w:val="00E631A0"/>
    <w:rsid w:val="00E63293"/>
    <w:rsid w:val="00E632CB"/>
    <w:rsid w:val="00E632D6"/>
    <w:rsid w:val="00E633BB"/>
    <w:rsid w:val="00E63484"/>
    <w:rsid w:val="00E63570"/>
    <w:rsid w:val="00E63584"/>
    <w:rsid w:val="00E635E3"/>
    <w:rsid w:val="00E63644"/>
    <w:rsid w:val="00E63662"/>
    <w:rsid w:val="00E6369F"/>
    <w:rsid w:val="00E636CC"/>
    <w:rsid w:val="00E63766"/>
    <w:rsid w:val="00E63774"/>
    <w:rsid w:val="00E63790"/>
    <w:rsid w:val="00E637D0"/>
    <w:rsid w:val="00E63862"/>
    <w:rsid w:val="00E63873"/>
    <w:rsid w:val="00E638C1"/>
    <w:rsid w:val="00E63907"/>
    <w:rsid w:val="00E639BF"/>
    <w:rsid w:val="00E639D8"/>
    <w:rsid w:val="00E63B2C"/>
    <w:rsid w:val="00E63B9F"/>
    <w:rsid w:val="00E63BB1"/>
    <w:rsid w:val="00E63C56"/>
    <w:rsid w:val="00E63CD2"/>
    <w:rsid w:val="00E63CF7"/>
    <w:rsid w:val="00E63CFD"/>
    <w:rsid w:val="00E63D23"/>
    <w:rsid w:val="00E63D47"/>
    <w:rsid w:val="00E63E27"/>
    <w:rsid w:val="00E63E41"/>
    <w:rsid w:val="00E63E43"/>
    <w:rsid w:val="00E63ECE"/>
    <w:rsid w:val="00E63F40"/>
    <w:rsid w:val="00E6415E"/>
    <w:rsid w:val="00E64173"/>
    <w:rsid w:val="00E641CA"/>
    <w:rsid w:val="00E64289"/>
    <w:rsid w:val="00E642E6"/>
    <w:rsid w:val="00E6432B"/>
    <w:rsid w:val="00E64489"/>
    <w:rsid w:val="00E644DA"/>
    <w:rsid w:val="00E64590"/>
    <w:rsid w:val="00E645A3"/>
    <w:rsid w:val="00E646AD"/>
    <w:rsid w:val="00E64705"/>
    <w:rsid w:val="00E6470D"/>
    <w:rsid w:val="00E6473A"/>
    <w:rsid w:val="00E64748"/>
    <w:rsid w:val="00E647C9"/>
    <w:rsid w:val="00E647CF"/>
    <w:rsid w:val="00E64839"/>
    <w:rsid w:val="00E6483C"/>
    <w:rsid w:val="00E648BB"/>
    <w:rsid w:val="00E6492C"/>
    <w:rsid w:val="00E64A87"/>
    <w:rsid w:val="00E64ACA"/>
    <w:rsid w:val="00E64B39"/>
    <w:rsid w:val="00E64B4A"/>
    <w:rsid w:val="00E64BCA"/>
    <w:rsid w:val="00E64BD0"/>
    <w:rsid w:val="00E64C63"/>
    <w:rsid w:val="00E64C9F"/>
    <w:rsid w:val="00E64CAD"/>
    <w:rsid w:val="00E64D8C"/>
    <w:rsid w:val="00E64E3C"/>
    <w:rsid w:val="00E64E59"/>
    <w:rsid w:val="00E64E6E"/>
    <w:rsid w:val="00E64E72"/>
    <w:rsid w:val="00E64F98"/>
    <w:rsid w:val="00E6501E"/>
    <w:rsid w:val="00E650D2"/>
    <w:rsid w:val="00E650E5"/>
    <w:rsid w:val="00E650EE"/>
    <w:rsid w:val="00E651BE"/>
    <w:rsid w:val="00E652F2"/>
    <w:rsid w:val="00E65302"/>
    <w:rsid w:val="00E65355"/>
    <w:rsid w:val="00E6537F"/>
    <w:rsid w:val="00E653B1"/>
    <w:rsid w:val="00E653D6"/>
    <w:rsid w:val="00E653F6"/>
    <w:rsid w:val="00E6542E"/>
    <w:rsid w:val="00E65470"/>
    <w:rsid w:val="00E654A9"/>
    <w:rsid w:val="00E654F4"/>
    <w:rsid w:val="00E6557D"/>
    <w:rsid w:val="00E65599"/>
    <w:rsid w:val="00E655F2"/>
    <w:rsid w:val="00E656EB"/>
    <w:rsid w:val="00E65704"/>
    <w:rsid w:val="00E65742"/>
    <w:rsid w:val="00E65768"/>
    <w:rsid w:val="00E657FE"/>
    <w:rsid w:val="00E65822"/>
    <w:rsid w:val="00E65947"/>
    <w:rsid w:val="00E65974"/>
    <w:rsid w:val="00E65A10"/>
    <w:rsid w:val="00E65A4A"/>
    <w:rsid w:val="00E65AF0"/>
    <w:rsid w:val="00E65AFF"/>
    <w:rsid w:val="00E65B42"/>
    <w:rsid w:val="00E65B67"/>
    <w:rsid w:val="00E65BC0"/>
    <w:rsid w:val="00E65BD8"/>
    <w:rsid w:val="00E65BE1"/>
    <w:rsid w:val="00E65BEB"/>
    <w:rsid w:val="00E65CF0"/>
    <w:rsid w:val="00E65D2C"/>
    <w:rsid w:val="00E65D8B"/>
    <w:rsid w:val="00E65D9F"/>
    <w:rsid w:val="00E65E26"/>
    <w:rsid w:val="00E65E68"/>
    <w:rsid w:val="00E65E8D"/>
    <w:rsid w:val="00E65EA1"/>
    <w:rsid w:val="00E65F02"/>
    <w:rsid w:val="00E65F06"/>
    <w:rsid w:val="00E65F4E"/>
    <w:rsid w:val="00E65F65"/>
    <w:rsid w:val="00E65FE3"/>
    <w:rsid w:val="00E6600C"/>
    <w:rsid w:val="00E660B7"/>
    <w:rsid w:val="00E660CF"/>
    <w:rsid w:val="00E660DE"/>
    <w:rsid w:val="00E66133"/>
    <w:rsid w:val="00E661F7"/>
    <w:rsid w:val="00E662E0"/>
    <w:rsid w:val="00E6632C"/>
    <w:rsid w:val="00E663E9"/>
    <w:rsid w:val="00E66424"/>
    <w:rsid w:val="00E66444"/>
    <w:rsid w:val="00E664A4"/>
    <w:rsid w:val="00E664C6"/>
    <w:rsid w:val="00E664EF"/>
    <w:rsid w:val="00E665CA"/>
    <w:rsid w:val="00E6662C"/>
    <w:rsid w:val="00E666B5"/>
    <w:rsid w:val="00E66703"/>
    <w:rsid w:val="00E66761"/>
    <w:rsid w:val="00E66793"/>
    <w:rsid w:val="00E667EB"/>
    <w:rsid w:val="00E6686D"/>
    <w:rsid w:val="00E668A2"/>
    <w:rsid w:val="00E6691D"/>
    <w:rsid w:val="00E66931"/>
    <w:rsid w:val="00E66963"/>
    <w:rsid w:val="00E6696E"/>
    <w:rsid w:val="00E6696F"/>
    <w:rsid w:val="00E6699F"/>
    <w:rsid w:val="00E669A6"/>
    <w:rsid w:val="00E669DD"/>
    <w:rsid w:val="00E66A20"/>
    <w:rsid w:val="00E66BB8"/>
    <w:rsid w:val="00E66C2E"/>
    <w:rsid w:val="00E66C54"/>
    <w:rsid w:val="00E66CA9"/>
    <w:rsid w:val="00E66DC1"/>
    <w:rsid w:val="00E66DF5"/>
    <w:rsid w:val="00E66E0A"/>
    <w:rsid w:val="00E66E76"/>
    <w:rsid w:val="00E66EF0"/>
    <w:rsid w:val="00E66F4C"/>
    <w:rsid w:val="00E66FAD"/>
    <w:rsid w:val="00E66FBF"/>
    <w:rsid w:val="00E66FEC"/>
    <w:rsid w:val="00E67001"/>
    <w:rsid w:val="00E67031"/>
    <w:rsid w:val="00E67040"/>
    <w:rsid w:val="00E670D1"/>
    <w:rsid w:val="00E671D6"/>
    <w:rsid w:val="00E671F0"/>
    <w:rsid w:val="00E6728F"/>
    <w:rsid w:val="00E6730F"/>
    <w:rsid w:val="00E6735B"/>
    <w:rsid w:val="00E673B0"/>
    <w:rsid w:val="00E673E6"/>
    <w:rsid w:val="00E67409"/>
    <w:rsid w:val="00E67411"/>
    <w:rsid w:val="00E67425"/>
    <w:rsid w:val="00E67448"/>
    <w:rsid w:val="00E6749F"/>
    <w:rsid w:val="00E67500"/>
    <w:rsid w:val="00E6753B"/>
    <w:rsid w:val="00E6755B"/>
    <w:rsid w:val="00E6761E"/>
    <w:rsid w:val="00E67626"/>
    <w:rsid w:val="00E676AF"/>
    <w:rsid w:val="00E676C8"/>
    <w:rsid w:val="00E676F8"/>
    <w:rsid w:val="00E677F7"/>
    <w:rsid w:val="00E6792F"/>
    <w:rsid w:val="00E67A20"/>
    <w:rsid w:val="00E67B0A"/>
    <w:rsid w:val="00E67BAF"/>
    <w:rsid w:val="00E67BC6"/>
    <w:rsid w:val="00E67C26"/>
    <w:rsid w:val="00E67C37"/>
    <w:rsid w:val="00E67C3A"/>
    <w:rsid w:val="00E67C61"/>
    <w:rsid w:val="00E67D2D"/>
    <w:rsid w:val="00E67D4C"/>
    <w:rsid w:val="00E67DAE"/>
    <w:rsid w:val="00E67E58"/>
    <w:rsid w:val="00E67EDD"/>
    <w:rsid w:val="00E67EF6"/>
    <w:rsid w:val="00E67F9A"/>
    <w:rsid w:val="00E6B7DC"/>
    <w:rsid w:val="00E70040"/>
    <w:rsid w:val="00E70053"/>
    <w:rsid w:val="00E7005B"/>
    <w:rsid w:val="00E700AE"/>
    <w:rsid w:val="00E700B0"/>
    <w:rsid w:val="00E7011E"/>
    <w:rsid w:val="00E70141"/>
    <w:rsid w:val="00E7015A"/>
    <w:rsid w:val="00E701E8"/>
    <w:rsid w:val="00E70211"/>
    <w:rsid w:val="00E7024E"/>
    <w:rsid w:val="00E702CB"/>
    <w:rsid w:val="00E70316"/>
    <w:rsid w:val="00E70365"/>
    <w:rsid w:val="00E703E3"/>
    <w:rsid w:val="00E7040F"/>
    <w:rsid w:val="00E70415"/>
    <w:rsid w:val="00E7045A"/>
    <w:rsid w:val="00E704AA"/>
    <w:rsid w:val="00E704DE"/>
    <w:rsid w:val="00E7058D"/>
    <w:rsid w:val="00E706C2"/>
    <w:rsid w:val="00E708BA"/>
    <w:rsid w:val="00E708C1"/>
    <w:rsid w:val="00E708C9"/>
    <w:rsid w:val="00E708CE"/>
    <w:rsid w:val="00E709A0"/>
    <w:rsid w:val="00E709F3"/>
    <w:rsid w:val="00E70A28"/>
    <w:rsid w:val="00E70A9D"/>
    <w:rsid w:val="00E70AC8"/>
    <w:rsid w:val="00E70B77"/>
    <w:rsid w:val="00E70BE9"/>
    <w:rsid w:val="00E70CA8"/>
    <w:rsid w:val="00E70CCB"/>
    <w:rsid w:val="00E70CD3"/>
    <w:rsid w:val="00E70CFD"/>
    <w:rsid w:val="00E70D2D"/>
    <w:rsid w:val="00E70D37"/>
    <w:rsid w:val="00E70D56"/>
    <w:rsid w:val="00E70DC7"/>
    <w:rsid w:val="00E70E43"/>
    <w:rsid w:val="00E70F81"/>
    <w:rsid w:val="00E70F83"/>
    <w:rsid w:val="00E71043"/>
    <w:rsid w:val="00E71058"/>
    <w:rsid w:val="00E71172"/>
    <w:rsid w:val="00E711B8"/>
    <w:rsid w:val="00E7121A"/>
    <w:rsid w:val="00E7124E"/>
    <w:rsid w:val="00E7130C"/>
    <w:rsid w:val="00E71321"/>
    <w:rsid w:val="00E7142A"/>
    <w:rsid w:val="00E7144E"/>
    <w:rsid w:val="00E71495"/>
    <w:rsid w:val="00E715A0"/>
    <w:rsid w:val="00E7168B"/>
    <w:rsid w:val="00E716B8"/>
    <w:rsid w:val="00E716D8"/>
    <w:rsid w:val="00E7173B"/>
    <w:rsid w:val="00E71743"/>
    <w:rsid w:val="00E7175C"/>
    <w:rsid w:val="00E71815"/>
    <w:rsid w:val="00E71840"/>
    <w:rsid w:val="00E71848"/>
    <w:rsid w:val="00E7184F"/>
    <w:rsid w:val="00E7187C"/>
    <w:rsid w:val="00E718C4"/>
    <w:rsid w:val="00E718E2"/>
    <w:rsid w:val="00E719F0"/>
    <w:rsid w:val="00E719F3"/>
    <w:rsid w:val="00E71A14"/>
    <w:rsid w:val="00E71A58"/>
    <w:rsid w:val="00E71A89"/>
    <w:rsid w:val="00E71AA6"/>
    <w:rsid w:val="00E71AB9"/>
    <w:rsid w:val="00E71C32"/>
    <w:rsid w:val="00E71C3E"/>
    <w:rsid w:val="00E71C74"/>
    <w:rsid w:val="00E71D1D"/>
    <w:rsid w:val="00E71D2C"/>
    <w:rsid w:val="00E71DB4"/>
    <w:rsid w:val="00E71E40"/>
    <w:rsid w:val="00E71E9C"/>
    <w:rsid w:val="00E71EA6"/>
    <w:rsid w:val="00E71F3C"/>
    <w:rsid w:val="00E71F4A"/>
    <w:rsid w:val="00E72034"/>
    <w:rsid w:val="00E72062"/>
    <w:rsid w:val="00E7207F"/>
    <w:rsid w:val="00E720B9"/>
    <w:rsid w:val="00E7210E"/>
    <w:rsid w:val="00E7211B"/>
    <w:rsid w:val="00E7217E"/>
    <w:rsid w:val="00E7223E"/>
    <w:rsid w:val="00E72352"/>
    <w:rsid w:val="00E723E0"/>
    <w:rsid w:val="00E7245B"/>
    <w:rsid w:val="00E72479"/>
    <w:rsid w:val="00E7247B"/>
    <w:rsid w:val="00E724EC"/>
    <w:rsid w:val="00E7257D"/>
    <w:rsid w:val="00E725BA"/>
    <w:rsid w:val="00E725C1"/>
    <w:rsid w:val="00E72692"/>
    <w:rsid w:val="00E72754"/>
    <w:rsid w:val="00E727BC"/>
    <w:rsid w:val="00E72816"/>
    <w:rsid w:val="00E729D6"/>
    <w:rsid w:val="00E72A38"/>
    <w:rsid w:val="00E72A68"/>
    <w:rsid w:val="00E72A99"/>
    <w:rsid w:val="00E72B43"/>
    <w:rsid w:val="00E72D03"/>
    <w:rsid w:val="00E72D1B"/>
    <w:rsid w:val="00E72E42"/>
    <w:rsid w:val="00E72E47"/>
    <w:rsid w:val="00E72E6E"/>
    <w:rsid w:val="00E72E75"/>
    <w:rsid w:val="00E72EF2"/>
    <w:rsid w:val="00E72F17"/>
    <w:rsid w:val="00E72F3B"/>
    <w:rsid w:val="00E72F8B"/>
    <w:rsid w:val="00E73010"/>
    <w:rsid w:val="00E7302B"/>
    <w:rsid w:val="00E7309D"/>
    <w:rsid w:val="00E730B9"/>
    <w:rsid w:val="00E730C6"/>
    <w:rsid w:val="00E730D9"/>
    <w:rsid w:val="00E730F2"/>
    <w:rsid w:val="00E73110"/>
    <w:rsid w:val="00E731EB"/>
    <w:rsid w:val="00E73282"/>
    <w:rsid w:val="00E732ED"/>
    <w:rsid w:val="00E7334C"/>
    <w:rsid w:val="00E7338F"/>
    <w:rsid w:val="00E73413"/>
    <w:rsid w:val="00E73449"/>
    <w:rsid w:val="00E73650"/>
    <w:rsid w:val="00E73670"/>
    <w:rsid w:val="00E736AF"/>
    <w:rsid w:val="00E737A2"/>
    <w:rsid w:val="00E737BF"/>
    <w:rsid w:val="00E737D2"/>
    <w:rsid w:val="00E737DC"/>
    <w:rsid w:val="00E7389F"/>
    <w:rsid w:val="00E738BD"/>
    <w:rsid w:val="00E73969"/>
    <w:rsid w:val="00E7397A"/>
    <w:rsid w:val="00E739B1"/>
    <w:rsid w:val="00E73A1F"/>
    <w:rsid w:val="00E73B2E"/>
    <w:rsid w:val="00E73C57"/>
    <w:rsid w:val="00E73C7D"/>
    <w:rsid w:val="00E73C85"/>
    <w:rsid w:val="00E73C87"/>
    <w:rsid w:val="00E73C8C"/>
    <w:rsid w:val="00E73C92"/>
    <w:rsid w:val="00E73D6F"/>
    <w:rsid w:val="00E73DB8"/>
    <w:rsid w:val="00E73DE6"/>
    <w:rsid w:val="00E73E4C"/>
    <w:rsid w:val="00E73EE6"/>
    <w:rsid w:val="00E73EEB"/>
    <w:rsid w:val="00E73F1E"/>
    <w:rsid w:val="00E73FC9"/>
    <w:rsid w:val="00E73FD9"/>
    <w:rsid w:val="00E7406A"/>
    <w:rsid w:val="00E7407B"/>
    <w:rsid w:val="00E7416A"/>
    <w:rsid w:val="00E741D5"/>
    <w:rsid w:val="00E741DA"/>
    <w:rsid w:val="00E741E9"/>
    <w:rsid w:val="00E742B2"/>
    <w:rsid w:val="00E7439C"/>
    <w:rsid w:val="00E74407"/>
    <w:rsid w:val="00E7441C"/>
    <w:rsid w:val="00E7444E"/>
    <w:rsid w:val="00E744A3"/>
    <w:rsid w:val="00E744C0"/>
    <w:rsid w:val="00E744D4"/>
    <w:rsid w:val="00E74526"/>
    <w:rsid w:val="00E74529"/>
    <w:rsid w:val="00E74582"/>
    <w:rsid w:val="00E7464D"/>
    <w:rsid w:val="00E74688"/>
    <w:rsid w:val="00E7469B"/>
    <w:rsid w:val="00E74726"/>
    <w:rsid w:val="00E7472F"/>
    <w:rsid w:val="00E74760"/>
    <w:rsid w:val="00E74796"/>
    <w:rsid w:val="00E74824"/>
    <w:rsid w:val="00E74827"/>
    <w:rsid w:val="00E74892"/>
    <w:rsid w:val="00E74982"/>
    <w:rsid w:val="00E74A84"/>
    <w:rsid w:val="00E74B0B"/>
    <w:rsid w:val="00E74B44"/>
    <w:rsid w:val="00E74B71"/>
    <w:rsid w:val="00E74BBB"/>
    <w:rsid w:val="00E74BBD"/>
    <w:rsid w:val="00E74BC9"/>
    <w:rsid w:val="00E74CA3"/>
    <w:rsid w:val="00E74CAF"/>
    <w:rsid w:val="00E74CB3"/>
    <w:rsid w:val="00E74CC5"/>
    <w:rsid w:val="00E74CDD"/>
    <w:rsid w:val="00E74D36"/>
    <w:rsid w:val="00E74D3F"/>
    <w:rsid w:val="00E74D90"/>
    <w:rsid w:val="00E74DE1"/>
    <w:rsid w:val="00E74E09"/>
    <w:rsid w:val="00E74E1B"/>
    <w:rsid w:val="00E74E51"/>
    <w:rsid w:val="00E74E57"/>
    <w:rsid w:val="00E74ECC"/>
    <w:rsid w:val="00E74EED"/>
    <w:rsid w:val="00E74F68"/>
    <w:rsid w:val="00E75064"/>
    <w:rsid w:val="00E7506D"/>
    <w:rsid w:val="00E7506F"/>
    <w:rsid w:val="00E75093"/>
    <w:rsid w:val="00E750C1"/>
    <w:rsid w:val="00E7520C"/>
    <w:rsid w:val="00E75224"/>
    <w:rsid w:val="00E75255"/>
    <w:rsid w:val="00E752F1"/>
    <w:rsid w:val="00E753F9"/>
    <w:rsid w:val="00E75435"/>
    <w:rsid w:val="00E7550C"/>
    <w:rsid w:val="00E75533"/>
    <w:rsid w:val="00E7553B"/>
    <w:rsid w:val="00E755AA"/>
    <w:rsid w:val="00E7564E"/>
    <w:rsid w:val="00E75695"/>
    <w:rsid w:val="00E756B0"/>
    <w:rsid w:val="00E75710"/>
    <w:rsid w:val="00E75785"/>
    <w:rsid w:val="00E757A4"/>
    <w:rsid w:val="00E757E7"/>
    <w:rsid w:val="00E75824"/>
    <w:rsid w:val="00E75827"/>
    <w:rsid w:val="00E75A55"/>
    <w:rsid w:val="00E75A8D"/>
    <w:rsid w:val="00E75A9F"/>
    <w:rsid w:val="00E75B64"/>
    <w:rsid w:val="00E75B82"/>
    <w:rsid w:val="00E75BC7"/>
    <w:rsid w:val="00E75C63"/>
    <w:rsid w:val="00E75C6D"/>
    <w:rsid w:val="00E75C88"/>
    <w:rsid w:val="00E75D8C"/>
    <w:rsid w:val="00E75DB3"/>
    <w:rsid w:val="00E75DB5"/>
    <w:rsid w:val="00E75DFE"/>
    <w:rsid w:val="00E75E5D"/>
    <w:rsid w:val="00E75EFC"/>
    <w:rsid w:val="00E75F50"/>
    <w:rsid w:val="00E75F82"/>
    <w:rsid w:val="00E75FD7"/>
    <w:rsid w:val="00E76025"/>
    <w:rsid w:val="00E76045"/>
    <w:rsid w:val="00E760CE"/>
    <w:rsid w:val="00E760DF"/>
    <w:rsid w:val="00E760E4"/>
    <w:rsid w:val="00E76133"/>
    <w:rsid w:val="00E7622D"/>
    <w:rsid w:val="00E762FB"/>
    <w:rsid w:val="00E76374"/>
    <w:rsid w:val="00E763E9"/>
    <w:rsid w:val="00E7641F"/>
    <w:rsid w:val="00E7643D"/>
    <w:rsid w:val="00E76514"/>
    <w:rsid w:val="00E7655F"/>
    <w:rsid w:val="00E76569"/>
    <w:rsid w:val="00E76614"/>
    <w:rsid w:val="00E7663B"/>
    <w:rsid w:val="00E76652"/>
    <w:rsid w:val="00E7666A"/>
    <w:rsid w:val="00E7667B"/>
    <w:rsid w:val="00E766A7"/>
    <w:rsid w:val="00E766D8"/>
    <w:rsid w:val="00E7671F"/>
    <w:rsid w:val="00E767C2"/>
    <w:rsid w:val="00E76847"/>
    <w:rsid w:val="00E76930"/>
    <w:rsid w:val="00E76976"/>
    <w:rsid w:val="00E769FA"/>
    <w:rsid w:val="00E76A0F"/>
    <w:rsid w:val="00E76A23"/>
    <w:rsid w:val="00E76A5D"/>
    <w:rsid w:val="00E76BB2"/>
    <w:rsid w:val="00E76C45"/>
    <w:rsid w:val="00E76C4F"/>
    <w:rsid w:val="00E76D08"/>
    <w:rsid w:val="00E76DB1"/>
    <w:rsid w:val="00E76DC2"/>
    <w:rsid w:val="00E76EC2"/>
    <w:rsid w:val="00E76F4F"/>
    <w:rsid w:val="00E76F66"/>
    <w:rsid w:val="00E76FF0"/>
    <w:rsid w:val="00E7705C"/>
    <w:rsid w:val="00E770C6"/>
    <w:rsid w:val="00E7712E"/>
    <w:rsid w:val="00E7717E"/>
    <w:rsid w:val="00E771A7"/>
    <w:rsid w:val="00E771A9"/>
    <w:rsid w:val="00E771CC"/>
    <w:rsid w:val="00E77258"/>
    <w:rsid w:val="00E772C5"/>
    <w:rsid w:val="00E772C8"/>
    <w:rsid w:val="00E772CC"/>
    <w:rsid w:val="00E77303"/>
    <w:rsid w:val="00E773EA"/>
    <w:rsid w:val="00E77413"/>
    <w:rsid w:val="00E77537"/>
    <w:rsid w:val="00E775E0"/>
    <w:rsid w:val="00E77638"/>
    <w:rsid w:val="00E77668"/>
    <w:rsid w:val="00E776B7"/>
    <w:rsid w:val="00E7771E"/>
    <w:rsid w:val="00E77749"/>
    <w:rsid w:val="00E77767"/>
    <w:rsid w:val="00E777E4"/>
    <w:rsid w:val="00E77853"/>
    <w:rsid w:val="00E77884"/>
    <w:rsid w:val="00E7788B"/>
    <w:rsid w:val="00E778D2"/>
    <w:rsid w:val="00E77901"/>
    <w:rsid w:val="00E77923"/>
    <w:rsid w:val="00E7795B"/>
    <w:rsid w:val="00E7795C"/>
    <w:rsid w:val="00E77970"/>
    <w:rsid w:val="00E779D7"/>
    <w:rsid w:val="00E77AAE"/>
    <w:rsid w:val="00E77AD7"/>
    <w:rsid w:val="00E77AF5"/>
    <w:rsid w:val="00E77B2D"/>
    <w:rsid w:val="00E77B6F"/>
    <w:rsid w:val="00E77C3B"/>
    <w:rsid w:val="00E77C9D"/>
    <w:rsid w:val="00E77CDA"/>
    <w:rsid w:val="00E77D5C"/>
    <w:rsid w:val="00E77EA2"/>
    <w:rsid w:val="00E77F45"/>
    <w:rsid w:val="00E7A071"/>
    <w:rsid w:val="00E80003"/>
    <w:rsid w:val="00E8004E"/>
    <w:rsid w:val="00E800F5"/>
    <w:rsid w:val="00E800F8"/>
    <w:rsid w:val="00E80142"/>
    <w:rsid w:val="00E80161"/>
    <w:rsid w:val="00E80184"/>
    <w:rsid w:val="00E80212"/>
    <w:rsid w:val="00E80354"/>
    <w:rsid w:val="00E8039C"/>
    <w:rsid w:val="00E80402"/>
    <w:rsid w:val="00E80467"/>
    <w:rsid w:val="00E8051F"/>
    <w:rsid w:val="00E805DD"/>
    <w:rsid w:val="00E805EB"/>
    <w:rsid w:val="00E80644"/>
    <w:rsid w:val="00E806A4"/>
    <w:rsid w:val="00E806E9"/>
    <w:rsid w:val="00E80772"/>
    <w:rsid w:val="00E80776"/>
    <w:rsid w:val="00E80843"/>
    <w:rsid w:val="00E8087E"/>
    <w:rsid w:val="00E80964"/>
    <w:rsid w:val="00E809D6"/>
    <w:rsid w:val="00E80A39"/>
    <w:rsid w:val="00E80B86"/>
    <w:rsid w:val="00E80C70"/>
    <w:rsid w:val="00E80C78"/>
    <w:rsid w:val="00E80D93"/>
    <w:rsid w:val="00E80E08"/>
    <w:rsid w:val="00E80F6F"/>
    <w:rsid w:val="00E8107D"/>
    <w:rsid w:val="00E81110"/>
    <w:rsid w:val="00E811B8"/>
    <w:rsid w:val="00E8123B"/>
    <w:rsid w:val="00E81257"/>
    <w:rsid w:val="00E812AA"/>
    <w:rsid w:val="00E813B3"/>
    <w:rsid w:val="00E813BE"/>
    <w:rsid w:val="00E814DA"/>
    <w:rsid w:val="00E8151B"/>
    <w:rsid w:val="00E81555"/>
    <w:rsid w:val="00E815E7"/>
    <w:rsid w:val="00E8161E"/>
    <w:rsid w:val="00E81625"/>
    <w:rsid w:val="00E8162A"/>
    <w:rsid w:val="00E81639"/>
    <w:rsid w:val="00E81643"/>
    <w:rsid w:val="00E81698"/>
    <w:rsid w:val="00E816C4"/>
    <w:rsid w:val="00E816C9"/>
    <w:rsid w:val="00E816E2"/>
    <w:rsid w:val="00E8173F"/>
    <w:rsid w:val="00E817BA"/>
    <w:rsid w:val="00E817EA"/>
    <w:rsid w:val="00E81822"/>
    <w:rsid w:val="00E8187F"/>
    <w:rsid w:val="00E818F5"/>
    <w:rsid w:val="00E81973"/>
    <w:rsid w:val="00E81A36"/>
    <w:rsid w:val="00E81A42"/>
    <w:rsid w:val="00E81A56"/>
    <w:rsid w:val="00E81A5D"/>
    <w:rsid w:val="00E81AE3"/>
    <w:rsid w:val="00E81AF2"/>
    <w:rsid w:val="00E81B6B"/>
    <w:rsid w:val="00E81BE4"/>
    <w:rsid w:val="00E81BF8"/>
    <w:rsid w:val="00E81BFB"/>
    <w:rsid w:val="00E81CAC"/>
    <w:rsid w:val="00E81CFE"/>
    <w:rsid w:val="00E81D13"/>
    <w:rsid w:val="00E81D2B"/>
    <w:rsid w:val="00E81D6F"/>
    <w:rsid w:val="00E81D7F"/>
    <w:rsid w:val="00E81DA4"/>
    <w:rsid w:val="00E81EA7"/>
    <w:rsid w:val="00E81F46"/>
    <w:rsid w:val="00E81F5B"/>
    <w:rsid w:val="00E81F79"/>
    <w:rsid w:val="00E81FB2"/>
    <w:rsid w:val="00E8206D"/>
    <w:rsid w:val="00E820BF"/>
    <w:rsid w:val="00E820C3"/>
    <w:rsid w:val="00E82175"/>
    <w:rsid w:val="00E821C6"/>
    <w:rsid w:val="00E821FD"/>
    <w:rsid w:val="00E82241"/>
    <w:rsid w:val="00E8225E"/>
    <w:rsid w:val="00E8243B"/>
    <w:rsid w:val="00E824D9"/>
    <w:rsid w:val="00E82561"/>
    <w:rsid w:val="00E826A1"/>
    <w:rsid w:val="00E82748"/>
    <w:rsid w:val="00E82859"/>
    <w:rsid w:val="00E82905"/>
    <w:rsid w:val="00E82947"/>
    <w:rsid w:val="00E82976"/>
    <w:rsid w:val="00E829E0"/>
    <w:rsid w:val="00E829FB"/>
    <w:rsid w:val="00E82A15"/>
    <w:rsid w:val="00E82A6D"/>
    <w:rsid w:val="00E82AF8"/>
    <w:rsid w:val="00E82B16"/>
    <w:rsid w:val="00E82B7C"/>
    <w:rsid w:val="00E82B92"/>
    <w:rsid w:val="00E82C09"/>
    <w:rsid w:val="00E82CFE"/>
    <w:rsid w:val="00E82D98"/>
    <w:rsid w:val="00E82E74"/>
    <w:rsid w:val="00E82E7E"/>
    <w:rsid w:val="00E82ED8"/>
    <w:rsid w:val="00E82F5B"/>
    <w:rsid w:val="00E82F60"/>
    <w:rsid w:val="00E82FC4"/>
    <w:rsid w:val="00E8302F"/>
    <w:rsid w:val="00E83063"/>
    <w:rsid w:val="00E830B7"/>
    <w:rsid w:val="00E830DB"/>
    <w:rsid w:val="00E8316B"/>
    <w:rsid w:val="00E83203"/>
    <w:rsid w:val="00E8320C"/>
    <w:rsid w:val="00E83261"/>
    <w:rsid w:val="00E8329F"/>
    <w:rsid w:val="00E832C0"/>
    <w:rsid w:val="00E83327"/>
    <w:rsid w:val="00E83338"/>
    <w:rsid w:val="00E8335E"/>
    <w:rsid w:val="00E83375"/>
    <w:rsid w:val="00E833D4"/>
    <w:rsid w:val="00E83477"/>
    <w:rsid w:val="00E8349B"/>
    <w:rsid w:val="00E834DD"/>
    <w:rsid w:val="00E83520"/>
    <w:rsid w:val="00E8356E"/>
    <w:rsid w:val="00E8357A"/>
    <w:rsid w:val="00E83625"/>
    <w:rsid w:val="00E836AB"/>
    <w:rsid w:val="00E8379D"/>
    <w:rsid w:val="00E8381D"/>
    <w:rsid w:val="00E83873"/>
    <w:rsid w:val="00E838C7"/>
    <w:rsid w:val="00E83928"/>
    <w:rsid w:val="00E83939"/>
    <w:rsid w:val="00E839B2"/>
    <w:rsid w:val="00E839CE"/>
    <w:rsid w:val="00E839D5"/>
    <w:rsid w:val="00E83A08"/>
    <w:rsid w:val="00E83A57"/>
    <w:rsid w:val="00E83AB1"/>
    <w:rsid w:val="00E83B22"/>
    <w:rsid w:val="00E83B3E"/>
    <w:rsid w:val="00E83B88"/>
    <w:rsid w:val="00E83BA8"/>
    <w:rsid w:val="00E83C71"/>
    <w:rsid w:val="00E83D68"/>
    <w:rsid w:val="00E83DB7"/>
    <w:rsid w:val="00E83DE9"/>
    <w:rsid w:val="00E83E47"/>
    <w:rsid w:val="00E83E9F"/>
    <w:rsid w:val="00E83EB5"/>
    <w:rsid w:val="00E83EC7"/>
    <w:rsid w:val="00E83EDE"/>
    <w:rsid w:val="00E83F6D"/>
    <w:rsid w:val="00E83F76"/>
    <w:rsid w:val="00E83F7F"/>
    <w:rsid w:val="00E83F97"/>
    <w:rsid w:val="00E83FA8"/>
    <w:rsid w:val="00E83FC3"/>
    <w:rsid w:val="00E840F0"/>
    <w:rsid w:val="00E84100"/>
    <w:rsid w:val="00E84146"/>
    <w:rsid w:val="00E8419B"/>
    <w:rsid w:val="00E841B4"/>
    <w:rsid w:val="00E841D8"/>
    <w:rsid w:val="00E841F0"/>
    <w:rsid w:val="00E84226"/>
    <w:rsid w:val="00E84228"/>
    <w:rsid w:val="00E8423A"/>
    <w:rsid w:val="00E8423E"/>
    <w:rsid w:val="00E8426B"/>
    <w:rsid w:val="00E84278"/>
    <w:rsid w:val="00E842B2"/>
    <w:rsid w:val="00E842B9"/>
    <w:rsid w:val="00E84303"/>
    <w:rsid w:val="00E8432F"/>
    <w:rsid w:val="00E84360"/>
    <w:rsid w:val="00E84374"/>
    <w:rsid w:val="00E84388"/>
    <w:rsid w:val="00E84391"/>
    <w:rsid w:val="00E8441B"/>
    <w:rsid w:val="00E8446A"/>
    <w:rsid w:val="00E84470"/>
    <w:rsid w:val="00E84487"/>
    <w:rsid w:val="00E844D6"/>
    <w:rsid w:val="00E8451A"/>
    <w:rsid w:val="00E84523"/>
    <w:rsid w:val="00E84550"/>
    <w:rsid w:val="00E845CD"/>
    <w:rsid w:val="00E84605"/>
    <w:rsid w:val="00E8465B"/>
    <w:rsid w:val="00E84667"/>
    <w:rsid w:val="00E8466C"/>
    <w:rsid w:val="00E84856"/>
    <w:rsid w:val="00E84871"/>
    <w:rsid w:val="00E84879"/>
    <w:rsid w:val="00E84888"/>
    <w:rsid w:val="00E84938"/>
    <w:rsid w:val="00E84AD6"/>
    <w:rsid w:val="00E84AEA"/>
    <w:rsid w:val="00E84AF1"/>
    <w:rsid w:val="00E84B3E"/>
    <w:rsid w:val="00E84B94"/>
    <w:rsid w:val="00E84B9A"/>
    <w:rsid w:val="00E84C2D"/>
    <w:rsid w:val="00E84C8F"/>
    <w:rsid w:val="00E84C97"/>
    <w:rsid w:val="00E84CAE"/>
    <w:rsid w:val="00E84CC4"/>
    <w:rsid w:val="00E84D0F"/>
    <w:rsid w:val="00E84D3B"/>
    <w:rsid w:val="00E84D61"/>
    <w:rsid w:val="00E84D66"/>
    <w:rsid w:val="00E84DD2"/>
    <w:rsid w:val="00E84E0C"/>
    <w:rsid w:val="00E84ED9"/>
    <w:rsid w:val="00E84FE1"/>
    <w:rsid w:val="00E85003"/>
    <w:rsid w:val="00E8501C"/>
    <w:rsid w:val="00E850BA"/>
    <w:rsid w:val="00E850D9"/>
    <w:rsid w:val="00E85194"/>
    <w:rsid w:val="00E851ED"/>
    <w:rsid w:val="00E851FF"/>
    <w:rsid w:val="00E85222"/>
    <w:rsid w:val="00E85260"/>
    <w:rsid w:val="00E85281"/>
    <w:rsid w:val="00E852BE"/>
    <w:rsid w:val="00E85420"/>
    <w:rsid w:val="00E854CB"/>
    <w:rsid w:val="00E85560"/>
    <w:rsid w:val="00E855BA"/>
    <w:rsid w:val="00E8566F"/>
    <w:rsid w:val="00E85692"/>
    <w:rsid w:val="00E85728"/>
    <w:rsid w:val="00E85835"/>
    <w:rsid w:val="00E858EA"/>
    <w:rsid w:val="00E85960"/>
    <w:rsid w:val="00E85974"/>
    <w:rsid w:val="00E859B5"/>
    <w:rsid w:val="00E859D5"/>
    <w:rsid w:val="00E859F3"/>
    <w:rsid w:val="00E85A2D"/>
    <w:rsid w:val="00E85B18"/>
    <w:rsid w:val="00E85B19"/>
    <w:rsid w:val="00E85C01"/>
    <w:rsid w:val="00E85C71"/>
    <w:rsid w:val="00E85CF3"/>
    <w:rsid w:val="00E85D27"/>
    <w:rsid w:val="00E85E26"/>
    <w:rsid w:val="00E85F2A"/>
    <w:rsid w:val="00E85FB0"/>
    <w:rsid w:val="00E85FCD"/>
    <w:rsid w:val="00E8608E"/>
    <w:rsid w:val="00E860DF"/>
    <w:rsid w:val="00E861A6"/>
    <w:rsid w:val="00E861E0"/>
    <w:rsid w:val="00E86200"/>
    <w:rsid w:val="00E86334"/>
    <w:rsid w:val="00E863AE"/>
    <w:rsid w:val="00E863B2"/>
    <w:rsid w:val="00E863E8"/>
    <w:rsid w:val="00E863F3"/>
    <w:rsid w:val="00E864A8"/>
    <w:rsid w:val="00E86516"/>
    <w:rsid w:val="00E86594"/>
    <w:rsid w:val="00E86683"/>
    <w:rsid w:val="00E866AB"/>
    <w:rsid w:val="00E866C5"/>
    <w:rsid w:val="00E8678F"/>
    <w:rsid w:val="00E867DD"/>
    <w:rsid w:val="00E86846"/>
    <w:rsid w:val="00E8685E"/>
    <w:rsid w:val="00E86871"/>
    <w:rsid w:val="00E86877"/>
    <w:rsid w:val="00E868E7"/>
    <w:rsid w:val="00E86946"/>
    <w:rsid w:val="00E8694C"/>
    <w:rsid w:val="00E86A27"/>
    <w:rsid w:val="00E86C70"/>
    <w:rsid w:val="00E86CD3"/>
    <w:rsid w:val="00E86D18"/>
    <w:rsid w:val="00E86D5A"/>
    <w:rsid w:val="00E86D73"/>
    <w:rsid w:val="00E86E15"/>
    <w:rsid w:val="00E86E33"/>
    <w:rsid w:val="00E86E75"/>
    <w:rsid w:val="00E86E9C"/>
    <w:rsid w:val="00E86ECD"/>
    <w:rsid w:val="00E870BD"/>
    <w:rsid w:val="00E870DB"/>
    <w:rsid w:val="00E870ED"/>
    <w:rsid w:val="00E87107"/>
    <w:rsid w:val="00E87147"/>
    <w:rsid w:val="00E87149"/>
    <w:rsid w:val="00E871B7"/>
    <w:rsid w:val="00E87202"/>
    <w:rsid w:val="00E8720B"/>
    <w:rsid w:val="00E872AB"/>
    <w:rsid w:val="00E8735E"/>
    <w:rsid w:val="00E873B2"/>
    <w:rsid w:val="00E873D7"/>
    <w:rsid w:val="00E873FB"/>
    <w:rsid w:val="00E8740F"/>
    <w:rsid w:val="00E8743C"/>
    <w:rsid w:val="00E874B1"/>
    <w:rsid w:val="00E87507"/>
    <w:rsid w:val="00E87579"/>
    <w:rsid w:val="00E875D9"/>
    <w:rsid w:val="00E8767B"/>
    <w:rsid w:val="00E876D1"/>
    <w:rsid w:val="00E877C4"/>
    <w:rsid w:val="00E87881"/>
    <w:rsid w:val="00E878CE"/>
    <w:rsid w:val="00E878EC"/>
    <w:rsid w:val="00E8796A"/>
    <w:rsid w:val="00E87A5F"/>
    <w:rsid w:val="00E87A99"/>
    <w:rsid w:val="00E87B15"/>
    <w:rsid w:val="00E87B5A"/>
    <w:rsid w:val="00E87D01"/>
    <w:rsid w:val="00E87D38"/>
    <w:rsid w:val="00E87D3C"/>
    <w:rsid w:val="00E87ECA"/>
    <w:rsid w:val="00E87ECC"/>
    <w:rsid w:val="00E87ED1"/>
    <w:rsid w:val="00E87F8B"/>
    <w:rsid w:val="00E87FD1"/>
    <w:rsid w:val="00E9007A"/>
    <w:rsid w:val="00E90090"/>
    <w:rsid w:val="00E9013B"/>
    <w:rsid w:val="00E901C3"/>
    <w:rsid w:val="00E9027E"/>
    <w:rsid w:val="00E90283"/>
    <w:rsid w:val="00E90361"/>
    <w:rsid w:val="00E90372"/>
    <w:rsid w:val="00E9038F"/>
    <w:rsid w:val="00E90418"/>
    <w:rsid w:val="00E90446"/>
    <w:rsid w:val="00E9052E"/>
    <w:rsid w:val="00E9054B"/>
    <w:rsid w:val="00E90598"/>
    <w:rsid w:val="00E90606"/>
    <w:rsid w:val="00E9060B"/>
    <w:rsid w:val="00E90637"/>
    <w:rsid w:val="00E906B4"/>
    <w:rsid w:val="00E906BC"/>
    <w:rsid w:val="00E906E6"/>
    <w:rsid w:val="00E906FE"/>
    <w:rsid w:val="00E90702"/>
    <w:rsid w:val="00E90741"/>
    <w:rsid w:val="00E90742"/>
    <w:rsid w:val="00E9074E"/>
    <w:rsid w:val="00E907AC"/>
    <w:rsid w:val="00E90846"/>
    <w:rsid w:val="00E9086C"/>
    <w:rsid w:val="00E908E2"/>
    <w:rsid w:val="00E90A16"/>
    <w:rsid w:val="00E90A1B"/>
    <w:rsid w:val="00E90A74"/>
    <w:rsid w:val="00E90A7C"/>
    <w:rsid w:val="00E90A99"/>
    <w:rsid w:val="00E90A9D"/>
    <w:rsid w:val="00E90AC3"/>
    <w:rsid w:val="00E90B33"/>
    <w:rsid w:val="00E90B8F"/>
    <w:rsid w:val="00E90BA7"/>
    <w:rsid w:val="00E90C40"/>
    <w:rsid w:val="00E90C4E"/>
    <w:rsid w:val="00E90C90"/>
    <w:rsid w:val="00E90CB4"/>
    <w:rsid w:val="00E90D06"/>
    <w:rsid w:val="00E90DC7"/>
    <w:rsid w:val="00E90DF8"/>
    <w:rsid w:val="00E90E06"/>
    <w:rsid w:val="00E90EA3"/>
    <w:rsid w:val="00E90F0C"/>
    <w:rsid w:val="00E90FB3"/>
    <w:rsid w:val="00E910AF"/>
    <w:rsid w:val="00E91108"/>
    <w:rsid w:val="00E91115"/>
    <w:rsid w:val="00E91133"/>
    <w:rsid w:val="00E911DA"/>
    <w:rsid w:val="00E91202"/>
    <w:rsid w:val="00E9120B"/>
    <w:rsid w:val="00E91222"/>
    <w:rsid w:val="00E9122C"/>
    <w:rsid w:val="00E9126C"/>
    <w:rsid w:val="00E91321"/>
    <w:rsid w:val="00E9133D"/>
    <w:rsid w:val="00E9135E"/>
    <w:rsid w:val="00E9148C"/>
    <w:rsid w:val="00E914A6"/>
    <w:rsid w:val="00E91509"/>
    <w:rsid w:val="00E9154F"/>
    <w:rsid w:val="00E91603"/>
    <w:rsid w:val="00E9165F"/>
    <w:rsid w:val="00E916B6"/>
    <w:rsid w:val="00E916DE"/>
    <w:rsid w:val="00E9179C"/>
    <w:rsid w:val="00E917AA"/>
    <w:rsid w:val="00E917E1"/>
    <w:rsid w:val="00E9180D"/>
    <w:rsid w:val="00E91837"/>
    <w:rsid w:val="00E91847"/>
    <w:rsid w:val="00E918A8"/>
    <w:rsid w:val="00E918AF"/>
    <w:rsid w:val="00E9193B"/>
    <w:rsid w:val="00E919D0"/>
    <w:rsid w:val="00E919FC"/>
    <w:rsid w:val="00E91A16"/>
    <w:rsid w:val="00E91A26"/>
    <w:rsid w:val="00E91A61"/>
    <w:rsid w:val="00E91AA1"/>
    <w:rsid w:val="00E91AE4"/>
    <w:rsid w:val="00E91BE6"/>
    <w:rsid w:val="00E91C13"/>
    <w:rsid w:val="00E91C30"/>
    <w:rsid w:val="00E91CB6"/>
    <w:rsid w:val="00E91CC9"/>
    <w:rsid w:val="00E91D58"/>
    <w:rsid w:val="00E91D7E"/>
    <w:rsid w:val="00E91E43"/>
    <w:rsid w:val="00E91EAC"/>
    <w:rsid w:val="00E91EB3"/>
    <w:rsid w:val="00E91EB7"/>
    <w:rsid w:val="00E91ED2"/>
    <w:rsid w:val="00E9213F"/>
    <w:rsid w:val="00E92188"/>
    <w:rsid w:val="00E92226"/>
    <w:rsid w:val="00E9224C"/>
    <w:rsid w:val="00E922B7"/>
    <w:rsid w:val="00E9230B"/>
    <w:rsid w:val="00E92311"/>
    <w:rsid w:val="00E92333"/>
    <w:rsid w:val="00E92401"/>
    <w:rsid w:val="00E92446"/>
    <w:rsid w:val="00E925CE"/>
    <w:rsid w:val="00E925D8"/>
    <w:rsid w:val="00E925FA"/>
    <w:rsid w:val="00E9270C"/>
    <w:rsid w:val="00E92735"/>
    <w:rsid w:val="00E927C9"/>
    <w:rsid w:val="00E92825"/>
    <w:rsid w:val="00E9293E"/>
    <w:rsid w:val="00E9297A"/>
    <w:rsid w:val="00E929BE"/>
    <w:rsid w:val="00E929D6"/>
    <w:rsid w:val="00E92AD9"/>
    <w:rsid w:val="00E92ADA"/>
    <w:rsid w:val="00E92ADF"/>
    <w:rsid w:val="00E92BA1"/>
    <w:rsid w:val="00E92C6A"/>
    <w:rsid w:val="00E92CE9"/>
    <w:rsid w:val="00E92D1A"/>
    <w:rsid w:val="00E92D25"/>
    <w:rsid w:val="00E92E2B"/>
    <w:rsid w:val="00E92E76"/>
    <w:rsid w:val="00E92F14"/>
    <w:rsid w:val="00E92FB8"/>
    <w:rsid w:val="00E92FCC"/>
    <w:rsid w:val="00E9301B"/>
    <w:rsid w:val="00E93073"/>
    <w:rsid w:val="00E9307B"/>
    <w:rsid w:val="00E93095"/>
    <w:rsid w:val="00E930B9"/>
    <w:rsid w:val="00E930C6"/>
    <w:rsid w:val="00E9311E"/>
    <w:rsid w:val="00E9316B"/>
    <w:rsid w:val="00E931A1"/>
    <w:rsid w:val="00E93238"/>
    <w:rsid w:val="00E9327B"/>
    <w:rsid w:val="00E9329A"/>
    <w:rsid w:val="00E932C7"/>
    <w:rsid w:val="00E932EC"/>
    <w:rsid w:val="00E932F2"/>
    <w:rsid w:val="00E9337F"/>
    <w:rsid w:val="00E933F8"/>
    <w:rsid w:val="00E93446"/>
    <w:rsid w:val="00E934F5"/>
    <w:rsid w:val="00E93547"/>
    <w:rsid w:val="00E9357B"/>
    <w:rsid w:val="00E935C2"/>
    <w:rsid w:val="00E935F0"/>
    <w:rsid w:val="00E93600"/>
    <w:rsid w:val="00E936E0"/>
    <w:rsid w:val="00E936FB"/>
    <w:rsid w:val="00E937D8"/>
    <w:rsid w:val="00E93814"/>
    <w:rsid w:val="00E93820"/>
    <w:rsid w:val="00E938FD"/>
    <w:rsid w:val="00E93948"/>
    <w:rsid w:val="00E93970"/>
    <w:rsid w:val="00E939C9"/>
    <w:rsid w:val="00E93A03"/>
    <w:rsid w:val="00E93A05"/>
    <w:rsid w:val="00E93A12"/>
    <w:rsid w:val="00E93A4E"/>
    <w:rsid w:val="00E93A52"/>
    <w:rsid w:val="00E93A73"/>
    <w:rsid w:val="00E93AA9"/>
    <w:rsid w:val="00E93AB6"/>
    <w:rsid w:val="00E93ADD"/>
    <w:rsid w:val="00E93AEB"/>
    <w:rsid w:val="00E93AFC"/>
    <w:rsid w:val="00E93B28"/>
    <w:rsid w:val="00E93BA2"/>
    <w:rsid w:val="00E93BE5"/>
    <w:rsid w:val="00E93C08"/>
    <w:rsid w:val="00E93C16"/>
    <w:rsid w:val="00E93C6F"/>
    <w:rsid w:val="00E93DB4"/>
    <w:rsid w:val="00E93E5C"/>
    <w:rsid w:val="00E93E76"/>
    <w:rsid w:val="00E93EEF"/>
    <w:rsid w:val="00E93F44"/>
    <w:rsid w:val="00E93FF9"/>
    <w:rsid w:val="00E9404D"/>
    <w:rsid w:val="00E94081"/>
    <w:rsid w:val="00E9408D"/>
    <w:rsid w:val="00E940BD"/>
    <w:rsid w:val="00E940C2"/>
    <w:rsid w:val="00E9410B"/>
    <w:rsid w:val="00E9414F"/>
    <w:rsid w:val="00E94150"/>
    <w:rsid w:val="00E9417B"/>
    <w:rsid w:val="00E94308"/>
    <w:rsid w:val="00E94318"/>
    <w:rsid w:val="00E9437E"/>
    <w:rsid w:val="00E9440D"/>
    <w:rsid w:val="00E9445A"/>
    <w:rsid w:val="00E9445C"/>
    <w:rsid w:val="00E944A6"/>
    <w:rsid w:val="00E9450D"/>
    <w:rsid w:val="00E94566"/>
    <w:rsid w:val="00E94577"/>
    <w:rsid w:val="00E9457D"/>
    <w:rsid w:val="00E945BF"/>
    <w:rsid w:val="00E9463D"/>
    <w:rsid w:val="00E946AE"/>
    <w:rsid w:val="00E947E5"/>
    <w:rsid w:val="00E94826"/>
    <w:rsid w:val="00E94994"/>
    <w:rsid w:val="00E94A19"/>
    <w:rsid w:val="00E94B71"/>
    <w:rsid w:val="00E94BEF"/>
    <w:rsid w:val="00E94C5B"/>
    <w:rsid w:val="00E94CB1"/>
    <w:rsid w:val="00E94CDC"/>
    <w:rsid w:val="00E94CDE"/>
    <w:rsid w:val="00E94D04"/>
    <w:rsid w:val="00E94DCC"/>
    <w:rsid w:val="00E94DEB"/>
    <w:rsid w:val="00E94E2C"/>
    <w:rsid w:val="00E94E61"/>
    <w:rsid w:val="00E94EC9"/>
    <w:rsid w:val="00E94EF0"/>
    <w:rsid w:val="00E94EF7"/>
    <w:rsid w:val="00E95034"/>
    <w:rsid w:val="00E9506F"/>
    <w:rsid w:val="00E950D9"/>
    <w:rsid w:val="00E95148"/>
    <w:rsid w:val="00E951D7"/>
    <w:rsid w:val="00E951F2"/>
    <w:rsid w:val="00E951F3"/>
    <w:rsid w:val="00E952BA"/>
    <w:rsid w:val="00E952C0"/>
    <w:rsid w:val="00E95302"/>
    <w:rsid w:val="00E95386"/>
    <w:rsid w:val="00E953AC"/>
    <w:rsid w:val="00E953C2"/>
    <w:rsid w:val="00E953C9"/>
    <w:rsid w:val="00E953CD"/>
    <w:rsid w:val="00E95456"/>
    <w:rsid w:val="00E954A6"/>
    <w:rsid w:val="00E9558E"/>
    <w:rsid w:val="00E955DF"/>
    <w:rsid w:val="00E95605"/>
    <w:rsid w:val="00E9565C"/>
    <w:rsid w:val="00E95670"/>
    <w:rsid w:val="00E9569F"/>
    <w:rsid w:val="00E956AF"/>
    <w:rsid w:val="00E956F6"/>
    <w:rsid w:val="00E9572B"/>
    <w:rsid w:val="00E9579B"/>
    <w:rsid w:val="00E959DA"/>
    <w:rsid w:val="00E95A88"/>
    <w:rsid w:val="00E95AE4"/>
    <w:rsid w:val="00E95B31"/>
    <w:rsid w:val="00E95B60"/>
    <w:rsid w:val="00E95B89"/>
    <w:rsid w:val="00E95BEC"/>
    <w:rsid w:val="00E95BF4"/>
    <w:rsid w:val="00E95C58"/>
    <w:rsid w:val="00E95CA1"/>
    <w:rsid w:val="00E95D9F"/>
    <w:rsid w:val="00E95E5F"/>
    <w:rsid w:val="00E95EC1"/>
    <w:rsid w:val="00E95EF2"/>
    <w:rsid w:val="00E95F81"/>
    <w:rsid w:val="00E95F8C"/>
    <w:rsid w:val="00E9604C"/>
    <w:rsid w:val="00E9607F"/>
    <w:rsid w:val="00E9618D"/>
    <w:rsid w:val="00E9619E"/>
    <w:rsid w:val="00E96268"/>
    <w:rsid w:val="00E962F8"/>
    <w:rsid w:val="00E962FA"/>
    <w:rsid w:val="00E9633F"/>
    <w:rsid w:val="00E96357"/>
    <w:rsid w:val="00E963C4"/>
    <w:rsid w:val="00E963D1"/>
    <w:rsid w:val="00E96454"/>
    <w:rsid w:val="00E96457"/>
    <w:rsid w:val="00E964D1"/>
    <w:rsid w:val="00E964F8"/>
    <w:rsid w:val="00E96553"/>
    <w:rsid w:val="00E9658F"/>
    <w:rsid w:val="00E9659F"/>
    <w:rsid w:val="00E965B2"/>
    <w:rsid w:val="00E965B9"/>
    <w:rsid w:val="00E965FA"/>
    <w:rsid w:val="00E96681"/>
    <w:rsid w:val="00E96689"/>
    <w:rsid w:val="00E966FF"/>
    <w:rsid w:val="00E9678C"/>
    <w:rsid w:val="00E967DA"/>
    <w:rsid w:val="00E967DE"/>
    <w:rsid w:val="00E96804"/>
    <w:rsid w:val="00E9680A"/>
    <w:rsid w:val="00E96821"/>
    <w:rsid w:val="00E9690B"/>
    <w:rsid w:val="00E96926"/>
    <w:rsid w:val="00E9695A"/>
    <w:rsid w:val="00E969E6"/>
    <w:rsid w:val="00E969EF"/>
    <w:rsid w:val="00E96AB4"/>
    <w:rsid w:val="00E96B4D"/>
    <w:rsid w:val="00E96B52"/>
    <w:rsid w:val="00E96B89"/>
    <w:rsid w:val="00E96B98"/>
    <w:rsid w:val="00E96BE7"/>
    <w:rsid w:val="00E96C40"/>
    <w:rsid w:val="00E96C53"/>
    <w:rsid w:val="00E96C5B"/>
    <w:rsid w:val="00E96C83"/>
    <w:rsid w:val="00E96C8A"/>
    <w:rsid w:val="00E96C90"/>
    <w:rsid w:val="00E96C92"/>
    <w:rsid w:val="00E96C97"/>
    <w:rsid w:val="00E96CB0"/>
    <w:rsid w:val="00E96CC3"/>
    <w:rsid w:val="00E96CFA"/>
    <w:rsid w:val="00E96D70"/>
    <w:rsid w:val="00E96D8F"/>
    <w:rsid w:val="00E96DA1"/>
    <w:rsid w:val="00E96DA5"/>
    <w:rsid w:val="00E96DED"/>
    <w:rsid w:val="00E96E62"/>
    <w:rsid w:val="00E96ECC"/>
    <w:rsid w:val="00E96F06"/>
    <w:rsid w:val="00E96F40"/>
    <w:rsid w:val="00E96F65"/>
    <w:rsid w:val="00E96F84"/>
    <w:rsid w:val="00E96FF0"/>
    <w:rsid w:val="00E970C3"/>
    <w:rsid w:val="00E970D2"/>
    <w:rsid w:val="00E9711A"/>
    <w:rsid w:val="00E97241"/>
    <w:rsid w:val="00E9727A"/>
    <w:rsid w:val="00E972DF"/>
    <w:rsid w:val="00E97399"/>
    <w:rsid w:val="00E973A8"/>
    <w:rsid w:val="00E973D9"/>
    <w:rsid w:val="00E97429"/>
    <w:rsid w:val="00E974BB"/>
    <w:rsid w:val="00E975EA"/>
    <w:rsid w:val="00E97605"/>
    <w:rsid w:val="00E976AA"/>
    <w:rsid w:val="00E976B1"/>
    <w:rsid w:val="00E976E8"/>
    <w:rsid w:val="00E97815"/>
    <w:rsid w:val="00E9785E"/>
    <w:rsid w:val="00E9786E"/>
    <w:rsid w:val="00E97890"/>
    <w:rsid w:val="00E97933"/>
    <w:rsid w:val="00E97935"/>
    <w:rsid w:val="00E97945"/>
    <w:rsid w:val="00E97969"/>
    <w:rsid w:val="00E979B7"/>
    <w:rsid w:val="00E979F0"/>
    <w:rsid w:val="00E97A08"/>
    <w:rsid w:val="00E97A83"/>
    <w:rsid w:val="00E97B10"/>
    <w:rsid w:val="00E97B3A"/>
    <w:rsid w:val="00E97B3D"/>
    <w:rsid w:val="00E97B63"/>
    <w:rsid w:val="00E97C9C"/>
    <w:rsid w:val="00E97DFA"/>
    <w:rsid w:val="00E97E00"/>
    <w:rsid w:val="00E97E0F"/>
    <w:rsid w:val="00E97E2A"/>
    <w:rsid w:val="00E97E42"/>
    <w:rsid w:val="00E97F02"/>
    <w:rsid w:val="00E97FAF"/>
    <w:rsid w:val="00EA0014"/>
    <w:rsid w:val="00EA0071"/>
    <w:rsid w:val="00EA009B"/>
    <w:rsid w:val="00EA00AF"/>
    <w:rsid w:val="00EA00B2"/>
    <w:rsid w:val="00EA01A4"/>
    <w:rsid w:val="00EA0228"/>
    <w:rsid w:val="00EA0247"/>
    <w:rsid w:val="00EA02F4"/>
    <w:rsid w:val="00EA033A"/>
    <w:rsid w:val="00EA0390"/>
    <w:rsid w:val="00EA03BA"/>
    <w:rsid w:val="00EA0492"/>
    <w:rsid w:val="00EA04A7"/>
    <w:rsid w:val="00EA054E"/>
    <w:rsid w:val="00EA0565"/>
    <w:rsid w:val="00EA056B"/>
    <w:rsid w:val="00EA058E"/>
    <w:rsid w:val="00EA064F"/>
    <w:rsid w:val="00EA0685"/>
    <w:rsid w:val="00EA06A1"/>
    <w:rsid w:val="00EA06B8"/>
    <w:rsid w:val="00EA079B"/>
    <w:rsid w:val="00EA085B"/>
    <w:rsid w:val="00EA08C9"/>
    <w:rsid w:val="00EA08CC"/>
    <w:rsid w:val="00EA0934"/>
    <w:rsid w:val="00EA096E"/>
    <w:rsid w:val="00EA0978"/>
    <w:rsid w:val="00EA0AE0"/>
    <w:rsid w:val="00EA0B33"/>
    <w:rsid w:val="00EA0B5A"/>
    <w:rsid w:val="00EA0C82"/>
    <w:rsid w:val="00EA0D05"/>
    <w:rsid w:val="00EA0D77"/>
    <w:rsid w:val="00EA0DCA"/>
    <w:rsid w:val="00EA0DDE"/>
    <w:rsid w:val="00EA0DE2"/>
    <w:rsid w:val="00EA0E28"/>
    <w:rsid w:val="00EA0F59"/>
    <w:rsid w:val="00EA0F93"/>
    <w:rsid w:val="00EA1028"/>
    <w:rsid w:val="00EA104F"/>
    <w:rsid w:val="00EA109B"/>
    <w:rsid w:val="00EA1102"/>
    <w:rsid w:val="00EA114E"/>
    <w:rsid w:val="00EA11B0"/>
    <w:rsid w:val="00EA1223"/>
    <w:rsid w:val="00EA12C5"/>
    <w:rsid w:val="00EA134F"/>
    <w:rsid w:val="00EA142E"/>
    <w:rsid w:val="00EA150E"/>
    <w:rsid w:val="00EA1516"/>
    <w:rsid w:val="00EA151F"/>
    <w:rsid w:val="00EA1538"/>
    <w:rsid w:val="00EA1543"/>
    <w:rsid w:val="00EA1593"/>
    <w:rsid w:val="00EA1633"/>
    <w:rsid w:val="00EA1660"/>
    <w:rsid w:val="00EA1782"/>
    <w:rsid w:val="00EA17E7"/>
    <w:rsid w:val="00EA17E8"/>
    <w:rsid w:val="00EA1828"/>
    <w:rsid w:val="00EA192C"/>
    <w:rsid w:val="00EA198D"/>
    <w:rsid w:val="00EA19A8"/>
    <w:rsid w:val="00EA19F5"/>
    <w:rsid w:val="00EA1A06"/>
    <w:rsid w:val="00EA1A0F"/>
    <w:rsid w:val="00EA1A75"/>
    <w:rsid w:val="00EA1A90"/>
    <w:rsid w:val="00EA1B2B"/>
    <w:rsid w:val="00EA1B9F"/>
    <w:rsid w:val="00EA1BE3"/>
    <w:rsid w:val="00EA1C31"/>
    <w:rsid w:val="00EA1D40"/>
    <w:rsid w:val="00EA1D68"/>
    <w:rsid w:val="00EA1DAA"/>
    <w:rsid w:val="00EA1DE1"/>
    <w:rsid w:val="00EA1E71"/>
    <w:rsid w:val="00EA1E84"/>
    <w:rsid w:val="00EA1F2A"/>
    <w:rsid w:val="00EA1F31"/>
    <w:rsid w:val="00EA2038"/>
    <w:rsid w:val="00EA208F"/>
    <w:rsid w:val="00EA2144"/>
    <w:rsid w:val="00EA2169"/>
    <w:rsid w:val="00EA21E9"/>
    <w:rsid w:val="00EA21F7"/>
    <w:rsid w:val="00EA2280"/>
    <w:rsid w:val="00EA2285"/>
    <w:rsid w:val="00EA2293"/>
    <w:rsid w:val="00EA229A"/>
    <w:rsid w:val="00EA2383"/>
    <w:rsid w:val="00EA238A"/>
    <w:rsid w:val="00EA239B"/>
    <w:rsid w:val="00EA24A8"/>
    <w:rsid w:val="00EA24FA"/>
    <w:rsid w:val="00EA253C"/>
    <w:rsid w:val="00EA258F"/>
    <w:rsid w:val="00EA259C"/>
    <w:rsid w:val="00EA25A6"/>
    <w:rsid w:val="00EA263D"/>
    <w:rsid w:val="00EA26F7"/>
    <w:rsid w:val="00EA27D2"/>
    <w:rsid w:val="00EA27EB"/>
    <w:rsid w:val="00EA293C"/>
    <w:rsid w:val="00EA2983"/>
    <w:rsid w:val="00EA29A0"/>
    <w:rsid w:val="00EA29CB"/>
    <w:rsid w:val="00EA2A9F"/>
    <w:rsid w:val="00EA2AEE"/>
    <w:rsid w:val="00EA2B53"/>
    <w:rsid w:val="00EA2B7F"/>
    <w:rsid w:val="00EA2B82"/>
    <w:rsid w:val="00EA2BA6"/>
    <w:rsid w:val="00EA2BD7"/>
    <w:rsid w:val="00EA2BFE"/>
    <w:rsid w:val="00EA2C93"/>
    <w:rsid w:val="00EA2CA7"/>
    <w:rsid w:val="00EA2D5B"/>
    <w:rsid w:val="00EA2DE8"/>
    <w:rsid w:val="00EA2E21"/>
    <w:rsid w:val="00EA2E40"/>
    <w:rsid w:val="00EA2E45"/>
    <w:rsid w:val="00EA2E87"/>
    <w:rsid w:val="00EA2EDC"/>
    <w:rsid w:val="00EA2FCD"/>
    <w:rsid w:val="00EA3068"/>
    <w:rsid w:val="00EA30A5"/>
    <w:rsid w:val="00EA30AD"/>
    <w:rsid w:val="00EA3106"/>
    <w:rsid w:val="00EA311B"/>
    <w:rsid w:val="00EA3169"/>
    <w:rsid w:val="00EA3198"/>
    <w:rsid w:val="00EA31A0"/>
    <w:rsid w:val="00EA31FA"/>
    <w:rsid w:val="00EA322B"/>
    <w:rsid w:val="00EA326A"/>
    <w:rsid w:val="00EA332E"/>
    <w:rsid w:val="00EA3368"/>
    <w:rsid w:val="00EA3369"/>
    <w:rsid w:val="00EA3397"/>
    <w:rsid w:val="00EA34A0"/>
    <w:rsid w:val="00EA3586"/>
    <w:rsid w:val="00EA35A9"/>
    <w:rsid w:val="00EA35F1"/>
    <w:rsid w:val="00EA366F"/>
    <w:rsid w:val="00EA36D6"/>
    <w:rsid w:val="00EA373E"/>
    <w:rsid w:val="00EA378B"/>
    <w:rsid w:val="00EA37F3"/>
    <w:rsid w:val="00EA37FE"/>
    <w:rsid w:val="00EA3827"/>
    <w:rsid w:val="00EA3875"/>
    <w:rsid w:val="00EA387B"/>
    <w:rsid w:val="00EA3925"/>
    <w:rsid w:val="00EA395C"/>
    <w:rsid w:val="00EA3A58"/>
    <w:rsid w:val="00EA3A66"/>
    <w:rsid w:val="00EA3A7C"/>
    <w:rsid w:val="00EA3AE9"/>
    <w:rsid w:val="00EA3AF2"/>
    <w:rsid w:val="00EA3B05"/>
    <w:rsid w:val="00EA3C0C"/>
    <w:rsid w:val="00EA3C14"/>
    <w:rsid w:val="00EA3C1D"/>
    <w:rsid w:val="00EA3C47"/>
    <w:rsid w:val="00EA3C57"/>
    <w:rsid w:val="00EA3CED"/>
    <w:rsid w:val="00EA3D93"/>
    <w:rsid w:val="00EA3DC8"/>
    <w:rsid w:val="00EA3EE8"/>
    <w:rsid w:val="00EA3F05"/>
    <w:rsid w:val="00EA4052"/>
    <w:rsid w:val="00EA4080"/>
    <w:rsid w:val="00EA40E7"/>
    <w:rsid w:val="00EA40F2"/>
    <w:rsid w:val="00EA4168"/>
    <w:rsid w:val="00EA4186"/>
    <w:rsid w:val="00EA41B3"/>
    <w:rsid w:val="00EA41DB"/>
    <w:rsid w:val="00EA4242"/>
    <w:rsid w:val="00EA424F"/>
    <w:rsid w:val="00EA42B9"/>
    <w:rsid w:val="00EA42C6"/>
    <w:rsid w:val="00EA435A"/>
    <w:rsid w:val="00EA43B8"/>
    <w:rsid w:val="00EA43E3"/>
    <w:rsid w:val="00EA4441"/>
    <w:rsid w:val="00EA445A"/>
    <w:rsid w:val="00EA44DC"/>
    <w:rsid w:val="00EA44E7"/>
    <w:rsid w:val="00EA4520"/>
    <w:rsid w:val="00EA4602"/>
    <w:rsid w:val="00EA4640"/>
    <w:rsid w:val="00EA46EE"/>
    <w:rsid w:val="00EA4700"/>
    <w:rsid w:val="00EA4780"/>
    <w:rsid w:val="00EA4782"/>
    <w:rsid w:val="00EA47D5"/>
    <w:rsid w:val="00EA4882"/>
    <w:rsid w:val="00EA48AC"/>
    <w:rsid w:val="00EA4969"/>
    <w:rsid w:val="00EA4987"/>
    <w:rsid w:val="00EA49A3"/>
    <w:rsid w:val="00EA4B29"/>
    <w:rsid w:val="00EA4BC0"/>
    <w:rsid w:val="00EA4BF9"/>
    <w:rsid w:val="00EA4C57"/>
    <w:rsid w:val="00EA4C66"/>
    <w:rsid w:val="00EA4C67"/>
    <w:rsid w:val="00EA4CDE"/>
    <w:rsid w:val="00EA4CE5"/>
    <w:rsid w:val="00EA4E84"/>
    <w:rsid w:val="00EA4EA8"/>
    <w:rsid w:val="00EA4F17"/>
    <w:rsid w:val="00EA4F7C"/>
    <w:rsid w:val="00EA4FDF"/>
    <w:rsid w:val="00EA502E"/>
    <w:rsid w:val="00EA50AA"/>
    <w:rsid w:val="00EA512B"/>
    <w:rsid w:val="00EA515B"/>
    <w:rsid w:val="00EA518C"/>
    <w:rsid w:val="00EA51C0"/>
    <w:rsid w:val="00EA51E3"/>
    <w:rsid w:val="00EA5343"/>
    <w:rsid w:val="00EA543E"/>
    <w:rsid w:val="00EA54FE"/>
    <w:rsid w:val="00EA553C"/>
    <w:rsid w:val="00EA55D5"/>
    <w:rsid w:val="00EA564F"/>
    <w:rsid w:val="00EA566A"/>
    <w:rsid w:val="00EA56DA"/>
    <w:rsid w:val="00EA56E2"/>
    <w:rsid w:val="00EA56EA"/>
    <w:rsid w:val="00EA56F3"/>
    <w:rsid w:val="00EA5728"/>
    <w:rsid w:val="00EA5747"/>
    <w:rsid w:val="00EA574A"/>
    <w:rsid w:val="00EA57BB"/>
    <w:rsid w:val="00EA57BE"/>
    <w:rsid w:val="00EA57D2"/>
    <w:rsid w:val="00EA583F"/>
    <w:rsid w:val="00EA584A"/>
    <w:rsid w:val="00EA5860"/>
    <w:rsid w:val="00EA5870"/>
    <w:rsid w:val="00EA5896"/>
    <w:rsid w:val="00EA58E4"/>
    <w:rsid w:val="00EA599A"/>
    <w:rsid w:val="00EA5A15"/>
    <w:rsid w:val="00EA5B84"/>
    <w:rsid w:val="00EA5BAE"/>
    <w:rsid w:val="00EA5BBF"/>
    <w:rsid w:val="00EA5C00"/>
    <w:rsid w:val="00EA5C47"/>
    <w:rsid w:val="00EA5D72"/>
    <w:rsid w:val="00EA5ECF"/>
    <w:rsid w:val="00EA5F16"/>
    <w:rsid w:val="00EA5FAA"/>
    <w:rsid w:val="00EA5FDE"/>
    <w:rsid w:val="00EA605D"/>
    <w:rsid w:val="00EA6062"/>
    <w:rsid w:val="00EA6079"/>
    <w:rsid w:val="00EA60F1"/>
    <w:rsid w:val="00EA6230"/>
    <w:rsid w:val="00EA6233"/>
    <w:rsid w:val="00EA62D9"/>
    <w:rsid w:val="00EA62DD"/>
    <w:rsid w:val="00EA6310"/>
    <w:rsid w:val="00EA6395"/>
    <w:rsid w:val="00EA63F3"/>
    <w:rsid w:val="00EA65CD"/>
    <w:rsid w:val="00EA6636"/>
    <w:rsid w:val="00EA670B"/>
    <w:rsid w:val="00EA6735"/>
    <w:rsid w:val="00EA67C0"/>
    <w:rsid w:val="00EA67F7"/>
    <w:rsid w:val="00EA6893"/>
    <w:rsid w:val="00EA68FF"/>
    <w:rsid w:val="00EA6923"/>
    <w:rsid w:val="00EA69CC"/>
    <w:rsid w:val="00EA6A8F"/>
    <w:rsid w:val="00EA6A92"/>
    <w:rsid w:val="00EA6AEE"/>
    <w:rsid w:val="00EA6B01"/>
    <w:rsid w:val="00EA6BA2"/>
    <w:rsid w:val="00EA6BBD"/>
    <w:rsid w:val="00EA6C25"/>
    <w:rsid w:val="00EA6C41"/>
    <w:rsid w:val="00EA6C56"/>
    <w:rsid w:val="00EA6C9A"/>
    <w:rsid w:val="00EA6C9E"/>
    <w:rsid w:val="00EA6D1D"/>
    <w:rsid w:val="00EA6D2D"/>
    <w:rsid w:val="00EA6DC7"/>
    <w:rsid w:val="00EA6DEC"/>
    <w:rsid w:val="00EA6E1B"/>
    <w:rsid w:val="00EA6E34"/>
    <w:rsid w:val="00EA6E63"/>
    <w:rsid w:val="00EA6F16"/>
    <w:rsid w:val="00EA6F5C"/>
    <w:rsid w:val="00EA6FB4"/>
    <w:rsid w:val="00EA6FB6"/>
    <w:rsid w:val="00EA7030"/>
    <w:rsid w:val="00EA7092"/>
    <w:rsid w:val="00EA713C"/>
    <w:rsid w:val="00EA71DB"/>
    <w:rsid w:val="00EA721D"/>
    <w:rsid w:val="00EA7233"/>
    <w:rsid w:val="00EA7238"/>
    <w:rsid w:val="00EA7340"/>
    <w:rsid w:val="00EA736C"/>
    <w:rsid w:val="00EA7407"/>
    <w:rsid w:val="00EA7417"/>
    <w:rsid w:val="00EA7426"/>
    <w:rsid w:val="00EA7468"/>
    <w:rsid w:val="00EA7469"/>
    <w:rsid w:val="00EA7483"/>
    <w:rsid w:val="00EA74C0"/>
    <w:rsid w:val="00EA7516"/>
    <w:rsid w:val="00EA762E"/>
    <w:rsid w:val="00EA7643"/>
    <w:rsid w:val="00EA7673"/>
    <w:rsid w:val="00EA76C6"/>
    <w:rsid w:val="00EA7700"/>
    <w:rsid w:val="00EA773A"/>
    <w:rsid w:val="00EA774D"/>
    <w:rsid w:val="00EA779F"/>
    <w:rsid w:val="00EA77E7"/>
    <w:rsid w:val="00EA77F5"/>
    <w:rsid w:val="00EA782A"/>
    <w:rsid w:val="00EA7844"/>
    <w:rsid w:val="00EA7881"/>
    <w:rsid w:val="00EA788F"/>
    <w:rsid w:val="00EA78E4"/>
    <w:rsid w:val="00EA7950"/>
    <w:rsid w:val="00EA7987"/>
    <w:rsid w:val="00EA79D0"/>
    <w:rsid w:val="00EA79E5"/>
    <w:rsid w:val="00EA7A69"/>
    <w:rsid w:val="00EA7AF4"/>
    <w:rsid w:val="00EA7B20"/>
    <w:rsid w:val="00EA7B21"/>
    <w:rsid w:val="00EA7B6D"/>
    <w:rsid w:val="00EA7B9D"/>
    <w:rsid w:val="00EA7C52"/>
    <w:rsid w:val="00EA7CB4"/>
    <w:rsid w:val="00EA7CF5"/>
    <w:rsid w:val="00EA7D2A"/>
    <w:rsid w:val="00EA7D59"/>
    <w:rsid w:val="00EA7DC1"/>
    <w:rsid w:val="00EA7DC9"/>
    <w:rsid w:val="00EA7DF5"/>
    <w:rsid w:val="00EA7DFB"/>
    <w:rsid w:val="00EA7E06"/>
    <w:rsid w:val="00EA7EAD"/>
    <w:rsid w:val="00EA7EBB"/>
    <w:rsid w:val="00EA7F97"/>
    <w:rsid w:val="00EB00AF"/>
    <w:rsid w:val="00EB00ED"/>
    <w:rsid w:val="00EB00FD"/>
    <w:rsid w:val="00EB0373"/>
    <w:rsid w:val="00EB0395"/>
    <w:rsid w:val="00EB0449"/>
    <w:rsid w:val="00EB0477"/>
    <w:rsid w:val="00EB04C6"/>
    <w:rsid w:val="00EB050B"/>
    <w:rsid w:val="00EB059D"/>
    <w:rsid w:val="00EB05A2"/>
    <w:rsid w:val="00EB05B2"/>
    <w:rsid w:val="00EB0670"/>
    <w:rsid w:val="00EB06C1"/>
    <w:rsid w:val="00EB06C7"/>
    <w:rsid w:val="00EB0706"/>
    <w:rsid w:val="00EB0798"/>
    <w:rsid w:val="00EB080F"/>
    <w:rsid w:val="00EB081F"/>
    <w:rsid w:val="00EB0832"/>
    <w:rsid w:val="00EB08D9"/>
    <w:rsid w:val="00EB08E5"/>
    <w:rsid w:val="00EB0904"/>
    <w:rsid w:val="00EB0908"/>
    <w:rsid w:val="00EB0A13"/>
    <w:rsid w:val="00EB0A14"/>
    <w:rsid w:val="00EB0A33"/>
    <w:rsid w:val="00EB0A8E"/>
    <w:rsid w:val="00EB0AB0"/>
    <w:rsid w:val="00EB0BD7"/>
    <w:rsid w:val="00EB0C22"/>
    <w:rsid w:val="00EB0C2E"/>
    <w:rsid w:val="00EB0CA3"/>
    <w:rsid w:val="00EB0D1F"/>
    <w:rsid w:val="00EB0D84"/>
    <w:rsid w:val="00EB0DA5"/>
    <w:rsid w:val="00EB0DAC"/>
    <w:rsid w:val="00EB0E5C"/>
    <w:rsid w:val="00EB0E76"/>
    <w:rsid w:val="00EB0E7C"/>
    <w:rsid w:val="00EB0EDD"/>
    <w:rsid w:val="00EB0F09"/>
    <w:rsid w:val="00EB0F3F"/>
    <w:rsid w:val="00EB0F6B"/>
    <w:rsid w:val="00EB0FB2"/>
    <w:rsid w:val="00EB1020"/>
    <w:rsid w:val="00EB10A1"/>
    <w:rsid w:val="00EB10F9"/>
    <w:rsid w:val="00EB115B"/>
    <w:rsid w:val="00EB118C"/>
    <w:rsid w:val="00EB11E0"/>
    <w:rsid w:val="00EB121B"/>
    <w:rsid w:val="00EB1241"/>
    <w:rsid w:val="00EB1295"/>
    <w:rsid w:val="00EB12CD"/>
    <w:rsid w:val="00EB12D0"/>
    <w:rsid w:val="00EB12F9"/>
    <w:rsid w:val="00EB13D0"/>
    <w:rsid w:val="00EB144D"/>
    <w:rsid w:val="00EB146B"/>
    <w:rsid w:val="00EB14AA"/>
    <w:rsid w:val="00EB14BF"/>
    <w:rsid w:val="00EB1519"/>
    <w:rsid w:val="00EB1544"/>
    <w:rsid w:val="00EB1547"/>
    <w:rsid w:val="00EB1573"/>
    <w:rsid w:val="00EB15E1"/>
    <w:rsid w:val="00EB1613"/>
    <w:rsid w:val="00EB1631"/>
    <w:rsid w:val="00EB1695"/>
    <w:rsid w:val="00EB1789"/>
    <w:rsid w:val="00EB17F5"/>
    <w:rsid w:val="00EB1832"/>
    <w:rsid w:val="00EB186B"/>
    <w:rsid w:val="00EB1886"/>
    <w:rsid w:val="00EB1890"/>
    <w:rsid w:val="00EB18BA"/>
    <w:rsid w:val="00EB1A16"/>
    <w:rsid w:val="00EB1A2B"/>
    <w:rsid w:val="00EB1A5B"/>
    <w:rsid w:val="00EB1A5E"/>
    <w:rsid w:val="00EB1AB1"/>
    <w:rsid w:val="00EB1AC2"/>
    <w:rsid w:val="00EB1AC4"/>
    <w:rsid w:val="00EB1AEE"/>
    <w:rsid w:val="00EB1AF9"/>
    <w:rsid w:val="00EB1B01"/>
    <w:rsid w:val="00EB1B5B"/>
    <w:rsid w:val="00EB1B5D"/>
    <w:rsid w:val="00EB1BA9"/>
    <w:rsid w:val="00EB1C8D"/>
    <w:rsid w:val="00EB1D73"/>
    <w:rsid w:val="00EB1D7F"/>
    <w:rsid w:val="00EB1DAE"/>
    <w:rsid w:val="00EB1DCD"/>
    <w:rsid w:val="00EB1DE1"/>
    <w:rsid w:val="00EB1EFA"/>
    <w:rsid w:val="00EB1F46"/>
    <w:rsid w:val="00EB2081"/>
    <w:rsid w:val="00EB2096"/>
    <w:rsid w:val="00EB213B"/>
    <w:rsid w:val="00EB2170"/>
    <w:rsid w:val="00EB218B"/>
    <w:rsid w:val="00EB2198"/>
    <w:rsid w:val="00EB219B"/>
    <w:rsid w:val="00EB21F5"/>
    <w:rsid w:val="00EB21FE"/>
    <w:rsid w:val="00EB2242"/>
    <w:rsid w:val="00EB22A0"/>
    <w:rsid w:val="00EB22B9"/>
    <w:rsid w:val="00EB22CB"/>
    <w:rsid w:val="00EB233D"/>
    <w:rsid w:val="00EB24B3"/>
    <w:rsid w:val="00EB24B7"/>
    <w:rsid w:val="00EB24C9"/>
    <w:rsid w:val="00EB24D9"/>
    <w:rsid w:val="00EB24DA"/>
    <w:rsid w:val="00EB2503"/>
    <w:rsid w:val="00EB253C"/>
    <w:rsid w:val="00EB2638"/>
    <w:rsid w:val="00EB2648"/>
    <w:rsid w:val="00EB2658"/>
    <w:rsid w:val="00EB2673"/>
    <w:rsid w:val="00EB2689"/>
    <w:rsid w:val="00EB2744"/>
    <w:rsid w:val="00EB276B"/>
    <w:rsid w:val="00EB2774"/>
    <w:rsid w:val="00EB27D0"/>
    <w:rsid w:val="00EB27D6"/>
    <w:rsid w:val="00EB27E0"/>
    <w:rsid w:val="00EB27E4"/>
    <w:rsid w:val="00EB27F6"/>
    <w:rsid w:val="00EB2823"/>
    <w:rsid w:val="00EB288F"/>
    <w:rsid w:val="00EB2903"/>
    <w:rsid w:val="00EB295A"/>
    <w:rsid w:val="00EB295F"/>
    <w:rsid w:val="00EB2974"/>
    <w:rsid w:val="00EB29D3"/>
    <w:rsid w:val="00EB29EA"/>
    <w:rsid w:val="00EB2A7A"/>
    <w:rsid w:val="00EB2ABC"/>
    <w:rsid w:val="00EB2B15"/>
    <w:rsid w:val="00EB2B77"/>
    <w:rsid w:val="00EB2B7D"/>
    <w:rsid w:val="00EB2BCB"/>
    <w:rsid w:val="00EB2C1F"/>
    <w:rsid w:val="00EB2CD6"/>
    <w:rsid w:val="00EB2D77"/>
    <w:rsid w:val="00EB2EE8"/>
    <w:rsid w:val="00EB2EFB"/>
    <w:rsid w:val="00EB2F27"/>
    <w:rsid w:val="00EB2F30"/>
    <w:rsid w:val="00EB2F7E"/>
    <w:rsid w:val="00EB2FA6"/>
    <w:rsid w:val="00EB302B"/>
    <w:rsid w:val="00EB3030"/>
    <w:rsid w:val="00EB3086"/>
    <w:rsid w:val="00EB30B7"/>
    <w:rsid w:val="00EB312C"/>
    <w:rsid w:val="00EB31D9"/>
    <w:rsid w:val="00EB3255"/>
    <w:rsid w:val="00EB329B"/>
    <w:rsid w:val="00EB32F3"/>
    <w:rsid w:val="00EB3342"/>
    <w:rsid w:val="00EB33A7"/>
    <w:rsid w:val="00EB33D1"/>
    <w:rsid w:val="00EB3462"/>
    <w:rsid w:val="00EB3485"/>
    <w:rsid w:val="00EB348B"/>
    <w:rsid w:val="00EB3513"/>
    <w:rsid w:val="00EB353F"/>
    <w:rsid w:val="00EB364F"/>
    <w:rsid w:val="00EB366D"/>
    <w:rsid w:val="00EB3748"/>
    <w:rsid w:val="00EB37B7"/>
    <w:rsid w:val="00EB37C4"/>
    <w:rsid w:val="00EB37E6"/>
    <w:rsid w:val="00EB381E"/>
    <w:rsid w:val="00EB384B"/>
    <w:rsid w:val="00EB38BE"/>
    <w:rsid w:val="00EB3923"/>
    <w:rsid w:val="00EB39A6"/>
    <w:rsid w:val="00EB3A14"/>
    <w:rsid w:val="00EB3A99"/>
    <w:rsid w:val="00EB3B0C"/>
    <w:rsid w:val="00EB3B0E"/>
    <w:rsid w:val="00EB3B4C"/>
    <w:rsid w:val="00EB3BF0"/>
    <w:rsid w:val="00EB3C9E"/>
    <w:rsid w:val="00EB3CE4"/>
    <w:rsid w:val="00EB3D32"/>
    <w:rsid w:val="00EB3D78"/>
    <w:rsid w:val="00EB3D86"/>
    <w:rsid w:val="00EB3D9F"/>
    <w:rsid w:val="00EB3ED8"/>
    <w:rsid w:val="00EB3F2B"/>
    <w:rsid w:val="00EB3FA0"/>
    <w:rsid w:val="00EB4093"/>
    <w:rsid w:val="00EB4097"/>
    <w:rsid w:val="00EB4116"/>
    <w:rsid w:val="00EB41E3"/>
    <w:rsid w:val="00EB420F"/>
    <w:rsid w:val="00EB423E"/>
    <w:rsid w:val="00EB42A3"/>
    <w:rsid w:val="00EB42A8"/>
    <w:rsid w:val="00EB42D6"/>
    <w:rsid w:val="00EB42FF"/>
    <w:rsid w:val="00EB4353"/>
    <w:rsid w:val="00EB43AB"/>
    <w:rsid w:val="00EB43B6"/>
    <w:rsid w:val="00EB43FA"/>
    <w:rsid w:val="00EB443B"/>
    <w:rsid w:val="00EB445A"/>
    <w:rsid w:val="00EB4493"/>
    <w:rsid w:val="00EB449C"/>
    <w:rsid w:val="00EB44B2"/>
    <w:rsid w:val="00EB4582"/>
    <w:rsid w:val="00EB45B9"/>
    <w:rsid w:val="00EB45E4"/>
    <w:rsid w:val="00EB45E6"/>
    <w:rsid w:val="00EB469A"/>
    <w:rsid w:val="00EB4718"/>
    <w:rsid w:val="00EB47B2"/>
    <w:rsid w:val="00EB48B0"/>
    <w:rsid w:val="00EB4978"/>
    <w:rsid w:val="00EB49AD"/>
    <w:rsid w:val="00EB4ABE"/>
    <w:rsid w:val="00EB4CCE"/>
    <w:rsid w:val="00EB4CE0"/>
    <w:rsid w:val="00EB4D04"/>
    <w:rsid w:val="00EB4D1D"/>
    <w:rsid w:val="00EB4D78"/>
    <w:rsid w:val="00EB4E18"/>
    <w:rsid w:val="00EB4E31"/>
    <w:rsid w:val="00EB4E53"/>
    <w:rsid w:val="00EB4EA5"/>
    <w:rsid w:val="00EB4EC8"/>
    <w:rsid w:val="00EB4EC9"/>
    <w:rsid w:val="00EB4EF9"/>
    <w:rsid w:val="00EB4F2D"/>
    <w:rsid w:val="00EB4F2F"/>
    <w:rsid w:val="00EB4F4B"/>
    <w:rsid w:val="00EB4FCE"/>
    <w:rsid w:val="00EB50BF"/>
    <w:rsid w:val="00EB50E1"/>
    <w:rsid w:val="00EB5109"/>
    <w:rsid w:val="00EB5115"/>
    <w:rsid w:val="00EB513E"/>
    <w:rsid w:val="00EB517E"/>
    <w:rsid w:val="00EB5195"/>
    <w:rsid w:val="00EB51E1"/>
    <w:rsid w:val="00EB5287"/>
    <w:rsid w:val="00EB52AE"/>
    <w:rsid w:val="00EB52C2"/>
    <w:rsid w:val="00EB52E2"/>
    <w:rsid w:val="00EB52F9"/>
    <w:rsid w:val="00EB5395"/>
    <w:rsid w:val="00EB5396"/>
    <w:rsid w:val="00EB53E8"/>
    <w:rsid w:val="00EB545D"/>
    <w:rsid w:val="00EB5471"/>
    <w:rsid w:val="00EB5544"/>
    <w:rsid w:val="00EB55FC"/>
    <w:rsid w:val="00EB562E"/>
    <w:rsid w:val="00EB5650"/>
    <w:rsid w:val="00EB57B4"/>
    <w:rsid w:val="00EB57F7"/>
    <w:rsid w:val="00EB580C"/>
    <w:rsid w:val="00EB5880"/>
    <w:rsid w:val="00EB58A7"/>
    <w:rsid w:val="00EB595C"/>
    <w:rsid w:val="00EB5984"/>
    <w:rsid w:val="00EB59B8"/>
    <w:rsid w:val="00EB59E4"/>
    <w:rsid w:val="00EB59EA"/>
    <w:rsid w:val="00EB5A7A"/>
    <w:rsid w:val="00EB5AD1"/>
    <w:rsid w:val="00EB5AF2"/>
    <w:rsid w:val="00EB5B09"/>
    <w:rsid w:val="00EB5B19"/>
    <w:rsid w:val="00EB5B2E"/>
    <w:rsid w:val="00EB5BAB"/>
    <w:rsid w:val="00EB5BBA"/>
    <w:rsid w:val="00EB5BCB"/>
    <w:rsid w:val="00EB5BFC"/>
    <w:rsid w:val="00EB5C15"/>
    <w:rsid w:val="00EB5D36"/>
    <w:rsid w:val="00EB5DAB"/>
    <w:rsid w:val="00EB5E20"/>
    <w:rsid w:val="00EB5E72"/>
    <w:rsid w:val="00EB5F5C"/>
    <w:rsid w:val="00EB607A"/>
    <w:rsid w:val="00EB60BB"/>
    <w:rsid w:val="00EB6134"/>
    <w:rsid w:val="00EB6146"/>
    <w:rsid w:val="00EB614A"/>
    <w:rsid w:val="00EB61EB"/>
    <w:rsid w:val="00EB627A"/>
    <w:rsid w:val="00EB628F"/>
    <w:rsid w:val="00EB6293"/>
    <w:rsid w:val="00EB62A5"/>
    <w:rsid w:val="00EB630F"/>
    <w:rsid w:val="00EB6357"/>
    <w:rsid w:val="00EB63A4"/>
    <w:rsid w:val="00EB63FE"/>
    <w:rsid w:val="00EB6419"/>
    <w:rsid w:val="00EB6469"/>
    <w:rsid w:val="00EB64A8"/>
    <w:rsid w:val="00EB650B"/>
    <w:rsid w:val="00EB656E"/>
    <w:rsid w:val="00EB660D"/>
    <w:rsid w:val="00EB6646"/>
    <w:rsid w:val="00EB66CA"/>
    <w:rsid w:val="00EB66CE"/>
    <w:rsid w:val="00EB673B"/>
    <w:rsid w:val="00EB6771"/>
    <w:rsid w:val="00EB6873"/>
    <w:rsid w:val="00EB687C"/>
    <w:rsid w:val="00EB68C0"/>
    <w:rsid w:val="00EB68DC"/>
    <w:rsid w:val="00EB6903"/>
    <w:rsid w:val="00EB6981"/>
    <w:rsid w:val="00EB69A3"/>
    <w:rsid w:val="00EB69DE"/>
    <w:rsid w:val="00EB6A09"/>
    <w:rsid w:val="00EB6A0D"/>
    <w:rsid w:val="00EB6B9F"/>
    <w:rsid w:val="00EB6C1B"/>
    <w:rsid w:val="00EB6C61"/>
    <w:rsid w:val="00EB6C87"/>
    <w:rsid w:val="00EB6D11"/>
    <w:rsid w:val="00EB6D36"/>
    <w:rsid w:val="00EB6D81"/>
    <w:rsid w:val="00EB6DF8"/>
    <w:rsid w:val="00EB6E09"/>
    <w:rsid w:val="00EB6E1E"/>
    <w:rsid w:val="00EB6E49"/>
    <w:rsid w:val="00EB6F95"/>
    <w:rsid w:val="00EB6FB9"/>
    <w:rsid w:val="00EB7006"/>
    <w:rsid w:val="00EB705B"/>
    <w:rsid w:val="00EB7060"/>
    <w:rsid w:val="00EB70A0"/>
    <w:rsid w:val="00EB71FD"/>
    <w:rsid w:val="00EB7210"/>
    <w:rsid w:val="00EB722B"/>
    <w:rsid w:val="00EB72A7"/>
    <w:rsid w:val="00EB73CF"/>
    <w:rsid w:val="00EB7456"/>
    <w:rsid w:val="00EB7508"/>
    <w:rsid w:val="00EB750F"/>
    <w:rsid w:val="00EB7540"/>
    <w:rsid w:val="00EB7618"/>
    <w:rsid w:val="00EB767E"/>
    <w:rsid w:val="00EB77C9"/>
    <w:rsid w:val="00EB7894"/>
    <w:rsid w:val="00EB78AA"/>
    <w:rsid w:val="00EB78EB"/>
    <w:rsid w:val="00EB7924"/>
    <w:rsid w:val="00EB79A6"/>
    <w:rsid w:val="00EB79D2"/>
    <w:rsid w:val="00EB7B58"/>
    <w:rsid w:val="00EB7B6A"/>
    <w:rsid w:val="00EB7BE2"/>
    <w:rsid w:val="00EB7C0D"/>
    <w:rsid w:val="00EB7C25"/>
    <w:rsid w:val="00EB7C2F"/>
    <w:rsid w:val="00EB7CA1"/>
    <w:rsid w:val="00EB7CDD"/>
    <w:rsid w:val="00EB7D1B"/>
    <w:rsid w:val="00EB7D1E"/>
    <w:rsid w:val="00EB7D33"/>
    <w:rsid w:val="00EB7D9B"/>
    <w:rsid w:val="00EB7DA7"/>
    <w:rsid w:val="00EB7E06"/>
    <w:rsid w:val="00EB7E0A"/>
    <w:rsid w:val="00EB7E44"/>
    <w:rsid w:val="00EB7E68"/>
    <w:rsid w:val="00EC003E"/>
    <w:rsid w:val="00EC0161"/>
    <w:rsid w:val="00EC0164"/>
    <w:rsid w:val="00EC0169"/>
    <w:rsid w:val="00EC01A1"/>
    <w:rsid w:val="00EC01C6"/>
    <w:rsid w:val="00EC03B3"/>
    <w:rsid w:val="00EC03F9"/>
    <w:rsid w:val="00EC041E"/>
    <w:rsid w:val="00EC0491"/>
    <w:rsid w:val="00EC0558"/>
    <w:rsid w:val="00EC05A4"/>
    <w:rsid w:val="00EC05D4"/>
    <w:rsid w:val="00EC062A"/>
    <w:rsid w:val="00EC066C"/>
    <w:rsid w:val="00EC0708"/>
    <w:rsid w:val="00EC0792"/>
    <w:rsid w:val="00EC086B"/>
    <w:rsid w:val="00EC088E"/>
    <w:rsid w:val="00EC08B3"/>
    <w:rsid w:val="00EC0922"/>
    <w:rsid w:val="00EC0A21"/>
    <w:rsid w:val="00EC0A45"/>
    <w:rsid w:val="00EC0C09"/>
    <w:rsid w:val="00EC0CE3"/>
    <w:rsid w:val="00EC0D46"/>
    <w:rsid w:val="00EC0D4E"/>
    <w:rsid w:val="00EC0D87"/>
    <w:rsid w:val="00EC0DF9"/>
    <w:rsid w:val="00EC0EA2"/>
    <w:rsid w:val="00EC0F60"/>
    <w:rsid w:val="00EC0FBF"/>
    <w:rsid w:val="00EC0FC4"/>
    <w:rsid w:val="00EC0FE7"/>
    <w:rsid w:val="00EC0FF4"/>
    <w:rsid w:val="00EC1065"/>
    <w:rsid w:val="00EC111C"/>
    <w:rsid w:val="00EC1126"/>
    <w:rsid w:val="00EC1141"/>
    <w:rsid w:val="00EC118D"/>
    <w:rsid w:val="00EC11A5"/>
    <w:rsid w:val="00EC11D7"/>
    <w:rsid w:val="00EC120F"/>
    <w:rsid w:val="00EC1252"/>
    <w:rsid w:val="00EC1270"/>
    <w:rsid w:val="00EC1292"/>
    <w:rsid w:val="00EC12C0"/>
    <w:rsid w:val="00EC1364"/>
    <w:rsid w:val="00EC136D"/>
    <w:rsid w:val="00EC14BC"/>
    <w:rsid w:val="00EC14E6"/>
    <w:rsid w:val="00EC1554"/>
    <w:rsid w:val="00EC1575"/>
    <w:rsid w:val="00EC15DF"/>
    <w:rsid w:val="00EC1604"/>
    <w:rsid w:val="00EC160F"/>
    <w:rsid w:val="00EC1697"/>
    <w:rsid w:val="00EC16F9"/>
    <w:rsid w:val="00EC179F"/>
    <w:rsid w:val="00EC18D9"/>
    <w:rsid w:val="00EC18F6"/>
    <w:rsid w:val="00EC191F"/>
    <w:rsid w:val="00EC192E"/>
    <w:rsid w:val="00EC19AB"/>
    <w:rsid w:val="00EC19D4"/>
    <w:rsid w:val="00EC1A1F"/>
    <w:rsid w:val="00EC1A8A"/>
    <w:rsid w:val="00EC1AEE"/>
    <w:rsid w:val="00EC1AF4"/>
    <w:rsid w:val="00EC1AF7"/>
    <w:rsid w:val="00EC1B15"/>
    <w:rsid w:val="00EC1B44"/>
    <w:rsid w:val="00EC1B6C"/>
    <w:rsid w:val="00EC1B73"/>
    <w:rsid w:val="00EC1B9A"/>
    <w:rsid w:val="00EC1BA7"/>
    <w:rsid w:val="00EC1BB8"/>
    <w:rsid w:val="00EC1BBB"/>
    <w:rsid w:val="00EC1C3B"/>
    <w:rsid w:val="00EC1C6C"/>
    <w:rsid w:val="00EC1D05"/>
    <w:rsid w:val="00EC1D0B"/>
    <w:rsid w:val="00EC1D62"/>
    <w:rsid w:val="00EC1DD9"/>
    <w:rsid w:val="00EC1DEA"/>
    <w:rsid w:val="00EC1E6B"/>
    <w:rsid w:val="00EC1F05"/>
    <w:rsid w:val="00EC1F11"/>
    <w:rsid w:val="00EC1F13"/>
    <w:rsid w:val="00EC1F3B"/>
    <w:rsid w:val="00EC1FA2"/>
    <w:rsid w:val="00EC1FEE"/>
    <w:rsid w:val="00EC1FF2"/>
    <w:rsid w:val="00EC201E"/>
    <w:rsid w:val="00EC2083"/>
    <w:rsid w:val="00EC2115"/>
    <w:rsid w:val="00EC21C4"/>
    <w:rsid w:val="00EC222F"/>
    <w:rsid w:val="00EC2264"/>
    <w:rsid w:val="00EC22C9"/>
    <w:rsid w:val="00EC233D"/>
    <w:rsid w:val="00EC239D"/>
    <w:rsid w:val="00EC23D4"/>
    <w:rsid w:val="00EC23E3"/>
    <w:rsid w:val="00EC24E6"/>
    <w:rsid w:val="00EC256C"/>
    <w:rsid w:val="00EC25B3"/>
    <w:rsid w:val="00EC2619"/>
    <w:rsid w:val="00EC2635"/>
    <w:rsid w:val="00EC263A"/>
    <w:rsid w:val="00EC264F"/>
    <w:rsid w:val="00EC2698"/>
    <w:rsid w:val="00EC26C3"/>
    <w:rsid w:val="00EC26FB"/>
    <w:rsid w:val="00EC2776"/>
    <w:rsid w:val="00EC277A"/>
    <w:rsid w:val="00EC27F0"/>
    <w:rsid w:val="00EC2802"/>
    <w:rsid w:val="00EC283F"/>
    <w:rsid w:val="00EC288F"/>
    <w:rsid w:val="00EC28CF"/>
    <w:rsid w:val="00EC28E7"/>
    <w:rsid w:val="00EC294A"/>
    <w:rsid w:val="00EC29A0"/>
    <w:rsid w:val="00EC2A40"/>
    <w:rsid w:val="00EC2A86"/>
    <w:rsid w:val="00EC2AB8"/>
    <w:rsid w:val="00EC2ADA"/>
    <w:rsid w:val="00EC2B81"/>
    <w:rsid w:val="00EC2C42"/>
    <w:rsid w:val="00EC2CE3"/>
    <w:rsid w:val="00EC2D09"/>
    <w:rsid w:val="00EC2D26"/>
    <w:rsid w:val="00EC2D42"/>
    <w:rsid w:val="00EC2DAB"/>
    <w:rsid w:val="00EC2EC2"/>
    <w:rsid w:val="00EC2ED5"/>
    <w:rsid w:val="00EC2F42"/>
    <w:rsid w:val="00EC3036"/>
    <w:rsid w:val="00EC3091"/>
    <w:rsid w:val="00EC30AD"/>
    <w:rsid w:val="00EC30B9"/>
    <w:rsid w:val="00EC30D8"/>
    <w:rsid w:val="00EC3143"/>
    <w:rsid w:val="00EC3159"/>
    <w:rsid w:val="00EC31CC"/>
    <w:rsid w:val="00EC31D4"/>
    <w:rsid w:val="00EC31F1"/>
    <w:rsid w:val="00EC3222"/>
    <w:rsid w:val="00EC324E"/>
    <w:rsid w:val="00EC325A"/>
    <w:rsid w:val="00EC32AC"/>
    <w:rsid w:val="00EC32FA"/>
    <w:rsid w:val="00EC3325"/>
    <w:rsid w:val="00EC337C"/>
    <w:rsid w:val="00EC33AB"/>
    <w:rsid w:val="00EC3402"/>
    <w:rsid w:val="00EC34B3"/>
    <w:rsid w:val="00EC34B5"/>
    <w:rsid w:val="00EC3572"/>
    <w:rsid w:val="00EC3633"/>
    <w:rsid w:val="00EC3660"/>
    <w:rsid w:val="00EC3733"/>
    <w:rsid w:val="00EC374A"/>
    <w:rsid w:val="00EC37F3"/>
    <w:rsid w:val="00EC380C"/>
    <w:rsid w:val="00EC380F"/>
    <w:rsid w:val="00EC38B8"/>
    <w:rsid w:val="00EC38E9"/>
    <w:rsid w:val="00EC392D"/>
    <w:rsid w:val="00EC393D"/>
    <w:rsid w:val="00EC3958"/>
    <w:rsid w:val="00EC3A2B"/>
    <w:rsid w:val="00EC3AB8"/>
    <w:rsid w:val="00EC3ACB"/>
    <w:rsid w:val="00EC3C6A"/>
    <w:rsid w:val="00EC3C6F"/>
    <w:rsid w:val="00EC3CF1"/>
    <w:rsid w:val="00EC3D1C"/>
    <w:rsid w:val="00EC3D65"/>
    <w:rsid w:val="00EC3D86"/>
    <w:rsid w:val="00EC3DC0"/>
    <w:rsid w:val="00EC3E96"/>
    <w:rsid w:val="00EC4048"/>
    <w:rsid w:val="00EC409B"/>
    <w:rsid w:val="00EC40C3"/>
    <w:rsid w:val="00EC40CD"/>
    <w:rsid w:val="00EC40D8"/>
    <w:rsid w:val="00EC41A9"/>
    <w:rsid w:val="00EC41CC"/>
    <w:rsid w:val="00EC41D4"/>
    <w:rsid w:val="00EC4213"/>
    <w:rsid w:val="00EC429E"/>
    <w:rsid w:val="00EC42B5"/>
    <w:rsid w:val="00EC42B7"/>
    <w:rsid w:val="00EC43CB"/>
    <w:rsid w:val="00EC43D0"/>
    <w:rsid w:val="00EC448A"/>
    <w:rsid w:val="00EC453D"/>
    <w:rsid w:val="00EC4582"/>
    <w:rsid w:val="00EC4647"/>
    <w:rsid w:val="00EC4648"/>
    <w:rsid w:val="00EC468F"/>
    <w:rsid w:val="00EC46F5"/>
    <w:rsid w:val="00EC4769"/>
    <w:rsid w:val="00EC478E"/>
    <w:rsid w:val="00EC47CF"/>
    <w:rsid w:val="00EC47D0"/>
    <w:rsid w:val="00EC482E"/>
    <w:rsid w:val="00EC495F"/>
    <w:rsid w:val="00EC4A38"/>
    <w:rsid w:val="00EC4AD9"/>
    <w:rsid w:val="00EC4AF2"/>
    <w:rsid w:val="00EC4B22"/>
    <w:rsid w:val="00EC4BB1"/>
    <w:rsid w:val="00EC4BE9"/>
    <w:rsid w:val="00EC4C1E"/>
    <w:rsid w:val="00EC4C2D"/>
    <w:rsid w:val="00EC4C35"/>
    <w:rsid w:val="00EC4CDC"/>
    <w:rsid w:val="00EC4D53"/>
    <w:rsid w:val="00EC4F2D"/>
    <w:rsid w:val="00EC4FC2"/>
    <w:rsid w:val="00EC4FEE"/>
    <w:rsid w:val="00EC50B6"/>
    <w:rsid w:val="00EC510A"/>
    <w:rsid w:val="00EC5197"/>
    <w:rsid w:val="00EC51DC"/>
    <w:rsid w:val="00EC5233"/>
    <w:rsid w:val="00EC5297"/>
    <w:rsid w:val="00EC52DC"/>
    <w:rsid w:val="00EC52EB"/>
    <w:rsid w:val="00EC52FA"/>
    <w:rsid w:val="00EC530D"/>
    <w:rsid w:val="00EC5317"/>
    <w:rsid w:val="00EC5333"/>
    <w:rsid w:val="00EC5359"/>
    <w:rsid w:val="00EC538B"/>
    <w:rsid w:val="00EC53A5"/>
    <w:rsid w:val="00EC53F9"/>
    <w:rsid w:val="00EC542A"/>
    <w:rsid w:val="00EC5477"/>
    <w:rsid w:val="00EC548C"/>
    <w:rsid w:val="00EC5498"/>
    <w:rsid w:val="00EC5567"/>
    <w:rsid w:val="00EC556B"/>
    <w:rsid w:val="00EC5620"/>
    <w:rsid w:val="00EC5676"/>
    <w:rsid w:val="00EC569C"/>
    <w:rsid w:val="00EC574B"/>
    <w:rsid w:val="00EC5780"/>
    <w:rsid w:val="00EC57AA"/>
    <w:rsid w:val="00EC57EB"/>
    <w:rsid w:val="00EC5837"/>
    <w:rsid w:val="00EC5AF1"/>
    <w:rsid w:val="00EC5B28"/>
    <w:rsid w:val="00EC5B6D"/>
    <w:rsid w:val="00EC5BF1"/>
    <w:rsid w:val="00EC5C72"/>
    <w:rsid w:val="00EC5C9C"/>
    <w:rsid w:val="00EC5CD9"/>
    <w:rsid w:val="00EC5E24"/>
    <w:rsid w:val="00EC5EF1"/>
    <w:rsid w:val="00EC5F6F"/>
    <w:rsid w:val="00EC6028"/>
    <w:rsid w:val="00EC603B"/>
    <w:rsid w:val="00EC604B"/>
    <w:rsid w:val="00EC6077"/>
    <w:rsid w:val="00EC60D1"/>
    <w:rsid w:val="00EC612D"/>
    <w:rsid w:val="00EC615C"/>
    <w:rsid w:val="00EC615E"/>
    <w:rsid w:val="00EC6177"/>
    <w:rsid w:val="00EC61F5"/>
    <w:rsid w:val="00EC62B0"/>
    <w:rsid w:val="00EC6326"/>
    <w:rsid w:val="00EC6365"/>
    <w:rsid w:val="00EC63F0"/>
    <w:rsid w:val="00EC6412"/>
    <w:rsid w:val="00EC6437"/>
    <w:rsid w:val="00EC6442"/>
    <w:rsid w:val="00EC64B1"/>
    <w:rsid w:val="00EC65C6"/>
    <w:rsid w:val="00EC673D"/>
    <w:rsid w:val="00EC678F"/>
    <w:rsid w:val="00EC67E9"/>
    <w:rsid w:val="00EC6903"/>
    <w:rsid w:val="00EC6905"/>
    <w:rsid w:val="00EC6918"/>
    <w:rsid w:val="00EC6936"/>
    <w:rsid w:val="00EC69F6"/>
    <w:rsid w:val="00EC6A5B"/>
    <w:rsid w:val="00EC6ABC"/>
    <w:rsid w:val="00EC6B06"/>
    <w:rsid w:val="00EC6B08"/>
    <w:rsid w:val="00EC6B77"/>
    <w:rsid w:val="00EC6C09"/>
    <w:rsid w:val="00EC6C0C"/>
    <w:rsid w:val="00EC6C42"/>
    <w:rsid w:val="00EC6C9D"/>
    <w:rsid w:val="00EC6CA2"/>
    <w:rsid w:val="00EC6CCF"/>
    <w:rsid w:val="00EC6CE0"/>
    <w:rsid w:val="00EC6CE5"/>
    <w:rsid w:val="00EC6D62"/>
    <w:rsid w:val="00EC6D82"/>
    <w:rsid w:val="00EC6DDB"/>
    <w:rsid w:val="00EC6E2E"/>
    <w:rsid w:val="00EC6F12"/>
    <w:rsid w:val="00EC6FD5"/>
    <w:rsid w:val="00EC704A"/>
    <w:rsid w:val="00EC7098"/>
    <w:rsid w:val="00EC7199"/>
    <w:rsid w:val="00EC71B5"/>
    <w:rsid w:val="00EC7243"/>
    <w:rsid w:val="00EC7258"/>
    <w:rsid w:val="00EC731C"/>
    <w:rsid w:val="00EC7371"/>
    <w:rsid w:val="00EC73AC"/>
    <w:rsid w:val="00EC73BF"/>
    <w:rsid w:val="00EC7441"/>
    <w:rsid w:val="00EC74B0"/>
    <w:rsid w:val="00EC750F"/>
    <w:rsid w:val="00EC7511"/>
    <w:rsid w:val="00EC752E"/>
    <w:rsid w:val="00EC7546"/>
    <w:rsid w:val="00EC75E4"/>
    <w:rsid w:val="00EC7602"/>
    <w:rsid w:val="00EC7680"/>
    <w:rsid w:val="00EC7689"/>
    <w:rsid w:val="00EC76EB"/>
    <w:rsid w:val="00EC77E5"/>
    <w:rsid w:val="00EC7932"/>
    <w:rsid w:val="00EC7941"/>
    <w:rsid w:val="00EC7984"/>
    <w:rsid w:val="00EC7988"/>
    <w:rsid w:val="00EC7ABE"/>
    <w:rsid w:val="00EC7AF6"/>
    <w:rsid w:val="00EC7B2B"/>
    <w:rsid w:val="00EC7B78"/>
    <w:rsid w:val="00EC7B8D"/>
    <w:rsid w:val="00EC7BA7"/>
    <w:rsid w:val="00EC7C58"/>
    <w:rsid w:val="00EC7CBE"/>
    <w:rsid w:val="00EC7CCA"/>
    <w:rsid w:val="00EC7D0C"/>
    <w:rsid w:val="00EC7FA4"/>
    <w:rsid w:val="00EC7FCD"/>
    <w:rsid w:val="00ED0002"/>
    <w:rsid w:val="00ED0075"/>
    <w:rsid w:val="00ED007D"/>
    <w:rsid w:val="00ED008E"/>
    <w:rsid w:val="00ED017D"/>
    <w:rsid w:val="00ED0206"/>
    <w:rsid w:val="00ED023B"/>
    <w:rsid w:val="00ED0270"/>
    <w:rsid w:val="00ED02B9"/>
    <w:rsid w:val="00ED0366"/>
    <w:rsid w:val="00ED038E"/>
    <w:rsid w:val="00ED0396"/>
    <w:rsid w:val="00ED03A6"/>
    <w:rsid w:val="00ED03A7"/>
    <w:rsid w:val="00ED0401"/>
    <w:rsid w:val="00ED0402"/>
    <w:rsid w:val="00ED043C"/>
    <w:rsid w:val="00ED0483"/>
    <w:rsid w:val="00ED049C"/>
    <w:rsid w:val="00ED04B7"/>
    <w:rsid w:val="00ED0564"/>
    <w:rsid w:val="00ED0576"/>
    <w:rsid w:val="00ED058E"/>
    <w:rsid w:val="00ED05B7"/>
    <w:rsid w:val="00ED0628"/>
    <w:rsid w:val="00ED0631"/>
    <w:rsid w:val="00ED06BF"/>
    <w:rsid w:val="00ED074A"/>
    <w:rsid w:val="00ED07A0"/>
    <w:rsid w:val="00ED07B9"/>
    <w:rsid w:val="00ED07D1"/>
    <w:rsid w:val="00ED0939"/>
    <w:rsid w:val="00ED096B"/>
    <w:rsid w:val="00ED097A"/>
    <w:rsid w:val="00ED0AD4"/>
    <w:rsid w:val="00ED0AF1"/>
    <w:rsid w:val="00ED0BB0"/>
    <w:rsid w:val="00ED0BD2"/>
    <w:rsid w:val="00ED0BE5"/>
    <w:rsid w:val="00ED0D00"/>
    <w:rsid w:val="00ED0D94"/>
    <w:rsid w:val="00ED0DC8"/>
    <w:rsid w:val="00ED0DE8"/>
    <w:rsid w:val="00ED0E7E"/>
    <w:rsid w:val="00ED0E8B"/>
    <w:rsid w:val="00ED0EE4"/>
    <w:rsid w:val="00ED0FBD"/>
    <w:rsid w:val="00ED1058"/>
    <w:rsid w:val="00ED10F3"/>
    <w:rsid w:val="00ED115C"/>
    <w:rsid w:val="00ED11A6"/>
    <w:rsid w:val="00ED123E"/>
    <w:rsid w:val="00ED1266"/>
    <w:rsid w:val="00ED12A1"/>
    <w:rsid w:val="00ED12B3"/>
    <w:rsid w:val="00ED1375"/>
    <w:rsid w:val="00ED13AC"/>
    <w:rsid w:val="00ED13E8"/>
    <w:rsid w:val="00ED13EB"/>
    <w:rsid w:val="00ED1425"/>
    <w:rsid w:val="00ED14E7"/>
    <w:rsid w:val="00ED155F"/>
    <w:rsid w:val="00ED15BC"/>
    <w:rsid w:val="00ED15D0"/>
    <w:rsid w:val="00ED1634"/>
    <w:rsid w:val="00ED1658"/>
    <w:rsid w:val="00ED1667"/>
    <w:rsid w:val="00ED1864"/>
    <w:rsid w:val="00ED18C0"/>
    <w:rsid w:val="00ED18F7"/>
    <w:rsid w:val="00ED1999"/>
    <w:rsid w:val="00ED1A9D"/>
    <w:rsid w:val="00ED1AEE"/>
    <w:rsid w:val="00ED1B2A"/>
    <w:rsid w:val="00ED1B4D"/>
    <w:rsid w:val="00ED1BEC"/>
    <w:rsid w:val="00ED1C95"/>
    <w:rsid w:val="00ED1CA8"/>
    <w:rsid w:val="00ED1CD4"/>
    <w:rsid w:val="00ED1CE4"/>
    <w:rsid w:val="00ED1D08"/>
    <w:rsid w:val="00ED1D27"/>
    <w:rsid w:val="00ED1D5F"/>
    <w:rsid w:val="00ED1DEC"/>
    <w:rsid w:val="00ED1EA9"/>
    <w:rsid w:val="00ED1EB5"/>
    <w:rsid w:val="00ED1ED7"/>
    <w:rsid w:val="00ED2035"/>
    <w:rsid w:val="00ED204E"/>
    <w:rsid w:val="00ED20D9"/>
    <w:rsid w:val="00ED20F9"/>
    <w:rsid w:val="00ED211F"/>
    <w:rsid w:val="00ED2151"/>
    <w:rsid w:val="00ED217F"/>
    <w:rsid w:val="00ED21CE"/>
    <w:rsid w:val="00ED222C"/>
    <w:rsid w:val="00ED2273"/>
    <w:rsid w:val="00ED22A2"/>
    <w:rsid w:val="00ED22AC"/>
    <w:rsid w:val="00ED22DB"/>
    <w:rsid w:val="00ED22FF"/>
    <w:rsid w:val="00ED23DC"/>
    <w:rsid w:val="00ED24A7"/>
    <w:rsid w:val="00ED24E0"/>
    <w:rsid w:val="00ED2537"/>
    <w:rsid w:val="00ED25CB"/>
    <w:rsid w:val="00ED25FC"/>
    <w:rsid w:val="00ED2602"/>
    <w:rsid w:val="00ED2605"/>
    <w:rsid w:val="00ED263C"/>
    <w:rsid w:val="00ED268C"/>
    <w:rsid w:val="00ED26A2"/>
    <w:rsid w:val="00ED26CD"/>
    <w:rsid w:val="00ED2733"/>
    <w:rsid w:val="00ED273C"/>
    <w:rsid w:val="00ED28C5"/>
    <w:rsid w:val="00ED28D1"/>
    <w:rsid w:val="00ED28E1"/>
    <w:rsid w:val="00ED2900"/>
    <w:rsid w:val="00ED2960"/>
    <w:rsid w:val="00ED2963"/>
    <w:rsid w:val="00ED29BD"/>
    <w:rsid w:val="00ED29C9"/>
    <w:rsid w:val="00ED2A25"/>
    <w:rsid w:val="00ED2A29"/>
    <w:rsid w:val="00ED2ABA"/>
    <w:rsid w:val="00ED2AD6"/>
    <w:rsid w:val="00ED2AF6"/>
    <w:rsid w:val="00ED2B08"/>
    <w:rsid w:val="00ED2B51"/>
    <w:rsid w:val="00ED2B8C"/>
    <w:rsid w:val="00ED2BCB"/>
    <w:rsid w:val="00ED2C14"/>
    <w:rsid w:val="00ED2C7F"/>
    <w:rsid w:val="00ED2D27"/>
    <w:rsid w:val="00ED2D33"/>
    <w:rsid w:val="00ED2E07"/>
    <w:rsid w:val="00ED2EFC"/>
    <w:rsid w:val="00ED2F0E"/>
    <w:rsid w:val="00ED2F14"/>
    <w:rsid w:val="00ED2F73"/>
    <w:rsid w:val="00ED2F87"/>
    <w:rsid w:val="00ED2FD1"/>
    <w:rsid w:val="00ED310B"/>
    <w:rsid w:val="00ED31F3"/>
    <w:rsid w:val="00ED31F8"/>
    <w:rsid w:val="00ED3264"/>
    <w:rsid w:val="00ED32B5"/>
    <w:rsid w:val="00ED32FD"/>
    <w:rsid w:val="00ED331D"/>
    <w:rsid w:val="00ED3382"/>
    <w:rsid w:val="00ED33C8"/>
    <w:rsid w:val="00ED340A"/>
    <w:rsid w:val="00ED34A5"/>
    <w:rsid w:val="00ED351B"/>
    <w:rsid w:val="00ED3533"/>
    <w:rsid w:val="00ED354E"/>
    <w:rsid w:val="00ED3595"/>
    <w:rsid w:val="00ED35C7"/>
    <w:rsid w:val="00ED35CB"/>
    <w:rsid w:val="00ED35CD"/>
    <w:rsid w:val="00ED35F6"/>
    <w:rsid w:val="00ED3607"/>
    <w:rsid w:val="00ED36E3"/>
    <w:rsid w:val="00ED3706"/>
    <w:rsid w:val="00ED370A"/>
    <w:rsid w:val="00ED3718"/>
    <w:rsid w:val="00ED3752"/>
    <w:rsid w:val="00ED375C"/>
    <w:rsid w:val="00ED37C0"/>
    <w:rsid w:val="00ED382D"/>
    <w:rsid w:val="00ED383E"/>
    <w:rsid w:val="00ED389D"/>
    <w:rsid w:val="00ED38BA"/>
    <w:rsid w:val="00ED3957"/>
    <w:rsid w:val="00ED39CA"/>
    <w:rsid w:val="00ED39F0"/>
    <w:rsid w:val="00ED3ADD"/>
    <w:rsid w:val="00ED3B9A"/>
    <w:rsid w:val="00ED3BC5"/>
    <w:rsid w:val="00ED3C1B"/>
    <w:rsid w:val="00ED3C85"/>
    <w:rsid w:val="00ED3D1B"/>
    <w:rsid w:val="00ED3D43"/>
    <w:rsid w:val="00ED3D9F"/>
    <w:rsid w:val="00ED3E50"/>
    <w:rsid w:val="00ED3E5A"/>
    <w:rsid w:val="00ED3EA3"/>
    <w:rsid w:val="00ED3F15"/>
    <w:rsid w:val="00ED3F31"/>
    <w:rsid w:val="00ED3F5B"/>
    <w:rsid w:val="00ED3FAB"/>
    <w:rsid w:val="00ED412D"/>
    <w:rsid w:val="00ED4143"/>
    <w:rsid w:val="00ED4158"/>
    <w:rsid w:val="00ED417E"/>
    <w:rsid w:val="00ED41D0"/>
    <w:rsid w:val="00ED41FB"/>
    <w:rsid w:val="00ED4218"/>
    <w:rsid w:val="00ED4224"/>
    <w:rsid w:val="00ED4272"/>
    <w:rsid w:val="00ED428E"/>
    <w:rsid w:val="00ED42DC"/>
    <w:rsid w:val="00ED4369"/>
    <w:rsid w:val="00ED4383"/>
    <w:rsid w:val="00ED440F"/>
    <w:rsid w:val="00ED442C"/>
    <w:rsid w:val="00ED4445"/>
    <w:rsid w:val="00ED4559"/>
    <w:rsid w:val="00ED45A2"/>
    <w:rsid w:val="00ED45E4"/>
    <w:rsid w:val="00ED4619"/>
    <w:rsid w:val="00ED4625"/>
    <w:rsid w:val="00ED4659"/>
    <w:rsid w:val="00ED46A9"/>
    <w:rsid w:val="00ED4706"/>
    <w:rsid w:val="00ED4753"/>
    <w:rsid w:val="00ED4780"/>
    <w:rsid w:val="00ED4982"/>
    <w:rsid w:val="00ED4995"/>
    <w:rsid w:val="00ED49C7"/>
    <w:rsid w:val="00ED49E6"/>
    <w:rsid w:val="00ED4A28"/>
    <w:rsid w:val="00ED4ACC"/>
    <w:rsid w:val="00ED4B0B"/>
    <w:rsid w:val="00ED4BC5"/>
    <w:rsid w:val="00ED4C8C"/>
    <w:rsid w:val="00ED4C9A"/>
    <w:rsid w:val="00ED4CCD"/>
    <w:rsid w:val="00ED4D39"/>
    <w:rsid w:val="00ED4D59"/>
    <w:rsid w:val="00ED4D86"/>
    <w:rsid w:val="00ED4DCB"/>
    <w:rsid w:val="00ED4DD6"/>
    <w:rsid w:val="00ED4DF2"/>
    <w:rsid w:val="00ED4E68"/>
    <w:rsid w:val="00ED4EE0"/>
    <w:rsid w:val="00ED4EE5"/>
    <w:rsid w:val="00ED4F91"/>
    <w:rsid w:val="00ED4F9A"/>
    <w:rsid w:val="00ED5028"/>
    <w:rsid w:val="00ED5054"/>
    <w:rsid w:val="00ED50A2"/>
    <w:rsid w:val="00ED5149"/>
    <w:rsid w:val="00ED514D"/>
    <w:rsid w:val="00ED5229"/>
    <w:rsid w:val="00ED526F"/>
    <w:rsid w:val="00ED5270"/>
    <w:rsid w:val="00ED52F4"/>
    <w:rsid w:val="00ED536F"/>
    <w:rsid w:val="00ED5382"/>
    <w:rsid w:val="00ED53D1"/>
    <w:rsid w:val="00ED53DF"/>
    <w:rsid w:val="00ED53EE"/>
    <w:rsid w:val="00ED53F7"/>
    <w:rsid w:val="00ED53FE"/>
    <w:rsid w:val="00ED5411"/>
    <w:rsid w:val="00ED545B"/>
    <w:rsid w:val="00ED546B"/>
    <w:rsid w:val="00ED5476"/>
    <w:rsid w:val="00ED56BB"/>
    <w:rsid w:val="00ED5757"/>
    <w:rsid w:val="00ED57B9"/>
    <w:rsid w:val="00ED5800"/>
    <w:rsid w:val="00ED580D"/>
    <w:rsid w:val="00ED591F"/>
    <w:rsid w:val="00ED592D"/>
    <w:rsid w:val="00ED5939"/>
    <w:rsid w:val="00ED599D"/>
    <w:rsid w:val="00ED5A97"/>
    <w:rsid w:val="00ED5AF0"/>
    <w:rsid w:val="00ED5B61"/>
    <w:rsid w:val="00ED5B6D"/>
    <w:rsid w:val="00ED5BAA"/>
    <w:rsid w:val="00ED5C16"/>
    <w:rsid w:val="00ED5C43"/>
    <w:rsid w:val="00ED5C49"/>
    <w:rsid w:val="00ED5CA8"/>
    <w:rsid w:val="00ED5D35"/>
    <w:rsid w:val="00ED5D3E"/>
    <w:rsid w:val="00ED5D58"/>
    <w:rsid w:val="00ED5D72"/>
    <w:rsid w:val="00ED5D79"/>
    <w:rsid w:val="00ED5DF9"/>
    <w:rsid w:val="00ED5E00"/>
    <w:rsid w:val="00ED5E16"/>
    <w:rsid w:val="00ED5E4A"/>
    <w:rsid w:val="00ED5E61"/>
    <w:rsid w:val="00ED5F02"/>
    <w:rsid w:val="00ED5F8E"/>
    <w:rsid w:val="00ED60EF"/>
    <w:rsid w:val="00ED614D"/>
    <w:rsid w:val="00ED61A5"/>
    <w:rsid w:val="00ED61E9"/>
    <w:rsid w:val="00ED625B"/>
    <w:rsid w:val="00ED6268"/>
    <w:rsid w:val="00ED6270"/>
    <w:rsid w:val="00ED634C"/>
    <w:rsid w:val="00ED63F0"/>
    <w:rsid w:val="00ED6475"/>
    <w:rsid w:val="00ED6481"/>
    <w:rsid w:val="00ED64E0"/>
    <w:rsid w:val="00ED64E4"/>
    <w:rsid w:val="00ED64FD"/>
    <w:rsid w:val="00ED6530"/>
    <w:rsid w:val="00ED65AD"/>
    <w:rsid w:val="00ED6728"/>
    <w:rsid w:val="00ED672A"/>
    <w:rsid w:val="00ED675A"/>
    <w:rsid w:val="00ED67CC"/>
    <w:rsid w:val="00ED6879"/>
    <w:rsid w:val="00ED68CB"/>
    <w:rsid w:val="00ED6A8D"/>
    <w:rsid w:val="00ED6B13"/>
    <w:rsid w:val="00ED6C1A"/>
    <w:rsid w:val="00ED6C2A"/>
    <w:rsid w:val="00ED6C56"/>
    <w:rsid w:val="00ED6C5A"/>
    <w:rsid w:val="00ED6C65"/>
    <w:rsid w:val="00ED6C87"/>
    <w:rsid w:val="00ED6C8B"/>
    <w:rsid w:val="00ED6CE2"/>
    <w:rsid w:val="00ED6CEA"/>
    <w:rsid w:val="00ED6CF1"/>
    <w:rsid w:val="00ED6D2E"/>
    <w:rsid w:val="00ED6D69"/>
    <w:rsid w:val="00ED6D90"/>
    <w:rsid w:val="00ED6E07"/>
    <w:rsid w:val="00ED6E28"/>
    <w:rsid w:val="00ED6EEE"/>
    <w:rsid w:val="00ED6F22"/>
    <w:rsid w:val="00ED70B2"/>
    <w:rsid w:val="00ED7146"/>
    <w:rsid w:val="00ED7187"/>
    <w:rsid w:val="00ED71AC"/>
    <w:rsid w:val="00ED71BB"/>
    <w:rsid w:val="00ED71F8"/>
    <w:rsid w:val="00ED7204"/>
    <w:rsid w:val="00ED7269"/>
    <w:rsid w:val="00ED72AC"/>
    <w:rsid w:val="00ED7396"/>
    <w:rsid w:val="00ED739C"/>
    <w:rsid w:val="00ED73E8"/>
    <w:rsid w:val="00ED7454"/>
    <w:rsid w:val="00ED74A2"/>
    <w:rsid w:val="00ED74DE"/>
    <w:rsid w:val="00ED74E0"/>
    <w:rsid w:val="00ED7557"/>
    <w:rsid w:val="00ED75BF"/>
    <w:rsid w:val="00ED761E"/>
    <w:rsid w:val="00ED766B"/>
    <w:rsid w:val="00ED7675"/>
    <w:rsid w:val="00ED7698"/>
    <w:rsid w:val="00ED7726"/>
    <w:rsid w:val="00ED778F"/>
    <w:rsid w:val="00ED77D1"/>
    <w:rsid w:val="00ED7828"/>
    <w:rsid w:val="00ED786E"/>
    <w:rsid w:val="00ED78A7"/>
    <w:rsid w:val="00ED78D0"/>
    <w:rsid w:val="00ED791D"/>
    <w:rsid w:val="00ED792C"/>
    <w:rsid w:val="00ED7955"/>
    <w:rsid w:val="00ED79D4"/>
    <w:rsid w:val="00ED79DA"/>
    <w:rsid w:val="00ED79FE"/>
    <w:rsid w:val="00ED7A21"/>
    <w:rsid w:val="00ED7AAE"/>
    <w:rsid w:val="00ED7ABE"/>
    <w:rsid w:val="00ED7B0C"/>
    <w:rsid w:val="00ED7C48"/>
    <w:rsid w:val="00ED7C53"/>
    <w:rsid w:val="00ED7C9D"/>
    <w:rsid w:val="00ED7D14"/>
    <w:rsid w:val="00ED7D3D"/>
    <w:rsid w:val="00ED7D9B"/>
    <w:rsid w:val="00ED7E1F"/>
    <w:rsid w:val="00ED7E20"/>
    <w:rsid w:val="00ED7E61"/>
    <w:rsid w:val="00ED7E97"/>
    <w:rsid w:val="00EE0030"/>
    <w:rsid w:val="00EE004C"/>
    <w:rsid w:val="00EE00AD"/>
    <w:rsid w:val="00EE00E5"/>
    <w:rsid w:val="00EE016F"/>
    <w:rsid w:val="00EE0183"/>
    <w:rsid w:val="00EE0242"/>
    <w:rsid w:val="00EE032C"/>
    <w:rsid w:val="00EE0370"/>
    <w:rsid w:val="00EE037D"/>
    <w:rsid w:val="00EE039E"/>
    <w:rsid w:val="00EE043E"/>
    <w:rsid w:val="00EE046A"/>
    <w:rsid w:val="00EE0490"/>
    <w:rsid w:val="00EE04A4"/>
    <w:rsid w:val="00EE04B9"/>
    <w:rsid w:val="00EE0521"/>
    <w:rsid w:val="00EE05BB"/>
    <w:rsid w:val="00EE0679"/>
    <w:rsid w:val="00EE0742"/>
    <w:rsid w:val="00EE07D0"/>
    <w:rsid w:val="00EE07FF"/>
    <w:rsid w:val="00EE0822"/>
    <w:rsid w:val="00EE0886"/>
    <w:rsid w:val="00EE0897"/>
    <w:rsid w:val="00EE0917"/>
    <w:rsid w:val="00EE094D"/>
    <w:rsid w:val="00EE0A29"/>
    <w:rsid w:val="00EE0AC4"/>
    <w:rsid w:val="00EE0AF8"/>
    <w:rsid w:val="00EE0BF9"/>
    <w:rsid w:val="00EE0C5A"/>
    <w:rsid w:val="00EE0C9E"/>
    <w:rsid w:val="00EE0CB8"/>
    <w:rsid w:val="00EE0D2B"/>
    <w:rsid w:val="00EE0E36"/>
    <w:rsid w:val="00EE0E6C"/>
    <w:rsid w:val="00EE0F0D"/>
    <w:rsid w:val="00EE0F5F"/>
    <w:rsid w:val="00EE0FA2"/>
    <w:rsid w:val="00EE0FF0"/>
    <w:rsid w:val="00EE1017"/>
    <w:rsid w:val="00EE1045"/>
    <w:rsid w:val="00EE1072"/>
    <w:rsid w:val="00EE10E2"/>
    <w:rsid w:val="00EE1129"/>
    <w:rsid w:val="00EE11F3"/>
    <w:rsid w:val="00EE125D"/>
    <w:rsid w:val="00EE1270"/>
    <w:rsid w:val="00EE12BF"/>
    <w:rsid w:val="00EE12D0"/>
    <w:rsid w:val="00EE12F0"/>
    <w:rsid w:val="00EE12F7"/>
    <w:rsid w:val="00EE130D"/>
    <w:rsid w:val="00EE1347"/>
    <w:rsid w:val="00EE1369"/>
    <w:rsid w:val="00EE13B0"/>
    <w:rsid w:val="00EE143A"/>
    <w:rsid w:val="00EE1488"/>
    <w:rsid w:val="00EE14EE"/>
    <w:rsid w:val="00EE1534"/>
    <w:rsid w:val="00EE1541"/>
    <w:rsid w:val="00EE1566"/>
    <w:rsid w:val="00EE1571"/>
    <w:rsid w:val="00EE162F"/>
    <w:rsid w:val="00EE1635"/>
    <w:rsid w:val="00EE16C2"/>
    <w:rsid w:val="00EE16ED"/>
    <w:rsid w:val="00EE17A1"/>
    <w:rsid w:val="00EE1940"/>
    <w:rsid w:val="00EE1981"/>
    <w:rsid w:val="00EE19E4"/>
    <w:rsid w:val="00EE1A33"/>
    <w:rsid w:val="00EE1A39"/>
    <w:rsid w:val="00EE1A83"/>
    <w:rsid w:val="00EE1B76"/>
    <w:rsid w:val="00EE1B8A"/>
    <w:rsid w:val="00EE1BA5"/>
    <w:rsid w:val="00EE1BCA"/>
    <w:rsid w:val="00EE1C96"/>
    <w:rsid w:val="00EE1D4E"/>
    <w:rsid w:val="00EE1E12"/>
    <w:rsid w:val="00EE1E5C"/>
    <w:rsid w:val="00EE1ED7"/>
    <w:rsid w:val="00EE1EFD"/>
    <w:rsid w:val="00EE1F5C"/>
    <w:rsid w:val="00EE207D"/>
    <w:rsid w:val="00EE20D6"/>
    <w:rsid w:val="00EE20ED"/>
    <w:rsid w:val="00EE21A5"/>
    <w:rsid w:val="00EE220C"/>
    <w:rsid w:val="00EE225E"/>
    <w:rsid w:val="00EE226E"/>
    <w:rsid w:val="00EE22D5"/>
    <w:rsid w:val="00EE2309"/>
    <w:rsid w:val="00EE2354"/>
    <w:rsid w:val="00EE2377"/>
    <w:rsid w:val="00EE23C5"/>
    <w:rsid w:val="00EE2438"/>
    <w:rsid w:val="00EE24A0"/>
    <w:rsid w:val="00EE2523"/>
    <w:rsid w:val="00EE2571"/>
    <w:rsid w:val="00EE269C"/>
    <w:rsid w:val="00EE269F"/>
    <w:rsid w:val="00EE26AB"/>
    <w:rsid w:val="00EE274A"/>
    <w:rsid w:val="00EE288B"/>
    <w:rsid w:val="00EE28EE"/>
    <w:rsid w:val="00EE2943"/>
    <w:rsid w:val="00EE2992"/>
    <w:rsid w:val="00EE2A00"/>
    <w:rsid w:val="00EE2AB5"/>
    <w:rsid w:val="00EE2ABB"/>
    <w:rsid w:val="00EE2AD6"/>
    <w:rsid w:val="00EE2ADF"/>
    <w:rsid w:val="00EE2AE0"/>
    <w:rsid w:val="00EE2AFF"/>
    <w:rsid w:val="00EE2B5A"/>
    <w:rsid w:val="00EE2B72"/>
    <w:rsid w:val="00EE2BB9"/>
    <w:rsid w:val="00EE2BBE"/>
    <w:rsid w:val="00EE2CC5"/>
    <w:rsid w:val="00EE2CCB"/>
    <w:rsid w:val="00EE2D69"/>
    <w:rsid w:val="00EE2D9D"/>
    <w:rsid w:val="00EE2E28"/>
    <w:rsid w:val="00EE2ED8"/>
    <w:rsid w:val="00EE2F2D"/>
    <w:rsid w:val="00EE2F3C"/>
    <w:rsid w:val="00EE2F59"/>
    <w:rsid w:val="00EE30E8"/>
    <w:rsid w:val="00EE30F2"/>
    <w:rsid w:val="00EE31AA"/>
    <w:rsid w:val="00EE31B8"/>
    <w:rsid w:val="00EE3209"/>
    <w:rsid w:val="00EE320C"/>
    <w:rsid w:val="00EE3261"/>
    <w:rsid w:val="00EE32AC"/>
    <w:rsid w:val="00EE32AE"/>
    <w:rsid w:val="00EE32DD"/>
    <w:rsid w:val="00EE3336"/>
    <w:rsid w:val="00EE33A0"/>
    <w:rsid w:val="00EE33F7"/>
    <w:rsid w:val="00EE342E"/>
    <w:rsid w:val="00EE343D"/>
    <w:rsid w:val="00EE3451"/>
    <w:rsid w:val="00EE3458"/>
    <w:rsid w:val="00EE34A8"/>
    <w:rsid w:val="00EE3578"/>
    <w:rsid w:val="00EE35F3"/>
    <w:rsid w:val="00EE366B"/>
    <w:rsid w:val="00EE3682"/>
    <w:rsid w:val="00EE36C0"/>
    <w:rsid w:val="00EE36C9"/>
    <w:rsid w:val="00EE3736"/>
    <w:rsid w:val="00EE3750"/>
    <w:rsid w:val="00EE3806"/>
    <w:rsid w:val="00EE3808"/>
    <w:rsid w:val="00EE3818"/>
    <w:rsid w:val="00EE381B"/>
    <w:rsid w:val="00EE3A40"/>
    <w:rsid w:val="00EE3A66"/>
    <w:rsid w:val="00EE3A6D"/>
    <w:rsid w:val="00EE3AD2"/>
    <w:rsid w:val="00EE3AFD"/>
    <w:rsid w:val="00EE3C17"/>
    <w:rsid w:val="00EE3C2F"/>
    <w:rsid w:val="00EE3C35"/>
    <w:rsid w:val="00EE3C76"/>
    <w:rsid w:val="00EE3CAB"/>
    <w:rsid w:val="00EE3CEC"/>
    <w:rsid w:val="00EE3CEE"/>
    <w:rsid w:val="00EE3D2C"/>
    <w:rsid w:val="00EE3D52"/>
    <w:rsid w:val="00EE3D7A"/>
    <w:rsid w:val="00EE3D87"/>
    <w:rsid w:val="00EE3DB4"/>
    <w:rsid w:val="00EE3E3E"/>
    <w:rsid w:val="00EE3E8A"/>
    <w:rsid w:val="00EE3E8F"/>
    <w:rsid w:val="00EE3ECD"/>
    <w:rsid w:val="00EE3F3A"/>
    <w:rsid w:val="00EE405B"/>
    <w:rsid w:val="00EE4078"/>
    <w:rsid w:val="00EE40B4"/>
    <w:rsid w:val="00EE414B"/>
    <w:rsid w:val="00EE41A6"/>
    <w:rsid w:val="00EE41BF"/>
    <w:rsid w:val="00EE426D"/>
    <w:rsid w:val="00EE42BB"/>
    <w:rsid w:val="00EE42D9"/>
    <w:rsid w:val="00EE42F1"/>
    <w:rsid w:val="00EE42FC"/>
    <w:rsid w:val="00EE4401"/>
    <w:rsid w:val="00EE4478"/>
    <w:rsid w:val="00EE44DC"/>
    <w:rsid w:val="00EE455E"/>
    <w:rsid w:val="00EE4568"/>
    <w:rsid w:val="00EE4657"/>
    <w:rsid w:val="00EE4699"/>
    <w:rsid w:val="00EE469E"/>
    <w:rsid w:val="00EE46BE"/>
    <w:rsid w:val="00EE47B7"/>
    <w:rsid w:val="00EE47D8"/>
    <w:rsid w:val="00EE4890"/>
    <w:rsid w:val="00EE4894"/>
    <w:rsid w:val="00EE49AE"/>
    <w:rsid w:val="00EE49BF"/>
    <w:rsid w:val="00EE49CC"/>
    <w:rsid w:val="00EE4A91"/>
    <w:rsid w:val="00EE4AFD"/>
    <w:rsid w:val="00EE4BC1"/>
    <w:rsid w:val="00EE4BD0"/>
    <w:rsid w:val="00EE4CE2"/>
    <w:rsid w:val="00EE4D28"/>
    <w:rsid w:val="00EE4D32"/>
    <w:rsid w:val="00EE4D49"/>
    <w:rsid w:val="00EE4D68"/>
    <w:rsid w:val="00EE4DC1"/>
    <w:rsid w:val="00EE4DC8"/>
    <w:rsid w:val="00EE4DCE"/>
    <w:rsid w:val="00EE4DF3"/>
    <w:rsid w:val="00EE4E0A"/>
    <w:rsid w:val="00EE4E4B"/>
    <w:rsid w:val="00EE4ED3"/>
    <w:rsid w:val="00EE4EF5"/>
    <w:rsid w:val="00EE4F4F"/>
    <w:rsid w:val="00EE4FB9"/>
    <w:rsid w:val="00EE4FC6"/>
    <w:rsid w:val="00EE5109"/>
    <w:rsid w:val="00EE510B"/>
    <w:rsid w:val="00EE515E"/>
    <w:rsid w:val="00EE5196"/>
    <w:rsid w:val="00EE5239"/>
    <w:rsid w:val="00EE545D"/>
    <w:rsid w:val="00EE546D"/>
    <w:rsid w:val="00EE5576"/>
    <w:rsid w:val="00EE55C4"/>
    <w:rsid w:val="00EE55DF"/>
    <w:rsid w:val="00EE55E7"/>
    <w:rsid w:val="00EE5662"/>
    <w:rsid w:val="00EE57B2"/>
    <w:rsid w:val="00EE587A"/>
    <w:rsid w:val="00EE58BB"/>
    <w:rsid w:val="00EE5A0D"/>
    <w:rsid w:val="00EE5B0C"/>
    <w:rsid w:val="00EE5B18"/>
    <w:rsid w:val="00EE5B29"/>
    <w:rsid w:val="00EE5B4B"/>
    <w:rsid w:val="00EE5B56"/>
    <w:rsid w:val="00EE5BFC"/>
    <w:rsid w:val="00EE5C54"/>
    <w:rsid w:val="00EE5C59"/>
    <w:rsid w:val="00EE5C5E"/>
    <w:rsid w:val="00EE5C9C"/>
    <w:rsid w:val="00EE5CC8"/>
    <w:rsid w:val="00EE5DAC"/>
    <w:rsid w:val="00EE5E57"/>
    <w:rsid w:val="00EE5E66"/>
    <w:rsid w:val="00EE5F67"/>
    <w:rsid w:val="00EE5F85"/>
    <w:rsid w:val="00EE5FAE"/>
    <w:rsid w:val="00EE5FC7"/>
    <w:rsid w:val="00EE5FD9"/>
    <w:rsid w:val="00EE5FF8"/>
    <w:rsid w:val="00EE6024"/>
    <w:rsid w:val="00EE6071"/>
    <w:rsid w:val="00EE60A8"/>
    <w:rsid w:val="00EE6159"/>
    <w:rsid w:val="00EE6226"/>
    <w:rsid w:val="00EE6289"/>
    <w:rsid w:val="00EE6300"/>
    <w:rsid w:val="00EE631C"/>
    <w:rsid w:val="00EE63CD"/>
    <w:rsid w:val="00EE642F"/>
    <w:rsid w:val="00EE64F1"/>
    <w:rsid w:val="00EE6535"/>
    <w:rsid w:val="00EE6556"/>
    <w:rsid w:val="00EE65E6"/>
    <w:rsid w:val="00EE665F"/>
    <w:rsid w:val="00EE6666"/>
    <w:rsid w:val="00EE67C3"/>
    <w:rsid w:val="00EE67D2"/>
    <w:rsid w:val="00EE6810"/>
    <w:rsid w:val="00EE6862"/>
    <w:rsid w:val="00EE68DF"/>
    <w:rsid w:val="00EE6904"/>
    <w:rsid w:val="00EE6906"/>
    <w:rsid w:val="00EE6908"/>
    <w:rsid w:val="00EE6975"/>
    <w:rsid w:val="00EE6982"/>
    <w:rsid w:val="00EE69DA"/>
    <w:rsid w:val="00EE69E6"/>
    <w:rsid w:val="00EE6A50"/>
    <w:rsid w:val="00EE6ABD"/>
    <w:rsid w:val="00EE6ADD"/>
    <w:rsid w:val="00EE6B03"/>
    <w:rsid w:val="00EE6BC9"/>
    <w:rsid w:val="00EE6BD5"/>
    <w:rsid w:val="00EE6E46"/>
    <w:rsid w:val="00EE6E47"/>
    <w:rsid w:val="00EE6E76"/>
    <w:rsid w:val="00EE7002"/>
    <w:rsid w:val="00EE7029"/>
    <w:rsid w:val="00EE7050"/>
    <w:rsid w:val="00EE70F5"/>
    <w:rsid w:val="00EE7146"/>
    <w:rsid w:val="00EE7164"/>
    <w:rsid w:val="00EE71AA"/>
    <w:rsid w:val="00EE7210"/>
    <w:rsid w:val="00EE7315"/>
    <w:rsid w:val="00EE734D"/>
    <w:rsid w:val="00EE735E"/>
    <w:rsid w:val="00EE736A"/>
    <w:rsid w:val="00EE7381"/>
    <w:rsid w:val="00EE7393"/>
    <w:rsid w:val="00EE742D"/>
    <w:rsid w:val="00EE7453"/>
    <w:rsid w:val="00EE7458"/>
    <w:rsid w:val="00EE746A"/>
    <w:rsid w:val="00EE748F"/>
    <w:rsid w:val="00EE759D"/>
    <w:rsid w:val="00EE75DF"/>
    <w:rsid w:val="00EE768B"/>
    <w:rsid w:val="00EE771C"/>
    <w:rsid w:val="00EE772A"/>
    <w:rsid w:val="00EE782E"/>
    <w:rsid w:val="00EE782F"/>
    <w:rsid w:val="00EE7833"/>
    <w:rsid w:val="00EE7834"/>
    <w:rsid w:val="00EE787E"/>
    <w:rsid w:val="00EE788F"/>
    <w:rsid w:val="00EE789C"/>
    <w:rsid w:val="00EE78BD"/>
    <w:rsid w:val="00EE7999"/>
    <w:rsid w:val="00EE79D6"/>
    <w:rsid w:val="00EE7AE6"/>
    <w:rsid w:val="00EE7B11"/>
    <w:rsid w:val="00EE7B24"/>
    <w:rsid w:val="00EE7B50"/>
    <w:rsid w:val="00EE7B7D"/>
    <w:rsid w:val="00EE7C14"/>
    <w:rsid w:val="00EE7C18"/>
    <w:rsid w:val="00EE7C29"/>
    <w:rsid w:val="00EE7C3F"/>
    <w:rsid w:val="00EE7CCE"/>
    <w:rsid w:val="00EE7D80"/>
    <w:rsid w:val="00EE7DC2"/>
    <w:rsid w:val="00EE7DDA"/>
    <w:rsid w:val="00EE7DF0"/>
    <w:rsid w:val="00EE7E36"/>
    <w:rsid w:val="00EE7E7A"/>
    <w:rsid w:val="00EE7F09"/>
    <w:rsid w:val="00EF0019"/>
    <w:rsid w:val="00EF0034"/>
    <w:rsid w:val="00EF0174"/>
    <w:rsid w:val="00EF019F"/>
    <w:rsid w:val="00EF01DB"/>
    <w:rsid w:val="00EF0341"/>
    <w:rsid w:val="00EF0352"/>
    <w:rsid w:val="00EF03AF"/>
    <w:rsid w:val="00EF049F"/>
    <w:rsid w:val="00EF04A1"/>
    <w:rsid w:val="00EF057B"/>
    <w:rsid w:val="00EF0587"/>
    <w:rsid w:val="00EF05B4"/>
    <w:rsid w:val="00EF0673"/>
    <w:rsid w:val="00EF06C3"/>
    <w:rsid w:val="00EF06E2"/>
    <w:rsid w:val="00EF0717"/>
    <w:rsid w:val="00EF0725"/>
    <w:rsid w:val="00EF074C"/>
    <w:rsid w:val="00EF077C"/>
    <w:rsid w:val="00EF07E0"/>
    <w:rsid w:val="00EF0835"/>
    <w:rsid w:val="00EF0879"/>
    <w:rsid w:val="00EF08E9"/>
    <w:rsid w:val="00EF0935"/>
    <w:rsid w:val="00EF095A"/>
    <w:rsid w:val="00EF098B"/>
    <w:rsid w:val="00EF0A00"/>
    <w:rsid w:val="00EF0AB3"/>
    <w:rsid w:val="00EF0C98"/>
    <w:rsid w:val="00EF0CD8"/>
    <w:rsid w:val="00EF0D0A"/>
    <w:rsid w:val="00EF0DD1"/>
    <w:rsid w:val="00EF0E74"/>
    <w:rsid w:val="00EF0EC5"/>
    <w:rsid w:val="00EF0EDA"/>
    <w:rsid w:val="00EF0F83"/>
    <w:rsid w:val="00EF0F86"/>
    <w:rsid w:val="00EF1012"/>
    <w:rsid w:val="00EF1132"/>
    <w:rsid w:val="00EF1192"/>
    <w:rsid w:val="00EF1200"/>
    <w:rsid w:val="00EF1243"/>
    <w:rsid w:val="00EF124D"/>
    <w:rsid w:val="00EF12FB"/>
    <w:rsid w:val="00EF1320"/>
    <w:rsid w:val="00EF137A"/>
    <w:rsid w:val="00EF14A5"/>
    <w:rsid w:val="00EF14DF"/>
    <w:rsid w:val="00EF14F9"/>
    <w:rsid w:val="00EF14FB"/>
    <w:rsid w:val="00EF15D9"/>
    <w:rsid w:val="00EF15F4"/>
    <w:rsid w:val="00EF163B"/>
    <w:rsid w:val="00EF165B"/>
    <w:rsid w:val="00EF16E5"/>
    <w:rsid w:val="00EF1723"/>
    <w:rsid w:val="00EF1752"/>
    <w:rsid w:val="00EF1791"/>
    <w:rsid w:val="00EF17A5"/>
    <w:rsid w:val="00EF1819"/>
    <w:rsid w:val="00EF185D"/>
    <w:rsid w:val="00EF1891"/>
    <w:rsid w:val="00EF18BF"/>
    <w:rsid w:val="00EF18F9"/>
    <w:rsid w:val="00EF192F"/>
    <w:rsid w:val="00EF1956"/>
    <w:rsid w:val="00EF196B"/>
    <w:rsid w:val="00EF19DE"/>
    <w:rsid w:val="00EF19ED"/>
    <w:rsid w:val="00EF1B5A"/>
    <w:rsid w:val="00EF1B82"/>
    <w:rsid w:val="00EF1B88"/>
    <w:rsid w:val="00EF1BBD"/>
    <w:rsid w:val="00EF1CD7"/>
    <w:rsid w:val="00EF1CE0"/>
    <w:rsid w:val="00EF1CEC"/>
    <w:rsid w:val="00EF1CF2"/>
    <w:rsid w:val="00EF1D30"/>
    <w:rsid w:val="00EF1D3A"/>
    <w:rsid w:val="00EF1D4D"/>
    <w:rsid w:val="00EF1D86"/>
    <w:rsid w:val="00EF1DF3"/>
    <w:rsid w:val="00EF1E81"/>
    <w:rsid w:val="00EF1ED8"/>
    <w:rsid w:val="00EF1EE2"/>
    <w:rsid w:val="00EF1F15"/>
    <w:rsid w:val="00EF1F23"/>
    <w:rsid w:val="00EF1F3A"/>
    <w:rsid w:val="00EF1F47"/>
    <w:rsid w:val="00EF2085"/>
    <w:rsid w:val="00EF2142"/>
    <w:rsid w:val="00EF21B3"/>
    <w:rsid w:val="00EF21E4"/>
    <w:rsid w:val="00EF2227"/>
    <w:rsid w:val="00EF22B1"/>
    <w:rsid w:val="00EF2307"/>
    <w:rsid w:val="00EF2387"/>
    <w:rsid w:val="00EF240C"/>
    <w:rsid w:val="00EF245B"/>
    <w:rsid w:val="00EF247C"/>
    <w:rsid w:val="00EF248D"/>
    <w:rsid w:val="00EF2503"/>
    <w:rsid w:val="00EF2513"/>
    <w:rsid w:val="00EF259B"/>
    <w:rsid w:val="00EF25C6"/>
    <w:rsid w:val="00EF25D1"/>
    <w:rsid w:val="00EF265D"/>
    <w:rsid w:val="00EF2773"/>
    <w:rsid w:val="00EF27B3"/>
    <w:rsid w:val="00EF27E4"/>
    <w:rsid w:val="00EF2850"/>
    <w:rsid w:val="00EF28B4"/>
    <w:rsid w:val="00EF28C7"/>
    <w:rsid w:val="00EF2910"/>
    <w:rsid w:val="00EF2938"/>
    <w:rsid w:val="00EF29B5"/>
    <w:rsid w:val="00EF2A57"/>
    <w:rsid w:val="00EF2A61"/>
    <w:rsid w:val="00EF2AAE"/>
    <w:rsid w:val="00EF2C16"/>
    <w:rsid w:val="00EF2C44"/>
    <w:rsid w:val="00EF2C79"/>
    <w:rsid w:val="00EF2D0A"/>
    <w:rsid w:val="00EF2D81"/>
    <w:rsid w:val="00EF2DA4"/>
    <w:rsid w:val="00EF2DA5"/>
    <w:rsid w:val="00EF2DC4"/>
    <w:rsid w:val="00EF2F13"/>
    <w:rsid w:val="00EF2F27"/>
    <w:rsid w:val="00EF2F88"/>
    <w:rsid w:val="00EF3019"/>
    <w:rsid w:val="00EF302F"/>
    <w:rsid w:val="00EF307F"/>
    <w:rsid w:val="00EF30D1"/>
    <w:rsid w:val="00EF3187"/>
    <w:rsid w:val="00EF31E3"/>
    <w:rsid w:val="00EF322F"/>
    <w:rsid w:val="00EF328E"/>
    <w:rsid w:val="00EF3343"/>
    <w:rsid w:val="00EF335C"/>
    <w:rsid w:val="00EF33EA"/>
    <w:rsid w:val="00EF3454"/>
    <w:rsid w:val="00EF34FD"/>
    <w:rsid w:val="00EF358C"/>
    <w:rsid w:val="00EF365F"/>
    <w:rsid w:val="00EF3672"/>
    <w:rsid w:val="00EF3700"/>
    <w:rsid w:val="00EF3774"/>
    <w:rsid w:val="00EF378B"/>
    <w:rsid w:val="00EF37A7"/>
    <w:rsid w:val="00EF37BC"/>
    <w:rsid w:val="00EF38A4"/>
    <w:rsid w:val="00EF38DB"/>
    <w:rsid w:val="00EF390D"/>
    <w:rsid w:val="00EF39D2"/>
    <w:rsid w:val="00EF39DB"/>
    <w:rsid w:val="00EF3A1C"/>
    <w:rsid w:val="00EF3A45"/>
    <w:rsid w:val="00EF3A48"/>
    <w:rsid w:val="00EF3A5E"/>
    <w:rsid w:val="00EF3A7B"/>
    <w:rsid w:val="00EF3B2F"/>
    <w:rsid w:val="00EF3B6D"/>
    <w:rsid w:val="00EF3B88"/>
    <w:rsid w:val="00EF3C0C"/>
    <w:rsid w:val="00EF3C6D"/>
    <w:rsid w:val="00EF3CEE"/>
    <w:rsid w:val="00EF3D2E"/>
    <w:rsid w:val="00EF3D67"/>
    <w:rsid w:val="00EF3D9D"/>
    <w:rsid w:val="00EF3DD4"/>
    <w:rsid w:val="00EF3DFB"/>
    <w:rsid w:val="00EF3E1F"/>
    <w:rsid w:val="00EF3F2C"/>
    <w:rsid w:val="00EF3FA8"/>
    <w:rsid w:val="00EF3FA9"/>
    <w:rsid w:val="00EF408C"/>
    <w:rsid w:val="00EF40A3"/>
    <w:rsid w:val="00EF413F"/>
    <w:rsid w:val="00EF4225"/>
    <w:rsid w:val="00EF4243"/>
    <w:rsid w:val="00EF4245"/>
    <w:rsid w:val="00EF42B4"/>
    <w:rsid w:val="00EF42F8"/>
    <w:rsid w:val="00EF436A"/>
    <w:rsid w:val="00EF4385"/>
    <w:rsid w:val="00EF43A1"/>
    <w:rsid w:val="00EF4409"/>
    <w:rsid w:val="00EF44D3"/>
    <w:rsid w:val="00EF453A"/>
    <w:rsid w:val="00EF457A"/>
    <w:rsid w:val="00EF4610"/>
    <w:rsid w:val="00EF46C3"/>
    <w:rsid w:val="00EF46EB"/>
    <w:rsid w:val="00EF4721"/>
    <w:rsid w:val="00EF47DE"/>
    <w:rsid w:val="00EF4863"/>
    <w:rsid w:val="00EF48A1"/>
    <w:rsid w:val="00EF48E2"/>
    <w:rsid w:val="00EF492E"/>
    <w:rsid w:val="00EF4963"/>
    <w:rsid w:val="00EF4A57"/>
    <w:rsid w:val="00EF4AE1"/>
    <w:rsid w:val="00EF4B6F"/>
    <w:rsid w:val="00EF4B7B"/>
    <w:rsid w:val="00EF4BD4"/>
    <w:rsid w:val="00EF4C1C"/>
    <w:rsid w:val="00EF4C58"/>
    <w:rsid w:val="00EF4C5B"/>
    <w:rsid w:val="00EF4C82"/>
    <w:rsid w:val="00EF4C8F"/>
    <w:rsid w:val="00EF4C9E"/>
    <w:rsid w:val="00EF4CFB"/>
    <w:rsid w:val="00EF4D73"/>
    <w:rsid w:val="00EF4D7A"/>
    <w:rsid w:val="00EF4F24"/>
    <w:rsid w:val="00EF4FD7"/>
    <w:rsid w:val="00EF513A"/>
    <w:rsid w:val="00EF51AB"/>
    <w:rsid w:val="00EF51AD"/>
    <w:rsid w:val="00EF51C4"/>
    <w:rsid w:val="00EF52C2"/>
    <w:rsid w:val="00EF5352"/>
    <w:rsid w:val="00EF53C1"/>
    <w:rsid w:val="00EF53FE"/>
    <w:rsid w:val="00EF546C"/>
    <w:rsid w:val="00EF5480"/>
    <w:rsid w:val="00EF548A"/>
    <w:rsid w:val="00EF5495"/>
    <w:rsid w:val="00EF5536"/>
    <w:rsid w:val="00EF557C"/>
    <w:rsid w:val="00EF573F"/>
    <w:rsid w:val="00EF577F"/>
    <w:rsid w:val="00EF581A"/>
    <w:rsid w:val="00EF5854"/>
    <w:rsid w:val="00EF5860"/>
    <w:rsid w:val="00EF5882"/>
    <w:rsid w:val="00EF58A6"/>
    <w:rsid w:val="00EF58DB"/>
    <w:rsid w:val="00EF5952"/>
    <w:rsid w:val="00EF598B"/>
    <w:rsid w:val="00EF599D"/>
    <w:rsid w:val="00EF5A1A"/>
    <w:rsid w:val="00EF5A2B"/>
    <w:rsid w:val="00EF5A70"/>
    <w:rsid w:val="00EF5AC9"/>
    <w:rsid w:val="00EF5BBA"/>
    <w:rsid w:val="00EF5BBE"/>
    <w:rsid w:val="00EF5C07"/>
    <w:rsid w:val="00EF5C21"/>
    <w:rsid w:val="00EF5CDB"/>
    <w:rsid w:val="00EF5D40"/>
    <w:rsid w:val="00EF5E59"/>
    <w:rsid w:val="00EF5E69"/>
    <w:rsid w:val="00EF5F18"/>
    <w:rsid w:val="00EF5F1B"/>
    <w:rsid w:val="00EF6032"/>
    <w:rsid w:val="00EF604D"/>
    <w:rsid w:val="00EF6084"/>
    <w:rsid w:val="00EF613D"/>
    <w:rsid w:val="00EF6149"/>
    <w:rsid w:val="00EF61D3"/>
    <w:rsid w:val="00EF61E0"/>
    <w:rsid w:val="00EF61F0"/>
    <w:rsid w:val="00EF6283"/>
    <w:rsid w:val="00EF62C5"/>
    <w:rsid w:val="00EF62DB"/>
    <w:rsid w:val="00EF6321"/>
    <w:rsid w:val="00EF6345"/>
    <w:rsid w:val="00EF63F2"/>
    <w:rsid w:val="00EF6401"/>
    <w:rsid w:val="00EF644A"/>
    <w:rsid w:val="00EF646B"/>
    <w:rsid w:val="00EF64A6"/>
    <w:rsid w:val="00EF6533"/>
    <w:rsid w:val="00EF6539"/>
    <w:rsid w:val="00EF658A"/>
    <w:rsid w:val="00EF65BE"/>
    <w:rsid w:val="00EF6655"/>
    <w:rsid w:val="00EF666D"/>
    <w:rsid w:val="00EF667B"/>
    <w:rsid w:val="00EF6879"/>
    <w:rsid w:val="00EF68CB"/>
    <w:rsid w:val="00EF68E5"/>
    <w:rsid w:val="00EF6A1F"/>
    <w:rsid w:val="00EF6B02"/>
    <w:rsid w:val="00EF6B1C"/>
    <w:rsid w:val="00EF6B91"/>
    <w:rsid w:val="00EF6BBE"/>
    <w:rsid w:val="00EF6C15"/>
    <w:rsid w:val="00EF6C3E"/>
    <w:rsid w:val="00EF6C83"/>
    <w:rsid w:val="00EF6C8E"/>
    <w:rsid w:val="00EF6CB1"/>
    <w:rsid w:val="00EF6CC5"/>
    <w:rsid w:val="00EF6D1C"/>
    <w:rsid w:val="00EF6DE0"/>
    <w:rsid w:val="00EF6E33"/>
    <w:rsid w:val="00EF6E4D"/>
    <w:rsid w:val="00EF6F30"/>
    <w:rsid w:val="00EF6FC3"/>
    <w:rsid w:val="00EF7113"/>
    <w:rsid w:val="00EF711F"/>
    <w:rsid w:val="00EF7131"/>
    <w:rsid w:val="00EF714F"/>
    <w:rsid w:val="00EF718E"/>
    <w:rsid w:val="00EF7191"/>
    <w:rsid w:val="00EF71EA"/>
    <w:rsid w:val="00EF7246"/>
    <w:rsid w:val="00EF7308"/>
    <w:rsid w:val="00EF7338"/>
    <w:rsid w:val="00EF7351"/>
    <w:rsid w:val="00EF7437"/>
    <w:rsid w:val="00EF7452"/>
    <w:rsid w:val="00EF748E"/>
    <w:rsid w:val="00EF7534"/>
    <w:rsid w:val="00EF7628"/>
    <w:rsid w:val="00EF764F"/>
    <w:rsid w:val="00EF7670"/>
    <w:rsid w:val="00EF767A"/>
    <w:rsid w:val="00EF76D9"/>
    <w:rsid w:val="00EF779D"/>
    <w:rsid w:val="00EF780A"/>
    <w:rsid w:val="00EF78A7"/>
    <w:rsid w:val="00EF78CE"/>
    <w:rsid w:val="00EF790F"/>
    <w:rsid w:val="00EF7A0C"/>
    <w:rsid w:val="00EF7AD2"/>
    <w:rsid w:val="00EF7AF5"/>
    <w:rsid w:val="00EF7B3D"/>
    <w:rsid w:val="00EF7B4A"/>
    <w:rsid w:val="00EF7BAC"/>
    <w:rsid w:val="00EF7C72"/>
    <w:rsid w:val="00EF7C87"/>
    <w:rsid w:val="00EF7CA0"/>
    <w:rsid w:val="00EF7CA9"/>
    <w:rsid w:val="00EF7CC2"/>
    <w:rsid w:val="00EF7D04"/>
    <w:rsid w:val="00EF7E3C"/>
    <w:rsid w:val="00EF7E56"/>
    <w:rsid w:val="00EF7E5A"/>
    <w:rsid w:val="00EF7E91"/>
    <w:rsid w:val="00EF7EB9"/>
    <w:rsid w:val="00EF7ED8"/>
    <w:rsid w:val="00F00036"/>
    <w:rsid w:val="00F00045"/>
    <w:rsid w:val="00F000C3"/>
    <w:rsid w:val="00F001C7"/>
    <w:rsid w:val="00F002B6"/>
    <w:rsid w:val="00F002E4"/>
    <w:rsid w:val="00F0033C"/>
    <w:rsid w:val="00F00341"/>
    <w:rsid w:val="00F00421"/>
    <w:rsid w:val="00F00429"/>
    <w:rsid w:val="00F00494"/>
    <w:rsid w:val="00F004E1"/>
    <w:rsid w:val="00F00527"/>
    <w:rsid w:val="00F0055C"/>
    <w:rsid w:val="00F005E4"/>
    <w:rsid w:val="00F005F8"/>
    <w:rsid w:val="00F00607"/>
    <w:rsid w:val="00F0060F"/>
    <w:rsid w:val="00F00616"/>
    <w:rsid w:val="00F0072F"/>
    <w:rsid w:val="00F0073A"/>
    <w:rsid w:val="00F0075A"/>
    <w:rsid w:val="00F0095F"/>
    <w:rsid w:val="00F00965"/>
    <w:rsid w:val="00F00966"/>
    <w:rsid w:val="00F00A26"/>
    <w:rsid w:val="00F00A73"/>
    <w:rsid w:val="00F00B82"/>
    <w:rsid w:val="00F00BD1"/>
    <w:rsid w:val="00F00BF8"/>
    <w:rsid w:val="00F00C69"/>
    <w:rsid w:val="00F00CBC"/>
    <w:rsid w:val="00F00D12"/>
    <w:rsid w:val="00F00D6B"/>
    <w:rsid w:val="00F00DA9"/>
    <w:rsid w:val="00F00EB8"/>
    <w:rsid w:val="00F00F12"/>
    <w:rsid w:val="00F00F25"/>
    <w:rsid w:val="00F00F5F"/>
    <w:rsid w:val="00F00FD8"/>
    <w:rsid w:val="00F00FEA"/>
    <w:rsid w:val="00F01074"/>
    <w:rsid w:val="00F01078"/>
    <w:rsid w:val="00F0107F"/>
    <w:rsid w:val="00F01080"/>
    <w:rsid w:val="00F01083"/>
    <w:rsid w:val="00F010C2"/>
    <w:rsid w:val="00F0110F"/>
    <w:rsid w:val="00F011CF"/>
    <w:rsid w:val="00F012DF"/>
    <w:rsid w:val="00F01342"/>
    <w:rsid w:val="00F01481"/>
    <w:rsid w:val="00F014A3"/>
    <w:rsid w:val="00F014FC"/>
    <w:rsid w:val="00F0150E"/>
    <w:rsid w:val="00F01537"/>
    <w:rsid w:val="00F0158B"/>
    <w:rsid w:val="00F0160E"/>
    <w:rsid w:val="00F0164C"/>
    <w:rsid w:val="00F01682"/>
    <w:rsid w:val="00F016B2"/>
    <w:rsid w:val="00F016CC"/>
    <w:rsid w:val="00F016F9"/>
    <w:rsid w:val="00F01731"/>
    <w:rsid w:val="00F017E4"/>
    <w:rsid w:val="00F01808"/>
    <w:rsid w:val="00F0180D"/>
    <w:rsid w:val="00F01823"/>
    <w:rsid w:val="00F018BE"/>
    <w:rsid w:val="00F019A1"/>
    <w:rsid w:val="00F019E4"/>
    <w:rsid w:val="00F01AFD"/>
    <w:rsid w:val="00F01B44"/>
    <w:rsid w:val="00F01B69"/>
    <w:rsid w:val="00F01BA1"/>
    <w:rsid w:val="00F01BB1"/>
    <w:rsid w:val="00F01C5B"/>
    <w:rsid w:val="00F01C93"/>
    <w:rsid w:val="00F01D24"/>
    <w:rsid w:val="00F01D89"/>
    <w:rsid w:val="00F01EEA"/>
    <w:rsid w:val="00F01F05"/>
    <w:rsid w:val="00F01F3E"/>
    <w:rsid w:val="00F01FEC"/>
    <w:rsid w:val="00F01FF8"/>
    <w:rsid w:val="00F0200D"/>
    <w:rsid w:val="00F02042"/>
    <w:rsid w:val="00F020FD"/>
    <w:rsid w:val="00F02237"/>
    <w:rsid w:val="00F022BA"/>
    <w:rsid w:val="00F022E5"/>
    <w:rsid w:val="00F022EE"/>
    <w:rsid w:val="00F023C5"/>
    <w:rsid w:val="00F023CC"/>
    <w:rsid w:val="00F02420"/>
    <w:rsid w:val="00F0249F"/>
    <w:rsid w:val="00F0252D"/>
    <w:rsid w:val="00F025B6"/>
    <w:rsid w:val="00F0265A"/>
    <w:rsid w:val="00F02671"/>
    <w:rsid w:val="00F02676"/>
    <w:rsid w:val="00F026AB"/>
    <w:rsid w:val="00F026BC"/>
    <w:rsid w:val="00F026DA"/>
    <w:rsid w:val="00F026FD"/>
    <w:rsid w:val="00F0270A"/>
    <w:rsid w:val="00F02762"/>
    <w:rsid w:val="00F0280F"/>
    <w:rsid w:val="00F028E2"/>
    <w:rsid w:val="00F028E5"/>
    <w:rsid w:val="00F029D5"/>
    <w:rsid w:val="00F02A99"/>
    <w:rsid w:val="00F02B2C"/>
    <w:rsid w:val="00F02B7B"/>
    <w:rsid w:val="00F02BB3"/>
    <w:rsid w:val="00F02C02"/>
    <w:rsid w:val="00F02C5E"/>
    <w:rsid w:val="00F02C93"/>
    <w:rsid w:val="00F02CBE"/>
    <w:rsid w:val="00F02D01"/>
    <w:rsid w:val="00F02D40"/>
    <w:rsid w:val="00F02D41"/>
    <w:rsid w:val="00F02DE7"/>
    <w:rsid w:val="00F02E53"/>
    <w:rsid w:val="00F02EB3"/>
    <w:rsid w:val="00F02EB7"/>
    <w:rsid w:val="00F02F08"/>
    <w:rsid w:val="00F02F27"/>
    <w:rsid w:val="00F02F34"/>
    <w:rsid w:val="00F02F3E"/>
    <w:rsid w:val="00F02FCC"/>
    <w:rsid w:val="00F030F3"/>
    <w:rsid w:val="00F03159"/>
    <w:rsid w:val="00F0318E"/>
    <w:rsid w:val="00F03192"/>
    <w:rsid w:val="00F0320E"/>
    <w:rsid w:val="00F0321D"/>
    <w:rsid w:val="00F03232"/>
    <w:rsid w:val="00F0326B"/>
    <w:rsid w:val="00F032A5"/>
    <w:rsid w:val="00F032BB"/>
    <w:rsid w:val="00F032FB"/>
    <w:rsid w:val="00F032FE"/>
    <w:rsid w:val="00F03301"/>
    <w:rsid w:val="00F03335"/>
    <w:rsid w:val="00F0336F"/>
    <w:rsid w:val="00F033A1"/>
    <w:rsid w:val="00F034C8"/>
    <w:rsid w:val="00F03508"/>
    <w:rsid w:val="00F0352B"/>
    <w:rsid w:val="00F0354E"/>
    <w:rsid w:val="00F03760"/>
    <w:rsid w:val="00F0379B"/>
    <w:rsid w:val="00F038DB"/>
    <w:rsid w:val="00F03980"/>
    <w:rsid w:val="00F039F3"/>
    <w:rsid w:val="00F03A0C"/>
    <w:rsid w:val="00F03A46"/>
    <w:rsid w:val="00F03A67"/>
    <w:rsid w:val="00F03B9C"/>
    <w:rsid w:val="00F03BA3"/>
    <w:rsid w:val="00F03BC9"/>
    <w:rsid w:val="00F03BCA"/>
    <w:rsid w:val="00F03C36"/>
    <w:rsid w:val="00F03C7F"/>
    <w:rsid w:val="00F03C91"/>
    <w:rsid w:val="00F03D12"/>
    <w:rsid w:val="00F03DD4"/>
    <w:rsid w:val="00F03DE8"/>
    <w:rsid w:val="00F03E4F"/>
    <w:rsid w:val="00F03E61"/>
    <w:rsid w:val="00F03E91"/>
    <w:rsid w:val="00F03E97"/>
    <w:rsid w:val="00F03EA7"/>
    <w:rsid w:val="00F03F23"/>
    <w:rsid w:val="00F03F51"/>
    <w:rsid w:val="00F03F73"/>
    <w:rsid w:val="00F03F8F"/>
    <w:rsid w:val="00F03FAB"/>
    <w:rsid w:val="00F03FD7"/>
    <w:rsid w:val="00F04048"/>
    <w:rsid w:val="00F04051"/>
    <w:rsid w:val="00F040F5"/>
    <w:rsid w:val="00F04158"/>
    <w:rsid w:val="00F0423B"/>
    <w:rsid w:val="00F0423E"/>
    <w:rsid w:val="00F042DE"/>
    <w:rsid w:val="00F04370"/>
    <w:rsid w:val="00F043C0"/>
    <w:rsid w:val="00F04460"/>
    <w:rsid w:val="00F044B0"/>
    <w:rsid w:val="00F04502"/>
    <w:rsid w:val="00F0461C"/>
    <w:rsid w:val="00F04626"/>
    <w:rsid w:val="00F04657"/>
    <w:rsid w:val="00F046C7"/>
    <w:rsid w:val="00F04724"/>
    <w:rsid w:val="00F0474A"/>
    <w:rsid w:val="00F0478F"/>
    <w:rsid w:val="00F047DB"/>
    <w:rsid w:val="00F047F6"/>
    <w:rsid w:val="00F0480F"/>
    <w:rsid w:val="00F0488D"/>
    <w:rsid w:val="00F04893"/>
    <w:rsid w:val="00F0490E"/>
    <w:rsid w:val="00F04944"/>
    <w:rsid w:val="00F049B4"/>
    <w:rsid w:val="00F049C8"/>
    <w:rsid w:val="00F049F4"/>
    <w:rsid w:val="00F04A55"/>
    <w:rsid w:val="00F04A84"/>
    <w:rsid w:val="00F04AA8"/>
    <w:rsid w:val="00F04B38"/>
    <w:rsid w:val="00F04B78"/>
    <w:rsid w:val="00F04B8B"/>
    <w:rsid w:val="00F04BF3"/>
    <w:rsid w:val="00F04C93"/>
    <w:rsid w:val="00F04CC7"/>
    <w:rsid w:val="00F04CF8"/>
    <w:rsid w:val="00F04DD5"/>
    <w:rsid w:val="00F04DEA"/>
    <w:rsid w:val="00F04F7B"/>
    <w:rsid w:val="00F04FEA"/>
    <w:rsid w:val="00F04FF0"/>
    <w:rsid w:val="00F05048"/>
    <w:rsid w:val="00F051A7"/>
    <w:rsid w:val="00F0536A"/>
    <w:rsid w:val="00F05373"/>
    <w:rsid w:val="00F053CE"/>
    <w:rsid w:val="00F0541B"/>
    <w:rsid w:val="00F0548C"/>
    <w:rsid w:val="00F05549"/>
    <w:rsid w:val="00F05593"/>
    <w:rsid w:val="00F055DC"/>
    <w:rsid w:val="00F056D3"/>
    <w:rsid w:val="00F056FF"/>
    <w:rsid w:val="00F05719"/>
    <w:rsid w:val="00F05742"/>
    <w:rsid w:val="00F05762"/>
    <w:rsid w:val="00F057E3"/>
    <w:rsid w:val="00F057E7"/>
    <w:rsid w:val="00F0582C"/>
    <w:rsid w:val="00F05836"/>
    <w:rsid w:val="00F058A9"/>
    <w:rsid w:val="00F058C0"/>
    <w:rsid w:val="00F05954"/>
    <w:rsid w:val="00F05AD6"/>
    <w:rsid w:val="00F05BCF"/>
    <w:rsid w:val="00F05BD9"/>
    <w:rsid w:val="00F05BFC"/>
    <w:rsid w:val="00F05C7A"/>
    <w:rsid w:val="00F05CC6"/>
    <w:rsid w:val="00F05CD2"/>
    <w:rsid w:val="00F05CF0"/>
    <w:rsid w:val="00F05D2B"/>
    <w:rsid w:val="00F05D2D"/>
    <w:rsid w:val="00F05E71"/>
    <w:rsid w:val="00F05E8B"/>
    <w:rsid w:val="00F05F2C"/>
    <w:rsid w:val="00F06026"/>
    <w:rsid w:val="00F0604F"/>
    <w:rsid w:val="00F0605F"/>
    <w:rsid w:val="00F060E1"/>
    <w:rsid w:val="00F06106"/>
    <w:rsid w:val="00F061CC"/>
    <w:rsid w:val="00F06202"/>
    <w:rsid w:val="00F0620C"/>
    <w:rsid w:val="00F06265"/>
    <w:rsid w:val="00F062EF"/>
    <w:rsid w:val="00F062F1"/>
    <w:rsid w:val="00F0633F"/>
    <w:rsid w:val="00F0639D"/>
    <w:rsid w:val="00F063B4"/>
    <w:rsid w:val="00F063E0"/>
    <w:rsid w:val="00F0644F"/>
    <w:rsid w:val="00F0647F"/>
    <w:rsid w:val="00F064EB"/>
    <w:rsid w:val="00F065C0"/>
    <w:rsid w:val="00F0664F"/>
    <w:rsid w:val="00F0665E"/>
    <w:rsid w:val="00F06664"/>
    <w:rsid w:val="00F067BD"/>
    <w:rsid w:val="00F06875"/>
    <w:rsid w:val="00F0695C"/>
    <w:rsid w:val="00F06974"/>
    <w:rsid w:val="00F0697B"/>
    <w:rsid w:val="00F069BA"/>
    <w:rsid w:val="00F06A65"/>
    <w:rsid w:val="00F06AD4"/>
    <w:rsid w:val="00F06B5E"/>
    <w:rsid w:val="00F06BA8"/>
    <w:rsid w:val="00F06CD0"/>
    <w:rsid w:val="00F06D45"/>
    <w:rsid w:val="00F06E37"/>
    <w:rsid w:val="00F06E3C"/>
    <w:rsid w:val="00F06E5A"/>
    <w:rsid w:val="00F06F78"/>
    <w:rsid w:val="00F06F87"/>
    <w:rsid w:val="00F06FFF"/>
    <w:rsid w:val="00F0703D"/>
    <w:rsid w:val="00F0707F"/>
    <w:rsid w:val="00F070A0"/>
    <w:rsid w:val="00F07128"/>
    <w:rsid w:val="00F07190"/>
    <w:rsid w:val="00F07240"/>
    <w:rsid w:val="00F07290"/>
    <w:rsid w:val="00F07529"/>
    <w:rsid w:val="00F07553"/>
    <w:rsid w:val="00F075E4"/>
    <w:rsid w:val="00F0765D"/>
    <w:rsid w:val="00F07660"/>
    <w:rsid w:val="00F076D2"/>
    <w:rsid w:val="00F0775A"/>
    <w:rsid w:val="00F07762"/>
    <w:rsid w:val="00F0778E"/>
    <w:rsid w:val="00F0780F"/>
    <w:rsid w:val="00F078BE"/>
    <w:rsid w:val="00F0795C"/>
    <w:rsid w:val="00F079E0"/>
    <w:rsid w:val="00F079FF"/>
    <w:rsid w:val="00F07A88"/>
    <w:rsid w:val="00F07BBE"/>
    <w:rsid w:val="00F07BC8"/>
    <w:rsid w:val="00F07C2D"/>
    <w:rsid w:val="00F07C57"/>
    <w:rsid w:val="00F07CA6"/>
    <w:rsid w:val="00F07CDC"/>
    <w:rsid w:val="00F07D05"/>
    <w:rsid w:val="00F07D5C"/>
    <w:rsid w:val="00F07D7F"/>
    <w:rsid w:val="00F07DE9"/>
    <w:rsid w:val="00F07E19"/>
    <w:rsid w:val="00F07E9C"/>
    <w:rsid w:val="00F07F21"/>
    <w:rsid w:val="00F07F4F"/>
    <w:rsid w:val="00F07F8F"/>
    <w:rsid w:val="00F07FB8"/>
    <w:rsid w:val="00F07FED"/>
    <w:rsid w:val="00F101F6"/>
    <w:rsid w:val="00F10251"/>
    <w:rsid w:val="00F10278"/>
    <w:rsid w:val="00F102C5"/>
    <w:rsid w:val="00F10303"/>
    <w:rsid w:val="00F1034D"/>
    <w:rsid w:val="00F103B8"/>
    <w:rsid w:val="00F1042B"/>
    <w:rsid w:val="00F10433"/>
    <w:rsid w:val="00F104A4"/>
    <w:rsid w:val="00F104CA"/>
    <w:rsid w:val="00F10502"/>
    <w:rsid w:val="00F10507"/>
    <w:rsid w:val="00F105BA"/>
    <w:rsid w:val="00F10603"/>
    <w:rsid w:val="00F106BB"/>
    <w:rsid w:val="00F10713"/>
    <w:rsid w:val="00F1073D"/>
    <w:rsid w:val="00F107BA"/>
    <w:rsid w:val="00F1080D"/>
    <w:rsid w:val="00F10823"/>
    <w:rsid w:val="00F1082D"/>
    <w:rsid w:val="00F1085A"/>
    <w:rsid w:val="00F1087F"/>
    <w:rsid w:val="00F10885"/>
    <w:rsid w:val="00F108C0"/>
    <w:rsid w:val="00F10907"/>
    <w:rsid w:val="00F10960"/>
    <w:rsid w:val="00F10A63"/>
    <w:rsid w:val="00F10AB9"/>
    <w:rsid w:val="00F10B1F"/>
    <w:rsid w:val="00F10BF9"/>
    <w:rsid w:val="00F10C2D"/>
    <w:rsid w:val="00F10C37"/>
    <w:rsid w:val="00F10C38"/>
    <w:rsid w:val="00F10C5D"/>
    <w:rsid w:val="00F10C7A"/>
    <w:rsid w:val="00F10CD4"/>
    <w:rsid w:val="00F10D20"/>
    <w:rsid w:val="00F10D8A"/>
    <w:rsid w:val="00F10E47"/>
    <w:rsid w:val="00F10E89"/>
    <w:rsid w:val="00F10EBB"/>
    <w:rsid w:val="00F11024"/>
    <w:rsid w:val="00F110B9"/>
    <w:rsid w:val="00F110D7"/>
    <w:rsid w:val="00F11113"/>
    <w:rsid w:val="00F11190"/>
    <w:rsid w:val="00F111B0"/>
    <w:rsid w:val="00F1125B"/>
    <w:rsid w:val="00F112B3"/>
    <w:rsid w:val="00F1135E"/>
    <w:rsid w:val="00F1138F"/>
    <w:rsid w:val="00F113A2"/>
    <w:rsid w:val="00F11422"/>
    <w:rsid w:val="00F11456"/>
    <w:rsid w:val="00F1146A"/>
    <w:rsid w:val="00F11495"/>
    <w:rsid w:val="00F1157A"/>
    <w:rsid w:val="00F1158F"/>
    <w:rsid w:val="00F11654"/>
    <w:rsid w:val="00F11659"/>
    <w:rsid w:val="00F11663"/>
    <w:rsid w:val="00F116E1"/>
    <w:rsid w:val="00F116FC"/>
    <w:rsid w:val="00F1176F"/>
    <w:rsid w:val="00F11836"/>
    <w:rsid w:val="00F118BD"/>
    <w:rsid w:val="00F118E2"/>
    <w:rsid w:val="00F1191B"/>
    <w:rsid w:val="00F1193B"/>
    <w:rsid w:val="00F11967"/>
    <w:rsid w:val="00F11A29"/>
    <w:rsid w:val="00F11A46"/>
    <w:rsid w:val="00F11A80"/>
    <w:rsid w:val="00F11AE9"/>
    <w:rsid w:val="00F11B62"/>
    <w:rsid w:val="00F11B6C"/>
    <w:rsid w:val="00F11C45"/>
    <w:rsid w:val="00F11C46"/>
    <w:rsid w:val="00F11C7D"/>
    <w:rsid w:val="00F11C8C"/>
    <w:rsid w:val="00F11D2F"/>
    <w:rsid w:val="00F11D61"/>
    <w:rsid w:val="00F11D76"/>
    <w:rsid w:val="00F11DC7"/>
    <w:rsid w:val="00F11DF0"/>
    <w:rsid w:val="00F11E51"/>
    <w:rsid w:val="00F11E61"/>
    <w:rsid w:val="00F11E90"/>
    <w:rsid w:val="00F11ECA"/>
    <w:rsid w:val="00F11EF5"/>
    <w:rsid w:val="00F11F3D"/>
    <w:rsid w:val="00F11F56"/>
    <w:rsid w:val="00F11F76"/>
    <w:rsid w:val="00F11FD4"/>
    <w:rsid w:val="00F12034"/>
    <w:rsid w:val="00F1207F"/>
    <w:rsid w:val="00F120C2"/>
    <w:rsid w:val="00F120E7"/>
    <w:rsid w:val="00F12142"/>
    <w:rsid w:val="00F121E9"/>
    <w:rsid w:val="00F12207"/>
    <w:rsid w:val="00F1226C"/>
    <w:rsid w:val="00F12289"/>
    <w:rsid w:val="00F122A9"/>
    <w:rsid w:val="00F122B1"/>
    <w:rsid w:val="00F122DF"/>
    <w:rsid w:val="00F12305"/>
    <w:rsid w:val="00F12359"/>
    <w:rsid w:val="00F124B6"/>
    <w:rsid w:val="00F124E2"/>
    <w:rsid w:val="00F12597"/>
    <w:rsid w:val="00F125D1"/>
    <w:rsid w:val="00F126AF"/>
    <w:rsid w:val="00F127FB"/>
    <w:rsid w:val="00F12800"/>
    <w:rsid w:val="00F12876"/>
    <w:rsid w:val="00F128C8"/>
    <w:rsid w:val="00F12905"/>
    <w:rsid w:val="00F1292D"/>
    <w:rsid w:val="00F1294A"/>
    <w:rsid w:val="00F1297D"/>
    <w:rsid w:val="00F129A2"/>
    <w:rsid w:val="00F12A23"/>
    <w:rsid w:val="00F12A2F"/>
    <w:rsid w:val="00F12A62"/>
    <w:rsid w:val="00F12ADA"/>
    <w:rsid w:val="00F12B30"/>
    <w:rsid w:val="00F12B36"/>
    <w:rsid w:val="00F12B6F"/>
    <w:rsid w:val="00F12BB5"/>
    <w:rsid w:val="00F12C13"/>
    <w:rsid w:val="00F12C65"/>
    <w:rsid w:val="00F12C7B"/>
    <w:rsid w:val="00F12D1B"/>
    <w:rsid w:val="00F12E57"/>
    <w:rsid w:val="00F12EC9"/>
    <w:rsid w:val="00F12FF7"/>
    <w:rsid w:val="00F13038"/>
    <w:rsid w:val="00F1305B"/>
    <w:rsid w:val="00F13071"/>
    <w:rsid w:val="00F130BA"/>
    <w:rsid w:val="00F13110"/>
    <w:rsid w:val="00F13188"/>
    <w:rsid w:val="00F131D6"/>
    <w:rsid w:val="00F1320E"/>
    <w:rsid w:val="00F1333D"/>
    <w:rsid w:val="00F1336F"/>
    <w:rsid w:val="00F13372"/>
    <w:rsid w:val="00F133D7"/>
    <w:rsid w:val="00F133FB"/>
    <w:rsid w:val="00F134AD"/>
    <w:rsid w:val="00F134EB"/>
    <w:rsid w:val="00F134F7"/>
    <w:rsid w:val="00F13517"/>
    <w:rsid w:val="00F1352B"/>
    <w:rsid w:val="00F13631"/>
    <w:rsid w:val="00F1369E"/>
    <w:rsid w:val="00F13805"/>
    <w:rsid w:val="00F13807"/>
    <w:rsid w:val="00F13953"/>
    <w:rsid w:val="00F1395C"/>
    <w:rsid w:val="00F13960"/>
    <w:rsid w:val="00F139B6"/>
    <w:rsid w:val="00F139F2"/>
    <w:rsid w:val="00F13A00"/>
    <w:rsid w:val="00F13A5F"/>
    <w:rsid w:val="00F13A60"/>
    <w:rsid w:val="00F13A89"/>
    <w:rsid w:val="00F13AC8"/>
    <w:rsid w:val="00F13B24"/>
    <w:rsid w:val="00F13B79"/>
    <w:rsid w:val="00F13B92"/>
    <w:rsid w:val="00F13C13"/>
    <w:rsid w:val="00F13C19"/>
    <w:rsid w:val="00F13C5E"/>
    <w:rsid w:val="00F13C7E"/>
    <w:rsid w:val="00F13D35"/>
    <w:rsid w:val="00F13D5B"/>
    <w:rsid w:val="00F13D5D"/>
    <w:rsid w:val="00F13D94"/>
    <w:rsid w:val="00F13DD7"/>
    <w:rsid w:val="00F13E70"/>
    <w:rsid w:val="00F13E9D"/>
    <w:rsid w:val="00F13F5A"/>
    <w:rsid w:val="00F13FAF"/>
    <w:rsid w:val="00F13FB9"/>
    <w:rsid w:val="00F13FF6"/>
    <w:rsid w:val="00F1404A"/>
    <w:rsid w:val="00F14059"/>
    <w:rsid w:val="00F14099"/>
    <w:rsid w:val="00F140BC"/>
    <w:rsid w:val="00F14146"/>
    <w:rsid w:val="00F142EB"/>
    <w:rsid w:val="00F14323"/>
    <w:rsid w:val="00F14341"/>
    <w:rsid w:val="00F1434B"/>
    <w:rsid w:val="00F1437B"/>
    <w:rsid w:val="00F14412"/>
    <w:rsid w:val="00F1442D"/>
    <w:rsid w:val="00F1447D"/>
    <w:rsid w:val="00F144C0"/>
    <w:rsid w:val="00F14592"/>
    <w:rsid w:val="00F1469C"/>
    <w:rsid w:val="00F14746"/>
    <w:rsid w:val="00F14761"/>
    <w:rsid w:val="00F14772"/>
    <w:rsid w:val="00F147DA"/>
    <w:rsid w:val="00F147FA"/>
    <w:rsid w:val="00F148BF"/>
    <w:rsid w:val="00F1496C"/>
    <w:rsid w:val="00F149BB"/>
    <w:rsid w:val="00F14A0C"/>
    <w:rsid w:val="00F14B52"/>
    <w:rsid w:val="00F14B57"/>
    <w:rsid w:val="00F14C08"/>
    <w:rsid w:val="00F14C2C"/>
    <w:rsid w:val="00F14D10"/>
    <w:rsid w:val="00F14DEE"/>
    <w:rsid w:val="00F14E08"/>
    <w:rsid w:val="00F14E6C"/>
    <w:rsid w:val="00F14E95"/>
    <w:rsid w:val="00F14EF2"/>
    <w:rsid w:val="00F14F1B"/>
    <w:rsid w:val="00F14F81"/>
    <w:rsid w:val="00F14FF1"/>
    <w:rsid w:val="00F15004"/>
    <w:rsid w:val="00F15094"/>
    <w:rsid w:val="00F150D6"/>
    <w:rsid w:val="00F150E2"/>
    <w:rsid w:val="00F150FB"/>
    <w:rsid w:val="00F1511F"/>
    <w:rsid w:val="00F15143"/>
    <w:rsid w:val="00F152A6"/>
    <w:rsid w:val="00F154A1"/>
    <w:rsid w:val="00F154BF"/>
    <w:rsid w:val="00F15539"/>
    <w:rsid w:val="00F155DE"/>
    <w:rsid w:val="00F15673"/>
    <w:rsid w:val="00F156DF"/>
    <w:rsid w:val="00F156E0"/>
    <w:rsid w:val="00F15712"/>
    <w:rsid w:val="00F1574B"/>
    <w:rsid w:val="00F15816"/>
    <w:rsid w:val="00F1587D"/>
    <w:rsid w:val="00F1591A"/>
    <w:rsid w:val="00F159B1"/>
    <w:rsid w:val="00F15A46"/>
    <w:rsid w:val="00F15AA0"/>
    <w:rsid w:val="00F15B6D"/>
    <w:rsid w:val="00F15B74"/>
    <w:rsid w:val="00F15B95"/>
    <w:rsid w:val="00F15BB5"/>
    <w:rsid w:val="00F15C13"/>
    <w:rsid w:val="00F15C7F"/>
    <w:rsid w:val="00F15CB5"/>
    <w:rsid w:val="00F15D07"/>
    <w:rsid w:val="00F15D2A"/>
    <w:rsid w:val="00F15D58"/>
    <w:rsid w:val="00F15DDA"/>
    <w:rsid w:val="00F15E86"/>
    <w:rsid w:val="00F15EC4"/>
    <w:rsid w:val="00F15EE8"/>
    <w:rsid w:val="00F15F45"/>
    <w:rsid w:val="00F15F5F"/>
    <w:rsid w:val="00F15F97"/>
    <w:rsid w:val="00F15FDF"/>
    <w:rsid w:val="00F15FF0"/>
    <w:rsid w:val="00F16053"/>
    <w:rsid w:val="00F1608C"/>
    <w:rsid w:val="00F161C0"/>
    <w:rsid w:val="00F16256"/>
    <w:rsid w:val="00F16295"/>
    <w:rsid w:val="00F1629D"/>
    <w:rsid w:val="00F162A3"/>
    <w:rsid w:val="00F1631A"/>
    <w:rsid w:val="00F16354"/>
    <w:rsid w:val="00F16394"/>
    <w:rsid w:val="00F163E3"/>
    <w:rsid w:val="00F163FE"/>
    <w:rsid w:val="00F164FF"/>
    <w:rsid w:val="00F16545"/>
    <w:rsid w:val="00F16548"/>
    <w:rsid w:val="00F16550"/>
    <w:rsid w:val="00F16562"/>
    <w:rsid w:val="00F166ED"/>
    <w:rsid w:val="00F168D5"/>
    <w:rsid w:val="00F1693A"/>
    <w:rsid w:val="00F16986"/>
    <w:rsid w:val="00F169CA"/>
    <w:rsid w:val="00F169F7"/>
    <w:rsid w:val="00F16A8D"/>
    <w:rsid w:val="00F16A92"/>
    <w:rsid w:val="00F16AB1"/>
    <w:rsid w:val="00F16AC4"/>
    <w:rsid w:val="00F16AE0"/>
    <w:rsid w:val="00F16AEA"/>
    <w:rsid w:val="00F16B38"/>
    <w:rsid w:val="00F16BB0"/>
    <w:rsid w:val="00F16BC4"/>
    <w:rsid w:val="00F16BDD"/>
    <w:rsid w:val="00F16BF3"/>
    <w:rsid w:val="00F16CE6"/>
    <w:rsid w:val="00F16D1C"/>
    <w:rsid w:val="00F16D38"/>
    <w:rsid w:val="00F16DA1"/>
    <w:rsid w:val="00F16E9F"/>
    <w:rsid w:val="00F16F93"/>
    <w:rsid w:val="00F170DF"/>
    <w:rsid w:val="00F17222"/>
    <w:rsid w:val="00F17243"/>
    <w:rsid w:val="00F172E8"/>
    <w:rsid w:val="00F17316"/>
    <w:rsid w:val="00F173A9"/>
    <w:rsid w:val="00F17456"/>
    <w:rsid w:val="00F174E5"/>
    <w:rsid w:val="00F174FE"/>
    <w:rsid w:val="00F1756B"/>
    <w:rsid w:val="00F17668"/>
    <w:rsid w:val="00F17684"/>
    <w:rsid w:val="00F17688"/>
    <w:rsid w:val="00F17728"/>
    <w:rsid w:val="00F177C2"/>
    <w:rsid w:val="00F177EE"/>
    <w:rsid w:val="00F17998"/>
    <w:rsid w:val="00F17AF0"/>
    <w:rsid w:val="00F17AF4"/>
    <w:rsid w:val="00F17BD0"/>
    <w:rsid w:val="00F17BE0"/>
    <w:rsid w:val="00F17C69"/>
    <w:rsid w:val="00F17CBF"/>
    <w:rsid w:val="00F17CF1"/>
    <w:rsid w:val="00F17D3A"/>
    <w:rsid w:val="00F17D4C"/>
    <w:rsid w:val="00F17E12"/>
    <w:rsid w:val="00F17F4D"/>
    <w:rsid w:val="00F17F74"/>
    <w:rsid w:val="00F17FBF"/>
    <w:rsid w:val="00F17FC3"/>
    <w:rsid w:val="00F17FD7"/>
    <w:rsid w:val="00F2014F"/>
    <w:rsid w:val="00F20174"/>
    <w:rsid w:val="00F2018E"/>
    <w:rsid w:val="00F2019E"/>
    <w:rsid w:val="00F201B1"/>
    <w:rsid w:val="00F20244"/>
    <w:rsid w:val="00F20251"/>
    <w:rsid w:val="00F20298"/>
    <w:rsid w:val="00F202F6"/>
    <w:rsid w:val="00F20330"/>
    <w:rsid w:val="00F20343"/>
    <w:rsid w:val="00F204EE"/>
    <w:rsid w:val="00F204FE"/>
    <w:rsid w:val="00F2056F"/>
    <w:rsid w:val="00F2057C"/>
    <w:rsid w:val="00F2057F"/>
    <w:rsid w:val="00F205E5"/>
    <w:rsid w:val="00F20606"/>
    <w:rsid w:val="00F2061D"/>
    <w:rsid w:val="00F206CC"/>
    <w:rsid w:val="00F206F2"/>
    <w:rsid w:val="00F2079F"/>
    <w:rsid w:val="00F207F1"/>
    <w:rsid w:val="00F207FA"/>
    <w:rsid w:val="00F20828"/>
    <w:rsid w:val="00F20847"/>
    <w:rsid w:val="00F2086A"/>
    <w:rsid w:val="00F20876"/>
    <w:rsid w:val="00F2087F"/>
    <w:rsid w:val="00F20954"/>
    <w:rsid w:val="00F209BC"/>
    <w:rsid w:val="00F20A65"/>
    <w:rsid w:val="00F20AFB"/>
    <w:rsid w:val="00F20B20"/>
    <w:rsid w:val="00F20BDC"/>
    <w:rsid w:val="00F20D40"/>
    <w:rsid w:val="00F20D4A"/>
    <w:rsid w:val="00F20D51"/>
    <w:rsid w:val="00F20DED"/>
    <w:rsid w:val="00F20E04"/>
    <w:rsid w:val="00F20E0F"/>
    <w:rsid w:val="00F20E9A"/>
    <w:rsid w:val="00F20F10"/>
    <w:rsid w:val="00F20F68"/>
    <w:rsid w:val="00F210A7"/>
    <w:rsid w:val="00F21117"/>
    <w:rsid w:val="00F21173"/>
    <w:rsid w:val="00F21182"/>
    <w:rsid w:val="00F211F3"/>
    <w:rsid w:val="00F212C0"/>
    <w:rsid w:val="00F21329"/>
    <w:rsid w:val="00F2143B"/>
    <w:rsid w:val="00F2145E"/>
    <w:rsid w:val="00F21460"/>
    <w:rsid w:val="00F21617"/>
    <w:rsid w:val="00F21629"/>
    <w:rsid w:val="00F216DE"/>
    <w:rsid w:val="00F21754"/>
    <w:rsid w:val="00F21756"/>
    <w:rsid w:val="00F2178E"/>
    <w:rsid w:val="00F218EA"/>
    <w:rsid w:val="00F21930"/>
    <w:rsid w:val="00F21964"/>
    <w:rsid w:val="00F21980"/>
    <w:rsid w:val="00F219FB"/>
    <w:rsid w:val="00F21A69"/>
    <w:rsid w:val="00F21A6A"/>
    <w:rsid w:val="00F21A6B"/>
    <w:rsid w:val="00F21B17"/>
    <w:rsid w:val="00F21B40"/>
    <w:rsid w:val="00F21C17"/>
    <w:rsid w:val="00F21C44"/>
    <w:rsid w:val="00F21C52"/>
    <w:rsid w:val="00F21C58"/>
    <w:rsid w:val="00F21C97"/>
    <w:rsid w:val="00F21CA7"/>
    <w:rsid w:val="00F21D0C"/>
    <w:rsid w:val="00F21D35"/>
    <w:rsid w:val="00F21E0B"/>
    <w:rsid w:val="00F21E48"/>
    <w:rsid w:val="00F21F6A"/>
    <w:rsid w:val="00F21F92"/>
    <w:rsid w:val="00F21FEF"/>
    <w:rsid w:val="00F2200F"/>
    <w:rsid w:val="00F22029"/>
    <w:rsid w:val="00F22075"/>
    <w:rsid w:val="00F220A5"/>
    <w:rsid w:val="00F2211E"/>
    <w:rsid w:val="00F2214D"/>
    <w:rsid w:val="00F2219D"/>
    <w:rsid w:val="00F221D3"/>
    <w:rsid w:val="00F22220"/>
    <w:rsid w:val="00F222AC"/>
    <w:rsid w:val="00F222E0"/>
    <w:rsid w:val="00F22447"/>
    <w:rsid w:val="00F22488"/>
    <w:rsid w:val="00F22565"/>
    <w:rsid w:val="00F226CF"/>
    <w:rsid w:val="00F226EA"/>
    <w:rsid w:val="00F22700"/>
    <w:rsid w:val="00F22735"/>
    <w:rsid w:val="00F22872"/>
    <w:rsid w:val="00F228A6"/>
    <w:rsid w:val="00F22904"/>
    <w:rsid w:val="00F2291C"/>
    <w:rsid w:val="00F22936"/>
    <w:rsid w:val="00F229A9"/>
    <w:rsid w:val="00F229C1"/>
    <w:rsid w:val="00F229E2"/>
    <w:rsid w:val="00F22A21"/>
    <w:rsid w:val="00F22A39"/>
    <w:rsid w:val="00F22A79"/>
    <w:rsid w:val="00F22A8E"/>
    <w:rsid w:val="00F22B11"/>
    <w:rsid w:val="00F22C6B"/>
    <w:rsid w:val="00F22C81"/>
    <w:rsid w:val="00F22CB1"/>
    <w:rsid w:val="00F22D6B"/>
    <w:rsid w:val="00F22D95"/>
    <w:rsid w:val="00F22E44"/>
    <w:rsid w:val="00F22E9D"/>
    <w:rsid w:val="00F22EC7"/>
    <w:rsid w:val="00F22EF4"/>
    <w:rsid w:val="00F22FDC"/>
    <w:rsid w:val="00F2300E"/>
    <w:rsid w:val="00F23035"/>
    <w:rsid w:val="00F23085"/>
    <w:rsid w:val="00F230BE"/>
    <w:rsid w:val="00F2315E"/>
    <w:rsid w:val="00F23293"/>
    <w:rsid w:val="00F232BD"/>
    <w:rsid w:val="00F232C3"/>
    <w:rsid w:val="00F2332A"/>
    <w:rsid w:val="00F233A0"/>
    <w:rsid w:val="00F233AD"/>
    <w:rsid w:val="00F233E9"/>
    <w:rsid w:val="00F2342F"/>
    <w:rsid w:val="00F234CD"/>
    <w:rsid w:val="00F2350D"/>
    <w:rsid w:val="00F2351A"/>
    <w:rsid w:val="00F23522"/>
    <w:rsid w:val="00F235F2"/>
    <w:rsid w:val="00F23678"/>
    <w:rsid w:val="00F236BA"/>
    <w:rsid w:val="00F236DF"/>
    <w:rsid w:val="00F2371C"/>
    <w:rsid w:val="00F23722"/>
    <w:rsid w:val="00F23767"/>
    <w:rsid w:val="00F2381D"/>
    <w:rsid w:val="00F2388A"/>
    <w:rsid w:val="00F238CC"/>
    <w:rsid w:val="00F2397E"/>
    <w:rsid w:val="00F2398C"/>
    <w:rsid w:val="00F23A68"/>
    <w:rsid w:val="00F23AC6"/>
    <w:rsid w:val="00F23AEB"/>
    <w:rsid w:val="00F23B62"/>
    <w:rsid w:val="00F23B72"/>
    <w:rsid w:val="00F23C79"/>
    <w:rsid w:val="00F23CFF"/>
    <w:rsid w:val="00F23D4B"/>
    <w:rsid w:val="00F23D83"/>
    <w:rsid w:val="00F23E31"/>
    <w:rsid w:val="00F23E75"/>
    <w:rsid w:val="00F23EBE"/>
    <w:rsid w:val="00F23F1A"/>
    <w:rsid w:val="00F23FA6"/>
    <w:rsid w:val="00F24021"/>
    <w:rsid w:val="00F24034"/>
    <w:rsid w:val="00F24091"/>
    <w:rsid w:val="00F2409D"/>
    <w:rsid w:val="00F240E3"/>
    <w:rsid w:val="00F240EE"/>
    <w:rsid w:val="00F24147"/>
    <w:rsid w:val="00F2414D"/>
    <w:rsid w:val="00F2432A"/>
    <w:rsid w:val="00F243EB"/>
    <w:rsid w:val="00F24431"/>
    <w:rsid w:val="00F24443"/>
    <w:rsid w:val="00F244B7"/>
    <w:rsid w:val="00F24504"/>
    <w:rsid w:val="00F2450E"/>
    <w:rsid w:val="00F24549"/>
    <w:rsid w:val="00F245A0"/>
    <w:rsid w:val="00F245F2"/>
    <w:rsid w:val="00F24668"/>
    <w:rsid w:val="00F246B5"/>
    <w:rsid w:val="00F246BB"/>
    <w:rsid w:val="00F2471D"/>
    <w:rsid w:val="00F24746"/>
    <w:rsid w:val="00F24946"/>
    <w:rsid w:val="00F249C5"/>
    <w:rsid w:val="00F24A10"/>
    <w:rsid w:val="00F24A38"/>
    <w:rsid w:val="00F24A40"/>
    <w:rsid w:val="00F24AE2"/>
    <w:rsid w:val="00F24B1C"/>
    <w:rsid w:val="00F24B31"/>
    <w:rsid w:val="00F24BA2"/>
    <w:rsid w:val="00F24BB1"/>
    <w:rsid w:val="00F24C98"/>
    <w:rsid w:val="00F24CEB"/>
    <w:rsid w:val="00F24CFE"/>
    <w:rsid w:val="00F24DCB"/>
    <w:rsid w:val="00F24E02"/>
    <w:rsid w:val="00F24E5C"/>
    <w:rsid w:val="00F24F55"/>
    <w:rsid w:val="00F24F72"/>
    <w:rsid w:val="00F2508A"/>
    <w:rsid w:val="00F250B8"/>
    <w:rsid w:val="00F25114"/>
    <w:rsid w:val="00F25156"/>
    <w:rsid w:val="00F251C6"/>
    <w:rsid w:val="00F251DE"/>
    <w:rsid w:val="00F25237"/>
    <w:rsid w:val="00F25257"/>
    <w:rsid w:val="00F25292"/>
    <w:rsid w:val="00F252F8"/>
    <w:rsid w:val="00F2533E"/>
    <w:rsid w:val="00F253D2"/>
    <w:rsid w:val="00F2540C"/>
    <w:rsid w:val="00F2541E"/>
    <w:rsid w:val="00F254BF"/>
    <w:rsid w:val="00F25534"/>
    <w:rsid w:val="00F256B9"/>
    <w:rsid w:val="00F256C1"/>
    <w:rsid w:val="00F25769"/>
    <w:rsid w:val="00F25786"/>
    <w:rsid w:val="00F257D7"/>
    <w:rsid w:val="00F25809"/>
    <w:rsid w:val="00F2583B"/>
    <w:rsid w:val="00F258A7"/>
    <w:rsid w:val="00F258CA"/>
    <w:rsid w:val="00F2592C"/>
    <w:rsid w:val="00F2594D"/>
    <w:rsid w:val="00F2595B"/>
    <w:rsid w:val="00F259A3"/>
    <w:rsid w:val="00F259D3"/>
    <w:rsid w:val="00F25A59"/>
    <w:rsid w:val="00F25AE7"/>
    <w:rsid w:val="00F25B59"/>
    <w:rsid w:val="00F25BF4"/>
    <w:rsid w:val="00F25C6A"/>
    <w:rsid w:val="00F25CFE"/>
    <w:rsid w:val="00F25D66"/>
    <w:rsid w:val="00F25D80"/>
    <w:rsid w:val="00F25DC9"/>
    <w:rsid w:val="00F25DDE"/>
    <w:rsid w:val="00F25DEF"/>
    <w:rsid w:val="00F25E57"/>
    <w:rsid w:val="00F25E62"/>
    <w:rsid w:val="00F25ECE"/>
    <w:rsid w:val="00F25ED8"/>
    <w:rsid w:val="00F25EDB"/>
    <w:rsid w:val="00F25FD0"/>
    <w:rsid w:val="00F26005"/>
    <w:rsid w:val="00F2600D"/>
    <w:rsid w:val="00F26016"/>
    <w:rsid w:val="00F2603A"/>
    <w:rsid w:val="00F26058"/>
    <w:rsid w:val="00F26109"/>
    <w:rsid w:val="00F2613C"/>
    <w:rsid w:val="00F2613E"/>
    <w:rsid w:val="00F261D3"/>
    <w:rsid w:val="00F2621D"/>
    <w:rsid w:val="00F262A2"/>
    <w:rsid w:val="00F26320"/>
    <w:rsid w:val="00F263C4"/>
    <w:rsid w:val="00F263E2"/>
    <w:rsid w:val="00F2644C"/>
    <w:rsid w:val="00F2649E"/>
    <w:rsid w:val="00F26520"/>
    <w:rsid w:val="00F266CA"/>
    <w:rsid w:val="00F26710"/>
    <w:rsid w:val="00F26779"/>
    <w:rsid w:val="00F26821"/>
    <w:rsid w:val="00F26834"/>
    <w:rsid w:val="00F2685D"/>
    <w:rsid w:val="00F26877"/>
    <w:rsid w:val="00F26883"/>
    <w:rsid w:val="00F268A8"/>
    <w:rsid w:val="00F2693A"/>
    <w:rsid w:val="00F26953"/>
    <w:rsid w:val="00F2695A"/>
    <w:rsid w:val="00F26975"/>
    <w:rsid w:val="00F2698A"/>
    <w:rsid w:val="00F269ED"/>
    <w:rsid w:val="00F26A10"/>
    <w:rsid w:val="00F26A86"/>
    <w:rsid w:val="00F26B05"/>
    <w:rsid w:val="00F26B3E"/>
    <w:rsid w:val="00F26BB0"/>
    <w:rsid w:val="00F26BFC"/>
    <w:rsid w:val="00F26C03"/>
    <w:rsid w:val="00F26C54"/>
    <w:rsid w:val="00F26C91"/>
    <w:rsid w:val="00F26CCC"/>
    <w:rsid w:val="00F26D89"/>
    <w:rsid w:val="00F26DE8"/>
    <w:rsid w:val="00F26E0A"/>
    <w:rsid w:val="00F26E68"/>
    <w:rsid w:val="00F26ECC"/>
    <w:rsid w:val="00F26F44"/>
    <w:rsid w:val="00F26F85"/>
    <w:rsid w:val="00F26FB8"/>
    <w:rsid w:val="00F27040"/>
    <w:rsid w:val="00F27093"/>
    <w:rsid w:val="00F2712C"/>
    <w:rsid w:val="00F271E7"/>
    <w:rsid w:val="00F27232"/>
    <w:rsid w:val="00F2724C"/>
    <w:rsid w:val="00F2728C"/>
    <w:rsid w:val="00F272AD"/>
    <w:rsid w:val="00F272C4"/>
    <w:rsid w:val="00F272FB"/>
    <w:rsid w:val="00F27460"/>
    <w:rsid w:val="00F274DB"/>
    <w:rsid w:val="00F27577"/>
    <w:rsid w:val="00F2759A"/>
    <w:rsid w:val="00F275E7"/>
    <w:rsid w:val="00F27628"/>
    <w:rsid w:val="00F2776B"/>
    <w:rsid w:val="00F27798"/>
    <w:rsid w:val="00F277D4"/>
    <w:rsid w:val="00F277F9"/>
    <w:rsid w:val="00F27848"/>
    <w:rsid w:val="00F278BD"/>
    <w:rsid w:val="00F278C8"/>
    <w:rsid w:val="00F278D9"/>
    <w:rsid w:val="00F278F3"/>
    <w:rsid w:val="00F27940"/>
    <w:rsid w:val="00F27A45"/>
    <w:rsid w:val="00F27A52"/>
    <w:rsid w:val="00F27A58"/>
    <w:rsid w:val="00F27A99"/>
    <w:rsid w:val="00F27ABA"/>
    <w:rsid w:val="00F27B05"/>
    <w:rsid w:val="00F27B7F"/>
    <w:rsid w:val="00F27BA0"/>
    <w:rsid w:val="00F27BBF"/>
    <w:rsid w:val="00F27BFA"/>
    <w:rsid w:val="00F27C05"/>
    <w:rsid w:val="00F27C6A"/>
    <w:rsid w:val="00F27CC3"/>
    <w:rsid w:val="00F27D1A"/>
    <w:rsid w:val="00F27D2F"/>
    <w:rsid w:val="00F27D79"/>
    <w:rsid w:val="00F27DCF"/>
    <w:rsid w:val="00F27F6D"/>
    <w:rsid w:val="00F27F90"/>
    <w:rsid w:val="00F30007"/>
    <w:rsid w:val="00F3006D"/>
    <w:rsid w:val="00F300E2"/>
    <w:rsid w:val="00F300F5"/>
    <w:rsid w:val="00F30188"/>
    <w:rsid w:val="00F301AC"/>
    <w:rsid w:val="00F3023F"/>
    <w:rsid w:val="00F30409"/>
    <w:rsid w:val="00F30460"/>
    <w:rsid w:val="00F30469"/>
    <w:rsid w:val="00F304C8"/>
    <w:rsid w:val="00F304CF"/>
    <w:rsid w:val="00F30501"/>
    <w:rsid w:val="00F30578"/>
    <w:rsid w:val="00F305FD"/>
    <w:rsid w:val="00F306FD"/>
    <w:rsid w:val="00F30728"/>
    <w:rsid w:val="00F30738"/>
    <w:rsid w:val="00F3076A"/>
    <w:rsid w:val="00F307BC"/>
    <w:rsid w:val="00F307D2"/>
    <w:rsid w:val="00F307E3"/>
    <w:rsid w:val="00F3085B"/>
    <w:rsid w:val="00F3085F"/>
    <w:rsid w:val="00F308FD"/>
    <w:rsid w:val="00F3090E"/>
    <w:rsid w:val="00F3095D"/>
    <w:rsid w:val="00F309E5"/>
    <w:rsid w:val="00F30A4E"/>
    <w:rsid w:val="00F30A9D"/>
    <w:rsid w:val="00F30B0F"/>
    <w:rsid w:val="00F30B68"/>
    <w:rsid w:val="00F30BA7"/>
    <w:rsid w:val="00F30C62"/>
    <w:rsid w:val="00F30CD5"/>
    <w:rsid w:val="00F30CE0"/>
    <w:rsid w:val="00F30D8E"/>
    <w:rsid w:val="00F30DEF"/>
    <w:rsid w:val="00F30DFA"/>
    <w:rsid w:val="00F30ECA"/>
    <w:rsid w:val="00F30FD0"/>
    <w:rsid w:val="00F30FD4"/>
    <w:rsid w:val="00F30FE3"/>
    <w:rsid w:val="00F30FE5"/>
    <w:rsid w:val="00F31039"/>
    <w:rsid w:val="00F3108E"/>
    <w:rsid w:val="00F310FC"/>
    <w:rsid w:val="00F3115D"/>
    <w:rsid w:val="00F3118E"/>
    <w:rsid w:val="00F3124C"/>
    <w:rsid w:val="00F31272"/>
    <w:rsid w:val="00F31296"/>
    <w:rsid w:val="00F312AD"/>
    <w:rsid w:val="00F312CD"/>
    <w:rsid w:val="00F3133D"/>
    <w:rsid w:val="00F3133E"/>
    <w:rsid w:val="00F31379"/>
    <w:rsid w:val="00F3148E"/>
    <w:rsid w:val="00F314BE"/>
    <w:rsid w:val="00F3159C"/>
    <w:rsid w:val="00F315F2"/>
    <w:rsid w:val="00F31608"/>
    <w:rsid w:val="00F31780"/>
    <w:rsid w:val="00F3186E"/>
    <w:rsid w:val="00F31873"/>
    <w:rsid w:val="00F31914"/>
    <w:rsid w:val="00F31932"/>
    <w:rsid w:val="00F31944"/>
    <w:rsid w:val="00F31A75"/>
    <w:rsid w:val="00F31AA7"/>
    <w:rsid w:val="00F31C12"/>
    <w:rsid w:val="00F31C13"/>
    <w:rsid w:val="00F31C54"/>
    <w:rsid w:val="00F31D3B"/>
    <w:rsid w:val="00F31D40"/>
    <w:rsid w:val="00F31DC5"/>
    <w:rsid w:val="00F31DE9"/>
    <w:rsid w:val="00F31EDA"/>
    <w:rsid w:val="00F31EDE"/>
    <w:rsid w:val="00F31FB6"/>
    <w:rsid w:val="00F31FBC"/>
    <w:rsid w:val="00F32056"/>
    <w:rsid w:val="00F32080"/>
    <w:rsid w:val="00F32091"/>
    <w:rsid w:val="00F320A9"/>
    <w:rsid w:val="00F3211D"/>
    <w:rsid w:val="00F321EF"/>
    <w:rsid w:val="00F32202"/>
    <w:rsid w:val="00F32208"/>
    <w:rsid w:val="00F322AD"/>
    <w:rsid w:val="00F322E5"/>
    <w:rsid w:val="00F32383"/>
    <w:rsid w:val="00F323AB"/>
    <w:rsid w:val="00F323AD"/>
    <w:rsid w:val="00F323CE"/>
    <w:rsid w:val="00F323EC"/>
    <w:rsid w:val="00F32433"/>
    <w:rsid w:val="00F32479"/>
    <w:rsid w:val="00F32489"/>
    <w:rsid w:val="00F324AF"/>
    <w:rsid w:val="00F324EE"/>
    <w:rsid w:val="00F3258E"/>
    <w:rsid w:val="00F326D8"/>
    <w:rsid w:val="00F32855"/>
    <w:rsid w:val="00F32957"/>
    <w:rsid w:val="00F329D2"/>
    <w:rsid w:val="00F32A49"/>
    <w:rsid w:val="00F32A86"/>
    <w:rsid w:val="00F32A9C"/>
    <w:rsid w:val="00F32B50"/>
    <w:rsid w:val="00F32B97"/>
    <w:rsid w:val="00F32BD5"/>
    <w:rsid w:val="00F32C24"/>
    <w:rsid w:val="00F32C3A"/>
    <w:rsid w:val="00F32D04"/>
    <w:rsid w:val="00F32D3D"/>
    <w:rsid w:val="00F32D75"/>
    <w:rsid w:val="00F32D99"/>
    <w:rsid w:val="00F32EA4"/>
    <w:rsid w:val="00F32EF8"/>
    <w:rsid w:val="00F32F1B"/>
    <w:rsid w:val="00F32F54"/>
    <w:rsid w:val="00F32FEC"/>
    <w:rsid w:val="00F32FFE"/>
    <w:rsid w:val="00F3304E"/>
    <w:rsid w:val="00F3305F"/>
    <w:rsid w:val="00F33103"/>
    <w:rsid w:val="00F33134"/>
    <w:rsid w:val="00F33177"/>
    <w:rsid w:val="00F331A2"/>
    <w:rsid w:val="00F331F3"/>
    <w:rsid w:val="00F33204"/>
    <w:rsid w:val="00F3322F"/>
    <w:rsid w:val="00F3326A"/>
    <w:rsid w:val="00F3328A"/>
    <w:rsid w:val="00F33298"/>
    <w:rsid w:val="00F332A3"/>
    <w:rsid w:val="00F332B5"/>
    <w:rsid w:val="00F332DA"/>
    <w:rsid w:val="00F332DD"/>
    <w:rsid w:val="00F33311"/>
    <w:rsid w:val="00F3331E"/>
    <w:rsid w:val="00F3331F"/>
    <w:rsid w:val="00F3339C"/>
    <w:rsid w:val="00F333E4"/>
    <w:rsid w:val="00F3342C"/>
    <w:rsid w:val="00F33495"/>
    <w:rsid w:val="00F3350B"/>
    <w:rsid w:val="00F33520"/>
    <w:rsid w:val="00F33580"/>
    <w:rsid w:val="00F3360B"/>
    <w:rsid w:val="00F3362D"/>
    <w:rsid w:val="00F33706"/>
    <w:rsid w:val="00F337B6"/>
    <w:rsid w:val="00F337FB"/>
    <w:rsid w:val="00F33828"/>
    <w:rsid w:val="00F3387C"/>
    <w:rsid w:val="00F33917"/>
    <w:rsid w:val="00F33938"/>
    <w:rsid w:val="00F33978"/>
    <w:rsid w:val="00F33979"/>
    <w:rsid w:val="00F33997"/>
    <w:rsid w:val="00F33A4D"/>
    <w:rsid w:val="00F33A53"/>
    <w:rsid w:val="00F33B5D"/>
    <w:rsid w:val="00F33B71"/>
    <w:rsid w:val="00F33B84"/>
    <w:rsid w:val="00F33B92"/>
    <w:rsid w:val="00F33BAC"/>
    <w:rsid w:val="00F33BBB"/>
    <w:rsid w:val="00F33C77"/>
    <w:rsid w:val="00F33C94"/>
    <w:rsid w:val="00F33CDE"/>
    <w:rsid w:val="00F33D0A"/>
    <w:rsid w:val="00F33DBF"/>
    <w:rsid w:val="00F33DD5"/>
    <w:rsid w:val="00F33E34"/>
    <w:rsid w:val="00F33E61"/>
    <w:rsid w:val="00F33E98"/>
    <w:rsid w:val="00F33EF6"/>
    <w:rsid w:val="00F33F77"/>
    <w:rsid w:val="00F33FB4"/>
    <w:rsid w:val="00F33FC8"/>
    <w:rsid w:val="00F34004"/>
    <w:rsid w:val="00F34007"/>
    <w:rsid w:val="00F3405B"/>
    <w:rsid w:val="00F3408E"/>
    <w:rsid w:val="00F34132"/>
    <w:rsid w:val="00F34135"/>
    <w:rsid w:val="00F341A7"/>
    <w:rsid w:val="00F341DE"/>
    <w:rsid w:val="00F341EA"/>
    <w:rsid w:val="00F34278"/>
    <w:rsid w:val="00F34291"/>
    <w:rsid w:val="00F342BD"/>
    <w:rsid w:val="00F342D7"/>
    <w:rsid w:val="00F3440D"/>
    <w:rsid w:val="00F34464"/>
    <w:rsid w:val="00F344EA"/>
    <w:rsid w:val="00F34609"/>
    <w:rsid w:val="00F34631"/>
    <w:rsid w:val="00F346F3"/>
    <w:rsid w:val="00F34713"/>
    <w:rsid w:val="00F34748"/>
    <w:rsid w:val="00F34804"/>
    <w:rsid w:val="00F34912"/>
    <w:rsid w:val="00F3491E"/>
    <w:rsid w:val="00F34AC8"/>
    <w:rsid w:val="00F34B0C"/>
    <w:rsid w:val="00F34B18"/>
    <w:rsid w:val="00F34B4C"/>
    <w:rsid w:val="00F34B8D"/>
    <w:rsid w:val="00F34BC8"/>
    <w:rsid w:val="00F34BDE"/>
    <w:rsid w:val="00F34BE5"/>
    <w:rsid w:val="00F34C1E"/>
    <w:rsid w:val="00F34C4E"/>
    <w:rsid w:val="00F34C97"/>
    <w:rsid w:val="00F34D13"/>
    <w:rsid w:val="00F34D1F"/>
    <w:rsid w:val="00F34D38"/>
    <w:rsid w:val="00F34D60"/>
    <w:rsid w:val="00F34D61"/>
    <w:rsid w:val="00F34E11"/>
    <w:rsid w:val="00F34E1D"/>
    <w:rsid w:val="00F34F52"/>
    <w:rsid w:val="00F34FAE"/>
    <w:rsid w:val="00F3504D"/>
    <w:rsid w:val="00F35097"/>
    <w:rsid w:val="00F350DB"/>
    <w:rsid w:val="00F3510E"/>
    <w:rsid w:val="00F35112"/>
    <w:rsid w:val="00F35208"/>
    <w:rsid w:val="00F352B1"/>
    <w:rsid w:val="00F35314"/>
    <w:rsid w:val="00F353BA"/>
    <w:rsid w:val="00F353D2"/>
    <w:rsid w:val="00F3541F"/>
    <w:rsid w:val="00F3548A"/>
    <w:rsid w:val="00F354D5"/>
    <w:rsid w:val="00F35563"/>
    <w:rsid w:val="00F355F1"/>
    <w:rsid w:val="00F3564B"/>
    <w:rsid w:val="00F35664"/>
    <w:rsid w:val="00F35676"/>
    <w:rsid w:val="00F356B6"/>
    <w:rsid w:val="00F356CE"/>
    <w:rsid w:val="00F356D2"/>
    <w:rsid w:val="00F356F7"/>
    <w:rsid w:val="00F3572A"/>
    <w:rsid w:val="00F3577D"/>
    <w:rsid w:val="00F357C8"/>
    <w:rsid w:val="00F357D4"/>
    <w:rsid w:val="00F3582E"/>
    <w:rsid w:val="00F3585D"/>
    <w:rsid w:val="00F358FF"/>
    <w:rsid w:val="00F35904"/>
    <w:rsid w:val="00F35923"/>
    <w:rsid w:val="00F35952"/>
    <w:rsid w:val="00F35998"/>
    <w:rsid w:val="00F359D5"/>
    <w:rsid w:val="00F359D6"/>
    <w:rsid w:val="00F35A5B"/>
    <w:rsid w:val="00F35A95"/>
    <w:rsid w:val="00F35B86"/>
    <w:rsid w:val="00F35B8F"/>
    <w:rsid w:val="00F35C1D"/>
    <w:rsid w:val="00F35C3D"/>
    <w:rsid w:val="00F35D05"/>
    <w:rsid w:val="00F35D22"/>
    <w:rsid w:val="00F35D77"/>
    <w:rsid w:val="00F35E95"/>
    <w:rsid w:val="00F35F17"/>
    <w:rsid w:val="00F35F2A"/>
    <w:rsid w:val="00F35F8E"/>
    <w:rsid w:val="00F35F91"/>
    <w:rsid w:val="00F3600A"/>
    <w:rsid w:val="00F360D2"/>
    <w:rsid w:val="00F361DC"/>
    <w:rsid w:val="00F3620B"/>
    <w:rsid w:val="00F36275"/>
    <w:rsid w:val="00F362FD"/>
    <w:rsid w:val="00F36310"/>
    <w:rsid w:val="00F3632C"/>
    <w:rsid w:val="00F3636D"/>
    <w:rsid w:val="00F3649A"/>
    <w:rsid w:val="00F3651E"/>
    <w:rsid w:val="00F36558"/>
    <w:rsid w:val="00F365C2"/>
    <w:rsid w:val="00F365D0"/>
    <w:rsid w:val="00F365FB"/>
    <w:rsid w:val="00F36601"/>
    <w:rsid w:val="00F36603"/>
    <w:rsid w:val="00F36646"/>
    <w:rsid w:val="00F3669F"/>
    <w:rsid w:val="00F366A6"/>
    <w:rsid w:val="00F36731"/>
    <w:rsid w:val="00F36793"/>
    <w:rsid w:val="00F367E3"/>
    <w:rsid w:val="00F36809"/>
    <w:rsid w:val="00F36847"/>
    <w:rsid w:val="00F3688C"/>
    <w:rsid w:val="00F3693C"/>
    <w:rsid w:val="00F3698B"/>
    <w:rsid w:val="00F369C9"/>
    <w:rsid w:val="00F36A3E"/>
    <w:rsid w:val="00F36A62"/>
    <w:rsid w:val="00F36A94"/>
    <w:rsid w:val="00F36B42"/>
    <w:rsid w:val="00F36B70"/>
    <w:rsid w:val="00F36B74"/>
    <w:rsid w:val="00F36BCC"/>
    <w:rsid w:val="00F36BDF"/>
    <w:rsid w:val="00F36C2C"/>
    <w:rsid w:val="00F36C3A"/>
    <w:rsid w:val="00F36C4F"/>
    <w:rsid w:val="00F36C5C"/>
    <w:rsid w:val="00F36C9D"/>
    <w:rsid w:val="00F36D06"/>
    <w:rsid w:val="00F36D5C"/>
    <w:rsid w:val="00F36D70"/>
    <w:rsid w:val="00F36DF7"/>
    <w:rsid w:val="00F36E0D"/>
    <w:rsid w:val="00F36E12"/>
    <w:rsid w:val="00F36E6F"/>
    <w:rsid w:val="00F36E78"/>
    <w:rsid w:val="00F36E82"/>
    <w:rsid w:val="00F36E8C"/>
    <w:rsid w:val="00F36EDD"/>
    <w:rsid w:val="00F36F19"/>
    <w:rsid w:val="00F36F41"/>
    <w:rsid w:val="00F3707B"/>
    <w:rsid w:val="00F370CA"/>
    <w:rsid w:val="00F3712D"/>
    <w:rsid w:val="00F3714D"/>
    <w:rsid w:val="00F371F1"/>
    <w:rsid w:val="00F371F7"/>
    <w:rsid w:val="00F3723A"/>
    <w:rsid w:val="00F37266"/>
    <w:rsid w:val="00F3731E"/>
    <w:rsid w:val="00F37324"/>
    <w:rsid w:val="00F37373"/>
    <w:rsid w:val="00F37380"/>
    <w:rsid w:val="00F37392"/>
    <w:rsid w:val="00F374AB"/>
    <w:rsid w:val="00F374C7"/>
    <w:rsid w:val="00F374EF"/>
    <w:rsid w:val="00F37512"/>
    <w:rsid w:val="00F37527"/>
    <w:rsid w:val="00F3757F"/>
    <w:rsid w:val="00F375C5"/>
    <w:rsid w:val="00F3764C"/>
    <w:rsid w:val="00F3768B"/>
    <w:rsid w:val="00F3769E"/>
    <w:rsid w:val="00F377C4"/>
    <w:rsid w:val="00F377E7"/>
    <w:rsid w:val="00F378FB"/>
    <w:rsid w:val="00F37995"/>
    <w:rsid w:val="00F379CA"/>
    <w:rsid w:val="00F379EA"/>
    <w:rsid w:val="00F37A16"/>
    <w:rsid w:val="00F37A8A"/>
    <w:rsid w:val="00F37ADC"/>
    <w:rsid w:val="00F37B29"/>
    <w:rsid w:val="00F37C2B"/>
    <w:rsid w:val="00F37C6E"/>
    <w:rsid w:val="00F37CAA"/>
    <w:rsid w:val="00F37E1F"/>
    <w:rsid w:val="00F37E91"/>
    <w:rsid w:val="00F37E9E"/>
    <w:rsid w:val="00F37EB2"/>
    <w:rsid w:val="00F37FD4"/>
    <w:rsid w:val="00F3F0B6"/>
    <w:rsid w:val="00F40007"/>
    <w:rsid w:val="00F40023"/>
    <w:rsid w:val="00F40063"/>
    <w:rsid w:val="00F400AE"/>
    <w:rsid w:val="00F400C3"/>
    <w:rsid w:val="00F400EC"/>
    <w:rsid w:val="00F40127"/>
    <w:rsid w:val="00F401CB"/>
    <w:rsid w:val="00F40220"/>
    <w:rsid w:val="00F40283"/>
    <w:rsid w:val="00F4029E"/>
    <w:rsid w:val="00F402E0"/>
    <w:rsid w:val="00F40360"/>
    <w:rsid w:val="00F4036A"/>
    <w:rsid w:val="00F4040B"/>
    <w:rsid w:val="00F40441"/>
    <w:rsid w:val="00F40465"/>
    <w:rsid w:val="00F40475"/>
    <w:rsid w:val="00F404DD"/>
    <w:rsid w:val="00F405C7"/>
    <w:rsid w:val="00F405CE"/>
    <w:rsid w:val="00F40655"/>
    <w:rsid w:val="00F406D9"/>
    <w:rsid w:val="00F40710"/>
    <w:rsid w:val="00F4074A"/>
    <w:rsid w:val="00F407EB"/>
    <w:rsid w:val="00F40818"/>
    <w:rsid w:val="00F40823"/>
    <w:rsid w:val="00F40828"/>
    <w:rsid w:val="00F40978"/>
    <w:rsid w:val="00F409F3"/>
    <w:rsid w:val="00F40ABB"/>
    <w:rsid w:val="00F40AD9"/>
    <w:rsid w:val="00F40B33"/>
    <w:rsid w:val="00F40B35"/>
    <w:rsid w:val="00F40BA2"/>
    <w:rsid w:val="00F40BB7"/>
    <w:rsid w:val="00F40CB9"/>
    <w:rsid w:val="00F40CCD"/>
    <w:rsid w:val="00F40EF6"/>
    <w:rsid w:val="00F40FA4"/>
    <w:rsid w:val="00F41046"/>
    <w:rsid w:val="00F4104C"/>
    <w:rsid w:val="00F4105A"/>
    <w:rsid w:val="00F410F1"/>
    <w:rsid w:val="00F410FE"/>
    <w:rsid w:val="00F41179"/>
    <w:rsid w:val="00F4124D"/>
    <w:rsid w:val="00F41261"/>
    <w:rsid w:val="00F4126C"/>
    <w:rsid w:val="00F41393"/>
    <w:rsid w:val="00F41427"/>
    <w:rsid w:val="00F41445"/>
    <w:rsid w:val="00F414E7"/>
    <w:rsid w:val="00F414EB"/>
    <w:rsid w:val="00F41535"/>
    <w:rsid w:val="00F41541"/>
    <w:rsid w:val="00F415C1"/>
    <w:rsid w:val="00F415D8"/>
    <w:rsid w:val="00F415F0"/>
    <w:rsid w:val="00F41610"/>
    <w:rsid w:val="00F4168C"/>
    <w:rsid w:val="00F416C9"/>
    <w:rsid w:val="00F416F2"/>
    <w:rsid w:val="00F4176B"/>
    <w:rsid w:val="00F417BB"/>
    <w:rsid w:val="00F41814"/>
    <w:rsid w:val="00F41824"/>
    <w:rsid w:val="00F41891"/>
    <w:rsid w:val="00F4189F"/>
    <w:rsid w:val="00F41970"/>
    <w:rsid w:val="00F41971"/>
    <w:rsid w:val="00F41A1E"/>
    <w:rsid w:val="00F41A52"/>
    <w:rsid w:val="00F41A54"/>
    <w:rsid w:val="00F41AAA"/>
    <w:rsid w:val="00F41B26"/>
    <w:rsid w:val="00F41B36"/>
    <w:rsid w:val="00F41B3D"/>
    <w:rsid w:val="00F41B59"/>
    <w:rsid w:val="00F41B8A"/>
    <w:rsid w:val="00F41BD3"/>
    <w:rsid w:val="00F41C38"/>
    <w:rsid w:val="00F41C83"/>
    <w:rsid w:val="00F41C99"/>
    <w:rsid w:val="00F41DDB"/>
    <w:rsid w:val="00F41DDF"/>
    <w:rsid w:val="00F41E17"/>
    <w:rsid w:val="00F41E43"/>
    <w:rsid w:val="00F41E9D"/>
    <w:rsid w:val="00F41EA7"/>
    <w:rsid w:val="00F41EF0"/>
    <w:rsid w:val="00F41F0B"/>
    <w:rsid w:val="00F41F7E"/>
    <w:rsid w:val="00F41F99"/>
    <w:rsid w:val="00F41FDE"/>
    <w:rsid w:val="00F42167"/>
    <w:rsid w:val="00F42192"/>
    <w:rsid w:val="00F421AC"/>
    <w:rsid w:val="00F42205"/>
    <w:rsid w:val="00F42232"/>
    <w:rsid w:val="00F422FB"/>
    <w:rsid w:val="00F4235E"/>
    <w:rsid w:val="00F4236D"/>
    <w:rsid w:val="00F4259A"/>
    <w:rsid w:val="00F4259B"/>
    <w:rsid w:val="00F425D5"/>
    <w:rsid w:val="00F425F4"/>
    <w:rsid w:val="00F4265D"/>
    <w:rsid w:val="00F4279F"/>
    <w:rsid w:val="00F42850"/>
    <w:rsid w:val="00F428E7"/>
    <w:rsid w:val="00F42953"/>
    <w:rsid w:val="00F42972"/>
    <w:rsid w:val="00F42A76"/>
    <w:rsid w:val="00F42ADB"/>
    <w:rsid w:val="00F42B10"/>
    <w:rsid w:val="00F42B71"/>
    <w:rsid w:val="00F42C04"/>
    <w:rsid w:val="00F42C4C"/>
    <w:rsid w:val="00F42D16"/>
    <w:rsid w:val="00F42D1A"/>
    <w:rsid w:val="00F42D1C"/>
    <w:rsid w:val="00F42D46"/>
    <w:rsid w:val="00F42DA1"/>
    <w:rsid w:val="00F42DD7"/>
    <w:rsid w:val="00F42E55"/>
    <w:rsid w:val="00F42E9B"/>
    <w:rsid w:val="00F42F1B"/>
    <w:rsid w:val="00F42F6A"/>
    <w:rsid w:val="00F42FCE"/>
    <w:rsid w:val="00F42FE1"/>
    <w:rsid w:val="00F4302C"/>
    <w:rsid w:val="00F43089"/>
    <w:rsid w:val="00F43194"/>
    <w:rsid w:val="00F431A4"/>
    <w:rsid w:val="00F432CF"/>
    <w:rsid w:val="00F432EB"/>
    <w:rsid w:val="00F43308"/>
    <w:rsid w:val="00F433EC"/>
    <w:rsid w:val="00F43479"/>
    <w:rsid w:val="00F43496"/>
    <w:rsid w:val="00F434B5"/>
    <w:rsid w:val="00F434C2"/>
    <w:rsid w:val="00F43576"/>
    <w:rsid w:val="00F4363A"/>
    <w:rsid w:val="00F436D4"/>
    <w:rsid w:val="00F436D6"/>
    <w:rsid w:val="00F4370D"/>
    <w:rsid w:val="00F43792"/>
    <w:rsid w:val="00F438D1"/>
    <w:rsid w:val="00F43972"/>
    <w:rsid w:val="00F439F0"/>
    <w:rsid w:val="00F43A25"/>
    <w:rsid w:val="00F43B1B"/>
    <w:rsid w:val="00F43B3C"/>
    <w:rsid w:val="00F43CC2"/>
    <w:rsid w:val="00F43CCE"/>
    <w:rsid w:val="00F43DA8"/>
    <w:rsid w:val="00F43DCD"/>
    <w:rsid w:val="00F43DEA"/>
    <w:rsid w:val="00F43E6D"/>
    <w:rsid w:val="00F43E6F"/>
    <w:rsid w:val="00F43EB8"/>
    <w:rsid w:val="00F43EB9"/>
    <w:rsid w:val="00F43F29"/>
    <w:rsid w:val="00F43FA5"/>
    <w:rsid w:val="00F44038"/>
    <w:rsid w:val="00F44069"/>
    <w:rsid w:val="00F4408A"/>
    <w:rsid w:val="00F44098"/>
    <w:rsid w:val="00F442A9"/>
    <w:rsid w:val="00F442B2"/>
    <w:rsid w:val="00F442BD"/>
    <w:rsid w:val="00F442DA"/>
    <w:rsid w:val="00F442E2"/>
    <w:rsid w:val="00F4433B"/>
    <w:rsid w:val="00F44361"/>
    <w:rsid w:val="00F4440C"/>
    <w:rsid w:val="00F444A0"/>
    <w:rsid w:val="00F444A2"/>
    <w:rsid w:val="00F444EF"/>
    <w:rsid w:val="00F445CA"/>
    <w:rsid w:val="00F446AD"/>
    <w:rsid w:val="00F44712"/>
    <w:rsid w:val="00F44750"/>
    <w:rsid w:val="00F447A3"/>
    <w:rsid w:val="00F447AF"/>
    <w:rsid w:val="00F447BD"/>
    <w:rsid w:val="00F44810"/>
    <w:rsid w:val="00F448A5"/>
    <w:rsid w:val="00F448A7"/>
    <w:rsid w:val="00F44906"/>
    <w:rsid w:val="00F44945"/>
    <w:rsid w:val="00F44957"/>
    <w:rsid w:val="00F449AC"/>
    <w:rsid w:val="00F449CF"/>
    <w:rsid w:val="00F44A56"/>
    <w:rsid w:val="00F44A91"/>
    <w:rsid w:val="00F44AB8"/>
    <w:rsid w:val="00F44B78"/>
    <w:rsid w:val="00F44B90"/>
    <w:rsid w:val="00F44C83"/>
    <w:rsid w:val="00F44C92"/>
    <w:rsid w:val="00F44CA5"/>
    <w:rsid w:val="00F44DDD"/>
    <w:rsid w:val="00F44DDF"/>
    <w:rsid w:val="00F44F43"/>
    <w:rsid w:val="00F44F59"/>
    <w:rsid w:val="00F44F66"/>
    <w:rsid w:val="00F44F69"/>
    <w:rsid w:val="00F45079"/>
    <w:rsid w:val="00F450A3"/>
    <w:rsid w:val="00F450BB"/>
    <w:rsid w:val="00F4512E"/>
    <w:rsid w:val="00F45230"/>
    <w:rsid w:val="00F45233"/>
    <w:rsid w:val="00F45379"/>
    <w:rsid w:val="00F45390"/>
    <w:rsid w:val="00F4543E"/>
    <w:rsid w:val="00F45462"/>
    <w:rsid w:val="00F45465"/>
    <w:rsid w:val="00F454CB"/>
    <w:rsid w:val="00F4552F"/>
    <w:rsid w:val="00F4554F"/>
    <w:rsid w:val="00F455EE"/>
    <w:rsid w:val="00F45610"/>
    <w:rsid w:val="00F45612"/>
    <w:rsid w:val="00F45659"/>
    <w:rsid w:val="00F45694"/>
    <w:rsid w:val="00F45842"/>
    <w:rsid w:val="00F4594E"/>
    <w:rsid w:val="00F45961"/>
    <w:rsid w:val="00F45962"/>
    <w:rsid w:val="00F459D7"/>
    <w:rsid w:val="00F459FD"/>
    <w:rsid w:val="00F45A02"/>
    <w:rsid w:val="00F45A9A"/>
    <w:rsid w:val="00F45AF7"/>
    <w:rsid w:val="00F45BE8"/>
    <w:rsid w:val="00F45C0B"/>
    <w:rsid w:val="00F45C1F"/>
    <w:rsid w:val="00F45CC6"/>
    <w:rsid w:val="00F45CDB"/>
    <w:rsid w:val="00F45D58"/>
    <w:rsid w:val="00F45D68"/>
    <w:rsid w:val="00F45E19"/>
    <w:rsid w:val="00F45EF3"/>
    <w:rsid w:val="00F45F2E"/>
    <w:rsid w:val="00F45F33"/>
    <w:rsid w:val="00F45F58"/>
    <w:rsid w:val="00F45FAC"/>
    <w:rsid w:val="00F45FBB"/>
    <w:rsid w:val="00F46031"/>
    <w:rsid w:val="00F460B6"/>
    <w:rsid w:val="00F46111"/>
    <w:rsid w:val="00F46164"/>
    <w:rsid w:val="00F461A1"/>
    <w:rsid w:val="00F461A2"/>
    <w:rsid w:val="00F461A8"/>
    <w:rsid w:val="00F461C3"/>
    <w:rsid w:val="00F461F3"/>
    <w:rsid w:val="00F46254"/>
    <w:rsid w:val="00F46265"/>
    <w:rsid w:val="00F4635C"/>
    <w:rsid w:val="00F46399"/>
    <w:rsid w:val="00F463D3"/>
    <w:rsid w:val="00F463E2"/>
    <w:rsid w:val="00F46403"/>
    <w:rsid w:val="00F46417"/>
    <w:rsid w:val="00F464AC"/>
    <w:rsid w:val="00F464F8"/>
    <w:rsid w:val="00F4658A"/>
    <w:rsid w:val="00F465F9"/>
    <w:rsid w:val="00F46610"/>
    <w:rsid w:val="00F4664C"/>
    <w:rsid w:val="00F46724"/>
    <w:rsid w:val="00F46778"/>
    <w:rsid w:val="00F467A5"/>
    <w:rsid w:val="00F46802"/>
    <w:rsid w:val="00F468BD"/>
    <w:rsid w:val="00F468E0"/>
    <w:rsid w:val="00F4695A"/>
    <w:rsid w:val="00F469A6"/>
    <w:rsid w:val="00F46B5F"/>
    <w:rsid w:val="00F46C09"/>
    <w:rsid w:val="00F46C1C"/>
    <w:rsid w:val="00F46CA1"/>
    <w:rsid w:val="00F46D86"/>
    <w:rsid w:val="00F46EB0"/>
    <w:rsid w:val="00F46EB2"/>
    <w:rsid w:val="00F47085"/>
    <w:rsid w:val="00F47087"/>
    <w:rsid w:val="00F47091"/>
    <w:rsid w:val="00F471C2"/>
    <w:rsid w:val="00F47203"/>
    <w:rsid w:val="00F47260"/>
    <w:rsid w:val="00F472B8"/>
    <w:rsid w:val="00F474B0"/>
    <w:rsid w:val="00F47546"/>
    <w:rsid w:val="00F47570"/>
    <w:rsid w:val="00F4760E"/>
    <w:rsid w:val="00F47641"/>
    <w:rsid w:val="00F47654"/>
    <w:rsid w:val="00F47668"/>
    <w:rsid w:val="00F476CC"/>
    <w:rsid w:val="00F476E3"/>
    <w:rsid w:val="00F47720"/>
    <w:rsid w:val="00F4772B"/>
    <w:rsid w:val="00F47759"/>
    <w:rsid w:val="00F477B2"/>
    <w:rsid w:val="00F477C2"/>
    <w:rsid w:val="00F4781B"/>
    <w:rsid w:val="00F4781D"/>
    <w:rsid w:val="00F47845"/>
    <w:rsid w:val="00F47875"/>
    <w:rsid w:val="00F4788C"/>
    <w:rsid w:val="00F47910"/>
    <w:rsid w:val="00F47915"/>
    <w:rsid w:val="00F47989"/>
    <w:rsid w:val="00F47A03"/>
    <w:rsid w:val="00F47A40"/>
    <w:rsid w:val="00F47B57"/>
    <w:rsid w:val="00F47C67"/>
    <w:rsid w:val="00F47C9C"/>
    <w:rsid w:val="00F47D25"/>
    <w:rsid w:val="00F47DC3"/>
    <w:rsid w:val="00F47E7B"/>
    <w:rsid w:val="00F47E7D"/>
    <w:rsid w:val="00F47E89"/>
    <w:rsid w:val="00F47EDD"/>
    <w:rsid w:val="00F47EFF"/>
    <w:rsid w:val="00F47F5C"/>
    <w:rsid w:val="00F47F63"/>
    <w:rsid w:val="00F47F81"/>
    <w:rsid w:val="00F47FF8"/>
    <w:rsid w:val="00F5018C"/>
    <w:rsid w:val="00F5020E"/>
    <w:rsid w:val="00F50293"/>
    <w:rsid w:val="00F503AB"/>
    <w:rsid w:val="00F503B5"/>
    <w:rsid w:val="00F50429"/>
    <w:rsid w:val="00F50450"/>
    <w:rsid w:val="00F50488"/>
    <w:rsid w:val="00F504A3"/>
    <w:rsid w:val="00F504DD"/>
    <w:rsid w:val="00F5061B"/>
    <w:rsid w:val="00F50626"/>
    <w:rsid w:val="00F50653"/>
    <w:rsid w:val="00F50687"/>
    <w:rsid w:val="00F506B7"/>
    <w:rsid w:val="00F506C5"/>
    <w:rsid w:val="00F50770"/>
    <w:rsid w:val="00F5079F"/>
    <w:rsid w:val="00F5088D"/>
    <w:rsid w:val="00F508E5"/>
    <w:rsid w:val="00F50901"/>
    <w:rsid w:val="00F50907"/>
    <w:rsid w:val="00F50940"/>
    <w:rsid w:val="00F50961"/>
    <w:rsid w:val="00F50A10"/>
    <w:rsid w:val="00F50B3D"/>
    <w:rsid w:val="00F50B58"/>
    <w:rsid w:val="00F50CA5"/>
    <w:rsid w:val="00F50CCB"/>
    <w:rsid w:val="00F50CE3"/>
    <w:rsid w:val="00F50D3C"/>
    <w:rsid w:val="00F50D3F"/>
    <w:rsid w:val="00F50D41"/>
    <w:rsid w:val="00F50D54"/>
    <w:rsid w:val="00F50D86"/>
    <w:rsid w:val="00F50F09"/>
    <w:rsid w:val="00F50F4D"/>
    <w:rsid w:val="00F50FA5"/>
    <w:rsid w:val="00F5105F"/>
    <w:rsid w:val="00F510E9"/>
    <w:rsid w:val="00F5117D"/>
    <w:rsid w:val="00F5118E"/>
    <w:rsid w:val="00F511DC"/>
    <w:rsid w:val="00F511F0"/>
    <w:rsid w:val="00F512B8"/>
    <w:rsid w:val="00F51309"/>
    <w:rsid w:val="00F51312"/>
    <w:rsid w:val="00F51344"/>
    <w:rsid w:val="00F51347"/>
    <w:rsid w:val="00F51415"/>
    <w:rsid w:val="00F51454"/>
    <w:rsid w:val="00F51458"/>
    <w:rsid w:val="00F51478"/>
    <w:rsid w:val="00F514F2"/>
    <w:rsid w:val="00F514F7"/>
    <w:rsid w:val="00F51570"/>
    <w:rsid w:val="00F51579"/>
    <w:rsid w:val="00F51728"/>
    <w:rsid w:val="00F51737"/>
    <w:rsid w:val="00F517C7"/>
    <w:rsid w:val="00F517D0"/>
    <w:rsid w:val="00F51866"/>
    <w:rsid w:val="00F51894"/>
    <w:rsid w:val="00F51923"/>
    <w:rsid w:val="00F51956"/>
    <w:rsid w:val="00F51972"/>
    <w:rsid w:val="00F519E9"/>
    <w:rsid w:val="00F51A00"/>
    <w:rsid w:val="00F51A23"/>
    <w:rsid w:val="00F51B0D"/>
    <w:rsid w:val="00F51B9F"/>
    <w:rsid w:val="00F51BC3"/>
    <w:rsid w:val="00F51BE1"/>
    <w:rsid w:val="00F51BF7"/>
    <w:rsid w:val="00F51C14"/>
    <w:rsid w:val="00F51C39"/>
    <w:rsid w:val="00F51C7A"/>
    <w:rsid w:val="00F51CA5"/>
    <w:rsid w:val="00F51CC6"/>
    <w:rsid w:val="00F51CF1"/>
    <w:rsid w:val="00F51D07"/>
    <w:rsid w:val="00F51D6C"/>
    <w:rsid w:val="00F51DC3"/>
    <w:rsid w:val="00F51DDD"/>
    <w:rsid w:val="00F51E28"/>
    <w:rsid w:val="00F51F53"/>
    <w:rsid w:val="00F52001"/>
    <w:rsid w:val="00F52131"/>
    <w:rsid w:val="00F5215D"/>
    <w:rsid w:val="00F52189"/>
    <w:rsid w:val="00F521B8"/>
    <w:rsid w:val="00F521C1"/>
    <w:rsid w:val="00F5220A"/>
    <w:rsid w:val="00F52289"/>
    <w:rsid w:val="00F522B3"/>
    <w:rsid w:val="00F5241E"/>
    <w:rsid w:val="00F52505"/>
    <w:rsid w:val="00F5254B"/>
    <w:rsid w:val="00F526AA"/>
    <w:rsid w:val="00F5279F"/>
    <w:rsid w:val="00F527A4"/>
    <w:rsid w:val="00F527B4"/>
    <w:rsid w:val="00F527C0"/>
    <w:rsid w:val="00F5288D"/>
    <w:rsid w:val="00F52919"/>
    <w:rsid w:val="00F529AD"/>
    <w:rsid w:val="00F529FD"/>
    <w:rsid w:val="00F52A04"/>
    <w:rsid w:val="00F52A19"/>
    <w:rsid w:val="00F52B86"/>
    <w:rsid w:val="00F52CAF"/>
    <w:rsid w:val="00F52CCD"/>
    <w:rsid w:val="00F52E2C"/>
    <w:rsid w:val="00F52E2E"/>
    <w:rsid w:val="00F52EB8"/>
    <w:rsid w:val="00F52F7B"/>
    <w:rsid w:val="00F52FA2"/>
    <w:rsid w:val="00F52FA3"/>
    <w:rsid w:val="00F52FDD"/>
    <w:rsid w:val="00F53037"/>
    <w:rsid w:val="00F5304E"/>
    <w:rsid w:val="00F53095"/>
    <w:rsid w:val="00F531AA"/>
    <w:rsid w:val="00F531EF"/>
    <w:rsid w:val="00F5323A"/>
    <w:rsid w:val="00F5324C"/>
    <w:rsid w:val="00F53279"/>
    <w:rsid w:val="00F532A3"/>
    <w:rsid w:val="00F532F9"/>
    <w:rsid w:val="00F53420"/>
    <w:rsid w:val="00F5342B"/>
    <w:rsid w:val="00F53469"/>
    <w:rsid w:val="00F534F0"/>
    <w:rsid w:val="00F534F4"/>
    <w:rsid w:val="00F5354F"/>
    <w:rsid w:val="00F5356A"/>
    <w:rsid w:val="00F53579"/>
    <w:rsid w:val="00F535DE"/>
    <w:rsid w:val="00F535E8"/>
    <w:rsid w:val="00F5360C"/>
    <w:rsid w:val="00F53613"/>
    <w:rsid w:val="00F53684"/>
    <w:rsid w:val="00F536B1"/>
    <w:rsid w:val="00F536E1"/>
    <w:rsid w:val="00F5371B"/>
    <w:rsid w:val="00F53728"/>
    <w:rsid w:val="00F53739"/>
    <w:rsid w:val="00F5378C"/>
    <w:rsid w:val="00F53796"/>
    <w:rsid w:val="00F537C6"/>
    <w:rsid w:val="00F5382E"/>
    <w:rsid w:val="00F538AC"/>
    <w:rsid w:val="00F5390C"/>
    <w:rsid w:val="00F5396B"/>
    <w:rsid w:val="00F539ED"/>
    <w:rsid w:val="00F53A10"/>
    <w:rsid w:val="00F53AC1"/>
    <w:rsid w:val="00F53B10"/>
    <w:rsid w:val="00F53B90"/>
    <w:rsid w:val="00F53C1E"/>
    <w:rsid w:val="00F53C37"/>
    <w:rsid w:val="00F53C52"/>
    <w:rsid w:val="00F53CDD"/>
    <w:rsid w:val="00F53D40"/>
    <w:rsid w:val="00F53DA5"/>
    <w:rsid w:val="00F53DB2"/>
    <w:rsid w:val="00F53DB5"/>
    <w:rsid w:val="00F53DF1"/>
    <w:rsid w:val="00F53E1D"/>
    <w:rsid w:val="00F53E68"/>
    <w:rsid w:val="00F53E7C"/>
    <w:rsid w:val="00F53EFD"/>
    <w:rsid w:val="00F53F13"/>
    <w:rsid w:val="00F53F27"/>
    <w:rsid w:val="00F53FBD"/>
    <w:rsid w:val="00F53FD3"/>
    <w:rsid w:val="00F53FEA"/>
    <w:rsid w:val="00F54047"/>
    <w:rsid w:val="00F54053"/>
    <w:rsid w:val="00F54057"/>
    <w:rsid w:val="00F540C0"/>
    <w:rsid w:val="00F541B4"/>
    <w:rsid w:val="00F54249"/>
    <w:rsid w:val="00F542C6"/>
    <w:rsid w:val="00F54302"/>
    <w:rsid w:val="00F54360"/>
    <w:rsid w:val="00F54374"/>
    <w:rsid w:val="00F54499"/>
    <w:rsid w:val="00F544BE"/>
    <w:rsid w:val="00F54514"/>
    <w:rsid w:val="00F54552"/>
    <w:rsid w:val="00F545CF"/>
    <w:rsid w:val="00F545FC"/>
    <w:rsid w:val="00F54629"/>
    <w:rsid w:val="00F54654"/>
    <w:rsid w:val="00F54682"/>
    <w:rsid w:val="00F546E0"/>
    <w:rsid w:val="00F5473B"/>
    <w:rsid w:val="00F5475E"/>
    <w:rsid w:val="00F54775"/>
    <w:rsid w:val="00F54782"/>
    <w:rsid w:val="00F547F5"/>
    <w:rsid w:val="00F5487A"/>
    <w:rsid w:val="00F548A6"/>
    <w:rsid w:val="00F548B5"/>
    <w:rsid w:val="00F548D1"/>
    <w:rsid w:val="00F549B5"/>
    <w:rsid w:val="00F549B9"/>
    <w:rsid w:val="00F549E5"/>
    <w:rsid w:val="00F549FA"/>
    <w:rsid w:val="00F54A07"/>
    <w:rsid w:val="00F54A17"/>
    <w:rsid w:val="00F54A54"/>
    <w:rsid w:val="00F54C76"/>
    <w:rsid w:val="00F54C8B"/>
    <w:rsid w:val="00F54D00"/>
    <w:rsid w:val="00F54D3E"/>
    <w:rsid w:val="00F54D73"/>
    <w:rsid w:val="00F54E2A"/>
    <w:rsid w:val="00F54E3B"/>
    <w:rsid w:val="00F54E9A"/>
    <w:rsid w:val="00F54EB2"/>
    <w:rsid w:val="00F54EE4"/>
    <w:rsid w:val="00F54F30"/>
    <w:rsid w:val="00F54F67"/>
    <w:rsid w:val="00F54FD5"/>
    <w:rsid w:val="00F54FD9"/>
    <w:rsid w:val="00F54FEB"/>
    <w:rsid w:val="00F54FEC"/>
    <w:rsid w:val="00F55017"/>
    <w:rsid w:val="00F5502C"/>
    <w:rsid w:val="00F55037"/>
    <w:rsid w:val="00F5508D"/>
    <w:rsid w:val="00F5508E"/>
    <w:rsid w:val="00F550AE"/>
    <w:rsid w:val="00F550BB"/>
    <w:rsid w:val="00F550D4"/>
    <w:rsid w:val="00F5513A"/>
    <w:rsid w:val="00F551CA"/>
    <w:rsid w:val="00F55228"/>
    <w:rsid w:val="00F55274"/>
    <w:rsid w:val="00F5537E"/>
    <w:rsid w:val="00F554F9"/>
    <w:rsid w:val="00F55555"/>
    <w:rsid w:val="00F55614"/>
    <w:rsid w:val="00F55625"/>
    <w:rsid w:val="00F55630"/>
    <w:rsid w:val="00F5565B"/>
    <w:rsid w:val="00F5566C"/>
    <w:rsid w:val="00F556D4"/>
    <w:rsid w:val="00F5571C"/>
    <w:rsid w:val="00F5572D"/>
    <w:rsid w:val="00F5578A"/>
    <w:rsid w:val="00F557D5"/>
    <w:rsid w:val="00F557DC"/>
    <w:rsid w:val="00F55808"/>
    <w:rsid w:val="00F5580F"/>
    <w:rsid w:val="00F55842"/>
    <w:rsid w:val="00F55846"/>
    <w:rsid w:val="00F558E2"/>
    <w:rsid w:val="00F55928"/>
    <w:rsid w:val="00F5599A"/>
    <w:rsid w:val="00F55AF9"/>
    <w:rsid w:val="00F55B13"/>
    <w:rsid w:val="00F55B16"/>
    <w:rsid w:val="00F55B7D"/>
    <w:rsid w:val="00F55BE6"/>
    <w:rsid w:val="00F55C78"/>
    <w:rsid w:val="00F55CB7"/>
    <w:rsid w:val="00F55CDF"/>
    <w:rsid w:val="00F55CE4"/>
    <w:rsid w:val="00F55CFB"/>
    <w:rsid w:val="00F55D45"/>
    <w:rsid w:val="00F55D4B"/>
    <w:rsid w:val="00F55D7A"/>
    <w:rsid w:val="00F55DCB"/>
    <w:rsid w:val="00F55DF3"/>
    <w:rsid w:val="00F55E46"/>
    <w:rsid w:val="00F55E4C"/>
    <w:rsid w:val="00F55E7A"/>
    <w:rsid w:val="00F55E85"/>
    <w:rsid w:val="00F55ED5"/>
    <w:rsid w:val="00F55ED7"/>
    <w:rsid w:val="00F55FFB"/>
    <w:rsid w:val="00F560A1"/>
    <w:rsid w:val="00F560BB"/>
    <w:rsid w:val="00F5616A"/>
    <w:rsid w:val="00F561D1"/>
    <w:rsid w:val="00F561D9"/>
    <w:rsid w:val="00F56217"/>
    <w:rsid w:val="00F5622E"/>
    <w:rsid w:val="00F56232"/>
    <w:rsid w:val="00F56290"/>
    <w:rsid w:val="00F562C4"/>
    <w:rsid w:val="00F562EB"/>
    <w:rsid w:val="00F56308"/>
    <w:rsid w:val="00F563CD"/>
    <w:rsid w:val="00F56443"/>
    <w:rsid w:val="00F5644E"/>
    <w:rsid w:val="00F5650C"/>
    <w:rsid w:val="00F56547"/>
    <w:rsid w:val="00F565CE"/>
    <w:rsid w:val="00F565EF"/>
    <w:rsid w:val="00F56614"/>
    <w:rsid w:val="00F5661C"/>
    <w:rsid w:val="00F566D1"/>
    <w:rsid w:val="00F566FD"/>
    <w:rsid w:val="00F56784"/>
    <w:rsid w:val="00F5680F"/>
    <w:rsid w:val="00F56868"/>
    <w:rsid w:val="00F5695D"/>
    <w:rsid w:val="00F56AA7"/>
    <w:rsid w:val="00F56AC7"/>
    <w:rsid w:val="00F56B11"/>
    <w:rsid w:val="00F56C65"/>
    <w:rsid w:val="00F56C6F"/>
    <w:rsid w:val="00F56C84"/>
    <w:rsid w:val="00F56CD0"/>
    <w:rsid w:val="00F56D06"/>
    <w:rsid w:val="00F56D25"/>
    <w:rsid w:val="00F56D73"/>
    <w:rsid w:val="00F56DBD"/>
    <w:rsid w:val="00F56DEE"/>
    <w:rsid w:val="00F56E06"/>
    <w:rsid w:val="00F56EE5"/>
    <w:rsid w:val="00F56FCE"/>
    <w:rsid w:val="00F56FF5"/>
    <w:rsid w:val="00F56FFB"/>
    <w:rsid w:val="00F56FFC"/>
    <w:rsid w:val="00F5704A"/>
    <w:rsid w:val="00F57077"/>
    <w:rsid w:val="00F57087"/>
    <w:rsid w:val="00F57134"/>
    <w:rsid w:val="00F5715E"/>
    <w:rsid w:val="00F57182"/>
    <w:rsid w:val="00F5718B"/>
    <w:rsid w:val="00F5718C"/>
    <w:rsid w:val="00F57221"/>
    <w:rsid w:val="00F5725F"/>
    <w:rsid w:val="00F57275"/>
    <w:rsid w:val="00F57284"/>
    <w:rsid w:val="00F57294"/>
    <w:rsid w:val="00F572A9"/>
    <w:rsid w:val="00F5734E"/>
    <w:rsid w:val="00F573DE"/>
    <w:rsid w:val="00F5740F"/>
    <w:rsid w:val="00F5742B"/>
    <w:rsid w:val="00F5745B"/>
    <w:rsid w:val="00F574BA"/>
    <w:rsid w:val="00F57527"/>
    <w:rsid w:val="00F5755E"/>
    <w:rsid w:val="00F577AB"/>
    <w:rsid w:val="00F577F2"/>
    <w:rsid w:val="00F57804"/>
    <w:rsid w:val="00F5785F"/>
    <w:rsid w:val="00F57868"/>
    <w:rsid w:val="00F57878"/>
    <w:rsid w:val="00F578BD"/>
    <w:rsid w:val="00F57901"/>
    <w:rsid w:val="00F57949"/>
    <w:rsid w:val="00F5794B"/>
    <w:rsid w:val="00F57994"/>
    <w:rsid w:val="00F579D7"/>
    <w:rsid w:val="00F579DB"/>
    <w:rsid w:val="00F57B34"/>
    <w:rsid w:val="00F57B61"/>
    <w:rsid w:val="00F57D17"/>
    <w:rsid w:val="00F57E09"/>
    <w:rsid w:val="00F57E15"/>
    <w:rsid w:val="00F57E4B"/>
    <w:rsid w:val="00F57E6B"/>
    <w:rsid w:val="00F57F1F"/>
    <w:rsid w:val="00F57FB6"/>
    <w:rsid w:val="00F60053"/>
    <w:rsid w:val="00F60057"/>
    <w:rsid w:val="00F600EF"/>
    <w:rsid w:val="00F601D1"/>
    <w:rsid w:val="00F60206"/>
    <w:rsid w:val="00F6021C"/>
    <w:rsid w:val="00F60242"/>
    <w:rsid w:val="00F6024C"/>
    <w:rsid w:val="00F602BF"/>
    <w:rsid w:val="00F602E6"/>
    <w:rsid w:val="00F602F5"/>
    <w:rsid w:val="00F60309"/>
    <w:rsid w:val="00F60351"/>
    <w:rsid w:val="00F603B8"/>
    <w:rsid w:val="00F603E8"/>
    <w:rsid w:val="00F6042D"/>
    <w:rsid w:val="00F605A7"/>
    <w:rsid w:val="00F605A8"/>
    <w:rsid w:val="00F605C1"/>
    <w:rsid w:val="00F605FE"/>
    <w:rsid w:val="00F60601"/>
    <w:rsid w:val="00F60631"/>
    <w:rsid w:val="00F6065A"/>
    <w:rsid w:val="00F6066E"/>
    <w:rsid w:val="00F60690"/>
    <w:rsid w:val="00F606ED"/>
    <w:rsid w:val="00F60743"/>
    <w:rsid w:val="00F6078A"/>
    <w:rsid w:val="00F607FF"/>
    <w:rsid w:val="00F6086F"/>
    <w:rsid w:val="00F608CD"/>
    <w:rsid w:val="00F60924"/>
    <w:rsid w:val="00F609A5"/>
    <w:rsid w:val="00F609EA"/>
    <w:rsid w:val="00F60A96"/>
    <w:rsid w:val="00F60ADD"/>
    <w:rsid w:val="00F60B0D"/>
    <w:rsid w:val="00F60B36"/>
    <w:rsid w:val="00F60B72"/>
    <w:rsid w:val="00F60B76"/>
    <w:rsid w:val="00F60BAB"/>
    <w:rsid w:val="00F60BB6"/>
    <w:rsid w:val="00F60C8B"/>
    <w:rsid w:val="00F60CAC"/>
    <w:rsid w:val="00F60CD9"/>
    <w:rsid w:val="00F60D17"/>
    <w:rsid w:val="00F60D64"/>
    <w:rsid w:val="00F60D83"/>
    <w:rsid w:val="00F60DCC"/>
    <w:rsid w:val="00F60E5E"/>
    <w:rsid w:val="00F60E64"/>
    <w:rsid w:val="00F60EB6"/>
    <w:rsid w:val="00F60F30"/>
    <w:rsid w:val="00F60F36"/>
    <w:rsid w:val="00F60FFA"/>
    <w:rsid w:val="00F610DD"/>
    <w:rsid w:val="00F61188"/>
    <w:rsid w:val="00F61211"/>
    <w:rsid w:val="00F61245"/>
    <w:rsid w:val="00F6124D"/>
    <w:rsid w:val="00F612A6"/>
    <w:rsid w:val="00F6137B"/>
    <w:rsid w:val="00F61399"/>
    <w:rsid w:val="00F613B0"/>
    <w:rsid w:val="00F61410"/>
    <w:rsid w:val="00F6145F"/>
    <w:rsid w:val="00F614AA"/>
    <w:rsid w:val="00F614B5"/>
    <w:rsid w:val="00F614D6"/>
    <w:rsid w:val="00F614E3"/>
    <w:rsid w:val="00F61515"/>
    <w:rsid w:val="00F615A7"/>
    <w:rsid w:val="00F615F5"/>
    <w:rsid w:val="00F61612"/>
    <w:rsid w:val="00F61622"/>
    <w:rsid w:val="00F61629"/>
    <w:rsid w:val="00F6162F"/>
    <w:rsid w:val="00F61680"/>
    <w:rsid w:val="00F6170B"/>
    <w:rsid w:val="00F6172D"/>
    <w:rsid w:val="00F61771"/>
    <w:rsid w:val="00F61777"/>
    <w:rsid w:val="00F61790"/>
    <w:rsid w:val="00F617AF"/>
    <w:rsid w:val="00F61891"/>
    <w:rsid w:val="00F618A0"/>
    <w:rsid w:val="00F618AA"/>
    <w:rsid w:val="00F618CC"/>
    <w:rsid w:val="00F618FE"/>
    <w:rsid w:val="00F619D2"/>
    <w:rsid w:val="00F61A1B"/>
    <w:rsid w:val="00F61A81"/>
    <w:rsid w:val="00F61BF1"/>
    <w:rsid w:val="00F61C43"/>
    <w:rsid w:val="00F61D3E"/>
    <w:rsid w:val="00F61E0E"/>
    <w:rsid w:val="00F61E8A"/>
    <w:rsid w:val="00F61EA9"/>
    <w:rsid w:val="00F61FC6"/>
    <w:rsid w:val="00F61FFF"/>
    <w:rsid w:val="00F6201B"/>
    <w:rsid w:val="00F62055"/>
    <w:rsid w:val="00F62080"/>
    <w:rsid w:val="00F62094"/>
    <w:rsid w:val="00F620BF"/>
    <w:rsid w:val="00F620E8"/>
    <w:rsid w:val="00F6212D"/>
    <w:rsid w:val="00F62197"/>
    <w:rsid w:val="00F62216"/>
    <w:rsid w:val="00F62228"/>
    <w:rsid w:val="00F6232C"/>
    <w:rsid w:val="00F62394"/>
    <w:rsid w:val="00F623B5"/>
    <w:rsid w:val="00F62606"/>
    <w:rsid w:val="00F6265E"/>
    <w:rsid w:val="00F6277C"/>
    <w:rsid w:val="00F627E3"/>
    <w:rsid w:val="00F627F6"/>
    <w:rsid w:val="00F6289D"/>
    <w:rsid w:val="00F628F5"/>
    <w:rsid w:val="00F62956"/>
    <w:rsid w:val="00F6297D"/>
    <w:rsid w:val="00F6299E"/>
    <w:rsid w:val="00F62A5C"/>
    <w:rsid w:val="00F62B19"/>
    <w:rsid w:val="00F62B59"/>
    <w:rsid w:val="00F62B8B"/>
    <w:rsid w:val="00F62C32"/>
    <w:rsid w:val="00F62C9C"/>
    <w:rsid w:val="00F62CCD"/>
    <w:rsid w:val="00F62CE8"/>
    <w:rsid w:val="00F62CF2"/>
    <w:rsid w:val="00F62D5C"/>
    <w:rsid w:val="00F62DD7"/>
    <w:rsid w:val="00F62F22"/>
    <w:rsid w:val="00F62FFB"/>
    <w:rsid w:val="00F63034"/>
    <w:rsid w:val="00F63074"/>
    <w:rsid w:val="00F63107"/>
    <w:rsid w:val="00F63193"/>
    <w:rsid w:val="00F6319E"/>
    <w:rsid w:val="00F63200"/>
    <w:rsid w:val="00F632BA"/>
    <w:rsid w:val="00F63305"/>
    <w:rsid w:val="00F6330A"/>
    <w:rsid w:val="00F6334A"/>
    <w:rsid w:val="00F63368"/>
    <w:rsid w:val="00F63403"/>
    <w:rsid w:val="00F63406"/>
    <w:rsid w:val="00F63457"/>
    <w:rsid w:val="00F6347E"/>
    <w:rsid w:val="00F634E7"/>
    <w:rsid w:val="00F63502"/>
    <w:rsid w:val="00F63518"/>
    <w:rsid w:val="00F6354E"/>
    <w:rsid w:val="00F6355C"/>
    <w:rsid w:val="00F6355E"/>
    <w:rsid w:val="00F6357F"/>
    <w:rsid w:val="00F636A9"/>
    <w:rsid w:val="00F636B4"/>
    <w:rsid w:val="00F6376D"/>
    <w:rsid w:val="00F637F3"/>
    <w:rsid w:val="00F63819"/>
    <w:rsid w:val="00F6388C"/>
    <w:rsid w:val="00F638B8"/>
    <w:rsid w:val="00F638EC"/>
    <w:rsid w:val="00F638EE"/>
    <w:rsid w:val="00F638FA"/>
    <w:rsid w:val="00F63918"/>
    <w:rsid w:val="00F63A19"/>
    <w:rsid w:val="00F63ABE"/>
    <w:rsid w:val="00F63B46"/>
    <w:rsid w:val="00F63B55"/>
    <w:rsid w:val="00F63BEC"/>
    <w:rsid w:val="00F63BFE"/>
    <w:rsid w:val="00F63C0D"/>
    <w:rsid w:val="00F63C16"/>
    <w:rsid w:val="00F63C75"/>
    <w:rsid w:val="00F63C7A"/>
    <w:rsid w:val="00F63E8A"/>
    <w:rsid w:val="00F63ED9"/>
    <w:rsid w:val="00F6404B"/>
    <w:rsid w:val="00F6405D"/>
    <w:rsid w:val="00F640AE"/>
    <w:rsid w:val="00F6412F"/>
    <w:rsid w:val="00F64271"/>
    <w:rsid w:val="00F642A7"/>
    <w:rsid w:val="00F64378"/>
    <w:rsid w:val="00F643A5"/>
    <w:rsid w:val="00F643A8"/>
    <w:rsid w:val="00F643EE"/>
    <w:rsid w:val="00F64402"/>
    <w:rsid w:val="00F64437"/>
    <w:rsid w:val="00F644C6"/>
    <w:rsid w:val="00F644D2"/>
    <w:rsid w:val="00F644E0"/>
    <w:rsid w:val="00F644F3"/>
    <w:rsid w:val="00F64596"/>
    <w:rsid w:val="00F645B2"/>
    <w:rsid w:val="00F6460B"/>
    <w:rsid w:val="00F646B2"/>
    <w:rsid w:val="00F6471A"/>
    <w:rsid w:val="00F64742"/>
    <w:rsid w:val="00F64756"/>
    <w:rsid w:val="00F64790"/>
    <w:rsid w:val="00F647F5"/>
    <w:rsid w:val="00F64812"/>
    <w:rsid w:val="00F64813"/>
    <w:rsid w:val="00F64881"/>
    <w:rsid w:val="00F6497F"/>
    <w:rsid w:val="00F649B5"/>
    <w:rsid w:val="00F64A4C"/>
    <w:rsid w:val="00F64A50"/>
    <w:rsid w:val="00F64A97"/>
    <w:rsid w:val="00F64AD1"/>
    <w:rsid w:val="00F64B8F"/>
    <w:rsid w:val="00F64B95"/>
    <w:rsid w:val="00F64BDD"/>
    <w:rsid w:val="00F64C21"/>
    <w:rsid w:val="00F64C4D"/>
    <w:rsid w:val="00F64CB8"/>
    <w:rsid w:val="00F64CD2"/>
    <w:rsid w:val="00F64D54"/>
    <w:rsid w:val="00F64DC4"/>
    <w:rsid w:val="00F64E0F"/>
    <w:rsid w:val="00F64E40"/>
    <w:rsid w:val="00F64E42"/>
    <w:rsid w:val="00F64EFE"/>
    <w:rsid w:val="00F65052"/>
    <w:rsid w:val="00F65053"/>
    <w:rsid w:val="00F650E5"/>
    <w:rsid w:val="00F650FE"/>
    <w:rsid w:val="00F65180"/>
    <w:rsid w:val="00F65322"/>
    <w:rsid w:val="00F653CF"/>
    <w:rsid w:val="00F653E2"/>
    <w:rsid w:val="00F653F2"/>
    <w:rsid w:val="00F653FF"/>
    <w:rsid w:val="00F65413"/>
    <w:rsid w:val="00F654A6"/>
    <w:rsid w:val="00F654F6"/>
    <w:rsid w:val="00F6557B"/>
    <w:rsid w:val="00F65681"/>
    <w:rsid w:val="00F65686"/>
    <w:rsid w:val="00F656A6"/>
    <w:rsid w:val="00F65721"/>
    <w:rsid w:val="00F6572C"/>
    <w:rsid w:val="00F657B2"/>
    <w:rsid w:val="00F657DB"/>
    <w:rsid w:val="00F65801"/>
    <w:rsid w:val="00F6587F"/>
    <w:rsid w:val="00F658A7"/>
    <w:rsid w:val="00F65999"/>
    <w:rsid w:val="00F659DE"/>
    <w:rsid w:val="00F65A38"/>
    <w:rsid w:val="00F65A85"/>
    <w:rsid w:val="00F65B47"/>
    <w:rsid w:val="00F65C32"/>
    <w:rsid w:val="00F65C39"/>
    <w:rsid w:val="00F65C67"/>
    <w:rsid w:val="00F65CD4"/>
    <w:rsid w:val="00F65D3F"/>
    <w:rsid w:val="00F65D55"/>
    <w:rsid w:val="00F65E14"/>
    <w:rsid w:val="00F65E65"/>
    <w:rsid w:val="00F65EEE"/>
    <w:rsid w:val="00F65F50"/>
    <w:rsid w:val="00F65FCC"/>
    <w:rsid w:val="00F660AF"/>
    <w:rsid w:val="00F660E7"/>
    <w:rsid w:val="00F66137"/>
    <w:rsid w:val="00F66307"/>
    <w:rsid w:val="00F66392"/>
    <w:rsid w:val="00F664B1"/>
    <w:rsid w:val="00F665A0"/>
    <w:rsid w:val="00F665FF"/>
    <w:rsid w:val="00F66630"/>
    <w:rsid w:val="00F6668E"/>
    <w:rsid w:val="00F6669A"/>
    <w:rsid w:val="00F6669F"/>
    <w:rsid w:val="00F666B8"/>
    <w:rsid w:val="00F6670D"/>
    <w:rsid w:val="00F66713"/>
    <w:rsid w:val="00F6671D"/>
    <w:rsid w:val="00F66853"/>
    <w:rsid w:val="00F668AB"/>
    <w:rsid w:val="00F668B8"/>
    <w:rsid w:val="00F66938"/>
    <w:rsid w:val="00F6696D"/>
    <w:rsid w:val="00F66ADB"/>
    <w:rsid w:val="00F66AE2"/>
    <w:rsid w:val="00F66B46"/>
    <w:rsid w:val="00F66BFE"/>
    <w:rsid w:val="00F66C2B"/>
    <w:rsid w:val="00F66D1D"/>
    <w:rsid w:val="00F66D2D"/>
    <w:rsid w:val="00F66D61"/>
    <w:rsid w:val="00F66D96"/>
    <w:rsid w:val="00F66E45"/>
    <w:rsid w:val="00F66ED2"/>
    <w:rsid w:val="00F66EEA"/>
    <w:rsid w:val="00F66F2A"/>
    <w:rsid w:val="00F66F49"/>
    <w:rsid w:val="00F670A1"/>
    <w:rsid w:val="00F670BC"/>
    <w:rsid w:val="00F670E2"/>
    <w:rsid w:val="00F67163"/>
    <w:rsid w:val="00F67234"/>
    <w:rsid w:val="00F6727E"/>
    <w:rsid w:val="00F672A2"/>
    <w:rsid w:val="00F672D7"/>
    <w:rsid w:val="00F673FA"/>
    <w:rsid w:val="00F6741E"/>
    <w:rsid w:val="00F6743B"/>
    <w:rsid w:val="00F67481"/>
    <w:rsid w:val="00F674C3"/>
    <w:rsid w:val="00F674CF"/>
    <w:rsid w:val="00F6752A"/>
    <w:rsid w:val="00F67551"/>
    <w:rsid w:val="00F675FA"/>
    <w:rsid w:val="00F67603"/>
    <w:rsid w:val="00F6764B"/>
    <w:rsid w:val="00F67763"/>
    <w:rsid w:val="00F677A1"/>
    <w:rsid w:val="00F67819"/>
    <w:rsid w:val="00F678E5"/>
    <w:rsid w:val="00F6799F"/>
    <w:rsid w:val="00F67A6F"/>
    <w:rsid w:val="00F67A7A"/>
    <w:rsid w:val="00F67C01"/>
    <w:rsid w:val="00F67C39"/>
    <w:rsid w:val="00F67C9B"/>
    <w:rsid w:val="00F67D3C"/>
    <w:rsid w:val="00F67D4E"/>
    <w:rsid w:val="00F67DF6"/>
    <w:rsid w:val="00F67DFA"/>
    <w:rsid w:val="00F67DFD"/>
    <w:rsid w:val="00F67E03"/>
    <w:rsid w:val="00F67E05"/>
    <w:rsid w:val="00F67F0C"/>
    <w:rsid w:val="00F67F81"/>
    <w:rsid w:val="00F7013A"/>
    <w:rsid w:val="00F70141"/>
    <w:rsid w:val="00F7021C"/>
    <w:rsid w:val="00F7022A"/>
    <w:rsid w:val="00F70278"/>
    <w:rsid w:val="00F702CC"/>
    <w:rsid w:val="00F702D1"/>
    <w:rsid w:val="00F7040B"/>
    <w:rsid w:val="00F7042B"/>
    <w:rsid w:val="00F70485"/>
    <w:rsid w:val="00F704B5"/>
    <w:rsid w:val="00F705E6"/>
    <w:rsid w:val="00F706AB"/>
    <w:rsid w:val="00F706E8"/>
    <w:rsid w:val="00F707E0"/>
    <w:rsid w:val="00F70877"/>
    <w:rsid w:val="00F709F7"/>
    <w:rsid w:val="00F70A02"/>
    <w:rsid w:val="00F70A1B"/>
    <w:rsid w:val="00F70A3D"/>
    <w:rsid w:val="00F70A90"/>
    <w:rsid w:val="00F70B38"/>
    <w:rsid w:val="00F70BC9"/>
    <w:rsid w:val="00F70BD8"/>
    <w:rsid w:val="00F70C2B"/>
    <w:rsid w:val="00F70CBB"/>
    <w:rsid w:val="00F70CC9"/>
    <w:rsid w:val="00F70D05"/>
    <w:rsid w:val="00F70D14"/>
    <w:rsid w:val="00F70D60"/>
    <w:rsid w:val="00F70E23"/>
    <w:rsid w:val="00F70EB4"/>
    <w:rsid w:val="00F70EEE"/>
    <w:rsid w:val="00F7104F"/>
    <w:rsid w:val="00F711FC"/>
    <w:rsid w:val="00F71302"/>
    <w:rsid w:val="00F71324"/>
    <w:rsid w:val="00F7137A"/>
    <w:rsid w:val="00F71387"/>
    <w:rsid w:val="00F71388"/>
    <w:rsid w:val="00F71394"/>
    <w:rsid w:val="00F713AA"/>
    <w:rsid w:val="00F713B0"/>
    <w:rsid w:val="00F71464"/>
    <w:rsid w:val="00F7146C"/>
    <w:rsid w:val="00F714B2"/>
    <w:rsid w:val="00F71600"/>
    <w:rsid w:val="00F71606"/>
    <w:rsid w:val="00F71632"/>
    <w:rsid w:val="00F71684"/>
    <w:rsid w:val="00F7169D"/>
    <w:rsid w:val="00F716A2"/>
    <w:rsid w:val="00F716B7"/>
    <w:rsid w:val="00F71704"/>
    <w:rsid w:val="00F7177B"/>
    <w:rsid w:val="00F7177C"/>
    <w:rsid w:val="00F717B2"/>
    <w:rsid w:val="00F717DF"/>
    <w:rsid w:val="00F71814"/>
    <w:rsid w:val="00F718A9"/>
    <w:rsid w:val="00F718F0"/>
    <w:rsid w:val="00F7193A"/>
    <w:rsid w:val="00F71986"/>
    <w:rsid w:val="00F719E6"/>
    <w:rsid w:val="00F71A84"/>
    <w:rsid w:val="00F71A97"/>
    <w:rsid w:val="00F71A9F"/>
    <w:rsid w:val="00F71AC8"/>
    <w:rsid w:val="00F71B75"/>
    <w:rsid w:val="00F71B84"/>
    <w:rsid w:val="00F71BA8"/>
    <w:rsid w:val="00F71BC9"/>
    <w:rsid w:val="00F71BCA"/>
    <w:rsid w:val="00F71BE4"/>
    <w:rsid w:val="00F71C0D"/>
    <w:rsid w:val="00F71C65"/>
    <w:rsid w:val="00F71EB8"/>
    <w:rsid w:val="00F71EF2"/>
    <w:rsid w:val="00F71EF4"/>
    <w:rsid w:val="00F71F7C"/>
    <w:rsid w:val="00F71FB7"/>
    <w:rsid w:val="00F71FDA"/>
    <w:rsid w:val="00F72043"/>
    <w:rsid w:val="00F72077"/>
    <w:rsid w:val="00F7207F"/>
    <w:rsid w:val="00F720B6"/>
    <w:rsid w:val="00F720CA"/>
    <w:rsid w:val="00F72131"/>
    <w:rsid w:val="00F72171"/>
    <w:rsid w:val="00F7224F"/>
    <w:rsid w:val="00F72283"/>
    <w:rsid w:val="00F7233E"/>
    <w:rsid w:val="00F72347"/>
    <w:rsid w:val="00F72423"/>
    <w:rsid w:val="00F7245B"/>
    <w:rsid w:val="00F72462"/>
    <w:rsid w:val="00F724DA"/>
    <w:rsid w:val="00F72615"/>
    <w:rsid w:val="00F72625"/>
    <w:rsid w:val="00F72654"/>
    <w:rsid w:val="00F7266F"/>
    <w:rsid w:val="00F726E0"/>
    <w:rsid w:val="00F72730"/>
    <w:rsid w:val="00F7274B"/>
    <w:rsid w:val="00F72836"/>
    <w:rsid w:val="00F72853"/>
    <w:rsid w:val="00F728D2"/>
    <w:rsid w:val="00F72918"/>
    <w:rsid w:val="00F729C4"/>
    <w:rsid w:val="00F72A5D"/>
    <w:rsid w:val="00F72A6F"/>
    <w:rsid w:val="00F72B73"/>
    <w:rsid w:val="00F72B74"/>
    <w:rsid w:val="00F72B8B"/>
    <w:rsid w:val="00F72BCD"/>
    <w:rsid w:val="00F72BF5"/>
    <w:rsid w:val="00F72D2F"/>
    <w:rsid w:val="00F72DCD"/>
    <w:rsid w:val="00F72E3B"/>
    <w:rsid w:val="00F72EFB"/>
    <w:rsid w:val="00F72F7B"/>
    <w:rsid w:val="00F72F80"/>
    <w:rsid w:val="00F72FAF"/>
    <w:rsid w:val="00F72FB5"/>
    <w:rsid w:val="00F73033"/>
    <w:rsid w:val="00F730D0"/>
    <w:rsid w:val="00F73135"/>
    <w:rsid w:val="00F73284"/>
    <w:rsid w:val="00F732B0"/>
    <w:rsid w:val="00F73393"/>
    <w:rsid w:val="00F7342C"/>
    <w:rsid w:val="00F7345B"/>
    <w:rsid w:val="00F7350E"/>
    <w:rsid w:val="00F73524"/>
    <w:rsid w:val="00F736D4"/>
    <w:rsid w:val="00F7371E"/>
    <w:rsid w:val="00F7372E"/>
    <w:rsid w:val="00F73911"/>
    <w:rsid w:val="00F739E0"/>
    <w:rsid w:val="00F739E5"/>
    <w:rsid w:val="00F739FE"/>
    <w:rsid w:val="00F73A6A"/>
    <w:rsid w:val="00F73AC7"/>
    <w:rsid w:val="00F73B58"/>
    <w:rsid w:val="00F73BA0"/>
    <w:rsid w:val="00F73BBF"/>
    <w:rsid w:val="00F73BE5"/>
    <w:rsid w:val="00F73BE8"/>
    <w:rsid w:val="00F73D0C"/>
    <w:rsid w:val="00F73D86"/>
    <w:rsid w:val="00F73E1F"/>
    <w:rsid w:val="00F73E2B"/>
    <w:rsid w:val="00F73EE2"/>
    <w:rsid w:val="00F73F2A"/>
    <w:rsid w:val="00F73F99"/>
    <w:rsid w:val="00F73FE1"/>
    <w:rsid w:val="00F74061"/>
    <w:rsid w:val="00F7419C"/>
    <w:rsid w:val="00F7419F"/>
    <w:rsid w:val="00F7425B"/>
    <w:rsid w:val="00F743D5"/>
    <w:rsid w:val="00F743EF"/>
    <w:rsid w:val="00F7452D"/>
    <w:rsid w:val="00F74551"/>
    <w:rsid w:val="00F745D0"/>
    <w:rsid w:val="00F74621"/>
    <w:rsid w:val="00F746C8"/>
    <w:rsid w:val="00F74703"/>
    <w:rsid w:val="00F74745"/>
    <w:rsid w:val="00F747DD"/>
    <w:rsid w:val="00F7482B"/>
    <w:rsid w:val="00F7487F"/>
    <w:rsid w:val="00F748B6"/>
    <w:rsid w:val="00F7495E"/>
    <w:rsid w:val="00F74978"/>
    <w:rsid w:val="00F749C9"/>
    <w:rsid w:val="00F749DE"/>
    <w:rsid w:val="00F74A83"/>
    <w:rsid w:val="00F74B56"/>
    <w:rsid w:val="00F74C00"/>
    <w:rsid w:val="00F74C31"/>
    <w:rsid w:val="00F74C34"/>
    <w:rsid w:val="00F74C6F"/>
    <w:rsid w:val="00F74CB1"/>
    <w:rsid w:val="00F74D0A"/>
    <w:rsid w:val="00F74D79"/>
    <w:rsid w:val="00F74D99"/>
    <w:rsid w:val="00F74DB1"/>
    <w:rsid w:val="00F74E8B"/>
    <w:rsid w:val="00F74EA0"/>
    <w:rsid w:val="00F74ED4"/>
    <w:rsid w:val="00F74F04"/>
    <w:rsid w:val="00F74F50"/>
    <w:rsid w:val="00F74F8B"/>
    <w:rsid w:val="00F75024"/>
    <w:rsid w:val="00F75078"/>
    <w:rsid w:val="00F750A9"/>
    <w:rsid w:val="00F750BA"/>
    <w:rsid w:val="00F75137"/>
    <w:rsid w:val="00F751E2"/>
    <w:rsid w:val="00F7529D"/>
    <w:rsid w:val="00F75315"/>
    <w:rsid w:val="00F75316"/>
    <w:rsid w:val="00F75346"/>
    <w:rsid w:val="00F7539B"/>
    <w:rsid w:val="00F753FD"/>
    <w:rsid w:val="00F75406"/>
    <w:rsid w:val="00F754AD"/>
    <w:rsid w:val="00F755D5"/>
    <w:rsid w:val="00F756EF"/>
    <w:rsid w:val="00F75721"/>
    <w:rsid w:val="00F75727"/>
    <w:rsid w:val="00F7572F"/>
    <w:rsid w:val="00F7575C"/>
    <w:rsid w:val="00F75798"/>
    <w:rsid w:val="00F75799"/>
    <w:rsid w:val="00F757A2"/>
    <w:rsid w:val="00F75847"/>
    <w:rsid w:val="00F75881"/>
    <w:rsid w:val="00F75885"/>
    <w:rsid w:val="00F758EC"/>
    <w:rsid w:val="00F75905"/>
    <w:rsid w:val="00F75AC9"/>
    <w:rsid w:val="00F75AE8"/>
    <w:rsid w:val="00F75B5B"/>
    <w:rsid w:val="00F75B67"/>
    <w:rsid w:val="00F75C2B"/>
    <w:rsid w:val="00F75D0C"/>
    <w:rsid w:val="00F75D8D"/>
    <w:rsid w:val="00F75DAF"/>
    <w:rsid w:val="00F75DCA"/>
    <w:rsid w:val="00F75E21"/>
    <w:rsid w:val="00F75EB1"/>
    <w:rsid w:val="00F75EBD"/>
    <w:rsid w:val="00F760E7"/>
    <w:rsid w:val="00F76217"/>
    <w:rsid w:val="00F76232"/>
    <w:rsid w:val="00F762F3"/>
    <w:rsid w:val="00F76329"/>
    <w:rsid w:val="00F76346"/>
    <w:rsid w:val="00F76388"/>
    <w:rsid w:val="00F7638C"/>
    <w:rsid w:val="00F76394"/>
    <w:rsid w:val="00F76406"/>
    <w:rsid w:val="00F76514"/>
    <w:rsid w:val="00F7656A"/>
    <w:rsid w:val="00F76572"/>
    <w:rsid w:val="00F76582"/>
    <w:rsid w:val="00F7659D"/>
    <w:rsid w:val="00F76627"/>
    <w:rsid w:val="00F766A7"/>
    <w:rsid w:val="00F766BB"/>
    <w:rsid w:val="00F766E1"/>
    <w:rsid w:val="00F767E1"/>
    <w:rsid w:val="00F76866"/>
    <w:rsid w:val="00F768A7"/>
    <w:rsid w:val="00F768E6"/>
    <w:rsid w:val="00F7696B"/>
    <w:rsid w:val="00F76999"/>
    <w:rsid w:val="00F769DE"/>
    <w:rsid w:val="00F76AF0"/>
    <w:rsid w:val="00F76B0C"/>
    <w:rsid w:val="00F76B3C"/>
    <w:rsid w:val="00F76B45"/>
    <w:rsid w:val="00F76B59"/>
    <w:rsid w:val="00F76B95"/>
    <w:rsid w:val="00F76C33"/>
    <w:rsid w:val="00F76C36"/>
    <w:rsid w:val="00F76CCA"/>
    <w:rsid w:val="00F76D38"/>
    <w:rsid w:val="00F76D40"/>
    <w:rsid w:val="00F76DD1"/>
    <w:rsid w:val="00F76E2B"/>
    <w:rsid w:val="00F76EF5"/>
    <w:rsid w:val="00F76F16"/>
    <w:rsid w:val="00F76F50"/>
    <w:rsid w:val="00F76FB3"/>
    <w:rsid w:val="00F76FD8"/>
    <w:rsid w:val="00F77068"/>
    <w:rsid w:val="00F770FE"/>
    <w:rsid w:val="00F7712F"/>
    <w:rsid w:val="00F77136"/>
    <w:rsid w:val="00F7718A"/>
    <w:rsid w:val="00F771D9"/>
    <w:rsid w:val="00F77208"/>
    <w:rsid w:val="00F77224"/>
    <w:rsid w:val="00F772FE"/>
    <w:rsid w:val="00F7734B"/>
    <w:rsid w:val="00F7738C"/>
    <w:rsid w:val="00F77422"/>
    <w:rsid w:val="00F7745A"/>
    <w:rsid w:val="00F7746F"/>
    <w:rsid w:val="00F775A3"/>
    <w:rsid w:val="00F775B1"/>
    <w:rsid w:val="00F776AE"/>
    <w:rsid w:val="00F7773C"/>
    <w:rsid w:val="00F7779D"/>
    <w:rsid w:val="00F7786C"/>
    <w:rsid w:val="00F77892"/>
    <w:rsid w:val="00F778F7"/>
    <w:rsid w:val="00F778FC"/>
    <w:rsid w:val="00F77920"/>
    <w:rsid w:val="00F77931"/>
    <w:rsid w:val="00F77940"/>
    <w:rsid w:val="00F77942"/>
    <w:rsid w:val="00F7796C"/>
    <w:rsid w:val="00F77981"/>
    <w:rsid w:val="00F77B4D"/>
    <w:rsid w:val="00F77BB5"/>
    <w:rsid w:val="00F77BBA"/>
    <w:rsid w:val="00F77BD3"/>
    <w:rsid w:val="00F77BEE"/>
    <w:rsid w:val="00F77C3D"/>
    <w:rsid w:val="00F77D36"/>
    <w:rsid w:val="00F77DC4"/>
    <w:rsid w:val="00F77E74"/>
    <w:rsid w:val="00F77ED7"/>
    <w:rsid w:val="00F77F6A"/>
    <w:rsid w:val="00F77FA5"/>
    <w:rsid w:val="00F800BA"/>
    <w:rsid w:val="00F80100"/>
    <w:rsid w:val="00F8019E"/>
    <w:rsid w:val="00F801A8"/>
    <w:rsid w:val="00F801EB"/>
    <w:rsid w:val="00F80282"/>
    <w:rsid w:val="00F803BF"/>
    <w:rsid w:val="00F8045C"/>
    <w:rsid w:val="00F80469"/>
    <w:rsid w:val="00F8047E"/>
    <w:rsid w:val="00F8050D"/>
    <w:rsid w:val="00F80574"/>
    <w:rsid w:val="00F80587"/>
    <w:rsid w:val="00F805AB"/>
    <w:rsid w:val="00F805C9"/>
    <w:rsid w:val="00F806C0"/>
    <w:rsid w:val="00F80765"/>
    <w:rsid w:val="00F80783"/>
    <w:rsid w:val="00F807D3"/>
    <w:rsid w:val="00F8091B"/>
    <w:rsid w:val="00F80953"/>
    <w:rsid w:val="00F80981"/>
    <w:rsid w:val="00F809D1"/>
    <w:rsid w:val="00F809E0"/>
    <w:rsid w:val="00F80B93"/>
    <w:rsid w:val="00F80D14"/>
    <w:rsid w:val="00F80D7A"/>
    <w:rsid w:val="00F80EBA"/>
    <w:rsid w:val="00F80EC5"/>
    <w:rsid w:val="00F80ECD"/>
    <w:rsid w:val="00F80F2D"/>
    <w:rsid w:val="00F80F7D"/>
    <w:rsid w:val="00F80FB0"/>
    <w:rsid w:val="00F80FCC"/>
    <w:rsid w:val="00F80FE4"/>
    <w:rsid w:val="00F81009"/>
    <w:rsid w:val="00F81019"/>
    <w:rsid w:val="00F81032"/>
    <w:rsid w:val="00F810B2"/>
    <w:rsid w:val="00F810B4"/>
    <w:rsid w:val="00F810D9"/>
    <w:rsid w:val="00F8114F"/>
    <w:rsid w:val="00F81150"/>
    <w:rsid w:val="00F81225"/>
    <w:rsid w:val="00F81229"/>
    <w:rsid w:val="00F81231"/>
    <w:rsid w:val="00F81245"/>
    <w:rsid w:val="00F81298"/>
    <w:rsid w:val="00F812AA"/>
    <w:rsid w:val="00F8133B"/>
    <w:rsid w:val="00F81446"/>
    <w:rsid w:val="00F814A1"/>
    <w:rsid w:val="00F814B9"/>
    <w:rsid w:val="00F81509"/>
    <w:rsid w:val="00F8156A"/>
    <w:rsid w:val="00F81595"/>
    <w:rsid w:val="00F8165C"/>
    <w:rsid w:val="00F81687"/>
    <w:rsid w:val="00F816EF"/>
    <w:rsid w:val="00F817C9"/>
    <w:rsid w:val="00F81854"/>
    <w:rsid w:val="00F8185F"/>
    <w:rsid w:val="00F818A6"/>
    <w:rsid w:val="00F818AC"/>
    <w:rsid w:val="00F818B8"/>
    <w:rsid w:val="00F8194A"/>
    <w:rsid w:val="00F81958"/>
    <w:rsid w:val="00F81978"/>
    <w:rsid w:val="00F819C4"/>
    <w:rsid w:val="00F81A01"/>
    <w:rsid w:val="00F81A46"/>
    <w:rsid w:val="00F81A5A"/>
    <w:rsid w:val="00F81A61"/>
    <w:rsid w:val="00F81B2B"/>
    <w:rsid w:val="00F81B48"/>
    <w:rsid w:val="00F81B52"/>
    <w:rsid w:val="00F81B70"/>
    <w:rsid w:val="00F81B7B"/>
    <w:rsid w:val="00F81BB7"/>
    <w:rsid w:val="00F81BBB"/>
    <w:rsid w:val="00F81BF3"/>
    <w:rsid w:val="00F81C9D"/>
    <w:rsid w:val="00F81E91"/>
    <w:rsid w:val="00F81EE6"/>
    <w:rsid w:val="00F8209A"/>
    <w:rsid w:val="00F820DF"/>
    <w:rsid w:val="00F82102"/>
    <w:rsid w:val="00F82153"/>
    <w:rsid w:val="00F82162"/>
    <w:rsid w:val="00F82253"/>
    <w:rsid w:val="00F822A7"/>
    <w:rsid w:val="00F822BF"/>
    <w:rsid w:val="00F82308"/>
    <w:rsid w:val="00F8233E"/>
    <w:rsid w:val="00F82366"/>
    <w:rsid w:val="00F823BC"/>
    <w:rsid w:val="00F8249E"/>
    <w:rsid w:val="00F824FA"/>
    <w:rsid w:val="00F8251A"/>
    <w:rsid w:val="00F82529"/>
    <w:rsid w:val="00F8254F"/>
    <w:rsid w:val="00F825BD"/>
    <w:rsid w:val="00F8260C"/>
    <w:rsid w:val="00F82630"/>
    <w:rsid w:val="00F8273C"/>
    <w:rsid w:val="00F8279D"/>
    <w:rsid w:val="00F827B2"/>
    <w:rsid w:val="00F82872"/>
    <w:rsid w:val="00F828E5"/>
    <w:rsid w:val="00F82908"/>
    <w:rsid w:val="00F8292F"/>
    <w:rsid w:val="00F8296D"/>
    <w:rsid w:val="00F82986"/>
    <w:rsid w:val="00F82A91"/>
    <w:rsid w:val="00F82AB1"/>
    <w:rsid w:val="00F82B03"/>
    <w:rsid w:val="00F82B47"/>
    <w:rsid w:val="00F82C2A"/>
    <w:rsid w:val="00F82C2F"/>
    <w:rsid w:val="00F82C67"/>
    <w:rsid w:val="00F82DE0"/>
    <w:rsid w:val="00F82E4D"/>
    <w:rsid w:val="00F82EC8"/>
    <w:rsid w:val="00F82EC9"/>
    <w:rsid w:val="00F82ECA"/>
    <w:rsid w:val="00F82F3D"/>
    <w:rsid w:val="00F82F55"/>
    <w:rsid w:val="00F82F61"/>
    <w:rsid w:val="00F82F96"/>
    <w:rsid w:val="00F8301E"/>
    <w:rsid w:val="00F83025"/>
    <w:rsid w:val="00F83026"/>
    <w:rsid w:val="00F8302F"/>
    <w:rsid w:val="00F8304F"/>
    <w:rsid w:val="00F83055"/>
    <w:rsid w:val="00F83123"/>
    <w:rsid w:val="00F83193"/>
    <w:rsid w:val="00F831BD"/>
    <w:rsid w:val="00F8321F"/>
    <w:rsid w:val="00F83261"/>
    <w:rsid w:val="00F83278"/>
    <w:rsid w:val="00F832BD"/>
    <w:rsid w:val="00F833B6"/>
    <w:rsid w:val="00F83400"/>
    <w:rsid w:val="00F834A9"/>
    <w:rsid w:val="00F834CC"/>
    <w:rsid w:val="00F834DC"/>
    <w:rsid w:val="00F834FA"/>
    <w:rsid w:val="00F83637"/>
    <w:rsid w:val="00F836E5"/>
    <w:rsid w:val="00F8376F"/>
    <w:rsid w:val="00F837A3"/>
    <w:rsid w:val="00F837CF"/>
    <w:rsid w:val="00F838B8"/>
    <w:rsid w:val="00F83941"/>
    <w:rsid w:val="00F83949"/>
    <w:rsid w:val="00F83984"/>
    <w:rsid w:val="00F83A31"/>
    <w:rsid w:val="00F83A4B"/>
    <w:rsid w:val="00F83A90"/>
    <w:rsid w:val="00F83B3D"/>
    <w:rsid w:val="00F83B67"/>
    <w:rsid w:val="00F83BC5"/>
    <w:rsid w:val="00F83BF3"/>
    <w:rsid w:val="00F83C69"/>
    <w:rsid w:val="00F83C8E"/>
    <w:rsid w:val="00F83D1C"/>
    <w:rsid w:val="00F83D47"/>
    <w:rsid w:val="00F83D82"/>
    <w:rsid w:val="00F83E2D"/>
    <w:rsid w:val="00F83E92"/>
    <w:rsid w:val="00F83EA1"/>
    <w:rsid w:val="00F83EC1"/>
    <w:rsid w:val="00F83EF2"/>
    <w:rsid w:val="00F83F4E"/>
    <w:rsid w:val="00F84043"/>
    <w:rsid w:val="00F8408A"/>
    <w:rsid w:val="00F84097"/>
    <w:rsid w:val="00F84119"/>
    <w:rsid w:val="00F8412D"/>
    <w:rsid w:val="00F841AB"/>
    <w:rsid w:val="00F84221"/>
    <w:rsid w:val="00F8427E"/>
    <w:rsid w:val="00F842AB"/>
    <w:rsid w:val="00F84365"/>
    <w:rsid w:val="00F843EE"/>
    <w:rsid w:val="00F8441F"/>
    <w:rsid w:val="00F844F7"/>
    <w:rsid w:val="00F844FF"/>
    <w:rsid w:val="00F845B5"/>
    <w:rsid w:val="00F845BA"/>
    <w:rsid w:val="00F8462A"/>
    <w:rsid w:val="00F84672"/>
    <w:rsid w:val="00F84753"/>
    <w:rsid w:val="00F8476B"/>
    <w:rsid w:val="00F8478F"/>
    <w:rsid w:val="00F84798"/>
    <w:rsid w:val="00F84830"/>
    <w:rsid w:val="00F848C9"/>
    <w:rsid w:val="00F84954"/>
    <w:rsid w:val="00F84979"/>
    <w:rsid w:val="00F84A2E"/>
    <w:rsid w:val="00F84AA5"/>
    <w:rsid w:val="00F84B2E"/>
    <w:rsid w:val="00F84B7D"/>
    <w:rsid w:val="00F84BA1"/>
    <w:rsid w:val="00F84C70"/>
    <w:rsid w:val="00F84CC9"/>
    <w:rsid w:val="00F84D0E"/>
    <w:rsid w:val="00F84D13"/>
    <w:rsid w:val="00F84D5F"/>
    <w:rsid w:val="00F84D99"/>
    <w:rsid w:val="00F84DB7"/>
    <w:rsid w:val="00F84E98"/>
    <w:rsid w:val="00F84EBF"/>
    <w:rsid w:val="00F84F25"/>
    <w:rsid w:val="00F84FB3"/>
    <w:rsid w:val="00F85064"/>
    <w:rsid w:val="00F85211"/>
    <w:rsid w:val="00F85246"/>
    <w:rsid w:val="00F8526C"/>
    <w:rsid w:val="00F8528F"/>
    <w:rsid w:val="00F8534E"/>
    <w:rsid w:val="00F853ED"/>
    <w:rsid w:val="00F853F6"/>
    <w:rsid w:val="00F853FE"/>
    <w:rsid w:val="00F854B9"/>
    <w:rsid w:val="00F854F9"/>
    <w:rsid w:val="00F85529"/>
    <w:rsid w:val="00F85597"/>
    <w:rsid w:val="00F8561E"/>
    <w:rsid w:val="00F85668"/>
    <w:rsid w:val="00F856C3"/>
    <w:rsid w:val="00F856D8"/>
    <w:rsid w:val="00F856EF"/>
    <w:rsid w:val="00F85793"/>
    <w:rsid w:val="00F857D1"/>
    <w:rsid w:val="00F85800"/>
    <w:rsid w:val="00F8584F"/>
    <w:rsid w:val="00F85854"/>
    <w:rsid w:val="00F8587C"/>
    <w:rsid w:val="00F8592A"/>
    <w:rsid w:val="00F85965"/>
    <w:rsid w:val="00F859A5"/>
    <w:rsid w:val="00F85A0F"/>
    <w:rsid w:val="00F85A48"/>
    <w:rsid w:val="00F85B2F"/>
    <w:rsid w:val="00F85BC2"/>
    <w:rsid w:val="00F85BE4"/>
    <w:rsid w:val="00F85BF5"/>
    <w:rsid w:val="00F85C07"/>
    <w:rsid w:val="00F85C59"/>
    <w:rsid w:val="00F85C82"/>
    <w:rsid w:val="00F85C90"/>
    <w:rsid w:val="00F85D51"/>
    <w:rsid w:val="00F85D86"/>
    <w:rsid w:val="00F85D8E"/>
    <w:rsid w:val="00F85DAE"/>
    <w:rsid w:val="00F85E46"/>
    <w:rsid w:val="00F85E57"/>
    <w:rsid w:val="00F85E70"/>
    <w:rsid w:val="00F85E7D"/>
    <w:rsid w:val="00F85E8D"/>
    <w:rsid w:val="00F85F33"/>
    <w:rsid w:val="00F85F9B"/>
    <w:rsid w:val="00F85F9D"/>
    <w:rsid w:val="00F85F9F"/>
    <w:rsid w:val="00F86031"/>
    <w:rsid w:val="00F86039"/>
    <w:rsid w:val="00F860BC"/>
    <w:rsid w:val="00F86103"/>
    <w:rsid w:val="00F86153"/>
    <w:rsid w:val="00F86189"/>
    <w:rsid w:val="00F86214"/>
    <w:rsid w:val="00F8625A"/>
    <w:rsid w:val="00F8626B"/>
    <w:rsid w:val="00F862BC"/>
    <w:rsid w:val="00F862FC"/>
    <w:rsid w:val="00F86302"/>
    <w:rsid w:val="00F863BE"/>
    <w:rsid w:val="00F863D5"/>
    <w:rsid w:val="00F86423"/>
    <w:rsid w:val="00F86448"/>
    <w:rsid w:val="00F86508"/>
    <w:rsid w:val="00F865C9"/>
    <w:rsid w:val="00F865F0"/>
    <w:rsid w:val="00F86841"/>
    <w:rsid w:val="00F868A8"/>
    <w:rsid w:val="00F86934"/>
    <w:rsid w:val="00F8699F"/>
    <w:rsid w:val="00F869B7"/>
    <w:rsid w:val="00F86A1F"/>
    <w:rsid w:val="00F86A67"/>
    <w:rsid w:val="00F86AD4"/>
    <w:rsid w:val="00F86AFD"/>
    <w:rsid w:val="00F86B98"/>
    <w:rsid w:val="00F86C00"/>
    <w:rsid w:val="00F86C7A"/>
    <w:rsid w:val="00F86CAB"/>
    <w:rsid w:val="00F86CF3"/>
    <w:rsid w:val="00F86D26"/>
    <w:rsid w:val="00F86D2B"/>
    <w:rsid w:val="00F86D60"/>
    <w:rsid w:val="00F86DBA"/>
    <w:rsid w:val="00F86DEB"/>
    <w:rsid w:val="00F86DEF"/>
    <w:rsid w:val="00F86E65"/>
    <w:rsid w:val="00F86E71"/>
    <w:rsid w:val="00F86EF2"/>
    <w:rsid w:val="00F86F21"/>
    <w:rsid w:val="00F86F4D"/>
    <w:rsid w:val="00F87055"/>
    <w:rsid w:val="00F87095"/>
    <w:rsid w:val="00F870C5"/>
    <w:rsid w:val="00F870DA"/>
    <w:rsid w:val="00F8717B"/>
    <w:rsid w:val="00F8719D"/>
    <w:rsid w:val="00F871BE"/>
    <w:rsid w:val="00F871C6"/>
    <w:rsid w:val="00F87202"/>
    <w:rsid w:val="00F87270"/>
    <w:rsid w:val="00F872C3"/>
    <w:rsid w:val="00F87325"/>
    <w:rsid w:val="00F873AF"/>
    <w:rsid w:val="00F873C6"/>
    <w:rsid w:val="00F873C9"/>
    <w:rsid w:val="00F873F4"/>
    <w:rsid w:val="00F87411"/>
    <w:rsid w:val="00F8744D"/>
    <w:rsid w:val="00F8745A"/>
    <w:rsid w:val="00F87489"/>
    <w:rsid w:val="00F874FB"/>
    <w:rsid w:val="00F8755F"/>
    <w:rsid w:val="00F87579"/>
    <w:rsid w:val="00F875E9"/>
    <w:rsid w:val="00F87631"/>
    <w:rsid w:val="00F87670"/>
    <w:rsid w:val="00F87769"/>
    <w:rsid w:val="00F877F4"/>
    <w:rsid w:val="00F87810"/>
    <w:rsid w:val="00F87822"/>
    <w:rsid w:val="00F8783A"/>
    <w:rsid w:val="00F87919"/>
    <w:rsid w:val="00F87929"/>
    <w:rsid w:val="00F87A28"/>
    <w:rsid w:val="00F87A3D"/>
    <w:rsid w:val="00F87A6C"/>
    <w:rsid w:val="00F87AFC"/>
    <w:rsid w:val="00F87B59"/>
    <w:rsid w:val="00F87B9B"/>
    <w:rsid w:val="00F87CE1"/>
    <w:rsid w:val="00F87D28"/>
    <w:rsid w:val="00F87D6D"/>
    <w:rsid w:val="00F87D79"/>
    <w:rsid w:val="00F87DAA"/>
    <w:rsid w:val="00F87E04"/>
    <w:rsid w:val="00F87E52"/>
    <w:rsid w:val="00F87E9E"/>
    <w:rsid w:val="00F87F28"/>
    <w:rsid w:val="00F87F3A"/>
    <w:rsid w:val="00F87F9A"/>
    <w:rsid w:val="00F87FBF"/>
    <w:rsid w:val="00F87FEE"/>
    <w:rsid w:val="00F90012"/>
    <w:rsid w:val="00F90025"/>
    <w:rsid w:val="00F9006C"/>
    <w:rsid w:val="00F9006D"/>
    <w:rsid w:val="00F900C0"/>
    <w:rsid w:val="00F900C9"/>
    <w:rsid w:val="00F900E9"/>
    <w:rsid w:val="00F9010F"/>
    <w:rsid w:val="00F9020C"/>
    <w:rsid w:val="00F9022B"/>
    <w:rsid w:val="00F90233"/>
    <w:rsid w:val="00F90339"/>
    <w:rsid w:val="00F9036C"/>
    <w:rsid w:val="00F90440"/>
    <w:rsid w:val="00F90473"/>
    <w:rsid w:val="00F90487"/>
    <w:rsid w:val="00F904E1"/>
    <w:rsid w:val="00F9062F"/>
    <w:rsid w:val="00F90687"/>
    <w:rsid w:val="00F906B4"/>
    <w:rsid w:val="00F90835"/>
    <w:rsid w:val="00F908A0"/>
    <w:rsid w:val="00F90902"/>
    <w:rsid w:val="00F90978"/>
    <w:rsid w:val="00F909CC"/>
    <w:rsid w:val="00F90C6D"/>
    <w:rsid w:val="00F90CA0"/>
    <w:rsid w:val="00F90D0C"/>
    <w:rsid w:val="00F90D67"/>
    <w:rsid w:val="00F90E2E"/>
    <w:rsid w:val="00F90E4A"/>
    <w:rsid w:val="00F90E60"/>
    <w:rsid w:val="00F90EDD"/>
    <w:rsid w:val="00F90EE0"/>
    <w:rsid w:val="00F90EED"/>
    <w:rsid w:val="00F90F12"/>
    <w:rsid w:val="00F90F2A"/>
    <w:rsid w:val="00F90F5B"/>
    <w:rsid w:val="00F90F72"/>
    <w:rsid w:val="00F90FE5"/>
    <w:rsid w:val="00F9102C"/>
    <w:rsid w:val="00F9105D"/>
    <w:rsid w:val="00F91075"/>
    <w:rsid w:val="00F9108D"/>
    <w:rsid w:val="00F910C2"/>
    <w:rsid w:val="00F910C4"/>
    <w:rsid w:val="00F910F0"/>
    <w:rsid w:val="00F911BC"/>
    <w:rsid w:val="00F911BF"/>
    <w:rsid w:val="00F911FF"/>
    <w:rsid w:val="00F912E2"/>
    <w:rsid w:val="00F912F8"/>
    <w:rsid w:val="00F91399"/>
    <w:rsid w:val="00F913E7"/>
    <w:rsid w:val="00F91442"/>
    <w:rsid w:val="00F914C8"/>
    <w:rsid w:val="00F91574"/>
    <w:rsid w:val="00F915AC"/>
    <w:rsid w:val="00F91622"/>
    <w:rsid w:val="00F916AF"/>
    <w:rsid w:val="00F91750"/>
    <w:rsid w:val="00F917FB"/>
    <w:rsid w:val="00F9181A"/>
    <w:rsid w:val="00F91879"/>
    <w:rsid w:val="00F918CB"/>
    <w:rsid w:val="00F918FC"/>
    <w:rsid w:val="00F91948"/>
    <w:rsid w:val="00F919AF"/>
    <w:rsid w:val="00F91A52"/>
    <w:rsid w:val="00F91A54"/>
    <w:rsid w:val="00F91A8D"/>
    <w:rsid w:val="00F91BCD"/>
    <w:rsid w:val="00F91BD8"/>
    <w:rsid w:val="00F91C2A"/>
    <w:rsid w:val="00F91CF1"/>
    <w:rsid w:val="00F91CFF"/>
    <w:rsid w:val="00F91DC7"/>
    <w:rsid w:val="00F91E74"/>
    <w:rsid w:val="00F91F10"/>
    <w:rsid w:val="00F91F2A"/>
    <w:rsid w:val="00F91F4F"/>
    <w:rsid w:val="00F91F80"/>
    <w:rsid w:val="00F92054"/>
    <w:rsid w:val="00F920A2"/>
    <w:rsid w:val="00F92165"/>
    <w:rsid w:val="00F9216A"/>
    <w:rsid w:val="00F9219D"/>
    <w:rsid w:val="00F92270"/>
    <w:rsid w:val="00F922A5"/>
    <w:rsid w:val="00F922C5"/>
    <w:rsid w:val="00F922F5"/>
    <w:rsid w:val="00F92303"/>
    <w:rsid w:val="00F923A8"/>
    <w:rsid w:val="00F92476"/>
    <w:rsid w:val="00F924A3"/>
    <w:rsid w:val="00F924E3"/>
    <w:rsid w:val="00F92522"/>
    <w:rsid w:val="00F92538"/>
    <w:rsid w:val="00F925A5"/>
    <w:rsid w:val="00F92679"/>
    <w:rsid w:val="00F926B1"/>
    <w:rsid w:val="00F92801"/>
    <w:rsid w:val="00F9283C"/>
    <w:rsid w:val="00F9285B"/>
    <w:rsid w:val="00F92943"/>
    <w:rsid w:val="00F929F2"/>
    <w:rsid w:val="00F92A29"/>
    <w:rsid w:val="00F92A6F"/>
    <w:rsid w:val="00F92A82"/>
    <w:rsid w:val="00F92C53"/>
    <w:rsid w:val="00F92D07"/>
    <w:rsid w:val="00F92D98"/>
    <w:rsid w:val="00F92E5D"/>
    <w:rsid w:val="00F92F04"/>
    <w:rsid w:val="00F92F99"/>
    <w:rsid w:val="00F92FBD"/>
    <w:rsid w:val="00F9314D"/>
    <w:rsid w:val="00F931AB"/>
    <w:rsid w:val="00F9321A"/>
    <w:rsid w:val="00F9326A"/>
    <w:rsid w:val="00F932AD"/>
    <w:rsid w:val="00F932E8"/>
    <w:rsid w:val="00F93346"/>
    <w:rsid w:val="00F9335D"/>
    <w:rsid w:val="00F933A2"/>
    <w:rsid w:val="00F93440"/>
    <w:rsid w:val="00F93478"/>
    <w:rsid w:val="00F93575"/>
    <w:rsid w:val="00F935FF"/>
    <w:rsid w:val="00F93729"/>
    <w:rsid w:val="00F93732"/>
    <w:rsid w:val="00F93758"/>
    <w:rsid w:val="00F93780"/>
    <w:rsid w:val="00F937B2"/>
    <w:rsid w:val="00F937EB"/>
    <w:rsid w:val="00F9380F"/>
    <w:rsid w:val="00F93961"/>
    <w:rsid w:val="00F93CB5"/>
    <w:rsid w:val="00F93D8B"/>
    <w:rsid w:val="00F93E73"/>
    <w:rsid w:val="00F93EF7"/>
    <w:rsid w:val="00F93F6D"/>
    <w:rsid w:val="00F93F83"/>
    <w:rsid w:val="00F93FB8"/>
    <w:rsid w:val="00F93FE6"/>
    <w:rsid w:val="00F940F2"/>
    <w:rsid w:val="00F94149"/>
    <w:rsid w:val="00F94171"/>
    <w:rsid w:val="00F941D5"/>
    <w:rsid w:val="00F941E5"/>
    <w:rsid w:val="00F941EC"/>
    <w:rsid w:val="00F9420B"/>
    <w:rsid w:val="00F94246"/>
    <w:rsid w:val="00F94288"/>
    <w:rsid w:val="00F94293"/>
    <w:rsid w:val="00F942CB"/>
    <w:rsid w:val="00F942E6"/>
    <w:rsid w:val="00F94352"/>
    <w:rsid w:val="00F943AF"/>
    <w:rsid w:val="00F943BD"/>
    <w:rsid w:val="00F943BE"/>
    <w:rsid w:val="00F944E8"/>
    <w:rsid w:val="00F94530"/>
    <w:rsid w:val="00F9454C"/>
    <w:rsid w:val="00F94557"/>
    <w:rsid w:val="00F9456F"/>
    <w:rsid w:val="00F94586"/>
    <w:rsid w:val="00F945C2"/>
    <w:rsid w:val="00F945C8"/>
    <w:rsid w:val="00F94629"/>
    <w:rsid w:val="00F94735"/>
    <w:rsid w:val="00F94740"/>
    <w:rsid w:val="00F94868"/>
    <w:rsid w:val="00F9486E"/>
    <w:rsid w:val="00F9496F"/>
    <w:rsid w:val="00F94A16"/>
    <w:rsid w:val="00F94B5C"/>
    <w:rsid w:val="00F94B86"/>
    <w:rsid w:val="00F94D10"/>
    <w:rsid w:val="00F94DAF"/>
    <w:rsid w:val="00F94DE5"/>
    <w:rsid w:val="00F94E0E"/>
    <w:rsid w:val="00F94E11"/>
    <w:rsid w:val="00F94EBD"/>
    <w:rsid w:val="00F94F31"/>
    <w:rsid w:val="00F94F4F"/>
    <w:rsid w:val="00F94F61"/>
    <w:rsid w:val="00F94F6B"/>
    <w:rsid w:val="00F94FE5"/>
    <w:rsid w:val="00F95149"/>
    <w:rsid w:val="00F95183"/>
    <w:rsid w:val="00F951C3"/>
    <w:rsid w:val="00F951D0"/>
    <w:rsid w:val="00F9522A"/>
    <w:rsid w:val="00F952CB"/>
    <w:rsid w:val="00F952E0"/>
    <w:rsid w:val="00F95304"/>
    <w:rsid w:val="00F95346"/>
    <w:rsid w:val="00F9537E"/>
    <w:rsid w:val="00F953AA"/>
    <w:rsid w:val="00F95407"/>
    <w:rsid w:val="00F95428"/>
    <w:rsid w:val="00F9550B"/>
    <w:rsid w:val="00F9552B"/>
    <w:rsid w:val="00F9555B"/>
    <w:rsid w:val="00F955AF"/>
    <w:rsid w:val="00F95622"/>
    <w:rsid w:val="00F95764"/>
    <w:rsid w:val="00F957E9"/>
    <w:rsid w:val="00F95809"/>
    <w:rsid w:val="00F95811"/>
    <w:rsid w:val="00F95933"/>
    <w:rsid w:val="00F959D9"/>
    <w:rsid w:val="00F95A9D"/>
    <w:rsid w:val="00F95B50"/>
    <w:rsid w:val="00F95BB7"/>
    <w:rsid w:val="00F95C35"/>
    <w:rsid w:val="00F95C5F"/>
    <w:rsid w:val="00F95C9F"/>
    <w:rsid w:val="00F95D70"/>
    <w:rsid w:val="00F95DAE"/>
    <w:rsid w:val="00F95DB8"/>
    <w:rsid w:val="00F95E24"/>
    <w:rsid w:val="00F95E4E"/>
    <w:rsid w:val="00F95E50"/>
    <w:rsid w:val="00F95E5C"/>
    <w:rsid w:val="00F95E60"/>
    <w:rsid w:val="00F95EB8"/>
    <w:rsid w:val="00F95EFE"/>
    <w:rsid w:val="00F95F16"/>
    <w:rsid w:val="00F95F4F"/>
    <w:rsid w:val="00F95F8A"/>
    <w:rsid w:val="00F95F9C"/>
    <w:rsid w:val="00F9603A"/>
    <w:rsid w:val="00F9607B"/>
    <w:rsid w:val="00F9607E"/>
    <w:rsid w:val="00F960E7"/>
    <w:rsid w:val="00F96103"/>
    <w:rsid w:val="00F96110"/>
    <w:rsid w:val="00F96133"/>
    <w:rsid w:val="00F96149"/>
    <w:rsid w:val="00F9614F"/>
    <w:rsid w:val="00F96233"/>
    <w:rsid w:val="00F96261"/>
    <w:rsid w:val="00F962CC"/>
    <w:rsid w:val="00F963FC"/>
    <w:rsid w:val="00F96421"/>
    <w:rsid w:val="00F9645D"/>
    <w:rsid w:val="00F964CD"/>
    <w:rsid w:val="00F965C0"/>
    <w:rsid w:val="00F966D7"/>
    <w:rsid w:val="00F966DA"/>
    <w:rsid w:val="00F967CA"/>
    <w:rsid w:val="00F9681B"/>
    <w:rsid w:val="00F968AE"/>
    <w:rsid w:val="00F9694C"/>
    <w:rsid w:val="00F96972"/>
    <w:rsid w:val="00F969C3"/>
    <w:rsid w:val="00F969E6"/>
    <w:rsid w:val="00F96A48"/>
    <w:rsid w:val="00F96AD0"/>
    <w:rsid w:val="00F96B4C"/>
    <w:rsid w:val="00F96BFA"/>
    <w:rsid w:val="00F96C50"/>
    <w:rsid w:val="00F96D4A"/>
    <w:rsid w:val="00F96DE2"/>
    <w:rsid w:val="00F96DF5"/>
    <w:rsid w:val="00F96DFD"/>
    <w:rsid w:val="00F96E11"/>
    <w:rsid w:val="00F96E40"/>
    <w:rsid w:val="00F96E48"/>
    <w:rsid w:val="00F96E50"/>
    <w:rsid w:val="00F96EA5"/>
    <w:rsid w:val="00F96EC6"/>
    <w:rsid w:val="00F96ED1"/>
    <w:rsid w:val="00F96F07"/>
    <w:rsid w:val="00F96F6D"/>
    <w:rsid w:val="00F96FFA"/>
    <w:rsid w:val="00F970AE"/>
    <w:rsid w:val="00F970F2"/>
    <w:rsid w:val="00F97133"/>
    <w:rsid w:val="00F97188"/>
    <w:rsid w:val="00F971A0"/>
    <w:rsid w:val="00F971A8"/>
    <w:rsid w:val="00F971BA"/>
    <w:rsid w:val="00F971E3"/>
    <w:rsid w:val="00F9721A"/>
    <w:rsid w:val="00F9722B"/>
    <w:rsid w:val="00F972A6"/>
    <w:rsid w:val="00F972EF"/>
    <w:rsid w:val="00F9730D"/>
    <w:rsid w:val="00F97315"/>
    <w:rsid w:val="00F97399"/>
    <w:rsid w:val="00F973CC"/>
    <w:rsid w:val="00F9743F"/>
    <w:rsid w:val="00F97469"/>
    <w:rsid w:val="00F97480"/>
    <w:rsid w:val="00F97484"/>
    <w:rsid w:val="00F9748B"/>
    <w:rsid w:val="00F974F7"/>
    <w:rsid w:val="00F9754F"/>
    <w:rsid w:val="00F9757D"/>
    <w:rsid w:val="00F975B4"/>
    <w:rsid w:val="00F975E3"/>
    <w:rsid w:val="00F975F0"/>
    <w:rsid w:val="00F97622"/>
    <w:rsid w:val="00F976F1"/>
    <w:rsid w:val="00F9771E"/>
    <w:rsid w:val="00F97797"/>
    <w:rsid w:val="00F977B4"/>
    <w:rsid w:val="00F97885"/>
    <w:rsid w:val="00F97923"/>
    <w:rsid w:val="00F97950"/>
    <w:rsid w:val="00F979B0"/>
    <w:rsid w:val="00F979D7"/>
    <w:rsid w:val="00F979EE"/>
    <w:rsid w:val="00F97A4A"/>
    <w:rsid w:val="00F97A9E"/>
    <w:rsid w:val="00F97B1F"/>
    <w:rsid w:val="00F97B51"/>
    <w:rsid w:val="00F97B9A"/>
    <w:rsid w:val="00F97BB8"/>
    <w:rsid w:val="00F97C6B"/>
    <w:rsid w:val="00F97C8D"/>
    <w:rsid w:val="00F97CC8"/>
    <w:rsid w:val="00F97CF4"/>
    <w:rsid w:val="00F97DC2"/>
    <w:rsid w:val="00F97E41"/>
    <w:rsid w:val="00F97E5F"/>
    <w:rsid w:val="00F97FF0"/>
    <w:rsid w:val="00FA0006"/>
    <w:rsid w:val="00FA0087"/>
    <w:rsid w:val="00FA00CE"/>
    <w:rsid w:val="00FA00D3"/>
    <w:rsid w:val="00FA014D"/>
    <w:rsid w:val="00FA0180"/>
    <w:rsid w:val="00FA01CB"/>
    <w:rsid w:val="00FA01EE"/>
    <w:rsid w:val="00FA0345"/>
    <w:rsid w:val="00FA035D"/>
    <w:rsid w:val="00FA036C"/>
    <w:rsid w:val="00FA03DE"/>
    <w:rsid w:val="00FA0448"/>
    <w:rsid w:val="00FA04CE"/>
    <w:rsid w:val="00FA04EA"/>
    <w:rsid w:val="00FA0589"/>
    <w:rsid w:val="00FA063D"/>
    <w:rsid w:val="00FA06B3"/>
    <w:rsid w:val="00FA0718"/>
    <w:rsid w:val="00FA075F"/>
    <w:rsid w:val="00FA07EF"/>
    <w:rsid w:val="00FA0890"/>
    <w:rsid w:val="00FA08BF"/>
    <w:rsid w:val="00FA0A1F"/>
    <w:rsid w:val="00FA0B6F"/>
    <w:rsid w:val="00FA0B80"/>
    <w:rsid w:val="00FA0BC3"/>
    <w:rsid w:val="00FA0D0F"/>
    <w:rsid w:val="00FA0D68"/>
    <w:rsid w:val="00FA0D94"/>
    <w:rsid w:val="00FA0DD5"/>
    <w:rsid w:val="00FA0E05"/>
    <w:rsid w:val="00FA0E23"/>
    <w:rsid w:val="00FA0E8A"/>
    <w:rsid w:val="00FA0EB1"/>
    <w:rsid w:val="00FA0F01"/>
    <w:rsid w:val="00FA0F39"/>
    <w:rsid w:val="00FA0FA7"/>
    <w:rsid w:val="00FA0FEB"/>
    <w:rsid w:val="00FA101B"/>
    <w:rsid w:val="00FA103C"/>
    <w:rsid w:val="00FA115C"/>
    <w:rsid w:val="00FA11D3"/>
    <w:rsid w:val="00FA130C"/>
    <w:rsid w:val="00FA1413"/>
    <w:rsid w:val="00FA1436"/>
    <w:rsid w:val="00FA1441"/>
    <w:rsid w:val="00FA14BA"/>
    <w:rsid w:val="00FA1520"/>
    <w:rsid w:val="00FA154B"/>
    <w:rsid w:val="00FA15A9"/>
    <w:rsid w:val="00FA170D"/>
    <w:rsid w:val="00FA17A0"/>
    <w:rsid w:val="00FA18A9"/>
    <w:rsid w:val="00FA1967"/>
    <w:rsid w:val="00FA198B"/>
    <w:rsid w:val="00FA19B1"/>
    <w:rsid w:val="00FA19EB"/>
    <w:rsid w:val="00FA19F8"/>
    <w:rsid w:val="00FA1A1B"/>
    <w:rsid w:val="00FA1A78"/>
    <w:rsid w:val="00FA1AB1"/>
    <w:rsid w:val="00FA1B46"/>
    <w:rsid w:val="00FA1BC3"/>
    <w:rsid w:val="00FA1C2E"/>
    <w:rsid w:val="00FA1C5C"/>
    <w:rsid w:val="00FA1CE4"/>
    <w:rsid w:val="00FA1D90"/>
    <w:rsid w:val="00FA1DEA"/>
    <w:rsid w:val="00FA1E2D"/>
    <w:rsid w:val="00FA1E42"/>
    <w:rsid w:val="00FA1EC7"/>
    <w:rsid w:val="00FA1ED8"/>
    <w:rsid w:val="00FA1EFF"/>
    <w:rsid w:val="00FA1F19"/>
    <w:rsid w:val="00FA1F99"/>
    <w:rsid w:val="00FA20D6"/>
    <w:rsid w:val="00FA2130"/>
    <w:rsid w:val="00FA21D8"/>
    <w:rsid w:val="00FA226B"/>
    <w:rsid w:val="00FA22D2"/>
    <w:rsid w:val="00FA2322"/>
    <w:rsid w:val="00FA234D"/>
    <w:rsid w:val="00FA23BE"/>
    <w:rsid w:val="00FA23CA"/>
    <w:rsid w:val="00FA24C6"/>
    <w:rsid w:val="00FA24FE"/>
    <w:rsid w:val="00FA251A"/>
    <w:rsid w:val="00FA2562"/>
    <w:rsid w:val="00FA25A6"/>
    <w:rsid w:val="00FA25BE"/>
    <w:rsid w:val="00FA25D7"/>
    <w:rsid w:val="00FA25EB"/>
    <w:rsid w:val="00FA25F7"/>
    <w:rsid w:val="00FA2689"/>
    <w:rsid w:val="00FA26CE"/>
    <w:rsid w:val="00FA2784"/>
    <w:rsid w:val="00FA2786"/>
    <w:rsid w:val="00FA27C6"/>
    <w:rsid w:val="00FA28CA"/>
    <w:rsid w:val="00FA28F6"/>
    <w:rsid w:val="00FA295D"/>
    <w:rsid w:val="00FA2A26"/>
    <w:rsid w:val="00FA2A30"/>
    <w:rsid w:val="00FA2A43"/>
    <w:rsid w:val="00FA2AA2"/>
    <w:rsid w:val="00FA2AB4"/>
    <w:rsid w:val="00FA2AEC"/>
    <w:rsid w:val="00FA2C20"/>
    <w:rsid w:val="00FA2C3D"/>
    <w:rsid w:val="00FA2C51"/>
    <w:rsid w:val="00FA2CD9"/>
    <w:rsid w:val="00FA2D4A"/>
    <w:rsid w:val="00FA2D7A"/>
    <w:rsid w:val="00FA2D9B"/>
    <w:rsid w:val="00FA2DD4"/>
    <w:rsid w:val="00FA2E15"/>
    <w:rsid w:val="00FA2E71"/>
    <w:rsid w:val="00FA2EAB"/>
    <w:rsid w:val="00FA2EF4"/>
    <w:rsid w:val="00FA2F1C"/>
    <w:rsid w:val="00FA2F3E"/>
    <w:rsid w:val="00FA2F81"/>
    <w:rsid w:val="00FA2F89"/>
    <w:rsid w:val="00FA2FA8"/>
    <w:rsid w:val="00FA301F"/>
    <w:rsid w:val="00FA3034"/>
    <w:rsid w:val="00FA3048"/>
    <w:rsid w:val="00FA304E"/>
    <w:rsid w:val="00FA3072"/>
    <w:rsid w:val="00FA30E1"/>
    <w:rsid w:val="00FA313C"/>
    <w:rsid w:val="00FA320B"/>
    <w:rsid w:val="00FA3233"/>
    <w:rsid w:val="00FA3270"/>
    <w:rsid w:val="00FA3299"/>
    <w:rsid w:val="00FA33AB"/>
    <w:rsid w:val="00FA33EA"/>
    <w:rsid w:val="00FA33F1"/>
    <w:rsid w:val="00FA3451"/>
    <w:rsid w:val="00FA34B6"/>
    <w:rsid w:val="00FA350B"/>
    <w:rsid w:val="00FA3526"/>
    <w:rsid w:val="00FA360B"/>
    <w:rsid w:val="00FA3740"/>
    <w:rsid w:val="00FA37EB"/>
    <w:rsid w:val="00FA3826"/>
    <w:rsid w:val="00FA3896"/>
    <w:rsid w:val="00FA38A7"/>
    <w:rsid w:val="00FA396E"/>
    <w:rsid w:val="00FA3971"/>
    <w:rsid w:val="00FA3A06"/>
    <w:rsid w:val="00FA3AE4"/>
    <w:rsid w:val="00FA3BAA"/>
    <w:rsid w:val="00FA3BC7"/>
    <w:rsid w:val="00FA3C54"/>
    <w:rsid w:val="00FA3C99"/>
    <w:rsid w:val="00FA3CA3"/>
    <w:rsid w:val="00FA3CBC"/>
    <w:rsid w:val="00FA3CE2"/>
    <w:rsid w:val="00FA3CFC"/>
    <w:rsid w:val="00FA3CFD"/>
    <w:rsid w:val="00FA3D2B"/>
    <w:rsid w:val="00FA3D41"/>
    <w:rsid w:val="00FA3D49"/>
    <w:rsid w:val="00FA3D66"/>
    <w:rsid w:val="00FA3DB4"/>
    <w:rsid w:val="00FA3DD6"/>
    <w:rsid w:val="00FA3DDA"/>
    <w:rsid w:val="00FA3E1B"/>
    <w:rsid w:val="00FA3E5B"/>
    <w:rsid w:val="00FA3E6D"/>
    <w:rsid w:val="00FA3ED8"/>
    <w:rsid w:val="00FA3EDA"/>
    <w:rsid w:val="00FA3F12"/>
    <w:rsid w:val="00FA3F89"/>
    <w:rsid w:val="00FA4002"/>
    <w:rsid w:val="00FA40AA"/>
    <w:rsid w:val="00FA40F2"/>
    <w:rsid w:val="00FA410B"/>
    <w:rsid w:val="00FA4119"/>
    <w:rsid w:val="00FA411F"/>
    <w:rsid w:val="00FA4183"/>
    <w:rsid w:val="00FA420C"/>
    <w:rsid w:val="00FA424C"/>
    <w:rsid w:val="00FA4304"/>
    <w:rsid w:val="00FA4308"/>
    <w:rsid w:val="00FA437C"/>
    <w:rsid w:val="00FA442B"/>
    <w:rsid w:val="00FA4434"/>
    <w:rsid w:val="00FA4494"/>
    <w:rsid w:val="00FA4511"/>
    <w:rsid w:val="00FA4571"/>
    <w:rsid w:val="00FA4615"/>
    <w:rsid w:val="00FA4710"/>
    <w:rsid w:val="00FA476F"/>
    <w:rsid w:val="00FA47D3"/>
    <w:rsid w:val="00FA484A"/>
    <w:rsid w:val="00FA488F"/>
    <w:rsid w:val="00FA48A2"/>
    <w:rsid w:val="00FA48D6"/>
    <w:rsid w:val="00FA48F1"/>
    <w:rsid w:val="00FA49E7"/>
    <w:rsid w:val="00FA4A58"/>
    <w:rsid w:val="00FA4ADB"/>
    <w:rsid w:val="00FA4B20"/>
    <w:rsid w:val="00FA4B25"/>
    <w:rsid w:val="00FA4B67"/>
    <w:rsid w:val="00FA4C2A"/>
    <w:rsid w:val="00FA4C44"/>
    <w:rsid w:val="00FA4D2D"/>
    <w:rsid w:val="00FA4D85"/>
    <w:rsid w:val="00FA4DEB"/>
    <w:rsid w:val="00FA4E9D"/>
    <w:rsid w:val="00FA4EED"/>
    <w:rsid w:val="00FA4FFE"/>
    <w:rsid w:val="00FA5024"/>
    <w:rsid w:val="00FA5029"/>
    <w:rsid w:val="00FA5042"/>
    <w:rsid w:val="00FA50A1"/>
    <w:rsid w:val="00FA5111"/>
    <w:rsid w:val="00FA514A"/>
    <w:rsid w:val="00FA51A1"/>
    <w:rsid w:val="00FA51B1"/>
    <w:rsid w:val="00FA5265"/>
    <w:rsid w:val="00FA528F"/>
    <w:rsid w:val="00FA5297"/>
    <w:rsid w:val="00FA52D2"/>
    <w:rsid w:val="00FA52D8"/>
    <w:rsid w:val="00FA535D"/>
    <w:rsid w:val="00FA5366"/>
    <w:rsid w:val="00FA5391"/>
    <w:rsid w:val="00FA53B5"/>
    <w:rsid w:val="00FA53CD"/>
    <w:rsid w:val="00FA5411"/>
    <w:rsid w:val="00FA541F"/>
    <w:rsid w:val="00FA545C"/>
    <w:rsid w:val="00FA55CF"/>
    <w:rsid w:val="00FA55EA"/>
    <w:rsid w:val="00FA562C"/>
    <w:rsid w:val="00FA5647"/>
    <w:rsid w:val="00FA56A7"/>
    <w:rsid w:val="00FA57AE"/>
    <w:rsid w:val="00FA5856"/>
    <w:rsid w:val="00FA5858"/>
    <w:rsid w:val="00FA59BD"/>
    <w:rsid w:val="00FA59BE"/>
    <w:rsid w:val="00FA59CA"/>
    <w:rsid w:val="00FA5A7B"/>
    <w:rsid w:val="00FA5AAB"/>
    <w:rsid w:val="00FA5B9A"/>
    <w:rsid w:val="00FA5BC8"/>
    <w:rsid w:val="00FA5C3E"/>
    <w:rsid w:val="00FA5C43"/>
    <w:rsid w:val="00FA5CAC"/>
    <w:rsid w:val="00FA5D74"/>
    <w:rsid w:val="00FA5DF8"/>
    <w:rsid w:val="00FA5E03"/>
    <w:rsid w:val="00FA5E59"/>
    <w:rsid w:val="00FA5E84"/>
    <w:rsid w:val="00FA5E96"/>
    <w:rsid w:val="00FA5EEA"/>
    <w:rsid w:val="00FA5F48"/>
    <w:rsid w:val="00FA6033"/>
    <w:rsid w:val="00FA6071"/>
    <w:rsid w:val="00FA6112"/>
    <w:rsid w:val="00FA6194"/>
    <w:rsid w:val="00FA61EE"/>
    <w:rsid w:val="00FA6233"/>
    <w:rsid w:val="00FA6292"/>
    <w:rsid w:val="00FA6341"/>
    <w:rsid w:val="00FA6374"/>
    <w:rsid w:val="00FA637D"/>
    <w:rsid w:val="00FA63A9"/>
    <w:rsid w:val="00FA63C0"/>
    <w:rsid w:val="00FA63CA"/>
    <w:rsid w:val="00FA63F3"/>
    <w:rsid w:val="00FA6462"/>
    <w:rsid w:val="00FA6566"/>
    <w:rsid w:val="00FA65E9"/>
    <w:rsid w:val="00FA6623"/>
    <w:rsid w:val="00FA66A4"/>
    <w:rsid w:val="00FA675F"/>
    <w:rsid w:val="00FA6804"/>
    <w:rsid w:val="00FA6874"/>
    <w:rsid w:val="00FA688C"/>
    <w:rsid w:val="00FA68C1"/>
    <w:rsid w:val="00FA6910"/>
    <w:rsid w:val="00FA6914"/>
    <w:rsid w:val="00FA6A3B"/>
    <w:rsid w:val="00FA6A41"/>
    <w:rsid w:val="00FA6AAB"/>
    <w:rsid w:val="00FA6AEC"/>
    <w:rsid w:val="00FA6BE5"/>
    <w:rsid w:val="00FA6BF1"/>
    <w:rsid w:val="00FA6D43"/>
    <w:rsid w:val="00FA6EA3"/>
    <w:rsid w:val="00FA6F7B"/>
    <w:rsid w:val="00FA6F86"/>
    <w:rsid w:val="00FA7006"/>
    <w:rsid w:val="00FA7036"/>
    <w:rsid w:val="00FA7041"/>
    <w:rsid w:val="00FA711E"/>
    <w:rsid w:val="00FA714C"/>
    <w:rsid w:val="00FA716A"/>
    <w:rsid w:val="00FA716C"/>
    <w:rsid w:val="00FA7178"/>
    <w:rsid w:val="00FA71DD"/>
    <w:rsid w:val="00FA7228"/>
    <w:rsid w:val="00FA72C1"/>
    <w:rsid w:val="00FA7314"/>
    <w:rsid w:val="00FA73B0"/>
    <w:rsid w:val="00FA73C2"/>
    <w:rsid w:val="00FA7465"/>
    <w:rsid w:val="00FA7486"/>
    <w:rsid w:val="00FA749B"/>
    <w:rsid w:val="00FA74A1"/>
    <w:rsid w:val="00FA74CC"/>
    <w:rsid w:val="00FA74CE"/>
    <w:rsid w:val="00FA7545"/>
    <w:rsid w:val="00FA759C"/>
    <w:rsid w:val="00FA75D2"/>
    <w:rsid w:val="00FA75D9"/>
    <w:rsid w:val="00FA7607"/>
    <w:rsid w:val="00FA76C3"/>
    <w:rsid w:val="00FA76FB"/>
    <w:rsid w:val="00FA772F"/>
    <w:rsid w:val="00FA7746"/>
    <w:rsid w:val="00FA77CB"/>
    <w:rsid w:val="00FA77D3"/>
    <w:rsid w:val="00FA7851"/>
    <w:rsid w:val="00FA78BA"/>
    <w:rsid w:val="00FA78E6"/>
    <w:rsid w:val="00FA78F0"/>
    <w:rsid w:val="00FA797D"/>
    <w:rsid w:val="00FA79F3"/>
    <w:rsid w:val="00FA7B5C"/>
    <w:rsid w:val="00FA7B9E"/>
    <w:rsid w:val="00FA7BEF"/>
    <w:rsid w:val="00FA7C7F"/>
    <w:rsid w:val="00FA7CCD"/>
    <w:rsid w:val="00FA7D29"/>
    <w:rsid w:val="00FA7D5B"/>
    <w:rsid w:val="00FA7D96"/>
    <w:rsid w:val="00FA7F1A"/>
    <w:rsid w:val="00FA7F63"/>
    <w:rsid w:val="00FA7F69"/>
    <w:rsid w:val="00FA7F8F"/>
    <w:rsid w:val="00FA7FA5"/>
    <w:rsid w:val="00FA7FA8"/>
    <w:rsid w:val="00FA7FB8"/>
    <w:rsid w:val="00FA7FE5"/>
    <w:rsid w:val="00FA7FFB"/>
    <w:rsid w:val="00FB0055"/>
    <w:rsid w:val="00FB005F"/>
    <w:rsid w:val="00FB00F8"/>
    <w:rsid w:val="00FB01F7"/>
    <w:rsid w:val="00FB02AE"/>
    <w:rsid w:val="00FB02CD"/>
    <w:rsid w:val="00FB0315"/>
    <w:rsid w:val="00FB0325"/>
    <w:rsid w:val="00FB033F"/>
    <w:rsid w:val="00FB0363"/>
    <w:rsid w:val="00FB0383"/>
    <w:rsid w:val="00FB03DC"/>
    <w:rsid w:val="00FB0439"/>
    <w:rsid w:val="00FB04A4"/>
    <w:rsid w:val="00FB04A6"/>
    <w:rsid w:val="00FB0589"/>
    <w:rsid w:val="00FB05C7"/>
    <w:rsid w:val="00FB05E2"/>
    <w:rsid w:val="00FB061F"/>
    <w:rsid w:val="00FB069A"/>
    <w:rsid w:val="00FB06C8"/>
    <w:rsid w:val="00FB06CA"/>
    <w:rsid w:val="00FB071A"/>
    <w:rsid w:val="00FB0739"/>
    <w:rsid w:val="00FB079C"/>
    <w:rsid w:val="00FB07DD"/>
    <w:rsid w:val="00FB07F3"/>
    <w:rsid w:val="00FB0834"/>
    <w:rsid w:val="00FB0858"/>
    <w:rsid w:val="00FB0865"/>
    <w:rsid w:val="00FB0983"/>
    <w:rsid w:val="00FB099B"/>
    <w:rsid w:val="00FB0A67"/>
    <w:rsid w:val="00FB0B32"/>
    <w:rsid w:val="00FB0B62"/>
    <w:rsid w:val="00FB0B78"/>
    <w:rsid w:val="00FB0BCB"/>
    <w:rsid w:val="00FB0CC1"/>
    <w:rsid w:val="00FB0D66"/>
    <w:rsid w:val="00FB0DA2"/>
    <w:rsid w:val="00FB0DCD"/>
    <w:rsid w:val="00FB0DE2"/>
    <w:rsid w:val="00FB0DEB"/>
    <w:rsid w:val="00FB0ED9"/>
    <w:rsid w:val="00FB0EE4"/>
    <w:rsid w:val="00FB0F60"/>
    <w:rsid w:val="00FB0F63"/>
    <w:rsid w:val="00FB0FB2"/>
    <w:rsid w:val="00FB0FE6"/>
    <w:rsid w:val="00FB0FEF"/>
    <w:rsid w:val="00FB0FFA"/>
    <w:rsid w:val="00FB101D"/>
    <w:rsid w:val="00FB105F"/>
    <w:rsid w:val="00FB108C"/>
    <w:rsid w:val="00FB10E0"/>
    <w:rsid w:val="00FB118C"/>
    <w:rsid w:val="00FB120B"/>
    <w:rsid w:val="00FB131F"/>
    <w:rsid w:val="00FB1510"/>
    <w:rsid w:val="00FB1586"/>
    <w:rsid w:val="00FB15C1"/>
    <w:rsid w:val="00FB162F"/>
    <w:rsid w:val="00FB16A8"/>
    <w:rsid w:val="00FB16BB"/>
    <w:rsid w:val="00FB16E1"/>
    <w:rsid w:val="00FB1733"/>
    <w:rsid w:val="00FB1851"/>
    <w:rsid w:val="00FB1987"/>
    <w:rsid w:val="00FB19D3"/>
    <w:rsid w:val="00FB19D6"/>
    <w:rsid w:val="00FB19DA"/>
    <w:rsid w:val="00FB19E2"/>
    <w:rsid w:val="00FB1A3C"/>
    <w:rsid w:val="00FB1AFD"/>
    <w:rsid w:val="00FB1B5F"/>
    <w:rsid w:val="00FB1BAD"/>
    <w:rsid w:val="00FB1BD0"/>
    <w:rsid w:val="00FB1CA2"/>
    <w:rsid w:val="00FB1D70"/>
    <w:rsid w:val="00FB1D9F"/>
    <w:rsid w:val="00FB1DDE"/>
    <w:rsid w:val="00FB1DFC"/>
    <w:rsid w:val="00FB1E62"/>
    <w:rsid w:val="00FB1E90"/>
    <w:rsid w:val="00FB1EA7"/>
    <w:rsid w:val="00FB1EE0"/>
    <w:rsid w:val="00FB1F7B"/>
    <w:rsid w:val="00FB1F94"/>
    <w:rsid w:val="00FB1FCF"/>
    <w:rsid w:val="00FB202C"/>
    <w:rsid w:val="00FB204C"/>
    <w:rsid w:val="00FB2059"/>
    <w:rsid w:val="00FB2091"/>
    <w:rsid w:val="00FB20D2"/>
    <w:rsid w:val="00FB20FA"/>
    <w:rsid w:val="00FB2101"/>
    <w:rsid w:val="00FB21B1"/>
    <w:rsid w:val="00FB2203"/>
    <w:rsid w:val="00FB2318"/>
    <w:rsid w:val="00FB2484"/>
    <w:rsid w:val="00FB24C1"/>
    <w:rsid w:val="00FB24FC"/>
    <w:rsid w:val="00FB2540"/>
    <w:rsid w:val="00FB2619"/>
    <w:rsid w:val="00FB2680"/>
    <w:rsid w:val="00FB2688"/>
    <w:rsid w:val="00FB26D2"/>
    <w:rsid w:val="00FB2730"/>
    <w:rsid w:val="00FB273B"/>
    <w:rsid w:val="00FB276D"/>
    <w:rsid w:val="00FB27D8"/>
    <w:rsid w:val="00FB27E5"/>
    <w:rsid w:val="00FB2844"/>
    <w:rsid w:val="00FB28C9"/>
    <w:rsid w:val="00FB28F7"/>
    <w:rsid w:val="00FB2904"/>
    <w:rsid w:val="00FB293F"/>
    <w:rsid w:val="00FB298C"/>
    <w:rsid w:val="00FB299A"/>
    <w:rsid w:val="00FB2A19"/>
    <w:rsid w:val="00FB2A4C"/>
    <w:rsid w:val="00FB2A4D"/>
    <w:rsid w:val="00FB2A58"/>
    <w:rsid w:val="00FB2A5B"/>
    <w:rsid w:val="00FB2A5D"/>
    <w:rsid w:val="00FB2AEC"/>
    <w:rsid w:val="00FB2AFD"/>
    <w:rsid w:val="00FB2B7D"/>
    <w:rsid w:val="00FB2C86"/>
    <w:rsid w:val="00FB2C8B"/>
    <w:rsid w:val="00FB2CE1"/>
    <w:rsid w:val="00FB2D75"/>
    <w:rsid w:val="00FB2D98"/>
    <w:rsid w:val="00FB2DAE"/>
    <w:rsid w:val="00FB2DC4"/>
    <w:rsid w:val="00FB2DE0"/>
    <w:rsid w:val="00FB2E15"/>
    <w:rsid w:val="00FB2E2E"/>
    <w:rsid w:val="00FB2E56"/>
    <w:rsid w:val="00FB2E73"/>
    <w:rsid w:val="00FB2F68"/>
    <w:rsid w:val="00FB2FE9"/>
    <w:rsid w:val="00FB307B"/>
    <w:rsid w:val="00FB30B8"/>
    <w:rsid w:val="00FB30C4"/>
    <w:rsid w:val="00FB3101"/>
    <w:rsid w:val="00FB310D"/>
    <w:rsid w:val="00FB3188"/>
    <w:rsid w:val="00FB3192"/>
    <w:rsid w:val="00FB31EA"/>
    <w:rsid w:val="00FB3223"/>
    <w:rsid w:val="00FB32B3"/>
    <w:rsid w:val="00FB32D1"/>
    <w:rsid w:val="00FB330D"/>
    <w:rsid w:val="00FB3363"/>
    <w:rsid w:val="00FB336F"/>
    <w:rsid w:val="00FB33F3"/>
    <w:rsid w:val="00FB342E"/>
    <w:rsid w:val="00FB354D"/>
    <w:rsid w:val="00FB3585"/>
    <w:rsid w:val="00FB3616"/>
    <w:rsid w:val="00FB36DA"/>
    <w:rsid w:val="00FB3794"/>
    <w:rsid w:val="00FB37A9"/>
    <w:rsid w:val="00FB37BD"/>
    <w:rsid w:val="00FB3943"/>
    <w:rsid w:val="00FB3961"/>
    <w:rsid w:val="00FB3994"/>
    <w:rsid w:val="00FB39AB"/>
    <w:rsid w:val="00FB39B4"/>
    <w:rsid w:val="00FB3A69"/>
    <w:rsid w:val="00FB3AC2"/>
    <w:rsid w:val="00FB3BAC"/>
    <w:rsid w:val="00FB3C2F"/>
    <w:rsid w:val="00FB3C50"/>
    <w:rsid w:val="00FB3C83"/>
    <w:rsid w:val="00FB3D1F"/>
    <w:rsid w:val="00FB3D4A"/>
    <w:rsid w:val="00FB3D4D"/>
    <w:rsid w:val="00FB3D51"/>
    <w:rsid w:val="00FB3D9C"/>
    <w:rsid w:val="00FB3DB8"/>
    <w:rsid w:val="00FB3E36"/>
    <w:rsid w:val="00FB3E42"/>
    <w:rsid w:val="00FB3EAE"/>
    <w:rsid w:val="00FB3F25"/>
    <w:rsid w:val="00FB3F54"/>
    <w:rsid w:val="00FB3FAA"/>
    <w:rsid w:val="00FB3FAF"/>
    <w:rsid w:val="00FB405D"/>
    <w:rsid w:val="00FB4061"/>
    <w:rsid w:val="00FB4073"/>
    <w:rsid w:val="00FB4093"/>
    <w:rsid w:val="00FB40C5"/>
    <w:rsid w:val="00FB4168"/>
    <w:rsid w:val="00FB41B9"/>
    <w:rsid w:val="00FB41C8"/>
    <w:rsid w:val="00FB420C"/>
    <w:rsid w:val="00FB4339"/>
    <w:rsid w:val="00FB4356"/>
    <w:rsid w:val="00FB43A1"/>
    <w:rsid w:val="00FB43AA"/>
    <w:rsid w:val="00FB43FA"/>
    <w:rsid w:val="00FB4426"/>
    <w:rsid w:val="00FB4522"/>
    <w:rsid w:val="00FB456D"/>
    <w:rsid w:val="00FB4620"/>
    <w:rsid w:val="00FB46E1"/>
    <w:rsid w:val="00FB4797"/>
    <w:rsid w:val="00FB47DE"/>
    <w:rsid w:val="00FB47F2"/>
    <w:rsid w:val="00FB47FD"/>
    <w:rsid w:val="00FB4816"/>
    <w:rsid w:val="00FB4846"/>
    <w:rsid w:val="00FB486F"/>
    <w:rsid w:val="00FB487B"/>
    <w:rsid w:val="00FB48BF"/>
    <w:rsid w:val="00FB48E0"/>
    <w:rsid w:val="00FB493F"/>
    <w:rsid w:val="00FB4963"/>
    <w:rsid w:val="00FB49DC"/>
    <w:rsid w:val="00FB49FE"/>
    <w:rsid w:val="00FB4A5C"/>
    <w:rsid w:val="00FB4A70"/>
    <w:rsid w:val="00FB4B2C"/>
    <w:rsid w:val="00FB4B40"/>
    <w:rsid w:val="00FB4B5F"/>
    <w:rsid w:val="00FB4BC6"/>
    <w:rsid w:val="00FB4C58"/>
    <w:rsid w:val="00FB4C79"/>
    <w:rsid w:val="00FB4D06"/>
    <w:rsid w:val="00FB4D4C"/>
    <w:rsid w:val="00FB4ED7"/>
    <w:rsid w:val="00FB4ED8"/>
    <w:rsid w:val="00FB4EF6"/>
    <w:rsid w:val="00FB4F4D"/>
    <w:rsid w:val="00FB4F64"/>
    <w:rsid w:val="00FB4FE1"/>
    <w:rsid w:val="00FB50A7"/>
    <w:rsid w:val="00FB50D7"/>
    <w:rsid w:val="00FB513C"/>
    <w:rsid w:val="00FB5148"/>
    <w:rsid w:val="00FB520C"/>
    <w:rsid w:val="00FB52C2"/>
    <w:rsid w:val="00FB5349"/>
    <w:rsid w:val="00FB538E"/>
    <w:rsid w:val="00FB53CE"/>
    <w:rsid w:val="00FB5516"/>
    <w:rsid w:val="00FB55A3"/>
    <w:rsid w:val="00FB5610"/>
    <w:rsid w:val="00FB561D"/>
    <w:rsid w:val="00FB5689"/>
    <w:rsid w:val="00FB56F7"/>
    <w:rsid w:val="00FB57B4"/>
    <w:rsid w:val="00FB57CF"/>
    <w:rsid w:val="00FB5872"/>
    <w:rsid w:val="00FB58DE"/>
    <w:rsid w:val="00FB5928"/>
    <w:rsid w:val="00FB5995"/>
    <w:rsid w:val="00FB59BE"/>
    <w:rsid w:val="00FB5AF9"/>
    <w:rsid w:val="00FB5B24"/>
    <w:rsid w:val="00FB5BB2"/>
    <w:rsid w:val="00FB5C9C"/>
    <w:rsid w:val="00FB5CA0"/>
    <w:rsid w:val="00FB5D8E"/>
    <w:rsid w:val="00FB5DA8"/>
    <w:rsid w:val="00FB5E30"/>
    <w:rsid w:val="00FB5E81"/>
    <w:rsid w:val="00FB5E82"/>
    <w:rsid w:val="00FB5ECB"/>
    <w:rsid w:val="00FB5F73"/>
    <w:rsid w:val="00FB6030"/>
    <w:rsid w:val="00FB60AE"/>
    <w:rsid w:val="00FB60DE"/>
    <w:rsid w:val="00FB616D"/>
    <w:rsid w:val="00FB61C8"/>
    <w:rsid w:val="00FB6211"/>
    <w:rsid w:val="00FB6294"/>
    <w:rsid w:val="00FB62A8"/>
    <w:rsid w:val="00FB6326"/>
    <w:rsid w:val="00FB633C"/>
    <w:rsid w:val="00FB644F"/>
    <w:rsid w:val="00FB6490"/>
    <w:rsid w:val="00FB64F9"/>
    <w:rsid w:val="00FB65E7"/>
    <w:rsid w:val="00FB667C"/>
    <w:rsid w:val="00FB66AA"/>
    <w:rsid w:val="00FB66ED"/>
    <w:rsid w:val="00FB6777"/>
    <w:rsid w:val="00FB67DE"/>
    <w:rsid w:val="00FB683B"/>
    <w:rsid w:val="00FB6A3A"/>
    <w:rsid w:val="00FB6B6C"/>
    <w:rsid w:val="00FB6BEA"/>
    <w:rsid w:val="00FB6C1A"/>
    <w:rsid w:val="00FB6CEB"/>
    <w:rsid w:val="00FB6D64"/>
    <w:rsid w:val="00FB6D7F"/>
    <w:rsid w:val="00FB6D8D"/>
    <w:rsid w:val="00FB6DE2"/>
    <w:rsid w:val="00FB6DEF"/>
    <w:rsid w:val="00FB6E0B"/>
    <w:rsid w:val="00FB6EA0"/>
    <w:rsid w:val="00FB6EDC"/>
    <w:rsid w:val="00FB6EF5"/>
    <w:rsid w:val="00FB6F71"/>
    <w:rsid w:val="00FB6FA3"/>
    <w:rsid w:val="00FB6FC4"/>
    <w:rsid w:val="00FB7024"/>
    <w:rsid w:val="00FB702E"/>
    <w:rsid w:val="00FB7060"/>
    <w:rsid w:val="00FB7129"/>
    <w:rsid w:val="00FB713E"/>
    <w:rsid w:val="00FB7193"/>
    <w:rsid w:val="00FB7227"/>
    <w:rsid w:val="00FB722A"/>
    <w:rsid w:val="00FB723F"/>
    <w:rsid w:val="00FB7264"/>
    <w:rsid w:val="00FB735C"/>
    <w:rsid w:val="00FB7366"/>
    <w:rsid w:val="00FB7388"/>
    <w:rsid w:val="00FB73A5"/>
    <w:rsid w:val="00FB73EB"/>
    <w:rsid w:val="00FB745A"/>
    <w:rsid w:val="00FB7462"/>
    <w:rsid w:val="00FB747B"/>
    <w:rsid w:val="00FB74C8"/>
    <w:rsid w:val="00FB75FC"/>
    <w:rsid w:val="00FB7644"/>
    <w:rsid w:val="00FB771B"/>
    <w:rsid w:val="00FB7746"/>
    <w:rsid w:val="00FB77E3"/>
    <w:rsid w:val="00FB7808"/>
    <w:rsid w:val="00FB78BC"/>
    <w:rsid w:val="00FB78F9"/>
    <w:rsid w:val="00FB7926"/>
    <w:rsid w:val="00FB7A28"/>
    <w:rsid w:val="00FB7A3E"/>
    <w:rsid w:val="00FB7AB1"/>
    <w:rsid w:val="00FB7B18"/>
    <w:rsid w:val="00FB7BF0"/>
    <w:rsid w:val="00FB7C41"/>
    <w:rsid w:val="00FB7C57"/>
    <w:rsid w:val="00FB7C88"/>
    <w:rsid w:val="00FB7C8A"/>
    <w:rsid w:val="00FB7CF8"/>
    <w:rsid w:val="00FB7E45"/>
    <w:rsid w:val="00FB7FE2"/>
    <w:rsid w:val="00FC002A"/>
    <w:rsid w:val="00FC0295"/>
    <w:rsid w:val="00FC02BF"/>
    <w:rsid w:val="00FC035F"/>
    <w:rsid w:val="00FC0389"/>
    <w:rsid w:val="00FC0394"/>
    <w:rsid w:val="00FC039E"/>
    <w:rsid w:val="00FC042B"/>
    <w:rsid w:val="00FC04D1"/>
    <w:rsid w:val="00FC0542"/>
    <w:rsid w:val="00FC0558"/>
    <w:rsid w:val="00FC05C5"/>
    <w:rsid w:val="00FC0678"/>
    <w:rsid w:val="00FC06B9"/>
    <w:rsid w:val="00FC0722"/>
    <w:rsid w:val="00FC076D"/>
    <w:rsid w:val="00FC07A3"/>
    <w:rsid w:val="00FC0813"/>
    <w:rsid w:val="00FC0895"/>
    <w:rsid w:val="00FC089D"/>
    <w:rsid w:val="00FC08D6"/>
    <w:rsid w:val="00FC0A25"/>
    <w:rsid w:val="00FC0CA5"/>
    <w:rsid w:val="00FC0CC7"/>
    <w:rsid w:val="00FC0D93"/>
    <w:rsid w:val="00FC0E46"/>
    <w:rsid w:val="00FC0F15"/>
    <w:rsid w:val="00FC0F98"/>
    <w:rsid w:val="00FC0FC5"/>
    <w:rsid w:val="00FC1037"/>
    <w:rsid w:val="00FC1080"/>
    <w:rsid w:val="00FC10CF"/>
    <w:rsid w:val="00FC10E3"/>
    <w:rsid w:val="00FC11D8"/>
    <w:rsid w:val="00FC1278"/>
    <w:rsid w:val="00FC12A3"/>
    <w:rsid w:val="00FC12B3"/>
    <w:rsid w:val="00FC12C8"/>
    <w:rsid w:val="00FC12FD"/>
    <w:rsid w:val="00FC1311"/>
    <w:rsid w:val="00FC133F"/>
    <w:rsid w:val="00FC13D5"/>
    <w:rsid w:val="00FC152A"/>
    <w:rsid w:val="00FC15F4"/>
    <w:rsid w:val="00FC1612"/>
    <w:rsid w:val="00FC161F"/>
    <w:rsid w:val="00FC1683"/>
    <w:rsid w:val="00FC1737"/>
    <w:rsid w:val="00FC1793"/>
    <w:rsid w:val="00FC189A"/>
    <w:rsid w:val="00FC18F6"/>
    <w:rsid w:val="00FC194A"/>
    <w:rsid w:val="00FC1962"/>
    <w:rsid w:val="00FC1983"/>
    <w:rsid w:val="00FC19B9"/>
    <w:rsid w:val="00FC1ADF"/>
    <w:rsid w:val="00FC1AF0"/>
    <w:rsid w:val="00FC1B75"/>
    <w:rsid w:val="00FC1B79"/>
    <w:rsid w:val="00FC1B83"/>
    <w:rsid w:val="00FC1BD4"/>
    <w:rsid w:val="00FC1BEC"/>
    <w:rsid w:val="00FC1C3E"/>
    <w:rsid w:val="00FC1C97"/>
    <w:rsid w:val="00FC1D6B"/>
    <w:rsid w:val="00FC1D70"/>
    <w:rsid w:val="00FC1E0E"/>
    <w:rsid w:val="00FC208F"/>
    <w:rsid w:val="00FC2111"/>
    <w:rsid w:val="00FC21C7"/>
    <w:rsid w:val="00FC2306"/>
    <w:rsid w:val="00FC237A"/>
    <w:rsid w:val="00FC2396"/>
    <w:rsid w:val="00FC2420"/>
    <w:rsid w:val="00FC24F2"/>
    <w:rsid w:val="00FC25F1"/>
    <w:rsid w:val="00FC25F9"/>
    <w:rsid w:val="00FC260D"/>
    <w:rsid w:val="00FC26AC"/>
    <w:rsid w:val="00FC26B7"/>
    <w:rsid w:val="00FC2746"/>
    <w:rsid w:val="00FC2811"/>
    <w:rsid w:val="00FC2846"/>
    <w:rsid w:val="00FC286E"/>
    <w:rsid w:val="00FC2893"/>
    <w:rsid w:val="00FC28EA"/>
    <w:rsid w:val="00FC293E"/>
    <w:rsid w:val="00FC294F"/>
    <w:rsid w:val="00FC2A70"/>
    <w:rsid w:val="00FC2A72"/>
    <w:rsid w:val="00FC2A73"/>
    <w:rsid w:val="00FC2A91"/>
    <w:rsid w:val="00FC2B2F"/>
    <w:rsid w:val="00FC2C10"/>
    <w:rsid w:val="00FC2C4F"/>
    <w:rsid w:val="00FC2CCF"/>
    <w:rsid w:val="00FC2D82"/>
    <w:rsid w:val="00FC2F25"/>
    <w:rsid w:val="00FC2F85"/>
    <w:rsid w:val="00FC2F95"/>
    <w:rsid w:val="00FC2FCB"/>
    <w:rsid w:val="00FC3018"/>
    <w:rsid w:val="00FC3049"/>
    <w:rsid w:val="00FC306A"/>
    <w:rsid w:val="00FC3183"/>
    <w:rsid w:val="00FC3185"/>
    <w:rsid w:val="00FC31B4"/>
    <w:rsid w:val="00FC31BE"/>
    <w:rsid w:val="00FC325C"/>
    <w:rsid w:val="00FC3467"/>
    <w:rsid w:val="00FC3477"/>
    <w:rsid w:val="00FC34A1"/>
    <w:rsid w:val="00FC34BB"/>
    <w:rsid w:val="00FC3520"/>
    <w:rsid w:val="00FC3623"/>
    <w:rsid w:val="00FC3660"/>
    <w:rsid w:val="00FC366D"/>
    <w:rsid w:val="00FC3687"/>
    <w:rsid w:val="00FC36C6"/>
    <w:rsid w:val="00FC3716"/>
    <w:rsid w:val="00FC375B"/>
    <w:rsid w:val="00FC37D7"/>
    <w:rsid w:val="00FC37F5"/>
    <w:rsid w:val="00FC3882"/>
    <w:rsid w:val="00FC38A1"/>
    <w:rsid w:val="00FC3A15"/>
    <w:rsid w:val="00FC3A35"/>
    <w:rsid w:val="00FC3A99"/>
    <w:rsid w:val="00FC3ADD"/>
    <w:rsid w:val="00FC3B62"/>
    <w:rsid w:val="00FC3C2C"/>
    <w:rsid w:val="00FC3D1A"/>
    <w:rsid w:val="00FC3D5D"/>
    <w:rsid w:val="00FC3DC8"/>
    <w:rsid w:val="00FC3E17"/>
    <w:rsid w:val="00FC3E78"/>
    <w:rsid w:val="00FC3E9D"/>
    <w:rsid w:val="00FC3EAC"/>
    <w:rsid w:val="00FC3EBA"/>
    <w:rsid w:val="00FC3ECD"/>
    <w:rsid w:val="00FC3EE8"/>
    <w:rsid w:val="00FC3EF2"/>
    <w:rsid w:val="00FC3F25"/>
    <w:rsid w:val="00FC3F2B"/>
    <w:rsid w:val="00FC3F98"/>
    <w:rsid w:val="00FC3FA1"/>
    <w:rsid w:val="00FC3FA7"/>
    <w:rsid w:val="00FC3FC7"/>
    <w:rsid w:val="00FC4011"/>
    <w:rsid w:val="00FC4057"/>
    <w:rsid w:val="00FC41D6"/>
    <w:rsid w:val="00FC4228"/>
    <w:rsid w:val="00FC423A"/>
    <w:rsid w:val="00FC4243"/>
    <w:rsid w:val="00FC427C"/>
    <w:rsid w:val="00FC4286"/>
    <w:rsid w:val="00FC4288"/>
    <w:rsid w:val="00FC4386"/>
    <w:rsid w:val="00FC445F"/>
    <w:rsid w:val="00FC44AC"/>
    <w:rsid w:val="00FC44AD"/>
    <w:rsid w:val="00FC44C8"/>
    <w:rsid w:val="00FC451C"/>
    <w:rsid w:val="00FC451E"/>
    <w:rsid w:val="00FC459E"/>
    <w:rsid w:val="00FC45E8"/>
    <w:rsid w:val="00FC464A"/>
    <w:rsid w:val="00FC466F"/>
    <w:rsid w:val="00FC4682"/>
    <w:rsid w:val="00FC468A"/>
    <w:rsid w:val="00FC46A5"/>
    <w:rsid w:val="00FC46B4"/>
    <w:rsid w:val="00FC46C5"/>
    <w:rsid w:val="00FC46DA"/>
    <w:rsid w:val="00FC4748"/>
    <w:rsid w:val="00FC4804"/>
    <w:rsid w:val="00FC4820"/>
    <w:rsid w:val="00FC48A3"/>
    <w:rsid w:val="00FC48F4"/>
    <w:rsid w:val="00FC4A00"/>
    <w:rsid w:val="00FC4A1D"/>
    <w:rsid w:val="00FC4B6B"/>
    <w:rsid w:val="00FC4B8F"/>
    <w:rsid w:val="00FC4BC7"/>
    <w:rsid w:val="00FC4C04"/>
    <w:rsid w:val="00FC4C27"/>
    <w:rsid w:val="00FC4D18"/>
    <w:rsid w:val="00FC4DBE"/>
    <w:rsid w:val="00FC4DD5"/>
    <w:rsid w:val="00FC4EB8"/>
    <w:rsid w:val="00FC4EBD"/>
    <w:rsid w:val="00FC4EC5"/>
    <w:rsid w:val="00FC4EF3"/>
    <w:rsid w:val="00FC4F92"/>
    <w:rsid w:val="00FC5056"/>
    <w:rsid w:val="00FC506E"/>
    <w:rsid w:val="00FC5087"/>
    <w:rsid w:val="00FC5091"/>
    <w:rsid w:val="00FC50E1"/>
    <w:rsid w:val="00FC5103"/>
    <w:rsid w:val="00FC5131"/>
    <w:rsid w:val="00FC519E"/>
    <w:rsid w:val="00FC51A3"/>
    <w:rsid w:val="00FC51F2"/>
    <w:rsid w:val="00FC53AE"/>
    <w:rsid w:val="00FC53E6"/>
    <w:rsid w:val="00FC546F"/>
    <w:rsid w:val="00FC5479"/>
    <w:rsid w:val="00FC548F"/>
    <w:rsid w:val="00FC54E8"/>
    <w:rsid w:val="00FC5538"/>
    <w:rsid w:val="00FC55B6"/>
    <w:rsid w:val="00FC5610"/>
    <w:rsid w:val="00FC569D"/>
    <w:rsid w:val="00FC56CB"/>
    <w:rsid w:val="00FC57D6"/>
    <w:rsid w:val="00FC57E1"/>
    <w:rsid w:val="00FC5805"/>
    <w:rsid w:val="00FC5852"/>
    <w:rsid w:val="00FC58E0"/>
    <w:rsid w:val="00FC5928"/>
    <w:rsid w:val="00FC5B42"/>
    <w:rsid w:val="00FC5C37"/>
    <w:rsid w:val="00FC5C71"/>
    <w:rsid w:val="00FC5C9B"/>
    <w:rsid w:val="00FC5D31"/>
    <w:rsid w:val="00FC5D3E"/>
    <w:rsid w:val="00FC5DAC"/>
    <w:rsid w:val="00FC5DF0"/>
    <w:rsid w:val="00FC5E4F"/>
    <w:rsid w:val="00FC5E90"/>
    <w:rsid w:val="00FC604B"/>
    <w:rsid w:val="00FC608C"/>
    <w:rsid w:val="00FC60F8"/>
    <w:rsid w:val="00FC61C7"/>
    <w:rsid w:val="00FC6200"/>
    <w:rsid w:val="00FC6249"/>
    <w:rsid w:val="00FC62CF"/>
    <w:rsid w:val="00FC6383"/>
    <w:rsid w:val="00FC63B6"/>
    <w:rsid w:val="00FC646D"/>
    <w:rsid w:val="00FC6479"/>
    <w:rsid w:val="00FC64CD"/>
    <w:rsid w:val="00FC65BD"/>
    <w:rsid w:val="00FC662A"/>
    <w:rsid w:val="00FC6659"/>
    <w:rsid w:val="00FC6697"/>
    <w:rsid w:val="00FC67B3"/>
    <w:rsid w:val="00FC67E1"/>
    <w:rsid w:val="00FC67F5"/>
    <w:rsid w:val="00FC6825"/>
    <w:rsid w:val="00FC68DE"/>
    <w:rsid w:val="00FC6952"/>
    <w:rsid w:val="00FC6956"/>
    <w:rsid w:val="00FC697E"/>
    <w:rsid w:val="00FC698D"/>
    <w:rsid w:val="00FC6A16"/>
    <w:rsid w:val="00FC6A88"/>
    <w:rsid w:val="00FC6AEA"/>
    <w:rsid w:val="00FC6B15"/>
    <w:rsid w:val="00FC6B1D"/>
    <w:rsid w:val="00FC6BCA"/>
    <w:rsid w:val="00FC6BF1"/>
    <w:rsid w:val="00FC6CB4"/>
    <w:rsid w:val="00FC6CD4"/>
    <w:rsid w:val="00FC6D3A"/>
    <w:rsid w:val="00FC6DC8"/>
    <w:rsid w:val="00FC6DF1"/>
    <w:rsid w:val="00FC6E98"/>
    <w:rsid w:val="00FC6ED0"/>
    <w:rsid w:val="00FC6F76"/>
    <w:rsid w:val="00FC7027"/>
    <w:rsid w:val="00FC705E"/>
    <w:rsid w:val="00FC709A"/>
    <w:rsid w:val="00FC70A8"/>
    <w:rsid w:val="00FC714E"/>
    <w:rsid w:val="00FC715E"/>
    <w:rsid w:val="00FC71B5"/>
    <w:rsid w:val="00FC7252"/>
    <w:rsid w:val="00FC7262"/>
    <w:rsid w:val="00FC732F"/>
    <w:rsid w:val="00FC73AA"/>
    <w:rsid w:val="00FC73DD"/>
    <w:rsid w:val="00FC7408"/>
    <w:rsid w:val="00FC7414"/>
    <w:rsid w:val="00FC747D"/>
    <w:rsid w:val="00FC74B7"/>
    <w:rsid w:val="00FC751A"/>
    <w:rsid w:val="00FC7590"/>
    <w:rsid w:val="00FC75B6"/>
    <w:rsid w:val="00FC75DA"/>
    <w:rsid w:val="00FC7608"/>
    <w:rsid w:val="00FC7676"/>
    <w:rsid w:val="00FC76AB"/>
    <w:rsid w:val="00FC7719"/>
    <w:rsid w:val="00FC7753"/>
    <w:rsid w:val="00FC7787"/>
    <w:rsid w:val="00FC7870"/>
    <w:rsid w:val="00FC78B3"/>
    <w:rsid w:val="00FC793C"/>
    <w:rsid w:val="00FC794A"/>
    <w:rsid w:val="00FC7987"/>
    <w:rsid w:val="00FC7A28"/>
    <w:rsid w:val="00FC7B0D"/>
    <w:rsid w:val="00FC7B6E"/>
    <w:rsid w:val="00FC7BF2"/>
    <w:rsid w:val="00FC7CEB"/>
    <w:rsid w:val="00FC7D02"/>
    <w:rsid w:val="00FC7D30"/>
    <w:rsid w:val="00FC7E91"/>
    <w:rsid w:val="00FC7F86"/>
    <w:rsid w:val="00FC7F93"/>
    <w:rsid w:val="00FC7FE2"/>
    <w:rsid w:val="00FD00BA"/>
    <w:rsid w:val="00FD0104"/>
    <w:rsid w:val="00FD011F"/>
    <w:rsid w:val="00FD014F"/>
    <w:rsid w:val="00FD0151"/>
    <w:rsid w:val="00FD01C8"/>
    <w:rsid w:val="00FD0290"/>
    <w:rsid w:val="00FD029F"/>
    <w:rsid w:val="00FD044B"/>
    <w:rsid w:val="00FD0464"/>
    <w:rsid w:val="00FD049A"/>
    <w:rsid w:val="00FD04F0"/>
    <w:rsid w:val="00FD0593"/>
    <w:rsid w:val="00FD06FD"/>
    <w:rsid w:val="00FD0757"/>
    <w:rsid w:val="00FD0783"/>
    <w:rsid w:val="00FD0799"/>
    <w:rsid w:val="00FD07C3"/>
    <w:rsid w:val="00FD07F3"/>
    <w:rsid w:val="00FD08F1"/>
    <w:rsid w:val="00FD0912"/>
    <w:rsid w:val="00FD09A3"/>
    <w:rsid w:val="00FD09B9"/>
    <w:rsid w:val="00FD09D4"/>
    <w:rsid w:val="00FD09D6"/>
    <w:rsid w:val="00FD0A23"/>
    <w:rsid w:val="00FD0AAA"/>
    <w:rsid w:val="00FD0B81"/>
    <w:rsid w:val="00FD0B89"/>
    <w:rsid w:val="00FD0BA4"/>
    <w:rsid w:val="00FD0BDE"/>
    <w:rsid w:val="00FD0C6E"/>
    <w:rsid w:val="00FD0E87"/>
    <w:rsid w:val="00FD0EEE"/>
    <w:rsid w:val="00FD0F09"/>
    <w:rsid w:val="00FD0F7B"/>
    <w:rsid w:val="00FD0F9D"/>
    <w:rsid w:val="00FD1041"/>
    <w:rsid w:val="00FD10AF"/>
    <w:rsid w:val="00FD110C"/>
    <w:rsid w:val="00FD113F"/>
    <w:rsid w:val="00FD1278"/>
    <w:rsid w:val="00FD12C1"/>
    <w:rsid w:val="00FD12D4"/>
    <w:rsid w:val="00FD1324"/>
    <w:rsid w:val="00FD137B"/>
    <w:rsid w:val="00FD13EE"/>
    <w:rsid w:val="00FD159F"/>
    <w:rsid w:val="00FD15C1"/>
    <w:rsid w:val="00FD15FA"/>
    <w:rsid w:val="00FD165C"/>
    <w:rsid w:val="00FD16B1"/>
    <w:rsid w:val="00FD16B8"/>
    <w:rsid w:val="00FD1726"/>
    <w:rsid w:val="00FD173F"/>
    <w:rsid w:val="00FD1846"/>
    <w:rsid w:val="00FD186E"/>
    <w:rsid w:val="00FD1889"/>
    <w:rsid w:val="00FD18CA"/>
    <w:rsid w:val="00FD18EC"/>
    <w:rsid w:val="00FD1986"/>
    <w:rsid w:val="00FD19D6"/>
    <w:rsid w:val="00FD19FF"/>
    <w:rsid w:val="00FD1A39"/>
    <w:rsid w:val="00FD1A8B"/>
    <w:rsid w:val="00FD1A8E"/>
    <w:rsid w:val="00FD1ACD"/>
    <w:rsid w:val="00FD1B05"/>
    <w:rsid w:val="00FD1B47"/>
    <w:rsid w:val="00FD1B7D"/>
    <w:rsid w:val="00FD1BA1"/>
    <w:rsid w:val="00FD1BA5"/>
    <w:rsid w:val="00FD1C15"/>
    <w:rsid w:val="00FD1C85"/>
    <w:rsid w:val="00FD1CE7"/>
    <w:rsid w:val="00FD1E80"/>
    <w:rsid w:val="00FD1F0B"/>
    <w:rsid w:val="00FD1F56"/>
    <w:rsid w:val="00FD1F92"/>
    <w:rsid w:val="00FD1FFF"/>
    <w:rsid w:val="00FD2051"/>
    <w:rsid w:val="00FD2142"/>
    <w:rsid w:val="00FD2146"/>
    <w:rsid w:val="00FD2162"/>
    <w:rsid w:val="00FD222A"/>
    <w:rsid w:val="00FD2254"/>
    <w:rsid w:val="00FD22AD"/>
    <w:rsid w:val="00FD22BB"/>
    <w:rsid w:val="00FD236B"/>
    <w:rsid w:val="00FD2374"/>
    <w:rsid w:val="00FD239F"/>
    <w:rsid w:val="00FD23C6"/>
    <w:rsid w:val="00FD2403"/>
    <w:rsid w:val="00FD2412"/>
    <w:rsid w:val="00FD25E7"/>
    <w:rsid w:val="00FD2604"/>
    <w:rsid w:val="00FD2622"/>
    <w:rsid w:val="00FD266B"/>
    <w:rsid w:val="00FD26A4"/>
    <w:rsid w:val="00FD27B2"/>
    <w:rsid w:val="00FD2833"/>
    <w:rsid w:val="00FD2870"/>
    <w:rsid w:val="00FD2873"/>
    <w:rsid w:val="00FD2926"/>
    <w:rsid w:val="00FD296E"/>
    <w:rsid w:val="00FD297D"/>
    <w:rsid w:val="00FD2986"/>
    <w:rsid w:val="00FD29E3"/>
    <w:rsid w:val="00FD2A15"/>
    <w:rsid w:val="00FD2A3E"/>
    <w:rsid w:val="00FD2AF5"/>
    <w:rsid w:val="00FD2B96"/>
    <w:rsid w:val="00FD2BB9"/>
    <w:rsid w:val="00FD2BED"/>
    <w:rsid w:val="00FD2C2D"/>
    <w:rsid w:val="00FD2C32"/>
    <w:rsid w:val="00FD2C82"/>
    <w:rsid w:val="00FD2C90"/>
    <w:rsid w:val="00FD2CAE"/>
    <w:rsid w:val="00FD2D2D"/>
    <w:rsid w:val="00FD2D64"/>
    <w:rsid w:val="00FD2D6F"/>
    <w:rsid w:val="00FD2DD5"/>
    <w:rsid w:val="00FD2E5D"/>
    <w:rsid w:val="00FD2EE1"/>
    <w:rsid w:val="00FD2EE3"/>
    <w:rsid w:val="00FD2F12"/>
    <w:rsid w:val="00FD2F42"/>
    <w:rsid w:val="00FD2F77"/>
    <w:rsid w:val="00FD2FCE"/>
    <w:rsid w:val="00FD3013"/>
    <w:rsid w:val="00FD303A"/>
    <w:rsid w:val="00FD3127"/>
    <w:rsid w:val="00FD320A"/>
    <w:rsid w:val="00FD3234"/>
    <w:rsid w:val="00FD3253"/>
    <w:rsid w:val="00FD32C0"/>
    <w:rsid w:val="00FD32E2"/>
    <w:rsid w:val="00FD32E8"/>
    <w:rsid w:val="00FD3336"/>
    <w:rsid w:val="00FD334A"/>
    <w:rsid w:val="00FD33E3"/>
    <w:rsid w:val="00FD3413"/>
    <w:rsid w:val="00FD3423"/>
    <w:rsid w:val="00FD3468"/>
    <w:rsid w:val="00FD34AB"/>
    <w:rsid w:val="00FD34B7"/>
    <w:rsid w:val="00FD3553"/>
    <w:rsid w:val="00FD37EA"/>
    <w:rsid w:val="00FD3852"/>
    <w:rsid w:val="00FD3868"/>
    <w:rsid w:val="00FD38CE"/>
    <w:rsid w:val="00FD39AF"/>
    <w:rsid w:val="00FD39C1"/>
    <w:rsid w:val="00FD3A41"/>
    <w:rsid w:val="00FD3A5F"/>
    <w:rsid w:val="00FD3ACB"/>
    <w:rsid w:val="00FD3B1D"/>
    <w:rsid w:val="00FD3B3B"/>
    <w:rsid w:val="00FD3B91"/>
    <w:rsid w:val="00FD3BFD"/>
    <w:rsid w:val="00FD3C2D"/>
    <w:rsid w:val="00FD3C7D"/>
    <w:rsid w:val="00FD3CBD"/>
    <w:rsid w:val="00FD3D1C"/>
    <w:rsid w:val="00FD3D1F"/>
    <w:rsid w:val="00FD3E1A"/>
    <w:rsid w:val="00FD3E2D"/>
    <w:rsid w:val="00FD3E4E"/>
    <w:rsid w:val="00FD3E71"/>
    <w:rsid w:val="00FD3E8B"/>
    <w:rsid w:val="00FD3ECE"/>
    <w:rsid w:val="00FD3F24"/>
    <w:rsid w:val="00FD3F34"/>
    <w:rsid w:val="00FD3F3C"/>
    <w:rsid w:val="00FD3F3F"/>
    <w:rsid w:val="00FD3F77"/>
    <w:rsid w:val="00FD3FBD"/>
    <w:rsid w:val="00FD3FE2"/>
    <w:rsid w:val="00FD4040"/>
    <w:rsid w:val="00FD404F"/>
    <w:rsid w:val="00FD4055"/>
    <w:rsid w:val="00FD40BA"/>
    <w:rsid w:val="00FD4135"/>
    <w:rsid w:val="00FD4218"/>
    <w:rsid w:val="00FD4261"/>
    <w:rsid w:val="00FD4271"/>
    <w:rsid w:val="00FD4293"/>
    <w:rsid w:val="00FD429B"/>
    <w:rsid w:val="00FD42C7"/>
    <w:rsid w:val="00FD43C7"/>
    <w:rsid w:val="00FD442E"/>
    <w:rsid w:val="00FD4447"/>
    <w:rsid w:val="00FD449E"/>
    <w:rsid w:val="00FD450B"/>
    <w:rsid w:val="00FD45AC"/>
    <w:rsid w:val="00FD45B0"/>
    <w:rsid w:val="00FD45FF"/>
    <w:rsid w:val="00FD4644"/>
    <w:rsid w:val="00FD4663"/>
    <w:rsid w:val="00FD4678"/>
    <w:rsid w:val="00FD4726"/>
    <w:rsid w:val="00FD4728"/>
    <w:rsid w:val="00FD4766"/>
    <w:rsid w:val="00FD476B"/>
    <w:rsid w:val="00FD4777"/>
    <w:rsid w:val="00FD4798"/>
    <w:rsid w:val="00FD47A3"/>
    <w:rsid w:val="00FD47AF"/>
    <w:rsid w:val="00FD480C"/>
    <w:rsid w:val="00FD4824"/>
    <w:rsid w:val="00FD4863"/>
    <w:rsid w:val="00FD4865"/>
    <w:rsid w:val="00FD4872"/>
    <w:rsid w:val="00FD48FD"/>
    <w:rsid w:val="00FD4997"/>
    <w:rsid w:val="00FD4B80"/>
    <w:rsid w:val="00FD4C37"/>
    <w:rsid w:val="00FD4C3F"/>
    <w:rsid w:val="00FD4C68"/>
    <w:rsid w:val="00FD4CE1"/>
    <w:rsid w:val="00FD4D0D"/>
    <w:rsid w:val="00FD4D41"/>
    <w:rsid w:val="00FD4DAA"/>
    <w:rsid w:val="00FD4DC4"/>
    <w:rsid w:val="00FD4E5A"/>
    <w:rsid w:val="00FD4E6A"/>
    <w:rsid w:val="00FD4EEC"/>
    <w:rsid w:val="00FD4F14"/>
    <w:rsid w:val="00FD4F85"/>
    <w:rsid w:val="00FD5035"/>
    <w:rsid w:val="00FD508B"/>
    <w:rsid w:val="00FD50CF"/>
    <w:rsid w:val="00FD511E"/>
    <w:rsid w:val="00FD5136"/>
    <w:rsid w:val="00FD515D"/>
    <w:rsid w:val="00FD51E2"/>
    <w:rsid w:val="00FD5283"/>
    <w:rsid w:val="00FD528F"/>
    <w:rsid w:val="00FD529F"/>
    <w:rsid w:val="00FD532C"/>
    <w:rsid w:val="00FD5335"/>
    <w:rsid w:val="00FD543D"/>
    <w:rsid w:val="00FD54F4"/>
    <w:rsid w:val="00FD5508"/>
    <w:rsid w:val="00FD5549"/>
    <w:rsid w:val="00FD5595"/>
    <w:rsid w:val="00FD55B3"/>
    <w:rsid w:val="00FD5623"/>
    <w:rsid w:val="00FD568E"/>
    <w:rsid w:val="00FD56DD"/>
    <w:rsid w:val="00FD5750"/>
    <w:rsid w:val="00FD5814"/>
    <w:rsid w:val="00FD58AC"/>
    <w:rsid w:val="00FD597D"/>
    <w:rsid w:val="00FD5980"/>
    <w:rsid w:val="00FD59E4"/>
    <w:rsid w:val="00FD5A16"/>
    <w:rsid w:val="00FD5A5A"/>
    <w:rsid w:val="00FD5AB9"/>
    <w:rsid w:val="00FD5ADE"/>
    <w:rsid w:val="00FD5B38"/>
    <w:rsid w:val="00FD5B40"/>
    <w:rsid w:val="00FD5B5D"/>
    <w:rsid w:val="00FD5B8C"/>
    <w:rsid w:val="00FD5BDF"/>
    <w:rsid w:val="00FD5BFB"/>
    <w:rsid w:val="00FD5C9D"/>
    <w:rsid w:val="00FD5CCA"/>
    <w:rsid w:val="00FD5DEC"/>
    <w:rsid w:val="00FD5E2C"/>
    <w:rsid w:val="00FD5E53"/>
    <w:rsid w:val="00FD5F78"/>
    <w:rsid w:val="00FD5FDD"/>
    <w:rsid w:val="00FD5FEC"/>
    <w:rsid w:val="00FD5FF2"/>
    <w:rsid w:val="00FD6023"/>
    <w:rsid w:val="00FD60EB"/>
    <w:rsid w:val="00FD6150"/>
    <w:rsid w:val="00FD6164"/>
    <w:rsid w:val="00FD61B3"/>
    <w:rsid w:val="00FD61D3"/>
    <w:rsid w:val="00FD6212"/>
    <w:rsid w:val="00FD62B8"/>
    <w:rsid w:val="00FD62CB"/>
    <w:rsid w:val="00FD62DA"/>
    <w:rsid w:val="00FD63DA"/>
    <w:rsid w:val="00FD63EB"/>
    <w:rsid w:val="00FD64E6"/>
    <w:rsid w:val="00FD6528"/>
    <w:rsid w:val="00FD652B"/>
    <w:rsid w:val="00FD653F"/>
    <w:rsid w:val="00FD6583"/>
    <w:rsid w:val="00FD6607"/>
    <w:rsid w:val="00FD66A0"/>
    <w:rsid w:val="00FD66D7"/>
    <w:rsid w:val="00FD679C"/>
    <w:rsid w:val="00FD67AB"/>
    <w:rsid w:val="00FD6823"/>
    <w:rsid w:val="00FD68CD"/>
    <w:rsid w:val="00FD698E"/>
    <w:rsid w:val="00FD6A51"/>
    <w:rsid w:val="00FD6AF1"/>
    <w:rsid w:val="00FD6AF2"/>
    <w:rsid w:val="00FD6B6E"/>
    <w:rsid w:val="00FD6BB4"/>
    <w:rsid w:val="00FD6D1B"/>
    <w:rsid w:val="00FD6E93"/>
    <w:rsid w:val="00FD6EB6"/>
    <w:rsid w:val="00FD6F18"/>
    <w:rsid w:val="00FD6F45"/>
    <w:rsid w:val="00FD6F4C"/>
    <w:rsid w:val="00FD6F8F"/>
    <w:rsid w:val="00FD6FC4"/>
    <w:rsid w:val="00FD6FDD"/>
    <w:rsid w:val="00FD7028"/>
    <w:rsid w:val="00FD703F"/>
    <w:rsid w:val="00FD71C8"/>
    <w:rsid w:val="00FD71E5"/>
    <w:rsid w:val="00FD7286"/>
    <w:rsid w:val="00FD72B8"/>
    <w:rsid w:val="00FD72EA"/>
    <w:rsid w:val="00FD7333"/>
    <w:rsid w:val="00FD7394"/>
    <w:rsid w:val="00FD73A1"/>
    <w:rsid w:val="00FD740D"/>
    <w:rsid w:val="00FD7431"/>
    <w:rsid w:val="00FD7461"/>
    <w:rsid w:val="00FD748C"/>
    <w:rsid w:val="00FD7536"/>
    <w:rsid w:val="00FD755E"/>
    <w:rsid w:val="00FD759C"/>
    <w:rsid w:val="00FD75D8"/>
    <w:rsid w:val="00FD761A"/>
    <w:rsid w:val="00FD761D"/>
    <w:rsid w:val="00FD77BE"/>
    <w:rsid w:val="00FD7973"/>
    <w:rsid w:val="00FD79B0"/>
    <w:rsid w:val="00FD7A0A"/>
    <w:rsid w:val="00FD7A30"/>
    <w:rsid w:val="00FD7A4B"/>
    <w:rsid w:val="00FD7A7E"/>
    <w:rsid w:val="00FD7C44"/>
    <w:rsid w:val="00FD7C7F"/>
    <w:rsid w:val="00FD7D79"/>
    <w:rsid w:val="00FD7D90"/>
    <w:rsid w:val="00FD7E9A"/>
    <w:rsid w:val="00FD7EDE"/>
    <w:rsid w:val="00FD7F18"/>
    <w:rsid w:val="00FD7F44"/>
    <w:rsid w:val="00FE00A1"/>
    <w:rsid w:val="00FE01A2"/>
    <w:rsid w:val="00FE01E2"/>
    <w:rsid w:val="00FE0214"/>
    <w:rsid w:val="00FE026C"/>
    <w:rsid w:val="00FE0275"/>
    <w:rsid w:val="00FE0374"/>
    <w:rsid w:val="00FE0393"/>
    <w:rsid w:val="00FE0408"/>
    <w:rsid w:val="00FE0433"/>
    <w:rsid w:val="00FE0471"/>
    <w:rsid w:val="00FE049B"/>
    <w:rsid w:val="00FE04C3"/>
    <w:rsid w:val="00FE0604"/>
    <w:rsid w:val="00FE0607"/>
    <w:rsid w:val="00FE06A7"/>
    <w:rsid w:val="00FE0747"/>
    <w:rsid w:val="00FE078B"/>
    <w:rsid w:val="00FE0883"/>
    <w:rsid w:val="00FE08BD"/>
    <w:rsid w:val="00FE08E8"/>
    <w:rsid w:val="00FE08E9"/>
    <w:rsid w:val="00FE092C"/>
    <w:rsid w:val="00FE0939"/>
    <w:rsid w:val="00FE099A"/>
    <w:rsid w:val="00FE0A66"/>
    <w:rsid w:val="00FE0B45"/>
    <w:rsid w:val="00FE0BD2"/>
    <w:rsid w:val="00FE0C45"/>
    <w:rsid w:val="00FE0C6B"/>
    <w:rsid w:val="00FE0D3E"/>
    <w:rsid w:val="00FE0D7E"/>
    <w:rsid w:val="00FE0D9C"/>
    <w:rsid w:val="00FE0E00"/>
    <w:rsid w:val="00FE0E5D"/>
    <w:rsid w:val="00FE0E88"/>
    <w:rsid w:val="00FE0FB1"/>
    <w:rsid w:val="00FE0FB5"/>
    <w:rsid w:val="00FE0FEC"/>
    <w:rsid w:val="00FE1086"/>
    <w:rsid w:val="00FE10A7"/>
    <w:rsid w:val="00FE10FA"/>
    <w:rsid w:val="00FE1165"/>
    <w:rsid w:val="00FE11A4"/>
    <w:rsid w:val="00FE1229"/>
    <w:rsid w:val="00FE133D"/>
    <w:rsid w:val="00FE13CD"/>
    <w:rsid w:val="00FE13E5"/>
    <w:rsid w:val="00FE1425"/>
    <w:rsid w:val="00FE14DF"/>
    <w:rsid w:val="00FE14FA"/>
    <w:rsid w:val="00FE1513"/>
    <w:rsid w:val="00FE1514"/>
    <w:rsid w:val="00FE1685"/>
    <w:rsid w:val="00FE16BC"/>
    <w:rsid w:val="00FE16D2"/>
    <w:rsid w:val="00FE1782"/>
    <w:rsid w:val="00FE17B5"/>
    <w:rsid w:val="00FE188C"/>
    <w:rsid w:val="00FE18C2"/>
    <w:rsid w:val="00FE18F4"/>
    <w:rsid w:val="00FE1971"/>
    <w:rsid w:val="00FE19B4"/>
    <w:rsid w:val="00FE19D4"/>
    <w:rsid w:val="00FE19FE"/>
    <w:rsid w:val="00FE1A00"/>
    <w:rsid w:val="00FE1A3B"/>
    <w:rsid w:val="00FE1A9A"/>
    <w:rsid w:val="00FE1AC0"/>
    <w:rsid w:val="00FE1AC3"/>
    <w:rsid w:val="00FE1ADA"/>
    <w:rsid w:val="00FE1AE2"/>
    <w:rsid w:val="00FE1C41"/>
    <w:rsid w:val="00FE1D26"/>
    <w:rsid w:val="00FE1D8D"/>
    <w:rsid w:val="00FE1F5F"/>
    <w:rsid w:val="00FE2092"/>
    <w:rsid w:val="00FE21C7"/>
    <w:rsid w:val="00FE21F1"/>
    <w:rsid w:val="00FE22C7"/>
    <w:rsid w:val="00FE22F0"/>
    <w:rsid w:val="00FE22FF"/>
    <w:rsid w:val="00FE236E"/>
    <w:rsid w:val="00FE23E5"/>
    <w:rsid w:val="00FE2420"/>
    <w:rsid w:val="00FE2454"/>
    <w:rsid w:val="00FE2498"/>
    <w:rsid w:val="00FE24A6"/>
    <w:rsid w:val="00FE2515"/>
    <w:rsid w:val="00FE2526"/>
    <w:rsid w:val="00FE2585"/>
    <w:rsid w:val="00FE2648"/>
    <w:rsid w:val="00FE26B4"/>
    <w:rsid w:val="00FE2712"/>
    <w:rsid w:val="00FE274C"/>
    <w:rsid w:val="00FE276C"/>
    <w:rsid w:val="00FE2822"/>
    <w:rsid w:val="00FE2849"/>
    <w:rsid w:val="00FE2878"/>
    <w:rsid w:val="00FE28B0"/>
    <w:rsid w:val="00FE28B3"/>
    <w:rsid w:val="00FE2951"/>
    <w:rsid w:val="00FE2974"/>
    <w:rsid w:val="00FE29DB"/>
    <w:rsid w:val="00FE2A60"/>
    <w:rsid w:val="00FE2AC2"/>
    <w:rsid w:val="00FE2B45"/>
    <w:rsid w:val="00FE2B55"/>
    <w:rsid w:val="00FE2B96"/>
    <w:rsid w:val="00FE2B99"/>
    <w:rsid w:val="00FE2BFC"/>
    <w:rsid w:val="00FE2DB7"/>
    <w:rsid w:val="00FE2E70"/>
    <w:rsid w:val="00FE2EA0"/>
    <w:rsid w:val="00FE2F10"/>
    <w:rsid w:val="00FE2F16"/>
    <w:rsid w:val="00FE2FA1"/>
    <w:rsid w:val="00FE2FAF"/>
    <w:rsid w:val="00FE3005"/>
    <w:rsid w:val="00FE3037"/>
    <w:rsid w:val="00FE30CF"/>
    <w:rsid w:val="00FE3104"/>
    <w:rsid w:val="00FE3139"/>
    <w:rsid w:val="00FE315B"/>
    <w:rsid w:val="00FE32E2"/>
    <w:rsid w:val="00FE333A"/>
    <w:rsid w:val="00FE3350"/>
    <w:rsid w:val="00FE3405"/>
    <w:rsid w:val="00FE353A"/>
    <w:rsid w:val="00FE3566"/>
    <w:rsid w:val="00FE3568"/>
    <w:rsid w:val="00FE35DB"/>
    <w:rsid w:val="00FE3686"/>
    <w:rsid w:val="00FE36E4"/>
    <w:rsid w:val="00FE3809"/>
    <w:rsid w:val="00FE38D6"/>
    <w:rsid w:val="00FE38ED"/>
    <w:rsid w:val="00FE38FA"/>
    <w:rsid w:val="00FE3994"/>
    <w:rsid w:val="00FE3A0A"/>
    <w:rsid w:val="00FE3A25"/>
    <w:rsid w:val="00FE3A33"/>
    <w:rsid w:val="00FE3A35"/>
    <w:rsid w:val="00FE3A6A"/>
    <w:rsid w:val="00FE3A75"/>
    <w:rsid w:val="00FE3A76"/>
    <w:rsid w:val="00FE3A86"/>
    <w:rsid w:val="00FE3AE4"/>
    <w:rsid w:val="00FE3B13"/>
    <w:rsid w:val="00FE3B60"/>
    <w:rsid w:val="00FE3B6F"/>
    <w:rsid w:val="00FE3B7A"/>
    <w:rsid w:val="00FE3B8B"/>
    <w:rsid w:val="00FE3BD3"/>
    <w:rsid w:val="00FE3BE9"/>
    <w:rsid w:val="00FE3BF5"/>
    <w:rsid w:val="00FE3C0A"/>
    <w:rsid w:val="00FE3C59"/>
    <w:rsid w:val="00FE3C83"/>
    <w:rsid w:val="00FE3C86"/>
    <w:rsid w:val="00FE3CC6"/>
    <w:rsid w:val="00FE3D40"/>
    <w:rsid w:val="00FE3D47"/>
    <w:rsid w:val="00FE3EF1"/>
    <w:rsid w:val="00FE4086"/>
    <w:rsid w:val="00FE40A0"/>
    <w:rsid w:val="00FE40CD"/>
    <w:rsid w:val="00FE4106"/>
    <w:rsid w:val="00FE410C"/>
    <w:rsid w:val="00FE413F"/>
    <w:rsid w:val="00FE422F"/>
    <w:rsid w:val="00FE42C2"/>
    <w:rsid w:val="00FE42E9"/>
    <w:rsid w:val="00FE4300"/>
    <w:rsid w:val="00FE4302"/>
    <w:rsid w:val="00FE431C"/>
    <w:rsid w:val="00FE434C"/>
    <w:rsid w:val="00FE4391"/>
    <w:rsid w:val="00FE43DC"/>
    <w:rsid w:val="00FE441C"/>
    <w:rsid w:val="00FE44F2"/>
    <w:rsid w:val="00FE4553"/>
    <w:rsid w:val="00FE4589"/>
    <w:rsid w:val="00FE459C"/>
    <w:rsid w:val="00FE45AA"/>
    <w:rsid w:val="00FE45C4"/>
    <w:rsid w:val="00FE45F2"/>
    <w:rsid w:val="00FE46A5"/>
    <w:rsid w:val="00FE46E9"/>
    <w:rsid w:val="00FE476F"/>
    <w:rsid w:val="00FE4871"/>
    <w:rsid w:val="00FE4877"/>
    <w:rsid w:val="00FE488C"/>
    <w:rsid w:val="00FE48EA"/>
    <w:rsid w:val="00FE4905"/>
    <w:rsid w:val="00FE49B4"/>
    <w:rsid w:val="00FE4A50"/>
    <w:rsid w:val="00FE4A91"/>
    <w:rsid w:val="00FE4B3F"/>
    <w:rsid w:val="00FE4B46"/>
    <w:rsid w:val="00FE4BBF"/>
    <w:rsid w:val="00FE4BCE"/>
    <w:rsid w:val="00FE4C97"/>
    <w:rsid w:val="00FE4CB9"/>
    <w:rsid w:val="00FE4DAE"/>
    <w:rsid w:val="00FE4DD9"/>
    <w:rsid w:val="00FE4F1C"/>
    <w:rsid w:val="00FE4F60"/>
    <w:rsid w:val="00FE4F67"/>
    <w:rsid w:val="00FE4F7A"/>
    <w:rsid w:val="00FE500C"/>
    <w:rsid w:val="00FE511C"/>
    <w:rsid w:val="00FE513C"/>
    <w:rsid w:val="00FE51AD"/>
    <w:rsid w:val="00FE51B0"/>
    <w:rsid w:val="00FE5263"/>
    <w:rsid w:val="00FE526A"/>
    <w:rsid w:val="00FE52A0"/>
    <w:rsid w:val="00FE52CE"/>
    <w:rsid w:val="00FE5303"/>
    <w:rsid w:val="00FE5340"/>
    <w:rsid w:val="00FE538A"/>
    <w:rsid w:val="00FE5558"/>
    <w:rsid w:val="00FE55BE"/>
    <w:rsid w:val="00FE55EE"/>
    <w:rsid w:val="00FE56BD"/>
    <w:rsid w:val="00FE5721"/>
    <w:rsid w:val="00FE5741"/>
    <w:rsid w:val="00FE5788"/>
    <w:rsid w:val="00FE57BC"/>
    <w:rsid w:val="00FE57E9"/>
    <w:rsid w:val="00FE585B"/>
    <w:rsid w:val="00FE58DC"/>
    <w:rsid w:val="00FE5943"/>
    <w:rsid w:val="00FE59F9"/>
    <w:rsid w:val="00FE5A8A"/>
    <w:rsid w:val="00FE5AB7"/>
    <w:rsid w:val="00FE5B5E"/>
    <w:rsid w:val="00FE5C0C"/>
    <w:rsid w:val="00FE5D55"/>
    <w:rsid w:val="00FE5D90"/>
    <w:rsid w:val="00FE5D9C"/>
    <w:rsid w:val="00FE5E2F"/>
    <w:rsid w:val="00FE5E84"/>
    <w:rsid w:val="00FE5F94"/>
    <w:rsid w:val="00FE6004"/>
    <w:rsid w:val="00FE6066"/>
    <w:rsid w:val="00FE60B3"/>
    <w:rsid w:val="00FE6110"/>
    <w:rsid w:val="00FE615D"/>
    <w:rsid w:val="00FE62B5"/>
    <w:rsid w:val="00FE62B9"/>
    <w:rsid w:val="00FE6318"/>
    <w:rsid w:val="00FE6324"/>
    <w:rsid w:val="00FE6371"/>
    <w:rsid w:val="00FE63CE"/>
    <w:rsid w:val="00FE63F1"/>
    <w:rsid w:val="00FE6441"/>
    <w:rsid w:val="00FE6471"/>
    <w:rsid w:val="00FE650E"/>
    <w:rsid w:val="00FE6630"/>
    <w:rsid w:val="00FE6646"/>
    <w:rsid w:val="00FE66E3"/>
    <w:rsid w:val="00FE66EF"/>
    <w:rsid w:val="00FE6795"/>
    <w:rsid w:val="00FE67AD"/>
    <w:rsid w:val="00FE681D"/>
    <w:rsid w:val="00FE681E"/>
    <w:rsid w:val="00FE68B3"/>
    <w:rsid w:val="00FE68F8"/>
    <w:rsid w:val="00FE6906"/>
    <w:rsid w:val="00FE693C"/>
    <w:rsid w:val="00FE69C2"/>
    <w:rsid w:val="00FE6A4B"/>
    <w:rsid w:val="00FE6A87"/>
    <w:rsid w:val="00FE6AFA"/>
    <w:rsid w:val="00FE6B48"/>
    <w:rsid w:val="00FE6BBB"/>
    <w:rsid w:val="00FE6BD2"/>
    <w:rsid w:val="00FE6C42"/>
    <w:rsid w:val="00FE6C6E"/>
    <w:rsid w:val="00FE6C7A"/>
    <w:rsid w:val="00FE6CB8"/>
    <w:rsid w:val="00FE6CF0"/>
    <w:rsid w:val="00FE6D4B"/>
    <w:rsid w:val="00FE6D6D"/>
    <w:rsid w:val="00FE6DF1"/>
    <w:rsid w:val="00FE6DF9"/>
    <w:rsid w:val="00FE6E29"/>
    <w:rsid w:val="00FE6E76"/>
    <w:rsid w:val="00FE6F09"/>
    <w:rsid w:val="00FE6F0E"/>
    <w:rsid w:val="00FE6F3D"/>
    <w:rsid w:val="00FE7056"/>
    <w:rsid w:val="00FE70ED"/>
    <w:rsid w:val="00FE7131"/>
    <w:rsid w:val="00FE716C"/>
    <w:rsid w:val="00FE7183"/>
    <w:rsid w:val="00FE71B4"/>
    <w:rsid w:val="00FE726F"/>
    <w:rsid w:val="00FE72EB"/>
    <w:rsid w:val="00FE7389"/>
    <w:rsid w:val="00FE73A3"/>
    <w:rsid w:val="00FE74E9"/>
    <w:rsid w:val="00FE750F"/>
    <w:rsid w:val="00FE7534"/>
    <w:rsid w:val="00FE7542"/>
    <w:rsid w:val="00FE7564"/>
    <w:rsid w:val="00FE75E5"/>
    <w:rsid w:val="00FE783C"/>
    <w:rsid w:val="00FE78E1"/>
    <w:rsid w:val="00FE78FA"/>
    <w:rsid w:val="00FE7934"/>
    <w:rsid w:val="00FE7AE3"/>
    <w:rsid w:val="00FE7B38"/>
    <w:rsid w:val="00FE7B7C"/>
    <w:rsid w:val="00FE7C10"/>
    <w:rsid w:val="00FE7C12"/>
    <w:rsid w:val="00FE7CBF"/>
    <w:rsid w:val="00FE7CD8"/>
    <w:rsid w:val="00FE7CE1"/>
    <w:rsid w:val="00FE7D50"/>
    <w:rsid w:val="00FE7D71"/>
    <w:rsid w:val="00FE7D81"/>
    <w:rsid w:val="00FE7EFB"/>
    <w:rsid w:val="00FE7F13"/>
    <w:rsid w:val="00FF0005"/>
    <w:rsid w:val="00FF0030"/>
    <w:rsid w:val="00FF0044"/>
    <w:rsid w:val="00FF0045"/>
    <w:rsid w:val="00FF0076"/>
    <w:rsid w:val="00FF0093"/>
    <w:rsid w:val="00FF0167"/>
    <w:rsid w:val="00FF01C2"/>
    <w:rsid w:val="00FF0228"/>
    <w:rsid w:val="00FF0288"/>
    <w:rsid w:val="00FF02AF"/>
    <w:rsid w:val="00FF0377"/>
    <w:rsid w:val="00FF03A6"/>
    <w:rsid w:val="00FF03D5"/>
    <w:rsid w:val="00FF0474"/>
    <w:rsid w:val="00FF0499"/>
    <w:rsid w:val="00FF04EC"/>
    <w:rsid w:val="00FF04F9"/>
    <w:rsid w:val="00FF0502"/>
    <w:rsid w:val="00FF051F"/>
    <w:rsid w:val="00FF0605"/>
    <w:rsid w:val="00FF06B8"/>
    <w:rsid w:val="00FF06EE"/>
    <w:rsid w:val="00FF0783"/>
    <w:rsid w:val="00FF0796"/>
    <w:rsid w:val="00FF07FB"/>
    <w:rsid w:val="00FF0862"/>
    <w:rsid w:val="00FF08D2"/>
    <w:rsid w:val="00FF0981"/>
    <w:rsid w:val="00FF0997"/>
    <w:rsid w:val="00FF09BA"/>
    <w:rsid w:val="00FF0A34"/>
    <w:rsid w:val="00FF0A62"/>
    <w:rsid w:val="00FF0AF4"/>
    <w:rsid w:val="00FF0B7F"/>
    <w:rsid w:val="00FF0BC1"/>
    <w:rsid w:val="00FF0C65"/>
    <w:rsid w:val="00FF0C66"/>
    <w:rsid w:val="00FF0CA1"/>
    <w:rsid w:val="00FF0CDA"/>
    <w:rsid w:val="00FF0D04"/>
    <w:rsid w:val="00FF0DA1"/>
    <w:rsid w:val="00FF0E0B"/>
    <w:rsid w:val="00FF0EC8"/>
    <w:rsid w:val="00FF0F1E"/>
    <w:rsid w:val="00FF0F24"/>
    <w:rsid w:val="00FF0F96"/>
    <w:rsid w:val="00FF0FEA"/>
    <w:rsid w:val="00FF106F"/>
    <w:rsid w:val="00FF108C"/>
    <w:rsid w:val="00FF10C0"/>
    <w:rsid w:val="00FF1244"/>
    <w:rsid w:val="00FF12C5"/>
    <w:rsid w:val="00FF1335"/>
    <w:rsid w:val="00FF1369"/>
    <w:rsid w:val="00FF1380"/>
    <w:rsid w:val="00FF1391"/>
    <w:rsid w:val="00FF139E"/>
    <w:rsid w:val="00FF13E4"/>
    <w:rsid w:val="00FF14A9"/>
    <w:rsid w:val="00FF155A"/>
    <w:rsid w:val="00FF1595"/>
    <w:rsid w:val="00FF161A"/>
    <w:rsid w:val="00FF1642"/>
    <w:rsid w:val="00FF1694"/>
    <w:rsid w:val="00FF16F8"/>
    <w:rsid w:val="00FF19CB"/>
    <w:rsid w:val="00FF1A5B"/>
    <w:rsid w:val="00FF1AC2"/>
    <w:rsid w:val="00FF1B13"/>
    <w:rsid w:val="00FF1CBC"/>
    <w:rsid w:val="00FF1D1C"/>
    <w:rsid w:val="00FF1D42"/>
    <w:rsid w:val="00FF1EDB"/>
    <w:rsid w:val="00FF1EDD"/>
    <w:rsid w:val="00FF1F17"/>
    <w:rsid w:val="00FF1F66"/>
    <w:rsid w:val="00FF1FCA"/>
    <w:rsid w:val="00FF200B"/>
    <w:rsid w:val="00FF205E"/>
    <w:rsid w:val="00FF21DB"/>
    <w:rsid w:val="00FF2270"/>
    <w:rsid w:val="00FF22CD"/>
    <w:rsid w:val="00FF22D4"/>
    <w:rsid w:val="00FF2300"/>
    <w:rsid w:val="00FF235F"/>
    <w:rsid w:val="00FF2367"/>
    <w:rsid w:val="00FF23BB"/>
    <w:rsid w:val="00FF23F7"/>
    <w:rsid w:val="00FF24DF"/>
    <w:rsid w:val="00FF2589"/>
    <w:rsid w:val="00FF260E"/>
    <w:rsid w:val="00FF26E3"/>
    <w:rsid w:val="00FF26F3"/>
    <w:rsid w:val="00FF27E3"/>
    <w:rsid w:val="00FF2801"/>
    <w:rsid w:val="00FF2807"/>
    <w:rsid w:val="00FF2808"/>
    <w:rsid w:val="00FF2829"/>
    <w:rsid w:val="00FF2858"/>
    <w:rsid w:val="00FF28AC"/>
    <w:rsid w:val="00FF29DB"/>
    <w:rsid w:val="00FF2A11"/>
    <w:rsid w:val="00FF2A28"/>
    <w:rsid w:val="00FF2A63"/>
    <w:rsid w:val="00FF2BC0"/>
    <w:rsid w:val="00FF2BCA"/>
    <w:rsid w:val="00FF2BE5"/>
    <w:rsid w:val="00FF2C4E"/>
    <w:rsid w:val="00FF2CA1"/>
    <w:rsid w:val="00FF2CB8"/>
    <w:rsid w:val="00FF2CC4"/>
    <w:rsid w:val="00FF2D15"/>
    <w:rsid w:val="00FF2D64"/>
    <w:rsid w:val="00FF2E97"/>
    <w:rsid w:val="00FF2FAA"/>
    <w:rsid w:val="00FF2FC8"/>
    <w:rsid w:val="00FF2FF9"/>
    <w:rsid w:val="00FF3022"/>
    <w:rsid w:val="00FF304D"/>
    <w:rsid w:val="00FF3084"/>
    <w:rsid w:val="00FF30B4"/>
    <w:rsid w:val="00FF312B"/>
    <w:rsid w:val="00FF3164"/>
    <w:rsid w:val="00FF3194"/>
    <w:rsid w:val="00FF31F4"/>
    <w:rsid w:val="00FF321D"/>
    <w:rsid w:val="00FF3288"/>
    <w:rsid w:val="00FF32DB"/>
    <w:rsid w:val="00FF3308"/>
    <w:rsid w:val="00FF3313"/>
    <w:rsid w:val="00FF33F0"/>
    <w:rsid w:val="00FF345F"/>
    <w:rsid w:val="00FF347A"/>
    <w:rsid w:val="00FF3547"/>
    <w:rsid w:val="00FF3614"/>
    <w:rsid w:val="00FF3652"/>
    <w:rsid w:val="00FF3769"/>
    <w:rsid w:val="00FF379D"/>
    <w:rsid w:val="00FF389B"/>
    <w:rsid w:val="00FF38F0"/>
    <w:rsid w:val="00FF3901"/>
    <w:rsid w:val="00FF3A12"/>
    <w:rsid w:val="00FF3A82"/>
    <w:rsid w:val="00FF3ADF"/>
    <w:rsid w:val="00FF3BFD"/>
    <w:rsid w:val="00FF3C4D"/>
    <w:rsid w:val="00FF3D17"/>
    <w:rsid w:val="00FF3D1D"/>
    <w:rsid w:val="00FF3D23"/>
    <w:rsid w:val="00FF3DE5"/>
    <w:rsid w:val="00FF3DE6"/>
    <w:rsid w:val="00FF3E59"/>
    <w:rsid w:val="00FF3EDF"/>
    <w:rsid w:val="00FF4009"/>
    <w:rsid w:val="00FF406A"/>
    <w:rsid w:val="00FF4085"/>
    <w:rsid w:val="00FF409D"/>
    <w:rsid w:val="00FF4191"/>
    <w:rsid w:val="00FF4214"/>
    <w:rsid w:val="00FF4216"/>
    <w:rsid w:val="00FF42CA"/>
    <w:rsid w:val="00FF42D1"/>
    <w:rsid w:val="00FF42E8"/>
    <w:rsid w:val="00FF43C3"/>
    <w:rsid w:val="00FF43D0"/>
    <w:rsid w:val="00FF43EF"/>
    <w:rsid w:val="00FF43FD"/>
    <w:rsid w:val="00FF444A"/>
    <w:rsid w:val="00FF4454"/>
    <w:rsid w:val="00FF4455"/>
    <w:rsid w:val="00FF4470"/>
    <w:rsid w:val="00FF44C9"/>
    <w:rsid w:val="00FF44F9"/>
    <w:rsid w:val="00FF4524"/>
    <w:rsid w:val="00FF461A"/>
    <w:rsid w:val="00FF4626"/>
    <w:rsid w:val="00FF467E"/>
    <w:rsid w:val="00FF4686"/>
    <w:rsid w:val="00FF46F0"/>
    <w:rsid w:val="00FF4861"/>
    <w:rsid w:val="00FF49AA"/>
    <w:rsid w:val="00FF4A34"/>
    <w:rsid w:val="00FF4AB8"/>
    <w:rsid w:val="00FF4B0D"/>
    <w:rsid w:val="00FF4BD5"/>
    <w:rsid w:val="00FF4BD8"/>
    <w:rsid w:val="00FF4DCF"/>
    <w:rsid w:val="00FF4E1F"/>
    <w:rsid w:val="00FF4E40"/>
    <w:rsid w:val="00FF4F18"/>
    <w:rsid w:val="00FF4F77"/>
    <w:rsid w:val="00FF508A"/>
    <w:rsid w:val="00FF50C7"/>
    <w:rsid w:val="00FF50F9"/>
    <w:rsid w:val="00FF5121"/>
    <w:rsid w:val="00FF512B"/>
    <w:rsid w:val="00FF5182"/>
    <w:rsid w:val="00FF51D8"/>
    <w:rsid w:val="00FF52B0"/>
    <w:rsid w:val="00FF5367"/>
    <w:rsid w:val="00FF53A7"/>
    <w:rsid w:val="00FF53DD"/>
    <w:rsid w:val="00FF53F8"/>
    <w:rsid w:val="00FF5407"/>
    <w:rsid w:val="00FF542E"/>
    <w:rsid w:val="00FF54D4"/>
    <w:rsid w:val="00FF54FB"/>
    <w:rsid w:val="00FF5504"/>
    <w:rsid w:val="00FF5585"/>
    <w:rsid w:val="00FF5598"/>
    <w:rsid w:val="00FF55BA"/>
    <w:rsid w:val="00FF55EB"/>
    <w:rsid w:val="00FF565A"/>
    <w:rsid w:val="00FF56FA"/>
    <w:rsid w:val="00FF5785"/>
    <w:rsid w:val="00FF57E0"/>
    <w:rsid w:val="00FF5860"/>
    <w:rsid w:val="00FF5868"/>
    <w:rsid w:val="00FF5884"/>
    <w:rsid w:val="00FF58CB"/>
    <w:rsid w:val="00FF58F4"/>
    <w:rsid w:val="00FF596E"/>
    <w:rsid w:val="00FF5987"/>
    <w:rsid w:val="00FF5A3D"/>
    <w:rsid w:val="00FF5A9D"/>
    <w:rsid w:val="00FF5ABC"/>
    <w:rsid w:val="00FF5B6A"/>
    <w:rsid w:val="00FF5BA6"/>
    <w:rsid w:val="00FF5C26"/>
    <w:rsid w:val="00FF5C65"/>
    <w:rsid w:val="00FF5C76"/>
    <w:rsid w:val="00FF5CB0"/>
    <w:rsid w:val="00FF5CBD"/>
    <w:rsid w:val="00FF5CF1"/>
    <w:rsid w:val="00FF5D33"/>
    <w:rsid w:val="00FF5D5F"/>
    <w:rsid w:val="00FF5E44"/>
    <w:rsid w:val="00FF5E63"/>
    <w:rsid w:val="00FF5E8A"/>
    <w:rsid w:val="00FF5F5B"/>
    <w:rsid w:val="00FF5FC1"/>
    <w:rsid w:val="00FF5FC4"/>
    <w:rsid w:val="00FF60E4"/>
    <w:rsid w:val="00FF6173"/>
    <w:rsid w:val="00FF61F4"/>
    <w:rsid w:val="00FF61F7"/>
    <w:rsid w:val="00FF6204"/>
    <w:rsid w:val="00FF6242"/>
    <w:rsid w:val="00FF62CD"/>
    <w:rsid w:val="00FF6308"/>
    <w:rsid w:val="00FF63D2"/>
    <w:rsid w:val="00FF6423"/>
    <w:rsid w:val="00FF6466"/>
    <w:rsid w:val="00FF64EC"/>
    <w:rsid w:val="00FF64F0"/>
    <w:rsid w:val="00FF6501"/>
    <w:rsid w:val="00FF651F"/>
    <w:rsid w:val="00FF6543"/>
    <w:rsid w:val="00FF6675"/>
    <w:rsid w:val="00FF6680"/>
    <w:rsid w:val="00FF672C"/>
    <w:rsid w:val="00FF6739"/>
    <w:rsid w:val="00FF67BB"/>
    <w:rsid w:val="00FF67D4"/>
    <w:rsid w:val="00FF6800"/>
    <w:rsid w:val="00FF6858"/>
    <w:rsid w:val="00FF68BE"/>
    <w:rsid w:val="00FF68DD"/>
    <w:rsid w:val="00FF698C"/>
    <w:rsid w:val="00FF6992"/>
    <w:rsid w:val="00FF699D"/>
    <w:rsid w:val="00FF6A91"/>
    <w:rsid w:val="00FF6B27"/>
    <w:rsid w:val="00FF6B4F"/>
    <w:rsid w:val="00FF6BD0"/>
    <w:rsid w:val="00FF6BE7"/>
    <w:rsid w:val="00FF6D2A"/>
    <w:rsid w:val="00FF6D32"/>
    <w:rsid w:val="00FF6DB3"/>
    <w:rsid w:val="00FF6DD5"/>
    <w:rsid w:val="00FF6EDF"/>
    <w:rsid w:val="00FF6EE5"/>
    <w:rsid w:val="00FF6F02"/>
    <w:rsid w:val="00FF6F5A"/>
    <w:rsid w:val="00FF6F84"/>
    <w:rsid w:val="00FF6FAE"/>
    <w:rsid w:val="00FF7008"/>
    <w:rsid w:val="00FF7067"/>
    <w:rsid w:val="00FF7069"/>
    <w:rsid w:val="00FF70C6"/>
    <w:rsid w:val="00FF7186"/>
    <w:rsid w:val="00FF7193"/>
    <w:rsid w:val="00FF71AC"/>
    <w:rsid w:val="00FF720E"/>
    <w:rsid w:val="00FF7242"/>
    <w:rsid w:val="00FF7328"/>
    <w:rsid w:val="00FF732F"/>
    <w:rsid w:val="00FF7357"/>
    <w:rsid w:val="00FF7360"/>
    <w:rsid w:val="00FF7362"/>
    <w:rsid w:val="00FF73B5"/>
    <w:rsid w:val="00FF7406"/>
    <w:rsid w:val="00FF740B"/>
    <w:rsid w:val="00FF7444"/>
    <w:rsid w:val="00FF7543"/>
    <w:rsid w:val="00FF7547"/>
    <w:rsid w:val="00FF754C"/>
    <w:rsid w:val="00FF7664"/>
    <w:rsid w:val="00FF7679"/>
    <w:rsid w:val="00FF7699"/>
    <w:rsid w:val="00FF7730"/>
    <w:rsid w:val="00FF7742"/>
    <w:rsid w:val="00FF77B6"/>
    <w:rsid w:val="00FF77DC"/>
    <w:rsid w:val="00FF77E4"/>
    <w:rsid w:val="00FF77FB"/>
    <w:rsid w:val="00FF783E"/>
    <w:rsid w:val="00FF7923"/>
    <w:rsid w:val="00FF7934"/>
    <w:rsid w:val="00FF7946"/>
    <w:rsid w:val="00FF79A8"/>
    <w:rsid w:val="00FF79B7"/>
    <w:rsid w:val="00FF79C8"/>
    <w:rsid w:val="00FF7A44"/>
    <w:rsid w:val="00FF7A73"/>
    <w:rsid w:val="00FF7A76"/>
    <w:rsid w:val="00FF7B2C"/>
    <w:rsid w:val="00FF7B38"/>
    <w:rsid w:val="00FF7BA3"/>
    <w:rsid w:val="00FF7BCD"/>
    <w:rsid w:val="00FF7C80"/>
    <w:rsid w:val="00FF7D8C"/>
    <w:rsid w:val="00FF7E6E"/>
    <w:rsid w:val="00FF7F16"/>
    <w:rsid w:val="00FF7F61"/>
    <w:rsid w:val="00FF7F9A"/>
    <w:rsid w:val="00FF7FC8"/>
    <w:rsid w:val="0102BDDC"/>
    <w:rsid w:val="010677D0"/>
    <w:rsid w:val="010B18CA"/>
    <w:rsid w:val="010D5221"/>
    <w:rsid w:val="0110B035"/>
    <w:rsid w:val="0110B062"/>
    <w:rsid w:val="0112322D"/>
    <w:rsid w:val="0117E58F"/>
    <w:rsid w:val="011B883E"/>
    <w:rsid w:val="011CD6A2"/>
    <w:rsid w:val="011E1475"/>
    <w:rsid w:val="011E8035"/>
    <w:rsid w:val="0125808E"/>
    <w:rsid w:val="0125FFBE"/>
    <w:rsid w:val="01270C85"/>
    <w:rsid w:val="012713CD"/>
    <w:rsid w:val="012A45F8"/>
    <w:rsid w:val="0130ACB8"/>
    <w:rsid w:val="0130B956"/>
    <w:rsid w:val="01337C20"/>
    <w:rsid w:val="0133A98A"/>
    <w:rsid w:val="013E5F9E"/>
    <w:rsid w:val="01411442"/>
    <w:rsid w:val="014401D3"/>
    <w:rsid w:val="014A22A3"/>
    <w:rsid w:val="014B3AC3"/>
    <w:rsid w:val="014C91EA"/>
    <w:rsid w:val="014DEEBF"/>
    <w:rsid w:val="01521B98"/>
    <w:rsid w:val="015222DB"/>
    <w:rsid w:val="01525B26"/>
    <w:rsid w:val="01526CD8"/>
    <w:rsid w:val="0154B4DE"/>
    <w:rsid w:val="015831E2"/>
    <w:rsid w:val="0159FF4D"/>
    <w:rsid w:val="015BFEC5"/>
    <w:rsid w:val="015D0B61"/>
    <w:rsid w:val="0165DF34"/>
    <w:rsid w:val="01660ADE"/>
    <w:rsid w:val="016E460D"/>
    <w:rsid w:val="0172CAD8"/>
    <w:rsid w:val="017724AC"/>
    <w:rsid w:val="017E7EE1"/>
    <w:rsid w:val="019011AA"/>
    <w:rsid w:val="01A4B71A"/>
    <w:rsid w:val="01A7FE26"/>
    <w:rsid w:val="01A98D79"/>
    <w:rsid w:val="01ACBC5A"/>
    <w:rsid w:val="01AEC5E6"/>
    <w:rsid w:val="01AEEA2D"/>
    <w:rsid w:val="01B064F1"/>
    <w:rsid w:val="01C19A9C"/>
    <w:rsid w:val="01C40D91"/>
    <w:rsid w:val="01C854DE"/>
    <w:rsid w:val="01CAF200"/>
    <w:rsid w:val="01CEB51A"/>
    <w:rsid w:val="01CF82F5"/>
    <w:rsid w:val="01CFCD18"/>
    <w:rsid w:val="01D2ACBC"/>
    <w:rsid w:val="01D5267B"/>
    <w:rsid w:val="01D55540"/>
    <w:rsid w:val="01D9F068"/>
    <w:rsid w:val="01DBC7B7"/>
    <w:rsid w:val="01DE6819"/>
    <w:rsid w:val="01E0AF91"/>
    <w:rsid w:val="01E33C95"/>
    <w:rsid w:val="01E54A7B"/>
    <w:rsid w:val="01E6B9D9"/>
    <w:rsid w:val="01EB24EE"/>
    <w:rsid w:val="01EBF8EE"/>
    <w:rsid w:val="01ED5E03"/>
    <w:rsid w:val="01F46DD8"/>
    <w:rsid w:val="01F6A59F"/>
    <w:rsid w:val="01FB7B6A"/>
    <w:rsid w:val="01FC8582"/>
    <w:rsid w:val="01FD901E"/>
    <w:rsid w:val="02026231"/>
    <w:rsid w:val="02062098"/>
    <w:rsid w:val="02076221"/>
    <w:rsid w:val="02096749"/>
    <w:rsid w:val="020B9BEF"/>
    <w:rsid w:val="02151E22"/>
    <w:rsid w:val="0215A6BD"/>
    <w:rsid w:val="0215CB26"/>
    <w:rsid w:val="0216E6B7"/>
    <w:rsid w:val="021895F3"/>
    <w:rsid w:val="021A9F13"/>
    <w:rsid w:val="021AD8D2"/>
    <w:rsid w:val="021BF9EA"/>
    <w:rsid w:val="021C611A"/>
    <w:rsid w:val="021CBD1D"/>
    <w:rsid w:val="021D7EDD"/>
    <w:rsid w:val="0223BAA1"/>
    <w:rsid w:val="0225FC0D"/>
    <w:rsid w:val="023908AB"/>
    <w:rsid w:val="0239507D"/>
    <w:rsid w:val="023AB636"/>
    <w:rsid w:val="023CA6E8"/>
    <w:rsid w:val="023ED00A"/>
    <w:rsid w:val="024842E8"/>
    <w:rsid w:val="024BC46A"/>
    <w:rsid w:val="0251427D"/>
    <w:rsid w:val="0255CB83"/>
    <w:rsid w:val="025D91D4"/>
    <w:rsid w:val="025FD038"/>
    <w:rsid w:val="0261A7C3"/>
    <w:rsid w:val="0261DEC7"/>
    <w:rsid w:val="026485E1"/>
    <w:rsid w:val="0264EBD5"/>
    <w:rsid w:val="02653624"/>
    <w:rsid w:val="02671E31"/>
    <w:rsid w:val="02680654"/>
    <w:rsid w:val="026AA3C9"/>
    <w:rsid w:val="026AB1DE"/>
    <w:rsid w:val="026C6992"/>
    <w:rsid w:val="026E89D4"/>
    <w:rsid w:val="02714E74"/>
    <w:rsid w:val="0271EEBC"/>
    <w:rsid w:val="0274805A"/>
    <w:rsid w:val="02764A9A"/>
    <w:rsid w:val="02772962"/>
    <w:rsid w:val="02787C36"/>
    <w:rsid w:val="027A8029"/>
    <w:rsid w:val="027B41A1"/>
    <w:rsid w:val="027BA428"/>
    <w:rsid w:val="027C0285"/>
    <w:rsid w:val="027D3514"/>
    <w:rsid w:val="02824809"/>
    <w:rsid w:val="028BED15"/>
    <w:rsid w:val="028F57E0"/>
    <w:rsid w:val="02964CE4"/>
    <w:rsid w:val="0297EC0D"/>
    <w:rsid w:val="029AA9D7"/>
    <w:rsid w:val="02A09EA7"/>
    <w:rsid w:val="02A89B23"/>
    <w:rsid w:val="02B43C63"/>
    <w:rsid w:val="02B4C7EB"/>
    <w:rsid w:val="02B5EAFF"/>
    <w:rsid w:val="02B82A64"/>
    <w:rsid w:val="02BE917E"/>
    <w:rsid w:val="02C81EE1"/>
    <w:rsid w:val="02CB8D6E"/>
    <w:rsid w:val="02CC1263"/>
    <w:rsid w:val="02CC31A0"/>
    <w:rsid w:val="02CDE2B9"/>
    <w:rsid w:val="02CE3835"/>
    <w:rsid w:val="02D060F6"/>
    <w:rsid w:val="02D949F8"/>
    <w:rsid w:val="02DB2B46"/>
    <w:rsid w:val="02DB9D39"/>
    <w:rsid w:val="02DD684F"/>
    <w:rsid w:val="02E268F7"/>
    <w:rsid w:val="02E3A4D6"/>
    <w:rsid w:val="02E3A987"/>
    <w:rsid w:val="02E478FB"/>
    <w:rsid w:val="02EC135B"/>
    <w:rsid w:val="02EC7185"/>
    <w:rsid w:val="02EF4861"/>
    <w:rsid w:val="02EFC2F0"/>
    <w:rsid w:val="02F00A1A"/>
    <w:rsid w:val="02F1B3F6"/>
    <w:rsid w:val="02F889BA"/>
    <w:rsid w:val="02FD0D6B"/>
    <w:rsid w:val="02FE45FB"/>
    <w:rsid w:val="02FEC789"/>
    <w:rsid w:val="0300E7BC"/>
    <w:rsid w:val="0302D2A1"/>
    <w:rsid w:val="0302DE7F"/>
    <w:rsid w:val="03060799"/>
    <w:rsid w:val="030B525A"/>
    <w:rsid w:val="030DF7B7"/>
    <w:rsid w:val="030EDC41"/>
    <w:rsid w:val="0310C7A0"/>
    <w:rsid w:val="0310D119"/>
    <w:rsid w:val="0314CCEC"/>
    <w:rsid w:val="031F3B65"/>
    <w:rsid w:val="0320F972"/>
    <w:rsid w:val="03237333"/>
    <w:rsid w:val="03246177"/>
    <w:rsid w:val="0325CBF8"/>
    <w:rsid w:val="0329E2BD"/>
    <w:rsid w:val="032B444B"/>
    <w:rsid w:val="032D6F4D"/>
    <w:rsid w:val="032EF6A8"/>
    <w:rsid w:val="032F5806"/>
    <w:rsid w:val="0333B5B3"/>
    <w:rsid w:val="0334C66E"/>
    <w:rsid w:val="03358EB0"/>
    <w:rsid w:val="033BC493"/>
    <w:rsid w:val="0341F92D"/>
    <w:rsid w:val="034BFA48"/>
    <w:rsid w:val="034C04DA"/>
    <w:rsid w:val="034C558A"/>
    <w:rsid w:val="034CA515"/>
    <w:rsid w:val="0351685C"/>
    <w:rsid w:val="0351DE09"/>
    <w:rsid w:val="0351E0C1"/>
    <w:rsid w:val="03522AEB"/>
    <w:rsid w:val="0353A7E0"/>
    <w:rsid w:val="03552858"/>
    <w:rsid w:val="035566EF"/>
    <w:rsid w:val="0360169C"/>
    <w:rsid w:val="0360CE57"/>
    <w:rsid w:val="03621F3E"/>
    <w:rsid w:val="0363DF8D"/>
    <w:rsid w:val="0365F602"/>
    <w:rsid w:val="036F3AC5"/>
    <w:rsid w:val="036FE5FA"/>
    <w:rsid w:val="037011F8"/>
    <w:rsid w:val="037316F8"/>
    <w:rsid w:val="037537A3"/>
    <w:rsid w:val="037D57F7"/>
    <w:rsid w:val="0388C8D0"/>
    <w:rsid w:val="038A0BB7"/>
    <w:rsid w:val="039228B8"/>
    <w:rsid w:val="0394539F"/>
    <w:rsid w:val="039487D7"/>
    <w:rsid w:val="039540D5"/>
    <w:rsid w:val="039864F4"/>
    <w:rsid w:val="0399D9BF"/>
    <w:rsid w:val="039BC4BA"/>
    <w:rsid w:val="039DC2D6"/>
    <w:rsid w:val="039E014B"/>
    <w:rsid w:val="03A00FE1"/>
    <w:rsid w:val="03A31538"/>
    <w:rsid w:val="03A5CF5D"/>
    <w:rsid w:val="03AC9721"/>
    <w:rsid w:val="03AD331B"/>
    <w:rsid w:val="03AEDB23"/>
    <w:rsid w:val="03AF5DA8"/>
    <w:rsid w:val="03B32A77"/>
    <w:rsid w:val="03B7C3FC"/>
    <w:rsid w:val="03B92066"/>
    <w:rsid w:val="03BA908A"/>
    <w:rsid w:val="03BFF92F"/>
    <w:rsid w:val="03C1F8CB"/>
    <w:rsid w:val="03C26960"/>
    <w:rsid w:val="03C2B8CC"/>
    <w:rsid w:val="03C67753"/>
    <w:rsid w:val="03C854AC"/>
    <w:rsid w:val="03CCC86F"/>
    <w:rsid w:val="03CCEE31"/>
    <w:rsid w:val="03CD91A9"/>
    <w:rsid w:val="03CF7B48"/>
    <w:rsid w:val="03D3389D"/>
    <w:rsid w:val="03D5ABC7"/>
    <w:rsid w:val="03D5BF86"/>
    <w:rsid w:val="03DA50D1"/>
    <w:rsid w:val="03DB5B2A"/>
    <w:rsid w:val="03DCC562"/>
    <w:rsid w:val="03DDE46E"/>
    <w:rsid w:val="03DF68A0"/>
    <w:rsid w:val="03E3B845"/>
    <w:rsid w:val="03E5640D"/>
    <w:rsid w:val="03EADD79"/>
    <w:rsid w:val="03EB5DFA"/>
    <w:rsid w:val="03EF146F"/>
    <w:rsid w:val="03F20410"/>
    <w:rsid w:val="03F56DCB"/>
    <w:rsid w:val="03F76C84"/>
    <w:rsid w:val="0401C808"/>
    <w:rsid w:val="040A1FD0"/>
    <w:rsid w:val="040C129B"/>
    <w:rsid w:val="0414A89C"/>
    <w:rsid w:val="04155D65"/>
    <w:rsid w:val="041AAEB4"/>
    <w:rsid w:val="041D3AE7"/>
    <w:rsid w:val="041D712B"/>
    <w:rsid w:val="042226FA"/>
    <w:rsid w:val="04248E1B"/>
    <w:rsid w:val="0425D6D7"/>
    <w:rsid w:val="042A5543"/>
    <w:rsid w:val="0430C763"/>
    <w:rsid w:val="0432ECB6"/>
    <w:rsid w:val="043460A0"/>
    <w:rsid w:val="043517EC"/>
    <w:rsid w:val="0437445E"/>
    <w:rsid w:val="0438683F"/>
    <w:rsid w:val="0439B939"/>
    <w:rsid w:val="043BF1C1"/>
    <w:rsid w:val="043E742D"/>
    <w:rsid w:val="04400166"/>
    <w:rsid w:val="04441786"/>
    <w:rsid w:val="04496514"/>
    <w:rsid w:val="0449DB3D"/>
    <w:rsid w:val="0455BC52"/>
    <w:rsid w:val="045752FB"/>
    <w:rsid w:val="045B87CA"/>
    <w:rsid w:val="046569AF"/>
    <w:rsid w:val="046D8565"/>
    <w:rsid w:val="04709631"/>
    <w:rsid w:val="0476FFDE"/>
    <w:rsid w:val="0478E97E"/>
    <w:rsid w:val="047AABB3"/>
    <w:rsid w:val="047B2C7E"/>
    <w:rsid w:val="048236E7"/>
    <w:rsid w:val="048995D1"/>
    <w:rsid w:val="048A8395"/>
    <w:rsid w:val="048F4F35"/>
    <w:rsid w:val="0490ED94"/>
    <w:rsid w:val="04915285"/>
    <w:rsid w:val="04926231"/>
    <w:rsid w:val="04954397"/>
    <w:rsid w:val="049639D5"/>
    <w:rsid w:val="04999109"/>
    <w:rsid w:val="049A574A"/>
    <w:rsid w:val="049AE5D8"/>
    <w:rsid w:val="049C449F"/>
    <w:rsid w:val="04A5E855"/>
    <w:rsid w:val="04A96C16"/>
    <w:rsid w:val="04AAA63E"/>
    <w:rsid w:val="04AAB23C"/>
    <w:rsid w:val="04AB545C"/>
    <w:rsid w:val="04ADF472"/>
    <w:rsid w:val="04B15E1A"/>
    <w:rsid w:val="04B377B8"/>
    <w:rsid w:val="04B52B65"/>
    <w:rsid w:val="04BFB160"/>
    <w:rsid w:val="04C03842"/>
    <w:rsid w:val="04C29E96"/>
    <w:rsid w:val="04C846EF"/>
    <w:rsid w:val="04CDA1AF"/>
    <w:rsid w:val="04CEA017"/>
    <w:rsid w:val="04CEAB71"/>
    <w:rsid w:val="04D6DFA0"/>
    <w:rsid w:val="04DAA8B9"/>
    <w:rsid w:val="04DFA426"/>
    <w:rsid w:val="04E185A4"/>
    <w:rsid w:val="04E6D9A6"/>
    <w:rsid w:val="04E8EAD9"/>
    <w:rsid w:val="04E941CC"/>
    <w:rsid w:val="04EAE629"/>
    <w:rsid w:val="04F3363C"/>
    <w:rsid w:val="04F3F3E7"/>
    <w:rsid w:val="04F8453C"/>
    <w:rsid w:val="04FB7B53"/>
    <w:rsid w:val="04FD4FE9"/>
    <w:rsid w:val="05060973"/>
    <w:rsid w:val="05094A83"/>
    <w:rsid w:val="050B1E0B"/>
    <w:rsid w:val="050C918B"/>
    <w:rsid w:val="050D21BD"/>
    <w:rsid w:val="0512F4F7"/>
    <w:rsid w:val="0514D0E0"/>
    <w:rsid w:val="0515E11A"/>
    <w:rsid w:val="051868C4"/>
    <w:rsid w:val="051A0934"/>
    <w:rsid w:val="05220BD9"/>
    <w:rsid w:val="0524DDE1"/>
    <w:rsid w:val="05257908"/>
    <w:rsid w:val="0526199D"/>
    <w:rsid w:val="05287BEB"/>
    <w:rsid w:val="052A06C3"/>
    <w:rsid w:val="052BED70"/>
    <w:rsid w:val="05327BA8"/>
    <w:rsid w:val="05340687"/>
    <w:rsid w:val="0534F2BA"/>
    <w:rsid w:val="0535A8D5"/>
    <w:rsid w:val="0535CA05"/>
    <w:rsid w:val="0536E49D"/>
    <w:rsid w:val="0537E581"/>
    <w:rsid w:val="0539782E"/>
    <w:rsid w:val="053A600A"/>
    <w:rsid w:val="053CB8D8"/>
    <w:rsid w:val="053EAC42"/>
    <w:rsid w:val="0540AA83"/>
    <w:rsid w:val="0540C635"/>
    <w:rsid w:val="0545528E"/>
    <w:rsid w:val="054A6B3F"/>
    <w:rsid w:val="054DBD34"/>
    <w:rsid w:val="054E3CB9"/>
    <w:rsid w:val="054FD29E"/>
    <w:rsid w:val="0558D212"/>
    <w:rsid w:val="0559C70E"/>
    <w:rsid w:val="055C77F1"/>
    <w:rsid w:val="055E853E"/>
    <w:rsid w:val="055FE4A5"/>
    <w:rsid w:val="055FEA92"/>
    <w:rsid w:val="0560CAA2"/>
    <w:rsid w:val="0566E6A7"/>
    <w:rsid w:val="056AF015"/>
    <w:rsid w:val="056C6B27"/>
    <w:rsid w:val="057345E0"/>
    <w:rsid w:val="057A9D71"/>
    <w:rsid w:val="057E9687"/>
    <w:rsid w:val="05862B76"/>
    <w:rsid w:val="05885A45"/>
    <w:rsid w:val="058DB46E"/>
    <w:rsid w:val="058E6D17"/>
    <w:rsid w:val="058FC8D4"/>
    <w:rsid w:val="05903461"/>
    <w:rsid w:val="0590CDE1"/>
    <w:rsid w:val="059279FA"/>
    <w:rsid w:val="05945557"/>
    <w:rsid w:val="059534CC"/>
    <w:rsid w:val="059B7554"/>
    <w:rsid w:val="05A5F480"/>
    <w:rsid w:val="05ABEBA1"/>
    <w:rsid w:val="05AE5CDB"/>
    <w:rsid w:val="05AF8313"/>
    <w:rsid w:val="05B278DD"/>
    <w:rsid w:val="05BBBFEB"/>
    <w:rsid w:val="05BCDC13"/>
    <w:rsid w:val="05BE5193"/>
    <w:rsid w:val="05C5F936"/>
    <w:rsid w:val="05CA6DA6"/>
    <w:rsid w:val="05CC8C9B"/>
    <w:rsid w:val="05CD455B"/>
    <w:rsid w:val="05CD969B"/>
    <w:rsid w:val="05CE4E52"/>
    <w:rsid w:val="05D2153F"/>
    <w:rsid w:val="05D436FF"/>
    <w:rsid w:val="05DDBEAE"/>
    <w:rsid w:val="05DEBC09"/>
    <w:rsid w:val="05E1AE60"/>
    <w:rsid w:val="05E3C709"/>
    <w:rsid w:val="05E95F2C"/>
    <w:rsid w:val="05EADAF2"/>
    <w:rsid w:val="05EB0213"/>
    <w:rsid w:val="05ED2C94"/>
    <w:rsid w:val="05EE2585"/>
    <w:rsid w:val="05F2274A"/>
    <w:rsid w:val="05F4B2FF"/>
    <w:rsid w:val="05F7EC94"/>
    <w:rsid w:val="05F8A39C"/>
    <w:rsid w:val="06007995"/>
    <w:rsid w:val="060CC6DB"/>
    <w:rsid w:val="06126579"/>
    <w:rsid w:val="0612BB48"/>
    <w:rsid w:val="06165018"/>
    <w:rsid w:val="061C0DEC"/>
    <w:rsid w:val="061E2139"/>
    <w:rsid w:val="061F638C"/>
    <w:rsid w:val="061F7C7D"/>
    <w:rsid w:val="06212CF8"/>
    <w:rsid w:val="06214736"/>
    <w:rsid w:val="06225974"/>
    <w:rsid w:val="06267C20"/>
    <w:rsid w:val="062741FF"/>
    <w:rsid w:val="0629A9F7"/>
    <w:rsid w:val="062F85DC"/>
    <w:rsid w:val="0632E29C"/>
    <w:rsid w:val="063896DF"/>
    <w:rsid w:val="0638F7CB"/>
    <w:rsid w:val="0639308A"/>
    <w:rsid w:val="063D4202"/>
    <w:rsid w:val="063E37CD"/>
    <w:rsid w:val="063EDA57"/>
    <w:rsid w:val="063FBBB5"/>
    <w:rsid w:val="064246B8"/>
    <w:rsid w:val="06424723"/>
    <w:rsid w:val="06453101"/>
    <w:rsid w:val="064EA9E2"/>
    <w:rsid w:val="06504FB3"/>
    <w:rsid w:val="0651820B"/>
    <w:rsid w:val="065569EA"/>
    <w:rsid w:val="0658A911"/>
    <w:rsid w:val="06599FAA"/>
    <w:rsid w:val="066114CE"/>
    <w:rsid w:val="06628A62"/>
    <w:rsid w:val="06664369"/>
    <w:rsid w:val="0666472E"/>
    <w:rsid w:val="06694FAE"/>
    <w:rsid w:val="066D6E10"/>
    <w:rsid w:val="0674AD82"/>
    <w:rsid w:val="0679D570"/>
    <w:rsid w:val="067A2ABD"/>
    <w:rsid w:val="067D3EA5"/>
    <w:rsid w:val="068192A7"/>
    <w:rsid w:val="068575C0"/>
    <w:rsid w:val="0687444C"/>
    <w:rsid w:val="068979DB"/>
    <w:rsid w:val="068B3C6D"/>
    <w:rsid w:val="068D319E"/>
    <w:rsid w:val="06925639"/>
    <w:rsid w:val="06937526"/>
    <w:rsid w:val="069A6515"/>
    <w:rsid w:val="069AEAD5"/>
    <w:rsid w:val="069FF9BB"/>
    <w:rsid w:val="06A09108"/>
    <w:rsid w:val="06A0B1D9"/>
    <w:rsid w:val="06A20C51"/>
    <w:rsid w:val="06A31296"/>
    <w:rsid w:val="06A78B75"/>
    <w:rsid w:val="06A82D69"/>
    <w:rsid w:val="06A85531"/>
    <w:rsid w:val="06A87BD9"/>
    <w:rsid w:val="06A98E67"/>
    <w:rsid w:val="06AE31DD"/>
    <w:rsid w:val="06B03CF8"/>
    <w:rsid w:val="06B07EFE"/>
    <w:rsid w:val="06B0C91B"/>
    <w:rsid w:val="06B2FFC5"/>
    <w:rsid w:val="06B4DF7E"/>
    <w:rsid w:val="06BB3614"/>
    <w:rsid w:val="06C3AADA"/>
    <w:rsid w:val="06C3B5BA"/>
    <w:rsid w:val="06CB5E0F"/>
    <w:rsid w:val="06DB0F07"/>
    <w:rsid w:val="06E91944"/>
    <w:rsid w:val="06FFBCAC"/>
    <w:rsid w:val="07004FC0"/>
    <w:rsid w:val="0700A205"/>
    <w:rsid w:val="070885EB"/>
    <w:rsid w:val="07088BA2"/>
    <w:rsid w:val="070B6646"/>
    <w:rsid w:val="070C99AB"/>
    <w:rsid w:val="070EE2CC"/>
    <w:rsid w:val="0713AE2B"/>
    <w:rsid w:val="07142D18"/>
    <w:rsid w:val="0716F6DD"/>
    <w:rsid w:val="071AFCAD"/>
    <w:rsid w:val="071B8D4E"/>
    <w:rsid w:val="071DAAB2"/>
    <w:rsid w:val="0724B400"/>
    <w:rsid w:val="0728D591"/>
    <w:rsid w:val="072B090C"/>
    <w:rsid w:val="072B9F2A"/>
    <w:rsid w:val="072C7863"/>
    <w:rsid w:val="072C7F36"/>
    <w:rsid w:val="072CB787"/>
    <w:rsid w:val="072F3EA7"/>
    <w:rsid w:val="0731B33C"/>
    <w:rsid w:val="07380A49"/>
    <w:rsid w:val="0738E49D"/>
    <w:rsid w:val="0739A87F"/>
    <w:rsid w:val="0739CE30"/>
    <w:rsid w:val="07437268"/>
    <w:rsid w:val="0745349A"/>
    <w:rsid w:val="0745E122"/>
    <w:rsid w:val="0746F5B3"/>
    <w:rsid w:val="0747D62C"/>
    <w:rsid w:val="074886C5"/>
    <w:rsid w:val="0748A339"/>
    <w:rsid w:val="074A0700"/>
    <w:rsid w:val="074B315C"/>
    <w:rsid w:val="074FA023"/>
    <w:rsid w:val="075223FF"/>
    <w:rsid w:val="075238DB"/>
    <w:rsid w:val="0752898D"/>
    <w:rsid w:val="0752D3F9"/>
    <w:rsid w:val="07543547"/>
    <w:rsid w:val="075BD1C2"/>
    <w:rsid w:val="0764D415"/>
    <w:rsid w:val="0767CA25"/>
    <w:rsid w:val="0768A459"/>
    <w:rsid w:val="076B41E9"/>
    <w:rsid w:val="0770590B"/>
    <w:rsid w:val="0771CCD6"/>
    <w:rsid w:val="07752CAD"/>
    <w:rsid w:val="07772E69"/>
    <w:rsid w:val="0777D5AC"/>
    <w:rsid w:val="07786BF5"/>
    <w:rsid w:val="07796989"/>
    <w:rsid w:val="0779AAD4"/>
    <w:rsid w:val="077DE932"/>
    <w:rsid w:val="077EA7D1"/>
    <w:rsid w:val="0780B0B0"/>
    <w:rsid w:val="07871FF2"/>
    <w:rsid w:val="078FECA5"/>
    <w:rsid w:val="07950B5B"/>
    <w:rsid w:val="079777EF"/>
    <w:rsid w:val="07978C8B"/>
    <w:rsid w:val="079C6BB4"/>
    <w:rsid w:val="079CC46D"/>
    <w:rsid w:val="079DB6CB"/>
    <w:rsid w:val="079DBC3C"/>
    <w:rsid w:val="07A1CC2B"/>
    <w:rsid w:val="07A4B79F"/>
    <w:rsid w:val="07A5248A"/>
    <w:rsid w:val="07A5BA62"/>
    <w:rsid w:val="07A73E45"/>
    <w:rsid w:val="07A85E23"/>
    <w:rsid w:val="07AC6F69"/>
    <w:rsid w:val="07AE9070"/>
    <w:rsid w:val="07AF4674"/>
    <w:rsid w:val="07B1E145"/>
    <w:rsid w:val="07B2932C"/>
    <w:rsid w:val="07B92502"/>
    <w:rsid w:val="07BD41C8"/>
    <w:rsid w:val="07C1B3F8"/>
    <w:rsid w:val="07C4A919"/>
    <w:rsid w:val="07C6B47D"/>
    <w:rsid w:val="07C8CDF0"/>
    <w:rsid w:val="07CAC512"/>
    <w:rsid w:val="07CAF8B7"/>
    <w:rsid w:val="07D09D89"/>
    <w:rsid w:val="07D221D7"/>
    <w:rsid w:val="07D2C4AC"/>
    <w:rsid w:val="07D3AFF9"/>
    <w:rsid w:val="07D8C2FE"/>
    <w:rsid w:val="07DAB061"/>
    <w:rsid w:val="07DE64C1"/>
    <w:rsid w:val="07E0063C"/>
    <w:rsid w:val="07E0F7FA"/>
    <w:rsid w:val="07E3922B"/>
    <w:rsid w:val="07E5EC2D"/>
    <w:rsid w:val="07E80B86"/>
    <w:rsid w:val="07EB4AB9"/>
    <w:rsid w:val="07EDD9D5"/>
    <w:rsid w:val="07EDDCA8"/>
    <w:rsid w:val="07F0081E"/>
    <w:rsid w:val="07F69ECC"/>
    <w:rsid w:val="07FD2219"/>
    <w:rsid w:val="07FD72F0"/>
    <w:rsid w:val="0800B2CC"/>
    <w:rsid w:val="08024ECB"/>
    <w:rsid w:val="08026287"/>
    <w:rsid w:val="08048972"/>
    <w:rsid w:val="0804F876"/>
    <w:rsid w:val="0806ED68"/>
    <w:rsid w:val="080F6921"/>
    <w:rsid w:val="08132264"/>
    <w:rsid w:val="08135394"/>
    <w:rsid w:val="08137F2F"/>
    <w:rsid w:val="0816557F"/>
    <w:rsid w:val="0818B97E"/>
    <w:rsid w:val="081BC050"/>
    <w:rsid w:val="081C8A28"/>
    <w:rsid w:val="081FD0AA"/>
    <w:rsid w:val="082238BF"/>
    <w:rsid w:val="0827158A"/>
    <w:rsid w:val="082A548D"/>
    <w:rsid w:val="082F345F"/>
    <w:rsid w:val="08303D49"/>
    <w:rsid w:val="0833FEC0"/>
    <w:rsid w:val="08353CC2"/>
    <w:rsid w:val="08396904"/>
    <w:rsid w:val="08400BF6"/>
    <w:rsid w:val="0840D8D7"/>
    <w:rsid w:val="08410428"/>
    <w:rsid w:val="08462A99"/>
    <w:rsid w:val="08481771"/>
    <w:rsid w:val="084B2F31"/>
    <w:rsid w:val="084C6018"/>
    <w:rsid w:val="08507FAA"/>
    <w:rsid w:val="0850D038"/>
    <w:rsid w:val="08516B4D"/>
    <w:rsid w:val="0853ADBC"/>
    <w:rsid w:val="085589D0"/>
    <w:rsid w:val="08579ACD"/>
    <w:rsid w:val="08593BB7"/>
    <w:rsid w:val="08595D80"/>
    <w:rsid w:val="085A3912"/>
    <w:rsid w:val="085CF9A9"/>
    <w:rsid w:val="085F1A10"/>
    <w:rsid w:val="08629F69"/>
    <w:rsid w:val="0863EB7F"/>
    <w:rsid w:val="086571C8"/>
    <w:rsid w:val="08691C99"/>
    <w:rsid w:val="086E7ED3"/>
    <w:rsid w:val="087A534B"/>
    <w:rsid w:val="087F5872"/>
    <w:rsid w:val="088129F1"/>
    <w:rsid w:val="0881523E"/>
    <w:rsid w:val="08875812"/>
    <w:rsid w:val="088A109B"/>
    <w:rsid w:val="088AA3D8"/>
    <w:rsid w:val="088F8637"/>
    <w:rsid w:val="0891D5E4"/>
    <w:rsid w:val="089560DA"/>
    <w:rsid w:val="0898430A"/>
    <w:rsid w:val="089BB456"/>
    <w:rsid w:val="08A2C7A2"/>
    <w:rsid w:val="08A30B1B"/>
    <w:rsid w:val="08A5AB0E"/>
    <w:rsid w:val="08A9226C"/>
    <w:rsid w:val="08A98EFD"/>
    <w:rsid w:val="08AB1D9A"/>
    <w:rsid w:val="08ACC4F1"/>
    <w:rsid w:val="08ADC6CA"/>
    <w:rsid w:val="08B2B3BA"/>
    <w:rsid w:val="08B324A5"/>
    <w:rsid w:val="08B58CC2"/>
    <w:rsid w:val="08BA7D26"/>
    <w:rsid w:val="08C47CEC"/>
    <w:rsid w:val="08C56D20"/>
    <w:rsid w:val="08CD5B0D"/>
    <w:rsid w:val="08D0ADDE"/>
    <w:rsid w:val="08D1DE69"/>
    <w:rsid w:val="08D51692"/>
    <w:rsid w:val="08DD1ED2"/>
    <w:rsid w:val="08DD4D54"/>
    <w:rsid w:val="08DDF9FB"/>
    <w:rsid w:val="08DE86AE"/>
    <w:rsid w:val="08E0BF02"/>
    <w:rsid w:val="08E37105"/>
    <w:rsid w:val="08E3E030"/>
    <w:rsid w:val="08E4B890"/>
    <w:rsid w:val="08EC76FC"/>
    <w:rsid w:val="08EEA626"/>
    <w:rsid w:val="08EF0909"/>
    <w:rsid w:val="08EF474C"/>
    <w:rsid w:val="08EFB0C2"/>
    <w:rsid w:val="08F07C6F"/>
    <w:rsid w:val="08F3F8F8"/>
    <w:rsid w:val="08F8FBDF"/>
    <w:rsid w:val="08F9A677"/>
    <w:rsid w:val="08FA4F07"/>
    <w:rsid w:val="08FAAABC"/>
    <w:rsid w:val="08FC3EAA"/>
    <w:rsid w:val="08FD5A12"/>
    <w:rsid w:val="0901303C"/>
    <w:rsid w:val="090469AC"/>
    <w:rsid w:val="090472DE"/>
    <w:rsid w:val="0906164A"/>
    <w:rsid w:val="090DC745"/>
    <w:rsid w:val="090FEA58"/>
    <w:rsid w:val="09117D51"/>
    <w:rsid w:val="09118329"/>
    <w:rsid w:val="0919C9A1"/>
    <w:rsid w:val="091D1C14"/>
    <w:rsid w:val="0923A91D"/>
    <w:rsid w:val="0923ABDE"/>
    <w:rsid w:val="09283A67"/>
    <w:rsid w:val="092BE176"/>
    <w:rsid w:val="09303C38"/>
    <w:rsid w:val="0930407E"/>
    <w:rsid w:val="093287AC"/>
    <w:rsid w:val="0935FDDA"/>
    <w:rsid w:val="09380ABD"/>
    <w:rsid w:val="09392346"/>
    <w:rsid w:val="093925E2"/>
    <w:rsid w:val="093BD257"/>
    <w:rsid w:val="093D739B"/>
    <w:rsid w:val="093E57A0"/>
    <w:rsid w:val="093FF9EB"/>
    <w:rsid w:val="09461920"/>
    <w:rsid w:val="09478F65"/>
    <w:rsid w:val="09516C5A"/>
    <w:rsid w:val="095CA564"/>
    <w:rsid w:val="095D7F68"/>
    <w:rsid w:val="095DB165"/>
    <w:rsid w:val="096075B6"/>
    <w:rsid w:val="0963D0E5"/>
    <w:rsid w:val="0963F452"/>
    <w:rsid w:val="09647236"/>
    <w:rsid w:val="09656641"/>
    <w:rsid w:val="09689F2C"/>
    <w:rsid w:val="096C7834"/>
    <w:rsid w:val="096E1D15"/>
    <w:rsid w:val="096E39C8"/>
    <w:rsid w:val="096EAB15"/>
    <w:rsid w:val="09711613"/>
    <w:rsid w:val="097854A1"/>
    <w:rsid w:val="097E6575"/>
    <w:rsid w:val="0981236A"/>
    <w:rsid w:val="098751DF"/>
    <w:rsid w:val="0989224C"/>
    <w:rsid w:val="098A8AF4"/>
    <w:rsid w:val="098F4A24"/>
    <w:rsid w:val="0993E359"/>
    <w:rsid w:val="09968218"/>
    <w:rsid w:val="0996C140"/>
    <w:rsid w:val="099AF0A6"/>
    <w:rsid w:val="099EA354"/>
    <w:rsid w:val="099F6E84"/>
    <w:rsid w:val="09A381C8"/>
    <w:rsid w:val="09A6CE2B"/>
    <w:rsid w:val="09A76D92"/>
    <w:rsid w:val="09A909D5"/>
    <w:rsid w:val="09A9D39D"/>
    <w:rsid w:val="09ACAB90"/>
    <w:rsid w:val="09AE1456"/>
    <w:rsid w:val="09B1A113"/>
    <w:rsid w:val="09B38CBA"/>
    <w:rsid w:val="09B5F909"/>
    <w:rsid w:val="09BBF1CF"/>
    <w:rsid w:val="09BDD4E1"/>
    <w:rsid w:val="09BE2A82"/>
    <w:rsid w:val="09BF68A0"/>
    <w:rsid w:val="09BFFC0D"/>
    <w:rsid w:val="09C19BA9"/>
    <w:rsid w:val="09C2797B"/>
    <w:rsid w:val="09C6F8FC"/>
    <w:rsid w:val="09C79CD8"/>
    <w:rsid w:val="09D35A21"/>
    <w:rsid w:val="09D57600"/>
    <w:rsid w:val="09D74D4B"/>
    <w:rsid w:val="09DA9405"/>
    <w:rsid w:val="09DB97DF"/>
    <w:rsid w:val="09E17257"/>
    <w:rsid w:val="09E78A35"/>
    <w:rsid w:val="09EBC4E6"/>
    <w:rsid w:val="09F21EA2"/>
    <w:rsid w:val="09F60B04"/>
    <w:rsid w:val="09F74B67"/>
    <w:rsid w:val="09F77D26"/>
    <w:rsid w:val="09F8FABD"/>
    <w:rsid w:val="09FDC350"/>
    <w:rsid w:val="09FE406F"/>
    <w:rsid w:val="09FF0D1B"/>
    <w:rsid w:val="0A0228A9"/>
    <w:rsid w:val="0A030C5A"/>
    <w:rsid w:val="0A03AA8E"/>
    <w:rsid w:val="0A0434AC"/>
    <w:rsid w:val="0A05256C"/>
    <w:rsid w:val="0A0761DF"/>
    <w:rsid w:val="0A08B5C0"/>
    <w:rsid w:val="0A08C08A"/>
    <w:rsid w:val="0A0BB914"/>
    <w:rsid w:val="0A11F631"/>
    <w:rsid w:val="0A179271"/>
    <w:rsid w:val="0A1828E9"/>
    <w:rsid w:val="0A1DC918"/>
    <w:rsid w:val="0A1F5552"/>
    <w:rsid w:val="0A27D644"/>
    <w:rsid w:val="0A2FB404"/>
    <w:rsid w:val="0A33222E"/>
    <w:rsid w:val="0A35641D"/>
    <w:rsid w:val="0A396292"/>
    <w:rsid w:val="0A3B0DE7"/>
    <w:rsid w:val="0A3B2C49"/>
    <w:rsid w:val="0A3ECB10"/>
    <w:rsid w:val="0A4370AF"/>
    <w:rsid w:val="0A447E25"/>
    <w:rsid w:val="0A44A816"/>
    <w:rsid w:val="0A462F0F"/>
    <w:rsid w:val="0A4688E0"/>
    <w:rsid w:val="0A4B6F6E"/>
    <w:rsid w:val="0A4D476F"/>
    <w:rsid w:val="0A4EB64E"/>
    <w:rsid w:val="0A5020CE"/>
    <w:rsid w:val="0A51EE83"/>
    <w:rsid w:val="0A5C3710"/>
    <w:rsid w:val="0A5DF883"/>
    <w:rsid w:val="0A5F3E91"/>
    <w:rsid w:val="0A602F69"/>
    <w:rsid w:val="0A60D203"/>
    <w:rsid w:val="0A63DE0E"/>
    <w:rsid w:val="0A6BCFC8"/>
    <w:rsid w:val="0A774AEB"/>
    <w:rsid w:val="0A790A97"/>
    <w:rsid w:val="0A7AED66"/>
    <w:rsid w:val="0A7B2047"/>
    <w:rsid w:val="0A7FCAD8"/>
    <w:rsid w:val="0A8017A8"/>
    <w:rsid w:val="0A832A1A"/>
    <w:rsid w:val="0A833AFF"/>
    <w:rsid w:val="0A909E18"/>
    <w:rsid w:val="0A94E450"/>
    <w:rsid w:val="0A9AFBEE"/>
    <w:rsid w:val="0A9D3E2D"/>
    <w:rsid w:val="0A9F3CE3"/>
    <w:rsid w:val="0A9FA75A"/>
    <w:rsid w:val="0AA14541"/>
    <w:rsid w:val="0AA19F03"/>
    <w:rsid w:val="0AA260CD"/>
    <w:rsid w:val="0AA375CC"/>
    <w:rsid w:val="0AA860BA"/>
    <w:rsid w:val="0AA93970"/>
    <w:rsid w:val="0AAA4DD8"/>
    <w:rsid w:val="0AABBE94"/>
    <w:rsid w:val="0AAC3C49"/>
    <w:rsid w:val="0AB2830C"/>
    <w:rsid w:val="0AB5718C"/>
    <w:rsid w:val="0ABDE07B"/>
    <w:rsid w:val="0AC140DC"/>
    <w:rsid w:val="0AC2862A"/>
    <w:rsid w:val="0AC403FA"/>
    <w:rsid w:val="0AC6AA5F"/>
    <w:rsid w:val="0AC6B17A"/>
    <w:rsid w:val="0AC79F7F"/>
    <w:rsid w:val="0ACAC05F"/>
    <w:rsid w:val="0ACE9B62"/>
    <w:rsid w:val="0ACF5781"/>
    <w:rsid w:val="0AD38CF2"/>
    <w:rsid w:val="0AD4652F"/>
    <w:rsid w:val="0AD51621"/>
    <w:rsid w:val="0AD602D1"/>
    <w:rsid w:val="0AD742DE"/>
    <w:rsid w:val="0AD907BC"/>
    <w:rsid w:val="0ADE1B67"/>
    <w:rsid w:val="0AE02D3C"/>
    <w:rsid w:val="0AE1823D"/>
    <w:rsid w:val="0AE5BD07"/>
    <w:rsid w:val="0AE704F6"/>
    <w:rsid w:val="0AE8A441"/>
    <w:rsid w:val="0AEB1364"/>
    <w:rsid w:val="0AEC0839"/>
    <w:rsid w:val="0AEE150A"/>
    <w:rsid w:val="0AEEA151"/>
    <w:rsid w:val="0AFD8B27"/>
    <w:rsid w:val="0AFE6B44"/>
    <w:rsid w:val="0B013A93"/>
    <w:rsid w:val="0B026295"/>
    <w:rsid w:val="0B045F25"/>
    <w:rsid w:val="0B0600A4"/>
    <w:rsid w:val="0B0F5562"/>
    <w:rsid w:val="0B1198A9"/>
    <w:rsid w:val="0B1417B0"/>
    <w:rsid w:val="0B156E50"/>
    <w:rsid w:val="0B16B216"/>
    <w:rsid w:val="0B17192A"/>
    <w:rsid w:val="0B200C22"/>
    <w:rsid w:val="0B20C592"/>
    <w:rsid w:val="0B261640"/>
    <w:rsid w:val="0B27F0AA"/>
    <w:rsid w:val="0B28E2C7"/>
    <w:rsid w:val="0B294D77"/>
    <w:rsid w:val="0B32F1F8"/>
    <w:rsid w:val="0B34C752"/>
    <w:rsid w:val="0B38377A"/>
    <w:rsid w:val="0B3955E2"/>
    <w:rsid w:val="0B39DED4"/>
    <w:rsid w:val="0B3D2E79"/>
    <w:rsid w:val="0B4355FB"/>
    <w:rsid w:val="0B437DD8"/>
    <w:rsid w:val="0B4434CC"/>
    <w:rsid w:val="0B45B68E"/>
    <w:rsid w:val="0B478A2C"/>
    <w:rsid w:val="0B4C45FB"/>
    <w:rsid w:val="0B4C7AE7"/>
    <w:rsid w:val="0B4CD390"/>
    <w:rsid w:val="0B4F8CC5"/>
    <w:rsid w:val="0B4FE5DB"/>
    <w:rsid w:val="0B5477DD"/>
    <w:rsid w:val="0B57A102"/>
    <w:rsid w:val="0B5877D3"/>
    <w:rsid w:val="0B591286"/>
    <w:rsid w:val="0B5A4FE8"/>
    <w:rsid w:val="0B5AA63F"/>
    <w:rsid w:val="0B5AA824"/>
    <w:rsid w:val="0B642057"/>
    <w:rsid w:val="0B653605"/>
    <w:rsid w:val="0B6EF948"/>
    <w:rsid w:val="0B7004B3"/>
    <w:rsid w:val="0B70D90C"/>
    <w:rsid w:val="0B719760"/>
    <w:rsid w:val="0B71CEA1"/>
    <w:rsid w:val="0B7474FB"/>
    <w:rsid w:val="0B787A58"/>
    <w:rsid w:val="0B7BA2F9"/>
    <w:rsid w:val="0B7F6675"/>
    <w:rsid w:val="0B803E75"/>
    <w:rsid w:val="0B813B31"/>
    <w:rsid w:val="0B87AA14"/>
    <w:rsid w:val="0B87CEBC"/>
    <w:rsid w:val="0B8DE5C1"/>
    <w:rsid w:val="0B8F3ED6"/>
    <w:rsid w:val="0B952F7E"/>
    <w:rsid w:val="0B96CC0E"/>
    <w:rsid w:val="0B975C8A"/>
    <w:rsid w:val="0B9986C5"/>
    <w:rsid w:val="0B9B6D13"/>
    <w:rsid w:val="0BA34250"/>
    <w:rsid w:val="0BA5EA89"/>
    <w:rsid w:val="0BA62016"/>
    <w:rsid w:val="0BA62031"/>
    <w:rsid w:val="0BA8F247"/>
    <w:rsid w:val="0BA99ABC"/>
    <w:rsid w:val="0BAC8FCC"/>
    <w:rsid w:val="0BAE5738"/>
    <w:rsid w:val="0BAE5FDC"/>
    <w:rsid w:val="0BB3D985"/>
    <w:rsid w:val="0BC0FB9F"/>
    <w:rsid w:val="0BC3E095"/>
    <w:rsid w:val="0BC604ED"/>
    <w:rsid w:val="0BC6C45B"/>
    <w:rsid w:val="0BCC5F6D"/>
    <w:rsid w:val="0BCFFF50"/>
    <w:rsid w:val="0BD7F69C"/>
    <w:rsid w:val="0BDF6076"/>
    <w:rsid w:val="0BE02DAE"/>
    <w:rsid w:val="0BE3482E"/>
    <w:rsid w:val="0BE4F515"/>
    <w:rsid w:val="0BE998EC"/>
    <w:rsid w:val="0BEC5A88"/>
    <w:rsid w:val="0BECBE83"/>
    <w:rsid w:val="0BF3563E"/>
    <w:rsid w:val="0BF4FCEF"/>
    <w:rsid w:val="0BF5E8BE"/>
    <w:rsid w:val="0BFDA966"/>
    <w:rsid w:val="0C051696"/>
    <w:rsid w:val="0C0D37C8"/>
    <w:rsid w:val="0C0ECFA8"/>
    <w:rsid w:val="0C11F678"/>
    <w:rsid w:val="0C185482"/>
    <w:rsid w:val="0C18958D"/>
    <w:rsid w:val="0C19896B"/>
    <w:rsid w:val="0C1A934A"/>
    <w:rsid w:val="0C1B1155"/>
    <w:rsid w:val="0C1B7372"/>
    <w:rsid w:val="0C25D88C"/>
    <w:rsid w:val="0C2B6EE6"/>
    <w:rsid w:val="0C2B9D84"/>
    <w:rsid w:val="0C301401"/>
    <w:rsid w:val="0C386B42"/>
    <w:rsid w:val="0C39D820"/>
    <w:rsid w:val="0C3A5168"/>
    <w:rsid w:val="0C405116"/>
    <w:rsid w:val="0C419E3E"/>
    <w:rsid w:val="0C4838A6"/>
    <w:rsid w:val="0C49F221"/>
    <w:rsid w:val="0C4E1972"/>
    <w:rsid w:val="0C4F79F1"/>
    <w:rsid w:val="0C4FA32E"/>
    <w:rsid w:val="0C50D144"/>
    <w:rsid w:val="0C51812B"/>
    <w:rsid w:val="0C526D81"/>
    <w:rsid w:val="0C55F54D"/>
    <w:rsid w:val="0C56161B"/>
    <w:rsid w:val="0C57507A"/>
    <w:rsid w:val="0C5B5AF2"/>
    <w:rsid w:val="0C5F5E7F"/>
    <w:rsid w:val="0C63799E"/>
    <w:rsid w:val="0C6AC3F7"/>
    <w:rsid w:val="0C6B9F41"/>
    <w:rsid w:val="0C73B8E5"/>
    <w:rsid w:val="0C73E4B1"/>
    <w:rsid w:val="0C7436CF"/>
    <w:rsid w:val="0C753B6B"/>
    <w:rsid w:val="0C75E965"/>
    <w:rsid w:val="0C763CEC"/>
    <w:rsid w:val="0C783AEB"/>
    <w:rsid w:val="0C7C5E49"/>
    <w:rsid w:val="0C7CB7A8"/>
    <w:rsid w:val="0C7FD4E9"/>
    <w:rsid w:val="0C8245CB"/>
    <w:rsid w:val="0C832BC2"/>
    <w:rsid w:val="0C892D39"/>
    <w:rsid w:val="0C89C4C6"/>
    <w:rsid w:val="0C8A7F85"/>
    <w:rsid w:val="0C8BF878"/>
    <w:rsid w:val="0C8C551D"/>
    <w:rsid w:val="0C90FC3E"/>
    <w:rsid w:val="0C9652DB"/>
    <w:rsid w:val="0C990E15"/>
    <w:rsid w:val="0C9A6EE5"/>
    <w:rsid w:val="0C9A742B"/>
    <w:rsid w:val="0C9B36C6"/>
    <w:rsid w:val="0C9C8ACA"/>
    <w:rsid w:val="0CA02BEF"/>
    <w:rsid w:val="0CA6086B"/>
    <w:rsid w:val="0CA6FE50"/>
    <w:rsid w:val="0CA868CB"/>
    <w:rsid w:val="0CAA5B9A"/>
    <w:rsid w:val="0CAE4AAD"/>
    <w:rsid w:val="0CAE8AE9"/>
    <w:rsid w:val="0CAF34ED"/>
    <w:rsid w:val="0CB66321"/>
    <w:rsid w:val="0CBF4BA0"/>
    <w:rsid w:val="0CC5F8D5"/>
    <w:rsid w:val="0CC729BB"/>
    <w:rsid w:val="0CCF790A"/>
    <w:rsid w:val="0CD129F3"/>
    <w:rsid w:val="0CD4C612"/>
    <w:rsid w:val="0CD64DB5"/>
    <w:rsid w:val="0CD6E201"/>
    <w:rsid w:val="0CD7D859"/>
    <w:rsid w:val="0CD9C88A"/>
    <w:rsid w:val="0CE09EE9"/>
    <w:rsid w:val="0CE22C73"/>
    <w:rsid w:val="0CE3E5A5"/>
    <w:rsid w:val="0CE560AC"/>
    <w:rsid w:val="0CE5912A"/>
    <w:rsid w:val="0CE6B1C1"/>
    <w:rsid w:val="0CE9A5A6"/>
    <w:rsid w:val="0CF150EB"/>
    <w:rsid w:val="0CF22BAB"/>
    <w:rsid w:val="0CF679B7"/>
    <w:rsid w:val="0CF852A7"/>
    <w:rsid w:val="0CF8D362"/>
    <w:rsid w:val="0CF9DC0C"/>
    <w:rsid w:val="0CFF9B33"/>
    <w:rsid w:val="0D05DF69"/>
    <w:rsid w:val="0D0944CC"/>
    <w:rsid w:val="0D0F28B4"/>
    <w:rsid w:val="0D0F4E1B"/>
    <w:rsid w:val="0D13865B"/>
    <w:rsid w:val="0D13E079"/>
    <w:rsid w:val="0D18F075"/>
    <w:rsid w:val="0D195A5B"/>
    <w:rsid w:val="0D1A260A"/>
    <w:rsid w:val="0D1B36D6"/>
    <w:rsid w:val="0D1E2478"/>
    <w:rsid w:val="0D2C6216"/>
    <w:rsid w:val="0D2CB526"/>
    <w:rsid w:val="0D2E0F28"/>
    <w:rsid w:val="0D2F0A88"/>
    <w:rsid w:val="0D302090"/>
    <w:rsid w:val="0D3691F9"/>
    <w:rsid w:val="0D384010"/>
    <w:rsid w:val="0D3A18B0"/>
    <w:rsid w:val="0D3C18BF"/>
    <w:rsid w:val="0D3D2ADC"/>
    <w:rsid w:val="0D406E69"/>
    <w:rsid w:val="0D42DE43"/>
    <w:rsid w:val="0D5071DD"/>
    <w:rsid w:val="0D50CF19"/>
    <w:rsid w:val="0D556F8C"/>
    <w:rsid w:val="0D55E26F"/>
    <w:rsid w:val="0D59FD50"/>
    <w:rsid w:val="0D5C2F26"/>
    <w:rsid w:val="0D5C4B90"/>
    <w:rsid w:val="0D5DBCDA"/>
    <w:rsid w:val="0D5F50D3"/>
    <w:rsid w:val="0D6186E6"/>
    <w:rsid w:val="0D63233B"/>
    <w:rsid w:val="0D64D344"/>
    <w:rsid w:val="0D66B635"/>
    <w:rsid w:val="0D676FB8"/>
    <w:rsid w:val="0D6848B8"/>
    <w:rsid w:val="0D6DFDAA"/>
    <w:rsid w:val="0D702AAF"/>
    <w:rsid w:val="0D737731"/>
    <w:rsid w:val="0D75C42C"/>
    <w:rsid w:val="0D75CF86"/>
    <w:rsid w:val="0D780D45"/>
    <w:rsid w:val="0D78DEE2"/>
    <w:rsid w:val="0D7EADA7"/>
    <w:rsid w:val="0D85EBEA"/>
    <w:rsid w:val="0D866BBD"/>
    <w:rsid w:val="0D874DF0"/>
    <w:rsid w:val="0D885336"/>
    <w:rsid w:val="0D8A8407"/>
    <w:rsid w:val="0D8ECF64"/>
    <w:rsid w:val="0D8FFD0E"/>
    <w:rsid w:val="0D9029A5"/>
    <w:rsid w:val="0D9418D7"/>
    <w:rsid w:val="0D9C4DF7"/>
    <w:rsid w:val="0D9F7EC9"/>
    <w:rsid w:val="0DA28F87"/>
    <w:rsid w:val="0DA35B7F"/>
    <w:rsid w:val="0DAD4CD3"/>
    <w:rsid w:val="0DAEE74A"/>
    <w:rsid w:val="0DB078F5"/>
    <w:rsid w:val="0DB26802"/>
    <w:rsid w:val="0DB2AB80"/>
    <w:rsid w:val="0DB44570"/>
    <w:rsid w:val="0DB4A4B9"/>
    <w:rsid w:val="0DB4BAA5"/>
    <w:rsid w:val="0DBEA488"/>
    <w:rsid w:val="0DC243FD"/>
    <w:rsid w:val="0DC2ED61"/>
    <w:rsid w:val="0DC37103"/>
    <w:rsid w:val="0DC82263"/>
    <w:rsid w:val="0DC89110"/>
    <w:rsid w:val="0DCF5DB4"/>
    <w:rsid w:val="0DD560C1"/>
    <w:rsid w:val="0DD5A595"/>
    <w:rsid w:val="0DDA6614"/>
    <w:rsid w:val="0DDA8187"/>
    <w:rsid w:val="0DDAFC15"/>
    <w:rsid w:val="0DDB45BD"/>
    <w:rsid w:val="0DDBC942"/>
    <w:rsid w:val="0DDC9B7D"/>
    <w:rsid w:val="0DDCEBED"/>
    <w:rsid w:val="0DDD4DDC"/>
    <w:rsid w:val="0DDFA86D"/>
    <w:rsid w:val="0DE75930"/>
    <w:rsid w:val="0DE91C3D"/>
    <w:rsid w:val="0DEAD3B7"/>
    <w:rsid w:val="0DF2039E"/>
    <w:rsid w:val="0DF260BC"/>
    <w:rsid w:val="0DF26B0B"/>
    <w:rsid w:val="0DFA5953"/>
    <w:rsid w:val="0DFAB2E2"/>
    <w:rsid w:val="0DFD2C48"/>
    <w:rsid w:val="0DFF7C7C"/>
    <w:rsid w:val="0E02193C"/>
    <w:rsid w:val="0E07AA7E"/>
    <w:rsid w:val="0E0DCBD7"/>
    <w:rsid w:val="0E119823"/>
    <w:rsid w:val="0E13B740"/>
    <w:rsid w:val="0E19F455"/>
    <w:rsid w:val="0E1F9002"/>
    <w:rsid w:val="0E21A60A"/>
    <w:rsid w:val="0E24AAF4"/>
    <w:rsid w:val="0E28A065"/>
    <w:rsid w:val="0E28A53A"/>
    <w:rsid w:val="0E2A81F2"/>
    <w:rsid w:val="0E2CC8F9"/>
    <w:rsid w:val="0E2D1904"/>
    <w:rsid w:val="0E2D2FBA"/>
    <w:rsid w:val="0E2EE8AC"/>
    <w:rsid w:val="0E339898"/>
    <w:rsid w:val="0E340F59"/>
    <w:rsid w:val="0E34F20E"/>
    <w:rsid w:val="0E360BAC"/>
    <w:rsid w:val="0E381006"/>
    <w:rsid w:val="0E4343AF"/>
    <w:rsid w:val="0E472373"/>
    <w:rsid w:val="0E4D9157"/>
    <w:rsid w:val="0E4F2983"/>
    <w:rsid w:val="0E4F34BE"/>
    <w:rsid w:val="0E511971"/>
    <w:rsid w:val="0E523041"/>
    <w:rsid w:val="0E529512"/>
    <w:rsid w:val="0E52A1C8"/>
    <w:rsid w:val="0E546EA0"/>
    <w:rsid w:val="0E584038"/>
    <w:rsid w:val="0E641B82"/>
    <w:rsid w:val="0E68B615"/>
    <w:rsid w:val="0E690426"/>
    <w:rsid w:val="0E697C89"/>
    <w:rsid w:val="0E6B92D2"/>
    <w:rsid w:val="0E6CC89F"/>
    <w:rsid w:val="0E75545F"/>
    <w:rsid w:val="0E798527"/>
    <w:rsid w:val="0E7BAEE5"/>
    <w:rsid w:val="0E7D3453"/>
    <w:rsid w:val="0E7D52E2"/>
    <w:rsid w:val="0E811775"/>
    <w:rsid w:val="0E81D581"/>
    <w:rsid w:val="0E82293E"/>
    <w:rsid w:val="0E831BDD"/>
    <w:rsid w:val="0E86C7A3"/>
    <w:rsid w:val="0E89A640"/>
    <w:rsid w:val="0E8A96FE"/>
    <w:rsid w:val="0E8F43D8"/>
    <w:rsid w:val="0E942876"/>
    <w:rsid w:val="0E983265"/>
    <w:rsid w:val="0E997E82"/>
    <w:rsid w:val="0E9AEF19"/>
    <w:rsid w:val="0E9E97A6"/>
    <w:rsid w:val="0EA0B8AB"/>
    <w:rsid w:val="0EA2B58B"/>
    <w:rsid w:val="0EA65FC6"/>
    <w:rsid w:val="0EA72731"/>
    <w:rsid w:val="0EA9F142"/>
    <w:rsid w:val="0EAB6F94"/>
    <w:rsid w:val="0EB10CC7"/>
    <w:rsid w:val="0EBE9B94"/>
    <w:rsid w:val="0EC16F5B"/>
    <w:rsid w:val="0EC5101F"/>
    <w:rsid w:val="0ECACFCB"/>
    <w:rsid w:val="0ECDAD42"/>
    <w:rsid w:val="0ED0F29A"/>
    <w:rsid w:val="0ED8DA5E"/>
    <w:rsid w:val="0EDC460A"/>
    <w:rsid w:val="0EDD1B96"/>
    <w:rsid w:val="0EE932C9"/>
    <w:rsid w:val="0EECC9B9"/>
    <w:rsid w:val="0EED4C50"/>
    <w:rsid w:val="0EED59A4"/>
    <w:rsid w:val="0EEF59FE"/>
    <w:rsid w:val="0EF1CD7A"/>
    <w:rsid w:val="0EF1ECB4"/>
    <w:rsid w:val="0EF2648F"/>
    <w:rsid w:val="0EF2CB56"/>
    <w:rsid w:val="0EFA2238"/>
    <w:rsid w:val="0EFC7A56"/>
    <w:rsid w:val="0EFFF7E5"/>
    <w:rsid w:val="0F08C007"/>
    <w:rsid w:val="0F08D01B"/>
    <w:rsid w:val="0F10F786"/>
    <w:rsid w:val="0F16F157"/>
    <w:rsid w:val="0F1E92B6"/>
    <w:rsid w:val="0F235E43"/>
    <w:rsid w:val="0F2534BF"/>
    <w:rsid w:val="0F2CC49B"/>
    <w:rsid w:val="0F2E67E9"/>
    <w:rsid w:val="0F33099E"/>
    <w:rsid w:val="0F36F526"/>
    <w:rsid w:val="0F375455"/>
    <w:rsid w:val="0F375FAE"/>
    <w:rsid w:val="0F37FA12"/>
    <w:rsid w:val="0F3C0D69"/>
    <w:rsid w:val="0F421697"/>
    <w:rsid w:val="0F458C47"/>
    <w:rsid w:val="0F4804C4"/>
    <w:rsid w:val="0F4D757E"/>
    <w:rsid w:val="0F4DA945"/>
    <w:rsid w:val="0F4F9354"/>
    <w:rsid w:val="0F51629D"/>
    <w:rsid w:val="0F523981"/>
    <w:rsid w:val="0F5304EA"/>
    <w:rsid w:val="0F57D45E"/>
    <w:rsid w:val="0F5DCA1E"/>
    <w:rsid w:val="0F6248CC"/>
    <w:rsid w:val="0F642B88"/>
    <w:rsid w:val="0F67849B"/>
    <w:rsid w:val="0F6B114C"/>
    <w:rsid w:val="0F6EB39C"/>
    <w:rsid w:val="0F70196E"/>
    <w:rsid w:val="0F71048A"/>
    <w:rsid w:val="0F739C20"/>
    <w:rsid w:val="0F777D23"/>
    <w:rsid w:val="0F79C703"/>
    <w:rsid w:val="0F7B3920"/>
    <w:rsid w:val="0F7D3902"/>
    <w:rsid w:val="0F7E218D"/>
    <w:rsid w:val="0F7E81B9"/>
    <w:rsid w:val="0F7F53A7"/>
    <w:rsid w:val="0F81E950"/>
    <w:rsid w:val="0F842C84"/>
    <w:rsid w:val="0F8C9430"/>
    <w:rsid w:val="0F90CCC7"/>
    <w:rsid w:val="0FA01AE1"/>
    <w:rsid w:val="0FA19EC9"/>
    <w:rsid w:val="0FA3652A"/>
    <w:rsid w:val="0FAB6566"/>
    <w:rsid w:val="0FAEE145"/>
    <w:rsid w:val="0FAF8FDD"/>
    <w:rsid w:val="0FAFE244"/>
    <w:rsid w:val="0FB0BC0A"/>
    <w:rsid w:val="0FB1B14A"/>
    <w:rsid w:val="0FB5B02D"/>
    <w:rsid w:val="0FB6C1FD"/>
    <w:rsid w:val="0FBB4B25"/>
    <w:rsid w:val="0FBE04D3"/>
    <w:rsid w:val="0FC23E70"/>
    <w:rsid w:val="0FC584AC"/>
    <w:rsid w:val="0FCD15C2"/>
    <w:rsid w:val="0FD5CFEA"/>
    <w:rsid w:val="0FDCCF04"/>
    <w:rsid w:val="0FE119E3"/>
    <w:rsid w:val="0FE3D5EA"/>
    <w:rsid w:val="0FE8E1D7"/>
    <w:rsid w:val="0FEB070B"/>
    <w:rsid w:val="0FECAAA8"/>
    <w:rsid w:val="0FF21FC4"/>
    <w:rsid w:val="0FF37279"/>
    <w:rsid w:val="0FF9ED5A"/>
    <w:rsid w:val="0FFD0F84"/>
    <w:rsid w:val="0FFFC5C9"/>
    <w:rsid w:val="100091F4"/>
    <w:rsid w:val="10016A4D"/>
    <w:rsid w:val="1006E7EB"/>
    <w:rsid w:val="100A26C2"/>
    <w:rsid w:val="100C66D4"/>
    <w:rsid w:val="100E757E"/>
    <w:rsid w:val="101292DA"/>
    <w:rsid w:val="101B40E7"/>
    <w:rsid w:val="1021F29E"/>
    <w:rsid w:val="102297BE"/>
    <w:rsid w:val="10256E21"/>
    <w:rsid w:val="102B08F2"/>
    <w:rsid w:val="1032C985"/>
    <w:rsid w:val="10346C14"/>
    <w:rsid w:val="10368CED"/>
    <w:rsid w:val="1040D272"/>
    <w:rsid w:val="10456E18"/>
    <w:rsid w:val="10457493"/>
    <w:rsid w:val="1047B62E"/>
    <w:rsid w:val="1048442A"/>
    <w:rsid w:val="104B3B2B"/>
    <w:rsid w:val="104B41DF"/>
    <w:rsid w:val="10517274"/>
    <w:rsid w:val="1053033D"/>
    <w:rsid w:val="1057DAC2"/>
    <w:rsid w:val="10586BC4"/>
    <w:rsid w:val="105B9776"/>
    <w:rsid w:val="1060C9B0"/>
    <w:rsid w:val="10656AC6"/>
    <w:rsid w:val="1067421E"/>
    <w:rsid w:val="1067DDBA"/>
    <w:rsid w:val="1069391B"/>
    <w:rsid w:val="106CDD20"/>
    <w:rsid w:val="10705807"/>
    <w:rsid w:val="107085C8"/>
    <w:rsid w:val="1072DBA1"/>
    <w:rsid w:val="1073DB68"/>
    <w:rsid w:val="107FF00B"/>
    <w:rsid w:val="1080176C"/>
    <w:rsid w:val="108099E9"/>
    <w:rsid w:val="108129F9"/>
    <w:rsid w:val="108BEA62"/>
    <w:rsid w:val="1090AD01"/>
    <w:rsid w:val="10969F97"/>
    <w:rsid w:val="1097D288"/>
    <w:rsid w:val="109BF42E"/>
    <w:rsid w:val="10AA3E1C"/>
    <w:rsid w:val="10AA5F0A"/>
    <w:rsid w:val="10B1CB07"/>
    <w:rsid w:val="10B1F156"/>
    <w:rsid w:val="10B338C8"/>
    <w:rsid w:val="10B567CD"/>
    <w:rsid w:val="10BB4215"/>
    <w:rsid w:val="10C0665C"/>
    <w:rsid w:val="10C3162E"/>
    <w:rsid w:val="10C34BE5"/>
    <w:rsid w:val="10C449D9"/>
    <w:rsid w:val="10C5D170"/>
    <w:rsid w:val="10C8EFDA"/>
    <w:rsid w:val="10C9251A"/>
    <w:rsid w:val="10CCA18A"/>
    <w:rsid w:val="10D110B7"/>
    <w:rsid w:val="10D75D22"/>
    <w:rsid w:val="10D8F232"/>
    <w:rsid w:val="10DBF1E5"/>
    <w:rsid w:val="10E1468D"/>
    <w:rsid w:val="10EC1418"/>
    <w:rsid w:val="10F22CCE"/>
    <w:rsid w:val="10F324FF"/>
    <w:rsid w:val="10F66474"/>
    <w:rsid w:val="10F71E82"/>
    <w:rsid w:val="10F9AB67"/>
    <w:rsid w:val="10FAF513"/>
    <w:rsid w:val="1102455D"/>
    <w:rsid w:val="11041C99"/>
    <w:rsid w:val="11056C1E"/>
    <w:rsid w:val="111144BF"/>
    <w:rsid w:val="11161FEC"/>
    <w:rsid w:val="1118CCF9"/>
    <w:rsid w:val="11196C6A"/>
    <w:rsid w:val="111A735E"/>
    <w:rsid w:val="111BA49E"/>
    <w:rsid w:val="11234B04"/>
    <w:rsid w:val="11287C6E"/>
    <w:rsid w:val="112B732E"/>
    <w:rsid w:val="11315043"/>
    <w:rsid w:val="11324518"/>
    <w:rsid w:val="11369E31"/>
    <w:rsid w:val="1138597D"/>
    <w:rsid w:val="1138DA15"/>
    <w:rsid w:val="11392C89"/>
    <w:rsid w:val="113F2923"/>
    <w:rsid w:val="1146486F"/>
    <w:rsid w:val="11488A86"/>
    <w:rsid w:val="114DAEE7"/>
    <w:rsid w:val="115461CB"/>
    <w:rsid w:val="115664B5"/>
    <w:rsid w:val="11566B01"/>
    <w:rsid w:val="11568541"/>
    <w:rsid w:val="1156C93C"/>
    <w:rsid w:val="115B3D9F"/>
    <w:rsid w:val="115DBE59"/>
    <w:rsid w:val="11643F56"/>
    <w:rsid w:val="116CAFC1"/>
    <w:rsid w:val="116D9007"/>
    <w:rsid w:val="117013BD"/>
    <w:rsid w:val="1170E3CF"/>
    <w:rsid w:val="1172E6D9"/>
    <w:rsid w:val="117428B1"/>
    <w:rsid w:val="11750C11"/>
    <w:rsid w:val="11776BA6"/>
    <w:rsid w:val="117D5D0F"/>
    <w:rsid w:val="117F0674"/>
    <w:rsid w:val="117F4BB3"/>
    <w:rsid w:val="1180A4A1"/>
    <w:rsid w:val="1188F590"/>
    <w:rsid w:val="118AAF27"/>
    <w:rsid w:val="118BC58D"/>
    <w:rsid w:val="118D7CD7"/>
    <w:rsid w:val="11929E85"/>
    <w:rsid w:val="1192CF60"/>
    <w:rsid w:val="11948D36"/>
    <w:rsid w:val="11952B03"/>
    <w:rsid w:val="1197F012"/>
    <w:rsid w:val="11991428"/>
    <w:rsid w:val="1199E55B"/>
    <w:rsid w:val="119A94D6"/>
    <w:rsid w:val="119B9240"/>
    <w:rsid w:val="119BD3F7"/>
    <w:rsid w:val="119DA434"/>
    <w:rsid w:val="119FB3D7"/>
    <w:rsid w:val="11A13ABD"/>
    <w:rsid w:val="11A299DB"/>
    <w:rsid w:val="11A3C752"/>
    <w:rsid w:val="11A50A15"/>
    <w:rsid w:val="11A86A06"/>
    <w:rsid w:val="11A8A77A"/>
    <w:rsid w:val="11AC921C"/>
    <w:rsid w:val="11AEE405"/>
    <w:rsid w:val="11B04F6A"/>
    <w:rsid w:val="11B15BFF"/>
    <w:rsid w:val="11B4B81D"/>
    <w:rsid w:val="11B5721E"/>
    <w:rsid w:val="11B8F30C"/>
    <w:rsid w:val="11C321EE"/>
    <w:rsid w:val="11C3337A"/>
    <w:rsid w:val="11C847A9"/>
    <w:rsid w:val="11C90782"/>
    <w:rsid w:val="11CA44C0"/>
    <w:rsid w:val="11CC8D05"/>
    <w:rsid w:val="11CE9B0D"/>
    <w:rsid w:val="11D13FBD"/>
    <w:rsid w:val="11D146D6"/>
    <w:rsid w:val="11D3717C"/>
    <w:rsid w:val="11D7161C"/>
    <w:rsid w:val="11D8AA50"/>
    <w:rsid w:val="11DA2D98"/>
    <w:rsid w:val="11DD0EA4"/>
    <w:rsid w:val="11E04FEA"/>
    <w:rsid w:val="11E1E2B2"/>
    <w:rsid w:val="11E5337E"/>
    <w:rsid w:val="11E85FD8"/>
    <w:rsid w:val="11EC9793"/>
    <w:rsid w:val="11EC9E11"/>
    <w:rsid w:val="11EDEB1E"/>
    <w:rsid w:val="11F4F338"/>
    <w:rsid w:val="11F950D6"/>
    <w:rsid w:val="11FAD073"/>
    <w:rsid w:val="11FE991A"/>
    <w:rsid w:val="11FEE5AD"/>
    <w:rsid w:val="11FF0499"/>
    <w:rsid w:val="120038D6"/>
    <w:rsid w:val="1200DB46"/>
    <w:rsid w:val="120475C1"/>
    <w:rsid w:val="1204DA21"/>
    <w:rsid w:val="1209F984"/>
    <w:rsid w:val="120C2C69"/>
    <w:rsid w:val="121039D4"/>
    <w:rsid w:val="12107337"/>
    <w:rsid w:val="1212DA57"/>
    <w:rsid w:val="121472D6"/>
    <w:rsid w:val="121751E2"/>
    <w:rsid w:val="1217C37D"/>
    <w:rsid w:val="122487B5"/>
    <w:rsid w:val="122930F4"/>
    <w:rsid w:val="1229BB73"/>
    <w:rsid w:val="122A102A"/>
    <w:rsid w:val="1231B3A2"/>
    <w:rsid w:val="12321C7A"/>
    <w:rsid w:val="123554DE"/>
    <w:rsid w:val="12383E24"/>
    <w:rsid w:val="123B7144"/>
    <w:rsid w:val="123C4B42"/>
    <w:rsid w:val="1240CCED"/>
    <w:rsid w:val="1241D08C"/>
    <w:rsid w:val="1242D49F"/>
    <w:rsid w:val="1245CB01"/>
    <w:rsid w:val="1246A6E4"/>
    <w:rsid w:val="12485818"/>
    <w:rsid w:val="124D9463"/>
    <w:rsid w:val="124D9A27"/>
    <w:rsid w:val="124ED4CE"/>
    <w:rsid w:val="125116E9"/>
    <w:rsid w:val="125144C4"/>
    <w:rsid w:val="1251F4E3"/>
    <w:rsid w:val="12559F22"/>
    <w:rsid w:val="12574DAB"/>
    <w:rsid w:val="125EB0C1"/>
    <w:rsid w:val="125EE52F"/>
    <w:rsid w:val="12600AB6"/>
    <w:rsid w:val="1262CE4F"/>
    <w:rsid w:val="1266E900"/>
    <w:rsid w:val="1268C535"/>
    <w:rsid w:val="126C51F1"/>
    <w:rsid w:val="1272BCA3"/>
    <w:rsid w:val="12765885"/>
    <w:rsid w:val="1276F2A2"/>
    <w:rsid w:val="12795360"/>
    <w:rsid w:val="127F5192"/>
    <w:rsid w:val="1281E9DF"/>
    <w:rsid w:val="12851A7E"/>
    <w:rsid w:val="1285301A"/>
    <w:rsid w:val="128678B9"/>
    <w:rsid w:val="1287CF22"/>
    <w:rsid w:val="1288620A"/>
    <w:rsid w:val="128A9B99"/>
    <w:rsid w:val="129385FA"/>
    <w:rsid w:val="129DAA3C"/>
    <w:rsid w:val="129E0B75"/>
    <w:rsid w:val="12A2604B"/>
    <w:rsid w:val="12A276A6"/>
    <w:rsid w:val="12A40D08"/>
    <w:rsid w:val="12A46A39"/>
    <w:rsid w:val="12AAE2D3"/>
    <w:rsid w:val="12B0E9E1"/>
    <w:rsid w:val="12B8EF87"/>
    <w:rsid w:val="12BF75E8"/>
    <w:rsid w:val="12C09DB7"/>
    <w:rsid w:val="12C71631"/>
    <w:rsid w:val="12C85CE6"/>
    <w:rsid w:val="12CC0587"/>
    <w:rsid w:val="12CE9396"/>
    <w:rsid w:val="12D15CB4"/>
    <w:rsid w:val="12D293C2"/>
    <w:rsid w:val="12D88615"/>
    <w:rsid w:val="12DE0348"/>
    <w:rsid w:val="12DE95F3"/>
    <w:rsid w:val="12DF5D80"/>
    <w:rsid w:val="12E3C7C2"/>
    <w:rsid w:val="12E59353"/>
    <w:rsid w:val="12E605F0"/>
    <w:rsid w:val="12E6585E"/>
    <w:rsid w:val="12E6C352"/>
    <w:rsid w:val="12E7E57D"/>
    <w:rsid w:val="12EB1F79"/>
    <w:rsid w:val="12EC4D9F"/>
    <w:rsid w:val="12EFF915"/>
    <w:rsid w:val="12F544CE"/>
    <w:rsid w:val="12F781F1"/>
    <w:rsid w:val="12F80543"/>
    <w:rsid w:val="12FAE91E"/>
    <w:rsid w:val="1301A829"/>
    <w:rsid w:val="13031175"/>
    <w:rsid w:val="1303AF5F"/>
    <w:rsid w:val="1307F86B"/>
    <w:rsid w:val="13088DF6"/>
    <w:rsid w:val="13108EE1"/>
    <w:rsid w:val="131151B4"/>
    <w:rsid w:val="1312151B"/>
    <w:rsid w:val="1317360C"/>
    <w:rsid w:val="1317D45D"/>
    <w:rsid w:val="131C16B2"/>
    <w:rsid w:val="1320BC3E"/>
    <w:rsid w:val="1321249A"/>
    <w:rsid w:val="1324E11D"/>
    <w:rsid w:val="13265D10"/>
    <w:rsid w:val="13273D43"/>
    <w:rsid w:val="132C158D"/>
    <w:rsid w:val="132FC769"/>
    <w:rsid w:val="1331601C"/>
    <w:rsid w:val="1331F587"/>
    <w:rsid w:val="1332FF37"/>
    <w:rsid w:val="133C8683"/>
    <w:rsid w:val="133DE7C5"/>
    <w:rsid w:val="13464A56"/>
    <w:rsid w:val="1348C43F"/>
    <w:rsid w:val="134C75BE"/>
    <w:rsid w:val="134FFB05"/>
    <w:rsid w:val="135092DF"/>
    <w:rsid w:val="135501C1"/>
    <w:rsid w:val="13593F5E"/>
    <w:rsid w:val="135EF24F"/>
    <w:rsid w:val="13616530"/>
    <w:rsid w:val="1361AB11"/>
    <w:rsid w:val="1362579D"/>
    <w:rsid w:val="1362B5A9"/>
    <w:rsid w:val="1362F62E"/>
    <w:rsid w:val="136B31C9"/>
    <w:rsid w:val="136B8EF1"/>
    <w:rsid w:val="136BC38C"/>
    <w:rsid w:val="136BFEFE"/>
    <w:rsid w:val="13723438"/>
    <w:rsid w:val="1372EDD8"/>
    <w:rsid w:val="1373E4D1"/>
    <w:rsid w:val="13740E89"/>
    <w:rsid w:val="1376B039"/>
    <w:rsid w:val="1377069C"/>
    <w:rsid w:val="13792AB2"/>
    <w:rsid w:val="137D49A1"/>
    <w:rsid w:val="137F0752"/>
    <w:rsid w:val="138546A0"/>
    <w:rsid w:val="138586DA"/>
    <w:rsid w:val="1389932E"/>
    <w:rsid w:val="138A0C15"/>
    <w:rsid w:val="1390A03C"/>
    <w:rsid w:val="1390CBD9"/>
    <w:rsid w:val="13919AC7"/>
    <w:rsid w:val="139205BD"/>
    <w:rsid w:val="1392301F"/>
    <w:rsid w:val="13A12ABA"/>
    <w:rsid w:val="13A30215"/>
    <w:rsid w:val="13A3FC6A"/>
    <w:rsid w:val="13A5732D"/>
    <w:rsid w:val="13A7F537"/>
    <w:rsid w:val="13A83675"/>
    <w:rsid w:val="13ABA707"/>
    <w:rsid w:val="13AC8D64"/>
    <w:rsid w:val="13B05169"/>
    <w:rsid w:val="13B82A52"/>
    <w:rsid w:val="13B8A818"/>
    <w:rsid w:val="13B8B76B"/>
    <w:rsid w:val="13BC3309"/>
    <w:rsid w:val="13BE9AF4"/>
    <w:rsid w:val="13C066FE"/>
    <w:rsid w:val="13C566F6"/>
    <w:rsid w:val="13CC550A"/>
    <w:rsid w:val="13CFD1E6"/>
    <w:rsid w:val="13D2CEE7"/>
    <w:rsid w:val="13D51AAB"/>
    <w:rsid w:val="13D69433"/>
    <w:rsid w:val="13D9DEC6"/>
    <w:rsid w:val="13DB4F6B"/>
    <w:rsid w:val="13E27AB8"/>
    <w:rsid w:val="13E5AC12"/>
    <w:rsid w:val="13E6AF49"/>
    <w:rsid w:val="13E8954A"/>
    <w:rsid w:val="13F46410"/>
    <w:rsid w:val="13FA9FC1"/>
    <w:rsid w:val="1404D0C6"/>
    <w:rsid w:val="14070C44"/>
    <w:rsid w:val="140EA1F1"/>
    <w:rsid w:val="140EB187"/>
    <w:rsid w:val="1412B33A"/>
    <w:rsid w:val="141974CD"/>
    <w:rsid w:val="1419BA8B"/>
    <w:rsid w:val="141A7F0A"/>
    <w:rsid w:val="141C3501"/>
    <w:rsid w:val="1422037E"/>
    <w:rsid w:val="1423ACC9"/>
    <w:rsid w:val="1424A26F"/>
    <w:rsid w:val="1424B3C0"/>
    <w:rsid w:val="1443DD02"/>
    <w:rsid w:val="1445B927"/>
    <w:rsid w:val="14469A8A"/>
    <w:rsid w:val="14473614"/>
    <w:rsid w:val="144744C3"/>
    <w:rsid w:val="1448F8B7"/>
    <w:rsid w:val="144ADBEF"/>
    <w:rsid w:val="144D4AD4"/>
    <w:rsid w:val="14523586"/>
    <w:rsid w:val="1453DF32"/>
    <w:rsid w:val="1454EBA8"/>
    <w:rsid w:val="14578C20"/>
    <w:rsid w:val="14583AC4"/>
    <w:rsid w:val="145B016E"/>
    <w:rsid w:val="145B2D9D"/>
    <w:rsid w:val="145C14F7"/>
    <w:rsid w:val="145D30BF"/>
    <w:rsid w:val="145E4C40"/>
    <w:rsid w:val="1460A841"/>
    <w:rsid w:val="14619958"/>
    <w:rsid w:val="14664343"/>
    <w:rsid w:val="146813E6"/>
    <w:rsid w:val="14681A94"/>
    <w:rsid w:val="146EA450"/>
    <w:rsid w:val="146EF46C"/>
    <w:rsid w:val="14742F53"/>
    <w:rsid w:val="1477251F"/>
    <w:rsid w:val="147DAF7A"/>
    <w:rsid w:val="14803E35"/>
    <w:rsid w:val="1482B601"/>
    <w:rsid w:val="14837610"/>
    <w:rsid w:val="14892038"/>
    <w:rsid w:val="148CB071"/>
    <w:rsid w:val="148E1E41"/>
    <w:rsid w:val="148EE665"/>
    <w:rsid w:val="1490F441"/>
    <w:rsid w:val="14946419"/>
    <w:rsid w:val="149DE9F1"/>
    <w:rsid w:val="14A6E608"/>
    <w:rsid w:val="14A7692B"/>
    <w:rsid w:val="14A91F44"/>
    <w:rsid w:val="14B314CC"/>
    <w:rsid w:val="14B7708E"/>
    <w:rsid w:val="14BA016C"/>
    <w:rsid w:val="14BB86E6"/>
    <w:rsid w:val="14BC23DC"/>
    <w:rsid w:val="14C2D26B"/>
    <w:rsid w:val="14C3AA77"/>
    <w:rsid w:val="14C77D79"/>
    <w:rsid w:val="14CA31DF"/>
    <w:rsid w:val="14CA8871"/>
    <w:rsid w:val="14CC5040"/>
    <w:rsid w:val="14CDA8A3"/>
    <w:rsid w:val="14D2F481"/>
    <w:rsid w:val="14E8B88F"/>
    <w:rsid w:val="14EC925A"/>
    <w:rsid w:val="14EE1C31"/>
    <w:rsid w:val="14F480EE"/>
    <w:rsid w:val="15011645"/>
    <w:rsid w:val="1503D46F"/>
    <w:rsid w:val="15048187"/>
    <w:rsid w:val="1505427F"/>
    <w:rsid w:val="1506FC37"/>
    <w:rsid w:val="1507C32E"/>
    <w:rsid w:val="150EC00E"/>
    <w:rsid w:val="1512C8CF"/>
    <w:rsid w:val="1514334B"/>
    <w:rsid w:val="15182E3F"/>
    <w:rsid w:val="151A6DEA"/>
    <w:rsid w:val="151A7043"/>
    <w:rsid w:val="151C831A"/>
    <w:rsid w:val="151E767B"/>
    <w:rsid w:val="152F4ACD"/>
    <w:rsid w:val="153254E9"/>
    <w:rsid w:val="1534A942"/>
    <w:rsid w:val="153A9EFF"/>
    <w:rsid w:val="153CC025"/>
    <w:rsid w:val="153D2E4C"/>
    <w:rsid w:val="153E674E"/>
    <w:rsid w:val="153FE2AA"/>
    <w:rsid w:val="1540F7C3"/>
    <w:rsid w:val="154414C6"/>
    <w:rsid w:val="1545B6C4"/>
    <w:rsid w:val="154C0031"/>
    <w:rsid w:val="154F7EB4"/>
    <w:rsid w:val="154FD524"/>
    <w:rsid w:val="1550C84C"/>
    <w:rsid w:val="1553C481"/>
    <w:rsid w:val="15566C8F"/>
    <w:rsid w:val="1557951A"/>
    <w:rsid w:val="1558C340"/>
    <w:rsid w:val="155C863E"/>
    <w:rsid w:val="15632E1E"/>
    <w:rsid w:val="1565DF0D"/>
    <w:rsid w:val="15697A3C"/>
    <w:rsid w:val="156A34F5"/>
    <w:rsid w:val="156ED594"/>
    <w:rsid w:val="15702555"/>
    <w:rsid w:val="15759FAD"/>
    <w:rsid w:val="15766D25"/>
    <w:rsid w:val="1579C001"/>
    <w:rsid w:val="157C28A5"/>
    <w:rsid w:val="157EDAE7"/>
    <w:rsid w:val="1581C56B"/>
    <w:rsid w:val="15884B07"/>
    <w:rsid w:val="1588D667"/>
    <w:rsid w:val="159114F0"/>
    <w:rsid w:val="1595D98D"/>
    <w:rsid w:val="1595E9D7"/>
    <w:rsid w:val="15968FAA"/>
    <w:rsid w:val="15987E04"/>
    <w:rsid w:val="1598BDBC"/>
    <w:rsid w:val="159EEFF5"/>
    <w:rsid w:val="159FA1D9"/>
    <w:rsid w:val="15A0A4EF"/>
    <w:rsid w:val="15A3A9C4"/>
    <w:rsid w:val="15A47418"/>
    <w:rsid w:val="15A6DE6F"/>
    <w:rsid w:val="15AD7ADD"/>
    <w:rsid w:val="15BC0EA7"/>
    <w:rsid w:val="15C0C3BA"/>
    <w:rsid w:val="15C613FC"/>
    <w:rsid w:val="15C6AC96"/>
    <w:rsid w:val="15C6C84E"/>
    <w:rsid w:val="15C73781"/>
    <w:rsid w:val="15CB508B"/>
    <w:rsid w:val="15CD337C"/>
    <w:rsid w:val="15D26AD9"/>
    <w:rsid w:val="15D3C448"/>
    <w:rsid w:val="15DBA41E"/>
    <w:rsid w:val="15DE73A5"/>
    <w:rsid w:val="15E1C098"/>
    <w:rsid w:val="15E2F596"/>
    <w:rsid w:val="15EB5658"/>
    <w:rsid w:val="15EF039F"/>
    <w:rsid w:val="15F1C610"/>
    <w:rsid w:val="15FA26C0"/>
    <w:rsid w:val="15FBAF95"/>
    <w:rsid w:val="15FF6FAB"/>
    <w:rsid w:val="160185BF"/>
    <w:rsid w:val="16032383"/>
    <w:rsid w:val="160706DB"/>
    <w:rsid w:val="160816F6"/>
    <w:rsid w:val="16096800"/>
    <w:rsid w:val="16098DD4"/>
    <w:rsid w:val="160B03C4"/>
    <w:rsid w:val="160CF565"/>
    <w:rsid w:val="160E192C"/>
    <w:rsid w:val="1613A44A"/>
    <w:rsid w:val="16146675"/>
    <w:rsid w:val="161F3239"/>
    <w:rsid w:val="162821B8"/>
    <w:rsid w:val="162E0F1B"/>
    <w:rsid w:val="16317898"/>
    <w:rsid w:val="1638F87B"/>
    <w:rsid w:val="16395BC8"/>
    <w:rsid w:val="163A25B3"/>
    <w:rsid w:val="16405EEC"/>
    <w:rsid w:val="1642259B"/>
    <w:rsid w:val="16483FF6"/>
    <w:rsid w:val="16498CFF"/>
    <w:rsid w:val="164E8D12"/>
    <w:rsid w:val="16511209"/>
    <w:rsid w:val="1653EAF0"/>
    <w:rsid w:val="165B0C95"/>
    <w:rsid w:val="165B3235"/>
    <w:rsid w:val="165B4C5E"/>
    <w:rsid w:val="16640A22"/>
    <w:rsid w:val="16651CD9"/>
    <w:rsid w:val="166988E2"/>
    <w:rsid w:val="166BC44E"/>
    <w:rsid w:val="167471DC"/>
    <w:rsid w:val="167623C3"/>
    <w:rsid w:val="1676D1A7"/>
    <w:rsid w:val="1680A7FA"/>
    <w:rsid w:val="1682D51F"/>
    <w:rsid w:val="16843D03"/>
    <w:rsid w:val="16856BAE"/>
    <w:rsid w:val="1688B6AC"/>
    <w:rsid w:val="1688D21D"/>
    <w:rsid w:val="168B1839"/>
    <w:rsid w:val="168C8FB6"/>
    <w:rsid w:val="168DC035"/>
    <w:rsid w:val="169A3698"/>
    <w:rsid w:val="169B2A48"/>
    <w:rsid w:val="16AB8B33"/>
    <w:rsid w:val="16B13525"/>
    <w:rsid w:val="16B1ADB4"/>
    <w:rsid w:val="16B6CCDF"/>
    <w:rsid w:val="16BD25DA"/>
    <w:rsid w:val="16C116C6"/>
    <w:rsid w:val="16C181A5"/>
    <w:rsid w:val="16C2DF04"/>
    <w:rsid w:val="16C45A25"/>
    <w:rsid w:val="16C78A8B"/>
    <w:rsid w:val="16C82CCE"/>
    <w:rsid w:val="16CA70E2"/>
    <w:rsid w:val="16D1EDA8"/>
    <w:rsid w:val="16D3FEDE"/>
    <w:rsid w:val="16D5B3CB"/>
    <w:rsid w:val="16D8A196"/>
    <w:rsid w:val="16DE3093"/>
    <w:rsid w:val="16DE60AE"/>
    <w:rsid w:val="16DEFBA1"/>
    <w:rsid w:val="16E0AA5B"/>
    <w:rsid w:val="16E5004A"/>
    <w:rsid w:val="16E70B09"/>
    <w:rsid w:val="16F004A8"/>
    <w:rsid w:val="16F03F6B"/>
    <w:rsid w:val="16F09922"/>
    <w:rsid w:val="16F2C233"/>
    <w:rsid w:val="16F832BB"/>
    <w:rsid w:val="16FD0394"/>
    <w:rsid w:val="16FD3856"/>
    <w:rsid w:val="16FD8E13"/>
    <w:rsid w:val="17024C1C"/>
    <w:rsid w:val="1703F91C"/>
    <w:rsid w:val="1705AD8C"/>
    <w:rsid w:val="170A6336"/>
    <w:rsid w:val="170AEA42"/>
    <w:rsid w:val="1710CDAD"/>
    <w:rsid w:val="1717CF95"/>
    <w:rsid w:val="171A39E4"/>
    <w:rsid w:val="171A4B6E"/>
    <w:rsid w:val="171D509F"/>
    <w:rsid w:val="171D649A"/>
    <w:rsid w:val="1720EA9A"/>
    <w:rsid w:val="1723D469"/>
    <w:rsid w:val="172614C5"/>
    <w:rsid w:val="17319EE0"/>
    <w:rsid w:val="1731A257"/>
    <w:rsid w:val="173755F1"/>
    <w:rsid w:val="173EDF41"/>
    <w:rsid w:val="173FBD57"/>
    <w:rsid w:val="17458598"/>
    <w:rsid w:val="1745AAD2"/>
    <w:rsid w:val="174A0E2B"/>
    <w:rsid w:val="1750A107"/>
    <w:rsid w:val="175206E1"/>
    <w:rsid w:val="1754372A"/>
    <w:rsid w:val="1756E065"/>
    <w:rsid w:val="175780D7"/>
    <w:rsid w:val="175A872C"/>
    <w:rsid w:val="175B9C57"/>
    <w:rsid w:val="175BC7E3"/>
    <w:rsid w:val="175E0522"/>
    <w:rsid w:val="175EE3B5"/>
    <w:rsid w:val="17603FD1"/>
    <w:rsid w:val="1761064B"/>
    <w:rsid w:val="1761AA81"/>
    <w:rsid w:val="1765DA26"/>
    <w:rsid w:val="17680D49"/>
    <w:rsid w:val="176A7267"/>
    <w:rsid w:val="176A8F66"/>
    <w:rsid w:val="177237A7"/>
    <w:rsid w:val="17767673"/>
    <w:rsid w:val="1780A510"/>
    <w:rsid w:val="1782CB76"/>
    <w:rsid w:val="1784F89B"/>
    <w:rsid w:val="178E1CDC"/>
    <w:rsid w:val="178F11E1"/>
    <w:rsid w:val="1795F859"/>
    <w:rsid w:val="17963B25"/>
    <w:rsid w:val="1797D329"/>
    <w:rsid w:val="179D8451"/>
    <w:rsid w:val="17A06DB8"/>
    <w:rsid w:val="17A41545"/>
    <w:rsid w:val="17A55DF1"/>
    <w:rsid w:val="17A72403"/>
    <w:rsid w:val="17A843BE"/>
    <w:rsid w:val="17A89508"/>
    <w:rsid w:val="17ABBD7A"/>
    <w:rsid w:val="17ABDA04"/>
    <w:rsid w:val="17ADBAAB"/>
    <w:rsid w:val="17AE32A7"/>
    <w:rsid w:val="17B100DC"/>
    <w:rsid w:val="17B3151A"/>
    <w:rsid w:val="17B613F6"/>
    <w:rsid w:val="17BD192B"/>
    <w:rsid w:val="17BFDB83"/>
    <w:rsid w:val="17C1E4D9"/>
    <w:rsid w:val="17C364D7"/>
    <w:rsid w:val="17C7184C"/>
    <w:rsid w:val="17D2536B"/>
    <w:rsid w:val="17D27517"/>
    <w:rsid w:val="17D3DD64"/>
    <w:rsid w:val="17D3FFED"/>
    <w:rsid w:val="17D58BCE"/>
    <w:rsid w:val="17D8FA95"/>
    <w:rsid w:val="17DA70CD"/>
    <w:rsid w:val="17DB7CBA"/>
    <w:rsid w:val="17DBA1CB"/>
    <w:rsid w:val="17DC7869"/>
    <w:rsid w:val="17DDEDDE"/>
    <w:rsid w:val="17DE8F52"/>
    <w:rsid w:val="17DF1EB4"/>
    <w:rsid w:val="17EBF56A"/>
    <w:rsid w:val="17F14020"/>
    <w:rsid w:val="17F43C9B"/>
    <w:rsid w:val="17F485AD"/>
    <w:rsid w:val="17F7F297"/>
    <w:rsid w:val="17FA08CB"/>
    <w:rsid w:val="17FA09DC"/>
    <w:rsid w:val="17FAFEBA"/>
    <w:rsid w:val="17FD91B6"/>
    <w:rsid w:val="17FEE43C"/>
    <w:rsid w:val="17FF6B82"/>
    <w:rsid w:val="18005981"/>
    <w:rsid w:val="1806775B"/>
    <w:rsid w:val="180B9989"/>
    <w:rsid w:val="180F2694"/>
    <w:rsid w:val="1813C32A"/>
    <w:rsid w:val="1817335A"/>
    <w:rsid w:val="18173E74"/>
    <w:rsid w:val="1819EB4B"/>
    <w:rsid w:val="181A0D96"/>
    <w:rsid w:val="181A5CA5"/>
    <w:rsid w:val="181B98BD"/>
    <w:rsid w:val="181DE33A"/>
    <w:rsid w:val="1827F57C"/>
    <w:rsid w:val="1828AD86"/>
    <w:rsid w:val="182E030F"/>
    <w:rsid w:val="1839301E"/>
    <w:rsid w:val="183AF5DE"/>
    <w:rsid w:val="183D4363"/>
    <w:rsid w:val="1840324C"/>
    <w:rsid w:val="1846F7AF"/>
    <w:rsid w:val="18485643"/>
    <w:rsid w:val="1849A5F1"/>
    <w:rsid w:val="184FA606"/>
    <w:rsid w:val="18509FB6"/>
    <w:rsid w:val="1851002D"/>
    <w:rsid w:val="18516134"/>
    <w:rsid w:val="18547556"/>
    <w:rsid w:val="1856994C"/>
    <w:rsid w:val="1856DFEC"/>
    <w:rsid w:val="185A6EF1"/>
    <w:rsid w:val="1860EE59"/>
    <w:rsid w:val="1863BDC6"/>
    <w:rsid w:val="1870B535"/>
    <w:rsid w:val="18721962"/>
    <w:rsid w:val="1873B14A"/>
    <w:rsid w:val="1877181F"/>
    <w:rsid w:val="187C75CE"/>
    <w:rsid w:val="187E11AF"/>
    <w:rsid w:val="187EABAC"/>
    <w:rsid w:val="187F0952"/>
    <w:rsid w:val="187F1191"/>
    <w:rsid w:val="187F220F"/>
    <w:rsid w:val="18845AA3"/>
    <w:rsid w:val="188D8E12"/>
    <w:rsid w:val="188DA093"/>
    <w:rsid w:val="188E9545"/>
    <w:rsid w:val="18956C91"/>
    <w:rsid w:val="189BA560"/>
    <w:rsid w:val="189D4CEE"/>
    <w:rsid w:val="18A09217"/>
    <w:rsid w:val="18A17931"/>
    <w:rsid w:val="18A91709"/>
    <w:rsid w:val="18A9D3F2"/>
    <w:rsid w:val="18AB57F9"/>
    <w:rsid w:val="18AB7F35"/>
    <w:rsid w:val="18AF5F48"/>
    <w:rsid w:val="18B02A20"/>
    <w:rsid w:val="18B28081"/>
    <w:rsid w:val="18B59F70"/>
    <w:rsid w:val="18B6C46A"/>
    <w:rsid w:val="18B9A586"/>
    <w:rsid w:val="18BBCE75"/>
    <w:rsid w:val="18C2BF43"/>
    <w:rsid w:val="18C62DD7"/>
    <w:rsid w:val="18C6380A"/>
    <w:rsid w:val="18C8E326"/>
    <w:rsid w:val="18C8F690"/>
    <w:rsid w:val="18D35F81"/>
    <w:rsid w:val="18D3B8F2"/>
    <w:rsid w:val="18D7A6A9"/>
    <w:rsid w:val="18D8CFC6"/>
    <w:rsid w:val="18DACDE7"/>
    <w:rsid w:val="18DF8620"/>
    <w:rsid w:val="18E1272C"/>
    <w:rsid w:val="18E3DFB6"/>
    <w:rsid w:val="18F4676D"/>
    <w:rsid w:val="18F5054E"/>
    <w:rsid w:val="18F56272"/>
    <w:rsid w:val="18F593EC"/>
    <w:rsid w:val="18F6C8A2"/>
    <w:rsid w:val="18F753B0"/>
    <w:rsid w:val="18F81A57"/>
    <w:rsid w:val="18F91FB9"/>
    <w:rsid w:val="18FAC5A3"/>
    <w:rsid w:val="18FAF3EE"/>
    <w:rsid w:val="18FDDFB7"/>
    <w:rsid w:val="18FF4DA0"/>
    <w:rsid w:val="19030214"/>
    <w:rsid w:val="1903434B"/>
    <w:rsid w:val="190417FF"/>
    <w:rsid w:val="1904C136"/>
    <w:rsid w:val="19058179"/>
    <w:rsid w:val="19065466"/>
    <w:rsid w:val="19125D08"/>
    <w:rsid w:val="191389F4"/>
    <w:rsid w:val="1913DAE7"/>
    <w:rsid w:val="19176C32"/>
    <w:rsid w:val="191A499F"/>
    <w:rsid w:val="191ECC2B"/>
    <w:rsid w:val="191F27C7"/>
    <w:rsid w:val="19241957"/>
    <w:rsid w:val="192489E9"/>
    <w:rsid w:val="192BEC7E"/>
    <w:rsid w:val="1938361D"/>
    <w:rsid w:val="1938763E"/>
    <w:rsid w:val="1938B3D0"/>
    <w:rsid w:val="193BB260"/>
    <w:rsid w:val="193FEAA5"/>
    <w:rsid w:val="19410287"/>
    <w:rsid w:val="19427F22"/>
    <w:rsid w:val="1943A969"/>
    <w:rsid w:val="1945C110"/>
    <w:rsid w:val="1945F101"/>
    <w:rsid w:val="194B2106"/>
    <w:rsid w:val="194B5C06"/>
    <w:rsid w:val="194C0B5F"/>
    <w:rsid w:val="194F79AB"/>
    <w:rsid w:val="194FDE63"/>
    <w:rsid w:val="1950974E"/>
    <w:rsid w:val="19543BDA"/>
    <w:rsid w:val="19592720"/>
    <w:rsid w:val="195A536C"/>
    <w:rsid w:val="195C4DC7"/>
    <w:rsid w:val="195CD0B0"/>
    <w:rsid w:val="1964B4B3"/>
    <w:rsid w:val="1964F9A1"/>
    <w:rsid w:val="1966C767"/>
    <w:rsid w:val="1966DDA6"/>
    <w:rsid w:val="19695857"/>
    <w:rsid w:val="196F4179"/>
    <w:rsid w:val="197040E4"/>
    <w:rsid w:val="1971AA55"/>
    <w:rsid w:val="197222F7"/>
    <w:rsid w:val="1972CE27"/>
    <w:rsid w:val="19767362"/>
    <w:rsid w:val="197986B0"/>
    <w:rsid w:val="197B36AD"/>
    <w:rsid w:val="1984547A"/>
    <w:rsid w:val="1984A321"/>
    <w:rsid w:val="198752A2"/>
    <w:rsid w:val="198EE53B"/>
    <w:rsid w:val="198F6C1B"/>
    <w:rsid w:val="1990ACC8"/>
    <w:rsid w:val="19935E03"/>
    <w:rsid w:val="19964F2A"/>
    <w:rsid w:val="199A5B86"/>
    <w:rsid w:val="199AAA2C"/>
    <w:rsid w:val="199E42D3"/>
    <w:rsid w:val="199ECCF8"/>
    <w:rsid w:val="19A7F50B"/>
    <w:rsid w:val="19A86C31"/>
    <w:rsid w:val="19A90192"/>
    <w:rsid w:val="19ACEA6A"/>
    <w:rsid w:val="19AEA767"/>
    <w:rsid w:val="19B07BEB"/>
    <w:rsid w:val="19C12B61"/>
    <w:rsid w:val="19C2D173"/>
    <w:rsid w:val="19C42F33"/>
    <w:rsid w:val="19C5C88C"/>
    <w:rsid w:val="19C5D4F9"/>
    <w:rsid w:val="19CBCBC0"/>
    <w:rsid w:val="19CDB124"/>
    <w:rsid w:val="19CE441D"/>
    <w:rsid w:val="19CF4BCE"/>
    <w:rsid w:val="19D200E6"/>
    <w:rsid w:val="19D5B409"/>
    <w:rsid w:val="19DA6161"/>
    <w:rsid w:val="19DC0099"/>
    <w:rsid w:val="19DD4B71"/>
    <w:rsid w:val="19E005A6"/>
    <w:rsid w:val="19E14939"/>
    <w:rsid w:val="19E1D0FC"/>
    <w:rsid w:val="19E729E3"/>
    <w:rsid w:val="19E72C68"/>
    <w:rsid w:val="19EC4F5E"/>
    <w:rsid w:val="19F3BC3F"/>
    <w:rsid w:val="19F46A27"/>
    <w:rsid w:val="19F78238"/>
    <w:rsid w:val="19F83A97"/>
    <w:rsid w:val="19F9C72B"/>
    <w:rsid w:val="19FA9A5D"/>
    <w:rsid w:val="1A013AB2"/>
    <w:rsid w:val="1A02BDA4"/>
    <w:rsid w:val="1A034B1A"/>
    <w:rsid w:val="1A05F5D2"/>
    <w:rsid w:val="1A18C233"/>
    <w:rsid w:val="1A1B1376"/>
    <w:rsid w:val="1A1B71EE"/>
    <w:rsid w:val="1A1F4308"/>
    <w:rsid w:val="1A20CC48"/>
    <w:rsid w:val="1A230F7C"/>
    <w:rsid w:val="1A2CC359"/>
    <w:rsid w:val="1A300229"/>
    <w:rsid w:val="1A32B377"/>
    <w:rsid w:val="1A371CD3"/>
    <w:rsid w:val="1A3C03EC"/>
    <w:rsid w:val="1A3C1C5D"/>
    <w:rsid w:val="1A3EF026"/>
    <w:rsid w:val="1A41ADA5"/>
    <w:rsid w:val="1A44E4BA"/>
    <w:rsid w:val="1A451962"/>
    <w:rsid w:val="1A4AC6B5"/>
    <w:rsid w:val="1A4D86B9"/>
    <w:rsid w:val="1A524173"/>
    <w:rsid w:val="1A58FB61"/>
    <w:rsid w:val="1A608DE7"/>
    <w:rsid w:val="1A62AC93"/>
    <w:rsid w:val="1A632E1C"/>
    <w:rsid w:val="1A67312E"/>
    <w:rsid w:val="1A6828AE"/>
    <w:rsid w:val="1A6EB1F2"/>
    <w:rsid w:val="1A71DA16"/>
    <w:rsid w:val="1A72D20A"/>
    <w:rsid w:val="1A781AFC"/>
    <w:rsid w:val="1A784540"/>
    <w:rsid w:val="1A7931B5"/>
    <w:rsid w:val="1A80461A"/>
    <w:rsid w:val="1A8342F3"/>
    <w:rsid w:val="1A834814"/>
    <w:rsid w:val="1A85C237"/>
    <w:rsid w:val="1A87D93B"/>
    <w:rsid w:val="1A88B882"/>
    <w:rsid w:val="1A89BF1A"/>
    <w:rsid w:val="1A8AD727"/>
    <w:rsid w:val="1A8FF4FD"/>
    <w:rsid w:val="1A91BE4C"/>
    <w:rsid w:val="1A92E42D"/>
    <w:rsid w:val="1A98A2C0"/>
    <w:rsid w:val="1A9B78EE"/>
    <w:rsid w:val="1A9DAD56"/>
    <w:rsid w:val="1AA0217B"/>
    <w:rsid w:val="1AA8BDBB"/>
    <w:rsid w:val="1AA9A8BF"/>
    <w:rsid w:val="1AAB5D57"/>
    <w:rsid w:val="1AB15B98"/>
    <w:rsid w:val="1AB5736B"/>
    <w:rsid w:val="1AB995C4"/>
    <w:rsid w:val="1ABAD1ED"/>
    <w:rsid w:val="1AC055AF"/>
    <w:rsid w:val="1AC0E862"/>
    <w:rsid w:val="1AC1C705"/>
    <w:rsid w:val="1AC32758"/>
    <w:rsid w:val="1AC7FB7A"/>
    <w:rsid w:val="1ACB45BE"/>
    <w:rsid w:val="1AD31394"/>
    <w:rsid w:val="1AD50D7E"/>
    <w:rsid w:val="1AD8D24D"/>
    <w:rsid w:val="1AD9B395"/>
    <w:rsid w:val="1ADC0A66"/>
    <w:rsid w:val="1AE07297"/>
    <w:rsid w:val="1AE363B0"/>
    <w:rsid w:val="1AEC6011"/>
    <w:rsid w:val="1AF2CF66"/>
    <w:rsid w:val="1AF75AF8"/>
    <w:rsid w:val="1AF84794"/>
    <w:rsid w:val="1AFA0228"/>
    <w:rsid w:val="1AFA6105"/>
    <w:rsid w:val="1AFB6488"/>
    <w:rsid w:val="1AFF4958"/>
    <w:rsid w:val="1B029211"/>
    <w:rsid w:val="1B02BEFB"/>
    <w:rsid w:val="1B041253"/>
    <w:rsid w:val="1B07C48D"/>
    <w:rsid w:val="1B08289E"/>
    <w:rsid w:val="1B096A12"/>
    <w:rsid w:val="1B0CCEF7"/>
    <w:rsid w:val="1B0DC655"/>
    <w:rsid w:val="1B0ECA9B"/>
    <w:rsid w:val="1B10B6AC"/>
    <w:rsid w:val="1B13423A"/>
    <w:rsid w:val="1B14DABC"/>
    <w:rsid w:val="1B15376D"/>
    <w:rsid w:val="1B157BB5"/>
    <w:rsid w:val="1B1A8881"/>
    <w:rsid w:val="1B1DDD2F"/>
    <w:rsid w:val="1B214F1C"/>
    <w:rsid w:val="1B243E98"/>
    <w:rsid w:val="1B24DAED"/>
    <w:rsid w:val="1B269603"/>
    <w:rsid w:val="1B274E55"/>
    <w:rsid w:val="1B2889EE"/>
    <w:rsid w:val="1B2C1243"/>
    <w:rsid w:val="1B2D4C87"/>
    <w:rsid w:val="1B39867F"/>
    <w:rsid w:val="1B3ACEB7"/>
    <w:rsid w:val="1B3C8943"/>
    <w:rsid w:val="1B3CC722"/>
    <w:rsid w:val="1B4490B1"/>
    <w:rsid w:val="1B44E415"/>
    <w:rsid w:val="1B45EBFA"/>
    <w:rsid w:val="1B471912"/>
    <w:rsid w:val="1B474815"/>
    <w:rsid w:val="1B4B2350"/>
    <w:rsid w:val="1B4DDDD8"/>
    <w:rsid w:val="1B502904"/>
    <w:rsid w:val="1B553F19"/>
    <w:rsid w:val="1B582E85"/>
    <w:rsid w:val="1B5C7498"/>
    <w:rsid w:val="1B5EC596"/>
    <w:rsid w:val="1B5F8293"/>
    <w:rsid w:val="1B6067EE"/>
    <w:rsid w:val="1B62A04F"/>
    <w:rsid w:val="1B631EC8"/>
    <w:rsid w:val="1B63BF80"/>
    <w:rsid w:val="1B647F82"/>
    <w:rsid w:val="1B696443"/>
    <w:rsid w:val="1B6B0BA6"/>
    <w:rsid w:val="1B6D783C"/>
    <w:rsid w:val="1B6E158F"/>
    <w:rsid w:val="1B6E2CD1"/>
    <w:rsid w:val="1B6F3F39"/>
    <w:rsid w:val="1B71D8FC"/>
    <w:rsid w:val="1B7DAE32"/>
    <w:rsid w:val="1B81CEFC"/>
    <w:rsid w:val="1B8225D2"/>
    <w:rsid w:val="1B84F459"/>
    <w:rsid w:val="1B8AFBCC"/>
    <w:rsid w:val="1B8E547B"/>
    <w:rsid w:val="1B91274C"/>
    <w:rsid w:val="1B96F814"/>
    <w:rsid w:val="1B97C7BA"/>
    <w:rsid w:val="1B99F137"/>
    <w:rsid w:val="1BA3FA7B"/>
    <w:rsid w:val="1BA68B7E"/>
    <w:rsid w:val="1BA8F781"/>
    <w:rsid w:val="1BA916DE"/>
    <w:rsid w:val="1BAD0EF9"/>
    <w:rsid w:val="1BAE0F73"/>
    <w:rsid w:val="1BAF5379"/>
    <w:rsid w:val="1BAFC3DF"/>
    <w:rsid w:val="1BB1366D"/>
    <w:rsid w:val="1BB4684E"/>
    <w:rsid w:val="1BB7872A"/>
    <w:rsid w:val="1BB97CB4"/>
    <w:rsid w:val="1BBA2017"/>
    <w:rsid w:val="1BBE9CA5"/>
    <w:rsid w:val="1BBEEE34"/>
    <w:rsid w:val="1BBF8D9B"/>
    <w:rsid w:val="1BC08479"/>
    <w:rsid w:val="1BC56061"/>
    <w:rsid w:val="1BC6ADF4"/>
    <w:rsid w:val="1BC869FB"/>
    <w:rsid w:val="1BC94F01"/>
    <w:rsid w:val="1BCA5432"/>
    <w:rsid w:val="1BCD086E"/>
    <w:rsid w:val="1BCD339A"/>
    <w:rsid w:val="1BCDB461"/>
    <w:rsid w:val="1BD21228"/>
    <w:rsid w:val="1BD614C4"/>
    <w:rsid w:val="1BDA1E93"/>
    <w:rsid w:val="1BDF317D"/>
    <w:rsid w:val="1BE0020C"/>
    <w:rsid w:val="1BE2C407"/>
    <w:rsid w:val="1BE3177D"/>
    <w:rsid w:val="1BE96370"/>
    <w:rsid w:val="1BEF30CE"/>
    <w:rsid w:val="1BF0A2B2"/>
    <w:rsid w:val="1BF1EC85"/>
    <w:rsid w:val="1BF2C579"/>
    <w:rsid w:val="1BF5834A"/>
    <w:rsid w:val="1BF7E9D8"/>
    <w:rsid w:val="1BF7F849"/>
    <w:rsid w:val="1BFAB599"/>
    <w:rsid w:val="1BFFC03B"/>
    <w:rsid w:val="1C00F2DF"/>
    <w:rsid w:val="1C03B6E7"/>
    <w:rsid w:val="1C100E49"/>
    <w:rsid w:val="1C10B05F"/>
    <w:rsid w:val="1C11E3FB"/>
    <w:rsid w:val="1C15A3D9"/>
    <w:rsid w:val="1C16FE0E"/>
    <w:rsid w:val="1C176612"/>
    <w:rsid w:val="1C18007B"/>
    <w:rsid w:val="1C1B63CD"/>
    <w:rsid w:val="1C1E07CC"/>
    <w:rsid w:val="1C1E5694"/>
    <w:rsid w:val="1C22B7C0"/>
    <w:rsid w:val="1C2520F5"/>
    <w:rsid w:val="1C25832C"/>
    <w:rsid w:val="1C2A76F7"/>
    <w:rsid w:val="1C2DD9F1"/>
    <w:rsid w:val="1C2F387A"/>
    <w:rsid w:val="1C31D6C6"/>
    <w:rsid w:val="1C32D44B"/>
    <w:rsid w:val="1C33F411"/>
    <w:rsid w:val="1C3739E8"/>
    <w:rsid w:val="1C3A72E0"/>
    <w:rsid w:val="1C3B218F"/>
    <w:rsid w:val="1C3F60EF"/>
    <w:rsid w:val="1C484A4B"/>
    <w:rsid w:val="1C4E92ED"/>
    <w:rsid w:val="1C51BCC4"/>
    <w:rsid w:val="1C596C1C"/>
    <w:rsid w:val="1C5EC619"/>
    <w:rsid w:val="1C5FE56D"/>
    <w:rsid w:val="1C604899"/>
    <w:rsid w:val="1C61C707"/>
    <w:rsid w:val="1C682793"/>
    <w:rsid w:val="1C6BB23B"/>
    <w:rsid w:val="1C712506"/>
    <w:rsid w:val="1C7157DB"/>
    <w:rsid w:val="1C732D70"/>
    <w:rsid w:val="1C75C5DC"/>
    <w:rsid w:val="1C7F536E"/>
    <w:rsid w:val="1C802B34"/>
    <w:rsid w:val="1C8131E7"/>
    <w:rsid w:val="1C842F02"/>
    <w:rsid w:val="1C8A6BEF"/>
    <w:rsid w:val="1C8B6E26"/>
    <w:rsid w:val="1C8D4A6F"/>
    <w:rsid w:val="1C8D79B2"/>
    <w:rsid w:val="1C8F144C"/>
    <w:rsid w:val="1C8F4045"/>
    <w:rsid w:val="1C900781"/>
    <w:rsid w:val="1C930C28"/>
    <w:rsid w:val="1C961B1C"/>
    <w:rsid w:val="1C9829CF"/>
    <w:rsid w:val="1C9DA227"/>
    <w:rsid w:val="1CA4401E"/>
    <w:rsid w:val="1CAC31B6"/>
    <w:rsid w:val="1CAD0E1D"/>
    <w:rsid w:val="1CAE3363"/>
    <w:rsid w:val="1CB3DEF1"/>
    <w:rsid w:val="1CB4EAC3"/>
    <w:rsid w:val="1CB50B4A"/>
    <w:rsid w:val="1CB7D089"/>
    <w:rsid w:val="1CBBFF04"/>
    <w:rsid w:val="1CBDBE98"/>
    <w:rsid w:val="1CC7DC6D"/>
    <w:rsid w:val="1CCC0BBD"/>
    <w:rsid w:val="1CCDB6E9"/>
    <w:rsid w:val="1CCF816D"/>
    <w:rsid w:val="1CD32FA9"/>
    <w:rsid w:val="1CD38153"/>
    <w:rsid w:val="1CD54C10"/>
    <w:rsid w:val="1CD8C177"/>
    <w:rsid w:val="1CDA7312"/>
    <w:rsid w:val="1CDED836"/>
    <w:rsid w:val="1CE24A5A"/>
    <w:rsid w:val="1CE265B0"/>
    <w:rsid w:val="1CE3ED62"/>
    <w:rsid w:val="1CE5833A"/>
    <w:rsid w:val="1CF08ADF"/>
    <w:rsid w:val="1CF549C5"/>
    <w:rsid w:val="1CF834EC"/>
    <w:rsid w:val="1CF9F0A1"/>
    <w:rsid w:val="1CFA6CFD"/>
    <w:rsid w:val="1CFDF285"/>
    <w:rsid w:val="1D044D52"/>
    <w:rsid w:val="1D04D3C2"/>
    <w:rsid w:val="1D0626DE"/>
    <w:rsid w:val="1D08BC5E"/>
    <w:rsid w:val="1D0CE70A"/>
    <w:rsid w:val="1D0E723E"/>
    <w:rsid w:val="1D1F2A96"/>
    <w:rsid w:val="1D230725"/>
    <w:rsid w:val="1D232410"/>
    <w:rsid w:val="1D273A15"/>
    <w:rsid w:val="1D2C2B09"/>
    <w:rsid w:val="1D3464FB"/>
    <w:rsid w:val="1D34A1B8"/>
    <w:rsid w:val="1D3531CE"/>
    <w:rsid w:val="1D391D60"/>
    <w:rsid w:val="1D3C6166"/>
    <w:rsid w:val="1D404A1D"/>
    <w:rsid w:val="1D468FF1"/>
    <w:rsid w:val="1D4B09F9"/>
    <w:rsid w:val="1D4EC647"/>
    <w:rsid w:val="1D56B6C8"/>
    <w:rsid w:val="1D56D7E1"/>
    <w:rsid w:val="1D571D01"/>
    <w:rsid w:val="1D5A2CE9"/>
    <w:rsid w:val="1D5AD0DC"/>
    <w:rsid w:val="1D5E6E03"/>
    <w:rsid w:val="1D60F777"/>
    <w:rsid w:val="1D618732"/>
    <w:rsid w:val="1D661602"/>
    <w:rsid w:val="1D690FFD"/>
    <w:rsid w:val="1D6B7CE1"/>
    <w:rsid w:val="1D6C9995"/>
    <w:rsid w:val="1D6EDD56"/>
    <w:rsid w:val="1D7671DD"/>
    <w:rsid w:val="1D79F6BF"/>
    <w:rsid w:val="1D7DF659"/>
    <w:rsid w:val="1D7E7CCA"/>
    <w:rsid w:val="1D83FCA1"/>
    <w:rsid w:val="1D8610B1"/>
    <w:rsid w:val="1D88FC4C"/>
    <w:rsid w:val="1D8A82DF"/>
    <w:rsid w:val="1D8E9A5D"/>
    <w:rsid w:val="1D909366"/>
    <w:rsid w:val="1D90DC8D"/>
    <w:rsid w:val="1D953F3E"/>
    <w:rsid w:val="1D95C991"/>
    <w:rsid w:val="1D9F3994"/>
    <w:rsid w:val="1D9F4821"/>
    <w:rsid w:val="1DA2B94D"/>
    <w:rsid w:val="1DA532C8"/>
    <w:rsid w:val="1DA6262F"/>
    <w:rsid w:val="1DA8C8F5"/>
    <w:rsid w:val="1DA93B28"/>
    <w:rsid w:val="1DAE2338"/>
    <w:rsid w:val="1DB28432"/>
    <w:rsid w:val="1DBC7177"/>
    <w:rsid w:val="1DC12FD0"/>
    <w:rsid w:val="1DC721CA"/>
    <w:rsid w:val="1DC8F5EE"/>
    <w:rsid w:val="1DCCF496"/>
    <w:rsid w:val="1DD20C2A"/>
    <w:rsid w:val="1DD32965"/>
    <w:rsid w:val="1DD455B1"/>
    <w:rsid w:val="1DDBF1EB"/>
    <w:rsid w:val="1DDC03F9"/>
    <w:rsid w:val="1DDDAA0F"/>
    <w:rsid w:val="1DE43089"/>
    <w:rsid w:val="1DE6624B"/>
    <w:rsid w:val="1DE73041"/>
    <w:rsid w:val="1DE7750B"/>
    <w:rsid w:val="1DE78910"/>
    <w:rsid w:val="1DECF873"/>
    <w:rsid w:val="1DEE1A9F"/>
    <w:rsid w:val="1DEE965D"/>
    <w:rsid w:val="1DF0AC5D"/>
    <w:rsid w:val="1DF27244"/>
    <w:rsid w:val="1DF3ACE3"/>
    <w:rsid w:val="1DF45CBF"/>
    <w:rsid w:val="1DF65B14"/>
    <w:rsid w:val="1DF7AAA9"/>
    <w:rsid w:val="1DF80398"/>
    <w:rsid w:val="1DFCCEB2"/>
    <w:rsid w:val="1DFD73FA"/>
    <w:rsid w:val="1DFF4B00"/>
    <w:rsid w:val="1E0497C9"/>
    <w:rsid w:val="1E0ABF63"/>
    <w:rsid w:val="1E0AF519"/>
    <w:rsid w:val="1E136A1A"/>
    <w:rsid w:val="1E14E5C6"/>
    <w:rsid w:val="1E151384"/>
    <w:rsid w:val="1E17C9AA"/>
    <w:rsid w:val="1E1C8A58"/>
    <w:rsid w:val="1E244A6A"/>
    <w:rsid w:val="1E26C52B"/>
    <w:rsid w:val="1E2A4388"/>
    <w:rsid w:val="1E2B2369"/>
    <w:rsid w:val="1E2BF807"/>
    <w:rsid w:val="1E2F2B31"/>
    <w:rsid w:val="1E343DA7"/>
    <w:rsid w:val="1E348D5E"/>
    <w:rsid w:val="1E37E09E"/>
    <w:rsid w:val="1E3919C9"/>
    <w:rsid w:val="1E3E43E6"/>
    <w:rsid w:val="1E3F2D5B"/>
    <w:rsid w:val="1E481343"/>
    <w:rsid w:val="1E501C13"/>
    <w:rsid w:val="1E518C68"/>
    <w:rsid w:val="1E51AF09"/>
    <w:rsid w:val="1E568E49"/>
    <w:rsid w:val="1E5837D9"/>
    <w:rsid w:val="1E5A9514"/>
    <w:rsid w:val="1E5CEFB5"/>
    <w:rsid w:val="1E637FBE"/>
    <w:rsid w:val="1E63A7E4"/>
    <w:rsid w:val="1E65BFF2"/>
    <w:rsid w:val="1E661622"/>
    <w:rsid w:val="1E66AE5F"/>
    <w:rsid w:val="1E70DC3B"/>
    <w:rsid w:val="1E76CA2F"/>
    <w:rsid w:val="1E7AC80B"/>
    <w:rsid w:val="1E81E634"/>
    <w:rsid w:val="1E8434F8"/>
    <w:rsid w:val="1E881CD3"/>
    <w:rsid w:val="1E8887C0"/>
    <w:rsid w:val="1E8DCBB2"/>
    <w:rsid w:val="1E90E029"/>
    <w:rsid w:val="1E910A13"/>
    <w:rsid w:val="1E972DBF"/>
    <w:rsid w:val="1E9D3FA9"/>
    <w:rsid w:val="1EA004B6"/>
    <w:rsid w:val="1EA0CA3A"/>
    <w:rsid w:val="1EA43B34"/>
    <w:rsid w:val="1EAF7438"/>
    <w:rsid w:val="1EB30B38"/>
    <w:rsid w:val="1EB96958"/>
    <w:rsid w:val="1EBA335F"/>
    <w:rsid w:val="1EBAAB10"/>
    <w:rsid w:val="1EC3C650"/>
    <w:rsid w:val="1EC3D885"/>
    <w:rsid w:val="1EC4772E"/>
    <w:rsid w:val="1EC4C946"/>
    <w:rsid w:val="1EC9EA81"/>
    <w:rsid w:val="1ECA1451"/>
    <w:rsid w:val="1ECA1F19"/>
    <w:rsid w:val="1ECD15B2"/>
    <w:rsid w:val="1ECFCADF"/>
    <w:rsid w:val="1ED8C7ED"/>
    <w:rsid w:val="1EE581B2"/>
    <w:rsid w:val="1EE5A0C9"/>
    <w:rsid w:val="1EE5A89F"/>
    <w:rsid w:val="1EE80CA4"/>
    <w:rsid w:val="1EECFA89"/>
    <w:rsid w:val="1EEE67B1"/>
    <w:rsid w:val="1EF1B0C9"/>
    <w:rsid w:val="1EF41822"/>
    <w:rsid w:val="1F00CBEF"/>
    <w:rsid w:val="1F0932DC"/>
    <w:rsid w:val="1F0A396E"/>
    <w:rsid w:val="1F128F96"/>
    <w:rsid w:val="1F1494B4"/>
    <w:rsid w:val="1F1A1B1F"/>
    <w:rsid w:val="1F1EDF65"/>
    <w:rsid w:val="1F1F1DB3"/>
    <w:rsid w:val="1F1F833E"/>
    <w:rsid w:val="1F23EC2C"/>
    <w:rsid w:val="1F26C933"/>
    <w:rsid w:val="1F27D8D7"/>
    <w:rsid w:val="1F2E9394"/>
    <w:rsid w:val="1F2F054B"/>
    <w:rsid w:val="1F3189E3"/>
    <w:rsid w:val="1F3255CF"/>
    <w:rsid w:val="1F3331D9"/>
    <w:rsid w:val="1F37E860"/>
    <w:rsid w:val="1F38178C"/>
    <w:rsid w:val="1F4058F6"/>
    <w:rsid w:val="1F42F4D3"/>
    <w:rsid w:val="1F4351A1"/>
    <w:rsid w:val="1F45B064"/>
    <w:rsid w:val="1F478AA6"/>
    <w:rsid w:val="1F4794EE"/>
    <w:rsid w:val="1F4EBE40"/>
    <w:rsid w:val="1F4FC550"/>
    <w:rsid w:val="1F5090AB"/>
    <w:rsid w:val="1F540CFD"/>
    <w:rsid w:val="1F56BF56"/>
    <w:rsid w:val="1F589322"/>
    <w:rsid w:val="1F58B295"/>
    <w:rsid w:val="1F5DD5C8"/>
    <w:rsid w:val="1F5FAE7D"/>
    <w:rsid w:val="1F60151C"/>
    <w:rsid w:val="1F61196C"/>
    <w:rsid w:val="1F64F660"/>
    <w:rsid w:val="1F6AFAB1"/>
    <w:rsid w:val="1F6B1AD6"/>
    <w:rsid w:val="1F6DDCB3"/>
    <w:rsid w:val="1F6F2379"/>
    <w:rsid w:val="1F73D65D"/>
    <w:rsid w:val="1F7401E6"/>
    <w:rsid w:val="1F7B8590"/>
    <w:rsid w:val="1F7CBDA3"/>
    <w:rsid w:val="1F7FE3F7"/>
    <w:rsid w:val="1F8063FE"/>
    <w:rsid w:val="1F8AD30F"/>
    <w:rsid w:val="1F8BB091"/>
    <w:rsid w:val="1F8C34F2"/>
    <w:rsid w:val="1F8D1C29"/>
    <w:rsid w:val="1F8DB9BD"/>
    <w:rsid w:val="1F8DC954"/>
    <w:rsid w:val="1F8DEF75"/>
    <w:rsid w:val="1F8F4F47"/>
    <w:rsid w:val="1F8FDB17"/>
    <w:rsid w:val="1F9466A3"/>
    <w:rsid w:val="1F9E1098"/>
    <w:rsid w:val="1FA04637"/>
    <w:rsid w:val="1FA276ED"/>
    <w:rsid w:val="1FA2ADBD"/>
    <w:rsid w:val="1FA32018"/>
    <w:rsid w:val="1FA36251"/>
    <w:rsid w:val="1FA3AB3C"/>
    <w:rsid w:val="1FA4B01A"/>
    <w:rsid w:val="1FA6E7E8"/>
    <w:rsid w:val="1FA82786"/>
    <w:rsid w:val="1FAB7C5F"/>
    <w:rsid w:val="1FAD6EE2"/>
    <w:rsid w:val="1FADB2B2"/>
    <w:rsid w:val="1FAE5AD8"/>
    <w:rsid w:val="1FB394D6"/>
    <w:rsid w:val="1FB5B6C1"/>
    <w:rsid w:val="1FB5E81E"/>
    <w:rsid w:val="1FB7FC71"/>
    <w:rsid w:val="1FBC2BBD"/>
    <w:rsid w:val="1FBFE99F"/>
    <w:rsid w:val="1FC206A0"/>
    <w:rsid w:val="1FC48E17"/>
    <w:rsid w:val="1FC5E285"/>
    <w:rsid w:val="1FC623EA"/>
    <w:rsid w:val="1FC63698"/>
    <w:rsid w:val="1FC98F30"/>
    <w:rsid w:val="1FCADFE0"/>
    <w:rsid w:val="1FD1C577"/>
    <w:rsid w:val="1FD248A0"/>
    <w:rsid w:val="1FD341A5"/>
    <w:rsid w:val="1FD4918B"/>
    <w:rsid w:val="1FD78F99"/>
    <w:rsid w:val="1FD8FC7B"/>
    <w:rsid w:val="1FD9F00A"/>
    <w:rsid w:val="1FDA3FFA"/>
    <w:rsid w:val="1FDDB3D7"/>
    <w:rsid w:val="1FE09251"/>
    <w:rsid w:val="1FE8FF4B"/>
    <w:rsid w:val="1FEC0C51"/>
    <w:rsid w:val="1FEE59FA"/>
    <w:rsid w:val="1FF1B559"/>
    <w:rsid w:val="1FF43682"/>
    <w:rsid w:val="1FFB6CE3"/>
    <w:rsid w:val="1FFB81F2"/>
    <w:rsid w:val="1FFC2CD0"/>
    <w:rsid w:val="1FFE8B71"/>
    <w:rsid w:val="20022180"/>
    <w:rsid w:val="20037566"/>
    <w:rsid w:val="20037F23"/>
    <w:rsid w:val="2007F2F8"/>
    <w:rsid w:val="20106F72"/>
    <w:rsid w:val="2011B910"/>
    <w:rsid w:val="2011D9EC"/>
    <w:rsid w:val="2018FF33"/>
    <w:rsid w:val="201E2205"/>
    <w:rsid w:val="201E5A9E"/>
    <w:rsid w:val="20214AFA"/>
    <w:rsid w:val="20219DC8"/>
    <w:rsid w:val="2025123E"/>
    <w:rsid w:val="202722E4"/>
    <w:rsid w:val="20291F3D"/>
    <w:rsid w:val="202CDC41"/>
    <w:rsid w:val="202F2EAB"/>
    <w:rsid w:val="202F7D6D"/>
    <w:rsid w:val="2034534F"/>
    <w:rsid w:val="20383903"/>
    <w:rsid w:val="203987EC"/>
    <w:rsid w:val="203A1070"/>
    <w:rsid w:val="20420C04"/>
    <w:rsid w:val="2047F5AF"/>
    <w:rsid w:val="2048E65A"/>
    <w:rsid w:val="204A3CB2"/>
    <w:rsid w:val="204CBB08"/>
    <w:rsid w:val="2055A4A2"/>
    <w:rsid w:val="2059B4D5"/>
    <w:rsid w:val="205B79E9"/>
    <w:rsid w:val="2060BB45"/>
    <w:rsid w:val="2063F028"/>
    <w:rsid w:val="2065B797"/>
    <w:rsid w:val="20661575"/>
    <w:rsid w:val="2066B777"/>
    <w:rsid w:val="2069D546"/>
    <w:rsid w:val="206A5041"/>
    <w:rsid w:val="206A5F0F"/>
    <w:rsid w:val="206C29B4"/>
    <w:rsid w:val="206DAEB2"/>
    <w:rsid w:val="206E51AC"/>
    <w:rsid w:val="206F9F43"/>
    <w:rsid w:val="20719E73"/>
    <w:rsid w:val="2074259C"/>
    <w:rsid w:val="207B52E4"/>
    <w:rsid w:val="207D94B5"/>
    <w:rsid w:val="208132A8"/>
    <w:rsid w:val="20819150"/>
    <w:rsid w:val="208B51DC"/>
    <w:rsid w:val="208E905F"/>
    <w:rsid w:val="208F550B"/>
    <w:rsid w:val="208F830E"/>
    <w:rsid w:val="209036C0"/>
    <w:rsid w:val="2090B0A8"/>
    <w:rsid w:val="209C7039"/>
    <w:rsid w:val="209E2C49"/>
    <w:rsid w:val="20A02D61"/>
    <w:rsid w:val="20A08555"/>
    <w:rsid w:val="20A0E9C8"/>
    <w:rsid w:val="20A20E36"/>
    <w:rsid w:val="20A3317B"/>
    <w:rsid w:val="20B1A082"/>
    <w:rsid w:val="20B265BC"/>
    <w:rsid w:val="20B41949"/>
    <w:rsid w:val="20B6BFE2"/>
    <w:rsid w:val="20B775E3"/>
    <w:rsid w:val="20BC25AC"/>
    <w:rsid w:val="20BD9E46"/>
    <w:rsid w:val="20C33AF7"/>
    <w:rsid w:val="20C3D60A"/>
    <w:rsid w:val="20C4550C"/>
    <w:rsid w:val="20CD801B"/>
    <w:rsid w:val="20CEDC2D"/>
    <w:rsid w:val="20D4F267"/>
    <w:rsid w:val="20DD2466"/>
    <w:rsid w:val="20DE9449"/>
    <w:rsid w:val="20E067CF"/>
    <w:rsid w:val="20E09AEC"/>
    <w:rsid w:val="20E0FE05"/>
    <w:rsid w:val="20E3E757"/>
    <w:rsid w:val="20E566EE"/>
    <w:rsid w:val="20E756FE"/>
    <w:rsid w:val="20EB91FC"/>
    <w:rsid w:val="20EBB89C"/>
    <w:rsid w:val="20EE02A4"/>
    <w:rsid w:val="20EED57E"/>
    <w:rsid w:val="20EFF632"/>
    <w:rsid w:val="20F10DD0"/>
    <w:rsid w:val="20F1EEAB"/>
    <w:rsid w:val="20F2FC39"/>
    <w:rsid w:val="20F3C679"/>
    <w:rsid w:val="20F54D72"/>
    <w:rsid w:val="20F708FC"/>
    <w:rsid w:val="20F957F2"/>
    <w:rsid w:val="20FF871A"/>
    <w:rsid w:val="2102CA60"/>
    <w:rsid w:val="210599DC"/>
    <w:rsid w:val="210C1634"/>
    <w:rsid w:val="21102498"/>
    <w:rsid w:val="21122869"/>
    <w:rsid w:val="2116578D"/>
    <w:rsid w:val="211BD678"/>
    <w:rsid w:val="211F12CF"/>
    <w:rsid w:val="211F304B"/>
    <w:rsid w:val="211FCA8B"/>
    <w:rsid w:val="21225FD6"/>
    <w:rsid w:val="21250571"/>
    <w:rsid w:val="21258851"/>
    <w:rsid w:val="212656AB"/>
    <w:rsid w:val="212862B8"/>
    <w:rsid w:val="212A81D8"/>
    <w:rsid w:val="212EE647"/>
    <w:rsid w:val="212F955A"/>
    <w:rsid w:val="21307EC5"/>
    <w:rsid w:val="2135050E"/>
    <w:rsid w:val="213D9C08"/>
    <w:rsid w:val="213E9619"/>
    <w:rsid w:val="2145CD24"/>
    <w:rsid w:val="21463288"/>
    <w:rsid w:val="2147C872"/>
    <w:rsid w:val="21489C82"/>
    <w:rsid w:val="2155F1A4"/>
    <w:rsid w:val="2155F8D7"/>
    <w:rsid w:val="2157EBB8"/>
    <w:rsid w:val="215B088F"/>
    <w:rsid w:val="215D56ED"/>
    <w:rsid w:val="215FB6D9"/>
    <w:rsid w:val="2160F485"/>
    <w:rsid w:val="2161B459"/>
    <w:rsid w:val="2166609B"/>
    <w:rsid w:val="2169A479"/>
    <w:rsid w:val="216A3411"/>
    <w:rsid w:val="216BDCF8"/>
    <w:rsid w:val="2170F8D2"/>
    <w:rsid w:val="2171CCC0"/>
    <w:rsid w:val="21732B86"/>
    <w:rsid w:val="2174070C"/>
    <w:rsid w:val="21763804"/>
    <w:rsid w:val="217D39D7"/>
    <w:rsid w:val="2180EE10"/>
    <w:rsid w:val="218B118A"/>
    <w:rsid w:val="218C3D66"/>
    <w:rsid w:val="218CD517"/>
    <w:rsid w:val="218D9266"/>
    <w:rsid w:val="218DAEAE"/>
    <w:rsid w:val="218EDA26"/>
    <w:rsid w:val="219036E2"/>
    <w:rsid w:val="21965BD7"/>
    <w:rsid w:val="21969F64"/>
    <w:rsid w:val="2196CF6C"/>
    <w:rsid w:val="219EF12B"/>
    <w:rsid w:val="21A42D80"/>
    <w:rsid w:val="21A6DDB6"/>
    <w:rsid w:val="21A721FD"/>
    <w:rsid w:val="21AA8405"/>
    <w:rsid w:val="21ACDFDF"/>
    <w:rsid w:val="21B506D5"/>
    <w:rsid w:val="21B92A43"/>
    <w:rsid w:val="21B953F2"/>
    <w:rsid w:val="21BA4288"/>
    <w:rsid w:val="21BB6593"/>
    <w:rsid w:val="21BFFB09"/>
    <w:rsid w:val="21C08D95"/>
    <w:rsid w:val="21C5FD2A"/>
    <w:rsid w:val="21C8E76A"/>
    <w:rsid w:val="21CA6290"/>
    <w:rsid w:val="21CCF764"/>
    <w:rsid w:val="21CD82A7"/>
    <w:rsid w:val="21D0D74B"/>
    <w:rsid w:val="21D0DE1C"/>
    <w:rsid w:val="21D36557"/>
    <w:rsid w:val="21D3C1A5"/>
    <w:rsid w:val="21D411FC"/>
    <w:rsid w:val="21D61313"/>
    <w:rsid w:val="21D7F784"/>
    <w:rsid w:val="21D8817A"/>
    <w:rsid w:val="21DB9B9F"/>
    <w:rsid w:val="21DF34B5"/>
    <w:rsid w:val="21E2C97A"/>
    <w:rsid w:val="21E4457A"/>
    <w:rsid w:val="21E6C79B"/>
    <w:rsid w:val="21EB0343"/>
    <w:rsid w:val="21EB2FE6"/>
    <w:rsid w:val="21F39E22"/>
    <w:rsid w:val="21F4643C"/>
    <w:rsid w:val="21F61B1F"/>
    <w:rsid w:val="21F78E97"/>
    <w:rsid w:val="21FC01DA"/>
    <w:rsid w:val="21FDAADF"/>
    <w:rsid w:val="22075D3E"/>
    <w:rsid w:val="22076047"/>
    <w:rsid w:val="220A8878"/>
    <w:rsid w:val="22127CBA"/>
    <w:rsid w:val="221448E3"/>
    <w:rsid w:val="22146F13"/>
    <w:rsid w:val="2215A4EA"/>
    <w:rsid w:val="2217F74E"/>
    <w:rsid w:val="221A13A6"/>
    <w:rsid w:val="221EFD1F"/>
    <w:rsid w:val="22214975"/>
    <w:rsid w:val="2221DDB0"/>
    <w:rsid w:val="22238209"/>
    <w:rsid w:val="222FAD22"/>
    <w:rsid w:val="223354BD"/>
    <w:rsid w:val="2239D58A"/>
    <w:rsid w:val="223D3309"/>
    <w:rsid w:val="223DFF3A"/>
    <w:rsid w:val="223EA3BB"/>
    <w:rsid w:val="2240070C"/>
    <w:rsid w:val="22432663"/>
    <w:rsid w:val="224493C3"/>
    <w:rsid w:val="224523B3"/>
    <w:rsid w:val="22495A6B"/>
    <w:rsid w:val="224A984F"/>
    <w:rsid w:val="224C3E8F"/>
    <w:rsid w:val="225214F1"/>
    <w:rsid w:val="22530C46"/>
    <w:rsid w:val="2256BD84"/>
    <w:rsid w:val="2257D4B8"/>
    <w:rsid w:val="225BD9F6"/>
    <w:rsid w:val="22604FA4"/>
    <w:rsid w:val="226335D0"/>
    <w:rsid w:val="22634B09"/>
    <w:rsid w:val="22667C3C"/>
    <w:rsid w:val="226C5385"/>
    <w:rsid w:val="226DF739"/>
    <w:rsid w:val="22791CD2"/>
    <w:rsid w:val="227A2249"/>
    <w:rsid w:val="22864E79"/>
    <w:rsid w:val="228C64C4"/>
    <w:rsid w:val="22905ACC"/>
    <w:rsid w:val="229450AA"/>
    <w:rsid w:val="2294736C"/>
    <w:rsid w:val="2294EB5A"/>
    <w:rsid w:val="22976CF0"/>
    <w:rsid w:val="2297B3A5"/>
    <w:rsid w:val="2298BEAE"/>
    <w:rsid w:val="229D4BBE"/>
    <w:rsid w:val="22A3B336"/>
    <w:rsid w:val="22A91642"/>
    <w:rsid w:val="22AC10AD"/>
    <w:rsid w:val="22B229C6"/>
    <w:rsid w:val="22B2781A"/>
    <w:rsid w:val="22B3A5E5"/>
    <w:rsid w:val="22B3EEDC"/>
    <w:rsid w:val="22B4D639"/>
    <w:rsid w:val="22BC3AAA"/>
    <w:rsid w:val="22C12A95"/>
    <w:rsid w:val="22C20179"/>
    <w:rsid w:val="22C2E8F1"/>
    <w:rsid w:val="22C320CD"/>
    <w:rsid w:val="22C5620C"/>
    <w:rsid w:val="22C56A16"/>
    <w:rsid w:val="22C78F10"/>
    <w:rsid w:val="22CD579C"/>
    <w:rsid w:val="22D1F6DB"/>
    <w:rsid w:val="22D276AC"/>
    <w:rsid w:val="22D2ACAB"/>
    <w:rsid w:val="22DB25CF"/>
    <w:rsid w:val="22DBC184"/>
    <w:rsid w:val="22DD85EC"/>
    <w:rsid w:val="22E34638"/>
    <w:rsid w:val="22E4FEE1"/>
    <w:rsid w:val="22E56E12"/>
    <w:rsid w:val="22E79DA2"/>
    <w:rsid w:val="22E8BBE5"/>
    <w:rsid w:val="22E9D736"/>
    <w:rsid w:val="22EFD1DD"/>
    <w:rsid w:val="22F64921"/>
    <w:rsid w:val="22F95FC8"/>
    <w:rsid w:val="22FDFBB8"/>
    <w:rsid w:val="23102D7B"/>
    <w:rsid w:val="2315C4D1"/>
    <w:rsid w:val="2319E84E"/>
    <w:rsid w:val="231AEB82"/>
    <w:rsid w:val="231BD2F5"/>
    <w:rsid w:val="231BDF92"/>
    <w:rsid w:val="232AB46F"/>
    <w:rsid w:val="232CD9A1"/>
    <w:rsid w:val="232D3236"/>
    <w:rsid w:val="232E26D0"/>
    <w:rsid w:val="233017A6"/>
    <w:rsid w:val="23349A3D"/>
    <w:rsid w:val="23384EEF"/>
    <w:rsid w:val="23398388"/>
    <w:rsid w:val="233C0912"/>
    <w:rsid w:val="233CCBA7"/>
    <w:rsid w:val="233D4DC5"/>
    <w:rsid w:val="2344B447"/>
    <w:rsid w:val="2349E3AE"/>
    <w:rsid w:val="234C73C6"/>
    <w:rsid w:val="234E5251"/>
    <w:rsid w:val="23554367"/>
    <w:rsid w:val="235B3827"/>
    <w:rsid w:val="235CF073"/>
    <w:rsid w:val="23629EB8"/>
    <w:rsid w:val="2362BCB5"/>
    <w:rsid w:val="23646D90"/>
    <w:rsid w:val="23656FA2"/>
    <w:rsid w:val="2368FF61"/>
    <w:rsid w:val="236DDE5D"/>
    <w:rsid w:val="2374137C"/>
    <w:rsid w:val="237630A7"/>
    <w:rsid w:val="2376CED6"/>
    <w:rsid w:val="23790886"/>
    <w:rsid w:val="237942B1"/>
    <w:rsid w:val="237E92E1"/>
    <w:rsid w:val="23865782"/>
    <w:rsid w:val="2394288D"/>
    <w:rsid w:val="239D2FAC"/>
    <w:rsid w:val="239D7753"/>
    <w:rsid w:val="239F3D5D"/>
    <w:rsid w:val="23A0AA0A"/>
    <w:rsid w:val="23A0C91E"/>
    <w:rsid w:val="23A1A872"/>
    <w:rsid w:val="23A32D86"/>
    <w:rsid w:val="23A5F453"/>
    <w:rsid w:val="23A6F230"/>
    <w:rsid w:val="23AB5FEA"/>
    <w:rsid w:val="23AC9BAD"/>
    <w:rsid w:val="23AE67C0"/>
    <w:rsid w:val="23AFF7E3"/>
    <w:rsid w:val="23B60983"/>
    <w:rsid w:val="23B83DFF"/>
    <w:rsid w:val="23BA5FBD"/>
    <w:rsid w:val="23BA8053"/>
    <w:rsid w:val="23C1C59A"/>
    <w:rsid w:val="23C6E9A1"/>
    <w:rsid w:val="23CC31BD"/>
    <w:rsid w:val="23CC4118"/>
    <w:rsid w:val="23CE917F"/>
    <w:rsid w:val="23CF03C6"/>
    <w:rsid w:val="23D46E36"/>
    <w:rsid w:val="23D81A7C"/>
    <w:rsid w:val="23D8F935"/>
    <w:rsid w:val="23D9D714"/>
    <w:rsid w:val="23DD01EA"/>
    <w:rsid w:val="23DF1295"/>
    <w:rsid w:val="23EA8F30"/>
    <w:rsid w:val="23EAA782"/>
    <w:rsid w:val="23EB18BD"/>
    <w:rsid w:val="23ECE56B"/>
    <w:rsid w:val="23EFD2C6"/>
    <w:rsid w:val="23F1FCD2"/>
    <w:rsid w:val="23F444DE"/>
    <w:rsid w:val="23F9125A"/>
    <w:rsid w:val="23FAB860"/>
    <w:rsid w:val="23FB6BAD"/>
    <w:rsid w:val="23FB9F4A"/>
    <w:rsid w:val="23FC54CF"/>
    <w:rsid w:val="2401A7EE"/>
    <w:rsid w:val="240275D0"/>
    <w:rsid w:val="2406B4EB"/>
    <w:rsid w:val="24092A35"/>
    <w:rsid w:val="240AACF5"/>
    <w:rsid w:val="240BEB8E"/>
    <w:rsid w:val="2419864D"/>
    <w:rsid w:val="24200BB7"/>
    <w:rsid w:val="2420C41A"/>
    <w:rsid w:val="24210559"/>
    <w:rsid w:val="24248BEC"/>
    <w:rsid w:val="24254B6A"/>
    <w:rsid w:val="242D4F54"/>
    <w:rsid w:val="2433B9A5"/>
    <w:rsid w:val="24372EB5"/>
    <w:rsid w:val="24381662"/>
    <w:rsid w:val="243F6433"/>
    <w:rsid w:val="2440587F"/>
    <w:rsid w:val="24420AC5"/>
    <w:rsid w:val="2446F46A"/>
    <w:rsid w:val="244A8627"/>
    <w:rsid w:val="244E925A"/>
    <w:rsid w:val="245901F1"/>
    <w:rsid w:val="245B6A41"/>
    <w:rsid w:val="245F2649"/>
    <w:rsid w:val="246026DE"/>
    <w:rsid w:val="246C394B"/>
    <w:rsid w:val="246EDF9E"/>
    <w:rsid w:val="246F14A0"/>
    <w:rsid w:val="24741A72"/>
    <w:rsid w:val="24753FCF"/>
    <w:rsid w:val="247ADA5C"/>
    <w:rsid w:val="247DBC63"/>
    <w:rsid w:val="247DC341"/>
    <w:rsid w:val="247F8FBF"/>
    <w:rsid w:val="2482E504"/>
    <w:rsid w:val="248388A6"/>
    <w:rsid w:val="2483C381"/>
    <w:rsid w:val="2484E8CC"/>
    <w:rsid w:val="24876D1A"/>
    <w:rsid w:val="248CAD6B"/>
    <w:rsid w:val="248E09DE"/>
    <w:rsid w:val="2490E946"/>
    <w:rsid w:val="249671FA"/>
    <w:rsid w:val="24990A4C"/>
    <w:rsid w:val="2499F0B7"/>
    <w:rsid w:val="24A2174E"/>
    <w:rsid w:val="24A6B8F6"/>
    <w:rsid w:val="24A81FB3"/>
    <w:rsid w:val="24AF3CC3"/>
    <w:rsid w:val="24B13389"/>
    <w:rsid w:val="24B3E738"/>
    <w:rsid w:val="24B4B565"/>
    <w:rsid w:val="24B51776"/>
    <w:rsid w:val="24B606B6"/>
    <w:rsid w:val="24B60CE5"/>
    <w:rsid w:val="24B62240"/>
    <w:rsid w:val="24B7F8B6"/>
    <w:rsid w:val="24B82F6E"/>
    <w:rsid w:val="24BB202A"/>
    <w:rsid w:val="24BC59B7"/>
    <w:rsid w:val="24BF628A"/>
    <w:rsid w:val="24C68098"/>
    <w:rsid w:val="24C70986"/>
    <w:rsid w:val="24CA307F"/>
    <w:rsid w:val="24CDBB8F"/>
    <w:rsid w:val="24CEBC33"/>
    <w:rsid w:val="24D31F5E"/>
    <w:rsid w:val="24D9FF56"/>
    <w:rsid w:val="24DD6D0E"/>
    <w:rsid w:val="24DDDFE4"/>
    <w:rsid w:val="24E00903"/>
    <w:rsid w:val="24E3AC46"/>
    <w:rsid w:val="24E73640"/>
    <w:rsid w:val="24E86A01"/>
    <w:rsid w:val="24EC2B91"/>
    <w:rsid w:val="24F18D21"/>
    <w:rsid w:val="24F59619"/>
    <w:rsid w:val="24F5F1D4"/>
    <w:rsid w:val="24F6D188"/>
    <w:rsid w:val="24FE7847"/>
    <w:rsid w:val="24FFC701"/>
    <w:rsid w:val="2500BEE3"/>
    <w:rsid w:val="25028426"/>
    <w:rsid w:val="2503A817"/>
    <w:rsid w:val="25056BE2"/>
    <w:rsid w:val="250AB70D"/>
    <w:rsid w:val="251029E5"/>
    <w:rsid w:val="2514555D"/>
    <w:rsid w:val="25155F2C"/>
    <w:rsid w:val="251CD706"/>
    <w:rsid w:val="251EC965"/>
    <w:rsid w:val="25206679"/>
    <w:rsid w:val="25248D89"/>
    <w:rsid w:val="25259D09"/>
    <w:rsid w:val="252752D3"/>
    <w:rsid w:val="2529C2C1"/>
    <w:rsid w:val="252FDFB5"/>
    <w:rsid w:val="253132B2"/>
    <w:rsid w:val="2531A9F5"/>
    <w:rsid w:val="25328AF3"/>
    <w:rsid w:val="25347087"/>
    <w:rsid w:val="25364926"/>
    <w:rsid w:val="253898F7"/>
    <w:rsid w:val="2538A74F"/>
    <w:rsid w:val="253DB999"/>
    <w:rsid w:val="25408055"/>
    <w:rsid w:val="25488346"/>
    <w:rsid w:val="254AC988"/>
    <w:rsid w:val="254FF4F0"/>
    <w:rsid w:val="2554FDB3"/>
    <w:rsid w:val="25566045"/>
    <w:rsid w:val="255D00CF"/>
    <w:rsid w:val="2562A235"/>
    <w:rsid w:val="2562D42C"/>
    <w:rsid w:val="25652728"/>
    <w:rsid w:val="256BD15D"/>
    <w:rsid w:val="256E6B23"/>
    <w:rsid w:val="2572A0B4"/>
    <w:rsid w:val="25739CBB"/>
    <w:rsid w:val="25767922"/>
    <w:rsid w:val="257747BE"/>
    <w:rsid w:val="257ADF9B"/>
    <w:rsid w:val="257B7314"/>
    <w:rsid w:val="2583EEB9"/>
    <w:rsid w:val="2584C525"/>
    <w:rsid w:val="25879E17"/>
    <w:rsid w:val="258DFC62"/>
    <w:rsid w:val="258F037A"/>
    <w:rsid w:val="25917D68"/>
    <w:rsid w:val="25970419"/>
    <w:rsid w:val="2597A5E0"/>
    <w:rsid w:val="2597C87E"/>
    <w:rsid w:val="2598C54F"/>
    <w:rsid w:val="259DA67B"/>
    <w:rsid w:val="259DBDC9"/>
    <w:rsid w:val="25A20B63"/>
    <w:rsid w:val="25ACF683"/>
    <w:rsid w:val="25AD68F7"/>
    <w:rsid w:val="25AE07C4"/>
    <w:rsid w:val="25AE6251"/>
    <w:rsid w:val="25B52793"/>
    <w:rsid w:val="25BCFDD9"/>
    <w:rsid w:val="25BD3589"/>
    <w:rsid w:val="25BFCABE"/>
    <w:rsid w:val="25C04D34"/>
    <w:rsid w:val="25CB06E3"/>
    <w:rsid w:val="25CF8D34"/>
    <w:rsid w:val="25D042D9"/>
    <w:rsid w:val="25D91E35"/>
    <w:rsid w:val="25DDDAB6"/>
    <w:rsid w:val="25E00842"/>
    <w:rsid w:val="25E4A010"/>
    <w:rsid w:val="25E7FDC2"/>
    <w:rsid w:val="25E832B8"/>
    <w:rsid w:val="25E8DA03"/>
    <w:rsid w:val="25E9302E"/>
    <w:rsid w:val="25EC88EA"/>
    <w:rsid w:val="25ECBFA9"/>
    <w:rsid w:val="25F024CB"/>
    <w:rsid w:val="25F208A9"/>
    <w:rsid w:val="25F564A5"/>
    <w:rsid w:val="25F74D20"/>
    <w:rsid w:val="25F797D9"/>
    <w:rsid w:val="25FEF55E"/>
    <w:rsid w:val="2603DBB0"/>
    <w:rsid w:val="2606BAB3"/>
    <w:rsid w:val="260786AB"/>
    <w:rsid w:val="2609A508"/>
    <w:rsid w:val="260C8D1C"/>
    <w:rsid w:val="260FCE7B"/>
    <w:rsid w:val="261426AE"/>
    <w:rsid w:val="261439EB"/>
    <w:rsid w:val="26147AAF"/>
    <w:rsid w:val="2615D7BD"/>
    <w:rsid w:val="26171142"/>
    <w:rsid w:val="26194969"/>
    <w:rsid w:val="2619AAA3"/>
    <w:rsid w:val="261A2C05"/>
    <w:rsid w:val="261AF6C6"/>
    <w:rsid w:val="2621D7F6"/>
    <w:rsid w:val="26232F95"/>
    <w:rsid w:val="262A5BC8"/>
    <w:rsid w:val="262EBE40"/>
    <w:rsid w:val="262FCD8F"/>
    <w:rsid w:val="26306131"/>
    <w:rsid w:val="26364CDE"/>
    <w:rsid w:val="263C301B"/>
    <w:rsid w:val="263E0317"/>
    <w:rsid w:val="263E8EC1"/>
    <w:rsid w:val="263F2555"/>
    <w:rsid w:val="26421AA0"/>
    <w:rsid w:val="2642E1C6"/>
    <w:rsid w:val="264464A3"/>
    <w:rsid w:val="264535E8"/>
    <w:rsid w:val="26463F89"/>
    <w:rsid w:val="264A112A"/>
    <w:rsid w:val="264BBC40"/>
    <w:rsid w:val="264BC24C"/>
    <w:rsid w:val="265131ED"/>
    <w:rsid w:val="2651F68C"/>
    <w:rsid w:val="265296EB"/>
    <w:rsid w:val="2652ED7B"/>
    <w:rsid w:val="2652EDE6"/>
    <w:rsid w:val="26568A8F"/>
    <w:rsid w:val="265758B9"/>
    <w:rsid w:val="265B278C"/>
    <w:rsid w:val="265E0B0E"/>
    <w:rsid w:val="26624101"/>
    <w:rsid w:val="266DC928"/>
    <w:rsid w:val="266FABB9"/>
    <w:rsid w:val="266FE98C"/>
    <w:rsid w:val="26701A8C"/>
    <w:rsid w:val="2677A712"/>
    <w:rsid w:val="2677D8B2"/>
    <w:rsid w:val="2683158F"/>
    <w:rsid w:val="2685749F"/>
    <w:rsid w:val="26863D9A"/>
    <w:rsid w:val="268A0E8C"/>
    <w:rsid w:val="268D17D9"/>
    <w:rsid w:val="268E0E63"/>
    <w:rsid w:val="2693EF4E"/>
    <w:rsid w:val="2698F08F"/>
    <w:rsid w:val="269C6142"/>
    <w:rsid w:val="269E87D1"/>
    <w:rsid w:val="26A3F14C"/>
    <w:rsid w:val="26A9DEC2"/>
    <w:rsid w:val="26AA446B"/>
    <w:rsid w:val="26ABE39B"/>
    <w:rsid w:val="26AE844B"/>
    <w:rsid w:val="26AFD685"/>
    <w:rsid w:val="26B1C828"/>
    <w:rsid w:val="26BF2D1E"/>
    <w:rsid w:val="26C408F5"/>
    <w:rsid w:val="26C45DDC"/>
    <w:rsid w:val="26CAA290"/>
    <w:rsid w:val="26CCAC9E"/>
    <w:rsid w:val="26CF716E"/>
    <w:rsid w:val="26D021AA"/>
    <w:rsid w:val="26D08674"/>
    <w:rsid w:val="26D1EF07"/>
    <w:rsid w:val="26D38B51"/>
    <w:rsid w:val="26D3B5F9"/>
    <w:rsid w:val="26D5977F"/>
    <w:rsid w:val="26DC094F"/>
    <w:rsid w:val="26DDA9BE"/>
    <w:rsid w:val="26DFF29C"/>
    <w:rsid w:val="26E75504"/>
    <w:rsid w:val="26EA0CB7"/>
    <w:rsid w:val="26EDCFBE"/>
    <w:rsid w:val="26F20B5C"/>
    <w:rsid w:val="26F453CB"/>
    <w:rsid w:val="26F99C10"/>
    <w:rsid w:val="2705FBDC"/>
    <w:rsid w:val="2707A38A"/>
    <w:rsid w:val="2708158D"/>
    <w:rsid w:val="270974E1"/>
    <w:rsid w:val="270D3B73"/>
    <w:rsid w:val="270E8892"/>
    <w:rsid w:val="270FEC90"/>
    <w:rsid w:val="2712B23B"/>
    <w:rsid w:val="2715ACD9"/>
    <w:rsid w:val="2719244B"/>
    <w:rsid w:val="2719BA65"/>
    <w:rsid w:val="271C9051"/>
    <w:rsid w:val="271CCC65"/>
    <w:rsid w:val="272538E0"/>
    <w:rsid w:val="272B210F"/>
    <w:rsid w:val="272D684F"/>
    <w:rsid w:val="272E838A"/>
    <w:rsid w:val="2731C8C8"/>
    <w:rsid w:val="27356594"/>
    <w:rsid w:val="273EE354"/>
    <w:rsid w:val="2742269A"/>
    <w:rsid w:val="2743899D"/>
    <w:rsid w:val="2748E478"/>
    <w:rsid w:val="274AA0B3"/>
    <w:rsid w:val="2751901D"/>
    <w:rsid w:val="27531782"/>
    <w:rsid w:val="27566469"/>
    <w:rsid w:val="275C6BF5"/>
    <w:rsid w:val="275E5D25"/>
    <w:rsid w:val="275E82BD"/>
    <w:rsid w:val="27626A18"/>
    <w:rsid w:val="27659EE1"/>
    <w:rsid w:val="276B195A"/>
    <w:rsid w:val="27770357"/>
    <w:rsid w:val="27786829"/>
    <w:rsid w:val="277B93E3"/>
    <w:rsid w:val="278C8377"/>
    <w:rsid w:val="278FBE53"/>
    <w:rsid w:val="2794ABB9"/>
    <w:rsid w:val="27965D47"/>
    <w:rsid w:val="2798076D"/>
    <w:rsid w:val="27997785"/>
    <w:rsid w:val="279B6E44"/>
    <w:rsid w:val="27A4E3C3"/>
    <w:rsid w:val="27A6FB3B"/>
    <w:rsid w:val="27A79BA9"/>
    <w:rsid w:val="27ABB321"/>
    <w:rsid w:val="27AD55F4"/>
    <w:rsid w:val="27AEB421"/>
    <w:rsid w:val="27AF7FCE"/>
    <w:rsid w:val="27B04D97"/>
    <w:rsid w:val="27B2E2B1"/>
    <w:rsid w:val="27B6EC6A"/>
    <w:rsid w:val="27BCA7B1"/>
    <w:rsid w:val="27C3410F"/>
    <w:rsid w:val="27C43411"/>
    <w:rsid w:val="27C9D7A3"/>
    <w:rsid w:val="27CADAA3"/>
    <w:rsid w:val="27CB7A40"/>
    <w:rsid w:val="27D51D62"/>
    <w:rsid w:val="27D984C6"/>
    <w:rsid w:val="27DFCA4B"/>
    <w:rsid w:val="27E57D57"/>
    <w:rsid w:val="27E6E0C3"/>
    <w:rsid w:val="27E81740"/>
    <w:rsid w:val="27ED1E44"/>
    <w:rsid w:val="27F1F734"/>
    <w:rsid w:val="27FA8DC3"/>
    <w:rsid w:val="27FB2872"/>
    <w:rsid w:val="27FD15F8"/>
    <w:rsid w:val="28078390"/>
    <w:rsid w:val="2809FB51"/>
    <w:rsid w:val="280CE23B"/>
    <w:rsid w:val="281ADEF4"/>
    <w:rsid w:val="282021BB"/>
    <w:rsid w:val="2822356E"/>
    <w:rsid w:val="2823BBAE"/>
    <w:rsid w:val="28248402"/>
    <w:rsid w:val="282656BC"/>
    <w:rsid w:val="282CF551"/>
    <w:rsid w:val="282D5C34"/>
    <w:rsid w:val="2830076B"/>
    <w:rsid w:val="28302DDB"/>
    <w:rsid w:val="2841DDC5"/>
    <w:rsid w:val="284289FC"/>
    <w:rsid w:val="2845281B"/>
    <w:rsid w:val="2845DFDC"/>
    <w:rsid w:val="284745F9"/>
    <w:rsid w:val="284A26DC"/>
    <w:rsid w:val="284DF0D4"/>
    <w:rsid w:val="2852574D"/>
    <w:rsid w:val="2855E7B7"/>
    <w:rsid w:val="2857E8DC"/>
    <w:rsid w:val="285C8F25"/>
    <w:rsid w:val="286035D8"/>
    <w:rsid w:val="2860AEAE"/>
    <w:rsid w:val="2864D0B9"/>
    <w:rsid w:val="286BA468"/>
    <w:rsid w:val="28729319"/>
    <w:rsid w:val="28754276"/>
    <w:rsid w:val="28775B59"/>
    <w:rsid w:val="287E9C74"/>
    <w:rsid w:val="2883D83B"/>
    <w:rsid w:val="2885A8DF"/>
    <w:rsid w:val="2887CF89"/>
    <w:rsid w:val="2888E10D"/>
    <w:rsid w:val="288A2182"/>
    <w:rsid w:val="288A33E9"/>
    <w:rsid w:val="288A5B2F"/>
    <w:rsid w:val="2890A362"/>
    <w:rsid w:val="28934707"/>
    <w:rsid w:val="2895D381"/>
    <w:rsid w:val="28990A66"/>
    <w:rsid w:val="28992AA2"/>
    <w:rsid w:val="289E7B5F"/>
    <w:rsid w:val="28A2F5DF"/>
    <w:rsid w:val="28A383CF"/>
    <w:rsid w:val="28AA45E4"/>
    <w:rsid w:val="28AF84B5"/>
    <w:rsid w:val="28B0D6B1"/>
    <w:rsid w:val="28B43A50"/>
    <w:rsid w:val="28BF310B"/>
    <w:rsid w:val="28C5A7C7"/>
    <w:rsid w:val="28C714CD"/>
    <w:rsid w:val="28C8BACD"/>
    <w:rsid w:val="28CAF527"/>
    <w:rsid w:val="28D234FA"/>
    <w:rsid w:val="28D320B2"/>
    <w:rsid w:val="28D38721"/>
    <w:rsid w:val="28D6219C"/>
    <w:rsid w:val="28D6A8B6"/>
    <w:rsid w:val="28E06CA7"/>
    <w:rsid w:val="28E5CC8E"/>
    <w:rsid w:val="28E78807"/>
    <w:rsid w:val="28E96829"/>
    <w:rsid w:val="28EA5F54"/>
    <w:rsid w:val="28EAFD30"/>
    <w:rsid w:val="28EF6894"/>
    <w:rsid w:val="28F461F4"/>
    <w:rsid w:val="28FB86EE"/>
    <w:rsid w:val="2902D481"/>
    <w:rsid w:val="2907361B"/>
    <w:rsid w:val="2908452E"/>
    <w:rsid w:val="29088004"/>
    <w:rsid w:val="290BCBEE"/>
    <w:rsid w:val="29123D91"/>
    <w:rsid w:val="2913A767"/>
    <w:rsid w:val="2914A6A0"/>
    <w:rsid w:val="2915CE4A"/>
    <w:rsid w:val="291B7E54"/>
    <w:rsid w:val="291BEFE5"/>
    <w:rsid w:val="291C6575"/>
    <w:rsid w:val="291C7E4A"/>
    <w:rsid w:val="291E40C5"/>
    <w:rsid w:val="2924E463"/>
    <w:rsid w:val="29254769"/>
    <w:rsid w:val="2927A5A2"/>
    <w:rsid w:val="2927FF65"/>
    <w:rsid w:val="2929E605"/>
    <w:rsid w:val="292DC093"/>
    <w:rsid w:val="2932DCEE"/>
    <w:rsid w:val="2934F298"/>
    <w:rsid w:val="29373973"/>
    <w:rsid w:val="293ADF2B"/>
    <w:rsid w:val="293C75E6"/>
    <w:rsid w:val="2947DF2E"/>
    <w:rsid w:val="294B3AEB"/>
    <w:rsid w:val="294EA7DD"/>
    <w:rsid w:val="2951B205"/>
    <w:rsid w:val="2953414E"/>
    <w:rsid w:val="2953E03C"/>
    <w:rsid w:val="295A08F4"/>
    <w:rsid w:val="295BE726"/>
    <w:rsid w:val="295C8305"/>
    <w:rsid w:val="2963DACC"/>
    <w:rsid w:val="2968E413"/>
    <w:rsid w:val="2969266B"/>
    <w:rsid w:val="296A15BD"/>
    <w:rsid w:val="296BB4E5"/>
    <w:rsid w:val="297558F2"/>
    <w:rsid w:val="2975CED2"/>
    <w:rsid w:val="29788B03"/>
    <w:rsid w:val="297F2C32"/>
    <w:rsid w:val="29803C6B"/>
    <w:rsid w:val="2983A74A"/>
    <w:rsid w:val="2984DCD9"/>
    <w:rsid w:val="298AF17B"/>
    <w:rsid w:val="298D2C82"/>
    <w:rsid w:val="298DC706"/>
    <w:rsid w:val="29927830"/>
    <w:rsid w:val="2994D984"/>
    <w:rsid w:val="29965553"/>
    <w:rsid w:val="2997B459"/>
    <w:rsid w:val="299A4066"/>
    <w:rsid w:val="299B7128"/>
    <w:rsid w:val="299C4FAD"/>
    <w:rsid w:val="29A241DC"/>
    <w:rsid w:val="29A84191"/>
    <w:rsid w:val="29AF7B86"/>
    <w:rsid w:val="29B24E99"/>
    <w:rsid w:val="29B426E8"/>
    <w:rsid w:val="29B853BF"/>
    <w:rsid w:val="29BA979E"/>
    <w:rsid w:val="29C0B6A4"/>
    <w:rsid w:val="29C1C27A"/>
    <w:rsid w:val="29CBDEB7"/>
    <w:rsid w:val="29D6DFAB"/>
    <w:rsid w:val="29DDBB94"/>
    <w:rsid w:val="29DDDBBA"/>
    <w:rsid w:val="29E232B7"/>
    <w:rsid w:val="29E25578"/>
    <w:rsid w:val="29E49DBD"/>
    <w:rsid w:val="29E5EA6A"/>
    <w:rsid w:val="29EAF7F4"/>
    <w:rsid w:val="29EE35A0"/>
    <w:rsid w:val="29EF2058"/>
    <w:rsid w:val="29EF8C9D"/>
    <w:rsid w:val="29F12580"/>
    <w:rsid w:val="29F27D65"/>
    <w:rsid w:val="29F2E8F6"/>
    <w:rsid w:val="29F31FD9"/>
    <w:rsid w:val="29FEED01"/>
    <w:rsid w:val="2A0793E6"/>
    <w:rsid w:val="2A08AD60"/>
    <w:rsid w:val="2A0A49E7"/>
    <w:rsid w:val="2A0C8996"/>
    <w:rsid w:val="2A0DFC82"/>
    <w:rsid w:val="2A14D57D"/>
    <w:rsid w:val="2A15EA81"/>
    <w:rsid w:val="2A1664AE"/>
    <w:rsid w:val="2A17935E"/>
    <w:rsid w:val="2A17F805"/>
    <w:rsid w:val="2A193E43"/>
    <w:rsid w:val="2A1A52D2"/>
    <w:rsid w:val="2A1A733E"/>
    <w:rsid w:val="2A1D6B9A"/>
    <w:rsid w:val="2A2353CC"/>
    <w:rsid w:val="2A3955BA"/>
    <w:rsid w:val="2A39DDD2"/>
    <w:rsid w:val="2A417D3E"/>
    <w:rsid w:val="2A450F1F"/>
    <w:rsid w:val="2A455919"/>
    <w:rsid w:val="2A484B1C"/>
    <w:rsid w:val="2A487816"/>
    <w:rsid w:val="2A4962D2"/>
    <w:rsid w:val="2A49CC35"/>
    <w:rsid w:val="2A4A096B"/>
    <w:rsid w:val="2A4CB419"/>
    <w:rsid w:val="2A4E4877"/>
    <w:rsid w:val="2A500582"/>
    <w:rsid w:val="2A50F323"/>
    <w:rsid w:val="2A52862B"/>
    <w:rsid w:val="2A535726"/>
    <w:rsid w:val="2A5449AC"/>
    <w:rsid w:val="2A5508A7"/>
    <w:rsid w:val="2A57DE27"/>
    <w:rsid w:val="2A64154B"/>
    <w:rsid w:val="2A6425E8"/>
    <w:rsid w:val="2A66CA92"/>
    <w:rsid w:val="2A68F1A3"/>
    <w:rsid w:val="2A6C6F7E"/>
    <w:rsid w:val="2A715D09"/>
    <w:rsid w:val="2A727815"/>
    <w:rsid w:val="2A739137"/>
    <w:rsid w:val="2A741476"/>
    <w:rsid w:val="2A7E1214"/>
    <w:rsid w:val="2A811EFA"/>
    <w:rsid w:val="2A8369D0"/>
    <w:rsid w:val="2A837A32"/>
    <w:rsid w:val="2A854D24"/>
    <w:rsid w:val="2A875108"/>
    <w:rsid w:val="2A8A9490"/>
    <w:rsid w:val="2A92470B"/>
    <w:rsid w:val="2A955A58"/>
    <w:rsid w:val="2A9B0142"/>
    <w:rsid w:val="2AAB1812"/>
    <w:rsid w:val="2AACFD67"/>
    <w:rsid w:val="2AB1EE0C"/>
    <w:rsid w:val="2AB3CF93"/>
    <w:rsid w:val="2AB4468D"/>
    <w:rsid w:val="2ABEB10E"/>
    <w:rsid w:val="2AC094EA"/>
    <w:rsid w:val="2AC15C80"/>
    <w:rsid w:val="2AC41125"/>
    <w:rsid w:val="2AC5F42D"/>
    <w:rsid w:val="2AC93E47"/>
    <w:rsid w:val="2ACAFA5F"/>
    <w:rsid w:val="2ACEE536"/>
    <w:rsid w:val="2AD29F4A"/>
    <w:rsid w:val="2AD83CE8"/>
    <w:rsid w:val="2ADC6C15"/>
    <w:rsid w:val="2AEAE755"/>
    <w:rsid w:val="2AF1D896"/>
    <w:rsid w:val="2AF7581D"/>
    <w:rsid w:val="2AFA601A"/>
    <w:rsid w:val="2B008296"/>
    <w:rsid w:val="2B00C8EA"/>
    <w:rsid w:val="2B05AD5D"/>
    <w:rsid w:val="2B0ADF02"/>
    <w:rsid w:val="2B0C0F78"/>
    <w:rsid w:val="2B148044"/>
    <w:rsid w:val="2B1C7174"/>
    <w:rsid w:val="2B1D84C1"/>
    <w:rsid w:val="2B1E7919"/>
    <w:rsid w:val="2B238AF8"/>
    <w:rsid w:val="2B27342E"/>
    <w:rsid w:val="2B2C5173"/>
    <w:rsid w:val="2B3765E7"/>
    <w:rsid w:val="2B3944C3"/>
    <w:rsid w:val="2B3C379C"/>
    <w:rsid w:val="2B40B091"/>
    <w:rsid w:val="2B42656A"/>
    <w:rsid w:val="2B45C0B3"/>
    <w:rsid w:val="2B4714CF"/>
    <w:rsid w:val="2B493342"/>
    <w:rsid w:val="2B53FB4E"/>
    <w:rsid w:val="2B56665D"/>
    <w:rsid w:val="2B56CB5A"/>
    <w:rsid w:val="2B57775C"/>
    <w:rsid w:val="2B5A806E"/>
    <w:rsid w:val="2B5C4AB1"/>
    <w:rsid w:val="2B5C9B90"/>
    <w:rsid w:val="2B60C921"/>
    <w:rsid w:val="2B626DFD"/>
    <w:rsid w:val="2B65AC25"/>
    <w:rsid w:val="2B65C013"/>
    <w:rsid w:val="2B666195"/>
    <w:rsid w:val="2B686399"/>
    <w:rsid w:val="2B6B7C4A"/>
    <w:rsid w:val="2B6BF0ED"/>
    <w:rsid w:val="2B6C82E1"/>
    <w:rsid w:val="2B7DBCAB"/>
    <w:rsid w:val="2B7F2FDE"/>
    <w:rsid w:val="2B829410"/>
    <w:rsid w:val="2B83B217"/>
    <w:rsid w:val="2B8776EB"/>
    <w:rsid w:val="2B87D4F2"/>
    <w:rsid w:val="2B884A9D"/>
    <w:rsid w:val="2B8986D2"/>
    <w:rsid w:val="2B91B264"/>
    <w:rsid w:val="2B95887D"/>
    <w:rsid w:val="2B9642C0"/>
    <w:rsid w:val="2B9B9EDA"/>
    <w:rsid w:val="2B9CF148"/>
    <w:rsid w:val="2B9DC7E0"/>
    <w:rsid w:val="2B9E4E25"/>
    <w:rsid w:val="2B9FDD12"/>
    <w:rsid w:val="2B9FE633"/>
    <w:rsid w:val="2BA0A9A7"/>
    <w:rsid w:val="2BA58534"/>
    <w:rsid w:val="2BA807F6"/>
    <w:rsid w:val="2BAA7B5A"/>
    <w:rsid w:val="2BB18689"/>
    <w:rsid w:val="2BB48AA8"/>
    <w:rsid w:val="2BB61870"/>
    <w:rsid w:val="2BB8CD3F"/>
    <w:rsid w:val="2BBD1B9C"/>
    <w:rsid w:val="2BBD660C"/>
    <w:rsid w:val="2BC1FC1F"/>
    <w:rsid w:val="2BC6F22B"/>
    <w:rsid w:val="2BC91A26"/>
    <w:rsid w:val="2BCC57C7"/>
    <w:rsid w:val="2BD06A53"/>
    <w:rsid w:val="2BD10E7D"/>
    <w:rsid w:val="2BD642FF"/>
    <w:rsid w:val="2BD8A450"/>
    <w:rsid w:val="2BDC934A"/>
    <w:rsid w:val="2BE3503B"/>
    <w:rsid w:val="2BE7A1E2"/>
    <w:rsid w:val="2BEA7A90"/>
    <w:rsid w:val="2BECC458"/>
    <w:rsid w:val="2BECF389"/>
    <w:rsid w:val="2BF85FF4"/>
    <w:rsid w:val="2BF908E2"/>
    <w:rsid w:val="2BF93839"/>
    <w:rsid w:val="2BFA02EE"/>
    <w:rsid w:val="2BFE14F0"/>
    <w:rsid w:val="2BFE90A4"/>
    <w:rsid w:val="2BFEF196"/>
    <w:rsid w:val="2C03ACD0"/>
    <w:rsid w:val="2C03E328"/>
    <w:rsid w:val="2C04F4D7"/>
    <w:rsid w:val="2C050ED4"/>
    <w:rsid w:val="2C05BA23"/>
    <w:rsid w:val="2C08D2D5"/>
    <w:rsid w:val="2C099F04"/>
    <w:rsid w:val="2C0BC035"/>
    <w:rsid w:val="2C0E7953"/>
    <w:rsid w:val="2C0E8D55"/>
    <w:rsid w:val="2C11CAA6"/>
    <w:rsid w:val="2C13C551"/>
    <w:rsid w:val="2C168B40"/>
    <w:rsid w:val="2C1E197C"/>
    <w:rsid w:val="2C21A05F"/>
    <w:rsid w:val="2C2C4D43"/>
    <w:rsid w:val="2C2F0BA6"/>
    <w:rsid w:val="2C315659"/>
    <w:rsid w:val="2C395E94"/>
    <w:rsid w:val="2C3AB092"/>
    <w:rsid w:val="2C3E67B5"/>
    <w:rsid w:val="2C444A20"/>
    <w:rsid w:val="2C46C6D9"/>
    <w:rsid w:val="2C489786"/>
    <w:rsid w:val="2C48F8F4"/>
    <w:rsid w:val="2C490408"/>
    <w:rsid w:val="2C4D6057"/>
    <w:rsid w:val="2C4ECA1D"/>
    <w:rsid w:val="2C54B844"/>
    <w:rsid w:val="2C5638DC"/>
    <w:rsid w:val="2C5C72F4"/>
    <w:rsid w:val="2C5DB3B4"/>
    <w:rsid w:val="2C67A183"/>
    <w:rsid w:val="2C69A78B"/>
    <w:rsid w:val="2C6C51C6"/>
    <w:rsid w:val="2C6CB9AD"/>
    <w:rsid w:val="2C7243C4"/>
    <w:rsid w:val="2C78FD77"/>
    <w:rsid w:val="2C7BDA45"/>
    <w:rsid w:val="2C7E7B9A"/>
    <w:rsid w:val="2C7EB501"/>
    <w:rsid w:val="2C8066CF"/>
    <w:rsid w:val="2C839171"/>
    <w:rsid w:val="2C83C6F6"/>
    <w:rsid w:val="2C855B12"/>
    <w:rsid w:val="2C8D7FE1"/>
    <w:rsid w:val="2C8F0411"/>
    <w:rsid w:val="2C970BEA"/>
    <w:rsid w:val="2C977363"/>
    <w:rsid w:val="2C979B63"/>
    <w:rsid w:val="2C9AA476"/>
    <w:rsid w:val="2CA79FEA"/>
    <w:rsid w:val="2CAB0768"/>
    <w:rsid w:val="2CAEB846"/>
    <w:rsid w:val="2CB3087C"/>
    <w:rsid w:val="2CB3634A"/>
    <w:rsid w:val="2CB7B84E"/>
    <w:rsid w:val="2CBCE7FE"/>
    <w:rsid w:val="2CC1C294"/>
    <w:rsid w:val="2CC36906"/>
    <w:rsid w:val="2CCB5C6C"/>
    <w:rsid w:val="2CCF43F4"/>
    <w:rsid w:val="2CD4E5F1"/>
    <w:rsid w:val="2CD4FF0D"/>
    <w:rsid w:val="2CD515BB"/>
    <w:rsid w:val="2CD615EE"/>
    <w:rsid w:val="2CD87C5F"/>
    <w:rsid w:val="2CD9C191"/>
    <w:rsid w:val="2CDCD8FE"/>
    <w:rsid w:val="2CDF9381"/>
    <w:rsid w:val="2CE29864"/>
    <w:rsid w:val="2CEA3120"/>
    <w:rsid w:val="2CF32CA2"/>
    <w:rsid w:val="2CFDE039"/>
    <w:rsid w:val="2CFE75F0"/>
    <w:rsid w:val="2D04723D"/>
    <w:rsid w:val="2D07CE4E"/>
    <w:rsid w:val="2D0BAD9A"/>
    <w:rsid w:val="2D121EA8"/>
    <w:rsid w:val="2D14CE25"/>
    <w:rsid w:val="2D1639F7"/>
    <w:rsid w:val="2D16D55A"/>
    <w:rsid w:val="2D177D69"/>
    <w:rsid w:val="2D1AC561"/>
    <w:rsid w:val="2D1D5D84"/>
    <w:rsid w:val="2D205D82"/>
    <w:rsid w:val="2D206A54"/>
    <w:rsid w:val="2D251993"/>
    <w:rsid w:val="2D29B08D"/>
    <w:rsid w:val="2D2C4233"/>
    <w:rsid w:val="2D2EE14D"/>
    <w:rsid w:val="2D2F012A"/>
    <w:rsid w:val="2D2F94EA"/>
    <w:rsid w:val="2D33C2C6"/>
    <w:rsid w:val="2D357D27"/>
    <w:rsid w:val="2D3718C7"/>
    <w:rsid w:val="2D3D59FD"/>
    <w:rsid w:val="2D3FD184"/>
    <w:rsid w:val="2D4039E7"/>
    <w:rsid w:val="2D45AF28"/>
    <w:rsid w:val="2D46B5B1"/>
    <w:rsid w:val="2D4D634B"/>
    <w:rsid w:val="2D4F1A5D"/>
    <w:rsid w:val="2D4F78E5"/>
    <w:rsid w:val="2D50A101"/>
    <w:rsid w:val="2D511295"/>
    <w:rsid w:val="2D53BF41"/>
    <w:rsid w:val="2D58C21F"/>
    <w:rsid w:val="2D5A94E5"/>
    <w:rsid w:val="2D5B74A2"/>
    <w:rsid w:val="2D5C6F04"/>
    <w:rsid w:val="2D6311F8"/>
    <w:rsid w:val="2D6412A6"/>
    <w:rsid w:val="2D67B41D"/>
    <w:rsid w:val="2D67BB3F"/>
    <w:rsid w:val="2D67D298"/>
    <w:rsid w:val="2D6A68DE"/>
    <w:rsid w:val="2D6C2889"/>
    <w:rsid w:val="2D6ED35A"/>
    <w:rsid w:val="2D76AFEE"/>
    <w:rsid w:val="2D79C6A7"/>
    <w:rsid w:val="2D7B5A80"/>
    <w:rsid w:val="2D7EA205"/>
    <w:rsid w:val="2D823C30"/>
    <w:rsid w:val="2D8395D4"/>
    <w:rsid w:val="2D853691"/>
    <w:rsid w:val="2D88CA04"/>
    <w:rsid w:val="2D913AE1"/>
    <w:rsid w:val="2D921646"/>
    <w:rsid w:val="2D933D36"/>
    <w:rsid w:val="2D93B310"/>
    <w:rsid w:val="2D9CF55C"/>
    <w:rsid w:val="2DA479CE"/>
    <w:rsid w:val="2DB11449"/>
    <w:rsid w:val="2DB4C555"/>
    <w:rsid w:val="2DB90BB6"/>
    <w:rsid w:val="2DBD7F39"/>
    <w:rsid w:val="2DBFE8DE"/>
    <w:rsid w:val="2DC39F73"/>
    <w:rsid w:val="2DC94BAA"/>
    <w:rsid w:val="2DCA0646"/>
    <w:rsid w:val="2DCB7156"/>
    <w:rsid w:val="2DCCC5A7"/>
    <w:rsid w:val="2DD0EFE8"/>
    <w:rsid w:val="2DD593CA"/>
    <w:rsid w:val="2DD64BBC"/>
    <w:rsid w:val="2DD9B9F6"/>
    <w:rsid w:val="2DDA459F"/>
    <w:rsid w:val="2DDB2306"/>
    <w:rsid w:val="2DE5A97D"/>
    <w:rsid w:val="2DE8C0AE"/>
    <w:rsid w:val="2DEA3809"/>
    <w:rsid w:val="2DF012BA"/>
    <w:rsid w:val="2DF17A49"/>
    <w:rsid w:val="2DF23493"/>
    <w:rsid w:val="2DF50E65"/>
    <w:rsid w:val="2DFA763F"/>
    <w:rsid w:val="2DFAB8F0"/>
    <w:rsid w:val="2DFB6EBC"/>
    <w:rsid w:val="2DFD663B"/>
    <w:rsid w:val="2E0087D8"/>
    <w:rsid w:val="2E066B94"/>
    <w:rsid w:val="2E0710DC"/>
    <w:rsid w:val="2E075227"/>
    <w:rsid w:val="2E077343"/>
    <w:rsid w:val="2E09AADA"/>
    <w:rsid w:val="2E0A3173"/>
    <w:rsid w:val="2E0B2346"/>
    <w:rsid w:val="2E0EF851"/>
    <w:rsid w:val="2E162C99"/>
    <w:rsid w:val="2E16B9A9"/>
    <w:rsid w:val="2E19E2EE"/>
    <w:rsid w:val="2E201744"/>
    <w:rsid w:val="2E213107"/>
    <w:rsid w:val="2E267AC4"/>
    <w:rsid w:val="2E26AD39"/>
    <w:rsid w:val="2E2764A0"/>
    <w:rsid w:val="2E28999F"/>
    <w:rsid w:val="2E2AD641"/>
    <w:rsid w:val="2E2AE9E1"/>
    <w:rsid w:val="2E2C083F"/>
    <w:rsid w:val="2E2E897B"/>
    <w:rsid w:val="2E2FA99D"/>
    <w:rsid w:val="2E33F1BC"/>
    <w:rsid w:val="2E380C7E"/>
    <w:rsid w:val="2E39C73D"/>
    <w:rsid w:val="2E3C9FEF"/>
    <w:rsid w:val="2E44CBDF"/>
    <w:rsid w:val="2E462A06"/>
    <w:rsid w:val="2E46794D"/>
    <w:rsid w:val="2E5388A1"/>
    <w:rsid w:val="2E5AACFE"/>
    <w:rsid w:val="2E5BBE12"/>
    <w:rsid w:val="2E5C4E56"/>
    <w:rsid w:val="2E63BA2B"/>
    <w:rsid w:val="2E63D2D6"/>
    <w:rsid w:val="2E643463"/>
    <w:rsid w:val="2E6730DF"/>
    <w:rsid w:val="2E67A454"/>
    <w:rsid w:val="2E6A43F1"/>
    <w:rsid w:val="2E6BDFA8"/>
    <w:rsid w:val="2E6C2E11"/>
    <w:rsid w:val="2E751023"/>
    <w:rsid w:val="2E75A35E"/>
    <w:rsid w:val="2E768DD1"/>
    <w:rsid w:val="2E7AA7E0"/>
    <w:rsid w:val="2E7D1253"/>
    <w:rsid w:val="2E82CDC6"/>
    <w:rsid w:val="2E872E37"/>
    <w:rsid w:val="2E8EB582"/>
    <w:rsid w:val="2E95AD81"/>
    <w:rsid w:val="2E997087"/>
    <w:rsid w:val="2E9BC2D2"/>
    <w:rsid w:val="2EA47EDF"/>
    <w:rsid w:val="2EA6F3C9"/>
    <w:rsid w:val="2EA9094B"/>
    <w:rsid w:val="2EA9DEB8"/>
    <w:rsid w:val="2EABA684"/>
    <w:rsid w:val="2EAC1D8F"/>
    <w:rsid w:val="2EAC34F4"/>
    <w:rsid w:val="2EAC8BA7"/>
    <w:rsid w:val="2EAEF475"/>
    <w:rsid w:val="2EB28972"/>
    <w:rsid w:val="2EB4B110"/>
    <w:rsid w:val="2EB770A2"/>
    <w:rsid w:val="2EB90A9E"/>
    <w:rsid w:val="2EBB1B09"/>
    <w:rsid w:val="2EBB1FE7"/>
    <w:rsid w:val="2EC31555"/>
    <w:rsid w:val="2EC33CED"/>
    <w:rsid w:val="2EC40BAB"/>
    <w:rsid w:val="2EC575B9"/>
    <w:rsid w:val="2EC5AD9B"/>
    <w:rsid w:val="2ECA2392"/>
    <w:rsid w:val="2ECB8143"/>
    <w:rsid w:val="2ECC49B1"/>
    <w:rsid w:val="2ECD3678"/>
    <w:rsid w:val="2ECD760D"/>
    <w:rsid w:val="2ED18039"/>
    <w:rsid w:val="2ED33E69"/>
    <w:rsid w:val="2ED73F54"/>
    <w:rsid w:val="2EDA8B7D"/>
    <w:rsid w:val="2EDBA2F8"/>
    <w:rsid w:val="2EDBC376"/>
    <w:rsid w:val="2EDBCF49"/>
    <w:rsid w:val="2EDBEC41"/>
    <w:rsid w:val="2EDE3C85"/>
    <w:rsid w:val="2EDFA9E7"/>
    <w:rsid w:val="2EE4A0EC"/>
    <w:rsid w:val="2EEBD9A4"/>
    <w:rsid w:val="2EF205C4"/>
    <w:rsid w:val="2EF9A73B"/>
    <w:rsid w:val="2EFAD51A"/>
    <w:rsid w:val="2EFB7080"/>
    <w:rsid w:val="2F04B2DA"/>
    <w:rsid w:val="2F0C1814"/>
    <w:rsid w:val="2F16A993"/>
    <w:rsid w:val="2F194DFD"/>
    <w:rsid w:val="2F1B92C3"/>
    <w:rsid w:val="2F227650"/>
    <w:rsid w:val="2F254386"/>
    <w:rsid w:val="2F29974C"/>
    <w:rsid w:val="2F353163"/>
    <w:rsid w:val="2F395F83"/>
    <w:rsid w:val="2F3A714D"/>
    <w:rsid w:val="2F3C1F85"/>
    <w:rsid w:val="2F4B508F"/>
    <w:rsid w:val="2F53AA33"/>
    <w:rsid w:val="2F548748"/>
    <w:rsid w:val="2F55CE80"/>
    <w:rsid w:val="2F5D2A2D"/>
    <w:rsid w:val="2F5E1513"/>
    <w:rsid w:val="2F61E087"/>
    <w:rsid w:val="2F67D571"/>
    <w:rsid w:val="2F681231"/>
    <w:rsid w:val="2F699BEE"/>
    <w:rsid w:val="2F6D0D72"/>
    <w:rsid w:val="2F7002DD"/>
    <w:rsid w:val="2F70D875"/>
    <w:rsid w:val="2F732CE1"/>
    <w:rsid w:val="2F77F93A"/>
    <w:rsid w:val="2F7920D3"/>
    <w:rsid w:val="2F7DB042"/>
    <w:rsid w:val="2F7F053C"/>
    <w:rsid w:val="2F9A4513"/>
    <w:rsid w:val="2F9ADB53"/>
    <w:rsid w:val="2F9E0264"/>
    <w:rsid w:val="2FA0163A"/>
    <w:rsid w:val="2FA18ABE"/>
    <w:rsid w:val="2FA30128"/>
    <w:rsid w:val="2FA4CC5C"/>
    <w:rsid w:val="2FA5AC8A"/>
    <w:rsid w:val="2FA6C3C7"/>
    <w:rsid w:val="2FA838B8"/>
    <w:rsid w:val="2FA9BD35"/>
    <w:rsid w:val="2FAC1980"/>
    <w:rsid w:val="2FAC642E"/>
    <w:rsid w:val="2FB16FA4"/>
    <w:rsid w:val="2FB3FDED"/>
    <w:rsid w:val="2FB4DEED"/>
    <w:rsid w:val="2FB8D8B4"/>
    <w:rsid w:val="2FBBD2DD"/>
    <w:rsid w:val="2FC1648C"/>
    <w:rsid w:val="2FC31065"/>
    <w:rsid w:val="2FC5BE22"/>
    <w:rsid w:val="2FC72905"/>
    <w:rsid w:val="2FC84F82"/>
    <w:rsid w:val="2FC86452"/>
    <w:rsid w:val="2FC89169"/>
    <w:rsid w:val="2FC8E3BE"/>
    <w:rsid w:val="2FCB7A37"/>
    <w:rsid w:val="2FD0BF2E"/>
    <w:rsid w:val="2FD1A37D"/>
    <w:rsid w:val="2FDF6D66"/>
    <w:rsid w:val="2FDFB615"/>
    <w:rsid w:val="2FE23025"/>
    <w:rsid w:val="2FE51B68"/>
    <w:rsid w:val="2FE53162"/>
    <w:rsid w:val="2FE6CDC7"/>
    <w:rsid w:val="2FE78E4D"/>
    <w:rsid w:val="2FEA430A"/>
    <w:rsid w:val="2FEC7007"/>
    <w:rsid w:val="2FEFECD5"/>
    <w:rsid w:val="2FF1AF7C"/>
    <w:rsid w:val="2FF3D899"/>
    <w:rsid w:val="2FF71534"/>
    <w:rsid w:val="2FF76AA9"/>
    <w:rsid w:val="2FF80807"/>
    <w:rsid w:val="2FFC0EE0"/>
    <w:rsid w:val="3004480E"/>
    <w:rsid w:val="30081BF6"/>
    <w:rsid w:val="300AEED9"/>
    <w:rsid w:val="300DC7BC"/>
    <w:rsid w:val="300E23A8"/>
    <w:rsid w:val="30111FCC"/>
    <w:rsid w:val="3015B1A5"/>
    <w:rsid w:val="30160012"/>
    <w:rsid w:val="3016A2C0"/>
    <w:rsid w:val="30194929"/>
    <w:rsid w:val="301C5559"/>
    <w:rsid w:val="301FC003"/>
    <w:rsid w:val="3021AF6C"/>
    <w:rsid w:val="302403B4"/>
    <w:rsid w:val="302B7621"/>
    <w:rsid w:val="302C1EDA"/>
    <w:rsid w:val="302F232E"/>
    <w:rsid w:val="302FB260"/>
    <w:rsid w:val="30348589"/>
    <w:rsid w:val="3036096B"/>
    <w:rsid w:val="3037ACF8"/>
    <w:rsid w:val="303A87BC"/>
    <w:rsid w:val="303C09F5"/>
    <w:rsid w:val="303E0E31"/>
    <w:rsid w:val="30439C0C"/>
    <w:rsid w:val="3044D3A4"/>
    <w:rsid w:val="304836E8"/>
    <w:rsid w:val="3049E645"/>
    <w:rsid w:val="304C24A2"/>
    <w:rsid w:val="30509D6A"/>
    <w:rsid w:val="30517335"/>
    <w:rsid w:val="3052F92E"/>
    <w:rsid w:val="306516AF"/>
    <w:rsid w:val="3066B5C7"/>
    <w:rsid w:val="3072BBA2"/>
    <w:rsid w:val="3075F3F6"/>
    <w:rsid w:val="3078B463"/>
    <w:rsid w:val="307E912C"/>
    <w:rsid w:val="307F8FD6"/>
    <w:rsid w:val="3084F5C1"/>
    <w:rsid w:val="30867FF4"/>
    <w:rsid w:val="308EFE8D"/>
    <w:rsid w:val="3090F6C2"/>
    <w:rsid w:val="3093D095"/>
    <w:rsid w:val="3094DF58"/>
    <w:rsid w:val="30951FEB"/>
    <w:rsid w:val="309B1B66"/>
    <w:rsid w:val="309E1684"/>
    <w:rsid w:val="309E7F25"/>
    <w:rsid w:val="30A1F6A1"/>
    <w:rsid w:val="30A2BE64"/>
    <w:rsid w:val="30A42096"/>
    <w:rsid w:val="30A8500A"/>
    <w:rsid w:val="30AA334D"/>
    <w:rsid w:val="30AC8715"/>
    <w:rsid w:val="30ACA2AF"/>
    <w:rsid w:val="30AD4B45"/>
    <w:rsid w:val="30AE929B"/>
    <w:rsid w:val="30AFF9FE"/>
    <w:rsid w:val="30B14B47"/>
    <w:rsid w:val="30BA08C5"/>
    <w:rsid w:val="30BE671F"/>
    <w:rsid w:val="30C25B08"/>
    <w:rsid w:val="30C2C278"/>
    <w:rsid w:val="30C396F6"/>
    <w:rsid w:val="30C3DDCB"/>
    <w:rsid w:val="30C5B66F"/>
    <w:rsid w:val="30CA4435"/>
    <w:rsid w:val="30CC479D"/>
    <w:rsid w:val="30D4C2DC"/>
    <w:rsid w:val="30D6D643"/>
    <w:rsid w:val="30DB1D25"/>
    <w:rsid w:val="30DBCA54"/>
    <w:rsid w:val="30E04509"/>
    <w:rsid w:val="30E13FE2"/>
    <w:rsid w:val="30E25D5D"/>
    <w:rsid w:val="30E2A5FA"/>
    <w:rsid w:val="30E75038"/>
    <w:rsid w:val="30E830C8"/>
    <w:rsid w:val="30EACA98"/>
    <w:rsid w:val="30EC0CFE"/>
    <w:rsid w:val="30F7F687"/>
    <w:rsid w:val="30F8B0D5"/>
    <w:rsid w:val="30FB4F09"/>
    <w:rsid w:val="30FD2F4D"/>
    <w:rsid w:val="30FE3A22"/>
    <w:rsid w:val="31006D2B"/>
    <w:rsid w:val="3108D373"/>
    <w:rsid w:val="310A25B5"/>
    <w:rsid w:val="310CC5D4"/>
    <w:rsid w:val="3112C1C9"/>
    <w:rsid w:val="31134968"/>
    <w:rsid w:val="31147619"/>
    <w:rsid w:val="3114A4DD"/>
    <w:rsid w:val="311979F8"/>
    <w:rsid w:val="311B3C08"/>
    <w:rsid w:val="311EDBEB"/>
    <w:rsid w:val="311F8D3C"/>
    <w:rsid w:val="312127D9"/>
    <w:rsid w:val="31221E88"/>
    <w:rsid w:val="31246AB5"/>
    <w:rsid w:val="3125B00B"/>
    <w:rsid w:val="3125B1D8"/>
    <w:rsid w:val="312634C2"/>
    <w:rsid w:val="31266550"/>
    <w:rsid w:val="3127AA6D"/>
    <w:rsid w:val="3131EC3A"/>
    <w:rsid w:val="3138C9C6"/>
    <w:rsid w:val="3140731C"/>
    <w:rsid w:val="3143E912"/>
    <w:rsid w:val="3146562F"/>
    <w:rsid w:val="314A683D"/>
    <w:rsid w:val="314A9280"/>
    <w:rsid w:val="314D32D8"/>
    <w:rsid w:val="31516956"/>
    <w:rsid w:val="3152CC97"/>
    <w:rsid w:val="31547E4F"/>
    <w:rsid w:val="3154DE76"/>
    <w:rsid w:val="315E8EC7"/>
    <w:rsid w:val="31622065"/>
    <w:rsid w:val="3162B129"/>
    <w:rsid w:val="316341D4"/>
    <w:rsid w:val="3165E14D"/>
    <w:rsid w:val="316B8CDA"/>
    <w:rsid w:val="316D98B7"/>
    <w:rsid w:val="316E8704"/>
    <w:rsid w:val="317401D3"/>
    <w:rsid w:val="317B8766"/>
    <w:rsid w:val="3181B011"/>
    <w:rsid w:val="318337F0"/>
    <w:rsid w:val="3184E49C"/>
    <w:rsid w:val="31850C57"/>
    <w:rsid w:val="3189272B"/>
    <w:rsid w:val="3189D0F6"/>
    <w:rsid w:val="318A55F3"/>
    <w:rsid w:val="318BB1C9"/>
    <w:rsid w:val="318F4511"/>
    <w:rsid w:val="31903A08"/>
    <w:rsid w:val="31905F4B"/>
    <w:rsid w:val="3191A074"/>
    <w:rsid w:val="319361F5"/>
    <w:rsid w:val="31939B28"/>
    <w:rsid w:val="319515CC"/>
    <w:rsid w:val="31971FDD"/>
    <w:rsid w:val="31973C29"/>
    <w:rsid w:val="319EE41F"/>
    <w:rsid w:val="31A14F19"/>
    <w:rsid w:val="31A52776"/>
    <w:rsid w:val="31A6830D"/>
    <w:rsid w:val="31A9AF94"/>
    <w:rsid w:val="31AD39D0"/>
    <w:rsid w:val="31AD3B23"/>
    <w:rsid w:val="31AFE9F4"/>
    <w:rsid w:val="31B11CEB"/>
    <w:rsid w:val="31B4268E"/>
    <w:rsid w:val="31BA55F5"/>
    <w:rsid w:val="31BCCABE"/>
    <w:rsid w:val="31BD4CE2"/>
    <w:rsid w:val="31BE7756"/>
    <w:rsid w:val="31CB0EDE"/>
    <w:rsid w:val="31D0E48D"/>
    <w:rsid w:val="31D6AD30"/>
    <w:rsid w:val="31D7A487"/>
    <w:rsid w:val="31DA4E06"/>
    <w:rsid w:val="31DE95F3"/>
    <w:rsid w:val="31DF343C"/>
    <w:rsid w:val="31DFB1B0"/>
    <w:rsid w:val="31E02F56"/>
    <w:rsid w:val="31E22EB8"/>
    <w:rsid w:val="31E2EE2F"/>
    <w:rsid w:val="31E59FDE"/>
    <w:rsid w:val="31EDC050"/>
    <w:rsid w:val="31EFF817"/>
    <w:rsid w:val="31F03444"/>
    <w:rsid w:val="31F33688"/>
    <w:rsid w:val="31F52430"/>
    <w:rsid w:val="31F7E96E"/>
    <w:rsid w:val="32006061"/>
    <w:rsid w:val="3200E4CD"/>
    <w:rsid w:val="3203B5E7"/>
    <w:rsid w:val="3205C46C"/>
    <w:rsid w:val="3208211A"/>
    <w:rsid w:val="320B3D0F"/>
    <w:rsid w:val="320F665C"/>
    <w:rsid w:val="320F82D9"/>
    <w:rsid w:val="320FCDC7"/>
    <w:rsid w:val="3212FEF5"/>
    <w:rsid w:val="32133FD0"/>
    <w:rsid w:val="3214F16A"/>
    <w:rsid w:val="3216F252"/>
    <w:rsid w:val="3217646D"/>
    <w:rsid w:val="321B0259"/>
    <w:rsid w:val="321C9FDD"/>
    <w:rsid w:val="321DDC17"/>
    <w:rsid w:val="321EEDB0"/>
    <w:rsid w:val="3225F845"/>
    <w:rsid w:val="32260804"/>
    <w:rsid w:val="32288F7F"/>
    <w:rsid w:val="32315746"/>
    <w:rsid w:val="32329956"/>
    <w:rsid w:val="3232FF26"/>
    <w:rsid w:val="323D3A5F"/>
    <w:rsid w:val="323F02EE"/>
    <w:rsid w:val="3240CEA6"/>
    <w:rsid w:val="3242F684"/>
    <w:rsid w:val="324496C8"/>
    <w:rsid w:val="3244FA4E"/>
    <w:rsid w:val="32476F5C"/>
    <w:rsid w:val="3248EDC6"/>
    <w:rsid w:val="324A6B16"/>
    <w:rsid w:val="324B9617"/>
    <w:rsid w:val="324E25CA"/>
    <w:rsid w:val="324EFA33"/>
    <w:rsid w:val="3251542C"/>
    <w:rsid w:val="3252355D"/>
    <w:rsid w:val="325467B3"/>
    <w:rsid w:val="325CD4F7"/>
    <w:rsid w:val="325DBC23"/>
    <w:rsid w:val="325F82E2"/>
    <w:rsid w:val="32622BC0"/>
    <w:rsid w:val="3262F693"/>
    <w:rsid w:val="3263BFB3"/>
    <w:rsid w:val="32642CE3"/>
    <w:rsid w:val="32662CF8"/>
    <w:rsid w:val="326779B0"/>
    <w:rsid w:val="32715FA8"/>
    <w:rsid w:val="32718D71"/>
    <w:rsid w:val="3277D1D5"/>
    <w:rsid w:val="3278599F"/>
    <w:rsid w:val="3278CF3C"/>
    <w:rsid w:val="327BCE4D"/>
    <w:rsid w:val="32800613"/>
    <w:rsid w:val="3286136B"/>
    <w:rsid w:val="3286CF95"/>
    <w:rsid w:val="3286FB65"/>
    <w:rsid w:val="328705A7"/>
    <w:rsid w:val="3287595B"/>
    <w:rsid w:val="328AAD5F"/>
    <w:rsid w:val="328B8D04"/>
    <w:rsid w:val="328FC3C3"/>
    <w:rsid w:val="328FEAA8"/>
    <w:rsid w:val="3296DDAC"/>
    <w:rsid w:val="329D05DB"/>
    <w:rsid w:val="32A0B1E0"/>
    <w:rsid w:val="32A5DA8D"/>
    <w:rsid w:val="32A6A6BB"/>
    <w:rsid w:val="32A732CC"/>
    <w:rsid w:val="32AD0F13"/>
    <w:rsid w:val="32B2C9FF"/>
    <w:rsid w:val="32B667A7"/>
    <w:rsid w:val="32BF3866"/>
    <w:rsid w:val="32C17555"/>
    <w:rsid w:val="32CCB528"/>
    <w:rsid w:val="32CDEB09"/>
    <w:rsid w:val="32CF4F50"/>
    <w:rsid w:val="32D3BE55"/>
    <w:rsid w:val="32D6FFD9"/>
    <w:rsid w:val="32DA7E85"/>
    <w:rsid w:val="32E00D2B"/>
    <w:rsid w:val="32E32566"/>
    <w:rsid w:val="32E459A0"/>
    <w:rsid w:val="32E53357"/>
    <w:rsid w:val="32E5697E"/>
    <w:rsid w:val="32F6662B"/>
    <w:rsid w:val="32F81821"/>
    <w:rsid w:val="32FD288D"/>
    <w:rsid w:val="33017559"/>
    <w:rsid w:val="330181AE"/>
    <w:rsid w:val="33028A57"/>
    <w:rsid w:val="33065C0B"/>
    <w:rsid w:val="33067EE3"/>
    <w:rsid w:val="3306F85F"/>
    <w:rsid w:val="330B0034"/>
    <w:rsid w:val="330BB607"/>
    <w:rsid w:val="33103776"/>
    <w:rsid w:val="3312ECB7"/>
    <w:rsid w:val="33149355"/>
    <w:rsid w:val="3314A0AE"/>
    <w:rsid w:val="3317D219"/>
    <w:rsid w:val="33189A9B"/>
    <w:rsid w:val="33192B7D"/>
    <w:rsid w:val="33195179"/>
    <w:rsid w:val="33253113"/>
    <w:rsid w:val="3326E0C7"/>
    <w:rsid w:val="3328684B"/>
    <w:rsid w:val="332EED1D"/>
    <w:rsid w:val="3338583A"/>
    <w:rsid w:val="3338D684"/>
    <w:rsid w:val="333CF631"/>
    <w:rsid w:val="333E087F"/>
    <w:rsid w:val="33400DA8"/>
    <w:rsid w:val="33456F2F"/>
    <w:rsid w:val="3346BCA1"/>
    <w:rsid w:val="3349FF0A"/>
    <w:rsid w:val="334BB2A1"/>
    <w:rsid w:val="33541FF2"/>
    <w:rsid w:val="335E883C"/>
    <w:rsid w:val="33633F37"/>
    <w:rsid w:val="3367253E"/>
    <w:rsid w:val="3368DC43"/>
    <w:rsid w:val="3369EE53"/>
    <w:rsid w:val="336AE5C0"/>
    <w:rsid w:val="336B6F96"/>
    <w:rsid w:val="336D73AE"/>
    <w:rsid w:val="336ED17B"/>
    <w:rsid w:val="33716914"/>
    <w:rsid w:val="3371C7F7"/>
    <w:rsid w:val="3375E834"/>
    <w:rsid w:val="337648B7"/>
    <w:rsid w:val="337D70FE"/>
    <w:rsid w:val="337E4352"/>
    <w:rsid w:val="337F290F"/>
    <w:rsid w:val="3380DD05"/>
    <w:rsid w:val="338549FC"/>
    <w:rsid w:val="338666E1"/>
    <w:rsid w:val="338AD1D2"/>
    <w:rsid w:val="338C5012"/>
    <w:rsid w:val="33924085"/>
    <w:rsid w:val="3393FB3C"/>
    <w:rsid w:val="3398E27C"/>
    <w:rsid w:val="339A854A"/>
    <w:rsid w:val="339B14D6"/>
    <w:rsid w:val="339E1C4C"/>
    <w:rsid w:val="33A114E9"/>
    <w:rsid w:val="33A85CBC"/>
    <w:rsid w:val="33A95D6A"/>
    <w:rsid w:val="33A992AC"/>
    <w:rsid w:val="33AD97E8"/>
    <w:rsid w:val="33AE6FE2"/>
    <w:rsid w:val="33AFEA6A"/>
    <w:rsid w:val="33B2BC43"/>
    <w:rsid w:val="33B53671"/>
    <w:rsid w:val="33B91D12"/>
    <w:rsid w:val="33BA3C09"/>
    <w:rsid w:val="33BBB402"/>
    <w:rsid w:val="33BBFC59"/>
    <w:rsid w:val="33BFB6C2"/>
    <w:rsid w:val="33C09301"/>
    <w:rsid w:val="33C56610"/>
    <w:rsid w:val="33C600DC"/>
    <w:rsid w:val="33CDA4D7"/>
    <w:rsid w:val="33CE0224"/>
    <w:rsid w:val="33D145A7"/>
    <w:rsid w:val="33D411B2"/>
    <w:rsid w:val="33D5E437"/>
    <w:rsid w:val="33D734F5"/>
    <w:rsid w:val="33D77CA1"/>
    <w:rsid w:val="33DCC11D"/>
    <w:rsid w:val="33DEC8C1"/>
    <w:rsid w:val="33DF1D8D"/>
    <w:rsid w:val="33E13A6D"/>
    <w:rsid w:val="33E3AA68"/>
    <w:rsid w:val="33E51095"/>
    <w:rsid w:val="33E678BC"/>
    <w:rsid w:val="33EE9012"/>
    <w:rsid w:val="33F1D284"/>
    <w:rsid w:val="33F3BFFB"/>
    <w:rsid w:val="33F45852"/>
    <w:rsid w:val="33FB15CC"/>
    <w:rsid w:val="33FB63B9"/>
    <w:rsid w:val="33FD243B"/>
    <w:rsid w:val="3400406E"/>
    <w:rsid w:val="34011983"/>
    <w:rsid w:val="34039628"/>
    <w:rsid w:val="34058E0A"/>
    <w:rsid w:val="3408FF95"/>
    <w:rsid w:val="340DF576"/>
    <w:rsid w:val="340E8E80"/>
    <w:rsid w:val="341077F9"/>
    <w:rsid w:val="34119238"/>
    <w:rsid w:val="3416808F"/>
    <w:rsid w:val="34191BD7"/>
    <w:rsid w:val="341DC054"/>
    <w:rsid w:val="3421550E"/>
    <w:rsid w:val="3427E507"/>
    <w:rsid w:val="3427E616"/>
    <w:rsid w:val="34303561"/>
    <w:rsid w:val="343524DA"/>
    <w:rsid w:val="34377F1C"/>
    <w:rsid w:val="3439F2DA"/>
    <w:rsid w:val="343D7643"/>
    <w:rsid w:val="343D89B3"/>
    <w:rsid w:val="3441B825"/>
    <w:rsid w:val="3448E975"/>
    <w:rsid w:val="344C18A0"/>
    <w:rsid w:val="344FF119"/>
    <w:rsid w:val="34514FE1"/>
    <w:rsid w:val="3451D0A7"/>
    <w:rsid w:val="3452D48C"/>
    <w:rsid w:val="345D6C6B"/>
    <w:rsid w:val="345F1971"/>
    <w:rsid w:val="3462BE01"/>
    <w:rsid w:val="34682AD0"/>
    <w:rsid w:val="3469A879"/>
    <w:rsid w:val="346D352E"/>
    <w:rsid w:val="34724EB2"/>
    <w:rsid w:val="3472615A"/>
    <w:rsid w:val="347B3CEC"/>
    <w:rsid w:val="347B7EE5"/>
    <w:rsid w:val="347C42B6"/>
    <w:rsid w:val="347F3B00"/>
    <w:rsid w:val="34800749"/>
    <w:rsid w:val="34822AC5"/>
    <w:rsid w:val="3483B839"/>
    <w:rsid w:val="348BC15A"/>
    <w:rsid w:val="3494237F"/>
    <w:rsid w:val="349B13DD"/>
    <w:rsid w:val="349D3668"/>
    <w:rsid w:val="34A14032"/>
    <w:rsid w:val="34A265D3"/>
    <w:rsid w:val="34A7066C"/>
    <w:rsid w:val="34B12147"/>
    <w:rsid w:val="34B1842C"/>
    <w:rsid w:val="34BD2385"/>
    <w:rsid w:val="34C5A930"/>
    <w:rsid w:val="34CAA1E1"/>
    <w:rsid w:val="34CC56F5"/>
    <w:rsid w:val="34CDC96C"/>
    <w:rsid w:val="34CE7922"/>
    <w:rsid w:val="34D025A0"/>
    <w:rsid w:val="34D5D575"/>
    <w:rsid w:val="34D9A826"/>
    <w:rsid w:val="34DBF2F8"/>
    <w:rsid w:val="34DD747B"/>
    <w:rsid w:val="34DDF8DF"/>
    <w:rsid w:val="34E02B1F"/>
    <w:rsid w:val="34E3A841"/>
    <w:rsid w:val="34E46986"/>
    <w:rsid w:val="34E99DDE"/>
    <w:rsid w:val="34ED9B4B"/>
    <w:rsid w:val="34EDF216"/>
    <w:rsid w:val="34F2EFBD"/>
    <w:rsid w:val="34F33CE1"/>
    <w:rsid w:val="34F6B536"/>
    <w:rsid w:val="35036FA2"/>
    <w:rsid w:val="3506134C"/>
    <w:rsid w:val="35089C7B"/>
    <w:rsid w:val="3508D79D"/>
    <w:rsid w:val="3513C63E"/>
    <w:rsid w:val="3515006F"/>
    <w:rsid w:val="351762BF"/>
    <w:rsid w:val="35185DCA"/>
    <w:rsid w:val="3518F402"/>
    <w:rsid w:val="351A2E93"/>
    <w:rsid w:val="351B571D"/>
    <w:rsid w:val="35266547"/>
    <w:rsid w:val="3527D547"/>
    <w:rsid w:val="352B846B"/>
    <w:rsid w:val="352D93D3"/>
    <w:rsid w:val="352E5C59"/>
    <w:rsid w:val="352F0A11"/>
    <w:rsid w:val="3531102F"/>
    <w:rsid w:val="35334E02"/>
    <w:rsid w:val="35369403"/>
    <w:rsid w:val="35392DF2"/>
    <w:rsid w:val="3539555F"/>
    <w:rsid w:val="353CDB3D"/>
    <w:rsid w:val="35415001"/>
    <w:rsid w:val="3541E38D"/>
    <w:rsid w:val="35442E94"/>
    <w:rsid w:val="3546BA3E"/>
    <w:rsid w:val="35483FE3"/>
    <w:rsid w:val="35484EE6"/>
    <w:rsid w:val="354B243B"/>
    <w:rsid w:val="354BB65D"/>
    <w:rsid w:val="3550C1C4"/>
    <w:rsid w:val="3557BA37"/>
    <w:rsid w:val="3559F83C"/>
    <w:rsid w:val="355AF45F"/>
    <w:rsid w:val="355C1D82"/>
    <w:rsid w:val="355E94E4"/>
    <w:rsid w:val="355F75EA"/>
    <w:rsid w:val="3560C29E"/>
    <w:rsid w:val="3563618C"/>
    <w:rsid w:val="35691D23"/>
    <w:rsid w:val="35705BC5"/>
    <w:rsid w:val="35770C1B"/>
    <w:rsid w:val="357756F7"/>
    <w:rsid w:val="35846F6E"/>
    <w:rsid w:val="3585E8A0"/>
    <w:rsid w:val="3587640F"/>
    <w:rsid w:val="3588C5EE"/>
    <w:rsid w:val="358BC520"/>
    <w:rsid w:val="3591A6CC"/>
    <w:rsid w:val="3592ADE9"/>
    <w:rsid w:val="359AC15C"/>
    <w:rsid w:val="359B2DEB"/>
    <w:rsid w:val="359C11B0"/>
    <w:rsid w:val="35A0AD45"/>
    <w:rsid w:val="35A29FC7"/>
    <w:rsid w:val="35A9598F"/>
    <w:rsid w:val="35A9E50B"/>
    <w:rsid w:val="35AAA181"/>
    <w:rsid w:val="35AAA5A1"/>
    <w:rsid w:val="35B0CE32"/>
    <w:rsid w:val="35B7BC8B"/>
    <w:rsid w:val="35BC1521"/>
    <w:rsid w:val="35BE8135"/>
    <w:rsid w:val="35CC96F1"/>
    <w:rsid w:val="35CD8788"/>
    <w:rsid w:val="35D428B1"/>
    <w:rsid w:val="35D6262B"/>
    <w:rsid w:val="35D6402E"/>
    <w:rsid w:val="35D70AD2"/>
    <w:rsid w:val="35DA9203"/>
    <w:rsid w:val="35DEC756"/>
    <w:rsid w:val="35E49D56"/>
    <w:rsid w:val="35E9DC20"/>
    <w:rsid w:val="35EC2FDE"/>
    <w:rsid w:val="35ED89A5"/>
    <w:rsid w:val="35F00EB5"/>
    <w:rsid w:val="35F6FFC6"/>
    <w:rsid w:val="35F7062F"/>
    <w:rsid w:val="35F9E00F"/>
    <w:rsid w:val="35FD7E4B"/>
    <w:rsid w:val="36023AE1"/>
    <w:rsid w:val="3602F87E"/>
    <w:rsid w:val="361558B9"/>
    <w:rsid w:val="36165447"/>
    <w:rsid w:val="3619AB1B"/>
    <w:rsid w:val="361E761C"/>
    <w:rsid w:val="361EDAA8"/>
    <w:rsid w:val="36203000"/>
    <w:rsid w:val="3620F03D"/>
    <w:rsid w:val="36251B69"/>
    <w:rsid w:val="3626E25C"/>
    <w:rsid w:val="3628AE02"/>
    <w:rsid w:val="3629608C"/>
    <w:rsid w:val="3629D070"/>
    <w:rsid w:val="362E213F"/>
    <w:rsid w:val="362FAB83"/>
    <w:rsid w:val="3635FA7F"/>
    <w:rsid w:val="3637B694"/>
    <w:rsid w:val="363D1297"/>
    <w:rsid w:val="363D97FE"/>
    <w:rsid w:val="363E2128"/>
    <w:rsid w:val="36400E50"/>
    <w:rsid w:val="36408C56"/>
    <w:rsid w:val="3644AAE0"/>
    <w:rsid w:val="3645AC23"/>
    <w:rsid w:val="364CEC6D"/>
    <w:rsid w:val="3652A792"/>
    <w:rsid w:val="36563692"/>
    <w:rsid w:val="365869E3"/>
    <w:rsid w:val="365BFFAF"/>
    <w:rsid w:val="3660AC61"/>
    <w:rsid w:val="3666BDD9"/>
    <w:rsid w:val="36673AB5"/>
    <w:rsid w:val="36708EEA"/>
    <w:rsid w:val="36739C37"/>
    <w:rsid w:val="3675A889"/>
    <w:rsid w:val="36766E84"/>
    <w:rsid w:val="3676F416"/>
    <w:rsid w:val="367E428D"/>
    <w:rsid w:val="367FB14B"/>
    <w:rsid w:val="36807E52"/>
    <w:rsid w:val="368B18E7"/>
    <w:rsid w:val="368C8244"/>
    <w:rsid w:val="36916862"/>
    <w:rsid w:val="369302BB"/>
    <w:rsid w:val="3695E467"/>
    <w:rsid w:val="36980813"/>
    <w:rsid w:val="3698F1A9"/>
    <w:rsid w:val="369A6CE1"/>
    <w:rsid w:val="369CB8B8"/>
    <w:rsid w:val="36A96583"/>
    <w:rsid w:val="36AE6005"/>
    <w:rsid w:val="36AF099B"/>
    <w:rsid w:val="36B5A0C0"/>
    <w:rsid w:val="36B6720A"/>
    <w:rsid w:val="36B70DEF"/>
    <w:rsid w:val="36BA3745"/>
    <w:rsid w:val="36BCFEEE"/>
    <w:rsid w:val="36BD1F5A"/>
    <w:rsid w:val="36BDE6EA"/>
    <w:rsid w:val="36BE74D8"/>
    <w:rsid w:val="36C01E5A"/>
    <w:rsid w:val="36C05DAA"/>
    <w:rsid w:val="36C3CB60"/>
    <w:rsid w:val="36C434FC"/>
    <w:rsid w:val="36C7D80C"/>
    <w:rsid w:val="36CA1CF0"/>
    <w:rsid w:val="36CB05B9"/>
    <w:rsid w:val="36CC3582"/>
    <w:rsid w:val="36CC8FE7"/>
    <w:rsid w:val="36CD4DAE"/>
    <w:rsid w:val="36CE036C"/>
    <w:rsid w:val="36CF4382"/>
    <w:rsid w:val="36CFAF42"/>
    <w:rsid w:val="36D27D9D"/>
    <w:rsid w:val="36D47950"/>
    <w:rsid w:val="36E1119F"/>
    <w:rsid w:val="36E606EC"/>
    <w:rsid w:val="36E7294A"/>
    <w:rsid w:val="36E9C2EA"/>
    <w:rsid w:val="36F3377F"/>
    <w:rsid w:val="36F3AFAC"/>
    <w:rsid w:val="36F433E6"/>
    <w:rsid w:val="36F4A64A"/>
    <w:rsid w:val="36FB32E5"/>
    <w:rsid w:val="36FD8865"/>
    <w:rsid w:val="36FF4593"/>
    <w:rsid w:val="36FFF554"/>
    <w:rsid w:val="3704AFCE"/>
    <w:rsid w:val="37050B6A"/>
    <w:rsid w:val="37087661"/>
    <w:rsid w:val="370A371F"/>
    <w:rsid w:val="370DC878"/>
    <w:rsid w:val="37108A22"/>
    <w:rsid w:val="371603F2"/>
    <w:rsid w:val="371D9247"/>
    <w:rsid w:val="371F7392"/>
    <w:rsid w:val="37225DFA"/>
    <w:rsid w:val="37228306"/>
    <w:rsid w:val="3723B4C1"/>
    <w:rsid w:val="37282FC1"/>
    <w:rsid w:val="3728DAB1"/>
    <w:rsid w:val="372F9E3E"/>
    <w:rsid w:val="372FE6F0"/>
    <w:rsid w:val="3734F67D"/>
    <w:rsid w:val="37381F41"/>
    <w:rsid w:val="373A44C3"/>
    <w:rsid w:val="373F36F5"/>
    <w:rsid w:val="373F41AE"/>
    <w:rsid w:val="373FDB28"/>
    <w:rsid w:val="3748BADA"/>
    <w:rsid w:val="374BBCB7"/>
    <w:rsid w:val="375001FC"/>
    <w:rsid w:val="3755A639"/>
    <w:rsid w:val="37574509"/>
    <w:rsid w:val="375ACCCB"/>
    <w:rsid w:val="375D030E"/>
    <w:rsid w:val="375F67BF"/>
    <w:rsid w:val="37614168"/>
    <w:rsid w:val="3762AA53"/>
    <w:rsid w:val="3765A455"/>
    <w:rsid w:val="3768E329"/>
    <w:rsid w:val="376C2F91"/>
    <w:rsid w:val="37708A76"/>
    <w:rsid w:val="37731B96"/>
    <w:rsid w:val="3774B227"/>
    <w:rsid w:val="377AE0FC"/>
    <w:rsid w:val="37868EB8"/>
    <w:rsid w:val="37875CAD"/>
    <w:rsid w:val="3789264A"/>
    <w:rsid w:val="378A8F14"/>
    <w:rsid w:val="378AB442"/>
    <w:rsid w:val="37905E79"/>
    <w:rsid w:val="379088B8"/>
    <w:rsid w:val="3795F72C"/>
    <w:rsid w:val="37998C8F"/>
    <w:rsid w:val="379CCDA2"/>
    <w:rsid w:val="379D5E0B"/>
    <w:rsid w:val="379DF001"/>
    <w:rsid w:val="379E00B5"/>
    <w:rsid w:val="37A1502A"/>
    <w:rsid w:val="37A1FBD6"/>
    <w:rsid w:val="37A6115A"/>
    <w:rsid w:val="37A8CD8F"/>
    <w:rsid w:val="37A93B93"/>
    <w:rsid w:val="37AB7E49"/>
    <w:rsid w:val="37AD998D"/>
    <w:rsid w:val="37AE955D"/>
    <w:rsid w:val="37B15201"/>
    <w:rsid w:val="37B681EA"/>
    <w:rsid w:val="37B7BF12"/>
    <w:rsid w:val="37BAE7F4"/>
    <w:rsid w:val="37BC2DA4"/>
    <w:rsid w:val="37D154C2"/>
    <w:rsid w:val="37DBAB15"/>
    <w:rsid w:val="37DC5D2A"/>
    <w:rsid w:val="37E1D696"/>
    <w:rsid w:val="37E22EF5"/>
    <w:rsid w:val="37E8B288"/>
    <w:rsid w:val="37EACA65"/>
    <w:rsid w:val="37EC78C1"/>
    <w:rsid w:val="37F0E802"/>
    <w:rsid w:val="37F283A4"/>
    <w:rsid w:val="37F2E633"/>
    <w:rsid w:val="37F3DFAF"/>
    <w:rsid w:val="37F4F5EE"/>
    <w:rsid w:val="37FECB1B"/>
    <w:rsid w:val="38027FEA"/>
    <w:rsid w:val="3802E37A"/>
    <w:rsid w:val="3809A511"/>
    <w:rsid w:val="3809F222"/>
    <w:rsid w:val="380AB8F3"/>
    <w:rsid w:val="380D618F"/>
    <w:rsid w:val="380D9829"/>
    <w:rsid w:val="380FBB8A"/>
    <w:rsid w:val="38142569"/>
    <w:rsid w:val="38142DE4"/>
    <w:rsid w:val="3814E280"/>
    <w:rsid w:val="381613F1"/>
    <w:rsid w:val="38168D59"/>
    <w:rsid w:val="381937D0"/>
    <w:rsid w:val="381BBFB8"/>
    <w:rsid w:val="38262C3A"/>
    <w:rsid w:val="38268224"/>
    <w:rsid w:val="382B1FD4"/>
    <w:rsid w:val="382B9FF0"/>
    <w:rsid w:val="382C36F6"/>
    <w:rsid w:val="382CB47B"/>
    <w:rsid w:val="382DA26D"/>
    <w:rsid w:val="382F1597"/>
    <w:rsid w:val="383285DD"/>
    <w:rsid w:val="3833E2B2"/>
    <w:rsid w:val="3833ECC3"/>
    <w:rsid w:val="38378B02"/>
    <w:rsid w:val="383939BD"/>
    <w:rsid w:val="3839F830"/>
    <w:rsid w:val="383A295D"/>
    <w:rsid w:val="38452C65"/>
    <w:rsid w:val="38497ED4"/>
    <w:rsid w:val="384BE236"/>
    <w:rsid w:val="384F7AA1"/>
    <w:rsid w:val="38539947"/>
    <w:rsid w:val="385479F5"/>
    <w:rsid w:val="3855EB78"/>
    <w:rsid w:val="385EB063"/>
    <w:rsid w:val="38611322"/>
    <w:rsid w:val="38613867"/>
    <w:rsid w:val="3862C706"/>
    <w:rsid w:val="3862D77A"/>
    <w:rsid w:val="38636C49"/>
    <w:rsid w:val="38649E37"/>
    <w:rsid w:val="38699725"/>
    <w:rsid w:val="386ABFC5"/>
    <w:rsid w:val="386D0213"/>
    <w:rsid w:val="3870E04A"/>
    <w:rsid w:val="3872E1C8"/>
    <w:rsid w:val="38767E5E"/>
    <w:rsid w:val="387C1F0C"/>
    <w:rsid w:val="387F3729"/>
    <w:rsid w:val="387FB05B"/>
    <w:rsid w:val="3881EF62"/>
    <w:rsid w:val="3883D3C5"/>
    <w:rsid w:val="3885479E"/>
    <w:rsid w:val="388E6695"/>
    <w:rsid w:val="3894D08C"/>
    <w:rsid w:val="389C130F"/>
    <w:rsid w:val="38A37B12"/>
    <w:rsid w:val="38AF1A31"/>
    <w:rsid w:val="38AF9F47"/>
    <w:rsid w:val="38B98DA9"/>
    <w:rsid w:val="38BC775B"/>
    <w:rsid w:val="38C34EDF"/>
    <w:rsid w:val="38CA648F"/>
    <w:rsid w:val="38CC50C4"/>
    <w:rsid w:val="38CD194E"/>
    <w:rsid w:val="38D25912"/>
    <w:rsid w:val="38D47B44"/>
    <w:rsid w:val="38DB9F0A"/>
    <w:rsid w:val="38DDB057"/>
    <w:rsid w:val="38E19D8A"/>
    <w:rsid w:val="38E247E2"/>
    <w:rsid w:val="38E41A5E"/>
    <w:rsid w:val="38E4DFDA"/>
    <w:rsid w:val="38EB2A31"/>
    <w:rsid w:val="38ED9145"/>
    <w:rsid w:val="38EF696B"/>
    <w:rsid w:val="38F347B0"/>
    <w:rsid w:val="38F60B5D"/>
    <w:rsid w:val="38F64643"/>
    <w:rsid w:val="38F97EEF"/>
    <w:rsid w:val="38FD9351"/>
    <w:rsid w:val="39001C1C"/>
    <w:rsid w:val="39050164"/>
    <w:rsid w:val="3910E778"/>
    <w:rsid w:val="39137FF8"/>
    <w:rsid w:val="39160AF7"/>
    <w:rsid w:val="391B4D26"/>
    <w:rsid w:val="391C4B46"/>
    <w:rsid w:val="391E3BF2"/>
    <w:rsid w:val="391ED707"/>
    <w:rsid w:val="39222F27"/>
    <w:rsid w:val="39231512"/>
    <w:rsid w:val="39243AB3"/>
    <w:rsid w:val="3927B03B"/>
    <w:rsid w:val="3929CC4A"/>
    <w:rsid w:val="392AC21C"/>
    <w:rsid w:val="392C2C6F"/>
    <w:rsid w:val="392F87BC"/>
    <w:rsid w:val="39300452"/>
    <w:rsid w:val="3932149B"/>
    <w:rsid w:val="393CC4F5"/>
    <w:rsid w:val="394153B4"/>
    <w:rsid w:val="3941F539"/>
    <w:rsid w:val="394383FF"/>
    <w:rsid w:val="39459D85"/>
    <w:rsid w:val="3945B957"/>
    <w:rsid w:val="394C319A"/>
    <w:rsid w:val="39507AAB"/>
    <w:rsid w:val="39508DC1"/>
    <w:rsid w:val="3954327F"/>
    <w:rsid w:val="3956A965"/>
    <w:rsid w:val="395F5DDB"/>
    <w:rsid w:val="395FE6CC"/>
    <w:rsid w:val="3962FF0F"/>
    <w:rsid w:val="396FEA8E"/>
    <w:rsid w:val="3970213A"/>
    <w:rsid w:val="39702FB0"/>
    <w:rsid w:val="39718A34"/>
    <w:rsid w:val="3978065F"/>
    <w:rsid w:val="397945EE"/>
    <w:rsid w:val="397A6545"/>
    <w:rsid w:val="397B4608"/>
    <w:rsid w:val="397D1A1E"/>
    <w:rsid w:val="397E380E"/>
    <w:rsid w:val="39808665"/>
    <w:rsid w:val="3980909C"/>
    <w:rsid w:val="3985E334"/>
    <w:rsid w:val="39888A86"/>
    <w:rsid w:val="398BD7BA"/>
    <w:rsid w:val="398DD6B0"/>
    <w:rsid w:val="39910CE6"/>
    <w:rsid w:val="399322A6"/>
    <w:rsid w:val="3994DBF9"/>
    <w:rsid w:val="39952ED6"/>
    <w:rsid w:val="3998D59D"/>
    <w:rsid w:val="399A0E62"/>
    <w:rsid w:val="39A13338"/>
    <w:rsid w:val="39A47310"/>
    <w:rsid w:val="39A8B03F"/>
    <w:rsid w:val="39A8DABF"/>
    <w:rsid w:val="39B3201B"/>
    <w:rsid w:val="39B36504"/>
    <w:rsid w:val="39B4D6F5"/>
    <w:rsid w:val="39B838A2"/>
    <w:rsid w:val="39B99750"/>
    <w:rsid w:val="39C108AB"/>
    <w:rsid w:val="39C17282"/>
    <w:rsid w:val="39C2982B"/>
    <w:rsid w:val="39C31BED"/>
    <w:rsid w:val="39C6643C"/>
    <w:rsid w:val="39CAA960"/>
    <w:rsid w:val="39CB0310"/>
    <w:rsid w:val="39CEFC32"/>
    <w:rsid w:val="39CFAEE7"/>
    <w:rsid w:val="39D24D24"/>
    <w:rsid w:val="39E2904E"/>
    <w:rsid w:val="39E401DE"/>
    <w:rsid w:val="39E538DE"/>
    <w:rsid w:val="39E77D7F"/>
    <w:rsid w:val="39E82090"/>
    <w:rsid w:val="39EDACC7"/>
    <w:rsid w:val="39EEC24F"/>
    <w:rsid w:val="39F20438"/>
    <w:rsid w:val="39F36D94"/>
    <w:rsid w:val="39F66A82"/>
    <w:rsid w:val="39F84976"/>
    <w:rsid w:val="39F91A58"/>
    <w:rsid w:val="39FBBBE3"/>
    <w:rsid w:val="39FFF6A7"/>
    <w:rsid w:val="3A031F18"/>
    <w:rsid w:val="3A038E62"/>
    <w:rsid w:val="3A068D3C"/>
    <w:rsid w:val="3A0DFE6A"/>
    <w:rsid w:val="3A0F9554"/>
    <w:rsid w:val="3A1171E1"/>
    <w:rsid w:val="3A12AF73"/>
    <w:rsid w:val="3A12EA29"/>
    <w:rsid w:val="3A1546AA"/>
    <w:rsid w:val="3A1BAA5A"/>
    <w:rsid w:val="3A1C5985"/>
    <w:rsid w:val="3A1CE8C6"/>
    <w:rsid w:val="3A1D45C6"/>
    <w:rsid w:val="3A21F5B6"/>
    <w:rsid w:val="3A22038B"/>
    <w:rsid w:val="3A26AA71"/>
    <w:rsid w:val="3A2933A3"/>
    <w:rsid w:val="3A2A65C2"/>
    <w:rsid w:val="3A2CA8A9"/>
    <w:rsid w:val="3A2E9C3C"/>
    <w:rsid w:val="3A2F32E5"/>
    <w:rsid w:val="3A320A87"/>
    <w:rsid w:val="3A33551E"/>
    <w:rsid w:val="3A34C5F3"/>
    <w:rsid w:val="3A3CE774"/>
    <w:rsid w:val="3A3F2405"/>
    <w:rsid w:val="3A445D34"/>
    <w:rsid w:val="3A4AB15C"/>
    <w:rsid w:val="3A4CF635"/>
    <w:rsid w:val="3A4F5C5B"/>
    <w:rsid w:val="3A54C7E4"/>
    <w:rsid w:val="3A57BA9C"/>
    <w:rsid w:val="3A5C6547"/>
    <w:rsid w:val="3A5D4B15"/>
    <w:rsid w:val="3A5DE544"/>
    <w:rsid w:val="3A60DF01"/>
    <w:rsid w:val="3A60F3DA"/>
    <w:rsid w:val="3A61E1BB"/>
    <w:rsid w:val="3A64961A"/>
    <w:rsid w:val="3A677AF5"/>
    <w:rsid w:val="3A69BD34"/>
    <w:rsid w:val="3A6D4BE6"/>
    <w:rsid w:val="3A74EABD"/>
    <w:rsid w:val="3A7662DE"/>
    <w:rsid w:val="3A8092D4"/>
    <w:rsid w:val="3A83613D"/>
    <w:rsid w:val="3A8617AD"/>
    <w:rsid w:val="3A86560C"/>
    <w:rsid w:val="3A8E54D1"/>
    <w:rsid w:val="3A9129D1"/>
    <w:rsid w:val="3A9439A7"/>
    <w:rsid w:val="3A94C36B"/>
    <w:rsid w:val="3A972B01"/>
    <w:rsid w:val="3A9B7A17"/>
    <w:rsid w:val="3AA5663E"/>
    <w:rsid w:val="3AA5AAE4"/>
    <w:rsid w:val="3AA74E5A"/>
    <w:rsid w:val="3AA85530"/>
    <w:rsid w:val="3AAA5CAF"/>
    <w:rsid w:val="3AAC1BFD"/>
    <w:rsid w:val="3AB18B40"/>
    <w:rsid w:val="3AB2EB50"/>
    <w:rsid w:val="3AB4FC25"/>
    <w:rsid w:val="3AB53E60"/>
    <w:rsid w:val="3ABBE1A5"/>
    <w:rsid w:val="3ABCC145"/>
    <w:rsid w:val="3ABFA084"/>
    <w:rsid w:val="3ABFAE37"/>
    <w:rsid w:val="3AC60DE1"/>
    <w:rsid w:val="3AC7A0F2"/>
    <w:rsid w:val="3AC89AE0"/>
    <w:rsid w:val="3ACD09F6"/>
    <w:rsid w:val="3AD0C939"/>
    <w:rsid w:val="3AD6B004"/>
    <w:rsid w:val="3ADA0856"/>
    <w:rsid w:val="3ADC555A"/>
    <w:rsid w:val="3AE20F8C"/>
    <w:rsid w:val="3AE7E742"/>
    <w:rsid w:val="3AE921FF"/>
    <w:rsid w:val="3AEC07A2"/>
    <w:rsid w:val="3AEC815B"/>
    <w:rsid w:val="3AED14AF"/>
    <w:rsid w:val="3AEE789E"/>
    <w:rsid w:val="3AF7B8E8"/>
    <w:rsid w:val="3AFD7348"/>
    <w:rsid w:val="3AFF5A83"/>
    <w:rsid w:val="3AFF9DEC"/>
    <w:rsid w:val="3B08B800"/>
    <w:rsid w:val="3B0AFE8C"/>
    <w:rsid w:val="3B0F4B2C"/>
    <w:rsid w:val="3B0FF287"/>
    <w:rsid w:val="3B139957"/>
    <w:rsid w:val="3B13E944"/>
    <w:rsid w:val="3B15BACF"/>
    <w:rsid w:val="3B188EBB"/>
    <w:rsid w:val="3B1AACB7"/>
    <w:rsid w:val="3B1F6E29"/>
    <w:rsid w:val="3B2047C4"/>
    <w:rsid w:val="3B20C0D4"/>
    <w:rsid w:val="3B27C944"/>
    <w:rsid w:val="3B3234E8"/>
    <w:rsid w:val="3B34587A"/>
    <w:rsid w:val="3B36112B"/>
    <w:rsid w:val="3B395F2D"/>
    <w:rsid w:val="3B44216C"/>
    <w:rsid w:val="3B47F998"/>
    <w:rsid w:val="3B4DC2CF"/>
    <w:rsid w:val="3B4EB7E1"/>
    <w:rsid w:val="3B529427"/>
    <w:rsid w:val="3B578FFA"/>
    <w:rsid w:val="3B616A8D"/>
    <w:rsid w:val="3B62B5A9"/>
    <w:rsid w:val="3B656244"/>
    <w:rsid w:val="3B691F16"/>
    <w:rsid w:val="3B6C4ECF"/>
    <w:rsid w:val="3B6FDB06"/>
    <w:rsid w:val="3B70BED5"/>
    <w:rsid w:val="3B71E46B"/>
    <w:rsid w:val="3B730533"/>
    <w:rsid w:val="3B73105C"/>
    <w:rsid w:val="3B753E22"/>
    <w:rsid w:val="3B7A21AD"/>
    <w:rsid w:val="3B7B63CD"/>
    <w:rsid w:val="3B7C1074"/>
    <w:rsid w:val="3B7F8369"/>
    <w:rsid w:val="3B815E61"/>
    <w:rsid w:val="3B88A9AD"/>
    <w:rsid w:val="3B89D8C0"/>
    <w:rsid w:val="3B8A9D81"/>
    <w:rsid w:val="3B8C5516"/>
    <w:rsid w:val="3B8EFB4A"/>
    <w:rsid w:val="3B91620B"/>
    <w:rsid w:val="3B9225B2"/>
    <w:rsid w:val="3B924EA0"/>
    <w:rsid w:val="3B92E478"/>
    <w:rsid w:val="3B95F964"/>
    <w:rsid w:val="3B96F4AB"/>
    <w:rsid w:val="3B97939B"/>
    <w:rsid w:val="3B98C71F"/>
    <w:rsid w:val="3B9C467E"/>
    <w:rsid w:val="3B9F59C6"/>
    <w:rsid w:val="3BA5807C"/>
    <w:rsid w:val="3BAD432E"/>
    <w:rsid w:val="3BB08DBE"/>
    <w:rsid w:val="3BB28509"/>
    <w:rsid w:val="3BB377B0"/>
    <w:rsid w:val="3BB6101B"/>
    <w:rsid w:val="3BB89B09"/>
    <w:rsid w:val="3BBD1576"/>
    <w:rsid w:val="3BBF6900"/>
    <w:rsid w:val="3BC59BB9"/>
    <w:rsid w:val="3BC88069"/>
    <w:rsid w:val="3BCA023A"/>
    <w:rsid w:val="3BD3E2C6"/>
    <w:rsid w:val="3BD6050C"/>
    <w:rsid w:val="3BD79D7C"/>
    <w:rsid w:val="3BDDFDB4"/>
    <w:rsid w:val="3BDE433A"/>
    <w:rsid w:val="3BDEF8F7"/>
    <w:rsid w:val="3BE0187F"/>
    <w:rsid w:val="3BE3151B"/>
    <w:rsid w:val="3BE36B39"/>
    <w:rsid w:val="3BE943B1"/>
    <w:rsid w:val="3BED7EEE"/>
    <w:rsid w:val="3BEE3238"/>
    <w:rsid w:val="3BF34280"/>
    <w:rsid w:val="3BF5D81F"/>
    <w:rsid w:val="3BF7F899"/>
    <w:rsid w:val="3BFCC583"/>
    <w:rsid w:val="3BFEC8AA"/>
    <w:rsid w:val="3C015AD7"/>
    <w:rsid w:val="3C02BDE1"/>
    <w:rsid w:val="3C05861F"/>
    <w:rsid w:val="3C066E94"/>
    <w:rsid w:val="3C083BFB"/>
    <w:rsid w:val="3C09FBCB"/>
    <w:rsid w:val="3C0DC851"/>
    <w:rsid w:val="3C16089F"/>
    <w:rsid w:val="3C178177"/>
    <w:rsid w:val="3C19A034"/>
    <w:rsid w:val="3C1D0C81"/>
    <w:rsid w:val="3C211575"/>
    <w:rsid w:val="3C228F9F"/>
    <w:rsid w:val="3C2B4CB9"/>
    <w:rsid w:val="3C2F2E28"/>
    <w:rsid w:val="3C38812F"/>
    <w:rsid w:val="3C394E87"/>
    <w:rsid w:val="3C39771D"/>
    <w:rsid w:val="3C3E2AB8"/>
    <w:rsid w:val="3C41B1C4"/>
    <w:rsid w:val="3C422FC6"/>
    <w:rsid w:val="3C452375"/>
    <w:rsid w:val="3C45F29B"/>
    <w:rsid w:val="3C469CAD"/>
    <w:rsid w:val="3C475E34"/>
    <w:rsid w:val="3C48E034"/>
    <w:rsid w:val="3C49A196"/>
    <w:rsid w:val="3C4C47A6"/>
    <w:rsid w:val="3C4DB2A7"/>
    <w:rsid w:val="3C4DD2BD"/>
    <w:rsid w:val="3C5034CA"/>
    <w:rsid w:val="3C509DC8"/>
    <w:rsid w:val="3C59A80E"/>
    <w:rsid w:val="3C603967"/>
    <w:rsid w:val="3C61C686"/>
    <w:rsid w:val="3C658609"/>
    <w:rsid w:val="3C66FE02"/>
    <w:rsid w:val="3C6BE48C"/>
    <w:rsid w:val="3C708D7F"/>
    <w:rsid w:val="3C71DD8E"/>
    <w:rsid w:val="3C75353B"/>
    <w:rsid w:val="3C753713"/>
    <w:rsid w:val="3C7FA6BA"/>
    <w:rsid w:val="3C845A53"/>
    <w:rsid w:val="3C8BBB91"/>
    <w:rsid w:val="3C8CDAE8"/>
    <w:rsid w:val="3C8F6B9E"/>
    <w:rsid w:val="3C8FED87"/>
    <w:rsid w:val="3C914CA6"/>
    <w:rsid w:val="3C9407A4"/>
    <w:rsid w:val="3C986714"/>
    <w:rsid w:val="3C9ACF1A"/>
    <w:rsid w:val="3C9CDCD9"/>
    <w:rsid w:val="3CA00371"/>
    <w:rsid w:val="3CA26E33"/>
    <w:rsid w:val="3CA3B6F1"/>
    <w:rsid w:val="3CA537F7"/>
    <w:rsid w:val="3CA610A6"/>
    <w:rsid w:val="3CA6BFA3"/>
    <w:rsid w:val="3CA6DA0E"/>
    <w:rsid w:val="3CAB991C"/>
    <w:rsid w:val="3CAD372E"/>
    <w:rsid w:val="3CAE516A"/>
    <w:rsid w:val="3CB1199C"/>
    <w:rsid w:val="3CB4442F"/>
    <w:rsid w:val="3CB5D543"/>
    <w:rsid w:val="3CBA400C"/>
    <w:rsid w:val="3CBFD738"/>
    <w:rsid w:val="3CC1A25C"/>
    <w:rsid w:val="3CC2C396"/>
    <w:rsid w:val="3CC3D3D1"/>
    <w:rsid w:val="3CCB63A6"/>
    <w:rsid w:val="3CCB76F4"/>
    <w:rsid w:val="3CCC7304"/>
    <w:rsid w:val="3CD0B78F"/>
    <w:rsid w:val="3CD2238B"/>
    <w:rsid w:val="3CD56ED7"/>
    <w:rsid w:val="3CDC2616"/>
    <w:rsid w:val="3CE2EA2C"/>
    <w:rsid w:val="3CE8EB4F"/>
    <w:rsid w:val="3CF054DC"/>
    <w:rsid w:val="3CF228F1"/>
    <w:rsid w:val="3CF39BCD"/>
    <w:rsid w:val="3CF718F7"/>
    <w:rsid w:val="3CF7AD40"/>
    <w:rsid w:val="3CF8CD4A"/>
    <w:rsid w:val="3CF91C30"/>
    <w:rsid w:val="3CFB5F8F"/>
    <w:rsid w:val="3D08277C"/>
    <w:rsid w:val="3D08ABF0"/>
    <w:rsid w:val="3D119978"/>
    <w:rsid w:val="3D11A143"/>
    <w:rsid w:val="3D14C8CB"/>
    <w:rsid w:val="3D159AD8"/>
    <w:rsid w:val="3D15AD20"/>
    <w:rsid w:val="3D209A12"/>
    <w:rsid w:val="3D21F833"/>
    <w:rsid w:val="3D229714"/>
    <w:rsid w:val="3D2370ED"/>
    <w:rsid w:val="3D285A3C"/>
    <w:rsid w:val="3D29E822"/>
    <w:rsid w:val="3D2C7522"/>
    <w:rsid w:val="3D2D84B0"/>
    <w:rsid w:val="3D316975"/>
    <w:rsid w:val="3D32F4A0"/>
    <w:rsid w:val="3D341FA6"/>
    <w:rsid w:val="3D34FB6D"/>
    <w:rsid w:val="3D39C4AF"/>
    <w:rsid w:val="3D3EE5D5"/>
    <w:rsid w:val="3D40CD5A"/>
    <w:rsid w:val="3D435269"/>
    <w:rsid w:val="3D43A838"/>
    <w:rsid w:val="3D48C35A"/>
    <w:rsid w:val="3D4A46E9"/>
    <w:rsid w:val="3D53D041"/>
    <w:rsid w:val="3D583ADF"/>
    <w:rsid w:val="3D5C44A9"/>
    <w:rsid w:val="3D5C8241"/>
    <w:rsid w:val="3D5C82EC"/>
    <w:rsid w:val="3D5EA8CC"/>
    <w:rsid w:val="3D60DAE3"/>
    <w:rsid w:val="3D60F634"/>
    <w:rsid w:val="3D64B26C"/>
    <w:rsid w:val="3D651345"/>
    <w:rsid w:val="3D681FC9"/>
    <w:rsid w:val="3D70E69E"/>
    <w:rsid w:val="3D797F32"/>
    <w:rsid w:val="3D7BAD45"/>
    <w:rsid w:val="3D7C2762"/>
    <w:rsid w:val="3D7F1412"/>
    <w:rsid w:val="3D82C008"/>
    <w:rsid w:val="3D82E315"/>
    <w:rsid w:val="3D883229"/>
    <w:rsid w:val="3D8ACF45"/>
    <w:rsid w:val="3D8E6A5F"/>
    <w:rsid w:val="3D95995B"/>
    <w:rsid w:val="3D993BD9"/>
    <w:rsid w:val="3D9A0CC8"/>
    <w:rsid w:val="3DA33345"/>
    <w:rsid w:val="3DA368EF"/>
    <w:rsid w:val="3DA87950"/>
    <w:rsid w:val="3DAF912C"/>
    <w:rsid w:val="3DB286E6"/>
    <w:rsid w:val="3DB3EFF2"/>
    <w:rsid w:val="3DB65B2F"/>
    <w:rsid w:val="3DB76CCB"/>
    <w:rsid w:val="3DC5E25D"/>
    <w:rsid w:val="3DC62F36"/>
    <w:rsid w:val="3DC96AAA"/>
    <w:rsid w:val="3DCA18A7"/>
    <w:rsid w:val="3DCD9B6F"/>
    <w:rsid w:val="3DCDF9C4"/>
    <w:rsid w:val="3DCE7169"/>
    <w:rsid w:val="3DDAFB79"/>
    <w:rsid w:val="3DDAFBBB"/>
    <w:rsid w:val="3DDE77D1"/>
    <w:rsid w:val="3DE257CD"/>
    <w:rsid w:val="3DE90F53"/>
    <w:rsid w:val="3DEB7668"/>
    <w:rsid w:val="3DEC33E4"/>
    <w:rsid w:val="3DEEB242"/>
    <w:rsid w:val="3DEFB6BF"/>
    <w:rsid w:val="3DF19A6D"/>
    <w:rsid w:val="3DF46F3C"/>
    <w:rsid w:val="3DF77A00"/>
    <w:rsid w:val="3DFFFDA7"/>
    <w:rsid w:val="3E066F84"/>
    <w:rsid w:val="3E11B2F1"/>
    <w:rsid w:val="3E11C5CA"/>
    <w:rsid w:val="3E12C33C"/>
    <w:rsid w:val="3E143F1D"/>
    <w:rsid w:val="3E16A2A2"/>
    <w:rsid w:val="3E1D5C26"/>
    <w:rsid w:val="3E1EC075"/>
    <w:rsid w:val="3E218AA9"/>
    <w:rsid w:val="3E264F2C"/>
    <w:rsid w:val="3E296E8E"/>
    <w:rsid w:val="3E349BFE"/>
    <w:rsid w:val="3E35A457"/>
    <w:rsid w:val="3E37AFF6"/>
    <w:rsid w:val="3E3987C0"/>
    <w:rsid w:val="3E3C9B70"/>
    <w:rsid w:val="3E3D5200"/>
    <w:rsid w:val="3E44140B"/>
    <w:rsid w:val="3E48091E"/>
    <w:rsid w:val="3E4A0DE3"/>
    <w:rsid w:val="3E4AC301"/>
    <w:rsid w:val="3E4AC52A"/>
    <w:rsid w:val="3E4B39F4"/>
    <w:rsid w:val="3E4BD6AF"/>
    <w:rsid w:val="3E561216"/>
    <w:rsid w:val="3E5AB2D3"/>
    <w:rsid w:val="3E5AE43F"/>
    <w:rsid w:val="3E64B75B"/>
    <w:rsid w:val="3E6B2845"/>
    <w:rsid w:val="3E6BC887"/>
    <w:rsid w:val="3E6D6AE5"/>
    <w:rsid w:val="3E70AB42"/>
    <w:rsid w:val="3E71E4E0"/>
    <w:rsid w:val="3E72A732"/>
    <w:rsid w:val="3E7333B0"/>
    <w:rsid w:val="3E7549F3"/>
    <w:rsid w:val="3E7AE053"/>
    <w:rsid w:val="3E7B453A"/>
    <w:rsid w:val="3E7CB18C"/>
    <w:rsid w:val="3E7DAC06"/>
    <w:rsid w:val="3E7E8722"/>
    <w:rsid w:val="3E84F8A2"/>
    <w:rsid w:val="3E889BC8"/>
    <w:rsid w:val="3E89EA29"/>
    <w:rsid w:val="3E90022B"/>
    <w:rsid w:val="3E9748D1"/>
    <w:rsid w:val="3E9CCD5F"/>
    <w:rsid w:val="3EA149B7"/>
    <w:rsid w:val="3EA188B9"/>
    <w:rsid w:val="3EA2F7B6"/>
    <w:rsid w:val="3EA918FC"/>
    <w:rsid w:val="3EA9C03B"/>
    <w:rsid w:val="3EACD0CE"/>
    <w:rsid w:val="3EAE8459"/>
    <w:rsid w:val="3EAEAC96"/>
    <w:rsid w:val="3EB4CF0B"/>
    <w:rsid w:val="3EB80CA0"/>
    <w:rsid w:val="3EBD1A4C"/>
    <w:rsid w:val="3EBF0BD1"/>
    <w:rsid w:val="3EC171CE"/>
    <w:rsid w:val="3EC50E12"/>
    <w:rsid w:val="3ECA59B7"/>
    <w:rsid w:val="3ECBDCC2"/>
    <w:rsid w:val="3ECC1C5C"/>
    <w:rsid w:val="3ECD31CB"/>
    <w:rsid w:val="3ECDAE47"/>
    <w:rsid w:val="3ED1BF53"/>
    <w:rsid w:val="3ED70296"/>
    <w:rsid w:val="3ED8B55B"/>
    <w:rsid w:val="3ED9B5B6"/>
    <w:rsid w:val="3EE10C57"/>
    <w:rsid w:val="3EE33D02"/>
    <w:rsid w:val="3EE482F6"/>
    <w:rsid w:val="3EE4D7FE"/>
    <w:rsid w:val="3EE6EA8A"/>
    <w:rsid w:val="3EE92608"/>
    <w:rsid w:val="3EEA13C7"/>
    <w:rsid w:val="3EEB5E3B"/>
    <w:rsid w:val="3EEBD7DC"/>
    <w:rsid w:val="3EEDD0E0"/>
    <w:rsid w:val="3EF36E51"/>
    <w:rsid w:val="3EF78672"/>
    <w:rsid w:val="3EF7CEC8"/>
    <w:rsid w:val="3EF8DB1D"/>
    <w:rsid w:val="3EFA4F7F"/>
    <w:rsid w:val="3F01E8BB"/>
    <w:rsid w:val="3F03B520"/>
    <w:rsid w:val="3F05022F"/>
    <w:rsid w:val="3F056639"/>
    <w:rsid w:val="3F074FE8"/>
    <w:rsid w:val="3F0B1920"/>
    <w:rsid w:val="3F0BA14D"/>
    <w:rsid w:val="3F0BAC6D"/>
    <w:rsid w:val="3F0BD774"/>
    <w:rsid w:val="3F11263D"/>
    <w:rsid w:val="3F19B930"/>
    <w:rsid w:val="3F1EF64C"/>
    <w:rsid w:val="3F1FC0FF"/>
    <w:rsid w:val="3F1FCB23"/>
    <w:rsid w:val="3F207038"/>
    <w:rsid w:val="3F2105C6"/>
    <w:rsid w:val="3F22FBC0"/>
    <w:rsid w:val="3F2DD19B"/>
    <w:rsid w:val="3F36C1A9"/>
    <w:rsid w:val="3F3CF296"/>
    <w:rsid w:val="3F40575F"/>
    <w:rsid w:val="3F40759B"/>
    <w:rsid w:val="3F454F4D"/>
    <w:rsid w:val="3F465A25"/>
    <w:rsid w:val="3F53F84E"/>
    <w:rsid w:val="3F5A2277"/>
    <w:rsid w:val="3F5CD5D4"/>
    <w:rsid w:val="3F5D43CF"/>
    <w:rsid w:val="3F5F859D"/>
    <w:rsid w:val="3F6AD079"/>
    <w:rsid w:val="3F6C6D0C"/>
    <w:rsid w:val="3F6E2ED8"/>
    <w:rsid w:val="3F712247"/>
    <w:rsid w:val="3F749F76"/>
    <w:rsid w:val="3F782A6B"/>
    <w:rsid w:val="3F7A7D30"/>
    <w:rsid w:val="3F7BC303"/>
    <w:rsid w:val="3F7D4669"/>
    <w:rsid w:val="3F7F1263"/>
    <w:rsid w:val="3F835432"/>
    <w:rsid w:val="3F897597"/>
    <w:rsid w:val="3F8A6D97"/>
    <w:rsid w:val="3F9079F3"/>
    <w:rsid w:val="3F934893"/>
    <w:rsid w:val="3F9446B7"/>
    <w:rsid w:val="3F960B63"/>
    <w:rsid w:val="3F969F88"/>
    <w:rsid w:val="3F980004"/>
    <w:rsid w:val="3F9DAAC2"/>
    <w:rsid w:val="3FA20B2A"/>
    <w:rsid w:val="3FA33894"/>
    <w:rsid w:val="3FA4EB67"/>
    <w:rsid w:val="3FAA2422"/>
    <w:rsid w:val="3FAB96C8"/>
    <w:rsid w:val="3FAD696A"/>
    <w:rsid w:val="3FB6044C"/>
    <w:rsid w:val="3FB7C6FF"/>
    <w:rsid w:val="3FC1E865"/>
    <w:rsid w:val="3FD15686"/>
    <w:rsid w:val="3FD332E8"/>
    <w:rsid w:val="3FD85787"/>
    <w:rsid w:val="3FDD893C"/>
    <w:rsid w:val="3FE031FD"/>
    <w:rsid w:val="3FE17661"/>
    <w:rsid w:val="3FE1DB55"/>
    <w:rsid w:val="3FE1F63E"/>
    <w:rsid w:val="3FE53B91"/>
    <w:rsid w:val="3FEA758C"/>
    <w:rsid w:val="3FEE8F06"/>
    <w:rsid w:val="3FF73CF2"/>
    <w:rsid w:val="3FFA98FD"/>
    <w:rsid w:val="3FFB1DB0"/>
    <w:rsid w:val="3FFF939B"/>
    <w:rsid w:val="40062692"/>
    <w:rsid w:val="400B2E3A"/>
    <w:rsid w:val="400E9EB4"/>
    <w:rsid w:val="400EA19B"/>
    <w:rsid w:val="400F7D51"/>
    <w:rsid w:val="4010FE61"/>
    <w:rsid w:val="40136E53"/>
    <w:rsid w:val="401496C9"/>
    <w:rsid w:val="4014D701"/>
    <w:rsid w:val="401AC3C4"/>
    <w:rsid w:val="401D493A"/>
    <w:rsid w:val="401F279E"/>
    <w:rsid w:val="40274E33"/>
    <w:rsid w:val="4029F54E"/>
    <w:rsid w:val="402A5290"/>
    <w:rsid w:val="402B96EA"/>
    <w:rsid w:val="4030A9F7"/>
    <w:rsid w:val="4034AB22"/>
    <w:rsid w:val="4039076A"/>
    <w:rsid w:val="403988A6"/>
    <w:rsid w:val="403F51B7"/>
    <w:rsid w:val="4041DF99"/>
    <w:rsid w:val="4042BDD5"/>
    <w:rsid w:val="40483BFE"/>
    <w:rsid w:val="40489BE7"/>
    <w:rsid w:val="404CD166"/>
    <w:rsid w:val="404F5960"/>
    <w:rsid w:val="40532343"/>
    <w:rsid w:val="405EADA5"/>
    <w:rsid w:val="40626CAB"/>
    <w:rsid w:val="4063DEE6"/>
    <w:rsid w:val="406471EC"/>
    <w:rsid w:val="4066BAE3"/>
    <w:rsid w:val="4067B60B"/>
    <w:rsid w:val="406FDC9B"/>
    <w:rsid w:val="4073E6DE"/>
    <w:rsid w:val="407BA65E"/>
    <w:rsid w:val="407C700A"/>
    <w:rsid w:val="407CB0F5"/>
    <w:rsid w:val="407F59FC"/>
    <w:rsid w:val="407F77E3"/>
    <w:rsid w:val="4087C328"/>
    <w:rsid w:val="408B9397"/>
    <w:rsid w:val="408C25E6"/>
    <w:rsid w:val="408C3DB6"/>
    <w:rsid w:val="408CEBCE"/>
    <w:rsid w:val="40906CE0"/>
    <w:rsid w:val="4090BE9E"/>
    <w:rsid w:val="4090F3AC"/>
    <w:rsid w:val="4091B64A"/>
    <w:rsid w:val="409223F3"/>
    <w:rsid w:val="4093B695"/>
    <w:rsid w:val="4095CA78"/>
    <w:rsid w:val="4097F7F9"/>
    <w:rsid w:val="409AC4B0"/>
    <w:rsid w:val="409CB551"/>
    <w:rsid w:val="409FA4D1"/>
    <w:rsid w:val="40AB8DE8"/>
    <w:rsid w:val="40AD37F2"/>
    <w:rsid w:val="40AEF17E"/>
    <w:rsid w:val="40B0C738"/>
    <w:rsid w:val="40B40C9B"/>
    <w:rsid w:val="40B4A5CE"/>
    <w:rsid w:val="40B55B67"/>
    <w:rsid w:val="40B64963"/>
    <w:rsid w:val="40B7F1C0"/>
    <w:rsid w:val="40B86F1C"/>
    <w:rsid w:val="40B8D87B"/>
    <w:rsid w:val="40B9F007"/>
    <w:rsid w:val="40BC2592"/>
    <w:rsid w:val="40BC26A9"/>
    <w:rsid w:val="40BCC41B"/>
    <w:rsid w:val="40BE90F3"/>
    <w:rsid w:val="40BEA622"/>
    <w:rsid w:val="40C456EC"/>
    <w:rsid w:val="40C6A3D0"/>
    <w:rsid w:val="40CA29CB"/>
    <w:rsid w:val="40D1AB3E"/>
    <w:rsid w:val="40D6F80B"/>
    <w:rsid w:val="40DA6744"/>
    <w:rsid w:val="40DD942C"/>
    <w:rsid w:val="40E09B24"/>
    <w:rsid w:val="40E1B8C4"/>
    <w:rsid w:val="40E7579B"/>
    <w:rsid w:val="40EB4A3C"/>
    <w:rsid w:val="40EDFA38"/>
    <w:rsid w:val="40F188F2"/>
    <w:rsid w:val="40F3CDDC"/>
    <w:rsid w:val="40F62BEE"/>
    <w:rsid w:val="40FD62C1"/>
    <w:rsid w:val="4108B534"/>
    <w:rsid w:val="4109B322"/>
    <w:rsid w:val="410B7626"/>
    <w:rsid w:val="410F66B3"/>
    <w:rsid w:val="41105B23"/>
    <w:rsid w:val="41149969"/>
    <w:rsid w:val="41164176"/>
    <w:rsid w:val="4117597B"/>
    <w:rsid w:val="41187443"/>
    <w:rsid w:val="411978E5"/>
    <w:rsid w:val="41197CAC"/>
    <w:rsid w:val="411D6C11"/>
    <w:rsid w:val="411EB97C"/>
    <w:rsid w:val="412116DE"/>
    <w:rsid w:val="4122C931"/>
    <w:rsid w:val="41299132"/>
    <w:rsid w:val="4129A458"/>
    <w:rsid w:val="412D0156"/>
    <w:rsid w:val="412F5B04"/>
    <w:rsid w:val="413580B7"/>
    <w:rsid w:val="413758C0"/>
    <w:rsid w:val="413D7247"/>
    <w:rsid w:val="41404A67"/>
    <w:rsid w:val="4142BA70"/>
    <w:rsid w:val="41479176"/>
    <w:rsid w:val="4150A21B"/>
    <w:rsid w:val="4151837E"/>
    <w:rsid w:val="415245F6"/>
    <w:rsid w:val="415437CF"/>
    <w:rsid w:val="41606C13"/>
    <w:rsid w:val="41631EEA"/>
    <w:rsid w:val="4163C168"/>
    <w:rsid w:val="416443D2"/>
    <w:rsid w:val="4172A220"/>
    <w:rsid w:val="41732FA3"/>
    <w:rsid w:val="41738FFA"/>
    <w:rsid w:val="4179C712"/>
    <w:rsid w:val="4179E9A6"/>
    <w:rsid w:val="417D57F6"/>
    <w:rsid w:val="41807CA1"/>
    <w:rsid w:val="41810920"/>
    <w:rsid w:val="418146A2"/>
    <w:rsid w:val="418228AE"/>
    <w:rsid w:val="41881747"/>
    <w:rsid w:val="41888E44"/>
    <w:rsid w:val="418CD052"/>
    <w:rsid w:val="418D9844"/>
    <w:rsid w:val="418DAAB6"/>
    <w:rsid w:val="418E741F"/>
    <w:rsid w:val="418EA0F7"/>
    <w:rsid w:val="418FD3FD"/>
    <w:rsid w:val="4191E08E"/>
    <w:rsid w:val="41956262"/>
    <w:rsid w:val="419577DC"/>
    <w:rsid w:val="41959D24"/>
    <w:rsid w:val="419D2073"/>
    <w:rsid w:val="419E22A8"/>
    <w:rsid w:val="419EE7AF"/>
    <w:rsid w:val="41A07EB7"/>
    <w:rsid w:val="41A134CA"/>
    <w:rsid w:val="41A1F415"/>
    <w:rsid w:val="41A8CA36"/>
    <w:rsid w:val="41AE2482"/>
    <w:rsid w:val="41AEC847"/>
    <w:rsid w:val="41B6D996"/>
    <w:rsid w:val="41B74AF7"/>
    <w:rsid w:val="41BE29EB"/>
    <w:rsid w:val="41C63CDE"/>
    <w:rsid w:val="41CB7081"/>
    <w:rsid w:val="41CF23E6"/>
    <w:rsid w:val="41D608BD"/>
    <w:rsid w:val="41E5A524"/>
    <w:rsid w:val="41EFB5C8"/>
    <w:rsid w:val="41F68227"/>
    <w:rsid w:val="41F7AF09"/>
    <w:rsid w:val="41F87B8A"/>
    <w:rsid w:val="41FCD055"/>
    <w:rsid w:val="41FFBED0"/>
    <w:rsid w:val="42000C15"/>
    <w:rsid w:val="4201E790"/>
    <w:rsid w:val="4207B4C6"/>
    <w:rsid w:val="420B8675"/>
    <w:rsid w:val="420C4453"/>
    <w:rsid w:val="420CAE5F"/>
    <w:rsid w:val="420FF5E6"/>
    <w:rsid w:val="4210ED10"/>
    <w:rsid w:val="42112692"/>
    <w:rsid w:val="4216937F"/>
    <w:rsid w:val="421AF2D5"/>
    <w:rsid w:val="421C0297"/>
    <w:rsid w:val="421C7243"/>
    <w:rsid w:val="421E55C1"/>
    <w:rsid w:val="4226E26E"/>
    <w:rsid w:val="422E1125"/>
    <w:rsid w:val="4231053A"/>
    <w:rsid w:val="4231FEF4"/>
    <w:rsid w:val="42386BBA"/>
    <w:rsid w:val="423BB353"/>
    <w:rsid w:val="423F7647"/>
    <w:rsid w:val="4244BBBE"/>
    <w:rsid w:val="424990B8"/>
    <w:rsid w:val="424D18F8"/>
    <w:rsid w:val="424DAD6E"/>
    <w:rsid w:val="42503E3F"/>
    <w:rsid w:val="4250A9AD"/>
    <w:rsid w:val="425399AE"/>
    <w:rsid w:val="4254CC84"/>
    <w:rsid w:val="425796EF"/>
    <w:rsid w:val="4258A6D4"/>
    <w:rsid w:val="4259E35B"/>
    <w:rsid w:val="425D5F6D"/>
    <w:rsid w:val="4265EAB4"/>
    <w:rsid w:val="4267CD27"/>
    <w:rsid w:val="42684FFB"/>
    <w:rsid w:val="426A9F92"/>
    <w:rsid w:val="426E04CB"/>
    <w:rsid w:val="4270A3B8"/>
    <w:rsid w:val="4276555C"/>
    <w:rsid w:val="42786169"/>
    <w:rsid w:val="4278A4A9"/>
    <w:rsid w:val="4282B93C"/>
    <w:rsid w:val="4282C0D5"/>
    <w:rsid w:val="428309DC"/>
    <w:rsid w:val="428EAAB3"/>
    <w:rsid w:val="4299F696"/>
    <w:rsid w:val="429DA735"/>
    <w:rsid w:val="429FBB7B"/>
    <w:rsid w:val="42A21407"/>
    <w:rsid w:val="42A3242B"/>
    <w:rsid w:val="42A79A42"/>
    <w:rsid w:val="42AA9DBD"/>
    <w:rsid w:val="42AB34DB"/>
    <w:rsid w:val="42ABCE79"/>
    <w:rsid w:val="42B25F0B"/>
    <w:rsid w:val="42B3800A"/>
    <w:rsid w:val="42B3F5D1"/>
    <w:rsid w:val="42B4F283"/>
    <w:rsid w:val="42B868F3"/>
    <w:rsid w:val="42B8DE0E"/>
    <w:rsid w:val="42B9BAFF"/>
    <w:rsid w:val="42BA3E19"/>
    <w:rsid w:val="42BB2E21"/>
    <w:rsid w:val="42BF2CD1"/>
    <w:rsid w:val="42BF5FA9"/>
    <w:rsid w:val="42C14D81"/>
    <w:rsid w:val="42C36C61"/>
    <w:rsid w:val="42C4275B"/>
    <w:rsid w:val="42C6D8DD"/>
    <w:rsid w:val="42CBA81A"/>
    <w:rsid w:val="42D260F8"/>
    <w:rsid w:val="42D52DC8"/>
    <w:rsid w:val="42D5C5DB"/>
    <w:rsid w:val="42DA047F"/>
    <w:rsid w:val="42E7EB88"/>
    <w:rsid w:val="42E85073"/>
    <w:rsid w:val="42EE68D5"/>
    <w:rsid w:val="42F57A9F"/>
    <w:rsid w:val="42F8B7D4"/>
    <w:rsid w:val="42FF1F83"/>
    <w:rsid w:val="4306B401"/>
    <w:rsid w:val="430F7E62"/>
    <w:rsid w:val="431EDCE0"/>
    <w:rsid w:val="4322FD94"/>
    <w:rsid w:val="43260386"/>
    <w:rsid w:val="4327F3E1"/>
    <w:rsid w:val="43284BB5"/>
    <w:rsid w:val="4329661B"/>
    <w:rsid w:val="432E539A"/>
    <w:rsid w:val="43312548"/>
    <w:rsid w:val="433140EE"/>
    <w:rsid w:val="43348B85"/>
    <w:rsid w:val="433D53E1"/>
    <w:rsid w:val="433D814F"/>
    <w:rsid w:val="433EC3E4"/>
    <w:rsid w:val="43474F39"/>
    <w:rsid w:val="4347B8DD"/>
    <w:rsid w:val="4354068A"/>
    <w:rsid w:val="4354BAAD"/>
    <w:rsid w:val="43570966"/>
    <w:rsid w:val="435D71FD"/>
    <w:rsid w:val="435DDD10"/>
    <w:rsid w:val="4360CD8C"/>
    <w:rsid w:val="43637809"/>
    <w:rsid w:val="4363980B"/>
    <w:rsid w:val="4364F0D6"/>
    <w:rsid w:val="4368C3E9"/>
    <w:rsid w:val="436DC3A7"/>
    <w:rsid w:val="437123A5"/>
    <w:rsid w:val="437C857E"/>
    <w:rsid w:val="437F84E5"/>
    <w:rsid w:val="43816244"/>
    <w:rsid w:val="4385496C"/>
    <w:rsid w:val="43860343"/>
    <w:rsid w:val="4387615C"/>
    <w:rsid w:val="43896140"/>
    <w:rsid w:val="4389D924"/>
    <w:rsid w:val="438B45CB"/>
    <w:rsid w:val="438CD5FC"/>
    <w:rsid w:val="439106E8"/>
    <w:rsid w:val="43917DC6"/>
    <w:rsid w:val="4391986D"/>
    <w:rsid w:val="43945E7D"/>
    <w:rsid w:val="4394CD64"/>
    <w:rsid w:val="43A1416E"/>
    <w:rsid w:val="43A261B6"/>
    <w:rsid w:val="43A4E3FA"/>
    <w:rsid w:val="43A77D6A"/>
    <w:rsid w:val="43A92957"/>
    <w:rsid w:val="43AE44DA"/>
    <w:rsid w:val="43B50535"/>
    <w:rsid w:val="43B52F79"/>
    <w:rsid w:val="43BA46E3"/>
    <w:rsid w:val="43BBEB04"/>
    <w:rsid w:val="43BE89D1"/>
    <w:rsid w:val="43BF068D"/>
    <w:rsid w:val="43BFCDA2"/>
    <w:rsid w:val="43BFF334"/>
    <w:rsid w:val="43C0CFB1"/>
    <w:rsid w:val="43C1E0B4"/>
    <w:rsid w:val="43C3EA72"/>
    <w:rsid w:val="43C6C0B7"/>
    <w:rsid w:val="43CCF931"/>
    <w:rsid w:val="43D04D02"/>
    <w:rsid w:val="43D3C808"/>
    <w:rsid w:val="43D56F95"/>
    <w:rsid w:val="43D98977"/>
    <w:rsid w:val="43D9B180"/>
    <w:rsid w:val="43DC9F2A"/>
    <w:rsid w:val="43E74B45"/>
    <w:rsid w:val="43E8E048"/>
    <w:rsid w:val="43EF6333"/>
    <w:rsid w:val="43F0EBD6"/>
    <w:rsid w:val="43F277AD"/>
    <w:rsid w:val="43F54B15"/>
    <w:rsid w:val="43F8967C"/>
    <w:rsid w:val="43F9261E"/>
    <w:rsid w:val="43FF0632"/>
    <w:rsid w:val="43FF1077"/>
    <w:rsid w:val="44002A97"/>
    <w:rsid w:val="440140E3"/>
    <w:rsid w:val="4403D5D8"/>
    <w:rsid w:val="440456CE"/>
    <w:rsid w:val="4408F039"/>
    <w:rsid w:val="4409556E"/>
    <w:rsid w:val="440F7231"/>
    <w:rsid w:val="44108A76"/>
    <w:rsid w:val="4410C6A1"/>
    <w:rsid w:val="4411D46F"/>
    <w:rsid w:val="4419C4CD"/>
    <w:rsid w:val="441B785E"/>
    <w:rsid w:val="441E9F24"/>
    <w:rsid w:val="441FFC75"/>
    <w:rsid w:val="442079B6"/>
    <w:rsid w:val="4420AC76"/>
    <w:rsid w:val="4422F896"/>
    <w:rsid w:val="4425F155"/>
    <w:rsid w:val="4427631A"/>
    <w:rsid w:val="44285385"/>
    <w:rsid w:val="4428A3F2"/>
    <w:rsid w:val="442A0D45"/>
    <w:rsid w:val="442D7C36"/>
    <w:rsid w:val="4438B194"/>
    <w:rsid w:val="443DEE45"/>
    <w:rsid w:val="44412396"/>
    <w:rsid w:val="4444CE1E"/>
    <w:rsid w:val="4444D414"/>
    <w:rsid w:val="4446E26F"/>
    <w:rsid w:val="4447E200"/>
    <w:rsid w:val="444855CA"/>
    <w:rsid w:val="444DC4EF"/>
    <w:rsid w:val="445114D9"/>
    <w:rsid w:val="44555F66"/>
    <w:rsid w:val="4456EE2E"/>
    <w:rsid w:val="4457FCAF"/>
    <w:rsid w:val="445BFDB2"/>
    <w:rsid w:val="445D7825"/>
    <w:rsid w:val="445F9DD5"/>
    <w:rsid w:val="446025E8"/>
    <w:rsid w:val="4460B006"/>
    <w:rsid w:val="44626059"/>
    <w:rsid w:val="4462BF45"/>
    <w:rsid w:val="446333E9"/>
    <w:rsid w:val="4468A436"/>
    <w:rsid w:val="4469190E"/>
    <w:rsid w:val="446B6B2A"/>
    <w:rsid w:val="44718E46"/>
    <w:rsid w:val="4471B235"/>
    <w:rsid w:val="4472D268"/>
    <w:rsid w:val="447BBEBC"/>
    <w:rsid w:val="447C92EB"/>
    <w:rsid w:val="447C9E45"/>
    <w:rsid w:val="44859470"/>
    <w:rsid w:val="44879359"/>
    <w:rsid w:val="448AB15E"/>
    <w:rsid w:val="44902249"/>
    <w:rsid w:val="449A5CB0"/>
    <w:rsid w:val="449D13EC"/>
    <w:rsid w:val="449E65DB"/>
    <w:rsid w:val="449EC1DD"/>
    <w:rsid w:val="449F8A3F"/>
    <w:rsid w:val="44A52EE7"/>
    <w:rsid w:val="44AD9D68"/>
    <w:rsid w:val="44B3F4F5"/>
    <w:rsid w:val="44B7AFE3"/>
    <w:rsid w:val="44B8E713"/>
    <w:rsid w:val="44BB1970"/>
    <w:rsid w:val="44BB9F17"/>
    <w:rsid w:val="44C953A0"/>
    <w:rsid w:val="44CD1579"/>
    <w:rsid w:val="44D2E48F"/>
    <w:rsid w:val="44D4FF4B"/>
    <w:rsid w:val="44D7AB09"/>
    <w:rsid w:val="44D7DD13"/>
    <w:rsid w:val="44D974CF"/>
    <w:rsid w:val="44DA1DCA"/>
    <w:rsid w:val="44DFF706"/>
    <w:rsid w:val="44E873A9"/>
    <w:rsid w:val="44EE1C64"/>
    <w:rsid w:val="44F9ED7D"/>
    <w:rsid w:val="44FDF6D8"/>
    <w:rsid w:val="45013A32"/>
    <w:rsid w:val="45062118"/>
    <w:rsid w:val="45072734"/>
    <w:rsid w:val="45098368"/>
    <w:rsid w:val="4509FC2C"/>
    <w:rsid w:val="450FCB0C"/>
    <w:rsid w:val="451119AA"/>
    <w:rsid w:val="45149D7B"/>
    <w:rsid w:val="4515CF8F"/>
    <w:rsid w:val="4521FD0D"/>
    <w:rsid w:val="4522F930"/>
    <w:rsid w:val="452321C2"/>
    <w:rsid w:val="45242300"/>
    <w:rsid w:val="452E5CEB"/>
    <w:rsid w:val="45312B09"/>
    <w:rsid w:val="453144F1"/>
    <w:rsid w:val="4534FB2A"/>
    <w:rsid w:val="45399483"/>
    <w:rsid w:val="453AC895"/>
    <w:rsid w:val="454272CC"/>
    <w:rsid w:val="4548AB7D"/>
    <w:rsid w:val="454A5EAB"/>
    <w:rsid w:val="454E25EA"/>
    <w:rsid w:val="45545BC9"/>
    <w:rsid w:val="45573AC5"/>
    <w:rsid w:val="455A6A58"/>
    <w:rsid w:val="455D6FB9"/>
    <w:rsid w:val="455E75F0"/>
    <w:rsid w:val="456A987B"/>
    <w:rsid w:val="45707F69"/>
    <w:rsid w:val="45737E7B"/>
    <w:rsid w:val="4578D675"/>
    <w:rsid w:val="457A00B1"/>
    <w:rsid w:val="457AB9CD"/>
    <w:rsid w:val="457CF157"/>
    <w:rsid w:val="457F4B72"/>
    <w:rsid w:val="457F6CEB"/>
    <w:rsid w:val="458421C9"/>
    <w:rsid w:val="458474DF"/>
    <w:rsid w:val="45849B33"/>
    <w:rsid w:val="45850888"/>
    <w:rsid w:val="45940AB7"/>
    <w:rsid w:val="45968C73"/>
    <w:rsid w:val="4597633D"/>
    <w:rsid w:val="45988F82"/>
    <w:rsid w:val="459F834F"/>
    <w:rsid w:val="45A0EA4D"/>
    <w:rsid w:val="45A0EE55"/>
    <w:rsid w:val="45A371E5"/>
    <w:rsid w:val="45A57074"/>
    <w:rsid w:val="45AD4986"/>
    <w:rsid w:val="45B15239"/>
    <w:rsid w:val="45B9A9C5"/>
    <w:rsid w:val="45BAF3EE"/>
    <w:rsid w:val="45C5240A"/>
    <w:rsid w:val="45C700C7"/>
    <w:rsid w:val="45CBDCC8"/>
    <w:rsid w:val="45CEB1AB"/>
    <w:rsid w:val="45D196ED"/>
    <w:rsid w:val="45D7A81C"/>
    <w:rsid w:val="45D86D60"/>
    <w:rsid w:val="45D8DE59"/>
    <w:rsid w:val="45D95533"/>
    <w:rsid w:val="45DAFA50"/>
    <w:rsid w:val="45DB6AA5"/>
    <w:rsid w:val="45DBB26A"/>
    <w:rsid w:val="45DE8DB0"/>
    <w:rsid w:val="45DE9818"/>
    <w:rsid w:val="45DFDF68"/>
    <w:rsid w:val="45E220DA"/>
    <w:rsid w:val="45E8CD9C"/>
    <w:rsid w:val="45ED44A6"/>
    <w:rsid w:val="45EE26E5"/>
    <w:rsid w:val="45F4C3B8"/>
    <w:rsid w:val="45F8E1FC"/>
    <w:rsid w:val="45FC8FD6"/>
    <w:rsid w:val="45FF26E5"/>
    <w:rsid w:val="460252E8"/>
    <w:rsid w:val="46038BFD"/>
    <w:rsid w:val="4603D839"/>
    <w:rsid w:val="4604BF63"/>
    <w:rsid w:val="46063378"/>
    <w:rsid w:val="460A2839"/>
    <w:rsid w:val="460BB091"/>
    <w:rsid w:val="460D44B9"/>
    <w:rsid w:val="460EF2A0"/>
    <w:rsid w:val="461283F4"/>
    <w:rsid w:val="461324A4"/>
    <w:rsid w:val="4613F603"/>
    <w:rsid w:val="46191077"/>
    <w:rsid w:val="461EFFEF"/>
    <w:rsid w:val="46246C72"/>
    <w:rsid w:val="4625F8B6"/>
    <w:rsid w:val="462B497A"/>
    <w:rsid w:val="462E034C"/>
    <w:rsid w:val="463471F9"/>
    <w:rsid w:val="46389D42"/>
    <w:rsid w:val="463A29FB"/>
    <w:rsid w:val="463BE227"/>
    <w:rsid w:val="4642FF8C"/>
    <w:rsid w:val="4643948C"/>
    <w:rsid w:val="464AAB48"/>
    <w:rsid w:val="464B6E46"/>
    <w:rsid w:val="464DDE64"/>
    <w:rsid w:val="464E43A8"/>
    <w:rsid w:val="4651F714"/>
    <w:rsid w:val="4654E9F7"/>
    <w:rsid w:val="46555231"/>
    <w:rsid w:val="46557C49"/>
    <w:rsid w:val="465669DD"/>
    <w:rsid w:val="4657B902"/>
    <w:rsid w:val="46590640"/>
    <w:rsid w:val="465C4924"/>
    <w:rsid w:val="465E0CAB"/>
    <w:rsid w:val="4662594E"/>
    <w:rsid w:val="4668025B"/>
    <w:rsid w:val="46797F91"/>
    <w:rsid w:val="4679FEF6"/>
    <w:rsid w:val="467C98F4"/>
    <w:rsid w:val="467E0BEE"/>
    <w:rsid w:val="46812C76"/>
    <w:rsid w:val="46815E3D"/>
    <w:rsid w:val="4681F4FC"/>
    <w:rsid w:val="468FE8A2"/>
    <w:rsid w:val="46904349"/>
    <w:rsid w:val="4690DFBB"/>
    <w:rsid w:val="46922962"/>
    <w:rsid w:val="46944C46"/>
    <w:rsid w:val="46951B9C"/>
    <w:rsid w:val="4695CA2B"/>
    <w:rsid w:val="46963961"/>
    <w:rsid w:val="46966B14"/>
    <w:rsid w:val="4698586D"/>
    <w:rsid w:val="4699E3EF"/>
    <w:rsid w:val="469B88FB"/>
    <w:rsid w:val="469BCE93"/>
    <w:rsid w:val="469D448E"/>
    <w:rsid w:val="46A90A63"/>
    <w:rsid w:val="46AA3F7E"/>
    <w:rsid w:val="46AD8E24"/>
    <w:rsid w:val="46B21EC9"/>
    <w:rsid w:val="46B73474"/>
    <w:rsid w:val="46C5EEEF"/>
    <w:rsid w:val="46C8A5B7"/>
    <w:rsid w:val="46CE9BE4"/>
    <w:rsid w:val="46D356C9"/>
    <w:rsid w:val="46D3734D"/>
    <w:rsid w:val="46D6ED7A"/>
    <w:rsid w:val="46D896B3"/>
    <w:rsid w:val="46E0129E"/>
    <w:rsid w:val="46E39DDB"/>
    <w:rsid w:val="46E78997"/>
    <w:rsid w:val="46E98ED3"/>
    <w:rsid w:val="46EAAFA8"/>
    <w:rsid w:val="46EAB2D7"/>
    <w:rsid w:val="46ED8325"/>
    <w:rsid w:val="46F27124"/>
    <w:rsid w:val="46F2A183"/>
    <w:rsid w:val="46F9D6A4"/>
    <w:rsid w:val="46FD1D5C"/>
    <w:rsid w:val="46FE39E6"/>
    <w:rsid w:val="46FE4CB7"/>
    <w:rsid w:val="46FEBF0D"/>
    <w:rsid w:val="4702661F"/>
    <w:rsid w:val="470DEA53"/>
    <w:rsid w:val="4713998C"/>
    <w:rsid w:val="4718A2CB"/>
    <w:rsid w:val="471D5B18"/>
    <w:rsid w:val="471FD195"/>
    <w:rsid w:val="4724C143"/>
    <w:rsid w:val="472603C4"/>
    <w:rsid w:val="472618FD"/>
    <w:rsid w:val="4727C174"/>
    <w:rsid w:val="472A11BF"/>
    <w:rsid w:val="472AEB97"/>
    <w:rsid w:val="472E9627"/>
    <w:rsid w:val="472EB20F"/>
    <w:rsid w:val="47329941"/>
    <w:rsid w:val="473719E1"/>
    <w:rsid w:val="4747EFEA"/>
    <w:rsid w:val="474E07BA"/>
    <w:rsid w:val="474E205E"/>
    <w:rsid w:val="47504507"/>
    <w:rsid w:val="4753882B"/>
    <w:rsid w:val="475861AB"/>
    <w:rsid w:val="47640D3B"/>
    <w:rsid w:val="476959A1"/>
    <w:rsid w:val="476A637B"/>
    <w:rsid w:val="476AD833"/>
    <w:rsid w:val="476C39A1"/>
    <w:rsid w:val="476CBF29"/>
    <w:rsid w:val="476F78E8"/>
    <w:rsid w:val="47717ED4"/>
    <w:rsid w:val="47754802"/>
    <w:rsid w:val="47776F86"/>
    <w:rsid w:val="47853CEB"/>
    <w:rsid w:val="4786DBBA"/>
    <w:rsid w:val="4787EAAA"/>
    <w:rsid w:val="478AFB8D"/>
    <w:rsid w:val="4796DF45"/>
    <w:rsid w:val="4799C5BB"/>
    <w:rsid w:val="479D6D7E"/>
    <w:rsid w:val="479F139E"/>
    <w:rsid w:val="47A4C1AF"/>
    <w:rsid w:val="47AD1826"/>
    <w:rsid w:val="47ADE3D7"/>
    <w:rsid w:val="47B18926"/>
    <w:rsid w:val="47B470CD"/>
    <w:rsid w:val="47BA033C"/>
    <w:rsid w:val="47BDAC21"/>
    <w:rsid w:val="47C01734"/>
    <w:rsid w:val="47C1357B"/>
    <w:rsid w:val="47C26987"/>
    <w:rsid w:val="47C835DC"/>
    <w:rsid w:val="47CCE384"/>
    <w:rsid w:val="47D0D4B0"/>
    <w:rsid w:val="47D276F8"/>
    <w:rsid w:val="47D4D169"/>
    <w:rsid w:val="47D6DD37"/>
    <w:rsid w:val="47DBFF92"/>
    <w:rsid w:val="47DDE19F"/>
    <w:rsid w:val="47DF45E2"/>
    <w:rsid w:val="47E03722"/>
    <w:rsid w:val="47E5B8D7"/>
    <w:rsid w:val="47EB8E9F"/>
    <w:rsid w:val="47F421D5"/>
    <w:rsid w:val="47F91AEA"/>
    <w:rsid w:val="47FABCDE"/>
    <w:rsid w:val="47FC6BF1"/>
    <w:rsid w:val="47FE94BE"/>
    <w:rsid w:val="48073FBB"/>
    <w:rsid w:val="4819341D"/>
    <w:rsid w:val="4819F320"/>
    <w:rsid w:val="481DB7C5"/>
    <w:rsid w:val="4821D422"/>
    <w:rsid w:val="4822E2EA"/>
    <w:rsid w:val="4825399A"/>
    <w:rsid w:val="4825CA00"/>
    <w:rsid w:val="482A2667"/>
    <w:rsid w:val="482AEEE0"/>
    <w:rsid w:val="4839A677"/>
    <w:rsid w:val="483ABC5D"/>
    <w:rsid w:val="483CA826"/>
    <w:rsid w:val="483CFA66"/>
    <w:rsid w:val="4840EF37"/>
    <w:rsid w:val="48430655"/>
    <w:rsid w:val="48431DFB"/>
    <w:rsid w:val="4843B2E3"/>
    <w:rsid w:val="48441907"/>
    <w:rsid w:val="4846921C"/>
    <w:rsid w:val="484839EB"/>
    <w:rsid w:val="4848D371"/>
    <w:rsid w:val="4849A375"/>
    <w:rsid w:val="484F0E20"/>
    <w:rsid w:val="485380C5"/>
    <w:rsid w:val="4853EC3B"/>
    <w:rsid w:val="485450FE"/>
    <w:rsid w:val="48564530"/>
    <w:rsid w:val="4858C260"/>
    <w:rsid w:val="485AF2A4"/>
    <w:rsid w:val="485B4E55"/>
    <w:rsid w:val="485DB9D5"/>
    <w:rsid w:val="485FAD86"/>
    <w:rsid w:val="48605E69"/>
    <w:rsid w:val="48642176"/>
    <w:rsid w:val="486477DD"/>
    <w:rsid w:val="48657D4C"/>
    <w:rsid w:val="486635D4"/>
    <w:rsid w:val="4868070F"/>
    <w:rsid w:val="486B71EA"/>
    <w:rsid w:val="486E27D3"/>
    <w:rsid w:val="4873F255"/>
    <w:rsid w:val="48761DE3"/>
    <w:rsid w:val="487BE602"/>
    <w:rsid w:val="487E12B1"/>
    <w:rsid w:val="4883211E"/>
    <w:rsid w:val="48837C20"/>
    <w:rsid w:val="4883BEA1"/>
    <w:rsid w:val="48893599"/>
    <w:rsid w:val="488AD142"/>
    <w:rsid w:val="488CA5F5"/>
    <w:rsid w:val="488F1734"/>
    <w:rsid w:val="48925D38"/>
    <w:rsid w:val="48941805"/>
    <w:rsid w:val="48961EBC"/>
    <w:rsid w:val="4896612E"/>
    <w:rsid w:val="4896CFBA"/>
    <w:rsid w:val="48981837"/>
    <w:rsid w:val="489A5125"/>
    <w:rsid w:val="489A8888"/>
    <w:rsid w:val="489B00CD"/>
    <w:rsid w:val="489C30AA"/>
    <w:rsid w:val="489E0F87"/>
    <w:rsid w:val="489E1417"/>
    <w:rsid w:val="489E557D"/>
    <w:rsid w:val="48A564F6"/>
    <w:rsid w:val="48A739DE"/>
    <w:rsid w:val="48B1577D"/>
    <w:rsid w:val="48B20FC9"/>
    <w:rsid w:val="48B32140"/>
    <w:rsid w:val="48B94AE0"/>
    <w:rsid w:val="48B95883"/>
    <w:rsid w:val="48C957AF"/>
    <w:rsid w:val="48CD83A0"/>
    <w:rsid w:val="48D27077"/>
    <w:rsid w:val="48D70DD9"/>
    <w:rsid w:val="48D8F87F"/>
    <w:rsid w:val="48DBA64C"/>
    <w:rsid w:val="48E23DFF"/>
    <w:rsid w:val="48E4CB55"/>
    <w:rsid w:val="48E78ABA"/>
    <w:rsid w:val="48EB7190"/>
    <w:rsid w:val="48EC3791"/>
    <w:rsid w:val="48F05F8B"/>
    <w:rsid w:val="48F06A6C"/>
    <w:rsid w:val="48F14ADA"/>
    <w:rsid w:val="48F21A04"/>
    <w:rsid w:val="48F39233"/>
    <w:rsid w:val="48F46AD0"/>
    <w:rsid w:val="48F70880"/>
    <w:rsid w:val="48F8CA24"/>
    <w:rsid w:val="48F9CAF0"/>
    <w:rsid w:val="48FA9D5C"/>
    <w:rsid w:val="4903DF1C"/>
    <w:rsid w:val="49044283"/>
    <w:rsid w:val="4905E650"/>
    <w:rsid w:val="490C2AA5"/>
    <w:rsid w:val="490D4E82"/>
    <w:rsid w:val="49136A7D"/>
    <w:rsid w:val="4913C062"/>
    <w:rsid w:val="49225D40"/>
    <w:rsid w:val="4924A074"/>
    <w:rsid w:val="4925F5A1"/>
    <w:rsid w:val="49268C72"/>
    <w:rsid w:val="492931A1"/>
    <w:rsid w:val="492AC6DD"/>
    <w:rsid w:val="49309A3A"/>
    <w:rsid w:val="4930ECC4"/>
    <w:rsid w:val="4933954E"/>
    <w:rsid w:val="493FEDDF"/>
    <w:rsid w:val="493FF986"/>
    <w:rsid w:val="494331AF"/>
    <w:rsid w:val="494FA0DD"/>
    <w:rsid w:val="4954F4D3"/>
    <w:rsid w:val="4958357B"/>
    <w:rsid w:val="495AA858"/>
    <w:rsid w:val="495D5C1B"/>
    <w:rsid w:val="495E4984"/>
    <w:rsid w:val="4962D246"/>
    <w:rsid w:val="49654668"/>
    <w:rsid w:val="4965EC0C"/>
    <w:rsid w:val="49689B27"/>
    <w:rsid w:val="49697119"/>
    <w:rsid w:val="4969E5D9"/>
    <w:rsid w:val="496B0FC9"/>
    <w:rsid w:val="496B7ACB"/>
    <w:rsid w:val="496C9315"/>
    <w:rsid w:val="496CFF02"/>
    <w:rsid w:val="496F6674"/>
    <w:rsid w:val="4971AD02"/>
    <w:rsid w:val="4972C7D9"/>
    <w:rsid w:val="4975B5D6"/>
    <w:rsid w:val="497B931A"/>
    <w:rsid w:val="497BB7EB"/>
    <w:rsid w:val="49808E47"/>
    <w:rsid w:val="49825383"/>
    <w:rsid w:val="49830AFA"/>
    <w:rsid w:val="49837986"/>
    <w:rsid w:val="4983F3FE"/>
    <w:rsid w:val="498849E7"/>
    <w:rsid w:val="49893550"/>
    <w:rsid w:val="498C85A0"/>
    <w:rsid w:val="499642F7"/>
    <w:rsid w:val="4999D4F9"/>
    <w:rsid w:val="499A2498"/>
    <w:rsid w:val="49A000DC"/>
    <w:rsid w:val="49A0E841"/>
    <w:rsid w:val="49A54AA3"/>
    <w:rsid w:val="49A6713D"/>
    <w:rsid w:val="49A848DE"/>
    <w:rsid w:val="49AB54B9"/>
    <w:rsid w:val="49ACDC03"/>
    <w:rsid w:val="49AE31CE"/>
    <w:rsid w:val="49B6CBB4"/>
    <w:rsid w:val="49B8B078"/>
    <w:rsid w:val="49B9C727"/>
    <w:rsid w:val="49BD36B3"/>
    <w:rsid w:val="49C39C56"/>
    <w:rsid w:val="49C508CC"/>
    <w:rsid w:val="49C52572"/>
    <w:rsid w:val="49CD16E0"/>
    <w:rsid w:val="49D0629E"/>
    <w:rsid w:val="49D10A96"/>
    <w:rsid w:val="49D37154"/>
    <w:rsid w:val="49D38326"/>
    <w:rsid w:val="49D3D556"/>
    <w:rsid w:val="49D738BE"/>
    <w:rsid w:val="49D752B3"/>
    <w:rsid w:val="49DB7C56"/>
    <w:rsid w:val="49DB822D"/>
    <w:rsid w:val="49DDD5BF"/>
    <w:rsid w:val="49DED386"/>
    <w:rsid w:val="49E3273C"/>
    <w:rsid w:val="49E9F14D"/>
    <w:rsid w:val="49F0C7DD"/>
    <w:rsid w:val="49F27F4D"/>
    <w:rsid w:val="49F78793"/>
    <w:rsid w:val="49F90BB1"/>
    <w:rsid w:val="49FAE4AE"/>
    <w:rsid w:val="49FD7603"/>
    <w:rsid w:val="49FE1284"/>
    <w:rsid w:val="49FEE8B3"/>
    <w:rsid w:val="49FF2ECD"/>
    <w:rsid w:val="4A03DEE7"/>
    <w:rsid w:val="4A0832E2"/>
    <w:rsid w:val="4A08E84D"/>
    <w:rsid w:val="4A0C966C"/>
    <w:rsid w:val="4A0D3FC3"/>
    <w:rsid w:val="4A0E0A34"/>
    <w:rsid w:val="4A10D2AE"/>
    <w:rsid w:val="4A11B9A0"/>
    <w:rsid w:val="4A135240"/>
    <w:rsid w:val="4A138F60"/>
    <w:rsid w:val="4A1A3407"/>
    <w:rsid w:val="4A1EE43A"/>
    <w:rsid w:val="4A210A3A"/>
    <w:rsid w:val="4A293C9B"/>
    <w:rsid w:val="4A29D294"/>
    <w:rsid w:val="4A2C4A3D"/>
    <w:rsid w:val="4A2F2275"/>
    <w:rsid w:val="4A36D8B3"/>
    <w:rsid w:val="4A39CA89"/>
    <w:rsid w:val="4A39CED5"/>
    <w:rsid w:val="4A3C4BFA"/>
    <w:rsid w:val="4A3D2F41"/>
    <w:rsid w:val="4A3FFDA7"/>
    <w:rsid w:val="4A40A07D"/>
    <w:rsid w:val="4A44DB5C"/>
    <w:rsid w:val="4A4797B1"/>
    <w:rsid w:val="4A48E2D2"/>
    <w:rsid w:val="4A4A6772"/>
    <w:rsid w:val="4A4DC19A"/>
    <w:rsid w:val="4A4F60DB"/>
    <w:rsid w:val="4A533C48"/>
    <w:rsid w:val="4A557A1C"/>
    <w:rsid w:val="4A574971"/>
    <w:rsid w:val="4A59CC47"/>
    <w:rsid w:val="4A5A47DD"/>
    <w:rsid w:val="4A5FD919"/>
    <w:rsid w:val="4A6B16FC"/>
    <w:rsid w:val="4A6CD843"/>
    <w:rsid w:val="4A72BC46"/>
    <w:rsid w:val="4A740769"/>
    <w:rsid w:val="4A776292"/>
    <w:rsid w:val="4A7D85A8"/>
    <w:rsid w:val="4A7DAA89"/>
    <w:rsid w:val="4A7F77D9"/>
    <w:rsid w:val="4A80ED15"/>
    <w:rsid w:val="4A824D2F"/>
    <w:rsid w:val="4A856BCA"/>
    <w:rsid w:val="4A86E370"/>
    <w:rsid w:val="4A878F9F"/>
    <w:rsid w:val="4A8A784C"/>
    <w:rsid w:val="4A8B9B4F"/>
    <w:rsid w:val="4A8DEC4E"/>
    <w:rsid w:val="4A90314B"/>
    <w:rsid w:val="4A914A58"/>
    <w:rsid w:val="4A948E84"/>
    <w:rsid w:val="4A94A43D"/>
    <w:rsid w:val="4A96F496"/>
    <w:rsid w:val="4A9A1BBB"/>
    <w:rsid w:val="4A9D786A"/>
    <w:rsid w:val="4A9DE40A"/>
    <w:rsid w:val="4A9DF52B"/>
    <w:rsid w:val="4A9E0E34"/>
    <w:rsid w:val="4A9EF1B3"/>
    <w:rsid w:val="4AA159D7"/>
    <w:rsid w:val="4AA87B20"/>
    <w:rsid w:val="4AA8CE40"/>
    <w:rsid w:val="4AA9FF8C"/>
    <w:rsid w:val="4AB10F1E"/>
    <w:rsid w:val="4AB39B94"/>
    <w:rsid w:val="4AB736AF"/>
    <w:rsid w:val="4ABA5662"/>
    <w:rsid w:val="4ABA6094"/>
    <w:rsid w:val="4ABA9876"/>
    <w:rsid w:val="4ABC5953"/>
    <w:rsid w:val="4ABD8C68"/>
    <w:rsid w:val="4ABE3079"/>
    <w:rsid w:val="4ABEBD37"/>
    <w:rsid w:val="4AC100D1"/>
    <w:rsid w:val="4AC80864"/>
    <w:rsid w:val="4ACA8288"/>
    <w:rsid w:val="4ACBC1B8"/>
    <w:rsid w:val="4ACBEE78"/>
    <w:rsid w:val="4ACD7996"/>
    <w:rsid w:val="4ACF497E"/>
    <w:rsid w:val="4AD0EF7F"/>
    <w:rsid w:val="4AD20CEC"/>
    <w:rsid w:val="4AD3261F"/>
    <w:rsid w:val="4AD34B4F"/>
    <w:rsid w:val="4AD61908"/>
    <w:rsid w:val="4AD7F407"/>
    <w:rsid w:val="4AD9217D"/>
    <w:rsid w:val="4ADBF47B"/>
    <w:rsid w:val="4ADD5173"/>
    <w:rsid w:val="4AE515C3"/>
    <w:rsid w:val="4AEB3FEE"/>
    <w:rsid w:val="4AF3E3CA"/>
    <w:rsid w:val="4AF83D03"/>
    <w:rsid w:val="4AFC0F8F"/>
    <w:rsid w:val="4AFED67C"/>
    <w:rsid w:val="4AFF6BF3"/>
    <w:rsid w:val="4B06906C"/>
    <w:rsid w:val="4B06FB4B"/>
    <w:rsid w:val="4B105556"/>
    <w:rsid w:val="4B11BDF8"/>
    <w:rsid w:val="4B13E0EC"/>
    <w:rsid w:val="4B14C4FB"/>
    <w:rsid w:val="4B162FFA"/>
    <w:rsid w:val="4B177A20"/>
    <w:rsid w:val="4B192CE3"/>
    <w:rsid w:val="4B1A033F"/>
    <w:rsid w:val="4B2266FF"/>
    <w:rsid w:val="4B2684C4"/>
    <w:rsid w:val="4B2A768A"/>
    <w:rsid w:val="4B2BEED3"/>
    <w:rsid w:val="4B333B03"/>
    <w:rsid w:val="4B39C4A5"/>
    <w:rsid w:val="4B3ADA6A"/>
    <w:rsid w:val="4B3B88BE"/>
    <w:rsid w:val="4B3EC1A8"/>
    <w:rsid w:val="4B454F1C"/>
    <w:rsid w:val="4B463817"/>
    <w:rsid w:val="4B46B8DE"/>
    <w:rsid w:val="4B4D8091"/>
    <w:rsid w:val="4B51678D"/>
    <w:rsid w:val="4B5266AC"/>
    <w:rsid w:val="4B530C0B"/>
    <w:rsid w:val="4B53D693"/>
    <w:rsid w:val="4B591255"/>
    <w:rsid w:val="4B59834C"/>
    <w:rsid w:val="4B5E14DC"/>
    <w:rsid w:val="4B6053A9"/>
    <w:rsid w:val="4B60D49B"/>
    <w:rsid w:val="4B63F282"/>
    <w:rsid w:val="4B64C52D"/>
    <w:rsid w:val="4B66EBE8"/>
    <w:rsid w:val="4B6776A7"/>
    <w:rsid w:val="4B6824E8"/>
    <w:rsid w:val="4B699565"/>
    <w:rsid w:val="4B6CC594"/>
    <w:rsid w:val="4B6F6585"/>
    <w:rsid w:val="4B78E2D6"/>
    <w:rsid w:val="4B78E3B6"/>
    <w:rsid w:val="4B7C4281"/>
    <w:rsid w:val="4B7D0182"/>
    <w:rsid w:val="4B7EFD55"/>
    <w:rsid w:val="4B80F2C0"/>
    <w:rsid w:val="4B833089"/>
    <w:rsid w:val="4B846537"/>
    <w:rsid w:val="4B863720"/>
    <w:rsid w:val="4B8835A9"/>
    <w:rsid w:val="4B88F1D2"/>
    <w:rsid w:val="4B9166D9"/>
    <w:rsid w:val="4B927E58"/>
    <w:rsid w:val="4B935609"/>
    <w:rsid w:val="4B94DACC"/>
    <w:rsid w:val="4B964740"/>
    <w:rsid w:val="4B9C4DF2"/>
    <w:rsid w:val="4BA0F7F3"/>
    <w:rsid w:val="4BA1894C"/>
    <w:rsid w:val="4BA2ED5E"/>
    <w:rsid w:val="4BA5795C"/>
    <w:rsid w:val="4BA7A1F2"/>
    <w:rsid w:val="4BA7E79E"/>
    <w:rsid w:val="4BAC5364"/>
    <w:rsid w:val="4BADEA62"/>
    <w:rsid w:val="4BAF0A7F"/>
    <w:rsid w:val="4BAF3EA2"/>
    <w:rsid w:val="4BAF47BF"/>
    <w:rsid w:val="4BAF5DCE"/>
    <w:rsid w:val="4BB128E7"/>
    <w:rsid w:val="4BB364BD"/>
    <w:rsid w:val="4BB46627"/>
    <w:rsid w:val="4BB49D60"/>
    <w:rsid w:val="4BBBBD7C"/>
    <w:rsid w:val="4BBF7845"/>
    <w:rsid w:val="4BC0F21C"/>
    <w:rsid w:val="4BC7B769"/>
    <w:rsid w:val="4BC7D112"/>
    <w:rsid w:val="4BCA81BB"/>
    <w:rsid w:val="4BCD87F2"/>
    <w:rsid w:val="4BD02A84"/>
    <w:rsid w:val="4BDE989A"/>
    <w:rsid w:val="4BE1F3EF"/>
    <w:rsid w:val="4BE378EE"/>
    <w:rsid w:val="4BE3D1AB"/>
    <w:rsid w:val="4BE56E3E"/>
    <w:rsid w:val="4BE7CE4A"/>
    <w:rsid w:val="4BE83396"/>
    <w:rsid w:val="4BE9E6BE"/>
    <w:rsid w:val="4BEE84E3"/>
    <w:rsid w:val="4BEEA516"/>
    <w:rsid w:val="4BEF44E9"/>
    <w:rsid w:val="4BF231C0"/>
    <w:rsid w:val="4BF330AD"/>
    <w:rsid w:val="4BF53956"/>
    <w:rsid w:val="4BF7A4C0"/>
    <w:rsid w:val="4BF872F2"/>
    <w:rsid w:val="4BFF2290"/>
    <w:rsid w:val="4C013218"/>
    <w:rsid w:val="4C0565BA"/>
    <w:rsid w:val="4C0640E9"/>
    <w:rsid w:val="4C13CDFA"/>
    <w:rsid w:val="4C148E0F"/>
    <w:rsid w:val="4C155483"/>
    <w:rsid w:val="4C16CF82"/>
    <w:rsid w:val="4C1E3601"/>
    <w:rsid w:val="4C1F13D1"/>
    <w:rsid w:val="4C2058BB"/>
    <w:rsid w:val="4C20A7C2"/>
    <w:rsid w:val="4C20E3DD"/>
    <w:rsid w:val="4C25E7A9"/>
    <w:rsid w:val="4C270FB5"/>
    <w:rsid w:val="4C2B46FB"/>
    <w:rsid w:val="4C3020E8"/>
    <w:rsid w:val="4C34CA75"/>
    <w:rsid w:val="4C3F4848"/>
    <w:rsid w:val="4C430C98"/>
    <w:rsid w:val="4C498479"/>
    <w:rsid w:val="4C4DB8FC"/>
    <w:rsid w:val="4C52EFA1"/>
    <w:rsid w:val="4C57162C"/>
    <w:rsid w:val="4C575BC7"/>
    <w:rsid w:val="4C57B4E1"/>
    <w:rsid w:val="4C5A5704"/>
    <w:rsid w:val="4C619496"/>
    <w:rsid w:val="4C61B569"/>
    <w:rsid w:val="4C6333B4"/>
    <w:rsid w:val="4C67702B"/>
    <w:rsid w:val="4C6A7465"/>
    <w:rsid w:val="4C6B0661"/>
    <w:rsid w:val="4C6D6707"/>
    <w:rsid w:val="4C767A7B"/>
    <w:rsid w:val="4C7B2ED3"/>
    <w:rsid w:val="4C7C6DAE"/>
    <w:rsid w:val="4C7CAB19"/>
    <w:rsid w:val="4C80387E"/>
    <w:rsid w:val="4C82F62F"/>
    <w:rsid w:val="4C83D2F3"/>
    <w:rsid w:val="4C8404A0"/>
    <w:rsid w:val="4C85322A"/>
    <w:rsid w:val="4C85F11E"/>
    <w:rsid w:val="4C8FF224"/>
    <w:rsid w:val="4C926415"/>
    <w:rsid w:val="4C934F73"/>
    <w:rsid w:val="4C96EBAC"/>
    <w:rsid w:val="4C9B787A"/>
    <w:rsid w:val="4C9E50E4"/>
    <w:rsid w:val="4C9FFDCA"/>
    <w:rsid w:val="4CA2FE03"/>
    <w:rsid w:val="4CA8476D"/>
    <w:rsid w:val="4CAA4008"/>
    <w:rsid w:val="4CAABD56"/>
    <w:rsid w:val="4CAB3EE4"/>
    <w:rsid w:val="4CAD6DD7"/>
    <w:rsid w:val="4CAEE547"/>
    <w:rsid w:val="4CAF1AA7"/>
    <w:rsid w:val="4CB04B05"/>
    <w:rsid w:val="4CB27E31"/>
    <w:rsid w:val="4CB2D1A1"/>
    <w:rsid w:val="4CB31C00"/>
    <w:rsid w:val="4CB5B5F4"/>
    <w:rsid w:val="4CBCEDAE"/>
    <w:rsid w:val="4CBCF916"/>
    <w:rsid w:val="4CBE3CB3"/>
    <w:rsid w:val="4CC1AAF5"/>
    <w:rsid w:val="4CC1E39B"/>
    <w:rsid w:val="4CC9D382"/>
    <w:rsid w:val="4CCD0099"/>
    <w:rsid w:val="4CCD673B"/>
    <w:rsid w:val="4CCE4AAB"/>
    <w:rsid w:val="4CD245DE"/>
    <w:rsid w:val="4CD4E69B"/>
    <w:rsid w:val="4CDD81CA"/>
    <w:rsid w:val="4CDE3248"/>
    <w:rsid w:val="4CDF7969"/>
    <w:rsid w:val="4CE3BB3C"/>
    <w:rsid w:val="4CE4431C"/>
    <w:rsid w:val="4CE63B11"/>
    <w:rsid w:val="4CEE851B"/>
    <w:rsid w:val="4CF64D82"/>
    <w:rsid w:val="4CF99983"/>
    <w:rsid w:val="4CFB79FF"/>
    <w:rsid w:val="4D08D7F6"/>
    <w:rsid w:val="4D0A17BA"/>
    <w:rsid w:val="4D14F1B3"/>
    <w:rsid w:val="4D16175A"/>
    <w:rsid w:val="4D17CB93"/>
    <w:rsid w:val="4D18B7F9"/>
    <w:rsid w:val="4D1C1237"/>
    <w:rsid w:val="4D1C5D80"/>
    <w:rsid w:val="4D1E5DF5"/>
    <w:rsid w:val="4D1FACF9"/>
    <w:rsid w:val="4D20D885"/>
    <w:rsid w:val="4D26F008"/>
    <w:rsid w:val="4D27C8D4"/>
    <w:rsid w:val="4D286FD0"/>
    <w:rsid w:val="4D28EBB9"/>
    <w:rsid w:val="4D29264E"/>
    <w:rsid w:val="4D2A548E"/>
    <w:rsid w:val="4D2A716C"/>
    <w:rsid w:val="4D2C64CD"/>
    <w:rsid w:val="4D2EAFD8"/>
    <w:rsid w:val="4D31DD27"/>
    <w:rsid w:val="4D34ED51"/>
    <w:rsid w:val="4D3684C5"/>
    <w:rsid w:val="4D37BCFA"/>
    <w:rsid w:val="4D3CB942"/>
    <w:rsid w:val="4D405C53"/>
    <w:rsid w:val="4D419F8B"/>
    <w:rsid w:val="4D437DB3"/>
    <w:rsid w:val="4D46CDF3"/>
    <w:rsid w:val="4D493B04"/>
    <w:rsid w:val="4D4A6CC0"/>
    <w:rsid w:val="4D4C4DC1"/>
    <w:rsid w:val="4D4D0623"/>
    <w:rsid w:val="4D51040B"/>
    <w:rsid w:val="4D532570"/>
    <w:rsid w:val="4D537C3F"/>
    <w:rsid w:val="4D54731C"/>
    <w:rsid w:val="4D587F8A"/>
    <w:rsid w:val="4D5AABF1"/>
    <w:rsid w:val="4D5C7BEA"/>
    <w:rsid w:val="4D61A6F5"/>
    <w:rsid w:val="4D67967E"/>
    <w:rsid w:val="4D67F4F5"/>
    <w:rsid w:val="4D718648"/>
    <w:rsid w:val="4D7E1EF4"/>
    <w:rsid w:val="4D7F6634"/>
    <w:rsid w:val="4D7FA3E0"/>
    <w:rsid w:val="4D8E8409"/>
    <w:rsid w:val="4D8EBB1F"/>
    <w:rsid w:val="4DA5B952"/>
    <w:rsid w:val="4DA6645F"/>
    <w:rsid w:val="4DA66CA7"/>
    <w:rsid w:val="4DA997F8"/>
    <w:rsid w:val="4DAC0BBA"/>
    <w:rsid w:val="4DB50267"/>
    <w:rsid w:val="4DB66210"/>
    <w:rsid w:val="4DB7AA53"/>
    <w:rsid w:val="4DC13D90"/>
    <w:rsid w:val="4DC19E43"/>
    <w:rsid w:val="4DC6B57A"/>
    <w:rsid w:val="4DC97F4F"/>
    <w:rsid w:val="4DCD6DCC"/>
    <w:rsid w:val="4DD13DA1"/>
    <w:rsid w:val="4DD2D942"/>
    <w:rsid w:val="4DD587E0"/>
    <w:rsid w:val="4DDC2492"/>
    <w:rsid w:val="4DE2C74E"/>
    <w:rsid w:val="4DE4A6B5"/>
    <w:rsid w:val="4DE67014"/>
    <w:rsid w:val="4DE9AC97"/>
    <w:rsid w:val="4DEBC7E9"/>
    <w:rsid w:val="4DF28A66"/>
    <w:rsid w:val="4DF33812"/>
    <w:rsid w:val="4DF79DAA"/>
    <w:rsid w:val="4DFAAEBE"/>
    <w:rsid w:val="4DFC65ED"/>
    <w:rsid w:val="4DFF5F9A"/>
    <w:rsid w:val="4DFFDBD5"/>
    <w:rsid w:val="4E05B093"/>
    <w:rsid w:val="4E062EE8"/>
    <w:rsid w:val="4E08CB6D"/>
    <w:rsid w:val="4E0B6E77"/>
    <w:rsid w:val="4E0CB01F"/>
    <w:rsid w:val="4E1347E9"/>
    <w:rsid w:val="4E17D9BC"/>
    <w:rsid w:val="4E20D97E"/>
    <w:rsid w:val="4E233E9D"/>
    <w:rsid w:val="4E27A7A1"/>
    <w:rsid w:val="4E2E8E8F"/>
    <w:rsid w:val="4E30CD25"/>
    <w:rsid w:val="4E3321FA"/>
    <w:rsid w:val="4E374E19"/>
    <w:rsid w:val="4E3B6D09"/>
    <w:rsid w:val="4E3E548D"/>
    <w:rsid w:val="4E41B673"/>
    <w:rsid w:val="4E477055"/>
    <w:rsid w:val="4E48E339"/>
    <w:rsid w:val="4E497206"/>
    <w:rsid w:val="4E4C7C4E"/>
    <w:rsid w:val="4E4F0E54"/>
    <w:rsid w:val="4E56D5C9"/>
    <w:rsid w:val="4E588BEF"/>
    <w:rsid w:val="4E58F53C"/>
    <w:rsid w:val="4E5C534A"/>
    <w:rsid w:val="4E5F754D"/>
    <w:rsid w:val="4E604E43"/>
    <w:rsid w:val="4E60CF1A"/>
    <w:rsid w:val="4E62750D"/>
    <w:rsid w:val="4E652500"/>
    <w:rsid w:val="4E6566D9"/>
    <w:rsid w:val="4E69415F"/>
    <w:rsid w:val="4E69FC2B"/>
    <w:rsid w:val="4E6B6E85"/>
    <w:rsid w:val="4E6DE315"/>
    <w:rsid w:val="4E779427"/>
    <w:rsid w:val="4E798FC7"/>
    <w:rsid w:val="4E7C0109"/>
    <w:rsid w:val="4E88222A"/>
    <w:rsid w:val="4E89AAFB"/>
    <w:rsid w:val="4E8EFF76"/>
    <w:rsid w:val="4E8FD79B"/>
    <w:rsid w:val="4E92D155"/>
    <w:rsid w:val="4E968FDE"/>
    <w:rsid w:val="4E9EAA02"/>
    <w:rsid w:val="4EA565A6"/>
    <w:rsid w:val="4EA5BCFF"/>
    <w:rsid w:val="4EA63D4F"/>
    <w:rsid w:val="4EA64523"/>
    <w:rsid w:val="4EAA69AA"/>
    <w:rsid w:val="4EAAC793"/>
    <w:rsid w:val="4EADE6F5"/>
    <w:rsid w:val="4EB097AF"/>
    <w:rsid w:val="4EB406FB"/>
    <w:rsid w:val="4EB6548A"/>
    <w:rsid w:val="4EB76F42"/>
    <w:rsid w:val="4EC18708"/>
    <w:rsid w:val="4EC72C38"/>
    <w:rsid w:val="4EC83904"/>
    <w:rsid w:val="4EC8BEB4"/>
    <w:rsid w:val="4ECB5A24"/>
    <w:rsid w:val="4ECBAB6C"/>
    <w:rsid w:val="4ECC3DEF"/>
    <w:rsid w:val="4ECE0D7C"/>
    <w:rsid w:val="4ED5737B"/>
    <w:rsid w:val="4ED85640"/>
    <w:rsid w:val="4ED9ADEB"/>
    <w:rsid w:val="4EDBFCE2"/>
    <w:rsid w:val="4EDD78A0"/>
    <w:rsid w:val="4EDE4947"/>
    <w:rsid w:val="4EE337A6"/>
    <w:rsid w:val="4EE6F5F6"/>
    <w:rsid w:val="4EE80D9F"/>
    <w:rsid w:val="4EE865A6"/>
    <w:rsid w:val="4EEADDFB"/>
    <w:rsid w:val="4EF4B099"/>
    <w:rsid w:val="4EF94CA8"/>
    <w:rsid w:val="4EFD81A3"/>
    <w:rsid w:val="4EFF584D"/>
    <w:rsid w:val="4F00C4FB"/>
    <w:rsid w:val="4F07C1C1"/>
    <w:rsid w:val="4F086980"/>
    <w:rsid w:val="4F08BBA9"/>
    <w:rsid w:val="4F114812"/>
    <w:rsid w:val="4F17ADEB"/>
    <w:rsid w:val="4F1D917A"/>
    <w:rsid w:val="4F1E436C"/>
    <w:rsid w:val="4F212FC0"/>
    <w:rsid w:val="4F21C001"/>
    <w:rsid w:val="4F224B4A"/>
    <w:rsid w:val="4F2F252F"/>
    <w:rsid w:val="4F2FDFC5"/>
    <w:rsid w:val="4F34C454"/>
    <w:rsid w:val="4F3F6D98"/>
    <w:rsid w:val="4F3FBCB9"/>
    <w:rsid w:val="4F4032B7"/>
    <w:rsid w:val="4F43DB79"/>
    <w:rsid w:val="4F4B4965"/>
    <w:rsid w:val="4F4DAAD1"/>
    <w:rsid w:val="4F4F2186"/>
    <w:rsid w:val="4F539247"/>
    <w:rsid w:val="4F547522"/>
    <w:rsid w:val="4F5698C0"/>
    <w:rsid w:val="4F56F8DD"/>
    <w:rsid w:val="4F597361"/>
    <w:rsid w:val="4F5A0262"/>
    <w:rsid w:val="4F5B4576"/>
    <w:rsid w:val="4F5BF328"/>
    <w:rsid w:val="4F5D7FF9"/>
    <w:rsid w:val="4F5EF752"/>
    <w:rsid w:val="4F5F09FE"/>
    <w:rsid w:val="4F6F335D"/>
    <w:rsid w:val="4F70A18C"/>
    <w:rsid w:val="4F7226F0"/>
    <w:rsid w:val="4F76A53A"/>
    <w:rsid w:val="4F781C4A"/>
    <w:rsid w:val="4F795C61"/>
    <w:rsid w:val="4F797ECC"/>
    <w:rsid w:val="4F79C169"/>
    <w:rsid w:val="4F81C70B"/>
    <w:rsid w:val="4F83CC60"/>
    <w:rsid w:val="4F8609D9"/>
    <w:rsid w:val="4F8DBBE1"/>
    <w:rsid w:val="4F8E44D1"/>
    <w:rsid w:val="4F90273C"/>
    <w:rsid w:val="4F968C66"/>
    <w:rsid w:val="4F971FB4"/>
    <w:rsid w:val="4F978580"/>
    <w:rsid w:val="4F987B11"/>
    <w:rsid w:val="4F9DB375"/>
    <w:rsid w:val="4F9E8CC7"/>
    <w:rsid w:val="4F9F0C69"/>
    <w:rsid w:val="4FA209B0"/>
    <w:rsid w:val="4FA8F990"/>
    <w:rsid w:val="4FAC10AC"/>
    <w:rsid w:val="4FAD2215"/>
    <w:rsid w:val="4FB2C76D"/>
    <w:rsid w:val="4FB67C94"/>
    <w:rsid w:val="4FB93520"/>
    <w:rsid w:val="4FBB0350"/>
    <w:rsid w:val="4FC409F6"/>
    <w:rsid w:val="4FC48B80"/>
    <w:rsid w:val="4FC5F836"/>
    <w:rsid w:val="4FC8C09E"/>
    <w:rsid w:val="4FC8E7E0"/>
    <w:rsid w:val="4FC96975"/>
    <w:rsid w:val="4FCAE202"/>
    <w:rsid w:val="4FCAE6BF"/>
    <w:rsid w:val="4FCBECB2"/>
    <w:rsid w:val="4FCE8135"/>
    <w:rsid w:val="4FD9D206"/>
    <w:rsid w:val="4FDD7FD0"/>
    <w:rsid w:val="4FE3C866"/>
    <w:rsid w:val="4FE4E7E3"/>
    <w:rsid w:val="4FF761F2"/>
    <w:rsid w:val="4FF93341"/>
    <w:rsid w:val="4FFA15D4"/>
    <w:rsid w:val="4FFB57FB"/>
    <w:rsid w:val="4FFB8ACB"/>
    <w:rsid w:val="4FFC5A6F"/>
    <w:rsid w:val="4FFD0048"/>
    <w:rsid w:val="500136BE"/>
    <w:rsid w:val="5001E371"/>
    <w:rsid w:val="5005484B"/>
    <w:rsid w:val="5005A61D"/>
    <w:rsid w:val="5006D5F7"/>
    <w:rsid w:val="500819D2"/>
    <w:rsid w:val="500909F8"/>
    <w:rsid w:val="500A11D7"/>
    <w:rsid w:val="500A588D"/>
    <w:rsid w:val="50138C09"/>
    <w:rsid w:val="50146CA3"/>
    <w:rsid w:val="5015B930"/>
    <w:rsid w:val="5016C1FB"/>
    <w:rsid w:val="501795D7"/>
    <w:rsid w:val="50187091"/>
    <w:rsid w:val="501C137A"/>
    <w:rsid w:val="501E4E20"/>
    <w:rsid w:val="5023AB13"/>
    <w:rsid w:val="5029CA49"/>
    <w:rsid w:val="502C18BB"/>
    <w:rsid w:val="50302EFF"/>
    <w:rsid w:val="5033D312"/>
    <w:rsid w:val="503465B0"/>
    <w:rsid w:val="5034D6FB"/>
    <w:rsid w:val="5034E218"/>
    <w:rsid w:val="503870FB"/>
    <w:rsid w:val="50399CD7"/>
    <w:rsid w:val="503A8833"/>
    <w:rsid w:val="503B21F1"/>
    <w:rsid w:val="503CD474"/>
    <w:rsid w:val="503D0883"/>
    <w:rsid w:val="50407816"/>
    <w:rsid w:val="5043689D"/>
    <w:rsid w:val="5045153C"/>
    <w:rsid w:val="504652F5"/>
    <w:rsid w:val="504B7FFB"/>
    <w:rsid w:val="504D8A9A"/>
    <w:rsid w:val="504E2719"/>
    <w:rsid w:val="504E4380"/>
    <w:rsid w:val="504F3D9F"/>
    <w:rsid w:val="50518B32"/>
    <w:rsid w:val="50553E32"/>
    <w:rsid w:val="50577468"/>
    <w:rsid w:val="505840ED"/>
    <w:rsid w:val="505ACE81"/>
    <w:rsid w:val="505BF94F"/>
    <w:rsid w:val="5062FAAD"/>
    <w:rsid w:val="50656129"/>
    <w:rsid w:val="506A70C2"/>
    <w:rsid w:val="507048C2"/>
    <w:rsid w:val="50746007"/>
    <w:rsid w:val="5074C619"/>
    <w:rsid w:val="5076F211"/>
    <w:rsid w:val="50783DFE"/>
    <w:rsid w:val="507AE648"/>
    <w:rsid w:val="507E1606"/>
    <w:rsid w:val="507E199D"/>
    <w:rsid w:val="507EAF81"/>
    <w:rsid w:val="5082180D"/>
    <w:rsid w:val="5086CBE2"/>
    <w:rsid w:val="5088588A"/>
    <w:rsid w:val="50896DB0"/>
    <w:rsid w:val="5089AF95"/>
    <w:rsid w:val="5089B8EF"/>
    <w:rsid w:val="508AA229"/>
    <w:rsid w:val="508C6929"/>
    <w:rsid w:val="508CBE09"/>
    <w:rsid w:val="5091133C"/>
    <w:rsid w:val="50913D51"/>
    <w:rsid w:val="50936DC0"/>
    <w:rsid w:val="5094DA2D"/>
    <w:rsid w:val="509CCADB"/>
    <w:rsid w:val="509EFE7E"/>
    <w:rsid w:val="50A0FD93"/>
    <w:rsid w:val="50A69B3E"/>
    <w:rsid w:val="50AAAC80"/>
    <w:rsid w:val="50AC34CD"/>
    <w:rsid w:val="50AC84C6"/>
    <w:rsid w:val="50B23827"/>
    <w:rsid w:val="50B6863B"/>
    <w:rsid w:val="50B68BB4"/>
    <w:rsid w:val="50B73F0F"/>
    <w:rsid w:val="50B7EA6C"/>
    <w:rsid w:val="50BB7880"/>
    <w:rsid w:val="50BD3C02"/>
    <w:rsid w:val="50BEE2FA"/>
    <w:rsid w:val="50C98EE7"/>
    <w:rsid w:val="50D01B12"/>
    <w:rsid w:val="50D1B8AE"/>
    <w:rsid w:val="50D3D5EA"/>
    <w:rsid w:val="50D9F67A"/>
    <w:rsid w:val="50EF8623"/>
    <w:rsid w:val="50F0864B"/>
    <w:rsid w:val="50F2CB10"/>
    <w:rsid w:val="50F6741C"/>
    <w:rsid w:val="50F6848F"/>
    <w:rsid w:val="50F8A06D"/>
    <w:rsid w:val="50F9FDEB"/>
    <w:rsid w:val="50FC67F5"/>
    <w:rsid w:val="5100C68C"/>
    <w:rsid w:val="51051A6E"/>
    <w:rsid w:val="51057917"/>
    <w:rsid w:val="51078FEB"/>
    <w:rsid w:val="510874E2"/>
    <w:rsid w:val="510919FE"/>
    <w:rsid w:val="510E05D8"/>
    <w:rsid w:val="510F7889"/>
    <w:rsid w:val="51122344"/>
    <w:rsid w:val="51135189"/>
    <w:rsid w:val="5117D23F"/>
    <w:rsid w:val="51184143"/>
    <w:rsid w:val="51196CEF"/>
    <w:rsid w:val="512456EC"/>
    <w:rsid w:val="5131BB03"/>
    <w:rsid w:val="51348251"/>
    <w:rsid w:val="5139A2E1"/>
    <w:rsid w:val="5139B94A"/>
    <w:rsid w:val="513D4302"/>
    <w:rsid w:val="513F6E67"/>
    <w:rsid w:val="5147AA8E"/>
    <w:rsid w:val="5147DE22"/>
    <w:rsid w:val="51486892"/>
    <w:rsid w:val="51498DD0"/>
    <w:rsid w:val="514BDE2E"/>
    <w:rsid w:val="51513A62"/>
    <w:rsid w:val="51566722"/>
    <w:rsid w:val="515926E4"/>
    <w:rsid w:val="515954C4"/>
    <w:rsid w:val="515B4F22"/>
    <w:rsid w:val="51601917"/>
    <w:rsid w:val="51611615"/>
    <w:rsid w:val="51611B25"/>
    <w:rsid w:val="5161D497"/>
    <w:rsid w:val="516771A6"/>
    <w:rsid w:val="516DDD7E"/>
    <w:rsid w:val="51708E34"/>
    <w:rsid w:val="51791E77"/>
    <w:rsid w:val="5179D2D9"/>
    <w:rsid w:val="517D3550"/>
    <w:rsid w:val="517E772B"/>
    <w:rsid w:val="5183FB11"/>
    <w:rsid w:val="51882084"/>
    <w:rsid w:val="518CD9F5"/>
    <w:rsid w:val="518E44C4"/>
    <w:rsid w:val="51902F32"/>
    <w:rsid w:val="51909BC5"/>
    <w:rsid w:val="519A7C7F"/>
    <w:rsid w:val="519BD28A"/>
    <w:rsid w:val="519C633C"/>
    <w:rsid w:val="51A2DC8A"/>
    <w:rsid w:val="51A58047"/>
    <w:rsid w:val="51A62AC4"/>
    <w:rsid w:val="51AE0B21"/>
    <w:rsid w:val="51B1201D"/>
    <w:rsid w:val="51B5E844"/>
    <w:rsid w:val="51B6FC52"/>
    <w:rsid w:val="51B794C0"/>
    <w:rsid w:val="51BB9145"/>
    <w:rsid w:val="51BDD661"/>
    <w:rsid w:val="51C139C7"/>
    <w:rsid w:val="51C23266"/>
    <w:rsid w:val="51C26BA8"/>
    <w:rsid w:val="51C3C55F"/>
    <w:rsid w:val="51C6E422"/>
    <w:rsid w:val="51C8CB4B"/>
    <w:rsid w:val="51CB742D"/>
    <w:rsid w:val="51CEC104"/>
    <w:rsid w:val="51D0A8F8"/>
    <w:rsid w:val="51D37AFC"/>
    <w:rsid w:val="51D630B2"/>
    <w:rsid w:val="51D6D80E"/>
    <w:rsid w:val="51D9C946"/>
    <w:rsid w:val="51DACDA3"/>
    <w:rsid w:val="51DB2D90"/>
    <w:rsid w:val="51DD6521"/>
    <w:rsid w:val="51E1D1BB"/>
    <w:rsid w:val="51E23796"/>
    <w:rsid w:val="51E28F9E"/>
    <w:rsid w:val="51E37065"/>
    <w:rsid w:val="51EA36DE"/>
    <w:rsid w:val="51EAB615"/>
    <w:rsid w:val="51EC38EE"/>
    <w:rsid w:val="51EFD9D1"/>
    <w:rsid w:val="51F2F520"/>
    <w:rsid w:val="51F3887B"/>
    <w:rsid w:val="51F74070"/>
    <w:rsid w:val="51F98F59"/>
    <w:rsid w:val="51FA7DDF"/>
    <w:rsid w:val="51FB67C4"/>
    <w:rsid w:val="51FBB959"/>
    <w:rsid w:val="52019139"/>
    <w:rsid w:val="5201EBF6"/>
    <w:rsid w:val="5202575A"/>
    <w:rsid w:val="52026414"/>
    <w:rsid w:val="520E7E2A"/>
    <w:rsid w:val="520FA0E0"/>
    <w:rsid w:val="5212A193"/>
    <w:rsid w:val="5213379B"/>
    <w:rsid w:val="5216D819"/>
    <w:rsid w:val="521BC296"/>
    <w:rsid w:val="521CA065"/>
    <w:rsid w:val="52225BD8"/>
    <w:rsid w:val="52284C51"/>
    <w:rsid w:val="5228D7AE"/>
    <w:rsid w:val="522BE38C"/>
    <w:rsid w:val="522D5C34"/>
    <w:rsid w:val="523142FB"/>
    <w:rsid w:val="523459D1"/>
    <w:rsid w:val="5237C115"/>
    <w:rsid w:val="523C553E"/>
    <w:rsid w:val="523F66DD"/>
    <w:rsid w:val="52408BEB"/>
    <w:rsid w:val="5245182E"/>
    <w:rsid w:val="524803F0"/>
    <w:rsid w:val="52512824"/>
    <w:rsid w:val="5253E80C"/>
    <w:rsid w:val="52548C84"/>
    <w:rsid w:val="5256CB09"/>
    <w:rsid w:val="525D6468"/>
    <w:rsid w:val="525DAA34"/>
    <w:rsid w:val="525E6297"/>
    <w:rsid w:val="525FA2B4"/>
    <w:rsid w:val="5262A0A7"/>
    <w:rsid w:val="52630BA2"/>
    <w:rsid w:val="5263B301"/>
    <w:rsid w:val="5269D881"/>
    <w:rsid w:val="526A3BC3"/>
    <w:rsid w:val="526AAB40"/>
    <w:rsid w:val="52720D95"/>
    <w:rsid w:val="527341AF"/>
    <w:rsid w:val="52744509"/>
    <w:rsid w:val="5274ACB6"/>
    <w:rsid w:val="527E63F8"/>
    <w:rsid w:val="52842AB7"/>
    <w:rsid w:val="52889A23"/>
    <w:rsid w:val="5288B06D"/>
    <w:rsid w:val="528E8824"/>
    <w:rsid w:val="5291C843"/>
    <w:rsid w:val="529B69F7"/>
    <w:rsid w:val="529C6D6D"/>
    <w:rsid w:val="529E7C68"/>
    <w:rsid w:val="52A60DC6"/>
    <w:rsid w:val="52A6A8F1"/>
    <w:rsid w:val="52AD50D3"/>
    <w:rsid w:val="52ADCF52"/>
    <w:rsid w:val="52AE0FF3"/>
    <w:rsid w:val="52B26A4E"/>
    <w:rsid w:val="52B3E5C9"/>
    <w:rsid w:val="52B8FBFE"/>
    <w:rsid w:val="52BB1871"/>
    <w:rsid w:val="52BCEC74"/>
    <w:rsid w:val="52C0E53B"/>
    <w:rsid w:val="52C18B47"/>
    <w:rsid w:val="52C8EA79"/>
    <w:rsid w:val="52C9D2DA"/>
    <w:rsid w:val="52C9F80A"/>
    <w:rsid w:val="52D034A9"/>
    <w:rsid w:val="52D4281D"/>
    <w:rsid w:val="52D6E8B6"/>
    <w:rsid w:val="52D80863"/>
    <w:rsid w:val="52D83AE2"/>
    <w:rsid w:val="52D8BB15"/>
    <w:rsid w:val="52DAFC6A"/>
    <w:rsid w:val="52DC7A57"/>
    <w:rsid w:val="52E45B3E"/>
    <w:rsid w:val="52E6BCB8"/>
    <w:rsid w:val="52EA61A1"/>
    <w:rsid w:val="52F09A5B"/>
    <w:rsid w:val="52F1C6C4"/>
    <w:rsid w:val="52F1E349"/>
    <w:rsid w:val="52F30648"/>
    <w:rsid w:val="52F56EC9"/>
    <w:rsid w:val="52F58F3E"/>
    <w:rsid w:val="52FB919A"/>
    <w:rsid w:val="52FFD5F5"/>
    <w:rsid w:val="530522BF"/>
    <w:rsid w:val="53073CA1"/>
    <w:rsid w:val="530E54FA"/>
    <w:rsid w:val="53101E6E"/>
    <w:rsid w:val="5312A3F9"/>
    <w:rsid w:val="53161CD6"/>
    <w:rsid w:val="53182B02"/>
    <w:rsid w:val="531878C6"/>
    <w:rsid w:val="531ABDA7"/>
    <w:rsid w:val="531B2405"/>
    <w:rsid w:val="531B8474"/>
    <w:rsid w:val="53201032"/>
    <w:rsid w:val="53204C48"/>
    <w:rsid w:val="53222591"/>
    <w:rsid w:val="53227500"/>
    <w:rsid w:val="532CBE7C"/>
    <w:rsid w:val="533174F3"/>
    <w:rsid w:val="53326E7C"/>
    <w:rsid w:val="5336E205"/>
    <w:rsid w:val="5337C346"/>
    <w:rsid w:val="533DBC89"/>
    <w:rsid w:val="533E5827"/>
    <w:rsid w:val="53402533"/>
    <w:rsid w:val="53405DED"/>
    <w:rsid w:val="5341FBC7"/>
    <w:rsid w:val="5342E9EE"/>
    <w:rsid w:val="534634AC"/>
    <w:rsid w:val="53488E7D"/>
    <w:rsid w:val="5349B833"/>
    <w:rsid w:val="5349CD21"/>
    <w:rsid w:val="534A9A9E"/>
    <w:rsid w:val="534C73F5"/>
    <w:rsid w:val="534DEBC5"/>
    <w:rsid w:val="534F6420"/>
    <w:rsid w:val="535929F2"/>
    <w:rsid w:val="535CC294"/>
    <w:rsid w:val="535D7BBF"/>
    <w:rsid w:val="535E867F"/>
    <w:rsid w:val="53604F1B"/>
    <w:rsid w:val="53608759"/>
    <w:rsid w:val="5362407F"/>
    <w:rsid w:val="5364A70B"/>
    <w:rsid w:val="536519F3"/>
    <w:rsid w:val="5366390D"/>
    <w:rsid w:val="536A4FAE"/>
    <w:rsid w:val="53728904"/>
    <w:rsid w:val="53766A2D"/>
    <w:rsid w:val="537A056E"/>
    <w:rsid w:val="537B55DA"/>
    <w:rsid w:val="537D4EA6"/>
    <w:rsid w:val="5380BB47"/>
    <w:rsid w:val="53818DFC"/>
    <w:rsid w:val="53823775"/>
    <w:rsid w:val="5383C873"/>
    <w:rsid w:val="538454FD"/>
    <w:rsid w:val="538497BA"/>
    <w:rsid w:val="5386E10A"/>
    <w:rsid w:val="5387368A"/>
    <w:rsid w:val="53889B1D"/>
    <w:rsid w:val="53895D80"/>
    <w:rsid w:val="538CB913"/>
    <w:rsid w:val="538D1130"/>
    <w:rsid w:val="538FDED5"/>
    <w:rsid w:val="53994AE3"/>
    <w:rsid w:val="539F35C8"/>
    <w:rsid w:val="53A43785"/>
    <w:rsid w:val="53A4F422"/>
    <w:rsid w:val="53AD8A18"/>
    <w:rsid w:val="53B8483C"/>
    <w:rsid w:val="53B99094"/>
    <w:rsid w:val="53BBD323"/>
    <w:rsid w:val="53BCC205"/>
    <w:rsid w:val="53BF17FF"/>
    <w:rsid w:val="53C0F0DE"/>
    <w:rsid w:val="53C99877"/>
    <w:rsid w:val="53C9ACE8"/>
    <w:rsid w:val="53CA9032"/>
    <w:rsid w:val="53CBB98F"/>
    <w:rsid w:val="53CC35BD"/>
    <w:rsid w:val="53CC68E4"/>
    <w:rsid w:val="53D057FC"/>
    <w:rsid w:val="53D34A21"/>
    <w:rsid w:val="53D4A8F6"/>
    <w:rsid w:val="53D508F2"/>
    <w:rsid w:val="53D7BEBD"/>
    <w:rsid w:val="53D7CA35"/>
    <w:rsid w:val="53D88ADF"/>
    <w:rsid w:val="53D8B34E"/>
    <w:rsid w:val="53DD0752"/>
    <w:rsid w:val="53DEB784"/>
    <w:rsid w:val="53E58488"/>
    <w:rsid w:val="53E79364"/>
    <w:rsid w:val="53E86024"/>
    <w:rsid w:val="53EF3936"/>
    <w:rsid w:val="53EFBAE9"/>
    <w:rsid w:val="53F23611"/>
    <w:rsid w:val="53F561F9"/>
    <w:rsid w:val="53F6DCE7"/>
    <w:rsid w:val="53F8823E"/>
    <w:rsid w:val="53FD1BBB"/>
    <w:rsid w:val="53FF0422"/>
    <w:rsid w:val="54000F5A"/>
    <w:rsid w:val="540075B1"/>
    <w:rsid w:val="540410ED"/>
    <w:rsid w:val="540C2D21"/>
    <w:rsid w:val="5410224A"/>
    <w:rsid w:val="5416B7D5"/>
    <w:rsid w:val="541B034F"/>
    <w:rsid w:val="541F09BE"/>
    <w:rsid w:val="5423FBE7"/>
    <w:rsid w:val="542C4F4C"/>
    <w:rsid w:val="54316F18"/>
    <w:rsid w:val="5431EAB3"/>
    <w:rsid w:val="54329934"/>
    <w:rsid w:val="54338144"/>
    <w:rsid w:val="543677B3"/>
    <w:rsid w:val="543898CC"/>
    <w:rsid w:val="543BAC7B"/>
    <w:rsid w:val="543C7D76"/>
    <w:rsid w:val="543FD771"/>
    <w:rsid w:val="54453159"/>
    <w:rsid w:val="54453E0A"/>
    <w:rsid w:val="54454714"/>
    <w:rsid w:val="54469689"/>
    <w:rsid w:val="5451B1D1"/>
    <w:rsid w:val="54534D09"/>
    <w:rsid w:val="5455DD9D"/>
    <w:rsid w:val="545898BD"/>
    <w:rsid w:val="54591E4D"/>
    <w:rsid w:val="5459CE5F"/>
    <w:rsid w:val="5460D339"/>
    <w:rsid w:val="5460D8A6"/>
    <w:rsid w:val="54631906"/>
    <w:rsid w:val="54684490"/>
    <w:rsid w:val="5469F852"/>
    <w:rsid w:val="546BBA0D"/>
    <w:rsid w:val="546C375B"/>
    <w:rsid w:val="5471EC4C"/>
    <w:rsid w:val="547B2460"/>
    <w:rsid w:val="5481F6BB"/>
    <w:rsid w:val="54878BD0"/>
    <w:rsid w:val="5487C268"/>
    <w:rsid w:val="54897BB4"/>
    <w:rsid w:val="548A2830"/>
    <w:rsid w:val="548CFDDD"/>
    <w:rsid w:val="548DC4D8"/>
    <w:rsid w:val="5491234F"/>
    <w:rsid w:val="54914F2E"/>
    <w:rsid w:val="5494EB63"/>
    <w:rsid w:val="5496FF21"/>
    <w:rsid w:val="54996B58"/>
    <w:rsid w:val="549A1770"/>
    <w:rsid w:val="549F8DCD"/>
    <w:rsid w:val="54A4C30D"/>
    <w:rsid w:val="54AD28BF"/>
    <w:rsid w:val="54AE5770"/>
    <w:rsid w:val="54B20D98"/>
    <w:rsid w:val="54B24F48"/>
    <w:rsid w:val="54B62243"/>
    <w:rsid w:val="54B65DD1"/>
    <w:rsid w:val="54B70754"/>
    <w:rsid w:val="54BE937A"/>
    <w:rsid w:val="54C65278"/>
    <w:rsid w:val="54CD06A1"/>
    <w:rsid w:val="54CD5CEE"/>
    <w:rsid w:val="54D04B6A"/>
    <w:rsid w:val="54DB0B01"/>
    <w:rsid w:val="54DDA070"/>
    <w:rsid w:val="54E02D9D"/>
    <w:rsid w:val="54E033D0"/>
    <w:rsid w:val="54E8A8AA"/>
    <w:rsid w:val="54E90FEC"/>
    <w:rsid w:val="54EB07FC"/>
    <w:rsid w:val="54ED455A"/>
    <w:rsid w:val="54EDC77B"/>
    <w:rsid w:val="54EFB7E5"/>
    <w:rsid w:val="54F13E82"/>
    <w:rsid w:val="54F52981"/>
    <w:rsid w:val="54F7FF20"/>
    <w:rsid w:val="54F9308C"/>
    <w:rsid w:val="54F945C0"/>
    <w:rsid w:val="54FA1DB5"/>
    <w:rsid w:val="54FA6D3A"/>
    <w:rsid w:val="550A9E7A"/>
    <w:rsid w:val="550ADFC4"/>
    <w:rsid w:val="550B4C9E"/>
    <w:rsid w:val="5511F695"/>
    <w:rsid w:val="5516D091"/>
    <w:rsid w:val="55176EE4"/>
    <w:rsid w:val="551832B7"/>
    <w:rsid w:val="5519E347"/>
    <w:rsid w:val="551B2755"/>
    <w:rsid w:val="551C7E31"/>
    <w:rsid w:val="551CF52F"/>
    <w:rsid w:val="551F755C"/>
    <w:rsid w:val="5520864D"/>
    <w:rsid w:val="5520FE2B"/>
    <w:rsid w:val="5521F9A0"/>
    <w:rsid w:val="5525BFDB"/>
    <w:rsid w:val="5526678E"/>
    <w:rsid w:val="552DB128"/>
    <w:rsid w:val="552EB9EA"/>
    <w:rsid w:val="5532FA42"/>
    <w:rsid w:val="553314E2"/>
    <w:rsid w:val="5537F6F4"/>
    <w:rsid w:val="553889D0"/>
    <w:rsid w:val="553B5623"/>
    <w:rsid w:val="553C1CCD"/>
    <w:rsid w:val="5541787B"/>
    <w:rsid w:val="5541E53F"/>
    <w:rsid w:val="5543421D"/>
    <w:rsid w:val="55491205"/>
    <w:rsid w:val="554A3260"/>
    <w:rsid w:val="554C28B0"/>
    <w:rsid w:val="554D5833"/>
    <w:rsid w:val="554DE7B4"/>
    <w:rsid w:val="5551DF7B"/>
    <w:rsid w:val="5552F826"/>
    <w:rsid w:val="555587E4"/>
    <w:rsid w:val="55560904"/>
    <w:rsid w:val="555D13F8"/>
    <w:rsid w:val="555E1FBD"/>
    <w:rsid w:val="555F1D33"/>
    <w:rsid w:val="55611E14"/>
    <w:rsid w:val="5561F413"/>
    <w:rsid w:val="5564C3C8"/>
    <w:rsid w:val="55660D86"/>
    <w:rsid w:val="556A2F28"/>
    <w:rsid w:val="556C8F32"/>
    <w:rsid w:val="556CF124"/>
    <w:rsid w:val="557118D7"/>
    <w:rsid w:val="5573C20F"/>
    <w:rsid w:val="55748879"/>
    <w:rsid w:val="5576700E"/>
    <w:rsid w:val="5578458E"/>
    <w:rsid w:val="5578551B"/>
    <w:rsid w:val="55798067"/>
    <w:rsid w:val="5584039F"/>
    <w:rsid w:val="55869F90"/>
    <w:rsid w:val="558AB9E7"/>
    <w:rsid w:val="558BF38D"/>
    <w:rsid w:val="558C4655"/>
    <w:rsid w:val="558E1C57"/>
    <w:rsid w:val="559035F3"/>
    <w:rsid w:val="5591BCF0"/>
    <w:rsid w:val="559538EF"/>
    <w:rsid w:val="5597E782"/>
    <w:rsid w:val="5598024F"/>
    <w:rsid w:val="559906B7"/>
    <w:rsid w:val="55997932"/>
    <w:rsid w:val="559E1CED"/>
    <w:rsid w:val="55A20EC8"/>
    <w:rsid w:val="55A27F8E"/>
    <w:rsid w:val="55A4808C"/>
    <w:rsid w:val="55A4D4F1"/>
    <w:rsid w:val="55ABF6C6"/>
    <w:rsid w:val="55AD4645"/>
    <w:rsid w:val="55ADB946"/>
    <w:rsid w:val="55B031B9"/>
    <w:rsid w:val="55B7157E"/>
    <w:rsid w:val="55B7D918"/>
    <w:rsid w:val="55B82D1C"/>
    <w:rsid w:val="55B83515"/>
    <w:rsid w:val="55BD65CC"/>
    <w:rsid w:val="55C20B51"/>
    <w:rsid w:val="55C2133F"/>
    <w:rsid w:val="55C4D806"/>
    <w:rsid w:val="55C5C4BA"/>
    <w:rsid w:val="55C61DDB"/>
    <w:rsid w:val="55C7A9FB"/>
    <w:rsid w:val="55C9949F"/>
    <w:rsid w:val="55CDB3A8"/>
    <w:rsid w:val="55D22625"/>
    <w:rsid w:val="55D3A8C8"/>
    <w:rsid w:val="55D3CE8A"/>
    <w:rsid w:val="55D582E4"/>
    <w:rsid w:val="55D9F07B"/>
    <w:rsid w:val="55DD53ED"/>
    <w:rsid w:val="55DDA674"/>
    <w:rsid w:val="55E44488"/>
    <w:rsid w:val="55E76E56"/>
    <w:rsid w:val="55E8F6FD"/>
    <w:rsid w:val="55F0ED9D"/>
    <w:rsid w:val="55F7DBB6"/>
    <w:rsid w:val="55F863B4"/>
    <w:rsid w:val="55F96B41"/>
    <w:rsid w:val="55FB5714"/>
    <w:rsid w:val="55FEA46F"/>
    <w:rsid w:val="56057CEC"/>
    <w:rsid w:val="560772B3"/>
    <w:rsid w:val="560AF796"/>
    <w:rsid w:val="560B7A20"/>
    <w:rsid w:val="56103840"/>
    <w:rsid w:val="561131C4"/>
    <w:rsid w:val="5618EE70"/>
    <w:rsid w:val="561A728F"/>
    <w:rsid w:val="561AB68F"/>
    <w:rsid w:val="561F142D"/>
    <w:rsid w:val="561FCDB9"/>
    <w:rsid w:val="56207651"/>
    <w:rsid w:val="56215CAA"/>
    <w:rsid w:val="56240D19"/>
    <w:rsid w:val="56240E2A"/>
    <w:rsid w:val="5624CD3C"/>
    <w:rsid w:val="5625A19C"/>
    <w:rsid w:val="562774CE"/>
    <w:rsid w:val="563178F1"/>
    <w:rsid w:val="5633D5A9"/>
    <w:rsid w:val="56354778"/>
    <w:rsid w:val="5641201F"/>
    <w:rsid w:val="5647DA25"/>
    <w:rsid w:val="5649B339"/>
    <w:rsid w:val="5649EF82"/>
    <w:rsid w:val="564CFADB"/>
    <w:rsid w:val="56515229"/>
    <w:rsid w:val="56530C6C"/>
    <w:rsid w:val="5655D7C4"/>
    <w:rsid w:val="56581366"/>
    <w:rsid w:val="5659557D"/>
    <w:rsid w:val="565B45B0"/>
    <w:rsid w:val="565CCDAD"/>
    <w:rsid w:val="565F1074"/>
    <w:rsid w:val="566609DF"/>
    <w:rsid w:val="56672B9C"/>
    <w:rsid w:val="566BE5BF"/>
    <w:rsid w:val="566BFA2C"/>
    <w:rsid w:val="566C1FA6"/>
    <w:rsid w:val="566C31BA"/>
    <w:rsid w:val="566C543A"/>
    <w:rsid w:val="566C8C9E"/>
    <w:rsid w:val="566FE69E"/>
    <w:rsid w:val="567031BC"/>
    <w:rsid w:val="5670C1E8"/>
    <w:rsid w:val="5670D25A"/>
    <w:rsid w:val="5671748A"/>
    <w:rsid w:val="567F27D2"/>
    <w:rsid w:val="568ED35C"/>
    <w:rsid w:val="56906833"/>
    <w:rsid w:val="569279D5"/>
    <w:rsid w:val="5692EF1C"/>
    <w:rsid w:val="56938F11"/>
    <w:rsid w:val="56958D07"/>
    <w:rsid w:val="5698624A"/>
    <w:rsid w:val="56986BC8"/>
    <w:rsid w:val="56994AB7"/>
    <w:rsid w:val="56A08745"/>
    <w:rsid w:val="56A3E7FD"/>
    <w:rsid w:val="56A48656"/>
    <w:rsid w:val="56A58335"/>
    <w:rsid w:val="56A73B38"/>
    <w:rsid w:val="56A7AB1E"/>
    <w:rsid w:val="56A97F9A"/>
    <w:rsid w:val="56AB9B93"/>
    <w:rsid w:val="56B0862F"/>
    <w:rsid w:val="56B2E612"/>
    <w:rsid w:val="56B7388E"/>
    <w:rsid w:val="56BA9D59"/>
    <w:rsid w:val="56BCD4EB"/>
    <w:rsid w:val="56C1220B"/>
    <w:rsid w:val="56C2490B"/>
    <w:rsid w:val="56C273C6"/>
    <w:rsid w:val="56C3FC1C"/>
    <w:rsid w:val="56C41B71"/>
    <w:rsid w:val="56C543D7"/>
    <w:rsid w:val="56C8C185"/>
    <w:rsid w:val="56CB5C55"/>
    <w:rsid w:val="56CD2E40"/>
    <w:rsid w:val="56CDAEED"/>
    <w:rsid w:val="56CFE371"/>
    <w:rsid w:val="56D86563"/>
    <w:rsid w:val="56DE81CA"/>
    <w:rsid w:val="56E228BC"/>
    <w:rsid w:val="56EAF079"/>
    <w:rsid w:val="56ED81F6"/>
    <w:rsid w:val="56EDDA56"/>
    <w:rsid w:val="56F1FEF9"/>
    <w:rsid w:val="56F2DD5B"/>
    <w:rsid w:val="56F31F3E"/>
    <w:rsid w:val="56F5B2E5"/>
    <w:rsid w:val="56F606A3"/>
    <w:rsid w:val="56F7A6A9"/>
    <w:rsid w:val="56FAB572"/>
    <w:rsid w:val="56FB7139"/>
    <w:rsid w:val="56FC0040"/>
    <w:rsid w:val="5700A3A9"/>
    <w:rsid w:val="57022235"/>
    <w:rsid w:val="57022333"/>
    <w:rsid w:val="57071C9C"/>
    <w:rsid w:val="57084DB4"/>
    <w:rsid w:val="570BF737"/>
    <w:rsid w:val="5710F78E"/>
    <w:rsid w:val="5711E0E3"/>
    <w:rsid w:val="571AC3FA"/>
    <w:rsid w:val="5728FE5F"/>
    <w:rsid w:val="572F0AC7"/>
    <w:rsid w:val="57317077"/>
    <w:rsid w:val="573782B4"/>
    <w:rsid w:val="5737CF95"/>
    <w:rsid w:val="573D6159"/>
    <w:rsid w:val="573E6068"/>
    <w:rsid w:val="573FCA48"/>
    <w:rsid w:val="5740F667"/>
    <w:rsid w:val="5747AE4A"/>
    <w:rsid w:val="5748CA07"/>
    <w:rsid w:val="5748D3BC"/>
    <w:rsid w:val="574B36B2"/>
    <w:rsid w:val="574F7746"/>
    <w:rsid w:val="57516B2B"/>
    <w:rsid w:val="57521332"/>
    <w:rsid w:val="5753FC35"/>
    <w:rsid w:val="575402AC"/>
    <w:rsid w:val="57552F98"/>
    <w:rsid w:val="57559946"/>
    <w:rsid w:val="575771EB"/>
    <w:rsid w:val="5758D156"/>
    <w:rsid w:val="5762F5EF"/>
    <w:rsid w:val="57685ED9"/>
    <w:rsid w:val="57693C9D"/>
    <w:rsid w:val="576AFFF5"/>
    <w:rsid w:val="576C9771"/>
    <w:rsid w:val="5770EA34"/>
    <w:rsid w:val="577267B9"/>
    <w:rsid w:val="577342A0"/>
    <w:rsid w:val="5774C68F"/>
    <w:rsid w:val="57750840"/>
    <w:rsid w:val="577ACC6F"/>
    <w:rsid w:val="577BA8C3"/>
    <w:rsid w:val="577E711B"/>
    <w:rsid w:val="577EECF2"/>
    <w:rsid w:val="57816DD2"/>
    <w:rsid w:val="578413B3"/>
    <w:rsid w:val="5784392D"/>
    <w:rsid w:val="578521B5"/>
    <w:rsid w:val="5785E87E"/>
    <w:rsid w:val="578A3D1C"/>
    <w:rsid w:val="578B833E"/>
    <w:rsid w:val="5793FBB4"/>
    <w:rsid w:val="579AB9A3"/>
    <w:rsid w:val="579CF74A"/>
    <w:rsid w:val="579EDE93"/>
    <w:rsid w:val="57A2F1FE"/>
    <w:rsid w:val="57AE820F"/>
    <w:rsid w:val="57AEBF18"/>
    <w:rsid w:val="57B107FC"/>
    <w:rsid w:val="57B122BE"/>
    <w:rsid w:val="57B293E9"/>
    <w:rsid w:val="57B39321"/>
    <w:rsid w:val="57B4581B"/>
    <w:rsid w:val="57B47D85"/>
    <w:rsid w:val="57BD8540"/>
    <w:rsid w:val="57BDBF63"/>
    <w:rsid w:val="57BFF0B1"/>
    <w:rsid w:val="57C070F5"/>
    <w:rsid w:val="57C1867A"/>
    <w:rsid w:val="57C3A512"/>
    <w:rsid w:val="57C3ACF8"/>
    <w:rsid w:val="57C76B9E"/>
    <w:rsid w:val="57CA1124"/>
    <w:rsid w:val="57CC0CCE"/>
    <w:rsid w:val="57CCAB99"/>
    <w:rsid w:val="57CF388C"/>
    <w:rsid w:val="57CF498B"/>
    <w:rsid w:val="57D0DC91"/>
    <w:rsid w:val="57D6012B"/>
    <w:rsid w:val="57E4486E"/>
    <w:rsid w:val="57EA2F86"/>
    <w:rsid w:val="57F29B10"/>
    <w:rsid w:val="57F5828B"/>
    <w:rsid w:val="57FE8991"/>
    <w:rsid w:val="5801A2B9"/>
    <w:rsid w:val="5801CADE"/>
    <w:rsid w:val="5803DA4C"/>
    <w:rsid w:val="58058824"/>
    <w:rsid w:val="58064425"/>
    <w:rsid w:val="58069708"/>
    <w:rsid w:val="580CF2F7"/>
    <w:rsid w:val="580EC869"/>
    <w:rsid w:val="58131785"/>
    <w:rsid w:val="58182B0E"/>
    <w:rsid w:val="5818A074"/>
    <w:rsid w:val="58193C77"/>
    <w:rsid w:val="5828F00B"/>
    <w:rsid w:val="5829534A"/>
    <w:rsid w:val="5830E3CC"/>
    <w:rsid w:val="58319E4C"/>
    <w:rsid w:val="58379289"/>
    <w:rsid w:val="583D328F"/>
    <w:rsid w:val="5845A447"/>
    <w:rsid w:val="5848EE20"/>
    <w:rsid w:val="584BE6A1"/>
    <w:rsid w:val="58505865"/>
    <w:rsid w:val="58569F83"/>
    <w:rsid w:val="585FA2C3"/>
    <w:rsid w:val="58614A96"/>
    <w:rsid w:val="5862C29D"/>
    <w:rsid w:val="58693959"/>
    <w:rsid w:val="586E8227"/>
    <w:rsid w:val="58727E77"/>
    <w:rsid w:val="587286EA"/>
    <w:rsid w:val="5874183A"/>
    <w:rsid w:val="58746F0F"/>
    <w:rsid w:val="587B6630"/>
    <w:rsid w:val="587B79B5"/>
    <w:rsid w:val="58836B9B"/>
    <w:rsid w:val="5885679F"/>
    <w:rsid w:val="588581B1"/>
    <w:rsid w:val="58899B56"/>
    <w:rsid w:val="588B4C16"/>
    <w:rsid w:val="588BE288"/>
    <w:rsid w:val="58910A18"/>
    <w:rsid w:val="5894E79C"/>
    <w:rsid w:val="5894E821"/>
    <w:rsid w:val="58987D6F"/>
    <w:rsid w:val="589C5071"/>
    <w:rsid w:val="589E7990"/>
    <w:rsid w:val="58A01566"/>
    <w:rsid w:val="58A082EF"/>
    <w:rsid w:val="58A3D849"/>
    <w:rsid w:val="58A7CD94"/>
    <w:rsid w:val="58A915F3"/>
    <w:rsid w:val="58ABBC52"/>
    <w:rsid w:val="58AC293B"/>
    <w:rsid w:val="58B6F71F"/>
    <w:rsid w:val="58B9DE9A"/>
    <w:rsid w:val="58C034FA"/>
    <w:rsid w:val="58C16640"/>
    <w:rsid w:val="58C1FBCC"/>
    <w:rsid w:val="58C3EF61"/>
    <w:rsid w:val="58C8923C"/>
    <w:rsid w:val="58CCFD76"/>
    <w:rsid w:val="58CD0CFD"/>
    <w:rsid w:val="58D9A072"/>
    <w:rsid w:val="58DD0EDC"/>
    <w:rsid w:val="58E1B47E"/>
    <w:rsid w:val="58E6879D"/>
    <w:rsid w:val="58E70947"/>
    <w:rsid w:val="58E7117F"/>
    <w:rsid w:val="58EB8AFA"/>
    <w:rsid w:val="58EC178F"/>
    <w:rsid w:val="58F00946"/>
    <w:rsid w:val="58F16EE7"/>
    <w:rsid w:val="58F83499"/>
    <w:rsid w:val="58FB754A"/>
    <w:rsid w:val="58FD0848"/>
    <w:rsid w:val="58FE7CC9"/>
    <w:rsid w:val="59005BCF"/>
    <w:rsid w:val="590228B8"/>
    <w:rsid w:val="5904ADCD"/>
    <w:rsid w:val="5904FD75"/>
    <w:rsid w:val="5905BB40"/>
    <w:rsid w:val="59095439"/>
    <w:rsid w:val="5909728D"/>
    <w:rsid w:val="590C6F93"/>
    <w:rsid w:val="590CBF29"/>
    <w:rsid w:val="59106B81"/>
    <w:rsid w:val="5910BF79"/>
    <w:rsid w:val="59143785"/>
    <w:rsid w:val="5914EE36"/>
    <w:rsid w:val="591F0091"/>
    <w:rsid w:val="592079CE"/>
    <w:rsid w:val="5920F6CC"/>
    <w:rsid w:val="5922671C"/>
    <w:rsid w:val="5929AD1E"/>
    <w:rsid w:val="592E477A"/>
    <w:rsid w:val="592F7A62"/>
    <w:rsid w:val="5931A5DD"/>
    <w:rsid w:val="59387C5D"/>
    <w:rsid w:val="5941CC9E"/>
    <w:rsid w:val="5942C0D1"/>
    <w:rsid w:val="594A365F"/>
    <w:rsid w:val="594B0131"/>
    <w:rsid w:val="594B6EAA"/>
    <w:rsid w:val="594EE826"/>
    <w:rsid w:val="594F07FE"/>
    <w:rsid w:val="59518273"/>
    <w:rsid w:val="59562F31"/>
    <w:rsid w:val="5957C866"/>
    <w:rsid w:val="5958EAAA"/>
    <w:rsid w:val="59598927"/>
    <w:rsid w:val="595D9E16"/>
    <w:rsid w:val="595F77C7"/>
    <w:rsid w:val="5960E2E7"/>
    <w:rsid w:val="596156E7"/>
    <w:rsid w:val="59631AB7"/>
    <w:rsid w:val="5969785B"/>
    <w:rsid w:val="596DB952"/>
    <w:rsid w:val="596F24CD"/>
    <w:rsid w:val="59718337"/>
    <w:rsid w:val="59757E2B"/>
    <w:rsid w:val="5976290B"/>
    <w:rsid w:val="5978A169"/>
    <w:rsid w:val="597B0FF7"/>
    <w:rsid w:val="597DB611"/>
    <w:rsid w:val="597F1BFC"/>
    <w:rsid w:val="597FA546"/>
    <w:rsid w:val="598208AB"/>
    <w:rsid w:val="598217C7"/>
    <w:rsid w:val="59860A50"/>
    <w:rsid w:val="59874002"/>
    <w:rsid w:val="59886CE9"/>
    <w:rsid w:val="5990A7BE"/>
    <w:rsid w:val="59941D44"/>
    <w:rsid w:val="59958634"/>
    <w:rsid w:val="5998A123"/>
    <w:rsid w:val="59A0B677"/>
    <w:rsid w:val="59ADC13D"/>
    <w:rsid w:val="59AE4E58"/>
    <w:rsid w:val="59AE4F43"/>
    <w:rsid w:val="59B8AB4F"/>
    <w:rsid w:val="59B90A8E"/>
    <w:rsid w:val="59B9136A"/>
    <w:rsid w:val="59B99C6A"/>
    <w:rsid w:val="59BCB209"/>
    <w:rsid w:val="59BDC4E7"/>
    <w:rsid w:val="59C12694"/>
    <w:rsid w:val="59C38864"/>
    <w:rsid w:val="59C7C25F"/>
    <w:rsid w:val="59CA2C7D"/>
    <w:rsid w:val="59CA3819"/>
    <w:rsid w:val="59CA759E"/>
    <w:rsid w:val="59CFEA3A"/>
    <w:rsid w:val="59D057D3"/>
    <w:rsid w:val="59D6EE62"/>
    <w:rsid w:val="59D72DF7"/>
    <w:rsid w:val="59DA2B02"/>
    <w:rsid w:val="59DC82E8"/>
    <w:rsid w:val="59DCF0BF"/>
    <w:rsid w:val="59DF0810"/>
    <w:rsid w:val="59E05F61"/>
    <w:rsid w:val="59E08FE0"/>
    <w:rsid w:val="59E417FA"/>
    <w:rsid w:val="59E87A9D"/>
    <w:rsid w:val="59EDAC9E"/>
    <w:rsid w:val="59EDFE40"/>
    <w:rsid w:val="59F139C1"/>
    <w:rsid w:val="59F30709"/>
    <w:rsid w:val="5A023036"/>
    <w:rsid w:val="5A03BAFA"/>
    <w:rsid w:val="5A0456B9"/>
    <w:rsid w:val="5A0A6539"/>
    <w:rsid w:val="5A11C3BB"/>
    <w:rsid w:val="5A1445D5"/>
    <w:rsid w:val="5A174F58"/>
    <w:rsid w:val="5A190046"/>
    <w:rsid w:val="5A19C2ED"/>
    <w:rsid w:val="5A1CC858"/>
    <w:rsid w:val="5A1D26AE"/>
    <w:rsid w:val="5A1FF7C1"/>
    <w:rsid w:val="5A210EDF"/>
    <w:rsid w:val="5A239198"/>
    <w:rsid w:val="5A31228A"/>
    <w:rsid w:val="5A31BDDA"/>
    <w:rsid w:val="5A320265"/>
    <w:rsid w:val="5A35D25F"/>
    <w:rsid w:val="5A37A869"/>
    <w:rsid w:val="5A386E3B"/>
    <w:rsid w:val="5A42320B"/>
    <w:rsid w:val="5A475F5D"/>
    <w:rsid w:val="5A482EF2"/>
    <w:rsid w:val="5A4B29DA"/>
    <w:rsid w:val="5A573D34"/>
    <w:rsid w:val="5A5EE10F"/>
    <w:rsid w:val="5A60B4D9"/>
    <w:rsid w:val="5A60D36A"/>
    <w:rsid w:val="5A69900D"/>
    <w:rsid w:val="5A6D8CDC"/>
    <w:rsid w:val="5A7353C7"/>
    <w:rsid w:val="5A740F16"/>
    <w:rsid w:val="5A741259"/>
    <w:rsid w:val="5A758217"/>
    <w:rsid w:val="5A7855B0"/>
    <w:rsid w:val="5A7BFF94"/>
    <w:rsid w:val="5A7C7F9F"/>
    <w:rsid w:val="5A8110B2"/>
    <w:rsid w:val="5A842280"/>
    <w:rsid w:val="5A87FBFD"/>
    <w:rsid w:val="5A8FF411"/>
    <w:rsid w:val="5A927AE0"/>
    <w:rsid w:val="5A937E58"/>
    <w:rsid w:val="5A9509E6"/>
    <w:rsid w:val="5A967DB7"/>
    <w:rsid w:val="5A96F8FE"/>
    <w:rsid w:val="5A975A6A"/>
    <w:rsid w:val="5AA0DB2B"/>
    <w:rsid w:val="5AA64093"/>
    <w:rsid w:val="5AA6AA1E"/>
    <w:rsid w:val="5AA85E29"/>
    <w:rsid w:val="5AAB74D6"/>
    <w:rsid w:val="5ABABA59"/>
    <w:rsid w:val="5ABAC0CA"/>
    <w:rsid w:val="5ABBF7A2"/>
    <w:rsid w:val="5AC300FC"/>
    <w:rsid w:val="5AC31479"/>
    <w:rsid w:val="5AC45EC0"/>
    <w:rsid w:val="5AC49E5C"/>
    <w:rsid w:val="5AC9AF2E"/>
    <w:rsid w:val="5ACA581D"/>
    <w:rsid w:val="5ACD63DE"/>
    <w:rsid w:val="5AD10A88"/>
    <w:rsid w:val="5AD2BADB"/>
    <w:rsid w:val="5AD4E632"/>
    <w:rsid w:val="5ADAB8EA"/>
    <w:rsid w:val="5ADECCB8"/>
    <w:rsid w:val="5AE25014"/>
    <w:rsid w:val="5AECF421"/>
    <w:rsid w:val="5AF4CFFB"/>
    <w:rsid w:val="5AF599BF"/>
    <w:rsid w:val="5AF9BEC4"/>
    <w:rsid w:val="5AFB5C5E"/>
    <w:rsid w:val="5B00054B"/>
    <w:rsid w:val="5B0142BC"/>
    <w:rsid w:val="5B018CA3"/>
    <w:rsid w:val="5B029553"/>
    <w:rsid w:val="5B031626"/>
    <w:rsid w:val="5B047269"/>
    <w:rsid w:val="5B0D497C"/>
    <w:rsid w:val="5B0DDC32"/>
    <w:rsid w:val="5B0EA8E2"/>
    <w:rsid w:val="5B125BBE"/>
    <w:rsid w:val="5B15017A"/>
    <w:rsid w:val="5B1628FC"/>
    <w:rsid w:val="5B203C1F"/>
    <w:rsid w:val="5B2540DD"/>
    <w:rsid w:val="5B2AAD6D"/>
    <w:rsid w:val="5B2D0638"/>
    <w:rsid w:val="5B2D928A"/>
    <w:rsid w:val="5B2DA6AB"/>
    <w:rsid w:val="5B2FCA70"/>
    <w:rsid w:val="5B33AF41"/>
    <w:rsid w:val="5B35D105"/>
    <w:rsid w:val="5B38236D"/>
    <w:rsid w:val="5B392737"/>
    <w:rsid w:val="5B3D618B"/>
    <w:rsid w:val="5B3E3818"/>
    <w:rsid w:val="5B440B6F"/>
    <w:rsid w:val="5B4914A2"/>
    <w:rsid w:val="5B4FDFE4"/>
    <w:rsid w:val="5B50C75E"/>
    <w:rsid w:val="5B50DA55"/>
    <w:rsid w:val="5B57509E"/>
    <w:rsid w:val="5B5A7280"/>
    <w:rsid w:val="5B5F8405"/>
    <w:rsid w:val="5B61F493"/>
    <w:rsid w:val="5B61F83D"/>
    <w:rsid w:val="5B63D4F5"/>
    <w:rsid w:val="5B67780C"/>
    <w:rsid w:val="5B686128"/>
    <w:rsid w:val="5B6BCAA0"/>
    <w:rsid w:val="5B6D7F7A"/>
    <w:rsid w:val="5B6DF3BC"/>
    <w:rsid w:val="5B7295EC"/>
    <w:rsid w:val="5B75893C"/>
    <w:rsid w:val="5B75C5F3"/>
    <w:rsid w:val="5B7711C8"/>
    <w:rsid w:val="5B7F0DFF"/>
    <w:rsid w:val="5B80023C"/>
    <w:rsid w:val="5B80E2DB"/>
    <w:rsid w:val="5B84DE8C"/>
    <w:rsid w:val="5B851218"/>
    <w:rsid w:val="5B8E8D53"/>
    <w:rsid w:val="5B8EADDB"/>
    <w:rsid w:val="5B95E75F"/>
    <w:rsid w:val="5B9C4358"/>
    <w:rsid w:val="5B9ED123"/>
    <w:rsid w:val="5BA84284"/>
    <w:rsid w:val="5BA912B5"/>
    <w:rsid w:val="5BAA010E"/>
    <w:rsid w:val="5BAFBAED"/>
    <w:rsid w:val="5BB2428C"/>
    <w:rsid w:val="5BB5364F"/>
    <w:rsid w:val="5BBB3E9F"/>
    <w:rsid w:val="5BBC9930"/>
    <w:rsid w:val="5BC3DF4C"/>
    <w:rsid w:val="5BC50239"/>
    <w:rsid w:val="5BC62F43"/>
    <w:rsid w:val="5BC65767"/>
    <w:rsid w:val="5BCEB825"/>
    <w:rsid w:val="5BCF6B2C"/>
    <w:rsid w:val="5BCF9935"/>
    <w:rsid w:val="5BCFD38E"/>
    <w:rsid w:val="5BD0F7D9"/>
    <w:rsid w:val="5BD51634"/>
    <w:rsid w:val="5BD8B6B4"/>
    <w:rsid w:val="5BDC7550"/>
    <w:rsid w:val="5BDEEA43"/>
    <w:rsid w:val="5BE42A5C"/>
    <w:rsid w:val="5BE96E17"/>
    <w:rsid w:val="5BE9AE46"/>
    <w:rsid w:val="5BEC9583"/>
    <w:rsid w:val="5BF04805"/>
    <w:rsid w:val="5BF1D815"/>
    <w:rsid w:val="5BFAA672"/>
    <w:rsid w:val="5BFC3801"/>
    <w:rsid w:val="5BFCC62A"/>
    <w:rsid w:val="5BFD9B8B"/>
    <w:rsid w:val="5BFF459A"/>
    <w:rsid w:val="5BFFB05E"/>
    <w:rsid w:val="5BFFDE2D"/>
    <w:rsid w:val="5C019388"/>
    <w:rsid w:val="5C044A78"/>
    <w:rsid w:val="5C04B977"/>
    <w:rsid w:val="5C066912"/>
    <w:rsid w:val="5C09686C"/>
    <w:rsid w:val="5C0E4D9B"/>
    <w:rsid w:val="5C107B18"/>
    <w:rsid w:val="5C11A265"/>
    <w:rsid w:val="5C11D956"/>
    <w:rsid w:val="5C1A3983"/>
    <w:rsid w:val="5C1FA801"/>
    <w:rsid w:val="5C22715F"/>
    <w:rsid w:val="5C22CF6F"/>
    <w:rsid w:val="5C2471FE"/>
    <w:rsid w:val="5C27D7FE"/>
    <w:rsid w:val="5C2DDB8E"/>
    <w:rsid w:val="5C3060AF"/>
    <w:rsid w:val="5C31A134"/>
    <w:rsid w:val="5C3298C7"/>
    <w:rsid w:val="5C38682C"/>
    <w:rsid w:val="5C414B78"/>
    <w:rsid w:val="5C47D5AA"/>
    <w:rsid w:val="5C49BF51"/>
    <w:rsid w:val="5C4A553B"/>
    <w:rsid w:val="5C4B9942"/>
    <w:rsid w:val="5C522F6A"/>
    <w:rsid w:val="5C52ADEE"/>
    <w:rsid w:val="5C52DB12"/>
    <w:rsid w:val="5C58943E"/>
    <w:rsid w:val="5C5E1D34"/>
    <w:rsid w:val="5C5EDDBC"/>
    <w:rsid w:val="5C625DCA"/>
    <w:rsid w:val="5C68E728"/>
    <w:rsid w:val="5C69A154"/>
    <w:rsid w:val="5C6E6E4E"/>
    <w:rsid w:val="5C7371FB"/>
    <w:rsid w:val="5C74C2D9"/>
    <w:rsid w:val="5C761103"/>
    <w:rsid w:val="5C7AE191"/>
    <w:rsid w:val="5C7D350D"/>
    <w:rsid w:val="5C7DF5EA"/>
    <w:rsid w:val="5C80873D"/>
    <w:rsid w:val="5C8154FD"/>
    <w:rsid w:val="5C8561AF"/>
    <w:rsid w:val="5C8576BD"/>
    <w:rsid w:val="5C87A236"/>
    <w:rsid w:val="5C8934C4"/>
    <w:rsid w:val="5C8D9E90"/>
    <w:rsid w:val="5C903155"/>
    <w:rsid w:val="5C92ACD9"/>
    <w:rsid w:val="5C950BD1"/>
    <w:rsid w:val="5C95EC3B"/>
    <w:rsid w:val="5C9B9D3A"/>
    <w:rsid w:val="5CA4BB8E"/>
    <w:rsid w:val="5CAB9991"/>
    <w:rsid w:val="5CADF184"/>
    <w:rsid w:val="5CB44355"/>
    <w:rsid w:val="5CB5862D"/>
    <w:rsid w:val="5CB68AF6"/>
    <w:rsid w:val="5CB84A34"/>
    <w:rsid w:val="5CB8EBB6"/>
    <w:rsid w:val="5CBE633E"/>
    <w:rsid w:val="5CCA59E4"/>
    <w:rsid w:val="5CCED1E6"/>
    <w:rsid w:val="5CD111FE"/>
    <w:rsid w:val="5CD17158"/>
    <w:rsid w:val="5CD1D15C"/>
    <w:rsid w:val="5CD4F3A1"/>
    <w:rsid w:val="5CD8EA09"/>
    <w:rsid w:val="5CDBDE2B"/>
    <w:rsid w:val="5CDCFB83"/>
    <w:rsid w:val="5CDFA793"/>
    <w:rsid w:val="5CE020B9"/>
    <w:rsid w:val="5CE534F7"/>
    <w:rsid w:val="5CE61F83"/>
    <w:rsid w:val="5CE7E494"/>
    <w:rsid w:val="5CEDC78E"/>
    <w:rsid w:val="5CEE6515"/>
    <w:rsid w:val="5CEED1A3"/>
    <w:rsid w:val="5CF2D2D1"/>
    <w:rsid w:val="5CF44BAE"/>
    <w:rsid w:val="5CF9E7FE"/>
    <w:rsid w:val="5CFBACFD"/>
    <w:rsid w:val="5CFE003F"/>
    <w:rsid w:val="5D050311"/>
    <w:rsid w:val="5D092C4B"/>
    <w:rsid w:val="5D0C78D6"/>
    <w:rsid w:val="5D0FB5A7"/>
    <w:rsid w:val="5D106D37"/>
    <w:rsid w:val="5D15A52C"/>
    <w:rsid w:val="5D17A7E6"/>
    <w:rsid w:val="5D17AF90"/>
    <w:rsid w:val="5D19F009"/>
    <w:rsid w:val="5D1A4FC6"/>
    <w:rsid w:val="5D1CBDE5"/>
    <w:rsid w:val="5D27AC4F"/>
    <w:rsid w:val="5D290FF8"/>
    <w:rsid w:val="5D29CEB6"/>
    <w:rsid w:val="5D2A585F"/>
    <w:rsid w:val="5D2F6304"/>
    <w:rsid w:val="5D2FB9F5"/>
    <w:rsid w:val="5D32879B"/>
    <w:rsid w:val="5D329543"/>
    <w:rsid w:val="5D3486C0"/>
    <w:rsid w:val="5D3903E6"/>
    <w:rsid w:val="5D3FAA58"/>
    <w:rsid w:val="5D410C0E"/>
    <w:rsid w:val="5D4423C3"/>
    <w:rsid w:val="5D4A9232"/>
    <w:rsid w:val="5D4B2B73"/>
    <w:rsid w:val="5D4D9BDA"/>
    <w:rsid w:val="5D50AA19"/>
    <w:rsid w:val="5D53B341"/>
    <w:rsid w:val="5D53CD9A"/>
    <w:rsid w:val="5D563F26"/>
    <w:rsid w:val="5D575F84"/>
    <w:rsid w:val="5D597194"/>
    <w:rsid w:val="5D5EF76E"/>
    <w:rsid w:val="5D619651"/>
    <w:rsid w:val="5D65BC4A"/>
    <w:rsid w:val="5D685B33"/>
    <w:rsid w:val="5D6A9764"/>
    <w:rsid w:val="5D6DB9AC"/>
    <w:rsid w:val="5D6ED345"/>
    <w:rsid w:val="5D7147D3"/>
    <w:rsid w:val="5D74AAD6"/>
    <w:rsid w:val="5D766B2B"/>
    <w:rsid w:val="5D769711"/>
    <w:rsid w:val="5D76F41F"/>
    <w:rsid w:val="5D77C7F5"/>
    <w:rsid w:val="5D780172"/>
    <w:rsid w:val="5D78CF68"/>
    <w:rsid w:val="5D7DF384"/>
    <w:rsid w:val="5D824CC2"/>
    <w:rsid w:val="5D877F90"/>
    <w:rsid w:val="5D882944"/>
    <w:rsid w:val="5D8BD354"/>
    <w:rsid w:val="5D90BA45"/>
    <w:rsid w:val="5D949E44"/>
    <w:rsid w:val="5D97748C"/>
    <w:rsid w:val="5D9AC240"/>
    <w:rsid w:val="5D9B01AC"/>
    <w:rsid w:val="5D9CCE68"/>
    <w:rsid w:val="5D9DCF35"/>
    <w:rsid w:val="5DA51EBA"/>
    <w:rsid w:val="5DA91504"/>
    <w:rsid w:val="5DAE7D89"/>
    <w:rsid w:val="5DB0C4B7"/>
    <w:rsid w:val="5DB4C59D"/>
    <w:rsid w:val="5DB9179D"/>
    <w:rsid w:val="5DBC183F"/>
    <w:rsid w:val="5DC3B022"/>
    <w:rsid w:val="5DC5289A"/>
    <w:rsid w:val="5DCCFA55"/>
    <w:rsid w:val="5DCF84B2"/>
    <w:rsid w:val="5DD0A1A9"/>
    <w:rsid w:val="5DD49A9E"/>
    <w:rsid w:val="5DD59221"/>
    <w:rsid w:val="5DD84261"/>
    <w:rsid w:val="5DD8AB29"/>
    <w:rsid w:val="5DD8C75E"/>
    <w:rsid w:val="5DE18819"/>
    <w:rsid w:val="5DE2A679"/>
    <w:rsid w:val="5DE4C9EE"/>
    <w:rsid w:val="5DE783DE"/>
    <w:rsid w:val="5DE846C1"/>
    <w:rsid w:val="5DECFA2C"/>
    <w:rsid w:val="5DEDC6E7"/>
    <w:rsid w:val="5DF21080"/>
    <w:rsid w:val="5DFA710A"/>
    <w:rsid w:val="5DFE058F"/>
    <w:rsid w:val="5E00EF20"/>
    <w:rsid w:val="5E026EC5"/>
    <w:rsid w:val="5E06A563"/>
    <w:rsid w:val="5E085DE7"/>
    <w:rsid w:val="5E0AACD2"/>
    <w:rsid w:val="5E0D4A28"/>
    <w:rsid w:val="5E10516A"/>
    <w:rsid w:val="5E190847"/>
    <w:rsid w:val="5E19EF1F"/>
    <w:rsid w:val="5E25428F"/>
    <w:rsid w:val="5E257349"/>
    <w:rsid w:val="5E25A1FF"/>
    <w:rsid w:val="5E28F3F5"/>
    <w:rsid w:val="5E3040B9"/>
    <w:rsid w:val="5E308687"/>
    <w:rsid w:val="5E36C686"/>
    <w:rsid w:val="5E3DC845"/>
    <w:rsid w:val="5E3EDA9D"/>
    <w:rsid w:val="5E3EF6D1"/>
    <w:rsid w:val="5E41DFBD"/>
    <w:rsid w:val="5E427BF8"/>
    <w:rsid w:val="5E433590"/>
    <w:rsid w:val="5E44F804"/>
    <w:rsid w:val="5E46ED14"/>
    <w:rsid w:val="5E47BB10"/>
    <w:rsid w:val="5E48FE4C"/>
    <w:rsid w:val="5E4B90C9"/>
    <w:rsid w:val="5E52F980"/>
    <w:rsid w:val="5E5623B5"/>
    <w:rsid w:val="5E582EA7"/>
    <w:rsid w:val="5E5AC609"/>
    <w:rsid w:val="5E5E98C5"/>
    <w:rsid w:val="5E608EC6"/>
    <w:rsid w:val="5E630E7B"/>
    <w:rsid w:val="5E6474B5"/>
    <w:rsid w:val="5E6C3FDB"/>
    <w:rsid w:val="5E6CBF7D"/>
    <w:rsid w:val="5E6D350B"/>
    <w:rsid w:val="5E6D6A13"/>
    <w:rsid w:val="5E6DAC80"/>
    <w:rsid w:val="5E7096AD"/>
    <w:rsid w:val="5E738422"/>
    <w:rsid w:val="5E77CB20"/>
    <w:rsid w:val="5E7C3F83"/>
    <w:rsid w:val="5E7FA5CF"/>
    <w:rsid w:val="5E7FD865"/>
    <w:rsid w:val="5E820A6F"/>
    <w:rsid w:val="5E85C97C"/>
    <w:rsid w:val="5E899C59"/>
    <w:rsid w:val="5E8A1536"/>
    <w:rsid w:val="5E9142B7"/>
    <w:rsid w:val="5E91B14F"/>
    <w:rsid w:val="5E995F33"/>
    <w:rsid w:val="5E9E4866"/>
    <w:rsid w:val="5E9FD27D"/>
    <w:rsid w:val="5EA115E5"/>
    <w:rsid w:val="5EA38083"/>
    <w:rsid w:val="5EA42F74"/>
    <w:rsid w:val="5EA4547A"/>
    <w:rsid w:val="5EA47317"/>
    <w:rsid w:val="5EA52CFC"/>
    <w:rsid w:val="5EA7F198"/>
    <w:rsid w:val="5EAF1246"/>
    <w:rsid w:val="5EB2B20B"/>
    <w:rsid w:val="5EB5A725"/>
    <w:rsid w:val="5EB990E1"/>
    <w:rsid w:val="5EBAEC8D"/>
    <w:rsid w:val="5EBB9727"/>
    <w:rsid w:val="5EBCCFA1"/>
    <w:rsid w:val="5EBE6525"/>
    <w:rsid w:val="5EC032B4"/>
    <w:rsid w:val="5EC162A3"/>
    <w:rsid w:val="5EC647C4"/>
    <w:rsid w:val="5EC83560"/>
    <w:rsid w:val="5ECBDD0C"/>
    <w:rsid w:val="5ECF69B7"/>
    <w:rsid w:val="5ECF93FB"/>
    <w:rsid w:val="5ED0BDFB"/>
    <w:rsid w:val="5ED3096B"/>
    <w:rsid w:val="5ED7B4AA"/>
    <w:rsid w:val="5EDACCA8"/>
    <w:rsid w:val="5EDFBECB"/>
    <w:rsid w:val="5EE40D8C"/>
    <w:rsid w:val="5EE4FA6F"/>
    <w:rsid w:val="5EF0E179"/>
    <w:rsid w:val="5EF1555D"/>
    <w:rsid w:val="5EF3FE65"/>
    <w:rsid w:val="5EF54C3A"/>
    <w:rsid w:val="5EF64209"/>
    <w:rsid w:val="5EFA4FDF"/>
    <w:rsid w:val="5EFAE427"/>
    <w:rsid w:val="5EFC3D24"/>
    <w:rsid w:val="5EFD7B0C"/>
    <w:rsid w:val="5EFDF998"/>
    <w:rsid w:val="5EFF6013"/>
    <w:rsid w:val="5F015FDB"/>
    <w:rsid w:val="5F048383"/>
    <w:rsid w:val="5F078A4D"/>
    <w:rsid w:val="5F08A8AE"/>
    <w:rsid w:val="5F095623"/>
    <w:rsid w:val="5F0A1F8F"/>
    <w:rsid w:val="5F0A8CF1"/>
    <w:rsid w:val="5F0E9DEA"/>
    <w:rsid w:val="5F1013A7"/>
    <w:rsid w:val="5F119C8E"/>
    <w:rsid w:val="5F14ACA2"/>
    <w:rsid w:val="5F15ECC8"/>
    <w:rsid w:val="5F167F0D"/>
    <w:rsid w:val="5F1BA861"/>
    <w:rsid w:val="5F1BF48A"/>
    <w:rsid w:val="5F1CA9DB"/>
    <w:rsid w:val="5F1CEFC3"/>
    <w:rsid w:val="5F21653A"/>
    <w:rsid w:val="5F23CB76"/>
    <w:rsid w:val="5F2F62E2"/>
    <w:rsid w:val="5F2FAC91"/>
    <w:rsid w:val="5F350AEF"/>
    <w:rsid w:val="5F398240"/>
    <w:rsid w:val="5F3CDE71"/>
    <w:rsid w:val="5F42202D"/>
    <w:rsid w:val="5F45480F"/>
    <w:rsid w:val="5F45884D"/>
    <w:rsid w:val="5F498948"/>
    <w:rsid w:val="5F4A3801"/>
    <w:rsid w:val="5F4AB76A"/>
    <w:rsid w:val="5F4CB455"/>
    <w:rsid w:val="5F5373F2"/>
    <w:rsid w:val="5F538870"/>
    <w:rsid w:val="5F5BA6ED"/>
    <w:rsid w:val="5F654761"/>
    <w:rsid w:val="5F67EE57"/>
    <w:rsid w:val="5F6B0BAE"/>
    <w:rsid w:val="5F6D7102"/>
    <w:rsid w:val="5F6EC1C0"/>
    <w:rsid w:val="5F6F2567"/>
    <w:rsid w:val="5F6F52D1"/>
    <w:rsid w:val="5F73FA6D"/>
    <w:rsid w:val="5F7A965F"/>
    <w:rsid w:val="5F7BE551"/>
    <w:rsid w:val="5F7EA712"/>
    <w:rsid w:val="5F826242"/>
    <w:rsid w:val="5F849372"/>
    <w:rsid w:val="5F860B03"/>
    <w:rsid w:val="5F8E4DA1"/>
    <w:rsid w:val="5F913718"/>
    <w:rsid w:val="5F934068"/>
    <w:rsid w:val="5F97C0AF"/>
    <w:rsid w:val="5F9B3FF9"/>
    <w:rsid w:val="5F9BD7CB"/>
    <w:rsid w:val="5F9C3836"/>
    <w:rsid w:val="5FA40B70"/>
    <w:rsid w:val="5FA5A4D2"/>
    <w:rsid w:val="5FA5D8EA"/>
    <w:rsid w:val="5FA6E77B"/>
    <w:rsid w:val="5FA77032"/>
    <w:rsid w:val="5FAAAB55"/>
    <w:rsid w:val="5FAB6C7F"/>
    <w:rsid w:val="5FB2D413"/>
    <w:rsid w:val="5FB3959F"/>
    <w:rsid w:val="5FB63EED"/>
    <w:rsid w:val="5FB6F700"/>
    <w:rsid w:val="5FB77098"/>
    <w:rsid w:val="5FBAECE8"/>
    <w:rsid w:val="5FBBE376"/>
    <w:rsid w:val="5FC1FB98"/>
    <w:rsid w:val="5FC26CDE"/>
    <w:rsid w:val="5FC633A4"/>
    <w:rsid w:val="5FC7C0F4"/>
    <w:rsid w:val="5FD372A4"/>
    <w:rsid w:val="5FD43F7D"/>
    <w:rsid w:val="5FDC567B"/>
    <w:rsid w:val="5FDDDEE9"/>
    <w:rsid w:val="5FDF9B04"/>
    <w:rsid w:val="5FE233D7"/>
    <w:rsid w:val="5FE9D2D9"/>
    <w:rsid w:val="5FEAA03F"/>
    <w:rsid w:val="5FED8F38"/>
    <w:rsid w:val="5FF021D2"/>
    <w:rsid w:val="5FF2566C"/>
    <w:rsid w:val="5FF320F9"/>
    <w:rsid w:val="5FFA83AC"/>
    <w:rsid w:val="5FFA90CA"/>
    <w:rsid w:val="5FFE50A1"/>
    <w:rsid w:val="6002274D"/>
    <w:rsid w:val="6009386F"/>
    <w:rsid w:val="600B907E"/>
    <w:rsid w:val="600BBF9F"/>
    <w:rsid w:val="600D36D2"/>
    <w:rsid w:val="600DFA29"/>
    <w:rsid w:val="60187A08"/>
    <w:rsid w:val="601C4CC6"/>
    <w:rsid w:val="601E6EB1"/>
    <w:rsid w:val="602174AD"/>
    <w:rsid w:val="6021D213"/>
    <w:rsid w:val="60258F18"/>
    <w:rsid w:val="60272258"/>
    <w:rsid w:val="60275E63"/>
    <w:rsid w:val="602F090E"/>
    <w:rsid w:val="6030D0DD"/>
    <w:rsid w:val="6035087E"/>
    <w:rsid w:val="6042A4CA"/>
    <w:rsid w:val="6044D1BA"/>
    <w:rsid w:val="60452FE6"/>
    <w:rsid w:val="60469C3C"/>
    <w:rsid w:val="604DF748"/>
    <w:rsid w:val="604F3857"/>
    <w:rsid w:val="605BB280"/>
    <w:rsid w:val="6060F8F0"/>
    <w:rsid w:val="60625F0A"/>
    <w:rsid w:val="6064086B"/>
    <w:rsid w:val="6064527D"/>
    <w:rsid w:val="60697873"/>
    <w:rsid w:val="606ADA47"/>
    <w:rsid w:val="606ED896"/>
    <w:rsid w:val="6070A6EE"/>
    <w:rsid w:val="6070B3BA"/>
    <w:rsid w:val="6076772F"/>
    <w:rsid w:val="6077B076"/>
    <w:rsid w:val="6078EC9C"/>
    <w:rsid w:val="607BF7D5"/>
    <w:rsid w:val="607CA891"/>
    <w:rsid w:val="607D5594"/>
    <w:rsid w:val="608253C2"/>
    <w:rsid w:val="60851F7A"/>
    <w:rsid w:val="6086E579"/>
    <w:rsid w:val="608A301B"/>
    <w:rsid w:val="608B55A9"/>
    <w:rsid w:val="608D6AC1"/>
    <w:rsid w:val="608E0D07"/>
    <w:rsid w:val="60906839"/>
    <w:rsid w:val="6091EDA6"/>
    <w:rsid w:val="60967E4A"/>
    <w:rsid w:val="6096A183"/>
    <w:rsid w:val="6098405C"/>
    <w:rsid w:val="609B8977"/>
    <w:rsid w:val="609C0520"/>
    <w:rsid w:val="609C2ABF"/>
    <w:rsid w:val="609D472A"/>
    <w:rsid w:val="609EB35D"/>
    <w:rsid w:val="60A10A3E"/>
    <w:rsid w:val="60A17F2A"/>
    <w:rsid w:val="60A17F40"/>
    <w:rsid w:val="60A2C751"/>
    <w:rsid w:val="60AD23AE"/>
    <w:rsid w:val="60AD47B6"/>
    <w:rsid w:val="60ADE1E7"/>
    <w:rsid w:val="60AF14B5"/>
    <w:rsid w:val="60B5711D"/>
    <w:rsid w:val="60B5C1AC"/>
    <w:rsid w:val="60B65EA8"/>
    <w:rsid w:val="60B9584F"/>
    <w:rsid w:val="60B97436"/>
    <w:rsid w:val="60BB93FA"/>
    <w:rsid w:val="60BF5014"/>
    <w:rsid w:val="60C254BD"/>
    <w:rsid w:val="60CAE4AE"/>
    <w:rsid w:val="60D0F295"/>
    <w:rsid w:val="60D12908"/>
    <w:rsid w:val="60D53D30"/>
    <w:rsid w:val="60D56819"/>
    <w:rsid w:val="60DAF0E1"/>
    <w:rsid w:val="60DF2436"/>
    <w:rsid w:val="60E1D0EE"/>
    <w:rsid w:val="60EA165A"/>
    <w:rsid w:val="60F3095D"/>
    <w:rsid w:val="60F52EC9"/>
    <w:rsid w:val="60F6C4CB"/>
    <w:rsid w:val="60F758A5"/>
    <w:rsid w:val="60FADB87"/>
    <w:rsid w:val="60FDB109"/>
    <w:rsid w:val="61004DC9"/>
    <w:rsid w:val="610282C8"/>
    <w:rsid w:val="6107CB4F"/>
    <w:rsid w:val="610C5737"/>
    <w:rsid w:val="610D3482"/>
    <w:rsid w:val="61172780"/>
    <w:rsid w:val="61182A52"/>
    <w:rsid w:val="611A9BBE"/>
    <w:rsid w:val="611D6C02"/>
    <w:rsid w:val="611E89C5"/>
    <w:rsid w:val="6120B482"/>
    <w:rsid w:val="612143D5"/>
    <w:rsid w:val="6123B4C7"/>
    <w:rsid w:val="61282B48"/>
    <w:rsid w:val="612977F8"/>
    <w:rsid w:val="612C7264"/>
    <w:rsid w:val="612CB26F"/>
    <w:rsid w:val="612F8A11"/>
    <w:rsid w:val="613485C0"/>
    <w:rsid w:val="613C1DE8"/>
    <w:rsid w:val="6141BC3D"/>
    <w:rsid w:val="61446C20"/>
    <w:rsid w:val="6146C488"/>
    <w:rsid w:val="6149A484"/>
    <w:rsid w:val="614B2B68"/>
    <w:rsid w:val="614D4E74"/>
    <w:rsid w:val="61506421"/>
    <w:rsid w:val="6151A603"/>
    <w:rsid w:val="6153E624"/>
    <w:rsid w:val="6154C2F7"/>
    <w:rsid w:val="61550B78"/>
    <w:rsid w:val="6155AF25"/>
    <w:rsid w:val="615698FD"/>
    <w:rsid w:val="6159F85F"/>
    <w:rsid w:val="615ACCFA"/>
    <w:rsid w:val="615B0A12"/>
    <w:rsid w:val="615D8973"/>
    <w:rsid w:val="615F945E"/>
    <w:rsid w:val="616183B1"/>
    <w:rsid w:val="616C36B2"/>
    <w:rsid w:val="616DC1F3"/>
    <w:rsid w:val="616E1B9F"/>
    <w:rsid w:val="616E2B87"/>
    <w:rsid w:val="6171F925"/>
    <w:rsid w:val="6174024D"/>
    <w:rsid w:val="61789AEF"/>
    <w:rsid w:val="61825E86"/>
    <w:rsid w:val="6182B0A3"/>
    <w:rsid w:val="618323CC"/>
    <w:rsid w:val="61880C69"/>
    <w:rsid w:val="6189642E"/>
    <w:rsid w:val="61897FAB"/>
    <w:rsid w:val="618C253C"/>
    <w:rsid w:val="618C4C61"/>
    <w:rsid w:val="618C527D"/>
    <w:rsid w:val="618CB0B1"/>
    <w:rsid w:val="618CCD72"/>
    <w:rsid w:val="618DD7CE"/>
    <w:rsid w:val="619167BE"/>
    <w:rsid w:val="6195F340"/>
    <w:rsid w:val="619938D7"/>
    <w:rsid w:val="61993902"/>
    <w:rsid w:val="6199A2E9"/>
    <w:rsid w:val="61A36299"/>
    <w:rsid w:val="61ADE9F3"/>
    <w:rsid w:val="61AE162A"/>
    <w:rsid w:val="61B0E377"/>
    <w:rsid w:val="61B10C17"/>
    <w:rsid w:val="61B1D31C"/>
    <w:rsid w:val="61B5141D"/>
    <w:rsid w:val="61B7F4FA"/>
    <w:rsid w:val="61BCFE47"/>
    <w:rsid w:val="61BFC3DB"/>
    <w:rsid w:val="61C1DE08"/>
    <w:rsid w:val="61C7BF47"/>
    <w:rsid w:val="61C881D4"/>
    <w:rsid w:val="61C8F206"/>
    <w:rsid w:val="61CF5C4E"/>
    <w:rsid w:val="61D7C6A0"/>
    <w:rsid w:val="61DA97B5"/>
    <w:rsid w:val="61E19527"/>
    <w:rsid w:val="61E3E3E7"/>
    <w:rsid w:val="61E71EBA"/>
    <w:rsid w:val="61EAB2C8"/>
    <w:rsid w:val="61EB0660"/>
    <w:rsid w:val="61F083E2"/>
    <w:rsid w:val="61F4664B"/>
    <w:rsid w:val="61F80FF2"/>
    <w:rsid w:val="61F82F40"/>
    <w:rsid w:val="61F86F9C"/>
    <w:rsid w:val="61F8FF90"/>
    <w:rsid w:val="61F9220E"/>
    <w:rsid w:val="61FA1F7C"/>
    <w:rsid w:val="62006B94"/>
    <w:rsid w:val="6203A51D"/>
    <w:rsid w:val="62075ACF"/>
    <w:rsid w:val="620AB143"/>
    <w:rsid w:val="620B9640"/>
    <w:rsid w:val="620DABC5"/>
    <w:rsid w:val="620E0B16"/>
    <w:rsid w:val="620E9C0D"/>
    <w:rsid w:val="6212CFF2"/>
    <w:rsid w:val="621863CE"/>
    <w:rsid w:val="62235333"/>
    <w:rsid w:val="622CCC5D"/>
    <w:rsid w:val="622FC30D"/>
    <w:rsid w:val="62309A65"/>
    <w:rsid w:val="6231848C"/>
    <w:rsid w:val="6231959A"/>
    <w:rsid w:val="62379C8D"/>
    <w:rsid w:val="623904EC"/>
    <w:rsid w:val="623C0059"/>
    <w:rsid w:val="623D3DAD"/>
    <w:rsid w:val="623FE1B2"/>
    <w:rsid w:val="62403EDC"/>
    <w:rsid w:val="62467955"/>
    <w:rsid w:val="624C0113"/>
    <w:rsid w:val="624F0CA7"/>
    <w:rsid w:val="6251ABB9"/>
    <w:rsid w:val="6251DA8F"/>
    <w:rsid w:val="6253068E"/>
    <w:rsid w:val="6256E5C1"/>
    <w:rsid w:val="625838F0"/>
    <w:rsid w:val="62588751"/>
    <w:rsid w:val="625C17D9"/>
    <w:rsid w:val="625F8AFA"/>
    <w:rsid w:val="62630B02"/>
    <w:rsid w:val="6263DD30"/>
    <w:rsid w:val="6266E07F"/>
    <w:rsid w:val="62672393"/>
    <w:rsid w:val="62698100"/>
    <w:rsid w:val="626C1C0A"/>
    <w:rsid w:val="626F7C60"/>
    <w:rsid w:val="62770A9A"/>
    <w:rsid w:val="6277BAAF"/>
    <w:rsid w:val="6278786F"/>
    <w:rsid w:val="627DD5C2"/>
    <w:rsid w:val="62804399"/>
    <w:rsid w:val="6287CE01"/>
    <w:rsid w:val="628A4204"/>
    <w:rsid w:val="62990062"/>
    <w:rsid w:val="629927C8"/>
    <w:rsid w:val="629C4613"/>
    <w:rsid w:val="629E39C6"/>
    <w:rsid w:val="629E9334"/>
    <w:rsid w:val="62A63C71"/>
    <w:rsid w:val="62A69C9E"/>
    <w:rsid w:val="62AA16B6"/>
    <w:rsid w:val="62B03843"/>
    <w:rsid w:val="62BFF8AA"/>
    <w:rsid w:val="62C0F93A"/>
    <w:rsid w:val="62C7CDA4"/>
    <w:rsid w:val="62C90207"/>
    <w:rsid w:val="62C94B8B"/>
    <w:rsid w:val="62CA389B"/>
    <w:rsid w:val="62CBDA34"/>
    <w:rsid w:val="62D65857"/>
    <w:rsid w:val="62D8320D"/>
    <w:rsid w:val="62DB4EED"/>
    <w:rsid w:val="62DBC26C"/>
    <w:rsid w:val="62F3E081"/>
    <w:rsid w:val="62F5A1BF"/>
    <w:rsid w:val="62F5FBEE"/>
    <w:rsid w:val="62F9A2E3"/>
    <w:rsid w:val="62F9B141"/>
    <w:rsid w:val="62FF727B"/>
    <w:rsid w:val="6301ABA1"/>
    <w:rsid w:val="63026EAE"/>
    <w:rsid w:val="63063549"/>
    <w:rsid w:val="6307647D"/>
    <w:rsid w:val="6307753A"/>
    <w:rsid w:val="630AC709"/>
    <w:rsid w:val="630D32A8"/>
    <w:rsid w:val="6310EA4D"/>
    <w:rsid w:val="6318BAB3"/>
    <w:rsid w:val="631AA8E2"/>
    <w:rsid w:val="631B436C"/>
    <w:rsid w:val="631DFD6D"/>
    <w:rsid w:val="6323A54E"/>
    <w:rsid w:val="632804D0"/>
    <w:rsid w:val="63280979"/>
    <w:rsid w:val="63282D39"/>
    <w:rsid w:val="6329232D"/>
    <w:rsid w:val="6329D86C"/>
    <w:rsid w:val="632DC7EA"/>
    <w:rsid w:val="63325519"/>
    <w:rsid w:val="63332ED5"/>
    <w:rsid w:val="63352CC2"/>
    <w:rsid w:val="633DFAFE"/>
    <w:rsid w:val="634166F2"/>
    <w:rsid w:val="63417893"/>
    <w:rsid w:val="6344A731"/>
    <w:rsid w:val="63460A5F"/>
    <w:rsid w:val="63474DD2"/>
    <w:rsid w:val="634B9717"/>
    <w:rsid w:val="634DB4EE"/>
    <w:rsid w:val="635986E2"/>
    <w:rsid w:val="63642AD6"/>
    <w:rsid w:val="6366061A"/>
    <w:rsid w:val="636D6736"/>
    <w:rsid w:val="636DAF53"/>
    <w:rsid w:val="637030AC"/>
    <w:rsid w:val="6371885C"/>
    <w:rsid w:val="6372702F"/>
    <w:rsid w:val="63749E2F"/>
    <w:rsid w:val="638889C9"/>
    <w:rsid w:val="638B159C"/>
    <w:rsid w:val="63903062"/>
    <w:rsid w:val="6394DB54"/>
    <w:rsid w:val="63971AA4"/>
    <w:rsid w:val="639756BB"/>
    <w:rsid w:val="63993466"/>
    <w:rsid w:val="639A4A3E"/>
    <w:rsid w:val="639FAD14"/>
    <w:rsid w:val="63A0DAFA"/>
    <w:rsid w:val="63A3A019"/>
    <w:rsid w:val="63A448FA"/>
    <w:rsid w:val="63A5E452"/>
    <w:rsid w:val="63AAA830"/>
    <w:rsid w:val="63AB989D"/>
    <w:rsid w:val="63AD7301"/>
    <w:rsid w:val="63AD9947"/>
    <w:rsid w:val="63AF2D3F"/>
    <w:rsid w:val="63B1439A"/>
    <w:rsid w:val="63B2155D"/>
    <w:rsid w:val="63B9EEF5"/>
    <w:rsid w:val="63BAA56D"/>
    <w:rsid w:val="63BDBB2A"/>
    <w:rsid w:val="63C18003"/>
    <w:rsid w:val="63C605FA"/>
    <w:rsid w:val="63C6347E"/>
    <w:rsid w:val="63C84654"/>
    <w:rsid w:val="63C8FCBD"/>
    <w:rsid w:val="63CDA13F"/>
    <w:rsid w:val="63CFEE83"/>
    <w:rsid w:val="63D17871"/>
    <w:rsid w:val="63D9431E"/>
    <w:rsid w:val="63DBC005"/>
    <w:rsid w:val="63DD073E"/>
    <w:rsid w:val="63DD2EE6"/>
    <w:rsid w:val="63DEB561"/>
    <w:rsid w:val="63DEEA24"/>
    <w:rsid w:val="63E48AC9"/>
    <w:rsid w:val="63E583C2"/>
    <w:rsid w:val="63E908CE"/>
    <w:rsid w:val="63EC33D3"/>
    <w:rsid w:val="63EDF519"/>
    <w:rsid w:val="63F06AE3"/>
    <w:rsid w:val="63F1BFFC"/>
    <w:rsid w:val="63F39DFE"/>
    <w:rsid w:val="63F4CFA7"/>
    <w:rsid w:val="63F4DD4C"/>
    <w:rsid w:val="63FC5455"/>
    <w:rsid w:val="6400A5B4"/>
    <w:rsid w:val="6400B40A"/>
    <w:rsid w:val="6400FAF0"/>
    <w:rsid w:val="64043E67"/>
    <w:rsid w:val="640A395F"/>
    <w:rsid w:val="640F1D13"/>
    <w:rsid w:val="6410BA1D"/>
    <w:rsid w:val="6411D17F"/>
    <w:rsid w:val="6416E9E1"/>
    <w:rsid w:val="6418638A"/>
    <w:rsid w:val="641A1871"/>
    <w:rsid w:val="641A88AA"/>
    <w:rsid w:val="641B139A"/>
    <w:rsid w:val="641C0BE4"/>
    <w:rsid w:val="641DDA03"/>
    <w:rsid w:val="641DF7D6"/>
    <w:rsid w:val="641E0C41"/>
    <w:rsid w:val="641F6FA5"/>
    <w:rsid w:val="642AA97A"/>
    <w:rsid w:val="642AEB5D"/>
    <w:rsid w:val="642D38E9"/>
    <w:rsid w:val="643004D5"/>
    <w:rsid w:val="64314122"/>
    <w:rsid w:val="643D4F6A"/>
    <w:rsid w:val="643DD33E"/>
    <w:rsid w:val="643EE52E"/>
    <w:rsid w:val="6440340E"/>
    <w:rsid w:val="64403AD7"/>
    <w:rsid w:val="6443E404"/>
    <w:rsid w:val="644485F4"/>
    <w:rsid w:val="6448B1DF"/>
    <w:rsid w:val="644A0297"/>
    <w:rsid w:val="644D40B6"/>
    <w:rsid w:val="6450598E"/>
    <w:rsid w:val="645299B1"/>
    <w:rsid w:val="6456F471"/>
    <w:rsid w:val="645935EB"/>
    <w:rsid w:val="645C753F"/>
    <w:rsid w:val="64643188"/>
    <w:rsid w:val="646D4A00"/>
    <w:rsid w:val="646D7C1B"/>
    <w:rsid w:val="646D8604"/>
    <w:rsid w:val="646EE233"/>
    <w:rsid w:val="6470F7EA"/>
    <w:rsid w:val="64758053"/>
    <w:rsid w:val="6477D44A"/>
    <w:rsid w:val="647AD6AC"/>
    <w:rsid w:val="647C3467"/>
    <w:rsid w:val="647C91E5"/>
    <w:rsid w:val="647D86B9"/>
    <w:rsid w:val="648094D2"/>
    <w:rsid w:val="6485F79D"/>
    <w:rsid w:val="648CB187"/>
    <w:rsid w:val="6492EAD7"/>
    <w:rsid w:val="64942BE7"/>
    <w:rsid w:val="6494C73E"/>
    <w:rsid w:val="64966DB7"/>
    <w:rsid w:val="649703F3"/>
    <w:rsid w:val="6498BC51"/>
    <w:rsid w:val="649AF6E5"/>
    <w:rsid w:val="649F4F55"/>
    <w:rsid w:val="649F8B3A"/>
    <w:rsid w:val="64A18B9F"/>
    <w:rsid w:val="64A34321"/>
    <w:rsid w:val="64A4896D"/>
    <w:rsid w:val="64A8BF87"/>
    <w:rsid w:val="64A95B28"/>
    <w:rsid w:val="64ABA579"/>
    <w:rsid w:val="64AC0D41"/>
    <w:rsid w:val="64AC22EA"/>
    <w:rsid w:val="64B01BD5"/>
    <w:rsid w:val="64B38BDB"/>
    <w:rsid w:val="64B6B2D0"/>
    <w:rsid w:val="64B8B2AF"/>
    <w:rsid w:val="64B9BD31"/>
    <w:rsid w:val="64BE2CE8"/>
    <w:rsid w:val="64C13B2D"/>
    <w:rsid w:val="64C18C81"/>
    <w:rsid w:val="64C50E54"/>
    <w:rsid w:val="64D0DCDD"/>
    <w:rsid w:val="64D2E206"/>
    <w:rsid w:val="64D6E122"/>
    <w:rsid w:val="64DC27E2"/>
    <w:rsid w:val="64DCE517"/>
    <w:rsid w:val="64DDDC4C"/>
    <w:rsid w:val="64DF7CBA"/>
    <w:rsid w:val="64E312CD"/>
    <w:rsid w:val="64E4B6D5"/>
    <w:rsid w:val="64E6BABF"/>
    <w:rsid w:val="64E756D1"/>
    <w:rsid w:val="64E8F736"/>
    <w:rsid w:val="64ED2AF0"/>
    <w:rsid w:val="64F1BA5D"/>
    <w:rsid w:val="64F75DC3"/>
    <w:rsid w:val="64F8D5F4"/>
    <w:rsid w:val="65017193"/>
    <w:rsid w:val="65084AE5"/>
    <w:rsid w:val="6509A815"/>
    <w:rsid w:val="650B1491"/>
    <w:rsid w:val="650FD7E1"/>
    <w:rsid w:val="65126D91"/>
    <w:rsid w:val="651338DF"/>
    <w:rsid w:val="6513E649"/>
    <w:rsid w:val="65145A52"/>
    <w:rsid w:val="6517C406"/>
    <w:rsid w:val="65181313"/>
    <w:rsid w:val="651C8834"/>
    <w:rsid w:val="652740C4"/>
    <w:rsid w:val="65274D94"/>
    <w:rsid w:val="6529962D"/>
    <w:rsid w:val="652ABFA5"/>
    <w:rsid w:val="652E8D84"/>
    <w:rsid w:val="652F8B19"/>
    <w:rsid w:val="653119D1"/>
    <w:rsid w:val="653147C4"/>
    <w:rsid w:val="6531E43C"/>
    <w:rsid w:val="6533937E"/>
    <w:rsid w:val="653649F2"/>
    <w:rsid w:val="65427046"/>
    <w:rsid w:val="65448D9D"/>
    <w:rsid w:val="654B2859"/>
    <w:rsid w:val="655306BB"/>
    <w:rsid w:val="65549FEC"/>
    <w:rsid w:val="6555C493"/>
    <w:rsid w:val="6557A66B"/>
    <w:rsid w:val="6557E9E6"/>
    <w:rsid w:val="655CBD3A"/>
    <w:rsid w:val="6566A1EE"/>
    <w:rsid w:val="6568C212"/>
    <w:rsid w:val="656E569C"/>
    <w:rsid w:val="6574229C"/>
    <w:rsid w:val="6579125C"/>
    <w:rsid w:val="657F09A6"/>
    <w:rsid w:val="658A7CED"/>
    <w:rsid w:val="658A9152"/>
    <w:rsid w:val="658B10D9"/>
    <w:rsid w:val="65902D6B"/>
    <w:rsid w:val="65931EDE"/>
    <w:rsid w:val="6594BEC9"/>
    <w:rsid w:val="6595D498"/>
    <w:rsid w:val="6597661D"/>
    <w:rsid w:val="6598CC87"/>
    <w:rsid w:val="659EDD51"/>
    <w:rsid w:val="659FD5EF"/>
    <w:rsid w:val="65A02F24"/>
    <w:rsid w:val="65A2569C"/>
    <w:rsid w:val="65A2E797"/>
    <w:rsid w:val="65A54776"/>
    <w:rsid w:val="65A99801"/>
    <w:rsid w:val="65B0199A"/>
    <w:rsid w:val="65B0F1CA"/>
    <w:rsid w:val="65B45A9E"/>
    <w:rsid w:val="65C818CB"/>
    <w:rsid w:val="65C86248"/>
    <w:rsid w:val="65CCC513"/>
    <w:rsid w:val="65D63A91"/>
    <w:rsid w:val="65DBE501"/>
    <w:rsid w:val="65DDBCB2"/>
    <w:rsid w:val="65DE939D"/>
    <w:rsid w:val="65E37D66"/>
    <w:rsid w:val="65EC72FE"/>
    <w:rsid w:val="65ED559B"/>
    <w:rsid w:val="65EE0ADF"/>
    <w:rsid w:val="65EEB72B"/>
    <w:rsid w:val="65F488D2"/>
    <w:rsid w:val="65F902BF"/>
    <w:rsid w:val="65F9DEA1"/>
    <w:rsid w:val="65F9F5E4"/>
    <w:rsid w:val="65FB4538"/>
    <w:rsid w:val="66020BCE"/>
    <w:rsid w:val="6602326D"/>
    <w:rsid w:val="66084368"/>
    <w:rsid w:val="660A2A78"/>
    <w:rsid w:val="660A3732"/>
    <w:rsid w:val="6610DBE9"/>
    <w:rsid w:val="6614CFF7"/>
    <w:rsid w:val="662487AA"/>
    <w:rsid w:val="66274AA1"/>
    <w:rsid w:val="6628450A"/>
    <w:rsid w:val="662C7460"/>
    <w:rsid w:val="662DF137"/>
    <w:rsid w:val="6636924A"/>
    <w:rsid w:val="663915F2"/>
    <w:rsid w:val="663D44F2"/>
    <w:rsid w:val="663E8C52"/>
    <w:rsid w:val="66416367"/>
    <w:rsid w:val="664251AB"/>
    <w:rsid w:val="66455BC0"/>
    <w:rsid w:val="6648E82C"/>
    <w:rsid w:val="6648F5D9"/>
    <w:rsid w:val="66498F2C"/>
    <w:rsid w:val="664CD0B1"/>
    <w:rsid w:val="664F4551"/>
    <w:rsid w:val="6652F500"/>
    <w:rsid w:val="66540C7D"/>
    <w:rsid w:val="6655CED8"/>
    <w:rsid w:val="66592D16"/>
    <w:rsid w:val="6659A0BB"/>
    <w:rsid w:val="665CE138"/>
    <w:rsid w:val="665F26A4"/>
    <w:rsid w:val="6664405F"/>
    <w:rsid w:val="66647648"/>
    <w:rsid w:val="66661122"/>
    <w:rsid w:val="666AD4E7"/>
    <w:rsid w:val="666BA56E"/>
    <w:rsid w:val="666ED2EB"/>
    <w:rsid w:val="66716EFF"/>
    <w:rsid w:val="66725932"/>
    <w:rsid w:val="66747E91"/>
    <w:rsid w:val="667520C3"/>
    <w:rsid w:val="667B8B03"/>
    <w:rsid w:val="667E9657"/>
    <w:rsid w:val="667F5BC3"/>
    <w:rsid w:val="6680D337"/>
    <w:rsid w:val="66813E3B"/>
    <w:rsid w:val="6685F615"/>
    <w:rsid w:val="6687D7B9"/>
    <w:rsid w:val="6688C53D"/>
    <w:rsid w:val="668CB92B"/>
    <w:rsid w:val="668DD95D"/>
    <w:rsid w:val="6692AF6C"/>
    <w:rsid w:val="66A35474"/>
    <w:rsid w:val="66A59344"/>
    <w:rsid w:val="66A848B5"/>
    <w:rsid w:val="66ADC6B6"/>
    <w:rsid w:val="66AE489B"/>
    <w:rsid w:val="66AF0A1E"/>
    <w:rsid w:val="66B34906"/>
    <w:rsid w:val="66B35B48"/>
    <w:rsid w:val="66B37061"/>
    <w:rsid w:val="66B77312"/>
    <w:rsid w:val="66BB3F9A"/>
    <w:rsid w:val="66BBA87B"/>
    <w:rsid w:val="66C0A11B"/>
    <w:rsid w:val="66C1279A"/>
    <w:rsid w:val="66C194AE"/>
    <w:rsid w:val="66C2E79E"/>
    <w:rsid w:val="66C577AB"/>
    <w:rsid w:val="66C9C075"/>
    <w:rsid w:val="66CFBE94"/>
    <w:rsid w:val="66D192A0"/>
    <w:rsid w:val="66D58760"/>
    <w:rsid w:val="66D73E6B"/>
    <w:rsid w:val="66D7AD2D"/>
    <w:rsid w:val="66D825B1"/>
    <w:rsid w:val="66DA21B0"/>
    <w:rsid w:val="66DBA86C"/>
    <w:rsid w:val="66DCFBDD"/>
    <w:rsid w:val="66DDC266"/>
    <w:rsid w:val="66E0FA64"/>
    <w:rsid w:val="66E5F788"/>
    <w:rsid w:val="66E9E282"/>
    <w:rsid w:val="66EE34EB"/>
    <w:rsid w:val="66F66418"/>
    <w:rsid w:val="66F7EE21"/>
    <w:rsid w:val="66F89583"/>
    <w:rsid w:val="66F95E7A"/>
    <w:rsid w:val="66FCC05D"/>
    <w:rsid w:val="670505B4"/>
    <w:rsid w:val="6709E33E"/>
    <w:rsid w:val="670DB69F"/>
    <w:rsid w:val="670E9F38"/>
    <w:rsid w:val="670EE2B9"/>
    <w:rsid w:val="670F5437"/>
    <w:rsid w:val="6711308E"/>
    <w:rsid w:val="6714608A"/>
    <w:rsid w:val="67198A7B"/>
    <w:rsid w:val="6721B8FC"/>
    <w:rsid w:val="672264A7"/>
    <w:rsid w:val="6722FAC9"/>
    <w:rsid w:val="6724D3C7"/>
    <w:rsid w:val="673134C0"/>
    <w:rsid w:val="67340D2B"/>
    <w:rsid w:val="67465AEF"/>
    <w:rsid w:val="6746E1B6"/>
    <w:rsid w:val="6749A1E8"/>
    <w:rsid w:val="674AA286"/>
    <w:rsid w:val="674F4697"/>
    <w:rsid w:val="6752C5F8"/>
    <w:rsid w:val="67545E40"/>
    <w:rsid w:val="6757C211"/>
    <w:rsid w:val="67586402"/>
    <w:rsid w:val="6759E7C5"/>
    <w:rsid w:val="675B1871"/>
    <w:rsid w:val="675C5B10"/>
    <w:rsid w:val="675D6FE4"/>
    <w:rsid w:val="675E7E97"/>
    <w:rsid w:val="675F968D"/>
    <w:rsid w:val="6760ACD7"/>
    <w:rsid w:val="6764D1C1"/>
    <w:rsid w:val="676A6C94"/>
    <w:rsid w:val="6771BB0A"/>
    <w:rsid w:val="6772E4E2"/>
    <w:rsid w:val="67740AF1"/>
    <w:rsid w:val="677600D1"/>
    <w:rsid w:val="6778CBA7"/>
    <w:rsid w:val="677CE644"/>
    <w:rsid w:val="677FE1B3"/>
    <w:rsid w:val="67848D90"/>
    <w:rsid w:val="678C0B6A"/>
    <w:rsid w:val="679172C3"/>
    <w:rsid w:val="679294E7"/>
    <w:rsid w:val="67934BA5"/>
    <w:rsid w:val="6794EEFA"/>
    <w:rsid w:val="679A50FE"/>
    <w:rsid w:val="679B42FD"/>
    <w:rsid w:val="679DCAE5"/>
    <w:rsid w:val="67A20F37"/>
    <w:rsid w:val="67A2FC35"/>
    <w:rsid w:val="67A40DC4"/>
    <w:rsid w:val="67A488D3"/>
    <w:rsid w:val="67A90CAE"/>
    <w:rsid w:val="67A92719"/>
    <w:rsid w:val="67A98563"/>
    <w:rsid w:val="67AC0C60"/>
    <w:rsid w:val="67AF41BD"/>
    <w:rsid w:val="67B03C66"/>
    <w:rsid w:val="67B56574"/>
    <w:rsid w:val="67B5B26D"/>
    <w:rsid w:val="67B989FB"/>
    <w:rsid w:val="67BA6E1B"/>
    <w:rsid w:val="67BB5B76"/>
    <w:rsid w:val="67D726C4"/>
    <w:rsid w:val="67D7753C"/>
    <w:rsid w:val="67E16F77"/>
    <w:rsid w:val="67E65BEF"/>
    <w:rsid w:val="67E75C2A"/>
    <w:rsid w:val="67E82E22"/>
    <w:rsid w:val="67EA3170"/>
    <w:rsid w:val="67ED86E2"/>
    <w:rsid w:val="67ED93C9"/>
    <w:rsid w:val="67EEDE48"/>
    <w:rsid w:val="67F5D8AE"/>
    <w:rsid w:val="67F7E64E"/>
    <w:rsid w:val="67F909EC"/>
    <w:rsid w:val="67FC7947"/>
    <w:rsid w:val="67FEB604"/>
    <w:rsid w:val="680041C4"/>
    <w:rsid w:val="6800B2A0"/>
    <w:rsid w:val="68026893"/>
    <w:rsid w:val="6803FBA9"/>
    <w:rsid w:val="68069FAF"/>
    <w:rsid w:val="680CB9EE"/>
    <w:rsid w:val="680FE7FC"/>
    <w:rsid w:val="6810C703"/>
    <w:rsid w:val="6812BCB2"/>
    <w:rsid w:val="6814FBA5"/>
    <w:rsid w:val="68163955"/>
    <w:rsid w:val="68175CE3"/>
    <w:rsid w:val="681A09F1"/>
    <w:rsid w:val="681A0CD0"/>
    <w:rsid w:val="681A48DC"/>
    <w:rsid w:val="681F7E29"/>
    <w:rsid w:val="682AF3EC"/>
    <w:rsid w:val="682E8EDD"/>
    <w:rsid w:val="6833E60B"/>
    <w:rsid w:val="6836C254"/>
    <w:rsid w:val="683E77AD"/>
    <w:rsid w:val="683EC1AF"/>
    <w:rsid w:val="6842DCE0"/>
    <w:rsid w:val="6845AB97"/>
    <w:rsid w:val="6848D8EF"/>
    <w:rsid w:val="684AB51B"/>
    <w:rsid w:val="684AB973"/>
    <w:rsid w:val="6851104E"/>
    <w:rsid w:val="685388E6"/>
    <w:rsid w:val="68588625"/>
    <w:rsid w:val="685A2723"/>
    <w:rsid w:val="6861065B"/>
    <w:rsid w:val="6864FB64"/>
    <w:rsid w:val="6865F5C4"/>
    <w:rsid w:val="686A2DCF"/>
    <w:rsid w:val="686C08CC"/>
    <w:rsid w:val="68706225"/>
    <w:rsid w:val="6873F806"/>
    <w:rsid w:val="68769FEF"/>
    <w:rsid w:val="6876A4CB"/>
    <w:rsid w:val="6876FBF0"/>
    <w:rsid w:val="687C7B0D"/>
    <w:rsid w:val="687F89AF"/>
    <w:rsid w:val="688765BC"/>
    <w:rsid w:val="688BFA4F"/>
    <w:rsid w:val="689B5A07"/>
    <w:rsid w:val="689E1606"/>
    <w:rsid w:val="689EDDF7"/>
    <w:rsid w:val="68A3EEA8"/>
    <w:rsid w:val="68A4759D"/>
    <w:rsid w:val="68A6EDA9"/>
    <w:rsid w:val="68A6F74D"/>
    <w:rsid w:val="68A77823"/>
    <w:rsid w:val="68AAFDCF"/>
    <w:rsid w:val="68AF79FE"/>
    <w:rsid w:val="68AFA4AD"/>
    <w:rsid w:val="68BD9EB2"/>
    <w:rsid w:val="68C0D9C0"/>
    <w:rsid w:val="68C38A20"/>
    <w:rsid w:val="68C4D722"/>
    <w:rsid w:val="68C52B81"/>
    <w:rsid w:val="68C6712E"/>
    <w:rsid w:val="68CE0EE0"/>
    <w:rsid w:val="68D62936"/>
    <w:rsid w:val="68D66836"/>
    <w:rsid w:val="68D8CFCF"/>
    <w:rsid w:val="68DB305A"/>
    <w:rsid w:val="68DC75C2"/>
    <w:rsid w:val="68E1D5EA"/>
    <w:rsid w:val="68E57263"/>
    <w:rsid w:val="68E62773"/>
    <w:rsid w:val="68E68399"/>
    <w:rsid w:val="68E95840"/>
    <w:rsid w:val="68EB7E76"/>
    <w:rsid w:val="68EB8FE9"/>
    <w:rsid w:val="68EC655D"/>
    <w:rsid w:val="68ED3295"/>
    <w:rsid w:val="68EF1112"/>
    <w:rsid w:val="68F4C752"/>
    <w:rsid w:val="68F7D69E"/>
    <w:rsid w:val="68F95C85"/>
    <w:rsid w:val="68FEFDEE"/>
    <w:rsid w:val="69050F6E"/>
    <w:rsid w:val="69058F95"/>
    <w:rsid w:val="69087D2B"/>
    <w:rsid w:val="690D0B56"/>
    <w:rsid w:val="690D31C1"/>
    <w:rsid w:val="690EA67B"/>
    <w:rsid w:val="690FE7D5"/>
    <w:rsid w:val="6912DAE9"/>
    <w:rsid w:val="691320C6"/>
    <w:rsid w:val="6913D4DB"/>
    <w:rsid w:val="691593E1"/>
    <w:rsid w:val="6916E4E5"/>
    <w:rsid w:val="691DD364"/>
    <w:rsid w:val="691F7BC4"/>
    <w:rsid w:val="6924C56F"/>
    <w:rsid w:val="69279D5B"/>
    <w:rsid w:val="692BF640"/>
    <w:rsid w:val="69348210"/>
    <w:rsid w:val="6936E5E2"/>
    <w:rsid w:val="693F00B6"/>
    <w:rsid w:val="694461FD"/>
    <w:rsid w:val="694473C1"/>
    <w:rsid w:val="694BD414"/>
    <w:rsid w:val="694F9723"/>
    <w:rsid w:val="695601AC"/>
    <w:rsid w:val="695A0678"/>
    <w:rsid w:val="695C2F14"/>
    <w:rsid w:val="695FB764"/>
    <w:rsid w:val="69674F39"/>
    <w:rsid w:val="69683BC1"/>
    <w:rsid w:val="6968E7D3"/>
    <w:rsid w:val="6969B4FC"/>
    <w:rsid w:val="696B15A1"/>
    <w:rsid w:val="696D5AA4"/>
    <w:rsid w:val="696F413E"/>
    <w:rsid w:val="696FFC2C"/>
    <w:rsid w:val="69716637"/>
    <w:rsid w:val="6971AAFE"/>
    <w:rsid w:val="69746870"/>
    <w:rsid w:val="69747D39"/>
    <w:rsid w:val="6976E0EF"/>
    <w:rsid w:val="697DA3BD"/>
    <w:rsid w:val="697E41DD"/>
    <w:rsid w:val="697E715B"/>
    <w:rsid w:val="6980A03B"/>
    <w:rsid w:val="69810B31"/>
    <w:rsid w:val="698207E0"/>
    <w:rsid w:val="69843CC6"/>
    <w:rsid w:val="6987BBFC"/>
    <w:rsid w:val="698D3384"/>
    <w:rsid w:val="698EBE77"/>
    <w:rsid w:val="699001A3"/>
    <w:rsid w:val="699056AB"/>
    <w:rsid w:val="69910FA4"/>
    <w:rsid w:val="69951F8D"/>
    <w:rsid w:val="69A016F4"/>
    <w:rsid w:val="69A1A94E"/>
    <w:rsid w:val="69A55FC9"/>
    <w:rsid w:val="69A579EE"/>
    <w:rsid w:val="69A9A1B2"/>
    <w:rsid w:val="69ABB891"/>
    <w:rsid w:val="69AD3A26"/>
    <w:rsid w:val="69AE10BB"/>
    <w:rsid w:val="69B23E94"/>
    <w:rsid w:val="69B2DC0A"/>
    <w:rsid w:val="69B793B5"/>
    <w:rsid w:val="69B8D1BB"/>
    <w:rsid w:val="69BF1834"/>
    <w:rsid w:val="69C100EE"/>
    <w:rsid w:val="69C1F852"/>
    <w:rsid w:val="69C3763E"/>
    <w:rsid w:val="69C47F51"/>
    <w:rsid w:val="69C4C221"/>
    <w:rsid w:val="69C5654B"/>
    <w:rsid w:val="69C750AB"/>
    <w:rsid w:val="69C8BCEC"/>
    <w:rsid w:val="69CA36F8"/>
    <w:rsid w:val="69CD0C6E"/>
    <w:rsid w:val="69CFA015"/>
    <w:rsid w:val="69D48AE9"/>
    <w:rsid w:val="69DA2BE6"/>
    <w:rsid w:val="69DE7287"/>
    <w:rsid w:val="69E5811E"/>
    <w:rsid w:val="69EE6DB5"/>
    <w:rsid w:val="69F259D1"/>
    <w:rsid w:val="69F4DC78"/>
    <w:rsid w:val="69FF1B2D"/>
    <w:rsid w:val="6A0089DD"/>
    <w:rsid w:val="6A0128C6"/>
    <w:rsid w:val="6A0438F5"/>
    <w:rsid w:val="6A09008B"/>
    <w:rsid w:val="6A0B4BBD"/>
    <w:rsid w:val="6A0CBAF5"/>
    <w:rsid w:val="6A0D4FF5"/>
    <w:rsid w:val="6A123C5E"/>
    <w:rsid w:val="6A125EF8"/>
    <w:rsid w:val="6A1AA2B5"/>
    <w:rsid w:val="6A1BF9CF"/>
    <w:rsid w:val="6A1E68F9"/>
    <w:rsid w:val="6A23DE40"/>
    <w:rsid w:val="6A276445"/>
    <w:rsid w:val="6A294BBD"/>
    <w:rsid w:val="6A298BD8"/>
    <w:rsid w:val="6A2EFAB4"/>
    <w:rsid w:val="6A3424D3"/>
    <w:rsid w:val="6A34476D"/>
    <w:rsid w:val="6A3E79D2"/>
    <w:rsid w:val="6A3FB300"/>
    <w:rsid w:val="6A400FA4"/>
    <w:rsid w:val="6A493655"/>
    <w:rsid w:val="6A49D6C5"/>
    <w:rsid w:val="6A4F27B8"/>
    <w:rsid w:val="6A5166C5"/>
    <w:rsid w:val="6A5219B1"/>
    <w:rsid w:val="6A54015D"/>
    <w:rsid w:val="6A54C1D1"/>
    <w:rsid w:val="6A57FF80"/>
    <w:rsid w:val="6A58FBD6"/>
    <w:rsid w:val="6A5C7D24"/>
    <w:rsid w:val="6A5DA259"/>
    <w:rsid w:val="6A5F429B"/>
    <w:rsid w:val="6A5F6365"/>
    <w:rsid w:val="6A60C21B"/>
    <w:rsid w:val="6A62D1EC"/>
    <w:rsid w:val="6A635ED7"/>
    <w:rsid w:val="6A653FC5"/>
    <w:rsid w:val="6A690DC9"/>
    <w:rsid w:val="6A72EE6A"/>
    <w:rsid w:val="6A73AAB7"/>
    <w:rsid w:val="6A748206"/>
    <w:rsid w:val="6A76653F"/>
    <w:rsid w:val="6A76DFAC"/>
    <w:rsid w:val="6A7C2560"/>
    <w:rsid w:val="6A7C88F8"/>
    <w:rsid w:val="6A7D01C5"/>
    <w:rsid w:val="6A7F1EDD"/>
    <w:rsid w:val="6A8057D3"/>
    <w:rsid w:val="6A8060FF"/>
    <w:rsid w:val="6A860805"/>
    <w:rsid w:val="6A88B38E"/>
    <w:rsid w:val="6A8A1B71"/>
    <w:rsid w:val="6A8D5943"/>
    <w:rsid w:val="6A958D76"/>
    <w:rsid w:val="6A9F5DF2"/>
    <w:rsid w:val="6AA1B1C4"/>
    <w:rsid w:val="6AA3961C"/>
    <w:rsid w:val="6AA43B22"/>
    <w:rsid w:val="6AA50562"/>
    <w:rsid w:val="6AA6666E"/>
    <w:rsid w:val="6AA9650A"/>
    <w:rsid w:val="6AAAD947"/>
    <w:rsid w:val="6AB2A755"/>
    <w:rsid w:val="6AB3BD84"/>
    <w:rsid w:val="6AB472D1"/>
    <w:rsid w:val="6AB964F2"/>
    <w:rsid w:val="6ABB692B"/>
    <w:rsid w:val="6ABE6103"/>
    <w:rsid w:val="6ABEFF9A"/>
    <w:rsid w:val="6AC0018E"/>
    <w:rsid w:val="6AC22667"/>
    <w:rsid w:val="6AC34D6E"/>
    <w:rsid w:val="6AC416AC"/>
    <w:rsid w:val="6AC60E4E"/>
    <w:rsid w:val="6AC7BFE7"/>
    <w:rsid w:val="6AC7F751"/>
    <w:rsid w:val="6AD18BE4"/>
    <w:rsid w:val="6AD29686"/>
    <w:rsid w:val="6AD4DC88"/>
    <w:rsid w:val="6ADF2A51"/>
    <w:rsid w:val="6AE26105"/>
    <w:rsid w:val="6AE584FA"/>
    <w:rsid w:val="6AE71EF0"/>
    <w:rsid w:val="6AE9BD0F"/>
    <w:rsid w:val="6AEB1D2B"/>
    <w:rsid w:val="6AEB91AD"/>
    <w:rsid w:val="6AEDF068"/>
    <w:rsid w:val="6AEEB6A1"/>
    <w:rsid w:val="6AEF33B4"/>
    <w:rsid w:val="6AF02D92"/>
    <w:rsid w:val="6AF2E97D"/>
    <w:rsid w:val="6AF6D775"/>
    <w:rsid w:val="6AF80572"/>
    <w:rsid w:val="6AF86148"/>
    <w:rsid w:val="6AFAE3B3"/>
    <w:rsid w:val="6AFB3E16"/>
    <w:rsid w:val="6AFC1619"/>
    <w:rsid w:val="6AFF3DE9"/>
    <w:rsid w:val="6B01EBA5"/>
    <w:rsid w:val="6B123FE7"/>
    <w:rsid w:val="6B125CEA"/>
    <w:rsid w:val="6B12C3AF"/>
    <w:rsid w:val="6B1422FD"/>
    <w:rsid w:val="6B190128"/>
    <w:rsid w:val="6B1CC2F5"/>
    <w:rsid w:val="6B203DC8"/>
    <w:rsid w:val="6B20F33A"/>
    <w:rsid w:val="6B224418"/>
    <w:rsid w:val="6B235B39"/>
    <w:rsid w:val="6B2672C5"/>
    <w:rsid w:val="6B2839B0"/>
    <w:rsid w:val="6B284C17"/>
    <w:rsid w:val="6B31DD5C"/>
    <w:rsid w:val="6B341164"/>
    <w:rsid w:val="6B35B085"/>
    <w:rsid w:val="6B36F19F"/>
    <w:rsid w:val="6B375ED2"/>
    <w:rsid w:val="6B3B27EA"/>
    <w:rsid w:val="6B3D5451"/>
    <w:rsid w:val="6B42261D"/>
    <w:rsid w:val="6B430600"/>
    <w:rsid w:val="6B4369C0"/>
    <w:rsid w:val="6B4432A7"/>
    <w:rsid w:val="6B468475"/>
    <w:rsid w:val="6B4A5D74"/>
    <w:rsid w:val="6B4C4663"/>
    <w:rsid w:val="6B4DB026"/>
    <w:rsid w:val="6B4F5617"/>
    <w:rsid w:val="6B5066F8"/>
    <w:rsid w:val="6B510B78"/>
    <w:rsid w:val="6B5300F9"/>
    <w:rsid w:val="6B53C5FB"/>
    <w:rsid w:val="6B56BEC2"/>
    <w:rsid w:val="6B606D55"/>
    <w:rsid w:val="6B6980E0"/>
    <w:rsid w:val="6B6C7D04"/>
    <w:rsid w:val="6B6E2739"/>
    <w:rsid w:val="6B716D51"/>
    <w:rsid w:val="6B760C25"/>
    <w:rsid w:val="6B7A69F9"/>
    <w:rsid w:val="6B7C2BC0"/>
    <w:rsid w:val="6B7D2640"/>
    <w:rsid w:val="6B7D5C31"/>
    <w:rsid w:val="6B856C23"/>
    <w:rsid w:val="6B87DB29"/>
    <w:rsid w:val="6B8A4CF5"/>
    <w:rsid w:val="6B8ABFDF"/>
    <w:rsid w:val="6B8C169A"/>
    <w:rsid w:val="6B90FFE1"/>
    <w:rsid w:val="6B91AC8C"/>
    <w:rsid w:val="6BAF2BE9"/>
    <w:rsid w:val="6BAFDA1F"/>
    <w:rsid w:val="6BB0352B"/>
    <w:rsid w:val="6BB4E816"/>
    <w:rsid w:val="6BB4E8FB"/>
    <w:rsid w:val="6BB52274"/>
    <w:rsid w:val="6BB8DF09"/>
    <w:rsid w:val="6BB981D3"/>
    <w:rsid w:val="6BBC9799"/>
    <w:rsid w:val="6BBE7813"/>
    <w:rsid w:val="6BBEA14E"/>
    <w:rsid w:val="6BC14257"/>
    <w:rsid w:val="6BC388C6"/>
    <w:rsid w:val="6BC56268"/>
    <w:rsid w:val="6BC9FF5B"/>
    <w:rsid w:val="6BCB1929"/>
    <w:rsid w:val="6BCF605A"/>
    <w:rsid w:val="6BD013AA"/>
    <w:rsid w:val="6BD115EE"/>
    <w:rsid w:val="6BD9C480"/>
    <w:rsid w:val="6BDDAF8A"/>
    <w:rsid w:val="6BDEADA2"/>
    <w:rsid w:val="6BE13D8A"/>
    <w:rsid w:val="6BE59164"/>
    <w:rsid w:val="6BEF8002"/>
    <w:rsid w:val="6BEFE1F2"/>
    <w:rsid w:val="6BF48216"/>
    <w:rsid w:val="6BF8B690"/>
    <w:rsid w:val="6BFA4E8A"/>
    <w:rsid w:val="6BFDD1D5"/>
    <w:rsid w:val="6BFF89EA"/>
    <w:rsid w:val="6BFF925E"/>
    <w:rsid w:val="6C02E231"/>
    <w:rsid w:val="6C040699"/>
    <w:rsid w:val="6C07A826"/>
    <w:rsid w:val="6C0CD68C"/>
    <w:rsid w:val="6C1D7003"/>
    <w:rsid w:val="6C232019"/>
    <w:rsid w:val="6C24D121"/>
    <w:rsid w:val="6C2E0D45"/>
    <w:rsid w:val="6C2F1F3B"/>
    <w:rsid w:val="6C3073D6"/>
    <w:rsid w:val="6C316FB0"/>
    <w:rsid w:val="6C34CB7F"/>
    <w:rsid w:val="6C3543A1"/>
    <w:rsid w:val="6C358AB0"/>
    <w:rsid w:val="6C39B68F"/>
    <w:rsid w:val="6C39C1AD"/>
    <w:rsid w:val="6C3AEF78"/>
    <w:rsid w:val="6C3D82B7"/>
    <w:rsid w:val="6C3D8D01"/>
    <w:rsid w:val="6C3E9D6E"/>
    <w:rsid w:val="6C3F6E3A"/>
    <w:rsid w:val="6C40324C"/>
    <w:rsid w:val="6C431FBA"/>
    <w:rsid w:val="6C4545DB"/>
    <w:rsid w:val="6C466672"/>
    <w:rsid w:val="6C486111"/>
    <w:rsid w:val="6C4D16E4"/>
    <w:rsid w:val="6C52E795"/>
    <w:rsid w:val="6C533F2F"/>
    <w:rsid w:val="6C549D11"/>
    <w:rsid w:val="6C571448"/>
    <w:rsid w:val="6C59640E"/>
    <w:rsid w:val="6C5A42A0"/>
    <w:rsid w:val="6C5B2EAA"/>
    <w:rsid w:val="6C5B746D"/>
    <w:rsid w:val="6C5C99C5"/>
    <w:rsid w:val="6C65B0E0"/>
    <w:rsid w:val="6C65F4C5"/>
    <w:rsid w:val="6C66AE74"/>
    <w:rsid w:val="6C6BBA3D"/>
    <w:rsid w:val="6C6F02C5"/>
    <w:rsid w:val="6C6F42E9"/>
    <w:rsid w:val="6C712F07"/>
    <w:rsid w:val="6C733671"/>
    <w:rsid w:val="6C778CFC"/>
    <w:rsid w:val="6C7A3EF2"/>
    <w:rsid w:val="6C83EDE4"/>
    <w:rsid w:val="6C885460"/>
    <w:rsid w:val="6C91A995"/>
    <w:rsid w:val="6C950BDB"/>
    <w:rsid w:val="6C953A91"/>
    <w:rsid w:val="6C96ACD0"/>
    <w:rsid w:val="6C976BB8"/>
    <w:rsid w:val="6C9A5C15"/>
    <w:rsid w:val="6CA1A19D"/>
    <w:rsid w:val="6CB18E58"/>
    <w:rsid w:val="6CB2870D"/>
    <w:rsid w:val="6CBA65EF"/>
    <w:rsid w:val="6CBE43D8"/>
    <w:rsid w:val="6CC291A0"/>
    <w:rsid w:val="6CC32659"/>
    <w:rsid w:val="6CCA95B4"/>
    <w:rsid w:val="6CCB1148"/>
    <w:rsid w:val="6CCF1C64"/>
    <w:rsid w:val="6CD2933F"/>
    <w:rsid w:val="6CD38F29"/>
    <w:rsid w:val="6CD4F59B"/>
    <w:rsid w:val="6CD53E6C"/>
    <w:rsid w:val="6CD901B9"/>
    <w:rsid w:val="6CD990FF"/>
    <w:rsid w:val="6CDBFD5D"/>
    <w:rsid w:val="6CE1137D"/>
    <w:rsid w:val="6CE1E2CC"/>
    <w:rsid w:val="6CE28917"/>
    <w:rsid w:val="6CE3E51C"/>
    <w:rsid w:val="6CE7A7CE"/>
    <w:rsid w:val="6CE9888E"/>
    <w:rsid w:val="6CEA7410"/>
    <w:rsid w:val="6CEB0A83"/>
    <w:rsid w:val="6CEB5C60"/>
    <w:rsid w:val="6CEBCA43"/>
    <w:rsid w:val="6CEC918A"/>
    <w:rsid w:val="6CED9B19"/>
    <w:rsid w:val="6CF51ECC"/>
    <w:rsid w:val="6CF8D277"/>
    <w:rsid w:val="6CFB2252"/>
    <w:rsid w:val="6CFBEC21"/>
    <w:rsid w:val="6CFEE314"/>
    <w:rsid w:val="6D0028C5"/>
    <w:rsid w:val="6D007870"/>
    <w:rsid w:val="6D013FFC"/>
    <w:rsid w:val="6D02B697"/>
    <w:rsid w:val="6D091FD1"/>
    <w:rsid w:val="6D09A2D0"/>
    <w:rsid w:val="6D09DD19"/>
    <w:rsid w:val="6D0B91B4"/>
    <w:rsid w:val="6D0BC83B"/>
    <w:rsid w:val="6D0C3556"/>
    <w:rsid w:val="6D0DA0F0"/>
    <w:rsid w:val="6D1703EC"/>
    <w:rsid w:val="6D18503D"/>
    <w:rsid w:val="6D185384"/>
    <w:rsid w:val="6D1860E3"/>
    <w:rsid w:val="6D1C2B4A"/>
    <w:rsid w:val="6D1CE6F5"/>
    <w:rsid w:val="6D238913"/>
    <w:rsid w:val="6D2521EE"/>
    <w:rsid w:val="6D2AFB77"/>
    <w:rsid w:val="6D2C6931"/>
    <w:rsid w:val="6D31788A"/>
    <w:rsid w:val="6D31E66B"/>
    <w:rsid w:val="6D3743D8"/>
    <w:rsid w:val="6D3CC553"/>
    <w:rsid w:val="6D3FA690"/>
    <w:rsid w:val="6D409502"/>
    <w:rsid w:val="6D40ECF5"/>
    <w:rsid w:val="6D42D211"/>
    <w:rsid w:val="6D47DC59"/>
    <w:rsid w:val="6D48ADB8"/>
    <w:rsid w:val="6D48E5F1"/>
    <w:rsid w:val="6D563152"/>
    <w:rsid w:val="6D57A5DC"/>
    <w:rsid w:val="6D595FEE"/>
    <w:rsid w:val="6D5BC178"/>
    <w:rsid w:val="6D5EF313"/>
    <w:rsid w:val="6D68E411"/>
    <w:rsid w:val="6D6B912E"/>
    <w:rsid w:val="6D6C3855"/>
    <w:rsid w:val="6D6FD154"/>
    <w:rsid w:val="6D71DFD4"/>
    <w:rsid w:val="6D72A720"/>
    <w:rsid w:val="6D733827"/>
    <w:rsid w:val="6D739683"/>
    <w:rsid w:val="6D8065AC"/>
    <w:rsid w:val="6D831411"/>
    <w:rsid w:val="6D8328CB"/>
    <w:rsid w:val="6D834EB7"/>
    <w:rsid w:val="6D83CC7E"/>
    <w:rsid w:val="6D851B11"/>
    <w:rsid w:val="6D86E62F"/>
    <w:rsid w:val="6D8709C3"/>
    <w:rsid w:val="6D8C6ED5"/>
    <w:rsid w:val="6D8DC618"/>
    <w:rsid w:val="6D8FD890"/>
    <w:rsid w:val="6D90A8F8"/>
    <w:rsid w:val="6D952342"/>
    <w:rsid w:val="6D95B440"/>
    <w:rsid w:val="6D9847E5"/>
    <w:rsid w:val="6D9AFEFD"/>
    <w:rsid w:val="6D9D808A"/>
    <w:rsid w:val="6D9EA704"/>
    <w:rsid w:val="6DA2601B"/>
    <w:rsid w:val="6DA47C94"/>
    <w:rsid w:val="6DAD435A"/>
    <w:rsid w:val="6DB04655"/>
    <w:rsid w:val="6DB08EAD"/>
    <w:rsid w:val="6DB605CA"/>
    <w:rsid w:val="6DB9B485"/>
    <w:rsid w:val="6DBB4E10"/>
    <w:rsid w:val="6DBB7170"/>
    <w:rsid w:val="6DBBA341"/>
    <w:rsid w:val="6DC22B82"/>
    <w:rsid w:val="6DC2B3AD"/>
    <w:rsid w:val="6DC3A98B"/>
    <w:rsid w:val="6DC3DD25"/>
    <w:rsid w:val="6DC4904A"/>
    <w:rsid w:val="6DC725F7"/>
    <w:rsid w:val="6DC772C0"/>
    <w:rsid w:val="6DC81BED"/>
    <w:rsid w:val="6DC9A9B3"/>
    <w:rsid w:val="6DC9D847"/>
    <w:rsid w:val="6DCCCBC6"/>
    <w:rsid w:val="6DCD380A"/>
    <w:rsid w:val="6DD47EE4"/>
    <w:rsid w:val="6DD949B9"/>
    <w:rsid w:val="6DD9EB20"/>
    <w:rsid w:val="6DDAC414"/>
    <w:rsid w:val="6DDCCAB4"/>
    <w:rsid w:val="6DDEDB97"/>
    <w:rsid w:val="6DE5BEB4"/>
    <w:rsid w:val="6DE9C423"/>
    <w:rsid w:val="6DECADA3"/>
    <w:rsid w:val="6DF3AA74"/>
    <w:rsid w:val="6DF5BBDA"/>
    <w:rsid w:val="6DF86A84"/>
    <w:rsid w:val="6DF9A2F0"/>
    <w:rsid w:val="6DFC6527"/>
    <w:rsid w:val="6DFE27ED"/>
    <w:rsid w:val="6E04520A"/>
    <w:rsid w:val="6E04A54F"/>
    <w:rsid w:val="6E08405C"/>
    <w:rsid w:val="6E08B023"/>
    <w:rsid w:val="6E0ADB7A"/>
    <w:rsid w:val="6E183858"/>
    <w:rsid w:val="6E185BAC"/>
    <w:rsid w:val="6E1C4E8D"/>
    <w:rsid w:val="6E1CD066"/>
    <w:rsid w:val="6E232F8B"/>
    <w:rsid w:val="6E268CA1"/>
    <w:rsid w:val="6E2AD6E4"/>
    <w:rsid w:val="6E2BE0AD"/>
    <w:rsid w:val="6E2C3FA8"/>
    <w:rsid w:val="6E2CC24A"/>
    <w:rsid w:val="6E2DDFAC"/>
    <w:rsid w:val="6E2E5341"/>
    <w:rsid w:val="6E2F78FB"/>
    <w:rsid w:val="6E309B75"/>
    <w:rsid w:val="6E33F7C9"/>
    <w:rsid w:val="6E34509A"/>
    <w:rsid w:val="6E39E920"/>
    <w:rsid w:val="6E3CDF4B"/>
    <w:rsid w:val="6E3F34DC"/>
    <w:rsid w:val="6E3FB843"/>
    <w:rsid w:val="6E459180"/>
    <w:rsid w:val="6E464BDB"/>
    <w:rsid w:val="6E47E93E"/>
    <w:rsid w:val="6E4842C9"/>
    <w:rsid w:val="6E4D05E0"/>
    <w:rsid w:val="6E4EC450"/>
    <w:rsid w:val="6E4EE410"/>
    <w:rsid w:val="6E4FE06F"/>
    <w:rsid w:val="6E5368B3"/>
    <w:rsid w:val="6E55CCE4"/>
    <w:rsid w:val="6E573E15"/>
    <w:rsid w:val="6E5A3A64"/>
    <w:rsid w:val="6E5F6306"/>
    <w:rsid w:val="6E5F7FA3"/>
    <w:rsid w:val="6E61F60A"/>
    <w:rsid w:val="6E6282E3"/>
    <w:rsid w:val="6E629922"/>
    <w:rsid w:val="6E6C92A7"/>
    <w:rsid w:val="6E76569F"/>
    <w:rsid w:val="6E76C7C9"/>
    <w:rsid w:val="6E79B988"/>
    <w:rsid w:val="6E7C6BAF"/>
    <w:rsid w:val="6E803C11"/>
    <w:rsid w:val="6E80F785"/>
    <w:rsid w:val="6E84D249"/>
    <w:rsid w:val="6E869370"/>
    <w:rsid w:val="6E8A27A3"/>
    <w:rsid w:val="6E9373B0"/>
    <w:rsid w:val="6E96209F"/>
    <w:rsid w:val="6E98F077"/>
    <w:rsid w:val="6E9C2A23"/>
    <w:rsid w:val="6E9F0280"/>
    <w:rsid w:val="6E9F7102"/>
    <w:rsid w:val="6EA0B719"/>
    <w:rsid w:val="6EA3176A"/>
    <w:rsid w:val="6EA9649F"/>
    <w:rsid w:val="6EB8195D"/>
    <w:rsid w:val="6EBDE0B9"/>
    <w:rsid w:val="6EC093EC"/>
    <w:rsid w:val="6EC47BC7"/>
    <w:rsid w:val="6EC67AEB"/>
    <w:rsid w:val="6EC7BC6C"/>
    <w:rsid w:val="6ECDE2F8"/>
    <w:rsid w:val="6ED10698"/>
    <w:rsid w:val="6ED6FEF5"/>
    <w:rsid w:val="6EDB945A"/>
    <w:rsid w:val="6EE14E61"/>
    <w:rsid w:val="6EE18178"/>
    <w:rsid w:val="6EE24297"/>
    <w:rsid w:val="6EE31CBF"/>
    <w:rsid w:val="6EE59EB1"/>
    <w:rsid w:val="6EE63280"/>
    <w:rsid w:val="6EE8EB8D"/>
    <w:rsid w:val="6EEB572A"/>
    <w:rsid w:val="6EED9D50"/>
    <w:rsid w:val="6EEE1999"/>
    <w:rsid w:val="6EEF20C3"/>
    <w:rsid w:val="6EF4173F"/>
    <w:rsid w:val="6EF93DFA"/>
    <w:rsid w:val="6EF96292"/>
    <w:rsid w:val="6EF9C3FF"/>
    <w:rsid w:val="6EFA9588"/>
    <w:rsid w:val="6EFF7D20"/>
    <w:rsid w:val="6F015493"/>
    <w:rsid w:val="6F08AE26"/>
    <w:rsid w:val="6F0B4612"/>
    <w:rsid w:val="6F0E4615"/>
    <w:rsid w:val="6F1027F8"/>
    <w:rsid w:val="6F136BA9"/>
    <w:rsid w:val="6F19EDFE"/>
    <w:rsid w:val="6F1BE5F7"/>
    <w:rsid w:val="6F1E5CCB"/>
    <w:rsid w:val="6F1EC5B4"/>
    <w:rsid w:val="6F21989A"/>
    <w:rsid w:val="6F21BA34"/>
    <w:rsid w:val="6F24380A"/>
    <w:rsid w:val="6F277B51"/>
    <w:rsid w:val="6F29846D"/>
    <w:rsid w:val="6F2C0AF8"/>
    <w:rsid w:val="6F2D20D4"/>
    <w:rsid w:val="6F30F01B"/>
    <w:rsid w:val="6F30FE80"/>
    <w:rsid w:val="6F32F9B1"/>
    <w:rsid w:val="6F336E8C"/>
    <w:rsid w:val="6F356F18"/>
    <w:rsid w:val="6F3C25FA"/>
    <w:rsid w:val="6F4304AE"/>
    <w:rsid w:val="6F4678CD"/>
    <w:rsid w:val="6F468EBE"/>
    <w:rsid w:val="6F4AE7C6"/>
    <w:rsid w:val="6F4B40CB"/>
    <w:rsid w:val="6F4F26D7"/>
    <w:rsid w:val="6F50C866"/>
    <w:rsid w:val="6F518192"/>
    <w:rsid w:val="6F51D8A2"/>
    <w:rsid w:val="6F541688"/>
    <w:rsid w:val="6F55AE60"/>
    <w:rsid w:val="6F5F809C"/>
    <w:rsid w:val="6F61C5FF"/>
    <w:rsid w:val="6F6346BD"/>
    <w:rsid w:val="6F64C77F"/>
    <w:rsid w:val="6F697177"/>
    <w:rsid w:val="6F6BD9E5"/>
    <w:rsid w:val="6F6EDEC5"/>
    <w:rsid w:val="6F72DB0E"/>
    <w:rsid w:val="6F7E278D"/>
    <w:rsid w:val="6F7F6D63"/>
    <w:rsid w:val="6F81FF4D"/>
    <w:rsid w:val="6F8284F4"/>
    <w:rsid w:val="6F8639F7"/>
    <w:rsid w:val="6F875BBD"/>
    <w:rsid w:val="6F88E6C2"/>
    <w:rsid w:val="6F8AB50B"/>
    <w:rsid w:val="6F8B133B"/>
    <w:rsid w:val="6F8E08B9"/>
    <w:rsid w:val="6F95A59E"/>
    <w:rsid w:val="6F97E8DB"/>
    <w:rsid w:val="6F984335"/>
    <w:rsid w:val="6F9899AA"/>
    <w:rsid w:val="6F98AF4A"/>
    <w:rsid w:val="6F9F8DEB"/>
    <w:rsid w:val="6FA9F22A"/>
    <w:rsid w:val="6FB0158F"/>
    <w:rsid w:val="6FB04C78"/>
    <w:rsid w:val="6FB05AB4"/>
    <w:rsid w:val="6FB649DD"/>
    <w:rsid w:val="6FB72B49"/>
    <w:rsid w:val="6FBAC794"/>
    <w:rsid w:val="6FBD3AFA"/>
    <w:rsid w:val="6FBDFE4D"/>
    <w:rsid w:val="6FBEDC71"/>
    <w:rsid w:val="6FBF8A84"/>
    <w:rsid w:val="6FC213D3"/>
    <w:rsid w:val="6FC3DFB8"/>
    <w:rsid w:val="6FC57D5D"/>
    <w:rsid w:val="6FC978D1"/>
    <w:rsid w:val="6FCCFD46"/>
    <w:rsid w:val="6FCDFEC1"/>
    <w:rsid w:val="6FD49DA6"/>
    <w:rsid w:val="6FD51FCC"/>
    <w:rsid w:val="6FDCD92B"/>
    <w:rsid w:val="6FDEE1B9"/>
    <w:rsid w:val="6FDF590A"/>
    <w:rsid w:val="6FDFC901"/>
    <w:rsid w:val="6FE0314E"/>
    <w:rsid w:val="6FE3BD4F"/>
    <w:rsid w:val="6FE6259D"/>
    <w:rsid w:val="6FE7B7EC"/>
    <w:rsid w:val="6FE9230C"/>
    <w:rsid w:val="6FF14BDD"/>
    <w:rsid w:val="6FFA9AF8"/>
    <w:rsid w:val="6FFBD000"/>
    <w:rsid w:val="70020C47"/>
    <w:rsid w:val="7002115E"/>
    <w:rsid w:val="7003CB15"/>
    <w:rsid w:val="70056971"/>
    <w:rsid w:val="70097A11"/>
    <w:rsid w:val="701A36BE"/>
    <w:rsid w:val="701FDBC3"/>
    <w:rsid w:val="7020C004"/>
    <w:rsid w:val="70220732"/>
    <w:rsid w:val="7022B589"/>
    <w:rsid w:val="702327C5"/>
    <w:rsid w:val="70280841"/>
    <w:rsid w:val="70282F16"/>
    <w:rsid w:val="7033CBFB"/>
    <w:rsid w:val="70384017"/>
    <w:rsid w:val="703A6327"/>
    <w:rsid w:val="7042E13C"/>
    <w:rsid w:val="7047136A"/>
    <w:rsid w:val="704C5B40"/>
    <w:rsid w:val="70503767"/>
    <w:rsid w:val="7052D2E5"/>
    <w:rsid w:val="705538C3"/>
    <w:rsid w:val="705E5C13"/>
    <w:rsid w:val="705FEEF8"/>
    <w:rsid w:val="70612456"/>
    <w:rsid w:val="70661D12"/>
    <w:rsid w:val="7073832D"/>
    <w:rsid w:val="707BD3E7"/>
    <w:rsid w:val="708222A3"/>
    <w:rsid w:val="708B389D"/>
    <w:rsid w:val="708D049E"/>
    <w:rsid w:val="708DC17B"/>
    <w:rsid w:val="70913163"/>
    <w:rsid w:val="70914A76"/>
    <w:rsid w:val="7093EFB7"/>
    <w:rsid w:val="7095B41D"/>
    <w:rsid w:val="7097D2B7"/>
    <w:rsid w:val="7097DF61"/>
    <w:rsid w:val="7098D0BA"/>
    <w:rsid w:val="7099E241"/>
    <w:rsid w:val="709A7683"/>
    <w:rsid w:val="709E9D1B"/>
    <w:rsid w:val="70A1CC8D"/>
    <w:rsid w:val="70A21795"/>
    <w:rsid w:val="70A5A655"/>
    <w:rsid w:val="70BF00F3"/>
    <w:rsid w:val="70C06C14"/>
    <w:rsid w:val="70C071DF"/>
    <w:rsid w:val="70C1C173"/>
    <w:rsid w:val="70C570A2"/>
    <w:rsid w:val="70C5BABB"/>
    <w:rsid w:val="70CA2172"/>
    <w:rsid w:val="70D00E40"/>
    <w:rsid w:val="70D518C7"/>
    <w:rsid w:val="70D74F63"/>
    <w:rsid w:val="70D802D8"/>
    <w:rsid w:val="70D85BD3"/>
    <w:rsid w:val="70E01397"/>
    <w:rsid w:val="70E30B3D"/>
    <w:rsid w:val="70E3A7AD"/>
    <w:rsid w:val="70E6392D"/>
    <w:rsid w:val="70EAF873"/>
    <w:rsid w:val="70F45983"/>
    <w:rsid w:val="70FA2DA7"/>
    <w:rsid w:val="70FBAB36"/>
    <w:rsid w:val="7100B61B"/>
    <w:rsid w:val="7102DC43"/>
    <w:rsid w:val="71054AA3"/>
    <w:rsid w:val="7106AC87"/>
    <w:rsid w:val="7106B886"/>
    <w:rsid w:val="710B8C0A"/>
    <w:rsid w:val="710C7F74"/>
    <w:rsid w:val="710CC70E"/>
    <w:rsid w:val="710DFD7F"/>
    <w:rsid w:val="71106E64"/>
    <w:rsid w:val="7110840D"/>
    <w:rsid w:val="71159D8E"/>
    <w:rsid w:val="7117E4BB"/>
    <w:rsid w:val="71183F8E"/>
    <w:rsid w:val="71188A6A"/>
    <w:rsid w:val="711B4811"/>
    <w:rsid w:val="711C7862"/>
    <w:rsid w:val="711E4A90"/>
    <w:rsid w:val="71211DD8"/>
    <w:rsid w:val="71222320"/>
    <w:rsid w:val="7122E00E"/>
    <w:rsid w:val="71333432"/>
    <w:rsid w:val="71342C8B"/>
    <w:rsid w:val="71345B18"/>
    <w:rsid w:val="71391DF9"/>
    <w:rsid w:val="713EA0FC"/>
    <w:rsid w:val="71456D6D"/>
    <w:rsid w:val="71490995"/>
    <w:rsid w:val="714AE64B"/>
    <w:rsid w:val="714D0CD1"/>
    <w:rsid w:val="714FD90F"/>
    <w:rsid w:val="7151C6E7"/>
    <w:rsid w:val="71546480"/>
    <w:rsid w:val="715733A8"/>
    <w:rsid w:val="715B5AE5"/>
    <w:rsid w:val="715BFCD5"/>
    <w:rsid w:val="715CE717"/>
    <w:rsid w:val="71602895"/>
    <w:rsid w:val="7166689A"/>
    <w:rsid w:val="71687EEF"/>
    <w:rsid w:val="716C4FFB"/>
    <w:rsid w:val="716CC3E5"/>
    <w:rsid w:val="716DE760"/>
    <w:rsid w:val="716F7FB9"/>
    <w:rsid w:val="716FB5E6"/>
    <w:rsid w:val="7172110C"/>
    <w:rsid w:val="7172FF81"/>
    <w:rsid w:val="717964A9"/>
    <w:rsid w:val="71799488"/>
    <w:rsid w:val="717AA6E3"/>
    <w:rsid w:val="717BBC16"/>
    <w:rsid w:val="717FF22D"/>
    <w:rsid w:val="71804E78"/>
    <w:rsid w:val="71839714"/>
    <w:rsid w:val="718536D2"/>
    <w:rsid w:val="71875CC0"/>
    <w:rsid w:val="71881F5D"/>
    <w:rsid w:val="71961457"/>
    <w:rsid w:val="7199ACD4"/>
    <w:rsid w:val="719B56DD"/>
    <w:rsid w:val="71A2637F"/>
    <w:rsid w:val="71A2666D"/>
    <w:rsid w:val="71A33553"/>
    <w:rsid w:val="71A3C63B"/>
    <w:rsid w:val="71A69FBA"/>
    <w:rsid w:val="71AB4660"/>
    <w:rsid w:val="71B0A4AA"/>
    <w:rsid w:val="71B0B93E"/>
    <w:rsid w:val="71B6F4B6"/>
    <w:rsid w:val="71B8192F"/>
    <w:rsid w:val="71B9B7DE"/>
    <w:rsid w:val="71C4260C"/>
    <w:rsid w:val="71C48E96"/>
    <w:rsid w:val="71C64B7D"/>
    <w:rsid w:val="71C6B983"/>
    <w:rsid w:val="71CA3A4F"/>
    <w:rsid w:val="71CE7C2F"/>
    <w:rsid w:val="71D056F9"/>
    <w:rsid w:val="71D443D5"/>
    <w:rsid w:val="71D8C367"/>
    <w:rsid w:val="71D93512"/>
    <w:rsid w:val="71DC5AC0"/>
    <w:rsid w:val="71DDBC0F"/>
    <w:rsid w:val="71E3CABA"/>
    <w:rsid w:val="71E64509"/>
    <w:rsid w:val="71E79751"/>
    <w:rsid w:val="71EDAF3D"/>
    <w:rsid w:val="71EE832C"/>
    <w:rsid w:val="71F561E3"/>
    <w:rsid w:val="71F69529"/>
    <w:rsid w:val="71F75B85"/>
    <w:rsid w:val="71FAC904"/>
    <w:rsid w:val="71FCEAFF"/>
    <w:rsid w:val="71FE2F48"/>
    <w:rsid w:val="71FF6305"/>
    <w:rsid w:val="7205D3B3"/>
    <w:rsid w:val="72060800"/>
    <w:rsid w:val="720B593A"/>
    <w:rsid w:val="72135249"/>
    <w:rsid w:val="72139CE7"/>
    <w:rsid w:val="72156F05"/>
    <w:rsid w:val="72198E28"/>
    <w:rsid w:val="7219BBD4"/>
    <w:rsid w:val="721EC829"/>
    <w:rsid w:val="7221A73E"/>
    <w:rsid w:val="72231A92"/>
    <w:rsid w:val="722C9E94"/>
    <w:rsid w:val="722CC82D"/>
    <w:rsid w:val="722EF3CC"/>
    <w:rsid w:val="7230D8CE"/>
    <w:rsid w:val="72343730"/>
    <w:rsid w:val="72349397"/>
    <w:rsid w:val="72349516"/>
    <w:rsid w:val="7236D0C7"/>
    <w:rsid w:val="723E301F"/>
    <w:rsid w:val="723E78E4"/>
    <w:rsid w:val="723ECBD5"/>
    <w:rsid w:val="72416686"/>
    <w:rsid w:val="7244695D"/>
    <w:rsid w:val="72475DC9"/>
    <w:rsid w:val="7247AE9C"/>
    <w:rsid w:val="724B6E6F"/>
    <w:rsid w:val="724C705A"/>
    <w:rsid w:val="72506AE7"/>
    <w:rsid w:val="72519291"/>
    <w:rsid w:val="7252D30B"/>
    <w:rsid w:val="725341B9"/>
    <w:rsid w:val="725550B6"/>
    <w:rsid w:val="725A44E4"/>
    <w:rsid w:val="725A63C6"/>
    <w:rsid w:val="725D1930"/>
    <w:rsid w:val="726327F4"/>
    <w:rsid w:val="726356DD"/>
    <w:rsid w:val="72648AF8"/>
    <w:rsid w:val="72656E30"/>
    <w:rsid w:val="72686541"/>
    <w:rsid w:val="726B775F"/>
    <w:rsid w:val="726EDD2E"/>
    <w:rsid w:val="726FA4E8"/>
    <w:rsid w:val="727113FB"/>
    <w:rsid w:val="7271185A"/>
    <w:rsid w:val="727C498E"/>
    <w:rsid w:val="727C74FA"/>
    <w:rsid w:val="72820308"/>
    <w:rsid w:val="72869476"/>
    <w:rsid w:val="728D0CA8"/>
    <w:rsid w:val="72900408"/>
    <w:rsid w:val="729205AC"/>
    <w:rsid w:val="7293372D"/>
    <w:rsid w:val="729AE59E"/>
    <w:rsid w:val="729C29DC"/>
    <w:rsid w:val="729F5521"/>
    <w:rsid w:val="72A01453"/>
    <w:rsid w:val="72A05F6B"/>
    <w:rsid w:val="72A7609D"/>
    <w:rsid w:val="72A83ABB"/>
    <w:rsid w:val="72A8D81E"/>
    <w:rsid w:val="72A99B97"/>
    <w:rsid w:val="72AD6472"/>
    <w:rsid w:val="72B0DEB4"/>
    <w:rsid w:val="72B270BC"/>
    <w:rsid w:val="72B4C4EC"/>
    <w:rsid w:val="72B9B051"/>
    <w:rsid w:val="72B9F0BA"/>
    <w:rsid w:val="72BCA404"/>
    <w:rsid w:val="72BE0B14"/>
    <w:rsid w:val="72BFCC6C"/>
    <w:rsid w:val="72C22F4A"/>
    <w:rsid w:val="72D0656A"/>
    <w:rsid w:val="72D55139"/>
    <w:rsid w:val="72D55DB5"/>
    <w:rsid w:val="72D5E840"/>
    <w:rsid w:val="72DDF56D"/>
    <w:rsid w:val="72DE6F3A"/>
    <w:rsid w:val="72E0531A"/>
    <w:rsid w:val="72E1DF65"/>
    <w:rsid w:val="72E2B7F3"/>
    <w:rsid w:val="72E7D6A2"/>
    <w:rsid w:val="72E92643"/>
    <w:rsid w:val="72E96CED"/>
    <w:rsid w:val="72F78228"/>
    <w:rsid w:val="72FAD02E"/>
    <w:rsid w:val="730367CA"/>
    <w:rsid w:val="73039CBF"/>
    <w:rsid w:val="73057F2A"/>
    <w:rsid w:val="7308D8BA"/>
    <w:rsid w:val="730BF22A"/>
    <w:rsid w:val="73131FB4"/>
    <w:rsid w:val="73170671"/>
    <w:rsid w:val="731A469F"/>
    <w:rsid w:val="73219585"/>
    <w:rsid w:val="73228432"/>
    <w:rsid w:val="733597DD"/>
    <w:rsid w:val="733C7D20"/>
    <w:rsid w:val="733CEDBC"/>
    <w:rsid w:val="7342520E"/>
    <w:rsid w:val="73429445"/>
    <w:rsid w:val="734BE319"/>
    <w:rsid w:val="734C5FC1"/>
    <w:rsid w:val="734CD96A"/>
    <w:rsid w:val="735013FC"/>
    <w:rsid w:val="7355A3A5"/>
    <w:rsid w:val="7355B5A2"/>
    <w:rsid w:val="735704CB"/>
    <w:rsid w:val="73578B26"/>
    <w:rsid w:val="73588DDF"/>
    <w:rsid w:val="7359090D"/>
    <w:rsid w:val="735B373D"/>
    <w:rsid w:val="735B8800"/>
    <w:rsid w:val="735E969D"/>
    <w:rsid w:val="736241C5"/>
    <w:rsid w:val="7363CF59"/>
    <w:rsid w:val="736572F7"/>
    <w:rsid w:val="736F6394"/>
    <w:rsid w:val="73711BCE"/>
    <w:rsid w:val="7372719E"/>
    <w:rsid w:val="7373B200"/>
    <w:rsid w:val="73768FA6"/>
    <w:rsid w:val="7379D39E"/>
    <w:rsid w:val="737A86A6"/>
    <w:rsid w:val="7382FA9B"/>
    <w:rsid w:val="73834EDF"/>
    <w:rsid w:val="73903831"/>
    <w:rsid w:val="739487E8"/>
    <w:rsid w:val="7397FC9F"/>
    <w:rsid w:val="7398340B"/>
    <w:rsid w:val="739C5B5C"/>
    <w:rsid w:val="739F99D5"/>
    <w:rsid w:val="73A12FE5"/>
    <w:rsid w:val="73A1AC1B"/>
    <w:rsid w:val="73A2B8B7"/>
    <w:rsid w:val="73A9444E"/>
    <w:rsid w:val="73AC4542"/>
    <w:rsid w:val="73ADEB9C"/>
    <w:rsid w:val="73B1C0AE"/>
    <w:rsid w:val="73B41C92"/>
    <w:rsid w:val="73B56170"/>
    <w:rsid w:val="73B56995"/>
    <w:rsid w:val="73BF044E"/>
    <w:rsid w:val="73BF2F34"/>
    <w:rsid w:val="73C33637"/>
    <w:rsid w:val="73C8F2C7"/>
    <w:rsid w:val="73CAC72E"/>
    <w:rsid w:val="73CD5783"/>
    <w:rsid w:val="73CF9373"/>
    <w:rsid w:val="73CFD7FD"/>
    <w:rsid w:val="73D44A7F"/>
    <w:rsid w:val="73D4CAD8"/>
    <w:rsid w:val="73D85303"/>
    <w:rsid w:val="73DDA7F7"/>
    <w:rsid w:val="73E4606D"/>
    <w:rsid w:val="73F0C700"/>
    <w:rsid w:val="73F8DEEF"/>
    <w:rsid w:val="73FB4C63"/>
    <w:rsid w:val="73FEE17C"/>
    <w:rsid w:val="73FFAE14"/>
    <w:rsid w:val="7401406F"/>
    <w:rsid w:val="7405117B"/>
    <w:rsid w:val="740ACFAC"/>
    <w:rsid w:val="740AE037"/>
    <w:rsid w:val="740F59B7"/>
    <w:rsid w:val="7413D463"/>
    <w:rsid w:val="7413FF44"/>
    <w:rsid w:val="74144B18"/>
    <w:rsid w:val="7414EA8D"/>
    <w:rsid w:val="741E9869"/>
    <w:rsid w:val="7420AB14"/>
    <w:rsid w:val="7421BF52"/>
    <w:rsid w:val="74283B91"/>
    <w:rsid w:val="742D9226"/>
    <w:rsid w:val="7438C9C9"/>
    <w:rsid w:val="743CB0CD"/>
    <w:rsid w:val="743D4F2D"/>
    <w:rsid w:val="743ECC7A"/>
    <w:rsid w:val="743F67DF"/>
    <w:rsid w:val="7441AB25"/>
    <w:rsid w:val="744B7E20"/>
    <w:rsid w:val="744F27C4"/>
    <w:rsid w:val="7450426A"/>
    <w:rsid w:val="7452AD95"/>
    <w:rsid w:val="7453B6B4"/>
    <w:rsid w:val="745687AF"/>
    <w:rsid w:val="745703AF"/>
    <w:rsid w:val="745787A8"/>
    <w:rsid w:val="7459938B"/>
    <w:rsid w:val="745A465C"/>
    <w:rsid w:val="745EE7C8"/>
    <w:rsid w:val="7461FB0C"/>
    <w:rsid w:val="7463909A"/>
    <w:rsid w:val="7466DFA4"/>
    <w:rsid w:val="746793FF"/>
    <w:rsid w:val="746AD838"/>
    <w:rsid w:val="746BA6F1"/>
    <w:rsid w:val="746CBFAF"/>
    <w:rsid w:val="746E4BF9"/>
    <w:rsid w:val="74712504"/>
    <w:rsid w:val="74744310"/>
    <w:rsid w:val="747674E8"/>
    <w:rsid w:val="7476DC67"/>
    <w:rsid w:val="7478B734"/>
    <w:rsid w:val="747CDEB5"/>
    <w:rsid w:val="74817320"/>
    <w:rsid w:val="748AC6E0"/>
    <w:rsid w:val="748CAA9A"/>
    <w:rsid w:val="748E9DBF"/>
    <w:rsid w:val="74913263"/>
    <w:rsid w:val="74956FDA"/>
    <w:rsid w:val="749777F5"/>
    <w:rsid w:val="74985420"/>
    <w:rsid w:val="749D0EEF"/>
    <w:rsid w:val="749F0DEA"/>
    <w:rsid w:val="74A238D8"/>
    <w:rsid w:val="74A7649A"/>
    <w:rsid w:val="74A83D1D"/>
    <w:rsid w:val="74ABB953"/>
    <w:rsid w:val="74AC5501"/>
    <w:rsid w:val="74AEA9ED"/>
    <w:rsid w:val="74B4A3B1"/>
    <w:rsid w:val="74B51D7E"/>
    <w:rsid w:val="74BB4E32"/>
    <w:rsid w:val="74C0E350"/>
    <w:rsid w:val="74C29B6A"/>
    <w:rsid w:val="74C3B2EC"/>
    <w:rsid w:val="74C3C743"/>
    <w:rsid w:val="74C417FD"/>
    <w:rsid w:val="74C432B5"/>
    <w:rsid w:val="74C76440"/>
    <w:rsid w:val="74C9DB5F"/>
    <w:rsid w:val="74CB575C"/>
    <w:rsid w:val="74CBACB1"/>
    <w:rsid w:val="74CE703B"/>
    <w:rsid w:val="74CE81F5"/>
    <w:rsid w:val="74D38B0C"/>
    <w:rsid w:val="74D533B7"/>
    <w:rsid w:val="74DA3626"/>
    <w:rsid w:val="74DAF595"/>
    <w:rsid w:val="74DB866E"/>
    <w:rsid w:val="74E06FC3"/>
    <w:rsid w:val="74E2BBDD"/>
    <w:rsid w:val="74E3B964"/>
    <w:rsid w:val="74E94286"/>
    <w:rsid w:val="74ED4307"/>
    <w:rsid w:val="74EDE48A"/>
    <w:rsid w:val="74EE9923"/>
    <w:rsid w:val="74F02F1D"/>
    <w:rsid w:val="74F3378B"/>
    <w:rsid w:val="74F95943"/>
    <w:rsid w:val="74FB9E36"/>
    <w:rsid w:val="74FE6F8A"/>
    <w:rsid w:val="75072B0C"/>
    <w:rsid w:val="750A850E"/>
    <w:rsid w:val="750C5322"/>
    <w:rsid w:val="751123D7"/>
    <w:rsid w:val="75129034"/>
    <w:rsid w:val="75153DC7"/>
    <w:rsid w:val="751AEDAD"/>
    <w:rsid w:val="751D948F"/>
    <w:rsid w:val="751FAA06"/>
    <w:rsid w:val="7520C7E4"/>
    <w:rsid w:val="75256880"/>
    <w:rsid w:val="75293CE8"/>
    <w:rsid w:val="752A826F"/>
    <w:rsid w:val="752AD65A"/>
    <w:rsid w:val="752FC28B"/>
    <w:rsid w:val="75353164"/>
    <w:rsid w:val="7536150D"/>
    <w:rsid w:val="7536E3BC"/>
    <w:rsid w:val="75406FBD"/>
    <w:rsid w:val="7540B7A9"/>
    <w:rsid w:val="7541E132"/>
    <w:rsid w:val="754237B4"/>
    <w:rsid w:val="75432ED3"/>
    <w:rsid w:val="754AD931"/>
    <w:rsid w:val="754C08F4"/>
    <w:rsid w:val="7551788D"/>
    <w:rsid w:val="755556DA"/>
    <w:rsid w:val="75580548"/>
    <w:rsid w:val="755AA954"/>
    <w:rsid w:val="755C608F"/>
    <w:rsid w:val="7561010A"/>
    <w:rsid w:val="756205A2"/>
    <w:rsid w:val="75655052"/>
    <w:rsid w:val="756582E7"/>
    <w:rsid w:val="756618F1"/>
    <w:rsid w:val="7567E2A4"/>
    <w:rsid w:val="756AB880"/>
    <w:rsid w:val="756CED12"/>
    <w:rsid w:val="75738F30"/>
    <w:rsid w:val="7573B868"/>
    <w:rsid w:val="7577AD5F"/>
    <w:rsid w:val="7578B341"/>
    <w:rsid w:val="7578F6CD"/>
    <w:rsid w:val="757A931B"/>
    <w:rsid w:val="757CFD6C"/>
    <w:rsid w:val="75835A08"/>
    <w:rsid w:val="7583B1C4"/>
    <w:rsid w:val="75844018"/>
    <w:rsid w:val="758A30C3"/>
    <w:rsid w:val="758B357C"/>
    <w:rsid w:val="758C4DF3"/>
    <w:rsid w:val="758E9D5F"/>
    <w:rsid w:val="758F1CE6"/>
    <w:rsid w:val="75927C53"/>
    <w:rsid w:val="7595F33B"/>
    <w:rsid w:val="759F2259"/>
    <w:rsid w:val="759FCA23"/>
    <w:rsid w:val="75A3C540"/>
    <w:rsid w:val="75A575FA"/>
    <w:rsid w:val="75AA6F66"/>
    <w:rsid w:val="75AA706B"/>
    <w:rsid w:val="75AECD39"/>
    <w:rsid w:val="75AF5061"/>
    <w:rsid w:val="75AF9771"/>
    <w:rsid w:val="75B16597"/>
    <w:rsid w:val="75B23F32"/>
    <w:rsid w:val="75B5B792"/>
    <w:rsid w:val="75BB11D2"/>
    <w:rsid w:val="75BC0336"/>
    <w:rsid w:val="75C40A8A"/>
    <w:rsid w:val="75C4EB99"/>
    <w:rsid w:val="75C6CF32"/>
    <w:rsid w:val="75CC464C"/>
    <w:rsid w:val="75CD08C0"/>
    <w:rsid w:val="75CDF227"/>
    <w:rsid w:val="75CE5E12"/>
    <w:rsid w:val="75D052C7"/>
    <w:rsid w:val="75D0F15A"/>
    <w:rsid w:val="75D15745"/>
    <w:rsid w:val="75D680DD"/>
    <w:rsid w:val="75D70960"/>
    <w:rsid w:val="75D843D5"/>
    <w:rsid w:val="75E201D6"/>
    <w:rsid w:val="75E33CEA"/>
    <w:rsid w:val="75E4C11C"/>
    <w:rsid w:val="75E56AB3"/>
    <w:rsid w:val="75E6DE2E"/>
    <w:rsid w:val="75F1BF82"/>
    <w:rsid w:val="75F2EF27"/>
    <w:rsid w:val="75F4BC64"/>
    <w:rsid w:val="75F4D344"/>
    <w:rsid w:val="75F563A4"/>
    <w:rsid w:val="75F88ABC"/>
    <w:rsid w:val="75F96649"/>
    <w:rsid w:val="75FC5F2B"/>
    <w:rsid w:val="75FC7F3D"/>
    <w:rsid w:val="75FEA1F6"/>
    <w:rsid w:val="75FFF424"/>
    <w:rsid w:val="76001991"/>
    <w:rsid w:val="76015035"/>
    <w:rsid w:val="7604FA02"/>
    <w:rsid w:val="7606C341"/>
    <w:rsid w:val="760787A9"/>
    <w:rsid w:val="760795BE"/>
    <w:rsid w:val="760A0E0F"/>
    <w:rsid w:val="760A6A53"/>
    <w:rsid w:val="7612D3A3"/>
    <w:rsid w:val="7613ECB9"/>
    <w:rsid w:val="761B97F8"/>
    <w:rsid w:val="7620177C"/>
    <w:rsid w:val="762044CC"/>
    <w:rsid w:val="7623E889"/>
    <w:rsid w:val="762405E4"/>
    <w:rsid w:val="7625DBA1"/>
    <w:rsid w:val="762AA691"/>
    <w:rsid w:val="762F1217"/>
    <w:rsid w:val="762FD430"/>
    <w:rsid w:val="76347ABF"/>
    <w:rsid w:val="7636CC4D"/>
    <w:rsid w:val="763B8CC4"/>
    <w:rsid w:val="763C20ED"/>
    <w:rsid w:val="763CC892"/>
    <w:rsid w:val="763CD985"/>
    <w:rsid w:val="763F061E"/>
    <w:rsid w:val="76409929"/>
    <w:rsid w:val="7642812A"/>
    <w:rsid w:val="7643C5B8"/>
    <w:rsid w:val="7643EED8"/>
    <w:rsid w:val="7649BCBD"/>
    <w:rsid w:val="764BF070"/>
    <w:rsid w:val="764E1392"/>
    <w:rsid w:val="765519E9"/>
    <w:rsid w:val="76564B3B"/>
    <w:rsid w:val="76582638"/>
    <w:rsid w:val="765BC374"/>
    <w:rsid w:val="765C2F91"/>
    <w:rsid w:val="765C4560"/>
    <w:rsid w:val="7662E8DA"/>
    <w:rsid w:val="7664B595"/>
    <w:rsid w:val="766B532E"/>
    <w:rsid w:val="766BE502"/>
    <w:rsid w:val="766C7CD0"/>
    <w:rsid w:val="766D6361"/>
    <w:rsid w:val="76701930"/>
    <w:rsid w:val="76723A96"/>
    <w:rsid w:val="76742206"/>
    <w:rsid w:val="76787B1F"/>
    <w:rsid w:val="7679B193"/>
    <w:rsid w:val="767B1F3E"/>
    <w:rsid w:val="767DC046"/>
    <w:rsid w:val="768017E0"/>
    <w:rsid w:val="7681A69D"/>
    <w:rsid w:val="76835F03"/>
    <w:rsid w:val="76886F01"/>
    <w:rsid w:val="768CFF2A"/>
    <w:rsid w:val="768D2416"/>
    <w:rsid w:val="768DCD7C"/>
    <w:rsid w:val="768E2B44"/>
    <w:rsid w:val="769C14CC"/>
    <w:rsid w:val="76A12346"/>
    <w:rsid w:val="76A2BAFF"/>
    <w:rsid w:val="76A37BDC"/>
    <w:rsid w:val="76A59430"/>
    <w:rsid w:val="76A8174B"/>
    <w:rsid w:val="76A890FC"/>
    <w:rsid w:val="76B2912D"/>
    <w:rsid w:val="76B357B4"/>
    <w:rsid w:val="76B45A68"/>
    <w:rsid w:val="76B4691A"/>
    <w:rsid w:val="76B4E65F"/>
    <w:rsid w:val="76B95014"/>
    <w:rsid w:val="76BA4FC9"/>
    <w:rsid w:val="76BE6FDA"/>
    <w:rsid w:val="76BF9643"/>
    <w:rsid w:val="76BFEED7"/>
    <w:rsid w:val="76C0CEFC"/>
    <w:rsid w:val="76C15CA6"/>
    <w:rsid w:val="76C26D7A"/>
    <w:rsid w:val="76C6BA41"/>
    <w:rsid w:val="76CA2366"/>
    <w:rsid w:val="76D01E7C"/>
    <w:rsid w:val="76D11CC0"/>
    <w:rsid w:val="76D8E975"/>
    <w:rsid w:val="76DAA4FC"/>
    <w:rsid w:val="76DBAF6B"/>
    <w:rsid w:val="76E1EE09"/>
    <w:rsid w:val="76E4F7FD"/>
    <w:rsid w:val="76E53B68"/>
    <w:rsid w:val="76E54C62"/>
    <w:rsid w:val="76E58C95"/>
    <w:rsid w:val="76E703E2"/>
    <w:rsid w:val="76E7B21B"/>
    <w:rsid w:val="76EDC158"/>
    <w:rsid w:val="76F0C2FB"/>
    <w:rsid w:val="76F26B14"/>
    <w:rsid w:val="76F69146"/>
    <w:rsid w:val="76F73324"/>
    <w:rsid w:val="76F8909B"/>
    <w:rsid w:val="76FEC7C7"/>
    <w:rsid w:val="77010873"/>
    <w:rsid w:val="77048A7A"/>
    <w:rsid w:val="770549AE"/>
    <w:rsid w:val="7708290D"/>
    <w:rsid w:val="77094369"/>
    <w:rsid w:val="770ACDFB"/>
    <w:rsid w:val="770BCF00"/>
    <w:rsid w:val="770E7DB8"/>
    <w:rsid w:val="77101C80"/>
    <w:rsid w:val="77116B57"/>
    <w:rsid w:val="77154A20"/>
    <w:rsid w:val="7718B999"/>
    <w:rsid w:val="771B1D25"/>
    <w:rsid w:val="771BA46E"/>
    <w:rsid w:val="771BE9E4"/>
    <w:rsid w:val="771ED7AD"/>
    <w:rsid w:val="771EDE59"/>
    <w:rsid w:val="77201330"/>
    <w:rsid w:val="77216FC6"/>
    <w:rsid w:val="77241B2D"/>
    <w:rsid w:val="772514D0"/>
    <w:rsid w:val="77267EFE"/>
    <w:rsid w:val="772ACB1F"/>
    <w:rsid w:val="772E8F5C"/>
    <w:rsid w:val="772EB342"/>
    <w:rsid w:val="77323A67"/>
    <w:rsid w:val="773323B8"/>
    <w:rsid w:val="77345F15"/>
    <w:rsid w:val="7734A3DB"/>
    <w:rsid w:val="77373ED8"/>
    <w:rsid w:val="77387CF3"/>
    <w:rsid w:val="7739366B"/>
    <w:rsid w:val="773BB3FB"/>
    <w:rsid w:val="773C980F"/>
    <w:rsid w:val="773D47AC"/>
    <w:rsid w:val="773F7464"/>
    <w:rsid w:val="7744395D"/>
    <w:rsid w:val="77457BAB"/>
    <w:rsid w:val="774AA577"/>
    <w:rsid w:val="774E6847"/>
    <w:rsid w:val="774EC312"/>
    <w:rsid w:val="775132A2"/>
    <w:rsid w:val="7751F62E"/>
    <w:rsid w:val="77520392"/>
    <w:rsid w:val="7752E91A"/>
    <w:rsid w:val="775507EE"/>
    <w:rsid w:val="7756F9F4"/>
    <w:rsid w:val="775C9E18"/>
    <w:rsid w:val="7762FD41"/>
    <w:rsid w:val="77667088"/>
    <w:rsid w:val="776C25F5"/>
    <w:rsid w:val="776ED58A"/>
    <w:rsid w:val="777226A4"/>
    <w:rsid w:val="7773E3CB"/>
    <w:rsid w:val="7776DD6F"/>
    <w:rsid w:val="7777E3D8"/>
    <w:rsid w:val="7778B492"/>
    <w:rsid w:val="777BA21A"/>
    <w:rsid w:val="777C090B"/>
    <w:rsid w:val="777D963A"/>
    <w:rsid w:val="777EE19A"/>
    <w:rsid w:val="777F07C2"/>
    <w:rsid w:val="77800180"/>
    <w:rsid w:val="778BF3C8"/>
    <w:rsid w:val="778C7150"/>
    <w:rsid w:val="778F1DA2"/>
    <w:rsid w:val="77917AB9"/>
    <w:rsid w:val="7791B06A"/>
    <w:rsid w:val="7792A111"/>
    <w:rsid w:val="779633BD"/>
    <w:rsid w:val="779E1463"/>
    <w:rsid w:val="779F6584"/>
    <w:rsid w:val="77A06764"/>
    <w:rsid w:val="77A16186"/>
    <w:rsid w:val="77A70FC4"/>
    <w:rsid w:val="77A8A76C"/>
    <w:rsid w:val="77A9A22A"/>
    <w:rsid w:val="77ADCD22"/>
    <w:rsid w:val="77AF9794"/>
    <w:rsid w:val="77AFF33C"/>
    <w:rsid w:val="77B6F9D1"/>
    <w:rsid w:val="77BDBF23"/>
    <w:rsid w:val="77BE029B"/>
    <w:rsid w:val="77BF1B3C"/>
    <w:rsid w:val="77C2A761"/>
    <w:rsid w:val="77CE3687"/>
    <w:rsid w:val="77CF3EAC"/>
    <w:rsid w:val="77D1FD4F"/>
    <w:rsid w:val="77D72FFF"/>
    <w:rsid w:val="77DB72A8"/>
    <w:rsid w:val="77DC2B4C"/>
    <w:rsid w:val="77DCEE23"/>
    <w:rsid w:val="77E0AC10"/>
    <w:rsid w:val="77E314A7"/>
    <w:rsid w:val="77E873B6"/>
    <w:rsid w:val="77EF84CF"/>
    <w:rsid w:val="77F956AC"/>
    <w:rsid w:val="77FB491C"/>
    <w:rsid w:val="77FC517B"/>
    <w:rsid w:val="77FD77C3"/>
    <w:rsid w:val="77FE1C3B"/>
    <w:rsid w:val="7808D860"/>
    <w:rsid w:val="780A54F0"/>
    <w:rsid w:val="780DDA55"/>
    <w:rsid w:val="780E1453"/>
    <w:rsid w:val="78103C52"/>
    <w:rsid w:val="78137C8C"/>
    <w:rsid w:val="781462AE"/>
    <w:rsid w:val="781738AF"/>
    <w:rsid w:val="7817868A"/>
    <w:rsid w:val="781A3983"/>
    <w:rsid w:val="78240067"/>
    <w:rsid w:val="78267D50"/>
    <w:rsid w:val="7826C466"/>
    <w:rsid w:val="782C1FCB"/>
    <w:rsid w:val="782D558E"/>
    <w:rsid w:val="782FE037"/>
    <w:rsid w:val="7832E78A"/>
    <w:rsid w:val="7834EFBE"/>
    <w:rsid w:val="78362343"/>
    <w:rsid w:val="783957D6"/>
    <w:rsid w:val="783BD936"/>
    <w:rsid w:val="78431E1A"/>
    <w:rsid w:val="78437992"/>
    <w:rsid w:val="7844D2FE"/>
    <w:rsid w:val="784AE6C6"/>
    <w:rsid w:val="7850101F"/>
    <w:rsid w:val="78516F52"/>
    <w:rsid w:val="7851ECB5"/>
    <w:rsid w:val="785471B6"/>
    <w:rsid w:val="785582D9"/>
    <w:rsid w:val="7856E3CE"/>
    <w:rsid w:val="785A98D6"/>
    <w:rsid w:val="785B279C"/>
    <w:rsid w:val="785F1A7B"/>
    <w:rsid w:val="78603ABE"/>
    <w:rsid w:val="78604F2F"/>
    <w:rsid w:val="7864A2CC"/>
    <w:rsid w:val="7864D63A"/>
    <w:rsid w:val="7866A5EB"/>
    <w:rsid w:val="786AF4C1"/>
    <w:rsid w:val="786F10D9"/>
    <w:rsid w:val="786F1BD3"/>
    <w:rsid w:val="786FB86B"/>
    <w:rsid w:val="7874F7F6"/>
    <w:rsid w:val="787A1065"/>
    <w:rsid w:val="78806371"/>
    <w:rsid w:val="7882DEA2"/>
    <w:rsid w:val="7884A6F6"/>
    <w:rsid w:val="7888F7A7"/>
    <w:rsid w:val="789ECFAC"/>
    <w:rsid w:val="789EF6FE"/>
    <w:rsid w:val="78A3FA8A"/>
    <w:rsid w:val="78A47FBD"/>
    <w:rsid w:val="78A63E75"/>
    <w:rsid w:val="78A9ACC2"/>
    <w:rsid w:val="78A9E6C9"/>
    <w:rsid w:val="78AB5FD1"/>
    <w:rsid w:val="78B1753E"/>
    <w:rsid w:val="78B1D111"/>
    <w:rsid w:val="78B43ECE"/>
    <w:rsid w:val="78B69268"/>
    <w:rsid w:val="78B712BC"/>
    <w:rsid w:val="78B77D01"/>
    <w:rsid w:val="78B8517F"/>
    <w:rsid w:val="78BAAC36"/>
    <w:rsid w:val="78BC61FD"/>
    <w:rsid w:val="78BFD72D"/>
    <w:rsid w:val="78C17B87"/>
    <w:rsid w:val="78C4222B"/>
    <w:rsid w:val="78C5DFA3"/>
    <w:rsid w:val="78CA0234"/>
    <w:rsid w:val="78D07185"/>
    <w:rsid w:val="78D0D498"/>
    <w:rsid w:val="78D3C88C"/>
    <w:rsid w:val="78D4CC92"/>
    <w:rsid w:val="78D517B0"/>
    <w:rsid w:val="78D64AB1"/>
    <w:rsid w:val="78D70743"/>
    <w:rsid w:val="78D95F27"/>
    <w:rsid w:val="78D964F9"/>
    <w:rsid w:val="78DA0DE5"/>
    <w:rsid w:val="78DB57FC"/>
    <w:rsid w:val="78DF672E"/>
    <w:rsid w:val="78DFCCBD"/>
    <w:rsid w:val="78DFECA2"/>
    <w:rsid w:val="78E108BB"/>
    <w:rsid w:val="78E232A2"/>
    <w:rsid w:val="78E5DD21"/>
    <w:rsid w:val="78E63DD0"/>
    <w:rsid w:val="78E75D37"/>
    <w:rsid w:val="78ED94ED"/>
    <w:rsid w:val="78EDDAAE"/>
    <w:rsid w:val="78EE18FC"/>
    <w:rsid w:val="78F468E8"/>
    <w:rsid w:val="78F750D7"/>
    <w:rsid w:val="78F815EC"/>
    <w:rsid w:val="78FCB4FC"/>
    <w:rsid w:val="790230FD"/>
    <w:rsid w:val="790359D4"/>
    <w:rsid w:val="790462C0"/>
    <w:rsid w:val="7904650C"/>
    <w:rsid w:val="79057470"/>
    <w:rsid w:val="79094D1F"/>
    <w:rsid w:val="790B6EBD"/>
    <w:rsid w:val="790BB406"/>
    <w:rsid w:val="790C0A8F"/>
    <w:rsid w:val="790FE310"/>
    <w:rsid w:val="79154F61"/>
    <w:rsid w:val="79156FE4"/>
    <w:rsid w:val="7916DD02"/>
    <w:rsid w:val="791A2E36"/>
    <w:rsid w:val="791C874C"/>
    <w:rsid w:val="791EB0D2"/>
    <w:rsid w:val="7921FFA0"/>
    <w:rsid w:val="792CEDB9"/>
    <w:rsid w:val="7930AC6D"/>
    <w:rsid w:val="7933D5BD"/>
    <w:rsid w:val="793F29E8"/>
    <w:rsid w:val="79400C5F"/>
    <w:rsid w:val="79422A4B"/>
    <w:rsid w:val="79476DD5"/>
    <w:rsid w:val="79515A46"/>
    <w:rsid w:val="795338BA"/>
    <w:rsid w:val="795598CC"/>
    <w:rsid w:val="7959C607"/>
    <w:rsid w:val="795E39CD"/>
    <w:rsid w:val="7963BDD7"/>
    <w:rsid w:val="79645415"/>
    <w:rsid w:val="79662D1D"/>
    <w:rsid w:val="79679F42"/>
    <w:rsid w:val="7967E37D"/>
    <w:rsid w:val="7968DB5B"/>
    <w:rsid w:val="797B4BBC"/>
    <w:rsid w:val="797FF52A"/>
    <w:rsid w:val="798067C3"/>
    <w:rsid w:val="798418EC"/>
    <w:rsid w:val="798422D9"/>
    <w:rsid w:val="7986EDFA"/>
    <w:rsid w:val="7987FDA4"/>
    <w:rsid w:val="798CB1BD"/>
    <w:rsid w:val="798D7BF9"/>
    <w:rsid w:val="79904B71"/>
    <w:rsid w:val="79934BFE"/>
    <w:rsid w:val="79953A64"/>
    <w:rsid w:val="7995B176"/>
    <w:rsid w:val="79970655"/>
    <w:rsid w:val="79982112"/>
    <w:rsid w:val="799A5CAC"/>
    <w:rsid w:val="799AE72F"/>
    <w:rsid w:val="799EF1DD"/>
    <w:rsid w:val="79A0B702"/>
    <w:rsid w:val="79A343A4"/>
    <w:rsid w:val="79A660E7"/>
    <w:rsid w:val="79A6F921"/>
    <w:rsid w:val="79AC1252"/>
    <w:rsid w:val="79ACB0C8"/>
    <w:rsid w:val="79AEC92D"/>
    <w:rsid w:val="79B07A8C"/>
    <w:rsid w:val="79B38618"/>
    <w:rsid w:val="79B3DEE1"/>
    <w:rsid w:val="79B5218A"/>
    <w:rsid w:val="79B9913B"/>
    <w:rsid w:val="79BB77C6"/>
    <w:rsid w:val="79BFF029"/>
    <w:rsid w:val="79C230D9"/>
    <w:rsid w:val="79C24167"/>
    <w:rsid w:val="79C34264"/>
    <w:rsid w:val="79C3BF3E"/>
    <w:rsid w:val="79C860A2"/>
    <w:rsid w:val="79CA2E72"/>
    <w:rsid w:val="79CAEA15"/>
    <w:rsid w:val="79CE983D"/>
    <w:rsid w:val="79D0B7C4"/>
    <w:rsid w:val="79D12DA3"/>
    <w:rsid w:val="79D14C46"/>
    <w:rsid w:val="79D1AD3D"/>
    <w:rsid w:val="79D2586B"/>
    <w:rsid w:val="79D42148"/>
    <w:rsid w:val="79DCB77E"/>
    <w:rsid w:val="79E4E86B"/>
    <w:rsid w:val="79E55493"/>
    <w:rsid w:val="79E6948E"/>
    <w:rsid w:val="79E6AFAD"/>
    <w:rsid w:val="79E7A6AD"/>
    <w:rsid w:val="79E9562B"/>
    <w:rsid w:val="79F11C24"/>
    <w:rsid w:val="79F220C0"/>
    <w:rsid w:val="79F3F1C5"/>
    <w:rsid w:val="79F4131E"/>
    <w:rsid w:val="7A0107DD"/>
    <w:rsid w:val="7A0108FA"/>
    <w:rsid w:val="7A06F583"/>
    <w:rsid w:val="7A0E3BD7"/>
    <w:rsid w:val="7A1308C2"/>
    <w:rsid w:val="7A131C84"/>
    <w:rsid w:val="7A14C83F"/>
    <w:rsid w:val="7A168EB5"/>
    <w:rsid w:val="7A1A1456"/>
    <w:rsid w:val="7A1A8FBB"/>
    <w:rsid w:val="7A1BA86B"/>
    <w:rsid w:val="7A1BD150"/>
    <w:rsid w:val="7A20B4F9"/>
    <w:rsid w:val="7A25F15D"/>
    <w:rsid w:val="7A2BD3D8"/>
    <w:rsid w:val="7A2E0667"/>
    <w:rsid w:val="7A2E8296"/>
    <w:rsid w:val="7A313EC1"/>
    <w:rsid w:val="7A34DEF7"/>
    <w:rsid w:val="7A37ABC6"/>
    <w:rsid w:val="7A388D95"/>
    <w:rsid w:val="7A38D19F"/>
    <w:rsid w:val="7A3F36B0"/>
    <w:rsid w:val="7A40AD3B"/>
    <w:rsid w:val="7A48DB07"/>
    <w:rsid w:val="7A4D9C3F"/>
    <w:rsid w:val="7A4F92EF"/>
    <w:rsid w:val="7A532C8D"/>
    <w:rsid w:val="7A538937"/>
    <w:rsid w:val="7A565280"/>
    <w:rsid w:val="7A57C2BA"/>
    <w:rsid w:val="7A582D0F"/>
    <w:rsid w:val="7A58A61B"/>
    <w:rsid w:val="7A58D897"/>
    <w:rsid w:val="7A59D60F"/>
    <w:rsid w:val="7A5F380E"/>
    <w:rsid w:val="7A630659"/>
    <w:rsid w:val="7A6CEC69"/>
    <w:rsid w:val="7A6FAD54"/>
    <w:rsid w:val="7A758CC6"/>
    <w:rsid w:val="7A75B2F8"/>
    <w:rsid w:val="7A775F85"/>
    <w:rsid w:val="7A797F20"/>
    <w:rsid w:val="7A858937"/>
    <w:rsid w:val="7A85CA38"/>
    <w:rsid w:val="7A8AF642"/>
    <w:rsid w:val="7A91526B"/>
    <w:rsid w:val="7A950DDB"/>
    <w:rsid w:val="7A95355D"/>
    <w:rsid w:val="7A97E8DA"/>
    <w:rsid w:val="7A98326F"/>
    <w:rsid w:val="7A99EC2A"/>
    <w:rsid w:val="7A9D1F34"/>
    <w:rsid w:val="7A9DE3AD"/>
    <w:rsid w:val="7A9E38FF"/>
    <w:rsid w:val="7A9E5C52"/>
    <w:rsid w:val="7AA393A3"/>
    <w:rsid w:val="7AABC323"/>
    <w:rsid w:val="7AAF125B"/>
    <w:rsid w:val="7AAF4C29"/>
    <w:rsid w:val="7ABB26DC"/>
    <w:rsid w:val="7ABB83BF"/>
    <w:rsid w:val="7ABBC5AA"/>
    <w:rsid w:val="7ABE37D8"/>
    <w:rsid w:val="7ABE850F"/>
    <w:rsid w:val="7AC3F996"/>
    <w:rsid w:val="7AC4921C"/>
    <w:rsid w:val="7AC88687"/>
    <w:rsid w:val="7ACCBF1A"/>
    <w:rsid w:val="7AD47112"/>
    <w:rsid w:val="7AD9B58F"/>
    <w:rsid w:val="7ADACF3E"/>
    <w:rsid w:val="7ADEDF57"/>
    <w:rsid w:val="7AE04A6F"/>
    <w:rsid w:val="7AE13788"/>
    <w:rsid w:val="7AE8820B"/>
    <w:rsid w:val="7AEA94F3"/>
    <w:rsid w:val="7AF11EC9"/>
    <w:rsid w:val="7AF547D8"/>
    <w:rsid w:val="7AF64A11"/>
    <w:rsid w:val="7AFA354F"/>
    <w:rsid w:val="7B031AB6"/>
    <w:rsid w:val="7B0758E2"/>
    <w:rsid w:val="7B0A8D51"/>
    <w:rsid w:val="7B0CE098"/>
    <w:rsid w:val="7B0F38CE"/>
    <w:rsid w:val="7B114BB6"/>
    <w:rsid w:val="7B128B21"/>
    <w:rsid w:val="7B16DB10"/>
    <w:rsid w:val="7B16E5A0"/>
    <w:rsid w:val="7B1B94FD"/>
    <w:rsid w:val="7B1E77BD"/>
    <w:rsid w:val="7B20B57A"/>
    <w:rsid w:val="7B294AEE"/>
    <w:rsid w:val="7B2E2E66"/>
    <w:rsid w:val="7B31C3CD"/>
    <w:rsid w:val="7B3559B3"/>
    <w:rsid w:val="7B37262C"/>
    <w:rsid w:val="7B37262D"/>
    <w:rsid w:val="7B3F2C83"/>
    <w:rsid w:val="7B462D91"/>
    <w:rsid w:val="7B4BC111"/>
    <w:rsid w:val="7B558FD0"/>
    <w:rsid w:val="7B56CB70"/>
    <w:rsid w:val="7B5BD277"/>
    <w:rsid w:val="7B5BD497"/>
    <w:rsid w:val="7B5DEE5D"/>
    <w:rsid w:val="7B5EAC62"/>
    <w:rsid w:val="7B60C706"/>
    <w:rsid w:val="7B650F7A"/>
    <w:rsid w:val="7B66F2F9"/>
    <w:rsid w:val="7B693282"/>
    <w:rsid w:val="7B6D7CDF"/>
    <w:rsid w:val="7B6E9597"/>
    <w:rsid w:val="7B7026D3"/>
    <w:rsid w:val="7B743E52"/>
    <w:rsid w:val="7B744757"/>
    <w:rsid w:val="7B75FFDA"/>
    <w:rsid w:val="7B794AAA"/>
    <w:rsid w:val="7B7CD762"/>
    <w:rsid w:val="7B7EDF03"/>
    <w:rsid w:val="7B8D8B8F"/>
    <w:rsid w:val="7B904EA5"/>
    <w:rsid w:val="7B90E726"/>
    <w:rsid w:val="7B922EEE"/>
    <w:rsid w:val="7B9AF389"/>
    <w:rsid w:val="7B9BFE2C"/>
    <w:rsid w:val="7BA34BAE"/>
    <w:rsid w:val="7BA83CFF"/>
    <w:rsid w:val="7BA91FAC"/>
    <w:rsid w:val="7BAC6AA2"/>
    <w:rsid w:val="7BACAD78"/>
    <w:rsid w:val="7BADD9DF"/>
    <w:rsid w:val="7BADDC1B"/>
    <w:rsid w:val="7BB1675E"/>
    <w:rsid w:val="7BB2C73E"/>
    <w:rsid w:val="7BB3D18E"/>
    <w:rsid w:val="7BB3E1DE"/>
    <w:rsid w:val="7BB84F87"/>
    <w:rsid w:val="7BB93080"/>
    <w:rsid w:val="7BBB6EA0"/>
    <w:rsid w:val="7BBFA4A8"/>
    <w:rsid w:val="7BBFE8FA"/>
    <w:rsid w:val="7BC2A594"/>
    <w:rsid w:val="7BC7DCC7"/>
    <w:rsid w:val="7BC9D522"/>
    <w:rsid w:val="7BCA3051"/>
    <w:rsid w:val="7BCCA085"/>
    <w:rsid w:val="7BD05AF4"/>
    <w:rsid w:val="7BD0E719"/>
    <w:rsid w:val="7BD416E7"/>
    <w:rsid w:val="7BD59AEA"/>
    <w:rsid w:val="7BDAF967"/>
    <w:rsid w:val="7BDC334D"/>
    <w:rsid w:val="7BDDC969"/>
    <w:rsid w:val="7BDF436A"/>
    <w:rsid w:val="7BE17562"/>
    <w:rsid w:val="7BE1AF9C"/>
    <w:rsid w:val="7BE60458"/>
    <w:rsid w:val="7BE9877D"/>
    <w:rsid w:val="7BEAC76A"/>
    <w:rsid w:val="7BF16F65"/>
    <w:rsid w:val="7BF5C563"/>
    <w:rsid w:val="7BFB1B7D"/>
    <w:rsid w:val="7BFC8D0E"/>
    <w:rsid w:val="7C017F91"/>
    <w:rsid w:val="7C02511A"/>
    <w:rsid w:val="7C065E9E"/>
    <w:rsid w:val="7C09D651"/>
    <w:rsid w:val="7C0E7779"/>
    <w:rsid w:val="7C122D94"/>
    <w:rsid w:val="7C12C15A"/>
    <w:rsid w:val="7C1C43D0"/>
    <w:rsid w:val="7C29D240"/>
    <w:rsid w:val="7C2AC6A9"/>
    <w:rsid w:val="7C2B36EB"/>
    <w:rsid w:val="7C2CC0BF"/>
    <w:rsid w:val="7C2E7253"/>
    <w:rsid w:val="7C302E70"/>
    <w:rsid w:val="7C3461FD"/>
    <w:rsid w:val="7C3595D0"/>
    <w:rsid w:val="7C37D96C"/>
    <w:rsid w:val="7C3E7B01"/>
    <w:rsid w:val="7C42B4CD"/>
    <w:rsid w:val="7C42D3A1"/>
    <w:rsid w:val="7C447C8F"/>
    <w:rsid w:val="7C497318"/>
    <w:rsid w:val="7C4A4CBF"/>
    <w:rsid w:val="7C4A5A4A"/>
    <w:rsid w:val="7C4BD6CA"/>
    <w:rsid w:val="7C4E41D8"/>
    <w:rsid w:val="7C4F6E59"/>
    <w:rsid w:val="7C4FFA0A"/>
    <w:rsid w:val="7C50DDCE"/>
    <w:rsid w:val="7C52DD9F"/>
    <w:rsid w:val="7C572B4F"/>
    <w:rsid w:val="7C5BDD6D"/>
    <w:rsid w:val="7C616AED"/>
    <w:rsid w:val="7C618796"/>
    <w:rsid w:val="7C660120"/>
    <w:rsid w:val="7C68EAB2"/>
    <w:rsid w:val="7C6F75A1"/>
    <w:rsid w:val="7C732280"/>
    <w:rsid w:val="7C76377D"/>
    <w:rsid w:val="7C76468C"/>
    <w:rsid w:val="7C80A3B0"/>
    <w:rsid w:val="7C863F91"/>
    <w:rsid w:val="7C8D192B"/>
    <w:rsid w:val="7C8DBCF8"/>
    <w:rsid w:val="7C8EC9E7"/>
    <w:rsid w:val="7C8F0AFC"/>
    <w:rsid w:val="7C8F64F7"/>
    <w:rsid w:val="7C927801"/>
    <w:rsid w:val="7C929679"/>
    <w:rsid w:val="7C953869"/>
    <w:rsid w:val="7C9B4AE9"/>
    <w:rsid w:val="7CA185D6"/>
    <w:rsid w:val="7CA23467"/>
    <w:rsid w:val="7CA96748"/>
    <w:rsid w:val="7CAD7FDD"/>
    <w:rsid w:val="7CADE1AC"/>
    <w:rsid w:val="7CAF54F4"/>
    <w:rsid w:val="7CB8532B"/>
    <w:rsid w:val="7CBC56DA"/>
    <w:rsid w:val="7CBF33A4"/>
    <w:rsid w:val="7CC11142"/>
    <w:rsid w:val="7CC43723"/>
    <w:rsid w:val="7CC663A2"/>
    <w:rsid w:val="7CC855C3"/>
    <w:rsid w:val="7CC9CA8E"/>
    <w:rsid w:val="7CCB48BD"/>
    <w:rsid w:val="7CD1ED35"/>
    <w:rsid w:val="7CD8FD9D"/>
    <w:rsid w:val="7CD9F8C8"/>
    <w:rsid w:val="7CDE41AB"/>
    <w:rsid w:val="7CE03052"/>
    <w:rsid w:val="7CE291FE"/>
    <w:rsid w:val="7CE2E2F2"/>
    <w:rsid w:val="7CE75342"/>
    <w:rsid w:val="7CEB0059"/>
    <w:rsid w:val="7CEB8102"/>
    <w:rsid w:val="7CEE8D55"/>
    <w:rsid w:val="7CEECF17"/>
    <w:rsid w:val="7CEF4DFF"/>
    <w:rsid w:val="7CF0365B"/>
    <w:rsid w:val="7CF0D1A5"/>
    <w:rsid w:val="7CF16A5A"/>
    <w:rsid w:val="7CF3B373"/>
    <w:rsid w:val="7CF3E51E"/>
    <w:rsid w:val="7CF552BC"/>
    <w:rsid w:val="7CF598C2"/>
    <w:rsid w:val="7CF978A2"/>
    <w:rsid w:val="7D0867D3"/>
    <w:rsid w:val="7D0A71A6"/>
    <w:rsid w:val="7D0C164D"/>
    <w:rsid w:val="7D0F1B20"/>
    <w:rsid w:val="7D143F15"/>
    <w:rsid w:val="7D156D55"/>
    <w:rsid w:val="7D1604C0"/>
    <w:rsid w:val="7D1638D0"/>
    <w:rsid w:val="7D173E1A"/>
    <w:rsid w:val="7D1FA08F"/>
    <w:rsid w:val="7D20E8C6"/>
    <w:rsid w:val="7D25134E"/>
    <w:rsid w:val="7D26B85F"/>
    <w:rsid w:val="7D28D387"/>
    <w:rsid w:val="7D2C910A"/>
    <w:rsid w:val="7D2CDE37"/>
    <w:rsid w:val="7D2DF89E"/>
    <w:rsid w:val="7D3481E6"/>
    <w:rsid w:val="7D34984D"/>
    <w:rsid w:val="7D379D49"/>
    <w:rsid w:val="7D3CC987"/>
    <w:rsid w:val="7D4576B2"/>
    <w:rsid w:val="7D45DAE2"/>
    <w:rsid w:val="7D4850B0"/>
    <w:rsid w:val="7D498663"/>
    <w:rsid w:val="7D4A0289"/>
    <w:rsid w:val="7D4B97D5"/>
    <w:rsid w:val="7D4FF315"/>
    <w:rsid w:val="7D52EEE8"/>
    <w:rsid w:val="7D569C7A"/>
    <w:rsid w:val="7D578594"/>
    <w:rsid w:val="7D579EC7"/>
    <w:rsid w:val="7D5B07F4"/>
    <w:rsid w:val="7D5CEE13"/>
    <w:rsid w:val="7D5D2326"/>
    <w:rsid w:val="7D5F9FD9"/>
    <w:rsid w:val="7D5FA19E"/>
    <w:rsid w:val="7D63E4AB"/>
    <w:rsid w:val="7D658C48"/>
    <w:rsid w:val="7D677A81"/>
    <w:rsid w:val="7D69424A"/>
    <w:rsid w:val="7D6A6FDF"/>
    <w:rsid w:val="7D720BB2"/>
    <w:rsid w:val="7D766833"/>
    <w:rsid w:val="7D7B6F79"/>
    <w:rsid w:val="7D7C3C88"/>
    <w:rsid w:val="7D7E1EC8"/>
    <w:rsid w:val="7D7EEF43"/>
    <w:rsid w:val="7D81FDAB"/>
    <w:rsid w:val="7D82CA3E"/>
    <w:rsid w:val="7D8716FD"/>
    <w:rsid w:val="7D87B9D3"/>
    <w:rsid w:val="7D8BA7AA"/>
    <w:rsid w:val="7D8DF342"/>
    <w:rsid w:val="7D8F4E94"/>
    <w:rsid w:val="7D904839"/>
    <w:rsid w:val="7D9318C3"/>
    <w:rsid w:val="7D935C24"/>
    <w:rsid w:val="7D97A046"/>
    <w:rsid w:val="7D9967AE"/>
    <w:rsid w:val="7D9A4E31"/>
    <w:rsid w:val="7D9B0345"/>
    <w:rsid w:val="7D9B2067"/>
    <w:rsid w:val="7D9DE74B"/>
    <w:rsid w:val="7D9E9E30"/>
    <w:rsid w:val="7D9F9096"/>
    <w:rsid w:val="7DA14165"/>
    <w:rsid w:val="7DA2A1A4"/>
    <w:rsid w:val="7DADBDDF"/>
    <w:rsid w:val="7DAF3BF1"/>
    <w:rsid w:val="7DAFA098"/>
    <w:rsid w:val="7DB15983"/>
    <w:rsid w:val="7DB232B3"/>
    <w:rsid w:val="7DB3384E"/>
    <w:rsid w:val="7DB81384"/>
    <w:rsid w:val="7DB94777"/>
    <w:rsid w:val="7DB9CF32"/>
    <w:rsid w:val="7DBB4183"/>
    <w:rsid w:val="7DBD0F91"/>
    <w:rsid w:val="7DBF00C5"/>
    <w:rsid w:val="7DBF4D92"/>
    <w:rsid w:val="7DC16541"/>
    <w:rsid w:val="7DC62300"/>
    <w:rsid w:val="7DC9A900"/>
    <w:rsid w:val="7DCED284"/>
    <w:rsid w:val="7DD0FF1B"/>
    <w:rsid w:val="7DD269AC"/>
    <w:rsid w:val="7DD4157A"/>
    <w:rsid w:val="7DD66AC5"/>
    <w:rsid w:val="7DD840BF"/>
    <w:rsid w:val="7DD9E835"/>
    <w:rsid w:val="7DDC98C3"/>
    <w:rsid w:val="7DE0CE4F"/>
    <w:rsid w:val="7DE1BAA8"/>
    <w:rsid w:val="7DE498CA"/>
    <w:rsid w:val="7DE9A2A6"/>
    <w:rsid w:val="7DEABDBA"/>
    <w:rsid w:val="7DEC1E1D"/>
    <w:rsid w:val="7DED4AA9"/>
    <w:rsid w:val="7DF32364"/>
    <w:rsid w:val="7DF71EED"/>
    <w:rsid w:val="7DFC9019"/>
    <w:rsid w:val="7DFEF122"/>
    <w:rsid w:val="7DFFF6F8"/>
    <w:rsid w:val="7E01FE7A"/>
    <w:rsid w:val="7E03095C"/>
    <w:rsid w:val="7E048A8D"/>
    <w:rsid w:val="7E0718A2"/>
    <w:rsid w:val="7E14589E"/>
    <w:rsid w:val="7E15DE53"/>
    <w:rsid w:val="7E16B2D9"/>
    <w:rsid w:val="7E16B612"/>
    <w:rsid w:val="7E1C5001"/>
    <w:rsid w:val="7E20ADC1"/>
    <w:rsid w:val="7E27B1EF"/>
    <w:rsid w:val="7E28843E"/>
    <w:rsid w:val="7E28CB0B"/>
    <w:rsid w:val="7E2BD3C2"/>
    <w:rsid w:val="7E32266A"/>
    <w:rsid w:val="7E34AB11"/>
    <w:rsid w:val="7E36C274"/>
    <w:rsid w:val="7E370DC0"/>
    <w:rsid w:val="7E37C37D"/>
    <w:rsid w:val="7E381E5B"/>
    <w:rsid w:val="7E384084"/>
    <w:rsid w:val="7E3C186B"/>
    <w:rsid w:val="7E3C20FD"/>
    <w:rsid w:val="7E3CD27B"/>
    <w:rsid w:val="7E41F929"/>
    <w:rsid w:val="7E4268E8"/>
    <w:rsid w:val="7E47B884"/>
    <w:rsid w:val="7E4BE4B6"/>
    <w:rsid w:val="7E4D7D9B"/>
    <w:rsid w:val="7E5140DE"/>
    <w:rsid w:val="7E51D845"/>
    <w:rsid w:val="7E522B59"/>
    <w:rsid w:val="7E5559AC"/>
    <w:rsid w:val="7E58D167"/>
    <w:rsid w:val="7E5C4B48"/>
    <w:rsid w:val="7E5E8C10"/>
    <w:rsid w:val="7E63D868"/>
    <w:rsid w:val="7E688D03"/>
    <w:rsid w:val="7E6E4F63"/>
    <w:rsid w:val="7E6EEBA9"/>
    <w:rsid w:val="7E6FD940"/>
    <w:rsid w:val="7E732D19"/>
    <w:rsid w:val="7E7337DF"/>
    <w:rsid w:val="7E734D3C"/>
    <w:rsid w:val="7E7B7766"/>
    <w:rsid w:val="7E7EC5B2"/>
    <w:rsid w:val="7E7F52CE"/>
    <w:rsid w:val="7E7F672F"/>
    <w:rsid w:val="7E89B5A0"/>
    <w:rsid w:val="7E8E999F"/>
    <w:rsid w:val="7E90B85F"/>
    <w:rsid w:val="7E9247A2"/>
    <w:rsid w:val="7E96A128"/>
    <w:rsid w:val="7E9F8C7B"/>
    <w:rsid w:val="7EA3F1D5"/>
    <w:rsid w:val="7EA70EB5"/>
    <w:rsid w:val="7EA7882A"/>
    <w:rsid w:val="7EA8F1DC"/>
    <w:rsid w:val="7EA9BDF6"/>
    <w:rsid w:val="7EAA94BA"/>
    <w:rsid w:val="7EAE1E82"/>
    <w:rsid w:val="7EB1468A"/>
    <w:rsid w:val="7EB2D932"/>
    <w:rsid w:val="7EB5B205"/>
    <w:rsid w:val="7EBDE1EA"/>
    <w:rsid w:val="7EBE2377"/>
    <w:rsid w:val="7EC036AA"/>
    <w:rsid w:val="7EC0F206"/>
    <w:rsid w:val="7EC1CB3B"/>
    <w:rsid w:val="7ECB5E99"/>
    <w:rsid w:val="7ED0363C"/>
    <w:rsid w:val="7ED16610"/>
    <w:rsid w:val="7ED17CAE"/>
    <w:rsid w:val="7ED30915"/>
    <w:rsid w:val="7ED42E3E"/>
    <w:rsid w:val="7ED8FAE5"/>
    <w:rsid w:val="7ED9D92A"/>
    <w:rsid w:val="7EDB8A5D"/>
    <w:rsid w:val="7EDC88E3"/>
    <w:rsid w:val="7EDEC83F"/>
    <w:rsid w:val="7EE09FEE"/>
    <w:rsid w:val="7EE808D4"/>
    <w:rsid w:val="7EEF9434"/>
    <w:rsid w:val="7EF455E6"/>
    <w:rsid w:val="7EF48E4E"/>
    <w:rsid w:val="7EF87FF5"/>
    <w:rsid w:val="7EF889EE"/>
    <w:rsid w:val="7EF8C988"/>
    <w:rsid w:val="7EF9454D"/>
    <w:rsid w:val="7EFE024B"/>
    <w:rsid w:val="7EFF3F2A"/>
    <w:rsid w:val="7EFFA4CB"/>
    <w:rsid w:val="7F01EE7E"/>
    <w:rsid w:val="7F023214"/>
    <w:rsid w:val="7F04E2EF"/>
    <w:rsid w:val="7F069049"/>
    <w:rsid w:val="7F092891"/>
    <w:rsid w:val="7F0928EC"/>
    <w:rsid w:val="7F0B8002"/>
    <w:rsid w:val="7F0BC820"/>
    <w:rsid w:val="7F0E71CE"/>
    <w:rsid w:val="7F1699E9"/>
    <w:rsid w:val="7F170650"/>
    <w:rsid w:val="7F18AC25"/>
    <w:rsid w:val="7F19A710"/>
    <w:rsid w:val="7F1C1066"/>
    <w:rsid w:val="7F1C356F"/>
    <w:rsid w:val="7F1D25DE"/>
    <w:rsid w:val="7F1D580D"/>
    <w:rsid w:val="7F22449E"/>
    <w:rsid w:val="7F26BF6E"/>
    <w:rsid w:val="7F288862"/>
    <w:rsid w:val="7F302DBD"/>
    <w:rsid w:val="7F315C08"/>
    <w:rsid w:val="7F3258D5"/>
    <w:rsid w:val="7F32C11A"/>
    <w:rsid w:val="7F333483"/>
    <w:rsid w:val="7F337648"/>
    <w:rsid w:val="7F3507BC"/>
    <w:rsid w:val="7F4139E3"/>
    <w:rsid w:val="7F427638"/>
    <w:rsid w:val="7F428B6E"/>
    <w:rsid w:val="7F444188"/>
    <w:rsid w:val="7F44D892"/>
    <w:rsid w:val="7F457F77"/>
    <w:rsid w:val="7F474DEA"/>
    <w:rsid w:val="7F48DAD3"/>
    <w:rsid w:val="7F4A04E6"/>
    <w:rsid w:val="7F4B0938"/>
    <w:rsid w:val="7F4B6164"/>
    <w:rsid w:val="7F4DBBBC"/>
    <w:rsid w:val="7F50BC72"/>
    <w:rsid w:val="7F5164AA"/>
    <w:rsid w:val="7F5959C6"/>
    <w:rsid w:val="7F5DD5D5"/>
    <w:rsid w:val="7F5FBE3E"/>
    <w:rsid w:val="7F639748"/>
    <w:rsid w:val="7F664D67"/>
    <w:rsid w:val="7F66FA27"/>
    <w:rsid w:val="7F675652"/>
    <w:rsid w:val="7F67C6F8"/>
    <w:rsid w:val="7F6BFEE6"/>
    <w:rsid w:val="7F6E095C"/>
    <w:rsid w:val="7F6E16C3"/>
    <w:rsid w:val="7F7367D2"/>
    <w:rsid w:val="7F77A90A"/>
    <w:rsid w:val="7F79035F"/>
    <w:rsid w:val="7F798E14"/>
    <w:rsid w:val="7F7CC68A"/>
    <w:rsid w:val="7F7F696A"/>
    <w:rsid w:val="7F7FAEAC"/>
    <w:rsid w:val="7F8B2E36"/>
    <w:rsid w:val="7F979AB5"/>
    <w:rsid w:val="7F9949F1"/>
    <w:rsid w:val="7F9D9D8E"/>
    <w:rsid w:val="7F9DE310"/>
    <w:rsid w:val="7FA9ABDF"/>
    <w:rsid w:val="7FAE09B3"/>
    <w:rsid w:val="7FAE141B"/>
    <w:rsid w:val="7FAE399D"/>
    <w:rsid w:val="7FB0589B"/>
    <w:rsid w:val="7FB7FAF8"/>
    <w:rsid w:val="7FBD2F6B"/>
    <w:rsid w:val="7FC022E4"/>
    <w:rsid w:val="7FC03FBF"/>
    <w:rsid w:val="7FC254CF"/>
    <w:rsid w:val="7FCE4584"/>
    <w:rsid w:val="7FCF6CF3"/>
    <w:rsid w:val="7FCFE3CA"/>
    <w:rsid w:val="7FD2F838"/>
    <w:rsid w:val="7FD7E7CB"/>
    <w:rsid w:val="7FDA0CFA"/>
    <w:rsid w:val="7FE0672E"/>
    <w:rsid w:val="7FE7AF2F"/>
    <w:rsid w:val="7FE8E66F"/>
    <w:rsid w:val="7FEA7D45"/>
    <w:rsid w:val="7FEE4994"/>
    <w:rsid w:val="7FEEB4AE"/>
    <w:rsid w:val="7FF0B386"/>
    <w:rsid w:val="7FF346AA"/>
    <w:rsid w:val="7FF41EEC"/>
    <w:rsid w:val="7FF485A7"/>
    <w:rsid w:val="7FFA4FDD"/>
    <w:rsid w:val="7FFC66B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D8A1585"/>
  <w15:docId w15:val="{16CCE546-8B2F-4501-8138-1B393414D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360" w:lineRule="auto"/>
    </w:pPr>
    <w:rPr>
      <w:rFonts w:ascii="Times New Roman" w:hAnsi="Times New Roman"/>
      <w:sz w:val="24"/>
      <w:szCs w:val="22"/>
    </w:rPr>
  </w:style>
  <w:style w:type="paragraph" w:styleId="Heading1">
    <w:name w:val="heading 1"/>
    <w:basedOn w:val="Normal"/>
    <w:next w:val="Text1"/>
    <w:link w:val="Heading1Char"/>
    <w:uiPriority w:val="9"/>
    <w:qFormat/>
    <w:rsid w:val="003C6015"/>
    <w:pPr>
      <w:keepNext/>
      <w:numPr>
        <w:numId w:val="19"/>
      </w:numPr>
      <w:spacing w:before="360" w:line="240" w:lineRule="auto"/>
      <w:jc w:val="both"/>
      <w:outlineLvl w:val="0"/>
    </w:pPr>
    <w:rPr>
      <w:rFonts w:eastAsia="Times New Roman"/>
      <w:b/>
      <w:bCs/>
      <w:smallCaps/>
      <w:szCs w:val="28"/>
    </w:rPr>
  </w:style>
  <w:style w:type="paragraph" w:styleId="Heading2">
    <w:name w:val="heading 2"/>
    <w:basedOn w:val="Normal"/>
    <w:next w:val="Text1"/>
    <w:link w:val="Heading2Char"/>
    <w:uiPriority w:val="9"/>
    <w:semiHidden/>
    <w:unhideWhenUsed/>
    <w:qFormat/>
    <w:rsid w:val="003C6015"/>
    <w:pPr>
      <w:keepNext/>
      <w:numPr>
        <w:ilvl w:val="1"/>
        <w:numId w:val="19"/>
      </w:numPr>
      <w:spacing w:line="240" w:lineRule="auto"/>
      <w:jc w:val="both"/>
      <w:outlineLvl w:val="1"/>
    </w:pPr>
    <w:rPr>
      <w:rFonts w:eastAsia="Times New Roman"/>
      <w:b/>
      <w:bCs/>
      <w:szCs w:val="26"/>
    </w:rPr>
  </w:style>
  <w:style w:type="paragraph" w:styleId="Heading3">
    <w:name w:val="heading 3"/>
    <w:basedOn w:val="Normal"/>
    <w:next w:val="Text1"/>
    <w:link w:val="Heading3Char"/>
    <w:uiPriority w:val="9"/>
    <w:semiHidden/>
    <w:unhideWhenUsed/>
    <w:qFormat/>
    <w:rsid w:val="003C6015"/>
    <w:pPr>
      <w:keepNext/>
      <w:numPr>
        <w:ilvl w:val="2"/>
        <w:numId w:val="19"/>
      </w:numPr>
      <w:spacing w:line="240" w:lineRule="auto"/>
      <w:jc w:val="both"/>
      <w:outlineLvl w:val="2"/>
    </w:pPr>
    <w:rPr>
      <w:rFonts w:eastAsia="Times New Roman"/>
      <w:bCs/>
      <w:i/>
    </w:rPr>
  </w:style>
  <w:style w:type="paragraph" w:styleId="Heading4">
    <w:name w:val="heading 4"/>
    <w:basedOn w:val="Normal"/>
    <w:next w:val="Text1"/>
    <w:link w:val="Heading4Char"/>
    <w:uiPriority w:val="9"/>
    <w:semiHidden/>
    <w:unhideWhenUsed/>
    <w:qFormat/>
    <w:rsid w:val="003C6015"/>
    <w:pPr>
      <w:keepNext/>
      <w:numPr>
        <w:ilvl w:val="3"/>
        <w:numId w:val="19"/>
      </w:numPr>
      <w:spacing w:line="240" w:lineRule="auto"/>
      <w:jc w:val="both"/>
      <w:outlineLvl w:val="3"/>
    </w:pPr>
    <w:rPr>
      <w:rFonts w:eastAsia="Times New Roman"/>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C3F"/>
    <w:pPr>
      <w:tabs>
        <w:tab w:val="right" w:pos="9638"/>
      </w:tabs>
    </w:pPr>
  </w:style>
  <w:style w:type="character" w:customStyle="1" w:styleId="HeaderChar">
    <w:name w:val="Header Char"/>
    <w:basedOn w:val="DefaultParagraphFont"/>
    <w:link w:val="Header"/>
    <w:uiPriority w:val="99"/>
    <w:rsid w:val="008A5C3F"/>
    <w:rPr>
      <w:rFonts w:ascii="Times New Roman" w:hAnsi="Times New Roman"/>
      <w:sz w:val="24"/>
      <w:szCs w:val="22"/>
      <w:bdr w:val="none" w:sz="0" w:space="0" w:color="auto"/>
      <w:shd w:val="clear" w:color="auto" w:fill="auto"/>
    </w:rPr>
  </w:style>
  <w:style w:type="paragraph" w:styleId="Footer">
    <w:name w:val="footer"/>
    <w:basedOn w:val="Normal"/>
    <w:link w:val="FooterChar"/>
    <w:uiPriority w:val="99"/>
    <w:unhideWhenUsed/>
    <w:rsid w:val="008A5C3F"/>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8A5C3F"/>
    <w:rPr>
      <w:rFonts w:ascii="Times New Roman" w:hAnsi="Times New Roman"/>
      <w:sz w:val="24"/>
      <w:szCs w:val="22"/>
      <w:bdr w:val="none" w:sz="0" w:space="0" w:color="auto"/>
      <w:shd w:val="clear" w:color="auto" w:fill="auto"/>
    </w:rPr>
  </w:style>
  <w:style w:type="paragraph" w:styleId="FootnoteText">
    <w:name w:val="footnote text"/>
    <w:basedOn w:val="Normal"/>
    <w:link w:val="FootnoteTextChar"/>
    <w:uiPriority w:val="99"/>
    <w:unhideWhenUsed/>
    <w:rsid w:val="008A5C3F"/>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rsid w:val="008A5C3F"/>
    <w:rPr>
      <w:rFonts w:ascii="Times New Roman" w:hAnsi="Times New Roman"/>
      <w:sz w:val="24"/>
      <w:bdr w:val="none" w:sz="0" w:space="0" w:color="auto"/>
      <w:shd w:val="clear" w:color="auto" w:fill="auto"/>
    </w:rPr>
  </w:style>
  <w:style w:type="paragraph" w:customStyle="1" w:styleId="HeaderLandscape">
    <w:name w:val="HeaderLandscape"/>
    <w:basedOn w:val="Normal"/>
    <w:rsid w:val="008A5C3F"/>
    <w:pPr>
      <w:tabs>
        <w:tab w:val="right" w:pos="14570"/>
      </w:tabs>
    </w:pPr>
  </w:style>
  <w:style w:type="paragraph" w:customStyle="1" w:styleId="FooterLandscape">
    <w:name w:val="FooterLandscape"/>
    <w:basedOn w:val="Normal"/>
    <w:rsid w:val="008A5C3F"/>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8A5C3F"/>
    <w:rPr>
      <w:b/>
      <w:bdr w:val="none" w:sz="0" w:space="0" w:color="auto"/>
      <w:shd w:val="clear" w:color="auto" w:fill="auto"/>
      <w:vertAlign w:val="superscript"/>
    </w:rPr>
  </w:style>
  <w:style w:type="paragraph" w:customStyle="1" w:styleId="HeaderCouncil">
    <w:name w:val="Header Council"/>
    <w:basedOn w:val="Normal"/>
    <w:link w:val="HeaderCouncilChar"/>
    <w:rsid w:val="008A5C3F"/>
    <w:pPr>
      <w:spacing w:before="0" w:after="0" w:line="240" w:lineRule="auto"/>
    </w:pPr>
    <w:rPr>
      <w:sz w:val="2"/>
    </w:rPr>
  </w:style>
  <w:style w:type="paragraph" w:customStyle="1" w:styleId="FooterCouncil">
    <w:name w:val="Footer Council"/>
    <w:basedOn w:val="Normal"/>
    <w:link w:val="FooterCouncilChar"/>
    <w:rsid w:val="008A5C3F"/>
    <w:pPr>
      <w:spacing w:before="0" w:after="0" w:line="240" w:lineRule="auto"/>
    </w:pPr>
    <w:rPr>
      <w:sz w:val="2"/>
    </w:rPr>
  </w:style>
  <w:style w:type="paragraph" w:customStyle="1" w:styleId="TechnicalBlock">
    <w:name w:val="Technical Block"/>
    <w:basedOn w:val="Normal"/>
    <w:next w:val="Normal"/>
    <w:link w:val="TechnicalBlockChar"/>
    <w:rsid w:val="00842956"/>
    <w:pPr>
      <w:spacing w:before="0" w:after="240" w:line="240" w:lineRule="auto"/>
      <w:jc w:val="center"/>
    </w:pPr>
    <w:rPr>
      <w:rFonts w:eastAsiaTheme="minorHAnsi"/>
    </w:rPr>
  </w:style>
  <w:style w:type="character" w:customStyle="1" w:styleId="Marker">
    <w:name w:val="Marker"/>
    <w:basedOn w:val="DefaultParagraphFont"/>
    <w:rsid w:val="008A5C3F"/>
    <w:rPr>
      <w:color w:val="0000FF"/>
      <w:bdr w:val="none" w:sz="0" w:space="0" w:color="auto"/>
      <w:shd w:val="clear" w:color="auto" w:fill="auto"/>
    </w:rPr>
  </w:style>
  <w:style w:type="character" w:customStyle="1" w:styleId="Marker1">
    <w:name w:val="Marker1"/>
    <w:basedOn w:val="DefaultParagraphFont"/>
    <w:rsid w:val="008A5C3F"/>
    <w:rPr>
      <w:color w:val="008000"/>
      <w:bdr w:val="none" w:sz="0" w:space="0" w:color="auto"/>
      <w:shd w:val="clear" w:color="auto" w:fill="auto"/>
    </w:rPr>
  </w:style>
  <w:style w:type="paragraph" w:customStyle="1" w:styleId="FinalLine">
    <w:name w:val="Final Line"/>
    <w:basedOn w:val="Normal"/>
    <w:next w:val="Normal"/>
    <w:rsid w:val="008A5C3F"/>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8A5C3F"/>
    <w:pPr>
      <w:pBdr>
        <w:bottom w:val="single" w:sz="4" w:space="0" w:color="000000"/>
      </w:pBdr>
      <w:spacing w:before="360"/>
      <w:ind w:left="5868" w:right="5868"/>
      <w:jc w:val="center"/>
    </w:pPr>
    <w:rPr>
      <w:b/>
    </w:rPr>
  </w:style>
  <w:style w:type="paragraph" w:customStyle="1" w:styleId="EntLogo">
    <w:name w:val="EntLogo"/>
    <w:basedOn w:val="Normal"/>
    <w:rsid w:val="008A5C3F"/>
    <w:pPr>
      <w:tabs>
        <w:tab w:val="right" w:pos="9639"/>
      </w:tabs>
      <w:spacing w:before="0" w:after="0"/>
    </w:pPr>
    <w:rPr>
      <w:b/>
    </w:rPr>
  </w:style>
  <w:style w:type="paragraph" w:customStyle="1" w:styleId="EntEmet">
    <w:name w:val="EntEmet"/>
    <w:basedOn w:val="Normal"/>
    <w:rsid w:val="008A5C3F"/>
    <w:pPr>
      <w:spacing w:before="40" w:after="0" w:line="240" w:lineRule="auto"/>
    </w:pPr>
  </w:style>
  <w:style w:type="paragraph" w:customStyle="1" w:styleId="EntInstit">
    <w:name w:val="EntInstit"/>
    <w:basedOn w:val="Normal"/>
    <w:rsid w:val="008A5C3F"/>
    <w:pPr>
      <w:spacing w:before="0" w:after="0" w:line="240" w:lineRule="auto"/>
      <w:jc w:val="right"/>
    </w:pPr>
    <w:rPr>
      <w:b/>
    </w:rPr>
  </w:style>
  <w:style w:type="paragraph" w:customStyle="1" w:styleId="EntRefer">
    <w:name w:val="EntRefer"/>
    <w:basedOn w:val="Normal"/>
    <w:rsid w:val="008A5C3F"/>
    <w:pPr>
      <w:spacing w:before="0" w:after="0" w:line="240" w:lineRule="auto"/>
    </w:pPr>
    <w:rPr>
      <w:b/>
    </w:rPr>
  </w:style>
  <w:style w:type="paragraph" w:customStyle="1" w:styleId="Genredudocument">
    <w:name w:val="Genre du document"/>
    <w:basedOn w:val="EntRefer"/>
    <w:next w:val="EntRefer"/>
    <w:rsid w:val="008A5C3F"/>
    <w:pPr>
      <w:spacing w:before="240"/>
    </w:pPr>
  </w:style>
  <w:style w:type="paragraph" w:customStyle="1" w:styleId="Languagesconcerned">
    <w:name w:val="Languages concerned"/>
    <w:basedOn w:val="Normal"/>
    <w:next w:val="Procedureapplicable"/>
    <w:rsid w:val="008A5C3F"/>
    <w:pPr>
      <w:spacing w:before="240"/>
    </w:pPr>
  </w:style>
  <w:style w:type="paragraph" w:customStyle="1" w:styleId="Procedureapplicable">
    <w:name w:val="Procedure applicable"/>
    <w:basedOn w:val="Normal"/>
    <w:next w:val="Proceduretype"/>
    <w:rsid w:val="008A5C3F"/>
    <w:pPr>
      <w:spacing w:before="240"/>
    </w:pPr>
  </w:style>
  <w:style w:type="paragraph" w:customStyle="1" w:styleId="Proceduretype">
    <w:name w:val="Procedure type"/>
    <w:basedOn w:val="Normal"/>
    <w:next w:val="Normal"/>
    <w:rsid w:val="008A5C3F"/>
    <w:pPr>
      <w:spacing w:before="240" w:after="0"/>
    </w:pPr>
  </w:style>
  <w:style w:type="paragraph" w:customStyle="1" w:styleId="Agreement">
    <w:name w:val="Agreement"/>
    <w:basedOn w:val="Normal"/>
    <w:next w:val="Normal"/>
    <w:rsid w:val="008A5C3F"/>
    <w:pPr>
      <w:spacing w:before="0"/>
    </w:pPr>
  </w:style>
  <w:style w:type="paragraph" w:customStyle="1" w:styleId="Timelimit">
    <w:name w:val="Time limit"/>
    <w:basedOn w:val="Normal"/>
    <w:next w:val="Normal"/>
    <w:rsid w:val="008A5C3F"/>
    <w:pPr>
      <w:spacing w:before="240"/>
    </w:pPr>
  </w:style>
  <w:style w:type="paragraph" w:customStyle="1" w:styleId="Remarks">
    <w:name w:val="Remarks"/>
    <w:basedOn w:val="Normal"/>
    <w:rsid w:val="008A5C3F"/>
    <w:pPr>
      <w:spacing w:before="240"/>
    </w:pPr>
  </w:style>
  <w:style w:type="paragraph" w:customStyle="1" w:styleId="Correctionnewlanguages">
    <w:name w:val="Correction new languages"/>
    <w:basedOn w:val="Normal"/>
    <w:next w:val="Normal"/>
    <w:rsid w:val="008A5C3F"/>
    <w:pPr>
      <w:spacing w:before="240"/>
    </w:pPr>
  </w:style>
  <w:style w:type="paragraph" w:customStyle="1" w:styleId="Anyobservations">
    <w:name w:val="Any observations"/>
    <w:basedOn w:val="Normal"/>
    <w:next w:val="Normal"/>
    <w:rsid w:val="008A5C3F"/>
    <w:pPr>
      <w:spacing w:before="240"/>
    </w:pPr>
    <w:rPr>
      <w:b/>
    </w:rPr>
  </w:style>
  <w:style w:type="paragraph" w:customStyle="1" w:styleId="Annextitle">
    <w:name w:val="Annex title"/>
    <w:basedOn w:val="Normal"/>
    <w:next w:val="Corrigendumtitle"/>
    <w:rsid w:val="008A5C3F"/>
    <w:pPr>
      <w:spacing w:before="0" w:after="0"/>
      <w:jc w:val="right"/>
    </w:pPr>
    <w:rPr>
      <w:b/>
      <w:u w:val="single"/>
    </w:rPr>
  </w:style>
  <w:style w:type="paragraph" w:customStyle="1" w:styleId="Corrigendumtitle">
    <w:name w:val="Corrigendum title"/>
    <w:basedOn w:val="Normal"/>
    <w:next w:val="Corrigendumto"/>
    <w:rsid w:val="008A5C3F"/>
    <w:pPr>
      <w:spacing w:before="240"/>
      <w:jc w:val="center"/>
    </w:pPr>
    <w:rPr>
      <w:b/>
    </w:rPr>
  </w:style>
  <w:style w:type="paragraph" w:customStyle="1" w:styleId="Corrigendumto">
    <w:name w:val="Corrigendum to"/>
    <w:basedOn w:val="Normal"/>
    <w:next w:val="Referencedocument"/>
    <w:rsid w:val="008A5C3F"/>
    <w:pPr>
      <w:spacing w:after="240"/>
      <w:jc w:val="center"/>
    </w:pPr>
    <w:rPr>
      <w:b/>
    </w:rPr>
  </w:style>
  <w:style w:type="paragraph" w:customStyle="1" w:styleId="Referencedocument">
    <w:name w:val="Reference document"/>
    <w:basedOn w:val="Normal"/>
    <w:rsid w:val="008A5C3F"/>
    <w:pPr>
      <w:spacing w:before="0" w:after="0"/>
      <w:jc w:val="center"/>
    </w:pPr>
  </w:style>
  <w:style w:type="paragraph" w:customStyle="1" w:styleId="Correctionpage">
    <w:name w:val="Correction page"/>
    <w:basedOn w:val="Normal"/>
    <w:next w:val="Correctionfortitle"/>
    <w:rsid w:val="008A5C3F"/>
    <w:pPr>
      <w:keepNext/>
      <w:spacing w:before="240"/>
    </w:pPr>
  </w:style>
  <w:style w:type="paragraph" w:customStyle="1" w:styleId="Correctionfortitle">
    <w:name w:val="Correction for title"/>
    <w:basedOn w:val="Normal"/>
    <w:next w:val="Correctionfortext"/>
    <w:rsid w:val="008A5C3F"/>
    <w:pPr>
      <w:keepNext/>
      <w:spacing w:after="240"/>
    </w:pPr>
    <w:rPr>
      <w:i/>
    </w:rPr>
  </w:style>
  <w:style w:type="paragraph" w:customStyle="1" w:styleId="Correctionfortext">
    <w:name w:val="Correction for text"/>
    <w:basedOn w:val="Normal"/>
    <w:rsid w:val="008A5C3F"/>
    <w:pPr>
      <w:spacing w:before="0" w:after="0"/>
    </w:pPr>
  </w:style>
  <w:style w:type="paragraph" w:customStyle="1" w:styleId="Correctionreadtitle">
    <w:name w:val="Correction read title"/>
    <w:basedOn w:val="Normal"/>
    <w:next w:val="Correctionreadtext"/>
    <w:rsid w:val="008A5C3F"/>
    <w:pPr>
      <w:keepNext/>
      <w:spacing w:after="240"/>
    </w:pPr>
    <w:rPr>
      <w:i/>
    </w:rPr>
  </w:style>
  <w:style w:type="paragraph" w:customStyle="1" w:styleId="Correctionreadtext">
    <w:name w:val="Correction read text"/>
    <w:basedOn w:val="Normal"/>
    <w:rsid w:val="008A5C3F"/>
    <w:pPr>
      <w:spacing w:before="0" w:after="0"/>
    </w:pPr>
  </w:style>
  <w:style w:type="paragraph" w:customStyle="1" w:styleId="Phraseofsignature">
    <w:name w:val="Phrase of signature"/>
    <w:basedOn w:val="Normal"/>
    <w:next w:val="Correctionpage"/>
    <w:rsid w:val="008A5C3F"/>
    <w:pPr>
      <w:spacing w:before="240"/>
    </w:pPr>
  </w:style>
  <w:style w:type="paragraph" w:customStyle="1" w:styleId="HeaderCouncilLarge">
    <w:name w:val="Header Council Large"/>
    <w:basedOn w:val="Normal"/>
    <w:link w:val="HeaderCouncilLargeChar"/>
    <w:rsid w:val="00EB0D1F"/>
    <w:pPr>
      <w:spacing w:before="0" w:after="440"/>
      <w:ind w:left="-1134" w:right="-1134"/>
    </w:pPr>
    <w:rPr>
      <w:rFonts w:eastAsiaTheme="minorHAnsi"/>
      <w:sz w:val="2"/>
    </w:rPr>
  </w:style>
  <w:style w:type="character" w:customStyle="1" w:styleId="TechnicalBlockChar">
    <w:name w:val="Technical Block Char"/>
    <w:basedOn w:val="DefaultParagraphFont"/>
    <w:link w:val="TechnicalBlock"/>
    <w:rsid w:val="00EB0D1F"/>
    <w:rPr>
      <w:rFonts w:ascii="Times New Roman" w:eastAsiaTheme="minorHAnsi" w:hAnsi="Times New Roman"/>
      <w:sz w:val="24"/>
      <w:szCs w:val="22"/>
    </w:rPr>
  </w:style>
  <w:style w:type="character" w:customStyle="1" w:styleId="HeaderCouncilLargeChar">
    <w:name w:val="Header Council Large Char"/>
    <w:basedOn w:val="TechnicalBlockChar"/>
    <w:link w:val="HeaderCouncilLarge"/>
    <w:rsid w:val="00EB0D1F"/>
    <w:rPr>
      <w:rFonts w:ascii="Times New Roman" w:eastAsiaTheme="minorHAnsi" w:hAnsi="Times New Roman"/>
      <w:sz w:val="2"/>
      <w:szCs w:val="22"/>
    </w:rPr>
  </w:style>
  <w:style w:type="paragraph" w:customStyle="1" w:styleId="FooterText">
    <w:name w:val="Footer Text"/>
    <w:basedOn w:val="Normal"/>
    <w:rsid w:val="00EB0D1F"/>
    <w:pPr>
      <w:spacing w:before="0" w:after="0" w:line="240" w:lineRule="auto"/>
    </w:pPr>
    <w:rPr>
      <w:rFonts w:eastAsia="Times New Roman"/>
      <w:szCs w:val="24"/>
    </w:rPr>
  </w:style>
  <w:style w:type="character" w:styleId="PlaceholderText">
    <w:name w:val="Placeholder Text"/>
    <w:basedOn w:val="DefaultParagraphFont"/>
    <w:uiPriority w:val="99"/>
    <w:semiHidden/>
    <w:rsid w:val="00EB0D1F"/>
    <w:rPr>
      <w:color w:val="808080"/>
    </w:rPr>
  </w:style>
  <w:style w:type="character" w:customStyle="1" w:styleId="Heading1Char">
    <w:name w:val="Heading 1 Char"/>
    <w:basedOn w:val="DefaultParagraphFont"/>
    <w:link w:val="Heading1"/>
    <w:uiPriority w:val="9"/>
    <w:rsid w:val="003C6015"/>
    <w:rPr>
      <w:rFonts w:ascii="Times New Roman" w:eastAsia="Times New Roman" w:hAnsi="Times New Roman"/>
      <w:b/>
      <w:bCs/>
      <w:smallCaps/>
      <w:sz w:val="24"/>
      <w:szCs w:val="28"/>
    </w:rPr>
  </w:style>
  <w:style w:type="character" w:customStyle="1" w:styleId="Heading2Char">
    <w:name w:val="Heading 2 Char"/>
    <w:basedOn w:val="DefaultParagraphFont"/>
    <w:link w:val="Heading2"/>
    <w:uiPriority w:val="9"/>
    <w:semiHidden/>
    <w:rsid w:val="003C6015"/>
    <w:rPr>
      <w:rFonts w:ascii="Times New Roman" w:eastAsia="Times New Roman" w:hAnsi="Times New Roman"/>
      <w:b/>
      <w:bCs/>
      <w:sz w:val="24"/>
      <w:szCs w:val="26"/>
    </w:rPr>
  </w:style>
  <w:style w:type="character" w:customStyle="1" w:styleId="Heading3Char">
    <w:name w:val="Heading 3 Char"/>
    <w:basedOn w:val="DefaultParagraphFont"/>
    <w:link w:val="Heading3"/>
    <w:uiPriority w:val="9"/>
    <w:semiHidden/>
    <w:rsid w:val="003C6015"/>
    <w:rPr>
      <w:rFonts w:ascii="Times New Roman" w:eastAsia="Times New Roman" w:hAnsi="Times New Roman"/>
      <w:bCs/>
      <w:i/>
      <w:sz w:val="24"/>
      <w:szCs w:val="22"/>
    </w:rPr>
  </w:style>
  <w:style w:type="character" w:customStyle="1" w:styleId="Heading4Char">
    <w:name w:val="Heading 4 Char"/>
    <w:basedOn w:val="DefaultParagraphFont"/>
    <w:link w:val="Heading4"/>
    <w:uiPriority w:val="9"/>
    <w:semiHidden/>
    <w:rsid w:val="003C6015"/>
    <w:rPr>
      <w:rFonts w:ascii="Times New Roman" w:eastAsia="Times New Roman" w:hAnsi="Times New Roman"/>
      <w:bCs/>
      <w:iCs/>
      <w:sz w:val="24"/>
      <w:szCs w:val="22"/>
    </w:rPr>
  </w:style>
  <w:style w:type="character" w:customStyle="1" w:styleId="UnresolvedMention1">
    <w:name w:val="Unresolved Mention1"/>
    <w:basedOn w:val="DefaultParagraphFont"/>
    <w:uiPriority w:val="99"/>
    <w:unhideWhenUsed/>
    <w:rsid w:val="00636E45"/>
    <w:rPr>
      <w:color w:val="605E5C"/>
      <w:shd w:val="clear" w:color="auto" w:fill="E1DFDD"/>
    </w:rPr>
  </w:style>
  <w:style w:type="character" w:customStyle="1" w:styleId="TitleChar">
    <w:name w:val="Title Char"/>
    <w:basedOn w:val="DefaultParagraphFont"/>
    <w:link w:val="Title"/>
    <w:rsid w:val="00A60D09"/>
    <w:rPr>
      <w:rFonts w:ascii="Calibri Light" w:eastAsia="Times New Roman" w:hAnsi="Calibri Light"/>
      <w:kern w:val="28"/>
      <w:sz w:val="56"/>
    </w:rPr>
  </w:style>
  <w:style w:type="character" w:styleId="CommentReference">
    <w:name w:val="annotation reference"/>
    <w:uiPriority w:val="99"/>
    <w:unhideWhenUsed/>
    <w:rsid w:val="003C6015"/>
    <w:rPr>
      <w:sz w:val="16"/>
      <w:szCs w:val="16"/>
    </w:rPr>
  </w:style>
  <w:style w:type="paragraph" w:styleId="CommentText">
    <w:name w:val="annotation text"/>
    <w:basedOn w:val="Normal"/>
    <w:link w:val="CommentTextChar"/>
    <w:uiPriority w:val="99"/>
    <w:unhideWhenUsed/>
    <w:qFormat/>
    <w:rsid w:val="003C6015"/>
    <w:pPr>
      <w:spacing w:line="240" w:lineRule="auto"/>
      <w:jc w:val="both"/>
    </w:pPr>
    <w:rPr>
      <w:sz w:val="20"/>
      <w:szCs w:val="20"/>
    </w:rPr>
  </w:style>
  <w:style w:type="character" w:customStyle="1" w:styleId="CommentTextChar">
    <w:name w:val="Comment Text Char"/>
    <w:basedOn w:val="DefaultParagraphFont"/>
    <w:link w:val="CommentText"/>
    <w:uiPriority w:val="99"/>
    <w:qFormat/>
    <w:rsid w:val="003C6015"/>
    <w:rPr>
      <w:rFonts w:ascii="Times New Roman" w:hAnsi="Times New Roman"/>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
    <w:basedOn w:val="Normal"/>
    <w:link w:val="ListParagraphChar"/>
    <w:uiPriority w:val="34"/>
    <w:qFormat/>
    <w:rsid w:val="003C6015"/>
    <w:pPr>
      <w:spacing w:before="0" w:after="160" w:line="259" w:lineRule="auto"/>
      <w:ind w:left="720"/>
      <w:contextualSpacing/>
    </w:pPr>
    <w:rPr>
      <w:rFonts w:ascii="Calibri" w:hAnsi="Calibri"/>
      <w:sz w:val="22"/>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link w:val="ListParagraph"/>
    <w:uiPriority w:val="34"/>
    <w:qFormat/>
    <w:locked/>
    <w:rsid w:val="003C6015"/>
    <w:rPr>
      <w:sz w:val="22"/>
      <w:szCs w:val="22"/>
    </w:rPr>
  </w:style>
  <w:style w:type="character" w:styleId="IntenseEmphasis">
    <w:name w:val="Intense Emphasis"/>
    <w:uiPriority w:val="21"/>
    <w:qFormat/>
    <w:rsid w:val="003C6015"/>
    <w:rPr>
      <w:i/>
      <w:iCs/>
      <w:color w:val="4F81BD"/>
    </w:rPr>
  </w:style>
  <w:style w:type="paragraph" w:styleId="BalloonText">
    <w:name w:val="Balloon Text"/>
    <w:basedOn w:val="Normal"/>
    <w:link w:val="BalloonTextChar"/>
    <w:uiPriority w:val="99"/>
    <w:semiHidden/>
    <w:unhideWhenUsed/>
    <w:rsid w:val="003C6015"/>
    <w:pPr>
      <w:spacing w:before="0"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015"/>
    <w:rPr>
      <w:rFonts w:ascii="Segoe UI" w:hAnsi="Segoe UI" w:cs="Segoe UI"/>
      <w:sz w:val="18"/>
      <w:szCs w:val="18"/>
    </w:rPr>
  </w:style>
  <w:style w:type="paragraph" w:styleId="ListBullet">
    <w:name w:val="List Bullet"/>
    <w:basedOn w:val="Normal"/>
    <w:uiPriority w:val="99"/>
    <w:semiHidden/>
    <w:unhideWhenUsed/>
    <w:rsid w:val="003C6015"/>
    <w:pPr>
      <w:numPr>
        <w:numId w:val="4"/>
      </w:numPr>
      <w:spacing w:line="240" w:lineRule="auto"/>
      <w:contextualSpacing/>
      <w:jc w:val="both"/>
    </w:pPr>
  </w:style>
  <w:style w:type="paragraph" w:styleId="ListBullet2">
    <w:name w:val="List Bullet 2"/>
    <w:basedOn w:val="Normal"/>
    <w:uiPriority w:val="99"/>
    <w:semiHidden/>
    <w:unhideWhenUsed/>
    <w:rsid w:val="003C6015"/>
    <w:pPr>
      <w:numPr>
        <w:numId w:val="5"/>
      </w:numPr>
      <w:spacing w:line="240" w:lineRule="auto"/>
      <w:contextualSpacing/>
      <w:jc w:val="both"/>
    </w:pPr>
  </w:style>
  <w:style w:type="paragraph" w:styleId="ListBullet3">
    <w:name w:val="List Bullet 3"/>
    <w:basedOn w:val="Normal"/>
    <w:uiPriority w:val="99"/>
    <w:semiHidden/>
    <w:unhideWhenUsed/>
    <w:rsid w:val="003C6015"/>
    <w:pPr>
      <w:numPr>
        <w:numId w:val="6"/>
      </w:numPr>
      <w:spacing w:line="240" w:lineRule="auto"/>
      <w:contextualSpacing/>
      <w:jc w:val="both"/>
    </w:pPr>
  </w:style>
  <w:style w:type="paragraph" w:styleId="ListBullet4">
    <w:name w:val="List Bullet 4"/>
    <w:basedOn w:val="Normal"/>
    <w:uiPriority w:val="99"/>
    <w:semiHidden/>
    <w:unhideWhenUsed/>
    <w:rsid w:val="003C6015"/>
    <w:pPr>
      <w:numPr>
        <w:numId w:val="7"/>
      </w:numPr>
      <w:spacing w:line="240" w:lineRule="auto"/>
      <w:contextualSpacing/>
      <w:jc w:val="both"/>
    </w:pPr>
  </w:style>
  <w:style w:type="paragraph" w:styleId="CommentSubject">
    <w:name w:val="annotation subject"/>
    <w:basedOn w:val="CommentText"/>
    <w:next w:val="CommentText"/>
    <w:link w:val="CommentSubjectChar"/>
    <w:uiPriority w:val="99"/>
    <w:semiHidden/>
    <w:unhideWhenUsed/>
    <w:rsid w:val="003C6015"/>
    <w:rPr>
      <w:b/>
      <w:bCs/>
    </w:rPr>
  </w:style>
  <w:style w:type="character" w:customStyle="1" w:styleId="CommentSubjectChar">
    <w:name w:val="Comment Subject Char"/>
    <w:basedOn w:val="CommentTextChar"/>
    <w:link w:val="CommentSubject"/>
    <w:uiPriority w:val="99"/>
    <w:semiHidden/>
    <w:rsid w:val="003C6015"/>
    <w:rPr>
      <w:rFonts w:ascii="Times New Roman" w:hAnsi="Times New Roman"/>
      <w:b/>
      <w:bCs/>
    </w:rPr>
  </w:style>
  <w:style w:type="paragraph" w:styleId="Revision">
    <w:name w:val="Revision"/>
    <w:hidden/>
    <w:uiPriority w:val="99"/>
    <w:semiHidden/>
    <w:rsid w:val="003C6015"/>
    <w:rPr>
      <w:rFonts w:ascii="Times New Roman" w:hAnsi="Times New Roman"/>
      <w:sz w:val="24"/>
      <w:szCs w:val="22"/>
    </w:rPr>
  </w:style>
  <w:style w:type="paragraph" w:styleId="Caption">
    <w:name w:val="caption"/>
    <w:basedOn w:val="Normal"/>
    <w:next w:val="Normal"/>
    <w:uiPriority w:val="35"/>
    <w:semiHidden/>
    <w:unhideWhenUsed/>
    <w:qFormat/>
    <w:rsid w:val="003C6015"/>
    <w:pPr>
      <w:spacing w:before="0" w:after="200" w:line="240" w:lineRule="auto"/>
      <w:jc w:val="both"/>
    </w:pPr>
    <w:rPr>
      <w:i/>
      <w:iCs/>
      <w:color w:val="1F497D"/>
      <w:sz w:val="18"/>
      <w:szCs w:val="18"/>
    </w:rPr>
  </w:style>
  <w:style w:type="paragraph" w:styleId="TableofFigures">
    <w:name w:val="table of figures"/>
    <w:basedOn w:val="Normal"/>
    <w:next w:val="Normal"/>
    <w:uiPriority w:val="99"/>
    <w:semiHidden/>
    <w:unhideWhenUsed/>
    <w:rsid w:val="003C6015"/>
    <w:pPr>
      <w:spacing w:after="0" w:line="240" w:lineRule="auto"/>
      <w:jc w:val="both"/>
    </w:pPr>
  </w:style>
  <w:style w:type="paragraph" w:styleId="ListNumber">
    <w:name w:val="List Number"/>
    <w:basedOn w:val="Normal"/>
    <w:uiPriority w:val="99"/>
    <w:semiHidden/>
    <w:unhideWhenUsed/>
    <w:rsid w:val="003C6015"/>
    <w:pPr>
      <w:numPr>
        <w:numId w:val="9"/>
      </w:numPr>
      <w:spacing w:line="240" w:lineRule="auto"/>
      <w:contextualSpacing/>
      <w:jc w:val="both"/>
    </w:pPr>
  </w:style>
  <w:style w:type="paragraph" w:styleId="ListNumber2">
    <w:name w:val="List Number 2"/>
    <w:basedOn w:val="Normal"/>
    <w:uiPriority w:val="99"/>
    <w:semiHidden/>
    <w:unhideWhenUsed/>
    <w:rsid w:val="003C6015"/>
    <w:pPr>
      <w:numPr>
        <w:numId w:val="10"/>
      </w:numPr>
      <w:spacing w:line="240" w:lineRule="auto"/>
      <w:contextualSpacing/>
      <w:jc w:val="both"/>
    </w:pPr>
  </w:style>
  <w:style w:type="paragraph" w:styleId="ListNumber3">
    <w:name w:val="List Number 3"/>
    <w:basedOn w:val="Normal"/>
    <w:uiPriority w:val="99"/>
    <w:semiHidden/>
    <w:unhideWhenUsed/>
    <w:rsid w:val="003C6015"/>
    <w:pPr>
      <w:numPr>
        <w:numId w:val="11"/>
      </w:numPr>
      <w:spacing w:line="240" w:lineRule="auto"/>
      <w:contextualSpacing/>
      <w:jc w:val="both"/>
    </w:pPr>
  </w:style>
  <w:style w:type="paragraph" w:styleId="ListNumber4">
    <w:name w:val="List Number 4"/>
    <w:basedOn w:val="Normal"/>
    <w:uiPriority w:val="99"/>
    <w:semiHidden/>
    <w:unhideWhenUsed/>
    <w:rsid w:val="003C6015"/>
    <w:pPr>
      <w:numPr>
        <w:numId w:val="12"/>
      </w:numPr>
      <w:spacing w:line="240" w:lineRule="auto"/>
      <w:contextualSpacing/>
      <w:jc w:val="both"/>
    </w:pPr>
  </w:style>
  <w:style w:type="character" w:styleId="Hyperlink">
    <w:name w:val="Hyperlink"/>
    <w:uiPriority w:val="99"/>
    <w:unhideWhenUsed/>
    <w:rsid w:val="003C6015"/>
    <w:rPr>
      <w:color w:val="0000FF"/>
      <w:u w:val="single"/>
    </w:rPr>
  </w:style>
  <w:style w:type="paragraph" w:styleId="TOCHeading">
    <w:name w:val="TOC Heading"/>
    <w:basedOn w:val="Normal"/>
    <w:next w:val="Normal"/>
    <w:uiPriority w:val="39"/>
    <w:unhideWhenUsed/>
    <w:qFormat/>
    <w:rsid w:val="003C6015"/>
    <w:pPr>
      <w:spacing w:after="240" w:line="240" w:lineRule="auto"/>
      <w:jc w:val="center"/>
    </w:pPr>
    <w:rPr>
      <w:b/>
      <w:sz w:val="28"/>
    </w:rPr>
  </w:style>
  <w:style w:type="paragraph" w:styleId="TOC1">
    <w:name w:val="toc 1"/>
    <w:basedOn w:val="Normal"/>
    <w:next w:val="Normal"/>
    <w:uiPriority w:val="39"/>
    <w:unhideWhenUsed/>
    <w:rsid w:val="003C6015"/>
    <w:pPr>
      <w:tabs>
        <w:tab w:val="right" w:leader="dot" w:pos="9071"/>
      </w:tabs>
      <w:spacing w:before="60" w:line="240" w:lineRule="auto"/>
      <w:ind w:left="850" w:hanging="850"/>
    </w:pPr>
  </w:style>
  <w:style w:type="paragraph" w:styleId="TOC2">
    <w:name w:val="toc 2"/>
    <w:basedOn w:val="Normal"/>
    <w:next w:val="Normal"/>
    <w:uiPriority w:val="39"/>
    <w:semiHidden/>
    <w:unhideWhenUsed/>
    <w:rsid w:val="003C6015"/>
    <w:pPr>
      <w:tabs>
        <w:tab w:val="right" w:leader="dot" w:pos="9071"/>
      </w:tabs>
      <w:spacing w:before="60" w:line="240" w:lineRule="auto"/>
      <w:ind w:left="850" w:hanging="850"/>
    </w:pPr>
  </w:style>
  <w:style w:type="paragraph" w:styleId="TOC3">
    <w:name w:val="toc 3"/>
    <w:basedOn w:val="Normal"/>
    <w:next w:val="Normal"/>
    <w:uiPriority w:val="39"/>
    <w:semiHidden/>
    <w:unhideWhenUsed/>
    <w:rsid w:val="003C6015"/>
    <w:pPr>
      <w:tabs>
        <w:tab w:val="right" w:leader="dot" w:pos="9071"/>
      </w:tabs>
      <w:spacing w:before="60" w:line="240" w:lineRule="auto"/>
      <w:ind w:left="850" w:hanging="850"/>
    </w:pPr>
  </w:style>
  <w:style w:type="paragraph" w:styleId="TOC4">
    <w:name w:val="toc 4"/>
    <w:basedOn w:val="Normal"/>
    <w:next w:val="Normal"/>
    <w:uiPriority w:val="39"/>
    <w:semiHidden/>
    <w:unhideWhenUsed/>
    <w:rsid w:val="003C6015"/>
    <w:pPr>
      <w:tabs>
        <w:tab w:val="right" w:leader="dot" w:pos="9071"/>
      </w:tabs>
      <w:spacing w:before="60" w:line="240" w:lineRule="auto"/>
      <w:ind w:left="850" w:hanging="850"/>
    </w:pPr>
  </w:style>
  <w:style w:type="paragraph" w:styleId="TOC5">
    <w:name w:val="toc 5"/>
    <w:basedOn w:val="Normal"/>
    <w:next w:val="Normal"/>
    <w:uiPriority w:val="39"/>
    <w:semiHidden/>
    <w:unhideWhenUsed/>
    <w:rsid w:val="003C6015"/>
    <w:pPr>
      <w:tabs>
        <w:tab w:val="right" w:leader="dot" w:pos="9071"/>
      </w:tabs>
      <w:spacing w:before="300" w:line="240" w:lineRule="auto"/>
    </w:pPr>
  </w:style>
  <w:style w:type="paragraph" w:styleId="TOC6">
    <w:name w:val="toc 6"/>
    <w:basedOn w:val="Normal"/>
    <w:next w:val="Normal"/>
    <w:uiPriority w:val="39"/>
    <w:semiHidden/>
    <w:unhideWhenUsed/>
    <w:rsid w:val="003C6015"/>
    <w:pPr>
      <w:tabs>
        <w:tab w:val="right" w:leader="dot" w:pos="9071"/>
      </w:tabs>
      <w:spacing w:before="240" w:line="240" w:lineRule="auto"/>
    </w:pPr>
  </w:style>
  <w:style w:type="paragraph" w:styleId="TOC7">
    <w:name w:val="toc 7"/>
    <w:basedOn w:val="Normal"/>
    <w:next w:val="Normal"/>
    <w:uiPriority w:val="39"/>
    <w:semiHidden/>
    <w:unhideWhenUsed/>
    <w:rsid w:val="003C6015"/>
    <w:pPr>
      <w:tabs>
        <w:tab w:val="right" w:leader="dot" w:pos="9071"/>
      </w:tabs>
      <w:spacing w:before="180" w:line="240" w:lineRule="auto"/>
    </w:pPr>
  </w:style>
  <w:style w:type="paragraph" w:styleId="TOC8">
    <w:name w:val="toc 8"/>
    <w:basedOn w:val="Normal"/>
    <w:next w:val="Normal"/>
    <w:uiPriority w:val="39"/>
    <w:semiHidden/>
    <w:unhideWhenUsed/>
    <w:rsid w:val="003C6015"/>
    <w:pPr>
      <w:tabs>
        <w:tab w:val="right" w:leader="dot" w:pos="9071"/>
      </w:tabs>
      <w:spacing w:line="240" w:lineRule="auto"/>
    </w:pPr>
  </w:style>
  <w:style w:type="paragraph" w:styleId="TOC9">
    <w:name w:val="toc 9"/>
    <w:basedOn w:val="Normal"/>
    <w:next w:val="Normal"/>
    <w:uiPriority w:val="39"/>
    <w:semiHidden/>
    <w:unhideWhenUsed/>
    <w:rsid w:val="003C6015"/>
    <w:pPr>
      <w:tabs>
        <w:tab w:val="right" w:leader="dot" w:pos="9071"/>
      </w:tabs>
      <w:spacing w:line="240" w:lineRule="auto"/>
      <w:jc w:val="both"/>
    </w:pPr>
  </w:style>
  <w:style w:type="paragraph" w:customStyle="1" w:styleId="HeaderSensitivity">
    <w:name w:val="Header Sensitivity"/>
    <w:basedOn w:val="Normal"/>
    <w:rsid w:val="003C6015"/>
    <w:pPr>
      <w:pBdr>
        <w:top w:val="single" w:sz="4" w:space="1" w:color="auto"/>
        <w:left w:val="single" w:sz="4" w:space="4" w:color="auto"/>
        <w:bottom w:val="single" w:sz="4" w:space="1" w:color="auto"/>
        <w:right w:val="single" w:sz="4" w:space="4" w:color="auto"/>
      </w:pBdr>
      <w:spacing w:before="0" w:line="240" w:lineRule="auto"/>
      <w:ind w:left="113" w:right="113"/>
      <w:jc w:val="center"/>
    </w:pPr>
    <w:rPr>
      <w:b/>
      <w:sz w:val="32"/>
    </w:rPr>
  </w:style>
  <w:style w:type="paragraph" w:customStyle="1" w:styleId="HeaderSensitivityRight">
    <w:name w:val="Header Sensitivity Right"/>
    <w:basedOn w:val="Normal"/>
    <w:rsid w:val="001F6782"/>
    <w:pPr>
      <w:spacing w:before="0" w:line="240" w:lineRule="auto"/>
      <w:jc w:val="right"/>
    </w:pPr>
    <w:rPr>
      <w:sz w:val="28"/>
    </w:rPr>
  </w:style>
  <w:style w:type="paragraph" w:customStyle="1" w:styleId="FooterSensitivity">
    <w:name w:val="Footer Sensitivity"/>
    <w:basedOn w:val="Normal"/>
    <w:rsid w:val="003C601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paragraph" w:customStyle="1" w:styleId="Text1">
    <w:name w:val="Text 1"/>
    <w:basedOn w:val="Normal"/>
    <w:rsid w:val="003C6015"/>
    <w:pPr>
      <w:spacing w:line="240" w:lineRule="auto"/>
      <w:ind w:left="850"/>
      <w:jc w:val="both"/>
    </w:pPr>
  </w:style>
  <w:style w:type="paragraph" w:customStyle="1" w:styleId="Text2">
    <w:name w:val="Text 2"/>
    <w:basedOn w:val="Normal"/>
    <w:rsid w:val="003C6015"/>
    <w:pPr>
      <w:spacing w:line="240" w:lineRule="auto"/>
      <w:ind w:left="1417"/>
      <w:jc w:val="both"/>
    </w:pPr>
  </w:style>
  <w:style w:type="paragraph" w:customStyle="1" w:styleId="Text3">
    <w:name w:val="Text 3"/>
    <w:basedOn w:val="Normal"/>
    <w:rsid w:val="003C6015"/>
    <w:pPr>
      <w:spacing w:line="240" w:lineRule="auto"/>
      <w:ind w:left="1984"/>
      <w:jc w:val="both"/>
    </w:pPr>
  </w:style>
  <w:style w:type="paragraph" w:customStyle="1" w:styleId="Text4">
    <w:name w:val="Text 4"/>
    <w:basedOn w:val="Normal"/>
    <w:rsid w:val="003C6015"/>
    <w:pPr>
      <w:spacing w:line="240" w:lineRule="auto"/>
      <w:ind w:left="2551"/>
      <w:jc w:val="both"/>
    </w:pPr>
  </w:style>
  <w:style w:type="paragraph" w:customStyle="1" w:styleId="NormalCentered">
    <w:name w:val="Normal Centered"/>
    <w:basedOn w:val="Normal"/>
    <w:rsid w:val="003C6015"/>
    <w:pPr>
      <w:spacing w:line="240" w:lineRule="auto"/>
      <w:jc w:val="center"/>
    </w:pPr>
  </w:style>
  <w:style w:type="paragraph" w:customStyle="1" w:styleId="NormalLeft">
    <w:name w:val="Normal Left"/>
    <w:basedOn w:val="Normal"/>
    <w:rsid w:val="003C6015"/>
    <w:pPr>
      <w:spacing w:line="240" w:lineRule="auto"/>
    </w:pPr>
  </w:style>
  <w:style w:type="paragraph" w:customStyle="1" w:styleId="NormalRight">
    <w:name w:val="Normal Right"/>
    <w:basedOn w:val="Normal"/>
    <w:rsid w:val="003C6015"/>
    <w:pPr>
      <w:spacing w:line="240" w:lineRule="auto"/>
      <w:jc w:val="right"/>
    </w:pPr>
  </w:style>
  <w:style w:type="paragraph" w:customStyle="1" w:styleId="QuotedText">
    <w:name w:val="Quoted Text"/>
    <w:basedOn w:val="Normal"/>
    <w:rsid w:val="003C6015"/>
    <w:pPr>
      <w:spacing w:line="240" w:lineRule="auto"/>
      <w:ind w:left="1417"/>
      <w:jc w:val="both"/>
    </w:pPr>
  </w:style>
  <w:style w:type="paragraph" w:customStyle="1" w:styleId="Point0">
    <w:name w:val="Point 0"/>
    <w:basedOn w:val="Normal"/>
    <w:rsid w:val="003C6015"/>
    <w:pPr>
      <w:spacing w:line="240" w:lineRule="auto"/>
      <w:ind w:left="850" w:hanging="850"/>
      <w:jc w:val="both"/>
    </w:pPr>
  </w:style>
  <w:style w:type="paragraph" w:customStyle="1" w:styleId="Point1">
    <w:name w:val="Point 1"/>
    <w:basedOn w:val="Normal"/>
    <w:rsid w:val="003C6015"/>
    <w:pPr>
      <w:spacing w:line="240" w:lineRule="auto"/>
      <w:ind w:left="1417" w:hanging="567"/>
      <w:jc w:val="both"/>
    </w:pPr>
  </w:style>
  <w:style w:type="paragraph" w:customStyle="1" w:styleId="Point2">
    <w:name w:val="Point 2"/>
    <w:basedOn w:val="Normal"/>
    <w:rsid w:val="003C6015"/>
    <w:pPr>
      <w:spacing w:line="240" w:lineRule="auto"/>
      <w:ind w:left="1984" w:hanging="567"/>
      <w:jc w:val="both"/>
    </w:pPr>
  </w:style>
  <w:style w:type="paragraph" w:customStyle="1" w:styleId="Point3">
    <w:name w:val="Point 3"/>
    <w:basedOn w:val="Normal"/>
    <w:rsid w:val="003C6015"/>
    <w:pPr>
      <w:spacing w:line="240" w:lineRule="auto"/>
      <w:ind w:left="2551" w:hanging="567"/>
      <w:jc w:val="both"/>
    </w:pPr>
  </w:style>
  <w:style w:type="paragraph" w:customStyle="1" w:styleId="Point4">
    <w:name w:val="Point 4"/>
    <w:basedOn w:val="Normal"/>
    <w:rsid w:val="003C6015"/>
    <w:pPr>
      <w:spacing w:line="240" w:lineRule="auto"/>
      <w:ind w:left="3118" w:hanging="567"/>
      <w:jc w:val="both"/>
    </w:pPr>
  </w:style>
  <w:style w:type="paragraph" w:customStyle="1" w:styleId="Tiret0">
    <w:name w:val="Tiret 0"/>
    <w:basedOn w:val="Point0"/>
    <w:rsid w:val="003C6015"/>
    <w:pPr>
      <w:numPr>
        <w:numId w:val="13"/>
      </w:numPr>
    </w:pPr>
  </w:style>
  <w:style w:type="paragraph" w:customStyle="1" w:styleId="Tiret1">
    <w:name w:val="Tiret 1"/>
    <w:basedOn w:val="Point1"/>
    <w:rsid w:val="003C6015"/>
    <w:pPr>
      <w:numPr>
        <w:numId w:val="14"/>
      </w:numPr>
    </w:pPr>
  </w:style>
  <w:style w:type="paragraph" w:customStyle="1" w:styleId="Tiret2">
    <w:name w:val="Tiret 2"/>
    <w:basedOn w:val="Point2"/>
    <w:rsid w:val="003C6015"/>
    <w:pPr>
      <w:numPr>
        <w:numId w:val="15"/>
      </w:numPr>
    </w:pPr>
  </w:style>
  <w:style w:type="paragraph" w:customStyle="1" w:styleId="Tiret3">
    <w:name w:val="Tiret 3"/>
    <w:basedOn w:val="Point3"/>
    <w:rsid w:val="003C6015"/>
    <w:pPr>
      <w:numPr>
        <w:numId w:val="16"/>
      </w:numPr>
    </w:pPr>
  </w:style>
  <w:style w:type="paragraph" w:customStyle="1" w:styleId="Tiret4">
    <w:name w:val="Tiret 4"/>
    <w:basedOn w:val="Point4"/>
    <w:rsid w:val="003C6015"/>
    <w:pPr>
      <w:numPr>
        <w:numId w:val="17"/>
      </w:numPr>
    </w:pPr>
  </w:style>
  <w:style w:type="paragraph" w:customStyle="1" w:styleId="PointDouble0">
    <w:name w:val="PointDouble 0"/>
    <w:basedOn w:val="Normal"/>
    <w:rsid w:val="003C6015"/>
    <w:pPr>
      <w:tabs>
        <w:tab w:val="left" w:pos="850"/>
      </w:tabs>
      <w:spacing w:line="240" w:lineRule="auto"/>
      <w:ind w:left="1417" w:hanging="1417"/>
      <w:jc w:val="both"/>
    </w:pPr>
  </w:style>
  <w:style w:type="paragraph" w:customStyle="1" w:styleId="PointDouble1">
    <w:name w:val="PointDouble 1"/>
    <w:basedOn w:val="Normal"/>
    <w:rsid w:val="003C6015"/>
    <w:pPr>
      <w:tabs>
        <w:tab w:val="left" w:pos="1417"/>
      </w:tabs>
      <w:spacing w:line="240" w:lineRule="auto"/>
      <w:ind w:left="1984" w:hanging="1134"/>
      <w:jc w:val="both"/>
    </w:pPr>
  </w:style>
  <w:style w:type="paragraph" w:customStyle="1" w:styleId="PointDouble2">
    <w:name w:val="PointDouble 2"/>
    <w:basedOn w:val="Normal"/>
    <w:rsid w:val="003C6015"/>
    <w:pPr>
      <w:tabs>
        <w:tab w:val="left" w:pos="1984"/>
      </w:tabs>
      <w:spacing w:line="240" w:lineRule="auto"/>
      <w:ind w:left="2551" w:hanging="1134"/>
      <w:jc w:val="both"/>
    </w:pPr>
  </w:style>
  <w:style w:type="paragraph" w:customStyle="1" w:styleId="PointDouble3">
    <w:name w:val="PointDouble 3"/>
    <w:basedOn w:val="Normal"/>
    <w:rsid w:val="003C6015"/>
    <w:pPr>
      <w:tabs>
        <w:tab w:val="left" w:pos="2551"/>
      </w:tabs>
      <w:spacing w:line="240" w:lineRule="auto"/>
      <w:ind w:left="3118" w:hanging="1134"/>
      <w:jc w:val="both"/>
    </w:pPr>
  </w:style>
  <w:style w:type="paragraph" w:customStyle="1" w:styleId="PointDouble4">
    <w:name w:val="PointDouble 4"/>
    <w:basedOn w:val="Normal"/>
    <w:rsid w:val="003C6015"/>
    <w:pPr>
      <w:tabs>
        <w:tab w:val="left" w:pos="3118"/>
      </w:tabs>
      <w:spacing w:line="240" w:lineRule="auto"/>
      <w:ind w:left="3685" w:hanging="1134"/>
      <w:jc w:val="both"/>
    </w:pPr>
  </w:style>
  <w:style w:type="paragraph" w:customStyle="1" w:styleId="PointTriple0">
    <w:name w:val="PointTriple 0"/>
    <w:basedOn w:val="Normal"/>
    <w:rsid w:val="003C6015"/>
    <w:pPr>
      <w:tabs>
        <w:tab w:val="left" w:pos="850"/>
        <w:tab w:val="left" w:pos="1417"/>
      </w:tabs>
      <w:spacing w:line="240" w:lineRule="auto"/>
      <w:ind w:left="1984" w:hanging="1984"/>
      <w:jc w:val="both"/>
    </w:pPr>
  </w:style>
  <w:style w:type="paragraph" w:customStyle="1" w:styleId="PointTriple1">
    <w:name w:val="PointTriple 1"/>
    <w:basedOn w:val="Normal"/>
    <w:rsid w:val="003C6015"/>
    <w:pPr>
      <w:tabs>
        <w:tab w:val="left" w:pos="1417"/>
        <w:tab w:val="left" w:pos="1984"/>
      </w:tabs>
      <w:spacing w:line="240" w:lineRule="auto"/>
      <w:ind w:left="2551" w:hanging="1701"/>
      <w:jc w:val="both"/>
    </w:pPr>
  </w:style>
  <w:style w:type="paragraph" w:customStyle="1" w:styleId="PointTriple2">
    <w:name w:val="PointTriple 2"/>
    <w:basedOn w:val="Normal"/>
    <w:rsid w:val="003C6015"/>
    <w:pPr>
      <w:tabs>
        <w:tab w:val="left" w:pos="1984"/>
        <w:tab w:val="left" w:pos="2551"/>
      </w:tabs>
      <w:spacing w:line="240" w:lineRule="auto"/>
      <w:ind w:left="3118" w:hanging="1701"/>
      <w:jc w:val="both"/>
    </w:pPr>
  </w:style>
  <w:style w:type="paragraph" w:customStyle="1" w:styleId="PointTriple3">
    <w:name w:val="PointTriple 3"/>
    <w:basedOn w:val="Normal"/>
    <w:rsid w:val="003C6015"/>
    <w:pPr>
      <w:tabs>
        <w:tab w:val="left" w:pos="2551"/>
        <w:tab w:val="left" w:pos="3118"/>
      </w:tabs>
      <w:spacing w:line="240" w:lineRule="auto"/>
      <w:ind w:left="3685" w:hanging="1701"/>
      <w:jc w:val="both"/>
    </w:pPr>
  </w:style>
  <w:style w:type="paragraph" w:customStyle="1" w:styleId="PointTriple4">
    <w:name w:val="PointTriple 4"/>
    <w:basedOn w:val="Normal"/>
    <w:rsid w:val="003C6015"/>
    <w:pPr>
      <w:tabs>
        <w:tab w:val="left" w:pos="3118"/>
        <w:tab w:val="left" w:pos="3685"/>
      </w:tabs>
      <w:spacing w:line="240" w:lineRule="auto"/>
      <w:ind w:left="4252" w:hanging="1701"/>
      <w:jc w:val="both"/>
    </w:pPr>
  </w:style>
  <w:style w:type="paragraph" w:customStyle="1" w:styleId="NumPar1">
    <w:name w:val="NumPar 1"/>
    <w:basedOn w:val="Normal"/>
    <w:next w:val="Text1"/>
    <w:rsid w:val="003C6015"/>
    <w:pPr>
      <w:tabs>
        <w:tab w:val="num" w:pos="850"/>
      </w:tabs>
      <w:spacing w:line="240" w:lineRule="auto"/>
      <w:ind w:left="850" w:hanging="850"/>
      <w:jc w:val="both"/>
    </w:pPr>
  </w:style>
  <w:style w:type="paragraph" w:customStyle="1" w:styleId="NumPar2">
    <w:name w:val="NumPar 2"/>
    <w:basedOn w:val="Normal"/>
    <w:next w:val="Text1"/>
    <w:rsid w:val="003C6015"/>
    <w:pPr>
      <w:tabs>
        <w:tab w:val="num" w:pos="850"/>
      </w:tabs>
      <w:spacing w:line="240" w:lineRule="auto"/>
      <w:ind w:left="850" w:hanging="850"/>
      <w:jc w:val="both"/>
    </w:pPr>
  </w:style>
  <w:style w:type="paragraph" w:customStyle="1" w:styleId="NumPar3">
    <w:name w:val="NumPar 3"/>
    <w:basedOn w:val="Normal"/>
    <w:next w:val="Text1"/>
    <w:rsid w:val="003C6015"/>
    <w:pPr>
      <w:tabs>
        <w:tab w:val="num" w:pos="850"/>
      </w:tabs>
      <w:spacing w:line="240" w:lineRule="auto"/>
      <w:ind w:left="850" w:hanging="850"/>
      <w:jc w:val="both"/>
    </w:pPr>
  </w:style>
  <w:style w:type="paragraph" w:customStyle="1" w:styleId="NumPar4">
    <w:name w:val="NumPar 4"/>
    <w:basedOn w:val="Normal"/>
    <w:next w:val="Text1"/>
    <w:rsid w:val="003C6015"/>
    <w:pPr>
      <w:tabs>
        <w:tab w:val="num" w:pos="850"/>
      </w:tabs>
      <w:spacing w:line="240" w:lineRule="auto"/>
      <w:ind w:left="850" w:hanging="850"/>
      <w:jc w:val="both"/>
    </w:pPr>
  </w:style>
  <w:style w:type="paragraph" w:customStyle="1" w:styleId="ManualNumPar1">
    <w:name w:val="Manual NumPar 1"/>
    <w:basedOn w:val="Normal"/>
    <w:next w:val="Text1"/>
    <w:rsid w:val="003C6015"/>
    <w:pPr>
      <w:spacing w:line="240" w:lineRule="auto"/>
      <w:ind w:left="850" w:hanging="850"/>
      <w:jc w:val="both"/>
    </w:pPr>
  </w:style>
  <w:style w:type="paragraph" w:customStyle="1" w:styleId="ManualNumPar2">
    <w:name w:val="Manual NumPar 2"/>
    <w:basedOn w:val="Normal"/>
    <w:next w:val="Text1"/>
    <w:rsid w:val="003C6015"/>
    <w:pPr>
      <w:spacing w:line="240" w:lineRule="auto"/>
      <w:ind w:left="850" w:hanging="850"/>
      <w:jc w:val="both"/>
    </w:pPr>
  </w:style>
  <w:style w:type="paragraph" w:customStyle="1" w:styleId="ManualNumPar3">
    <w:name w:val="Manual NumPar 3"/>
    <w:basedOn w:val="Normal"/>
    <w:next w:val="Text1"/>
    <w:rsid w:val="003C6015"/>
    <w:pPr>
      <w:spacing w:line="240" w:lineRule="auto"/>
      <w:ind w:left="850" w:hanging="850"/>
      <w:jc w:val="both"/>
    </w:pPr>
  </w:style>
  <w:style w:type="paragraph" w:customStyle="1" w:styleId="ManualNumPar4">
    <w:name w:val="Manual NumPar 4"/>
    <w:basedOn w:val="Normal"/>
    <w:next w:val="Text1"/>
    <w:rsid w:val="003C6015"/>
    <w:pPr>
      <w:spacing w:line="240" w:lineRule="auto"/>
      <w:ind w:left="850" w:hanging="850"/>
      <w:jc w:val="both"/>
    </w:pPr>
  </w:style>
  <w:style w:type="paragraph" w:customStyle="1" w:styleId="QuotedNumPar">
    <w:name w:val="Quoted NumPar"/>
    <w:basedOn w:val="Normal"/>
    <w:rsid w:val="003C6015"/>
    <w:pPr>
      <w:spacing w:line="240" w:lineRule="auto"/>
      <w:ind w:left="1417" w:hanging="567"/>
      <w:jc w:val="both"/>
    </w:pPr>
  </w:style>
  <w:style w:type="paragraph" w:customStyle="1" w:styleId="ManualHeading1">
    <w:name w:val="Manual Heading 1"/>
    <w:basedOn w:val="Normal"/>
    <w:next w:val="Text1"/>
    <w:rsid w:val="003C6015"/>
    <w:pPr>
      <w:keepNext/>
      <w:tabs>
        <w:tab w:val="left" w:pos="850"/>
      </w:tabs>
      <w:spacing w:before="360" w:line="240" w:lineRule="auto"/>
      <w:ind w:left="850" w:hanging="850"/>
      <w:jc w:val="both"/>
      <w:outlineLvl w:val="0"/>
    </w:pPr>
    <w:rPr>
      <w:b/>
      <w:smallCaps/>
    </w:rPr>
  </w:style>
  <w:style w:type="paragraph" w:customStyle="1" w:styleId="ManualHeading2">
    <w:name w:val="Manual Heading 2"/>
    <w:basedOn w:val="Normal"/>
    <w:next w:val="Text1"/>
    <w:rsid w:val="003C6015"/>
    <w:pPr>
      <w:keepNext/>
      <w:tabs>
        <w:tab w:val="left" w:pos="850"/>
      </w:tabs>
      <w:spacing w:line="240" w:lineRule="auto"/>
      <w:ind w:left="850" w:hanging="850"/>
      <w:jc w:val="both"/>
      <w:outlineLvl w:val="1"/>
    </w:pPr>
    <w:rPr>
      <w:b/>
    </w:rPr>
  </w:style>
  <w:style w:type="paragraph" w:customStyle="1" w:styleId="ManualHeading3">
    <w:name w:val="Manual Heading 3"/>
    <w:basedOn w:val="Normal"/>
    <w:next w:val="Text1"/>
    <w:rsid w:val="003C6015"/>
    <w:pPr>
      <w:keepNext/>
      <w:tabs>
        <w:tab w:val="left" w:pos="850"/>
      </w:tabs>
      <w:spacing w:line="240" w:lineRule="auto"/>
      <w:ind w:left="850" w:hanging="850"/>
      <w:jc w:val="both"/>
      <w:outlineLvl w:val="2"/>
    </w:pPr>
    <w:rPr>
      <w:i/>
    </w:rPr>
  </w:style>
  <w:style w:type="paragraph" w:customStyle="1" w:styleId="ManualHeading4">
    <w:name w:val="Manual Heading 4"/>
    <w:basedOn w:val="Normal"/>
    <w:next w:val="Text1"/>
    <w:rsid w:val="003C6015"/>
    <w:pPr>
      <w:keepNext/>
      <w:tabs>
        <w:tab w:val="left" w:pos="850"/>
      </w:tabs>
      <w:spacing w:line="240" w:lineRule="auto"/>
      <w:ind w:left="850" w:hanging="850"/>
      <w:jc w:val="both"/>
      <w:outlineLvl w:val="3"/>
    </w:pPr>
  </w:style>
  <w:style w:type="paragraph" w:customStyle="1" w:styleId="ChapterTitle">
    <w:name w:val="ChapterTitle"/>
    <w:basedOn w:val="Normal"/>
    <w:next w:val="Normal"/>
    <w:rsid w:val="003C6015"/>
    <w:pPr>
      <w:keepNext/>
      <w:spacing w:after="360" w:line="240" w:lineRule="auto"/>
      <w:jc w:val="center"/>
    </w:pPr>
    <w:rPr>
      <w:b/>
      <w:sz w:val="32"/>
    </w:rPr>
  </w:style>
  <w:style w:type="paragraph" w:customStyle="1" w:styleId="PartTitle">
    <w:name w:val="PartTitle"/>
    <w:basedOn w:val="Normal"/>
    <w:next w:val="ChapterTitle"/>
    <w:rsid w:val="003C6015"/>
    <w:pPr>
      <w:keepNext/>
      <w:pageBreakBefore/>
      <w:spacing w:after="360" w:line="240" w:lineRule="auto"/>
      <w:jc w:val="center"/>
    </w:pPr>
    <w:rPr>
      <w:b/>
      <w:sz w:val="36"/>
    </w:rPr>
  </w:style>
  <w:style w:type="paragraph" w:customStyle="1" w:styleId="SectionTitle">
    <w:name w:val="SectionTitle"/>
    <w:basedOn w:val="Normal"/>
    <w:next w:val="Heading1"/>
    <w:rsid w:val="003C6015"/>
    <w:pPr>
      <w:keepNext/>
      <w:spacing w:after="360" w:line="240" w:lineRule="auto"/>
      <w:jc w:val="center"/>
    </w:pPr>
    <w:rPr>
      <w:b/>
      <w:smallCaps/>
      <w:sz w:val="28"/>
    </w:rPr>
  </w:style>
  <w:style w:type="paragraph" w:customStyle="1" w:styleId="TableTitle">
    <w:name w:val="Table Title"/>
    <w:basedOn w:val="Normal"/>
    <w:next w:val="Normal"/>
    <w:rsid w:val="003C6015"/>
    <w:pPr>
      <w:spacing w:line="240" w:lineRule="auto"/>
      <w:jc w:val="center"/>
    </w:pPr>
    <w:rPr>
      <w:b/>
    </w:rPr>
  </w:style>
  <w:style w:type="character" w:customStyle="1" w:styleId="Marker2">
    <w:name w:val="Marker2"/>
    <w:rsid w:val="003C6015"/>
    <w:rPr>
      <w:color w:val="FF0000"/>
      <w:shd w:val="clear" w:color="auto" w:fill="auto"/>
    </w:rPr>
  </w:style>
  <w:style w:type="paragraph" w:customStyle="1" w:styleId="Point0number">
    <w:name w:val="Point 0 (number)"/>
    <w:basedOn w:val="Normal"/>
    <w:rsid w:val="003C6015"/>
    <w:pPr>
      <w:numPr>
        <w:numId w:val="20"/>
      </w:numPr>
      <w:spacing w:line="240" w:lineRule="auto"/>
      <w:jc w:val="both"/>
    </w:pPr>
  </w:style>
  <w:style w:type="paragraph" w:customStyle="1" w:styleId="Point1number">
    <w:name w:val="Point 1 (number)"/>
    <w:basedOn w:val="Normal"/>
    <w:rsid w:val="003C6015"/>
    <w:pPr>
      <w:numPr>
        <w:ilvl w:val="2"/>
        <w:numId w:val="20"/>
      </w:numPr>
      <w:spacing w:line="240" w:lineRule="auto"/>
      <w:jc w:val="both"/>
    </w:pPr>
  </w:style>
  <w:style w:type="paragraph" w:customStyle="1" w:styleId="Point2number">
    <w:name w:val="Point 2 (number)"/>
    <w:basedOn w:val="Normal"/>
    <w:rsid w:val="003C6015"/>
    <w:pPr>
      <w:numPr>
        <w:ilvl w:val="4"/>
        <w:numId w:val="20"/>
      </w:numPr>
      <w:spacing w:line="240" w:lineRule="auto"/>
      <w:jc w:val="both"/>
    </w:pPr>
  </w:style>
  <w:style w:type="paragraph" w:customStyle="1" w:styleId="Point3number">
    <w:name w:val="Point 3 (number)"/>
    <w:basedOn w:val="Normal"/>
    <w:rsid w:val="003C6015"/>
    <w:pPr>
      <w:numPr>
        <w:ilvl w:val="6"/>
        <w:numId w:val="20"/>
      </w:numPr>
      <w:spacing w:line="240" w:lineRule="auto"/>
      <w:jc w:val="both"/>
    </w:pPr>
  </w:style>
  <w:style w:type="paragraph" w:customStyle="1" w:styleId="Point0letter">
    <w:name w:val="Point 0 (letter)"/>
    <w:basedOn w:val="Normal"/>
    <w:rsid w:val="003C6015"/>
    <w:pPr>
      <w:numPr>
        <w:ilvl w:val="1"/>
        <w:numId w:val="20"/>
      </w:numPr>
      <w:spacing w:line="240" w:lineRule="auto"/>
      <w:jc w:val="both"/>
    </w:pPr>
  </w:style>
  <w:style w:type="paragraph" w:customStyle="1" w:styleId="Point1letter">
    <w:name w:val="Point 1 (letter)"/>
    <w:basedOn w:val="Normal"/>
    <w:rsid w:val="003C6015"/>
    <w:pPr>
      <w:numPr>
        <w:ilvl w:val="3"/>
        <w:numId w:val="20"/>
      </w:numPr>
      <w:spacing w:line="240" w:lineRule="auto"/>
      <w:jc w:val="both"/>
    </w:pPr>
  </w:style>
  <w:style w:type="paragraph" w:customStyle="1" w:styleId="Point2letter">
    <w:name w:val="Point 2 (letter)"/>
    <w:basedOn w:val="Normal"/>
    <w:rsid w:val="003C6015"/>
    <w:pPr>
      <w:numPr>
        <w:ilvl w:val="5"/>
        <w:numId w:val="20"/>
      </w:numPr>
      <w:spacing w:line="240" w:lineRule="auto"/>
      <w:jc w:val="both"/>
    </w:pPr>
  </w:style>
  <w:style w:type="paragraph" w:customStyle="1" w:styleId="Point3letter">
    <w:name w:val="Point 3 (letter)"/>
    <w:basedOn w:val="Normal"/>
    <w:rsid w:val="003C6015"/>
    <w:pPr>
      <w:numPr>
        <w:ilvl w:val="7"/>
        <w:numId w:val="20"/>
      </w:numPr>
      <w:spacing w:line="240" w:lineRule="auto"/>
      <w:jc w:val="both"/>
    </w:pPr>
  </w:style>
  <w:style w:type="paragraph" w:customStyle="1" w:styleId="Point4letter">
    <w:name w:val="Point 4 (letter)"/>
    <w:basedOn w:val="Normal"/>
    <w:rsid w:val="003C6015"/>
    <w:pPr>
      <w:numPr>
        <w:ilvl w:val="8"/>
        <w:numId w:val="20"/>
      </w:numPr>
      <w:spacing w:line="240" w:lineRule="auto"/>
      <w:jc w:val="both"/>
    </w:pPr>
  </w:style>
  <w:style w:type="paragraph" w:customStyle="1" w:styleId="Bullet0">
    <w:name w:val="Bullet 0"/>
    <w:basedOn w:val="Normal"/>
    <w:rsid w:val="003C6015"/>
    <w:pPr>
      <w:numPr>
        <w:numId w:val="21"/>
      </w:numPr>
      <w:spacing w:line="240" w:lineRule="auto"/>
      <w:jc w:val="both"/>
    </w:pPr>
  </w:style>
  <w:style w:type="paragraph" w:customStyle="1" w:styleId="Bullet1">
    <w:name w:val="Bullet 1"/>
    <w:basedOn w:val="Normal"/>
    <w:rsid w:val="003C6015"/>
    <w:pPr>
      <w:numPr>
        <w:numId w:val="22"/>
      </w:numPr>
      <w:spacing w:line="240" w:lineRule="auto"/>
      <w:jc w:val="both"/>
    </w:pPr>
  </w:style>
  <w:style w:type="paragraph" w:customStyle="1" w:styleId="Bullet2">
    <w:name w:val="Bullet 2"/>
    <w:basedOn w:val="Normal"/>
    <w:rsid w:val="003C6015"/>
    <w:pPr>
      <w:numPr>
        <w:numId w:val="23"/>
      </w:numPr>
      <w:spacing w:line="240" w:lineRule="auto"/>
      <w:jc w:val="both"/>
    </w:pPr>
  </w:style>
  <w:style w:type="paragraph" w:customStyle="1" w:styleId="Bullet3">
    <w:name w:val="Bullet 3"/>
    <w:basedOn w:val="Normal"/>
    <w:rsid w:val="003C6015"/>
    <w:pPr>
      <w:numPr>
        <w:numId w:val="24"/>
      </w:numPr>
      <w:spacing w:line="240" w:lineRule="auto"/>
      <w:jc w:val="both"/>
    </w:pPr>
  </w:style>
  <w:style w:type="paragraph" w:customStyle="1" w:styleId="Bullet4">
    <w:name w:val="Bullet 4"/>
    <w:basedOn w:val="Normal"/>
    <w:rsid w:val="003C6015"/>
    <w:pPr>
      <w:numPr>
        <w:numId w:val="25"/>
      </w:numPr>
      <w:spacing w:line="240" w:lineRule="auto"/>
      <w:jc w:val="both"/>
    </w:pPr>
  </w:style>
  <w:style w:type="paragraph" w:customStyle="1" w:styleId="Langue">
    <w:name w:val="Langue"/>
    <w:basedOn w:val="Normal"/>
    <w:next w:val="Rfrenceinterne"/>
    <w:rsid w:val="003C6015"/>
    <w:pPr>
      <w:framePr w:wrap="around" w:vAnchor="page" w:hAnchor="text" w:xAlign="center" w:y="14741"/>
      <w:spacing w:before="0" w:after="600" w:line="240" w:lineRule="auto"/>
      <w:jc w:val="center"/>
    </w:pPr>
    <w:rPr>
      <w:b/>
      <w:caps/>
    </w:rPr>
  </w:style>
  <w:style w:type="paragraph" w:customStyle="1" w:styleId="Nomdelinstitution">
    <w:name w:val="Nom de l'institution"/>
    <w:basedOn w:val="Normal"/>
    <w:next w:val="Emission"/>
    <w:rsid w:val="003C6015"/>
    <w:pPr>
      <w:spacing w:before="0" w:after="0" w:line="240" w:lineRule="auto"/>
    </w:pPr>
    <w:rPr>
      <w:rFonts w:ascii="Arial" w:hAnsi="Arial" w:cs="Arial"/>
    </w:rPr>
  </w:style>
  <w:style w:type="paragraph" w:customStyle="1" w:styleId="Emission">
    <w:name w:val="Emission"/>
    <w:basedOn w:val="Normal"/>
    <w:next w:val="Rfrenceinstitutionnelle"/>
    <w:rsid w:val="003C6015"/>
    <w:pPr>
      <w:spacing w:before="0" w:after="0" w:line="240" w:lineRule="auto"/>
      <w:ind w:left="5103"/>
    </w:pPr>
  </w:style>
  <w:style w:type="paragraph" w:customStyle="1" w:styleId="Rfrenceinstitutionnelle">
    <w:name w:val="Référence institutionnelle"/>
    <w:basedOn w:val="Normal"/>
    <w:next w:val="Confidentialit"/>
    <w:rsid w:val="003C6015"/>
    <w:pPr>
      <w:spacing w:before="0" w:after="240" w:line="240" w:lineRule="auto"/>
      <w:ind w:left="5103"/>
    </w:pPr>
  </w:style>
  <w:style w:type="paragraph" w:customStyle="1" w:styleId="Pagedecouverture">
    <w:name w:val="Page de couverture"/>
    <w:basedOn w:val="Normal"/>
    <w:next w:val="Normal"/>
    <w:rsid w:val="003C6015"/>
    <w:pPr>
      <w:spacing w:before="0" w:after="0" w:line="240" w:lineRule="auto"/>
      <w:jc w:val="both"/>
    </w:pPr>
  </w:style>
  <w:style w:type="paragraph" w:customStyle="1" w:styleId="Declassification">
    <w:name w:val="Declassification"/>
    <w:basedOn w:val="Normal"/>
    <w:next w:val="Normal"/>
    <w:rsid w:val="003C6015"/>
    <w:pPr>
      <w:spacing w:before="0" w:after="0" w:line="240" w:lineRule="auto"/>
      <w:jc w:val="both"/>
    </w:pPr>
  </w:style>
  <w:style w:type="paragraph" w:customStyle="1" w:styleId="Disclaimer">
    <w:name w:val="Disclaimer"/>
    <w:basedOn w:val="Normal"/>
    <w:rsid w:val="003C601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line="240" w:lineRule="auto"/>
      <w:jc w:val="both"/>
    </w:pPr>
  </w:style>
  <w:style w:type="paragraph" w:customStyle="1" w:styleId="SecurityMarking">
    <w:name w:val="SecurityMarking"/>
    <w:basedOn w:val="Normal"/>
    <w:rsid w:val="001F6782"/>
    <w:pPr>
      <w:spacing w:before="0" w:after="0" w:line="276" w:lineRule="auto"/>
      <w:ind w:left="5103"/>
    </w:pPr>
    <w:rPr>
      <w:rFonts w:eastAsiaTheme="minorHAnsi"/>
      <w:sz w:val="28"/>
    </w:rPr>
  </w:style>
  <w:style w:type="paragraph" w:customStyle="1" w:styleId="DateMarking">
    <w:name w:val="DateMarking"/>
    <w:basedOn w:val="Normal"/>
    <w:rsid w:val="001F6782"/>
    <w:pPr>
      <w:spacing w:before="0" w:after="0" w:line="276" w:lineRule="auto"/>
      <w:ind w:left="5103"/>
    </w:pPr>
    <w:rPr>
      <w:rFonts w:eastAsiaTheme="minorHAnsi"/>
      <w:i/>
      <w:sz w:val="28"/>
    </w:rPr>
  </w:style>
  <w:style w:type="paragraph" w:customStyle="1" w:styleId="ReleasableTo">
    <w:name w:val="ReleasableTo"/>
    <w:basedOn w:val="Normal"/>
    <w:rsid w:val="001F6782"/>
    <w:pPr>
      <w:spacing w:before="0" w:after="0" w:line="276" w:lineRule="auto"/>
      <w:ind w:left="5103"/>
    </w:pPr>
    <w:rPr>
      <w:rFonts w:eastAsiaTheme="minorHAnsi"/>
      <w:i/>
      <w:sz w:val="28"/>
    </w:rPr>
  </w:style>
  <w:style w:type="paragraph" w:customStyle="1" w:styleId="Annexetitreexpos">
    <w:name w:val="Annexe titre (exposé)"/>
    <w:basedOn w:val="Normal"/>
    <w:next w:val="Normal"/>
    <w:rsid w:val="003C6015"/>
    <w:pPr>
      <w:spacing w:line="240" w:lineRule="auto"/>
      <w:jc w:val="center"/>
    </w:pPr>
    <w:rPr>
      <w:b/>
      <w:u w:val="single"/>
    </w:rPr>
  </w:style>
  <w:style w:type="paragraph" w:customStyle="1" w:styleId="Annexetitre">
    <w:name w:val="Annexe titre"/>
    <w:basedOn w:val="Normal"/>
    <w:next w:val="Normal"/>
    <w:rsid w:val="003C6015"/>
    <w:pPr>
      <w:spacing w:line="240" w:lineRule="auto"/>
      <w:jc w:val="center"/>
    </w:pPr>
    <w:rPr>
      <w:b/>
      <w:u w:val="single"/>
    </w:rPr>
  </w:style>
  <w:style w:type="paragraph" w:customStyle="1" w:styleId="Annexetitrefichefinancire">
    <w:name w:val="Annexe titre (fiche financière)"/>
    <w:basedOn w:val="Normal"/>
    <w:next w:val="Normal"/>
    <w:rsid w:val="003C6015"/>
    <w:pPr>
      <w:spacing w:line="240" w:lineRule="auto"/>
      <w:jc w:val="center"/>
    </w:pPr>
    <w:rPr>
      <w:b/>
      <w:u w:val="single"/>
    </w:rPr>
  </w:style>
  <w:style w:type="paragraph" w:customStyle="1" w:styleId="Applicationdirecte">
    <w:name w:val="Application directe"/>
    <w:basedOn w:val="Normal"/>
    <w:next w:val="Fait"/>
    <w:rsid w:val="003C6015"/>
    <w:pPr>
      <w:spacing w:before="480" w:line="240" w:lineRule="auto"/>
      <w:jc w:val="both"/>
    </w:pPr>
  </w:style>
  <w:style w:type="paragraph" w:customStyle="1" w:styleId="Avertissementtitre">
    <w:name w:val="Avertissement titre"/>
    <w:basedOn w:val="Normal"/>
    <w:next w:val="Normal"/>
    <w:rsid w:val="003C6015"/>
    <w:pPr>
      <w:keepNext/>
      <w:spacing w:before="480" w:line="240" w:lineRule="auto"/>
      <w:jc w:val="both"/>
    </w:pPr>
    <w:rPr>
      <w:u w:val="single"/>
    </w:rPr>
  </w:style>
  <w:style w:type="paragraph" w:customStyle="1" w:styleId="Confidence">
    <w:name w:val="Confidence"/>
    <w:basedOn w:val="Normal"/>
    <w:next w:val="Normal"/>
    <w:rsid w:val="003C6015"/>
    <w:pPr>
      <w:spacing w:before="360" w:line="240" w:lineRule="auto"/>
      <w:jc w:val="center"/>
    </w:pPr>
  </w:style>
  <w:style w:type="paragraph" w:customStyle="1" w:styleId="Confidentialit">
    <w:name w:val="Confidentialité"/>
    <w:basedOn w:val="Normal"/>
    <w:next w:val="TypedudocumentPagedecouverture"/>
    <w:rsid w:val="003C6015"/>
    <w:pPr>
      <w:spacing w:before="240" w:after="240" w:line="240" w:lineRule="auto"/>
      <w:ind w:left="5103"/>
    </w:pPr>
    <w:rPr>
      <w:i/>
      <w:sz w:val="32"/>
    </w:rPr>
  </w:style>
  <w:style w:type="paragraph" w:customStyle="1" w:styleId="Considrant">
    <w:name w:val="Considérant"/>
    <w:basedOn w:val="Normal"/>
    <w:rsid w:val="003C6015"/>
    <w:pPr>
      <w:numPr>
        <w:numId w:val="26"/>
      </w:numPr>
      <w:spacing w:line="240" w:lineRule="auto"/>
      <w:jc w:val="both"/>
    </w:pPr>
  </w:style>
  <w:style w:type="paragraph" w:customStyle="1" w:styleId="Corrigendum">
    <w:name w:val="Corrigendum"/>
    <w:basedOn w:val="Normal"/>
    <w:next w:val="Normal"/>
    <w:rsid w:val="003C6015"/>
    <w:pPr>
      <w:spacing w:before="0" w:after="240" w:line="240" w:lineRule="auto"/>
    </w:pPr>
  </w:style>
  <w:style w:type="paragraph" w:customStyle="1" w:styleId="Datedadoption">
    <w:name w:val="Date d'adoption"/>
    <w:basedOn w:val="Normal"/>
    <w:next w:val="IntrtEEE"/>
    <w:rsid w:val="003C6015"/>
    <w:pPr>
      <w:spacing w:before="360" w:after="0" w:line="240" w:lineRule="auto"/>
      <w:jc w:val="center"/>
    </w:pPr>
    <w:rPr>
      <w:b/>
    </w:rPr>
  </w:style>
  <w:style w:type="paragraph" w:customStyle="1" w:styleId="Exposdesmotifstitre">
    <w:name w:val="Exposé des motifs titre"/>
    <w:basedOn w:val="Normal"/>
    <w:next w:val="Normal"/>
    <w:rsid w:val="003C6015"/>
    <w:pPr>
      <w:spacing w:line="240" w:lineRule="auto"/>
      <w:jc w:val="center"/>
    </w:pPr>
    <w:rPr>
      <w:b/>
      <w:u w:val="single"/>
    </w:rPr>
  </w:style>
  <w:style w:type="paragraph" w:customStyle="1" w:styleId="Fait">
    <w:name w:val="Fait à"/>
    <w:basedOn w:val="Normal"/>
    <w:next w:val="Institutionquisigne"/>
    <w:rsid w:val="003C6015"/>
    <w:pPr>
      <w:keepNext/>
      <w:spacing w:after="0" w:line="240" w:lineRule="auto"/>
      <w:jc w:val="both"/>
    </w:pPr>
  </w:style>
  <w:style w:type="paragraph" w:customStyle="1" w:styleId="Formuledadoption">
    <w:name w:val="Formule d'adoption"/>
    <w:basedOn w:val="Normal"/>
    <w:next w:val="Titrearticle"/>
    <w:rsid w:val="003C6015"/>
    <w:pPr>
      <w:keepNext/>
      <w:spacing w:line="240" w:lineRule="auto"/>
      <w:jc w:val="both"/>
    </w:pPr>
  </w:style>
  <w:style w:type="paragraph" w:customStyle="1" w:styleId="Institutionquiagit">
    <w:name w:val="Institution qui agit"/>
    <w:basedOn w:val="Normal"/>
    <w:next w:val="Normal"/>
    <w:rsid w:val="003C6015"/>
    <w:pPr>
      <w:keepNext/>
      <w:spacing w:before="600" w:line="240" w:lineRule="auto"/>
      <w:jc w:val="both"/>
    </w:pPr>
  </w:style>
  <w:style w:type="paragraph" w:customStyle="1" w:styleId="Institutionquisigne">
    <w:name w:val="Institution qui signe"/>
    <w:basedOn w:val="Normal"/>
    <w:next w:val="Personnequisigne"/>
    <w:rsid w:val="003C6015"/>
    <w:pPr>
      <w:keepNext/>
      <w:tabs>
        <w:tab w:val="left" w:pos="4252"/>
      </w:tabs>
      <w:spacing w:before="720" w:after="0" w:line="240" w:lineRule="auto"/>
      <w:jc w:val="both"/>
    </w:pPr>
    <w:rPr>
      <w:i/>
    </w:rPr>
  </w:style>
  <w:style w:type="paragraph" w:customStyle="1" w:styleId="ManualConsidrant">
    <w:name w:val="Manual Considérant"/>
    <w:basedOn w:val="Normal"/>
    <w:rsid w:val="003C6015"/>
    <w:pPr>
      <w:spacing w:line="240" w:lineRule="auto"/>
      <w:ind w:left="709" w:hanging="709"/>
      <w:jc w:val="both"/>
    </w:pPr>
  </w:style>
  <w:style w:type="paragraph" w:customStyle="1" w:styleId="Personnequisigne">
    <w:name w:val="Personne qui signe"/>
    <w:basedOn w:val="Normal"/>
    <w:next w:val="Institutionquisigne"/>
    <w:rsid w:val="003C6015"/>
    <w:pPr>
      <w:tabs>
        <w:tab w:val="left" w:pos="4252"/>
      </w:tabs>
      <w:spacing w:before="0" w:after="0" w:line="240" w:lineRule="auto"/>
    </w:pPr>
    <w:rPr>
      <w:i/>
    </w:rPr>
  </w:style>
  <w:style w:type="paragraph" w:customStyle="1" w:styleId="Rfrenceinterinstitutionnelle">
    <w:name w:val="Référence interinstitutionnelle"/>
    <w:basedOn w:val="Normal"/>
    <w:next w:val="Statut"/>
    <w:rsid w:val="003C6015"/>
    <w:pPr>
      <w:spacing w:before="0" w:after="0" w:line="240" w:lineRule="auto"/>
      <w:ind w:left="5103"/>
    </w:pPr>
  </w:style>
  <w:style w:type="paragraph" w:customStyle="1" w:styleId="Rfrenceinterne">
    <w:name w:val="Référence interne"/>
    <w:basedOn w:val="Normal"/>
    <w:next w:val="Rfrenceinterinstitutionnelle"/>
    <w:rsid w:val="003C6015"/>
    <w:pPr>
      <w:spacing w:before="0" w:after="0" w:line="240" w:lineRule="auto"/>
      <w:ind w:left="5103"/>
    </w:pPr>
  </w:style>
  <w:style w:type="paragraph" w:customStyle="1" w:styleId="Statut">
    <w:name w:val="Statut"/>
    <w:basedOn w:val="Normal"/>
    <w:next w:val="Typedudocument"/>
    <w:rsid w:val="003C6015"/>
    <w:pPr>
      <w:spacing w:before="0" w:after="240" w:line="240" w:lineRule="auto"/>
      <w:jc w:val="center"/>
    </w:pPr>
  </w:style>
  <w:style w:type="paragraph" w:customStyle="1" w:styleId="Titrearticle">
    <w:name w:val="Titre article"/>
    <w:basedOn w:val="Normal"/>
    <w:next w:val="Normal"/>
    <w:rsid w:val="003C6015"/>
    <w:pPr>
      <w:keepNext/>
      <w:spacing w:before="360" w:line="240" w:lineRule="auto"/>
      <w:jc w:val="center"/>
    </w:pPr>
    <w:rPr>
      <w:i/>
    </w:rPr>
  </w:style>
  <w:style w:type="paragraph" w:customStyle="1" w:styleId="Typedudocument">
    <w:name w:val="Type du document"/>
    <w:basedOn w:val="Normal"/>
    <w:next w:val="Accompagnant"/>
    <w:rsid w:val="003C6015"/>
    <w:pPr>
      <w:spacing w:before="360" w:after="180" w:line="240" w:lineRule="auto"/>
      <w:jc w:val="center"/>
    </w:pPr>
    <w:rPr>
      <w:b/>
    </w:rPr>
  </w:style>
  <w:style w:type="character" w:customStyle="1" w:styleId="Added">
    <w:name w:val="Added"/>
    <w:rsid w:val="003C6015"/>
    <w:rPr>
      <w:b/>
      <w:u w:val="single"/>
      <w:shd w:val="clear" w:color="auto" w:fill="auto"/>
    </w:rPr>
  </w:style>
  <w:style w:type="character" w:customStyle="1" w:styleId="Deleted">
    <w:name w:val="Deleted"/>
    <w:rsid w:val="003C6015"/>
    <w:rPr>
      <w:strike/>
      <w:dstrike w:val="0"/>
      <w:shd w:val="clear" w:color="auto" w:fill="auto"/>
    </w:rPr>
  </w:style>
  <w:style w:type="paragraph" w:customStyle="1" w:styleId="Address">
    <w:name w:val="Address"/>
    <w:basedOn w:val="Normal"/>
    <w:next w:val="Normal"/>
    <w:rsid w:val="003C6015"/>
    <w:pPr>
      <w:keepLines/>
      <w:ind w:left="3402"/>
    </w:pPr>
  </w:style>
  <w:style w:type="paragraph" w:customStyle="1" w:styleId="Objetexterne">
    <w:name w:val="Objet externe"/>
    <w:basedOn w:val="Normal"/>
    <w:next w:val="Normal"/>
    <w:rsid w:val="003C6015"/>
    <w:pPr>
      <w:spacing w:line="240" w:lineRule="auto"/>
      <w:jc w:val="both"/>
    </w:pPr>
    <w:rPr>
      <w:i/>
      <w:caps/>
    </w:rPr>
  </w:style>
  <w:style w:type="paragraph" w:customStyle="1" w:styleId="Supertitre">
    <w:name w:val="Supertitre"/>
    <w:basedOn w:val="Normal"/>
    <w:next w:val="Normal"/>
    <w:rsid w:val="003C6015"/>
    <w:pPr>
      <w:spacing w:before="0" w:after="600" w:line="240" w:lineRule="auto"/>
      <w:jc w:val="center"/>
    </w:pPr>
    <w:rPr>
      <w:b/>
    </w:rPr>
  </w:style>
  <w:style w:type="paragraph" w:customStyle="1" w:styleId="Languesfaisantfoi">
    <w:name w:val="Langues faisant foi"/>
    <w:basedOn w:val="Normal"/>
    <w:next w:val="Normal"/>
    <w:rsid w:val="003C6015"/>
    <w:pPr>
      <w:spacing w:before="360" w:after="0" w:line="240" w:lineRule="auto"/>
      <w:jc w:val="center"/>
    </w:pPr>
  </w:style>
  <w:style w:type="paragraph" w:customStyle="1" w:styleId="Rfrencecroise">
    <w:name w:val="Référence croisée"/>
    <w:basedOn w:val="Normal"/>
    <w:rsid w:val="003C6015"/>
    <w:pPr>
      <w:spacing w:before="0" w:after="0" w:line="240" w:lineRule="auto"/>
      <w:jc w:val="center"/>
    </w:pPr>
  </w:style>
  <w:style w:type="paragraph" w:customStyle="1" w:styleId="Fichefinanciretitre">
    <w:name w:val="Fiche financière titre"/>
    <w:basedOn w:val="Normal"/>
    <w:next w:val="Normal"/>
    <w:rsid w:val="003C6015"/>
    <w:pPr>
      <w:spacing w:line="240" w:lineRule="auto"/>
      <w:jc w:val="center"/>
    </w:pPr>
    <w:rPr>
      <w:b/>
      <w:u w:val="single"/>
    </w:rPr>
  </w:style>
  <w:style w:type="paragraph" w:customStyle="1" w:styleId="DatedadoptionPagedecouverture">
    <w:name w:val="Date d'adoption (Page de couverture)"/>
    <w:basedOn w:val="Datedadoption"/>
    <w:next w:val="IntrtEEEPagedecouverture"/>
    <w:rsid w:val="003C6015"/>
  </w:style>
  <w:style w:type="paragraph" w:customStyle="1" w:styleId="RfrenceinterinstitutionnellePagedecouverture">
    <w:name w:val="Référence interinstitutionnelle (Page de couverture)"/>
    <w:basedOn w:val="Rfrenceinterinstitutionnelle"/>
    <w:next w:val="Confidentialit"/>
    <w:rsid w:val="003C6015"/>
  </w:style>
  <w:style w:type="paragraph" w:customStyle="1" w:styleId="StatutPagedecouverture">
    <w:name w:val="Statut (Page de couverture)"/>
    <w:basedOn w:val="Statut"/>
    <w:next w:val="TypedudocumentPagedecouverture"/>
    <w:rsid w:val="003C6015"/>
  </w:style>
  <w:style w:type="paragraph" w:customStyle="1" w:styleId="TypedudocumentPagedecouverture">
    <w:name w:val="Type du document (Page de couverture)"/>
    <w:basedOn w:val="Typedudocument"/>
    <w:next w:val="AccompagnantPagedecouverture"/>
    <w:rsid w:val="003C6015"/>
  </w:style>
  <w:style w:type="paragraph" w:customStyle="1" w:styleId="Volume">
    <w:name w:val="Volume"/>
    <w:basedOn w:val="Normal"/>
    <w:next w:val="Confidentialit"/>
    <w:rsid w:val="003C6015"/>
    <w:pPr>
      <w:spacing w:before="0" w:after="240" w:line="240" w:lineRule="auto"/>
      <w:ind w:left="5103"/>
    </w:pPr>
  </w:style>
  <w:style w:type="paragraph" w:customStyle="1" w:styleId="IntrtEEE">
    <w:name w:val="Intérêt EEE"/>
    <w:basedOn w:val="Languesfaisantfoi"/>
    <w:next w:val="Normal"/>
    <w:rsid w:val="003C6015"/>
    <w:pPr>
      <w:spacing w:after="240"/>
    </w:pPr>
  </w:style>
  <w:style w:type="paragraph" w:customStyle="1" w:styleId="Accompagnant">
    <w:name w:val="Accompagnant"/>
    <w:basedOn w:val="Normal"/>
    <w:next w:val="Typeacteprincipal"/>
    <w:rsid w:val="003C6015"/>
    <w:pPr>
      <w:spacing w:before="180" w:after="240" w:line="240" w:lineRule="auto"/>
      <w:jc w:val="center"/>
    </w:pPr>
    <w:rPr>
      <w:b/>
    </w:rPr>
  </w:style>
  <w:style w:type="paragraph" w:customStyle="1" w:styleId="Typeacteprincipal">
    <w:name w:val="Type acte principal"/>
    <w:basedOn w:val="Normal"/>
    <w:next w:val="Objetacteprincipal"/>
    <w:rsid w:val="003C6015"/>
    <w:pPr>
      <w:spacing w:before="0" w:after="240" w:line="240" w:lineRule="auto"/>
      <w:jc w:val="center"/>
    </w:pPr>
    <w:rPr>
      <w:b/>
    </w:rPr>
  </w:style>
  <w:style w:type="paragraph" w:customStyle="1" w:styleId="Objetacteprincipal">
    <w:name w:val="Objet acte principal"/>
    <w:basedOn w:val="Normal"/>
    <w:next w:val="Titrearticle"/>
    <w:rsid w:val="003C6015"/>
    <w:pPr>
      <w:spacing w:before="0" w:after="360" w:line="240" w:lineRule="auto"/>
      <w:jc w:val="center"/>
    </w:pPr>
    <w:rPr>
      <w:b/>
    </w:rPr>
  </w:style>
  <w:style w:type="paragraph" w:customStyle="1" w:styleId="IntrtEEEPagedecouverture">
    <w:name w:val="Intérêt EEE (Page de couverture)"/>
    <w:basedOn w:val="IntrtEEE"/>
    <w:next w:val="Rfrencecroise"/>
    <w:rsid w:val="003C6015"/>
  </w:style>
  <w:style w:type="paragraph" w:customStyle="1" w:styleId="AccompagnantPagedecouverture">
    <w:name w:val="Accompagnant (Page de couverture)"/>
    <w:basedOn w:val="Accompagnant"/>
    <w:next w:val="TypeacteprincipalPagedecouverture"/>
    <w:rsid w:val="003C6015"/>
  </w:style>
  <w:style w:type="paragraph" w:customStyle="1" w:styleId="TypeacteprincipalPagedecouverture">
    <w:name w:val="Type acte principal (Page de couverture)"/>
    <w:basedOn w:val="Typeacteprincipal"/>
    <w:next w:val="ObjetacteprincipalPagedecouverture"/>
    <w:rsid w:val="003C6015"/>
  </w:style>
  <w:style w:type="paragraph" w:customStyle="1" w:styleId="ObjetacteprincipalPagedecouverture">
    <w:name w:val="Objet acte principal (Page de couverture)"/>
    <w:basedOn w:val="Objetacteprincipal"/>
    <w:next w:val="Rfrencecroise"/>
    <w:rsid w:val="003C6015"/>
  </w:style>
  <w:style w:type="paragraph" w:customStyle="1" w:styleId="LanguesfaisantfoiPagedecouverture">
    <w:name w:val="Langues faisant foi (Page de couverture)"/>
    <w:basedOn w:val="Normal"/>
    <w:next w:val="Normal"/>
    <w:rsid w:val="003C6015"/>
    <w:pPr>
      <w:spacing w:before="360" w:after="0" w:line="240" w:lineRule="auto"/>
      <w:jc w:val="center"/>
    </w:pPr>
  </w:style>
  <w:style w:type="paragraph" w:styleId="NormalWeb">
    <w:name w:val="Normal (Web)"/>
    <w:basedOn w:val="Normal"/>
    <w:uiPriority w:val="99"/>
    <w:unhideWhenUsed/>
    <w:rsid w:val="003C6015"/>
    <w:pPr>
      <w:spacing w:before="100" w:beforeAutospacing="1" w:after="100" w:afterAutospacing="1" w:line="240" w:lineRule="auto"/>
    </w:pPr>
    <w:rPr>
      <w:rFonts w:eastAsia="Times New Roman"/>
      <w:szCs w:val="24"/>
    </w:rPr>
  </w:style>
  <w:style w:type="table" w:styleId="TableGrid">
    <w:name w:val="Table Grid"/>
    <w:basedOn w:val="TableNormal"/>
    <w:uiPriority w:val="59"/>
    <w:rsid w:val="003C6015"/>
    <w:tblPr/>
  </w:style>
  <w:style w:type="paragraph" w:styleId="NoSpacing">
    <w:name w:val="No Spacing"/>
    <w:link w:val="NoSpacingChar"/>
    <w:uiPriority w:val="1"/>
    <w:qFormat/>
    <w:rsid w:val="003C6015"/>
    <w:rPr>
      <w:rFonts w:eastAsia="Times New Roman"/>
      <w:sz w:val="22"/>
      <w:szCs w:val="22"/>
    </w:rPr>
  </w:style>
  <w:style w:type="character" w:customStyle="1" w:styleId="NoSpacingChar">
    <w:name w:val="No Spacing Char"/>
    <w:link w:val="NoSpacing"/>
    <w:uiPriority w:val="1"/>
    <w:rsid w:val="003C6015"/>
    <w:rPr>
      <w:rFonts w:eastAsia="Times New Roman"/>
      <w:sz w:val="22"/>
      <w:szCs w:val="22"/>
    </w:rPr>
  </w:style>
  <w:style w:type="character" w:styleId="FollowedHyperlink">
    <w:name w:val="FollowedHyperlink"/>
    <w:uiPriority w:val="99"/>
    <w:semiHidden/>
    <w:unhideWhenUsed/>
    <w:rsid w:val="003C6015"/>
    <w:rPr>
      <w:color w:val="800080"/>
      <w:u w:val="single"/>
    </w:rPr>
  </w:style>
  <w:style w:type="paragraph" w:customStyle="1" w:styleId="commentcontentpara">
    <w:name w:val="commentcontentpara"/>
    <w:basedOn w:val="Normal"/>
    <w:rsid w:val="003C6015"/>
    <w:pPr>
      <w:spacing w:before="100" w:beforeAutospacing="1" w:after="100" w:afterAutospacing="1" w:line="240" w:lineRule="auto"/>
    </w:pPr>
    <w:rPr>
      <w:rFonts w:eastAsia="Times New Roman"/>
      <w:szCs w:val="24"/>
    </w:rPr>
  </w:style>
  <w:style w:type="paragraph" w:customStyle="1" w:styleId="FooterCoverPage">
    <w:name w:val="Footer Cover Page"/>
    <w:basedOn w:val="Normal"/>
    <w:link w:val="FooterCoverPageChar"/>
    <w:rsid w:val="003C6015"/>
    <w:pPr>
      <w:tabs>
        <w:tab w:val="center" w:pos="4535"/>
        <w:tab w:val="right" w:pos="9071"/>
        <w:tab w:val="right" w:pos="9921"/>
      </w:tabs>
      <w:spacing w:before="360" w:after="0" w:line="240" w:lineRule="auto"/>
      <w:ind w:left="-850" w:right="-850"/>
    </w:pPr>
  </w:style>
  <w:style w:type="character" w:customStyle="1" w:styleId="FooterCoverPageChar">
    <w:name w:val="Footer Cover Page Char"/>
    <w:link w:val="FooterCoverPage"/>
    <w:rsid w:val="003C6015"/>
    <w:rPr>
      <w:rFonts w:ascii="Times New Roman" w:hAnsi="Times New Roman"/>
      <w:sz w:val="24"/>
      <w:szCs w:val="22"/>
    </w:rPr>
  </w:style>
  <w:style w:type="paragraph" w:customStyle="1" w:styleId="HeaderCoverPage">
    <w:name w:val="Header Cover Page"/>
    <w:basedOn w:val="Normal"/>
    <w:link w:val="HeaderCoverPageChar"/>
    <w:rsid w:val="003C6015"/>
    <w:pPr>
      <w:tabs>
        <w:tab w:val="center" w:pos="4535"/>
        <w:tab w:val="right" w:pos="9071"/>
      </w:tabs>
      <w:spacing w:before="0" w:line="240" w:lineRule="auto"/>
      <w:jc w:val="both"/>
    </w:pPr>
  </w:style>
  <w:style w:type="character" w:customStyle="1" w:styleId="HeaderCoverPageChar">
    <w:name w:val="Header Cover Page Char"/>
    <w:link w:val="HeaderCoverPage"/>
    <w:rsid w:val="003C6015"/>
    <w:rPr>
      <w:rFonts w:ascii="Times New Roman" w:hAnsi="Times New Roman"/>
      <w:sz w:val="24"/>
      <w:szCs w:val="22"/>
    </w:rPr>
  </w:style>
  <w:style w:type="paragraph" w:customStyle="1" w:styleId="EntText">
    <w:name w:val="EntText"/>
    <w:basedOn w:val="Normal"/>
    <w:rsid w:val="003C6015"/>
    <w:rPr>
      <w:rFonts w:eastAsiaTheme="minorHAnsi"/>
    </w:rPr>
  </w:style>
  <w:style w:type="paragraph" w:customStyle="1" w:styleId="Lignefinal">
    <w:name w:val="Ligne final"/>
    <w:basedOn w:val="Normal"/>
    <w:next w:val="Normal"/>
    <w:rsid w:val="003C6015"/>
    <w:pPr>
      <w:pBdr>
        <w:bottom w:val="single" w:sz="4" w:space="0" w:color="000000"/>
      </w:pBdr>
      <w:spacing w:before="360"/>
      <w:ind w:left="3400" w:right="3400"/>
      <w:jc w:val="center"/>
    </w:pPr>
    <w:rPr>
      <w:rFonts w:eastAsiaTheme="minorHAnsi"/>
      <w:b/>
    </w:rPr>
  </w:style>
  <w:style w:type="paragraph" w:customStyle="1" w:styleId="pj">
    <w:name w:val="p.j."/>
    <w:basedOn w:val="Normal"/>
    <w:link w:val="pjChar"/>
    <w:rsid w:val="003C6015"/>
    <w:pPr>
      <w:spacing w:before="1200" w:line="240" w:lineRule="auto"/>
      <w:ind w:left="1440" w:hanging="1440"/>
    </w:pPr>
  </w:style>
  <w:style w:type="character" w:customStyle="1" w:styleId="pjChar">
    <w:name w:val="p.j. Char"/>
    <w:basedOn w:val="DefaultParagraphFont"/>
    <w:link w:val="pj"/>
    <w:rsid w:val="003C6015"/>
    <w:rPr>
      <w:rFonts w:ascii="Times New Roman" w:hAnsi="Times New Roman"/>
      <w:sz w:val="24"/>
      <w:szCs w:val="22"/>
    </w:rPr>
  </w:style>
  <w:style w:type="paragraph" w:customStyle="1" w:styleId="nbbordered">
    <w:name w:val="nb bordered"/>
    <w:basedOn w:val="Normal"/>
    <w:link w:val="nbborderedChar"/>
    <w:rsid w:val="003C6015"/>
    <w:pPr>
      <w:pBdr>
        <w:top w:val="single" w:sz="4" w:space="1" w:color="auto"/>
        <w:left w:val="single" w:sz="4" w:space="4" w:color="auto"/>
        <w:bottom w:val="single" w:sz="4" w:space="1" w:color="auto"/>
        <w:right w:val="single" w:sz="4" w:space="4" w:color="auto"/>
        <w:between w:val="single" w:sz="4" w:space="0" w:color="auto"/>
      </w:pBdr>
      <w:spacing w:before="0" w:after="160" w:line="240" w:lineRule="auto"/>
      <w:ind w:left="480" w:hanging="480"/>
    </w:pPr>
    <w:rPr>
      <w:b/>
    </w:rPr>
  </w:style>
  <w:style w:type="character" w:customStyle="1" w:styleId="nbborderedChar">
    <w:name w:val="nb bordered Char"/>
    <w:basedOn w:val="DefaultParagraphFont"/>
    <w:link w:val="nbbordered"/>
    <w:rsid w:val="003C6015"/>
    <w:rPr>
      <w:rFonts w:ascii="Times New Roman" w:hAnsi="Times New Roman"/>
      <w:b/>
      <w:sz w:val="24"/>
      <w:szCs w:val="22"/>
    </w:rPr>
  </w:style>
  <w:style w:type="character" w:customStyle="1" w:styleId="HeaderCouncilChar">
    <w:name w:val="Header Council Char"/>
    <w:basedOn w:val="DefaultParagraphFont"/>
    <w:link w:val="HeaderCouncil"/>
    <w:rsid w:val="003C6015"/>
    <w:rPr>
      <w:rFonts w:ascii="Times New Roman" w:hAnsi="Times New Roman"/>
      <w:sz w:val="2"/>
      <w:szCs w:val="22"/>
    </w:rPr>
  </w:style>
  <w:style w:type="character" w:customStyle="1" w:styleId="FooterCouncilChar">
    <w:name w:val="Footer Council Char"/>
    <w:basedOn w:val="DefaultParagraphFont"/>
    <w:link w:val="FooterCouncil"/>
    <w:rsid w:val="003C6015"/>
    <w:rPr>
      <w:rFonts w:ascii="Times New Roman" w:hAnsi="Times New Roman"/>
      <w:sz w:val="2"/>
      <w:szCs w:val="22"/>
    </w:rPr>
  </w:style>
  <w:style w:type="character" w:customStyle="1" w:styleId="Mention1">
    <w:name w:val="Mention1"/>
    <w:uiPriority w:val="99"/>
    <w:unhideWhenUsed/>
    <w:rsid w:val="007D046E"/>
    <w:rPr>
      <w:color w:val="2B579A"/>
      <w:shd w:val="clear" w:color="auto" w:fill="E1DFDD"/>
    </w:rPr>
  </w:style>
  <w:style w:type="paragraph" w:customStyle="1" w:styleId="P68B1DB1-Default10">
    <w:name w:val="P68B1DB1-Default10"/>
    <w:basedOn w:val="Normal"/>
    <w:rsid w:val="0016245F"/>
    <w:pPr>
      <w:autoSpaceDE w:val="0"/>
      <w:autoSpaceDN w:val="0"/>
      <w:spacing w:before="0" w:after="0" w:line="240" w:lineRule="auto"/>
    </w:pPr>
    <w:rPr>
      <w:rFonts w:ascii="Arial" w:eastAsiaTheme="minorHAnsi" w:hAnsi="Arial" w:cs="Arial"/>
      <w:color w:val="000000"/>
      <w:sz w:val="20"/>
      <w:szCs w:val="20"/>
    </w:rPr>
  </w:style>
  <w:style w:type="paragraph" w:styleId="Title">
    <w:name w:val="Title"/>
    <w:basedOn w:val="Normal"/>
    <w:next w:val="Normal"/>
    <w:link w:val="TitleChar"/>
    <w:qFormat/>
    <w:rsid w:val="00A60D09"/>
    <w:pPr>
      <w:spacing w:before="0" w:after="0" w:line="240" w:lineRule="auto"/>
      <w:contextualSpacing/>
      <w:jc w:val="both"/>
    </w:pPr>
    <w:rPr>
      <w:rFonts w:ascii="Calibri Light" w:eastAsia="Times New Roman" w:hAnsi="Calibri Light"/>
      <w:kern w:val="28"/>
      <w:sz w:val="56"/>
      <w:szCs w:val="20"/>
    </w:rPr>
  </w:style>
  <w:style w:type="character" w:customStyle="1" w:styleId="TitleChar1">
    <w:name w:val="Title Char1"/>
    <w:basedOn w:val="DefaultParagraphFont"/>
    <w:uiPriority w:val="10"/>
    <w:rsid w:val="00A60D09"/>
    <w:rPr>
      <w:rFonts w:asciiTheme="majorHAnsi" w:eastAsiaTheme="majorEastAsia" w:hAnsiTheme="majorHAnsi" w:cstheme="majorBidi"/>
      <w:kern w:val="28"/>
      <w:sz w:val="56"/>
      <w:szCs w:val="56"/>
    </w:rPr>
  </w:style>
  <w:style w:type="paragraph" w:customStyle="1" w:styleId="P68B1DB1-Navaden55">
    <w:name w:val="P68B1DB1-Navaden55"/>
    <w:basedOn w:val="Normal"/>
    <w:rsid w:val="00815B71"/>
    <w:pPr>
      <w:spacing w:before="0" w:after="160" w:line="276" w:lineRule="auto"/>
      <w:jc w:val="both"/>
    </w:pPr>
    <w:rPr>
      <w:rFonts w:ascii="Arial" w:eastAsia="Times New Roman" w:hAnsi="Arial" w:cs="Arial"/>
      <w:color w:val="000000" w:themeColor="text1"/>
      <w:sz w:val="18"/>
      <w:szCs w:val="20"/>
    </w:rPr>
  </w:style>
  <w:style w:type="character" w:customStyle="1" w:styleId="UnresolvedMention10">
    <w:name w:val="Unresolved Mention10"/>
    <w:basedOn w:val="DefaultParagraphFont"/>
    <w:uiPriority w:val="99"/>
    <w:unhideWhenUsed/>
    <w:rsid w:val="007D046E"/>
    <w:rPr>
      <w:color w:val="605E5C"/>
      <w:shd w:val="clear" w:color="auto" w:fill="E1DFDD"/>
    </w:rPr>
  </w:style>
  <w:style w:type="character" w:customStyle="1" w:styleId="Mention10">
    <w:name w:val="Mention10"/>
    <w:uiPriority w:val="99"/>
    <w:unhideWhenUsed/>
    <w:rsid w:val="007D046E"/>
    <w:rPr>
      <w:color w:val="2B579A"/>
      <w:shd w:val="clear" w:color="auto" w:fill="E1DFDD"/>
    </w:rPr>
  </w:style>
  <w:style w:type="paragraph" w:customStyle="1" w:styleId="P68B1DB1-Normal61">
    <w:name w:val="P68B1DB1-Normal61"/>
    <w:basedOn w:val="Normal"/>
    <w:rsid w:val="007810DB"/>
    <w:pPr>
      <w:spacing w:before="0" w:after="160" w:line="276" w:lineRule="auto"/>
      <w:jc w:val="both"/>
    </w:pPr>
    <w:rPr>
      <w:rFonts w:ascii="Arial" w:eastAsia="Times New Roman" w:hAnsi="Arial" w:cs="Arial"/>
      <w:color w:val="000000" w:themeColor="text1"/>
      <w:sz w:val="18"/>
      <w:szCs w:val="20"/>
    </w:rPr>
  </w:style>
  <w:style w:type="character" w:customStyle="1" w:styleId="normaltextrun">
    <w:name w:val="normaltextrun"/>
    <w:basedOn w:val="DefaultParagraphFont"/>
    <w:rsid w:val="00023666"/>
  </w:style>
  <w:style w:type="paragraph" w:customStyle="1" w:styleId="pf0">
    <w:name w:val="pf0"/>
    <w:basedOn w:val="Normal"/>
    <w:rsid w:val="00EA3A66"/>
    <w:pPr>
      <w:spacing w:before="100" w:beforeAutospacing="1" w:after="100" w:afterAutospacing="1" w:line="240" w:lineRule="auto"/>
    </w:pPr>
    <w:rPr>
      <w:rFonts w:eastAsia="Times New Roman"/>
      <w:szCs w:val="24"/>
    </w:rPr>
  </w:style>
  <w:style w:type="character" w:customStyle="1" w:styleId="cf01">
    <w:name w:val="cf01"/>
    <w:basedOn w:val="DefaultParagraphFont"/>
    <w:rsid w:val="00EA3A66"/>
    <w:rPr>
      <w:rFonts w:ascii="Segoe UI" w:hAnsi="Segoe UI" w:cs="Segoe UI" w:hint="default"/>
      <w:sz w:val="18"/>
      <w:szCs w:val="18"/>
    </w:rPr>
  </w:style>
  <w:style w:type="character" w:customStyle="1" w:styleId="UnresolvedMention100">
    <w:name w:val="Unresolved Mention100"/>
    <w:basedOn w:val="DefaultParagraphFont"/>
    <w:uiPriority w:val="99"/>
    <w:unhideWhenUsed/>
    <w:rsid w:val="0066431F"/>
    <w:rPr>
      <w:color w:val="605E5C"/>
      <w:shd w:val="clear" w:color="auto" w:fill="E1DFDD"/>
    </w:rPr>
  </w:style>
  <w:style w:type="character" w:customStyle="1" w:styleId="Mention100">
    <w:name w:val="Mention100"/>
    <w:uiPriority w:val="99"/>
    <w:unhideWhenUsed/>
    <w:rsid w:val="0066431F"/>
    <w:rPr>
      <w:color w:val="2B579A"/>
      <w:shd w:val="clear" w:color="auto" w:fill="E1DFDD"/>
    </w:rPr>
  </w:style>
  <w:style w:type="character" w:customStyle="1" w:styleId="UnresolvedMention1000">
    <w:name w:val="Unresolved Mention1000"/>
    <w:basedOn w:val="DefaultParagraphFont"/>
    <w:uiPriority w:val="99"/>
    <w:unhideWhenUsed/>
    <w:rsid w:val="004D5503"/>
    <w:rPr>
      <w:color w:val="605E5C"/>
      <w:shd w:val="clear" w:color="auto" w:fill="E1DFDD"/>
    </w:rPr>
  </w:style>
  <w:style w:type="character" w:customStyle="1" w:styleId="Mention1000">
    <w:name w:val="Mention1000"/>
    <w:uiPriority w:val="99"/>
    <w:unhideWhenUsed/>
    <w:rsid w:val="004D5503"/>
    <w:rPr>
      <w:color w:val="2B579A"/>
      <w:shd w:val="clear" w:color="auto" w:fill="E1DFDD"/>
    </w:rPr>
  </w:style>
  <w:style w:type="paragraph" w:customStyle="1" w:styleId="P68B1DB1-Navaden63">
    <w:name w:val="P68B1DB1-Navaden63"/>
    <w:basedOn w:val="Normal"/>
    <w:rsid w:val="00FF3288"/>
    <w:pPr>
      <w:spacing w:before="0" w:after="160" w:line="276" w:lineRule="auto"/>
      <w:jc w:val="both"/>
    </w:pPr>
    <w:rPr>
      <w:rFonts w:ascii="Arial" w:eastAsiaTheme="minorHAnsi" w:hAnsi="Arial" w:cstheme="minorBidi"/>
      <w:sz w:val="18"/>
      <w:szCs w:val="20"/>
    </w:rPr>
  </w:style>
  <w:style w:type="character" w:customStyle="1" w:styleId="UnresolvedMention10000">
    <w:name w:val="Unresolved Mention10000"/>
    <w:basedOn w:val="DefaultParagraphFont"/>
    <w:uiPriority w:val="99"/>
    <w:unhideWhenUsed/>
    <w:rsid w:val="00EB1B5D"/>
    <w:rPr>
      <w:color w:val="605E5C"/>
      <w:shd w:val="clear" w:color="auto" w:fill="E1DFDD"/>
    </w:rPr>
  </w:style>
  <w:style w:type="character" w:customStyle="1" w:styleId="Mention10000">
    <w:name w:val="Mention10000"/>
    <w:uiPriority w:val="99"/>
    <w:unhideWhenUsed/>
    <w:rsid w:val="00EB1B5D"/>
    <w:rPr>
      <w:color w:val="2B579A"/>
      <w:shd w:val="clear" w:color="auto" w:fill="E1DFDD"/>
    </w:rPr>
  </w:style>
  <w:style w:type="character" w:customStyle="1" w:styleId="UnresolvedMention1000000000">
    <w:name w:val="Unresolved Mention1000000000"/>
    <w:basedOn w:val="DefaultParagraphFont"/>
    <w:uiPriority w:val="99"/>
    <w:unhideWhenUsed/>
    <w:rsid w:val="00670BBB"/>
    <w:rPr>
      <w:color w:val="605E5C"/>
      <w:shd w:val="clear" w:color="auto" w:fill="E1DFDD"/>
    </w:rPr>
  </w:style>
  <w:style w:type="character" w:customStyle="1" w:styleId="UnresolvedMention100000">
    <w:name w:val="Unresolved Mention100000"/>
    <w:basedOn w:val="DefaultParagraphFont"/>
    <w:uiPriority w:val="99"/>
    <w:unhideWhenUsed/>
    <w:rsid w:val="00095B5A"/>
    <w:rPr>
      <w:color w:val="605E5C"/>
      <w:shd w:val="clear" w:color="auto" w:fill="E1DFDD"/>
    </w:rPr>
  </w:style>
  <w:style w:type="character" w:customStyle="1" w:styleId="Mention100000">
    <w:name w:val="Mention100000"/>
    <w:uiPriority w:val="99"/>
    <w:unhideWhenUsed/>
    <w:rsid w:val="00095B5A"/>
    <w:rPr>
      <w:color w:val="2B579A"/>
      <w:shd w:val="clear" w:color="auto" w:fill="E1DFDD"/>
    </w:rPr>
  </w:style>
  <w:style w:type="character" w:customStyle="1" w:styleId="UnresolvedMention1000000">
    <w:name w:val="Unresolved Mention1000000"/>
    <w:basedOn w:val="DefaultParagraphFont"/>
    <w:uiPriority w:val="99"/>
    <w:unhideWhenUsed/>
    <w:rsid w:val="00D202DA"/>
    <w:rPr>
      <w:color w:val="605E5C"/>
      <w:shd w:val="clear" w:color="auto" w:fill="E1DFDD"/>
    </w:rPr>
  </w:style>
  <w:style w:type="character" w:customStyle="1" w:styleId="Mention1000000">
    <w:name w:val="Mention1000000"/>
    <w:uiPriority w:val="99"/>
    <w:unhideWhenUsed/>
    <w:rsid w:val="00D202DA"/>
    <w:rPr>
      <w:color w:val="2B579A"/>
      <w:shd w:val="clear" w:color="auto" w:fill="E1DFDD"/>
    </w:rPr>
  </w:style>
  <w:style w:type="character" w:customStyle="1" w:styleId="UnresolvedMention10000000">
    <w:name w:val="Unresolved Mention10000000"/>
    <w:basedOn w:val="DefaultParagraphFont"/>
    <w:uiPriority w:val="99"/>
    <w:unhideWhenUsed/>
    <w:rsid w:val="00AB0B23"/>
    <w:rPr>
      <w:color w:val="605E5C"/>
      <w:shd w:val="clear" w:color="auto" w:fill="E1DFDD"/>
    </w:rPr>
  </w:style>
  <w:style w:type="character" w:customStyle="1" w:styleId="Mention10000000">
    <w:name w:val="Mention10000000"/>
    <w:uiPriority w:val="99"/>
    <w:unhideWhenUsed/>
    <w:rsid w:val="00AB0B23"/>
    <w:rPr>
      <w:color w:val="2B579A"/>
      <w:shd w:val="clear" w:color="auto" w:fill="E1DFDD"/>
    </w:rPr>
  </w:style>
  <w:style w:type="character" w:customStyle="1" w:styleId="UnresolvedMention100000000">
    <w:name w:val="Unresolved Mention100000000"/>
    <w:basedOn w:val="DefaultParagraphFont"/>
    <w:uiPriority w:val="99"/>
    <w:unhideWhenUsed/>
    <w:rsid w:val="001C1667"/>
    <w:rPr>
      <w:color w:val="605E5C"/>
      <w:shd w:val="clear" w:color="auto" w:fill="E1DFDD"/>
    </w:rPr>
  </w:style>
  <w:style w:type="character" w:customStyle="1" w:styleId="Mention100000000">
    <w:name w:val="Mention100000000"/>
    <w:uiPriority w:val="99"/>
    <w:unhideWhenUsed/>
    <w:rsid w:val="001C1667"/>
    <w:rPr>
      <w:color w:val="2B579A"/>
      <w:shd w:val="clear" w:color="auto" w:fill="E1DFDD"/>
    </w:rPr>
  </w:style>
  <w:style w:type="character" w:customStyle="1" w:styleId="UnresolvedMention1000000001">
    <w:name w:val="Unresolved Mention1000000001"/>
    <w:basedOn w:val="DefaultParagraphFont"/>
    <w:uiPriority w:val="99"/>
    <w:unhideWhenUsed/>
    <w:rsid w:val="002E3A78"/>
    <w:rPr>
      <w:color w:val="605E5C"/>
      <w:shd w:val="clear" w:color="auto" w:fill="E1DFDD"/>
    </w:rPr>
  </w:style>
  <w:style w:type="character" w:customStyle="1" w:styleId="Mention1000000000">
    <w:name w:val="Mention1000000000"/>
    <w:uiPriority w:val="99"/>
    <w:unhideWhenUsed/>
    <w:rsid w:val="002E3A78"/>
    <w:rPr>
      <w:color w:val="2B579A"/>
      <w:shd w:val="clear" w:color="auto" w:fill="E1DFDD"/>
    </w:rPr>
  </w:style>
  <w:style w:type="character" w:customStyle="1" w:styleId="Mention10000000000">
    <w:name w:val="Mention10000000000"/>
    <w:uiPriority w:val="99"/>
    <w:unhideWhenUsed/>
    <w:rsid w:val="00670BBB"/>
    <w:rPr>
      <w:color w:val="2B579A"/>
      <w:shd w:val="clear" w:color="auto" w:fill="E1DFDD"/>
    </w:rPr>
  </w:style>
  <w:style w:type="character" w:customStyle="1" w:styleId="Mention2">
    <w:name w:val="Mention2"/>
    <w:basedOn w:val="DefaultParagraphFont"/>
    <w:uiPriority w:val="99"/>
    <w:unhideWhenUsed/>
    <w:rsid w:val="00464DA2"/>
    <w:rPr>
      <w:color w:val="2B579A"/>
      <w:shd w:val="clear" w:color="auto" w:fill="E1DFDD"/>
    </w:rPr>
  </w:style>
  <w:style w:type="character" w:customStyle="1" w:styleId="UnresolvedMention2">
    <w:name w:val="Unresolved Mention2"/>
    <w:basedOn w:val="DefaultParagraphFont"/>
    <w:uiPriority w:val="99"/>
    <w:semiHidden/>
    <w:unhideWhenUsed/>
    <w:rsid w:val="00464DA2"/>
    <w:rPr>
      <w:color w:val="605E5C"/>
      <w:shd w:val="clear" w:color="auto" w:fill="E1DFDD"/>
    </w:rPr>
  </w:style>
  <w:style w:type="character" w:customStyle="1" w:styleId="UnresolvedMention10000000010">
    <w:name w:val="Unresolved Mention10000000010"/>
    <w:basedOn w:val="DefaultParagraphFont"/>
    <w:uiPriority w:val="99"/>
    <w:unhideWhenUsed/>
    <w:rsid w:val="00FA420C"/>
    <w:rPr>
      <w:color w:val="605E5C"/>
      <w:shd w:val="clear" w:color="auto" w:fill="E1DFDD"/>
    </w:rPr>
  </w:style>
  <w:style w:type="character" w:customStyle="1" w:styleId="Mention100000000000">
    <w:name w:val="Mention100000000000"/>
    <w:uiPriority w:val="99"/>
    <w:unhideWhenUsed/>
    <w:rsid w:val="00FA420C"/>
    <w:rPr>
      <w:color w:val="2B579A"/>
      <w:shd w:val="clear" w:color="auto" w:fill="E1DFDD"/>
    </w:rPr>
  </w:style>
  <w:style w:type="character" w:customStyle="1" w:styleId="Mention3">
    <w:name w:val="Mention3"/>
    <w:basedOn w:val="DefaultParagraphFont"/>
    <w:uiPriority w:val="99"/>
    <w:unhideWhenUsed/>
    <w:rsid w:val="00DE1ADD"/>
    <w:rPr>
      <w:color w:val="2B579A"/>
      <w:shd w:val="clear" w:color="auto" w:fill="E6E6E6"/>
    </w:rPr>
  </w:style>
  <w:style w:type="character" w:customStyle="1" w:styleId="UnresolvedMention3">
    <w:name w:val="Unresolved Mention3"/>
    <w:basedOn w:val="DefaultParagraphFont"/>
    <w:uiPriority w:val="99"/>
    <w:semiHidden/>
    <w:unhideWhenUsed/>
    <w:rsid w:val="00DE1ADD"/>
    <w:rPr>
      <w:color w:val="605E5C"/>
      <w:shd w:val="clear" w:color="auto" w:fill="E1DFDD"/>
    </w:rPr>
  </w:style>
  <w:style w:type="character" w:customStyle="1" w:styleId="Mention4">
    <w:name w:val="Mention4"/>
    <w:basedOn w:val="DefaultParagraphFont"/>
    <w:uiPriority w:val="99"/>
    <w:unhideWhenUsed/>
    <w:rsid w:val="001515BD"/>
    <w:rPr>
      <w:color w:val="2B579A"/>
      <w:shd w:val="clear" w:color="auto" w:fill="E1DFDD"/>
    </w:rPr>
  </w:style>
  <w:style w:type="character" w:customStyle="1" w:styleId="Mention5">
    <w:name w:val="Mention5"/>
    <w:basedOn w:val="DefaultParagraphFont"/>
    <w:uiPriority w:val="99"/>
    <w:unhideWhenUsed/>
    <w:rsid w:val="006107D0"/>
    <w:rPr>
      <w:color w:val="2B579A"/>
      <w:shd w:val="clear" w:color="auto" w:fill="E6E6E6"/>
    </w:rPr>
  </w:style>
  <w:style w:type="character" w:customStyle="1" w:styleId="Mention6">
    <w:name w:val="Mention6"/>
    <w:basedOn w:val="DefaultParagraphFont"/>
    <w:uiPriority w:val="99"/>
    <w:unhideWhenUsed/>
    <w:rPr>
      <w:color w:val="2B579A"/>
      <w:shd w:val="clear" w:color="auto" w:fill="E6E6E6"/>
    </w:rPr>
  </w:style>
  <w:style w:type="character" w:customStyle="1" w:styleId="Mention8">
    <w:name w:val="Mention8"/>
    <w:basedOn w:val="DefaultParagraphFont"/>
    <w:uiPriority w:val="99"/>
    <w:unhideWhenUsed/>
    <w:rsid w:val="000336FF"/>
    <w:rPr>
      <w:color w:val="2B579A"/>
      <w:shd w:val="clear" w:color="auto" w:fill="E1DFDD"/>
    </w:rPr>
  </w:style>
  <w:style w:type="paragraph" w:customStyle="1" w:styleId="P68B1DB1-Navaden70">
    <w:name w:val="P68B1DB1-Navaden70"/>
    <w:basedOn w:val="Normal"/>
    <w:uiPriority w:val="1"/>
    <w:rsid w:val="00D25D85"/>
    <w:pPr>
      <w:jc w:val="both"/>
    </w:pPr>
    <w:rPr>
      <w:rFonts w:asciiTheme="minorHAnsi" w:eastAsiaTheme="minorEastAsia" w:hAnsiTheme="minorHAnsi" w:cstheme="minorBidi"/>
      <w:sz w:val="18"/>
      <w:szCs w:val="18"/>
    </w:rPr>
  </w:style>
  <w:style w:type="character" w:customStyle="1" w:styleId="Mention7">
    <w:name w:val="Mention7"/>
    <w:basedOn w:val="DefaultParagraphFont"/>
    <w:uiPriority w:val="99"/>
    <w:unhideWhenUsed/>
    <w:rsid w:val="00D25D85"/>
    <w:rPr>
      <w:color w:val="2B579A"/>
      <w:shd w:val="clear" w:color="auto" w:fill="E1DFDD"/>
    </w:rPr>
  </w:style>
  <w:style w:type="paragraph" w:customStyle="1" w:styleId="P68B1DB1-Navaden19">
    <w:name w:val="P68B1DB1-Navaden19"/>
    <w:basedOn w:val="Normal"/>
    <w:uiPriority w:val="1"/>
    <w:rsid w:val="00D25D85"/>
    <w:pPr>
      <w:jc w:val="both"/>
    </w:pPr>
    <w:rPr>
      <w:rFonts w:asciiTheme="minorHAnsi" w:eastAsiaTheme="minorEastAsia" w:hAnsiTheme="minorHAnsi" w:cstheme="minorBidi"/>
      <w:color w:val="000000" w:themeColor="text1"/>
      <w:sz w:val="18"/>
      <w:szCs w:val="18"/>
    </w:rPr>
  </w:style>
  <w:style w:type="character" w:customStyle="1" w:styleId="Mention9">
    <w:name w:val="Mention9"/>
    <w:basedOn w:val="DefaultParagraphFont"/>
    <w:uiPriority w:val="99"/>
    <w:unhideWhenUsed/>
    <w:rsid w:val="00242895"/>
    <w:rPr>
      <w:color w:val="2B579A"/>
      <w:shd w:val="clear" w:color="auto" w:fill="E1DFDD"/>
    </w:rPr>
  </w:style>
  <w:style w:type="paragraph" w:customStyle="1" w:styleId="P68B1DB1-Navaden10">
    <w:name w:val="P68B1DB1-Navaden10"/>
    <w:basedOn w:val="Normal"/>
    <w:uiPriority w:val="1"/>
    <w:rsid w:val="00116188"/>
    <w:rPr>
      <w:rFonts w:asciiTheme="minorHAnsi" w:eastAsiaTheme="minorEastAsia" w:hAnsiTheme="minorHAnsi" w:cstheme="minorBidi"/>
      <w:sz w:val="22"/>
    </w:rPr>
  </w:style>
  <w:style w:type="character" w:customStyle="1" w:styleId="UnresolvedMention4">
    <w:name w:val="Unresolved Mention4"/>
    <w:basedOn w:val="DefaultParagraphFont"/>
    <w:uiPriority w:val="99"/>
    <w:semiHidden/>
    <w:unhideWhenUsed/>
    <w:rsid w:val="00385A5A"/>
    <w:rPr>
      <w:color w:val="605E5C"/>
      <w:shd w:val="clear" w:color="auto" w:fill="E1DFDD"/>
    </w:rPr>
  </w:style>
  <w:style w:type="character" w:customStyle="1" w:styleId="Mention11">
    <w:name w:val="Mention11"/>
    <w:basedOn w:val="DefaultParagraphFont"/>
    <w:uiPriority w:val="99"/>
    <w:unhideWhenUsed/>
    <w:rsid w:val="00F3023F"/>
    <w:rPr>
      <w:color w:val="2B579A"/>
      <w:shd w:val="clear" w:color="auto" w:fill="E1DFDD"/>
    </w:rPr>
  </w:style>
  <w:style w:type="character" w:customStyle="1" w:styleId="UnresolvedMention5">
    <w:name w:val="Unresolved Mention5"/>
    <w:basedOn w:val="DefaultParagraphFont"/>
    <w:uiPriority w:val="99"/>
    <w:semiHidden/>
    <w:unhideWhenUsed/>
    <w:rsid w:val="00A60550"/>
    <w:rPr>
      <w:color w:val="605E5C"/>
      <w:shd w:val="clear" w:color="auto" w:fill="E1DFDD"/>
    </w:rPr>
  </w:style>
  <w:style w:type="character" w:customStyle="1" w:styleId="Other1">
    <w:name w:val="Other|1_"/>
    <w:basedOn w:val="DefaultParagraphFont"/>
    <w:link w:val="Other10"/>
    <w:rsid w:val="00A60550"/>
    <w:rPr>
      <w:color w:val="006100"/>
      <w:sz w:val="22"/>
      <w:szCs w:val="22"/>
    </w:rPr>
  </w:style>
  <w:style w:type="paragraph" w:customStyle="1" w:styleId="Other10">
    <w:name w:val="Other|1"/>
    <w:basedOn w:val="Normal"/>
    <w:link w:val="Other1"/>
    <w:rsid w:val="00A60550"/>
    <w:pPr>
      <w:widowControl w:val="0"/>
      <w:spacing w:before="0" w:after="0" w:line="240" w:lineRule="auto"/>
    </w:pPr>
    <w:rPr>
      <w:rFonts w:ascii="Calibri" w:hAnsi="Calibri"/>
      <w:color w:val="006100"/>
      <w:sz w:val="22"/>
    </w:rPr>
  </w:style>
  <w:style w:type="character" w:customStyle="1" w:styleId="Mention">
    <w:name w:val="Mention"/>
    <w:basedOn w:val="DefaultParagraphFont"/>
    <w:uiPriority w:val="99"/>
    <w:unhideWhenUsed/>
    <w:rsid w:val="001D3212"/>
    <w:rPr>
      <w:color w:val="2B579A"/>
      <w:shd w:val="clear" w:color="auto" w:fill="E1DFDD"/>
    </w:rPr>
  </w:style>
  <w:style w:type="paragraph" w:customStyle="1" w:styleId="P68B1DB1-TechnicalBlock1">
    <w:name w:val="P68B1DB1-TechnicalBlock1"/>
    <w:basedOn w:val="TechnicalBlock"/>
    <w:rPr>
      <w:b/>
    </w:rPr>
  </w:style>
  <w:style w:type="paragraph" w:customStyle="1" w:styleId="P68B1DB1-Normal2">
    <w:name w:val="P68B1DB1-Normal2"/>
    <w:basedOn w:val="Normal"/>
    <w:rPr>
      <w:b/>
    </w:rPr>
  </w:style>
  <w:style w:type="paragraph" w:customStyle="1" w:styleId="P68B1DB1-Normal3">
    <w:name w:val="P68B1DB1-Normal3"/>
    <w:basedOn w:val="Normal"/>
    <w:rPr>
      <w:b/>
      <w:smallCaps/>
    </w:rPr>
  </w:style>
  <w:style w:type="paragraph" w:customStyle="1" w:styleId="P68B1DB1-Normal4">
    <w:name w:val="P68B1DB1-Normal4"/>
    <w:basedOn w:val="Normal"/>
    <w:rPr>
      <w:b/>
      <w:u w:val="single"/>
    </w:rPr>
  </w:style>
  <w:style w:type="paragraph" w:customStyle="1" w:styleId="P68B1DB1-Normal5">
    <w:name w:val="P68B1DB1-Normal5"/>
    <w:basedOn w:val="Normal"/>
    <w:rPr>
      <w:u w:val="single"/>
    </w:rPr>
  </w:style>
  <w:style w:type="paragraph" w:customStyle="1" w:styleId="P68B1DB1-Normal6">
    <w:name w:val="P68B1DB1-Normal6"/>
    <w:basedOn w:val="Normal"/>
    <w:rPr>
      <w:b/>
      <w:sz w:val="18"/>
      <w:szCs w:val="18"/>
    </w:rPr>
  </w:style>
  <w:style w:type="paragraph" w:customStyle="1" w:styleId="P68B1DB1-Normal7">
    <w:name w:val="P68B1DB1-Normal7"/>
    <w:basedOn w:val="Normal"/>
    <w:rPr>
      <w:color w:val="006100"/>
      <w:sz w:val="18"/>
      <w:szCs w:val="18"/>
    </w:rPr>
  </w:style>
  <w:style w:type="paragraph" w:customStyle="1" w:styleId="P68B1DB1-Normal8">
    <w:name w:val="P68B1DB1-Normal8"/>
    <w:basedOn w:val="Normal"/>
    <w:rPr>
      <w:rFonts w:eastAsia="Times New Roman"/>
      <w:color w:val="006100"/>
      <w:sz w:val="18"/>
      <w:szCs w:val="18"/>
    </w:rPr>
  </w:style>
  <w:style w:type="paragraph" w:customStyle="1" w:styleId="P68B1DB1-Normal9">
    <w:name w:val="P68B1DB1-Normal9"/>
    <w:basedOn w:val="Normal"/>
    <w:rPr>
      <w:rFonts w:eastAsia="Times New Roman"/>
    </w:rPr>
  </w:style>
  <w:style w:type="paragraph" w:customStyle="1" w:styleId="P68B1DB1-Normal10">
    <w:name w:val="P68B1DB1-Normal10"/>
    <w:basedOn w:val="Normal"/>
    <w:rPr>
      <w:sz w:val="18"/>
      <w:szCs w:val="18"/>
    </w:rPr>
  </w:style>
  <w:style w:type="paragraph" w:customStyle="1" w:styleId="P68B1DB1-Normal11">
    <w:name w:val="P68B1DB1-Normal11"/>
    <w:basedOn w:val="Normal"/>
    <w:rPr>
      <w:color w:val="006100"/>
      <w:sz w:val="18"/>
      <w:szCs w:val="18"/>
    </w:rPr>
  </w:style>
  <w:style w:type="paragraph" w:customStyle="1" w:styleId="P68B1DB1-Normal12">
    <w:name w:val="P68B1DB1-Normal12"/>
    <w:basedOn w:val="Normal"/>
    <w:rPr>
      <w:szCs w:val="24"/>
    </w:rPr>
  </w:style>
  <w:style w:type="paragraph" w:customStyle="1" w:styleId="P68B1DB1-Normal13">
    <w:name w:val="P68B1DB1-Normal13"/>
    <w:basedOn w:val="Normal"/>
    <w:rPr>
      <w:color w:val="000000"/>
    </w:rPr>
  </w:style>
  <w:style w:type="paragraph" w:customStyle="1" w:styleId="P68B1DB1-Normal14">
    <w:name w:val="P68B1DB1-Normal14"/>
    <w:basedOn w:val="Normal"/>
    <w:rPr>
      <w:color w:val="000000"/>
      <w:u w:val="single"/>
    </w:rPr>
  </w:style>
  <w:style w:type="paragraph" w:customStyle="1" w:styleId="P68B1DB1-Normal15">
    <w:name w:val="P68B1DB1-Normal15"/>
    <w:basedOn w:val="Normal"/>
    <w:rPr>
      <w:rFonts w:eastAsia="Times New Roman"/>
      <w:szCs w:val="24"/>
    </w:rPr>
  </w:style>
  <w:style w:type="paragraph" w:customStyle="1" w:styleId="P68B1DB1-Heading116">
    <w:name w:val="P68B1DB1-Heading116"/>
    <w:basedOn w:val="Heading1"/>
    <w:rPr>
      <w:u w:val="single"/>
    </w:rPr>
  </w:style>
  <w:style w:type="paragraph" w:customStyle="1" w:styleId="P68B1DB1-Normal17">
    <w:name w:val="P68B1DB1-Normal17"/>
    <w:basedOn w:val="Normal"/>
    <w:rPr>
      <w:b/>
      <w:sz w:val="22"/>
    </w:rPr>
  </w:style>
  <w:style w:type="paragraph" w:customStyle="1" w:styleId="P68B1DB1-Normal18">
    <w:name w:val="P68B1DB1-Normal18"/>
    <w:basedOn w:val="Normal"/>
    <w:rPr>
      <w:color w:val="006100"/>
      <w:sz w:val="22"/>
    </w:rPr>
  </w:style>
  <w:style w:type="paragraph" w:customStyle="1" w:styleId="P68B1DB1-Normal19">
    <w:name w:val="P68B1DB1-Normal19"/>
    <w:basedOn w:val="Normal"/>
    <w:rPr>
      <w:sz w:val="22"/>
    </w:rPr>
  </w:style>
  <w:style w:type="paragraph" w:customStyle="1" w:styleId="P68B1DB1-Normal20">
    <w:name w:val="P68B1DB1-Normal20"/>
    <w:basedOn w:val="Normal"/>
    <w:rPr>
      <w:b/>
      <w:color w:val="006100"/>
      <w:sz w:val="22"/>
    </w:rPr>
  </w:style>
  <w:style w:type="paragraph" w:customStyle="1" w:styleId="P68B1DB1-Normal21">
    <w:name w:val="P68B1DB1-Normal21"/>
    <w:basedOn w:val="Normal"/>
    <w:rPr>
      <w:rFonts w:eastAsia="Times New Roman"/>
      <w:color w:val="006100"/>
      <w:sz w:val="22"/>
    </w:rPr>
  </w:style>
  <w:style w:type="paragraph" w:customStyle="1" w:styleId="P68B1DB1-Normal22">
    <w:name w:val="P68B1DB1-Normal22"/>
    <w:basedOn w:val="Normal"/>
    <w:rPr>
      <w:color w:val="0061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1218">
      <w:bodyDiv w:val="1"/>
      <w:marLeft w:val="0"/>
      <w:marRight w:val="0"/>
      <w:marTop w:val="0"/>
      <w:marBottom w:val="0"/>
      <w:divBdr>
        <w:top w:val="none" w:sz="0" w:space="0" w:color="auto"/>
        <w:left w:val="none" w:sz="0" w:space="0" w:color="auto"/>
        <w:bottom w:val="none" w:sz="0" w:space="0" w:color="auto"/>
        <w:right w:val="none" w:sz="0" w:space="0" w:color="auto"/>
      </w:divBdr>
    </w:div>
    <w:div w:id="36710877">
      <w:bodyDiv w:val="1"/>
      <w:marLeft w:val="0"/>
      <w:marRight w:val="0"/>
      <w:marTop w:val="0"/>
      <w:marBottom w:val="0"/>
      <w:divBdr>
        <w:top w:val="none" w:sz="0" w:space="0" w:color="auto"/>
        <w:left w:val="none" w:sz="0" w:space="0" w:color="auto"/>
        <w:bottom w:val="none" w:sz="0" w:space="0" w:color="auto"/>
        <w:right w:val="none" w:sz="0" w:space="0" w:color="auto"/>
      </w:divBdr>
    </w:div>
    <w:div w:id="63570576">
      <w:bodyDiv w:val="1"/>
      <w:marLeft w:val="0"/>
      <w:marRight w:val="0"/>
      <w:marTop w:val="0"/>
      <w:marBottom w:val="0"/>
      <w:divBdr>
        <w:top w:val="none" w:sz="0" w:space="0" w:color="auto"/>
        <w:left w:val="none" w:sz="0" w:space="0" w:color="auto"/>
        <w:bottom w:val="none" w:sz="0" w:space="0" w:color="auto"/>
        <w:right w:val="none" w:sz="0" w:space="0" w:color="auto"/>
      </w:divBdr>
    </w:div>
    <w:div w:id="66611868">
      <w:bodyDiv w:val="1"/>
      <w:marLeft w:val="0"/>
      <w:marRight w:val="0"/>
      <w:marTop w:val="0"/>
      <w:marBottom w:val="0"/>
      <w:divBdr>
        <w:top w:val="none" w:sz="0" w:space="0" w:color="auto"/>
        <w:left w:val="none" w:sz="0" w:space="0" w:color="auto"/>
        <w:bottom w:val="none" w:sz="0" w:space="0" w:color="auto"/>
        <w:right w:val="none" w:sz="0" w:space="0" w:color="auto"/>
      </w:divBdr>
      <w:divsChild>
        <w:div w:id="413404041">
          <w:marLeft w:val="0"/>
          <w:marRight w:val="0"/>
          <w:marTop w:val="0"/>
          <w:marBottom w:val="0"/>
          <w:divBdr>
            <w:top w:val="none" w:sz="0" w:space="0" w:color="auto"/>
            <w:left w:val="none" w:sz="0" w:space="0" w:color="auto"/>
            <w:bottom w:val="none" w:sz="0" w:space="0" w:color="auto"/>
            <w:right w:val="none" w:sz="0" w:space="0" w:color="auto"/>
          </w:divBdr>
        </w:div>
      </w:divsChild>
    </w:div>
    <w:div w:id="81337624">
      <w:bodyDiv w:val="1"/>
      <w:marLeft w:val="0"/>
      <w:marRight w:val="0"/>
      <w:marTop w:val="0"/>
      <w:marBottom w:val="0"/>
      <w:divBdr>
        <w:top w:val="none" w:sz="0" w:space="0" w:color="auto"/>
        <w:left w:val="none" w:sz="0" w:space="0" w:color="auto"/>
        <w:bottom w:val="none" w:sz="0" w:space="0" w:color="auto"/>
        <w:right w:val="none" w:sz="0" w:space="0" w:color="auto"/>
      </w:divBdr>
    </w:div>
    <w:div w:id="86271226">
      <w:bodyDiv w:val="1"/>
      <w:marLeft w:val="0"/>
      <w:marRight w:val="0"/>
      <w:marTop w:val="0"/>
      <w:marBottom w:val="0"/>
      <w:divBdr>
        <w:top w:val="none" w:sz="0" w:space="0" w:color="auto"/>
        <w:left w:val="none" w:sz="0" w:space="0" w:color="auto"/>
        <w:bottom w:val="none" w:sz="0" w:space="0" w:color="auto"/>
        <w:right w:val="none" w:sz="0" w:space="0" w:color="auto"/>
      </w:divBdr>
      <w:divsChild>
        <w:div w:id="703754038">
          <w:marLeft w:val="0"/>
          <w:marRight w:val="0"/>
          <w:marTop w:val="0"/>
          <w:marBottom w:val="0"/>
          <w:divBdr>
            <w:top w:val="none" w:sz="0" w:space="0" w:color="auto"/>
            <w:left w:val="none" w:sz="0" w:space="0" w:color="auto"/>
            <w:bottom w:val="none" w:sz="0" w:space="0" w:color="auto"/>
            <w:right w:val="none" w:sz="0" w:space="0" w:color="auto"/>
          </w:divBdr>
        </w:div>
      </w:divsChild>
    </w:div>
    <w:div w:id="148206989">
      <w:bodyDiv w:val="1"/>
      <w:marLeft w:val="0"/>
      <w:marRight w:val="0"/>
      <w:marTop w:val="0"/>
      <w:marBottom w:val="0"/>
      <w:divBdr>
        <w:top w:val="none" w:sz="0" w:space="0" w:color="auto"/>
        <w:left w:val="none" w:sz="0" w:space="0" w:color="auto"/>
        <w:bottom w:val="none" w:sz="0" w:space="0" w:color="auto"/>
        <w:right w:val="none" w:sz="0" w:space="0" w:color="auto"/>
      </w:divBdr>
    </w:div>
    <w:div w:id="160708324">
      <w:bodyDiv w:val="1"/>
      <w:marLeft w:val="0"/>
      <w:marRight w:val="0"/>
      <w:marTop w:val="0"/>
      <w:marBottom w:val="0"/>
      <w:divBdr>
        <w:top w:val="none" w:sz="0" w:space="0" w:color="auto"/>
        <w:left w:val="none" w:sz="0" w:space="0" w:color="auto"/>
        <w:bottom w:val="none" w:sz="0" w:space="0" w:color="auto"/>
        <w:right w:val="none" w:sz="0" w:space="0" w:color="auto"/>
      </w:divBdr>
    </w:div>
    <w:div w:id="169025368">
      <w:bodyDiv w:val="1"/>
      <w:marLeft w:val="0"/>
      <w:marRight w:val="0"/>
      <w:marTop w:val="0"/>
      <w:marBottom w:val="0"/>
      <w:divBdr>
        <w:top w:val="none" w:sz="0" w:space="0" w:color="auto"/>
        <w:left w:val="none" w:sz="0" w:space="0" w:color="auto"/>
        <w:bottom w:val="none" w:sz="0" w:space="0" w:color="auto"/>
        <w:right w:val="none" w:sz="0" w:space="0" w:color="auto"/>
      </w:divBdr>
    </w:div>
    <w:div w:id="236135771">
      <w:bodyDiv w:val="1"/>
      <w:marLeft w:val="0"/>
      <w:marRight w:val="0"/>
      <w:marTop w:val="0"/>
      <w:marBottom w:val="0"/>
      <w:divBdr>
        <w:top w:val="none" w:sz="0" w:space="0" w:color="auto"/>
        <w:left w:val="none" w:sz="0" w:space="0" w:color="auto"/>
        <w:bottom w:val="none" w:sz="0" w:space="0" w:color="auto"/>
        <w:right w:val="none" w:sz="0" w:space="0" w:color="auto"/>
      </w:divBdr>
    </w:div>
    <w:div w:id="282737832">
      <w:bodyDiv w:val="1"/>
      <w:marLeft w:val="0"/>
      <w:marRight w:val="0"/>
      <w:marTop w:val="0"/>
      <w:marBottom w:val="0"/>
      <w:divBdr>
        <w:top w:val="none" w:sz="0" w:space="0" w:color="auto"/>
        <w:left w:val="none" w:sz="0" w:space="0" w:color="auto"/>
        <w:bottom w:val="none" w:sz="0" w:space="0" w:color="auto"/>
        <w:right w:val="none" w:sz="0" w:space="0" w:color="auto"/>
      </w:divBdr>
    </w:div>
    <w:div w:id="283853319">
      <w:bodyDiv w:val="1"/>
      <w:marLeft w:val="0"/>
      <w:marRight w:val="0"/>
      <w:marTop w:val="0"/>
      <w:marBottom w:val="0"/>
      <w:divBdr>
        <w:top w:val="none" w:sz="0" w:space="0" w:color="auto"/>
        <w:left w:val="none" w:sz="0" w:space="0" w:color="auto"/>
        <w:bottom w:val="none" w:sz="0" w:space="0" w:color="auto"/>
        <w:right w:val="none" w:sz="0" w:space="0" w:color="auto"/>
      </w:divBdr>
    </w:div>
    <w:div w:id="291177317">
      <w:bodyDiv w:val="1"/>
      <w:marLeft w:val="0"/>
      <w:marRight w:val="0"/>
      <w:marTop w:val="0"/>
      <w:marBottom w:val="0"/>
      <w:divBdr>
        <w:top w:val="none" w:sz="0" w:space="0" w:color="auto"/>
        <w:left w:val="none" w:sz="0" w:space="0" w:color="auto"/>
        <w:bottom w:val="none" w:sz="0" w:space="0" w:color="auto"/>
        <w:right w:val="none" w:sz="0" w:space="0" w:color="auto"/>
      </w:divBdr>
    </w:div>
    <w:div w:id="314144316">
      <w:bodyDiv w:val="1"/>
      <w:marLeft w:val="0"/>
      <w:marRight w:val="0"/>
      <w:marTop w:val="0"/>
      <w:marBottom w:val="0"/>
      <w:divBdr>
        <w:top w:val="none" w:sz="0" w:space="0" w:color="auto"/>
        <w:left w:val="none" w:sz="0" w:space="0" w:color="auto"/>
        <w:bottom w:val="none" w:sz="0" w:space="0" w:color="auto"/>
        <w:right w:val="none" w:sz="0" w:space="0" w:color="auto"/>
      </w:divBdr>
    </w:div>
    <w:div w:id="351348658">
      <w:bodyDiv w:val="1"/>
      <w:marLeft w:val="0"/>
      <w:marRight w:val="0"/>
      <w:marTop w:val="0"/>
      <w:marBottom w:val="0"/>
      <w:divBdr>
        <w:top w:val="none" w:sz="0" w:space="0" w:color="auto"/>
        <w:left w:val="none" w:sz="0" w:space="0" w:color="auto"/>
        <w:bottom w:val="none" w:sz="0" w:space="0" w:color="auto"/>
        <w:right w:val="none" w:sz="0" w:space="0" w:color="auto"/>
      </w:divBdr>
      <w:divsChild>
        <w:div w:id="621111534">
          <w:marLeft w:val="0"/>
          <w:marRight w:val="0"/>
          <w:marTop w:val="0"/>
          <w:marBottom w:val="0"/>
          <w:divBdr>
            <w:top w:val="none" w:sz="0" w:space="0" w:color="auto"/>
            <w:left w:val="none" w:sz="0" w:space="0" w:color="auto"/>
            <w:bottom w:val="none" w:sz="0" w:space="0" w:color="auto"/>
            <w:right w:val="none" w:sz="0" w:space="0" w:color="auto"/>
          </w:divBdr>
        </w:div>
      </w:divsChild>
    </w:div>
    <w:div w:id="386494295">
      <w:bodyDiv w:val="1"/>
      <w:marLeft w:val="0"/>
      <w:marRight w:val="0"/>
      <w:marTop w:val="0"/>
      <w:marBottom w:val="0"/>
      <w:divBdr>
        <w:top w:val="none" w:sz="0" w:space="0" w:color="auto"/>
        <w:left w:val="none" w:sz="0" w:space="0" w:color="auto"/>
        <w:bottom w:val="none" w:sz="0" w:space="0" w:color="auto"/>
        <w:right w:val="none" w:sz="0" w:space="0" w:color="auto"/>
      </w:divBdr>
    </w:div>
    <w:div w:id="425613443">
      <w:bodyDiv w:val="1"/>
      <w:marLeft w:val="0"/>
      <w:marRight w:val="0"/>
      <w:marTop w:val="0"/>
      <w:marBottom w:val="0"/>
      <w:divBdr>
        <w:top w:val="none" w:sz="0" w:space="0" w:color="auto"/>
        <w:left w:val="none" w:sz="0" w:space="0" w:color="auto"/>
        <w:bottom w:val="none" w:sz="0" w:space="0" w:color="auto"/>
        <w:right w:val="none" w:sz="0" w:space="0" w:color="auto"/>
      </w:divBdr>
    </w:div>
    <w:div w:id="448201449">
      <w:bodyDiv w:val="1"/>
      <w:marLeft w:val="0"/>
      <w:marRight w:val="0"/>
      <w:marTop w:val="0"/>
      <w:marBottom w:val="0"/>
      <w:divBdr>
        <w:top w:val="none" w:sz="0" w:space="0" w:color="auto"/>
        <w:left w:val="none" w:sz="0" w:space="0" w:color="auto"/>
        <w:bottom w:val="none" w:sz="0" w:space="0" w:color="auto"/>
        <w:right w:val="none" w:sz="0" w:space="0" w:color="auto"/>
      </w:divBdr>
    </w:div>
    <w:div w:id="503907026">
      <w:bodyDiv w:val="1"/>
      <w:marLeft w:val="0"/>
      <w:marRight w:val="0"/>
      <w:marTop w:val="0"/>
      <w:marBottom w:val="0"/>
      <w:divBdr>
        <w:top w:val="none" w:sz="0" w:space="0" w:color="auto"/>
        <w:left w:val="none" w:sz="0" w:space="0" w:color="auto"/>
        <w:bottom w:val="none" w:sz="0" w:space="0" w:color="auto"/>
        <w:right w:val="none" w:sz="0" w:space="0" w:color="auto"/>
      </w:divBdr>
    </w:div>
    <w:div w:id="534391417">
      <w:bodyDiv w:val="1"/>
      <w:marLeft w:val="0"/>
      <w:marRight w:val="0"/>
      <w:marTop w:val="0"/>
      <w:marBottom w:val="0"/>
      <w:divBdr>
        <w:top w:val="none" w:sz="0" w:space="0" w:color="auto"/>
        <w:left w:val="none" w:sz="0" w:space="0" w:color="auto"/>
        <w:bottom w:val="none" w:sz="0" w:space="0" w:color="auto"/>
        <w:right w:val="none" w:sz="0" w:space="0" w:color="auto"/>
      </w:divBdr>
    </w:div>
    <w:div w:id="557476108">
      <w:bodyDiv w:val="1"/>
      <w:marLeft w:val="0"/>
      <w:marRight w:val="0"/>
      <w:marTop w:val="0"/>
      <w:marBottom w:val="0"/>
      <w:divBdr>
        <w:top w:val="none" w:sz="0" w:space="0" w:color="auto"/>
        <w:left w:val="none" w:sz="0" w:space="0" w:color="auto"/>
        <w:bottom w:val="none" w:sz="0" w:space="0" w:color="auto"/>
        <w:right w:val="none" w:sz="0" w:space="0" w:color="auto"/>
      </w:divBdr>
    </w:div>
    <w:div w:id="582109656">
      <w:bodyDiv w:val="1"/>
      <w:marLeft w:val="0"/>
      <w:marRight w:val="0"/>
      <w:marTop w:val="0"/>
      <w:marBottom w:val="0"/>
      <w:divBdr>
        <w:top w:val="none" w:sz="0" w:space="0" w:color="auto"/>
        <w:left w:val="none" w:sz="0" w:space="0" w:color="auto"/>
        <w:bottom w:val="none" w:sz="0" w:space="0" w:color="auto"/>
        <w:right w:val="none" w:sz="0" w:space="0" w:color="auto"/>
      </w:divBdr>
    </w:div>
    <w:div w:id="637299384">
      <w:bodyDiv w:val="1"/>
      <w:marLeft w:val="0"/>
      <w:marRight w:val="0"/>
      <w:marTop w:val="0"/>
      <w:marBottom w:val="0"/>
      <w:divBdr>
        <w:top w:val="none" w:sz="0" w:space="0" w:color="auto"/>
        <w:left w:val="none" w:sz="0" w:space="0" w:color="auto"/>
        <w:bottom w:val="none" w:sz="0" w:space="0" w:color="auto"/>
        <w:right w:val="none" w:sz="0" w:space="0" w:color="auto"/>
      </w:divBdr>
    </w:div>
    <w:div w:id="661660529">
      <w:bodyDiv w:val="1"/>
      <w:marLeft w:val="0"/>
      <w:marRight w:val="0"/>
      <w:marTop w:val="0"/>
      <w:marBottom w:val="0"/>
      <w:divBdr>
        <w:top w:val="none" w:sz="0" w:space="0" w:color="auto"/>
        <w:left w:val="none" w:sz="0" w:space="0" w:color="auto"/>
        <w:bottom w:val="none" w:sz="0" w:space="0" w:color="auto"/>
        <w:right w:val="none" w:sz="0" w:space="0" w:color="auto"/>
      </w:divBdr>
    </w:div>
    <w:div w:id="683631020">
      <w:bodyDiv w:val="1"/>
      <w:marLeft w:val="0"/>
      <w:marRight w:val="0"/>
      <w:marTop w:val="0"/>
      <w:marBottom w:val="0"/>
      <w:divBdr>
        <w:top w:val="none" w:sz="0" w:space="0" w:color="auto"/>
        <w:left w:val="none" w:sz="0" w:space="0" w:color="auto"/>
        <w:bottom w:val="none" w:sz="0" w:space="0" w:color="auto"/>
        <w:right w:val="none" w:sz="0" w:space="0" w:color="auto"/>
      </w:divBdr>
    </w:div>
    <w:div w:id="718745408">
      <w:bodyDiv w:val="1"/>
      <w:marLeft w:val="0"/>
      <w:marRight w:val="0"/>
      <w:marTop w:val="0"/>
      <w:marBottom w:val="0"/>
      <w:divBdr>
        <w:top w:val="none" w:sz="0" w:space="0" w:color="auto"/>
        <w:left w:val="none" w:sz="0" w:space="0" w:color="auto"/>
        <w:bottom w:val="none" w:sz="0" w:space="0" w:color="auto"/>
        <w:right w:val="none" w:sz="0" w:space="0" w:color="auto"/>
      </w:divBdr>
    </w:div>
    <w:div w:id="731194123">
      <w:bodyDiv w:val="1"/>
      <w:marLeft w:val="0"/>
      <w:marRight w:val="0"/>
      <w:marTop w:val="0"/>
      <w:marBottom w:val="0"/>
      <w:divBdr>
        <w:top w:val="none" w:sz="0" w:space="0" w:color="auto"/>
        <w:left w:val="none" w:sz="0" w:space="0" w:color="auto"/>
        <w:bottom w:val="none" w:sz="0" w:space="0" w:color="auto"/>
        <w:right w:val="none" w:sz="0" w:space="0" w:color="auto"/>
      </w:divBdr>
    </w:div>
    <w:div w:id="748038965">
      <w:bodyDiv w:val="1"/>
      <w:marLeft w:val="0"/>
      <w:marRight w:val="0"/>
      <w:marTop w:val="0"/>
      <w:marBottom w:val="0"/>
      <w:divBdr>
        <w:top w:val="none" w:sz="0" w:space="0" w:color="auto"/>
        <w:left w:val="none" w:sz="0" w:space="0" w:color="auto"/>
        <w:bottom w:val="none" w:sz="0" w:space="0" w:color="auto"/>
        <w:right w:val="none" w:sz="0" w:space="0" w:color="auto"/>
      </w:divBdr>
    </w:div>
    <w:div w:id="766735540">
      <w:bodyDiv w:val="1"/>
      <w:marLeft w:val="0"/>
      <w:marRight w:val="0"/>
      <w:marTop w:val="0"/>
      <w:marBottom w:val="0"/>
      <w:divBdr>
        <w:top w:val="none" w:sz="0" w:space="0" w:color="auto"/>
        <w:left w:val="none" w:sz="0" w:space="0" w:color="auto"/>
        <w:bottom w:val="none" w:sz="0" w:space="0" w:color="auto"/>
        <w:right w:val="none" w:sz="0" w:space="0" w:color="auto"/>
      </w:divBdr>
      <w:divsChild>
        <w:div w:id="1379473748">
          <w:marLeft w:val="0"/>
          <w:marRight w:val="0"/>
          <w:marTop w:val="0"/>
          <w:marBottom w:val="0"/>
          <w:divBdr>
            <w:top w:val="none" w:sz="0" w:space="0" w:color="auto"/>
            <w:left w:val="none" w:sz="0" w:space="0" w:color="auto"/>
            <w:bottom w:val="none" w:sz="0" w:space="0" w:color="auto"/>
            <w:right w:val="none" w:sz="0" w:space="0" w:color="auto"/>
          </w:divBdr>
        </w:div>
      </w:divsChild>
    </w:div>
    <w:div w:id="782501371">
      <w:bodyDiv w:val="1"/>
      <w:marLeft w:val="0"/>
      <w:marRight w:val="0"/>
      <w:marTop w:val="0"/>
      <w:marBottom w:val="0"/>
      <w:divBdr>
        <w:top w:val="none" w:sz="0" w:space="0" w:color="auto"/>
        <w:left w:val="none" w:sz="0" w:space="0" w:color="auto"/>
        <w:bottom w:val="none" w:sz="0" w:space="0" w:color="auto"/>
        <w:right w:val="none" w:sz="0" w:space="0" w:color="auto"/>
      </w:divBdr>
    </w:div>
    <w:div w:id="835918901">
      <w:bodyDiv w:val="1"/>
      <w:marLeft w:val="0"/>
      <w:marRight w:val="0"/>
      <w:marTop w:val="0"/>
      <w:marBottom w:val="0"/>
      <w:divBdr>
        <w:top w:val="none" w:sz="0" w:space="0" w:color="auto"/>
        <w:left w:val="none" w:sz="0" w:space="0" w:color="auto"/>
        <w:bottom w:val="none" w:sz="0" w:space="0" w:color="auto"/>
        <w:right w:val="none" w:sz="0" w:space="0" w:color="auto"/>
      </w:divBdr>
      <w:divsChild>
        <w:div w:id="1498231212">
          <w:marLeft w:val="0"/>
          <w:marRight w:val="0"/>
          <w:marTop w:val="0"/>
          <w:marBottom w:val="0"/>
          <w:divBdr>
            <w:top w:val="none" w:sz="0" w:space="0" w:color="auto"/>
            <w:left w:val="none" w:sz="0" w:space="0" w:color="auto"/>
            <w:bottom w:val="none" w:sz="0" w:space="0" w:color="auto"/>
            <w:right w:val="none" w:sz="0" w:space="0" w:color="auto"/>
          </w:divBdr>
        </w:div>
      </w:divsChild>
    </w:div>
    <w:div w:id="852379786">
      <w:bodyDiv w:val="1"/>
      <w:marLeft w:val="0"/>
      <w:marRight w:val="0"/>
      <w:marTop w:val="0"/>
      <w:marBottom w:val="0"/>
      <w:divBdr>
        <w:top w:val="none" w:sz="0" w:space="0" w:color="auto"/>
        <w:left w:val="none" w:sz="0" w:space="0" w:color="auto"/>
        <w:bottom w:val="none" w:sz="0" w:space="0" w:color="auto"/>
        <w:right w:val="none" w:sz="0" w:space="0" w:color="auto"/>
      </w:divBdr>
    </w:div>
    <w:div w:id="867641990">
      <w:bodyDiv w:val="1"/>
      <w:marLeft w:val="0"/>
      <w:marRight w:val="0"/>
      <w:marTop w:val="0"/>
      <w:marBottom w:val="0"/>
      <w:divBdr>
        <w:top w:val="none" w:sz="0" w:space="0" w:color="auto"/>
        <w:left w:val="none" w:sz="0" w:space="0" w:color="auto"/>
        <w:bottom w:val="none" w:sz="0" w:space="0" w:color="auto"/>
        <w:right w:val="none" w:sz="0" w:space="0" w:color="auto"/>
      </w:divBdr>
    </w:div>
    <w:div w:id="952395775">
      <w:bodyDiv w:val="1"/>
      <w:marLeft w:val="0"/>
      <w:marRight w:val="0"/>
      <w:marTop w:val="0"/>
      <w:marBottom w:val="0"/>
      <w:divBdr>
        <w:top w:val="none" w:sz="0" w:space="0" w:color="auto"/>
        <w:left w:val="none" w:sz="0" w:space="0" w:color="auto"/>
        <w:bottom w:val="none" w:sz="0" w:space="0" w:color="auto"/>
        <w:right w:val="none" w:sz="0" w:space="0" w:color="auto"/>
      </w:divBdr>
    </w:div>
    <w:div w:id="1002776570">
      <w:bodyDiv w:val="1"/>
      <w:marLeft w:val="0"/>
      <w:marRight w:val="0"/>
      <w:marTop w:val="0"/>
      <w:marBottom w:val="0"/>
      <w:divBdr>
        <w:top w:val="none" w:sz="0" w:space="0" w:color="auto"/>
        <w:left w:val="none" w:sz="0" w:space="0" w:color="auto"/>
        <w:bottom w:val="none" w:sz="0" w:space="0" w:color="auto"/>
        <w:right w:val="none" w:sz="0" w:space="0" w:color="auto"/>
      </w:divBdr>
      <w:divsChild>
        <w:div w:id="693650008">
          <w:marLeft w:val="0"/>
          <w:marRight w:val="0"/>
          <w:marTop w:val="0"/>
          <w:marBottom w:val="0"/>
          <w:divBdr>
            <w:top w:val="none" w:sz="0" w:space="0" w:color="auto"/>
            <w:left w:val="none" w:sz="0" w:space="0" w:color="auto"/>
            <w:bottom w:val="none" w:sz="0" w:space="0" w:color="auto"/>
            <w:right w:val="none" w:sz="0" w:space="0" w:color="auto"/>
          </w:divBdr>
        </w:div>
      </w:divsChild>
    </w:div>
    <w:div w:id="1014307313">
      <w:bodyDiv w:val="1"/>
      <w:marLeft w:val="0"/>
      <w:marRight w:val="0"/>
      <w:marTop w:val="0"/>
      <w:marBottom w:val="0"/>
      <w:divBdr>
        <w:top w:val="none" w:sz="0" w:space="0" w:color="auto"/>
        <w:left w:val="none" w:sz="0" w:space="0" w:color="auto"/>
        <w:bottom w:val="none" w:sz="0" w:space="0" w:color="auto"/>
        <w:right w:val="none" w:sz="0" w:space="0" w:color="auto"/>
      </w:divBdr>
    </w:div>
    <w:div w:id="1042364207">
      <w:bodyDiv w:val="1"/>
      <w:marLeft w:val="0"/>
      <w:marRight w:val="0"/>
      <w:marTop w:val="0"/>
      <w:marBottom w:val="0"/>
      <w:divBdr>
        <w:top w:val="none" w:sz="0" w:space="0" w:color="auto"/>
        <w:left w:val="none" w:sz="0" w:space="0" w:color="auto"/>
        <w:bottom w:val="none" w:sz="0" w:space="0" w:color="auto"/>
        <w:right w:val="none" w:sz="0" w:space="0" w:color="auto"/>
      </w:divBdr>
      <w:divsChild>
        <w:div w:id="1927423447">
          <w:marLeft w:val="0"/>
          <w:marRight w:val="0"/>
          <w:marTop w:val="0"/>
          <w:marBottom w:val="0"/>
          <w:divBdr>
            <w:top w:val="none" w:sz="0" w:space="0" w:color="auto"/>
            <w:left w:val="none" w:sz="0" w:space="0" w:color="auto"/>
            <w:bottom w:val="none" w:sz="0" w:space="0" w:color="auto"/>
            <w:right w:val="none" w:sz="0" w:space="0" w:color="auto"/>
          </w:divBdr>
        </w:div>
      </w:divsChild>
    </w:div>
    <w:div w:id="1047530816">
      <w:bodyDiv w:val="1"/>
      <w:marLeft w:val="0"/>
      <w:marRight w:val="0"/>
      <w:marTop w:val="0"/>
      <w:marBottom w:val="0"/>
      <w:divBdr>
        <w:top w:val="none" w:sz="0" w:space="0" w:color="auto"/>
        <w:left w:val="none" w:sz="0" w:space="0" w:color="auto"/>
        <w:bottom w:val="none" w:sz="0" w:space="0" w:color="auto"/>
        <w:right w:val="none" w:sz="0" w:space="0" w:color="auto"/>
      </w:divBdr>
    </w:div>
    <w:div w:id="1057583895">
      <w:bodyDiv w:val="1"/>
      <w:marLeft w:val="0"/>
      <w:marRight w:val="0"/>
      <w:marTop w:val="0"/>
      <w:marBottom w:val="0"/>
      <w:divBdr>
        <w:top w:val="none" w:sz="0" w:space="0" w:color="auto"/>
        <w:left w:val="none" w:sz="0" w:space="0" w:color="auto"/>
        <w:bottom w:val="none" w:sz="0" w:space="0" w:color="auto"/>
        <w:right w:val="none" w:sz="0" w:space="0" w:color="auto"/>
      </w:divBdr>
    </w:div>
    <w:div w:id="1062555895">
      <w:bodyDiv w:val="1"/>
      <w:marLeft w:val="0"/>
      <w:marRight w:val="0"/>
      <w:marTop w:val="0"/>
      <w:marBottom w:val="0"/>
      <w:divBdr>
        <w:top w:val="none" w:sz="0" w:space="0" w:color="auto"/>
        <w:left w:val="none" w:sz="0" w:space="0" w:color="auto"/>
        <w:bottom w:val="none" w:sz="0" w:space="0" w:color="auto"/>
        <w:right w:val="none" w:sz="0" w:space="0" w:color="auto"/>
      </w:divBdr>
    </w:div>
    <w:div w:id="1111241905">
      <w:bodyDiv w:val="1"/>
      <w:marLeft w:val="0"/>
      <w:marRight w:val="0"/>
      <w:marTop w:val="0"/>
      <w:marBottom w:val="0"/>
      <w:divBdr>
        <w:top w:val="none" w:sz="0" w:space="0" w:color="auto"/>
        <w:left w:val="none" w:sz="0" w:space="0" w:color="auto"/>
        <w:bottom w:val="none" w:sz="0" w:space="0" w:color="auto"/>
        <w:right w:val="none" w:sz="0" w:space="0" w:color="auto"/>
      </w:divBdr>
    </w:div>
    <w:div w:id="1143279844">
      <w:bodyDiv w:val="1"/>
      <w:marLeft w:val="0"/>
      <w:marRight w:val="0"/>
      <w:marTop w:val="0"/>
      <w:marBottom w:val="0"/>
      <w:divBdr>
        <w:top w:val="none" w:sz="0" w:space="0" w:color="auto"/>
        <w:left w:val="none" w:sz="0" w:space="0" w:color="auto"/>
        <w:bottom w:val="none" w:sz="0" w:space="0" w:color="auto"/>
        <w:right w:val="none" w:sz="0" w:space="0" w:color="auto"/>
      </w:divBdr>
    </w:div>
    <w:div w:id="1178690065">
      <w:bodyDiv w:val="1"/>
      <w:marLeft w:val="0"/>
      <w:marRight w:val="0"/>
      <w:marTop w:val="0"/>
      <w:marBottom w:val="0"/>
      <w:divBdr>
        <w:top w:val="none" w:sz="0" w:space="0" w:color="auto"/>
        <w:left w:val="none" w:sz="0" w:space="0" w:color="auto"/>
        <w:bottom w:val="none" w:sz="0" w:space="0" w:color="auto"/>
        <w:right w:val="none" w:sz="0" w:space="0" w:color="auto"/>
      </w:divBdr>
      <w:divsChild>
        <w:div w:id="1722485245">
          <w:marLeft w:val="0"/>
          <w:marRight w:val="0"/>
          <w:marTop w:val="0"/>
          <w:marBottom w:val="0"/>
          <w:divBdr>
            <w:top w:val="none" w:sz="0" w:space="0" w:color="auto"/>
            <w:left w:val="none" w:sz="0" w:space="0" w:color="auto"/>
            <w:bottom w:val="none" w:sz="0" w:space="0" w:color="auto"/>
            <w:right w:val="none" w:sz="0" w:space="0" w:color="auto"/>
          </w:divBdr>
        </w:div>
      </w:divsChild>
    </w:div>
    <w:div w:id="1191991933">
      <w:bodyDiv w:val="1"/>
      <w:marLeft w:val="0"/>
      <w:marRight w:val="0"/>
      <w:marTop w:val="0"/>
      <w:marBottom w:val="0"/>
      <w:divBdr>
        <w:top w:val="none" w:sz="0" w:space="0" w:color="auto"/>
        <w:left w:val="none" w:sz="0" w:space="0" w:color="auto"/>
        <w:bottom w:val="none" w:sz="0" w:space="0" w:color="auto"/>
        <w:right w:val="none" w:sz="0" w:space="0" w:color="auto"/>
      </w:divBdr>
    </w:div>
    <w:div w:id="1206715993">
      <w:bodyDiv w:val="1"/>
      <w:marLeft w:val="0"/>
      <w:marRight w:val="0"/>
      <w:marTop w:val="0"/>
      <w:marBottom w:val="0"/>
      <w:divBdr>
        <w:top w:val="none" w:sz="0" w:space="0" w:color="auto"/>
        <w:left w:val="none" w:sz="0" w:space="0" w:color="auto"/>
        <w:bottom w:val="none" w:sz="0" w:space="0" w:color="auto"/>
        <w:right w:val="none" w:sz="0" w:space="0" w:color="auto"/>
      </w:divBdr>
    </w:div>
    <w:div w:id="1216115842">
      <w:bodyDiv w:val="1"/>
      <w:marLeft w:val="0"/>
      <w:marRight w:val="0"/>
      <w:marTop w:val="0"/>
      <w:marBottom w:val="0"/>
      <w:divBdr>
        <w:top w:val="none" w:sz="0" w:space="0" w:color="auto"/>
        <w:left w:val="none" w:sz="0" w:space="0" w:color="auto"/>
        <w:bottom w:val="none" w:sz="0" w:space="0" w:color="auto"/>
        <w:right w:val="none" w:sz="0" w:space="0" w:color="auto"/>
      </w:divBdr>
    </w:div>
    <w:div w:id="1216160645">
      <w:bodyDiv w:val="1"/>
      <w:marLeft w:val="0"/>
      <w:marRight w:val="0"/>
      <w:marTop w:val="0"/>
      <w:marBottom w:val="0"/>
      <w:divBdr>
        <w:top w:val="none" w:sz="0" w:space="0" w:color="auto"/>
        <w:left w:val="none" w:sz="0" w:space="0" w:color="auto"/>
        <w:bottom w:val="none" w:sz="0" w:space="0" w:color="auto"/>
        <w:right w:val="none" w:sz="0" w:space="0" w:color="auto"/>
      </w:divBdr>
    </w:div>
    <w:div w:id="1221482804">
      <w:bodyDiv w:val="1"/>
      <w:marLeft w:val="0"/>
      <w:marRight w:val="0"/>
      <w:marTop w:val="0"/>
      <w:marBottom w:val="0"/>
      <w:divBdr>
        <w:top w:val="none" w:sz="0" w:space="0" w:color="auto"/>
        <w:left w:val="none" w:sz="0" w:space="0" w:color="auto"/>
        <w:bottom w:val="none" w:sz="0" w:space="0" w:color="auto"/>
        <w:right w:val="none" w:sz="0" w:space="0" w:color="auto"/>
      </w:divBdr>
    </w:div>
    <w:div w:id="1222862027">
      <w:bodyDiv w:val="1"/>
      <w:marLeft w:val="0"/>
      <w:marRight w:val="0"/>
      <w:marTop w:val="0"/>
      <w:marBottom w:val="0"/>
      <w:divBdr>
        <w:top w:val="none" w:sz="0" w:space="0" w:color="auto"/>
        <w:left w:val="none" w:sz="0" w:space="0" w:color="auto"/>
        <w:bottom w:val="none" w:sz="0" w:space="0" w:color="auto"/>
        <w:right w:val="none" w:sz="0" w:space="0" w:color="auto"/>
      </w:divBdr>
      <w:divsChild>
        <w:div w:id="1698117294">
          <w:marLeft w:val="0"/>
          <w:marRight w:val="0"/>
          <w:marTop w:val="0"/>
          <w:marBottom w:val="0"/>
          <w:divBdr>
            <w:top w:val="none" w:sz="0" w:space="0" w:color="auto"/>
            <w:left w:val="none" w:sz="0" w:space="0" w:color="auto"/>
            <w:bottom w:val="none" w:sz="0" w:space="0" w:color="auto"/>
            <w:right w:val="none" w:sz="0" w:space="0" w:color="auto"/>
          </w:divBdr>
        </w:div>
      </w:divsChild>
    </w:div>
    <w:div w:id="1258829313">
      <w:bodyDiv w:val="1"/>
      <w:marLeft w:val="0"/>
      <w:marRight w:val="0"/>
      <w:marTop w:val="0"/>
      <w:marBottom w:val="0"/>
      <w:divBdr>
        <w:top w:val="none" w:sz="0" w:space="0" w:color="auto"/>
        <w:left w:val="none" w:sz="0" w:space="0" w:color="auto"/>
        <w:bottom w:val="none" w:sz="0" w:space="0" w:color="auto"/>
        <w:right w:val="none" w:sz="0" w:space="0" w:color="auto"/>
      </w:divBdr>
    </w:div>
    <w:div w:id="1282613152">
      <w:bodyDiv w:val="1"/>
      <w:marLeft w:val="0"/>
      <w:marRight w:val="0"/>
      <w:marTop w:val="0"/>
      <w:marBottom w:val="0"/>
      <w:divBdr>
        <w:top w:val="none" w:sz="0" w:space="0" w:color="auto"/>
        <w:left w:val="none" w:sz="0" w:space="0" w:color="auto"/>
        <w:bottom w:val="none" w:sz="0" w:space="0" w:color="auto"/>
        <w:right w:val="none" w:sz="0" w:space="0" w:color="auto"/>
      </w:divBdr>
      <w:divsChild>
        <w:div w:id="685132647">
          <w:marLeft w:val="0"/>
          <w:marRight w:val="0"/>
          <w:marTop w:val="0"/>
          <w:marBottom w:val="0"/>
          <w:divBdr>
            <w:top w:val="none" w:sz="0" w:space="0" w:color="auto"/>
            <w:left w:val="none" w:sz="0" w:space="0" w:color="auto"/>
            <w:bottom w:val="none" w:sz="0" w:space="0" w:color="auto"/>
            <w:right w:val="none" w:sz="0" w:space="0" w:color="auto"/>
          </w:divBdr>
        </w:div>
      </w:divsChild>
    </w:div>
    <w:div w:id="1318798216">
      <w:bodyDiv w:val="1"/>
      <w:marLeft w:val="0"/>
      <w:marRight w:val="0"/>
      <w:marTop w:val="0"/>
      <w:marBottom w:val="0"/>
      <w:divBdr>
        <w:top w:val="none" w:sz="0" w:space="0" w:color="auto"/>
        <w:left w:val="none" w:sz="0" w:space="0" w:color="auto"/>
        <w:bottom w:val="none" w:sz="0" w:space="0" w:color="auto"/>
        <w:right w:val="none" w:sz="0" w:space="0" w:color="auto"/>
      </w:divBdr>
    </w:div>
    <w:div w:id="1351374048">
      <w:bodyDiv w:val="1"/>
      <w:marLeft w:val="0"/>
      <w:marRight w:val="0"/>
      <w:marTop w:val="0"/>
      <w:marBottom w:val="0"/>
      <w:divBdr>
        <w:top w:val="none" w:sz="0" w:space="0" w:color="auto"/>
        <w:left w:val="none" w:sz="0" w:space="0" w:color="auto"/>
        <w:bottom w:val="none" w:sz="0" w:space="0" w:color="auto"/>
        <w:right w:val="none" w:sz="0" w:space="0" w:color="auto"/>
      </w:divBdr>
    </w:div>
    <w:div w:id="1389189783">
      <w:bodyDiv w:val="1"/>
      <w:marLeft w:val="0"/>
      <w:marRight w:val="0"/>
      <w:marTop w:val="0"/>
      <w:marBottom w:val="0"/>
      <w:divBdr>
        <w:top w:val="none" w:sz="0" w:space="0" w:color="auto"/>
        <w:left w:val="none" w:sz="0" w:space="0" w:color="auto"/>
        <w:bottom w:val="none" w:sz="0" w:space="0" w:color="auto"/>
        <w:right w:val="none" w:sz="0" w:space="0" w:color="auto"/>
      </w:divBdr>
    </w:div>
    <w:div w:id="1392388342">
      <w:bodyDiv w:val="1"/>
      <w:marLeft w:val="0"/>
      <w:marRight w:val="0"/>
      <w:marTop w:val="0"/>
      <w:marBottom w:val="0"/>
      <w:divBdr>
        <w:top w:val="none" w:sz="0" w:space="0" w:color="auto"/>
        <w:left w:val="none" w:sz="0" w:space="0" w:color="auto"/>
        <w:bottom w:val="none" w:sz="0" w:space="0" w:color="auto"/>
        <w:right w:val="none" w:sz="0" w:space="0" w:color="auto"/>
      </w:divBdr>
    </w:div>
    <w:div w:id="1428619982">
      <w:bodyDiv w:val="1"/>
      <w:marLeft w:val="0"/>
      <w:marRight w:val="0"/>
      <w:marTop w:val="0"/>
      <w:marBottom w:val="0"/>
      <w:divBdr>
        <w:top w:val="none" w:sz="0" w:space="0" w:color="auto"/>
        <w:left w:val="none" w:sz="0" w:space="0" w:color="auto"/>
        <w:bottom w:val="none" w:sz="0" w:space="0" w:color="auto"/>
        <w:right w:val="none" w:sz="0" w:space="0" w:color="auto"/>
      </w:divBdr>
    </w:div>
    <w:div w:id="1445005556">
      <w:bodyDiv w:val="1"/>
      <w:marLeft w:val="0"/>
      <w:marRight w:val="0"/>
      <w:marTop w:val="0"/>
      <w:marBottom w:val="0"/>
      <w:divBdr>
        <w:top w:val="none" w:sz="0" w:space="0" w:color="auto"/>
        <w:left w:val="none" w:sz="0" w:space="0" w:color="auto"/>
        <w:bottom w:val="none" w:sz="0" w:space="0" w:color="auto"/>
        <w:right w:val="none" w:sz="0" w:space="0" w:color="auto"/>
      </w:divBdr>
      <w:divsChild>
        <w:div w:id="979502309">
          <w:marLeft w:val="0"/>
          <w:marRight w:val="0"/>
          <w:marTop w:val="0"/>
          <w:marBottom w:val="0"/>
          <w:divBdr>
            <w:top w:val="none" w:sz="0" w:space="0" w:color="auto"/>
            <w:left w:val="none" w:sz="0" w:space="0" w:color="auto"/>
            <w:bottom w:val="none" w:sz="0" w:space="0" w:color="auto"/>
            <w:right w:val="none" w:sz="0" w:space="0" w:color="auto"/>
          </w:divBdr>
        </w:div>
      </w:divsChild>
    </w:div>
    <w:div w:id="1477263771">
      <w:bodyDiv w:val="1"/>
      <w:marLeft w:val="0"/>
      <w:marRight w:val="0"/>
      <w:marTop w:val="0"/>
      <w:marBottom w:val="0"/>
      <w:divBdr>
        <w:top w:val="none" w:sz="0" w:space="0" w:color="auto"/>
        <w:left w:val="none" w:sz="0" w:space="0" w:color="auto"/>
        <w:bottom w:val="none" w:sz="0" w:space="0" w:color="auto"/>
        <w:right w:val="none" w:sz="0" w:space="0" w:color="auto"/>
      </w:divBdr>
    </w:div>
    <w:div w:id="1499149410">
      <w:bodyDiv w:val="1"/>
      <w:marLeft w:val="0"/>
      <w:marRight w:val="0"/>
      <w:marTop w:val="0"/>
      <w:marBottom w:val="0"/>
      <w:divBdr>
        <w:top w:val="none" w:sz="0" w:space="0" w:color="auto"/>
        <w:left w:val="none" w:sz="0" w:space="0" w:color="auto"/>
        <w:bottom w:val="none" w:sz="0" w:space="0" w:color="auto"/>
        <w:right w:val="none" w:sz="0" w:space="0" w:color="auto"/>
      </w:divBdr>
    </w:div>
    <w:div w:id="1499727991">
      <w:bodyDiv w:val="1"/>
      <w:marLeft w:val="0"/>
      <w:marRight w:val="0"/>
      <w:marTop w:val="0"/>
      <w:marBottom w:val="0"/>
      <w:divBdr>
        <w:top w:val="none" w:sz="0" w:space="0" w:color="auto"/>
        <w:left w:val="none" w:sz="0" w:space="0" w:color="auto"/>
        <w:bottom w:val="none" w:sz="0" w:space="0" w:color="auto"/>
        <w:right w:val="none" w:sz="0" w:space="0" w:color="auto"/>
      </w:divBdr>
    </w:div>
    <w:div w:id="1519732040">
      <w:bodyDiv w:val="1"/>
      <w:marLeft w:val="0"/>
      <w:marRight w:val="0"/>
      <w:marTop w:val="0"/>
      <w:marBottom w:val="0"/>
      <w:divBdr>
        <w:top w:val="none" w:sz="0" w:space="0" w:color="auto"/>
        <w:left w:val="none" w:sz="0" w:space="0" w:color="auto"/>
        <w:bottom w:val="none" w:sz="0" w:space="0" w:color="auto"/>
        <w:right w:val="none" w:sz="0" w:space="0" w:color="auto"/>
      </w:divBdr>
    </w:div>
    <w:div w:id="1615480651">
      <w:bodyDiv w:val="1"/>
      <w:marLeft w:val="0"/>
      <w:marRight w:val="0"/>
      <w:marTop w:val="0"/>
      <w:marBottom w:val="0"/>
      <w:divBdr>
        <w:top w:val="none" w:sz="0" w:space="0" w:color="auto"/>
        <w:left w:val="none" w:sz="0" w:space="0" w:color="auto"/>
        <w:bottom w:val="none" w:sz="0" w:space="0" w:color="auto"/>
        <w:right w:val="none" w:sz="0" w:space="0" w:color="auto"/>
      </w:divBdr>
    </w:div>
    <w:div w:id="1643391452">
      <w:bodyDiv w:val="1"/>
      <w:marLeft w:val="0"/>
      <w:marRight w:val="0"/>
      <w:marTop w:val="0"/>
      <w:marBottom w:val="0"/>
      <w:divBdr>
        <w:top w:val="none" w:sz="0" w:space="0" w:color="auto"/>
        <w:left w:val="none" w:sz="0" w:space="0" w:color="auto"/>
        <w:bottom w:val="none" w:sz="0" w:space="0" w:color="auto"/>
        <w:right w:val="none" w:sz="0" w:space="0" w:color="auto"/>
      </w:divBdr>
      <w:divsChild>
        <w:div w:id="1120763558">
          <w:marLeft w:val="0"/>
          <w:marRight w:val="0"/>
          <w:marTop w:val="0"/>
          <w:marBottom w:val="0"/>
          <w:divBdr>
            <w:top w:val="none" w:sz="0" w:space="0" w:color="auto"/>
            <w:left w:val="none" w:sz="0" w:space="0" w:color="auto"/>
            <w:bottom w:val="none" w:sz="0" w:space="0" w:color="auto"/>
            <w:right w:val="none" w:sz="0" w:space="0" w:color="auto"/>
          </w:divBdr>
        </w:div>
      </w:divsChild>
    </w:div>
    <w:div w:id="1685940581">
      <w:bodyDiv w:val="1"/>
      <w:marLeft w:val="0"/>
      <w:marRight w:val="0"/>
      <w:marTop w:val="0"/>
      <w:marBottom w:val="0"/>
      <w:divBdr>
        <w:top w:val="none" w:sz="0" w:space="0" w:color="auto"/>
        <w:left w:val="none" w:sz="0" w:space="0" w:color="auto"/>
        <w:bottom w:val="none" w:sz="0" w:space="0" w:color="auto"/>
        <w:right w:val="none" w:sz="0" w:space="0" w:color="auto"/>
      </w:divBdr>
    </w:div>
    <w:div w:id="1715082294">
      <w:bodyDiv w:val="1"/>
      <w:marLeft w:val="0"/>
      <w:marRight w:val="0"/>
      <w:marTop w:val="0"/>
      <w:marBottom w:val="0"/>
      <w:divBdr>
        <w:top w:val="none" w:sz="0" w:space="0" w:color="auto"/>
        <w:left w:val="none" w:sz="0" w:space="0" w:color="auto"/>
        <w:bottom w:val="none" w:sz="0" w:space="0" w:color="auto"/>
        <w:right w:val="none" w:sz="0" w:space="0" w:color="auto"/>
      </w:divBdr>
    </w:div>
    <w:div w:id="1723671117">
      <w:bodyDiv w:val="1"/>
      <w:marLeft w:val="0"/>
      <w:marRight w:val="0"/>
      <w:marTop w:val="0"/>
      <w:marBottom w:val="0"/>
      <w:divBdr>
        <w:top w:val="none" w:sz="0" w:space="0" w:color="auto"/>
        <w:left w:val="none" w:sz="0" w:space="0" w:color="auto"/>
        <w:bottom w:val="none" w:sz="0" w:space="0" w:color="auto"/>
        <w:right w:val="none" w:sz="0" w:space="0" w:color="auto"/>
      </w:divBdr>
      <w:divsChild>
        <w:div w:id="1717701682">
          <w:marLeft w:val="0"/>
          <w:marRight w:val="0"/>
          <w:marTop w:val="0"/>
          <w:marBottom w:val="0"/>
          <w:divBdr>
            <w:top w:val="none" w:sz="0" w:space="0" w:color="auto"/>
            <w:left w:val="none" w:sz="0" w:space="0" w:color="auto"/>
            <w:bottom w:val="none" w:sz="0" w:space="0" w:color="auto"/>
            <w:right w:val="none" w:sz="0" w:space="0" w:color="auto"/>
          </w:divBdr>
        </w:div>
      </w:divsChild>
    </w:div>
    <w:div w:id="1777407341">
      <w:bodyDiv w:val="1"/>
      <w:marLeft w:val="0"/>
      <w:marRight w:val="0"/>
      <w:marTop w:val="0"/>
      <w:marBottom w:val="0"/>
      <w:divBdr>
        <w:top w:val="none" w:sz="0" w:space="0" w:color="auto"/>
        <w:left w:val="none" w:sz="0" w:space="0" w:color="auto"/>
        <w:bottom w:val="none" w:sz="0" w:space="0" w:color="auto"/>
        <w:right w:val="none" w:sz="0" w:space="0" w:color="auto"/>
      </w:divBdr>
    </w:div>
    <w:div w:id="1827361384">
      <w:bodyDiv w:val="1"/>
      <w:marLeft w:val="0"/>
      <w:marRight w:val="0"/>
      <w:marTop w:val="0"/>
      <w:marBottom w:val="0"/>
      <w:divBdr>
        <w:top w:val="none" w:sz="0" w:space="0" w:color="auto"/>
        <w:left w:val="none" w:sz="0" w:space="0" w:color="auto"/>
        <w:bottom w:val="none" w:sz="0" w:space="0" w:color="auto"/>
        <w:right w:val="none" w:sz="0" w:space="0" w:color="auto"/>
      </w:divBdr>
    </w:div>
    <w:div w:id="1840731192">
      <w:bodyDiv w:val="1"/>
      <w:marLeft w:val="0"/>
      <w:marRight w:val="0"/>
      <w:marTop w:val="0"/>
      <w:marBottom w:val="0"/>
      <w:divBdr>
        <w:top w:val="none" w:sz="0" w:space="0" w:color="auto"/>
        <w:left w:val="none" w:sz="0" w:space="0" w:color="auto"/>
        <w:bottom w:val="none" w:sz="0" w:space="0" w:color="auto"/>
        <w:right w:val="none" w:sz="0" w:space="0" w:color="auto"/>
      </w:divBdr>
    </w:div>
    <w:div w:id="1849784851">
      <w:bodyDiv w:val="1"/>
      <w:marLeft w:val="0"/>
      <w:marRight w:val="0"/>
      <w:marTop w:val="0"/>
      <w:marBottom w:val="0"/>
      <w:divBdr>
        <w:top w:val="none" w:sz="0" w:space="0" w:color="auto"/>
        <w:left w:val="none" w:sz="0" w:space="0" w:color="auto"/>
        <w:bottom w:val="none" w:sz="0" w:space="0" w:color="auto"/>
        <w:right w:val="none" w:sz="0" w:space="0" w:color="auto"/>
      </w:divBdr>
    </w:div>
    <w:div w:id="1871185681">
      <w:bodyDiv w:val="1"/>
      <w:marLeft w:val="0"/>
      <w:marRight w:val="0"/>
      <w:marTop w:val="0"/>
      <w:marBottom w:val="0"/>
      <w:divBdr>
        <w:top w:val="none" w:sz="0" w:space="0" w:color="auto"/>
        <w:left w:val="none" w:sz="0" w:space="0" w:color="auto"/>
        <w:bottom w:val="none" w:sz="0" w:space="0" w:color="auto"/>
        <w:right w:val="none" w:sz="0" w:space="0" w:color="auto"/>
      </w:divBdr>
    </w:div>
    <w:div w:id="1872526032">
      <w:bodyDiv w:val="1"/>
      <w:marLeft w:val="0"/>
      <w:marRight w:val="0"/>
      <w:marTop w:val="0"/>
      <w:marBottom w:val="0"/>
      <w:divBdr>
        <w:top w:val="none" w:sz="0" w:space="0" w:color="auto"/>
        <w:left w:val="none" w:sz="0" w:space="0" w:color="auto"/>
        <w:bottom w:val="none" w:sz="0" w:space="0" w:color="auto"/>
        <w:right w:val="none" w:sz="0" w:space="0" w:color="auto"/>
      </w:divBdr>
    </w:div>
    <w:div w:id="1928882338">
      <w:bodyDiv w:val="1"/>
      <w:marLeft w:val="0"/>
      <w:marRight w:val="0"/>
      <w:marTop w:val="0"/>
      <w:marBottom w:val="0"/>
      <w:divBdr>
        <w:top w:val="none" w:sz="0" w:space="0" w:color="auto"/>
        <w:left w:val="none" w:sz="0" w:space="0" w:color="auto"/>
        <w:bottom w:val="none" w:sz="0" w:space="0" w:color="auto"/>
        <w:right w:val="none" w:sz="0" w:space="0" w:color="auto"/>
      </w:divBdr>
    </w:div>
    <w:div w:id="1955554917">
      <w:bodyDiv w:val="1"/>
      <w:marLeft w:val="0"/>
      <w:marRight w:val="0"/>
      <w:marTop w:val="0"/>
      <w:marBottom w:val="0"/>
      <w:divBdr>
        <w:top w:val="none" w:sz="0" w:space="0" w:color="auto"/>
        <w:left w:val="none" w:sz="0" w:space="0" w:color="auto"/>
        <w:bottom w:val="none" w:sz="0" w:space="0" w:color="auto"/>
        <w:right w:val="none" w:sz="0" w:space="0" w:color="auto"/>
      </w:divBdr>
    </w:div>
    <w:div w:id="1980838885">
      <w:bodyDiv w:val="1"/>
      <w:marLeft w:val="0"/>
      <w:marRight w:val="0"/>
      <w:marTop w:val="0"/>
      <w:marBottom w:val="0"/>
      <w:divBdr>
        <w:top w:val="none" w:sz="0" w:space="0" w:color="auto"/>
        <w:left w:val="none" w:sz="0" w:space="0" w:color="auto"/>
        <w:bottom w:val="none" w:sz="0" w:space="0" w:color="auto"/>
        <w:right w:val="none" w:sz="0" w:space="0" w:color="auto"/>
      </w:divBdr>
    </w:div>
    <w:div w:id="1993018524">
      <w:bodyDiv w:val="1"/>
      <w:marLeft w:val="0"/>
      <w:marRight w:val="0"/>
      <w:marTop w:val="0"/>
      <w:marBottom w:val="0"/>
      <w:divBdr>
        <w:top w:val="none" w:sz="0" w:space="0" w:color="auto"/>
        <w:left w:val="none" w:sz="0" w:space="0" w:color="auto"/>
        <w:bottom w:val="none" w:sz="0" w:space="0" w:color="auto"/>
        <w:right w:val="none" w:sz="0" w:space="0" w:color="auto"/>
      </w:divBdr>
      <w:divsChild>
        <w:div w:id="98260574">
          <w:marLeft w:val="0"/>
          <w:marRight w:val="0"/>
          <w:marTop w:val="0"/>
          <w:marBottom w:val="0"/>
          <w:divBdr>
            <w:top w:val="none" w:sz="0" w:space="0" w:color="auto"/>
            <w:left w:val="none" w:sz="0" w:space="0" w:color="auto"/>
            <w:bottom w:val="none" w:sz="0" w:space="0" w:color="auto"/>
            <w:right w:val="none" w:sz="0" w:space="0" w:color="auto"/>
          </w:divBdr>
        </w:div>
      </w:divsChild>
    </w:div>
    <w:div w:id="2016300762">
      <w:bodyDiv w:val="1"/>
      <w:marLeft w:val="0"/>
      <w:marRight w:val="0"/>
      <w:marTop w:val="0"/>
      <w:marBottom w:val="0"/>
      <w:divBdr>
        <w:top w:val="none" w:sz="0" w:space="0" w:color="auto"/>
        <w:left w:val="none" w:sz="0" w:space="0" w:color="auto"/>
        <w:bottom w:val="none" w:sz="0" w:space="0" w:color="auto"/>
        <w:right w:val="none" w:sz="0" w:space="0" w:color="auto"/>
      </w:divBdr>
    </w:div>
    <w:div w:id="2075154580">
      <w:bodyDiv w:val="1"/>
      <w:marLeft w:val="0"/>
      <w:marRight w:val="0"/>
      <w:marTop w:val="0"/>
      <w:marBottom w:val="0"/>
      <w:divBdr>
        <w:top w:val="none" w:sz="0" w:space="0" w:color="auto"/>
        <w:left w:val="none" w:sz="0" w:space="0" w:color="auto"/>
        <w:bottom w:val="none" w:sz="0" w:space="0" w:color="auto"/>
        <w:right w:val="none" w:sz="0" w:space="0" w:color="auto"/>
      </w:divBdr>
    </w:div>
    <w:div w:id="2087217168">
      <w:bodyDiv w:val="1"/>
      <w:marLeft w:val="0"/>
      <w:marRight w:val="0"/>
      <w:marTop w:val="0"/>
      <w:marBottom w:val="0"/>
      <w:divBdr>
        <w:top w:val="none" w:sz="0" w:space="0" w:color="auto"/>
        <w:left w:val="none" w:sz="0" w:space="0" w:color="auto"/>
        <w:bottom w:val="none" w:sz="0" w:space="0" w:color="auto"/>
        <w:right w:val="none" w:sz="0" w:space="0" w:color="auto"/>
      </w:divBdr>
    </w:div>
    <w:div w:id="2093888339">
      <w:bodyDiv w:val="1"/>
      <w:marLeft w:val="0"/>
      <w:marRight w:val="0"/>
      <w:marTop w:val="0"/>
      <w:marBottom w:val="0"/>
      <w:divBdr>
        <w:top w:val="none" w:sz="0" w:space="0" w:color="auto"/>
        <w:left w:val="none" w:sz="0" w:space="0" w:color="auto"/>
        <w:bottom w:val="none" w:sz="0" w:space="0" w:color="auto"/>
        <w:right w:val="none" w:sz="0" w:space="0" w:color="auto"/>
      </w:divBdr>
    </w:div>
    <w:div w:id="2113162036">
      <w:bodyDiv w:val="1"/>
      <w:marLeft w:val="0"/>
      <w:marRight w:val="0"/>
      <w:marTop w:val="0"/>
      <w:marBottom w:val="0"/>
      <w:divBdr>
        <w:top w:val="none" w:sz="0" w:space="0" w:color="auto"/>
        <w:left w:val="none" w:sz="0" w:space="0" w:color="auto"/>
        <w:bottom w:val="none" w:sz="0" w:space="0" w:color="auto"/>
        <w:right w:val="none" w:sz="0" w:space="0" w:color="auto"/>
      </w:divBdr>
    </w:div>
    <w:div w:id="214122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170" Type="http://schemas.openxmlformats.org/officeDocument/2006/relationships/header" Target="header80.xml"/><Relationship Id="rId191" Type="http://schemas.openxmlformats.org/officeDocument/2006/relationships/footer" Target="footer90.xml"/><Relationship Id="rId205" Type="http://schemas.openxmlformats.org/officeDocument/2006/relationships/footer" Target="footer97.xml"/><Relationship Id="rId226" Type="http://schemas.openxmlformats.org/officeDocument/2006/relationships/footer" Target="footer107.xml"/><Relationship Id="rId247" Type="http://schemas.openxmlformats.org/officeDocument/2006/relationships/footer" Target="footer118.xml"/><Relationship Id="rId107" Type="http://schemas.openxmlformats.org/officeDocument/2006/relationships/footer" Target="footer48.xml"/><Relationship Id="rId268" Type="http://schemas.openxmlformats.org/officeDocument/2006/relationships/footer" Target="footer128.xml"/><Relationship Id="rId289" Type="http://schemas.openxmlformats.org/officeDocument/2006/relationships/footer" Target="footer139.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footer" Target="footer85.xml"/><Relationship Id="rId216" Type="http://schemas.openxmlformats.org/officeDocument/2006/relationships/header" Target="header103.xml"/><Relationship Id="rId237" Type="http://schemas.openxmlformats.org/officeDocument/2006/relationships/header" Target="header114.xml"/><Relationship Id="rId258" Type="http://schemas.openxmlformats.org/officeDocument/2006/relationships/header" Target="header124.xml"/><Relationship Id="rId279" Type="http://schemas.openxmlformats.org/officeDocument/2006/relationships/header" Target="header135.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290" Type="http://schemas.openxmlformats.org/officeDocument/2006/relationships/header" Target="header140.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header" Target="header81.xml"/><Relationship Id="rId192" Type="http://schemas.openxmlformats.org/officeDocument/2006/relationships/header" Target="header91.xml"/><Relationship Id="rId206" Type="http://schemas.openxmlformats.org/officeDocument/2006/relationships/header" Target="header98.xml"/><Relationship Id="rId227" Type="http://schemas.openxmlformats.org/officeDocument/2006/relationships/footer" Target="footer108.xml"/><Relationship Id="rId248" Type="http://schemas.openxmlformats.org/officeDocument/2006/relationships/header" Target="header119.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280" Type="http://schemas.openxmlformats.org/officeDocument/2006/relationships/footer" Target="footer134.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header" Target="header86.xml"/><Relationship Id="rId217" Type="http://schemas.openxmlformats.org/officeDocument/2006/relationships/footer" Target="footer103.xml"/><Relationship Id="rId6" Type="http://schemas.openxmlformats.org/officeDocument/2006/relationships/styles" Target="styles.xml"/><Relationship Id="rId238" Type="http://schemas.openxmlformats.org/officeDocument/2006/relationships/footer" Target="footer113.xml"/><Relationship Id="rId259" Type="http://schemas.openxmlformats.org/officeDocument/2006/relationships/footer" Target="footer124.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291" Type="http://schemas.openxmlformats.org/officeDocument/2006/relationships/header" Target="header141.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172" Type="http://schemas.openxmlformats.org/officeDocument/2006/relationships/footer" Target="footer80.xml"/><Relationship Id="rId193" Type="http://schemas.openxmlformats.org/officeDocument/2006/relationships/footer" Target="footer91.xml"/><Relationship Id="rId207" Type="http://schemas.openxmlformats.org/officeDocument/2006/relationships/header" Target="header99.xml"/><Relationship Id="rId228" Type="http://schemas.openxmlformats.org/officeDocument/2006/relationships/header" Target="header109.xml"/><Relationship Id="rId249" Type="http://schemas.openxmlformats.org/officeDocument/2006/relationships/header" Target="header120.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header" Target="header125.xml"/><Relationship Id="rId281" Type="http://schemas.openxmlformats.org/officeDocument/2006/relationships/footer" Target="footer135.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header" Target="header87.xml"/><Relationship Id="rId213" Type="http://schemas.openxmlformats.org/officeDocument/2006/relationships/header" Target="header102.xml"/><Relationship Id="rId218" Type="http://schemas.openxmlformats.org/officeDocument/2006/relationships/header" Target="header104.xml"/><Relationship Id="rId234" Type="http://schemas.openxmlformats.org/officeDocument/2006/relationships/header" Target="header112.xml"/><Relationship Id="rId239" Type="http://schemas.openxmlformats.org/officeDocument/2006/relationships/footer" Target="footer114.xml"/><Relationship Id="rId2" Type="http://schemas.openxmlformats.org/officeDocument/2006/relationships/customXml" Target="../customXml/item2.xml"/><Relationship Id="rId29" Type="http://schemas.openxmlformats.org/officeDocument/2006/relationships/footer" Target="footer9.xml"/><Relationship Id="rId250" Type="http://schemas.openxmlformats.org/officeDocument/2006/relationships/footer" Target="footer119.xml"/><Relationship Id="rId255" Type="http://schemas.openxmlformats.org/officeDocument/2006/relationships/header" Target="header123.xml"/><Relationship Id="rId271" Type="http://schemas.openxmlformats.org/officeDocument/2006/relationships/footer" Target="footer130.xml"/><Relationship Id="rId276" Type="http://schemas.openxmlformats.org/officeDocument/2006/relationships/header" Target="header133.xml"/><Relationship Id="rId292" Type="http://schemas.openxmlformats.org/officeDocument/2006/relationships/footer" Target="footer140.xml"/><Relationship Id="rId297" Type="http://schemas.openxmlformats.org/officeDocument/2006/relationships/theme" Target="theme/theme1.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footer" Target="footer83.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header" Target="header92.xml"/><Relationship Id="rId199" Type="http://schemas.openxmlformats.org/officeDocument/2006/relationships/footer" Target="footer94.xml"/><Relationship Id="rId203" Type="http://schemas.openxmlformats.org/officeDocument/2006/relationships/footer" Target="footer96.xml"/><Relationship Id="rId208" Type="http://schemas.openxmlformats.org/officeDocument/2006/relationships/footer" Target="footer98.xml"/><Relationship Id="rId229" Type="http://schemas.openxmlformats.org/officeDocument/2006/relationships/footer" Target="footer109.xml"/><Relationship Id="rId19" Type="http://schemas.openxmlformats.org/officeDocument/2006/relationships/header" Target="header5.xml"/><Relationship Id="rId224" Type="http://schemas.openxmlformats.org/officeDocument/2006/relationships/header" Target="header107.xml"/><Relationship Id="rId240" Type="http://schemas.openxmlformats.org/officeDocument/2006/relationships/header" Target="header115.xml"/><Relationship Id="rId245" Type="http://schemas.openxmlformats.org/officeDocument/2006/relationships/footer" Target="footer117.xml"/><Relationship Id="rId261" Type="http://schemas.openxmlformats.org/officeDocument/2006/relationships/header" Target="header126.xml"/><Relationship Id="rId266" Type="http://schemas.openxmlformats.org/officeDocument/2006/relationships/header" Target="header128.xml"/><Relationship Id="rId287" Type="http://schemas.openxmlformats.org/officeDocument/2006/relationships/footer" Target="footer138.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282" Type="http://schemas.openxmlformats.org/officeDocument/2006/relationships/header" Target="header136.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footer" Target="footer86.xml"/><Relationship Id="rId189" Type="http://schemas.openxmlformats.org/officeDocument/2006/relationships/header" Target="header90.xml"/><Relationship Id="rId219" Type="http://schemas.openxmlformats.org/officeDocument/2006/relationships/header" Target="header105.xml"/><Relationship Id="rId3" Type="http://schemas.openxmlformats.org/officeDocument/2006/relationships/customXml" Target="../customXml/item3.xml"/><Relationship Id="rId214" Type="http://schemas.openxmlformats.org/officeDocument/2006/relationships/footer" Target="footer101.xml"/><Relationship Id="rId230" Type="http://schemas.openxmlformats.org/officeDocument/2006/relationships/header" Target="header110.xml"/><Relationship Id="rId235" Type="http://schemas.openxmlformats.org/officeDocument/2006/relationships/footer" Target="footer112.xml"/><Relationship Id="rId251" Type="http://schemas.openxmlformats.org/officeDocument/2006/relationships/footer" Target="footer120.xml"/><Relationship Id="rId256" Type="http://schemas.openxmlformats.org/officeDocument/2006/relationships/footer" Target="footer122.xml"/><Relationship Id="rId277" Type="http://schemas.openxmlformats.org/officeDocument/2006/relationships/footer" Target="footer13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72" Type="http://schemas.openxmlformats.org/officeDocument/2006/relationships/header" Target="header131.xml"/><Relationship Id="rId293" Type="http://schemas.openxmlformats.org/officeDocument/2006/relationships/footer" Target="footer141.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header" Target="header93.xml"/><Relationship Id="rId209" Type="http://schemas.openxmlformats.org/officeDocument/2006/relationships/footer" Target="footer99.xml"/><Relationship Id="rId190" Type="http://schemas.openxmlformats.org/officeDocument/2006/relationships/footer" Target="footer89.xml"/><Relationship Id="rId204" Type="http://schemas.openxmlformats.org/officeDocument/2006/relationships/header" Target="header97.xml"/><Relationship Id="rId220" Type="http://schemas.openxmlformats.org/officeDocument/2006/relationships/footer" Target="footer104.xml"/><Relationship Id="rId225" Type="http://schemas.openxmlformats.org/officeDocument/2006/relationships/header" Target="header108.xml"/><Relationship Id="rId241" Type="http://schemas.openxmlformats.org/officeDocument/2006/relationships/footer" Target="footer115.xml"/><Relationship Id="rId246" Type="http://schemas.openxmlformats.org/officeDocument/2006/relationships/header" Target="header118.xml"/><Relationship Id="rId267" Type="http://schemas.openxmlformats.org/officeDocument/2006/relationships/header" Target="header129.xml"/><Relationship Id="rId288" Type="http://schemas.openxmlformats.org/officeDocument/2006/relationships/header" Target="header139.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262" Type="http://schemas.openxmlformats.org/officeDocument/2006/relationships/footer" Target="footer125.xml"/><Relationship Id="rId283" Type="http://schemas.openxmlformats.org/officeDocument/2006/relationships/footer" Target="footer136.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footer" Target="footer79.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10" Type="http://schemas.openxmlformats.org/officeDocument/2006/relationships/header" Target="header100.xml"/><Relationship Id="rId215" Type="http://schemas.openxmlformats.org/officeDocument/2006/relationships/footer" Target="footer102.xml"/><Relationship Id="rId236" Type="http://schemas.openxmlformats.org/officeDocument/2006/relationships/header" Target="header113.xml"/><Relationship Id="rId257" Type="http://schemas.openxmlformats.org/officeDocument/2006/relationships/footer" Target="footer123.xml"/><Relationship Id="rId278" Type="http://schemas.openxmlformats.org/officeDocument/2006/relationships/header" Target="header134.xml"/><Relationship Id="rId26" Type="http://schemas.openxmlformats.org/officeDocument/2006/relationships/footer" Target="footer7.xml"/><Relationship Id="rId231" Type="http://schemas.openxmlformats.org/officeDocument/2006/relationships/header" Target="header111.xml"/><Relationship Id="rId252" Type="http://schemas.openxmlformats.org/officeDocument/2006/relationships/header" Target="header121.xml"/><Relationship Id="rId273" Type="http://schemas.openxmlformats.org/officeDocument/2006/relationships/header" Target="header132.xml"/><Relationship Id="rId294" Type="http://schemas.openxmlformats.org/officeDocument/2006/relationships/header" Target="header142.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footer" Target="footer82.xml"/><Relationship Id="rId196" Type="http://schemas.openxmlformats.org/officeDocument/2006/relationships/footer" Target="footer92.xml"/><Relationship Id="rId200" Type="http://schemas.openxmlformats.org/officeDocument/2006/relationships/header" Target="header95.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header" Target="header116.xml"/><Relationship Id="rId263" Type="http://schemas.openxmlformats.org/officeDocument/2006/relationships/footer" Target="footer126.xml"/><Relationship Id="rId284" Type="http://schemas.openxmlformats.org/officeDocument/2006/relationships/header" Target="header137.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footer" Target="footer100.xml"/><Relationship Id="rId232" Type="http://schemas.openxmlformats.org/officeDocument/2006/relationships/footer" Target="footer110.xml"/><Relationship Id="rId253" Type="http://schemas.openxmlformats.org/officeDocument/2006/relationships/footer" Target="footer121.xml"/><Relationship Id="rId274" Type="http://schemas.openxmlformats.org/officeDocument/2006/relationships/footer" Target="footer131.xml"/><Relationship Id="rId295" Type="http://schemas.openxmlformats.org/officeDocument/2006/relationships/footer" Target="footer142.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header" Target="header83.xml"/><Relationship Id="rId197" Type="http://schemas.openxmlformats.org/officeDocument/2006/relationships/footer" Target="footer93.xml"/><Relationship Id="rId201" Type="http://schemas.openxmlformats.org/officeDocument/2006/relationships/header" Target="header96.xml"/><Relationship Id="rId222" Type="http://schemas.openxmlformats.org/officeDocument/2006/relationships/header" Target="header106.xml"/><Relationship Id="rId243" Type="http://schemas.openxmlformats.org/officeDocument/2006/relationships/header" Target="header117.xml"/><Relationship Id="rId264" Type="http://schemas.openxmlformats.org/officeDocument/2006/relationships/header" Target="header127.xml"/><Relationship Id="rId285" Type="http://schemas.openxmlformats.org/officeDocument/2006/relationships/header" Target="header138.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footer" Target="footer88.xml"/><Relationship Id="rId1" Type="http://schemas.openxmlformats.org/officeDocument/2006/relationships/customXml" Target="../customXml/item1.xml"/><Relationship Id="rId212" Type="http://schemas.openxmlformats.org/officeDocument/2006/relationships/header" Target="header101.xml"/><Relationship Id="rId233" Type="http://schemas.openxmlformats.org/officeDocument/2006/relationships/footer" Target="footer111.xml"/><Relationship Id="rId254" Type="http://schemas.openxmlformats.org/officeDocument/2006/relationships/header" Target="header122.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ntTable" Target="fontTable.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header" Target="header84.xml"/><Relationship Id="rId198" Type="http://schemas.openxmlformats.org/officeDocument/2006/relationships/header" Target="header94.xml"/><Relationship Id="rId202" Type="http://schemas.openxmlformats.org/officeDocument/2006/relationships/footer" Target="footer95.xml"/><Relationship Id="rId223" Type="http://schemas.openxmlformats.org/officeDocument/2006/relationships/footer" Target="footer106.xml"/><Relationship Id="rId244" Type="http://schemas.openxmlformats.org/officeDocument/2006/relationships/footer" Target="footer116.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footer" Target="footer127.xml"/><Relationship Id="rId286" Type="http://schemas.openxmlformats.org/officeDocument/2006/relationships/footer" Target="footer137.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header" Target="header89.xml"/></Relationship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1198b08-d09d-409c-a169-ca1eb44fa897" xsi:nil="true"/>
    <lcf76f155ced4ddcb4097134ff3c332f xmlns="69540217-dd4d-4552-b080-f316f8754f8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Note xmlns="69540217-dd4d-4552-b080-f316f8754f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0" ma:contentTypeDescription="Create a new document." ma:contentTypeScope="" ma:versionID="6fd81d1d5f0e60da6ce20529b5f26041">
  <xsd:schema xmlns:xsd="http://www.w3.org/2001/XMLSchema" xmlns:xs="http://www.w3.org/2001/XMLSchema" xmlns:p="http://schemas.microsoft.com/office/2006/metadata/properties" xmlns:ns1="http://schemas.microsoft.com/sharepoint/v3" xmlns:ns2="41198b08-d09d-409c-a169-ca1eb44fa897" xmlns:ns3="69540217-dd4d-4552-b080-f316f8754f84" targetNamespace="http://schemas.microsoft.com/office/2006/metadata/properties" ma:root="true" ma:fieldsID="f1bb6adeb757c7518dc74eb248238ee2" ns1:_="" ns2:_="" ns3:_="">
    <xsd:import namespace="http://schemas.microsoft.com/sharepoint/v3"/>
    <xsd:import namespace="41198b08-d09d-409c-a169-ca1eb44fa897"/>
    <xsd:import namespace="69540217-dd4d-4552-b080-f316f8754f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ServiceObjectDetectorVersions" minOccurs="0"/>
                <xsd:element ref="ns3:lcf76f155ced4ddcb4097134ff3c332f" minOccurs="0"/>
                <xsd:element ref="ns2:TaxCatchAll" minOccurs="0"/>
                <xsd:element ref="ns3:Not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95dfd1e-da9a-49fd-9803-c310180c1525}"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Note" ma:index="25" nillable="true" ma:displayName="Note" ma:format="Dropdown" ma:internalName="Note">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6DEFC-39BF-4BCE-A821-1E88F1DAE134}">
  <ds:schemaRefs>
    <ds:schemaRef ds:uri="http://schemas.microsoft.com/sharepoint/v3/contenttype/forms"/>
  </ds:schemaRefs>
</ds:datastoreItem>
</file>

<file path=customXml/itemProps2.xml><?xml version="1.0" encoding="utf-8"?>
<ds:datastoreItem xmlns:ds="http://schemas.openxmlformats.org/officeDocument/2006/customXml" ds:itemID="{4901C19C-BEC3-411B-9619-5A5E1A4C7A7C}">
  <ds:schemaRefs>
    <ds:schemaRef ds:uri="http://schemas.microsoft.com/office/2006/metadata/properties"/>
    <ds:schemaRef ds:uri="http://schemas.microsoft.com/office/infopath/2007/PartnerControls"/>
    <ds:schemaRef ds:uri="41198b08-d09d-409c-a169-ca1eb44fa897"/>
    <ds:schemaRef ds:uri="69540217-dd4d-4552-b080-f316f8754f84"/>
    <ds:schemaRef ds:uri="http://schemas.microsoft.com/sharepoint/v3"/>
  </ds:schemaRefs>
</ds:datastoreItem>
</file>

<file path=customXml/itemProps3.xml><?xml version="1.0" encoding="utf-8"?>
<ds:datastoreItem xmlns:ds="http://schemas.openxmlformats.org/officeDocument/2006/customXml" ds:itemID="{97A5C8E4-0F4E-4CA9-A80C-EA8239BCE5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198b08-d09d-409c-a169-ca1eb44fa897"/>
    <ds:schemaRef ds:uri="69540217-dd4d-4552-b080-f316f875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8B2801-8FC7-4017-8C4B-A68249F95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13</Pages>
  <Words>36793</Words>
  <Characters>209722</Characters>
  <Application>Microsoft Office Word</Application>
  <DocSecurity>0</DocSecurity>
  <Lines>1747</Lines>
  <Paragraphs>492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246023</CharactersWithSpaces>
  <SharedDoc>false</SharedDoc>
  <HLinks>
    <vt:vector size="90" baseType="variant">
      <vt:variant>
        <vt:i4>1835043</vt:i4>
      </vt:variant>
      <vt:variant>
        <vt:i4>42</vt:i4>
      </vt:variant>
      <vt:variant>
        <vt:i4>0</vt:i4>
      </vt:variant>
      <vt:variant>
        <vt:i4>5</vt:i4>
      </vt:variant>
      <vt:variant>
        <vt:lpwstr>mailto:Roberto.SIGISMONDO@ec.europa.eu</vt:lpwstr>
      </vt:variant>
      <vt:variant>
        <vt:lpwstr/>
      </vt:variant>
      <vt:variant>
        <vt:i4>1835043</vt:i4>
      </vt:variant>
      <vt:variant>
        <vt:i4>39</vt:i4>
      </vt:variant>
      <vt:variant>
        <vt:i4>0</vt:i4>
      </vt:variant>
      <vt:variant>
        <vt:i4>5</vt:i4>
      </vt:variant>
      <vt:variant>
        <vt:lpwstr>mailto:Roberto.SIGISMONDO@ec.europa.eu</vt:lpwstr>
      </vt:variant>
      <vt:variant>
        <vt:lpwstr/>
      </vt:variant>
      <vt:variant>
        <vt:i4>1835043</vt:i4>
      </vt:variant>
      <vt:variant>
        <vt:i4>36</vt:i4>
      </vt:variant>
      <vt:variant>
        <vt:i4>0</vt:i4>
      </vt:variant>
      <vt:variant>
        <vt:i4>5</vt:i4>
      </vt:variant>
      <vt:variant>
        <vt:lpwstr>mailto:Roberto.SIGISMONDO@ec.europa.eu</vt:lpwstr>
      </vt:variant>
      <vt:variant>
        <vt:lpwstr/>
      </vt:variant>
      <vt:variant>
        <vt:i4>8060999</vt:i4>
      </vt:variant>
      <vt:variant>
        <vt:i4>33</vt:i4>
      </vt:variant>
      <vt:variant>
        <vt:i4>0</vt:i4>
      </vt:variant>
      <vt:variant>
        <vt:i4>5</vt:i4>
      </vt:variant>
      <vt:variant>
        <vt:lpwstr>mailto:Toma.PAVLOV@ec.europa.eu</vt:lpwstr>
      </vt:variant>
      <vt:variant>
        <vt:lpwstr/>
      </vt:variant>
      <vt:variant>
        <vt:i4>589856</vt:i4>
      </vt:variant>
      <vt:variant>
        <vt:i4>30</vt:i4>
      </vt:variant>
      <vt:variant>
        <vt:i4>0</vt:i4>
      </vt:variant>
      <vt:variant>
        <vt:i4>5</vt:i4>
      </vt:variant>
      <vt:variant>
        <vt:lpwstr>mailto:Katja.POZDEREC@ec.europa.eu</vt:lpwstr>
      </vt:variant>
      <vt:variant>
        <vt:lpwstr/>
      </vt:variant>
      <vt:variant>
        <vt:i4>196661</vt:i4>
      </vt:variant>
      <vt:variant>
        <vt:i4>27</vt:i4>
      </vt:variant>
      <vt:variant>
        <vt:i4>0</vt:i4>
      </vt:variant>
      <vt:variant>
        <vt:i4>5</vt:i4>
      </vt:variant>
      <vt:variant>
        <vt:lpwstr>mailto:Peeter.SOIDLA@ec.europa.eu</vt:lpwstr>
      </vt:variant>
      <vt:variant>
        <vt:lpwstr/>
      </vt:variant>
      <vt:variant>
        <vt:i4>3539038</vt:i4>
      </vt:variant>
      <vt:variant>
        <vt:i4>24</vt:i4>
      </vt:variant>
      <vt:variant>
        <vt:i4>0</vt:i4>
      </vt:variant>
      <vt:variant>
        <vt:i4>5</vt:i4>
      </vt:variant>
      <vt:variant>
        <vt:lpwstr>mailto:Alejandro.PAZ-OTERO@ec.europa.eu</vt:lpwstr>
      </vt:variant>
      <vt:variant>
        <vt:lpwstr/>
      </vt:variant>
      <vt:variant>
        <vt:i4>3539029</vt:i4>
      </vt:variant>
      <vt:variant>
        <vt:i4>21</vt:i4>
      </vt:variant>
      <vt:variant>
        <vt:i4>0</vt:i4>
      </vt:variant>
      <vt:variant>
        <vt:i4>5</vt:i4>
      </vt:variant>
      <vt:variant>
        <vt:lpwstr>mailto:Cecilia.SARTORI-BOROTTO@ec.europa.eu</vt:lpwstr>
      </vt:variant>
      <vt:variant>
        <vt:lpwstr/>
      </vt:variant>
      <vt:variant>
        <vt:i4>2424856</vt:i4>
      </vt:variant>
      <vt:variant>
        <vt:i4>18</vt:i4>
      </vt:variant>
      <vt:variant>
        <vt:i4>0</vt:i4>
      </vt:variant>
      <vt:variant>
        <vt:i4>5</vt:i4>
      </vt:variant>
      <vt:variant>
        <vt:lpwstr>mailto:Costanza.CAPRINI@ec.europa.eu</vt:lpwstr>
      </vt:variant>
      <vt:variant>
        <vt:lpwstr/>
      </vt:variant>
      <vt:variant>
        <vt:i4>3539029</vt:i4>
      </vt:variant>
      <vt:variant>
        <vt:i4>15</vt:i4>
      </vt:variant>
      <vt:variant>
        <vt:i4>0</vt:i4>
      </vt:variant>
      <vt:variant>
        <vt:i4>5</vt:i4>
      </vt:variant>
      <vt:variant>
        <vt:lpwstr>mailto:Cecilia.SARTORI-BOROTTO@ec.europa.eu</vt:lpwstr>
      </vt:variant>
      <vt:variant>
        <vt:lpwstr/>
      </vt:variant>
      <vt:variant>
        <vt:i4>4653172</vt:i4>
      </vt:variant>
      <vt:variant>
        <vt:i4>12</vt:i4>
      </vt:variant>
      <vt:variant>
        <vt:i4>0</vt:i4>
      </vt:variant>
      <vt:variant>
        <vt:i4>5</vt:i4>
      </vt:variant>
      <vt:variant>
        <vt:lpwstr>mailto:Lisa.BERNS@ec.europa.eu</vt:lpwstr>
      </vt:variant>
      <vt:variant>
        <vt:lpwstr/>
      </vt:variant>
      <vt:variant>
        <vt:i4>3735555</vt:i4>
      </vt:variant>
      <vt:variant>
        <vt:i4>9</vt:i4>
      </vt:variant>
      <vt:variant>
        <vt:i4>0</vt:i4>
      </vt:variant>
      <vt:variant>
        <vt:i4>5</vt:i4>
      </vt:variant>
      <vt:variant>
        <vt:lpwstr>mailto:Yana.LAURAND@ec.europa.eu</vt:lpwstr>
      </vt:variant>
      <vt:variant>
        <vt:lpwstr/>
      </vt:variant>
      <vt:variant>
        <vt:i4>3539029</vt:i4>
      </vt:variant>
      <vt:variant>
        <vt:i4>6</vt:i4>
      </vt:variant>
      <vt:variant>
        <vt:i4>0</vt:i4>
      </vt:variant>
      <vt:variant>
        <vt:i4>5</vt:i4>
      </vt:variant>
      <vt:variant>
        <vt:lpwstr>mailto:Cecilia.SARTORI-BOROTTO@ec.europa.eu</vt:lpwstr>
      </vt:variant>
      <vt:variant>
        <vt:lpwstr/>
      </vt:variant>
      <vt:variant>
        <vt:i4>8126552</vt:i4>
      </vt:variant>
      <vt:variant>
        <vt:i4>3</vt:i4>
      </vt:variant>
      <vt:variant>
        <vt:i4>0</vt:i4>
      </vt:variant>
      <vt:variant>
        <vt:i4>5</vt:i4>
      </vt:variant>
      <vt:variant>
        <vt:lpwstr>mailto:Maja.BOSNIC@ec.europa.eu</vt:lpwstr>
      </vt:variant>
      <vt:variant>
        <vt:lpwstr/>
      </vt:variant>
      <vt:variant>
        <vt:i4>8126552</vt:i4>
      </vt:variant>
      <vt:variant>
        <vt:i4>0</vt:i4>
      </vt:variant>
      <vt:variant>
        <vt:i4>0</vt:i4>
      </vt:variant>
      <vt:variant>
        <vt:i4>5</vt:i4>
      </vt:variant>
      <vt:variant>
        <vt:lpwstr>mailto:Maja.BOSNIC@ec.europa.eu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30</cp:revision>
  <dcterms:created xsi:type="dcterms:W3CDTF">2026-03-18T08:22:00Z</dcterms:created>
  <dcterms:modified xsi:type="dcterms:W3CDTF">2026-04-07T09:43:00Z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2025-11-11T18:26:50Z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00ca689d-c9ea-483a-ba48-d9368e4b5d90</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0x0101001904E1EBFBC69D4E9F6EFDF5C754386E</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First annex">
    <vt:lpwstr>1</vt:lpwstr>
  </property>
  <property fmtid="{D5CDD505-2E9C-101B-9397-08002B2CF9AE}" pid="16" name="Last annex">
    <vt:lpwstr>1</vt:lpwstr>
  </property>
  <property fmtid="{D5CDD505-2E9C-101B-9397-08002B2CF9AE}" pid="17" name="Unique annex">
    <vt:lpwstr>1</vt:lpwstr>
  </property>
  <property fmtid="{D5CDD505-2E9C-101B-9397-08002B2CF9AE}" pid="18" name="Part">
    <vt:lpwstr>1</vt:lpwstr>
  </property>
  <property fmtid="{D5CDD505-2E9C-101B-9397-08002B2CF9AE}" pid="19" name="Total parts">
    <vt:lpwstr>1</vt:lpwstr>
  </property>
  <property fmtid="{D5CDD505-2E9C-101B-9397-08002B2CF9AE}" pid="20" name="CPTemplateID">
    <vt:lpwstr>CP-036</vt:lpwstr>
  </property>
</Properties>
</file>