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BDF1CD" w14:textId="4E9B678A" w:rsidR="0029533F" w:rsidRPr="003D039F" w:rsidRDefault="00073ECE" w:rsidP="00073ECE">
      <w:pPr>
        <w:pStyle w:val="Pagedecouverture"/>
        <w:rPr>
          <w:noProof/>
        </w:rPr>
      </w:pPr>
      <w:r>
        <w:rPr>
          <w:noProof/>
        </w:rPr>
        <w:pict w14:anchorId="7B8FF4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C0B8900-F194-4354-8F4A-5ED46ACD7524" style="width:455.25pt;height:422.25pt">
            <v:imagedata r:id="rId11" o:title=""/>
          </v:shape>
        </w:pict>
      </w:r>
    </w:p>
    <w:p w14:paraId="26F1F8F3" w14:textId="77777777" w:rsidR="00A732C8" w:rsidRPr="003D039F" w:rsidRDefault="00A732C8">
      <w:pPr>
        <w:rPr>
          <w:noProof/>
        </w:rPr>
        <w:sectPr w:rsidR="00A732C8" w:rsidRPr="003D039F" w:rsidSect="00073ECE">
          <w:footerReference w:type="even" r:id="rId12"/>
          <w:footerReference w:type="default" r:id="rId13"/>
          <w:pgSz w:w="11907" w:h="16839"/>
          <w:pgMar w:top="1134" w:right="1417" w:bottom="1134" w:left="1417" w:header="709" w:footer="709" w:gutter="0"/>
          <w:pgNumType w:start="0"/>
          <w:cols w:space="720"/>
          <w:docGrid w:linePitch="360"/>
        </w:sectPr>
      </w:pPr>
    </w:p>
    <w:p w14:paraId="2BE853F3" w14:textId="6AF90C37" w:rsidR="00D219BA" w:rsidRPr="003D039F" w:rsidRDefault="003D039F" w:rsidP="003D039F">
      <w:pPr>
        <w:pStyle w:val="Rfrenceinterinstitutionnelle"/>
        <w:rPr>
          <w:noProof/>
        </w:rPr>
      </w:pPr>
      <w:bookmarkStart w:id="0" w:name="_GoBack"/>
      <w:bookmarkEnd w:id="0"/>
      <w:r>
        <w:rPr>
          <w:noProof/>
        </w:rPr>
        <w:lastRenderedPageBreak/>
        <w:t>2023/0228 (COD)</w:t>
      </w:r>
    </w:p>
    <w:p w14:paraId="1C6DCC96" w14:textId="2912288D" w:rsidR="008E5F94" w:rsidRPr="003D039F" w:rsidRDefault="003D039F" w:rsidP="003D039F">
      <w:pPr>
        <w:pStyle w:val="Typedudocument"/>
        <w:rPr>
          <w:noProof/>
        </w:rPr>
      </w:pPr>
      <w:r w:rsidRPr="003D039F">
        <w:rPr>
          <w:noProof/>
        </w:rPr>
        <w:t>COMMUNICATION DE LA COMMISSION AU PARLEMENT EUROPÉEN</w:t>
      </w:r>
      <w:r w:rsidRPr="003D039F">
        <w:rPr>
          <w:noProof/>
        </w:rPr>
        <w:br/>
      </w:r>
      <w:r w:rsidRPr="003D039F">
        <w:rPr>
          <w:noProof/>
        </w:rPr>
        <w:br/>
        <w:t>conformément à l’article 294, paragraphe 6, du traité sur le fonctionnement de l’Union européenne</w:t>
      </w:r>
      <w:r w:rsidRPr="003D039F">
        <w:rPr>
          <w:noProof/>
        </w:rPr>
        <w:br/>
      </w:r>
      <w:r w:rsidRPr="003D039F">
        <w:rPr>
          <w:noProof/>
        </w:rPr>
        <w:br/>
        <w:t>concernant la</w:t>
      </w:r>
    </w:p>
    <w:p w14:paraId="37ADF059" w14:textId="46240A55" w:rsidR="00A732C8" w:rsidRPr="003D039F" w:rsidRDefault="003D039F" w:rsidP="003D039F">
      <w:pPr>
        <w:pStyle w:val="Titreobjet"/>
        <w:rPr>
          <w:noProof/>
        </w:rPr>
      </w:pPr>
      <w:r w:rsidRPr="003D039F">
        <w:rPr>
          <w:noProof/>
        </w:rPr>
        <w:t>position du Conseil sur l’adoption d’un règlement du Parlement européen et du Conseil concernant la production et la commercialisation de matériels forestiers de reproduction, modifiant les règlements(UE) 2016/2031 et (UE) 2017/625 du Parlement européen et du Conseil et abrogeant la directive 1999/105/CE du Conseil (règlement relatif aux MFR)</w:t>
      </w:r>
    </w:p>
    <w:p w14:paraId="065BE1F9" w14:textId="77777777" w:rsidR="00A732C8" w:rsidRPr="003D039F" w:rsidRDefault="00A732C8" w:rsidP="0029748F">
      <w:pPr>
        <w:pStyle w:val="ManualHeading1"/>
        <w:rPr>
          <w:noProof/>
          <w:sz w:val="22"/>
        </w:rPr>
      </w:pPr>
      <w:r w:rsidRPr="003D039F">
        <w:rPr>
          <w:noProof/>
        </w:rPr>
        <w:t>1.</w:t>
      </w:r>
      <w:r w:rsidRPr="003D039F">
        <w:rPr>
          <w:noProof/>
        </w:rPr>
        <w:tab/>
        <w:t>Contexte</w:t>
      </w:r>
    </w:p>
    <w:tbl>
      <w:tblPr>
        <w:tblW w:w="0" w:type="auto"/>
        <w:tblLayout w:type="fixed"/>
        <w:tblLook w:val="0000" w:firstRow="0" w:lastRow="0" w:firstColumn="0" w:lastColumn="0" w:noHBand="0" w:noVBand="0"/>
      </w:tblPr>
      <w:tblGrid>
        <w:gridCol w:w="6804"/>
        <w:gridCol w:w="2483"/>
      </w:tblGrid>
      <w:tr w:rsidR="00A732C8" w:rsidRPr="003D039F" w14:paraId="0FC05D40" w14:textId="77777777" w:rsidTr="0029748F">
        <w:tc>
          <w:tcPr>
            <w:tcW w:w="6804" w:type="dxa"/>
          </w:tcPr>
          <w:p w14:paraId="0DF8C7FB" w14:textId="78DA2296" w:rsidR="00A732C8" w:rsidRPr="003D039F" w:rsidRDefault="00A732C8" w:rsidP="0029748F">
            <w:pPr>
              <w:jc w:val="left"/>
              <w:rPr>
                <w:noProof/>
              </w:rPr>
            </w:pPr>
            <w:r w:rsidRPr="003D039F">
              <w:rPr>
                <w:noProof/>
              </w:rPr>
              <w:t xml:space="preserve">Date de transmission de la proposition au Parlement européen et au Conseil </w:t>
            </w:r>
            <w:r w:rsidRPr="003D039F">
              <w:rPr>
                <w:noProof/>
              </w:rPr>
              <w:br/>
              <w:t>[document COM(2023) 415 final — 2023/0228 COD]:</w:t>
            </w:r>
          </w:p>
        </w:tc>
        <w:tc>
          <w:tcPr>
            <w:tcW w:w="2483" w:type="dxa"/>
          </w:tcPr>
          <w:p w14:paraId="1C1C9658" w14:textId="64480511" w:rsidR="00A732C8" w:rsidRPr="003D039F" w:rsidRDefault="00C77E0F" w:rsidP="0029748F">
            <w:pPr>
              <w:jc w:val="left"/>
              <w:rPr>
                <w:noProof/>
              </w:rPr>
            </w:pPr>
            <w:r w:rsidRPr="003D039F">
              <w:rPr>
                <w:noProof/>
              </w:rPr>
              <w:t>6 juillet 2023</w:t>
            </w:r>
          </w:p>
        </w:tc>
      </w:tr>
      <w:tr w:rsidR="00A732C8" w:rsidRPr="003D039F" w14:paraId="6154A778" w14:textId="77777777" w:rsidTr="0029748F">
        <w:tc>
          <w:tcPr>
            <w:tcW w:w="6804" w:type="dxa"/>
          </w:tcPr>
          <w:p w14:paraId="61C62B54" w14:textId="77777777" w:rsidR="00A732C8" w:rsidRPr="003D039F" w:rsidRDefault="00A732C8" w:rsidP="0029748F">
            <w:pPr>
              <w:rPr>
                <w:noProof/>
              </w:rPr>
            </w:pPr>
            <w:r w:rsidRPr="003D039F">
              <w:rPr>
                <w:noProof/>
              </w:rPr>
              <w:t>Date de l’avis du Comité économique et social européen:</w:t>
            </w:r>
          </w:p>
        </w:tc>
        <w:tc>
          <w:tcPr>
            <w:tcW w:w="2483" w:type="dxa"/>
          </w:tcPr>
          <w:p w14:paraId="0A790F82" w14:textId="6211144D" w:rsidR="00A732C8" w:rsidRPr="003D039F" w:rsidRDefault="008E5F94" w:rsidP="0029748F">
            <w:pPr>
              <w:jc w:val="left"/>
              <w:rPr>
                <w:noProof/>
              </w:rPr>
            </w:pPr>
            <w:r w:rsidRPr="003D039F">
              <w:rPr>
                <w:noProof/>
              </w:rPr>
              <w:t>13 décembre 2023</w:t>
            </w:r>
          </w:p>
        </w:tc>
      </w:tr>
      <w:tr w:rsidR="00A732C8" w:rsidRPr="003D039F" w14:paraId="107923BB" w14:textId="77777777" w:rsidTr="0029748F">
        <w:tc>
          <w:tcPr>
            <w:tcW w:w="6804" w:type="dxa"/>
          </w:tcPr>
          <w:p w14:paraId="07A99E1C" w14:textId="77777777" w:rsidR="00A732C8" w:rsidRPr="003D039F" w:rsidRDefault="00A732C8" w:rsidP="0029748F">
            <w:pPr>
              <w:rPr>
                <w:noProof/>
              </w:rPr>
            </w:pPr>
            <w:r w:rsidRPr="003D039F">
              <w:rPr>
                <w:noProof/>
              </w:rPr>
              <w:t>Date de la position du Parlement européen en première lecture:</w:t>
            </w:r>
          </w:p>
        </w:tc>
        <w:tc>
          <w:tcPr>
            <w:tcW w:w="2483" w:type="dxa"/>
          </w:tcPr>
          <w:p w14:paraId="112340C9" w14:textId="4444A9E9" w:rsidR="00A732C8" w:rsidRPr="003D039F" w:rsidRDefault="008E5F94" w:rsidP="0029748F">
            <w:pPr>
              <w:jc w:val="left"/>
              <w:rPr>
                <w:noProof/>
              </w:rPr>
            </w:pPr>
            <w:r w:rsidRPr="003D039F">
              <w:rPr>
                <w:noProof/>
              </w:rPr>
              <w:t>24 avril 2024</w:t>
            </w:r>
          </w:p>
        </w:tc>
      </w:tr>
      <w:tr w:rsidR="00A732C8" w:rsidRPr="003D039F" w14:paraId="683ADEB7" w14:textId="77777777" w:rsidTr="0029748F">
        <w:tc>
          <w:tcPr>
            <w:tcW w:w="6804" w:type="dxa"/>
          </w:tcPr>
          <w:p w14:paraId="125C8611" w14:textId="77777777" w:rsidR="00A732C8" w:rsidRPr="003D039F" w:rsidRDefault="00A732C8" w:rsidP="0029748F">
            <w:pPr>
              <w:rPr>
                <w:noProof/>
              </w:rPr>
            </w:pPr>
            <w:r w:rsidRPr="003D039F">
              <w:rPr>
                <w:noProof/>
              </w:rPr>
              <w:t>Date de transmission de la proposition modifiée:</w:t>
            </w:r>
          </w:p>
        </w:tc>
        <w:tc>
          <w:tcPr>
            <w:tcW w:w="2483" w:type="dxa"/>
          </w:tcPr>
          <w:p w14:paraId="028FF872" w14:textId="77777777" w:rsidR="00A732C8" w:rsidRPr="003D039F" w:rsidRDefault="00704B48" w:rsidP="0029748F">
            <w:pPr>
              <w:jc w:val="left"/>
              <w:rPr>
                <w:noProof/>
              </w:rPr>
            </w:pPr>
            <w:r w:rsidRPr="003D039F">
              <w:rPr>
                <w:noProof/>
              </w:rPr>
              <w:t>s.o.</w:t>
            </w:r>
          </w:p>
        </w:tc>
      </w:tr>
      <w:tr w:rsidR="00A732C8" w:rsidRPr="003D039F" w14:paraId="0EBF2279" w14:textId="77777777" w:rsidTr="0029748F">
        <w:tc>
          <w:tcPr>
            <w:tcW w:w="6804" w:type="dxa"/>
          </w:tcPr>
          <w:p w14:paraId="357F0041" w14:textId="77777777" w:rsidR="00A732C8" w:rsidRPr="003D039F" w:rsidRDefault="00A732C8" w:rsidP="0029748F">
            <w:pPr>
              <w:rPr>
                <w:noProof/>
              </w:rPr>
            </w:pPr>
            <w:r w:rsidRPr="003D039F">
              <w:rPr>
                <w:noProof/>
              </w:rPr>
              <w:t>Date de l’adoption de la position du Conseil:</w:t>
            </w:r>
          </w:p>
        </w:tc>
        <w:tc>
          <w:tcPr>
            <w:tcW w:w="2483" w:type="dxa"/>
          </w:tcPr>
          <w:p w14:paraId="64398C10" w14:textId="731B374C" w:rsidR="00A732C8" w:rsidRPr="003D039F" w:rsidRDefault="00BC306C" w:rsidP="0029748F">
            <w:pPr>
              <w:jc w:val="left"/>
              <w:rPr>
                <w:noProof/>
              </w:rPr>
            </w:pPr>
            <w:r w:rsidRPr="003D039F">
              <w:rPr>
                <w:noProof/>
              </w:rPr>
              <w:t>21 avril 2026</w:t>
            </w:r>
          </w:p>
        </w:tc>
      </w:tr>
    </w:tbl>
    <w:p w14:paraId="559A3B92" w14:textId="77777777" w:rsidR="00A732C8" w:rsidRPr="003D039F" w:rsidRDefault="00A732C8" w:rsidP="0029748F">
      <w:pPr>
        <w:pStyle w:val="ManualHeading1"/>
        <w:rPr>
          <w:noProof/>
        </w:rPr>
      </w:pPr>
      <w:r w:rsidRPr="003D039F">
        <w:rPr>
          <w:noProof/>
        </w:rPr>
        <w:t>2.</w:t>
      </w:r>
      <w:r w:rsidRPr="003D039F">
        <w:rPr>
          <w:noProof/>
        </w:rPr>
        <w:tab/>
        <w:t>Objectif de la proposition de la Commission</w:t>
      </w:r>
    </w:p>
    <w:p w14:paraId="76735013" w14:textId="249DEF92" w:rsidR="00C62154" w:rsidRPr="003D039F" w:rsidRDefault="00C62154" w:rsidP="00C62154">
      <w:pPr>
        <w:spacing w:before="240" w:after="240"/>
        <w:rPr>
          <w:rFonts w:eastAsia="Times New Roman"/>
          <w:noProof/>
        </w:rPr>
      </w:pPr>
      <w:r w:rsidRPr="003D039F">
        <w:rPr>
          <w:noProof/>
        </w:rPr>
        <w:t xml:space="preserve">L’objectif principal de la proposition porte sur la production et la commercialisation de matériels forestiers de reproduction (MFR) de haute qualité dans l’Union européenne et sur le fonctionnement du marché intérieur dans le secteur des MFR. </w:t>
      </w:r>
    </w:p>
    <w:p w14:paraId="5E43B923" w14:textId="2CA2B30B" w:rsidR="00C62154" w:rsidRPr="003D039F" w:rsidRDefault="00C62154" w:rsidP="00C62154">
      <w:pPr>
        <w:spacing w:before="240" w:after="240"/>
        <w:rPr>
          <w:rFonts w:eastAsia="Times New Roman"/>
          <w:noProof/>
        </w:rPr>
      </w:pPr>
      <w:r w:rsidRPr="003D039F">
        <w:rPr>
          <w:noProof/>
        </w:rPr>
        <w:t xml:space="preserve">La proposition renforce les exigences relatives à l’évaluation des caractères de durabilité des arbres parents afin d’accélérer l’adaptation des forêts au changement climatique. Elle vise à améliorer la conservation des ressources génétiques forestières en introduisant des règles simplifiées qui permettent la sélection d’arbres parents génétiquement diversifiés. Elle offre également aux États membres la possibilité d’élaborer des plans d’urgence garantissant un approvisionnement suffisant en MFR afin de reboiser les zones touchées par des incendies et d’autres catastrophes. Ces mesures visent à contribuer à la création de forêts résilientes et à la restauration des écosystèmes forestiers, tout en soutenant la production de bois et de biomatériaux ainsi que l’adaptation au changement climatique et l’atténuation de ses effets. </w:t>
      </w:r>
    </w:p>
    <w:p w14:paraId="4898819C" w14:textId="4A500918" w:rsidR="00C62154" w:rsidRPr="003D039F" w:rsidRDefault="00C62154" w:rsidP="00C62154">
      <w:pPr>
        <w:spacing w:before="240" w:after="240"/>
        <w:rPr>
          <w:rFonts w:eastAsia="Times New Roman"/>
          <w:noProof/>
        </w:rPr>
      </w:pPr>
      <w:r w:rsidRPr="003D039F">
        <w:rPr>
          <w:noProof/>
        </w:rPr>
        <w:t>Enfin, la proposition aligne la législation sur les évolutions technologiques et scientifiques (procédés innovants de production des MFR, techniques biomoléculaires et numérisation), ainsi que sur d’autres actes législatifs pertinents [par exemple, le règlement (UE) 2016/2031 sur la santé des végétaux] et établit des systèmes de contrôles officiels bien structurés reposant sur les principes du règlement sur les contrôles officiels [règlement (UE) 2017/625].</w:t>
      </w:r>
    </w:p>
    <w:p w14:paraId="4B72FB19" w14:textId="77777777" w:rsidR="00A732C8" w:rsidRPr="003D039F" w:rsidRDefault="00A732C8" w:rsidP="0029748F">
      <w:pPr>
        <w:pStyle w:val="ManualHeading1"/>
        <w:rPr>
          <w:noProof/>
        </w:rPr>
      </w:pPr>
      <w:r w:rsidRPr="003D039F">
        <w:rPr>
          <w:noProof/>
        </w:rPr>
        <w:lastRenderedPageBreak/>
        <w:t>3.</w:t>
      </w:r>
      <w:r w:rsidRPr="003D039F">
        <w:rPr>
          <w:noProof/>
        </w:rPr>
        <w:tab/>
        <w:t>Commentaires sur la position du Conseil</w:t>
      </w:r>
    </w:p>
    <w:p w14:paraId="1517B99D" w14:textId="5267B256" w:rsidR="00D81FB0" w:rsidRPr="003D039F" w:rsidRDefault="00D81FB0" w:rsidP="00D81FB0">
      <w:pPr>
        <w:widowControl w:val="0"/>
        <w:rPr>
          <w:noProof/>
        </w:rPr>
      </w:pPr>
      <w:r w:rsidRPr="003D039F">
        <w:rPr>
          <w:noProof/>
        </w:rPr>
        <w:t>La position du Conseil adoptée en première lecture reflète pleinement l’accord politique auquel sont parvenus le Parlement européen et le Conseil le 8 décembre 2025. La Commission soutient cet accord, dont les principaux points sont exposés ci-après.</w:t>
      </w:r>
    </w:p>
    <w:p w14:paraId="61D30F82" w14:textId="75C902D8" w:rsidR="00BE7CB4" w:rsidRPr="003D039F" w:rsidRDefault="006724CF" w:rsidP="00C74E22">
      <w:pPr>
        <w:pStyle w:val="Bullet0"/>
        <w:numPr>
          <w:ilvl w:val="0"/>
          <w:numId w:val="6"/>
        </w:numPr>
        <w:rPr>
          <w:noProof/>
        </w:rPr>
      </w:pPr>
      <w:r w:rsidRPr="003D039F">
        <w:rPr>
          <w:b/>
          <w:noProof/>
        </w:rPr>
        <w:t>Sur les contrôles officiels (articles 28, 29, 30 et 36):</w:t>
      </w:r>
      <w:r w:rsidRPr="003D039F">
        <w:rPr>
          <w:noProof/>
        </w:rPr>
        <w:t xml:space="preserve"> le texte de compromis approuvé par le Parlement européen et le Conseil étend le champ d’application du règlement sur les contrôles officiels au règlement relatif aux MFR en y intégrant, à son article 36, les dispositions de l’article 13 du règlement sur les contrôles officiels relatif aux comptes rendus écrits des contrôles officiels. En outre, le texte de compromis reproduit d’autres dispositions du règlement sur les contrôles officiels sous une forme simplifiée dans le règlement relatif aux MFR, y compris en ce qui concerne la certification officielle, en tant que nouveau paragraphe à l’article 20; les contrôles de la Commission dans les États membres, en tant que nouvel article 30; les sanctions, en tant que nouvel article 34; et la transparence des contrôles officiels, en tant que nouvel article 29.</w:t>
      </w:r>
    </w:p>
    <w:p w14:paraId="6F35E101" w14:textId="4F4469C8" w:rsidR="00BE7CB4" w:rsidRPr="003D039F" w:rsidRDefault="009F67FD" w:rsidP="00C74E22">
      <w:pPr>
        <w:pStyle w:val="Bullet0"/>
        <w:numPr>
          <w:ilvl w:val="0"/>
          <w:numId w:val="6"/>
        </w:numPr>
        <w:rPr>
          <w:noProof/>
        </w:rPr>
      </w:pPr>
      <w:r w:rsidRPr="003D039F">
        <w:rPr>
          <w:b/>
          <w:noProof/>
        </w:rPr>
        <w:t>Sur l’admission des matériels de base à des fins de conservation des ressources génétiques forestières (article 6)</w:t>
      </w:r>
      <w:r w:rsidRPr="003D039F">
        <w:rPr>
          <w:noProof/>
        </w:rPr>
        <w:t>: le Parlement européen et le Conseil ont marqué leur accord sur la proposition de compromis de la Commission (suppression de l’article 18 de la proposition de la Commission et reformulation de l’article 6). Les États membres peuvent autoriser les opérateurs professionnels à admettre les matériels de base aux fins de la conservation des ressources génétiques forestières. Les États membres peuvent également décider d’enregistrer ces matériels de base dans le registre national (seuls les matériels de base enregistrés dans le registre national peuvent être commercialisés).</w:t>
      </w:r>
      <w:r w:rsidRPr="003D039F">
        <w:rPr>
          <w:b/>
          <w:noProof/>
        </w:rPr>
        <w:t xml:space="preserve"> </w:t>
      </w:r>
    </w:p>
    <w:p w14:paraId="4BCDBA89" w14:textId="4B6C4161" w:rsidR="00BE7CB4" w:rsidRPr="003D039F" w:rsidRDefault="00BE7CB4" w:rsidP="00B653BD">
      <w:pPr>
        <w:pStyle w:val="Bullet0"/>
        <w:rPr>
          <w:noProof/>
        </w:rPr>
      </w:pPr>
      <w:r w:rsidRPr="003D039F">
        <w:rPr>
          <w:b/>
          <w:noProof/>
        </w:rPr>
        <w:t>Sur les exigences de commercialisation applicables aux MFR en ce qui concerne les organismes de qualité</w:t>
      </w:r>
      <w:r w:rsidRPr="003D039F">
        <w:rPr>
          <w:noProof/>
        </w:rPr>
        <w:t xml:space="preserve"> </w:t>
      </w:r>
      <w:r w:rsidRPr="003D039F">
        <w:rPr>
          <w:b/>
          <w:noProof/>
        </w:rPr>
        <w:t>(article 5):</w:t>
      </w:r>
      <w:r w:rsidRPr="003D039F">
        <w:rPr>
          <w:noProof/>
        </w:rPr>
        <w:t xml:space="preserve"> le Parlement européen et le Conseil ont marqué leur accord sur l’amendement du Parlement concernant l’ajout d’une disposition supplémentaire à l’article 5, paragraphe 1, point d), qui exige que, pour que les MFR soient commercialisés, ils soient exempts d’organismes nuisibles à la qualité, ou que la présence de tels organismes nuisibles sur les MFR concernés soit si faible que ces organismes nuisibles n’altèrent pas la qualité de ces MFR. L’accord final maintient cette disposition, légèrement adaptée et accompagnée d’une définition correspondante à l’article 3, point 47), afin de veiller à ce que les contrôles connexes visant à évaluer s’il existe des symptômes de la présence d’organismes de qualité soient effectués en fonction du risque et limités à des inspections visuelles, atténuant ainsi les charges administratives potentielles.</w:t>
      </w:r>
    </w:p>
    <w:p w14:paraId="1C52EA09" w14:textId="5B7FB894" w:rsidR="000C3670" w:rsidRPr="003D039F" w:rsidRDefault="000C3670" w:rsidP="00B653BD">
      <w:pPr>
        <w:pStyle w:val="Bullet0"/>
        <w:rPr>
          <w:noProof/>
        </w:rPr>
      </w:pPr>
      <w:r w:rsidRPr="003D039F">
        <w:rPr>
          <w:b/>
          <w:noProof/>
        </w:rPr>
        <w:t>Sur les plans d’urgence (article 9):</w:t>
      </w:r>
      <w:r w:rsidRPr="003D039F">
        <w:rPr>
          <w:noProof/>
        </w:rPr>
        <w:t xml:space="preserve"> le Parlement européen et le Conseil ont marqué leur accord sur un compromis proche du mandat du Conseil, dans lequel les plans d’urgence restent volontaires. À la demande du Parlement, la liste des éléments susceptibles d’être inclus dans le(s) plan(s) a été étendue. Par ailleurs, une habilitation de la Commission a été ajoutée à l’article 9, paragraphe 4, afin que cette dernière précise les éléments à l’appui de l’établissement et de la mise en œuvre des plans d’urgence.</w:t>
      </w:r>
    </w:p>
    <w:p w14:paraId="7FB8A903" w14:textId="4DD8E274" w:rsidR="00BE7CB4" w:rsidRPr="003D039F" w:rsidRDefault="00BE7CB4" w:rsidP="00B653BD">
      <w:pPr>
        <w:pStyle w:val="Bullet0"/>
        <w:rPr>
          <w:noProof/>
        </w:rPr>
      </w:pPr>
      <w:r w:rsidRPr="003D039F">
        <w:rPr>
          <w:b/>
          <w:noProof/>
        </w:rPr>
        <w:t xml:space="preserve">Sur la date d’application du règlement (article 39): </w:t>
      </w:r>
      <w:r w:rsidRPr="003D039F">
        <w:rPr>
          <w:noProof/>
        </w:rPr>
        <w:t>le Parlement européen et le Conseil</w:t>
      </w:r>
      <w:r w:rsidRPr="003D039F">
        <w:rPr>
          <w:b/>
          <w:noProof/>
        </w:rPr>
        <w:t xml:space="preserve"> </w:t>
      </w:r>
      <w:r w:rsidRPr="003D039F">
        <w:rPr>
          <w:noProof/>
        </w:rPr>
        <w:t>sont convenus de fixer la date d’application à cinq ans après l’entrée en vigueur du règlement relatif aux MFR, conformément au mandat du Conseil</w:t>
      </w:r>
      <w:r w:rsidRPr="003D039F">
        <w:rPr>
          <w:b/>
          <w:noProof/>
        </w:rPr>
        <w:t>.</w:t>
      </w:r>
    </w:p>
    <w:p w14:paraId="3D43FE53" w14:textId="77777777" w:rsidR="00A732C8" w:rsidRPr="003D039F" w:rsidRDefault="00A732C8" w:rsidP="0029748F">
      <w:pPr>
        <w:pStyle w:val="ManualHeading1"/>
        <w:rPr>
          <w:noProof/>
        </w:rPr>
      </w:pPr>
      <w:r w:rsidRPr="003D039F">
        <w:rPr>
          <w:noProof/>
        </w:rPr>
        <w:lastRenderedPageBreak/>
        <w:t>4.</w:t>
      </w:r>
      <w:r w:rsidRPr="003D039F">
        <w:rPr>
          <w:noProof/>
        </w:rPr>
        <w:tab/>
        <w:t>Conclusion</w:t>
      </w:r>
    </w:p>
    <w:p w14:paraId="314537E2" w14:textId="77777777" w:rsidR="00B30718" w:rsidRDefault="008F251C" w:rsidP="0029748F">
      <w:pPr>
        <w:rPr>
          <w:noProof/>
        </w:rPr>
      </w:pPr>
      <w:r w:rsidRPr="003D039F">
        <w:rPr>
          <w:noProof/>
        </w:rPr>
        <w:t>La Commission approuve l’issue des négociations interinstitutionnelles et peut donc accepter la position adoptée par le Conseil en première lecture.</w:t>
      </w:r>
    </w:p>
    <w:p w14:paraId="74809E00" w14:textId="4D362563" w:rsidR="006B3285" w:rsidRPr="003D039F" w:rsidRDefault="006B3285" w:rsidP="0029748F">
      <w:pPr>
        <w:rPr>
          <w:noProof/>
        </w:rPr>
      </w:pPr>
    </w:p>
    <w:sectPr w:rsidR="006B3285" w:rsidRPr="003D039F" w:rsidSect="00073ECE">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90603A" w14:textId="77777777" w:rsidR="0012504C" w:rsidRDefault="0012504C" w:rsidP="00A732C8">
      <w:pPr>
        <w:spacing w:before="0" w:after="0"/>
      </w:pPr>
      <w:r>
        <w:separator/>
      </w:r>
    </w:p>
  </w:endnote>
  <w:endnote w:type="continuationSeparator" w:id="0">
    <w:p w14:paraId="102ADBCE" w14:textId="77777777" w:rsidR="0012504C" w:rsidRDefault="0012504C" w:rsidP="00A732C8">
      <w:pPr>
        <w:spacing w:before="0" w:after="0"/>
      </w:pPr>
      <w:r>
        <w:continuationSeparator/>
      </w:r>
    </w:p>
  </w:endnote>
  <w:endnote w:type="continuationNotice" w:id="1">
    <w:p w14:paraId="2EB0EBEC" w14:textId="77777777" w:rsidR="0012504C" w:rsidRDefault="0012504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46FEA" w14:textId="232A5638" w:rsidR="00073ECE" w:rsidRPr="00073ECE" w:rsidRDefault="00073ECE" w:rsidP="00073ECE">
    <w:pPr>
      <w:pStyle w:val="Footer"/>
      <w:rPr>
        <w:rFonts w:ascii="Arial" w:hAnsi="Arial" w:cs="Arial"/>
        <w:b/>
        <w:sz w:val="48"/>
      </w:rPr>
    </w:pPr>
    <w:r w:rsidRPr="00073ECE">
      <w:rPr>
        <w:rFonts w:ascii="Arial" w:hAnsi="Arial" w:cs="Arial"/>
        <w:b/>
        <w:sz w:val="48"/>
      </w:rPr>
      <w:t>FR</w:t>
    </w:r>
    <w:r w:rsidRPr="00073ECE">
      <w:rPr>
        <w:rFonts w:ascii="Arial" w:hAnsi="Arial" w:cs="Arial"/>
        <w:b/>
        <w:sz w:val="48"/>
      </w:rPr>
      <w:tab/>
    </w:r>
    <w:r w:rsidRPr="00073ECE">
      <w:rPr>
        <w:rFonts w:ascii="Arial" w:hAnsi="Arial" w:cs="Arial"/>
        <w:b/>
        <w:sz w:val="48"/>
      </w:rPr>
      <w:tab/>
    </w:r>
    <w:r w:rsidRPr="00073ECE">
      <w:tab/>
    </w:r>
    <w:r w:rsidRPr="00073EC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67A38" w14:textId="4A650CF5" w:rsidR="00073ECE" w:rsidRPr="00073ECE" w:rsidRDefault="00073ECE" w:rsidP="00073ECE">
    <w:pPr>
      <w:pStyle w:val="Footer"/>
      <w:rPr>
        <w:rFonts w:ascii="Arial" w:hAnsi="Arial" w:cs="Arial"/>
        <w:b/>
        <w:sz w:val="48"/>
      </w:rPr>
    </w:pPr>
    <w:r w:rsidRPr="00073ECE">
      <w:rPr>
        <w:rFonts w:ascii="Arial" w:hAnsi="Arial" w:cs="Arial"/>
        <w:b/>
        <w:sz w:val="48"/>
      </w:rPr>
      <w:t>FR</w:t>
    </w:r>
    <w:r w:rsidRPr="00073ECE">
      <w:rPr>
        <w:rFonts w:ascii="Arial" w:hAnsi="Arial" w:cs="Arial"/>
        <w:b/>
        <w:sz w:val="48"/>
      </w:rPr>
      <w:tab/>
    </w:r>
    <w:r w:rsidRPr="00073ECE">
      <w:rPr>
        <w:rFonts w:ascii="Arial" w:hAnsi="Arial" w:cs="Arial"/>
        <w:b/>
        <w:sz w:val="48"/>
      </w:rPr>
      <w:tab/>
    </w:r>
    <w:r w:rsidRPr="00073ECE">
      <w:tab/>
    </w:r>
    <w:r w:rsidRPr="00073EC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0AAA5" w14:textId="77777777" w:rsidR="00073ECE" w:rsidRDefault="00073EC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58D96" w14:textId="3BDB2E8A" w:rsidR="00073ECE" w:rsidRPr="00073ECE" w:rsidRDefault="00073ECE" w:rsidP="00073ECE">
    <w:pPr>
      <w:pStyle w:val="Footer"/>
      <w:rPr>
        <w:rFonts w:ascii="Arial" w:hAnsi="Arial" w:cs="Arial"/>
        <w:b/>
        <w:sz w:val="48"/>
      </w:rPr>
    </w:pPr>
    <w:r w:rsidRPr="00073ECE">
      <w:rPr>
        <w:rFonts w:ascii="Arial" w:hAnsi="Arial" w:cs="Arial"/>
        <w:b/>
        <w:sz w:val="48"/>
      </w:rPr>
      <w:t>FR</w:t>
    </w:r>
    <w:r w:rsidRPr="00073ECE">
      <w:rPr>
        <w:rFonts w:ascii="Arial" w:hAnsi="Arial" w:cs="Arial"/>
        <w:b/>
        <w:sz w:val="48"/>
      </w:rPr>
      <w:tab/>
    </w:r>
    <w:r>
      <w:fldChar w:fldCharType="begin"/>
    </w:r>
    <w:r>
      <w:instrText xml:space="preserve"> PAGE  \* MERGEFORMAT </w:instrText>
    </w:r>
    <w:r>
      <w:fldChar w:fldCharType="separate"/>
    </w:r>
    <w:r w:rsidR="00D06C19">
      <w:rPr>
        <w:noProof/>
      </w:rPr>
      <w:t>1</w:t>
    </w:r>
    <w:r>
      <w:fldChar w:fldCharType="end"/>
    </w:r>
    <w:r>
      <w:tab/>
    </w:r>
    <w:r w:rsidRPr="00073ECE">
      <w:tab/>
    </w:r>
    <w:r w:rsidRPr="00073ECE">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A4CA9" w14:textId="77777777" w:rsidR="00073ECE" w:rsidRDefault="00073ECE" w:rsidP="00073E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FB8490" w14:textId="77777777" w:rsidR="0012504C" w:rsidRDefault="0012504C" w:rsidP="00A732C8">
      <w:pPr>
        <w:spacing w:before="0" w:after="0"/>
      </w:pPr>
      <w:r>
        <w:separator/>
      </w:r>
    </w:p>
  </w:footnote>
  <w:footnote w:type="continuationSeparator" w:id="0">
    <w:p w14:paraId="0CA6BD10" w14:textId="77777777" w:rsidR="0012504C" w:rsidRDefault="0012504C" w:rsidP="00A732C8">
      <w:pPr>
        <w:spacing w:before="0" w:after="0"/>
      </w:pPr>
      <w:r>
        <w:continuationSeparator/>
      </w:r>
    </w:p>
  </w:footnote>
  <w:footnote w:type="continuationNotice" w:id="1">
    <w:p w14:paraId="385E86D3" w14:textId="77777777" w:rsidR="0012504C" w:rsidRDefault="0012504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911FF" w14:textId="77777777" w:rsidR="00073ECE" w:rsidRDefault="00073E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48442" w14:textId="77777777" w:rsidR="00073ECE" w:rsidRDefault="00073E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36A98C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B49EA5C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41A4AB0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34C5C4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11234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71C4E73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B8294B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67E0863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AF65F2F"/>
    <w:multiLevelType w:val="multilevel"/>
    <w:tmpl w:val="148C959C"/>
    <w:styleLink w:val="ImportedStyle1"/>
    <w:lvl w:ilvl="0">
      <w:start w:val="1"/>
      <w:numFmt w:val="decimal"/>
      <w:lvlText w:val="%1."/>
      <w:lvlJc w:val="left"/>
      <w:pPr>
        <w:tabs>
          <w:tab w:val="left" w:pos="709"/>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709"/>
        </w:tabs>
        <w:ind w:left="420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709"/>
        </w:tabs>
        <w:ind w:left="2138"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709"/>
        </w:tabs>
        <w:ind w:left="2422"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1.%2.%3.%4.(%5)"/>
      <w:lvlJc w:val="left"/>
      <w:pPr>
        <w:tabs>
          <w:tab w:val="left" w:pos="709"/>
        </w:tabs>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1.%2.%3.%4.(%5)(%6)"/>
      <w:lvlJc w:val="left"/>
      <w:pPr>
        <w:tabs>
          <w:tab w:val="left" w:pos="709"/>
        </w:tabs>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709"/>
        </w:tabs>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1.%2.%3.%4.(%5)(%6)%7.%8."/>
      <w:lvlJc w:val="left"/>
      <w:pPr>
        <w:tabs>
          <w:tab w:val="left" w:pos="709"/>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tabs>
          <w:tab w:val="left" w:pos="709"/>
        </w:tabs>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7"/>
  </w:num>
  <w:num w:numId="6">
    <w:abstractNumId w:val="15"/>
    <w:lvlOverride w:ilvl="0">
      <w:startOverride w:val="1"/>
    </w:lvlOverride>
  </w:num>
  <w:num w:numId="7">
    <w:abstractNumId w:val="6"/>
  </w:num>
  <w:num w:numId="8">
    <w:abstractNumId w:val="2"/>
  </w:num>
  <w:num w:numId="9">
    <w:abstractNumId w:val="1"/>
  </w:num>
  <w:num w:numId="10">
    <w:abstractNumId w:val="0"/>
  </w:num>
  <w:num w:numId="11">
    <w:abstractNumId w:val="20"/>
  </w:num>
  <w:num w:numId="12">
    <w:abstractNumId w:val="12"/>
  </w:num>
  <w:num w:numId="13">
    <w:abstractNumId w:val="22"/>
  </w:num>
  <w:num w:numId="14">
    <w:abstractNumId w:val="11"/>
  </w:num>
  <w:num w:numId="15">
    <w:abstractNumId w:val="13"/>
  </w:num>
  <w:num w:numId="16">
    <w:abstractNumId w:val="14"/>
  </w:num>
  <w:num w:numId="17">
    <w:abstractNumId w:val="9"/>
  </w:num>
  <w:num w:numId="18">
    <w:abstractNumId w:val="21"/>
  </w:num>
  <w:num w:numId="19">
    <w:abstractNumId w:val="8"/>
  </w:num>
  <w:num w:numId="20">
    <w:abstractNumId w:val="15"/>
  </w:num>
  <w:num w:numId="21">
    <w:abstractNumId w:val="18"/>
  </w:num>
  <w:num w:numId="22">
    <w:abstractNumId w:val="19"/>
  </w:num>
  <w:num w:numId="23">
    <w:abstractNumId w:val="10"/>
  </w:num>
  <w:num w:numId="24">
    <w:abstractNumId w:val="16"/>
  </w:num>
  <w:num w:numId="25">
    <w:abstractNumId w:val="23"/>
  </w:num>
  <w:num w:numId="26">
    <w:abstractNumId w:val="20"/>
  </w:num>
  <w:num w:numId="27">
    <w:abstractNumId w:val="12"/>
  </w:num>
  <w:num w:numId="28">
    <w:abstractNumId w:val="22"/>
  </w:num>
  <w:num w:numId="29">
    <w:abstractNumId w:val="11"/>
  </w:num>
  <w:num w:numId="30">
    <w:abstractNumId w:val="13"/>
  </w:num>
  <w:num w:numId="31">
    <w:abstractNumId w:val="14"/>
  </w:num>
  <w:num w:numId="32">
    <w:abstractNumId w:val="9"/>
  </w:num>
  <w:num w:numId="33">
    <w:abstractNumId w:val="21"/>
  </w:num>
  <w:num w:numId="34">
    <w:abstractNumId w:val="8"/>
  </w:num>
  <w:num w:numId="35">
    <w:abstractNumId w:val="15"/>
  </w:num>
  <w:num w:numId="36">
    <w:abstractNumId w:val="18"/>
  </w:num>
  <w:num w:numId="37">
    <w:abstractNumId w:val="19"/>
  </w:num>
  <w:num w:numId="38">
    <w:abstractNumId w:val="10"/>
  </w:num>
  <w:num w:numId="39">
    <w:abstractNumId w:val="16"/>
  </w:num>
  <w:num w:numId="40">
    <w:abstractNumId w:val="2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1 09:19:4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C0B8900-F194-4354-8F4A-5ED46ACD7524"/>
    <w:docVar w:name="LW_COVERPAGE_TYPE" w:val="1"/>
    <w:docVar w:name="LW_CreatedUtc" w:val="2025-06-18T15:12:50.4519695Z"/>
    <w:docVar w:name="LW_CROSSREFERENCE" w:val="&lt;UNUSED&gt;"/>
    <w:docVar w:name="LW_DocType" w:val="COM"/>
    <w:docVar w:name="LW_EMISSION" w:val="23.4.2026"/>
    <w:docVar w:name="LW_EMISSION_ISODATE" w:val="2026-04-23"/>
    <w:docVar w:name="LW_EMISSION_LOCATION" w:val="BRX"/>
    <w:docVar w:name="LW_EMISSION_PREFIX" w:val="Bruxelles, le "/>
    <w:docVar w:name="LW_EMISSION_SUFFIX" w:val=" "/>
    <w:docVar w:name="LW_ID_DOCMODEL" w:val="SJ-028"/>
    <w:docVar w:name="LW_ID_DOCSTRUCTURE" w:val="COM/PL/CODEC"/>
    <w:docVar w:name="LW_ID_DOCTYPE" w:val="SJ-028"/>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228"/>
    <w:docVar w:name="LW_REF.II.NEW.CP_YEAR" w:val="2023"/>
    <w:docVar w:name="LW_REF.INST.NEW" w:val="COM"/>
    <w:docVar w:name="LW_REF.INST.NEW_ADOPTED" w:val="final"/>
    <w:docVar w:name="LW_REF.INST.NEW_TEXT" w:val="(2026) 14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sition du Conseil sur l\u8217?adoption d\u8217?un règlement du Parlement européen et du Conseil concernant la production et la commercialisation de matériels forestiers de reproduction, modifiant les règlements(UE) 2016/2031 et (UE) 2017/625 du Parlement européen et du Conseil et abrogeant la directive 1999/105/CE du Conseil (règlement relatif aux MFR)"/>
    <w:docVar w:name="LW_TYPE.DOC.CP" w:val="COMMUNICATION DE LA COMMISSION AU PARLEMENT EUROPÉEN_x000b__x000b_conformément à l\u8217?article 294, paragraphe 6, du traité sur le fonctionnement de l\u8217?Union européenne_x000b__x000b_concernant la"/>
    <w:docVar w:name="LwApiVersions" w:val="LW4CoDe 1.24.5.0; LW 9.2, Build 20251112"/>
  </w:docVars>
  <w:rsids>
    <w:rsidRoot w:val="00A732C8"/>
    <w:rsid w:val="00000E29"/>
    <w:rsid w:val="000024D4"/>
    <w:rsid w:val="00005CE8"/>
    <w:rsid w:val="00010D0D"/>
    <w:rsid w:val="00011D6C"/>
    <w:rsid w:val="000123F9"/>
    <w:rsid w:val="0001421E"/>
    <w:rsid w:val="0003224B"/>
    <w:rsid w:val="000414D8"/>
    <w:rsid w:val="000435A2"/>
    <w:rsid w:val="00047EBC"/>
    <w:rsid w:val="00054150"/>
    <w:rsid w:val="000556F7"/>
    <w:rsid w:val="00057515"/>
    <w:rsid w:val="0006020F"/>
    <w:rsid w:val="000657BA"/>
    <w:rsid w:val="000665D6"/>
    <w:rsid w:val="0006794E"/>
    <w:rsid w:val="00067E24"/>
    <w:rsid w:val="00070F73"/>
    <w:rsid w:val="000723DC"/>
    <w:rsid w:val="00072C09"/>
    <w:rsid w:val="00073ECE"/>
    <w:rsid w:val="00084F9C"/>
    <w:rsid w:val="00095119"/>
    <w:rsid w:val="00096A6C"/>
    <w:rsid w:val="00096F89"/>
    <w:rsid w:val="0009759E"/>
    <w:rsid w:val="000B128B"/>
    <w:rsid w:val="000B2A0D"/>
    <w:rsid w:val="000B3765"/>
    <w:rsid w:val="000B4AC8"/>
    <w:rsid w:val="000B567F"/>
    <w:rsid w:val="000C00E0"/>
    <w:rsid w:val="000C1CFD"/>
    <w:rsid w:val="000C3670"/>
    <w:rsid w:val="000C5F02"/>
    <w:rsid w:val="000D1E64"/>
    <w:rsid w:val="000E1FAB"/>
    <w:rsid w:val="000E2D26"/>
    <w:rsid w:val="000E465E"/>
    <w:rsid w:val="000F5DEA"/>
    <w:rsid w:val="000F77EA"/>
    <w:rsid w:val="00106472"/>
    <w:rsid w:val="001065F5"/>
    <w:rsid w:val="0011005E"/>
    <w:rsid w:val="00113B46"/>
    <w:rsid w:val="001232C2"/>
    <w:rsid w:val="00123851"/>
    <w:rsid w:val="001238EF"/>
    <w:rsid w:val="00123A91"/>
    <w:rsid w:val="0012504C"/>
    <w:rsid w:val="00125DEC"/>
    <w:rsid w:val="0012621F"/>
    <w:rsid w:val="00141905"/>
    <w:rsid w:val="00143940"/>
    <w:rsid w:val="001463E4"/>
    <w:rsid w:val="00147108"/>
    <w:rsid w:val="00152374"/>
    <w:rsid w:val="00155152"/>
    <w:rsid w:val="001566A2"/>
    <w:rsid w:val="00166CE6"/>
    <w:rsid w:val="0017381B"/>
    <w:rsid w:val="00174BA6"/>
    <w:rsid w:val="001764FA"/>
    <w:rsid w:val="001810B3"/>
    <w:rsid w:val="00194525"/>
    <w:rsid w:val="001948F2"/>
    <w:rsid w:val="00194C6E"/>
    <w:rsid w:val="00197613"/>
    <w:rsid w:val="001B170C"/>
    <w:rsid w:val="001B4BF6"/>
    <w:rsid w:val="001C311E"/>
    <w:rsid w:val="001C577F"/>
    <w:rsid w:val="001C58E8"/>
    <w:rsid w:val="001C5CF5"/>
    <w:rsid w:val="001C66AA"/>
    <w:rsid w:val="001D346A"/>
    <w:rsid w:val="001D3C9B"/>
    <w:rsid w:val="001D4D4E"/>
    <w:rsid w:val="001E1720"/>
    <w:rsid w:val="001E2AD7"/>
    <w:rsid w:val="00203A12"/>
    <w:rsid w:val="00207279"/>
    <w:rsid w:val="00207CE0"/>
    <w:rsid w:val="00210014"/>
    <w:rsid w:val="0021435E"/>
    <w:rsid w:val="00214382"/>
    <w:rsid w:val="00214404"/>
    <w:rsid w:val="0022151B"/>
    <w:rsid w:val="00227FB3"/>
    <w:rsid w:val="00233DC7"/>
    <w:rsid w:val="00234628"/>
    <w:rsid w:val="00240BFE"/>
    <w:rsid w:val="00243583"/>
    <w:rsid w:val="00247779"/>
    <w:rsid w:val="002545DF"/>
    <w:rsid w:val="00255ABB"/>
    <w:rsid w:val="00261BD4"/>
    <w:rsid w:val="0026241E"/>
    <w:rsid w:val="00280F96"/>
    <w:rsid w:val="00284ACC"/>
    <w:rsid w:val="00285BEE"/>
    <w:rsid w:val="0029533F"/>
    <w:rsid w:val="0029748F"/>
    <w:rsid w:val="002A200B"/>
    <w:rsid w:val="002A209F"/>
    <w:rsid w:val="002B0E76"/>
    <w:rsid w:val="002B30AF"/>
    <w:rsid w:val="002B51CB"/>
    <w:rsid w:val="002C11B8"/>
    <w:rsid w:val="002C5C57"/>
    <w:rsid w:val="002D0366"/>
    <w:rsid w:val="002D13EE"/>
    <w:rsid w:val="002D6AE0"/>
    <w:rsid w:val="002E1052"/>
    <w:rsid w:val="002E7307"/>
    <w:rsid w:val="002E77D3"/>
    <w:rsid w:val="002F49BC"/>
    <w:rsid w:val="00312517"/>
    <w:rsid w:val="00330371"/>
    <w:rsid w:val="00330F30"/>
    <w:rsid w:val="0033344A"/>
    <w:rsid w:val="00343007"/>
    <w:rsid w:val="003502B5"/>
    <w:rsid w:val="00351C1C"/>
    <w:rsid w:val="00351D99"/>
    <w:rsid w:val="00356228"/>
    <w:rsid w:val="003625C0"/>
    <w:rsid w:val="00362CA5"/>
    <w:rsid w:val="00365C73"/>
    <w:rsid w:val="00366291"/>
    <w:rsid w:val="003722A4"/>
    <w:rsid w:val="003756DA"/>
    <w:rsid w:val="00390C62"/>
    <w:rsid w:val="003A2CF4"/>
    <w:rsid w:val="003A3F90"/>
    <w:rsid w:val="003A53B4"/>
    <w:rsid w:val="003B0D1F"/>
    <w:rsid w:val="003B43ED"/>
    <w:rsid w:val="003B75F0"/>
    <w:rsid w:val="003C09D4"/>
    <w:rsid w:val="003C5681"/>
    <w:rsid w:val="003C56B2"/>
    <w:rsid w:val="003D039F"/>
    <w:rsid w:val="003E5CBF"/>
    <w:rsid w:val="003E76C8"/>
    <w:rsid w:val="003F0806"/>
    <w:rsid w:val="003F2C28"/>
    <w:rsid w:val="003F2C57"/>
    <w:rsid w:val="004000BA"/>
    <w:rsid w:val="0040018E"/>
    <w:rsid w:val="00400CEB"/>
    <w:rsid w:val="00402C39"/>
    <w:rsid w:val="00404694"/>
    <w:rsid w:val="00404B54"/>
    <w:rsid w:val="0040635A"/>
    <w:rsid w:val="00411D23"/>
    <w:rsid w:val="004137CF"/>
    <w:rsid w:val="00414859"/>
    <w:rsid w:val="004258EA"/>
    <w:rsid w:val="0042648E"/>
    <w:rsid w:val="00427913"/>
    <w:rsid w:val="0043025A"/>
    <w:rsid w:val="00440A36"/>
    <w:rsid w:val="00442814"/>
    <w:rsid w:val="004453C8"/>
    <w:rsid w:val="004462BF"/>
    <w:rsid w:val="004568D5"/>
    <w:rsid w:val="004638D7"/>
    <w:rsid w:val="00470E69"/>
    <w:rsid w:val="00471B33"/>
    <w:rsid w:val="0047413A"/>
    <w:rsid w:val="004775C8"/>
    <w:rsid w:val="00481826"/>
    <w:rsid w:val="00490991"/>
    <w:rsid w:val="004936D2"/>
    <w:rsid w:val="004A31C9"/>
    <w:rsid w:val="004C17EA"/>
    <w:rsid w:val="004C2181"/>
    <w:rsid w:val="004C6D40"/>
    <w:rsid w:val="004C75D7"/>
    <w:rsid w:val="004C7C62"/>
    <w:rsid w:val="004E201D"/>
    <w:rsid w:val="004E4C08"/>
    <w:rsid w:val="004E7B90"/>
    <w:rsid w:val="004F56AE"/>
    <w:rsid w:val="005024D6"/>
    <w:rsid w:val="005076C8"/>
    <w:rsid w:val="00510ADB"/>
    <w:rsid w:val="00515BE4"/>
    <w:rsid w:val="00516B1E"/>
    <w:rsid w:val="0052378F"/>
    <w:rsid w:val="00531044"/>
    <w:rsid w:val="005320C6"/>
    <w:rsid w:val="00541C32"/>
    <w:rsid w:val="00550595"/>
    <w:rsid w:val="00552D53"/>
    <w:rsid w:val="0056007E"/>
    <w:rsid w:val="00561147"/>
    <w:rsid w:val="0056170B"/>
    <w:rsid w:val="00562290"/>
    <w:rsid w:val="0056709C"/>
    <w:rsid w:val="0057200B"/>
    <w:rsid w:val="00577482"/>
    <w:rsid w:val="005925B8"/>
    <w:rsid w:val="00594873"/>
    <w:rsid w:val="005A4D6E"/>
    <w:rsid w:val="005B1D43"/>
    <w:rsid w:val="005B1EB6"/>
    <w:rsid w:val="005B4109"/>
    <w:rsid w:val="005B574E"/>
    <w:rsid w:val="005B678B"/>
    <w:rsid w:val="005C0A88"/>
    <w:rsid w:val="005C0B78"/>
    <w:rsid w:val="005D4279"/>
    <w:rsid w:val="005E3213"/>
    <w:rsid w:val="00606011"/>
    <w:rsid w:val="00606830"/>
    <w:rsid w:val="00610CF8"/>
    <w:rsid w:val="006132F7"/>
    <w:rsid w:val="00615849"/>
    <w:rsid w:val="00622BCF"/>
    <w:rsid w:val="006323A4"/>
    <w:rsid w:val="00632812"/>
    <w:rsid w:val="0063470F"/>
    <w:rsid w:val="00657E48"/>
    <w:rsid w:val="00662829"/>
    <w:rsid w:val="00665D7A"/>
    <w:rsid w:val="00670265"/>
    <w:rsid w:val="006724CF"/>
    <w:rsid w:val="0067395A"/>
    <w:rsid w:val="006745B8"/>
    <w:rsid w:val="006819EB"/>
    <w:rsid w:val="00682B2C"/>
    <w:rsid w:val="00685129"/>
    <w:rsid w:val="00695467"/>
    <w:rsid w:val="006A2031"/>
    <w:rsid w:val="006A6A63"/>
    <w:rsid w:val="006A74F5"/>
    <w:rsid w:val="006B3285"/>
    <w:rsid w:val="006B523D"/>
    <w:rsid w:val="006C1C3E"/>
    <w:rsid w:val="006D10A4"/>
    <w:rsid w:val="006D1B78"/>
    <w:rsid w:val="006D7587"/>
    <w:rsid w:val="006E72EE"/>
    <w:rsid w:val="006F0876"/>
    <w:rsid w:val="006F5FDF"/>
    <w:rsid w:val="006F62DF"/>
    <w:rsid w:val="006F6953"/>
    <w:rsid w:val="007016E1"/>
    <w:rsid w:val="00703B3E"/>
    <w:rsid w:val="00704B48"/>
    <w:rsid w:val="0070731E"/>
    <w:rsid w:val="00712FA6"/>
    <w:rsid w:val="007174E3"/>
    <w:rsid w:val="007257C3"/>
    <w:rsid w:val="00730C0F"/>
    <w:rsid w:val="0073106D"/>
    <w:rsid w:val="0073416B"/>
    <w:rsid w:val="00744323"/>
    <w:rsid w:val="00750B96"/>
    <w:rsid w:val="00754C15"/>
    <w:rsid w:val="00755C02"/>
    <w:rsid w:val="007575E3"/>
    <w:rsid w:val="00761528"/>
    <w:rsid w:val="00763675"/>
    <w:rsid w:val="00764F11"/>
    <w:rsid w:val="00766450"/>
    <w:rsid w:val="00766A74"/>
    <w:rsid w:val="007706BE"/>
    <w:rsid w:val="0077074C"/>
    <w:rsid w:val="00773331"/>
    <w:rsid w:val="007804C6"/>
    <w:rsid w:val="0078705F"/>
    <w:rsid w:val="00787E5D"/>
    <w:rsid w:val="007932EF"/>
    <w:rsid w:val="00793CB1"/>
    <w:rsid w:val="00796E2B"/>
    <w:rsid w:val="00797C90"/>
    <w:rsid w:val="007A0865"/>
    <w:rsid w:val="007A3351"/>
    <w:rsid w:val="007B4DC7"/>
    <w:rsid w:val="007B6167"/>
    <w:rsid w:val="007B7221"/>
    <w:rsid w:val="007C5243"/>
    <w:rsid w:val="007D0C76"/>
    <w:rsid w:val="007D0EBF"/>
    <w:rsid w:val="007D1A4F"/>
    <w:rsid w:val="007D3168"/>
    <w:rsid w:val="007E05B0"/>
    <w:rsid w:val="007E374C"/>
    <w:rsid w:val="007E3F72"/>
    <w:rsid w:val="007E7435"/>
    <w:rsid w:val="007F6D88"/>
    <w:rsid w:val="00801EA5"/>
    <w:rsid w:val="00802F57"/>
    <w:rsid w:val="00806A96"/>
    <w:rsid w:val="0081389E"/>
    <w:rsid w:val="00813B21"/>
    <w:rsid w:val="00826F1B"/>
    <w:rsid w:val="00831A63"/>
    <w:rsid w:val="0084706F"/>
    <w:rsid w:val="00852954"/>
    <w:rsid w:val="00853CA7"/>
    <w:rsid w:val="008561A2"/>
    <w:rsid w:val="00856D88"/>
    <w:rsid w:val="00857173"/>
    <w:rsid w:val="008601F1"/>
    <w:rsid w:val="00862BDF"/>
    <w:rsid w:val="00867914"/>
    <w:rsid w:val="008700CC"/>
    <w:rsid w:val="008729A8"/>
    <w:rsid w:val="00874D22"/>
    <w:rsid w:val="0087569C"/>
    <w:rsid w:val="00884F6D"/>
    <w:rsid w:val="00887A74"/>
    <w:rsid w:val="00894A01"/>
    <w:rsid w:val="008A11D7"/>
    <w:rsid w:val="008A2914"/>
    <w:rsid w:val="008A5CC1"/>
    <w:rsid w:val="008A7345"/>
    <w:rsid w:val="008B2F72"/>
    <w:rsid w:val="008B3817"/>
    <w:rsid w:val="008B4752"/>
    <w:rsid w:val="008B6A06"/>
    <w:rsid w:val="008C0305"/>
    <w:rsid w:val="008C113D"/>
    <w:rsid w:val="008C3366"/>
    <w:rsid w:val="008D19C9"/>
    <w:rsid w:val="008D4200"/>
    <w:rsid w:val="008E4D8E"/>
    <w:rsid w:val="008E5D18"/>
    <w:rsid w:val="008E5F94"/>
    <w:rsid w:val="008E7354"/>
    <w:rsid w:val="008F251C"/>
    <w:rsid w:val="008F3D54"/>
    <w:rsid w:val="00912334"/>
    <w:rsid w:val="00912A0F"/>
    <w:rsid w:val="0091565C"/>
    <w:rsid w:val="00922851"/>
    <w:rsid w:val="00927B06"/>
    <w:rsid w:val="00933E0E"/>
    <w:rsid w:val="00935823"/>
    <w:rsid w:val="00935A6E"/>
    <w:rsid w:val="00941EF8"/>
    <w:rsid w:val="00943F19"/>
    <w:rsid w:val="00951C52"/>
    <w:rsid w:val="00953B2E"/>
    <w:rsid w:val="00953D9D"/>
    <w:rsid w:val="0095677F"/>
    <w:rsid w:val="009570B7"/>
    <w:rsid w:val="00972A27"/>
    <w:rsid w:val="009732B5"/>
    <w:rsid w:val="00977F89"/>
    <w:rsid w:val="00981038"/>
    <w:rsid w:val="0098175A"/>
    <w:rsid w:val="00986787"/>
    <w:rsid w:val="00990AD6"/>
    <w:rsid w:val="00991840"/>
    <w:rsid w:val="00994FFC"/>
    <w:rsid w:val="00997221"/>
    <w:rsid w:val="009A3DFF"/>
    <w:rsid w:val="009A5DF4"/>
    <w:rsid w:val="009A6223"/>
    <w:rsid w:val="009B5C8C"/>
    <w:rsid w:val="009B7385"/>
    <w:rsid w:val="009C418C"/>
    <w:rsid w:val="009C7D79"/>
    <w:rsid w:val="009E03AE"/>
    <w:rsid w:val="009E38AD"/>
    <w:rsid w:val="009E75FC"/>
    <w:rsid w:val="009F095C"/>
    <w:rsid w:val="009F67FD"/>
    <w:rsid w:val="00A05331"/>
    <w:rsid w:val="00A13A1A"/>
    <w:rsid w:val="00A21BFB"/>
    <w:rsid w:val="00A225D9"/>
    <w:rsid w:val="00A22C44"/>
    <w:rsid w:val="00A318C6"/>
    <w:rsid w:val="00A36C88"/>
    <w:rsid w:val="00A41373"/>
    <w:rsid w:val="00A41683"/>
    <w:rsid w:val="00A453C6"/>
    <w:rsid w:val="00A50C5C"/>
    <w:rsid w:val="00A52969"/>
    <w:rsid w:val="00A61FDE"/>
    <w:rsid w:val="00A70A0A"/>
    <w:rsid w:val="00A71310"/>
    <w:rsid w:val="00A732C8"/>
    <w:rsid w:val="00A7550E"/>
    <w:rsid w:val="00A91D4D"/>
    <w:rsid w:val="00A961E4"/>
    <w:rsid w:val="00A97BF5"/>
    <w:rsid w:val="00A97CDB"/>
    <w:rsid w:val="00AA7951"/>
    <w:rsid w:val="00AB0F0F"/>
    <w:rsid w:val="00AB32B8"/>
    <w:rsid w:val="00AC1D11"/>
    <w:rsid w:val="00AC20B5"/>
    <w:rsid w:val="00AD2C6B"/>
    <w:rsid w:val="00AD2CF1"/>
    <w:rsid w:val="00AD6170"/>
    <w:rsid w:val="00AE2151"/>
    <w:rsid w:val="00AE4C84"/>
    <w:rsid w:val="00AF2BE6"/>
    <w:rsid w:val="00AF40E6"/>
    <w:rsid w:val="00AF5D1F"/>
    <w:rsid w:val="00AF5D7D"/>
    <w:rsid w:val="00B06528"/>
    <w:rsid w:val="00B104EF"/>
    <w:rsid w:val="00B12A02"/>
    <w:rsid w:val="00B16886"/>
    <w:rsid w:val="00B177D7"/>
    <w:rsid w:val="00B2154F"/>
    <w:rsid w:val="00B24380"/>
    <w:rsid w:val="00B30009"/>
    <w:rsid w:val="00B30718"/>
    <w:rsid w:val="00B309B4"/>
    <w:rsid w:val="00B31ADF"/>
    <w:rsid w:val="00B320C8"/>
    <w:rsid w:val="00B4011E"/>
    <w:rsid w:val="00B467B6"/>
    <w:rsid w:val="00B511C9"/>
    <w:rsid w:val="00B55CB1"/>
    <w:rsid w:val="00B577EB"/>
    <w:rsid w:val="00B63482"/>
    <w:rsid w:val="00B647BE"/>
    <w:rsid w:val="00B653BD"/>
    <w:rsid w:val="00B73549"/>
    <w:rsid w:val="00B75E35"/>
    <w:rsid w:val="00B80D05"/>
    <w:rsid w:val="00B82E5E"/>
    <w:rsid w:val="00B86240"/>
    <w:rsid w:val="00B8783D"/>
    <w:rsid w:val="00B941C8"/>
    <w:rsid w:val="00BA21E8"/>
    <w:rsid w:val="00BA2774"/>
    <w:rsid w:val="00BB2550"/>
    <w:rsid w:val="00BB5243"/>
    <w:rsid w:val="00BB7C0D"/>
    <w:rsid w:val="00BC20E1"/>
    <w:rsid w:val="00BC306C"/>
    <w:rsid w:val="00BD16F3"/>
    <w:rsid w:val="00BD2156"/>
    <w:rsid w:val="00BD49DC"/>
    <w:rsid w:val="00BE3548"/>
    <w:rsid w:val="00BE49DF"/>
    <w:rsid w:val="00BE7CB4"/>
    <w:rsid w:val="00BF1811"/>
    <w:rsid w:val="00BF3479"/>
    <w:rsid w:val="00BF48B8"/>
    <w:rsid w:val="00C06099"/>
    <w:rsid w:val="00C1001B"/>
    <w:rsid w:val="00C12301"/>
    <w:rsid w:val="00C22849"/>
    <w:rsid w:val="00C245EA"/>
    <w:rsid w:val="00C30CD8"/>
    <w:rsid w:val="00C3146B"/>
    <w:rsid w:val="00C3570F"/>
    <w:rsid w:val="00C369D7"/>
    <w:rsid w:val="00C5265E"/>
    <w:rsid w:val="00C62072"/>
    <w:rsid w:val="00C62154"/>
    <w:rsid w:val="00C669AC"/>
    <w:rsid w:val="00C675D6"/>
    <w:rsid w:val="00C70938"/>
    <w:rsid w:val="00C70F70"/>
    <w:rsid w:val="00C719CB"/>
    <w:rsid w:val="00C74E22"/>
    <w:rsid w:val="00C77E0F"/>
    <w:rsid w:val="00C87B30"/>
    <w:rsid w:val="00C92F3E"/>
    <w:rsid w:val="00C9649A"/>
    <w:rsid w:val="00CA4244"/>
    <w:rsid w:val="00CA49B9"/>
    <w:rsid w:val="00CB038E"/>
    <w:rsid w:val="00CC23E3"/>
    <w:rsid w:val="00CC4F6D"/>
    <w:rsid w:val="00CC50E3"/>
    <w:rsid w:val="00CC573C"/>
    <w:rsid w:val="00CD40A5"/>
    <w:rsid w:val="00CD6AC4"/>
    <w:rsid w:val="00CD7D22"/>
    <w:rsid w:val="00CE1234"/>
    <w:rsid w:val="00CE3429"/>
    <w:rsid w:val="00CE475E"/>
    <w:rsid w:val="00CE5744"/>
    <w:rsid w:val="00CE5831"/>
    <w:rsid w:val="00CF0356"/>
    <w:rsid w:val="00D06296"/>
    <w:rsid w:val="00D06C19"/>
    <w:rsid w:val="00D14C65"/>
    <w:rsid w:val="00D16357"/>
    <w:rsid w:val="00D16C9D"/>
    <w:rsid w:val="00D20381"/>
    <w:rsid w:val="00D219BA"/>
    <w:rsid w:val="00D23BD7"/>
    <w:rsid w:val="00D250FF"/>
    <w:rsid w:val="00D251EA"/>
    <w:rsid w:val="00D25450"/>
    <w:rsid w:val="00D31E13"/>
    <w:rsid w:val="00D41EBF"/>
    <w:rsid w:val="00D43647"/>
    <w:rsid w:val="00D46865"/>
    <w:rsid w:val="00D46CE2"/>
    <w:rsid w:val="00D510CD"/>
    <w:rsid w:val="00D514E1"/>
    <w:rsid w:val="00D81FB0"/>
    <w:rsid w:val="00D83C12"/>
    <w:rsid w:val="00D8656B"/>
    <w:rsid w:val="00D9111A"/>
    <w:rsid w:val="00D938DD"/>
    <w:rsid w:val="00DA079B"/>
    <w:rsid w:val="00DA0B8A"/>
    <w:rsid w:val="00DA2343"/>
    <w:rsid w:val="00DA6197"/>
    <w:rsid w:val="00DB11D7"/>
    <w:rsid w:val="00DB3BFB"/>
    <w:rsid w:val="00DC6465"/>
    <w:rsid w:val="00DD0A75"/>
    <w:rsid w:val="00DD712A"/>
    <w:rsid w:val="00DD7DCC"/>
    <w:rsid w:val="00DE1B63"/>
    <w:rsid w:val="00DE43C6"/>
    <w:rsid w:val="00DF7459"/>
    <w:rsid w:val="00E003DB"/>
    <w:rsid w:val="00E13077"/>
    <w:rsid w:val="00E23013"/>
    <w:rsid w:val="00E24D96"/>
    <w:rsid w:val="00E25A16"/>
    <w:rsid w:val="00E265B8"/>
    <w:rsid w:val="00E30631"/>
    <w:rsid w:val="00E3168E"/>
    <w:rsid w:val="00E367F2"/>
    <w:rsid w:val="00E3691A"/>
    <w:rsid w:val="00E3711E"/>
    <w:rsid w:val="00E57EC2"/>
    <w:rsid w:val="00E605F5"/>
    <w:rsid w:val="00E622A4"/>
    <w:rsid w:val="00E63D7A"/>
    <w:rsid w:val="00E71DDC"/>
    <w:rsid w:val="00E7385E"/>
    <w:rsid w:val="00E77342"/>
    <w:rsid w:val="00E84B5A"/>
    <w:rsid w:val="00E907F9"/>
    <w:rsid w:val="00E97F59"/>
    <w:rsid w:val="00EB087E"/>
    <w:rsid w:val="00EB2512"/>
    <w:rsid w:val="00EC0BB6"/>
    <w:rsid w:val="00EC1784"/>
    <w:rsid w:val="00EC4647"/>
    <w:rsid w:val="00EC6EA2"/>
    <w:rsid w:val="00ED0296"/>
    <w:rsid w:val="00EE314C"/>
    <w:rsid w:val="00EE7607"/>
    <w:rsid w:val="00EF1A69"/>
    <w:rsid w:val="00EF5007"/>
    <w:rsid w:val="00EF5B36"/>
    <w:rsid w:val="00F01AD7"/>
    <w:rsid w:val="00F11E4A"/>
    <w:rsid w:val="00F12A20"/>
    <w:rsid w:val="00F243E6"/>
    <w:rsid w:val="00F24C14"/>
    <w:rsid w:val="00F319A6"/>
    <w:rsid w:val="00F452A9"/>
    <w:rsid w:val="00F4702D"/>
    <w:rsid w:val="00F52384"/>
    <w:rsid w:val="00F731E6"/>
    <w:rsid w:val="00F764D1"/>
    <w:rsid w:val="00F818E5"/>
    <w:rsid w:val="00F90DC2"/>
    <w:rsid w:val="00F948A2"/>
    <w:rsid w:val="00FA20B7"/>
    <w:rsid w:val="00FA4E01"/>
    <w:rsid w:val="00FB3902"/>
    <w:rsid w:val="00FB5D34"/>
    <w:rsid w:val="00FC2AF1"/>
    <w:rsid w:val="00FC38F8"/>
    <w:rsid w:val="00FC44B5"/>
    <w:rsid w:val="00FC73F6"/>
    <w:rsid w:val="00FD0D5E"/>
    <w:rsid w:val="00FD0FB0"/>
    <w:rsid w:val="00FD403E"/>
    <w:rsid w:val="00FD507F"/>
    <w:rsid w:val="00FE398C"/>
    <w:rsid w:val="00FE6C49"/>
    <w:rsid w:val="00FF21B9"/>
    <w:rsid w:val="00FF6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7ADFE11"/>
  <w15:docId w15:val="{C0CB5CC8-2AB0-407B-A36D-474A5A1F4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A453C6"/>
    <w:pPr>
      <w:numPr>
        <w:numId w:val="1"/>
      </w:numPr>
      <w:contextualSpacing/>
    </w:pPr>
  </w:style>
  <w:style w:type="paragraph" w:styleId="ListBullet2">
    <w:name w:val="List Bullet 2"/>
    <w:basedOn w:val="Normal"/>
    <w:uiPriority w:val="99"/>
    <w:semiHidden/>
    <w:unhideWhenUsed/>
    <w:rsid w:val="00A453C6"/>
    <w:pPr>
      <w:numPr>
        <w:numId w:val="2"/>
      </w:numPr>
      <w:contextualSpacing/>
    </w:pPr>
  </w:style>
  <w:style w:type="paragraph" w:styleId="ListBullet3">
    <w:name w:val="List Bullet 3"/>
    <w:basedOn w:val="Normal"/>
    <w:uiPriority w:val="99"/>
    <w:semiHidden/>
    <w:unhideWhenUsed/>
    <w:rsid w:val="00A453C6"/>
    <w:pPr>
      <w:numPr>
        <w:numId w:val="3"/>
      </w:numPr>
      <w:contextualSpacing/>
    </w:pPr>
  </w:style>
  <w:style w:type="paragraph" w:styleId="ListBullet4">
    <w:name w:val="List Bullet 4"/>
    <w:basedOn w:val="Normal"/>
    <w:uiPriority w:val="99"/>
    <w:semiHidden/>
    <w:unhideWhenUsed/>
    <w:rsid w:val="00A453C6"/>
    <w:pPr>
      <w:numPr>
        <w:numId w:val="4"/>
      </w:numPr>
      <w:contextualSpacing/>
    </w:pPr>
  </w:style>
  <w:style w:type="character" w:styleId="CommentReference">
    <w:name w:val="annotation reference"/>
    <w:basedOn w:val="DefaultParagraphFont"/>
    <w:uiPriority w:val="99"/>
    <w:semiHidden/>
    <w:unhideWhenUsed/>
    <w:rsid w:val="008F251C"/>
    <w:rPr>
      <w:sz w:val="16"/>
      <w:szCs w:val="16"/>
    </w:rPr>
  </w:style>
  <w:style w:type="paragraph" w:styleId="CommentText">
    <w:name w:val="annotation text"/>
    <w:basedOn w:val="Normal"/>
    <w:link w:val="CommentTextChar"/>
    <w:uiPriority w:val="99"/>
    <w:unhideWhenUsed/>
    <w:rsid w:val="008F251C"/>
    <w:rPr>
      <w:sz w:val="20"/>
      <w:szCs w:val="20"/>
    </w:rPr>
  </w:style>
  <w:style w:type="character" w:customStyle="1" w:styleId="CommentTextChar">
    <w:name w:val="Comment Text Char"/>
    <w:basedOn w:val="DefaultParagraphFont"/>
    <w:link w:val="CommentText"/>
    <w:uiPriority w:val="99"/>
    <w:rsid w:val="008F251C"/>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8F251C"/>
    <w:rPr>
      <w:b/>
      <w:bCs/>
    </w:rPr>
  </w:style>
  <w:style w:type="character" w:customStyle="1" w:styleId="CommentSubjectChar">
    <w:name w:val="Comment Subject Char"/>
    <w:basedOn w:val="CommentTextChar"/>
    <w:link w:val="CommentSubject"/>
    <w:uiPriority w:val="99"/>
    <w:semiHidden/>
    <w:rsid w:val="008F251C"/>
    <w:rPr>
      <w:rFonts w:ascii="Times New Roman" w:hAnsi="Times New Roman" w:cs="Times New Roman"/>
      <w:b/>
      <w:bCs/>
      <w:sz w:val="20"/>
      <w:szCs w:val="20"/>
      <w:lang w:val="fr-FR"/>
    </w:rPr>
  </w:style>
  <w:style w:type="paragraph" w:styleId="ListParagraph">
    <w:name w:val="List Paragraph"/>
    <w:aliases w:val="Fiche List Paragraph,Task Body,Viñetas (Inicio Parrafo),3 Txt tabla,Zerrenda-paragrafoa,Lista multicolor - Énfasis 11,Paragrafo elenco,Nad,Odstavec_muj,Dot pt,F5 List Paragraph,List Paragraph1,No Spacing1,List Paragraph Char Char Char,L,N"/>
    <w:basedOn w:val="Normal"/>
    <w:link w:val="ListParagraphChar"/>
    <w:uiPriority w:val="34"/>
    <w:qFormat/>
    <w:rsid w:val="008F251C"/>
    <w:pPr>
      <w:ind w:left="720"/>
      <w:contextualSpacing/>
    </w:pPr>
  </w:style>
  <w:style w:type="numbering" w:customStyle="1" w:styleId="ImportedStyle1">
    <w:name w:val="Imported Style 1"/>
    <w:rsid w:val="008F251C"/>
    <w:pPr>
      <w:numPr>
        <w:numId w:val="5"/>
      </w:numPr>
    </w:p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Dot pt Char,F5 List Paragraph Char"/>
    <w:link w:val="ListParagraph"/>
    <w:uiPriority w:val="34"/>
    <w:qFormat/>
    <w:locked/>
    <w:rsid w:val="008F251C"/>
    <w:rPr>
      <w:rFonts w:ascii="Times New Roman" w:hAnsi="Times New Roman" w:cs="Times New Roman"/>
      <w:sz w:val="24"/>
      <w:lang w:val="fr-FR"/>
    </w:rPr>
  </w:style>
  <w:style w:type="character" w:styleId="Hyperlink">
    <w:name w:val="Hyperlink"/>
    <w:rsid w:val="000657BA"/>
    <w:rPr>
      <w:u w:val="single"/>
    </w:rPr>
  </w:style>
  <w:style w:type="character" w:customStyle="1" w:styleId="s1">
    <w:name w:val="s1"/>
    <w:basedOn w:val="DefaultParagraphFont"/>
    <w:rsid w:val="00A71310"/>
  </w:style>
  <w:style w:type="character" w:customStyle="1" w:styleId="normaltextrun">
    <w:name w:val="normaltextrun"/>
    <w:basedOn w:val="DefaultParagraphFont"/>
    <w:rsid w:val="001948F2"/>
  </w:style>
  <w:style w:type="paragraph" w:styleId="Revision">
    <w:name w:val="Revision"/>
    <w:hidden/>
    <w:uiPriority w:val="99"/>
    <w:semiHidden/>
    <w:rsid w:val="00D514E1"/>
    <w:pPr>
      <w:spacing w:after="0" w:line="240" w:lineRule="auto"/>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E25A16"/>
    <w:rPr>
      <w:color w:val="605E5C"/>
      <w:shd w:val="clear" w:color="auto" w:fill="E1DFDD"/>
    </w:rPr>
  </w:style>
  <w:style w:type="character" w:customStyle="1" w:styleId="Mention">
    <w:name w:val="Mention"/>
    <w:basedOn w:val="DefaultParagraphFont"/>
    <w:uiPriority w:val="99"/>
    <w:unhideWhenUsed/>
    <w:rsid w:val="007B6167"/>
    <w:rPr>
      <w:color w:val="2B579A"/>
      <w:shd w:val="clear" w:color="auto" w:fill="E1DFDD"/>
    </w:rPr>
  </w:style>
  <w:style w:type="paragraph" w:styleId="Caption">
    <w:name w:val="caption"/>
    <w:basedOn w:val="Normal"/>
    <w:next w:val="Normal"/>
    <w:uiPriority w:val="35"/>
    <w:semiHidden/>
    <w:unhideWhenUsed/>
    <w:qFormat/>
    <w:rsid w:val="00894A01"/>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894A01"/>
    <w:pPr>
      <w:spacing w:after="0"/>
    </w:pPr>
  </w:style>
  <w:style w:type="paragraph" w:styleId="ListNumber">
    <w:name w:val="List Number"/>
    <w:basedOn w:val="Normal"/>
    <w:uiPriority w:val="99"/>
    <w:semiHidden/>
    <w:unhideWhenUsed/>
    <w:rsid w:val="00894A01"/>
    <w:pPr>
      <w:numPr>
        <w:numId w:val="7"/>
      </w:numPr>
      <w:contextualSpacing/>
    </w:pPr>
  </w:style>
  <w:style w:type="paragraph" w:styleId="ListNumber2">
    <w:name w:val="List Number 2"/>
    <w:basedOn w:val="Normal"/>
    <w:uiPriority w:val="99"/>
    <w:semiHidden/>
    <w:unhideWhenUsed/>
    <w:rsid w:val="00894A01"/>
    <w:pPr>
      <w:numPr>
        <w:numId w:val="8"/>
      </w:numPr>
      <w:contextualSpacing/>
    </w:pPr>
  </w:style>
  <w:style w:type="paragraph" w:styleId="ListNumber3">
    <w:name w:val="List Number 3"/>
    <w:basedOn w:val="Normal"/>
    <w:uiPriority w:val="99"/>
    <w:semiHidden/>
    <w:unhideWhenUsed/>
    <w:rsid w:val="00894A01"/>
    <w:pPr>
      <w:numPr>
        <w:numId w:val="9"/>
      </w:numPr>
      <w:contextualSpacing/>
    </w:pPr>
  </w:style>
  <w:style w:type="paragraph" w:styleId="ListNumber4">
    <w:name w:val="List Number 4"/>
    <w:basedOn w:val="Normal"/>
    <w:uiPriority w:val="99"/>
    <w:semiHidden/>
    <w:unhideWhenUsed/>
    <w:rsid w:val="00894A01"/>
    <w:pPr>
      <w:numPr>
        <w:numId w:val="10"/>
      </w:numPr>
      <w:contextualSpacing/>
    </w:pPr>
  </w:style>
  <w:style w:type="character" w:customStyle="1" w:styleId="HeaderChar">
    <w:name w:val="Header Char"/>
    <w:basedOn w:val="DefaultParagraphFont"/>
    <w:link w:val="Header"/>
    <w:uiPriority w:val="99"/>
    <w:rsid w:val="00073ECE"/>
    <w:rPr>
      <w:rFonts w:ascii="Times New Roman" w:hAnsi="Times New Roman" w:cs="Times New Roman"/>
      <w:sz w:val="24"/>
      <w:lang w:val="fr-FR"/>
    </w:rPr>
  </w:style>
  <w:style w:type="character" w:customStyle="1" w:styleId="FooterChar">
    <w:name w:val="Footer Char"/>
    <w:basedOn w:val="DefaultParagraphFont"/>
    <w:link w:val="Footer"/>
    <w:uiPriority w:val="99"/>
    <w:rsid w:val="00073ECE"/>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73EC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73ECE"/>
    <w:pPr>
      <w:spacing w:before="0"/>
      <w:jc w:val="right"/>
    </w:pPr>
    <w:rPr>
      <w:sz w:val="28"/>
    </w:rPr>
  </w:style>
  <w:style w:type="paragraph" w:customStyle="1" w:styleId="FooterSensitivity">
    <w:name w:val="Footer Sensitivity"/>
    <w:basedOn w:val="Normal"/>
    <w:rsid w:val="00073EC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73ECE"/>
    <w:pPr>
      <w:tabs>
        <w:tab w:val="center" w:pos="4535"/>
        <w:tab w:val="right" w:pos="9071"/>
      </w:tabs>
      <w:spacing w:before="0"/>
    </w:pPr>
  </w:style>
  <w:style w:type="paragraph" w:customStyle="1" w:styleId="HeaderLandscape">
    <w:name w:val="HeaderLandscape"/>
    <w:basedOn w:val="Normal"/>
    <w:rsid w:val="00073ECE"/>
    <w:pPr>
      <w:tabs>
        <w:tab w:val="center" w:pos="7285"/>
        <w:tab w:val="right" w:pos="14003"/>
      </w:tabs>
      <w:spacing w:before="0"/>
    </w:pPr>
  </w:style>
  <w:style w:type="paragraph" w:styleId="Footer">
    <w:name w:val="footer"/>
    <w:basedOn w:val="Normal"/>
    <w:link w:val="FooterChar"/>
    <w:uiPriority w:val="99"/>
    <w:unhideWhenUsed/>
    <w:rsid w:val="00073EC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73EC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081260">
      <w:bodyDiv w:val="1"/>
      <w:marLeft w:val="0"/>
      <w:marRight w:val="0"/>
      <w:marTop w:val="0"/>
      <w:marBottom w:val="0"/>
      <w:divBdr>
        <w:top w:val="none" w:sz="0" w:space="0" w:color="auto"/>
        <w:left w:val="none" w:sz="0" w:space="0" w:color="auto"/>
        <w:bottom w:val="none" w:sz="0" w:space="0" w:color="auto"/>
        <w:right w:val="none" w:sz="0" w:space="0" w:color="auto"/>
      </w:divBdr>
    </w:div>
    <w:div w:id="803935785">
      <w:bodyDiv w:val="1"/>
      <w:marLeft w:val="0"/>
      <w:marRight w:val="0"/>
      <w:marTop w:val="0"/>
      <w:marBottom w:val="0"/>
      <w:divBdr>
        <w:top w:val="none" w:sz="0" w:space="0" w:color="auto"/>
        <w:left w:val="none" w:sz="0" w:space="0" w:color="auto"/>
        <w:bottom w:val="none" w:sz="0" w:space="0" w:color="auto"/>
        <w:right w:val="none" w:sz="0" w:space="0" w:color="auto"/>
      </w:divBdr>
    </w:div>
    <w:div w:id="1406761425">
      <w:bodyDiv w:val="1"/>
      <w:marLeft w:val="0"/>
      <w:marRight w:val="0"/>
      <w:marTop w:val="0"/>
      <w:marBottom w:val="0"/>
      <w:divBdr>
        <w:top w:val="none" w:sz="0" w:space="0" w:color="auto"/>
        <w:left w:val="none" w:sz="0" w:space="0" w:color="auto"/>
        <w:bottom w:val="none" w:sz="0" w:space="0" w:color="auto"/>
        <w:right w:val="none" w:sz="0" w:space="0" w:color="auto"/>
      </w:divBdr>
    </w:div>
    <w:div w:id="1574776194">
      <w:bodyDiv w:val="1"/>
      <w:marLeft w:val="0"/>
      <w:marRight w:val="0"/>
      <w:marTop w:val="0"/>
      <w:marBottom w:val="0"/>
      <w:divBdr>
        <w:top w:val="none" w:sz="0" w:space="0" w:color="auto"/>
        <w:left w:val="none" w:sz="0" w:space="0" w:color="auto"/>
        <w:bottom w:val="none" w:sz="0" w:space="0" w:color="auto"/>
        <w:right w:val="none" w:sz="0" w:space="0" w:color="auto"/>
      </w:divBdr>
    </w:div>
    <w:div w:id="1898126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240956e-bdee-49c4-b68a-c9cb132277ec" xsi:nil="true"/>
    <lcf76f155ced4ddcb4097134ff3c332f xmlns="7eb1c2ba-2132-4276-a59e-211d7bb27cb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8C875654CD8B4EA8814A5DB4029BD9" ma:contentTypeVersion="10" ma:contentTypeDescription="Create a new document." ma:contentTypeScope="" ma:versionID="9d8b7a76114cd689a8f309baa0dbe7ce">
  <xsd:schema xmlns:xsd="http://www.w3.org/2001/XMLSchema" xmlns:xs="http://www.w3.org/2001/XMLSchema" xmlns:p="http://schemas.microsoft.com/office/2006/metadata/properties" xmlns:ns2="7eb1c2ba-2132-4276-a59e-211d7bb27cbd" xmlns:ns3="d240956e-bdee-49c4-b68a-c9cb132277ec" targetNamespace="http://schemas.microsoft.com/office/2006/metadata/properties" ma:root="true" ma:fieldsID="ac80e13647c22696a554b60ecb68f4b4" ns2:_="" ns3:_="">
    <xsd:import namespace="7eb1c2ba-2132-4276-a59e-211d7bb27cbd"/>
    <xsd:import namespace="d240956e-bdee-49c4-b68a-c9cb132277e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1c2ba-2132-4276-a59e-211d7bb27c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40956e-bdee-49c4-b68a-c9cb132277e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c91790e-4eb0-4e03-8bd4-044b2bb8185e}" ma:internalName="TaxCatchAll" ma:showField="CatchAllData" ma:web="d240956e-bdee-49c4-b68a-c9cb132277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C7163-3D6D-40AA-A4EC-A1FDFC7149E3}">
  <ds:schemaRefs>
    <ds:schemaRef ds:uri="http://schemas.microsoft.com/office/2006/metadata/properties"/>
    <ds:schemaRef ds:uri="http://schemas.microsoft.com/office/infopath/2007/PartnerControls"/>
    <ds:schemaRef ds:uri="d240956e-bdee-49c4-b68a-c9cb132277ec"/>
    <ds:schemaRef ds:uri="7eb1c2ba-2132-4276-a59e-211d7bb27cbd"/>
  </ds:schemaRefs>
</ds:datastoreItem>
</file>

<file path=customXml/itemProps2.xml><?xml version="1.0" encoding="utf-8"?>
<ds:datastoreItem xmlns:ds="http://schemas.openxmlformats.org/officeDocument/2006/customXml" ds:itemID="{EA9E6148-7CBB-4201-8780-8EF3D36EEC5A}">
  <ds:schemaRefs>
    <ds:schemaRef ds:uri="http://schemas.microsoft.com/sharepoint/v3/contenttype/forms"/>
  </ds:schemaRefs>
</ds:datastoreItem>
</file>

<file path=customXml/itemProps3.xml><?xml version="1.0" encoding="utf-8"?>
<ds:datastoreItem xmlns:ds="http://schemas.openxmlformats.org/officeDocument/2006/customXml" ds:itemID="{FB1AC237-59A2-43DA-8371-EDD126310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1c2ba-2132-4276-a59e-211d7bb27cbd"/>
    <ds:schemaRef ds:uri="d240956e-bdee-49c4-b68a-c9cb132277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A2C716-18B7-4CDA-A7AF-6ABA9F5EF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4</Pages>
  <Words>937</Words>
  <Characters>5341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2026-03-26T11:27:00Z</dcterms:created>
  <dcterms:modified xsi:type="dcterms:W3CDTF">2026-04-21T07:19:00Z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2025-06-18T15:13:26Z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be8ba38c-c33a-42a8-9d43-4a7fa446caca</vt:lpwstr>
  </property>
  <property fmtid="{D5CDD505-2E9C-101B-9397-08002B2CF9AE}" pid="16" name="MSIP_Label_6bd9ddd1-4d20-43f6-abfa-fc3c07406f94_ContentBits">
    <vt:lpwstr>0</vt:lpwstr>
  </property>
  <property fmtid="{D5CDD505-2E9C-101B-9397-08002B2CF9AE}" pid="17" name="ContentTypeId">
    <vt:lpwstr>0x010100ED8C875654CD8B4EA8814A5DB4029BD9</vt:lpwstr>
  </property>
  <property fmtid="{D5CDD505-2E9C-101B-9397-08002B2CF9AE}" pid="18" name="MediaServiceImageTags">
    <vt:lpwstr/>
  </property>
  <property fmtid="{D5CDD505-2E9C-101B-9397-08002B2CF9AE}" pid="19" name="DQCStatus">
    <vt:lpwstr>Green (DQC version 03)</vt:lpwstr>
  </property>
</Properties>
</file>