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C03" w:rsidRDefault="00683EBE" w:rsidP="00683EB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9CEFB97-6B1B-4F33-A2E1-ABC5DF9C989E" style="width:455.25pt;height:371.25pt">
            <v:imagedata r:id="rId11" o:title=""/>
          </v:shape>
        </w:pict>
      </w:r>
    </w:p>
    <w:p w:rsidR="00717C03" w:rsidRDefault="00717C03" w:rsidP="00717C03">
      <w:pPr>
        <w:rPr>
          <w:noProof/>
        </w:rPr>
        <w:sectPr w:rsidR="00717C03" w:rsidSect="00683EBE">
          <w:footerReference w:type="even" r:id="rId12"/>
          <w:footerReference w:type="default" r:id="rId13"/>
          <w:pgSz w:w="11907" w:h="16839"/>
          <w:pgMar w:top="1134" w:right="1417" w:bottom="1134" w:left="1417" w:header="709" w:footer="709" w:gutter="0"/>
          <w:pgNumType w:start="0"/>
          <w:cols w:space="720"/>
          <w:docGrid w:linePitch="360"/>
        </w:sectPr>
      </w:pPr>
    </w:p>
    <w:p w:rsidR="00717C03" w:rsidRDefault="00717C03" w:rsidP="00C92807">
      <w:pPr>
        <w:pStyle w:val="Exposdesmotifstitre"/>
        <w:rPr>
          <w:noProof/>
        </w:rPr>
      </w:pPr>
      <w:bookmarkStart w:id="0" w:name="_GoBack"/>
      <w:bookmarkEnd w:id="0"/>
      <w:r w:rsidRPr="006F770D">
        <w:rPr>
          <w:noProof/>
        </w:rPr>
        <w:lastRenderedPageBreak/>
        <w:t>EXPLANATORY MEMORANDUM</w:t>
      </w:r>
    </w:p>
    <w:p w:rsidR="00717C03" w:rsidRPr="00E34F04" w:rsidRDefault="009128BF" w:rsidP="009128BF">
      <w:pPr>
        <w:pStyle w:val="ManualHeading1"/>
        <w:rPr>
          <w:noProof/>
        </w:rPr>
      </w:pPr>
      <w:r w:rsidRPr="009128BF">
        <w:rPr>
          <w:noProof/>
        </w:rPr>
        <w:t>1.</w:t>
      </w:r>
      <w:r w:rsidRPr="009128BF">
        <w:rPr>
          <w:noProof/>
        </w:rPr>
        <w:tab/>
      </w:r>
      <w:r w:rsidR="00717C03" w:rsidRPr="00E34F04">
        <w:rPr>
          <w:noProof/>
        </w:rPr>
        <w:t>Subject matter of the proposal</w:t>
      </w:r>
    </w:p>
    <w:p w:rsidR="00717C03" w:rsidRPr="00E34F04" w:rsidRDefault="002C193B" w:rsidP="00C92807">
      <w:pPr>
        <w:rPr>
          <w:rFonts w:eastAsia="Arial Unicode MS"/>
          <w:noProof/>
        </w:rPr>
      </w:pPr>
      <w:r w:rsidRPr="002C193B">
        <w:rPr>
          <w:rFonts w:eastAsia="Arial Unicode MS"/>
          <w:noProof/>
        </w:rPr>
        <w:t xml:space="preserve">This proposal concerns the decision establishing the position to be taken on the Union's behalf in the Council of Members of the International Olive Council ("IOC") in connection with the envisaged adoption </w:t>
      </w:r>
      <w:r w:rsidR="000154CB">
        <w:rPr>
          <w:rFonts w:eastAsia="Arial Unicode MS"/>
          <w:noProof/>
        </w:rPr>
        <w:t xml:space="preserve">by </w:t>
      </w:r>
      <w:r w:rsidR="00CE4698">
        <w:rPr>
          <w:rFonts w:eastAsia="Arial Unicode MS"/>
          <w:noProof/>
        </w:rPr>
        <w:t>exchange of</w:t>
      </w:r>
      <w:r w:rsidR="000154CB">
        <w:rPr>
          <w:rFonts w:eastAsia="Arial Unicode MS"/>
          <w:noProof/>
        </w:rPr>
        <w:t xml:space="preserve"> correspondence </w:t>
      </w:r>
      <w:r w:rsidRPr="002C193B">
        <w:rPr>
          <w:rFonts w:eastAsia="Arial Unicode MS"/>
          <w:noProof/>
        </w:rPr>
        <w:t xml:space="preserve">of </w:t>
      </w:r>
      <w:r w:rsidR="000154CB">
        <w:rPr>
          <w:rFonts w:eastAsia="Arial Unicode MS"/>
          <w:noProof/>
        </w:rPr>
        <w:t>two</w:t>
      </w:r>
      <w:r w:rsidRPr="002C193B">
        <w:rPr>
          <w:rFonts w:eastAsia="Arial Unicode MS"/>
          <w:noProof/>
        </w:rPr>
        <w:t xml:space="preserve"> decision</w:t>
      </w:r>
      <w:r w:rsidR="000154CB">
        <w:rPr>
          <w:rFonts w:eastAsia="Arial Unicode MS"/>
          <w:noProof/>
        </w:rPr>
        <w:t>s:</w:t>
      </w:r>
      <w:r w:rsidRPr="002C193B">
        <w:rPr>
          <w:rFonts w:eastAsia="Arial Unicode MS"/>
          <w:noProof/>
        </w:rPr>
        <w:t xml:space="preserve"> </w:t>
      </w:r>
      <w:r w:rsidR="000154CB">
        <w:rPr>
          <w:rFonts w:eastAsia="Arial Unicode MS"/>
          <w:noProof/>
        </w:rPr>
        <w:t>a revision of</w:t>
      </w:r>
      <w:r w:rsidRPr="002C193B">
        <w:rPr>
          <w:rFonts w:eastAsia="Arial Unicode MS"/>
          <w:noProof/>
        </w:rPr>
        <w:t xml:space="preserve"> the </w:t>
      </w:r>
      <w:r w:rsidR="00473C6A">
        <w:rPr>
          <w:rFonts w:eastAsia="Arial Unicode MS"/>
          <w:noProof/>
        </w:rPr>
        <w:t>t</w:t>
      </w:r>
      <w:r w:rsidRPr="002C193B">
        <w:rPr>
          <w:rFonts w:eastAsia="Arial Unicode MS"/>
          <w:noProof/>
        </w:rPr>
        <w:t xml:space="preserve">rade </w:t>
      </w:r>
      <w:r w:rsidR="00473C6A">
        <w:rPr>
          <w:rFonts w:eastAsia="Arial Unicode MS"/>
          <w:noProof/>
        </w:rPr>
        <w:t>s</w:t>
      </w:r>
      <w:r w:rsidRPr="002C193B">
        <w:rPr>
          <w:rFonts w:eastAsia="Arial Unicode MS"/>
          <w:noProof/>
        </w:rPr>
        <w:t>tandard for olive oil and olive-pomace oil</w:t>
      </w:r>
      <w:r w:rsidR="000154CB">
        <w:rPr>
          <w:rFonts w:eastAsia="Arial Unicode MS"/>
          <w:noProof/>
        </w:rPr>
        <w:t xml:space="preserve"> and a new IOC method for determining the peroxide value in olive oils and olive-pomace oils</w:t>
      </w:r>
      <w:r w:rsidRPr="002C193B">
        <w:rPr>
          <w:rFonts w:eastAsia="Arial Unicode MS"/>
          <w:noProof/>
        </w:rPr>
        <w:t>.</w:t>
      </w:r>
    </w:p>
    <w:p w:rsidR="00717C03" w:rsidRPr="00E34F04" w:rsidRDefault="009128BF" w:rsidP="009128BF">
      <w:pPr>
        <w:pStyle w:val="ManualHeading1"/>
        <w:rPr>
          <w:noProof/>
        </w:rPr>
      </w:pPr>
      <w:r w:rsidRPr="009128BF">
        <w:rPr>
          <w:noProof/>
        </w:rPr>
        <w:t>2.</w:t>
      </w:r>
      <w:r w:rsidRPr="009128BF">
        <w:rPr>
          <w:noProof/>
        </w:rPr>
        <w:tab/>
      </w:r>
      <w:r w:rsidR="00717C03" w:rsidRPr="00E34F04">
        <w:rPr>
          <w:noProof/>
        </w:rPr>
        <w:t>Context of the proposal</w:t>
      </w:r>
    </w:p>
    <w:p w:rsidR="00717C03" w:rsidRPr="002C193B" w:rsidRDefault="009128BF" w:rsidP="009128BF">
      <w:pPr>
        <w:pStyle w:val="ManualHeading2"/>
        <w:rPr>
          <w:noProof/>
        </w:rPr>
      </w:pPr>
      <w:r w:rsidRPr="009128BF">
        <w:rPr>
          <w:noProof/>
        </w:rPr>
        <w:t>2.1.</w:t>
      </w:r>
      <w:r w:rsidRPr="009128BF">
        <w:rPr>
          <w:noProof/>
        </w:rPr>
        <w:tab/>
      </w:r>
      <w:r w:rsidR="00717C03" w:rsidRPr="002C193B">
        <w:rPr>
          <w:noProof/>
        </w:rPr>
        <w:t xml:space="preserve">The </w:t>
      </w:r>
      <w:r w:rsidR="002C193B" w:rsidRPr="00C33A39">
        <w:rPr>
          <w:noProof/>
        </w:rPr>
        <w:t>International Agreement on Olive Oil and Table Olives, 2015</w:t>
      </w:r>
    </w:p>
    <w:p w:rsidR="002C193B" w:rsidRPr="002C193B" w:rsidRDefault="002C193B" w:rsidP="002C193B">
      <w:pPr>
        <w:rPr>
          <w:rFonts w:eastAsia="Arial Unicode MS"/>
          <w:noProof/>
        </w:rPr>
      </w:pPr>
      <w:r w:rsidRPr="002C193B">
        <w:rPr>
          <w:rFonts w:eastAsia="Arial Unicode MS"/>
          <w:noProof/>
        </w:rPr>
        <w:t>The International Agreement on Olive Oil and Table Olives, 2015 (‘the Agreement’) aims (i) to seek to achieve uniformity in national and international legislation relating to the physico-chemical and organoleptic characteristics of olive oils, olive-pomace oils and table olives in order to prevent any obstacle to trade (ii) to conduct activities in the area of physico-chemical and organoleptic testing in order to add to the knowledge of the composition and quality characteristics of olive products, with a view to consolidating international standards, and (iii) to strengthen the role of the International Olive Council as a forum of excellence for the international scientific community in the area of olives and olive oil.</w:t>
      </w:r>
    </w:p>
    <w:p w:rsidR="002C193B" w:rsidRPr="002C193B" w:rsidRDefault="002C193B" w:rsidP="002C193B">
      <w:pPr>
        <w:rPr>
          <w:rFonts w:eastAsia="Arial Unicode MS"/>
          <w:noProof/>
        </w:rPr>
      </w:pPr>
      <w:r w:rsidRPr="002C193B">
        <w:rPr>
          <w:rFonts w:eastAsia="Arial Unicode MS"/>
          <w:noProof/>
        </w:rPr>
        <w:t>The renewed version of the Agreement entered into force on 1 January 2017.</w:t>
      </w:r>
    </w:p>
    <w:p w:rsidR="00717C03" w:rsidRPr="002C193B" w:rsidRDefault="002C193B" w:rsidP="00C33A39">
      <w:pPr>
        <w:rPr>
          <w:rFonts w:eastAsia="Arial Unicode MS"/>
          <w:noProof/>
        </w:rPr>
      </w:pPr>
      <w:r w:rsidRPr="002C193B">
        <w:rPr>
          <w:rFonts w:eastAsia="Arial Unicode MS"/>
          <w:noProof/>
        </w:rPr>
        <w:t>The European Union is a party to the Agreement</w:t>
      </w:r>
      <w:r w:rsidRPr="00C33A39">
        <w:rPr>
          <w:rStyle w:val="FootnoteReference"/>
          <w:noProof/>
        </w:rPr>
        <w:footnoteReference w:id="2"/>
      </w:r>
      <w:r w:rsidRPr="002C193B">
        <w:rPr>
          <w:rFonts w:eastAsia="Arial Unicode MS"/>
          <w:noProof/>
        </w:rPr>
        <w:t>.</w:t>
      </w:r>
    </w:p>
    <w:p w:rsidR="00717C03" w:rsidRPr="002C193B" w:rsidRDefault="009128BF" w:rsidP="009128BF">
      <w:pPr>
        <w:pStyle w:val="ManualHeading2"/>
        <w:rPr>
          <w:noProof/>
        </w:rPr>
      </w:pPr>
      <w:r w:rsidRPr="009128BF">
        <w:rPr>
          <w:noProof/>
        </w:rPr>
        <w:t>2.2.</w:t>
      </w:r>
      <w:r w:rsidRPr="009128BF">
        <w:rPr>
          <w:noProof/>
        </w:rPr>
        <w:tab/>
      </w:r>
      <w:r w:rsidR="00717C03" w:rsidRPr="002C193B">
        <w:rPr>
          <w:noProof/>
        </w:rPr>
        <w:t xml:space="preserve">The </w:t>
      </w:r>
      <w:r w:rsidR="002C193B" w:rsidRPr="00C33A39">
        <w:rPr>
          <w:noProof/>
        </w:rPr>
        <w:t>Council of Members</w:t>
      </w:r>
    </w:p>
    <w:p w:rsidR="002C193B" w:rsidRPr="00D80B00" w:rsidRDefault="002C193B" w:rsidP="002C193B">
      <w:pPr>
        <w:rPr>
          <w:noProof/>
        </w:rPr>
      </w:pPr>
      <w:r w:rsidRPr="00963CC0">
        <w:rPr>
          <w:rFonts w:eastAsia="Arial Unicode MS"/>
          <w:noProof/>
        </w:rPr>
        <w:t xml:space="preserve">The </w:t>
      </w:r>
      <w:r w:rsidRPr="00D80B00">
        <w:rPr>
          <w:noProof/>
        </w:rPr>
        <w:t>Council of Members of the International Olive Council (</w:t>
      </w:r>
      <w:r>
        <w:rPr>
          <w:noProof/>
        </w:rPr>
        <w:t>“</w:t>
      </w:r>
      <w:r w:rsidRPr="00D80B00">
        <w:rPr>
          <w:noProof/>
        </w:rPr>
        <w:t>the Council of Members</w:t>
      </w:r>
      <w:r>
        <w:rPr>
          <w:noProof/>
        </w:rPr>
        <w:t>”</w:t>
      </w:r>
      <w:r w:rsidRPr="00D80B00">
        <w:rPr>
          <w:noProof/>
        </w:rPr>
        <w:t xml:space="preserve">) is the highest authority and decision-making organ of the IOC and shall exercise all such powers and functions as are necessary to achieve the objectives of this Agreement. As a party to the Agreement, the European Union is a member of the IOC and is represented in the Council of Members. The decisions of the Council of Members shall be taken by consensus. </w:t>
      </w:r>
      <w:r w:rsidR="000154CB" w:rsidRPr="000154CB">
        <w:rPr>
          <w:noProof/>
        </w:rPr>
        <w:t xml:space="preserve">If consensus cannot be reached, decisions related to the </w:t>
      </w:r>
      <w:r w:rsidR="00473C6A">
        <w:rPr>
          <w:noProof/>
        </w:rPr>
        <w:t>t</w:t>
      </w:r>
      <w:r w:rsidR="000154CB" w:rsidRPr="000154CB">
        <w:rPr>
          <w:noProof/>
        </w:rPr>
        <w:t xml:space="preserve">rade </w:t>
      </w:r>
      <w:r w:rsidR="00473C6A">
        <w:rPr>
          <w:noProof/>
        </w:rPr>
        <w:t>s</w:t>
      </w:r>
      <w:r w:rsidR="000154CB" w:rsidRPr="000154CB">
        <w:rPr>
          <w:noProof/>
        </w:rPr>
        <w:t xml:space="preserve">tandard </w:t>
      </w:r>
      <w:r w:rsidR="000154CB">
        <w:rPr>
          <w:noProof/>
        </w:rPr>
        <w:t xml:space="preserve">and methods </w:t>
      </w:r>
      <w:r w:rsidR="000154CB" w:rsidRPr="000154CB">
        <w:rPr>
          <w:noProof/>
        </w:rPr>
        <w:t>would be adopted unless they are rejected by at least one quarter of the members or by a member or members with at least a total of 100 participation shares.</w:t>
      </w:r>
    </w:p>
    <w:p w:rsidR="00717C03" w:rsidRPr="00733A7E" w:rsidRDefault="002C193B" w:rsidP="002C193B">
      <w:pPr>
        <w:rPr>
          <w:rFonts w:eastAsia="Arial Unicode MS"/>
          <w:noProof/>
        </w:rPr>
      </w:pPr>
      <w:r w:rsidRPr="00733A7E">
        <w:rPr>
          <w:noProof/>
        </w:rPr>
        <w:t>There are currently 21 members in the IOC and the European Union has 647 participation shares out of a total of 1000.</w:t>
      </w:r>
    </w:p>
    <w:p w:rsidR="00717C03" w:rsidRPr="002C193B" w:rsidRDefault="009128BF" w:rsidP="009128BF">
      <w:pPr>
        <w:pStyle w:val="ManualHeading2"/>
        <w:rPr>
          <w:noProof/>
        </w:rPr>
      </w:pPr>
      <w:r w:rsidRPr="009128BF">
        <w:rPr>
          <w:noProof/>
        </w:rPr>
        <w:t>2.3.</w:t>
      </w:r>
      <w:r w:rsidRPr="009128BF">
        <w:rPr>
          <w:noProof/>
        </w:rPr>
        <w:tab/>
      </w:r>
      <w:r w:rsidR="00717C03" w:rsidRPr="00733A7E">
        <w:rPr>
          <w:noProof/>
        </w:rPr>
        <w:t xml:space="preserve">The envisaged act of the </w:t>
      </w:r>
      <w:r w:rsidR="002C193B" w:rsidRPr="00733A7E">
        <w:rPr>
          <w:noProof/>
        </w:rPr>
        <w:t>Council</w:t>
      </w:r>
      <w:r w:rsidR="002C193B" w:rsidRPr="00C33A39">
        <w:rPr>
          <w:noProof/>
        </w:rPr>
        <w:t xml:space="preserve"> of Members</w:t>
      </w:r>
    </w:p>
    <w:p w:rsidR="002C193B" w:rsidRPr="002C193B" w:rsidRDefault="002C193B" w:rsidP="008D01CE">
      <w:pPr>
        <w:rPr>
          <w:rFonts w:eastAsia="Arial Unicode MS"/>
          <w:noProof/>
        </w:rPr>
      </w:pPr>
      <w:r w:rsidRPr="002C193B">
        <w:rPr>
          <w:noProof/>
        </w:rPr>
        <w:t xml:space="preserve">In </w:t>
      </w:r>
      <w:r>
        <w:rPr>
          <w:noProof/>
        </w:rPr>
        <w:t xml:space="preserve">November </w:t>
      </w:r>
      <w:r w:rsidRPr="002C193B">
        <w:rPr>
          <w:noProof/>
        </w:rPr>
        <w:t>202</w:t>
      </w:r>
      <w:r w:rsidR="004C16EE">
        <w:rPr>
          <w:noProof/>
        </w:rPr>
        <w:t>5</w:t>
      </w:r>
      <w:r w:rsidRPr="002C193B">
        <w:rPr>
          <w:noProof/>
        </w:rPr>
        <w:t xml:space="preserve">, the Executive Secretariat of the IOC presented to its Members the text of </w:t>
      </w:r>
      <w:r w:rsidR="004C16EE">
        <w:rPr>
          <w:noProof/>
        </w:rPr>
        <w:t>two</w:t>
      </w:r>
      <w:r w:rsidRPr="002C193B">
        <w:rPr>
          <w:noProof/>
        </w:rPr>
        <w:t xml:space="preserve"> decision</w:t>
      </w:r>
      <w:r w:rsidR="0032361B">
        <w:rPr>
          <w:noProof/>
        </w:rPr>
        <w:t>s</w:t>
      </w:r>
      <w:r w:rsidRPr="002C193B">
        <w:rPr>
          <w:noProof/>
        </w:rPr>
        <w:t xml:space="preserve"> regarding chemistry and standardisation </w:t>
      </w:r>
      <w:r w:rsidR="004C16EE">
        <w:rPr>
          <w:noProof/>
        </w:rPr>
        <w:t xml:space="preserve">and specified that they intend to submit them for adoption by </w:t>
      </w:r>
      <w:r w:rsidR="00CE4698">
        <w:rPr>
          <w:noProof/>
        </w:rPr>
        <w:t>exchange of</w:t>
      </w:r>
      <w:r w:rsidR="004C16EE">
        <w:rPr>
          <w:noProof/>
        </w:rPr>
        <w:t xml:space="preserve"> correspondence</w:t>
      </w:r>
      <w:r w:rsidRPr="002C193B">
        <w:rPr>
          <w:noProof/>
        </w:rPr>
        <w:t xml:space="preserve">. </w:t>
      </w:r>
      <w:r w:rsidR="004C16EE">
        <w:rPr>
          <w:rFonts w:eastAsia="Arial Unicode MS"/>
          <w:noProof/>
        </w:rPr>
        <w:t xml:space="preserve">One decision </w:t>
      </w:r>
      <w:r w:rsidRPr="002C193B">
        <w:rPr>
          <w:rFonts w:eastAsia="Arial Unicode MS"/>
          <w:noProof/>
        </w:rPr>
        <w:t>modif</w:t>
      </w:r>
      <w:r w:rsidR="004C16EE">
        <w:rPr>
          <w:rFonts w:eastAsia="Arial Unicode MS"/>
          <w:noProof/>
        </w:rPr>
        <w:t>ies</w:t>
      </w:r>
      <w:r w:rsidRPr="002C193B">
        <w:rPr>
          <w:rFonts w:eastAsia="Arial Unicode MS"/>
          <w:noProof/>
        </w:rPr>
        <w:t xml:space="preserve"> the </w:t>
      </w:r>
      <w:r w:rsidR="00C427E4">
        <w:rPr>
          <w:rFonts w:eastAsia="Arial Unicode MS"/>
          <w:noProof/>
        </w:rPr>
        <w:t xml:space="preserve">IOC </w:t>
      </w:r>
      <w:r w:rsidR="00473C6A">
        <w:rPr>
          <w:rFonts w:eastAsia="Arial Unicode MS"/>
          <w:noProof/>
        </w:rPr>
        <w:t>t</w:t>
      </w:r>
      <w:r w:rsidRPr="002C193B">
        <w:rPr>
          <w:rFonts w:eastAsia="Arial Unicode MS"/>
          <w:noProof/>
        </w:rPr>
        <w:t xml:space="preserve">rade </w:t>
      </w:r>
      <w:r w:rsidR="00473C6A">
        <w:rPr>
          <w:rFonts w:eastAsia="Arial Unicode MS"/>
          <w:noProof/>
        </w:rPr>
        <w:t>s</w:t>
      </w:r>
      <w:r w:rsidRPr="002C193B">
        <w:rPr>
          <w:rFonts w:eastAsia="Arial Unicode MS"/>
          <w:noProof/>
        </w:rPr>
        <w:t>tandard for olive oil and olive-pomace oil</w:t>
      </w:r>
      <w:r w:rsidR="00C427E4">
        <w:rPr>
          <w:rFonts w:eastAsia="Arial Unicode MS"/>
          <w:noProof/>
        </w:rPr>
        <w:t xml:space="preserve"> </w:t>
      </w:r>
      <w:r w:rsidR="000525F6">
        <w:rPr>
          <w:rFonts w:eastAsia="Arial Unicode MS"/>
          <w:noProof/>
        </w:rPr>
        <w:t>(</w:t>
      </w:r>
      <w:r w:rsidR="000525F6" w:rsidRPr="00C427E4">
        <w:rPr>
          <w:rFonts w:eastAsia="Arial Unicode MS"/>
          <w:noProof/>
        </w:rPr>
        <w:t>COI/T.15/NC No. 3/Rev. 2</w:t>
      </w:r>
      <w:r w:rsidR="000525F6">
        <w:rPr>
          <w:rFonts w:eastAsia="Arial Unicode MS"/>
          <w:noProof/>
        </w:rPr>
        <w:t xml:space="preserve">2) </w:t>
      </w:r>
      <w:r w:rsidR="00D62F02" w:rsidRPr="00D62F02">
        <w:rPr>
          <w:rFonts w:eastAsia="Arial Unicode MS"/>
          <w:noProof/>
        </w:rPr>
        <w:t xml:space="preserve">by adding the Coratina variety </w:t>
      </w:r>
      <w:r w:rsidR="00D62F02">
        <w:rPr>
          <w:rFonts w:eastAsia="Arial Unicode MS"/>
          <w:noProof/>
        </w:rPr>
        <w:t xml:space="preserve">to the </w:t>
      </w:r>
      <w:r w:rsidR="00D62F02" w:rsidRPr="00D62F02">
        <w:rPr>
          <w:rFonts w:eastAsia="Arial Unicode MS"/>
          <w:noProof/>
        </w:rPr>
        <w:t xml:space="preserve">footnote regarding the total sterol content in some monovarietal extra virgin olive oils </w:t>
      </w:r>
      <w:r w:rsidR="00C427E4">
        <w:rPr>
          <w:rFonts w:eastAsia="Arial Unicode MS"/>
          <w:noProof/>
        </w:rPr>
        <w:t>and adopt</w:t>
      </w:r>
      <w:r w:rsidR="004C16EE">
        <w:rPr>
          <w:rFonts w:eastAsia="Arial Unicode MS"/>
          <w:noProof/>
        </w:rPr>
        <w:t>s</w:t>
      </w:r>
      <w:r w:rsidR="00C427E4">
        <w:rPr>
          <w:rFonts w:eastAsia="Arial Unicode MS"/>
          <w:noProof/>
        </w:rPr>
        <w:t xml:space="preserve"> its revised version</w:t>
      </w:r>
      <w:r w:rsidRPr="002C193B">
        <w:rPr>
          <w:rFonts w:eastAsia="Arial Unicode MS"/>
          <w:noProof/>
        </w:rPr>
        <w:t>.</w:t>
      </w:r>
      <w:r w:rsidR="004C16EE">
        <w:rPr>
          <w:rFonts w:eastAsia="Arial Unicode MS"/>
          <w:noProof/>
        </w:rPr>
        <w:t xml:space="preserve"> The other decision </w:t>
      </w:r>
      <w:r w:rsidR="0081762C">
        <w:rPr>
          <w:rFonts w:eastAsia="Arial Unicode MS"/>
          <w:noProof/>
        </w:rPr>
        <w:t xml:space="preserve">approves </w:t>
      </w:r>
      <w:r w:rsidR="004C16EE">
        <w:rPr>
          <w:rFonts w:eastAsia="Arial Unicode MS"/>
          <w:noProof/>
        </w:rPr>
        <w:t xml:space="preserve">a new method for determining the peroxide value </w:t>
      </w:r>
      <w:r w:rsidR="004C16EE" w:rsidRPr="004C16EE">
        <w:rPr>
          <w:rFonts w:eastAsia="Arial Unicode MS"/>
          <w:noProof/>
        </w:rPr>
        <w:t>in olive oils and olive-pomace oils</w:t>
      </w:r>
      <w:r w:rsidR="004C16EE">
        <w:rPr>
          <w:rFonts w:eastAsia="Arial Unicode MS"/>
          <w:noProof/>
        </w:rPr>
        <w:t>.</w:t>
      </w:r>
    </w:p>
    <w:p w:rsidR="002C193B" w:rsidRPr="002C193B" w:rsidRDefault="002C193B" w:rsidP="002C193B">
      <w:pPr>
        <w:rPr>
          <w:rFonts w:eastAsia="Arial Unicode MS"/>
          <w:noProof/>
        </w:rPr>
      </w:pPr>
      <w:r w:rsidRPr="002C193B">
        <w:rPr>
          <w:rFonts w:eastAsia="Arial Unicode MS"/>
          <w:noProof/>
        </w:rPr>
        <w:t xml:space="preserve">The Commission Staff Working Document accompanying this proposal includes the text of the revised </w:t>
      </w:r>
      <w:r w:rsidR="00473C6A">
        <w:rPr>
          <w:rFonts w:eastAsia="Arial Unicode MS"/>
          <w:noProof/>
        </w:rPr>
        <w:t>t</w:t>
      </w:r>
      <w:r w:rsidRPr="002C193B">
        <w:rPr>
          <w:rFonts w:eastAsia="Arial Unicode MS"/>
          <w:noProof/>
        </w:rPr>
        <w:t xml:space="preserve">rade </w:t>
      </w:r>
      <w:r w:rsidR="00473C6A">
        <w:rPr>
          <w:rFonts w:eastAsia="Arial Unicode MS"/>
          <w:noProof/>
        </w:rPr>
        <w:t>s</w:t>
      </w:r>
      <w:r w:rsidRPr="002C193B">
        <w:rPr>
          <w:rFonts w:eastAsia="Arial Unicode MS"/>
          <w:noProof/>
        </w:rPr>
        <w:t>tandard</w:t>
      </w:r>
      <w:r w:rsidR="004C16EE">
        <w:rPr>
          <w:rFonts w:eastAsia="Arial Unicode MS"/>
          <w:noProof/>
        </w:rPr>
        <w:t xml:space="preserve"> and the new method</w:t>
      </w:r>
      <w:r w:rsidRPr="002C193B">
        <w:rPr>
          <w:rFonts w:eastAsia="Arial Unicode MS"/>
          <w:noProof/>
        </w:rPr>
        <w:t>, as presented by the Executive Secretariat.</w:t>
      </w:r>
    </w:p>
    <w:p w:rsidR="004C16EE" w:rsidRPr="002C193B" w:rsidRDefault="002C193B" w:rsidP="004C16EE">
      <w:pPr>
        <w:rPr>
          <w:rFonts w:eastAsia="Arial Unicode MS"/>
          <w:noProof/>
        </w:rPr>
      </w:pPr>
      <w:r w:rsidRPr="002C193B">
        <w:rPr>
          <w:rFonts w:eastAsia="Arial Unicode MS"/>
          <w:noProof/>
        </w:rPr>
        <w:t xml:space="preserve">Pursuant to Article 20(3) of the Agreement, the quality and purity criteria included in the above mentioned </w:t>
      </w:r>
      <w:r w:rsidR="00473C6A">
        <w:rPr>
          <w:rFonts w:eastAsia="Arial Unicode MS"/>
          <w:noProof/>
        </w:rPr>
        <w:t>t</w:t>
      </w:r>
      <w:r w:rsidRPr="002C193B">
        <w:rPr>
          <w:rFonts w:eastAsia="Arial Unicode MS"/>
          <w:noProof/>
        </w:rPr>
        <w:t>rade Standard adopted by the Council of Members are applicable to the international trade of the Members. Furthermore, pursuant to Article 75(5)(e) of Regulation (EU) No 1308/2013 of the European Parliament and of the Council</w:t>
      </w:r>
      <w:r w:rsidRPr="00C33A39">
        <w:rPr>
          <w:rStyle w:val="FootnoteReference"/>
          <w:noProof/>
        </w:rPr>
        <w:footnoteReference w:id="3"/>
      </w:r>
      <w:r w:rsidRPr="002C193B">
        <w:rPr>
          <w:rFonts w:eastAsia="Arial Unicode MS"/>
          <w:noProof/>
        </w:rPr>
        <w:t xml:space="preserve">, the marketing standards shall take into account the standard recommendations adopted by international bodies. Therefore, the decision on the revision of the </w:t>
      </w:r>
      <w:r w:rsidR="00473C6A">
        <w:rPr>
          <w:rFonts w:eastAsia="Arial Unicode MS"/>
          <w:noProof/>
        </w:rPr>
        <w:t>t</w:t>
      </w:r>
      <w:r w:rsidRPr="002C193B">
        <w:rPr>
          <w:rFonts w:eastAsia="Arial Unicode MS"/>
          <w:noProof/>
        </w:rPr>
        <w:t xml:space="preserve">rade </w:t>
      </w:r>
      <w:r w:rsidR="00473C6A">
        <w:rPr>
          <w:rFonts w:eastAsia="Arial Unicode MS"/>
          <w:noProof/>
        </w:rPr>
        <w:t>s</w:t>
      </w:r>
      <w:r w:rsidRPr="002C193B">
        <w:rPr>
          <w:rFonts w:eastAsia="Arial Unicode MS"/>
          <w:noProof/>
        </w:rPr>
        <w:t>tandard for olive oil and olive-pomace oil will affect EU law</w:t>
      </w:r>
      <w:r w:rsidR="008D01CE">
        <w:rPr>
          <w:rFonts w:eastAsia="Arial Unicode MS"/>
          <w:noProof/>
        </w:rPr>
        <w:t xml:space="preserve">, namely </w:t>
      </w:r>
      <w:r w:rsidR="008D01CE" w:rsidRPr="002C193B">
        <w:rPr>
          <w:noProof/>
        </w:rPr>
        <w:t>Commission Delegated Regulation (EU) 2022/2104 of 29 July 2022 supplementing Regulation (EU) No 1308/2013 of the European Parliament and of the Council as regards marketing standards for olive oil, and repealing Commission Regulation (EEC) No 2568/91 and Commission Implementing Regulation (EU) No 29/2012</w:t>
      </w:r>
      <w:r w:rsidR="008D01CE" w:rsidRPr="00C33A39">
        <w:rPr>
          <w:rStyle w:val="FootnoteReference"/>
          <w:noProof/>
        </w:rPr>
        <w:footnoteReference w:id="4"/>
      </w:r>
      <w:r w:rsidRPr="002C193B">
        <w:rPr>
          <w:rFonts w:eastAsia="Arial Unicode MS"/>
          <w:noProof/>
        </w:rPr>
        <w:t>.</w:t>
      </w:r>
      <w:r w:rsidR="004C16EE">
        <w:rPr>
          <w:rFonts w:eastAsia="Arial Unicode MS"/>
          <w:noProof/>
        </w:rPr>
        <w:t xml:space="preserve"> The new method for determining the peroxide value presents a safer alternative to the method currently included in the IOC </w:t>
      </w:r>
      <w:r w:rsidR="00473C6A">
        <w:rPr>
          <w:rFonts w:eastAsia="Arial Unicode MS"/>
          <w:noProof/>
        </w:rPr>
        <w:t>t</w:t>
      </w:r>
      <w:r w:rsidR="004C16EE">
        <w:rPr>
          <w:rFonts w:eastAsia="Arial Unicode MS"/>
          <w:noProof/>
        </w:rPr>
        <w:t xml:space="preserve">rade </w:t>
      </w:r>
      <w:r w:rsidR="00473C6A">
        <w:rPr>
          <w:rFonts w:eastAsia="Arial Unicode MS"/>
          <w:noProof/>
        </w:rPr>
        <w:t>s</w:t>
      </w:r>
      <w:r w:rsidR="004C16EE">
        <w:rPr>
          <w:rFonts w:eastAsia="Arial Unicode MS"/>
          <w:noProof/>
        </w:rPr>
        <w:t>tandard (</w:t>
      </w:r>
      <w:r w:rsidR="004C16EE" w:rsidRPr="004C16EE">
        <w:rPr>
          <w:rFonts w:eastAsia="Arial Unicode MS"/>
          <w:noProof/>
        </w:rPr>
        <w:t>COI/T.20/Doc. No 35</w:t>
      </w:r>
      <w:r w:rsidR="004C16EE">
        <w:rPr>
          <w:rFonts w:eastAsia="Arial Unicode MS"/>
          <w:noProof/>
        </w:rPr>
        <w:t xml:space="preserve">). Therefore, it should be allowed as an alternative for conformity checks in the EU as well. This will require changing </w:t>
      </w:r>
      <w:r w:rsidR="004C16EE" w:rsidRPr="004C16EE">
        <w:rPr>
          <w:rFonts w:eastAsia="Arial Unicode MS"/>
          <w:noProof/>
        </w:rPr>
        <w:t>Commission Implementing Regulation (EU) 2022/2105 of 29 July 2022 laying down rules on conformity checks of marketing standards for olive oil and methods of analysis of the characteristics of olive oil</w:t>
      </w:r>
      <w:r w:rsidR="004C16EE">
        <w:rPr>
          <w:rStyle w:val="FootnoteReference"/>
          <w:rFonts w:eastAsia="Arial Unicode MS"/>
          <w:noProof/>
        </w:rPr>
        <w:footnoteReference w:id="5"/>
      </w:r>
      <w:r w:rsidR="00CE4698">
        <w:rPr>
          <w:rFonts w:eastAsia="Arial Unicode MS"/>
          <w:noProof/>
        </w:rPr>
        <w:t>.</w:t>
      </w:r>
    </w:p>
    <w:p w:rsidR="00717C03" w:rsidRPr="00E34F04" w:rsidRDefault="00CE4698" w:rsidP="002C193B">
      <w:pPr>
        <w:rPr>
          <w:rFonts w:eastAsia="Arial Unicode MS"/>
          <w:noProof/>
        </w:rPr>
      </w:pPr>
      <w:r>
        <w:rPr>
          <w:rFonts w:eastAsia="Arial Unicode MS"/>
          <w:noProof/>
        </w:rPr>
        <w:t>T</w:t>
      </w:r>
      <w:r w:rsidR="002C193B" w:rsidRPr="002C193B">
        <w:rPr>
          <w:rFonts w:eastAsia="Arial Unicode MS"/>
          <w:noProof/>
        </w:rPr>
        <w:t xml:space="preserve">he position detailed in the present Decision </w:t>
      </w:r>
      <w:r w:rsidR="006312DA">
        <w:rPr>
          <w:rFonts w:eastAsia="Arial Unicode MS"/>
          <w:noProof/>
        </w:rPr>
        <w:t>is foreseen to</w:t>
      </w:r>
      <w:r w:rsidR="002C193B" w:rsidRPr="002C193B">
        <w:rPr>
          <w:rFonts w:eastAsia="Arial Unicode MS"/>
          <w:noProof/>
        </w:rPr>
        <w:t xml:space="preserve"> be taken on behalf of the Union within the framework of a procedure for adoption by the Council of Members by exchange of correspondence, pursuant to Article 10(6) of the Agreement, before its next regular session in </w:t>
      </w:r>
      <w:r>
        <w:rPr>
          <w:rFonts w:eastAsia="Arial Unicode MS"/>
          <w:noProof/>
        </w:rPr>
        <w:t>June 2026</w:t>
      </w:r>
      <w:r w:rsidR="002C193B" w:rsidRPr="002C193B">
        <w:rPr>
          <w:rFonts w:eastAsia="Arial Unicode MS"/>
          <w:noProof/>
        </w:rPr>
        <w:t>.</w:t>
      </w:r>
    </w:p>
    <w:p w:rsidR="00717C03" w:rsidRPr="00E34F04" w:rsidRDefault="009128BF" w:rsidP="009128BF">
      <w:pPr>
        <w:pStyle w:val="ManualHeading1"/>
        <w:rPr>
          <w:noProof/>
        </w:rPr>
      </w:pPr>
      <w:r w:rsidRPr="009128BF">
        <w:rPr>
          <w:noProof/>
        </w:rPr>
        <w:t>3.</w:t>
      </w:r>
      <w:r w:rsidRPr="009128BF">
        <w:rPr>
          <w:noProof/>
        </w:rPr>
        <w:tab/>
      </w:r>
      <w:r w:rsidR="00717C03" w:rsidRPr="00E34F04">
        <w:rPr>
          <w:noProof/>
        </w:rPr>
        <w:t>Position to be taken on the Union's behalf</w:t>
      </w:r>
    </w:p>
    <w:p w:rsidR="008A3A9B" w:rsidRPr="008A3A9B" w:rsidRDefault="008D01CE" w:rsidP="009823D8">
      <w:pPr>
        <w:rPr>
          <w:rFonts w:eastAsia="Arial Unicode MS"/>
          <w:noProof/>
        </w:rPr>
      </w:pPr>
      <w:r w:rsidRPr="008D01CE">
        <w:rPr>
          <w:rFonts w:eastAsia="Arial Unicode MS"/>
          <w:noProof/>
        </w:rPr>
        <w:t>The decision to be adopted by the Council of Members will</w:t>
      </w:r>
      <w:r>
        <w:rPr>
          <w:rFonts w:eastAsia="Arial Unicode MS"/>
          <w:noProof/>
        </w:rPr>
        <w:t xml:space="preserve"> </w:t>
      </w:r>
      <w:r w:rsidRPr="008D01CE">
        <w:rPr>
          <w:rFonts w:eastAsia="Arial Unicode MS"/>
          <w:noProof/>
        </w:rPr>
        <w:t xml:space="preserve">modify the </w:t>
      </w:r>
      <w:r w:rsidR="00473C6A">
        <w:rPr>
          <w:rFonts w:eastAsia="Arial Unicode MS"/>
          <w:noProof/>
        </w:rPr>
        <w:t>t</w:t>
      </w:r>
      <w:r w:rsidRPr="008D01CE">
        <w:rPr>
          <w:rFonts w:eastAsia="Arial Unicode MS"/>
          <w:noProof/>
        </w:rPr>
        <w:t xml:space="preserve">rade </w:t>
      </w:r>
      <w:r w:rsidR="00473C6A">
        <w:rPr>
          <w:rFonts w:eastAsia="Arial Unicode MS"/>
          <w:noProof/>
        </w:rPr>
        <w:t>s</w:t>
      </w:r>
      <w:r w:rsidRPr="008D01CE">
        <w:rPr>
          <w:rFonts w:eastAsia="Arial Unicode MS"/>
          <w:noProof/>
        </w:rPr>
        <w:t xml:space="preserve">tandard COI/T.15/NC No. </w:t>
      </w:r>
      <w:r w:rsidR="008A3A9B">
        <w:rPr>
          <w:rFonts w:eastAsia="Arial Unicode MS"/>
          <w:noProof/>
        </w:rPr>
        <w:t>3</w:t>
      </w:r>
      <w:r w:rsidRPr="008D01CE">
        <w:rPr>
          <w:rFonts w:eastAsia="Arial Unicode MS"/>
          <w:noProof/>
        </w:rPr>
        <w:t xml:space="preserve"> applying to olive oils and olive-pomace oils by</w:t>
      </w:r>
      <w:r w:rsidR="008A3A9B">
        <w:rPr>
          <w:rFonts w:eastAsia="Arial Unicode MS"/>
          <w:noProof/>
        </w:rPr>
        <w:t>:</w:t>
      </w:r>
    </w:p>
    <w:p w:rsidR="008A3A9B" w:rsidRPr="008A3A9B" w:rsidRDefault="009823D8" w:rsidP="00BA7EDA">
      <w:pPr>
        <w:pStyle w:val="Tiret0"/>
        <w:numPr>
          <w:ilvl w:val="0"/>
          <w:numId w:val="19"/>
        </w:numPr>
        <w:rPr>
          <w:noProof/>
        </w:rPr>
      </w:pPr>
      <w:r>
        <w:rPr>
          <w:noProof/>
        </w:rPr>
        <w:t>Revising</w:t>
      </w:r>
      <w:r w:rsidR="008A3A9B" w:rsidRPr="008A3A9B">
        <w:rPr>
          <w:noProof/>
        </w:rPr>
        <w:t xml:space="preserve"> </w:t>
      </w:r>
      <w:r w:rsidR="008A3A9B">
        <w:rPr>
          <w:noProof/>
        </w:rPr>
        <w:t>a</w:t>
      </w:r>
      <w:r w:rsidR="008A3A9B" w:rsidRPr="008A3A9B">
        <w:rPr>
          <w:noProof/>
        </w:rPr>
        <w:t xml:space="preserve"> footnote</w:t>
      </w:r>
      <w:r>
        <w:rPr>
          <w:noProof/>
        </w:rPr>
        <w:t xml:space="preserve"> regarding the total sterol content in some monovarietal extra virgin olive oils by adding the Coratina variety to the</w:t>
      </w:r>
      <w:bookmarkStart w:id="1" w:name="_Hlk193724035"/>
      <w:bookmarkStart w:id="2" w:name="_Hlk190787760"/>
      <w:r w:rsidR="00890DA0">
        <w:rPr>
          <w:noProof/>
        </w:rPr>
        <w:t xml:space="preserve"> Koroneiki </w:t>
      </w:r>
      <w:r>
        <w:rPr>
          <w:noProof/>
        </w:rPr>
        <w:t>and</w:t>
      </w:r>
      <w:r w:rsidR="00890DA0">
        <w:rPr>
          <w:noProof/>
        </w:rPr>
        <w:t xml:space="preserve"> Nocellara del Belice </w:t>
      </w:r>
      <w:bookmarkEnd w:id="1"/>
      <w:r w:rsidR="008A3A9B">
        <w:rPr>
          <w:noProof/>
        </w:rPr>
        <w:t>varieties</w:t>
      </w:r>
      <w:bookmarkEnd w:id="2"/>
      <w:r>
        <w:rPr>
          <w:noProof/>
        </w:rPr>
        <w:t xml:space="preserve"> and limiting the application of the footnote to </w:t>
      </w:r>
      <w:r w:rsidRPr="009823D8">
        <w:rPr>
          <w:rFonts w:eastAsia="Arial Unicode MS"/>
          <w:noProof/>
        </w:rPr>
        <w:t>the end of the 2026/27 crop year</w:t>
      </w:r>
      <w:r>
        <w:rPr>
          <w:rFonts w:eastAsia="Arial Unicode MS"/>
          <w:noProof/>
        </w:rPr>
        <w:t>;</w:t>
      </w:r>
    </w:p>
    <w:p w:rsidR="008D01CE" w:rsidRDefault="008A3A9B" w:rsidP="008A3A9B">
      <w:pPr>
        <w:pStyle w:val="Tiret0"/>
        <w:rPr>
          <w:rFonts w:eastAsia="Arial Unicode MS"/>
          <w:noProof/>
        </w:rPr>
      </w:pPr>
      <w:r w:rsidRPr="008A3A9B">
        <w:rPr>
          <w:rFonts w:eastAsia="Arial Unicode MS"/>
          <w:noProof/>
        </w:rPr>
        <w:t xml:space="preserve">The </w:t>
      </w:r>
      <w:r w:rsidR="009823D8">
        <w:rPr>
          <w:noProof/>
        </w:rPr>
        <w:t>addition of the new method to determine de peroxide value</w:t>
      </w:r>
      <w:r w:rsidRPr="008A3A9B">
        <w:rPr>
          <w:rFonts w:eastAsia="Arial Unicode MS"/>
          <w:noProof/>
        </w:rPr>
        <w:t>.</w:t>
      </w:r>
    </w:p>
    <w:p w:rsidR="009823D8" w:rsidRPr="008A3A9B" w:rsidRDefault="009823D8" w:rsidP="009823D8">
      <w:pPr>
        <w:rPr>
          <w:rFonts w:eastAsia="Arial Unicode MS"/>
          <w:noProof/>
        </w:rPr>
      </w:pPr>
      <w:r>
        <w:rPr>
          <w:rFonts w:eastAsia="Arial Unicode MS"/>
          <w:noProof/>
        </w:rPr>
        <w:t xml:space="preserve">The decision </w:t>
      </w:r>
      <w:r w:rsidR="0081762C">
        <w:rPr>
          <w:rFonts w:eastAsia="Arial Unicode MS"/>
          <w:noProof/>
        </w:rPr>
        <w:t>approving</w:t>
      </w:r>
      <w:r>
        <w:rPr>
          <w:rFonts w:eastAsia="Arial Unicode MS"/>
          <w:noProof/>
        </w:rPr>
        <w:t xml:space="preserve"> a new method of analysis </w:t>
      </w:r>
      <w:r w:rsidRPr="009823D8">
        <w:rPr>
          <w:rFonts w:eastAsia="Arial Unicode MS"/>
          <w:noProof/>
        </w:rPr>
        <w:t>(COI/T.20/Doc. No 3</w:t>
      </w:r>
      <w:r>
        <w:rPr>
          <w:rFonts w:eastAsia="Arial Unicode MS"/>
          <w:noProof/>
        </w:rPr>
        <w:t>8</w:t>
      </w:r>
      <w:r w:rsidRPr="009823D8">
        <w:rPr>
          <w:rFonts w:eastAsia="Arial Unicode MS"/>
          <w:noProof/>
        </w:rPr>
        <w:t>)</w:t>
      </w:r>
      <w:r>
        <w:rPr>
          <w:rFonts w:eastAsia="Arial Unicode MS"/>
          <w:noProof/>
        </w:rPr>
        <w:t xml:space="preserve"> provides for a safer alternative to the current IOC method (</w:t>
      </w:r>
      <w:r w:rsidRPr="004C16EE">
        <w:rPr>
          <w:rFonts w:eastAsia="Arial Unicode MS"/>
          <w:noProof/>
        </w:rPr>
        <w:t>COI/T.20/Doc. No 35</w:t>
      </w:r>
      <w:r>
        <w:rPr>
          <w:rFonts w:eastAsia="Arial Unicode MS"/>
          <w:noProof/>
        </w:rPr>
        <w:t>) determining the peroxide value in olive oils and olive-pomace oils.</w:t>
      </w:r>
    </w:p>
    <w:p w:rsidR="008D01CE" w:rsidRPr="008D01CE" w:rsidRDefault="008D01CE" w:rsidP="008D01CE">
      <w:pPr>
        <w:rPr>
          <w:rFonts w:eastAsia="Arial Unicode MS"/>
          <w:noProof/>
        </w:rPr>
      </w:pPr>
      <w:r w:rsidRPr="008D01CE">
        <w:rPr>
          <w:rFonts w:eastAsia="Arial Unicode MS"/>
          <w:noProof/>
        </w:rPr>
        <w:t>The above-mentioned decision</w:t>
      </w:r>
      <w:r w:rsidR="009823D8">
        <w:rPr>
          <w:rFonts w:eastAsia="Arial Unicode MS"/>
          <w:noProof/>
        </w:rPr>
        <w:t>s</w:t>
      </w:r>
      <w:r w:rsidRPr="008D01CE">
        <w:rPr>
          <w:rFonts w:eastAsia="Arial Unicode MS"/>
          <w:noProof/>
        </w:rPr>
        <w:t xml:space="preserve"> ha</w:t>
      </w:r>
      <w:r w:rsidR="009823D8">
        <w:rPr>
          <w:rFonts w:eastAsia="Arial Unicode MS"/>
          <w:noProof/>
        </w:rPr>
        <w:t>ve</w:t>
      </w:r>
      <w:r w:rsidRPr="008D01CE">
        <w:rPr>
          <w:rFonts w:eastAsia="Arial Unicode MS"/>
          <w:noProof/>
        </w:rPr>
        <w:t xml:space="preserve"> been discussed between scientific and technical olive oil experts of the Commission and Member States. </w:t>
      </w:r>
      <w:r w:rsidR="009823D8">
        <w:rPr>
          <w:rFonts w:eastAsia="Arial Unicode MS"/>
          <w:noProof/>
        </w:rPr>
        <w:t>They</w:t>
      </w:r>
      <w:r w:rsidRPr="008D01CE">
        <w:rPr>
          <w:rFonts w:eastAsia="Arial Unicode MS"/>
          <w:noProof/>
        </w:rPr>
        <w:t xml:space="preserve"> contribute to the international harmonisation of olive oil standards and will set a framework which will ensure fair competition in the trading of olive oil. </w:t>
      </w:r>
      <w:r w:rsidR="009823D8">
        <w:rPr>
          <w:rFonts w:eastAsia="Arial Unicode MS"/>
          <w:noProof/>
        </w:rPr>
        <w:t>They</w:t>
      </w:r>
      <w:r w:rsidRPr="008D01CE">
        <w:rPr>
          <w:rFonts w:eastAsia="Arial Unicode MS"/>
          <w:noProof/>
        </w:rPr>
        <w:t xml:space="preserve"> should therefore be supported.</w:t>
      </w:r>
    </w:p>
    <w:p w:rsidR="008D01CE" w:rsidRPr="008D01CE" w:rsidRDefault="008D01CE" w:rsidP="008D01CE">
      <w:pPr>
        <w:rPr>
          <w:rFonts w:eastAsia="Arial Unicode MS"/>
          <w:noProof/>
        </w:rPr>
      </w:pPr>
      <w:r w:rsidRPr="008D01CE">
        <w:rPr>
          <w:rFonts w:eastAsia="Arial Unicode MS"/>
          <w:noProof/>
        </w:rPr>
        <w:t>The above-mentioned decision</w:t>
      </w:r>
      <w:r w:rsidR="006312DA">
        <w:rPr>
          <w:rFonts w:eastAsia="Arial Unicode MS"/>
          <w:noProof/>
        </w:rPr>
        <w:t>s</w:t>
      </w:r>
      <w:r w:rsidRPr="008D01CE">
        <w:rPr>
          <w:rFonts w:eastAsia="Arial Unicode MS"/>
          <w:noProof/>
        </w:rPr>
        <w:t xml:space="preserve"> </w:t>
      </w:r>
      <w:r w:rsidR="006312DA">
        <w:rPr>
          <w:rFonts w:eastAsia="Arial Unicode MS"/>
          <w:noProof/>
        </w:rPr>
        <w:t>are in line with</w:t>
      </w:r>
      <w:r w:rsidRPr="008D01CE">
        <w:rPr>
          <w:rFonts w:eastAsia="Arial Unicode MS"/>
          <w:noProof/>
        </w:rPr>
        <w:t xml:space="preserve"> the Union policy as regards standards for the marketing of agricultural products as provided for in Title II of part II of Regulation (EU) No 1308/2013 of the European Parliament and of the Council.</w:t>
      </w:r>
    </w:p>
    <w:p w:rsidR="00717C03" w:rsidRPr="008D01CE" w:rsidRDefault="006312DA" w:rsidP="008D01CE">
      <w:pPr>
        <w:rPr>
          <w:rFonts w:eastAsia="Arial Unicode MS"/>
          <w:noProof/>
        </w:rPr>
      </w:pPr>
      <w:r>
        <w:rPr>
          <w:rFonts w:eastAsia="Arial Unicode MS"/>
          <w:noProof/>
        </w:rPr>
        <w:t>A</w:t>
      </w:r>
      <w:r w:rsidR="008D01CE" w:rsidRPr="008D01CE">
        <w:rPr>
          <w:rFonts w:eastAsia="Arial Unicode MS"/>
          <w:noProof/>
        </w:rPr>
        <w:t xml:space="preserve"> Union position is needed for the adoption of the decision</w:t>
      </w:r>
      <w:r>
        <w:rPr>
          <w:rFonts w:eastAsia="Arial Unicode MS"/>
          <w:noProof/>
        </w:rPr>
        <w:t>s</w:t>
      </w:r>
      <w:r w:rsidR="008D01CE" w:rsidRPr="008D01CE">
        <w:rPr>
          <w:rFonts w:eastAsia="Arial Unicode MS"/>
          <w:noProof/>
        </w:rPr>
        <w:t xml:space="preserve"> provided for in the Annex.</w:t>
      </w:r>
    </w:p>
    <w:p w:rsidR="00717C03" w:rsidRPr="00E34F04" w:rsidRDefault="009128BF" w:rsidP="009128BF">
      <w:pPr>
        <w:pStyle w:val="ManualHeading1"/>
        <w:rPr>
          <w:noProof/>
        </w:rPr>
      </w:pPr>
      <w:r w:rsidRPr="009128BF">
        <w:rPr>
          <w:noProof/>
        </w:rPr>
        <w:t>4.</w:t>
      </w:r>
      <w:r w:rsidRPr="009128BF">
        <w:rPr>
          <w:noProof/>
        </w:rPr>
        <w:tab/>
      </w:r>
      <w:r w:rsidR="00717C03" w:rsidRPr="00E34F04">
        <w:rPr>
          <w:noProof/>
        </w:rPr>
        <w:t>Legal basis</w:t>
      </w:r>
    </w:p>
    <w:p w:rsidR="00717C03" w:rsidRPr="00E34F04" w:rsidRDefault="009128BF" w:rsidP="009128BF">
      <w:pPr>
        <w:pStyle w:val="ManualHeading2"/>
        <w:rPr>
          <w:noProof/>
        </w:rPr>
      </w:pPr>
      <w:r w:rsidRPr="009128BF">
        <w:rPr>
          <w:noProof/>
        </w:rPr>
        <w:t>4.1.</w:t>
      </w:r>
      <w:r w:rsidRPr="009128BF">
        <w:rPr>
          <w:noProof/>
        </w:rPr>
        <w:tab/>
      </w:r>
      <w:r w:rsidR="00717C03" w:rsidRPr="00E34F04">
        <w:rPr>
          <w:noProof/>
        </w:rPr>
        <w:t>Procedural legal basis</w:t>
      </w:r>
    </w:p>
    <w:p w:rsidR="00717C03" w:rsidRPr="00E34F04" w:rsidRDefault="009128BF" w:rsidP="009128BF">
      <w:pPr>
        <w:pStyle w:val="ManualHeading3"/>
        <w:rPr>
          <w:noProof/>
        </w:rPr>
      </w:pPr>
      <w:r w:rsidRPr="009128BF">
        <w:rPr>
          <w:noProof/>
        </w:rPr>
        <w:t>4.1.1.</w:t>
      </w:r>
      <w:r w:rsidRPr="009128BF">
        <w:rPr>
          <w:noProof/>
        </w:rPr>
        <w:tab/>
      </w:r>
      <w:r w:rsidR="00717C03" w:rsidRPr="00E34F04">
        <w:rPr>
          <w:noProof/>
        </w:rPr>
        <w:t>Principles</w:t>
      </w:r>
    </w:p>
    <w:p w:rsidR="008D01CE" w:rsidRPr="00EB5A52" w:rsidRDefault="008D01CE" w:rsidP="008D01CE">
      <w:pPr>
        <w:rPr>
          <w:noProof/>
        </w:rPr>
      </w:pPr>
      <w:r w:rsidRPr="00EB5A52">
        <w:rPr>
          <w:noProof/>
        </w:rPr>
        <w:t>Article 218(9) of the Treaty on the Functioning of the European Union (TFEU) provides for decisions establishing ‘</w:t>
      </w:r>
      <w:r w:rsidRPr="00EB5A52">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B5A52">
        <w:rPr>
          <w:noProof/>
        </w:rPr>
        <w:t>.’</w:t>
      </w:r>
    </w:p>
    <w:p w:rsidR="00717C03" w:rsidRPr="00E34F04" w:rsidRDefault="008D01CE" w:rsidP="008D01CE">
      <w:pPr>
        <w:rPr>
          <w:noProof/>
        </w:rPr>
      </w:pPr>
      <w:r w:rsidRPr="00EB5A52">
        <w:rPr>
          <w:noProof/>
        </w:rPr>
        <w:t>The concept of ‘</w:t>
      </w:r>
      <w:r w:rsidRPr="00EB5A52">
        <w:rPr>
          <w:i/>
          <w:noProof/>
        </w:rPr>
        <w:t>acts having legal effects</w:t>
      </w:r>
      <w:r w:rsidRPr="00EB5A52">
        <w:rPr>
          <w:noProof/>
        </w:rPr>
        <w:t>’ includes acts that have legal effects by virtue of the rules of international law governing the body in question. It also includes instruments that do not have a binding effect under international law, but that are ‘</w:t>
      </w:r>
      <w:r w:rsidRPr="00EB5A52">
        <w:rPr>
          <w:i/>
          <w:noProof/>
        </w:rPr>
        <w:t>capable of decisively influencing the content of the legislation adopted by the EU legislature</w:t>
      </w:r>
      <w:r w:rsidRPr="00EB5A52">
        <w:rPr>
          <w:noProof/>
        </w:rPr>
        <w:t>’</w:t>
      </w:r>
      <w:r w:rsidRPr="00FC2587">
        <w:rPr>
          <w:rStyle w:val="FootnoteReference"/>
          <w:noProof/>
        </w:rPr>
        <w:footnoteReference w:id="6"/>
      </w:r>
      <w:r w:rsidRPr="00EB5A52">
        <w:rPr>
          <w:noProof/>
        </w:rPr>
        <w:t>.</w:t>
      </w:r>
    </w:p>
    <w:p w:rsidR="00717C03" w:rsidRPr="00E34F04" w:rsidRDefault="009128BF" w:rsidP="009128BF">
      <w:pPr>
        <w:pStyle w:val="ManualHeading3"/>
        <w:rPr>
          <w:noProof/>
        </w:rPr>
      </w:pPr>
      <w:r w:rsidRPr="009128BF">
        <w:rPr>
          <w:noProof/>
        </w:rPr>
        <w:t>4.1.2.</w:t>
      </w:r>
      <w:r w:rsidRPr="009128BF">
        <w:rPr>
          <w:noProof/>
        </w:rPr>
        <w:tab/>
      </w:r>
      <w:r w:rsidR="00717C03" w:rsidRPr="00E34F04">
        <w:rPr>
          <w:noProof/>
        </w:rPr>
        <w:t>Application to the present case</w:t>
      </w:r>
    </w:p>
    <w:p w:rsidR="008D01CE" w:rsidRPr="00EB5A52" w:rsidRDefault="008D01CE" w:rsidP="008D01CE">
      <w:pPr>
        <w:rPr>
          <w:noProof/>
        </w:rPr>
      </w:pPr>
      <w:r w:rsidRPr="00EB5A52">
        <w:rPr>
          <w:noProof/>
        </w:rPr>
        <w:t>The Council of Members is a body set up by an agreement, namely the International Agreement on Olive Oil and Table Olives.</w:t>
      </w:r>
    </w:p>
    <w:p w:rsidR="008D01CE" w:rsidRPr="00EB5A52" w:rsidRDefault="008D01CE" w:rsidP="008D01CE">
      <w:pPr>
        <w:rPr>
          <w:noProof/>
        </w:rPr>
      </w:pPr>
      <w:r w:rsidRPr="00EB5A52">
        <w:rPr>
          <w:noProof/>
        </w:rPr>
        <w:t>The acts which the Council of Members are called upon to adopt constitute acts having legal effects. The envisaged acts will be binding under international law in accordance with Article 20(3) of the Agreement and are capable of decisively influencing the content of EU legislation, namely: delegated and implementing acts based on Regulation (EU) No 1308/2013, as regards olive oil marketing standards. This is because, pursuant to Article 75(5)(e) of Regulation (EU) No 1308/2013, the marketing standards shall take into account the standard recommendations adopted by international bodies.</w:t>
      </w:r>
    </w:p>
    <w:p w:rsidR="008D01CE" w:rsidRPr="00EB5A52" w:rsidRDefault="008D01CE" w:rsidP="008D01CE">
      <w:pPr>
        <w:rPr>
          <w:noProof/>
        </w:rPr>
      </w:pPr>
      <w:r w:rsidRPr="00EB5A52">
        <w:rPr>
          <w:noProof/>
        </w:rPr>
        <w:t>The envisaged act does not supplement or amend the institutional framework of the Agreement.</w:t>
      </w:r>
    </w:p>
    <w:p w:rsidR="00717C03" w:rsidRPr="00E34F04" w:rsidRDefault="008D01CE" w:rsidP="008D01CE">
      <w:pPr>
        <w:rPr>
          <w:noProof/>
        </w:rPr>
      </w:pPr>
      <w:r w:rsidRPr="00EB5A52">
        <w:rPr>
          <w:noProof/>
        </w:rPr>
        <w:t>Therefore, the procedural legal basis for the proposed decision is Article 218(9) TFEU.</w:t>
      </w:r>
    </w:p>
    <w:p w:rsidR="00717C03" w:rsidRPr="00E34F04" w:rsidRDefault="009128BF" w:rsidP="009128BF">
      <w:pPr>
        <w:pStyle w:val="ManualHeading2"/>
        <w:rPr>
          <w:noProof/>
        </w:rPr>
      </w:pPr>
      <w:r w:rsidRPr="009128BF">
        <w:rPr>
          <w:noProof/>
        </w:rPr>
        <w:t>4.2.</w:t>
      </w:r>
      <w:r w:rsidRPr="009128BF">
        <w:rPr>
          <w:noProof/>
        </w:rPr>
        <w:tab/>
      </w:r>
      <w:r w:rsidR="00717C03" w:rsidRPr="00E34F04">
        <w:rPr>
          <w:noProof/>
        </w:rPr>
        <w:t>Substantive legal basis</w:t>
      </w:r>
    </w:p>
    <w:p w:rsidR="00717C03" w:rsidRPr="00E34F04" w:rsidRDefault="009128BF" w:rsidP="009128BF">
      <w:pPr>
        <w:pStyle w:val="ManualHeading3"/>
        <w:rPr>
          <w:noProof/>
        </w:rPr>
      </w:pPr>
      <w:r w:rsidRPr="009128BF">
        <w:rPr>
          <w:noProof/>
        </w:rPr>
        <w:t>4.2.1.</w:t>
      </w:r>
      <w:r w:rsidRPr="009128BF">
        <w:rPr>
          <w:noProof/>
        </w:rPr>
        <w:tab/>
      </w:r>
      <w:r w:rsidR="00717C03" w:rsidRPr="00E34F04">
        <w:rPr>
          <w:noProof/>
        </w:rPr>
        <w:t>Principles</w:t>
      </w:r>
    </w:p>
    <w:p w:rsidR="00717C03" w:rsidRPr="00E34F04" w:rsidRDefault="008D01CE" w:rsidP="00C92807">
      <w:pPr>
        <w:rPr>
          <w:noProof/>
        </w:rPr>
      </w:pPr>
      <w:r w:rsidRPr="008D01CE">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717C03" w:rsidRPr="00E34F04" w:rsidRDefault="009128BF" w:rsidP="009128BF">
      <w:pPr>
        <w:pStyle w:val="ManualHeading3"/>
        <w:rPr>
          <w:noProof/>
        </w:rPr>
      </w:pPr>
      <w:r w:rsidRPr="009128BF">
        <w:rPr>
          <w:noProof/>
        </w:rPr>
        <w:t>4.2.2.</w:t>
      </w:r>
      <w:r w:rsidRPr="009128BF">
        <w:rPr>
          <w:noProof/>
        </w:rPr>
        <w:tab/>
      </w:r>
      <w:r w:rsidR="00717C03" w:rsidRPr="00E34F04">
        <w:rPr>
          <w:noProof/>
        </w:rPr>
        <w:t>Application to the present case</w:t>
      </w:r>
    </w:p>
    <w:p w:rsidR="00717C03" w:rsidRPr="00E34F04" w:rsidRDefault="008D01CE" w:rsidP="00C92807">
      <w:pPr>
        <w:rPr>
          <w:noProof/>
        </w:rPr>
      </w:pPr>
      <w:r w:rsidRPr="008D01CE">
        <w:rPr>
          <w:noProof/>
        </w:rPr>
        <w:t>The main objective and content of the envisaged act relate to the common commercial policy. Therefore, the substantive legal basis of the proposed decision is Article 207(4) TFEU.</w:t>
      </w:r>
    </w:p>
    <w:p w:rsidR="00717C03" w:rsidRPr="00E34F04" w:rsidRDefault="009128BF" w:rsidP="009128BF">
      <w:pPr>
        <w:pStyle w:val="ManualHeading2"/>
        <w:rPr>
          <w:noProof/>
        </w:rPr>
      </w:pPr>
      <w:r w:rsidRPr="009128BF">
        <w:rPr>
          <w:noProof/>
        </w:rPr>
        <w:t>4.3.</w:t>
      </w:r>
      <w:r w:rsidRPr="009128BF">
        <w:rPr>
          <w:noProof/>
        </w:rPr>
        <w:tab/>
      </w:r>
      <w:r w:rsidR="00717C03" w:rsidRPr="00E34F04">
        <w:rPr>
          <w:noProof/>
        </w:rPr>
        <w:t>Conclusion</w:t>
      </w:r>
    </w:p>
    <w:p w:rsidR="00717C03" w:rsidRDefault="00717C03" w:rsidP="00C33A39">
      <w:pPr>
        <w:rPr>
          <w:noProof/>
        </w:rPr>
      </w:pPr>
      <w:r w:rsidRPr="00E34F04">
        <w:rPr>
          <w:noProof/>
        </w:rPr>
        <w:t>The legal basis of the proposed decision shoul</w:t>
      </w:r>
      <w:r w:rsidRPr="008D01CE">
        <w:rPr>
          <w:noProof/>
        </w:rPr>
        <w:t xml:space="preserve">d be </w:t>
      </w:r>
      <w:r w:rsidR="008D01CE" w:rsidRPr="00C33A39">
        <w:rPr>
          <w:noProof/>
        </w:rPr>
        <w:t>Article 207(4) TFEU,</w:t>
      </w:r>
      <w:r w:rsidRPr="008D01CE">
        <w:rPr>
          <w:noProof/>
        </w:rPr>
        <w:t xml:space="preserve"> in conjunctio</w:t>
      </w:r>
      <w:r w:rsidRPr="00E34F04">
        <w:rPr>
          <w:noProof/>
        </w:rPr>
        <w:t>n with Article 218(9) TFEU.</w:t>
      </w:r>
    </w:p>
    <w:p w:rsidR="00300268" w:rsidRPr="00300268" w:rsidRDefault="009128BF" w:rsidP="009128BF">
      <w:pPr>
        <w:pStyle w:val="ManualHeading1"/>
        <w:rPr>
          <w:noProof/>
        </w:rPr>
      </w:pPr>
      <w:r w:rsidRPr="009128BF">
        <w:rPr>
          <w:noProof/>
        </w:rPr>
        <w:t>5.</w:t>
      </w:r>
      <w:r w:rsidRPr="009128BF">
        <w:rPr>
          <w:noProof/>
        </w:rPr>
        <w:tab/>
      </w:r>
      <w:r w:rsidR="00300268" w:rsidRPr="00300268">
        <w:rPr>
          <w:noProof/>
        </w:rPr>
        <w:t>Compliance with the digital by default principle</w:t>
      </w:r>
    </w:p>
    <w:p w:rsidR="00300268" w:rsidRPr="00300268" w:rsidRDefault="00300268" w:rsidP="00300268">
      <w:pPr>
        <w:rPr>
          <w:noProof/>
        </w:rPr>
      </w:pPr>
      <w:r w:rsidRPr="00300268">
        <w:rPr>
          <w:noProof/>
        </w:rPr>
        <w:t>According to the digital assessment carried out, the current proposal has no digital dimensions as there is no digital relevance.</w:t>
      </w:r>
    </w:p>
    <w:p w:rsidR="00300268" w:rsidRPr="00E34F04" w:rsidRDefault="00300268" w:rsidP="001F6524">
      <w:pPr>
        <w:rPr>
          <w:noProof/>
        </w:rPr>
      </w:pPr>
      <w:r w:rsidRPr="00300268">
        <w:rPr>
          <w:noProof/>
        </w:rPr>
        <w:t>Digital means or data exchange are not under the scope of the proposal.</w:t>
      </w:r>
    </w:p>
    <w:p w:rsidR="00717C03" w:rsidRPr="00FD40BA" w:rsidRDefault="00717C03" w:rsidP="00C92807">
      <w:pPr>
        <w:rPr>
          <w:noProof/>
        </w:rPr>
        <w:sectPr w:rsidR="00717C03" w:rsidRPr="00FD40BA" w:rsidSect="00683EB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C110F0" w:rsidRDefault="00A11225">
      <w:pPr>
        <w:pStyle w:val="Rfrenceinterinstitutionnelle"/>
        <w:rPr>
          <w:noProof/>
        </w:rPr>
      </w:pPr>
      <w:r>
        <w:rPr>
          <w:noProof/>
        </w:rPr>
        <w:t>2026/0006 (NLE)</w:t>
      </w:r>
    </w:p>
    <w:p w:rsidR="00717C03" w:rsidRPr="00E34F04" w:rsidRDefault="0046457D" w:rsidP="0046457D">
      <w:pPr>
        <w:pStyle w:val="Statut"/>
        <w:rPr>
          <w:noProof/>
        </w:rPr>
      </w:pPr>
      <w:r w:rsidRPr="0046457D">
        <w:rPr>
          <w:noProof/>
        </w:rPr>
        <w:t>Proposal for a</w:t>
      </w:r>
    </w:p>
    <w:p w:rsidR="00717C03" w:rsidRPr="00E34F04" w:rsidRDefault="0046457D" w:rsidP="0046457D">
      <w:pPr>
        <w:pStyle w:val="Typedudocument"/>
        <w:rPr>
          <w:noProof/>
        </w:rPr>
      </w:pPr>
      <w:r w:rsidRPr="0046457D">
        <w:rPr>
          <w:noProof/>
        </w:rPr>
        <w:t>COUNCIL DECISION</w:t>
      </w:r>
    </w:p>
    <w:p w:rsidR="00717C03" w:rsidRPr="00E34F04" w:rsidRDefault="0046457D" w:rsidP="0046457D">
      <w:pPr>
        <w:pStyle w:val="Titreobjet"/>
        <w:rPr>
          <w:noProof/>
        </w:rPr>
      </w:pPr>
      <w:r w:rsidRPr="0046457D">
        <w:rPr>
          <w:noProof/>
        </w:rPr>
        <w:t>on the position to be taken on behalf of the European Union in the Council of Members of the International Olive Council as regards the trade standard for olive oil and olive-pomace oil and a new method of analysis to determine the peroxide value in such oils</w:t>
      </w:r>
    </w:p>
    <w:p w:rsidR="00717C03" w:rsidRPr="00AD2A67" w:rsidRDefault="00717C03" w:rsidP="00C92807">
      <w:pPr>
        <w:pStyle w:val="Institutionquiagit"/>
        <w:rPr>
          <w:noProof/>
        </w:rPr>
      </w:pPr>
      <w:r w:rsidRPr="00AD2A67">
        <w:rPr>
          <w:noProof/>
        </w:rPr>
        <w:t>THE COUNCIL OF THE EUROPEAN UNION,</w:t>
      </w:r>
    </w:p>
    <w:p w:rsidR="00717C03" w:rsidRPr="00E34F04" w:rsidRDefault="00717C03" w:rsidP="00C33A39">
      <w:pPr>
        <w:rPr>
          <w:noProof/>
        </w:rPr>
      </w:pPr>
      <w:r w:rsidRPr="00E34F04">
        <w:rPr>
          <w:noProof/>
        </w:rPr>
        <w:t>Having regard to the Treaty on the Functioning of the European Union, and in particular Article</w:t>
      </w:r>
      <w:r w:rsidR="008D01CE">
        <w:rPr>
          <w:noProof/>
        </w:rPr>
        <w:t xml:space="preserve"> 207(</w:t>
      </w:r>
      <w:r w:rsidR="008D01CE" w:rsidRPr="008D01CE">
        <w:rPr>
          <w:noProof/>
        </w:rPr>
        <w:t>4)</w:t>
      </w:r>
      <w:r w:rsidR="008D01CE" w:rsidRPr="00C33A39">
        <w:rPr>
          <w:noProof/>
        </w:rPr>
        <w:t>, first subparagraph</w:t>
      </w:r>
      <w:r w:rsidRPr="00C33A39">
        <w:rPr>
          <w:noProof/>
        </w:rPr>
        <w:t xml:space="preserve">, </w:t>
      </w:r>
      <w:r w:rsidRPr="008D01CE">
        <w:rPr>
          <w:noProof/>
        </w:rPr>
        <w:t xml:space="preserve">in </w:t>
      </w:r>
      <w:r w:rsidRPr="00E34F04">
        <w:rPr>
          <w:noProof/>
        </w:rPr>
        <w:t>conjunction with Article 218(9) thereof,</w:t>
      </w:r>
    </w:p>
    <w:p w:rsidR="00717C03" w:rsidRPr="00E34F04" w:rsidRDefault="00717C03" w:rsidP="00C92807">
      <w:pPr>
        <w:rPr>
          <w:noProof/>
        </w:rPr>
      </w:pPr>
      <w:r w:rsidRPr="00E34F04">
        <w:rPr>
          <w:noProof/>
        </w:rPr>
        <w:t>Having regard to the proposal from the European Commission,</w:t>
      </w:r>
    </w:p>
    <w:p w:rsidR="00717C03" w:rsidRPr="00E34F04" w:rsidRDefault="00717C03" w:rsidP="00C92807">
      <w:pPr>
        <w:rPr>
          <w:noProof/>
        </w:rPr>
      </w:pPr>
      <w:r w:rsidRPr="00E34F04">
        <w:rPr>
          <w:noProof/>
        </w:rPr>
        <w:t>Whereas:</w:t>
      </w:r>
    </w:p>
    <w:p w:rsidR="008D01CE" w:rsidRPr="008D01CE" w:rsidRDefault="009128BF" w:rsidP="009128BF">
      <w:pPr>
        <w:pStyle w:val="ManualConsidrant"/>
        <w:rPr>
          <w:noProof/>
        </w:rPr>
      </w:pPr>
      <w:r w:rsidRPr="009128BF">
        <w:rPr>
          <w:noProof/>
        </w:rPr>
        <w:t>(1)</w:t>
      </w:r>
      <w:r w:rsidRPr="009128BF">
        <w:rPr>
          <w:noProof/>
        </w:rPr>
        <w:tab/>
      </w:r>
      <w:r w:rsidR="008D01CE" w:rsidRPr="008D01CE">
        <w:rPr>
          <w:noProof/>
        </w:rPr>
        <w:t>The International Agreement on Olive Oil and Table Olives, 2015 (‘the Agreement’) was signed on behalf of the Union in accordance with Council Decision (EU) 2016/</w:t>
      </w:r>
      <w:r w:rsidR="008D01CE" w:rsidRPr="0026169C">
        <w:rPr>
          <w:noProof/>
        </w:rPr>
        <w:t>1892</w:t>
      </w:r>
      <w:r w:rsidR="008D01CE" w:rsidRPr="0026169C">
        <w:rPr>
          <w:rStyle w:val="FootnoteReference"/>
          <w:noProof/>
        </w:rPr>
        <w:footnoteReference w:id="7"/>
      </w:r>
      <w:r w:rsidR="008D01CE">
        <w:rPr>
          <w:noProof/>
        </w:rPr>
        <w:t xml:space="preserve"> </w:t>
      </w:r>
      <w:r w:rsidR="008D01CE" w:rsidRPr="008D01CE">
        <w:rPr>
          <w:noProof/>
        </w:rPr>
        <w:t xml:space="preserve">on 18 November 2016 and was concluded </w:t>
      </w:r>
      <w:r w:rsidR="006312DA">
        <w:rPr>
          <w:noProof/>
        </w:rPr>
        <w:t>on behalf of the</w:t>
      </w:r>
      <w:r w:rsidR="008D01CE" w:rsidRPr="008D01CE">
        <w:rPr>
          <w:noProof/>
        </w:rPr>
        <w:t xml:space="preserve"> Union by Council Decision (EU) </w:t>
      </w:r>
      <w:r w:rsidR="008D01CE" w:rsidRPr="0026169C">
        <w:rPr>
          <w:noProof/>
        </w:rPr>
        <w:t>2019/848</w:t>
      </w:r>
      <w:r w:rsidR="008D01CE" w:rsidRPr="0026169C">
        <w:rPr>
          <w:rStyle w:val="FootnoteReference"/>
          <w:noProof/>
        </w:rPr>
        <w:footnoteReference w:id="8"/>
      </w:r>
      <w:r w:rsidR="008D01CE" w:rsidRPr="0026169C">
        <w:rPr>
          <w:noProof/>
        </w:rPr>
        <w:t>.</w:t>
      </w:r>
    </w:p>
    <w:p w:rsidR="008D01CE" w:rsidRPr="008D01CE" w:rsidRDefault="009128BF" w:rsidP="009128BF">
      <w:pPr>
        <w:pStyle w:val="ManualConsidrant"/>
        <w:rPr>
          <w:noProof/>
        </w:rPr>
      </w:pPr>
      <w:r w:rsidRPr="009128BF">
        <w:rPr>
          <w:noProof/>
        </w:rPr>
        <w:t>(2)</w:t>
      </w:r>
      <w:r w:rsidRPr="009128BF">
        <w:rPr>
          <w:noProof/>
        </w:rPr>
        <w:tab/>
      </w:r>
      <w:r w:rsidR="006312DA">
        <w:rPr>
          <w:noProof/>
        </w:rPr>
        <w:t>T</w:t>
      </w:r>
      <w:r w:rsidR="008D01CE" w:rsidRPr="008D01CE">
        <w:rPr>
          <w:noProof/>
        </w:rPr>
        <w:t xml:space="preserve">he Council of Members of the International Olive Council </w:t>
      </w:r>
      <w:r w:rsidR="006312DA">
        <w:rPr>
          <w:noProof/>
        </w:rPr>
        <w:t xml:space="preserve">(IOC) </w:t>
      </w:r>
      <w:r w:rsidR="008D01CE" w:rsidRPr="008D01CE">
        <w:rPr>
          <w:noProof/>
        </w:rPr>
        <w:t>(‘the Council of Members’) may take decisions and adopt recommendations for the application of the provisions of th</w:t>
      </w:r>
      <w:r w:rsidR="006312DA">
        <w:rPr>
          <w:noProof/>
        </w:rPr>
        <w:t>e</w:t>
      </w:r>
      <w:r w:rsidR="008D01CE" w:rsidRPr="008D01CE">
        <w:rPr>
          <w:noProof/>
        </w:rPr>
        <w:t xml:space="preserve"> Agreement.</w:t>
      </w:r>
    </w:p>
    <w:p w:rsidR="008D01CE" w:rsidRPr="008D01CE" w:rsidRDefault="009128BF" w:rsidP="009128BF">
      <w:pPr>
        <w:pStyle w:val="ManualConsidrant"/>
        <w:rPr>
          <w:noProof/>
        </w:rPr>
      </w:pPr>
      <w:r w:rsidRPr="009128BF">
        <w:rPr>
          <w:noProof/>
        </w:rPr>
        <w:t>(3)</w:t>
      </w:r>
      <w:r w:rsidRPr="009128BF">
        <w:rPr>
          <w:noProof/>
        </w:rPr>
        <w:tab/>
      </w:r>
      <w:r w:rsidR="009823D8">
        <w:rPr>
          <w:noProof/>
        </w:rPr>
        <w:t>T</w:t>
      </w:r>
      <w:r w:rsidR="008D01CE" w:rsidRPr="008D01CE">
        <w:rPr>
          <w:noProof/>
        </w:rPr>
        <w:t xml:space="preserve">he Council of Members is to adopt a decision amending the </w:t>
      </w:r>
      <w:r w:rsidR="005814E6">
        <w:rPr>
          <w:noProof/>
        </w:rPr>
        <w:t>t</w:t>
      </w:r>
      <w:r w:rsidR="008D01CE" w:rsidRPr="008D01CE">
        <w:rPr>
          <w:noProof/>
        </w:rPr>
        <w:t xml:space="preserve">rade </w:t>
      </w:r>
      <w:r w:rsidR="005814E6">
        <w:rPr>
          <w:noProof/>
        </w:rPr>
        <w:t>s</w:t>
      </w:r>
      <w:r w:rsidR="008D01CE" w:rsidRPr="008D01CE">
        <w:rPr>
          <w:noProof/>
        </w:rPr>
        <w:t>tandard for olive oil and olive-pomace oi</w:t>
      </w:r>
      <w:r w:rsidR="00473C6A">
        <w:rPr>
          <w:noProof/>
        </w:rPr>
        <w:t>l</w:t>
      </w:r>
      <w:r w:rsidR="009823D8">
        <w:rPr>
          <w:noProof/>
        </w:rPr>
        <w:t xml:space="preserve"> and a decision on a new method of analysis </w:t>
      </w:r>
      <w:r w:rsidR="00B76CB8">
        <w:rPr>
          <w:noProof/>
        </w:rPr>
        <w:t xml:space="preserve">to </w:t>
      </w:r>
      <w:r w:rsidR="000E3F60">
        <w:rPr>
          <w:noProof/>
        </w:rPr>
        <w:t>determin</w:t>
      </w:r>
      <w:r w:rsidR="00B76CB8">
        <w:rPr>
          <w:noProof/>
        </w:rPr>
        <w:t>e</w:t>
      </w:r>
      <w:r w:rsidR="000E3F60">
        <w:rPr>
          <w:noProof/>
        </w:rPr>
        <w:t xml:space="preserve"> the peroxide value </w:t>
      </w:r>
      <w:r w:rsidR="00B76CB8">
        <w:rPr>
          <w:noProof/>
        </w:rPr>
        <w:t xml:space="preserve">in such oils, </w:t>
      </w:r>
      <w:r w:rsidR="009823D8">
        <w:rPr>
          <w:noProof/>
        </w:rPr>
        <w:t>by exchange of correspondence ahead of its 123</w:t>
      </w:r>
      <w:r w:rsidR="009823D8" w:rsidRPr="009823D8">
        <w:rPr>
          <w:noProof/>
          <w:vertAlign w:val="superscript"/>
        </w:rPr>
        <w:t>rd</w:t>
      </w:r>
      <w:r w:rsidR="009823D8">
        <w:rPr>
          <w:noProof/>
        </w:rPr>
        <w:t xml:space="preserve"> session in June 2026</w:t>
      </w:r>
      <w:r w:rsidR="008D01CE" w:rsidRPr="008D01CE">
        <w:rPr>
          <w:noProof/>
        </w:rPr>
        <w:t>.</w:t>
      </w:r>
    </w:p>
    <w:p w:rsidR="008D01CE" w:rsidRPr="008D01CE" w:rsidRDefault="009128BF" w:rsidP="009128BF">
      <w:pPr>
        <w:pStyle w:val="ManualConsidrant"/>
        <w:rPr>
          <w:noProof/>
        </w:rPr>
      </w:pPr>
      <w:r w:rsidRPr="009128BF">
        <w:rPr>
          <w:noProof/>
        </w:rPr>
        <w:t>(4)</w:t>
      </w:r>
      <w:r w:rsidRPr="009128BF">
        <w:rPr>
          <w:noProof/>
        </w:rPr>
        <w:tab/>
      </w:r>
      <w:r w:rsidR="008D01CE" w:rsidRPr="008D01CE">
        <w:rPr>
          <w:noProof/>
        </w:rPr>
        <w:t>Th</w:t>
      </w:r>
      <w:r w:rsidR="000E3F60">
        <w:rPr>
          <w:noProof/>
        </w:rPr>
        <w:t>ose</w:t>
      </w:r>
      <w:r w:rsidR="008D01CE" w:rsidRPr="008D01CE">
        <w:rPr>
          <w:noProof/>
        </w:rPr>
        <w:t xml:space="preserve"> decision</w:t>
      </w:r>
      <w:r w:rsidR="009823D8">
        <w:rPr>
          <w:noProof/>
        </w:rPr>
        <w:t>s</w:t>
      </w:r>
      <w:r w:rsidR="008D01CE" w:rsidRPr="008D01CE">
        <w:rPr>
          <w:noProof/>
        </w:rPr>
        <w:t xml:space="preserve"> to be adopted ha</w:t>
      </w:r>
      <w:r w:rsidR="009823D8">
        <w:rPr>
          <w:noProof/>
        </w:rPr>
        <w:t>ve</w:t>
      </w:r>
      <w:r w:rsidR="002E6601">
        <w:rPr>
          <w:noProof/>
        </w:rPr>
        <w:t xml:space="preserve"> </w:t>
      </w:r>
      <w:r w:rsidR="008D01CE" w:rsidRPr="008D01CE">
        <w:rPr>
          <w:noProof/>
        </w:rPr>
        <w:t>been extensively discussed between scientific and technical experts on olive oil of the Commission and of the Member States. Th</w:t>
      </w:r>
      <w:r w:rsidR="009823D8">
        <w:rPr>
          <w:noProof/>
        </w:rPr>
        <w:t>e</w:t>
      </w:r>
      <w:r w:rsidR="008D01CE" w:rsidRPr="008D01CE">
        <w:rPr>
          <w:noProof/>
        </w:rPr>
        <w:t xml:space="preserve"> decision</w:t>
      </w:r>
      <w:r w:rsidR="009823D8">
        <w:rPr>
          <w:noProof/>
        </w:rPr>
        <w:t>s</w:t>
      </w:r>
      <w:r w:rsidR="008D01CE" w:rsidRPr="008D01CE">
        <w:rPr>
          <w:noProof/>
        </w:rPr>
        <w:t xml:space="preserve"> will contribute to the international harmonisation of olive oil standards and will establish a framework which will ensure fair competition in the trading of products of the olive oil sector. The Union should therefore support the adoption of th</w:t>
      </w:r>
      <w:r w:rsidR="00346D7C">
        <w:rPr>
          <w:noProof/>
        </w:rPr>
        <w:t>ese</w:t>
      </w:r>
      <w:r w:rsidR="008D01CE" w:rsidRPr="008D01CE">
        <w:rPr>
          <w:noProof/>
        </w:rPr>
        <w:t xml:space="preserve"> decision</w:t>
      </w:r>
      <w:r w:rsidR="00346D7C">
        <w:rPr>
          <w:noProof/>
        </w:rPr>
        <w:t>s</w:t>
      </w:r>
      <w:r w:rsidR="008D01CE" w:rsidRPr="008D01CE">
        <w:rPr>
          <w:noProof/>
        </w:rPr>
        <w:t>.</w:t>
      </w:r>
    </w:p>
    <w:p w:rsidR="008D01CE" w:rsidRPr="008D01CE" w:rsidRDefault="009128BF" w:rsidP="009128BF">
      <w:pPr>
        <w:pStyle w:val="ManualConsidrant"/>
        <w:rPr>
          <w:noProof/>
        </w:rPr>
      </w:pPr>
      <w:r w:rsidRPr="009128BF">
        <w:rPr>
          <w:noProof/>
        </w:rPr>
        <w:t>(5)</w:t>
      </w:r>
      <w:r w:rsidRPr="009128BF">
        <w:rPr>
          <w:noProof/>
        </w:rPr>
        <w:tab/>
      </w:r>
      <w:r w:rsidR="008D01CE" w:rsidRPr="008D01CE">
        <w:rPr>
          <w:noProof/>
        </w:rPr>
        <w:t>It is appropriate to establish the position to be taken on behalf of the Union within the Council of Members, as the decision</w:t>
      </w:r>
      <w:r w:rsidR="00346D7C">
        <w:rPr>
          <w:noProof/>
        </w:rPr>
        <w:t>s</w:t>
      </w:r>
      <w:r w:rsidR="008D01CE" w:rsidRPr="008D01CE">
        <w:rPr>
          <w:noProof/>
        </w:rPr>
        <w:t xml:space="preserve"> to be adopted </w:t>
      </w:r>
      <w:r w:rsidR="00346D7C">
        <w:rPr>
          <w:noProof/>
        </w:rPr>
        <w:t xml:space="preserve">by the IOC </w:t>
      </w:r>
      <w:r w:rsidR="008D01CE" w:rsidRPr="008D01CE" w:rsidDel="00333190">
        <w:rPr>
          <w:noProof/>
        </w:rPr>
        <w:t>will have</w:t>
      </w:r>
      <w:r w:rsidR="008D01CE" w:rsidRPr="008D01CE">
        <w:rPr>
          <w:noProof/>
        </w:rPr>
        <w:t xml:space="preserve"> legal effect on the Union as regards international trade with the other members of the IOC and </w:t>
      </w:r>
      <w:r w:rsidR="008D01CE" w:rsidRPr="008D01CE" w:rsidDel="00333190">
        <w:rPr>
          <w:noProof/>
        </w:rPr>
        <w:t xml:space="preserve">will decisively </w:t>
      </w:r>
      <w:r w:rsidR="008D01CE" w:rsidRPr="008D01CE">
        <w:rPr>
          <w:noProof/>
        </w:rPr>
        <w:t>influenc</w:t>
      </w:r>
      <w:r w:rsidR="00346D7C">
        <w:rPr>
          <w:noProof/>
        </w:rPr>
        <w:t>e</w:t>
      </w:r>
      <w:r w:rsidR="008D01CE" w:rsidRPr="008D01CE">
        <w:rPr>
          <w:noProof/>
        </w:rPr>
        <w:t xml:space="preserve"> the content of Union law, namely on marketing standards </w:t>
      </w:r>
      <w:r w:rsidR="00F901E3">
        <w:rPr>
          <w:noProof/>
        </w:rPr>
        <w:t xml:space="preserve">and conformity checks </w:t>
      </w:r>
      <w:r w:rsidR="008D01CE" w:rsidRPr="008D01CE">
        <w:rPr>
          <w:noProof/>
        </w:rPr>
        <w:t>for olive oil adopted by the Commission pursuant t</w:t>
      </w:r>
      <w:r w:rsidR="008D01CE" w:rsidRPr="0026169C">
        <w:rPr>
          <w:noProof/>
        </w:rPr>
        <w:t>o Article 75 of Regulation (EU) No 1308/2013 of the European Parliament and of the Council</w:t>
      </w:r>
      <w:r w:rsidR="008D01CE" w:rsidRPr="0026169C">
        <w:rPr>
          <w:rStyle w:val="FootnoteReference"/>
          <w:noProof/>
        </w:rPr>
        <w:footnoteReference w:id="9"/>
      </w:r>
      <w:r w:rsidR="008D01CE" w:rsidRPr="0026169C">
        <w:rPr>
          <w:noProof/>
        </w:rPr>
        <w:t>.</w:t>
      </w:r>
    </w:p>
    <w:p w:rsidR="008D01CE" w:rsidRPr="008D01CE" w:rsidRDefault="009128BF" w:rsidP="009128BF">
      <w:pPr>
        <w:pStyle w:val="ManualConsidrant"/>
        <w:rPr>
          <w:noProof/>
        </w:rPr>
      </w:pPr>
      <w:r w:rsidRPr="009128BF">
        <w:rPr>
          <w:noProof/>
        </w:rPr>
        <w:t>(6)</w:t>
      </w:r>
      <w:r w:rsidRPr="009128BF">
        <w:rPr>
          <w:noProof/>
        </w:rPr>
        <w:tab/>
      </w:r>
      <w:r w:rsidR="008D01CE" w:rsidRPr="008D01CE">
        <w:rPr>
          <w:noProof/>
        </w:rPr>
        <w:t>If the adoption of the decision</w:t>
      </w:r>
      <w:r w:rsidR="00F901E3">
        <w:rPr>
          <w:noProof/>
        </w:rPr>
        <w:t>s</w:t>
      </w:r>
      <w:r w:rsidR="008D01CE" w:rsidRPr="008D01CE">
        <w:rPr>
          <w:noProof/>
        </w:rPr>
        <w:t xml:space="preserve"> is postponed</w:t>
      </w:r>
      <w:r w:rsidR="00F901E3">
        <w:rPr>
          <w:noProof/>
        </w:rPr>
        <w:t xml:space="preserve"> to the</w:t>
      </w:r>
      <w:r w:rsidR="00F901E3" w:rsidRPr="008D01CE">
        <w:rPr>
          <w:noProof/>
        </w:rPr>
        <w:t xml:space="preserve"> 12</w:t>
      </w:r>
      <w:r w:rsidR="00F901E3">
        <w:rPr>
          <w:noProof/>
        </w:rPr>
        <w:t>3</w:t>
      </w:r>
      <w:r w:rsidR="00F901E3" w:rsidRPr="00F901E3">
        <w:rPr>
          <w:noProof/>
          <w:vertAlign w:val="superscript"/>
        </w:rPr>
        <w:t>rd</w:t>
      </w:r>
      <w:r w:rsidR="00F901E3" w:rsidRPr="00F901E3">
        <w:rPr>
          <w:noProof/>
        </w:rPr>
        <w:t xml:space="preserve"> session of the Council of Members</w:t>
      </w:r>
      <w:r w:rsidR="008D01CE" w:rsidRPr="00F901E3">
        <w:rPr>
          <w:noProof/>
        </w:rPr>
        <w:t xml:space="preserve">, as a result of some Members not being in a position to give their approval, the position set out in this Decision should be taken on behalf of the Union within the framework of </w:t>
      </w:r>
      <w:r w:rsidR="00F901E3">
        <w:rPr>
          <w:noProof/>
        </w:rPr>
        <w:t>the June 2026 session of</w:t>
      </w:r>
      <w:r w:rsidR="008D01CE" w:rsidRPr="00F901E3">
        <w:rPr>
          <w:noProof/>
        </w:rPr>
        <w:t xml:space="preserve"> the Council of Members</w:t>
      </w:r>
      <w:r w:rsidR="00F901E3">
        <w:rPr>
          <w:noProof/>
        </w:rPr>
        <w:t>, which is</w:t>
      </w:r>
      <w:r w:rsidR="008D01CE" w:rsidRPr="008D01CE">
        <w:rPr>
          <w:noProof/>
        </w:rPr>
        <w:t xml:space="preserve"> </w:t>
      </w:r>
      <w:r w:rsidR="00F901E3">
        <w:rPr>
          <w:noProof/>
        </w:rPr>
        <w:t xml:space="preserve">its </w:t>
      </w:r>
      <w:r w:rsidR="008D01CE" w:rsidRPr="008D01CE">
        <w:rPr>
          <w:noProof/>
        </w:rPr>
        <w:t>next regular session.</w:t>
      </w:r>
    </w:p>
    <w:p w:rsidR="008D01CE" w:rsidRPr="008D01CE" w:rsidRDefault="009128BF" w:rsidP="009128BF">
      <w:pPr>
        <w:pStyle w:val="ManualConsidrant"/>
        <w:rPr>
          <w:noProof/>
        </w:rPr>
      </w:pPr>
      <w:r w:rsidRPr="009128BF">
        <w:rPr>
          <w:noProof/>
        </w:rPr>
        <w:t>(7)</w:t>
      </w:r>
      <w:r w:rsidRPr="009128BF">
        <w:rPr>
          <w:noProof/>
        </w:rPr>
        <w:tab/>
      </w:r>
      <w:r w:rsidR="008D01CE" w:rsidRPr="008D01CE">
        <w:rPr>
          <w:noProof/>
        </w:rPr>
        <w:t xml:space="preserve">It should, however, be possible for the representatives of the Union in the Council of Members to agree to technical adaptations to other methods or documents of the IOC without further decision of the Council if those technical adaptations result from amendments related to the revision of the </w:t>
      </w:r>
      <w:r w:rsidR="005814E6">
        <w:rPr>
          <w:noProof/>
        </w:rPr>
        <w:t>t</w:t>
      </w:r>
      <w:r w:rsidR="008D01CE" w:rsidRPr="008D01CE">
        <w:rPr>
          <w:noProof/>
        </w:rPr>
        <w:t xml:space="preserve">rade </w:t>
      </w:r>
      <w:r w:rsidR="005814E6">
        <w:rPr>
          <w:noProof/>
        </w:rPr>
        <w:t>s</w:t>
      </w:r>
      <w:r w:rsidR="008D01CE" w:rsidRPr="008D01CE">
        <w:rPr>
          <w:noProof/>
        </w:rPr>
        <w:t>tandard</w:t>
      </w:r>
      <w:r w:rsidR="008334F0">
        <w:rPr>
          <w:noProof/>
        </w:rPr>
        <w:t xml:space="preserve"> or the new method</w:t>
      </w:r>
      <w:r w:rsidR="008D01CE" w:rsidRPr="008D01CE">
        <w:rPr>
          <w:noProof/>
        </w:rPr>
        <w:t>.</w:t>
      </w:r>
    </w:p>
    <w:p w:rsidR="00717C03" w:rsidRPr="00E34F04" w:rsidRDefault="009128BF" w:rsidP="009128BF">
      <w:pPr>
        <w:pStyle w:val="ManualConsidrant"/>
        <w:rPr>
          <w:noProof/>
        </w:rPr>
      </w:pPr>
      <w:r w:rsidRPr="009128BF">
        <w:rPr>
          <w:noProof/>
        </w:rPr>
        <w:t>(8)</w:t>
      </w:r>
      <w:r w:rsidRPr="009128BF">
        <w:rPr>
          <w:noProof/>
        </w:rPr>
        <w:tab/>
      </w:r>
      <w:r w:rsidR="008D01CE" w:rsidRPr="008D01CE">
        <w:rPr>
          <w:noProof/>
        </w:rPr>
        <w:t>In order to preserve the interest of the Union, the representatives of the Union in the Council of Members should however be allowed to request to postpone the adoption of the decision</w:t>
      </w:r>
      <w:r w:rsidR="006312DA">
        <w:rPr>
          <w:noProof/>
        </w:rPr>
        <w:t>s</w:t>
      </w:r>
      <w:r w:rsidR="008D01CE" w:rsidRPr="008D01CE">
        <w:rPr>
          <w:i/>
          <w:noProof/>
        </w:rPr>
        <w:t xml:space="preserve"> </w:t>
      </w:r>
      <w:r w:rsidR="008D01CE" w:rsidRPr="008D01CE">
        <w:rPr>
          <w:noProof/>
        </w:rPr>
        <w:t xml:space="preserve">amending the </w:t>
      </w:r>
      <w:r w:rsidR="005814E6">
        <w:rPr>
          <w:noProof/>
        </w:rPr>
        <w:t>t</w:t>
      </w:r>
      <w:r w:rsidR="008D01CE" w:rsidRPr="008D01CE">
        <w:rPr>
          <w:rFonts w:eastAsia="Arial Unicode MS"/>
          <w:noProof/>
        </w:rPr>
        <w:t xml:space="preserve">rade </w:t>
      </w:r>
      <w:r w:rsidR="005814E6">
        <w:rPr>
          <w:rFonts w:eastAsia="Arial Unicode MS"/>
          <w:noProof/>
        </w:rPr>
        <w:t>s</w:t>
      </w:r>
      <w:r w:rsidR="008D01CE" w:rsidRPr="008D01CE">
        <w:rPr>
          <w:rFonts w:eastAsia="Arial Unicode MS"/>
          <w:noProof/>
        </w:rPr>
        <w:t>tandard</w:t>
      </w:r>
      <w:r w:rsidR="00F901E3">
        <w:rPr>
          <w:rFonts w:eastAsia="Arial Unicode MS"/>
          <w:noProof/>
        </w:rPr>
        <w:t xml:space="preserve"> and the adoption of a new method</w:t>
      </w:r>
      <w:r w:rsidR="000E3F60">
        <w:rPr>
          <w:rFonts w:eastAsia="Arial Unicode MS"/>
          <w:noProof/>
        </w:rPr>
        <w:t xml:space="preserve"> </w:t>
      </w:r>
      <w:r w:rsidR="008334F0">
        <w:rPr>
          <w:rFonts w:eastAsia="Arial Unicode MS"/>
          <w:noProof/>
        </w:rPr>
        <w:t xml:space="preserve">to </w:t>
      </w:r>
      <w:r w:rsidR="000E3F60">
        <w:rPr>
          <w:rFonts w:eastAsia="Arial Unicode MS"/>
          <w:noProof/>
        </w:rPr>
        <w:t>determining the peroxide value</w:t>
      </w:r>
      <w:r w:rsidR="008334F0">
        <w:rPr>
          <w:rFonts w:eastAsia="Arial Unicode MS"/>
          <w:noProof/>
        </w:rPr>
        <w:t xml:space="preserve"> in olive oil</w:t>
      </w:r>
      <w:r w:rsidR="00660DCA">
        <w:rPr>
          <w:rFonts w:eastAsia="Arial Unicode MS"/>
          <w:noProof/>
        </w:rPr>
        <w:t>s</w:t>
      </w:r>
      <w:r w:rsidR="008334F0">
        <w:rPr>
          <w:rFonts w:eastAsia="Arial Unicode MS"/>
          <w:noProof/>
        </w:rPr>
        <w:t xml:space="preserve"> and olive-pomace oil</w:t>
      </w:r>
      <w:r w:rsidR="00660DCA">
        <w:rPr>
          <w:rFonts w:eastAsia="Arial Unicode MS"/>
          <w:noProof/>
        </w:rPr>
        <w:t>s</w:t>
      </w:r>
      <w:r w:rsidR="008D01CE" w:rsidRPr="008D01CE">
        <w:rPr>
          <w:noProof/>
        </w:rPr>
        <w:t xml:space="preserve">, if the position to be taken on behalf of the Union is likely to be affected by new scientific or technical information presented before </w:t>
      </w:r>
      <w:r w:rsidR="00F901E3">
        <w:rPr>
          <w:noProof/>
        </w:rPr>
        <w:t>the exchange of correspondence</w:t>
      </w:r>
      <w:r w:rsidR="008D01CE" w:rsidRPr="008D01CE">
        <w:rPr>
          <w:noProof/>
        </w:rPr>
        <w:t>,</w:t>
      </w:r>
    </w:p>
    <w:p w:rsidR="00717C03" w:rsidRPr="00E34F04" w:rsidRDefault="00717C03" w:rsidP="00C92807">
      <w:pPr>
        <w:pStyle w:val="Formuledadoption"/>
        <w:rPr>
          <w:noProof/>
        </w:rPr>
      </w:pPr>
      <w:r w:rsidRPr="00E34F04">
        <w:rPr>
          <w:noProof/>
        </w:rPr>
        <w:t>HAS ADOPTED THIS DECISION:</w:t>
      </w:r>
    </w:p>
    <w:p w:rsidR="00717C03" w:rsidRPr="00E34F04" w:rsidRDefault="00717C03" w:rsidP="00C92807">
      <w:pPr>
        <w:pStyle w:val="Titrearticle"/>
        <w:rPr>
          <w:noProof/>
        </w:rPr>
      </w:pPr>
      <w:r w:rsidRPr="00E34F04">
        <w:rPr>
          <w:noProof/>
        </w:rPr>
        <w:t>Article 1</w:t>
      </w:r>
    </w:p>
    <w:p w:rsidR="00717C03" w:rsidRDefault="00300268" w:rsidP="00C33A39">
      <w:pPr>
        <w:rPr>
          <w:noProof/>
        </w:rPr>
      </w:pPr>
      <w:r w:rsidRPr="00C33A39">
        <w:rPr>
          <w:noProof/>
        </w:rPr>
        <w:t xml:space="preserve">The position to be taken on the Union's behalf within the Council of Members of the International Olive Council </w:t>
      </w:r>
      <w:r w:rsidR="008334F0">
        <w:rPr>
          <w:noProof/>
        </w:rPr>
        <w:t xml:space="preserve">(IOC) </w:t>
      </w:r>
      <w:r w:rsidRPr="00C33A39">
        <w:rPr>
          <w:noProof/>
        </w:rPr>
        <w:t xml:space="preserve">for </w:t>
      </w:r>
      <w:r w:rsidR="008334F0">
        <w:rPr>
          <w:noProof/>
        </w:rPr>
        <w:t xml:space="preserve">the </w:t>
      </w:r>
      <w:r w:rsidRPr="00C33A39">
        <w:rPr>
          <w:noProof/>
        </w:rPr>
        <w:t xml:space="preserve">adoption of decisions by the Council of Members by an exchange of correspondence before its next regular session in </w:t>
      </w:r>
      <w:r w:rsidR="00F901E3">
        <w:rPr>
          <w:noProof/>
        </w:rPr>
        <w:t xml:space="preserve">June </w:t>
      </w:r>
      <w:r w:rsidRPr="00C33A39">
        <w:rPr>
          <w:noProof/>
        </w:rPr>
        <w:t>202</w:t>
      </w:r>
      <w:r w:rsidR="00F901E3">
        <w:rPr>
          <w:noProof/>
        </w:rPr>
        <w:t>6</w:t>
      </w:r>
      <w:r w:rsidR="008334F0">
        <w:rPr>
          <w:noProof/>
        </w:rPr>
        <w:t xml:space="preserve"> or during that session</w:t>
      </w:r>
      <w:r w:rsidR="00733483">
        <w:rPr>
          <w:noProof/>
        </w:rPr>
        <w:t>, is set out in the Annex</w:t>
      </w:r>
      <w:r w:rsidRPr="00C33A39">
        <w:rPr>
          <w:noProof/>
        </w:rPr>
        <w:t>.</w:t>
      </w:r>
    </w:p>
    <w:p w:rsidR="008334F0" w:rsidRPr="008334F0" w:rsidRDefault="008334F0" w:rsidP="00C33A39">
      <w:pPr>
        <w:rPr>
          <w:iCs/>
          <w:noProof/>
        </w:rPr>
      </w:pPr>
      <w:r w:rsidRPr="008334F0">
        <w:rPr>
          <w:iCs/>
          <w:noProof/>
        </w:rPr>
        <w:t xml:space="preserve">The decisions referred to in the first subparagraph are those on the trade standard for olive oil and olive-pomace oil, and on a new method to determine the peroxide value in </w:t>
      </w:r>
      <w:r w:rsidR="00F50875">
        <w:rPr>
          <w:iCs/>
          <w:noProof/>
        </w:rPr>
        <w:t>such oils</w:t>
      </w:r>
      <w:r w:rsidRPr="008334F0">
        <w:rPr>
          <w:iCs/>
          <w:noProof/>
        </w:rPr>
        <w:t>.</w:t>
      </w:r>
    </w:p>
    <w:p w:rsidR="00717C03" w:rsidRPr="00300268" w:rsidRDefault="00717C03" w:rsidP="00C33A39">
      <w:pPr>
        <w:pStyle w:val="Titrearticle"/>
        <w:rPr>
          <w:noProof/>
        </w:rPr>
      </w:pPr>
      <w:r w:rsidRPr="00300268">
        <w:rPr>
          <w:noProof/>
        </w:rPr>
        <w:t xml:space="preserve">Article </w:t>
      </w:r>
      <w:r w:rsidR="00300268" w:rsidRPr="00C33A39">
        <w:rPr>
          <w:noProof/>
        </w:rPr>
        <w:t>2</w:t>
      </w:r>
    </w:p>
    <w:p w:rsidR="00717C03" w:rsidRPr="00300268" w:rsidRDefault="00300268" w:rsidP="00C33A39">
      <w:pPr>
        <w:rPr>
          <w:noProof/>
        </w:rPr>
      </w:pPr>
      <w:r w:rsidRPr="00C33A39">
        <w:rPr>
          <w:noProof/>
        </w:rPr>
        <w:t xml:space="preserve">Technical adaptations to other methods or documents of the IOC may be agreed to by the representatives of the Union in the Council of Members of the IOC without further decision of the Council if those technical adaptations result from amendments related to the revision of the </w:t>
      </w:r>
      <w:r w:rsidR="005814E6">
        <w:rPr>
          <w:noProof/>
        </w:rPr>
        <w:t>t</w:t>
      </w:r>
      <w:r w:rsidRPr="00C33A39">
        <w:rPr>
          <w:noProof/>
        </w:rPr>
        <w:t xml:space="preserve">rade </w:t>
      </w:r>
      <w:r w:rsidR="005814E6">
        <w:rPr>
          <w:noProof/>
        </w:rPr>
        <w:t>s</w:t>
      </w:r>
      <w:r w:rsidRPr="00C33A39">
        <w:rPr>
          <w:noProof/>
        </w:rPr>
        <w:t>tandard for olive oil and olive-pomace oil</w:t>
      </w:r>
      <w:r w:rsidR="00F50875">
        <w:rPr>
          <w:noProof/>
        </w:rPr>
        <w:t xml:space="preserve"> or the new method</w:t>
      </w:r>
      <w:r w:rsidRPr="00C33A39">
        <w:rPr>
          <w:noProof/>
        </w:rPr>
        <w:t>.</w:t>
      </w:r>
    </w:p>
    <w:p w:rsidR="00717C03" w:rsidRPr="00300268" w:rsidRDefault="00717C03" w:rsidP="00C33A39">
      <w:pPr>
        <w:pStyle w:val="Titrearticle"/>
        <w:rPr>
          <w:noProof/>
        </w:rPr>
      </w:pPr>
      <w:r w:rsidRPr="00300268">
        <w:rPr>
          <w:noProof/>
        </w:rPr>
        <w:t xml:space="preserve">Article </w:t>
      </w:r>
      <w:r w:rsidR="00300268" w:rsidRPr="00C33A39">
        <w:rPr>
          <w:noProof/>
        </w:rPr>
        <w:t>3</w:t>
      </w:r>
    </w:p>
    <w:p w:rsidR="00717C03" w:rsidRPr="00300268" w:rsidRDefault="00300268" w:rsidP="00C33A39">
      <w:pPr>
        <w:rPr>
          <w:i/>
          <w:noProof/>
        </w:rPr>
      </w:pPr>
      <w:r w:rsidRPr="00C33A39">
        <w:rPr>
          <w:noProof/>
        </w:rPr>
        <w:t xml:space="preserve">Where the position referred to in Article 1 is likely to be affected by new scientific or technical information </w:t>
      </w:r>
      <w:r w:rsidR="00F901E3">
        <w:rPr>
          <w:noProof/>
        </w:rPr>
        <w:t>presented before the exchange of correspondence is initiated</w:t>
      </w:r>
      <w:r w:rsidRPr="00C33A39">
        <w:rPr>
          <w:noProof/>
        </w:rPr>
        <w:t xml:space="preserve">, the representatives of the Union shall request that the adoption of the decision amending the </w:t>
      </w:r>
      <w:r w:rsidR="005814E6">
        <w:rPr>
          <w:noProof/>
        </w:rPr>
        <w:t>t</w:t>
      </w:r>
      <w:r w:rsidRPr="00C33A39">
        <w:rPr>
          <w:noProof/>
        </w:rPr>
        <w:t xml:space="preserve">rade </w:t>
      </w:r>
      <w:r w:rsidR="005814E6">
        <w:rPr>
          <w:noProof/>
        </w:rPr>
        <w:t>s</w:t>
      </w:r>
      <w:r w:rsidRPr="00C33A39">
        <w:rPr>
          <w:noProof/>
        </w:rPr>
        <w:t xml:space="preserve">tandard for olive oil and olive-pomace oil </w:t>
      </w:r>
      <w:r w:rsidR="00F901E3">
        <w:rPr>
          <w:noProof/>
        </w:rPr>
        <w:t xml:space="preserve">and </w:t>
      </w:r>
      <w:r w:rsidR="00016CD9">
        <w:rPr>
          <w:noProof/>
        </w:rPr>
        <w:t xml:space="preserve">of </w:t>
      </w:r>
      <w:r w:rsidR="00F901E3">
        <w:rPr>
          <w:noProof/>
        </w:rPr>
        <w:t xml:space="preserve">the decision on the new </w:t>
      </w:r>
      <w:r w:rsidR="00F50875">
        <w:rPr>
          <w:noProof/>
        </w:rPr>
        <w:t xml:space="preserve">method to </w:t>
      </w:r>
      <w:r w:rsidR="00016CD9">
        <w:rPr>
          <w:noProof/>
        </w:rPr>
        <w:t>determ</w:t>
      </w:r>
      <w:r w:rsidR="00F50875">
        <w:rPr>
          <w:noProof/>
        </w:rPr>
        <w:t xml:space="preserve">ine </w:t>
      </w:r>
      <w:r w:rsidR="00016CD9">
        <w:rPr>
          <w:noProof/>
        </w:rPr>
        <w:t>the peroxide value</w:t>
      </w:r>
      <w:r w:rsidR="00F50875">
        <w:rPr>
          <w:noProof/>
        </w:rPr>
        <w:t xml:space="preserve"> in such oils</w:t>
      </w:r>
      <w:r w:rsidR="00F901E3">
        <w:rPr>
          <w:noProof/>
        </w:rPr>
        <w:t xml:space="preserve"> </w:t>
      </w:r>
      <w:r w:rsidRPr="00C33A39">
        <w:rPr>
          <w:noProof/>
        </w:rPr>
        <w:t>be postponed until the position of the Union is established on the basis of that new information</w:t>
      </w:r>
      <w:r w:rsidR="00717C03" w:rsidRPr="00300268">
        <w:rPr>
          <w:i/>
          <w:noProof/>
        </w:rPr>
        <w:t>.</w:t>
      </w:r>
    </w:p>
    <w:p w:rsidR="00300268" w:rsidRDefault="00300268" w:rsidP="00AF382C">
      <w:pPr>
        <w:pStyle w:val="Titrearticle"/>
        <w:rPr>
          <w:noProof/>
        </w:rPr>
      </w:pPr>
      <w:r>
        <w:rPr>
          <w:noProof/>
        </w:rPr>
        <w:t>Article 4</w:t>
      </w:r>
    </w:p>
    <w:p w:rsidR="00300268" w:rsidRPr="00300268" w:rsidRDefault="00300268" w:rsidP="00300268">
      <w:pPr>
        <w:rPr>
          <w:noProof/>
        </w:rPr>
      </w:pPr>
      <w:r w:rsidRPr="00300268">
        <w:rPr>
          <w:noProof/>
        </w:rPr>
        <w:t>This Decision is addressed to the Commission.</w:t>
      </w:r>
    </w:p>
    <w:p w:rsidR="00717C03" w:rsidRDefault="0046457D" w:rsidP="00AF382C">
      <w:pPr>
        <w:pStyle w:val="Fait"/>
        <w:rPr>
          <w:noProof/>
        </w:rPr>
      </w:pPr>
      <w:r>
        <w:rPr>
          <w:noProof/>
        </w:rPr>
        <w:t>Done at Brussels,</w:t>
      </w:r>
    </w:p>
    <w:p w:rsidR="00717C03" w:rsidRDefault="00717C03" w:rsidP="00AF382C">
      <w:pPr>
        <w:pStyle w:val="Institutionquisigne"/>
        <w:rPr>
          <w:noProof/>
        </w:rPr>
      </w:pPr>
      <w:r w:rsidRPr="00717C03">
        <w:rPr>
          <w:noProof/>
        </w:rPr>
        <w:tab/>
        <w:t>For the Council</w:t>
      </w:r>
    </w:p>
    <w:p w:rsidR="00717C03" w:rsidRDefault="00717C03" w:rsidP="00717C03">
      <w:pPr>
        <w:pStyle w:val="Personnequisigne"/>
        <w:rPr>
          <w:noProof/>
        </w:rPr>
      </w:pPr>
      <w:r w:rsidRPr="00717C03">
        <w:rPr>
          <w:noProof/>
        </w:rPr>
        <w:tab/>
        <w:t>The President</w:t>
      </w:r>
    </w:p>
    <w:sectPr w:rsidR="00717C03" w:rsidSect="00683EBE">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72C" w:rsidRDefault="0064472C" w:rsidP="00717C03">
      <w:pPr>
        <w:spacing w:before="0" w:after="0"/>
      </w:pPr>
      <w:r>
        <w:separator/>
      </w:r>
    </w:p>
  </w:endnote>
  <w:endnote w:type="continuationSeparator" w:id="0">
    <w:p w:rsidR="0064472C" w:rsidRDefault="0064472C" w:rsidP="00717C03">
      <w:pPr>
        <w:spacing w:before="0" w:after="0"/>
      </w:pPr>
      <w:r>
        <w:continuationSeparator/>
      </w:r>
    </w:p>
  </w:endnote>
  <w:endnote w:type="continuationNotice" w:id="1">
    <w:p w:rsidR="0064472C" w:rsidRDefault="0064472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EBE" w:rsidRPr="00683EBE" w:rsidRDefault="00683EBE" w:rsidP="00683EBE">
    <w:pPr>
      <w:pStyle w:val="Footer"/>
      <w:rPr>
        <w:rFonts w:ascii="Arial" w:hAnsi="Arial" w:cs="Arial"/>
        <w:b/>
        <w:sz w:val="48"/>
      </w:rPr>
    </w:pPr>
    <w:r w:rsidRPr="00683EBE">
      <w:rPr>
        <w:rFonts w:ascii="Arial" w:hAnsi="Arial" w:cs="Arial"/>
        <w:b/>
        <w:sz w:val="48"/>
      </w:rPr>
      <w:t>EN</w:t>
    </w:r>
    <w:r w:rsidRPr="00683EBE">
      <w:rPr>
        <w:rFonts w:ascii="Arial" w:hAnsi="Arial" w:cs="Arial"/>
        <w:b/>
        <w:sz w:val="48"/>
      </w:rPr>
      <w:tab/>
    </w:r>
    <w:r w:rsidRPr="00683EBE">
      <w:rPr>
        <w:rFonts w:ascii="Arial" w:hAnsi="Arial" w:cs="Arial"/>
        <w:b/>
        <w:sz w:val="48"/>
      </w:rPr>
      <w:tab/>
    </w:r>
    <w:r w:rsidRPr="00683EBE">
      <w:tab/>
    </w:r>
    <w:r w:rsidRPr="00683EB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EBE" w:rsidRPr="00683EBE" w:rsidRDefault="00683EBE" w:rsidP="00683EBE">
    <w:pPr>
      <w:pStyle w:val="Footer"/>
      <w:rPr>
        <w:rFonts w:ascii="Arial" w:hAnsi="Arial" w:cs="Arial"/>
        <w:b/>
        <w:sz w:val="48"/>
      </w:rPr>
    </w:pPr>
    <w:r w:rsidRPr="00683EBE">
      <w:rPr>
        <w:rFonts w:ascii="Arial" w:hAnsi="Arial" w:cs="Arial"/>
        <w:b/>
        <w:sz w:val="48"/>
      </w:rPr>
      <w:t>EN</w:t>
    </w:r>
    <w:r w:rsidRPr="00683EBE">
      <w:rPr>
        <w:rFonts w:ascii="Arial" w:hAnsi="Arial" w:cs="Arial"/>
        <w:b/>
        <w:sz w:val="48"/>
      </w:rPr>
      <w:tab/>
    </w:r>
    <w:r w:rsidRPr="00683EBE">
      <w:rPr>
        <w:rFonts w:ascii="Arial" w:hAnsi="Arial" w:cs="Arial"/>
        <w:b/>
        <w:sz w:val="48"/>
      </w:rPr>
      <w:tab/>
    </w:r>
    <w:r w:rsidRPr="00683EBE">
      <w:tab/>
    </w:r>
    <w:r w:rsidRPr="00683EB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EBE" w:rsidRDefault="00683E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EBE" w:rsidRPr="00683EBE" w:rsidRDefault="00683EBE" w:rsidP="00683EBE">
    <w:pPr>
      <w:pStyle w:val="Footer"/>
      <w:rPr>
        <w:rFonts w:ascii="Arial" w:hAnsi="Arial" w:cs="Arial"/>
        <w:b/>
        <w:sz w:val="48"/>
      </w:rPr>
    </w:pPr>
    <w:r w:rsidRPr="00683EBE">
      <w:rPr>
        <w:rFonts w:ascii="Arial" w:hAnsi="Arial" w:cs="Arial"/>
        <w:b/>
        <w:sz w:val="48"/>
      </w:rPr>
      <w:t>EN</w:t>
    </w:r>
    <w:r w:rsidRPr="00683EBE">
      <w:rPr>
        <w:rFonts w:ascii="Arial" w:hAnsi="Arial" w:cs="Arial"/>
        <w:b/>
        <w:sz w:val="48"/>
      </w:rPr>
      <w:tab/>
    </w:r>
    <w:r>
      <w:fldChar w:fldCharType="begin"/>
    </w:r>
    <w:r>
      <w:instrText xml:space="preserve"> PAGE  \* MERGEFORMAT </w:instrText>
    </w:r>
    <w:r>
      <w:fldChar w:fldCharType="separate"/>
    </w:r>
    <w:r w:rsidR="0052001D">
      <w:rPr>
        <w:noProof/>
      </w:rPr>
      <w:t>1</w:t>
    </w:r>
    <w:r>
      <w:fldChar w:fldCharType="end"/>
    </w:r>
    <w:r>
      <w:tab/>
    </w:r>
    <w:r w:rsidRPr="00683EBE">
      <w:tab/>
    </w:r>
    <w:r w:rsidRPr="00683EB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EBE" w:rsidRDefault="00683EBE" w:rsidP="00683E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72C" w:rsidRDefault="0064472C" w:rsidP="00717C03">
      <w:pPr>
        <w:spacing w:before="0" w:after="0"/>
      </w:pPr>
      <w:r>
        <w:separator/>
      </w:r>
    </w:p>
  </w:footnote>
  <w:footnote w:type="continuationSeparator" w:id="0">
    <w:p w:rsidR="0064472C" w:rsidRDefault="0064472C" w:rsidP="00717C03">
      <w:pPr>
        <w:spacing w:before="0" w:after="0"/>
      </w:pPr>
      <w:r>
        <w:continuationSeparator/>
      </w:r>
    </w:p>
  </w:footnote>
  <w:footnote w:type="continuationNotice" w:id="1">
    <w:p w:rsidR="0064472C" w:rsidRDefault="0064472C">
      <w:pPr>
        <w:spacing w:before="0" w:after="0"/>
      </w:pPr>
    </w:p>
  </w:footnote>
  <w:footnote w:id="2">
    <w:p w:rsidR="002C193B" w:rsidRPr="00D0154C" w:rsidRDefault="002C193B" w:rsidP="002C193B">
      <w:pPr>
        <w:pStyle w:val="FootnoteText"/>
        <w:rPr>
          <w:lang w:val="en-IE"/>
        </w:rPr>
      </w:pPr>
      <w:r>
        <w:rPr>
          <w:rStyle w:val="FootnoteReference"/>
        </w:rPr>
        <w:footnoteRef/>
      </w:r>
      <w:r>
        <w:tab/>
      </w:r>
      <w:r w:rsidRPr="00D0154C">
        <w:t>Council Decision (EU) 2016/1892 of 10 October 2016 on the signing, on behalf of the European Union, and provisional application of the International Agreement on Olive Oil and Table Olives, 2015 (OJ L 293, 28.10.2016, p. 2) and Council Decision (EU) 2019/848 of 17 May 2019 on the conclusion on behalf of the European Union of the International Agreement on Olive Oil and Table Olives, 2015 (OJ L 139, 27.05.2019, p. 1)</w:t>
      </w:r>
      <w:r>
        <w:t xml:space="preserve">; </w:t>
      </w:r>
      <w:r w:rsidRPr="00F0120E">
        <w:t xml:space="preserve">ELI: </w:t>
      </w:r>
      <w:hyperlink r:id="rId1" w:history="1">
        <w:r w:rsidRPr="004522F7">
          <w:rPr>
            <w:rStyle w:val="Hyperlink"/>
          </w:rPr>
          <w:t>http://data.europa.eu/eli/dec/2016/1892/oj</w:t>
        </w:r>
      </w:hyperlink>
    </w:p>
  </w:footnote>
  <w:footnote w:id="3">
    <w:p w:rsidR="002C193B" w:rsidRPr="00F0120E" w:rsidRDefault="002C193B" w:rsidP="002C193B">
      <w:pPr>
        <w:pStyle w:val="FootnoteText"/>
      </w:pPr>
      <w:r w:rsidRPr="00111F43">
        <w:rPr>
          <w:rStyle w:val="FootnoteReference"/>
        </w:rPr>
        <w:footnoteRef/>
      </w:r>
      <w:r>
        <w:tab/>
      </w:r>
      <w:r w:rsidRPr="00674827">
        <w:t>Regulation (EU) No 1308/2013 of the European Parliament and of the Council of 17 December 2013 establishing a common organisation of the markets in agricultural products and repealing Council Regulations (EEC) No 922/72, (EEC) No 234/79, (EC) No 1037/2001 and (EC) No 1234/2007</w:t>
      </w:r>
      <w:r>
        <w:t xml:space="preserve"> (OJ L 347, 20.12.2013, p. 67</w:t>
      </w:r>
      <w:r w:rsidRPr="00F0120E">
        <w:t xml:space="preserve">1); ELI: </w:t>
      </w:r>
      <w:hyperlink r:id="rId2" w:tooltip="Gives access to this document through its ELI URI." w:history="1">
        <w:r w:rsidRPr="00F0120E">
          <w:rPr>
            <w:color w:val="0000FF"/>
            <w:u w:val="single"/>
          </w:rPr>
          <w:t>http://data.europa.eu/eli/reg/2013/1308/2023-01-01</w:t>
        </w:r>
      </w:hyperlink>
    </w:p>
  </w:footnote>
  <w:footnote w:id="4">
    <w:p w:rsidR="008D01CE" w:rsidRPr="002C193B" w:rsidRDefault="008D01CE" w:rsidP="008D01CE">
      <w:pPr>
        <w:pStyle w:val="FootnoteText"/>
        <w:rPr>
          <w:lang w:val="it-IT"/>
        </w:rPr>
      </w:pPr>
      <w:r w:rsidRPr="00672737">
        <w:rPr>
          <w:rStyle w:val="FootnoteReference"/>
        </w:rPr>
        <w:footnoteRef/>
      </w:r>
      <w:r w:rsidRPr="00541209">
        <w:rPr>
          <w:lang w:val="it-IT"/>
        </w:rPr>
        <w:tab/>
      </w:r>
      <w:r w:rsidRPr="0032361B">
        <w:rPr>
          <w:lang w:val="it-IT"/>
        </w:rPr>
        <w:t xml:space="preserve">OJ L 284, 4.11.2022, p. 1–22; ELI: </w:t>
      </w:r>
      <w:hyperlink r:id="rId3" w:history="1">
        <w:r w:rsidRPr="006D05A9">
          <w:rPr>
            <w:rStyle w:val="Hyperlink"/>
            <w:lang w:val="it-IT"/>
          </w:rPr>
          <w:t>http://data.europa.eu/eli/reg_del/2022/2104/oj</w:t>
        </w:r>
      </w:hyperlink>
    </w:p>
  </w:footnote>
  <w:footnote w:id="5">
    <w:p w:rsidR="004C16EE" w:rsidRPr="004C16EE" w:rsidRDefault="004C16EE">
      <w:pPr>
        <w:pStyle w:val="FootnoteText"/>
        <w:rPr>
          <w:lang w:val="it-IT"/>
        </w:rPr>
      </w:pPr>
      <w:r>
        <w:rPr>
          <w:rStyle w:val="FootnoteReference"/>
        </w:rPr>
        <w:footnoteRef/>
      </w:r>
      <w:r w:rsidRPr="004C16EE">
        <w:rPr>
          <w:lang w:val="it-IT"/>
        </w:rPr>
        <w:tab/>
        <w:t>OJ L 284, 4.11.2022, p. 23–48</w:t>
      </w:r>
      <w:r>
        <w:rPr>
          <w:lang w:val="it-IT"/>
        </w:rPr>
        <w:t xml:space="preserve">; </w:t>
      </w:r>
      <w:r w:rsidRPr="004C16EE">
        <w:rPr>
          <w:lang w:val="it-IT"/>
        </w:rPr>
        <w:t xml:space="preserve">ELI: </w:t>
      </w:r>
      <w:hyperlink r:id="rId4" w:history="1">
        <w:r w:rsidRPr="008E48C3">
          <w:rPr>
            <w:rStyle w:val="Hyperlink"/>
            <w:lang w:val="it-IT"/>
          </w:rPr>
          <w:t>http://data.europa.eu/eli/reg_impl/2022/2105/2022-11-04</w:t>
        </w:r>
      </w:hyperlink>
    </w:p>
  </w:footnote>
  <w:footnote w:id="6">
    <w:p w:rsidR="008D01CE" w:rsidRPr="00B035F8" w:rsidRDefault="008D01CE" w:rsidP="008D01CE">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to 64.</w:t>
      </w:r>
    </w:p>
  </w:footnote>
  <w:footnote w:id="7">
    <w:p w:rsidR="008D01CE" w:rsidRPr="00FA4F16" w:rsidRDefault="008D01CE" w:rsidP="008D01CE">
      <w:pPr>
        <w:pStyle w:val="FootnoteText"/>
        <w:rPr>
          <w:lang w:val="en-IE"/>
        </w:rPr>
      </w:pPr>
      <w:r>
        <w:rPr>
          <w:rStyle w:val="FootnoteReference"/>
        </w:rPr>
        <w:footnoteRef/>
      </w:r>
      <w:r w:rsidRPr="00FA4F16">
        <w:rPr>
          <w:lang w:val="en-IE"/>
        </w:rPr>
        <w:tab/>
        <w:t>Council Decision (EU) 2016/1892 of 10 October 2016 on the signing, on behalf of the European Union, and provisional application of the International Agreement on Olive Oil and Table Olives, 2015</w:t>
      </w:r>
      <w:r>
        <w:rPr>
          <w:lang w:val="en-IE"/>
        </w:rPr>
        <w:t xml:space="preserve"> (</w:t>
      </w:r>
      <w:r w:rsidRPr="00FA4F16">
        <w:rPr>
          <w:lang w:val="en-IE"/>
        </w:rPr>
        <w:t>OJ L 293, 28.10.2016, p. 2</w:t>
      </w:r>
      <w:r>
        <w:rPr>
          <w:lang w:val="en-IE"/>
        </w:rPr>
        <w:t xml:space="preserve">, </w:t>
      </w:r>
      <w:r w:rsidRPr="00FA4F16">
        <w:rPr>
          <w:lang w:val="en-IE"/>
        </w:rPr>
        <w:t xml:space="preserve">ELI: </w:t>
      </w:r>
      <w:hyperlink r:id="rId5" w:history="1">
        <w:r w:rsidRPr="00FA4F16">
          <w:rPr>
            <w:rStyle w:val="Hyperlink"/>
            <w:lang w:val="en-IE"/>
          </w:rPr>
          <w:t>http://data.europa.eu/eli/dec/2016/1892/oj</w:t>
        </w:r>
      </w:hyperlink>
      <w:r>
        <w:rPr>
          <w:lang w:val="en-IE"/>
        </w:rPr>
        <w:t xml:space="preserve">). </w:t>
      </w:r>
    </w:p>
  </w:footnote>
  <w:footnote w:id="8">
    <w:p w:rsidR="008D01CE" w:rsidRPr="000D4438" w:rsidRDefault="008D01CE" w:rsidP="008D01CE">
      <w:pPr>
        <w:pStyle w:val="FootnoteText"/>
      </w:pPr>
      <w:r w:rsidRPr="00884BE5">
        <w:rPr>
          <w:rStyle w:val="FootnoteReference"/>
        </w:rPr>
        <w:footnoteRef/>
      </w:r>
      <w:r>
        <w:tab/>
      </w:r>
      <w:r w:rsidRPr="00B25452">
        <w:t>Council Decision (EU) 2019/848 of 17 May 2019 on the conclusion on behalf of the European Union of the International Agreement on Olive Oil and Table Olives, 2015 (OJ L 139, 27.05.2019, p. 1</w:t>
      </w:r>
      <w:r>
        <w:t xml:space="preserve">, </w:t>
      </w:r>
      <w:r w:rsidRPr="00880F73">
        <w:t xml:space="preserve">ELI: </w:t>
      </w:r>
      <w:hyperlink r:id="rId6" w:history="1">
        <w:r w:rsidRPr="00F17340">
          <w:rPr>
            <w:rStyle w:val="Hyperlink"/>
          </w:rPr>
          <w:t>http://data.europa.eu/eli/dec/2019/848/oj</w:t>
        </w:r>
      </w:hyperlink>
      <w:r w:rsidRPr="00B25452">
        <w:t>).</w:t>
      </w:r>
    </w:p>
  </w:footnote>
  <w:footnote w:id="9">
    <w:p w:rsidR="008D01CE" w:rsidRPr="000B0CDE" w:rsidRDefault="008D01CE" w:rsidP="008D01CE">
      <w:pPr>
        <w:pStyle w:val="FootnoteText"/>
      </w:pPr>
      <w:r w:rsidRPr="000B0CDE">
        <w:rPr>
          <w:rStyle w:val="FootnoteReference"/>
        </w:rPr>
        <w:footnoteRef/>
      </w:r>
      <w:r w:rsidRPr="000B0CDE">
        <w:tab/>
      </w:r>
      <w:r w:rsidRPr="000B0CDE">
        <w:rPr>
          <w:lang w:val="en"/>
        </w:rPr>
        <w:t>Regulation (EU) No 1308/2013 of the European Parliament and of the Council of 17 December 2013 establishing a common organisation of the markets in agricultural products and repealing Council Regulations (EEC) No 922/72, (EEC) No 234/79, (EC) No 1037/2001 and (EC) No 1234/2007 (</w:t>
      </w:r>
      <w:r w:rsidRPr="000B0CDE">
        <w:t>OJ L 347, 20.12.2013, p. 671</w:t>
      </w:r>
      <w:r>
        <w:t xml:space="preserve">, </w:t>
      </w:r>
      <w:r w:rsidRPr="00F0120E">
        <w:t xml:space="preserve">ELI: </w:t>
      </w:r>
      <w:hyperlink r:id="rId7" w:tooltip="Gives access to this document through its ELI URI." w:history="1">
        <w:r w:rsidRPr="00F0120E">
          <w:rPr>
            <w:color w:val="0000FF"/>
            <w:u w:val="single"/>
          </w:rPr>
          <w:t>http://data.europa.eu/eli/reg/2013/1308/2023-01-01</w:t>
        </w:r>
      </w:hyperlink>
      <w:r>
        <w:rPr>
          <w:color w:val="0000FF"/>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EBE" w:rsidRDefault="00683E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EBE" w:rsidRDefault="00683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23"/>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6 12:37: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9CEFB97-6B1B-4F33-A2E1-ABC5DF9C989E"/>
    <w:docVar w:name="LW_COVERPAGE_TYPE" w:val="1"/>
    <w:docVar w:name="LW_CreatedUtc" w:val="2025-02-18T14:07:51.8136997Z"/>
    <w:docVar w:name="LW_CROSSREFERENCE" w:val="{SWD(2026) 3 final}"/>
    <w:docVar w:name="LW_DocType" w:val="COM"/>
    <w:docVar w:name="LW_EMISSION" w:val="19.1.2026"/>
    <w:docVar w:name="LW_EMISSION_ISODATE" w:val="2026-01-19"/>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06"/>
    <w:docVar w:name="LW_REF.II.NEW.CP_YEAR" w:val="2026"/>
    <w:docVar w:name="LW_REF.INST.NEW" w:val="COM"/>
    <w:docVar w:name="LW_REF.INST.NEW_ADOPTED" w:val="final"/>
    <w:docVar w:name="LW_REF.INST.NEW_TEXT" w:val="(2026) 1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Council of Members of the International Olive Council as regards the trade standard for olive oil and olive-pomace oil and a new method of analysis to determine the peroxide value in such oils"/>
    <w:docVar w:name="LW_TYPE.DOC.CP" w:val="COUNCIL DECISION"/>
    <w:docVar w:name="LwApiVersions" w:val="LW4CoDe 1.24.5.0; LW 9.2, Build 20251112"/>
  </w:docVars>
  <w:rsids>
    <w:rsidRoot w:val="00717C03"/>
    <w:rsid w:val="000154CB"/>
    <w:rsid w:val="0001616B"/>
    <w:rsid w:val="00016CD9"/>
    <w:rsid w:val="00025B1E"/>
    <w:rsid w:val="00033427"/>
    <w:rsid w:val="000465BB"/>
    <w:rsid w:val="000525F6"/>
    <w:rsid w:val="00060C3B"/>
    <w:rsid w:val="00076C40"/>
    <w:rsid w:val="00076F8A"/>
    <w:rsid w:val="0008130A"/>
    <w:rsid w:val="00083100"/>
    <w:rsid w:val="0008571E"/>
    <w:rsid w:val="000905AB"/>
    <w:rsid w:val="000E3F60"/>
    <w:rsid w:val="001065F5"/>
    <w:rsid w:val="00114CC0"/>
    <w:rsid w:val="001238EF"/>
    <w:rsid w:val="00155B27"/>
    <w:rsid w:val="00162C8D"/>
    <w:rsid w:val="00197613"/>
    <w:rsid w:val="001A59D0"/>
    <w:rsid w:val="001B73AC"/>
    <w:rsid w:val="001E0259"/>
    <w:rsid w:val="001E146A"/>
    <w:rsid w:val="001F6524"/>
    <w:rsid w:val="00216CDA"/>
    <w:rsid w:val="00233DC7"/>
    <w:rsid w:val="00247779"/>
    <w:rsid w:val="0026169C"/>
    <w:rsid w:val="0027778E"/>
    <w:rsid w:val="00285BEE"/>
    <w:rsid w:val="0029533F"/>
    <w:rsid w:val="002B30AF"/>
    <w:rsid w:val="002B7B0E"/>
    <w:rsid w:val="002C0BB7"/>
    <w:rsid w:val="002C0DD4"/>
    <w:rsid w:val="002C193B"/>
    <w:rsid w:val="002D118A"/>
    <w:rsid w:val="002E29F8"/>
    <w:rsid w:val="002E6601"/>
    <w:rsid w:val="002F0A94"/>
    <w:rsid w:val="002F16D2"/>
    <w:rsid w:val="00300268"/>
    <w:rsid w:val="003144ED"/>
    <w:rsid w:val="0032184D"/>
    <w:rsid w:val="0032361B"/>
    <w:rsid w:val="0033344A"/>
    <w:rsid w:val="00346D7C"/>
    <w:rsid w:val="00375652"/>
    <w:rsid w:val="00375F78"/>
    <w:rsid w:val="00376EB0"/>
    <w:rsid w:val="003A6E27"/>
    <w:rsid w:val="003C5F47"/>
    <w:rsid w:val="003D4F2E"/>
    <w:rsid w:val="003F33BA"/>
    <w:rsid w:val="004010D9"/>
    <w:rsid w:val="0042648E"/>
    <w:rsid w:val="004438C7"/>
    <w:rsid w:val="0045165E"/>
    <w:rsid w:val="00456532"/>
    <w:rsid w:val="004565F5"/>
    <w:rsid w:val="0046457D"/>
    <w:rsid w:val="00473C6A"/>
    <w:rsid w:val="004936D2"/>
    <w:rsid w:val="004A3E5F"/>
    <w:rsid w:val="004A6E3C"/>
    <w:rsid w:val="004C16EE"/>
    <w:rsid w:val="0052001D"/>
    <w:rsid w:val="005814E6"/>
    <w:rsid w:val="00592D30"/>
    <w:rsid w:val="005A45A0"/>
    <w:rsid w:val="005B1EB6"/>
    <w:rsid w:val="005C19C3"/>
    <w:rsid w:val="005D74A1"/>
    <w:rsid w:val="005F7CDC"/>
    <w:rsid w:val="00612385"/>
    <w:rsid w:val="006312DA"/>
    <w:rsid w:val="00642701"/>
    <w:rsid w:val="0064472C"/>
    <w:rsid w:val="00660DCA"/>
    <w:rsid w:val="0066551C"/>
    <w:rsid w:val="00683565"/>
    <w:rsid w:val="00683EBE"/>
    <w:rsid w:val="00690EFB"/>
    <w:rsid w:val="006B142A"/>
    <w:rsid w:val="006D3555"/>
    <w:rsid w:val="006D419E"/>
    <w:rsid w:val="00702039"/>
    <w:rsid w:val="00712D96"/>
    <w:rsid w:val="00717C03"/>
    <w:rsid w:val="007251F3"/>
    <w:rsid w:val="00733483"/>
    <w:rsid w:val="00733A7E"/>
    <w:rsid w:val="00734275"/>
    <w:rsid w:val="00746FDE"/>
    <w:rsid w:val="00773331"/>
    <w:rsid w:val="007865D8"/>
    <w:rsid w:val="007904DE"/>
    <w:rsid w:val="00791F7C"/>
    <w:rsid w:val="007932EF"/>
    <w:rsid w:val="007A1DAE"/>
    <w:rsid w:val="007B2BED"/>
    <w:rsid w:val="007B3975"/>
    <w:rsid w:val="007B735A"/>
    <w:rsid w:val="007C4E74"/>
    <w:rsid w:val="007C6DE6"/>
    <w:rsid w:val="007C7D85"/>
    <w:rsid w:val="007D1966"/>
    <w:rsid w:val="007D4D7F"/>
    <w:rsid w:val="007E05B0"/>
    <w:rsid w:val="00815F92"/>
    <w:rsid w:val="00816DEB"/>
    <w:rsid w:val="0081762C"/>
    <w:rsid w:val="008334F0"/>
    <w:rsid w:val="00843120"/>
    <w:rsid w:val="0084779F"/>
    <w:rsid w:val="00860753"/>
    <w:rsid w:val="00862668"/>
    <w:rsid w:val="00874D22"/>
    <w:rsid w:val="00882E08"/>
    <w:rsid w:val="00890DA0"/>
    <w:rsid w:val="00890E8F"/>
    <w:rsid w:val="0089523A"/>
    <w:rsid w:val="008A2914"/>
    <w:rsid w:val="008A3A9B"/>
    <w:rsid w:val="008B3FD2"/>
    <w:rsid w:val="008D01CE"/>
    <w:rsid w:val="008D0E8B"/>
    <w:rsid w:val="008E0FD5"/>
    <w:rsid w:val="008E4D8E"/>
    <w:rsid w:val="008E4E34"/>
    <w:rsid w:val="009128BF"/>
    <w:rsid w:val="00922DA9"/>
    <w:rsid w:val="00927D3B"/>
    <w:rsid w:val="0093226C"/>
    <w:rsid w:val="00932CFA"/>
    <w:rsid w:val="00932F25"/>
    <w:rsid w:val="00941744"/>
    <w:rsid w:val="0094500D"/>
    <w:rsid w:val="009454C1"/>
    <w:rsid w:val="00946E83"/>
    <w:rsid w:val="00951894"/>
    <w:rsid w:val="00970658"/>
    <w:rsid w:val="00976266"/>
    <w:rsid w:val="009823D8"/>
    <w:rsid w:val="00992854"/>
    <w:rsid w:val="009A4EFE"/>
    <w:rsid w:val="009E0353"/>
    <w:rsid w:val="00A11225"/>
    <w:rsid w:val="00A56986"/>
    <w:rsid w:val="00A57B28"/>
    <w:rsid w:val="00A659E0"/>
    <w:rsid w:val="00A82266"/>
    <w:rsid w:val="00A84615"/>
    <w:rsid w:val="00A93870"/>
    <w:rsid w:val="00A94DE4"/>
    <w:rsid w:val="00AB5438"/>
    <w:rsid w:val="00AC4C99"/>
    <w:rsid w:val="00AF382C"/>
    <w:rsid w:val="00AF7259"/>
    <w:rsid w:val="00B00364"/>
    <w:rsid w:val="00B046D2"/>
    <w:rsid w:val="00B12C36"/>
    <w:rsid w:val="00B14531"/>
    <w:rsid w:val="00B15A83"/>
    <w:rsid w:val="00B35A42"/>
    <w:rsid w:val="00B557D9"/>
    <w:rsid w:val="00B57E0F"/>
    <w:rsid w:val="00B66310"/>
    <w:rsid w:val="00B76CB8"/>
    <w:rsid w:val="00B831AF"/>
    <w:rsid w:val="00B90DEE"/>
    <w:rsid w:val="00B94276"/>
    <w:rsid w:val="00B94A1C"/>
    <w:rsid w:val="00BA7EDA"/>
    <w:rsid w:val="00BC110A"/>
    <w:rsid w:val="00BD4249"/>
    <w:rsid w:val="00C05228"/>
    <w:rsid w:val="00C110F0"/>
    <w:rsid w:val="00C12301"/>
    <w:rsid w:val="00C14B14"/>
    <w:rsid w:val="00C17588"/>
    <w:rsid w:val="00C33A39"/>
    <w:rsid w:val="00C427E4"/>
    <w:rsid w:val="00C63EAE"/>
    <w:rsid w:val="00C72C41"/>
    <w:rsid w:val="00C8030C"/>
    <w:rsid w:val="00C92807"/>
    <w:rsid w:val="00C95912"/>
    <w:rsid w:val="00CB1C72"/>
    <w:rsid w:val="00CC47DE"/>
    <w:rsid w:val="00CD1503"/>
    <w:rsid w:val="00CD6ED3"/>
    <w:rsid w:val="00CE4698"/>
    <w:rsid w:val="00CF080C"/>
    <w:rsid w:val="00D20381"/>
    <w:rsid w:val="00D22641"/>
    <w:rsid w:val="00D2591C"/>
    <w:rsid w:val="00D51549"/>
    <w:rsid w:val="00D62F02"/>
    <w:rsid w:val="00D74439"/>
    <w:rsid w:val="00D81420"/>
    <w:rsid w:val="00D84F88"/>
    <w:rsid w:val="00D85592"/>
    <w:rsid w:val="00DC394D"/>
    <w:rsid w:val="00DC5FDC"/>
    <w:rsid w:val="00DD64A7"/>
    <w:rsid w:val="00DF0E4C"/>
    <w:rsid w:val="00DF2072"/>
    <w:rsid w:val="00DF2B9B"/>
    <w:rsid w:val="00DF4767"/>
    <w:rsid w:val="00E638EC"/>
    <w:rsid w:val="00E6729B"/>
    <w:rsid w:val="00E72792"/>
    <w:rsid w:val="00EC7C35"/>
    <w:rsid w:val="00ED4EE3"/>
    <w:rsid w:val="00ED70F9"/>
    <w:rsid w:val="00EE27F3"/>
    <w:rsid w:val="00EE5D22"/>
    <w:rsid w:val="00F03CA3"/>
    <w:rsid w:val="00F2441F"/>
    <w:rsid w:val="00F34E34"/>
    <w:rsid w:val="00F50875"/>
    <w:rsid w:val="00F80FD0"/>
    <w:rsid w:val="00F82C06"/>
    <w:rsid w:val="00F901E3"/>
    <w:rsid w:val="00FA39DC"/>
    <w:rsid w:val="00FA724F"/>
    <w:rsid w:val="00FB4F91"/>
    <w:rsid w:val="00FB5CE1"/>
    <w:rsid w:val="00FC38F8"/>
    <w:rsid w:val="00FC7A31"/>
    <w:rsid w:val="00FD4971"/>
    <w:rsid w:val="0605D5EB"/>
    <w:rsid w:val="1357A2C4"/>
    <w:rsid w:val="1A31FE7F"/>
    <w:rsid w:val="7D52C6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87D3296-D953-48B3-BE24-16680CC8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717C03"/>
    <w:pPr>
      <w:numPr>
        <w:numId w:val="2"/>
      </w:numPr>
      <w:tabs>
        <w:tab w:val="num" w:pos="360"/>
      </w:tabs>
      <w:ind w:left="0" w:firstLine="0"/>
    </w:pPr>
    <w:rPr>
      <w:rFonts w:eastAsia="Times New Roman"/>
      <w:lang w:eastAsia="de-DE"/>
    </w:rPr>
  </w:style>
  <w:style w:type="paragraph" w:styleId="ListNumber">
    <w:name w:val="List Number"/>
    <w:basedOn w:val="Normal"/>
    <w:rsid w:val="00717C03"/>
    <w:pPr>
      <w:numPr>
        <w:numId w:val="6"/>
      </w:numPr>
    </w:pPr>
    <w:rPr>
      <w:rFonts w:eastAsia="Times New Roman"/>
      <w:lang w:eastAsia="de-DE"/>
    </w:rPr>
  </w:style>
  <w:style w:type="paragraph" w:customStyle="1" w:styleId="ListBullet1">
    <w:name w:val="List Bullet 1"/>
    <w:basedOn w:val="Normal"/>
    <w:rsid w:val="00717C03"/>
    <w:pPr>
      <w:numPr>
        <w:numId w:val="1"/>
      </w:numPr>
    </w:pPr>
    <w:rPr>
      <w:rFonts w:eastAsia="Times New Roman"/>
      <w:lang w:eastAsia="de-DE"/>
    </w:rPr>
  </w:style>
  <w:style w:type="paragraph" w:customStyle="1" w:styleId="ListDash">
    <w:name w:val="List Dash"/>
    <w:basedOn w:val="Normal"/>
    <w:rsid w:val="00717C03"/>
    <w:pPr>
      <w:numPr>
        <w:numId w:val="3"/>
      </w:numPr>
    </w:pPr>
    <w:rPr>
      <w:rFonts w:eastAsia="Times New Roman"/>
      <w:lang w:eastAsia="de-DE"/>
    </w:rPr>
  </w:style>
  <w:style w:type="paragraph" w:customStyle="1" w:styleId="ListDash1">
    <w:name w:val="List Dash 1"/>
    <w:basedOn w:val="Normal"/>
    <w:rsid w:val="00717C03"/>
    <w:pPr>
      <w:numPr>
        <w:numId w:val="4"/>
      </w:numPr>
    </w:pPr>
    <w:rPr>
      <w:rFonts w:eastAsia="Times New Roman"/>
      <w:lang w:eastAsia="de-DE"/>
    </w:rPr>
  </w:style>
  <w:style w:type="paragraph" w:customStyle="1" w:styleId="ListDash2">
    <w:name w:val="List Dash 2"/>
    <w:basedOn w:val="Normal"/>
    <w:rsid w:val="00717C03"/>
    <w:pPr>
      <w:numPr>
        <w:numId w:val="5"/>
      </w:numPr>
    </w:pPr>
    <w:rPr>
      <w:rFonts w:eastAsia="Times New Roman"/>
      <w:lang w:eastAsia="de-DE"/>
    </w:rPr>
  </w:style>
  <w:style w:type="paragraph" w:customStyle="1" w:styleId="ListNumberLevel2">
    <w:name w:val="List Number (Level 2)"/>
    <w:basedOn w:val="Normal"/>
    <w:rsid w:val="00717C03"/>
    <w:pPr>
      <w:numPr>
        <w:ilvl w:val="1"/>
        <w:numId w:val="6"/>
      </w:numPr>
    </w:pPr>
    <w:rPr>
      <w:rFonts w:eastAsia="Times New Roman"/>
      <w:lang w:eastAsia="de-DE"/>
    </w:rPr>
  </w:style>
  <w:style w:type="paragraph" w:customStyle="1" w:styleId="ListNumberLevel3">
    <w:name w:val="List Number (Level 3)"/>
    <w:basedOn w:val="Normal"/>
    <w:rsid w:val="00717C03"/>
    <w:pPr>
      <w:numPr>
        <w:ilvl w:val="2"/>
        <w:numId w:val="6"/>
      </w:numPr>
    </w:pPr>
    <w:rPr>
      <w:rFonts w:eastAsia="Times New Roman"/>
      <w:lang w:eastAsia="de-DE"/>
    </w:rPr>
  </w:style>
  <w:style w:type="paragraph" w:customStyle="1" w:styleId="ListNumberLevel4">
    <w:name w:val="List Number (Level 4)"/>
    <w:basedOn w:val="Normal"/>
    <w:rsid w:val="00717C03"/>
    <w:pPr>
      <w:numPr>
        <w:ilvl w:val="3"/>
        <w:numId w:val="6"/>
      </w:numPr>
    </w:pPr>
    <w:rPr>
      <w:rFonts w:eastAsia="Times New Roman"/>
      <w:lang w:eastAsia="de-DE"/>
    </w:rPr>
  </w:style>
  <w:style w:type="table" w:styleId="TableGrid">
    <w:name w:val="Table Grid"/>
    <w:basedOn w:val="TableNormal"/>
    <w:rsid w:val="00717C03"/>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17C03"/>
    <w:rPr>
      <w:color w:val="0000FF"/>
      <w:u w:val="single"/>
    </w:rPr>
  </w:style>
  <w:style w:type="paragraph" w:styleId="ListBullet">
    <w:name w:val="List Bullet"/>
    <w:basedOn w:val="Normal"/>
    <w:rsid w:val="00717C03"/>
    <w:pPr>
      <w:numPr>
        <w:numId w:val="7"/>
      </w:numPr>
    </w:pPr>
    <w:rPr>
      <w:rFonts w:eastAsia="Times New Roman"/>
      <w:lang w:val="fr-FR" w:eastAsia="en-GB"/>
    </w:rPr>
  </w:style>
  <w:style w:type="paragraph" w:styleId="ListBullet2">
    <w:name w:val="List Bullet 2"/>
    <w:basedOn w:val="Normal"/>
    <w:rsid w:val="00717C03"/>
    <w:pPr>
      <w:numPr>
        <w:numId w:val="8"/>
      </w:numPr>
    </w:pPr>
    <w:rPr>
      <w:rFonts w:eastAsia="Times New Roman"/>
      <w:lang w:val="fr-FR" w:eastAsia="en-GB"/>
    </w:rPr>
  </w:style>
  <w:style w:type="paragraph" w:styleId="ListBullet3">
    <w:name w:val="List Bullet 3"/>
    <w:basedOn w:val="Normal"/>
    <w:rsid w:val="00717C03"/>
    <w:pPr>
      <w:numPr>
        <w:numId w:val="9"/>
      </w:numPr>
    </w:pPr>
    <w:rPr>
      <w:rFonts w:eastAsia="Times New Roman"/>
      <w:lang w:val="fr-FR" w:eastAsia="en-GB"/>
    </w:rPr>
  </w:style>
  <w:style w:type="paragraph" w:styleId="ListNumber2">
    <w:name w:val="List Number 2"/>
    <w:basedOn w:val="Normal"/>
    <w:rsid w:val="00717C03"/>
    <w:pPr>
      <w:numPr>
        <w:numId w:val="13"/>
      </w:numPr>
    </w:pPr>
    <w:rPr>
      <w:rFonts w:eastAsia="Times New Roman"/>
      <w:lang w:val="fr-FR" w:eastAsia="en-GB"/>
    </w:rPr>
  </w:style>
  <w:style w:type="paragraph" w:styleId="ListNumber3">
    <w:name w:val="List Number 3"/>
    <w:basedOn w:val="Normal"/>
    <w:rsid w:val="00717C03"/>
    <w:pPr>
      <w:numPr>
        <w:numId w:val="14"/>
      </w:numPr>
    </w:pPr>
    <w:rPr>
      <w:rFonts w:eastAsia="Times New Roman"/>
      <w:lang w:val="fr-FR" w:eastAsia="en-GB"/>
    </w:rPr>
  </w:style>
  <w:style w:type="paragraph" w:styleId="ListNumber4">
    <w:name w:val="List Number 4"/>
    <w:basedOn w:val="Normal"/>
    <w:rsid w:val="00717C03"/>
    <w:pPr>
      <w:numPr>
        <w:numId w:val="15"/>
      </w:numPr>
    </w:pPr>
    <w:rPr>
      <w:rFonts w:eastAsia="Times New Roman"/>
      <w:lang w:val="fr-FR" w:eastAsia="en-GB"/>
    </w:rPr>
  </w:style>
  <w:style w:type="paragraph" w:customStyle="1" w:styleId="ListDash3">
    <w:name w:val="List Dash 3"/>
    <w:basedOn w:val="Normal"/>
    <w:rsid w:val="00717C03"/>
    <w:pPr>
      <w:numPr>
        <w:numId w:val="10"/>
      </w:numPr>
    </w:pPr>
    <w:rPr>
      <w:rFonts w:eastAsia="Times New Roman"/>
      <w:lang w:val="fr-FR" w:eastAsia="en-GB"/>
    </w:rPr>
  </w:style>
  <w:style w:type="paragraph" w:customStyle="1" w:styleId="ListDash4">
    <w:name w:val="List Dash 4"/>
    <w:basedOn w:val="Normal"/>
    <w:rsid w:val="00717C03"/>
    <w:pPr>
      <w:numPr>
        <w:numId w:val="11"/>
      </w:numPr>
    </w:pPr>
    <w:rPr>
      <w:rFonts w:eastAsia="Times New Roman"/>
      <w:lang w:val="fr-FR" w:eastAsia="en-GB"/>
    </w:rPr>
  </w:style>
  <w:style w:type="paragraph" w:customStyle="1" w:styleId="ListNumber1">
    <w:name w:val="List Number 1"/>
    <w:basedOn w:val="Text1"/>
    <w:rsid w:val="00717C03"/>
    <w:pPr>
      <w:numPr>
        <w:numId w:val="12"/>
      </w:numPr>
    </w:pPr>
    <w:rPr>
      <w:rFonts w:eastAsia="Times New Roman"/>
      <w:lang w:val="fr-FR" w:eastAsia="en-GB"/>
    </w:rPr>
  </w:style>
  <w:style w:type="paragraph" w:customStyle="1" w:styleId="ListNumber1Level2">
    <w:name w:val="List Number 1 (Level 2)"/>
    <w:basedOn w:val="Text1"/>
    <w:rsid w:val="00717C03"/>
    <w:pPr>
      <w:numPr>
        <w:ilvl w:val="1"/>
        <w:numId w:val="12"/>
      </w:numPr>
    </w:pPr>
    <w:rPr>
      <w:rFonts w:eastAsia="Times New Roman"/>
      <w:lang w:val="fr-FR" w:eastAsia="en-GB"/>
    </w:rPr>
  </w:style>
  <w:style w:type="paragraph" w:customStyle="1" w:styleId="ListNumber2Level2">
    <w:name w:val="List Number 2 (Level 2)"/>
    <w:basedOn w:val="Text2"/>
    <w:rsid w:val="00717C03"/>
    <w:pPr>
      <w:numPr>
        <w:ilvl w:val="1"/>
        <w:numId w:val="13"/>
      </w:numPr>
    </w:pPr>
    <w:rPr>
      <w:rFonts w:eastAsia="Times New Roman"/>
      <w:lang w:val="fr-FR" w:eastAsia="en-GB"/>
    </w:rPr>
  </w:style>
  <w:style w:type="paragraph" w:customStyle="1" w:styleId="ListNumber3Level2">
    <w:name w:val="List Number 3 (Level 2)"/>
    <w:basedOn w:val="Text3"/>
    <w:rsid w:val="00717C03"/>
    <w:pPr>
      <w:numPr>
        <w:ilvl w:val="1"/>
        <w:numId w:val="14"/>
      </w:numPr>
    </w:pPr>
    <w:rPr>
      <w:rFonts w:eastAsia="Times New Roman"/>
      <w:lang w:val="fr-FR" w:eastAsia="en-GB"/>
    </w:rPr>
  </w:style>
  <w:style w:type="paragraph" w:customStyle="1" w:styleId="ListNumber4Level2">
    <w:name w:val="List Number 4 (Level 2)"/>
    <w:basedOn w:val="Text4"/>
    <w:rsid w:val="00717C03"/>
    <w:pPr>
      <w:numPr>
        <w:ilvl w:val="1"/>
        <w:numId w:val="15"/>
      </w:numPr>
    </w:pPr>
    <w:rPr>
      <w:rFonts w:eastAsia="Times New Roman"/>
      <w:lang w:val="fr-FR" w:eastAsia="en-GB"/>
    </w:rPr>
  </w:style>
  <w:style w:type="paragraph" w:customStyle="1" w:styleId="ListNumber1Level3">
    <w:name w:val="List Number 1 (Level 3)"/>
    <w:basedOn w:val="Text1"/>
    <w:rsid w:val="00717C03"/>
    <w:pPr>
      <w:numPr>
        <w:ilvl w:val="2"/>
        <w:numId w:val="12"/>
      </w:numPr>
    </w:pPr>
    <w:rPr>
      <w:rFonts w:eastAsia="Times New Roman"/>
      <w:lang w:val="fr-FR" w:eastAsia="en-GB"/>
    </w:rPr>
  </w:style>
  <w:style w:type="paragraph" w:customStyle="1" w:styleId="ListNumber2Level3">
    <w:name w:val="List Number 2 (Level 3)"/>
    <w:basedOn w:val="Text2"/>
    <w:rsid w:val="00717C03"/>
    <w:pPr>
      <w:numPr>
        <w:ilvl w:val="2"/>
        <w:numId w:val="13"/>
      </w:numPr>
    </w:pPr>
    <w:rPr>
      <w:rFonts w:eastAsia="Times New Roman"/>
      <w:lang w:val="fr-FR" w:eastAsia="en-GB"/>
    </w:rPr>
  </w:style>
  <w:style w:type="paragraph" w:customStyle="1" w:styleId="ListNumber3Level3">
    <w:name w:val="List Number 3 (Level 3)"/>
    <w:basedOn w:val="Text3"/>
    <w:rsid w:val="00717C03"/>
    <w:pPr>
      <w:numPr>
        <w:ilvl w:val="2"/>
        <w:numId w:val="14"/>
      </w:numPr>
    </w:pPr>
    <w:rPr>
      <w:rFonts w:eastAsia="Times New Roman"/>
      <w:lang w:val="fr-FR" w:eastAsia="en-GB"/>
    </w:rPr>
  </w:style>
  <w:style w:type="paragraph" w:customStyle="1" w:styleId="ListNumber4Level3">
    <w:name w:val="List Number 4 (Level 3)"/>
    <w:basedOn w:val="Text4"/>
    <w:rsid w:val="00717C03"/>
    <w:pPr>
      <w:numPr>
        <w:ilvl w:val="2"/>
        <w:numId w:val="15"/>
      </w:numPr>
    </w:pPr>
    <w:rPr>
      <w:rFonts w:eastAsia="Times New Roman"/>
      <w:lang w:val="fr-FR" w:eastAsia="en-GB"/>
    </w:rPr>
  </w:style>
  <w:style w:type="paragraph" w:customStyle="1" w:styleId="ListNumber1Level4">
    <w:name w:val="List Number 1 (Level 4)"/>
    <w:basedOn w:val="Text1"/>
    <w:rsid w:val="00717C03"/>
    <w:pPr>
      <w:numPr>
        <w:ilvl w:val="3"/>
        <w:numId w:val="12"/>
      </w:numPr>
    </w:pPr>
    <w:rPr>
      <w:rFonts w:eastAsia="Times New Roman"/>
      <w:lang w:val="fr-FR" w:eastAsia="en-GB"/>
    </w:rPr>
  </w:style>
  <w:style w:type="paragraph" w:customStyle="1" w:styleId="ListNumber2Level4">
    <w:name w:val="List Number 2 (Level 4)"/>
    <w:basedOn w:val="Text2"/>
    <w:rsid w:val="00717C03"/>
    <w:pPr>
      <w:numPr>
        <w:ilvl w:val="3"/>
        <w:numId w:val="13"/>
      </w:numPr>
    </w:pPr>
    <w:rPr>
      <w:rFonts w:eastAsia="Times New Roman"/>
      <w:lang w:val="fr-FR" w:eastAsia="en-GB"/>
    </w:rPr>
  </w:style>
  <w:style w:type="paragraph" w:customStyle="1" w:styleId="ListNumber3Level4">
    <w:name w:val="List Number 3 (Level 4)"/>
    <w:basedOn w:val="Text3"/>
    <w:rsid w:val="00717C03"/>
    <w:pPr>
      <w:numPr>
        <w:ilvl w:val="3"/>
        <w:numId w:val="14"/>
      </w:numPr>
    </w:pPr>
    <w:rPr>
      <w:rFonts w:eastAsia="Times New Roman"/>
      <w:lang w:val="fr-FR" w:eastAsia="en-GB"/>
    </w:rPr>
  </w:style>
  <w:style w:type="paragraph" w:customStyle="1" w:styleId="ListNumber4Level4">
    <w:name w:val="List Number 4 (Level 4)"/>
    <w:basedOn w:val="Text4"/>
    <w:rsid w:val="00717C03"/>
    <w:pPr>
      <w:numPr>
        <w:ilvl w:val="3"/>
        <w:numId w:val="15"/>
      </w:numPr>
    </w:pPr>
    <w:rPr>
      <w:rFonts w:eastAsia="Times New Roman"/>
      <w:lang w:val="fr-FR" w:eastAsia="en-GB"/>
    </w:rPr>
  </w:style>
  <w:style w:type="paragraph" w:customStyle="1" w:styleId="Annexetitreacte">
    <w:name w:val="Annexe titre (acte)"/>
    <w:basedOn w:val="Normal"/>
    <w:next w:val="Normal"/>
    <w:rsid w:val="00717C03"/>
    <w:pPr>
      <w:jc w:val="center"/>
    </w:pPr>
    <w:rPr>
      <w:rFonts w:eastAsia="Times New Roman"/>
      <w:b/>
      <w:u w:val="single"/>
      <w:lang w:val="fr-FR" w:eastAsia="en-GB"/>
    </w:rPr>
  </w:style>
  <w:style w:type="paragraph" w:customStyle="1" w:styleId="Annexetitreexposglobal">
    <w:name w:val="Annexe titre (exposé global)"/>
    <w:basedOn w:val="Normal"/>
    <w:next w:val="Normal"/>
    <w:rsid w:val="00717C03"/>
    <w:pPr>
      <w:jc w:val="center"/>
    </w:pPr>
    <w:rPr>
      <w:rFonts w:eastAsia="Times New Roman"/>
      <w:b/>
      <w:u w:val="single"/>
      <w:lang w:val="fr-FR" w:eastAsia="en-GB"/>
    </w:rPr>
  </w:style>
  <w:style w:type="paragraph" w:customStyle="1" w:styleId="Annexetitrefichefinacte">
    <w:name w:val="Annexe titre (fiche fin. acte)"/>
    <w:basedOn w:val="Normal"/>
    <w:next w:val="Normal"/>
    <w:rsid w:val="00717C03"/>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717C03"/>
    <w:pPr>
      <w:jc w:val="center"/>
    </w:pPr>
    <w:rPr>
      <w:rFonts w:eastAsia="Times New Roman"/>
      <w:b/>
      <w:u w:val="single"/>
      <w:lang w:val="fr-FR" w:eastAsia="en-GB"/>
    </w:rPr>
  </w:style>
  <w:style w:type="paragraph" w:customStyle="1" w:styleId="Annexetitreglobale">
    <w:name w:val="Annexe titre (globale)"/>
    <w:basedOn w:val="Normal"/>
    <w:next w:val="Normal"/>
    <w:rsid w:val="00717C03"/>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717C03"/>
    <w:pPr>
      <w:jc w:val="center"/>
    </w:pPr>
    <w:rPr>
      <w:rFonts w:eastAsia="Times New Roman"/>
      <w:b/>
      <w:u w:val="single"/>
      <w:lang w:val="fr-FR" w:eastAsia="en-GB"/>
    </w:rPr>
  </w:style>
  <w:style w:type="paragraph" w:customStyle="1" w:styleId="Langueoriginale">
    <w:name w:val="Langue originale"/>
    <w:basedOn w:val="Normal"/>
    <w:rsid w:val="00717C03"/>
    <w:pPr>
      <w:spacing w:before="360"/>
      <w:jc w:val="center"/>
    </w:pPr>
    <w:rPr>
      <w:rFonts w:eastAsia="Times New Roman"/>
      <w:caps/>
      <w:lang w:val="fr-FR" w:eastAsia="en-GB"/>
    </w:rPr>
  </w:style>
  <w:style w:type="paragraph" w:customStyle="1" w:styleId="Phrasefinale">
    <w:name w:val="Phrase finale"/>
    <w:basedOn w:val="Normal"/>
    <w:next w:val="Normal"/>
    <w:rsid w:val="00717C03"/>
    <w:pPr>
      <w:spacing w:before="360" w:after="0"/>
      <w:jc w:val="center"/>
    </w:pPr>
    <w:rPr>
      <w:rFonts w:eastAsia="Times New Roman"/>
      <w:lang w:val="fr-FR" w:eastAsia="en-GB"/>
    </w:rPr>
  </w:style>
  <w:style w:type="paragraph" w:customStyle="1" w:styleId="Prliminairetitre">
    <w:name w:val="Préliminaire titre"/>
    <w:basedOn w:val="Normal"/>
    <w:next w:val="Normal"/>
    <w:rsid w:val="00717C03"/>
    <w:pPr>
      <w:spacing w:before="360" w:after="360"/>
      <w:jc w:val="center"/>
    </w:pPr>
    <w:rPr>
      <w:rFonts w:eastAsia="Times New Roman"/>
      <w:b/>
      <w:lang w:val="fr-FR" w:eastAsia="en-GB"/>
    </w:rPr>
  </w:style>
  <w:style w:type="paragraph" w:customStyle="1" w:styleId="Prliminairetype">
    <w:name w:val="Préliminaire type"/>
    <w:basedOn w:val="Normal"/>
    <w:next w:val="Normal"/>
    <w:rsid w:val="00717C03"/>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717C03"/>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717C03"/>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717C03"/>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717C03"/>
    <w:pPr>
      <w:spacing w:before="0" w:after="0"/>
      <w:jc w:val="center"/>
    </w:pPr>
    <w:rPr>
      <w:rFonts w:eastAsia="Times New Roman"/>
      <w:b/>
      <w:lang w:val="fr-FR" w:eastAsia="en-GB"/>
    </w:rPr>
  </w:style>
  <w:style w:type="paragraph" w:customStyle="1" w:styleId="Statutprliminaire">
    <w:name w:val="Statut (préliminaire)"/>
    <w:basedOn w:val="Normal"/>
    <w:next w:val="Normal"/>
    <w:rsid w:val="00717C03"/>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717C03"/>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717C03"/>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717C03"/>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717C03"/>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717C03"/>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717C03"/>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717C03"/>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717C03"/>
    <w:pPr>
      <w:jc w:val="center"/>
    </w:pPr>
    <w:rPr>
      <w:rFonts w:eastAsia="Times New Roman"/>
      <w:b/>
      <w:u w:val="single"/>
      <w:lang w:val="fr-FR" w:eastAsia="en-GB"/>
    </w:rPr>
  </w:style>
  <w:style w:type="character" w:styleId="CommentReference">
    <w:name w:val="annotation reference"/>
    <w:rsid w:val="00717C03"/>
    <w:rPr>
      <w:rFonts w:cs="Times New Roman"/>
      <w:sz w:val="16"/>
      <w:szCs w:val="16"/>
    </w:rPr>
  </w:style>
  <w:style w:type="paragraph" w:styleId="CommentText">
    <w:name w:val="annotation text"/>
    <w:basedOn w:val="Normal"/>
    <w:link w:val="CommentTextChar"/>
    <w:rsid w:val="00717C03"/>
    <w:rPr>
      <w:rFonts w:eastAsia="Times New Roman"/>
      <w:sz w:val="20"/>
      <w:szCs w:val="20"/>
      <w:lang w:val="fr-FR" w:eastAsia="en-GB"/>
    </w:rPr>
  </w:style>
  <w:style w:type="character" w:customStyle="1" w:styleId="CommentTextChar">
    <w:name w:val="Comment Text Char"/>
    <w:basedOn w:val="DefaultParagraphFont"/>
    <w:link w:val="CommentText"/>
    <w:rsid w:val="00717C03"/>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717C03"/>
    <w:rPr>
      <w:b/>
      <w:bCs/>
    </w:rPr>
  </w:style>
  <w:style w:type="character" w:customStyle="1" w:styleId="CommentSubjectChar">
    <w:name w:val="Comment Subject Char"/>
    <w:basedOn w:val="CommentTextChar"/>
    <w:link w:val="CommentSubject"/>
    <w:rsid w:val="00717C03"/>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717C03"/>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717C03"/>
    <w:rPr>
      <w:rFonts w:ascii="Tahoma" w:eastAsia="Times New Roman" w:hAnsi="Tahoma" w:cs="Tahoma"/>
      <w:sz w:val="16"/>
      <w:szCs w:val="16"/>
      <w:lang w:val="fr-FR" w:eastAsia="en-GB"/>
    </w:rPr>
  </w:style>
  <w:style w:type="paragraph" w:styleId="Caption">
    <w:name w:val="caption"/>
    <w:basedOn w:val="Normal"/>
    <w:next w:val="Normal"/>
    <w:qFormat/>
    <w:rsid w:val="00717C03"/>
    <w:rPr>
      <w:rFonts w:eastAsia="Times New Roman"/>
      <w:b/>
      <w:bCs/>
      <w:sz w:val="20"/>
      <w:szCs w:val="20"/>
      <w:lang w:val="fr-FR" w:eastAsia="en-GB"/>
    </w:rPr>
  </w:style>
  <w:style w:type="paragraph" w:styleId="TableofFigures">
    <w:name w:val="table of figures"/>
    <w:basedOn w:val="Normal"/>
    <w:next w:val="Normal"/>
    <w:rsid w:val="00717C03"/>
    <w:rPr>
      <w:rFonts w:eastAsia="Times New Roman"/>
      <w:lang w:val="fr-FR" w:eastAsia="en-GB"/>
    </w:rPr>
  </w:style>
  <w:style w:type="character" w:styleId="PageNumber">
    <w:name w:val="page number"/>
    <w:rsid w:val="00717C03"/>
  </w:style>
  <w:style w:type="character" w:customStyle="1" w:styleId="tw4winMark">
    <w:name w:val="tw4winMark"/>
    <w:rsid w:val="00717C03"/>
    <w:rPr>
      <w:vanish/>
      <w:color w:val="800080"/>
      <w:vertAlign w:val="subscript"/>
    </w:rPr>
  </w:style>
  <w:style w:type="character" w:styleId="FollowedHyperlink">
    <w:name w:val="FollowedHyperlink"/>
    <w:rsid w:val="00717C03"/>
    <w:rPr>
      <w:color w:val="800080"/>
      <w:u w:val="single"/>
    </w:rPr>
  </w:style>
  <w:style w:type="paragraph" w:customStyle="1" w:styleId="Sous-titreobjet">
    <w:name w:val="Sous-titre objet"/>
    <w:basedOn w:val="Normal"/>
    <w:rsid w:val="00717C0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717C03"/>
  </w:style>
  <w:style w:type="paragraph" w:styleId="Revision">
    <w:name w:val="Revision"/>
    <w:hidden/>
    <w:uiPriority w:val="99"/>
    <w:semiHidden/>
    <w:rsid w:val="00717C03"/>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717C0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717C03"/>
    <w:rPr>
      <w:rFonts w:ascii="Times New Roman" w:hAnsi="Times New Roman" w:cs="Times New Roman"/>
      <w:b/>
      <w:sz w:val="28"/>
      <w:lang w:val="en-GB"/>
    </w:rPr>
  </w:style>
  <w:style w:type="character" w:customStyle="1" w:styleId="FooterCoverPageChar">
    <w:name w:val="Footer Cover Page Char"/>
    <w:link w:val="FooterCoverPage"/>
    <w:rsid w:val="00717C03"/>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717C0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717C03"/>
    <w:rPr>
      <w:rFonts w:ascii="Times New Roman" w:eastAsia="Calibri" w:hAnsi="Times New Roman" w:cs="Times New Roman"/>
      <w:sz w:val="24"/>
      <w:lang w:val="en-GB" w:eastAsia="en-GB"/>
    </w:rPr>
  </w:style>
  <w:style w:type="character" w:customStyle="1" w:styleId="FooterSensitivityChar">
    <w:name w:val="Footer Sensitivity Char"/>
    <w:rsid w:val="00717C03"/>
    <w:rPr>
      <w:rFonts w:ascii="Times New Roman" w:hAnsi="Times New Roman" w:cs="Times New Roman"/>
      <w:b/>
      <w:sz w:val="32"/>
      <w:lang w:val="en-GB"/>
    </w:rPr>
  </w:style>
  <w:style w:type="character" w:customStyle="1" w:styleId="HeaderSensitivityChar">
    <w:name w:val="Header Sensitivity Char"/>
    <w:rsid w:val="00717C03"/>
    <w:rPr>
      <w:rFonts w:ascii="Times New Roman" w:hAnsi="Times New Roman" w:cs="Times New Roman"/>
      <w:b/>
      <w:sz w:val="32"/>
      <w:lang w:val="en-GB"/>
    </w:rPr>
  </w:style>
  <w:style w:type="character" w:customStyle="1" w:styleId="HeaderSensitivityRightChar">
    <w:name w:val="Header Sensitivity Right Char"/>
    <w:rsid w:val="00717C03"/>
    <w:rPr>
      <w:rFonts w:ascii="Times New Roman" w:hAnsi="Times New Roman" w:cs="Times New Roman"/>
      <w:sz w:val="28"/>
      <w:lang w:val="en-GB"/>
    </w:rPr>
  </w:style>
  <w:style w:type="paragraph" w:customStyle="1" w:styleId="LegalNumPar">
    <w:name w:val="LegalNumPar"/>
    <w:basedOn w:val="Normal"/>
    <w:rsid w:val="00717C03"/>
    <w:pPr>
      <w:numPr>
        <w:numId w:val="16"/>
      </w:numPr>
      <w:spacing w:line="360" w:lineRule="auto"/>
    </w:pPr>
    <w:rPr>
      <w:rFonts w:eastAsia="Times New Roman"/>
      <w:lang w:eastAsia="en-GB"/>
    </w:rPr>
  </w:style>
  <w:style w:type="paragraph" w:customStyle="1" w:styleId="LegalNumPar2">
    <w:name w:val="LegalNumPar2"/>
    <w:basedOn w:val="Normal"/>
    <w:rsid w:val="00717C03"/>
    <w:pPr>
      <w:numPr>
        <w:ilvl w:val="1"/>
        <w:numId w:val="16"/>
      </w:numPr>
      <w:spacing w:line="360" w:lineRule="auto"/>
    </w:pPr>
    <w:rPr>
      <w:rFonts w:eastAsia="Times New Roman"/>
      <w:lang w:eastAsia="en-GB"/>
    </w:rPr>
  </w:style>
  <w:style w:type="paragraph" w:customStyle="1" w:styleId="LegalNumPar3">
    <w:name w:val="LegalNumPar3"/>
    <w:basedOn w:val="Normal"/>
    <w:rsid w:val="00717C03"/>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717C03"/>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717C03"/>
    <w:rPr>
      <w:color w:val="605E5C"/>
      <w:shd w:val="clear" w:color="auto" w:fill="E1DFDD"/>
    </w:rPr>
  </w:style>
  <w:style w:type="character" w:styleId="Strong">
    <w:name w:val="Strong"/>
    <w:basedOn w:val="DefaultParagraphFont"/>
    <w:qFormat/>
    <w:rsid w:val="00717C03"/>
    <w:rPr>
      <w:b/>
      <w:bCs/>
    </w:rPr>
  </w:style>
  <w:style w:type="character" w:styleId="Emphasis">
    <w:name w:val="Emphasis"/>
    <w:basedOn w:val="DefaultParagraphFont"/>
    <w:qFormat/>
    <w:rsid w:val="00717C03"/>
    <w:rPr>
      <w:i/>
      <w:iCs/>
    </w:rPr>
  </w:style>
  <w:style w:type="character" w:customStyle="1" w:styleId="Mention">
    <w:name w:val="Mention"/>
    <w:basedOn w:val="DefaultParagraphFont"/>
    <w:uiPriority w:val="99"/>
    <w:unhideWhenUsed/>
    <w:rsid w:val="00717C03"/>
    <w:rPr>
      <w:color w:val="2B579A"/>
      <w:shd w:val="clear" w:color="auto" w:fill="E1DFDD"/>
    </w:rPr>
  </w:style>
  <w:style w:type="character" w:customStyle="1" w:styleId="normaltextrun">
    <w:name w:val="normaltextrun"/>
    <w:basedOn w:val="DefaultParagraphFont"/>
    <w:rsid w:val="00717C03"/>
  </w:style>
  <w:style w:type="character" w:customStyle="1" w:styleId="eop">
    <w:name w:val="eop"/>
    <w:basedOn w:val="DefaultParagraphFont"/>
    <w:rsid w:val="00717C03"/>
  </w:style>
  <w:style w:type="character" w:customStyle="1" w:styleId="HeaderChar">
    <w:name w:val="Header Char"/>
    <w:basedOn w:val="DefaultParagraphFont"/>
    <w:link w:val="Header"/>
    <w:uiPriority w:val="99"/>
    <w:rsid w:val="00683EBE"/>
    <w:rPr>
      <w:rFonts w:ascii="Times New Roman" w:hAnsi="Times New Roman" w:cs="Times New Roman"/>
      <w:sz w:val="24"/>
      <w:lang w:val="en-GB"/>
    </w:rPr>
  </w:style>
  <w:style w:type="character" w:customStyle="1" w:styleId="FooterChar">
    <w:name w:val="Footer Char"/>
    <w:basedOn w:val="DefaultParagraphFont"/>
    <w:link w:val="Footer"/>
    <w:uiPriority w:val="99"/>
    <w:rsid w:val="00683EB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83EB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83EBE"/>
    <w:pPr>
      <w:spacing w:before="0"/>
      <w:jc w:val="right"/>
    </w:pPr>
    <w:rPr>
      <w:sz w:val="28"/>
    </w:rPr>
  </w:style>
  <w:style w:type="paragraph" w:customStyle="1" w:styleId="FooterSensitivity">
    <w:name w:val="Footer Sensitivity"/>
    <w:basedOn w:val="Normal"/>
    <w:rsid w:val="00683EB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83EBE"/>
    <w:pPr>
      <w:tabs>
        <w:tab w:val="center" w:pos="4535"/>
        <w:tab w:val="right" w:pos="9071"/>
      </w:tabs>
      <w:spacing w:before="0"/>
    </w:pPr>
  </w:style>
  <w:style w:type="paragraph" w:customStyle="1" w:styleId="HeaderLandscape">
    <w:name w:val="HeaderLandscape"/>
    <w:basedOn w:val="Normal"/>
    <w:rsid w:val="00683EBE"/>
    <w:pPr>
      <w:tabs>
        <w:tab w:val="center" w:pos="7285"/>
        <w:tab w:val="right" w:pos="14003"/>
      </w:tabs>
      <w:spacing w:before="0"/>
    </w:pPr>
  </w:style>
  <w:style w:type="paragraph" w:styleId="Footer">
    <w:name w:val="footer"/>
    <w:basedOn w:val="Normal"/>
    <w:link w:val="FooterChar"/>
    <w:uiPriority w:val="99"/>
    <w:unhideWhenUsed/>
    <w:rsid w:val="00683EB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83EB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2/2104/oj" TargetMode="External"/><Relationship Id="rId7" Type="http://schemas.openxmlformats.org/officeDocument/2006/relationships/hyperlink" Target="http://data.europa.eu/eli/reg/2013/1308/2023-01-01" TargetMode="External"/><Relationship Id="rId2" Type="http://schemas.openxmlformats.org/officeDocument/2006/relationships/hyperlink" Target="http://data.europa.eu/eli/reg/2013/1308/2023-01-01" TargetMode="External"/><Relationship Id="rId1" Type="http://schemas.openxmlformats.org/officeDocument/2006/relationships/hyperlink" Target="http://data.europa.eu/eli/dec/2016/1892/oj" TargetMode="External"/><Relationship Id="rId6" Type="http://schemas.openxmlformats.org/officeDocument/2006/relationships/hyperlink" Target="http://data.europa.eu/eli/dec/2019/848/oj" TargetMode="External"/><Relationship Id="rId5" Type="http://schemas.openxmlformats.org/officeDocument/2006/relationships/hyperlink" Target="http://data.europa.eu/eli/dec/2016/1892/oj" TargetMode="External"/><Relationship Id="rId4" Type="http://schemas.openxmlformats.org/officeDocument/2006/relationships/hyperlink" Target="http://data.europa.eu/eli/reg_impl/2022/2105/2022-11-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7F036-B00E-4067-AF4B-4385F0DD4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177768-F1D0-4D72-82F7-6DC069A03865}">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74FDC918-BB07-4957-A985-403D9B2C292B}">
  <ds:schemaRefs>
    <ds:schemaRef ds:uri="http://schemas.microsoft.com/sharepoint/v3/contenttype/forms"/>
  </ds:schemaRefs>
</ds:datastoreItem>
</file>

<file path=customXml/itemProps4.xml><?xml version="1.0" encoding="utf-8"?>
<ds:datastoreItem xmlns:ds="http://schemas.openxmlformats.org/officeDocument/2006/customXml" ds:itemID="{5437C7D7-A0BC-40E4-A31E-80D56447B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8</Pages>
  <Words>2090</Words>
  <Characters>11916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2026-01-12T10:49:00Z</dcterms:created>
  <dcterms:modified xsi:type="dcterms:W3CDTF">2026-01-16T11:37:00Z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2025-02-18T14:09:49Z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8d8fc7f7-0de2-4173-b5a4-56cf084296d7</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