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C8928" w14:textId="478483AC" w:rsidR="006E7453" w:rsidRPr="00B6703E" w:rsidRDefault="004D4262" w:rsidP="004D4262">
      <w:pPr>
        <w:pStyle w:val="Pagedecouverture"/>
        <w:rPr>
          <w:noProof/>
        </w:rPr>
      </w:pPr>
      <w:r>
        <w:rPr>
          <w:noProof/>
        </w:rPr>
        <w:pict w14:anchorId="588100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AB80A3-FF86-4C87-AF65-423D7926C33E" style="width:455.25pt;height:424.5pt">
            <v:imagedata r:id="rId10" o:title=""/>
          </v:shape>
        </w:pict>
      </w:r>
    </w:p>
    <w:p w14:paraId="7A66987F" w14:textId="77777777" w:rsidR="006E7453" w:rsidRPr="00B6703E" w:rsidRDefault="006E7453" w:rsidP="006E7453">
      <w:pPr>
        <w:rPr>
          <w:noProof/>
        </w:rPr>
        <w:sectPr w:rsidR="006E7453" w:rsidRPr="00B6703E" w:rsidSect="004D4262">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5F0AF4C8" w14:textId="77777777" w:rsidR="00BC331C" w:rsidRPr="00B6703E" w:rsidRDefault="006E7453" w:rsidP="006E7453">
      <w:pPr>
        <w:pStyle w:val="Annexetitre"/>
        <w:rPr>
          <w:noProof/>
        </w:rPr>
      </w:pPr>
      <w:bookmarkStart w:id="0" w:name="_GoBack"/>
      <w:bookmarkEnd w:id="0"/>
      <w:r w:rsidRPr="00B6703E">
        <w:rPr>
          <w:noProof/>
        </w:rPr>
        <w:lastRenderedPageBreak/>
        <w:t>ANNEXE</w:t>
      </w:r>
    </w:p>
    <w:p w14:paraId="4CF53F97" w14:textId="7597E3CC" w:rsidR="006E7453" w:rsidRPr="00B6703E" w:rsidRDefault="00BC331C" w:rsidP="00AC509A">
      <w:pPr>
        <w:jc w:val="center"/>
        <w:rPr>
          <w:b/>
          <w:bCs/>
          <w:noProof/>
          <w:u w:val="single"/>
        </w:rPr>
      </w:pPr>
      <w:r w:rsidRPr="00B6703E">
        <w:rPr>
          <w:b/>
          <w:noProof/>
          <w:u w:val="single"/>
        </w:rPr>
        <w:t>Position à prendre, au nom de l’Union, au sein du Conseil des membres du Conseil oléicole international</w:t>
      </w:r>
    </w:p>
    <w:p w14:paraId="3C068F59" w14:textId="4BC46185" w:rsidR="00BC331C" w:rsidRPr="00B6703E" w:rsidRDefault="00BC331C" w:rsidP="00BC331C">
      <w:pPr>
        <w:rPr>
          <w:noProof/>
        </w:rPr>
      </w:pPr>
    </w:p>
    <w:p w14:paraId="77955CA4" w14:textId="6CF6F42F" w:rsidR="006E7453" w:rsidRPr="00B6703E" w:rsidRDefault="006E7453" w:rsidP="006E7453">
      <w:pPr>
        <w:rPr>
          <w:bCs/>
          <w:noProof/>
          <w:szCs w:val="17"/>
        </w:rPr>
      </w:pPr>
      <w:r w:rsidRPr="00B6703E">
        <w:rPr>
          <w:noProof/>
        </w:rPr>
        <w:t>L’Union européenne soutient les modifications suivantes de la norme commerciale du Conseil oléicole international (COI) (norme commerciale COI/T.15/NC nº 4 applicable aux huiles d’olive et aux huiles de grignons d’olive):</w:t>
      </w:r>
    </w:p>
    <w:p w14:paraId="11855FC8" w14:textId="56BC9E2D" w:rsidR="003F49B0" w:rsidRPr="00B6703E" w:rsidRDefault="00BC331C" w:rsidP="0000671C">
      <w:pPr>
        <w:pStyle w:val="Point0number"/>
        <w:numPr>
          <w:ilvl w:val="0"/>
          <w:numId w:val="9"/>
        </w:numPr>
        <w:rPr>
          <w:noProof/>
        </w:rPr>
      </w:pPr>
      <w:r w:rsidRPr="00B6703E">
        <w:rPr>
          <w:noProof/>
        </w:rPr>
        <w:t xml:space="preserve">la révision d’une note de bas de page concernant la teneur en stérols totaux de certaines huiles d’olive vierges extra monovariétales en ajoutant la variété </w:t>
      </w:r>
      <w:r w:rsidRPr="00B6703E">
        <w:rPr>
          <w:i/>
          <w:iCs/>
          <w:noProof/>
        </w:rPr>
        <w:t>Coratina</w:t>
      </w:r>
      <w:r w:rsidRPr="00B6703E">
        <w:rPr>
          <w:noProof/>
        </w:rPr>
        <w:t xml:space="preserve"> aux variétés </w:t>
      </w:r>
      <w:r w:rsidRPr="00B6703E">
        <w:rPr>
          <w:i/>
          <w:iCs/>
          <w:noProof/>
        </w:rPr>
        <w:t>Koroneiki</w:t>
      </w:r>
      <w:r w:rsidRPr="00B6703E">
        <w:rPr>
          <w:noProof/>
        </w:rPr>
        <w:t xml:space="preserve"> et </w:t>
      </w:r>
      <w:r w:rsidRPr="00B6703E">
        <w:rPr>
          <w:i/>
          <w:iCs/>
          <w:noProof/>
        </w:rPr>
        <w:t>Nocellara del Belice</w:t>
      </w:r>
      <w:r w:rsidRPr="00B6703E">
        <w:rPr>
          <w:noProof/>
        </w:rPr>
        <w:t xml:space="preserve"> et en limitant l’application de la note de bas de page à la fin de la campagne 2026/27;</w:t>
      </w:r>
    </w:p>
    <w:p w14:paraId="7FFD7B46" w14:textId="11BE98BA" w:rsidR="00E4535E" w:rsidRPr="00B6703E" w:rsidRDefault="00BC331C" w:rsidP="00BC331C">
      <w:pPr>
        <w:pStyle w:val="Point0number"/>
        <w:rPr>
          <w:noProof/>
        </w:rPr>
      </w:pPr>
      <w:r w:rsidRPr="00B6703E">
        <w:rPr>
          <w:noProof/>
        </w:rPr>
        <w:t>l’ajout d’une nouvelle méthode pour déterminer l’indice de peroxyde dans les huiles d’olive et les huiles de grignons d’olive.</w:t>
      </w:r>
    </w:p>
    <w:p w14:paraId="418D5041" w14:textId="2203EA45" w:rsidR="003F49B0" w:rsidRPr="00B6703E" w:rsidRDefault="00BC331C" w:rsidP="008E3F36">
      <w:pPr>
        <w:rPr>
          <w:noProof/>
        </w:rPr>
      </w:pPr>
      <w:r w:rsidRPr="00B6703E">
        <w:rPr>
          <w:noProof/>
        </w:rPr>
        <w:t>L’Union européenne soutient également la décision approuvant une nouvelle méthode d’analyse (COI/T.20/Doc. nº 38) qui offre une solution de remplacement plus sûre à la méthode actuelle du COI (COI/T.20/Doc. nº 35) pour déterminer l’indice de peroxyde dans les huiles d’olive et les huiles de grignons d’olive.</w:t>
      </w:r>
    </w:p>
    <w:p w14:paraId="5A3BBD29" w14:textId="77777777" w:rsidR="00152894" w:rsidRPr="00B6703E" w:rsidRDefault="006E7453" w:rsidP="006E7453">
      <w:pPr>
        <w:rPr>
          <w:noProof/>
        </w:rPr>
      </w:pPr>
      <w:r w:rsidRPr="00B6703E">
        <w:rPr>
          <w:noProof/>
        </w:rPr>
        <w:t>Des adaptations techniques apportées à d’autres méthodes ou documents du COI peuvent être approuvées par les représentants de l’Union au sein du Conseil des membres du COI sans que le Conseil doive adopter une autre décision, si ces adaptations techniques résultent des modifications visées au premier alinéa.</w:t>
      </w:r>
    </w:p>
    <w:sectPr w:rsidR="00152894" w:rsidRPr="00B6703E" w:rsidSect="004D4262">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35F7C" w14:textId="77777777" w:rsidR="009C3517" w:rsidRDefault="009C3517" w:rsidP="006E7453">
      <w:pPr>
        <w:spacing w:before="0" w:after="0"/>
      </w:pPr>
      <w:r>
        <w:separator/>
      </w:r>
    </w:p>
  </w:endnote>
  <w:endnote w:type="continuationSeparator" w:id="0">
    <w:p w14:paraId="4C3A3783" w14:textId="77777777" w:rsidR="009C3517" w:rsidRDefault="009C3517" w:rsidP="006E74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B9B7F" w14:textId="4F8301ED" w:rsidR="004D4262" w:rsidRPr="004D4262" w:rsidRDefault="004D4262" w:rsidP="004D4262">
    <w:pPr>
      <w:pStyle w:val="Footer"/>
      <w:rPr>
        <w:rFonts w:ascii="Arial" w:hAnsi="Arial" w:cs="Arial"/>
        <w:b/>
        <w:sz w:val="48"/>
      </w:rPr>
    </w:pPr>
    <w:r w:rsidRPr="004D4262">
      <w:rPr>
        <w:rFonts w:ascii="Arial" w:hAnsi="Arial" w:cs="Arial"/>
        <w:b/>
        <w:sz w:val="48"/>
      </w:rPr>
      <w:t>FR</w:t>
    </w:r>
    <w:r w:rsidRPr="004D4262">
      <w:rPr>
        <w:rFonts w:ascii="Arial" w:hAnsi="Arial" w:cs="Arial"/>
        <w:b/>
        <w:sz w:val="48"/>
      </w:rPr>
      <w:tab/>
    </w:r>
    <w:r w:rsidRPr="004D4262">
      <w:rPr>
        <w:rFonts w:ascii="Arial" w:hAnsi="Arial" w:cs="Arial"/>
        <w:b/>
        <w:sz w:val="48"/>
      </w:rPr>
      <w:tab/>
    </w:r>
    <w:r w:rsidRPr="004D4262">
      <w:tab/>
    </w:r>
    <w:r w:rsidRPr="004D426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17E8" w14:textId="1B5331D7" w:rsidR="004D4262" w:rsidRPr="004D4262" w:rsidRDefault="004D4262" w:rsidP="004D4262">
    <w:pPr>
      <w:pStyle w:val="Footer"/>
      <w:rPr>
        <w:rFonts w:ascii="Arial" w:hAnsi="Arial" w:cs="Arial"/>
        <w:b/>
        <w:sz w:val="48"/>
      </w:rPr>
    </w:pPr>
    <w:r w:rsidRPr="004D4262">
      <w:rPr>
        <w:rFonts w:ascii="Arial" w:hAnsi="Arial" w:cs="Arial"/>
        <w:b/>
        <w:sz w:val="48"/>
      </w:rPr>
      <w:t>FR</w:t>
    </w:r>
    <w:r w:rsidRPr="004D4262">
      <w:rPr>
        <w:rFonts w:ascii="Arial" w:hAnsi="Arial" w:cs="Arial"/>
        <w:b/>
        <w:sz w:val="48"/>
      </w:rPr>
      <w:tab/>
    </w:r>
    <w:r w:rsidRPr="004D4262">
      <w:rPr>
        <w:rFonts w:ascii="Arial" w:hAnsi="Arial" w:cs="Arial"/>
        <w:b/>
        <w:sz w:val="48"/>
      </w:rPr>
      <w:tab/>
    </w:r>
    <w:r w:rsidRPr="004D4262">
      <w:tab/>
    </w:r>
    <w:r w:rsidRPr="004D426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BC0F3" w14:textId="77777777" w:rsidR="004D4262" w:rsidRPr="004D4262" w:rsidRDefault="004D4262" w:rsidP="004D42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014F1" w14:textId="77777777" w:rsidR="004D4262" w:rsidRDefault="004D42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8F697" w14:textId="7A0C77F9" w:rsidR="004D4262" w:rsidRPr="004D4262" w:rsidRDefault="004D4262" w:rsidP="004D4262">
    <w:pPr>
      <w:pStyle w:val="Footer"/>
      <w:rPr>
        <w:rFonts w:ascii="Arial" w:hAnsi="Arial" w:cs="Arial"/>
        <w:b/>
        <w:sz w:val="48"/>
      </w:rPr>
    </w:pPr>
    <w:r w:rsidRPr="004D4262">
      <w:rPr>
        <w:rFonts w:ascii="Arial" w:hAnsi="Arial" w:cs="Arial"/>
        <w:b/>
        <w:sz w:val="48"/>
      </w:rPr>
      <w:t>FR</w:t>
    </w:r>
    <w:r w:rsidRPr="004D426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D4262">
      <w:tab/>
    </w:r>
    <w:r w:rsidRPr="004D4262">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813F" w14:textId="77777777" w:rsidR="004D4262" w:rsidRDefault="004D4262" w:rsidP="004D42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D6297" w14:textId="77777777" w:rsidR="009C3517" w:rsidRDefault="009C3517" w:rsidP="006E7453">
      <w:pPr>
        <w:spacing w:before="0" w:after="0"/>
      </w:pPr>
      <w:r>
        <w:separator/>
      </w:r>
    </w:p>
  </w:footnote>
  <w:footnote w:type="continuationSeparator" w:id="0">
    <w:p w14:paraId="53F93644" w14:textId="77777777" w:rsidR="009C3517" w:rsidRDefault="009C3517" w:rsidP="006E745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393D8" w14:textId="77777777" w:rsidR="004D4262" w:rsidRPr="004D4262" w:rsidRDefault="004D4262" w:rsidP="004D42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C6421" w14:textId="77777777" w:rsidR="004D4262" w:rsidRPr="004D4262" w:rsidRDefault="004D4262" w:rsidP="004D42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B7394" w14:textId="77777777" w:rsidR="004D4262" w:rsidRPr="004D4262" w:rsidRDefault="004D4262" w:rsidP="004D42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4723C" w14:textId="77777777" w:rsidR="004D4262" w:rsidRDefault="004D42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48E3" w14:textId="77777777" w:rsidR="004D4262" w:rsidRDefault="004D42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A50D9B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A4E75F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3C6152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0845D8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48468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79C52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94A7E0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144F5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2:45: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ADAB80A3-FF86-4C87-AF65-423D7926C33E"/>
    <w:docVar w:name="LW_COVERPAGE_TYPE" w:val="1"/>
    <w:docVar w:name="LW_CROSSREFERENCE" w:val="{SWD(2026) 3 final}"/>
    <w:docVar w:name="LW_DocType" w:val="ANNEX"/>
    <w:docVar w:name="LW_EMISSION" w:val="19.1.2026"/>
    <w:docVar w:name="LW_EMISSION_ISODATE" w:val="2026-01-19"/>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position à prendre, au nom de l\u8217?Union européenne, au sein du Conseil des membres du Conseil oléicole international en ce qui concerne la norme commerciale applicable aux huiles d\u8217?olive et aux huiles de grignons d\u8217?olive et une nouvelle méthode d\u8217?analyse pour déterminer l\u8217?indice de peroxyde dans ces huiles&lt;/FMT&gt;_x000b_"/>
    <w:docVar w:name="LW_OBJETACTEPRINCIPAL.CP" w:val="&lt;FMT:Bold&gt;relative à la position à prendre, au nom de l\u8217?Union européenne, au sein du Conseil des membres du Conseil oléicole international en ce qui concerne la norme commerciale applicable aux huiles d\u8217?olive et aux huiles de grignons d\u8217?olive et une nouvelle méthode d\u8217?analyse pour déterminer l\u8217?indice de peroxyde dans ces huiles&lt;/FMT&gt;_x000b_"/>
    <w:docVar w:name="LW_PART_NBR" w:val="1"/>
    <w:docVar w:name="LW_PART_NBR_TOTAL" w:val="1"/>
    <w:docVar w:name="LW_REF.INST.NEW" w:val="COM"/>
    <w:docVar w:name="LW_REF.INST.NEW_ADOPTED" w:val="final"/>
    <w:docVar w:name="LW_REF.INST.NEW_TEXT" w:val="(2026) 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DÉCISION DU CONSEIL"/>
    <w:docVar w:name="LW_TYPEACTEPRINCIPAL.CP" w:val="Proposition de_x000b_DÉCISION DU CONSEIL"/>
    <w:docVar w:name="LwApiVersions" w:val="LW4CoDe 1.24.5.0; LW 9.2, Build 20251112"/>
  </w:docVars>
  <w:rsids>
    <w:rsidRoot w:val="006E7453"/>
    <w:rsid w:val="0000671C"/>
    <w:rsid w:val="000079D8"/>
    <w:rsid w:val="00012A6A"/>
    <w:rsid w:val="00021626"/>
    <w:rsid w:val="00030175"/>
    <w:rsid w:val="000463C0"/>
    <w:rsid w:val="00062B69"/>
    <w:rsid w:val="00064E5E"/>
    <w:rsid w:val="00076BD7"/>
    <w:rsid w:val="000812E9"/>
    <w:rsid w:val="00095687"/>
    <w:rsid w:val="000B2353"/>
    <w:rsid w:val="000E3338"/>
    <w:rsid w:val="00152894"/>
    <w:rsid w:val="00155B27"/>
    <w:rsid w:val="00177324"/>
    <w:rsid w:val="001773D7"/>
    <w:rsid w:val="0018111A"/>
    <w:rsid w:val="001A0239"/>
    <w:rsid w:val="001A1815"/>
    <w:rsid w:val="001B7C6B"/>
    <w:rsid w:val="001C3B50"/>
    <w:rsid w:val="001C7893"/>
    <w:rsid w:val="001E029E"/>
    <w:rsid w:val="001F126B"/>
    <w:rsid w:val="00242367"/>
    <w:rsid w:val="0025715F"/>
    <w:rsid w:val="00260BBC"/>
    <w:rsid w:val="00266F69"/>
    <w:rsid w:val="00267706"/>
    <w:rsid w:val="002D348D"/>
    <w:rsid w:val="002E39CC"/>
    <w:rsid w:val="00301575"/>
    <w:rsid w:val="00307F72"/>
    <w:rsid w:val="00310F12"/>
    <w:rsid w:val="003150A9"/>
    <w:rsid w:val="00323AA1"/>
    <w:rsid w:val="003470DF"/>
    <w:rsid w:val="00363BE2"/>
    <w:rsid w:val="003876AF"/>
    <w:rsid w:val="003A4440"/>
    <w:rsid w:val="003B217D"/>
    <w:rsid w:val="003B35A7"/>
    <w:rsid w:val="003C1C97"/>
    <w:rsid w:val="003E0F47"/>
    <w:rsid w:val="003F49B0"/>
    <w:rsid w:val="00404F48"/>
    <w:rsid w:val="00420C6F"/>
    <w:rsid w:val="00424306"/>
    <w:rsid w:val="00435B67"/>
    <w:rsid w:val="00452F37"/>
    <w:rsid w:val="004579BA"/>
    <w:rsid w:val="00496A0B"/>
    <w:rsid w:val="004D4262"/>
    <w:rsid w:val="004F3D0B"/>
    <w:rsid w:val="005008D2"/>
    <w:rsid w:val="00517103"/>
    <w:rsid w:val="00534F72"/>
    <w:rsid w:val="005365AB"/>
    <w:rsid w:val="00537ACB"/>
    <w:rsid w:val="00594E64"/>
    <w:rsid w:val="005A1F14"/>
    <w:rsid w:val="005A251C"/>
    <w:rsid w:val="005A44C6"/>
    <w:rsid w:val="005D1923"/>
    <w:rsid w:val="005E1DAA"/>
    <w:rsid w:val="00602FC1"/>
    <w:rsid w:val="006655E2"/>
    <w:rsid w:val="0067244F"/>
    <w:rsid w:val="006938F5"/>
    <w:rsid w:val="006C69E2"/>
    <w:rsid w:val="006C745C"/>
    <w:rsid w:val="006E1083"/>
    <w:rsid w:val="006E7453"/>
    <w:rsid w:val="006F3C12"/>
    <w:rsid w:val="007025CD"/>
    <w:rsid w:val="007133DA"/>
    <w:rsid w:val="00740EFF"/>
    <w:rsid w:val="0074216E"/>
    <w:rsid w:val="0078415E"/>
    <w:rsid w:val="007865D8"/>
    <w:rsid w:val="007A60DF"/>
    <w:rsid w:val="007B4483"/>
    <w:rsid w:val="007C4E74"/>
    <w:rsid w:val="007E1DC3"/>
    <w:rsid w:val="007F17A7"/>
    <w:rsid w:val="007F1DFF"/>
    <w:rsid w:val="008222D5"/>
    <w:rsid w:val="00824438"/>
    <w:rsid w:val="00825EEB"/>
    <w:rsid w:val="00827C95"/>
    <w:rsid w:val="00870DDE"/>
    <w:rsid w:val="008850A9"/>
    <w:rsid w:val="008B0CF5"/>
    <w:rsid w:val="008C233C"/>
    <w:rsid w:val="008C5FF2"/>
    <w:rsid w:val="008D631F"/>
    <w:rsid w:val="008E3F36"/>
    <w:rsid w:val="008F1922"/>
    <w:rsid w:val="0090380C"/>
    <w:rsid w:val="00946D06"/>
    <w:rsid w:val="0095344C"/>
    <w:rsid w:val="00967035"/>
    <w:rsid w:val="00980D7F"/>
    <w:rsid w:val="00983339"/>
    <w:rsid w:val="0099314A"/>
    <w:rsid w:val="009A2B5B"/>
    <w:rsid w:val="009B79A6"/>
    <w:rsid w:val="009C3517"/>
    <w:rsid w:val="009D6C37"/>
    <w:rsid w:val="009F4CE5"/>
    <w:rsid w:val="00A0708A"/>
    <w:rsid w:val="00A10640"/>
    <w:rsid w:val="00A149CC"/>
    <w:rsid w:val="00A22A0D"/>
    <w:rsid w:val="00A476A2"/>
    <w:rsid w:val="00A51618"/>
    <w:rsid w:val="00A57C8B"/>
    <w:rsid w:val="00A611CA"/>
    <w:rsid w:val="00A70E84"/>
    <w:rsid w:val="00A85B4C"/>
    <w:rsid w:val="00A97C51"/>
    <w:rsid w:val="00AB2878"/>
    <w:rsid w:val="00AB30F9"/>
    <w:rsid w:val="00AC509A"/>
    <w:rsid w:val="00AE00DF"/>
    <w:rsid w:val="00AE2899"/>
    <w:rsid w:val="00AE5793"/>
    <w:rsid w:val="00AF5156"/>
    <w:rsid w:val="00AF7259"/>
    <w:rsid w:val="00B20C3D"/>
    <w:rsid w:val="00B2365F"/>
    <w:rsid w:val="00B32E41"/>
    <w:rsid w:val="00B62194"/>
    <w:rsid w:val="00B62C8A"/>
    <w:rsid w:val="00B6703E"/>
    <w:rsid w:val="00B83823"/>
    <w:rsid w:val="00BB0B20"/>
    <w:rsid w:val="00BB4DEA"/>
    <w:rsid w:val="00BC331C"/>
    <w:rsid w:val="00BD6A8D"/>
    <w:rsid w:val="00BD7F3C"/>
    <w:rsid w:val="00BF6B85"/>
    <w:rsid w:val="00C1474D"/>
    <w:rsid w:val="00C37EB0"/>
    <w:rsid w:val="00C40797"/>
    <w:rsid w:val="00C4458E"/>
    <w:rsid w:val="00C7592A"/>
    <w:rsid w:val="00CD5347"/>
    <w:rsid w:val="00CD79E8"/>
    <w:rsid w:val="00CE5876"/>
    <w:rsid w:val="00D15B38"/>
    <w:rsid w:val="00D21BC9"/>
    <w:rsid w:val="00D75D7D"/>
    <w:rsid w:val="00D763CC"/>
    <w:rsid w:val="00D8312A"/>
    <w:rsid w:val="00DA11CB"/>
    <w:rsid w:val="00DB7B46"/>
    <w:rsid w:val="00DC2A51"/>
    <w:rsid w:val="00DD3108"/>
    <w:rsid w:val="00DD4F9F"/>
    <w:rsid w:val="00DF68E6"/>
    <w:rsid w:val="00E15F89"/>
    <w:rsid w:val="00E373F1"/>
    <w:rsid w:val="00E4535E"/>
    <w:rsid w:val="00E45512"/>
    <w:rsid w:val="00E577FE"/>
    <w:rsid w:val="00E77746"/>
    <w:rsid w:val="00EA3128"/>
    <w:rsid w:val="00EB2A3E"/>
    <w:rsid w:val="00EB4DBF"/>
    <w:rsid w:val="00EB7374"/>
    <w:rsid w:val="00F033CF"/>
    <w:rsid w:val="00F0430D"/>
    <w:rsid w:val="00F05415"/>
    <w:rsid w:val="00F12F9A"/>
    <w:rsid w:val="00F31803"/>
    <w:rsid w:val="00F37C2A"/>
    <w:rsid w:val="00F47750"/>
    <w:rsid w:val="00F74F75"/>
    <w:rsid w:val="00F92B2F"/>
    <w:rsid w:val="00F92F31"/>
    <w:rsid w:val="00F97AC4"/>
    <w:rsid w:val="00FA0C32"/>
    <w:rsid w:val="00FD73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F4ED6A"/>
  <w15:docId w15:val="{AFA74232-C0EA-4898-95D9-A8ADF97A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60BBC"/>
    <w:pPr>
      <w:numPr>
        <w:numId w:val="1"/>
      </w:numPr>
      <w:contextualSpacing/>
    </w:pPr>
  </w:style>
  <w:style w:type="paragraph" w:styleId="ListBullet2">
    <w:name w:val="List Bullet 2"/>
    <w:basedOn w:val="Normal"/>
    <w:uiPriority w:val="99"/>
    <w:semiHidden/>
    <w:unhideWhenUsed/>
    <w:rsid w:val="00260BBC"/>
    <w:pPr>
      <w:numPr>
        <w:numId w:val="2"/>
      </w:numPr>
      <w:contextualSpacing/>
    </w:pPr>
  </w:style>
  <w:style w:type="paragraph" w:styleId="ListBullet3">
    <w:name w:val="List Bullet 3"/>
    <w:basedOn w:val="Normal"/>
    <w:uiPriority w:val="99"/>
    <w:semiHidden/>
    <w:unhideWhenUsed/>
    <w:rsid w:val="00260BBC"/>
    <w:pPr>
      <w:numPr>
        <w:numId w:val="3"/>
      </w:numPr>
      <w:contextualSpacing/>
    </w:pPr>
  </w:style>
  <w:style w:type="paragraph" w:styleId="ListBullet4">
    <w:name w:val="List Bullet 4"/>
    <w:basedOn w:val="Normal"/>
    <w:uiPriority w:val="99"/>
    <w:semiHidden/>
    <w:unhideWhenUsed/>
    <w:rsid w:val="00260BBC"/>
    <w:pPr>
      <w:numPr>
        <w:numId w:val="4"/>
      </w:numPr>
      <w:contextualSpacing/>
    </w:pPr>
  </w:style>
  <w:style w:type="character" w:styleId="CommentReference">
    <w:name w:val="annotation reference"/>
    <w:basedOn w:val="DefaultParagraphFont"/>
    <w:uiPriority w:val="99"/>
    <w:semiHidden/>
    <w:unhideWhenUsed/>
    <w:rsid w:val="000E3338"/>
    <w:rPr>
      <w:sz w:val="16"/>
      <w:szCs w:val="16"/>
    </w:rPr>
  </w:style>
  <w:style w:type="paragraph" w:styleId="CommentText">
    <w:name w:val="annotation text"/>
    <w:basedOn w:val="Normal"/>
    <w:link w:val="CommentTextChar"/>
    <w:uiPriority w:val="99"/>
    <w:semiHidden/>
    <w:unhideWhenUsed/>
    <w:rsid w:val="000E3338"/>
    <w:rPr>
      <w:sz w:val="20"/>
      <w:szCs w:val="20"/>
    </w:rPr>
  </w:style>
  <w:style w:type="character" w:customStyle="1" w:styleId="CommentTextChar">
    <w:name w:val="Comment Text Char"/>
    <w:basedOn w:val="DefaultParagraphFont"/>
    <w:link w:val="CommentText"/>
    <w:uiPriority w:val="99"/>
    <w:semiHidden/>
    <w:rsid w:val="000E333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E3338"/>
    <w:rPr>
      <w:b/>
      <w:bCs/>
    </w:rPr>
  </w:style>
  <w:style w:type="character" w:customStyle="1" w:styleId="CommentSubjectChar">
    <w:name w:val="Comment Subject Char"/>
    <w:basedOn w:val="CommentTextChar"/>
    <w:link w:val="CommentSubject"/>
    <w:uiPriority w:val="99"/>
    <w:semiHidden/>
    <w:rsid w:val="000E3338"/>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0E333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338"/>
    <w:rPr>
      <w:rFonts w:ascii="Segoe UI" w:hAnsi="Segoe UI" w:cs="Segoe UI"/>
      <w:sz w:val="18"/>
      <w:szCs w:val="18"/>
      <w:lang w:val="fr-FR"/>
    </w:rPr>
  </w:style>
  <w:style w:type="paragraph" w:styleId="Caption">
    <w:name w:val="caption"/>
    <w:basedOn w:val="Normal"/>
    <w:next w:val="Normal"/>
    <w:uiPriority w:val="35"/>
    <w:semiHidden/>
    <w:unhideWhenUsed/>
    <w:qFormat/>
    <w:rsid w:val="00F92F31"/>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92F31"/>
    <w:pPr>
      <w:spacing w:after="0"/>
    </w:pPr>
  </w:style>
  <w:style w:type="paragraph" w:styleId="ListNumber">
    <w:name w:val="List Number"/>
    <w:basedOn w:val="Normal"/>
    <w:uiPriority w:val="99"/>
    <w:semiHidden/>
    <w:unhideWhenUsed/>
    <w:rsid w:val="00F92F31"/>
    <w:pPr>
      <w:numPr>
        <w:numId w:val="5"/>
      </w:numPr>
      <w:contextualSpacing/>
    </w:pPr>
  </w:style>
  <w:style w:type="paragraph" w:styleId="ListNumber2">
    <w:name w:val="List Number 2"/>
    <w:basedOn w:val="Normal"/>
    <w:uiPriority w:val="99"/>
    <w:semiHidden/>
    <w:unhideWhenUsed/>
    <w:rsid w:val="00F92F31"/>
    <w:pPr>
      <w:numPr>
        <w:numId w:val="6"/>
      </w:numPr>
      <w:contextualSpacing/>
    </w:pPr>
  </w:style>
  <w:style w:type="paragraph" w:styleId="ListNumber3">
    <w:name w:val="List Number 3"/>
    <w:basedOn w:val="Normal"/>
    <w:uiPriority w:val="99"/>
    <w:semiHidden/>
    <w:unhideWhenUsed/>
    <w:rsid w:val="00F92F31"/>
    <w:pPr>
      <w:numPr>
        <w:numId w:val="7"/>
      </w:numPr>
      <w:contextualSpacing/>
    </w:pPr>
  </w:style>
  <w:style w:type="paragraph" w:styleId="ListNumber4">
    <w:name w:val="List Number 4"/>
    <w:basedOn w:val="Normal"/>
    <w:uiPriority w:val="99"/>
    <w:semiHidden/>
    <w:unhideWhenUsed/>
    <w:rsid w:val="00F92F31"/>
    <w:pPr>
      <w:numPr>
        <w:numId w:val="8"/>
      </w:numPr>
      <w:contextualSpacing/>
    </w:pPr>
  </w:style>
  <w:style w:type="paragraph" w:styleId="Revision">
    <w:name w:val="Revision"/>
    <w:hidden/>
    <w:uiPriority w:val="99"/>
    <w:semiHidden/>
    <w:rsid w:val="001F126B"/>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8E3F36"/>
    <w:rPr>
      <w:color w:val="0000FF" w:themeColor="hyperlink"/>
      <w:u w:val="single"/>
    </w:rPr>
  </w:style>
  <w:style w:type="character" w:customStyle="1" w:styleId="UnresolvedMention">
    <w:name w:val="Unresolved Mention"/>
    <w:basedOn w:val="DefaultParagraphFont"/>
    <w:uiPriority w:val="99"/>
    <w:semiHidden/>
    <w:unhideWhenUsed/>
    <w:rsid w:val="008E3F36"/>
    <w:rPr>
      <w:color w:val="605E5C"/>
      <w:shd w:val="clear" w:color="auto" w:fill="E1DFDD"/>
    </w:rPr>
  </w:style>
  <w:style w:type="character" w:customStyle="1" w:styleId="HeaderChar">
    <w:name w:val="Header Char"/>
    <w:basedOn w:val="DefaultParagraphFont"/>
    <w:link w:val="Header"/>
    <w:uiPriority w:val="99"/>
    <w:rsid w:val="004D4262"/>
    <w:rPr>
      <w:rFonts w:ascii="Times New Roman" w:hAnsi="Times New Roman" w:cs="Times New Roman"/>
      <w:sz w:val="24"/>
      <w:lang w:val="fr-FR"/>
    </w:rPr>
  </w:style>
  <w:style w:type="character" w:customStyle="1" w:styleId="FooterChar">
    <w:name w:val="Footer Char"/>
    <w:basedOn w:val="DefaultParagraphFont"/>
    <w:link w:val="Footer"/>
    <w:uiPriority w:val="99"/>
    <w:rsid w:val="004D426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D42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D4262"/>
    <w:pPr>
      <w:spacing w:before="0"/>
      <w:jc w:val="right"/>
    </w:pPr>
    <w:rPr>
      <w:sz w:val="28"/>
    </w:rPr>
  </w:style>
  <w:style w:type="paragraph" w:customStyle="1" w:styleId="FooterSensitivity">
    <w:name w:val="Footer Sensitivity"/>
    <w:basedOn w:val="Normal"/>
    <w:rsid w:val="004D42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D4262"/>
    <w:pPr>
      <w:tabs>
        <w:tab w:val="center" w:pos="4535"/>
        <w:tab w:val="right" w:pos="9071"/>
      </w:tabs>
      <w:spacing w:before="0"/>
    </w:pPr>
  </w:style>
  <w:style w:type="paragraph" w:customStyle="1" w:styleId="HeaderLandscape">
    <w:name w:val="HeaderLandscape"/>
    <w:basedOn w:val="Normal"/>
    <w:rsid w:val="004D4262"/>
    <w:pPr>
      <w:tabs>
        <w:tab w:val="center" w:pos="7285"/>
        <w:tab w:val="right" w:pos="14003"/>
      </w:tabs>
      <w:spacing w:before="0"/>
    </w:pPr>
  </w:style>
  <w:style w:type="paragraph" w:styleId="Footer">
    <w:name w:val="footer"/>
    <w:basedOn w:val="Normal"/>
    <w:link w:val="FooterChar"/>
    <w:uiPriority w:val="99"/>
    <w:unhideWhenUsed/>
    <w:rsid w:val="004D426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D426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Props1.xml><?xml version="1.0" encoding="utf-8"?>
<ds:datastoreItem xmlns:ds="http://schemas.openxmlformats.org/officeDocument/2006/customXml" ds:itemID="{2515D806-7FBA-435D-B078-80FDAC0CC8C4}">
  <ds:schemaRefs>
    <ds:schemaRef ds:uri="http://schemas.microsoft.com/sharepoint/v3/contenttype/forms"/>
  </ds:schemaRefs>
</ds:datastoreItem>
</file>

<file path=customXml/itemProps2.xml><?xml version="1.0" encoding="utf-8"?>
<ds:datastoreItem xmlns:ds="http://schemas.openxmlformats.org/officeDocument/2006/customXml" ds:itemID="{E0D66627-4387-4424-B7F6-35856C51E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72B55-00A7-43D2-9958-560D932FC169}">
  <ds:schemaRefs>
    <ds:schemaRef ds:uri="http://schemas.microsoft.com/office/2006/metadata/properties"/>
    <ds:schemaRef ds:uri="http://schemas.microsoft.com/office/infopath/2007/PartnerControls"/>
    <ds:schemaRef ds:uri="144c03d0-0f03-451f-9d46-5279004462a4"/>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ANNEX.dotm</Template>
  <TotalTime>24</TotalTime>
  <Pages>2</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2025-11-20T16:38:00Z</dcterms:created>
  <dcterms:modified xsi:type="dcterms:W3CDTF">2026-01-16T11:45:00Z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2024-02-19T10:34:28Z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842a41c9-e281-4050-a35a-eedc963326bf</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Green (DQC version 03)</vt:lpwstr>
  </property>
</Properties>
</file>