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C03" w:rsidRPr="00D31655" w:rsidRDefault="00844738" w:rsidP="00844738">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3E7417E-5433-4D2B-B88F-4CAC54F3D175" style="width:455.25pt;height:384.75pt">
            <v:imagedata r:id="rId11" o:title=""/>
          </v:shape>
        </w:pict>
      </w:r>
    </w:p>
    <w:p w:rsidR="00717C03" w:rsidRPr="00D31655" w:rsidRDefault="00717C03" w:rsidP="00717C03">
      <w:pPr>
        <w:rPr>
          <w:noProof/>
        </w:rPr>
        <w:sectPr w:rsidR="00717C03" w:rsidRPr="00D31655" w:rsidSect="00844738">
          <w:footerReference w:type="even" r:id="rId12"/>
          <w:footerReference w:type="default" r:id="rId13"/>
          <w:pgSz w:w="11907" w:h="16839"/>
          <w:pgMar w:top="1134" w:right="1417" w:bottom="1134" w:left="1417" w:header="709" w:footer="709" w:gutter="0"/>
          <w:pgNumType w:start="0"/>
          <w:cols w:space="720"/>
          <w:docGrid w:linePitch="360"/>
        </w:sectPr>
      </w:pPr>
    </w:p>
    <w:p w:rsidR="00717C03" w:rsidRPr="00D31655" w:rsidRDefault="00717C03" w:rsidP="00C92807">
      <w:pPr>
        <w:pStyle w:val="Exposdesmotifstitre"/>
        <w:rPr>
          <w:noProof/>
        </w:rPr>
      </w:pPr>
      <w:bookmarkStart w:id="0" w:name="_GoBack"/>
      <w:bookmarkEnd w:id="0"/>
      <w:r w:rsidRPr="00D31655">
        <w:rPr>
          <w:noProof/>
        </w:rPr>
        <w:lastRenderedPageBreak/>
        <w:t>EXPUNERE DE MOTIVE</w:t>
      </w:r>
    </w:p>
    <w:p w:rsidR="00717C03" w:rsidRPr="00D31655" w:rsidRDefault="008A7A44" w:rsidP="008A7A44">
      <w:pPr>
        <w:pStyle w:val="ManualHeading1"/>
        <w:rPr>
          <w:rFonts w:eastAsia="Arial Unicode MS"/>
          <w:noProof/>
        </w:rPr>
      </w:pPr>
      <w:r w:rsidRPr="008A7A44">
        <w:rPr>
          <w:noProof/>
        </w:rPr>
        <w:t>1.</w:t>
      </w:r>
      <w:r w:rsidRPr="008A7A44">
        <w:rPr>
          <w:noProof/>
        </w:rPr>
        <w:tab/>
      </w:r>
      <w:r w:rsidR="00717C03" w:rsidRPr="00D31655">
        <w:rPr>
          <w:noProof/>
        </w:rPr>
        <w:t>Obiectul propunerii</w:t>
      </w:r>
    </w:p>
    <w:p w:rsidR="00717C03" w:rsidRPr="00D31655" w:rsidRDefault="002C193B" w:rsidP="00C92807">
      <w:pPr>
        <w:rPr>
          <w:rFonts w:eastAsia="Arial Unicode MS"/>
          <w:noProof/>
        </w:rPr>
      </w:pPr>
      <w:r w:rsidRPr="00D31655">
        <w:rPr>
          <w:noProof/>
        </w:rPr>
        <w:t>Prezenta propunere vizează decizia de stabilire a poziției care trebuie adoptată în numele Uniunii în cadrul Consiliului membrilor Consiliului Oleicol Internațional („IOC”) în ceea ce privește adoptarea preconizată prin schimb de corespondență a două decizii: o revizuire a standardului comercial pentru uleiul de măsline și uleiul din resturi de măsline și o nouă metodă IOC pentru determinarea indicelui de peroxid în uleiurile de măsline și în uleiurile din resturi de măsline.</w:t>
      </w:r>
    </w:p>
    <w:p w:rsidR="00717C03" w:rsidRPr="00D31655" w:rsidRDefault="008A7A44" w:rsidP="008A7A44">
      <w:pPr>
        <w:pStyle w:val="ManualHeading1"/>
        <w:rPr>
          <w:noProof/>
        </w:rPr>
      </w:pPr>
      <w:r w:rsidRPr="008A7A44">
        <w:rPr>
          <w:noProof/>
        </w:rPr>
        <w:t>2.</w:t>
      </w:r>
      <w:r w:rsidRPr="008A7A44">
        <w:rPr>
          <w:noProof/>
        </w:rPr>
        <w:tab/>
      </w:r>
      <w:r w:rsidR="00717C03" w:rsidRPr="00D31655">
        <w:rPr>
          <w:noProof/>
        </w:rPr>
        <w:t>Contextul propunerii</w:t>
      </w:r>
    </w:p>
    <w:p w:rsidR="00717C03" w:rsidRPr="00D31655" w:rsidRDefault="008A7A44" w:rsidP="008A7A44">
      <w:pPr>
        <w:pStyle w:val="ManualHeading2"/>
        <w:rPr>
          <w:noProof/>
        </w:rPr>
      </w:pPr>
      <w:r w:rsidRPr="008A7A44">
        <w:rPr>
          <w:noProof/>
        </w:rPr>
        <w:t>2.1.</w:t>
      </w:r>
      <w:r w:rsidRPr="008A7A44">
        <w:rPr>
          <w:noProof/>
        </w:rPr>
        <w:tab/>
      </w:r>
      <w:r w:rsidR="00717C03" w:rsidRPr="00D31655">
        <w:rPr>
          <w:noProof/>
        </w:rPr>
        <w:t>Acordul internațional din 2015 cu privire la uleiul de măsline și măslinele de masă</w:t>
      </w:r>
    </w:p>
    <w:p w:rsidR="002C193B" w:rsidRPr="00D31655" w:rsidRDefault="002C193B" w:rsidP="002C193B">
      <w:pPr>
        <w:rPr>
          <w:rFonts w:eastAsia="Arial Unicode MS"/>
          <w:noProof/>
        </w:rPr>
      </w:pPr>
      <w:r w:rsidRPr="00D31655">
        <w:rPr>
          <w:noProof/>
        </w:rPr>
        <w:t>Acordul internațional din 2015 cu privire la uleiul de măsline și măslinele de masă („acordul”) vizează (i) luarea de măsuri în vederea uniformizării legislațiilor naționale și internaționale privind caracteristicile fizico-chimice și organoleptice ale uleiurilor de măsline, ale uleiurilor din resturi de măsline și ale măslinelor de masă, pentru a elimina orice obstacol din calea schimburilor comerciale, (ii) desfășurarea de activități în materie de analiză fizico-chimică și organoleptică pentru a îmbunătăți cunoașterea caracteristicilor referitoare la compoziția și la calitatea produselor oleicole, cu scopul de a consolida standardele internaționale și (iii) consolidarea rolului Consiliului Oleicol Internațional în calitate de forum de excelență pentru comunitatea științifică internațională din sectorul măslinelor și al uleiului de măsline.</w:t>
      </w:r>
    </w:p>
    <w:p w:rsidR="002C193B" w:rsidRPr="00D31655" w:rsidRDefault="002C193B" w:rsidP="002C193B">
      <w:pPr>
        <w:rPr>
          <w:rFonts w:eastAsia="Arial Unicode MS"/>
          <w:noProof/>
        </w:rPr>
      </w:pPr>
      <w:r w:rsidRPr="00D31655">
        <w:rPr>
          <w:noProof/>
        </w:rPr>
        <w:t>Versiunea reînnoită a acordului a intrat în vigoare la 1 ianuarie 2017.</w:t>
      </w:r>
    </w:p>
    <w:p w:rsidR="00717C03" w:rsidRPr="00D31655" w:rsidRDefault="002C193B" w:rsidP="00C33A39">
      <w:pPr>
        <w:rPr>
          <w:rFonts w:eastAsia="Arial Unicode MS"/>
          <w:noProof/>
        </w:rPr>
      </w:pPr>
      <w:r w:rsidRPr="00D31655">
        <w:rPr>
          <w:noProof/>
        </w:rPr>
        <w:t>Uniunea Europeană este parte la acord.</w:t>
      </w:r>
      <w:r w:rsidRPr="00D31655">
        <w:rPr>
          <w:rStyle w:val="FootnoteReference"/>
          <w:noProof/>
        </w:rPr>
        <w:footnoteReference w:id="2"/>
      </w:r>
    </w:p>
    <w:p w:rsidR="00717C03" w:rsidRPr="00D31655" w:rsidRDefault="008A7A44" w:rsidP="008A7A44">
      <w:pPr>
        <w:pStyle w:val="ManualHeading2"/>
        <w:rPr>
          <w:noProof/>
        </w:rPr>
      </w:pPr>
      <w:r w:rsidRPr="008A7A44">
        <w:rPr>
          <w:noProof/>
        </w:rPr>
        <w:t>2.2.</w:t>
      </w:r>
      <w:r w:rsidRPr="008A7A44">
        <w:rPr>
          <w:noProof/>
        </w:rPr>
        <w:tab/>
      </w:r>
      <w:r w:rsidR="00717C03" w:rsidRPr="00D31655">
        <w:rPr>
          <w:noProof/>
        </w:rPr>
        <w:t>Consiliul membrilor</w:t>
      </w:r>
    </w:p>
    <w:p w:rsidR="002C193B" w:rsidRPr="00D31655" w:rsidRDefault="002C193B" w:rsidP="002C193B">
      <w:pPr>
        <w:rPr>
          <w:noProof/>
        </w:rPr>
      </w:pPr>
      <w:r w:rsidRPr="00D31655">
        <w:rPr>
          <w:noProof/>
        </w:rPr>
        <w:t>Consiliul membrilor Consiliului Oleicol Internațional („Consiliul membrilor”) este autoritatea supremă și organul decizional al IOC și exercită toate competențele și îndeplinește toate funcțiile necesare pentru atingerea obiectivelor acordului menționat. Ca parte la acord, Uniunea Europeană este membră a IOC și este reprezentată în Consiliul membrilor. Deciziile Consiliului membrilor se iau prin consens. În cazul în care nu se poate ajunge la un consens, deciziile referitoare la standardul comercial și la metode se adoptă dacă nu sunt respinse de cel puțin un sfert dintre membri sau de unul sau mai mulți membri care dețin în total cel puțin 100 de cote-părți de participare.</w:t>
      </w:r>
    </w:p>
    <w:p w:rsidR="00717C03" w:rsidRPr="00D31655" w:rsidRDefault="002C193B" w:rsidP="002C193B">
      <w:pPr>
        <w:rPr>
          <w:rFonts w:eastAsia="Arial Unicode MS"/>
          <w:noProof/>
        </w:rPr>
      </w:pPr>
      <w:r w:rsidRPr="00D31655">
        <w:rPr>
          <w:noProof/>
        </w:rPr>
        <w:t>În prezent, IOC are 21 de membri, iar Uniunea Europeană deține 647 de cote-părți de participare dintr-un total de 1 000.</w:t>
      </w:r>
    </w:p>
    <w:p w:rsidR="00717C03" w:rsidRPr="00D31655" w:rsidRDefault="008A7A44" w:rsidP="008A7A44">
      <w:pPr>
        <w:pStyle w:val="ManualHeading2"/>
        <w:rPr>
          <w:noProof/>
        </w:rPr>
      </w:pPr>
      <w:r w:rsidRPr="008A7A44">
        <w:rPr>
          <w:noProof/>
        </w:rPr>
        <w:t>2.3.</w:t>
      </w:r>
      <w:r w:rsidRPr="008A7A44">
        <w:rPr>
          <w:noProof/>
        </w:rPr>
        <w:tab/>
      </w:r>
      <w:r w:rsidR="00717C03" w:rsidRPr="00D31655">
        <w:rPr>
          <w:noProof/>
        </w:rPr>
        <w:t>Actul avut în vedere al Consiliului membrilor</w:t>
      </w:r>
    </w:p>
    <w:p w:rsidR="002C193B" w:rsidRPr="00D31655" w:rsidRDefault="002C193B" w:rsidP="008D01CE">
      <w:pPr>
        <w:rPr>
          <w:rFonts w:eastAsia="Arial Unicode MS"/>
          <w:noProof/>
        </w:rPr>
      </w:pPr>
      <w:r w:rsidRPr="00D31655">
        <w:rPr>
          <w:noProof/>
        </w:rPr>
        <w:t>În noiembrie 2025, secretariatul executiv al IOC a prezentat membrilor săi textele a două decizii privind chimia și standardizarea și a precizat că intenționează să le prezinte spre adoptare prin schimb de corespondență. O decizie modifică standardul comercial al IOC pentru uleiul de măsline și uleiul din resturi de măsline (COI/T.15/NC Nr. 3/Rev. 22) prin adăugarea soiului Coratina la nota de subsol privind conținutul total de steroli din unele uleiuri de măsline extravirgine dintr-un singur soi și adoptă versiunea revizuită a acesteia. Cealaltă decizie aprobă o nouă metodă de determinare a indicelui de peroxid în uleiurile de măsline și în uleiurile din resturi de măsline.</w:t>
      </w:r>
    </w:p>
    <w:p w:rsidR="002C193B" w:rsidRPr="00D31655" w:rsidRDefault="002C193B" w:rsidP="002C193B">
      <w:pPr>
        <w:rPr>
          <w:rFonts w:eastAsia="Arial Unicode MS"/>
          <w:noProof/>
        </w:rPr>
      </w:pPr>
      <w:r w:rsidRPr="00D31655">
        <w:rPr>
          <w:noProof/>
        </w:rPr>
        <w:t>Documentul de lucru al serviciilor Comisiei care însoțește prezenta propunere include textul revizuit al standardului comercial și al noii metode, astfel cum a fost prezentat de către secretariatul executiv.</w:t>
      </w:r>
    </w:p>
    <w:p w:rsidR="004C16EE" w:rsidRPr="00D31655" w:rsidRDefault="002C193B" w:rsidP="004C16EE">
      <w:pPr>
        <w:rPr>
          <w:rFonts w:eastAsia="Arial Unicode MS"/>
          <w:noProof/>
        </w:rPr>
      </w:pPr>
      <w:r w:rsidRPr="00D31655">
        <w:rPr>
          <w:noProof/>
        </w:rPr>
        <w:t>În conformitate cu articolul 20 alineatul (3) din acord, criteriile de calitate și de puritate incluse în standardul comercial menționat mai sus, adoptat de către Consiliul membrilor, sunt aplicabile comerțului internațional desfășurat de membri. Mai mult, în conformitate cu articolul 75 alineatul (5) litera (e) din Regulamentul (UE) nr. 1308/2013 al Parlamentului European și al Consiliului</w:t>
      </w:r>
      <w:r w:rsidRPr="00D31655">
        <w:rPr>
          <w:rStyle w:val="FootnoteReference"/>
          <w:noProof/>
        </w:rPr>
        <w:footnoteReference w:id="3"/>
      </w:r>
      <w:r w:rsidRPr="00D31655">
        <w:rPr>
          <w:noProof/>
        </w:rPr>
        <w:t>, standardele de comercializare trebuie să ia în considerare recomandările standard adoptate de către organismele internaționale. Prin urmare, decizia privind revizuirea standardului comercial pentru uleiul de măsline și uleiul din resturi de măsline va afecta legislația UE, și anume Regulamentul delegat (UE) 2022/2104 al Comisiei din 29 iulie 2022 de completare a Regulamentului (UE) nr. 1308/2013 al Parlamentului European și al Consiliului în ceea ce privește standardele de comercializare pentru uleiul de măsline și de abrogare a Regulamentului (CEE) nr. 2568/91 al Comisiei și al Regulamentului de punere în aplicare (UE) nr. 29/2012 al Comisiei</w:t>
      </w:r>
      <w:r w:rsidRPr="00D31655">
        <w:rPr>
          <w:rStyle w:val="FootnoteReference"/>
          <w:noProof/>
        </w:rPr>
        <w:footnoteReference w:id="4"/>
      </w:r>
      <w:r w:rsidRPr="00D31655">
        <w:rPr>
          <w:noProof/>
        </w:rPr>
        <w:t>. Noua metodă de determinare a indicelui de peroxid prezintă o alternativă mai sigură la metoda inclusă în prezent în standardul comercial al IOC (COI/T.20/Doc. nr. 35). Prin urmare, metoda trebuie să fie permisă ca alternativă și pentru controalele privind conformitatea în UE. Această situație va presupune modificarea Regulamentului de punere în aplicare (UE) 2022/2105 al Comisiei din 29 iulie 2022 de stabilire a normelor privind controalele de conformitate aplicate standardelor de comercializare pentru uleiul de măsline și metodele de analiză a caracteristicilor uleiului de măsline</w:t>
      </w:r>
      <w:r w:rsidRPr="00D31655">
        <w:rPr>
          <w:rStyle w:val="FootnoteReference"/>
          <w:rFonts w:eastAsia="Arial Unicode MS"/>
          <w:noProof/>
        </w:rPr>
        <w:footnoteReference w:id="5"/>
      </w:r>
      <w:r w:rsidRPr="00D31655">
        <w:rPr>
          <w:noProof/>
        </w:rPr>
        <w:t>.</w:t>
      </w:r>
    </w:p>
    <w:p w:rsidR="00717C03" w:rsidRPr="00D31655" w:rsidRDefault="00CE4698" w:rsidP="002C193B">
      <w:pPr>
        <w:rPr>
          <w:rFonts w:eastAsia="Arial Unicode MS"/>
          <w:noProof/>
        </w:rPr>
      </w:pPr>
      <w:r w:rsidRPr="00D31655">
        <w:rPr>
          <w:noProof/>
        </w:rPr>
        <w:t>Poziția detaliată în prezenta decizie este prevăzută a fi adoptată în numele Uniunii în cadrul unei proceduri de adoptare de către Consiliul membrilor prin schimb de corespondență, în temeiul articolului 10 alineatul (6) din acord, înainte de următoarea sa sesiune ordinară din iunie 2026.</w:t>
      </w:r>
    </w:p>
    <w:p w:rsidR="00717C03" w:rsidRPr="00D31655" w:rsidRDefault="008A7A44" w:rsidP="008A7A44">
      <w:pPr>
        <w:pStyle w:val="ManualHeading1"/>
        <w:rPr>
          <w:rFonts w:eastAsia="Arial Unicode MS"/>
          <w:noProof/>
        </w:rPr>
      </w:pPr>
      <w:r w:rsidRPr="008A7A44">
        <w:rPr>
          <w:noProof/>
        </w:rPr>
        <w:t>3.</w:t>
      </w:r>
      <w:r w:rsidRPr="008A7A44">
        <w:rPr>
          <w:noProof/>
        </w:rPr>
        <w:tab/>
      </w:r>
      <w:r w:rsidR="00717C03" w:rsidRPr="00D31655">
        <w:rPr>
          <w:noProof/>
        </w:rPr>
        <w:t>Poziția care trebuie adoptată în numele Uniunii Europene</w:t>
      </w:r>
    </w:p>
    <w:p w:rsidR="008A3A9B" w:rsidRPr="00D31655" w:rsidRDefault="008D01CE" w:rsidP="009823D8">
      <w:pPr>
        <w:rPr>
          <w:rFonts w:eastAsia="Arial Unicode MS"/>
          <w:noProof/>
        </w:rPr>
      </w:pPr>
      <w:r w:rsidRPr="00D31655">
        <w:rPr>
          <w:noProof/>
        </w:rPr>
        <w:t>Decizia care trebuie adoptată de către Consiliul membrilor va modifica standardul comercial COI/T.15/NC Nr. 3 aplicabil uleiurilor de măsline și uleiurilor din resturi de măsline, prin:</w:t>
      </w:r>
    </w:p>
    <w:p w:rsidR="008A3A9B" w:rsidRPr="00D31655" w:rsidRDefault="009823D8" w:rsidP="00BA7EDA">
      <w:pPr>
        <w:pStyle w:val="Tiret0"/>
        <w:numPr>
          <w:ilvl w:val="0"/>
          <w:numId w:val="19"/>
        </w:numPr>
        <w:rPr>
          <w:noProof/>
        </w:rPr>
      </w:pPr>
      <w:r w:rsidRPr="00D31655">
        <w:rPr>
          <w:noProof/>
        </w:rPr>
        <w:t>revizuirea unei note de subsol privind conținutul total de steroli din unele uleiuri de măsline extravirgine dintr-un singur soi prin adăugarea soiului Coratina la soiurile</w:t>
      </w:r>
      <w:r w:rsidR="00B872A2">
        <w:rPr>
          <w:noProof/>
        </w:rPr>
        <w:t xml:space="preserve"> </w:t>
      </w:r>
      <w:bookmarkStart w:id="1" w:name="_Hlk193724035"/>
      <w:bookmarkStart w:id="2" w:name="_Hlk190787760"/>
      <w:r w:rsidRPr="00D31655">
        <w:rPr>
          <w:noProof/>
        </w:rPr>
        <w:t>Koroneiki și Nocellara del Belice</w:t>
      </w:r>
      <w:bookmarkEnd w:id="1"/>
      <w:bookmarkEnd w:id="2"/>
      <w:r w:rsidRPr="00D31655">
        <w:rPr>
          <w:noProof/>
        </w:rPr>
        <w:t xml:space="preserve"> și limitarea aplicării notei de subsol la sfârșitul anului agricol 2026/27;</w:t>
      </w:r>
    </w:p>
    <w:p w:rsidR="008D01CE" w:rsidRPr="00D31655" w:rsidRDefault="008A3A9B" w:rsidP="008A3A9B">
      <w:pPr>
        <w:pStyle w:val="Tiret0"/>
        <w:rPr>
          <w:rFonts w:eastAsia="Arial Unicode MS"/>
          <w:noProof/>
        </w:rPr>
      </w:pPr>
      <w:r w:rsidRPr="00D31655">
        <w:rPr>
          <w:noProof/>
        </w:rPr>
        <w:t>adăugarea noii metode de determinare a indicelui de peroxid.</w:t>
      </w:r>
    </w:p>
    <w:p w:rsidR="009823D8" w:rsidRPr="00D31655" w:rsidRDefault="009823D8" w:rsidP="009823D8">
      <w:pPr>
        <w:rPr>
          <w:rFonts w:eastAsia="Arial Unicode MS"/>
          <w:noProof/>
        </w:rPr>
      </w:pPr>
      <w:r w:rsidRPr="00D31655">
        <w:rPr>
          <w:noProof/>
        </w:rPr>
        <w:t>Decizia de aprobare a unei noi metode de analiză (COI/T.20/Doc. nr. 38) oferă o alternativă mai sigură la metoda actuală a IOC (COI/T.20/Doc. nr. 35) de determinare a indicelui de peroxid în uleiurile de măsline și uleiurile din resturi de măsline.</w:t>
      </w:r>
    </w:p>
    <w:p w:rsidR="008D01CE" w:rsidRPr="00D31655" w:rsidRDefault="008D01CE" w:rsidP="008D01CE">
      <w:pPr>
        <w:rPr>
          <w:rFonts w:eastAsia="Arial Unicode MS"/>
          <w:noProof/>
        </w:rPr>
      </w:pPr>
      <w:r w:rsidRPr="00D31655">
        <w:rPr>
          <w:noProof/>
        </w:rPr>
        <w:t>Deciziile menționate mai sus au fost discutate de experții științifici și tehnici ai Comisiei și din statele membre din domeniul uleiului de măsline. Aceste decizii contribuie la armonizarea la nivel internațional a standardelor privind uleiul de măsline și va institui un cadru care va asigura concurența loială în comerțul cu ulei de măsline. Prin urmare, este necesar ca deciziile în cauză să fie sprijinite.</w:t>
      </w:r>
    </w:p>
    <w:p w:rsidR="008D01CE" w:rsidRPr="00D31655" w:rsidRDefault="008D01CE" w:rsidP="008D01CE">
      <w:pPr>
        <w:rPr>
          <w:rFonts w:eastAsia="Arial Unicode MS"/>
          <w:noProof/>
        </w:rPr>
      </w:pPr>
      <w:r w:rsidRPr="00D31655">
        <w:rPr>
          <w:noProof/>
        </w:rPr>
        <w:t>Deciziile menționate mai sus corespund obiectivelor de politică ale Uniunii în ceea ce privește standardele de comercializare a produselor agricole prevăzute în partea II titlul II din Regulamentul (UE) nr. 1308/2013 al Parlamentului European și al Consiliului.</w:t>
      </w:r>
    </w:p>
    <w:p w:rsidR="00717C03" w:rsidRPr="00D31655" w:rsidRDefault="006312DA" w:rsidP="008D01CE">
      <w:pPr>
        <w:rPr>
          <w:rFonts w:eastAsia="Arial Unicode MS"/>
          <w:noProof/>
        </w:rPr>
      </w:pPr>
      <w:r w:rsidRPr="00D31655">
        <w:rPr>
          <w:noProof/>
        </w:rPr>
        <w:t>Poziția Uniunii este necesară pentru adoptarea deciziilor prevăzute în anexă.</w:t>
      </w:r>
    </w:p>
    <w:p w:rsidR="00717C03" w:rsidRPr="00D31655" w:rsidRDefault="008A7A44" w:rsidP="008A7A44">
      <w:pPr>
        <w:pStyle w:val="ManualHeading1"/>
        <w:rPr>
          <w:noProof/>
        </w:rPr>
      </w:pPr>
      <w:r w:rsidRPr="008A7A44">
        <w:rPr>
          <w:noProof/>
        </w:rPr>
        <w:t>4.</w:t>
      </w:r>
      <w:r w:rsidRPr="008A7A44">
        <w:rPr>
          <w:noProof/>
        </w:rPr>
        <w:tab/>
      </w:r>
      <w:r w:rsidR="00717C03" w:rsidRPr="00D31655">
        <w:rPr>
          <w:noProof/>
        </w:rPr>
        <w:t>Temeiul juridic</w:t>
      </w:r>
    </w:p>
    <w:p w:rsidR="00717C03" w:rsidRPr="00D31655" w:rsidRDefault="008A7A44" w:rsidP="008A7A44">
      <w:pPr>
        <w:pStyle w:val="ManualHeading2"/>
        <w:rPr>
          <w:noProof/>
        </w:rPr>
      </w:pPr>
      <w:r w:rsidRPr="008A7A44">
        <w:rPr>
          <w:noProof/>
        </w:rPr>
        <w:t>4.1.</w:t>
      </w:r>
      <w:r w:rsidRPr="008A7A44">
        <w:rPr>
          <w:noProof/>
        </w:rPr>
        <w:tab/>
      </w:r>
      <w:r w:rsidR="00717C03" w:rsidRPr="00D31655">
        <w:rPr>
          <w:noProof/>
        </w:rPr>
        <w:t>Temeiul juridic procedural</w:t>
      </w:r>
    </w:p>
    <w:p w:rsidR="00717C03" w:rsidRPr="00D31655" w:rsidRDefault="008A7A44" w:rsidP="008A7A44">
      <w:pPr>
        <w:pStyle w:val="ManualHeading3"/>
        <w:rPr>
          <w:noProof/>
        </w:rPr>
      </w:pPr>
      <w:r w:rsidRPr="008A7A44">
        <w:rPr>
          <w:noProof/>
        </w:rPr>
        <w:t>4.1.1.</w:t>
      </w:r>
      <w:r w:rsidRPr="008A7A44">
        <w:rPr>
          <w:noProof/>
        </w:rPr>
        <w:tab/>
      </w:r>
      <w:r w:rsidR="00717C03" w:rsidRPr="00D31655">
        <w:rPr>
          <w:noProof/>
        </w:rPr>
        <w:t>Principii</w:t>
      </w:r>
    </w:p>
    <w:p w:rsidR="008D01CE" w:rsidRPr="00D31655" w:rsidRDefault="008D01CE" w:rsidP="008D01CE">
      <w:pPr>
        <w:rPr>
          <w:noProof/>
        </w:rPr>
      </w:pPr>
      <w:r w:rsidRPr="00D31655">
        <w:rPr>
          <w:noProof/>
        </w:rPr>
        <w:t>Articolul 218 alineatul (9) din Tratatul privind funcționarea Uniunii Europene (TFUE) prevede posibilitatea adoptării unor decizii de stabilire „</w:t>
      </w:r>
      <w:r w:rsidRPr="00D31655">
        <w:rPr>
          <w:i/>
          <w:noProof/>
        </w:rPr>
        <w:t>a pozițiilor care trebuie adoptate în numele Uniunii în cadrul unui organism creat printr-un acord, în cazul în care acest organism trebuie să adopte acte cu efecte juridice, cu excepția actelor care modifică sau completează cadrul instituțional al acordului</w:t>
      </w:r>
      <w:r w:rsidRPr="00D31655">
        <w:rPr>
          <w:noProof/>
        </w:rPr>
        <w:t>.”</w:t>
      </w:r>
    </w:p>
    <w:p w:rsidR="00717C03" w:rsidRPr="00D31655" w:rsidRDefault="008D01CE" w:rsidP="008D01CE">
      <w:pPr>
        <w:rPr>
          <w:noProof/>
        </w:rPr>
      </w:pPr>
      <w:r w:rsidRPr="00D31655">
        <w:rPr>
          <w:noProof/>
        </w:rPr>
        <w:t>Conceptul de „</w:t>
      </w:r>
      <w:r w:rsidRPr="00D31655">
        <w:rPr>
          <w:i/>
          <w:noProof/>
        </w:rPr>
        <w:t>acte cu efecte juridice</w:t>
      </w:r>
      <w:r w:rsidRPr="00D31655">
        <w:rPr>
          <w:noProof/>
        </w:rPr>
        <w:t>” include actele care au efecte juridice în temeiul normelor de drept internațional aplicabile organismului în cauză. Sunt, de asemenea, incluse instrumente care nu au efect obligatoriu în temeiul dreptului internațional, dar care „</w:t>
      </w:r>
      <w:r w:rsidRPr="00D31655">
        <w:rPr>
          <w:i/>
          <w:noProof/>
        </w:rPr>
        <w:t>au vocația de a influența în mod decisiv conținutul reglementării adoptate de legiuitorul Uniunii</w:t>
      </w:r>
      <w:r w:rsidRPr="00D31655">
        <w:rPr>
          <w:noProof/>
        </w:rPr>
        <w:t>”</w:t>
      </w:r>
      <w:r w:rsidRPr="00D31655">
        <w:rPr>
          <w:rStyle w:val="FootnoteReference"/>
          <w:noProof/>
        </w:rPr>
        <w:footnoteReference w:id="6"/>
      </w:r>
      <w:r w:rsidRPr="00D31655">
        <w:rPr>
          <w:noProof/>
        </w:rPr>
        <w:t>.</w:t>
      </w:r>
    </w:p>
    <w:p w:rsidR="00717C03" w:rsidRPr="00D31655" w:rsidRDefault="008A7A44" w:rsidP="008A7A44">
      <w:pPr>
        <w:pStyle w:val="ManualHeading3"/>
        <w:rPr>
          <w:noProof/>
        </w:rPr>
      </w:pPr>
      <w:r w:rsidRPr="008A7A44">
        <w:rPr>
          <w:noProof/>
        </w:rPr>
        <w:t>4.1.2.</w:t>
      </w:r>
      <w:r w:rsidRPr="008A7A44">
        <w:rPr>
          <w:noProof/>
        </w:rPr>
        <w:tab/>
      </w:r>
      <w:r w:rsidR="00717C03" w:rsidRPr="00D31655">
        <w:rPr>
          <w:noProof/>
        </w:rPr>
        <w:t>Aplicarea la cazul în discuție</w:t>
      </w:r>
    </w:p>
    <w:p w:rsidR="008D01CE" w:rsidRPr="00D31655" w:rsidRDefault="008D01CE" w:rsidP="008D01CE">
      <w:pPr>
        <w:rPr>
          <w:noProof/>
        </w:rPr>
      </w:pPr>
      <w:r w:rsidRPr="00D31655">
        <w:rPr>
          <w:noProof/>
        </w:rPr>
        <w:t>Consiliul membrilor este un organism instituit printr-un acord, și anume prin Acordul internațional cu privire la uleiul de măsline și măslinele de masă.</w:t>
      </w:r>
    </w:p>
    <w:p w:rsidR="008D01CE" w:rsidRPr="00D31655" w:rsidRDefault="008D01CE" w:rsidP="008D01CE">
      <w:pPr>
        <w:rPr>
          <w:noProof/>
        </w:rPr>
      </w:pPr>
      <w:r w:rsidRPr="00D31655">
        <w:rPr>
          <w:noProof/>
        </w:rPr>
        <w:t>Actele pe care Consiliul membrilor este invitat să le adopte sunt acte cu efecte juridice. Actele avute în vedere vor fi obligatorii în temeiul dreptului internațional, în conformitate cu articolul 20 alineatul (3) din acord, și pot influența în mod decisiv conținutul legislației UE, și anume: actele delegate și de punere în aplicare bazate pe Regulamentul (UE) nr. 1308/2013, în ceea ce privește standardele de comercializare pentru uleiul de măsline. Motivul este acela că, în conformitate cu articolul 75 alineatul (5) litera (e) din Regulamentul (UE) nr. 1308/2013, standardele de comercializare trebuie să ia în considerare recomandările standard adoptate de organismele internaționale.</w:t>
      </w:r>
    </w:p>
    <w:p w:rsidR="008D01CE" w:rsidRPr="00D31655" w:rsidRDefault="008D01CE" w:rsidP="008D01CE">
      <w:pPr>
        <w:rPr>
          <w:noProof/>
        </w:rPr>
      </w:pPr>
      <w:r w:rsidRPr="00D31655">
        <w:rPr>
          <w:noProof/>
        </w:rPr>
        <w:t>Actul avut în vedere nu completează și nu modifică cadrul instituțional al acordului.</w:t>
      </w:r>
    </w:p>
    <w:p w:rsidR="00717C03" w:rsidRPr="00D31655" w:rsidRDefault="008D01CE" w:rsidP="008D01CE">
      <w:pPr>
        <w:rPr>
          <w:noProof/>
        </w:rPr>
      </w:pPr>
      <w:r w:rsidRPr="00D31655">
        <w:rPr>
          <w:noProof/>
        </w:rPr>
        <w:t>Prin urmare, temeiul juridic procedural al propunerii de decizie este articolul 218 alineatul (9) din TFUE.</w:t>
      </w:r>
    </w:p>
    <w:p w:rsidR="00717C03" w:rsidRPr="00D31655" w:rsidRDefault="008A7A44" w:rsidP="008A7A44">
      <w:pPr>
        <w:pStyle w:val="ManualHeading2"/>
        <w:rPr>
          <w:noProof/>
        </w:rPr>
      </w:pPr>
      <w:r w:rsidRPr="008A7A44">
        <w:rPr>
          <w:noProof/>
        </w:rPr>
        <w:t>4.2.</w:t>
      </w:r>
      <w:r w:rsidRPr="008A7A44">
        <w:rPr>
          <w:noProof/>
        </w:rPr>
        <w:tab/>
      </w:r>
      <w:r w:rsidR="00717C03" w:rsidRPr="00D31655">
        <w:rPr>
          <w:noProof/>
        </w:rPr>
        <w:t>Temeiul juridic material</w:t>
      </w:r>
    </w:p>
    <w:p w:rsidR="00717C03" w:rsidRPr="00D31655" w:rsidRDefault="008A7A44" w:rsidP="008A7A44">
      <w:pPr>
        <w:pStyle w:val="ManualHeading3"/>
        <w:rPr>
          <w:noProof/>
        </w:rPr>
      </w:pPr>
      <w:r w:rsidRPr="008A7A44">
        <w:rPr>
          <w:noProof/>
        </w:rPr>
        <w:t>4.2.1.</w:t>
      </w:r>
      <w:r w:rsidRPr="008A7A44">
        <w:rPr>
          <w:noProof/>
        </w:rPr>
        <w:tab/>
      </w:r>
      <w:r w:rsidR="00717C03" w:rsidRPr="00D31655">
        <w:rPr>
          <w:noProof/>
        </w:rPr>
        <w:t>Principii</w:t>
      </w:r>
    </w:p>
    <w:p w:rsidR="00717C03" w:rsidRPr="00D31655" w:rsidRDefault="008D01CE" w:rsidP="00C92807">
      <w:pPr>
        <w:rPr>
          <w:noProof/>
        </w:rPr>
      </w:pPr>
      <w:r w:rsidRPr="00D31655">
        <w:rPr>
          <w:noProof/>
        </w:rPr>
        <w:t>Temeiul juridic material al unei decizii adoptate în temeiul articolului 218 alineatul (9) din TFUE depinde, în primul rând, de obiectivul și de conținutul actului avut în vedere cu privire la care se adoptă o poziție în numele Uniunii. Dacă actul avut în vedere urmărește două obiective sau include două elemente, dintre care unul poate fi identificat ca fiind principal, iar celălalt ca având mai degrabă un caracter accesoriu, decizia adoptată în temeiul articolului 218 alineatul (9) din TFUE trebuie să se întemeieze pe un singur temei juridic material, respectiv cel impus de obiectivul sau de elementul principal sau predominant.</w:t>
      </w:r>
    </w:p>
    <w:p w:rsidR="00717C03" w:rsidRPr="00D31655" w:rsidRDefault="008A7A44" w:rsidP="008A7A44">
      <w:pPr>
        <w:pStyle w:val="ManualHeading3"/>
        <w:rPr>
          <w:noProof/>
        </w:rPr>
      </w:pPr>
      <w:r w:rsidRPr="008A7A44">
        <w:rPr>
          <w:noProof/>
        </w:rPr>
        <w:t>4.2.2.</w:t>
      </w:r>
      <w:r w:rsidRPr="008A7A44">
        <w:rPr>
          <w:noProof/>
        </w:rPr>
        <w:tab/>
      </w:r>
      <w:r w:rsidR="00717C03" w:rsidRPr="00D31655">
        <w:rPr>
          <w:noProof/>
        </w:rPr>
        <w:t>Aplicarea la cazul în discuție</w:t>
      </w:r>
    </w:p>
    <w:p w:rsidR="00717C03" w:rsidRPr="00D31655" w:rsidRDefault="008D01CE" w:rsidP="00C92807">
      <w:pPr>
        <w:rPr>
          <w:noProof/>
        </w:rPr>
      </w:pPr>
      <w:r w:rsidRPr="00D31655">
        <w:rPr>
          <w:noProof/>
        </w:rPr>
        <w:t>Obiectivul principal și conținutul actului avut în vedere se referă la politica comercială comună. Prin urmare, temeiul juridic material al propunerii de decizie este articolul 207 alineatul (4) din TFUE.</w:t>
      </w:r>
    </w:p>
    <w:p w:rsidR="00717C03" w:rsidRPr="00D31655" w:rsidRDefault="008A7A44" w:rsidP="008A7A44">
      <w:pPr>
        <w:pStyle w:val="ManualHeading2"/>
        <w:rPr>
          <w:noProof/>
        </w:rPr>
      </w:pPr>
      <w:r w:rsidRPr="008A7A44">
        <w:rPr>
          <w:noProof/>
        </w:rPr>
        <w:t>4.3.</w:t>
      </w:r>
      <w:r w:rsidRPr="008A7A44">
        <w:rPr>
          <w:noProof/>
        </w:rPr>
        <w:tab/>
      </w:r>
      <w:r w:rsidR="00717C03" w:rsidRPr="00D31655">
        <w:rPr>
          <w:noProof/>
        </w:rPr>
        <w:t>Concluzii</w:t>
      </w:r>
    </w:p>
    <w:p w:rsidR="00717C03" w:rsidRPr="00D31655" w:rsidRDefault="00717C03" w:rsidP="00C33A39">
      <w:pPr>
        <w:rPr>
          <w:noProof/>
        </w:rPr>
      </w:pPr>
      <w:r w:rsidRPr="00D31655">
        <w:rPr>
          <w:noProof/>
        </w:rPr>
        <w:t>Temeiul juridic al deciziei propuse trebuie să fie articolul 207 alineatul (4) din TFUE coroborat cu articolul 218 alineatul (9) din TFUE.</w:t>
      </w:r>
    </w:p>
    <w:p w:rsidR="00300268" w:rsidRPr="00D31655" w:rsidRDefault="008A7A44" w:rsidP="008A7A44">
      <w:pPr>
        <w:pStyle w:val="ManualHeading1"/>
        <w:rPr>
          <w:noProof/>
        </w:rPr>
      </w:pPr>
      <w:r w:rsidRPr="008A7A44">
        <w:rPr>
          <w:noProof/>
        </w:rPr>
        <w:t>5.</w:t>
      </w:r>
      <w:r w:rsidRPr="008A7A44">
        <w:rPr>
          <w:noProof/>
        </w:rPr>
        <w:tab/>
      </w:r>
      <w:r w:rsidR="00300268" w:rsidRPr="00D31655">
        <w:rPr>
          <w:noProof/>
        </w:rPr>
        <w:t>Respectarea principiului „digital în mod implicit”</w:t>
      </w:r>
    </w:p>
    <w:p w:rsidR="00300268" w:rsidRPr="00D31655" w:rsidRDefault="00300268" w:rsidP="00300268">
      <w:pPr>
        <w:rPr>
          <w:noProof/>
        </w:rPr>
      </w:pPr>
      <w:r w:rsidRPr="00D31655">
        <w:rPr>
          <w:noProof/>
        </w:rPr>
        <w:t>Potrivit evaluării digitale efectuate, actuala propunere nu are dimensiuni digitale, deoarece nu are relevanță în acest domeniu.</w:t>
      </w:r>
    </w:p>
    <w:p w:rsidR="00300268" w:rsidRPr="00D31655" w:rsidRDefault="00300268" w:rsidP="001F6524">
      <w:pPr>
        <w:rPr>
          <w:noProof/>
        </w:rPr>
      </w:pPr>
      <w:r w:rsidRPr="00D31655">
        <w:rPr>
          <w:noProof/>
        </w:rPr>
        <w:t>Mijloacele digitale sau schimbul de date nu intră în domeniul de aplicare al propunerii.</w:t>
      </w:r>
    </w:p>
    <w:p w:rsidR="00717C03" w:rsidRPr="00D31655" w:rsidRDefault="00717C03" w:rsidP="00C92807">
      <w:pPr>
        <w:rPr>
          <w:noProof/>
        </w:rPr>
        <w:sectPr w:rsidR="00717C03" w:rsidRPr="00D31655" w:rsidSect="00844738">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3B1FFC" w:rsidRDefault="006B33DD">
      <w:pPr>
        <w:pStyle w:val="Rfrenceinterinstitutionnelle"/>
        <w:rPr>
          <w:noProof/>
        </w:rPr>
      </w:pPr>
      <w:r>
        <w:rPr>
          <w:noProof/>
        </w:rPr>
        <w:t>2026/0006 (NLE)</w:t>
      </w:r>
    </w:p>
    <w:p w:rsidR="00717C03" w:rsidRPr="00D31655" w:rsidRDefault="00D31655" w:rsidP="00D31655">
      <w:pPr>
        <w:pStyle w:val="Statut"/>
        <w:rPr>
          <w:noProof/>
        </w:rPr>
      </w:pPr>
      <w:r w:rsidRPr="00D31655">
        <w:rPr>
          <w:noProof/>
        </w:rPr>
        <w:t>Propunere de</w:t>
      </w:r>
    </w:p>
    <w:p w:rsidR="00717C03" w:rsidRPr="00D31655" w:rsidRDefault="00D31655" w:rsidP="00D31655">
      <w:pPr>
        <w:pStyle w:val="Typedudocument"/>
        <w:rPr>
          <w:noProof/>
        </w:rPr>
      </w:pPr>
      <w:r w:rsidRPr="00D31655">
        <w:rPr>
          <w:noProof/>
        </w:rPr>
        <w:t>DECIZIE A CONSILIULUI</w:t>
      </w:r>
    </w:p>
    <w:p w:rsidR="00717C03" w:rsidRPr="00D31655" w:rsidRDefault="00D31655" w:rsidP="00D31655">
      <w:pPr>
        <w:pStyle w:val="Titreobjet"/>
        <w:rPr>
          <w:noProof/>
        </w:rPr>
      </w:pPr>
      <w:r w:rsidRPr="00D31655">
        <w:rPr>
          <w:noProof/>
        </w:rPr>
        <w:t>privind poziția care trebuie adoptată în numele Uniunii Europene în cadrul Consiliului membrilor Consiliului Oleicol internațional în ceea ce privește standardul comercial pentru uleiul de măsline și uleiul din resturi de măsline și o nouă metodă de analiză pentru determinarea indicelui de peroxid în astfel de uleiuri</w:t>
      </w:r>
    </w:p>
    <w:p w:rsidR="00717C03" w:rsidRPr="00D31655" w:rsidRDefault="00717C03" w:rsidP="00C92807">
      <w:pPr>
        <w:pStyle w:val="Institutionquiagit"/>
        <w:rPr>
          <w:noProof/>
        </w:rPr>
      </w:pPr>
      <w:r w:rsidRPr="00D31655">
        <w:rPr>
          <w:noProof/>
        </w:rPr>
        <w:t>CONSILIUL UNIUNII EUROPENE,</w:t>
      </w:r>
    </w:p>
    <w:p w:rsidR="00717C03" w:rsidRPr="00D31655" w:rsidRDefault="00717C03" w:rsidP="00C33A39">
      <w:pPr>
        <w:rPr>
          <w:noProof/>
        </w:rPr>
      </w:pPr>
      <w:r w:rsidRPr="00D31655">
        <w:rPr>
          <w:noProof/>
        </w:rPr>
        <w:t>având în vedere Tratatul privind funcționarea Uniunii Europene, în special articolul 207 alineatul (4) primul paragraf, coroborat cu articolul 218 alineatul (9),</w:t>
      </w:r>
    </w:p>
    <w:p w:rsidR="00717C03" w:rsidRPr="00D31655" w:rsidRDefault="00717C03" w:rsidP="00C92807">
      <w:pPr>
        <w:rPr>
          <w:noProof/>
        </w:rPr>
      </w:pPr>
      <w:r w:rsidRPr="00D31655">
        <w:rPr>
          <w:noProof/>
        </w:rPr>
        <w:t>având în vedere propunerea Comisiei Europene,</w:t>
      </w:r>
    </w:p>
    <w:p w:rsidR="00717C03" w:rsidRPr="00D31655" w:rsidRDefault="00717C03" w:rsidP="00C92807">
      <w:pPr>
        <w:rPr>
          <w:noProof/>
        </w:rPr>
      </w:pPr>
      <w:r w:rsidRPr="00D31655">
        <w:rPr>
          <w:noProof/>
        </w:rPr>
        <w:t>întrucât:</w:t>
      </w:r>
    </w:p>
    <w:p w:rsidR="008D01CE" w:rsidRPr="00D31655" w:rsidRDefault="008A7A44" w:rsidP="008A7A44">
      <w:pPr>
        <w:pStyle w:val="ManualConsidrant"/>
        <w:rPr>
          <w:noProof/>
        </w:rPr>
      </w:pPr>
      <w:r w:rsidRPr="008A7A44">
        <w:rPr>
          <w:noProof/>
        </w:rPr>
        <w:t>(1)</w:t>
      </w:r>
      <w:r w:rsidRPr="008A7A44">
        <w:rPr>
          <w:noProof/>
        </w:rPr>
        <w:tab/>
      </w:r>
      <w:r w:rsidR="008D01CE" w:rsidRPr="00D31655">
        <w:rPr>
          <w:noProof/>
        </w:rPr>
        <w:t>Acordul internațional din 2015 cu privire la uleiul de măsline și măslinele de masă („acordul”) a fost semnat în numele Uniunii în conformitate cu Decizia (UE) 2016/1892 a Consiliului</w:t>
      </w:r>
      <w:r w:rsidR="008D01CE" w:rsidRPr="00D31655">
        <w:rPr>
          <w:rStyle w:val="FootnoteReference"/>
          <w:noProof/>
        </w:rPr>
        <w:footnoteReference w:id="7"/>
      </w:r>
      <w:r w:rsidR="008D01CE" w:rsidRPr="00D31655">
        <w:rPr>
          <w:noProof/>
        </w:rPr>
        <w:t xml:space="preserve"> la 18 noiembrie 2016 și a fost încheiat în numele Uniunii prin Decizia (UE) 2019/848 a Consiliului</w:t>
      </w:r>
      <w:r w:rsidR="008D01CE" w:rsidRPr="00D31655">
        <w:rPr>
          <w:rStyle w:val="FootnoteReference"/>
          <w:noProof/>
        </w:rPr>
        <w:footnoteReference w:id="8"/>
      </w:r>
      <w:r w:rsidR="008D01CE" w:rsidRPr="00D31655">
        <w:rPr>
          <w:noProof/>
        </w:rPr>
        <w:t>.</w:t>
      </w:r>
    </w:p>
    <w:p w:rsidR="008D01CE" w:rsidRPr="00D31655" w:rsidRDefault="008A7A44" w:rsidP="008A7A44">
      <w:pPr>
        <w:pStyle w:val="ManualConsidrant"/>
        <w:rPr>
          <w:noProof/>
        </w:rPr>
      </w:pPr>
      <w:r w:rsidRPr="008A7A44">
        <w:rPr>
          <w:noProof/>
        </w:rPr>
        <w:t>(2)</w:t>
      </w:r>
      <w:r w:rsidRPr="008A7A44">
        <w:rPr>
          <w:noProof/>
        </w:rPr>
        <w:tab/>
      </w:r>
      <w:r w:rsidR="006312DA" w:rsidRPr="00D31655">
        <w:rPr>
          <w:noProof/>
        </w:rPr>
        <w:t>Consiliul membrilor Consiliului Oleicol Internațional („Consiliul membrilor”) poate adopta decizii și recomandări referitoare la aplicarea dispozițiilor acordului.</w:t>
      </w:r>
    </w:p>
    <w:p w:rsidR="008D01CE" w:rsidRPr="00D31655" w:rsidRDefault="008A7A44" w:rsidP="008A7A44">
      <w:pPr>
        <w:pStyle w:val="ManualConsidrant"/>
        <w:rPr>
          <w:noProof/>
        </w:rPr>
      </w:pPr>
      <w:r w:rsidRPr="008A7A44">
        <w:rPr>
          <w:noProof/>
        </w:rPr>
        <w:t>(3)</w:t>
      </w:r>
      <w:r w:rsidRPr="008A7A44">
        <w:rPr>
          <w:noProof/>
        </w:rPr>
        <w:tab/>
      </w:r>
      <w:r w:rsidR="009823D8" w:rsidRPr="00D31655">
        <w:rPr>
          <w:noProof/>
        </w:rPr>
        <w:t>Consiliul membrilor urmează să adopte o decizie de modificare a standardului comercial pentru uleiul de măsline și uleiul din resturi de măsline și o decizie privind o nouă metodă de analiză pentru determinarea indicelui de peroxid în astfel de uleiuri, prin schimb de corespondență, înainte de cea de a 123-a sesiune a sa, din iunie 2026.</w:t>
      </w:r>
    </w:p>
    <w:p w:rsidR="008D01CE" w:rsidRPr="00D31655" w:rsidRDefault="008A7A44" w:rsidP="008A7A44">
      <w:pPr>
        <w:pStyle w:val="ManualConsidrant"/>
        <w:rPr>
          <w:noProof/>
        </w:rPr>
      </w:pPr>
      <w:r w:rsidRPr="008A7A44">
        <w:rPr>
          <w:noProof/>
        </w:rPr>
        <w:t>(4)</w:t>
      </w:r>
      <w:r w:rsidRPr="008A7A44">
        <w:rPr>
          <w:noProof/>
        </w:rPr>
        <w:tab/>
      </w:r>
      <w:r w:rsidR="008D01CE" w:rsidRPr="00D31655">
        <w:rPr>
          <w:noProof/>
        </w:rPr>
        <w:t>Deciziile care urmează să fie adoptate au fost discutate pe larg de experți științifici și tehnici ai Comisiei și ai statelor membre din sectorul uleiului de măsline. Deciziile vor contribui la armonizarea la nivel internațional a standardelor privind uleiul de măsline și vor institui un cadru care va asigura o concurență echitabilă în comerțul cu produse din sectorul uleiului de măsline. Prin urmare, Uniunea trebuie să sprijine adoptarea acestor decizii.</w:t>
      </w:r>
    </w:p>
    <w:p w:rsidR="008D01CE" w:rsidRPr="00D31655" w:rsidRDefault="008A7A44" w:rsidP="008A7A44">
      <w:pPr>
        <w:pStyle w:val="ManualConsidrant"/>
        <w:rPr>
          <w:noProof/>
        </w:rPr>
      </w:pPr>
      <w:r w:rsidRPr="008A7A44">
        <w:rPr>
          <w:noProof/>
        </w:rPr>
        <w:t>(5)</w:t>
      </w:r>
      <w:r w:rsidRPr="008A7A44">
        <w:rPr>
          <w:noProof/>
        </w:rPr>
        <w:tab/>
      </w:r>
      <w:r w:rsidR="008D01CE" w:rsidRPr="00D31655">
        <w:rPr>
          <w:noProof/>
        </w:rPr>
        <w:t>Este oportun să se stabilească poziția care trebuie să fie adoptată în numele Uniunii în cadrul Consiliului membrilor, întrucât deciziile care urmează să fie adoptate de IOC vor avea efect juridic asupra Uniunii în ceea ce privește comerțul internațional cu ceilalți membri ai IOC și vor influența în mod decisiv conținutul dreptului Uniunii, mai precis standardele de comercializare și controalele privind conformitatea pentru uleiul de măsline adoptate de către Comisie în temeiul articolului 75 din Regulamentul (UE) nr. 1308/2013 al Parlamentului European și al Consiliului</w:t>
      </w:r>
      <w:r w:rsidR="008D01CE" w:rsidRPr="00D31655">
        <w:rPr>
          <w:rStyle w:val="FootnoteReference"/>
          <w:noProof/>
        </w:rPr>
        <w:footnoteReference w:id="9"/>
      </w:r>
      <w:r w:rsidR="008D01CE" w:rsidRPr="00D31655">
        <w:rPr>
          <w:noProof/>
        </w:rPr>
        <w:t>.</w:t>
      </w:r>
    </w:p>
    <w:p w:rsidR="008D01CE" w:rsidRPr="00D31655" w:rsidRDefault="008A7A44" w:rsidP="008A7A44">
      <w:pPr>
        <w:pStyle w:val="ManualConsidrant"/>
        <w:rPr>
          <w:noProof/>
        </w:rPr>
      </w:pPr>
      <w:r w:rsidRPr="008A7A44">
        <w:rPr>
          <w:noProof/>
        </w:rPr>
        <w:t>(6)</w:t>
      </w:r>
      <w:r w:rsidRPr="008A7A44">
        <w:rPr>
          <w:noProof/>
        </w:rPr>
        <w:tab/>
      </w:r>
      <w:r w:rsidR="008D01CE" w:rsidRPr="00D31655">
        <w:rPr>
          <w:noProof/>
        </w:rPr>
        <w:t>În cazul în care adoptarea deciziilor este amânată pentru cea de a 123-a sesiune a Consiliului membrilor, ca urmare a faptului că unii membri nu sunt în măsură să își dea acordul, poziția stabilită în prezenta decizie trebuie adoptată în numele Uniunii în cadrul sesiunii din iunie 2026 a Consiliului membrilor, care este următoarea sa sesiune ordinară.</w:t>
      </w:r>
    </w:p>
    <w:p w:rsidR="008D01CE" w:rsidRPr="00D31655" w:rsidRDefault="008A7A44" w:rsidP="008A7A44">
      <w:pPr>
        <w:pStyle w:val="ManualConsidrant"/>
        <w:rPr>
          <w:noProof/>
        </w:rPr>
      </w:pPr>
      <w:r w:rsidRPr="008A7A44">
        <w:rPr>
          <w:noProof/>
        </w:rPr>
        <w:t>(7)</w:t>
      </w:r>
      <w:r w:rsidRPr="008A7A44">
        <w:rPr>
          <w:noProof/>
        </w:rPr>
        <w:tab/>
      </w:r>
      <w:r w:rsidR="008D01CE" w:rsidRPr="00D31655">
        <w:rPr>
          <w:noProof/>
        </w:rPr>
        <w:t>Cu toate acestea, trebuie să fie posibil ca reprezentanții Uniunii în Consiliul membrilor să convină asupra unor adaptări tehnice ale altor metode sau documente ale IOC, fără a fi necesară o altă decizie a Consiliului, în cazul în care respectivele adaptări tehnice rezultă din modificări legate de revizuirea standardului comercial sau de noua metodă.</w:t>
      </w:r>
    </w:p>
    <w:p w:rsidR="00717C03" w:rsidRPr="00D31655" w:rsidRDefault="008A7A44" w:rsidP="008A7A44">
      <w:pPr>
        <w:pStyle w:val="ManualConsidrant"/>
        <w:rPr>
          <w:noProof/>
        </w:rPr>
      </w:pPr>
      <w:r w:rsidRPr="008A7A44">
        <w:rPr>
          <w:noProof/>
        </w:rPr>
        <w:t>(8)</w:t>
      </w:r>
      <w:r w:rsidRPr="008A7A44">
        <w:rPr>
          <w:noProof/>
        </w:rPr>
        <w:tab/>
      </w:r>
      <w:r w:rsidR="008D01CE" w:rsidRPr="00D31655">
        <w:rPr>
          <w:noProof/>
        </w:rPr>
        <w:t>În vederea apărării interesului Uniunii, reprezentanților Uniunii în Consiliul membrilor trebuie, totuși, să li se permită să solicite amânarea adoptării deciziilor</w:t>
      </w:r>
      <w:r w:rsidR="008D01CE" w:rsidRPr="00D31655">
        <w:rPr>
          <w:i/>
          <w:noProof/>
        </w:rPr>
        <w:t xml:space="preserve"> </w:t>
      </w:r>
      <w:r w:rsidR="008D01CE" w:rsidRPr="00D31655">
        <w:rPr>
          <w:noProof/>
        </w:rPr>
        <w:t>de modificare a standardului comercial și a unei noi metode de determinare a indicelui de peroxid în uleiurile de măsline și uleiurile din resturi de măsline, în cazul în care poziția care trebuie să fie adoptată în numele Uniunii ar putea fi influențată de noi informații științifice sau tehnice prezentate înainte de schimbul de corespondență,</w:t>
      </w:r>
    </w:p>
    <w:p w:rsidR="00717C03" w:rsidRPr="00D31655" w:rsidRDefault="00717C03" w:rsidP="00C92807">
      <w:pPr>
        <w:pStyle w:val="Formuledadoption"/>
        <w:rPr>
          <w:noProof/>
        </w:rPr>
      </w:pPr>
      <w:r w:rsidRPr="00D31655">
        <w:rPr>
          <w:noProof/>
        </w:rPr>
        <w:t>ADOPTĂ PREZENTA DECIZIE:</w:t>
      </w:r>
    </w:p>
    <w:p w:rsidR="00717C03" w:rsidRPr="00D31655" w:rsidRDefault="00717C03" w:rsidP="00C92807">
      <w:pPr>
        <w:pStyle w:val="Titrearticle"/>
        <w:rPr>
          <w:noProof/>
        </w:rPr>
      </w:pPr>
      <w:r w:rsidRPr="00D31655">
        <w:rPr>
          <w:noProof/>
        </w:rPr>
        <w:t>Articolul 1</w:t>
      </w:r>
    </w:p>
    <w:p w:rsidR="00717C03" w:rsidRPr="00D31655" w:rsidRDefault="00300268" w:rsidP="00C33A39">
      <w:pPr>
        <w:rPr>
          <w:noProof/>
        </w:rPr>
      </w:pPr>
      <w:r w:rsidRPr="00D31655">
        <w:rPr>
          <w:noProof/>
        </w:rPr>
        <w:t>Poziția care trebuie adoptată în numele Uniunii în cadrul Consiliului membrilor Consiliului Oleicol Internațional (IOC) pentru adoptarea deciziilor de către Consiliul membrilor printr-un schimb de corespondență înainte de următoarea sa sesiune ordinară din iunie 2026 sau în cursul acestei sesiuni este stabilită în anexă.</w:t>
      </w:r>
    </w:p>
    <w:p w:rsidR="008334F0" w:rsidRPr="00D31655" w:rsidRDefault="008334F0" w:rsidP="00C33A39">
      <w:pPr>
        <w:rPr>
          <w:iCs/>
          <w:noProof/>
        </w:rPr>
      </w:pPr>
      <w:r w:rsidRPr="00D31655">
        <w:rPr>
          <w:noProof/>
        </w:rPr>
        <w:t>Deciziile menționate la primul paragraf sunt cele privind standardul comercial pentru uleiul de măsline și uleiul din resturi de măsline și privind o nouă metodă de determinare a indicelui de peroxid în astfel de uleiuri.</w:t>
      </w:r>
    </w:p>
    <w:p w:rsidR="00717C03" w:rsidRPr="00D31655" w:rsidRDefault="00717C03" w:rsidP="00C33A39">
      <w:pPr>
        <w:pStyle w:val="Titrearticle"/>
        <w:rPr>
          <w:noProof/>
        </w:rPr>
      </w:pPr>
      <w:r w:rsidRPr="00D31655">
        <w:rPr>
          <w:noProof/>
        </w:rPr>
        <w:t>Articolul 2</w:t>
      </w:r>
    </w:p>
    <w:p w:rsidR="00717C03" w:rsidRPr="00D31655" w:rsidRDefault="00300268" w:rsidP="00C33A39">
      <w:pPr>
        <w:rPr>
          <w:noProof/>
        </w:rPr>
      </w:pPr>
      <w:r w:rsidRPr="00D31655">
        <w:rPr>
          <w:noProof/>
        </w:rPr>
        <w:t>Reprezentanții Uniunii în Consiliul membrilor IOC pot conveni asupra unor adaptări tehnice ale altor metode sau documente ale IOC, fără a fi necesară o altă decizie a Consiliului, în cazul în care adaptările tehnice respective rezultă din modificări legate de revizuirea standardului comercial pentru uleiul de măsline și uleiul din resturi de măsline sau de noua metodă.</w:t>
      </w:r>
    </w:p>
    <w:p w:rsidR="00717C03" w:rsidRPr="00D31655" w:rsidRDefault="00717C03" w:rsidP="00C33A39">
      <w:pPr>
        <w:pStyle w:val="Titrearticle"/>
        <w:rPr>
          <w:noProof/>
        </w:rPr>
      </w:pPr>
      <w:r w:rsidRPr="00D31655">
        <w:rPr>
          <w:noProof/>
        </w:rPr>
        <w:t>Articolul 3</w:t>
      </w:r>
    </w:p>
    <w:p w:rsidR="00717C03" w:rsidRPr="00D31655" w:rsidRDefault="00300268" w:rsidP="00C33A39">
      <w:pPr>
        <w:rPr>
          <w:i/>
          <w:noProof/>
        </w:rPr>
      </w:pPr>
      <w:r w:rsidRPr="00D31655">
        <w:rPr>
          <w:noProof/>
        </w:rPr>
        <w:t>În cazul în care există probabilitatea ca poziția menționată la articolul 1 să fie afectată de noi informații științifice sau tehnice prezentate înainte de inițierea schimbului de corespondență, reprezentanții Uniunii solicită ca adoptarea deciziei de modificare a standardului comercial pentru uleiul de măsline și uleiul din resturi de măsline și a deciziei privind noua metodă de determinare a indicelui de peroxid în astfel de uleiuri să fie amânată până la stabilirea poziției Uniunii pe baza respectivelor informații noi</w:t>
      </w:r>
      <w:r w:rsidRPr="00D31655">
        <w:rPr>
          <w:i/>
          <w:noProof/>
        </w:rPr>
        <w:t>.</w:t>
      </w:r>
    </w:p>
    <w:p w:rsidR="00300268" w:rsidRPr="00D31655" w:rsidRDefault="00300268" w:rsidP="00CB168F">
      <w:pPr>
        <w:pStyle w:val="Titrearticle"/>
        <w:rPr>
          <w:noProof/>
        </w:rPr>
      </w:pPr>
      <w:r w:rsidRPr="00D31655">
        <w:rPr>
          <w:noProof/>
        </w:rPr>
        <w:t>Articolul 4</w:t>
      </w:r>
    </w:p>
    <w:p w:rsidR="00300268" w:rsidRPr="00D31655" w:rsidRDefault="00300268" w:rsidP="00300268">
      <w:pPr>
        <w:rPr>
          <w:noProof/>
        </w:rPr>
      </w:pPr>
      <w:r w:rsidRPr="00D31655">
        <w:rPr>
          <w:noProof/>
        </w:rPr>
        <w:t>Prezenta decizie se adresează Comisiei.</w:t>
      </w:r>
    </w:p>
    <w:p w:rsidR="00717C03" w:rsidRPr="00D31655" w:rsidRDefault="00D31655" w:rsidP="00CB168F">
      <w:pPr>
        <w:pStyle w:val="Fait"/>
        <w:rPr>
          <w:noProof/>
        </w:rPr>
      </w:pPr>
      <w:r>
        <w:rPr>
          <w:noProof/>
        </w:rPr>
        <w:t>Adoptată la Bruxelles,</w:t>
      </w:r>
    </w:p>
    <w:p w:rsidR="00717C03" w:rsidRPr="00D31655" w:rsidRDefault="00717C03" w:rsidP="00CB168F">
      <w:pPr>
        <w:pStyle w:val="Institutionquisigne"/>
        <w:rPr>
          <w:noProof/>
        </w:rPr>
      </w:pPr>
      <w:r w:rsidRPr="00D31655">
        <w:rPr>
          <w:noProof/>
        </w:rPr>
        <w:tab/>
        <w:t>Pentru Consiliu,</w:t>
      </w:r>
    </w:p>
    <w:p w:rsidR="00717C03" w:rsidRPr="00D31655" w:rsidRDefault="00717C03" w:rsidP="00717C03">
      <w:pPr>
        <w:pStyle w:val="Personnequisigne"/>
        <w:rPr>
          <w:noProof/>
        </w:rPr>
      </w:pPr>
      <w:r w:rsidRPr="00D31655">
        <w:rPr>
          <w:noProof/>
        </w:rPr>
        <w:tab/>
        <w:t>Președintele</w:t>
      </w:r>
    </w:p>
    <w:sectPr w:rsidR="00717C03" w:rsidRPr="00D31655" w:rsidSect="00844738">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472C" w:rsidRDefault="0064472C" w:rsidP="00717C03">
      <w:pPr>
        <w:spacing w:before="0" w:after="0"/>
      </w:pPr>
      <w:r>
        <w:separator/>
      </w:r>
    </w:p>
  </w:endnote>
  <w:endnote w:type="continuationSeparator" w:id="0">
    <w:p w:rsidR="0064472C" w:rsidRDefault="0064472C" w:rsidP="00717C03">
      <w:pPr>
        <w:spacing w:before="0" w:after="0"/>
      </w:pPr>
      <w:r>
        <w:continuationSeparator/>
      </w:r>
    </w:p>
  </w:endnote>
  <w:endnote w:type="continuationNotice" w:id="1">
    <w:p w:rsidR="0064472C" w:rsidRDefault="0064472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4738" w:rsidRPr="00844738" w:rsidRDefault="00844738" w:rsidP="00844738">
    <w:pPr>
      <w:pStyle w:val="Footer"/>
      <w:rPr>
        <w:rFonts w:ascii="Arial" w:hAnsi="Arial" w:cs="Arial"/>
        <w:b/>
        <w:sz w:val="48"/>
      </w:rPr>
    </w:pPr>
    <w:r w:rsidRPr="00844738">
      <w:rPr>
        <w:rFonts w:ascii="Arial" w:hAnsi="Arial" w:cs="Arial"/>
        <w:b/>
        <w:sz w:val="48"/>
      </w:rPr>
      <w:t>RO</w:t>
    </w:r>
    <w:r w:rsidRPr="00844738">
      <w:rPr>
        <w:rFonts w:ascii="Arial" w:hAnsi="Arial" w:cs="Arial"/>
        <w:b/>
        <w:sz w:val="48"/>
      </w:rPr>
      <w:tab/>
    </w:r>
    <w:r w:rsidRPr="00844738">
      <w:rPr>
        <w:rFonts w:ascii="Arial" w:hAnsi="Arial" w:cs="Arial"/>
        <w:b/>
        <w:sz w:val="48"/>
      </w:rPr>
      <w:tab/>
    </w:r>
    <w:r w:rsidRPr="00844738">
      <w:tab/>
    </w:r>
    <w:r w:rsidRPr="0084473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4738" w:rsidRPr="00844738" w:rsidRDefault="00844738" w:rsidP="00844738">
    <w:pPr>
      <w:pStyle w:val="Footer"/>
      <w:rPr>
        <w:rFonts w:ascii="Arial" w:hAnsi="Arial" w:cs="Arial"/>
        <w:b/>
        <w:sz w:val="48"/>
      </w:rPr>
    </w:pPr>
    <w:r w:rsidRPr="00844738">
      <w:rPr>
        <w:rFonts w:ascii="Arial" w:hAnsi="Arial" w:cs="Arial"/>
        <w:b/>
        <w:sz w:val="48"/>
      </w:rPr>
      <w:t>RO</w:t>
    </w:r>
    <w:r w:rsidRPr="00844738">
      <w:rPr>
        <w:rFonts w:ascii="Arial" w:hAnsi="Arial" w:cs="Arial"/>
        <w:b/>
        <w:sz w:val="48"/>
      </w:rPr>
      <w:tab/>
    </w:r>
    <w:r w:rsidRPr="00844738">
      <w:rPr>
        <w:rFonts w:ascii="Arial" w:hAnsi="Arial" w:cs="Arial"/>
        <w:b/>
        <w:sz w:val="48"/>
      </w:rPr>
      <w:tab/>
    </w:r>
    <w:r w:rsidRPr="00844738">
      <w:tab/>
    </w:r>
    <w:r w:rsidRPr="0084473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4738" w:rsidRDefault="0084473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4738" w:rsidRPr="00844738" w:rsidRDefault="00844738" w:rsidP="00844738">
    <w:pPr>
      <w:pStyle w:val="Footer"/>
      <w:rPr>
        <w:rFonts w:ascii="Arial" w:hAnsi="Arial" w:cs="Arial"/>
        <w:b/>
        <w:sz w:val="48"/>
      </w:rPr>
    </w:pPr>
    <w:r w:rsidRPr="00844738">
      <w:rPr>
        <w:rFonts w:ascii="Arial" w:hAnsi="Arial" w:cs="Arial"/>
        <w:b/>
        <w:sz w:val="48"/>
      </w:rPr>
      <w:t>RO</w:t>
    </w:r>
    <w:r w:rsidRPr="00844738">
      <w:rPr>
        <w:rFonts w:ascii="Arial" w:hAnsi="Arial" w:cs="Arial"/>
        <w:b/>
        <w:sz w:val="48"/>
      </w:rPr>
      <w:tab/>
    </w:r>
    <w:r>
      <w:fldChar w:fldCharType="begin"/>
    </w:r>
    <w:r>
      <w:instrText xml:space="preserve"> PAGE  \* MERGEFORMAT </w:instrText>
    </w:r>
    <w:r>
      <w:fldChar w:fldCharType="separate"/>
    </w:r>
    <w:r w:rsidR="00CB168F">
      <w:rPr>
        <w:noProof/>
      </w:rPr>
      <w:t>7</w:t>
    </w:r>
    <w:r>
      <w:fldChar w:fldCharType="end"/>
    </w:r>
    <w:r>
      <w:tab/>
    </w:r>
    <w:r w:rsidRPr="00844738">
      <w:tab/>
    </w:r>
    <w:r w:rsidRPr="00844738">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4738" w:rsidRDefault="00844738" w:rsidP="008447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472C" w:rsidRDefault="0064472C" w:rsidP="00717C03">
      <w:pPr>
        <w:spacing w:before="0" w:after="0"/>
      </w:pPr>
      <w:r>
        <w:separator/>
      </w:r>
    </w:p>
  </w:footnote>
  <w:footnote w:type="continuationSeparator" w:id="0">
    <w:p w:rsidR="0064472C" w:rsidRDefault="0064472C" w:rsidP="00717C03">
      <w:pPr>
        <w:spacing w:before="0" w:after="0"/>
      </w:pPr>
      <w:r>
        <w:continuationSeparator/>
      </w:r>
    </w:p>
  </w:footnote>
  <w:footnote w:type="continuationNotice" w:id="1">
    <w:p w:rsidR="0064472C" w:rsidRDefault="0064472C">
      <w:pPr>
        <w:spacing w:before="0" w:after="0"/>
      </w:pPr>
    </w:p>
  </w:footnote>
  <w:footnote w:id="2">
    <w:p w:rsidR="002C193B" w:rsidRPr="00D0154C" w:rsidRDefault="002C193B" w:rsidP="002C193B">
      <w:pPr>
        <w:pStyle w:val="FootnoteText"/>
      </w:pPr>
      <w:r>
        <w:rPr>
          <w:rStyle w:val="FootnoteReference"/>
        </w:rPr>
        <w:footnoteRef/>
      </w:r>
      <w:r>
        <w:tab/>
        <w:t xml:space="preserve">Decizia (UE) 2016/1892 a Consiliului din 10 octombrie 2016 privind semnarea, în numele Uniunii Europene, și aplicarea provizorie a Acordului internațional din 2015 cu privire la uleiul de măsline și măslinele de masă (JO L 293, 28.10.2016, p. 2) și Decizia (UE) 2019/848 a Consiliului din 17 mai 2019 privind încheierea în numele Uniunii Europene a Acordului internațional din 2015 cu privire la uleiul de măsline și măslinele de masă (JO L 139, 27.5.2019, p. 1); ELI: </w:t>
      </w:r>
      <w:hyperlink r:id="rId1" w:history="1">
        <w:r>
          <w:rPr>
            <w:rStyle w:val="Hyperlink"/>
          </w:rPr>
          <w:t>http://data.europa.eu/eli/dec/2016/1892/oj</w:t>
        </w:r>
      </w:hyperlink>
    </w:p>
  </w:footnote>
  <w:footnote w:id="3">
    <w:p w:rsidR="002C193B" w:rsidRPr="00F0120E" w:rsidRDefault="002C193B" w:rsidP="002C193B">
      <w:pPr>
        <w:pStyle w:val="FootnoteText"/>
      </w:pPr>
      <w:r>
        <w:rPr>
          <w:rStyle w:val="FootnoteReference"/>
        </w:rPr>
        <w:footnoteRef/>
      </w:r>
      <w:r>
        <w:tab/>
        <w:t xml:space="preserve">Regulamentul (UE) nr. 1308/2013 al Parlamentului European și al Consiliului din 17 decembrie 2013 de instituire a unei organizări comune a piețelor produselor agricole și de abrogare a Regulamentelor (CEE) nr. 922/72, (CEE) nr. 234/79, (CE) nr. 1037/2001 și (CE) nr. 1234/2007 ale Consiliului (JO L 347, 20.12.2013, p. 671); ELI: </w:t>
      </w:r>
      <w:hyperlink r:id="rId2" w:tooltip="Oferă acces la acest document prin identificatorul său uniform de resurse ELI." w:history="1">
        <w:r>
          <w:rPr>
            <w:color w:val="0000FF"/>
            <w:u w:val="single"/>
          </w:rPr>
          <w:t>http://data.europa.eu/eli/reg/2013/1308/2023-01-01</w:t>
        </w:r>
      </w:hyperlink>
    </w:p>
  </w:footnote>
  <w:footnote w:id="4">
    <w:p w:rsidR="008D01CE" w:rsidRPr="002C193B" w:rsidRDefault="008D01CE" w:rsidP="008D01CE">
      <w:pPr>
        <w:pStyle w:val="FootnoteText"/>
      </w:pPr>
      <w:r>
        <w:rPr>
          <w:rStyle w:val="FootnoteReference"/>
        </w:rPr>
        <w:footnoteRef/>
      </w:r>
      <w:r>
        <w:tab/>
        <w:t xml:space="preserve">JO L 284, 4.11.2022, p. 1–22; ELI: </w:t>
      </w:r>
      <w:hyperlink r:id="rId3" w:history="1">
        <w:r>
          <w:rPr>
            <w:rStyle w:val="Hyperlink"/>
          </w:rPr>
          <w:t>http://data.europa.eu/eli/reg_del/2022/2104/oj</w:t>
        </w:r>
      </w:hyperlink>
    </w:p>
  </w:footnote>
  <w:footnote w:id="5">
    <w:p w:rsidR="004C16EE" w:rsidRPr="004C16EE" w:rsidRDefault="004C16EE">
      <w:pPr>
        <w:pStyle w:val="FootnoteText"/>
      </w:pPr>
      <w:r>
        <w:rPr>
          <w:rStyle w:val="FootnoteReference"/>
        </w:rPr>
        <w:footnoteRef/>
      </w:r>
      <w:r>
        <w:tab/>
        <w:t xml:space="preserve">JO L 284, 4.11.2022, p. 23–48; ELI: </w:t>
      </w:r>
      <w:hyperlink r:id="rId4" w:history="1">
        <w:r>
          <w:rPr>
            <w:rStyle w:val="Hyperlink"/>
          </w:rPr>
          <w:t>http://data.europa.eu/eli/reg_impl/2022/2105/2022-11-04</w:t>
        </w:r>
      </w:hyperlink>
    </w:p>
  </w:footnote>
  <w:footnote w:id="6">
    <w:p w:rsidR="008D01CE" w:rsidRPr="00B035F8" w:rsidRDefault="008D01CE" w:rsidP="008D01CE">
      <w:pPr>
        <w:pStyle w:val="FootnoteText"/>
      </w:pPr>
      <w:r>
        <w:rPr>
          <w:rStyle w:val="FootnoteReference"/>
        </w:rPr>
        <w:footnoteRef/>
      </w:r>
      <w:r>
        <w:tab/>
        <w:t>Hotărârea Curții de Justiție din 7 octombrie 2014, Germania/Consiliul, C-399/12, ECLI:EU:C:2014:2258, punctele 61-64.</w:t>
      </w:r>
    </w:p>
  </w:footnote>
  <w:footnote w:id="7">
    <w:p w:rsidR="008D01CE" w:rsidRPr="00FA4F16" w:rsidRDefault="008D01CE" w:rsidP="008D01CE">
      <w:pPr>
        <w:pStyle w:val="FootnoteText"/>
      </w:pPr>
      <w:r>
        <w:rPr>
          <w:rStyle w:val="FootnoteReference"/>
        </w:rPr>
        <w:footnoteRef/>
      </w:r>
      <w:r>
        <w:tab/>
        <w:t xml:space="preserve">Decizia (UE) 2016/1892 a Consiliului din 10 octombrie 2016 privind semnarea, în numele Uniunii Europene, și aplicarea provizorie a Acordului internațional din 2015 cu privire la uleiul de măsline și măslinele de masă (JO L 293, 28.10.2016, p. 2, ELI: </w:t>
      </w:r>
      <w:hyperlink r:id="rId5" w:history="1">
        <w:r>
          <w:rPr>
            <w:rStyle w:val="Hyperlink"/>
          </w:rPr>
          <w:t>http://data.europa.eu/eli/dec/2016/1892/oj</w:t>
        </w:r>
      </w:hyperlink>
      <w:r>
        <w:t xml:space="preserve">). </w:t>
      </w:r>
    </w:p>
  </w:footnote>
  <w:footnote w:id="8">
    <w:p w:rsidR="008D01CE" w:rsidRPr="000D4438" w:rsidRDefault="008D01CE" w:rsidP="008D01CE">
      <w:pPr>
        <w:pStyle w:val="FootnoteText"/>
      </w:pPr>
      <w:r>
        <w:rPr>
          <w:rStyle w:val="FootnoteReference"/>
        </w:rPr>
        <w:footnoteRef/>
      </w:r>
      <w:r>
        <w:tab/>
        <w:t xml:space="preserve">Decizia (UE) 2019/848 a Consiliului din 17 mai 2019 privind încheierea în numele Uniunii Europene a Acordului internațional din 2015 cu privire la uleiul de măsline și măslinele de masă (JO L 139, 27.5.2019, p. 1, ELI: </w:t>
      </w:r>
      <w:hyperlink r:id="rId6" w:history="1">
        <w:r>
          <w:rPr>
            <w:rStyle w:val="Hyperlink"/>
          </w:rPr>
          <w:t>http://data.europa.eu/eli/dec/2019/848/oj</w:t>
        </w:r>
      </w:hyperlink>
      <w:r>
        <w:t>).</w:t>
      </w:r>
    </w:p>
  </w:footnote>
  <w:footnote w:id="9">
    <w:p w:rsidR="008D01CE" w:rsidRPr="000B0CDE" w:rsidRDefault="008D01CE" w:rsidP="008D01CE">
      <w:pPr>
        <w:pStyle w:val="FootnoteText"/>
      </w:pPr>
      <w:r>
        <w:rPr>
          <w:rStyle w:val="FootnoteReference"/>
        </w:rPr>
        <w:footnoteRef/>
      </w:r>
      <w:r>
        <w:tab/>
        <w:t xml:space="preserve">Regulamentul (UE) nr. 1308/2013 al Parlamentului European și al Consiliului din 17 decembrie 2013 de instituire a unei organizări comune a piețelor produselor agricole și de abrogare a Regulamentelor (CEE) nr. 922/72, (CEE) nr. 234/79, (CE) nr. 1037/2001 și (CE) nr. 1234/2007 ale Consiliului (JO L 347, 20.12.2013, p. 671, ELI: </w:t>
      </w:r>
      <w:hyperlink r:id="rId7" w:tooltip="Oferă acces la acest document prin identificatorul său uniform de resurse ELI." w:history="1">
        <w:r>
          <w:rPr>
            <w:color w:val="0000FF"/>
            <w:u w:val="single"/>
          </w:rPr>
          <w:t>http://data.europa.eu/eli/reg/2013/1308/2023-01-01</w:t>
        </w:r>
      </w:hyperlink>
      <w:r>
        <w:rPr>
          <w:color w:val="0000FF"/>
          <w:u w:val="singl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4738" w:rsidRDefault="008447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4738" w:rsidRDefault="008447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23"/>
    <w:lvlOverride w:ilvl="0">
      <w:startOverride w:val="1"/>
    </w:lvlOverride>
  </w:num>
  <w:num w:numId="20">
    <w:abstractNumId w:val="23"/>
  </w:num>
  <w:num w:numId="21">
    <w:abstractNumId w:val="12"/>
  </w:num>
  <w:num w:numId="22">
    <w:abstractNumId w:val="26"/>
  </w:num>
  <w:num w:numId="23">
    <w:abstractNumId w:val="6"/>
  </w:num>
  <w:num w:numId="24">
    <w:abstractNumId w:val="13"/>
  </w:num>
  <w:num w:numId="25">
    <w:abstractNumId w:val="14"/>
  </w:num>
  <w:num w:numId="26">
    <w:abstractNumId w:val="4"/>
  </w:num>
  <w:num w:numId="27">
    <w:abstractNumId w:val="25"/>
  </w:num>
  <w:num w:numId="28">
    <w:abstractNumId w:val="3"/>
  </w:num>
  <w:num w:numId="29">
    <w:abstractNumId w:val="15"/>
  </w:num>
  <w:num w:numId="30">
    <w:abstractNumId w:val="21"/>
  </w:num>
  <w:num w:numId="31">
    <w:abstractNumId w:val="22"/>
  </w:num>
  <w:num w:numId="32">
    <w:abstractNumId w:val="5"/>
  </w:num>
  <w:num w:numId="33">
    <w:abstractNumId w:val="19"/>
  </w:num>
  <w:num w:numId="34">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6 12:41:1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93E7417E-5433-4D2B-B88F-4CAC54F3D175"/>
    <w:docVar w:name="LW_COVERPAGE_TYPE" w:val="1"/>
    <w:docVar w:name="LW_CreatedUtc" w:val="2025-02-18T14:07:51.8136997Z"/>
    <w:docVar w:name="LW_CROSSREFERENCE" w:val="{SWD(2026) 3 final}"/>
    <w:docVar w:name="LW_DocType" w:val="COM"/>
    <w:docVar w:name="LW_EMISSION" w:val="19.1.2026"/>
    <w:docVar w:name="LW_EMISSION_ISODATE" w:val="2026-01-19"/>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06"/>
    <w:docVar w:name="LW_REF.II.NEW.CP_YEAR" w:val="2026"/>
    <w:docVar w:name="LW_REF.INST.NEW" w:val="COM"/>
    <w:docVar w:name="LW_REF.INST.NEW_ADOPTED" w:val="final"/>
    <w:docVar w:name="LW_REF.INST.NEW_TEXT" w:val="(2026) 1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trebuie adoptat\u259? în numele Uniunii Europene în cadrul Consiliului membrilor Consiliului Oleicol interna\u539?ional în ceea ce prive\u537?te standardul comercial pentru uleiul de m\u259?sline \u537?i uleiul din resturi de m\u259?sline \u537?i o nou\u259? metod\u259? de analiz\u259? pentru determinarea indicelui de peroxid în astfel de uleiuri"/>
    <w:docVar w:name="LW_TYPE.DOC.CP" w:val="DECIZIE A CONSILIULUI"/>
    <w:docVar w:name="LwApiVersions" w:val="LW4CoDe 1.24.5.0; LW 9.2, Build 20251112"/>
  </w:docVars>
  <w:rsids>
    <w:rsidRoot w:val="00717C03"/>
    <w:rsid w:val="000154CB"/>
    <w:rsid w:val="0001616B"/>
    <w:rsid w:val="00016CD9"/>
    <w:rsid w:val="00025B1E"/>
    <w:rsid w:val="00033427"/>
    <w:rsid w:val="000465BB"/>
    <w:rsid w:val="000525F6"/>
    <w:rsid w:val="00060C3B"/>
    <w:rsid w:val="00076F8A"/>
    <w:rsid w:val="0008130A"/>
    <w:rsid w:val="00083100"/>
    <w:rsid w:val="0008571E"/>
    <w:rsid w:val="000905AB"/>
    <w:rsid w:val="000D5254"/>
    <w:rsid w:val="000E3F60"/>
    <w:rsid w:val="001065F5"/>
    <w:rsid w:val="00114CC0"/>
    <w:rsid w:val="001238EF"/>
    <w:rsid w:val="00155B27"/>
    <w:rsid w:val="00162C8D"/>
    <w:rsid w:val="00197613"/>
    <w:rsid w:val="001A59D0"/>
    <w:rsid w:val="001B73AC"/>
    <w:rsid w:val="001E0259"/>
    <w:rsid w:val="001F6524"/>
    <w:rsid w:val="00216CDA"/>
    <w:rsid w:val="00233DC7"/>
    <w:rsid w:val="00247779"/>
    <w:rsid w:val="00254147"/>
    <w:rsid w:val="0026169C"/>
    <w:rsid w:val="0027778E"/>
    <w:rsid w:val="00285BEE"/>
    <w:rsid w:val="0029533F"/>
    <w:rsid w:val="002B30AF"/>
    <w:rsid w:val="002B7B0E"/>
    <w:rsid w:val="002C0BB7"/>
    <w:rsid w:val="002C0DD4"/>
    <w:rsid w:val="002C193B"/>
    <w:rsid w:val="002D118A"/>
    <w:rsid w:val="002E29F8"/>
    <w:rsid w:val="002E3A8B"/>
    <w:rsid w:val="002E6601"/>
    <w:rsid w:val="002F0A94"/>
    <w:rsid w:val="002F16D2"/>
    <w:rsid w:val="00300268"/>
    <w:rsid w:val="003144ED"/>
    <w:rsid w:val="0032184D"/>
    <w:rsid w:val="0032361B"/>
    <w:rsid w:val="0033344A"/>
    <w:rsid w:val="00346D7C"/>
    <w:rsid w:val="003665E2"/>
    <w:rsid w:val="00375652"/>
    <w:rsid w:val="00375F78"/>
    <w:rsid w:val="00376EB0"/>
    <w:rsid w:val="003A6E27"/>
    <w:rsid w:val="003B1FFC"/>
    <w:rsid w:val="003C5F47"/>
    <w:rsid w:val="003D4F2E"/>
    <w:rsid w:val="003F33BA"/>
    <w:rsid w:val="004010D9"/>
    <w:rsid w:val="00411367"/>
    <w:rsid w:val="0042648E"/>
    <w:rsid w:val="004438C7"/>
    <w:rsid w:val="0045165E"/>
    <w:rsid w:val="00456532"/>
    <w:rsid w:val="004565F5"/>
    <w:rsid w:val="0046457D"/>
    <w:rsid w:val="00464F87"/>
    <w:rsid w:val="00473C6A"/>
    <w:rsid w:val="004936D2"/>
    <w:rsid w:val="004A3E5F"/>
    <w:rsid w:val="004A6E3C"/>
    <w:rsid w:val="004C16EE"/>
    <w:rsid w:val="004D07AF"/>
    <w:rsid w:val="004F3425"/>
    <w:rsid w:val="00500AF5"/>
    <w:rsid w:val="005814E6"/>
    <w:rsid w:val="00592AC7"/>
    <w:rsid w:val="00592D30"/>
    <w:rsid w:val="005A45A0"/>
    <w:rsid w:val="005B1EB6"/>
    <w:rsid w:val="005C19C3"/>
    <w:rsid w:val="005D74A1"/>
    <w:rsid w:val="005F7CDC"/>
    <w:rsid w:val="00612385"/>
    <w:rsid w:val="006312DA"/>
    <w:rsid w:val="00642701"/>
    <w:rsid w:val="0064472C"/>
    <w:rsid w:val="00660DCA"/>
    <w:rsid w:val="0066551C"/>
    <w:rsid w:val="00683565"/>
    <w:rsid w:val="00690EFB"/>
    <w:rsid w:val="006B142A"/>
    <w:rsid w:val="006D3555"/>
    <w:rsid w:val="006D419E"/>
    <w:rsid w:val="00702039"/>
    <w:rsid w:val="00712D96"/>
    <w:rsid w:val="00717C03"/>
    <w:rsid w:val="00724E6E"/>
    <w:rsid w:val="007251F3"/>
    <w:rsid w:val="00733483"/>
    <w:rsid w:val="00733A7E"/>
    <w:rsid w:val="00734275"/>
    <w:rsid w:val="00746FDE"/>
    <w:rsid w:val="00773331"/>
    <w:rsid w:val="007865D8"/>
    <w:rsid w:val="007904DE"/>
    <w:rsid w:val="00791F7C"/>
    <w:rsid w:val="007932EF"/>
    <w:rsid w:val="007A1DAE"/>
    <w:rsid w:val="007B2BED"/>
    <w:rsid w:val="007B3975"/>
    <w:rsid w:val="007B735A"/>
    <w:rsid w:val="007C4E74"/>
    <w:rsid w:val="007C6DE6"/>
    <w:rsid w:val="007C7D85"/>
    <w:rsid w:val="007D1966"/>
    <w:rsid w:val="007D4D7F"/>
    <w:rsid w:val="007E05B0"/>
    <w:rsid w:val="00815F92"/>
    <w:rsid w:val="00816DEB"/>
    <w:rsid w:val="0081762C"/>
    <w:rsid w:val="008334F0"/>
    <w:rsid w:val="00843120"/>
    <w:rsid w:val="00844738"/>
    <w:rsid w:val="0084779F"/>
    <w:rsid w:val="00860623"/>
    <w:rsid w:val="00860753"/>
    <w:rsid w:val="00862668"/>
    <w:rsid w:val="00874D22"/>
    <w:rsid w:val="00882E08"/>
    <w:rsid w:val="00890DA0"/>
    <w:rsid w:val="00890E8F"/>
    <w:rsid w:val="0089523A"/>
    <w:rsid w:val="008A2914"/>
    <w:rsid w:val="008A3A9B"/>
    <w:rsid w:val="008A7A44"/>
    <w:rsid w:val="008B3FD2"/>
    <w:rsid w:val="008D01CE"/>
    <w:rsid w:val="008D0E8B"/>
    <w:rsid w:val="008E0FD5"/>
    <w:rsid w:val="008E4D8E"/>
    <w:rsid w:val="008E4E34"/>
    <w:rsid w:val="00922DA9"/>
    <w:rsid w:val="00927D3B"/>
    <w:rsid w:val="0093226C"/>
    <w:rsid w:val="00932CFA"/>
    <w:rsid w:val="00932F25"/>
    <w:rsid w:val="00941744"/>
    <w:rsid w:val="0094500D"/>
    <w:rsid w:val="009454C1"/>
    <w:rsid w:val="00946E83"/>
    <w:rsid w:val="00951894"/>
    <w:rsid w:val="00970658"/>
    <w:rsid w:val="00976266"/>
    <w:rsid w:val="009771A7"/>
    <w:rsid w:val="009823D8"/>
    <w:rsid w:val="00992854"/>
    <w:rsid w:val="009A4EFE"/>
    <w:rsid w:val="009E0353"/>
    <w:rsid w:val="00A25450"/>
    <w:rsid w:val="00A56986"/>
    <w:rsid w:val="00A57B28"/>
    <w:rsid w:val="00A659E0"/>
    <w:rsid w:val="00A82266"/>
    <w:rsid w:val="00A84615"/>
    <w:rsid w:val="00A93870"/>
    <w:rsid w:val="00A94DE4"/>
    <w:rsid w:val="00AB5438"/>
    <w:rsid w:val="00AC4C99"/>
    <w:rsid w:val="00AE2EBD"/>
    <w:rsid w:val="00AF7259"/>
    <w:rsid w:val="00B00364"/>
    <w:rsid w:val="00B046D2"/>
    <w:rsid w:val="00B12C36"/>
    <w:rsid w:val="00B14531"/>
    <w:rsid w:val="00B15A83"/>
    <w:rsid w:val="00B35A42"/>
    <w:rsid w:val="00B557D9"/>
    <w:rsid w:val="00B57E0F"/>
    <w:rsid w:val="00B6129F"/>
    <w:rsid w:val="00B66310"/>
    <w:rsid w:val="00B76CB8"/>
    <w:rsid w:val="00B872A2"/>
    <w:rsid w:val="00B90DEE"/>
    <w:rsid w:val="00B94276"/>
    <w:rsid w:val="00B94A1C"/>
    <w:rsid w:val="00BA7EDA"/>
    <w:rsid w:val="00BC110A"/>
    <w:rsid w:val="00BD4249"/>
    <w:rsid w:val="00C05228"/>
    <w:rsid w:val="00C12301"/>
    <w:rsid w:val="00C14B14"/>
    <w:rsid w:val="00C17588"/>
    <w:rsid w:val="00C33A39"/>
    <w:rsid w:val="00C427E4"/>
    <w:rsid w:val="00C63EAE"/>
    <w:rsid w:val="00C72C41"/>
    <w:rsid w:val="00C8030C"/>
    <w:rsid w:val="00C92807"/>
    <w:rsid w:val="00C95912"/>
    <w:rsid w:val="00CB168F"/>
    <w:rsid w:val="00CB1C72"/>
    <w:rsid w:val="00CC47DE"/>
    <w:rsid w:val="00CD1503"/>
    <w:rsid w:val="00CD6ED3"/>
    <w:rsid w:val="00CE4698"/>
    <w:rsid w:val="00CF080C"/>
    <w:rsid w:val="00D20381"/>
    <w:rsid w:val="00D22641"/>
    <w:rsid w:val="00D2591C"/>
    <w:rsid w:val="00D31655"/>
    <w:rsid w:val="00D51549"/>
    <w:rsid w:val="00D62F02"/>
    <w:rsid w:val="00D74439"/>
    <w:rsid w:val="00D81420"/>
    <w:rsid w:val="00D84F88"/>
    <w:rsid w:val="00D85592"/>
    <w:rsid w:val="00DC0846"/>
    <w:rsid w:val="00DC394D"/>
    <w:rsid w:val="00DC5FDC"/>
    <w:rsid w:val="00DD64A7"/>
    <w:rsid w:val="00DF0E4C"/>
    <w:rsid w:val="00DF2072"/>
    <w:rsid w:val="00DF2B9B"/>
    <w:rsid w:val="00DF4767"/>
    <w:rsid w:val="00E638EC"/>
    <w:rsid w:val="00E6729B"/>
    <w:rsid w:val="00E72792"/>
    <w:rsid w:val="00E95C37"/>
    <w:rsid w:val="00EC7C35"/>
    <w:rsid w:val="00ED4EE3"/>
    <w:rsid w:val="00ED70F9"/>
    <w:rsid w:val="00EE5D22"/>
    <w:rsid w:val="00F03CA3"/>
    <w:rsid w:val="00F2441F"/>
    <w:rsid w:val="00F34E34"/>
    <w:rsid w:val="00F50875"/>
    <w:rsid w:val="00F80FD0"/>
    <w:rsid w:val="00F82C06"/>
    <w:rsid w:val="00F901E3"/>
    <w:rsid w:val="00FA39DC"/>
    <w:rsid w:val="00FA724F"/>
    <w:rsid w:val="00FB4F91"/>
    <w:rsid w:val="00FB5CE1"/>
    <w:rsid w:val="00FC38F8"/>
    <w:rsid w:val="00FD4971"/>
    <w:rsid w:val="0605D5EB"/>
    <w:rsid w:val="1357A2C4"/>
    <w:rsid w:val="1A31FE7F"/>
    <w:rsid w:val="7D52C6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87D3296-D953-48B3-BE24-16680CC8C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717C03"/>
    <w:pPr>
      <w:numPr>
        <w:numId w:val="2"/>
      </w:numPr>
      <w:tabs>
        <w:tab w:val="num" w:pos="360"/>
      </w:tabs>
      <w:ind w:left="0" w:firstLine="0"/>
    </w:pPr>
    <w:rPr>
      <w:rFonts w:eastAsia="Times New Roman"/>
      <w:lang w:eastAsia="de-DE"/>
    </w:rPr>
  </w:style>
  <w:style w:type="paragraph" w:styleId="ListNumber">
    <w:name w:val="List Number"/>
    <w:basedOn w:val="Normal"/>
    <w:rsid w:val="00717C03"/>
    <w:pPr>
      <w:numPr>
        <w:numId w:val="6"/>
      </w:numPr>
    </w:pPr>
    <w:rPr>
      <w:rFonts w:eastAsia="Times New Roman"/>
      <w:lang w:eastAsia="de-DE"/>
    </w:rPr>
  </w:style>
  <w:style w:type="paragraph" w:customStyle="1" w:styleId="ListBullet1">
    <w:name w:val="List Bullet 1"/>
    <w:basedOn w:val="Normal"/>
    <w:rsid w:val="00717C03"/>
    <w:pPr>
      <w:numPr>
        <w:numId w:val="1"/>
      </w:numPr>
    </w:pPr>
    <w:rPr>
      <w:rFonts w:eastAsia="Times New Roman"/>
      <w:lang w:eastAsia="de-DE"/>
    </w:rPr>
  </w:style>
  <w:style w:type="paragraph" w:customStyle="1" w:styleId="ListDash">
    <w:name w:val="List Dash"/>
    <w:basedOn w:val="Normal"/>
    <w:rsid w:val="00717C03"/>
    <w:pPr>
      <w:numPr>
        <w:numId w:val="3"/>
      </w:numPr>
    </w:pPr>
    <w:rPr>
      <w:rFonts w:eastAsia="Times New Roman"/>
      <w:lang w:eastAsia="de-DE"/>
    </w:rPr>
  </w:style>
  <w:style w:type="paragraph" w:customStyle="1" w:styleId="ListDash1">
    <w:name w:val="List Dash 1"/>
    <w:basedOn w:val="Normal"/>
    <w:rsid w:val="00717C03"/>
    <w:pPr>
      <w:numPr>
        <w:numId w:val="4"/>
      </w:numPr>
    </w:pPr>
    <w:rPr>
      <w:rFonts w:eastAsia="Times New Roman"/>
      <w:lang w:eastAsia="de-DE"/>
    </w:rPr>
  </w:style>
  <w:style w:type="paragraph" w:customStyle="1" w:styleId="ListDash2">
    <w:name w:val="List Dash 2"/>
    <w:basedOn w:val="Normal"/>
    <w:rsid w:val="00717C03"/>
    <w:pPr>
      <w:numPr>
        <w:numId w:val="5"/>
      </w:numPr>
    </w:pPr>
    <w:rPr>
      <w:rFonts w:eastAsia="Times New Roman"/>
      <w:lang w:eastAsia="de-DE"/>
    </w:rPr>
  </w:style>
  <w:style w:type="paragraph" w:customStyle="1" w:styleId="ListNumberLevel2">
    <w:name w:val="List Number (Level 2)"/>
    <w:basedOn w:val="Normal"/>
    <w:rsid w:val="00717C03"/>
    <w:pPr>
      <w:numPr>
        <w:ilvl w:val="1"/>
        <w:numId w:val="6"/>
      </w:numPr>
    </w:pPr>
    <w:rPr>
      <w:rFonts w:eastAsia="Times New Roman"/>
      <w:lang w:eastAsia="de-DE"/>
    </w:rPr>
  </w:style>
  <w:style w:type="paragraph" w:customStyle="1" w:styleId="ListNumberLevel3">
    <w:name w:val="List Number (Level 3)"/>
    <w:basedOn w:val="Normal"/>
    <w:rsid w:val="00717C03"/>
    <w:pPr>
      <w:numPr>
        <w:ilvl w:val="2"/>
        <w:numId w:val="6"/>
      </w:numPr>
    </w:pPr>
    <w:rPr>
      <w:rFonts w:eastAsia="Times New Roman"/>
      <w:lang w:eastAsia="de-DE"/>
    </w:rPr>
  </w:style>
  <w:style w:type="paragraph" w:customStyle="1" w:styleId="ListNumberLevel4">
    <w:name w:val="List Number (Level 4)"/>
    <w:basedOn w:val="Normal"/>
    <w:rsid w:val="00717C03"/>
    <w:pPr>
      <w:numPr>
        <w:ilvl w:val="3"/>
        <w:numId w:val="6"/>
      </w:numPr>
    </w:pPr>
    <w:rPr>
      <w:rFonts w:eastAsia="Times New Roman"/>
      <w:lang w:eastAsia="de-DE"/>
    </w:rPr>
  </w:style>
  <w:style w:type="table" w:styleId="TableGrid">
    <w:name w:val="Table Grid"/>
    <w:basedOn w:val="TableNormal"/>
    <w:rsid w:val="00717C03"/>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717C03"/>
    <w:rPr>
      <w:color w:val="0000FF"/>
      <w:u w:val="single"/>
    </w:rPr>
  </w:style>
  <w:style w:type="paragraph" w:styleId="ListBullet">
    <w:name w:val="List Bullet"/>
    <w:basedOn w:val="Normal"/>
    <w:rsid w:val="00717C03"/>
    <w:pPr>
      <w:numPr>
        <w:numId w:val="7"/>
      </w:numPr>
    </w:pPr>
    <w:rPr>
      <w:rFonts w:eastAsia="Times New Roman"/>
      <w:lang w:eastAsia="en-GB"/>
    </w:rPr>
  </w:style>
  <w:style w:type="paragraph" w:styleId="ListBullet2">
    <w:name w:val="List Bullet 2"/>
    <w:basedOn w:val="Normal"/>
    <w:rsid w:val="00717C03"/>
    <w:pPr>
      <w:numPr>
        <w:numId w:val="8"/>
      </w:numPr>
    </w:pPr>
    <w:rPr>
      <w:rFonts w:eastAsia="Times New Roman"/>
      <w:lang w:eastAsia="en-GB"/>
    </w:rPr>
  </w:style>
  <w:style w:type="paragraph" w:styleId="ListBullet3">
    <w:name w:val="List Bullet 3"/>
    <w:basedOn w:val="Normal"/>
    <w:rsid w:val="00717C03"/>
    <w:pPr>
      <w:numPr>
        <w:numId w:val="9"/>
      </w:numPr>
    </w:pPr>
    <w:rPr>
      <w:rFonts w:eastAsia="Times New Roman"/>
      <w:lang w:eastAsia="en-GB"/>
    </w:rPr>
  </w:style>
  <w:style w:type="paragraph" w:styleId="ListNumber2">
    <w:name w:val="List Number 2"/>
    <w:basedOn w:val="Normal"/>
    <w:rsid w:val="00717C03"/>
    <w:pPr>
      <w:numPr>
        <w:numId w:val="13"/>
      </w:numPr>
    </w:pPr>
    <w:rPr>
      <w:rFonts w:eastAsia="Times New Roman"/>
      <w:lang w:eastAsia="en-GB"/>
    </w:rPr>
  </w:style>
  <w:style w:type="paragraph" w:styleId="ListNumber3">
    <w:name w:val="List Number 3"/>
    <w:basedOn w:val="Normal"/>
    <w:rsid w:val="00717C03"/>
    <w:pPr>
      <w:numPr>
        <w:numId w:val="14"/>
      </w:numPr>
    </w:pPr>
    <w:rPr>
      <w:rFonts w:eastAsia="Times New Roman"/>
      <w:lang w:eastAsia="en-GB"/>
    </w:rPr>
  </w:style>
  <w:style w:type="paragraph" w:styleId="ListNumber4">
    <w:name w:val="List Number 4"/>
    <w:basedOn w:val="Normal"/>
    <w:rsid w:val="00717C03"/>
    <w:pPr>
      <w:numPr>
        <w:numId w:val="15"/>
      </w:numPr>
    </w:pPr>
    <w:rPr>
      <w:rFonts w:eastAsia="Times New Roman"/>
      <w:lang w:eastAsia="en-GB"/>
    </w:rPr>
  </w:style>
  <w:style w:type="paragraph" w:customStyle="1" w:styleId="ListDash3">
    <w:name w:val="List Dash 3"/>
    <w:basedOn w:val="Normal"/>
    <w:rsid w:val="00717C03"/>
    <w:pPr>
      <w:numPr>
        <w:numId w:val="10"/>
      </w:numPr>
    </w:pPr>
    <w:rPr>
      <w:rFonts w:eastAsia="Times New Roman"/>
      <w:lang w:eastAsia="en-GB"/>
    </w:rPr>
  </w:style>
  <w:style w:type="paragraph" w:customStyle="1" w:styleId="ListDash4">
    <w:name w:val="List Dash 4"/>
    <w:basedOn w:val="Normal"/>
    <w:rsid w:val="00717C03"/>
    <w:pPr>
      <w:numPr>
        <w:numId w:val="11"/>
      </w:numPr>
    </w:pPr>
    <w:rPr>
      <w:rFonts w:eastAsia="Times New Roman"/>
      <w:lang w:eastAsia="en-GB"/>
    </w:rPr>
  </w:style>
  <w:style w:type="paragraph" w:customStyle="1" w:styleId="ListNumber1">
    <w:name w:val="List Number 1"/>
    <w:basedOn w:val="Text1"/>
    <w:rsid w:val="00717C03"/>
    <w:pPr>
      <w:numPr>
        <w:numId w:val="12"/>
      </w:numPr>
    </w:pPr>
    <w:rPr>
      <w:rFonts w:eastAsia="Times New Roman"/>
      <w:lang w:eastAsia="en-GB"/>
    </w:rPr>
  </w:style>
  <w:style w:type="paragraph" w:customStyle="1" w:styleId="ListNumber1Level2">
    <w:name w:val="List Number 1 (Level 2)"/>
    <w:basedOn w:val="Text1"/>
    <w:rsid w:val="00717C03"/>
    <w:pPr>
      <w:numPr>
        <w:ilvl w:val="1"/>
        <w:numId w:val="12"/>
      </w:numPr>
    </w:pPr>
    <w:rPr>
      <w:rFonts w:eastAsia="Times New Roman"/>
      <w:lang w:eastAsia="en-GB"/>
    </w:rPr>
  </w:style>
  <w:style w:type="paragraph" w:customStyle="1" w:styleId="ListNumber2Level2">
    <w:name w:val="List Number 2 (Level 2)"/>
    <w:basedOn w:val="Text2"/>
    <w:rsid w:val="00717C03"/>
    <w:pPr>
      <w:numPr>
        <w:ilvl w:val="1"/>
        <w:numId w:val="13"/>
      </w:numPr>
    </w:pPr>
    <w:rPr>
      <w:rFonts w:eastAsia="Times New Roman"/>
      <w:lang w:eastAsia="en-GB"/>
    </w:rPr>
  </w:style>
  <w:style w:type="paragraph" w:customStyle="1" w:styleId="ListNumber3Level2">
    <w:name w:val="List Number 3 (Level 2)"/>
    <w:basedOn w:val="Text3"/>
    <w:rsid w:val="00717C03"/>
    <w:pPr>
      <w:numPr>
        <w:ilvl w:val="1"/>
        <w:numId w:val="14"/>
      </w:numPr>
    </w:pPr>
    <w:rPr>
      <w:rFonts w:eastAsia="Times New Roman"/>
      <w:lang w:eastAsia="en-GB"/>
    </w:rPr>
  </w:style>
  <w:style w:type="paragraph" w:customStyle="1" w:styleId="ListNumber4Level2">
    <w:name w:val="List Number 4 (Level 2)"/>
    <w:basedOn w:val="Text4"/>
    <w:rsid w:val="00717C03"/>
    <w:pPr>
      <w:numPr>
        <w:ilvl w:val="1"/>
        <w:numId w:val="15"/>
      </w:numPr>
    </w:pPr>
    <w:rPr>
      <w:rFonts w:eastAsia="Times New Roman"/>
      <w:lang w:eastAsia="en-GB"/>
    </w:rPr>
  </w:style>
  <w:style w:type="paragraph" w:customStyle="1" w:styleId="ListNumber1Level3">
    <w:name w:val="List Number 1 (Level 3)"/>
    <w:basedOn w:val="Text1"/>
    <w:rsid w:val="00717C03"/>
    <w:pPr>
      <w:numPr>
        <w:ilvl w:val="2"/>
        <w:numId w:val="12"/>
      </w:numPr>
    </w:pPr>
    <w:rPr>
      <w:rFonts w:eastAsia="Times New Roman"/>
      <w:lang w:eastAsia="en-GB"/>
    </w:rPr>
  </w:style>
  <w:style w:type="paragraph" w:customStyle="1" w:styleId="ListNumber2Level3">
    <w:name w:val="List Number 2 (Level 3)"/>
    <w:basedOn w:val="Text2"/>
    <w:rsid w:val="00717C03"/>
    <w:pPr>
      <w:numPr>
        <w:ilvl w:val="2"/>
        <w:numId w:val="13"/>
      </w:numPr>
    </w:pPr>
    <w:rPr>
      <w:rFonts w:eastAsia="Times New Roman"/>
      <w:lang w:eastAsia="en-GB"/>
    </w:rPr>
  </w:style>
  <w:style w:type="paragraph" w:customStyle="1" w:styleId="ListNumber3Level3">
    <w:name w:val="List Number 3 (Level 3)"/>
    <w:basedOn w:val="Text3"/>
    <w:rsid w:val="00717C03"/>
    <w:pPr>
      <w:numPr>
        <w:ilvl w:val="2"/>
        <w:numId w:val="14"/>
      </w:numPr>
    </w:pPr>
    <w:rPr>
      <w:rFonts w:eastAsia="Times New Roman"/>
      <w:lang w:eastAsia="en-GB"/>
    </w:rPr>
  </w:style>
  <w:style w:type="paragraph" w:customStyle="1" w:styleId="ListNumber4Level3">
    <w:name w:val="List Number 4 (Level 3)"/>
    <w:basedOn w:val="Text4"/>
    <w:rsid w:val="00717C03"/>
    <w:pPr>
      <w:numPr>
        <w:ilvl w:val="2"/>
        <w:numId w:val="15"/>
      </w:numPr>
    </w:pPr>
    <w:rPr>
      <w:rFonts w:eastAsia="Times New Roman"/>
      <w:lang w:eastAsia="en-GB"/>
    </w:rPr>
  </w:style>
  <w:style w:type="paragraph" w:customStyle="1" w:styleId="ListNumber1Level4">
    <w:name w:val="List Number 1 (Level 4)"/>
    <w:basedOn w:val="Text1"/>
    <w:rsid w:val="00717C03"/>
    <w:pPr>
      <w:numPr>
        <w:ilvl w:val="3"/>
        <w:numId w:val="12"/>
      </w:numPr>
    </w:pPr>
    <w:rPr>
      <w:rFonts w:eastAsia="Times New Roman"/>
      <w:lang w:eastAsia="en-GB"/>
    </w:rPr>
  </w:style>
  <w:style w:type="paragraph" w:customStyle="1" w:styleId="ListNumber2Level4">
    <w:name w:val="List Number 2 (Level 4)"/>
    <w:basedOn w:val="Text2"/>
    <w:rsid w:val="00717C03"/>
    <w:pPr>
      <w:numPr>
        <w:ilvl w:val="3"/>
        <w:numId w:val="13"/>
      </w:numPr>
    </w:pPr>
    <w:rPr>
      <w:rFonts w:eastAsia="Times New Roman"/>
      <w:lang w:eastAsia="en-GB"/>
    </w:rPr>
  </w:style>
  <w:style w:type="paragraph" w:customStyle="1" w:styleId="ListNumber3Level4">
    <w:name w:val="List Number 3 (Level 4)"/>
    <w:basedOn w:val="Text3"/>
    <w:rsid w:val="00717C03"/>
    <w:pPr>
      <w:numPr>
        <w:ilvl w:val="3"/>
        <w:numId w:val="14"/>
      </w:numPr>
    </w:pPr>
    <w:rPr>
      <w:rFonts w:eastAsia="Times New Roman"/>
      <w:lang w:eastAsia="en-GB"/>
    </w:rPr>
  </w:style>
  <w:style w:type="paragraph" w:customStyle="1" w:styleId="ListNumber4Level4">
    <w:name w:val="List Number 4 (Level 4)"/>
    <w:basedOn w:val="Text4"/>
    <w:rsid w:val="00717C03"/>
    <w:pPr>
      <w:numPr>
        <w:ilvl w:val="3"/>
        <w:numId w:val="15"/>
      </w:numPr>
    </w:pPr>
    <w:rPr>
      <w:rFonts w:eastAsia="Times New Roman"/>
      <w:lang w:eastAsia="en-GB"/>
    </w:rPr>
  </w:style>
  <w:style w:type="paragraph" w:customStyle="1" w:styleId="Annexetitreacte">
    <w:name w:val="Annexe titre (acte)"/>
    <w:basedOn w:val="Normal"/>
    <w:next w:val="Normal"/>
    <w:rsid w:val="00717C03"/>
    <w:pPr>
      <w:jc w:val="center"/>
    </w:pPr>
    <w:rPr>
      <w:rFonts w:eastAsia="Times New Roman"/>
      <w:b/>
      <w:u w:val="single"/>
      <w:lang w:eastAsia="en-GB"/>
    </w:rPr>
  </w:style>
  <w:style w:type="paragraph" w:customStyle="1" w:styleId="Annexetitreexposglobal">
    <w:name w:val="Annexe titre (exposé global)"/>
    <w:basedOn w:val="Normal"/>
    <w:next w:val="Normal"/>
    <w:rsid w:val="00717C03"/>
    <w:pPr>
      <w:jc w:val="center"/>
    </w:pPr>
    <w:rPr>
      <w:rFonts w:eastAsia="Times New Roman"/>
      <w:b/>
      <w:u w:val="single"/>
      <w:lang w:eastAsia="en-GB"/>
    </w:rPr>
  </w:style>
  <w:style w:type="paragraph" w:customStyle="1" w:styleId="Annexetitrefichefinacte">
    <w:name w:val="Annexe titre (fiche fin. acte)"/>
    <w:basedOn w:val="Normal"/>
    <w:next w:val="Normal"/>
    <w:rsid w:val="00717C03"/>
    <w:pPr>
      <w:jc w:val="center"/>
    </w:pPr>
    <w:rPr>
      <w:rFonts w:eastAsia="Times New Roman"/>
      <w:b/>
      <w:u w:val="single"/>
      <w:lang w:eastAsia="en-GB"/>
    </w:rPr>
  </w:style>
  <w:style w:type="paragraph" w:customStyle="1" w:styleId="Annexetitrefichefinglobale">
    <w:name w:val="Annexe titre (fiche fin. globale)"/>
    <w:basedOn w:val="Normal"/>
    <w:next w:val="Normal"/>
    <w:rsid w:val="00717C03"/>
    <w:pPr>
      <w:jc w:val="center"/>
    </w:pPr>
    <w:rPr>
      <w:rFonts w:eastAsia="Times New Roman"/>
      <w:b/>
      <w:u w:val="single"/>
      <w:lang w:eastAsia="en-GB"/>
    </w:rPr>
  </w:style>
  <w:style w:type="paragraph" w:customStyle="1" w:styleId="Annexetitreglobale">
    <w:name w:val="Annexe titre (globale)"/>
    <w:basedOn w:val="Normal"/>
    <w:next w:val="Normal"/>
    <w:rsid w:val="00717C03"/>
    <w:pPr>
      <w:jc w:val="center"/>
    </w:pPr>
    <w:rPr>
      <w:rFonts w:eastAsia="Times New Roman"/>
      <w:b/>
      <w:u w:val="single"/>
      <w:lang w:eastAsia="en-GB"/>
    </w:rPr>
  </w:style>
  <w:style w:type="paragraph" w:customStyle="1" w:styleId="Exposdesmotifstitreglobal">
    <w:name w:val="Exposé des motifs titre (global)"/>
    <w:basedOn w:val="Normal"/>
    <w:next w:val="Normal"/>
    <w:rsid w:val="00717C03"/>
    <w:pPr>
      <w:jc w:val="center"/>
    </w:pPr>
    <w:rPr>
      <w:rFonts w:eastAsia="Times New Roman"/>
      <w:b/>
      <w:u w:val="single"/>
      <w:lang w:eastAsia="en-GB"/>
    </w:rPr>
  </w:style>
  <w:style w:type="paragraph" w:customStyle="1" w:styleId="Langueoriginale">
    <w:name w:val="Langue originale"/>
    <w:basedOn w:val="Normal"/>
    <w:rsid w:val="00717C03"/>
    <w:pPr>
      <w:spacing w:before="360"/>
      <w:jc w:val="center"/>
    </w:pPr>
    <w:rPr>
      <w:rFonts w:eastAsia="Times New Roman"/>
      <w:caps/>
      <w:lang w:eastAsia="en-GB"/>
    </w:rPr>
  </w:style>
  <w:style w:type="paragraph" w:customStyle="1" w:styleId="Phrasefinale">
    <w:name w:val="Phrase finale"/>
    <w:basedOn w:val="Normal"/>
    <w:next w:val="Normal"/>
    <w:rsid w:val="00717C03"/>
    <w:pPr>
      <w:spacing w:before="360" w:after="0"/>
      <w:jc w:val="center"/>
    </w:pPr>
    <w:rPr>
      <w:rFonts w:eastAsia="Times New Roman"/>
      <w:lang w:eastAsia="en-GB"/>
    </w:rPr>
  </w:style>
  <w:style w:type="paragraph" w:customStyle="1" w:styleId="Prliminairetitre">
    <w:name w:val="Préliminaire titre"/>
    <w:basedOn w:val="Normal"/>
    <w:next w:val="Normal"/>
    <w:rsid w:val="00717C03"/>
    <w:pPr>
      <w:spacing w:before="360" w:after="360"/>
      <w:jc w:val="center"/>
    </w:pPr>
    <w:rPr>
      <w:rFonts w:eastAsia="Times New Roman"/>
      <w:b/>
      <w:lang w:eastAsia="en-GB"/>
    </w:rPr>
  </w:style>
  <w:style w:type="paragraph" w:customStyle="1" w:styleId="Prliminairetype">
    <w:name w:val="Préliminaire type"/>
    <w:basedOn w:val="Normal"/>
    <w:next w:val="Normal"/>
    <w:rsid w:val="00717C03"/>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717C03"/>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717C03"/>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717C03"/>
    <w:pPr>
      <w:spacing w:before="0" w:after="0"/>
      <w:ind w:left="5103"/>
      <w:jc w:val="left"/>
    </w:pPr>
    <w:rPr>
      <w:rFonts w:eastAsia="Times New Roman"/>
      <w:lang w:eastAsia="en-GB"/>
    </w:rPr>
  </w:style>
  <w:style w:type="paragraph" w:customStyle="1" w:styleId="Sous-titreobjetprliminaire">
    <w:name w:val="Sous-titre objet (préliminaire)"/>
    <w:basedOn w:val="Normal"/>
    <w:rsid w:val="00717C03"/>
    <w:pPr>
      <w:spacing w:before="0" w:after="0"/>
      <w:jc w:val="center"/>
    </w:pPr>
    <w:rPr>
      <w:rFonts w:eastAsia="Times New Roman"/>
      <w:b/>
      <w:lang w:eastAsia="en-GB"/>
    </w:rPr>
  </w:style>
  <w:style w:type="paragraph" w:customStyle="1" w:styleId="Statutprliminaire">
    <w:name w:val="Statut (préliminaire)"/>
    <w:basedOn w:val="Normal"/>
    <w:next w:val="Normal"/>
    <w:rsid w:val="00717C03"/>
    <w:pPr>
      <w:spacing w:before="360" w:after="0"/>
      <w:jc w:val="center"/>
    </w:pPr>
    <w:rPr>
      <w:rFonts w:eastAsia="Times New Roman"/>
      <w:lang w:eastAsia="en-GB"/>
    </w:rPr>
  </w:style>
  <w:style w:type="paragraph" w:customStyle="1" w:styleId="Titreobjetprliminaire">
    <w:name w:val="Titre objet (préliminaire)"/>
    <w:basedOn w:val="Normal"/>
    <w:next w:val="Normal"/>
    <w:rsid w:val="00717C03"/>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717C03"/>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717C03"/>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717C03"/>
    <w:pPr>
      <w:jc w:val="center"/>
    </w:pPr>
    <w:rPr>
      <w:rFonts w:eastAsia="Times New Roman"/>
      <w:b/>
      <w:u w:val="single"/>
      <w:lang w:eastAsia="en-GB"/>
    </w:rPr>
  </w:style>
  <w:style w:type="paragraph" w:customStyle="1" w:styleId="Fichefinanciretravailtitre">
    <w:name w:val="Fiche financière (travail) titre"/>
    <w:basedOn w:val="Normal"/>
    <w:next w:val="Normal"/>
    <w:rsid w:val="00717C03"/>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717C03"/>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717C03"/>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717C03"/>
    <w:pPr>
      <w:jc w:val="center"/>
    </w:pPr>
    <w:rPr>
      <w:rFonts w:eastAsia="Times New Roman"/>
      <w:b/>
      <w:u w:val="single"/>
      <w:lang w:eastAsia="en-GB"/>
    </w:rPr>
  </w:style>
  <w:style w:type="character" w:styleId="CommentReference">
    <w:name w:val="annotation reference"/>
    <w:rsid w:val="00717C03"/>
    <w:rPr>
      <w:rFonts w:cs="Times New Roman"/>
      <w:sz w:val="16"/>
      <w:szCs w:val="16"/>
    </w:rPr>
  </w:style>
  <w:style w:type="paragraph" w:styleId="CommentText">
    <w:name w:val="annotation text"/>
    <w:basedOn w:val="Normal"/>
    <w:link w:val="CommentTextChar"/>
    <w:rsid w:val="00717C03"/>
    <w:rPr>
      <w:rFonts w:eastAsia="Times New Roman"/>
      <w:sz w:val="20"/>
      <w:szCs w:val="20"/>
      <w:lang w:eastAsia="en-GB"/>
    </w:rPr>
  </w:style>
  <w:style w:type="character" w:customStyle="1" w:styleId="CommentTextChar">
    <w:name w:val="Comment Text Char"/>
    <w:basedOn w:val="DefaultParagraphFont"/>
    <w:link w:val="CommentText"/>
    <w:rsid w:val="00717C03"/>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sid w:val="00717C03"/>
    <w:rPr>
      <w:b/>
      <w:bCs/>
    </w:rPr>
  </w:style>
  <w:style w:type="character" w:customStyle="1" w:styleId="CommentSubjectChar">
    <w:name w:val="Comment Subject Char"/>
    <w:basedOn w:val="CommentTextChar"/>
    <w:link w:val="CommentSubject"/>
    <w:rsid w:val="00717C03"/>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717C03"/>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717C03"/>
    <w:rPr>
      <w:rFonts w:ascii="Tahoma" w:eastAsia="Times New Roman" w:hAnsi="Tahoma" w:cs="Tahoma"/>
      <w:sz w:val="16"/>
      <w:szCs w:val="16"/>
      <w:lang w:val="ro-RO" w:eastAsia="en-GB"/>
    </w:rPr>
  </w:style>
  <w:style w:type="paragraph" w:styleId="Caption">
    <w:name w:val="caption"/>
    <w:basedOn w:val="Normal"/>
    <w:next w:val="Normal"/>
    <w:qFormat/>
    <w:rsid w:val="00717C03"/>
    <w:rPr>
      <w:rFonts w:eastAsia="Times New Roman"/>
      <w:b/>
      <w:bCs/>
      <w:sz w:val="20"/>
      <w:szCs w:val="20"/>
      <w:lang w:eastAsia="en-GB"/>
    </w:rPr>
  </w:style>
  <w:style w:type="paragraph" w:styleId="TableofFigures">
    <w:name w:val="table of figures"/>
    <w:basedOn w:val="Normal"/>
    <w:next w:val="Normal"/>
    <w:rsid w:val="00717C03"/>
    <w:rPr>
      <w:rFonts w:eastAsia="Times New Roman"/>
      <w:lang w:eastAsia="en-GB"/>
    </w:rPr>
  </w:style>
  <w:style w:type="character" w:styleId="PageNumber">
    <w:name w:val="page number"/>
    <w:rsid w:val="00717C03"/>
  </w:style>
  <w:style w:type="character" w:customStyle="1" w:styleId="tw4winMark">
    <w:name w:val="tw4winMark"/>
    <w:rsid w:val="00717C03"/>
    <w:rPr>
      <w:vanish/>
      <w:color w:val="800080"/>
      <w:vertAlign w:val="subscript"/>
    </w:rPr>
  </w:style>
  <w:style w:type="character" w:styleId="FollowedHyperlink">
    <w:name w:val="FollowedHyperlink"/>
    <w:rsid w:val="00717C03"/>
    <w:rPr>
      <w:color w:val="800080"/>
      <w:u w:val="single"/>
    </w:rPr>
  </w:style>
  <w:style w:type="paragraph" w:customStyle="1" w:styleId="Sous-titreobjet">
    <w:name w:val="Sous-titre objet"/>
    <w:basedOn w:val="Normal"/>
    <w:rsid w:val="00717C03"/>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717C03"/>
  </w:style>
  <w:style w:type="paragraph" w:styleId="Revision">
    <w:name w:val="Revision"/>
    <w:hidden/>
    <w:uiPriority w:val="99"/>
    <w:semiHidden/>
    <w:rsid w:val="00717C03"/>
    <w:rPr>
      <w:rFonts w:ascii="Calibri" w:eastAsia="Calibri" w:hAnsi="Calibri" w:cs="Times New Roman"/>
      <w:sz w:val="24"/>
      <w:lang w:eastAsia="en-GB"/>
    </w:rPr>
  </w:style>
  <w:style w:type="paragraph" w:customStyle="1" w:styleId="FooterCoverPage">
    <w:name w:val="Footer Cover Page"/>
    <w:basedOn w:val="Normal"/>
    <w:link w:val="FooterCoverPageChar"/>
    <w:rsid w:val="00717C03"/>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717C03"/>
    <w:rPr>
      <w:rFonts w:ascii="Times New Roman" w:hAnsi="Times New Roman" w:cs="Times New Roman"/>
      <w:b/>
      <w:sz w:val="28"/>
      <w:lang w:val="ro-RO"/>
    </w:rPr>
  </w:style>
  <w:style w:type="character" w:customStyle="1" w:styleId="FooterCoverPageChar">
    <w:name w:val="Footer Cover Page Char"/>
    <w:link w:val="FooterCoverPage"/>
    <w:rsid w:val="00717C03"/>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717C03"/>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717C03"/>
    <w:rPr>
      <w:rFonts w:ascii="Times New Roman" w:eastAsia="Calibri" w:hAnsi="Times New Roman" w:cs="Times New Roman"/>
      <w:sz w:val="24"/>
      <w:lang w:val="ro-RO" w:eastAsia="en-GB"/>
    </w:rPr>
  </w:style>
  <w:style w:type="character" w:customStyle="1" w:styleId="FooterSensitivityChar">
    <w:name w:val="Footer Sensitivity Char"/>
    <w:rsid w:val="00717C03"/>
    <w:rPr>
      <w:rFonts w:ascii="Times New Roman" w:hAnsi="Times New Roman" w:cs="Times New Roman"/>
      <w:b/>
      <w:sz w:val="32"/>
      <w:lang w:val="ro-RO"/>
    </w:rPr>
  </w:style>
  <w:style w:type="character" w:customStyle="1" w:styleId="HeaderSensitivityChar">
    <w:name w:val="Header Sensitivity Char"/>
    <w:rsid w:val="00717C03"/>
    <w:rPr>
      <w:rFonts w:ascii="Times New Roman" w:hAnsi="Times New Roman" w:cs="Times New Roman"/>
      <w:b/>
      <w:sz w:val="32"/>
      <w:lang w:val="ro-RO"/>
    </w:rPr>
  </w:style>
  <w:style w:type="character" w:customStyle="1" w:styleId="HeaderSensitivityRightChar">
    <w:name w:val="Header Sensitivity Right Char"/>
    <w:rsid w:val="00717C03"/>
    <w:rPr>
      <w:rFonts w:ascii="Times New Roman" w:hAnsi="Times New Roman" w:cs="Times New Roman"/>
      <w:sz w:val="28"/>
      <w:lang w:val="ro-RO"/>
    </w:rPr>
  </w:style>
  <w:style w:type="paragraph" w:customStyle="1" w:styleId="LegalNumPar">
    <w:name w:val="LegalNumPar"/>
    <w:basedOn w:val="Normal"/>
    <w:rsid w:val="00717C03"/>
    <w:pPr>
      <w:numPr>
        <w:numId w:val="16"/>
      </w:numPr>
      <w:spacing w:line="360" w:lineRule="auto"/>
    </w:pPr>
    <w:rPr>
      <w:rFonts w:eastAsia="Times New Roman"/>
      <w:lang w:eastAsia="en-GB"/>
    </w:rPr>
  </w:style>
  <w:style w:type="paragraph" w:customStyle="1" w:styleId="LegalNumPar2">
    <w:name w:val="LegalNumPar2"/>
    <w:basedOn w:val="Normal"/>
    <w:rsid w:val="00717C03"/>
    <w:pPr>
      <w:numPr>
        <w:ilvl w:val="1"/>
        <w:numId w:val="16"/>
      </w:numPr>
      <w:spacing w:line="360" w:lineRule="auto"/>
    </w:pPr>
    <w:rPr>
      <w:rFonts w:eastAsia="Times New Roman"/>
      <w:lang w:eastAsia="en-GB"/>
    </w:rPr>
  </w:style>
  <w:style w:type="paragraph" w:customStyle="1" w:styleId="LegalNumPar3">
    <w:name w:val="LegalNumPar3"/>
    <w:basedOn w:val="Normal"/>
    <w:rsid w:val="00717C03"/>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717C03"/>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717C03"/>
    <w:rPr>
      <w:color w:val="605E5C"/>
      <w:shd w:val="clear" w:color="auto" w:fill="E1DFDD"/>
    </w:rPr>
  </w:style>
  <w:style w:type="character" w:styleId="Strong">
    <w:name w:val="Strong"/>
    <w:basedOn w:val="DefaultParagraphFont"/>
    <w:qFormat/>
    <w:rsid w:val="00717C03"/>
    <w:rPr>
      <w:b/>
      <w:bCs/>
    </w:rPr>
  </w:style>
  <w:style w:type="character" w:styleId="Emphasis">
    <w:name w:val="Emphasis"/>
    <w:basedOn w:val="DefaultParagraphFont"/>
    <w:qFormat/>
    <w:rsid w:val="00717C03"/>
    <w:rPr>
      <w:i/>
      <w:iCs/>
    </w:rPr>
  </w:style>
  <w:style w:type="character" w:customStyle="1" w:styleId="Mention">
    <w:name w:val="Mention"/>
    <w:basedOn w:val="DefaultParagraphFont"/>
    <w:uiPriority w:val="99"/>
    <w:unhideWhenUsed/>
    <w:rsid w:val="00717C03"/>
    <w:rPr>
      <w:color w:val="2B579A"/>
      <w:shd w:val="clear" w:color="auto" w:fill="E1DFDD"/>
    </w:rPr>
  </w:style>
  <w:style w:type="character" w:customStyle="1" w:styleId="normaltextrun">
    <w:name w:val="normaltextrun"/>
    <w:basedOn w:val="DefaultParagraphFont"/>
    <w:rsid w:val="00717C03"/>
  </w:style>
  <w:style w:type="character" w:customStyle="1" w:styleId="eop">
    <w:name w:val="eop"/>
    <w:basedOn w:val="DefaultParagraphFont"/>
    <w:rsid w:val="00717C03"/>
  </w:style>
  <w:style w:type="character" w:customStyle="1" w:styleId="HeaderChar">
    <w:name w:val="Header Char"/>
    <w:basedOn w:val="DefaultParagraphFont"/>
    <w:link w:val="Header"/>
    <w:uiPriority w:val="99"/>
    <w:rsid w:val="00844738"/>
    <w:rPr>
      <w:rFonts w:ascii="Times New Roman" w:hAnsi="Times New Roman" w:cs="Times New Roman"/>
      <w:sz w:val="24"/>
      <w:lang w:val="ro-RO"/>
    </w:rPr>
  </w:style>
  <w:style w:type="character" w:customStyle="1" w:styleId="FooterChar">
    <w:name w:val="Footer Char"/>
    <w:basedOn w:val="DefaultParagraphFont"/>
    <w:link w:val="Footer"/>
    <w:uiPriority w:val="99"/>
    <w:rsid w:val="00844738"/>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4473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44738"/>
    <w:pPr>
      <w:spacing w:before="0"/>
      <w:jc w:val="right"/>
    </w:pPr>
    <w:rPr>
      <w:sz w:val="28"/>
    </w:rPr>
  </w:style>
  <w:style w:type="paragraph" w:customStyle="1" w:styleId="FooterSensitivity">
    <w:name w:val="Footer Sensitivity"/>
    <w:basedOn w:val="Normal"/>
    <w:rsid w:val="0084473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44738"/>
    <w:pPr>
      <w:tabs>
        <w:tab w:val="center" w:pos="4535"/>
        <w:tab w:val="right" w:pos="9071"/>
      </w:tabs>
      <w:spacing w:before="0"/>
    </w:pPr>
  </w:style>
  <w:style w:type="paragraph" w:customStyle="1" w:styleId="HeaderLandscape">
    <w:name w:val="HeaderLandscape"/>
    <w:basedOn w:val="Normal"/>
    <w:rsid w:val="00844738"/>
    <w:pPr>
      <w:tabs>
        <w:tab w:val="center" w:pos="7285"/>
        <w:tab w:val="right" w:pos="14003"/>
      </w:tabs>
      <w:spacing w:before="0"/>
    </w:pPr>
  </w:style>
  <w:style w:type="paragraph" w:styleId="Footer">
    <w:name w:val="footer"/>
    <w:basedOn w:val="Normal"/>
    <w:link w:val="FooterChar"/>
    <w:uiPriority w:val="99"/>
    <w:unhideWhenUsed/>
    <w:rsid w:val="0084473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4473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del/2022/2104/oj" TargetMode="External"/><Relationship Id="rId7" Type="http://schemas.openxmlformats.org/officeDocument/2006/relationships/hyperlink" Target="http://data.europa.eu/eli/reg/2013/1308/2023-01-01" TargetMode="External"/><Relationship Id="rId2" Type="http://schemas.openxmlformats.org/officeDocument/2006/relationships/hyperlink" Target="http://data.europa.eu/eli/reg/2013/1308/2023-01-01" TargetMode="External"/><Relationship Id="rId1" Type="http://schemas.openxmlformats.org/officeDocument/2006/relationships/hyperlink" Target="http://data.europa.eu/eli/dec/2016/1892/oj" TargetMode="External"/><Relationship Id="rId6" Type="http://schemas.openxmlformats.org/officeDocument/2006/relationships/hyperlink" Target="http://data.europa.eu/eli/dec/2019/848/oj" TargetMode="External"/><Relationship Id="rId5" Type="http://schemas.openxmlformats.org/officeDocument/2006/relationships/hyperlink" Target="http://data.europa.eu/eli/dec/2016/1892/oj" TargetMode="External"/><Relationship Id="rId4" Type="http://schemas.openxmlformats.org/officeDocument/2006/relationships/hyperlink" Target="http://data.europa.eu/eli/reg_impl/2022/2105/2022-11-0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4c03d0-0f03-451f-9d46-5279004462a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e7e27166b6ddd379314dbc4ffb647a9d">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6ba0d890b3d934a84d947fa41105d8de"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177768-F1D0-4D72-82F7-6DC069A03865}">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2.xml><?xml version="1.0" encoding="utf-8"?>
<ds:datastoreItem xmlns:ds="http://schemas.openxmlformats.org/officeDocument/2006/customXml" ds:itemID="{74FDC918-BB07-4957-A985-403D9B2C292B}">
  <ds:schemaRefs>
    <ds:schemaRef ds:uri="http://schemas.microsoft.com/sharepoint/v3/contenttype/forms"/>
  </ds:schemaRefs>
</ds:datastoreItem>
</file>

<file path=customXml/itemProps3.xml><?xml version="1.0" encoding="utf-8"?>
<ds:datastoreItem xmlns:ds="http://schemas.openxmlformats.org/officeDocument/2006/customXml" ds:itemID="{53D7F036-B00E-4067-AF4B-4385F0DD45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AFF34C-A3F7-4289-B7EE-7177ECE09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14</TotalTime>
  <Pages>8</Pages>
  <Words>2311</Words>
  <Characters>13176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25</cp:revision>
  <dcterms:created xsi:type="dcterms:W3CDTF">2026-01-12T10:49:00Z</dcterms:created>
  <dcterms:modified xsi:type="dcterms:W3CDTF">2026-01-16T11:41:00Z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2025-02-18T14:09:49Z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8d8fc7f7-0de2-4173-b5a4-56cf084296d7</vt:lpwstr>
  </property>
  <property fmtid="{D5CDD505-2E9C-101B-9397-08002B2CF9AE}" pid="16" name="MSIP_Label_6bd9ddd1-4d20-43f6-abfa-fc3c07406f94_ContentBits">
    <vt:lpwstr>0</vt:lpwstr>
  </property>
  <property fmtid="{D5CDD505-2E9C-101B-9397-08002B2CF9AE}" pid="17" name="ContentTypeId">
    <vt:lpwstr>0x010100BAD999D84E12C74482EA5120F5227F6F00217DECAAC21D6B43958DFE68658C192E</vt:lpwstr>
  </property>
  <property fmtid="{D5CDD505-2E9C-101B-9397-08002B2CF9AE}" pid="18" name="MediaServiceImageTags">
    <vt:lpwstr/>
  </property>
  <property fmtid="{D5CDD505-2E9C-101B-9397-08002B2CF9AE}" pid="19" name="DQCStatus">
    <vt:lpwstr>Green (DQC version 03)</vt:lpwstr>
  </property>
</Properties>
</file>