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406BC" w14:textId="45CA8742" w:rsidR="00AB769E" w:rsidRPr="00A37330" w:rsidRDefault="00AD3A3E" w:rsidP="00AD3A3E">
      <w:pPr>
        <w:pStyle w:val="Pagedecouverture"/>
        <w:rPr>
          <w:noProof/>
        </w:rPr>
      </w:pPr>
      <w:r>
        <w:rPr>
          <w:noProof/>
        </w:rPr>
        <w:pict w14:anchorId="6872F4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9596B5D-4164-4660-B224-A29E4CFEF7F9" style="width:455.25pt;height:408.75pt">
            <v:imagedata r:id="rId8" o:title=""/>
          </v:shape>
        </w:pict>
      </w:r>
    </w:p>
    <w:p w14:paraId="77BCA74A" w14:textId="14F34F69" w:rsidR="007F5AFC" w:rsidRPr="00A37330" w:rsidRDefault="007F5AFC" w:rsidP="007F5AFC">
      <w:pPr>
        <w:pStyle w:val="Pagedecouverture"/>
        <w:rPr>
          <w:noProof/>
        </w:rPr>
        <w:sectPr w:rsidR="007F5AFC" w:rsidRPr="00A37330" w:rsidSect="00AD3A3E">
          <w:footerReference w:type="even" r:id="rId9"/>
          <w:footerReference w:type="default" r:id="rId10"/>
          <w:pgSz w:w="11907" w:h="16839"/>
          <w:pgMar w:top="1134" w:right="1417" w:bottom="1134" w:left="1417" w:header="709" w:footer="709" w:gutter="0"/>
          <w:pgNumType w:start="0"/>
          <w:cols w:space="720"/>
          <w:docGrid w:linePitch="360"/>
        </w:sectPr>
      </w:pPr>
    </w:p>
    <w:p w14:paraId="64799532" w14:textId="7C3C1870" w:rsidR="00AB769E" w:rsidRPr="00A37330" w:rsidRDefault="006E643F" w:rsidP="006E643F">
      <w:pPr>
        <w:pStyle w:val="Rfrenceinterinstitutionnelle"/>
        <w:rPr>
          <w:noProof/>
        </w:rPr>
      </w:pPr>
      <w:bookmarkStart w:id="0" w:name="_GoBack"/>
      <w:bookmarkEnd w:id="0"/>
      <w:r>
        <w:rPr>
          <w:noProof/>
        </w:rPr>
        <w:lastRenderedPageBreak/>
        <w:t>2023/0226 (COD)</w:t>
      </w:r>
    </w:p>
    <w:p w14:paraId="1B6AB367" w14:textId="3426CD7E" w:rsidR="00E10CF6" w:rsidRPr="00A37330" w:rsidRDefault="006E643F" w:rsidP="006E643F">
      <w:pPr>
        <w:pStyle w:val="Typedudocument"/>
        <w:rPr>
          <w:noProof/>
        </w:rPr>
      </w:pPr>
      <w:r w:rsidRPr="00A37330">
        <w:rPr>
          <w:noProof/>
        </w:rPr>
        <w:t>COMUNICARE A COMISIEI CĂTRE PARLAMENTUL EUROPEAN</w:t>
      </w:r>
      <w:r w:rsidRPr="00A37330">
        <w:rPr>
          <w:noProof/>
        </w:rPr>
        <w:br/>
      </w:r>
      <w:r w:rsidRPr="00A37330">
        <w:rPr>
          <w:noProof/>
        </w:rPr>
        <w:br/>
        <w:t>în conformitate cu articolul 294 alineatul (6) din Tratatul privind funcționarea Uniunii Europene</w:t>
      </w:r>
      <w:r w:rsidRPr="00A37330">
        <w:rPr>
          <w:noProof/>
        </w:rPr>
        <w:br/>
      </w:r>
      <w:r w:rsidRPr="00A37330">
        <w:rPr>
          <w:noProof/>
        </w:rPr>
        <w:br/>
        <w:t>privind</w:t>
      </w:r>
    </w:p>
    <w:p w14:paraId="6248AB47" w14:textId="347FB0C1" w:rsidR="0069513B" w:rsidRPr="00A37330" w:rsidRDefault="006E643F" w:rsidP="006E643F">
      <w:pPr>
        <w:pStyle w:val="Titreobjet"/>
        <w:rPr>
          <w:noProof/>
        </w:rPr>
      </w:pPr>
      <w:r w:rsidRPr="00A37330">
        <w:rPr>
          <w:noProof/>
        </w:rPr>
        <w:t>propunerea Consiliului privind un regulament al Parlamentului European și al Consiliului privind plantele obținute prin anumite noi tehnici genomice și alimentele și furajele derivate din ele, și de modificare a Regulamentului (UE) 2017/625</w:t>
      </w:r>
    </w:p>
    <w:p w14:paraId="67713116" w14:textId="77B95B3C" w:rsidR="00E10CF6" w:rsidRPr="00A37330" w:rsidRDefault="006E643F" w:rsidP="006E643F">
      <w:pPr>
        <w:pStyle w:val="IntrtEEE"/>
        <w:rPr>
          <w:noProof/>
        </w:rPr>
      </w:pPr>
      <w:r w:rsidRPr="00A37330">
        <w:rPr>
          <w:noProof/>
        </w:rPr>
        <w:t>(Text cu relevanță pentru SEE)</w:t>
      </w:r>
    </w:p>
    <w:p w14:paraId="7C74FB72" w14:textId="77777777" w:rsidR="00E10CF6" w:rsidRPr="00A37330" w:rsidRDefault="00E10CF6" w:rsidP="001704B9">
      <w:pPr>
        <w:pStyle w:val="ManualHeading1"/>
        <w:rPr>
          <w:noProof/>
          <w:sz w:val="22"/>
        </w:rPr>
      </w:pPr>
      <w:r w:rsidRPr="00A37330">
        <w:rPr>
          <w:noProof/>
        </w:rPr>
        <w:t>1.</w:t>
      </w:r>
      <w:r w:rsidRPr="00A37330">
        <w:rPr>
          <w:noProof/>
        </w:rPr>
        <w:tab/>
        <w:t>Context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2"/>
        <w:gridCol w:w="2375"/>
      </w:tblGrid>
      <w:tr w:rsidR="00E10CF6" w:rsidRPr="00A37330" w14:paraId="3F0648F3" w14:textId="77777777" w:rsidTr="00AB769E">
        <w:tc>
          <w:tcPr>
            <w:tcW w:w="6912" w:type="dxa"/>
          </w:tcPr>
          <w:p w14:paraId="2EDF382E" w14:textId="7EA83551" w:rsidR="00E10CF6" w:rsidRPr="00A37330" w:rsidRDefault="00E10CF6" w:rsidP="00E10CF6">
            <w:pPr>
              <w:jc w:val="left"/>
              <w:rPr>
                <w:noProof/>
              </w:rPr>
            </w:pPr>
            <w:r w:rsidRPr="00A37330">
              <w:rPr>
                <w:noProof/>
              </w:rPr>
              <w:t>Data transmiterii propunerii către Parlamentul European și Consiliu [documentul COM(2023) 411 final – 2023/0226 COD]:</w:t>
            </w:r>
          </w:p>
        </w:tc>
        <w:tc>
          <w:tcPr>
            <w:tcW w:w="2375" w:type="dxa"/>
          </w:tcPr>
          <w:p w14:paraId="447B089D" w14:textId="5B1B6144" w:rsidR="00E10CF6" w:rsidRPr="00A37330" w:rsidRDefault="00E10CF6" w:rsidP="00E10CF6">
            <w:pPr>
              <w:jc w:val="left"/>
              <w:rPr>
                <w:noProof/>
              </w:rPr>
            </w:pPr>
            <w:r w:rsidRPr="00A37330">
              <w:rPr>
                <w:noProof/>
              </w:rPr>
              <w:t>6 iulie 2023</w:t>
            </w:r>
          </w:p>
        </w:tc>
      </w:tr>
      <w:tr w:rsidR="00E10CF6" w:rsidRPr="00A37330" w14:paraId="0E27F855" w14:textId="77777777" w:rsidTr="00AB769E">
        <w:tc>
          <w:tcPr>
            <w:tcW w:w="6912" w:type="dxa"/>
          </w:tcPr>
          <w:p w14:paraId="6F296AEA" w14:textId="7D07066E" w:rsidR="00E10CF6" w:rsidRPr="00A37330" w:rsidRDefault="00E10CF6" w:rsidP="00E10CF6">
            <w:pPr>
              <w:rPr>
                <w:noProof/>
              </w:rPr>
            </w:pPr>
            <w:r w:rsidRPr="00A37330">
              <w:rPr>
                <w:noProof/>
              </w:rPr>
              <w:t>Data avizului Comitetului Economic și Social European:</w:t>
            </w:r>
          </w:p>
        </w:tc>
        <w:tc>
          <w:tcPr>
            <w:tcW w:w="2375" w:type="dxa"/>
          </w:tcPr>
          <w:p w14:paraId="22F78EA4" w14:textId="298D3A25" w:rsidR="00E10CF6" w:rsidRPr="00A37330" w:rsidRDefault="00E10CF6" w:rsidP="00E10CF6">
            <w:pPr>
              <w:jc w:val="left"/>
              <w:rPr>
                <w:noProof/>
              </w:rPr>
            </w:pPr>
            <w:r w:rsidRPr="00A37330">
              <w:rPr>
                <w:noProof/>
              </w:rPr>
              <w:t>26 octombrie 2023</w:t>
            </w:r>
          </w:p>
        </w:tc>
      </w:tr>
      <w:tr w:rsidR="00E10CF6" w:rsidRPr="00A37330" w14:paraId="4CB386AE" w14:textId="77777777" w:rsidTr="00AB769E">
        <w:tc>
          <w:tcPr>
            <w:tcW w:w="6912" w:type="dxa"/>
          </w:tcPr>
          <w:p w14:paraId="2E6E84AF" w14:textId="558CF5EC" w:rsidR="00E10CF6" w:rsidRPr="00A37330" w:rsidRDefault="00E10CF6" w:rsidP="00E10CF6">
            <w:pPr>
              <w:rPr>
                <w:noProof/>
              </w:rPr>
            </w:pPr>
            <w:r w:rsidRPr="00A37330">
              <w:rPr>
                <w:noProof/>
              </w:rPr>
              <w:t>Data avizului Comitetului Regiunilor:</w:t>
            </w:r>
          </w:p>
        </w:tc>
        <w:tc>
          <w:tcPr>
            <w:tcW w:w="2375" w:type="dxa"/>
          </w:tcPr>
          <w:p w14:paraId="60E50311" w14:textId="2CBA016D" w:rsidR="00E10CF6" w:rsidRPr="00A37330" w:rsidRDefault="00E10CF6" w:rsidP="00E10CF6">
            <w:pPr>
              <w:jc w:val="left"/>
              <w:rPr>
                <w:noProof/>
              </w:rPr>
            </w:pPr>
            <w:r w:rsidRPr="00A37330">
              <w:rPr>
                <w:noProof/>
              </w:rPr>
              <w:t>17 aprilie 2024</w:t>
            </w:r>
          </w:p>
        </w:tc>
      </w:tr>
      <w:tr w:rsidR="00E10CF6" w:rsidRPr="00A37330" w14:paraId="731A36D5" w14:textId="77777777" w:rsidTr="00AB769E">
        <w:tc>
          <w:tcPr>
            <w:tcW w:w="6912" w:type="dxa"/>
          </w:tcPr>
          <w:p w14:paraId="1E42A372" w14:textId="796B1701" w:rsidR="00E10CF6" w:rsidRPr="00A37330" w:rsidRDefault="00E10CF6" w:rsidP="00E10CF6">
            <w:pPr>
              <w:rPr>
                <w:noProof/>
              </w:rPr>
            </w:pPr>
            <w:r w:rsidRPr="00A37330">
              <w:rPr>
                <w:noProof/>
              </w:rPr>
              <w:t>Data poziției Parlamentului European în primă lectură:</w:t>
            </w:r>
          </w:p>
        </w:tc>
        <w:tc>
          <w:tcPr>
            <w:tcW w:w="2375" w:type="dxa"/>
          </w:tcPr>
          <w:p w14:paraId="7D8504E8" w14:textId="6DE5C8B8" w:rsidR="00E10CF6" w:rsidRPr="00A37330" w:rsidRDefault="00E10CF6" w:rsidP="00E10CF6">
            <w:pPr>
              <w:jc w:val="left"/>
              <w:rPr>
                <w:noProof/>
              </w:rPr>
            </w:pPr>
            <w:r w:rsidRPr="00A37330">
              <w:rPr>
                <w:noProof/>
              </w:rPr>
              <w:t>24 aprilie 2024</w:t>
            </w:r>
          </w:p>
        </w:tc>
      </w:tr>
      <w:tr w:rsidR="00E10CF6" w:rsidRPr="00A37330" w14:paraId="15BF9B53" w14:textId="77777777" w:rsidTr="00AB769E">
        <w:tc>
          <w:tcPr>
            <w:tcW w:w="6912" w:type="dxa"/>
          </w:tcPr>
          <w:p w14:paraId="4FB681A3" w14:textId="1FE4A441" w:rsidR="00E10CF6" w:rsidRPr="00A37330" w:rsidRDefault="00E10CF6" w:rsidP="00E10CF6">
            <w:pPr>
              <w:rPr>
                <w:noProof/>
              </w:rPr>
            </w:pPr>
            <w:r w:rsidRPr="00A37330">
              <w:rPr>
                <w:noProof/>
              </w:rPr>
              <w:t>Data transmiterii propunerii modificate:</w:t>
            </w:r>
          </w:p>
        </w:tc>
        <w:tc>
          <w:tcPr>
            <w:tcW w:w="2375" w:type="dxa"/>
          </w:tcPr>
          <w:p w14:paraId="27983896" w14:textId="7F83FC40" w:rsidR="00E10CF6" w:rsidRPr="00A37330" w:rsidRDefault="00E10CF6" w:rsidP="00E10CF6">
            <w:pPr>
              <w:jc w:val="left"/>
              <w:rPr>
                <w:noProof/>
              </w:rPr>
            </w:pPr>
            <w:r w:rsidRPr="00A37330">
              <w:rPr>
                <w:noProof/>
              </w:rPr>
              <w:t>N/A</w:t>
            </w:r>
          </w:p>
        </w:tc>
      </w:tr>
      <w:tr w:rsidR="00E10CF6" w:rsidRPr="00A37330" w14:paraId="39ACC7EC" w14:textId="77777777" w:rsidTr="00AB769E">
        <w:tc>
          <w:tcPr>
            <w:tcW w:w="6912" w:type="dxa"/>
          </w:tcPr>
          <w:p w14:paraId="1669B763" w14:textId="404779BF" w:rsidR="00E10CF6" w:rsidRPr="00A37330" w:rsidRDefault="00E10CF6" w:rsidP="00E10CF6">
            <w:pPr>
              <w:rPr>
                <w:noProof/>
              </w:rPr>
            </w:pPr>
            <w:r w:rsidRPr="00A37330">
              <w:rPr>
                <w:noProof/>
              </w:rPr>
              <w:t>Data adoptării poziției Consiliului:</w:t>
            </w:r>
          </w:p>
        </w:tc>
        <w:tc>
          <w:tcPr>
            <w:tcW w:w="2375" w:type="dxa"/>
          </w:tcPr>
          <w:p w14:paraId="70AD0BDB" w14:textId="1B68F337" w:rsidR="00E10CF6" w:rsidRPr="00A37330" w:rsidRDefault="0055549D" w:rsidP="00E10CF6">
            <w:pPr>
              <w:jc w:val="left"/>
              <w:rPr>
                <w:noProof/>
              </w:rPr>
            </w:pPr>
            <w:r w:rsidRPr="00A37330">
              <w:rPr>
                <w:noProof/>
              </w:rPr>
              <w:t>21 aprilie 2026</w:t>
            </w:r>
          </w:p>
        </w:tc>
      </w:tr>
    </w:tbl>
    <w:p w14:paraId="72B687E8" w14:textId="77777777" w:rsidR="00E10CF6" w:rsidRPr="00A37330" w:rsidRDefault="00E10CF6" w:rsidP="001704B9">
      <w:pPr>
        <w:pStyle w:val="ManualHeading1"/>
        <w:rPr>
          <w:noProof/>
        </w:rPr>
      </w:pPr>
      <w:r w:rsidRPr="00A37330">
        <w:rPr>
          <w:noProof/>
        </w:rPr>
        <w:t>2.</w:t>
      </w:r>
      <w:r w:rsidRPr="00A37330">
        <w:rPr>
          <w:noProof/>
        </w:rPr>
        <w:tab/>
        <w:t>Obiectul propunerii Comisiei</w:t>
      </w:r>
    </w:p>
    <w:p w14:paraId="17846355" w14:textId="77777777" w:rsidR="00E10CF6" w:rsidRPr="00A37330" w:rsidRDefault="00E10CF6" w:rsidP="00E10CF6">
      <w:pPr>
        <w:rPr>
          <w:noProof/>
        </w:rPr>
      </w:pPr>
      <w:r w:rsidRPr="00A37330">
        <w:rPr>
          <w:rStyle w:val="normaltextrun"/>
          <w:noProof/>
          <w:color w:val="000000"/>
          <w:bdr w:val="none" w:sz="0" w:space="0" w:color="auto" w:frame="1"/>
        </w:rPr>
        <w:t xml:space="preserve">Propunerea Comisiei urmărește </w:t>
      </w:r>
      <w:r w:rsidRPr="00A37330">
        <w:rPr>
          <w:noProof/>
        </w:rPr>
        <w:t>să permită dezvoltarea și introducerea pe piață a plantelor și a produselor obținute prin anumite noi tehnici genomice (NTG) care contribuie la un sector agroalimentar inovator, rezilient, durabil și competitiv, menținând în același timp un nivel ridicat de protecție a sănătății umane și animale și a mediului.</w:t>
      </w:r>
    </w:p>
    <w:p w14:paraId="1AF1E362" w14:textId="77777777" w:rsidR="00E10CF6" w:rsidRPr="00A37330" w:rsidRDefault="00E10CF6" w:rsidP="001704B9">
      <w:pPr>
        <w:pStyle w:val="ManualHeading1"/>
        <w:rPr>
          <w:noProof/>
        </w:rPr>
      </w:pPr>
      <w:r w:rsidRPr="00A37330">
        <w:rPr>
          <w:noProof/>
        </w:rPr>
        <w:t>3.</w:t>
      </w:r>
      <w:r w:rsidRPr="00A37330">
        <w:rPr>
          <w:noProof/>
        </w:rPr>
        <w:tab/>
        <w:t>Observații privind poziția Consiliului</w:t>
      </w:r>
    </w:p>
    <w:p w14:paraId="64B5DC56" w14:textId="77777777" w:rsidR="00E10CF6" w:rsidRPr="00A37330" w:rsidRDefault="00E10CF6" w:rsidP="00E10CF6">
      <w:pPr>
        <w:rPr>
          <w:noProof/>
        </w:rPr>
      </w:pPr>
      <w:r w:rsidRPr="00A37330">
        <w:rPr>
          <w:noProof/>
        </w:rPr>
        <w:t>Poziția Consiliului adoptată în primă lectură reflectă pe deplin acordul politic la care s-a ajuns între Parlamentul European și Consiliu la 3 decembrie 2025. Comisia sprijină acest acord. Principalele puncte ale acordului sunt următoarele:</w:t>
      </w:r>
    </w:p>
    <w:p w14:paraId="2FD2A962" w14:textId="1E99D737" w:rsidR="00E10CF6" w:rsidRPr="00A37330" w:rsidRDefault="00E10CF6" w:rsidP="00F30784">
      <w:pPr>
        <w:pStyle w:val="Bullet0"/>
        <w:numPr>
          <w:ilvl w:val="0"/>
          <w:numId w:val="2"/>
        </w:numPr>
        <w:rPr>
          <w:noProof/>
        </w:rPr>
      </w:pPr>
      <w:r w:rsidRPr="00A37330">
        <w:rPr>
          <w:noProof/>
        </w:rPr>
        <w:t xml:space="preserve">Plantele NTG trebuie să îndeplinească două condiții pentru a obține statutul de plantă NTG de categoria 1: 1) </w:t>
      </w:r>
      <w:r w:rsidRPr="00A37330">
        <w:rPr>
          <w:b/>
          <w:noProof/>
        </w:rPr>
        <w:t>criteriile de echivalență</w:t>
      </w:r>
      <w:r w:rsidRPr="00A37330">
        <w:rPr>
          <w:noProof/>
        </w:rPr>
        <w:t xml:space="preserve"> a plantelor NTG cu plantele convenționale (anexa I la propunerea Comisiei), 2) planta NTG trebuie </w:t>
      </w:r>
      <w:r w:rsidRPr="00A37330">
        <w:rPr>
          <w:b/>
          <w:noProof/>
        </w:rPr>
        <w:t>să nu includă anumite trăsături</w:t>
      </w:r>
      <w:r w:rsidRPr="00A37330">
        <w:rPr>
          <w:noProof/>
        </w:rPr>
        <w:t xml:space="preserve"> printre trăsăturile transmise prin modificarea genetică („toleranța la erbicide” și „producerea unei substanțe cu acțiune insecticidă cunoscută”) prevăzute în anexa II. În cazul în care o plantă NTG nu îndeplinește aceste condiții, ea va fi tratată ca fiind de categoria 2. Criteriile de echivalență au fost </w:t>
      </w:r>
      <w:r w:rsidRPr="00A37330">
        <w:rPr>
          <w:noProof/>
        </w:rPr>
        <w:lastRenderedPageBreak/>
        <w:t>modificate în mai multe privințe, menținând în același timp esența și soliditatea științifică a propunerii Comisiei. Excluderea anumitor trăsături nu a fost inclusă în propunerea Comisiei, dar este acceptabilă, deoarece numărul trăsăturilor de pe listă este limitat și a fost furnizată o justificare suficientă pentru excluderea unor astfel de trăsături.</w:t>
      </w:r>
    </w:p>
    <w:p w14:paraId="5762521A" w14:textId="15CD3F16" w:rsidR="00DE7374" w:rsidRPr="00A37330" w:rsidRDefault="00E10CF6" w:rsidP="00E10CF6">
      <w:pPr>
        <w:pStyle w:val="Bullet0"/>
        <w:rPr>
          <w:noProof/>
          <w:szCs w:val="24"/>
        </w:rPr>
      </w:pPr>
      <w:r w:rsidRPr="00A37330">
        <w:rPr>
          <w:noProof/>
        </w:rPr>
        <w:t xml:space="preserve">Procesul de verificare a statutului de categoria 1 include cerința ca solicitantul să însoțească cererea cu </w:t>
      </w:r>
      <w:r w:rsidRPr="00A37330">
        <w:rPr>
          <w:b/>
          <w:noProof/>
        </w:rPr>
        <w:t>dovezi științifice care să justifice relația dintre modificările genetice introduse și trăsătura preconizată</w:t>
      </w:r>
      <w:r w:rsidRPr="00A37330">
        <w:rPr>
          <w:noProof/>
        </w:rPr>
        <w:t>.</w:t>
      </w:r>
    </w:p>
    <w:p w14:paraId="3FB8DBC9" w14:textId="02A9F090" w:rsidR="00E10CF6" w:rsidRPr="00A37330" w:rsidRDefault="00E10CF6" w:rsidP="00E10CF6">
      <w:pPr>
        <w:pStyle w:val="Bullet0"/>
        <w:rPr>
          <w:noProof/>
          <w:szCs w:val="24"/>
        </w:rPr>
      </w:pPr>
      <w:r w:rsidRPr="00A37330">
        <w:rPr>
          <w:noProof/>
        </w:rPr>
        <w:t>A fost adăugat un considerent pentru a clarifica faptul că măsurile de urgență din legislația privind alimentele, furajele și alte produse se aplică, de asemenea, plantelor NTG de categoria 1 în cazul în care acestea din urmă sunt susceptibile să constituie un risc grav pentru sănătatea umană, sănătatea animală sau mediu. Acest amendament, precum și cel de mai sus, sunt în conformitate cu logica propunerii Comisiei.</w:t>
      </w:r>
    </w:p>
    <w:p w14:paraId="31D476ED" w14:textId="207030B4" w:rsidR="00E10CF6" w:rsidRPr="00A37330" w:rsidRDefault="001F4B36" w:rsidP="00E10CF6">
      <w:pPr>
        <w:pStyle w:val="Bullet0"/>
        <w:rPr>
          <w:noProof/>
          <w:szCs w:val="24"/>
        </w:rPr>
      </w:pPr>
      <w:r w:rsidRPr="00A37330">
        <w:rPr>
          <w:noProof/>
        </w:rPr>
        <w:t xml:space="preserve">În contextul evaluării de către Comisie a aplicării regulamentului, Comisia trebuie să prezinte un raport care să includă percepția producătorilor și a consumatorilor cu privire la interzicerea plantelor NTG în </w:t>
      </w:r>
      <w:r w:rsidRPr="00A37330">
        <w:rPr>
          <w:b/>
          <w:noProof/>
        </w:rPr>
        <w:t>producția ecologică</w:t>
      </w:r>
      <w:r w:rsidRPr="00A37330">
        <w:rPr>
          <w:noProof/>
        </w:rPr>
        <w:t xml:space="preserve"> și să evalueze sarcina pentru operatorii ecologici care decurge din regulament.</w:t>
      </w:r>
      <w:r w:rsidRPr="00A37330">
        <w:rPr>
          <w:bCs/>
          <w:noProof/>
        </w:rPr>
        <w:t xml:space="preserve"> </w:t>
      </w:r>
      <w:r w:rsidRPr="00A37330">
        <w:rPr>
          <w:noProof/>
        </w:rPr>
        <w:t>O nouă dispoziție clarifică faptul că prezența accidentală sau inevitabilă din punct de vedere tehnic a plantelor NTG de categoria 1 și a produselor pe baza acestora în producția ecologică nu ar trebui să constituie o neconformitate cu Regulamentul (UE) 2018/848 privind producția ecologică. Modificările respective sunt menite să faciliteze coexistența lanțurilor de producție ecologică, convențională și NTG, în conformitate cu propunerea Comisiei.</w:t>
      </w:r>
    </w:p>
    <w:p w14:paraId="3EE331D2" w14:textId="4AA89B6E" w:rsidR="00E10CF6" w:rsidRPr="00A37330" w:rsidRDefault="00E10CF6" w:rsidP="00E10CF6">
      <w:pPr>
        <w:pStyle w:val="Bullet0"/>
        <w:rPr>
          <w:noProof/>
          <w:szCs w:val="24"/>
        </w:rPr>
      </w:pPr>
      <w:r w:rsidRPr="00A37330">
        <w:rPr>
          <w:noProof/>
        </w:rPr>
        <w:t xml:space="preserve">Statele membre au dreptul de a solicita </w:t>
      </w:r>
      <w:r w:rsidRPr="00A37330">
        <w:rPr>
          <w:b/>
          <w:noProof/>
        </w:rPr>
        <w:t>excluderea teritoriului lor de la cultivarea</w:t>
      </w:r>
      <w:r w:rsidRPr="00A37330">
        <w:rPr>
          <w:noProof/>
        </w:rPr>
        <w:t xml:space="preserve"> plantelor NTG de categoria 2 și de a lua </w:t>
      </w:r>
      <w:r w:rsidRPr="00A37330">
        <w:rPr>
          <w:b/>
          <w:noProof/>
        </w:rPr>
        <w:t>măsuri voluntare de coexistență</w:t>
      </w:r>
      <w:r w:rsidRPr="00A37330">
        <w:rPr>
          <w:noProof/>
        </w:rPr>
        <w:t>.</w:t>
      </w:r>
      <w:r w:rsidRPr="00A37330">
        <w:rPr>
          <w:bCs/>
          <w:noProof/>
        </w:rPr>
        <w:t xml:space="preserve"> </w:t>
      </w:r>
      <w:r w:rsidRPr="00A37330">
        <w:rPr>
          <w:noProof/>
        </w:rPr>
        <w:t>Acest lucru este compatibil cu logica propunerii Comisiei, deoarece aliniază normele privind plantele NTG de categoria 2 la legislația existentă privind OMG-urile.</w:t>
      </w:r>
    </w:p>
    <w:p w14:paraId="2CFB2952" w14:textId="50A6A6BD" w:rsidR="00E10CF6" w:rsidRPr="00A37330" w:rsidRDefault="00E10CF6" w:rsidP="00E10CF6">
      <w:pPr>
        <w:pStyle w:val="Bullet0"/>
        <w:rPr>
          <w:noProof/>
          <w:szCs w:val="24"/>
        </w:rPr>
      </w:pPr>
      <w:r w:rsidRPr="00A37330">
        <w:rPr>
          <w:noProof/>
        </w:rPr>
        <w:t xml:space="preserve">Pentru a consolida durabilitatea, se adaugă un articol pentru a specifica elementele de durabilitate ale </w:t>
      </w:r>
      <w:r w:rsidRPr="00A37330">
        <w:rPr>
          <w:b/>
          <w:noProof/>
        </w:rPr>
        <w:t>programului de monitorizare</w:t>
      </w:r>
      <w:r w:rsidRPr="00A37330">
        <w:rPr>
          <w:noProof/>
        </w:rPr>
        <w:t xml:space="preserve"> și luarea în considerare a rezultatului acestuia în rapoartele de punere în aplicare și în evaluarea prevăzute în regulament, astfel încât Comisia să poată evalua necesitatea unor măsuri suplimentare în materie de durabilitate. În plus, un nou articol prevede efectuarea de către statele membre a unor </w:t>
      </w:r>
      <w:r w:rsidRPr="00A37330">
        <w:rPr>
          <w:b/>
          <w:noProof/>
        </w:rPr>
        <w:t>controale</w:t>
      </w:r>
      <w:r w:rsidRPr="00A37330">
        <w:rPr>
          <w:noProof/>
        </w:rPr>
        <w:t xml:space="preserve"> privind respectarea regulamentului. Aceste modificări consolidează dispozițiile privind monitorizarea din propunerea Comisiei.</w:t>
      </w:r>
    </w:p>
    <w:p w14:paraId="3A6CF513" w14:textId="2457734F" w:rsidR="00E10CF6" w:rsidRPr="00A37330" w:rsidRDefault="00E10CF6" w:rsidP="00E10CF6">
      <w:pPr>
        <w:pStyle w:val="Bullet0"/>
        <w:rPr>
          <w:noProof/>
          <w:szCs w:val="24"/>
        </w:rPr>
      </w:pPr>
      <w:r w:rsidRPr="00A37330">
        <w:rPr>
          <w:noProof/>
        </w:rPr>
        <w:t xml:space="preserve">Împuternicirea Comisiei de a adopta </w:t>
      </w:r>
      <w:r w:rsidRPr="00A37330">
        <w:rPr>
          <w:b/>
          <w:noProof/>
        </w:rPr>
        <w:t>acte delegate</w:t>
      </w:r>
      <w:r w:rsidRPr="00A37330">
        <w:rPr>
          <w:noProof/>
        </w:rPr>
        <w:t xml:space="preserve"> (în locul actelor de punere în aplicare) cu privire la cerințele tehnice pentru a demonstra că o plantă este o plantă NTG și pentru a pregăti cererile de verificare pentru plantele NTG de categoria 1 este acceptabilă.</w:t>
      </w:r>
    </w:p>
    <w:p w14:paraId="01029BEB" w14:textId="77777777" w:rsidR="00E10CF6" w:rsidRPr="00A37330" w:rsidRDefault="00E10CF6" w:rsidP="00E10CF6">
      <w:pPr>
        <w:pStyle w:val="Bullet0"/>
        <w:rPr>
          <w:noProof/>
          <w:szCs w:val="24"/>
        </w:rPr>
      </w:pPr>
      <w:r w:rsidRPr="00A37330">
        <w:rPr>
          <w:noProof/>
        </w:rPr>
        <w:t xml:space="preserve">Au fost adăugate mai multe dispoziții referitoare la </w:t>
      </w:r>
      <w:r w:rsidRPr="00A37330">
        <w:rPr>
          <w:b/>
          <w:noProof/>
        </w:rPr>
        <w:t>brevete</w:t>
      </w:r>
      <w:r w:rsidRPr="00A37330">
        <w:rPr>
          <w:noProof/>
        </w:rPr>
        <w:t xml:space="preserve">. Acestea se referă la: </w:t>
      </w:r>
    </w:p>
    <w:p w14:paraId="5C243AD2" w14:textId="77777777" w:rsidR="00E10CF6" w:rsidRPr="00A37330" w:rsidRDefault="00E10CF6" w:rsidP="00F30784">
      <w:pPr>
        <w:pStyle w:val="Bullet1"/>
        <w:numPr>
          <w:ilvl w:val="0"/>
          <w:numId w:val="3"/>
        </w:numPr>
        <w:rPr>
          <w:noProof/>
        </w:rPr>
      </w:pPr>
      <w:r w:rsidRPr="00A37330">
        <w:rPr>
          <w:noProof/>
        </w:rPr>
        <w:t xml:space="preserve">un </w:t>
      </w:r>
      <w:r w:rsidRPr="00A37330">
        <w:rPr>
          <w:b/>
          <w:noProof/>
        </w:rPr>
        <w:t>cod de conduită</w:t>
      </w:r>
      <w:r w:rsidRPr="00A37330">
        <w:rPr>
          <w:noProof/>
        </w:rPr>
        <w:t xml:space="preserve"> voluntar pentru a spori transparența brevetelor, a asigura acordarea de licențe în mod echitabil și a spori securitatea juridică pentru amelioratori și fermieri, Comisia supraveghind instituirea acestuia, monitorizându-l, evaluându-i funcționarea și luând măsuri de monitorizare (inclusiv de natură legislativă), dacă este necesar;</w:t>
      </w:r>
    </w:p>
    <w:p w14:paraId="74F169D2" w14:textId="489DEFEB" w:rsidR="00E10CF6" w:rsidRPr="00A37330" w:rsidRDefault="00E10CF6" w:rsidP="00F30784">
      <w:pPr>
        <w:pStyle w:val="Bullet1"/>
        <w:numPr>
          <w:ilvl w:val="0"/>
          <w:numId w:val="1"/>
        </w:numPr>
        <w:rPr>
          <w:noProof/>
          <w:szCs w:val="24"/>
        </w:rPr>
      </w:pPr>
      <w:r w:rsidRPr="00A37330">
        <w:rPr>
          <w:noProof/>
        </w:rPr>
        <w:lastRenderedPageBreak/>
        <w:t xml:space="preserve">declarații în contextul procedurii de verificare prin care se stabilește că o plantă NTG este de categoria 1: solicitantul trebuie să </w:t>
      </w:r>
      <w:r w:rsidRPr="00A37330">
        <w:rPr>
          <w:b/>
          <w:noProof/>
        </w:rPr>
        <w:t>declare brevetele</w:t>
      </w:r>
      <w:r w:rsidRPr="00A37330">
        <w:rPr>
          <w:noProof/>
        </w:rPr>
        <w:t xml:space="preserve"> relevante pentru plantă (pe care le deține solicitantul sau alte persoane) și să actualizeze informațiile, după cunoștințele sale; solicitantul poate, de asemenea, să depună o </w:t>
      </w:r>
      <w:r w:rsidRPr="00A37330">
        <w:rPr>
          <w:b/>
          <w:noProof/>
        </w:rPr>
        <w:t>declarație a titularului brevetului în care să precizeze dacă intenționează să acorde licențe</w:t>
      </w:r>
      <w:r w:rsidRPr="00A37330">
        <w:rPr>
          <w:noProof/>
        </w:rPr>
        <w:t xml:space="preserve"> pentru plante NTG în condiții echitabile și rezonabile în cadrul Uniunii. În cazul în care solicitantul este titularul brevetului, acesta trebuie să prezinte o declarație în acest sens și o declarație suplimentară care să indice dacă este sau intenționează să devină membru al unei platforme de acordare a licențelor; </w:t>
      </w:r>
    </w:p>
    <w:p w14:paraId="6C75994B" w14:textId="30BD0FA7" w:rsidR="00E10CF6" w:rsidRPr="00A37330" w:rsidRDefault="00E10CF6" w:rsidP="00AB769E">
      <w:pPr>
        <w:pStyle w:val="Bullet1"/>
        <w:rPr>
          <w:noProof/>
          <w:szCs w:val="24"/>
        </w:rPr>
      </w:pPr>
      <w:r w:rsidRPr="00A37330">
        <w:rPr>
          <w:noProof/>
        </w:rPr>
        <w:t xml:space="preserve">Comisia are obligația de a publica </w:t>
      </w:r>
      <w:r w:rsidRPr="00A37330">
        <w:rPr>
          <w:b/>
          <w:noProof/>
        </w:rPr>
        <w:t>orientări</w:t>
      </w:r>
      <w:r w:rsidRPr="00A37330">
        <w:rPr>
          <w:noProof/>
        </w:rPr>
        <w:t xml:space="preserve"> pentru a sprijini operatorii în ceea ce privește aspectele legate de proprietatea intelectuală relevante pentru plantele NTG, precum și în ceea ce privește resursele financiare și programele de sprijinire a cercetării și dezvoltării conexe; </w:t>
      </w:r>
    </w:p>
    <w:p w14:paraId="7686C3C2" w14:textId="77777777" w:rsidR="00E10CF6" w:rsidRPr="00A37330" w:rsidRDefault="00E10CF6" w:rsidP="00AB769E">
      <w:pPr>
        <w:pStyle w:val="Bullet1"/>
        <w:rPr>
          <w:noProof/>
          <w:szCs w:val="24"/>
        </w:rPr>
      </w:pPr>
      <w:r w:rsidRPr="00A37330">
        <w:rPr>
          <w:noProof/>
        </w:rPr>
        <w:t xml:space="preserve">Comisia are obligația de a efectua o </w:t>
      </w:r>
      <w:r w:rsidRPr="00A37330">
        <w:rPr>
          <w:b/>
          <w:noProof/>
        </w:rPr>
        <w:t>evaluare</w:t>
      </w:r>
      <w:r w:rsidRPr="00A37330">
        <w:rPr>
          <w:noProof/>
        </w:rPr>
        <w:t xml:space="preserve"> a impactului brevetării plantelor NTG și de a examina măsurile de monitorizare (dacă este cazul, prezintă o propunere legislativă). Trebuie să efectueze o a doua evaluare în cazul în care nu se iau măsuri de monitorizare după primul studiu; </w:t>
      </w:r>
    </w:p>
    <w:p w14:paraId="2B10F0E0" w14:textId="77777777" w:rsidR="00E10CF6" w:rsidRPr="00A37330" w:rsidRDefault="00E10CF6" w:rsidP="00AB769E">
      <w:pPr>
        <w:pStyle w:val="Bullet1"/>
        <w:rPr>
          <w:noProof/>
          <w:szCs w:val="24"/>
        </w:rPr>
      </w:pPr>
      <w:r w:rsidRPr="00A37330">
        <w:rPr>
          <w:noProof/>
        </w:rPr>
        <w:t xml:space="preserve">Comisia urmează să înființeze </w:t>
      </w:r>
      <w:r w:rsidRPr="00A37330">
        <w:rPr>
          <w:b/>
          <w:noProof/>
        </w:rPr>
        <w:t>un grup de experți</w:t>
      </w:r>
      <w:r w:rsidRPr="00A37330">
        <w:rPr>
          <w:noProof/>
        </w:rPr>
        <w:t xml:space="preserve"> privind efectul brevetelor asupra plantelor NTG, care ar urma să ajute Comisia să supravegheze și să facă schimb de informații cu privire la aspecte precum accesul la resursele genetice, transparența în ceea ce privește brevetele și inovarea în domeniul plantelor NTG. Un expert din partea Oficiului Comunitar pentru Soiuri de Plante ar trebui să participe la grupul de experți;</w:t>
      </w:r>
    </w:p>
    <w:p w14:paraId="43F57D8B" w14:textId="52BBC2DD" w:rsidR="00E10CF6" w:rsidRPr="00A37330" w:rsidRDefault="00E10CF6" w:rsidP="00AB769E">
      <w:pPr>
        <w:pStyle w:val="Bullet1"/>
        <w:rPr>
          <w:noProof/>
          <w:szCs w:val="24"/>
        </w:rPr>
      </w:pPr>
      <w:r w:rsidRPr="00A37330">
        <w:rPr>
          <w:b/>
          <w:noProof/>
        </w:rPr>
        <w:t>considerentele</w:t>
      </w:r>
      <w:r w:rsidRPr="00A37330">
        <w:rPr>
          <w:noProof/>
        </w:rPr>
        <w:t xml:space="preserve"> reamintesc că brevetele pentru plantele obținute prin metode tehnice nu se extind la plante care au fost produse prin procese esențialmente biologice; să explice normele aplicabile în contextul posibilelor încălcări neintenționate ale brevetelor de către fermieri din cauza polenizării încrucișate; să reamintească evaluarea de către Comisie a Regulamentului (CE) nr. 2100/94 al Consiliului de instituire a unui sistem de protecție comunitară a soiurilor de plante; și să încurajeze toate statele membre să adopte o scutire limitată a amelioratorilor.</w:t>
      </w:r>
    </w:p>
    <w:p w14:paraId="3BDE11DE" w14:textId="00C82AE0" w:rsidR="00E10CF6" w:rsidRPr="00A37330" w:rsidRDefault="00E10CF6" w:rsidP="00AB769E">
      <w:pPr>
        <w:rPr>
          <w:noProof/>
        </w:rPr>
      </w:pPr>
      <w:r w:rsidRPr="00A37330">
        <w:rPr>
          <w:noProof/>
        </w:rPr>
        <w:t>Deși aspectele legate de brevete nu fac obiectul propunerii Comisiei, aceste modificări răspund preocupărilor legate de impactul potențial al brevetelor în domeniul ameliorării plantelor fără a modifica substanța legislației Uniunii în materie de brevete și sunt acceptabile pentru Comisie.</w:t>
      </w:r>
    </w:p>
    <w:p w14:paraId="23026BB8" w14:textId="77777777" w:rsidR="00E10CF6" w:rsidRPr="00A37330" w:rsidRDefault="00E10CF6" w:rsidP="001704B9">
      <w:pPr>
        <w:pStyle w:val="ManualHeading1"/>
        <w:rPr>
          <w:noProof/>
        </w:rPr>
      </w:pPr>
      <w:r w:rsidRPr="00A37330">
        <w:rPr>
          <w:noProof/>
        </w:rPr>
        <w:t>4.</w:t>
      </w:r>
      <w:r w:rsidRPr="00A37330">
        <w:rPr>
          <w:noProof/>
        </w:rPr>
        <w:tab/>
        <w:t>Concluzie</w:t>
      </w:r>
    </w:p>
    <w:p w14:paraId="2EEB29E4" w14:textId="23134C03" w:rsidR="00E10CF6" w:rsidRPr="00A37330" w:rsidRDefault="00AB769E" w:rsidP="00AB769E">
      <w:pPr>
        <w:rPr>
          <w:noProof/>
        </w:rPr>
      </w:pPr>
      <w:r w:rsidRPr="00A37330">
        <w:rPr>
          <w:noProof/>
        </w:rPr>
        <w:t>Comisia sprijină rezultatele negocierilor interinstituționale și poate să accepte, prin urmare, poziția Consiliului în primă lectură.</w:t>
      </w:r>
    </w:p>
    <w:p w14:paraId="627A7A73" w14:textId="0041AFB3" w:rsidR="0069513B" w:rsidRPr="00A37330" w:rsidRDefault="0069513B" w:rsidP="00981084">
      <w:pPr>
        <w:pStyle w:val="ManualHeading1"/>
        <w:rPr>
          <w:noProof/>
        </w:rPr>
      </w:pPr>
      <w:r w:rsidRPr="00A37330">
        <w:rPr>
          <w:noProof/>
        </w:rPr>
        <w:t>5.</w:t>
      </w:r>
      <w:r w:rsidRPr="00A37330">
        <w:rPr>
          <w:noProof/>
        </w:rPr>
        <w:tab/>
        <w:t>Declarația Comisiei</w:t>
      </w:r>
    </w:p>
    <w:p w14:paraId="32BC1AE5" w14:textId="415F9D28" w:rsidR="0069513B" w:rsidRPr="00A37330" w:rsidRDefault="0069513B" w:rsidP="0069513B">
      <w:pPr>
        <w:rPr>
          <w:noProof/>
        </w:rPr>
      </w:pPr>
      <w:r w:rsidRPr="00A37330">
        <w:rPr>
          <w:noProof/>
        </w:rPr>
        <w:t>Comisia a făcut o declarație unilaterală care se găsește în apendice.</w:t>
      </w:r>
    </w:p>
    <w:p w14:paraId="19C728BD" w14:textId="77777777" w:rsidR="0069513B" w:rsidRPr="00A37330" w:rsidRDefault="0069513B">
      <w:pPr>
        <w:spacing w:before="0" w:after="200" w:line="276" w:lineRule="auto"/>
        <w:jc w:val="left"/>
        <w:rPr>
          <w:noProof/>
        </w:rPr>
      </w:pPr>
      <w:r w:rsidRPr="00A37330">
        <w:rPr>
          <w:noProof/>
        </w:rPr>
        <w:br w:type="page"/>
      </w:r>
    </w:p>
    <w:p w14:paraId="0872A3B8" w14:textId="77777777" w:rsidR="0069513B" w:rsidRPr="00A37330" w:rsidRDefault="0069513B" w:rsidP="0069513B">
      <w:pPr>
        <w:autoSpaceDE w:val="0"/>
        <w:autoSpaceDN w:val="0"/>
        <w:adjustRightInd w:val="0"/>
        <w:jc w:val="center"/>
        <w:rPr>
          <w:b/>
          <w:bCs/>
          <w:noProof/>
        </w:rPr>
      </w:pPr>
      <w:r w:rsidRPr="00A37330">
        <w:rPr>
          <w:b/>
          <w:noProof/>
        </w:rPr>
        <w:lastRenderedPageBreak/>
        <w:t>APENDICE</w:t>
      </w:r>
    </w:p>
    <w:p w14:paraId="51F84696" w14:textId="0A161791" w:rsidR="0069513B" w:rsidRPr="00A37330" w:rsidRDefault="0069513B" w:rsidP="0069513B">
      <w:pPr>
        <w:jc w:val="center"/>
        <w:rPr>
          <w:b/>
          <w:bCs/>
          <w:noProof/>
        </w:rPr>
      </w:pPr>
      <w:r w:rsidRPr="00A37330">
        <w:rPr>
          <w:b/>
          <w:noProof/>
        </w:rPr>
        <w:t>Declarația Comisiei</w:t>
      </w:r>
    </w:p>
    <w:p w14:paraId="69D4DA4F" w14:textId="77777777" w:rsidR="0069513B" w:rsidRPr="00A37330" w:rsidRDefault="0069513B" w:rsidP="0069513B">
      <w:pPr>
        <w:jc w:val="center"/>
        <w:rPr>
          <w:b/>
          <w:bCs/>
          <w:noProof/>
        </w:rPr>
      </w:pPr>
    </w:p>
    <w:p w14:paraId="489F54C5" w14:textId="77777777" w:rsidR="0069513B" w:rsidRPr="00A37330" w:rsidRDefault="0069513B" w:rsidP="0069513B">
      <w:pPr>
        <w:spacing w:line="259" w:lineRule="auto"/>
        <w:rPr>
          <w:noProof/>
        </w:rPr>
      </w:pPr>
      <w:r w:rsidRPr="00A37330">
        <w:rPr>
          <w:noProof/>
        </w:rPr>
        <w:t xml:space="preserve">Comisia Europeană își reiterează angajamentul deplin față de protejarea funcționării pieței interne și a sectorului ameliorării plantelor, în special a întreprinderilor mici și mijlocii (IMM-uri). </w:t>
      </w:r>
    </w:p>
    <w:p w14:paraId="1841813A" w14:textId="23794990" w:rsidR="0069513B" w:rsidRPr="00A37330" w:rsidRDefault="0069513B" w:rsidP="0069513B">
      <w:pPr>
        <w:spacing w:line="259" w:lineRule="auto"/>
        <w:rPr>
          <w:noProof/>
        </w:rPr>
      </w:pPr>
      <w:r w:rsidRPr="00A37330">
        <w:rPr>
          <w:noProof/>
        </w:rPr>
        <w:t>În acest scop, în conformitate cu dispozițiile acordului de compromis, Comisia reamintește următoarele măsuri incluse în textul care urmează să fie adoptat de Consiliu ca poziție a sa în primă lectură:</w:t>
      </w:r>
    </w:p>
    <w:p w14:paraId="4980BA75" w14:textId="77777777" w:rsidR="0069513B" w:rsidRPr="00A37330" w:rsidRDefault="0069513B" w:rsidP="0069513B">
      <w:pPr>
        <w:spacing w:line="259" w:lineRule="auto"/>
        <w:rPr>
          <w:noProof/>
        </w:rPr>
      </w:pPr>
      <w:r w:rsidRPr="00A37330">
        <w:rPr>
          <w:noProof/>
        </w:rPr>
        <w:t xml:space="preserve">1. Comisia va monitoriza îndeaproape impactul Regulamentului privind NTG asupra IMM-urilor din sectorul european al semințelor, cu scopul de a evita ca dezvoltarea plantelor NTG și, în special, brevetarea acestora să conducă la efecte negative asupra pieței ameliorării plantelor, cum ar fi excluderea IMM-urilor. </w:t>
      </w:r>
    </w:p>
    <w:p w14:paraId="7C6CED23" w14:textId="77777777" w:rsidR="0069513B" w:rsidRPr="00A37330" w:rsidRDefault="0069513B" w:rsidP="0069513B">
      <w:pPr>
        <w:spacing w:line="259" w:lineRule="auto"/>
        <w:rPr>
          <w:noProof/>
        </w:rPr>
      </w:pPr>
      <w:r w:rsidRPr="00A37330">
        <w:rPr>
          <w:noProof/>
        </w:rPr>
        <w:t xml:space="preserve">2. Comisia va supraveghea elaborarea unui cod de conduită care va fi gata cât mai curând posibil și nu mai târziu de 6 luni înainte de intrarea în vigoare a regulamentului. </w:t>
      </w:r>
    </w:p>
    <w:p w14:paraId="16C595A3" w14:textId="77777777" w:rsidR="0069513B" w:rsidRPr="00A37330" w:rsidRDefault="0069513B" w:rsidP="0069513B">
      <w:pPr>
        <w:spacing w:line="259" w:lineRule="auto"/>
        <w:rPr>
          <w:noProof/>
        </w:rPr>
      </w:pPr>
      <w:r w:rsidRPr="00A37330">
        <w:rPr>
          <w:noProof/>
        </w:rPr>
        <w:t xml:space="preserve">3. Comisia va evalua funcționarea platformelor de acordare a licențelor și utilizarea acestora de către sectorul semințelor, pentru a asigura transparența în ceea ce privește brevetele și facilitarea accesului IMM-urilor la licențe în condiții echitabile și rezonabile. </w:t>
      </w:r>
    </w:p>
    <w:p w14:paraId="6655EBA9" w14:textId="77777777" w:rsidR="0069513B" w:rsidRPr="00A37330" w:rsidRDefault="0069513B" w:rsidP="0069513B">
      <w:pPr>
        <w:spacing w:line="259" w:lineRule="auto"/>
        <w:rPr>
          <w:noProof/>
        </w:rPr>
      </w:pPr>
      <w:r w:rsidRPr="00A37330">
        <w:rPr>
          <w:noProof/>
        </w:rPr>
        <w:t xml:space="preserve">4. Comisia se va asigura că IMM-urile au acces la sprijin și orientări privind aspectele legate de brevete în ceea ce privește plantele, pentru a echilibra relațiile dintre diferiții actori de pe piața ameliorării plantelor. </w:t>
      </w:r>
    </w:p>
    <w:p w14:paraId="410C5AA8" w14:textId="4CE48AD9" w:rsidR="0069513B" w:rsidRPr="00A37330" w:rsidRDefault="0069513B" w:rsidP="0069513B">
      <w:pPr>
        <w:spacing w:line="259" w:lineRule="auto"/>
        <w:rPr>
          <w:noProof/>
        </w:rPr>
      </w:pPr>
      <w:r w:rsidRPr="00A37330">
        <w:rPr>
          <w:noProof/>
        </w:rPr>
        <w:t xml:space="preserve">5. Comisia își va îndeplini toate obligațiile de raportare, care includ un raport privind punerea în aplicare a regulamentului o dată la 5 ani [articolul 32 alineatul (1)], o evaluare a impactului regulamentului [articolul 32 alineatul (3)], o evaluare a impactului practicilor de brevetare a plantelor NTG [articolul 31 alineatul (4)] și un raport privind funcționarea codului de conduită o dată la 5 ani [articolul 30 alineatul (7)]. </w:t>
      </w:r>
    </w:p>
    <w:p w14:paraId="74299321" w14:textId="5B4F2F7A" w:rsidR="0069513B" w:rsidRPr="00A37330" w:rsidRDefault="0069513B" w:rsidP="0069513B">
      <w:pPr>
        <w:spacing w:line="259" w:lineRule="auto"/>
        <w:rPr>
          <w:noProof/>
        </w:rPr>
      </w:pPr>
      <w:r w:rsidRPr="00A37330">
        <w:rPr>
          <w:noProof/>
        </w:rPr>
        <w:t xml:space="preserve">6. Ca parte a evaluării sale în temeiul articolului 31 alineatul (4), Comisia va analiza oportunitatea actualizării sau completării avizului său interpretativ 2016/C 411/03 privind anumite articole din Directiva 98/44/CE privind protecția juridică a invențiilor biotehnologice. În special, Comisia va evalua dacă ar fi adecvat și fezabil din punct de vedere juridic să se precizeze și să se clarifice în continuare criteriile de brevetare pentru invențiile legate de informațiile genetice vegetale, conceptul de procese esențialmente biologice și condițiile pentru acordarea de licențe încrucișate obligatorii prevăzute la articolul 12 din directiva respectivă, fără a aduce atingere cadrului juridic prevăzut în directivă și în deplină conformitate cu angajamentele internaționale ale UE. </w:t>
      </w:r>
    </w:p>
    <w:p w14:paraId="19AAFF08" w14:textId="77777777" w:rsidR="00B860EB" w:rsidRDefault="0069513B" w:rsidP="00642B70">
      <w:pPr>
        <w:spacing w:line="259" w:lineRule="auto"/>
        <w:rPr>
          <w:noProof/>
        </w:rPr>
      </w:pPr>
      <w:r w:rsidRPr="00A37330">
        <w:rPr>
          <w:noProof/>
        </w:rPr>
        <w:t>7. În cazul în care sistemul nu funcționează bine, în special în ceea ce privește IMM-urile, Comisia va lua în considerare, după caz, stabilirea unor condiții sau garanții obligatorii ca parte a clauzei de revizuire prevăzute la articolul 31 alineatul (10), în deplină conformitate cu angajamentele internaționale ale UE.</w:t>
      </w:r>
    </w:p>
    <w:p w14:paraId="02ABFE64" w14:textId="0078142F" w:rsidR="0069513B" w:rsidRPr="00A37330" w:rsidRDefault="0069513B" w:rsidP="00642B70">
      <w:pPr>
        <w:spacing w:line="259" w:lineRule="auto"/>
        <w:rPr>
          <w:noProof/>
        </w:rPr>
      </w:pPr>
    </w:p>
    <w:sectPr w:rsidR="0069513B" w:rsidRPr="00A37330" w:rsidSect="00AD3A3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79433" w14:textId="77777777" w:rsidR="00E10CF6" w:rsidRPr="00A37330" w:rsidRDefault="00E10CF6" w:rsidP="00E10CF6">
      <w:pPr>
        <w:spacing w:before="0" w:after="0"/>
      </w:pPr>
      <w:r w:rsidRPr="00A37330">
        <w:separator/>
      </w:r>
    </w:p>
  </w:endnote>
  <w:endnote w:type="continuationSeparator" w:id="0">
    <w:p w14:paraId="66E238C8" w14:textId="77777777" w:rsidR="00E10CF6" w:rsidRPr="00A37330" w:rsidRDefault="00E10CF6" w:rsidP="00E10CF6">
      <w:pPr>
        <w:spacing w:before="0" w:after="0"/>
      </w:pPr>
      <w:r w:rsidRPr="00A373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72BC2" w14:textId="1047D1FA" w:rsidR="00AD3A3E" w:rsidRPr="00AD3A3E" w:rsidRDefault="00AD3A3E" w:rsidP="00AD3A3E">
    <w:pPr>
      <w:pStyle w:val="Footer"/>
      <w:rPr>
        <w:rFonts w:ascii="Arial" w:hAnsi="Arial" w:cs="Arial"/>
        <w:b/>
        <w:sz w:val="48"/>
      </w:rPr>
    </w:pPr>
    <w:r w:rsidRPr="00AD3A3E">
      <w:rPr>
        <w:rFonts w:ascii="Arial" w:hAnsi="Arial" w:cs="Arial"/>
        <w:b/>
        <w:sz w:val="48"/>
      </w:rPr>
      <w:t>RO</w:t>
    </w:r>
    <w:r w:rsidRPr="00AD3A3E">
      <w:rPr>
        <w:rFonts w:ascii="Arial" w:hAnsi="Arial" w:cs="Arial"/>
        <w:b/>
        <w:sz w:val="48"/>
      </w:rPr>
      <w:tab/>
    </w:r>
    <w:r w:rsidRPr="00AD3A3E">
      <w:rPr>
        <w:rFonts w:ascii="Arial" w:hAnsi="Arial" w:cs="Arial"/>
        <w:b/>
        <w:sz w:val="48"/>
      </w:rPr>
      <w:tab/>
    </w:r>
    <w:r w:rsidRPr="00AD3A3E">
      <w:tab/>
    </w:r>
    <w:r w:rsidRPr="00AD3A3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0C803" w14:textId="0A19E4D2" w:rsidR="00AD3A3E" w:rsidRPr="00AD3A3E" w:rsidRDefault="00AD3A3E" w:rsidP="00AD3A3E">
    <w:pPr>
      <w:pStyle w:val="Footer"/>
      <w:rPr>
        <w:rFonts w:ascii="Arial" w:hAnsi="Arial" w:cs="Arial"/>
        <w:b/>
        <w:sz w:val="48"/>
      </w:rPr>
    </w:pPr>
    <w:r w:rsidRPr="00AD3A3E">
      <w:rPr>
        <w:rFonts w:ascii="Arial" w:hAnsi="Arial" w:cs="Arial"/>
        <w:b/>
        <w:sz w:val="48"/>
      </w:rPr>
      <w:t>RO</w:t>
    </w:r>
    <w:r w:rsidRPr="00AD3A3E">
      <w:rPr>
        <w:rFonts w:ascii="Arial" w:hAnsi="Arial" w:cs="Arial"/>
        <w:b/>
        <w:sz w:val="48"/>
      </w:rPr>
      <w:tab/>
    </w:r>
    <w:r w:rsidRPr="00AD3A3E">
      <w:rPr>
        <w:rFonts w:ascii="Arial" w:hAnsi="Arial" w:cs="Arial"/>
        <w:b/>
        <w:sz w:val="48"/>
      </w:rPr>
      <w:tab/>
    </w:r>
    <w:r w:rsidRPr="00AD3A3E">
      <w:tab/>
    </w:r>
    <w:r w:rsidRPr="00AD3A3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7F1D4" w14:textId="77777777" w:rsidR="00AD3A3E" w:rsidRDefault="00AD3A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49C48" w14:textId="1498118B" w:rsidR="00AD3A3E" w:rsidRPr="00AD3A3E" w:rsidRDefault="00AD3A3E" w:rsidP="00AD3A3E">
    <w:pPr>
      <w:pStyle w:val="Footer"/>
      <w:rPr>
        <w:rFonts w:ascii="Arial" w:hAnsi="Arial" w:cs="Arial"/>
        <w:b/>
        <w:sz w:val="48"/>
      </w:rPr>
    </w:pPr>
    <w:r w:rsidRPr="00AD3A3E">
      <w:rPr>
        <w:rFonts w:ascii="Arial" w:hAnsi="Arial" w:cs="Arial"/>
        <w:b/>
        <w:sz w:val="48"/>
      </w:rPr>
      <w:t>RO</w:t>
    </w:r>
    <w:r w:rsidRPr="00AD3A3E">
      <w:rPr>
        <w:rFonts w:ascii="Arial" w:hAnsi="Arial" w:cs="Arial"/>
        <w:b/>
        <w:sz w:val="48"/>
      </w:rPr>
      <w:tab/>
    </w:r>
    <w:r>
      <w:fldChar w:fldCharType="begin"/>
    </w:r>
    <w:r>
      <w:instrText xml:space="preserve"> PAGE  \* MERGEFORMAT </w:instrText>
    </w:r>
    <w:r>
      <w:fldChar w:fldCharType="separate"/>
    </w:r>
    <w:r w:rsidR="00B860EB">
      <w:rPr>
        <w:noProof/>
      </w:rPr>
      <w:t>4</w:t>
    </w:r>
    <w:r>
      <w:fldChar w:fldCharType="end"/>
    </w:r>
    <w:r>
      <w:tab/>
    </w:r>
    <w:r w:rsidRPr="00AD3A3E">
      <w:tab/>
    </w:r>
    <w:r w:rsidRPr="00AD3A3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D844B" w14:textId="77777777" w:rsidR="00AD3A3E" w:rsidRDefault="00AD3A3E" w:rsidP="00AD3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A4E81" w14:textId="77777777" w:rsidR="00E10CF6" w:rsidRPr="00A37330" w:rsidRDefault="00E10CF6" w:rsidP="00E10CF6">
      <w:pPr>
        <w:spacing w:before="0" w:after="0"/>
      </w:pPr>
      <w:r w:rsidRPr="00A37330">
        <w:separator/>
      </w:r>
    </w:p>
  </w:footnote>
  <w:footnote w:type="continuationSeparator" w:id="0">
    <w:p w14:paraId="157DC788" w14:textId="77777777" w:rsidR="00E10CF6" w:rsidRPr="00A37330" w:rsidRDefault="00E10CF6" w:rsidP="00E10CF6">
      <w:pPr>
        <w:spacing w:before="0" w:after="0"/>
      </w:pPr>
      <w:r w:rsidRPr="00A373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12A34" w14:textId="77777777" w:rsidR="00AD3A3E" w:rsidRDefault="00AD3A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E3353" w14:textId="77777777" w:rsidR="00AD3A3E" w:rsidRDefault="00AD3A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3FEF3A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3A4F78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91E89D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CFEDFD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lvlOverride w:ilvl="0">
      <w:startOverride w:val="1"/>
    </w:lvlOverride>
  </w:num>
  <w:num w:numId="2">
    <w:abstractNumId w:val="11"/>
    <w:lvlOverride w:ilvl="0">
      <w:startOverride w:val="1"/>
    </w:lvlOverride>
  </w:num>
  <w:num w:numId="3">
    <w:abstractNumId w:val="13"/>
    <w:lvlOverride w:ilvl="0">
      <w:startOverride w:val="1"/>
    </w:lvlOverride>
  </w:num>
  <w:num w:numId="4">
    <w:abstractNumId w:val="3"/>
  </w:num>
  <w:num w:numId="5">
    <w:abstractNumId w:val="2"/>
  </w:num>
  <w:num w:numId="6">
    <w:abstractNumId w:val="1"/>
  </w:num>
  <w:num w:numId="7">
    <w:abstractNumId w:val="0"/>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09:18: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9596B5D-4164-4660-B224-A29E4CFEF7F9"/>
    <w:docVar w:name="LW_COVERPAGE_TYPE" w:val="1"/>
    <w:docVar w:name="LW_CreatedUtc" w:val="2025-12-18T10:36:55.3037726Z"/>
    <w:docVar w:name="LW_CROSSREFERENCE" w:val="&lt;UNUSED&gt;"/>
    <w:docVar w:name="LW_DocType" w:val="COM"/>
    <w:docVar w:name="LW_EMISSION" w:val="23.4.2026"/>
    <w:docVar w:name="LW_EMISSION_ISODATE" w:val="2026-04-23"/>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26"/>
    <w:docVar w:name="LW_REF.II.NEW.CP_YEAR" w:val="2023"/>
    <w:docVar w:name="LW_REF.INST.NEW" w:val="COM"/>
    <w:docVar w:name="LW_REF.INST.NEW_ADOPTED" w:val="final"/>
    <w:docVar w:name="LW_REF.INST.NEW_TEXT" w:val="(2026) 1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punerea Consiliului privind un regulament al Parlamentului European \u537?i al Consiliului privind plantele ob\u539?inute prin anumite noi tehnici genomice \u537?i alimentele \u537?i furajele derivate din ele, \u537?i de modificare a Regulamentului (UE) 2017/625"/>
    <w:docVar w:name="LW_TYPE.DOC.CP" w:val="COMUNICARE A COMISIEI C\u258?TRE PARLAMENTUL EUROPEAN_x000b__x000b_în conformitate cu articolul 294 alineatul (6) din Tratatul privind func\u539?ionarea Uniunii Europene_x000b__x000b_privind"/>
    <w:docVar w:name="LwApiVersions" w:val="LW4CoDe 1.24.5.0; LW 9.2, Build 20251112"/>
  </w:docVars>
  <w:rsids>
    <w:rsidRoot w:val="00E10CF6"/>
    <w:rsid w:val="00010CDB"/>
    <w:rsid w:val="00030E90"/>
    <w:rsid w:val="0006095A"/>
    <w:rsid w:val="00063F64"/>
    <w:rsid w:val="000A35E1"/>
    <w:rsid w:val="000D069B"/>
    <w:rsid w:val="000D384E"/>
    <w:rsid w:val="000D788D"/>
    <w:rsid w:val="001065F5"/>
    <w:rsid w:val="001208DA"/>
    <w:rsid w:val="001238EF"/>
    <w:rsid w:val="00197613"/>
    <w:rsid w:val="001E6990"/>
    <w:rsid w:val="001F4B36"/>
    <w:rsid w:val="001F4DC1"/>
    <w:rsid w:val="00203A35"/>
    <w:rsid w:val="00211E4E"/>
    <w:rsid w:val="00214CB0"/>
    <w:rsid w:val="002263EA"/>
    <w:rsid w:val="002300DE"/>
    <w:rsid w:val="00233DC7"/>
    <w:rsid w:val="00233E81"/>
    <w:rsid w:val="00247779"/>
    <w:rsid w:val="00247B7C"/>
    <w:rsid w:val="00277AF8"/>
    <w:rsid w:val="002822F0"/>
    <w:rsid w:val="00285BEE"/>
    <w:rsid w:val="0029533F"/>
    <w:rsid w:val="002A3301"/>
    <w:rsid w:val="002B30AF"/>
    <w:rsid w:val="002D7AF9"/>
    <w:rsid w:val="002F04C7"/>
    <w:rsid w:val="002F0F1C"/>
    <w:rsid w:val="003146A3"/>
    <w:rsid w:val="0033344A"/>
    <w:rsid w:val="00373E29"/>
    <w:rsid w:val="00385629"/>
    <w:rsid w:val="00386045"/>
    <w:rsid w:val="00390E3B"/>
    <w:rsid w:val="003C6B49"/>
    <w:rsid w:val="003D173B"/>
    <w:rsid w:val="003E232D"/>
    <w:rsid w:val="003F7CF2"/>
    <w:rsid w:val="0041786D"/>
    <w:rsid w:val="0042648E"/>
    <w:rsid w:val="00431D29"/>
    <w:rsid w:val="00450350"/>
    <w:rsid w:val="00456B95"/>
    <w:rsid w:val="00471E37"/>
    <w:rsid w:val="00480D7C"/>
    <w:rsid w:val="004936D2"/>
    <w:rsid w:val="004C7B87"/>
    <w:rsid w:val="004F2F70"/>
    <w:rsid w:val="004F3C3F"/>
    <w:rsid w:val="005175ED"/>
    <w:rsid w:val="00532642"/>
    <w:rsid w:val="00546271"/>
    <w:rsid w:val="0055549D"/>
    <w:rsid w:val="0055734F"/>
    <w:rsid w:val="00566E45"/>
    <w:rsid w:val="005A1705"/>
    <w:rsid w:val="005A7FBC"/>
    <w:rsid w:val="005B1EB6"/>
    <w:rsid w:val="005B28B6"/>
    <w:rsid w:val="005B716F"/>
    <w:rsid w:val="005B7CC0"/>
    <w:rsid w:val="005C0ADC"/>
    <w:rsid w:val="005D1F90"/>
    <w:rsid w:val="005E3B29"/>
    <w:rsid w:val="005F4EB8"/>
    <w:rsid w:val="006268ED"/>
    <w:rsid w:val="006363CD"/>
    <w:rsid w:val="00642B70"/>
    <w:rsid w:val="0066113A"/>
    <w:rsid w:val="0069513B"/>
    <w:rsid w:val="00696B4E"/>
    <w:rsid w:val="006A1381"/>
    <w:rsid w:val="006A17E6"/>
    <w:rsid w:val="006E643F"/>
    <w:rsid w:val="007064F8"/>
    <w:rsid w:val="00721AE6"/>
    <w:rsid w:val="00736439"/>
    <w:rsid w:val="00750CAB"/>
    <w:rsid w:val="00752CB7"/>
    <w:rsid w:val="007627DD"/>
    <w:rsid w:val="00765407"/>
    <w:rsid w:val="00773331"/>
    <w:rsid w:val="007932EF"/>
    <w:rsid w:val="007D1C96"/>
    <w:rsid w:val="007D2EBA"/>
    <w:rsid w:val="007E05B0"/>
    <w:rsid w:val="007E58A0"/>
    <w:rsid w:val="007F2176"/>
    <w:rsid w:val="007F5AFC"/>
    <w:rsid w:val="00802EE6"/>
    <w:rsid w:val="0080549D"/>
    <w:rsid w:val="008171E9"/>
    <w:rsid w:val="00817B55"/>
    <w:rsid w:val="00874D22"/>
    <w:rsid w:val="00877847"/>
    <w:rsid w:val="0089320B"/>
    <w:rsid w:val="008A2914"/>
    <w:rsid w:val="008E4D8E"/>
    <w:rsid w:val="009203E6"/>
    <w:rsid w:val="009247CF"/>
    <w:rsid w:val="00936808"/>
    <w:rsid w:val="00942FA8"/>
    <w:rsid w:val="009529ED"/>
    <w:rsid w:val="00952DF2"/>
    <w:rsid w:val="0095539B"/>
    <w:rsid w:val="00981084"/>
    <w:rsid w:val="009F34A7"/>
    <w:rsid w:val="00A206C8"/>
    <w:rsid w:val="00A37330"/>
    <w:rsid w:val="00A972C8"/>
    <w:rsid w:val="00AB769E"/>
    <w:rsid w:val="00AD170C"/>
    <w:rsid w:val="00AD3A3E"/>
    <w:rsid w:val="00AF0280"/>
    <w:rsid w:val="00AF74CA"/>
    <w:rsid w:val="00B049E7"/>
    <w:rsid w:val="00B078E1"/>
    <w:rsid w:val="00B134AF"/>
    <w:rsid w:val="00B13F5F"/>
    <w:rsid w:val="00B42636"/>
    <w:rsid w:val="00B46C50"/>
    <w:rsid w:val="00B46F7D"/>
    <w:rsid w:val="00B60937"/>
    <w:rsid w:val="00B860EB"/>
    <w:rsid w:val="00BB0D29"/>
    <w:rsid w:val="00BB3332"/>
    <w:rsid w:val="00BC3FB3"/>
    <w:rsid w:val="00BD3969"/>
    <w:rsid w:val="00BD68C3"/>
    <w:rsid w:val="00C018E6"/>
    <w:rsid w:val="00C12301"/>
    <w:rsid w:val="00C5421A"/>
    <w:rsid w:val="00C55626"/>
    <w:rsid w:val="00C736A0"/>
    <w:rsid w:val="00C748D1"/>
    <w:rsid w:val="00C7735F"/>
    <w:rsid w:val="00C84437"/>
    <w:rsid w:val="00C84648"/>
    <w:rsid w:val="00CA5E22"/>
    <w:rsid w:val="00CD03C7"/>
    <w:rsid w:val="00CD3FE9"/>
    <w:rsid w:val="00CE4F91"/>
    <w:rsid w:val="00D11361"/>
    <w:rsid w:val="00D13AA3"/>
    <w:rsid w:val="00D20381"/>
    <w:rsid w:val="00D408A3"/>
    <w:rsid w:val="00D45773"/>
    <w:rsid w:val="00D56F5D"/>
    <w:rsid w:val="00D8298D"/>
    <w:rsid w:val="00D84107"/>
    <w:rsid w:val="00DA1ADE"/>
    <w:rsid w:val="00DB4674"/>
    <w:rsid w:val="00DC45C7"/>
    <w:rsid w:val="00DD3E87"/>
    <w:rsid w:val="00DD55C5"/>
    <w:rsid w:val="00DE22D5"/>
    <w:rsid w:val="00DE59C8"/>
    <w:rsid w:val="00DE7374"/>
    <w:rsid w:val="00E10CF6"/>
    <w:rsid w:val="00E144B6"/>
    <w:rsid w:val="00E3080D"/>
    <w:rsid w:val="00E630AE"/>
    <w:rsid w:val="00E664ED"/>
    <w:rsid w:val="00E70080"/>
    <w:rsid w:val="00EB11EE"/>
    <w:rsid w:val="00EC3DFE"/>
    <w:rsid w:val="00EE55FB"/>
    <w:rsid w:val="00F17AE7"/>
    <w:rsid w:val="00F30784"/>
    <w:rsid w:val="00F32867"/>
    <w:rsid w:val="00F528C2"/>
    <w:rsid w:val="00F665A4"/>
    <w:rsid w:val="00FB2726"/>
    <w:rsid w:val="00FC38F8"/>
    <w:rsid w:val="00FC4144"/>
    <w:rsid w:val="00FC501E"/>
    <w:rsid w:val="00FC712F"/>
    <w:rsid w:val="00FE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52580C01"/>
  <w15:docId w15:val="{5E3FB27E-A36F-445B-A476-FB9330101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10CF6"/>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rsid w:val="00E10CF6"/>
    <w:pPr>
      <w:spacing w:before="0" w:after="160" w:line="259" w:lineRule="auto"/>
      <w:ind w:left="720"/>
      <w:contextualSpacing/>
      <w:jc w:val="left"/>
    </w:pPr>
    <w:rPr>
      <w:rFonts w:asciiTheme="minorHAnsi" w:hAnsiTheme="minorHAnsi" w:cstheme="minorBidi"/>
      <w:kern w:val="2"/>
      <w:sz w:val="22"/>
      <w14:ligatures w14:val="standardContextual"/>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E10CF6"/>
    <w:rPr>
      <w:kern w:val="2"/>
      <w:lang w:val="ro-RO"/>
      <w14:ligatures w14:val="standardContextual"/>
    </w:rPr>
  </w:style>
  <w:style w:type="paragraph" w:styleId="Revision">
    <w:name w:val="Revision"/>
    <w:hidden/>
    <w:uiPriority w:val="99"/>
    <w:semiHidden/>
    <w:rsid w:val="00566E45"/>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DE7374"/>
    <w:rPr>
      <w:sz w:val="16"/>
      <w:szCs w:val="16"/>
    </w:rPr>
  </w:style>
  <w:style w:type="paragraph" w:styleId="CommentText">
    <w:name w:val="annotation text"/>
    <w:basedOn w:val="Normal"/>
    <w:link w:val="CommentTextChar"/>
    <w:uiPriority w:val="99"/>
    <w:unhideWhenUsed/>
    <w:rsid w:val="00DE7374"/>
    <w:rPr>
      <w:sz w:val="20"/>
      <w:szCs w:val="20"/>
    </w:rPr>
  </w:style>
  <w:style w:type="character" w:customStyle="1" w:styleId="CommentTextChar">
    <w:name w:val="Comment Text Char"/>
    <w:basedOn w:val="DefaultParagraphFont"/>
    <w:link w:val="CommentText"/>
    <w:uiPriority w:val="99"/>
    <w:rsid w:val="00DE737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DE7374"/>
    <w:rPr>
      <w:b/>
      <w:bCs/>
    </w:rPr>
  </w:style>
  <w:style w:type="character" w:customStyle="1" w:styleId="CommentSubjectChar">
    <w:name w:val="Comment Subject Char"/>
    <w:basedOn w:val="CommentTextChar"/>
    <w:link w:val="CommentSubject"/>
    <w:uiPriority w:val="99"/>
    <w:semiHidden/>
    <w:rsid w:val="00DE7374"/>
    <w:rPr>
      <w:rFonts w:ascii="Times New Roman" w:hAnsi="Times New Roman" w:cs="Times New Roman"/>
      <w:b/>
      <w:bCs/>
      <w:sz w:val="20"/>
      <w:szCs w:val="20"/>
      <w:lang w:val="ro-RO"/>
    </w:rPr>
  </w:style>
  <w:style w:type="paragraph" w:styleId="ListBullet">
    <w:name w:val="List Bullet"/>
    <w:basedOn w:val="Normal"/>
    <w:uiPriority w:val="99"/>
    <w:semiHidden/>
    <w:unhideWhenUsed/>
    <w:rsid w:val="007F5AFC"/>
    <w:pPr>
      <w:numPr>
        <w:numId w:val="4"/>
      </w:numPr>
      <w:contextualSpacing/>
    </w:pPr>
  </w:style>
  <w:style w:type="paragraph" w:styleId="ListBullet2">
    <w:name w:val="List Bullet 2"/>
    <w:basedOn w:val="Normal"/>
    <w:uiPriority w:val="99"/>
    <w:semiHidden/>
    <w:unhideWhenUsed/>
    <w:rsid w:val="007F5AFC"/>
    <w:pPr>
      <w:numPr>
        <w:numId w:val="5"/>
      </w:numPr>
      <w:contextualSpacing/>
    </w:pPr>
  </w:style>
  <w:style w:type="paragraph" w:styleId="ListBullet3">
    <w:name w:val="List Bullet 3"/>
    <w:basedOn w:val="Normal"/>
    <w:uiPriority w:val="99"/>
    <w:semiHidden/>
    <w:unhideWhenUsed/>
    <w:rsid w:val="007F5AFC"/>
    <w:pPr>
      <w:numPr>
        <w:numId w:val="6"/>
      </w:numPr>
      <w:contextualSpacing/>
    </w:pPr>
  </w:style>
  <w:style w:type="paragraph" w:styleId="ListBullet4">
    <w:name w:val="List Bullet 4"/>
    <w:basedOn w:val="Normal"/>
    <w:uiPriority w:val="99"/>
    <w:semiHidden/>
    <w:unhideWhenUsed/>
    <w:rsid w:val="007F5AFC"/>
    <w:pPr>
      <w:numPr>
        <w:numId w:val="7"/>
      </w:numPr>
      <w:contextualSpacing/>
    </w:pPr>
  </w:style>
  <w:style w:type="character" w:styleId="Hyperlink">
    <w:name w:val="Hyperlink"/>
    <w:basedOn w:val="DefaultParagraphFont"/>
    <w:uiPriority w:val="99"/>
    <w:unhideWhenUsed/>
    <w:rsid w:val="002A3301"/>
    <w:rPr>
      <w:color w:val="0000FF" w:themeColor="hyperlink"/>
      <w:u w:val="single"/>
    </w:rPr>
  </w:style>
  <w:style w:type="character" w:customStyle="1" w:styleId="UnresolvedMention">
    <w:name w:val="Unresolved Mention"/>
    <w:basedOn w:val="DefaultParagraphFont"/>
    <w:uiPriority w:val="99"/>
    <w:semiHidden/>
    <w:unhideWhenUsed/>
    <w:rsid w:val="002A3301"/>
    <w:rPr>
      <w:color w:val="605E5C"/>
      <w:shd w:val="clear" w:color="auto" w:fill="E1DFDD"/>
    </w:rPr>
  </w:style>
  <w:style w:type="character" w:customStyle="1" w:styleId="HeaderChar">
    <w:name w:val="Header Char"/>
    <w:basedOn w:val="DefaultParagraphFont"/>
    <w:link w:val="Header"/>
    <w:uiPriority w:val="99"/>
    <w:rsid w:val="00AD3A3E"/>
    <w:rPr>
      <w:rFonts w:ascii="Times New Roman" w:hAnsi="Times New Roman" w:cs="Times New Roman"/>
      <w:sz w:val="24"/>
      <w:lang w:val="ro-RO"/>
    </w:rPr>
  </w:style>
  <w:style w:type="character" w:customStyle="1" w:styleId="FooterChar">
    <w:name w:val="Footer Char"/>
    <w:basedOn w:val="DefaultParagraphFont"/>
    <w:link w:val="Footer"/>
    <w:uiPriority w:val="99"/>
    <w:rsid w:val="00AD3A3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D3A3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3A3E"/>
    <w:pPr>
      <w:spacing w:before="0"/>
      <w:jc w:val="right"/>
    </w:pPr>
    <w:rPr>
      <w:sz w:val="28"/>
    </w:rPr>
  </w:style>
  <w:style w:type="paragraph" w:customStyle="1" w:styleId="FooterSensitivity">
    <w:name w:val="Footer Sensitivity"/>
    <w:basedOn w:val="Normal"/>
    <w:rsid w:val="00AD3A3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D3A3E"/>
    <w:pPr>
      <w:tabs>
        <w:tab w:val="center" w:pos="4535"/>
        <w:tab w:val="right" w:pos="9071"/>
      </w:tabs>
      <w:spacing w:before="0"/>
    </w:pPr>
  </w:style>
  <w:style w:type="paragraph" w:customStyle="1" w:styleId="HeaderLandscape">
    <w:name w:val="HeaderLandscape"/>
    <w:basedOn w:val="Normal"/>
    <w:rsid w:val="00AD3A3E"/>
    <w:pPr>
      <w:tabs>
        <w:tab w:val="center" w:pos="7285"/>
        <w:tab w:val="right" w:pos="14003"/>
      </w:tabs>
      <w:spacing w:before="0"/>
    </w:pPr>
  </w:style>
  <w:style w:type="paragraph" w:styleId="Footer">
    <w:name w:val="footer"/>
    <w:basedOn w:val="Normal"/>
    <w:link w:val="FooterChar"/>
    <w:uiPriority w:val="99"/>
    <w:unhideWhenUsed/>
    <w:rsid w:val="00AD3A3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D3A3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BDC87-43F5-49EC-8826-4680E6799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26</TotalTime>
  <Pages>5</Pages>
  <Words>1684</Words>
  <Characters>9604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2026-04-13T11:15:00Z</dcterms:created>
  <dcterms:modified xsi:type="dcterms:W3CDTF">2026-04-21T07:18:00Z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2025-12-18T11:46:24Z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ed7591a4-e187-4890-a7ac-3e268ea34a0b</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