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2EC05" w14:textId="77777777" w:rsidR="006643E2" w:rsidRPr="00697168" w:rsidRDefault="006B44EE" w:rsidP="00FE2A3B">
      <w:pPr>
        <w:pStyle w:val="Pagedecouverture"/>
        <w:rPr>
          <w:noProof/>
        </w:rPr>
      </w:pPr>
      <w:r>
        <w:rPr>
          <w:noProof/>
        </w:rPr>
        <w:pict w14:anchorId="4EF8BA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42B74710-1A75-432B-BE6E-F2A20EBF0884" style="width:455.25pt;height:440.25pt">
            <v:imagedata r:id="rId8" o:title=""/>
          </v:shape>
        </w:pict>
      </w:r>
    </w:p>
    <w:p w14:paraId="78555C65" w14:textId="77777777" w:rsidR="00872C56" w:rsidRPr="00697168" w:rsidRDefault="00872C56">
      <w:pPr>
        <w:rPr>
          <w:noProof/>
        </w:rPr>
        <w:sectPr w:rsidR="00872C56" w:rsidRPr="00697168" w:rsidSect="00FE2A3B">
          <w:footerReference w:type="even" r:id="rId9"/>
          <w:footerReference w:type="default" r:id="rId10"/>
          <w:pgSz w:w="11907" w:h="16839"/>
          <w:pgMar w:top="1134" w:right="1417" w:bottom="1134" w:left="1417" w:header="709" w:footer="709" w:gutter="0"/>
          <w:pgNumType w:start="0"/>
          <w:cols w:space="720"/>
          <w:docGrid w:linePitch="360"/>
        </w:sectPr>
      </w:pPr>
    </w:p>
    <w:p w14:paraId="7DC69423" w14:textId="77777777" w:rsidR="00872C56" w:rsidRPr="00697168" w:rsidRDefault="00916BAE">
      <w:pPr>
        <w:pStyle w:val="Exposdesmotifstitre"/>
        <w:rPr>
          <w:noProof/>
        </w:rPr>
      </w:pPr>
      <w:r w:rsidRPr="00697168">
        <w:rPr>
          <w:noProof/>
        </w:rPr>
        <w:lastRenderedPageBreak/>
        <w:t>EXPUNERE DE MOTIVE</w:t>
      </w:r>
    </w:p>
    <w:p w14:paraId="462DEFE3" w14:textId="77777777" w:rsidR="00872C56" w:rsidRPr="00697168" w:rsidRDefault="00916BAE" w:rsidP="00C21DFC">
      <w:pPr>
        <w:pStyle w:val="ManualHeading1"/>
        <w:rPr>
          <w:noProof/>
        </w:rPr>
      </w:pPr>
      <w:r w:rsidRPr="00697168">
        <w:rPr>
          <w:noProof/>
        </w:rPr>
        <w:t>CONTEXTUL PROPUNERII</w:t>
      </w:r>
    </w:p>
    <w:p w14:paraId="6B58A3F7" w14:textId="77777777" w:rsidR="00872C56" w:rsidRPr="00697168" w:rsidRDefault="00916BAE">
      <w:pPr>
        <w:pStyle w:val="ManualHeading2"/>
        <w:rPr>
          <w:noProof/>
        </w:rPr>
      </w:pPr>
      <w:r w:rsidRPr="00697168">
        <w:rPr>
          <w:noProof/>
        </w:rPr>
        <w:t>•</w:t>
      </w:r>
      <w:r w:rsidRPr="00697168">
        <w:rPr>
          <w:noProof/>
        </w:rPr>
        <w:tab/>
        <w:t>Motivele și obiectivele propunerii</w:t>
      </w:r>
    </w:p>
    <w:p w14:paraId="42972607" w14:textId="77777777" w:rsidR="00872C56" w:rsidRPr="00697168" w:rsidRDefault="00916BAE">
      <w:pPr>
        <w:rPr>
          <w:noProof/>
        </w:rPr>
      </w:pPr>
      <w:r w:rsidRPr="00697168">
        <w:rPr>
          <w:noProof/>
        </w:rPr>
        <w:t>Prezenta propunere se referă la o decizie-cadru de stabilire a poziției care urmează să fie adoptată în numele Uniunii în cadrul Comitetelor tehnice pentru determinarea valorii în vamă (denumit în continuare „CTDVV”) și pentru regulile de origine, instituite sub auspiciile Organizației Mondiale a Vămilor (denumit în continuare „CTRO”), în legătură cu adoptarea avizelor consultative, a comentariilor, a notelor explicative, a studiilor de caz, a studiilor și a actelor similare privind determinarea valorii în vamă a mărfurilor importate în temeiul Acordului privind punerea în aplicare a articolului VII din Acordul General pentru Tarife și Comerț din 1994 și, respectiv, adoptarea avizelor consultative, a informațiilor și a recomandărilor și a actelor similare privind determinarea originii mărfurilor în temeiul Acordului privind regulile de origine.</w:t>
      </w:r>
    </w:p>
    <w:p w14:paraId="3B9AB894" w14:textId="77777777" w:rsidR="00872C56" w:rsidRPr="00697168" w:rsidRDefault="00916BAE">
      <w:pPr>
        <w:pStyle w:val="ManualHeading2"/>
        <w:rPr>
          <w:noProof/>
        </w:rPr>
      </w:pPr>
      <w:r w:rsidRPr="00697168">
        <w:rPr>
          <w:noProof/>
        </w:rPr>
        <w:t>•</w:t>
      </w:r>
      <w:r w:rsidRPr="00697168">
        <w:rPr>
          <w:noProof/>
        </w:rPr>
        <w:tab/>
        <w:t>Coerența cu dispozițiile de politică deja existente în domeniul de politică vizat</w:t>
      </w:r>
    </w:p>
    <w:p w14:paraId="39A7DE08" w14:textId="77777777" w:rsidR="00872C56" w:rsidRPr="00697168" w:rsidRDefault="00916BAE">
      <w:pPr>
        <w:rPr>
          <w:noProof/>
        </w:rPr>
      </w:pPr>
      <w:r w:rsidRPr="00697168">
        <w:rPr>
          <w:noProof/>
        </w:rPr>
        <w:t>Acordul privind punerea în aplicare a articolului VII din Acordul General pentru Tarife și Comerț din 1994 (denumit în continuare „Acordul privind determinarea valorii în vamă” sau „ADVV”)</w:t>
      </w:r>
      <w:r w:rsidRPr="00697168">
        <w:rPr>
          <w:rStyle w:val="FootnoteReference"/>
          <w:noProof/>
        </w:rPr>
        <w:footnoteReference w:customMarkFollows="1" w:id="1"/>
        <w:t>(1)</w:t>
      </w:r>
      <w:r w:rsidRPr="00697168">
        <w:rPr>
          <w:noProof/>
        </w:rPr>
        <w:t xml:space="preserve"> urmărește să instituie un sistem echitabil, uniform și neutru de determinare a valorii în vamă a mărfurilor pentru toți membrii Organizației Mondiale a Comerțului.</w:t>
      </w:r>
    </w:p>
    <w:p w14:paraId="77FDB1B1" w14:textId="77777777" w:rsidR="00872C56" w:rsidRPr="00697168" w:rsidRDefault="00916BAE">
      <w:pPr>
        <w:rPr>
          <w:noProof/>
        </w:rPr>
      </w:pPr>
      <w:r w:rsidRPr="00697168">
        <w:rPr>
          <w:noProof/>
        </w:rPr>
        <w:t>Acordul privind regulile de origine (denumit în continuare „ARO”)</w:t>
      </w:r>
      <w:r w:rsidRPr="00697168">
        <w:rPr>
          <w:rStyle w:val="FootnoteReference"/>
          <w:noProof/>
        </w:rPr>
        <w:footnoteReference w:customMarkFollows="1" w:id="2"/>
        <w:t>(2)</w:t>
      </w:r>
      <w:r w:rsidRPr="00697168">
        <w:rPr>
          <w:noProof/>
        </w:rPr>
        <w:t xml:space="preserve"> urmărește să garanteze că regulile de origine nepreferențiale nu creează ele însele obstacole inutile în calea comerțului și vizează armonizarea la nivel internațional a regulilor de origine, altele decât regulile de origine legate de acordarea preferințelor tarifare. Până la finalizarea programului de armonizare, părțile contractante trebuie să se asigure că regulile lor de origine sunt transparente; că nu au efecte de restricționare, de denaturare sau de perturbare a comerțului internațional și că sunt administrate în mod consecvent, uniform, imparțial și rezonabil.</w:t>
      </w:r>
    </w:p>
    <w:p w14:paraId="5A96DCDE" w14:textId="77777777" w:rsidR="00872C56" w:rsidRPr="00697168" w:rsidRDefault="00916BAE">
      <w:pPr>
        <w:rPr>
          <w:noProof/>
        </w:rPr>
      </w:pPr>
      <w:r w:rsidRPr="00697168">
        <w:rPr>
          <w:noProof/>
        </w:rPr>
        <w:t>Ambele acorduri au intrat în vigoare la 1 ianuarie 1995.</w:t>
      </w:r>
    </w:p>
    <w:p w14:paraId="68A41D5E" w14:textId="77777777" w:rsidR="00872C56" w:rsidRPr="00697168" w:rsidRDefault="00916BAE">
      <w:pPr>
        <w:rPr>
          <w:noProof/>
        </w:rPr>
      </w:pPr>
      <w:r w:rsidRPr="00697168">
        <w:rPr>
          <w:noProof/>
        </w:rPr>
        <w:t>Uniunea Europeană este parte la ambele acorduri</w:t>
      </w:r>
      <w:r w:rsidRPr="00697168">
        <w:rPr>
          <w:rStyle w:val="FootnoteReference"/>
          <w:noProof/>
        </w:rPr>
        <w:footnoteReference w:customMarkFollows="1" w:id="3"/>
        <w:t>(3)</w:t>
      </w:r>
      <w:r w:rsidRPr="00697168">
        <w:rPr>
          <w:noProof/>
        </w:rPr>
        <w:t>.</w:t>
      </w:r>
    </w:p>
    <w:p w14:paraId="7B078E7D" w14:textId="77777777" w:rsidR="00872C56" w:rsidRPr="00697168" w:rsidRDefault="00782BA0">
      <w:pPr>
        <w:rPr>
          <w:noProof/>
        </w:rPr>
      </w:pPr>
      <w:r w:rsidRPr="00697168">
        <w:rPr>
          <w:noProof/>
        </w:rPr>
        <w:t>Decizia-cadru propusă se referă la următoarele acte adoptate de CTDVV, în măsura în care acestea ar avea efecte juridice în Uniune:</w:t>
      </w:r>
    </w:p>
    <w:p w14:paraId="6BF24E77" w14:textId="77777777" w:rsidR="00872C56" w:rsidRPr="00697168" w:rsidRDefault="00916BAE">
      <w:pPr>
        <w:rPr>
          <w:noProof/>
        </w:rPr>
      </w:pPr>
      <w:r w:rsidRPr="00697168">
        <w:rPr>
          <w:noProof/>
          <w:u w:val="single"/>
        </w:rPr>
        <w:t>Avize consultative adoptate în temeiul punctului 2 litera (a) și al punctului 2 litera (d) din anexa II la ADVV</w:t>
      </w:r>
      <w:r w:rsidRPr="00697168">
        <w:rPr>
          <w:noProof/>
        </w:rPr>
        <w:t>. Un aviz consultativ răspunde la o întrebare adresată cu privire la aplicarea ADVV unui anumit set de fapte, reale sau teoretice. Astfel, atunci când faptele dintr-o situație sunt identice cu cele descrise în avizul consultativ, este disponibilă o soluție clară pentru uzul administrațiilor vamale; în cazurile în care faptele nu sunt identice, avizul consultativ poate servi totuși drept ghid pentru rezolvarea problemei.</w:t>
      </w:r>
    </w:p>
    <w:p w14:paraId="49B90B37" w14:textId="77777777" w:rsidR="00872C56" w:rsidRPr="00697168" w:rsidRDefault="00916BAE">
      <w:pPr>
        <w:rPr>
          <w:noProof/>
        </w:rPr>
      </w:pPr>
      <w:r w:rsidRPr="00697168">
        <w:rPr>
          <w:noProof/>
          <w:u w:val="single"/>
        </w:rPr>
        <w:t>Comentarii adoptate în temeiul punctului 2 litera (d) din anexa II la ADVV</w:t>
      </w:r>
      <w:r w:rsidRPr="00697168">
        <w:rPr>
          <w:noProof/>
        </w:rPr>
        <w:t>. Un comentariu constă într-o serie de observații cu privire la o parte din textul ADVV menită să clarifice o situație în care o lectură literală a textului în sine poate fi completată în mod util cu îndrumări suplimentare. Comentariile ar include, după caz, exemple ilustrative. Astfel, comentariile ar oferi de regulă administrațiilor vamale orientări cu privire la aplicarea unei anumite părți din ADVV într-o serie de situații.</w:t>
      </w:r>
    </w:p>
    <w:p w14:paraId="5AF00AAE" w14:textId="77777777" w:rsidR="00872C56" w:rsidRPr="00697168" w:rsidRDefault="00916BAE">
      <w:pPr>
        <w:rPr>
          <w:noProof/>
        </w:rPr>
      </w:pPr>
      <w:r w:rsidRPr="00697168">
        <w:rPr>
          <w:noProof/>
          <w:u w:val="single"/>
        </w:rPr>
        <w:lastRenderedPageBreak/>
        <w:t>Note explicative adoptate în temeiul punctului 2 litera (d) din anexa II la ADVV</w:t>
      </w:r>
      <w:r w:rsidRPr="00697168">
        <w:rPr>
          <w:noProof/>
        </w:rPr>
        <w:t>. O notă explicativă clarifică punctul de vedere al Comitetului tehnic cu privire la o chestiune cu caracter general care decurge din una sau mai multe dispoziții ale ADVV. Notele explicative pot, de asemenea, să examineze practicile comerciale în ceea ce privește chestiunea și să tragă concluziile necesare. Trimiterea la o notă explicativă va permite administrațiilor vamale să aplice o dispoziție a ADVV unui număr de situații comerciale diferite care intră în domeniul său de acoperire.</w:t>
      </w:r>
    </w:p>
    <w:p w14:paraId="45D69CE9" w14:textId="77777777" w:rsidR="00872C56" w:rsidRPr="00697168" w:rsidRDefault="00916BAE">
      <w:pPr>
        <w:rPr>
          <w:noProof/>
        </w:rPr>
      </w:pPr>
      <w:r w:rsidRPr="00697168">
        <w:rPr>
          <w:noProof/>
          <w:u w:val="single"/>
        </w:rPr>
        <w:t>Studii de caz adoptate în temeiul punctului 2 litera (b) din anexa II la ADVV</w:t>
      </w:r>
      <w:r w:rsidRPr="00697168">
        <w:rPr>
          <w:noProof/>
        </w:rPr>
        <w:t>. Un studiu de caz este o expunere a unui set complex de fapte bazate pe o tranzacție comercială reală, care poate fi utilizată pentru a demonstra aplicarea practică a uneia sau mai multor dispoziții ale ADVV.</w:t>
      </w:r>
    </w:p>
    <w:p w14:paraId="554E7F78" w14:textId="77777777" w:rsidR="00872C56" w:rsidRPr="00697168" w:rsidRDefault="00916BAE">
      <w:pPr>
        <w:rPr>
          <w:noProof/>
        </w:rPr>
      </w:pPr>
      <w:r w:rsidRPr="00697168">
        <w:rPr>
          <w:noProof/>
          <w:u w:val="single"/>
        </w:rPr>
        <w:t>Studii adoptate în temeiul punctului 2 litera (b) din anexa II la ADVV</w:t>
      </w:r>
      <w:r w:rsidRPr="00697168">
        <w:rPr>
          <w:noProof/>
        </w:rPr>
        <w:t>. Un studiu prezintă rezultatul unei examinări în profunzime a unei chestiuni legate de dispozițiile ADVV, care nu este acoperită mai adecvat de niciunul dintre instrumentele menționate anterior.</w:t>
      </w:r>
    </w:p>
    <w:p w14:paraId="3F7CFCDB" w14:textId="77777777" w:rsidR="00872C56" w:rsidRPr="00697168" w:rsidRDefault="00916BAE">
      <w:pPr>
        <w:rPr>
          <w:noProof/>
        </w:rPr>
      </w:pPr>
      <w:r w:rsidRPr="00697168">
        <w:rPr>
          <w:noProof/>
        </w:rPr>
        <w:t>Avizele consultative, comentariile, notele explicative, studiile de caz și studiile sunt adoptate de CTDVV pe bază de consens și sunt anexate la rapoartele sesiunilor CTDVV. În plus, acestea sunt puse la dispoziția serviciilor vamale și ale operatorilor economici în Culegerea de texte a CTDVV.</w:t>
      </w:r>
    </w:p>
    <w:p w14:paraId="38FD245E" w14:textId="77777777" w:rsidR="00872C56" w:rsidRPr="00697168" w:rsidRDefault="00916BAE">
      <w:pPr>
        <w:rPr>
          <w:noProof/>
        </w:rPr>
      </w:pPr>
      <w:r w:rsidRPr="00697168">
        <w:rPr>
          <w:noProof/>
        </w:rPr>
        <w:t>Decizia-cadru propusă se poate referi, de asemenea, la următoarele acte adoptate de CTRO, în măsura în care acestea ar avea efecte juridice în Uniune:</w:t>
      </w:r>
    </w:p>
    <w:p w14:paraId="6268F693" w14:textId="77777777" w:rsidR="00872C56" w:rsidRPr="00697168" w:rsidRDefault="00916BAE">
      <w:pPr>
        <w:rPr>
          <w:noProof/>
        </w:rPr>
      </w:pPr>
      <w:r w:rsidRPr="00697168">
        <w:rPr>
          <w:noProof/>
          <w:u w:val="single"/>
        </w:rPr>
        <w:t>Avize consultative adoptate în temeiul punctului 1 litera (a) din anexa I la ARO</w:t>
      </w:r>
      <w:r w:rsidRPr="00697168">
        <w:rPr>
          <w:noProof/>
        </w:rPr>
        <w:t>. La cererea unuia dintre membrii săi, CTRO poate examina problemele tehnice specifice apărute în administrarea curentă a regulilor de origine și poate emite, pe baza faptelor prezentate, avize consultative cu privire la soluțiile adecvate.</w:t>
      </w:r>
    </w:p>
    <w:p w14:paraId="6FC849BB" w14:textId="77777777" w:rsidR="00872C56" w:rsidRPr="00697168" w:rsidRDefault="00916BAE">
      <w:pPr>
        <w:rPr>
          <w:noProof/>
        </w:rPr>
      </w:pPr>
      <w:r w:rsidRPr="00697168">
        <w:rPr>
          <w:noProof/>
          <w:u w:val="single"/>
        </w:rPr>
        <w:t>Informații și recomandări formulate în temeiul punctului 1 litera (b) din anexa I la ARO</w:t>
      </w:r>
      <w:r w:rsidRPr="00697168">
        <w:rPr>
          <w:noProof/>
        </w:rPr>
        <w:t>. La cererea unuia dintre membrii săi, CTRO poate furniza informații și recomandări cu privire la orice aspecte legate de determinarea originii mărfurilor.</w:t>
      </w:r>
    </w:p>
    <w:p w14:paraId="71C16D16" w14:textId="77777777" w:rsidR="00872C56" w:rsidRPr="00697168" w:rsidRDefault="00916BAE">
      <w:pPr>
        <w:rPr>
          <w:noProof/>
        </w:rPr>
      </w:pPr>
      <w:r w:rsidRPr="00697168">
        <w:rPr>
          <w:noProof/>
        </w:rPr>
        <w:t>Avizele consultative, informațiile și recomandările adoptate de CTRO pot servi drept ghid pentru rezolvarea unor probleme tehnice similare sau a unor probleme legate de determinarea originii mărfurilor. Avizele consultative, informațiile și recomandările sunt adoptate de către CTRO pe bază de consens.</w:t>
      </w:r>
    </w:p>
    <w:p w14:paraId="2482E366" w14:textId="77777777" w:rsidR="00872C56" w:rsidRPr="00697168" w:rsidRDefault="00916BAE">
      <w:pPr>
        <w:rPr>
          <w:noProof/>
        </w:rPr>
      </w:pPr>
      <w:r w:rsidRPr="00697168">
        <w:rPr>
          <w:noProof/>
        </w:rPr>
        <w:t>Unele poziții ale Uniunii care urmează să fie adoptate în cadrul reuniunilor CTDVV sau CTRO și stabilite înainte de aceste reuniuni se referă la adoptarea în cadrul comitetelor respective a avizelor consultative, a comentariilor, a notelor explicative, a studiilor de caz, a studiilor, a informațiilor și a recomandărilor, precum și a actelor similare care, fără a fi în mod necesar acte obligatorii din punct de vedere juridic, pot avea efecte juridice în UE.</w:t>
      </w:r>
    </w:p>
    <w:p w14:paraId="4C5A8404" w14:textId="77777777" w:rsidR="00872C56" w:rsidRPr="00697168" w:rsidRDefault="00916BAE">
      <w:pPr>
        <w:rPr>
          <w:noProof/>
        </w:rPr>
      </w:pPr>
      <w:r w:rsidRPr="00697168">
        <w:rPr>
          <w:noProof/>
        </w:rPr>
        <w:t>Adoptarea pozițiilor Uniunii cu privire la aceste instrumente specifice necesită o cooperare intensificată și eficientă între instituții, având în vedere natura tehnică și volumul întrebărilor discutate în cadrul acestor comitete, precum și timpul scurt disponibil pentru examinarea chestiunilor în dezbatere.</w:t>
      </w:r>
    </w:p>
    <w:p w14:paraId="47875DA0" w14:textId="77777777" w:rsidR="00872C56" w:rsidRPr="00697168" w:rsidRDefault="00916BAE">
      <w:pPr>
        <w:rPr>
          <w:noProof/>
        </w:rPr>
      </w:pPr>
      <w:r w:rsidRPr="00697168">
        <w:rPr>
          <w:noProof/>
        </w:rPr>
        <w:t>Prin urmare, este în interesul Uniunii ca aceste poziții să fie stabilite în conformitate cu principiile, criteriile și orientările care reglementează determinarea valorii în vamă a mărfurilor importate și, respectiv, determinarea originii mărfurilor, și într-un mod rapid pentru a permite Uniunii să își exercite drepturile în cadrul CTDVV și al CTRO.</w:t>
      </w:r>
    </w:p>
    <w:p w14:paraId="2F1FAA9A" w14:textId="77777777" w:rsidR="00872C56" w:rsidRPr="00697168" w:rsidRDefault="00916BAE">
      <w:pPr>
        <w:rPr>
          <w:noProof/>
        </w:rPr>
      </w:pPr>
      <w:r w:rsidRPr="00697168">
        <w:rPr>
          <w:noProof/>
        </w:rPr>
        <w:t xml:space="preserve">În acest scop, Comisia propune adoptarea de către Consiliu a unei decizii „omnibus”, în conformitate cu articolul 218 alineatul (9) din Tratatul privind funcționarea Uniunii Europene </w:t>
      </w:r>
      <w:r w:rsidRPr="00697168">
        <w:rPr>
          <w:noProof/>
        </w:rPr>
        <w:lastRenderedPageBreak/>
        <w:t>(TFUE)</w:t>
      </w:r>
      <w:r w:rsidRPr="00697168">
        <w:rPr>
          <w:rStyle w:val="FootnoteReference"/>
          <w:noProof/>
        </w:rPr>
        <w:footnoteReference w:customMarkFollows="1" w:id="4"/>
        <w:t>(4)</w:t>
      </w:r>
      <w:r w:rsidRPr="00697168">
        <w:rPr>
          <w:noProof/>
        </w:rPr>
        <w:t>. Decizia respectivă va defini cadrul pentru stabilirea la timp a pozițiilor care urmează să fie adoptate în numele Uniunii în cadrul CTDVV și CTRO, atunci când organismele respective sunt invitate să adopte acte cu efecte juridice.</w:t>
      </w:r>
    </w:p>
    <w:p w14:paraId="6CE0A9DD" w14:textId="77777777" w:rsidR="00872C56" w:rsidRPr="00697168" w:rsidRDefault="00916BAE">
      <w:pPr>
        <w:rPr>
          <w:noProof/>
        </w:rPr>
      </w:pPr>
      <w:r w:rsidRPr="00697168">
        <w:rPr>
          <w:noProof/>
        </w:rPr>
        <w:t>Pentru a asigura capacitatea Consiliului de a evalua și, după caz, de a revizui periodic politica din cadrul prezentei decizii, și în spiritul cooperării loiale dintre instituțiile Uniunii, consacrată la articolul 13 alineatul (2) din Tratatul privind Uniunea Europeană</w:t>
      </w:r>
      <w:r w:rsidRPr="00697168">
        <w:rPr>
          <w:rStyle w:val="FootnoteReference"/>
          <w:noProof/>
        </w:rPr>
        <w:footnoteReference w:customMarkFollows="1" w:id="5"/>
        <w:t>(5)</w:t>
      </w:r>
      <w:r w:rsidRPr="00697168">
        <w:rPr>
          <w:noProof/>
        </w:rPr>
        <w:t>, valabilitatea prezentei decizii „omnibus” a Consiliului trebuie să fie limitată în timp.</w:t>
      </w:r>
    </w:p>
    <w:p w14:paraId="01E16DEA" w14:textId="77777777" w:rsidR="00872C56" w:rsidRPr="00697168" w:rsidRDefault="00916BAE">
      <w:pPr>
        <w:pStyle w:val="ManualHeading2"/>
        <w:rPr>
          <w:noProof/>
        </w:rPr>
      </w:pPr>
      <w:r w:rsidRPr="00697168">
        <w:rPr>
          <w:noProof/>
        </w:rPr>
        <w:t>•</w:t>
      </w:r>
      <w:r w:rsidRPr="00697168">
        <w:rPr>
          <w:noProof/>
        </w:rPr>
        <w:tab/>
        <w:t>Coerența cu alte politici ale Uniunii</w:t>
      </w:r>
    </w:p>
    <w:p w14:paraId="40424967" w14:textId="77777777" w:rsidR="00872C56" w:rsidRPr="00697168" w:rsidRDefault="00916BAE">
      <w:pPr>
        <w:rPr>
          <w:noProof/>
        </w:rPr>
      </w:pPr>
      <w:r w:rsidRPr="00697168">
        <w:rPr>
          <w:noProof/>
        </w:rPr>
        <w:t>Nu se aplică.</w:t>
      </w:r>
    </w:p>
    <w:p w14:paraId="4A06D261" w14:textId="77777777" w:rsidR="00872C56" w:rsidRPr="00697168" w:rsidRDefault="00916BAE" w:rsidP="00C21DFC">
      <w:pPr>
        <w:pStyle w:val="ManualHeading1"/>
        <w:rPr>
          <w:noProof/>
        </w:rPr>
      </w:pPr>
      <w:r w:rsidRPr="00697168">
        <w:rPr>
          <w:noProof/>
        </w:rPr>
        <w:t>TEMEI JURIDIC, SUBSIDIARITATE ȘI PROPORȚIONALITATE</w:t>
      </w:r>
    </w:p>
    <w:p w14:paraId="02C1BB8B" w14:textId="77777777" w:rsidR="00872C56" w:rsidRPr="00697168" w:rsidRDefault="00916BAE">
      <w:pPr>
        <w:pStyle w:val="ManualHeading2"/>
        <w:rPr>
          <w:noProof/>
        </w:rPr>
      </w:pPr>
      <w:r w:rsidRPr="00697168">
        <w:rPr>
          <w:noProof/>
        </w:rPr>
        <w:t>•</w:t>
      </w:r>
      <w:r w:rsidRPr="00697168">
        <w:rPr>
          <w:noProof/>
        </w:rPr>
        <w:tab/>
        <w:t>Temei juridic</w:t>
      </w:r>
    </w:p>
    <w:p w14:paraId="5D4470FA" w14:textId="77777777" w:rsidR="00872C56" w:rsidRPr="00697168" w:rsidRDefault="00916BAE" w:rsidP="003D3A8B">
      <w:pPr>
        <w:rPr>
          <w:noProof/>
        </w:rPr>
      </w:pPr>
      <w:r w:rsidRPr="00697168">
        <w:rPr>
          <w:noProof/>
        </w:rPr>
        <w:t>Articolul 218 alineatul (9) din TFUE prevede posibilitatea adoptării unor decizii de stabilire „a pozițiilor care trebuie adoptate în numele Uniunii în cadrul unui organism creat printr-un acord, în cazul în care acest organism trebuie să adopte acte cu efecte juridice, cu excepția actelor care modifică sau completează cadrul instituțional al acordului.”</w:t>
      </w:r>
    </w:p>
    <w:p w14:paraId="25AF0A7B" w14:textId="77777777" w:rsidR="00872C56" w:rsidRPr="00697168" w:rsidRDefault="00916BAE">
      <w:pPr>
        <w:rPr>
          <w:noProof/>
        </w:rPr>
      </w:pPr>
      <w:r w:rsidRPr="00697168">
        <w:rPr>
          <w:noProof/>
        </w:rPr>
        <w:t>Conceptul de „</w:t>
      </w:r>
      <w:r w:rsidRPr="00697168">
        <w:rPr>
          <w:i/>
          <w:noProof/>
        </w:rPr>
        <w:t>acte cu efecte juridice</w:t>
      </w:r>
      <w:r w:rsidRPr="00697168">
        <w:rPr>
          <w:noProof/>
        </w:rPr>
        <w:t>” include actele care au efecte juridice în temeiul normelor de drept internațional aplicabile organismului în cauză. Sunt, de asemenea, incluse instrumentele care nu au un caracter obligatoriu în temeiul dreptului internațional, dar care „</w:t>
      </w:r>
      <w:r w:rsidRPr="00697168">
        <w:rPr>
          <w:i/>
          <w:noProof/>
        </w:rPr>
        <w:t>au vocația de a influența în mod decisiv conținutul reglementării adoptate de legiuitorul Uniunii</w:t>
      </w:r>
      <w:r w:rsidRPr="00697168">
        <w:rPr>
          <w:noProof/>
        </w:rPr>
        <w:t>”</w:t>
      </w:r>
      <w:r w:rsidRPr="00697168">
        <w:rPr>
          <w:rStyle w:val="FootnoteReference"/>
          <w:noProof/>
        </w:rPr>
        <w:footnoteReference w:customMarkFollows="1" w:id="6"/>
        <w:t>(6)</w:t>
      </w:r>
      <w:r w:rsidRPr="00697168">
        <w:rPr>
          <w:noProof/>
        </w:rPr>
        <w:t>.</w:t>
      </w:r>
    </w:p>
    <w:p w14:paraId="4731CB21" w14:textId="77777777" w:rsidR="00872C56" w:rsidRPr="00697168" w:rsidRDefault="00C8571D" w:rsidP="00C8571D">
      <w:pPr>
        <w:pStyle w:val="ManualHeading2"/>
        <w:rPr>
          <w:noProof/>
        </w:rPr>
      </w:pPr>
      <w:r w:rsidRPr="00697168">
        <w:rPr>
          <w:noProof/>
        </w:rPr>
        <w:tab/>
        <w:t>Aplicarea la cazul în discuție</w:t>
      </w:r>
    </w:p>
    <w:p w14:paraId="5C4A7E8A" w14:textId="77777777" w:rsidR="00872C56" w:rsidRPr="00697168" w:rsidRDefault="00916BAE">
      <w:pPr>
        <w:rPr>
          <w:noProof/>
        </w:rPr>
      </w:pPr>
      <w:r w:rsidRPr="00697168">
        <w:rPr>
          <w:noProof/>
        </w:rPr>
        <w:t>CTDVV sub auspiciile Organizației Mondiale a Vămilor (OMV) este un organism creat printr-un acord, și anume Acordul privind punerea în aplicare a articolului VII din Acordul General pentru Tarife și Comerț din 1994 (Acordul privind determinarea valorii în vamă – ADVV). CTRO sub auspiciile Organizației Mondiale a Vămilor (OMV) este un organism creat printr-un acord, și anume Acordul privind regulile de origine (ARO).</w:t>
      </w:r>
    </w:p>
    <w:p w14:paraId="30E54DE6" w14:textId="77777777" w:rsidR="00872C56" w:rsidRPr="00697168" w:rsidRDefault="00916BAE">
      <w:pPr>
        <w:rPr>
          <w:noProof/>
        </w:rPr>
      </w:pPr>
      <w:r w:rsidRPr="00697168">
        <w:rPr>
          <w:noProof/>
        </w:rPr>
        <w:t>Avizele tehnice consultative, comentariile, notele explicative, studiile de caz, studiile, informațiile și recomandările, precum și actele similare pe care CTDVV și CTRO sunt chemate să le adopte, în ceea ce privește determinarea valorii în vamă a mărfurilor importate și, respectiv, determinarea originii mărfurilor constituie acte cu efecte juridice, întrucât pot avea vocația de a influența în mod decisiv conținutul și aplicarea dreptului Uniunii, și anume dispozițiile Codului vamal al Uniunii și actele delegate și de punere în aplicare ale acestuia referitoare la determinarea valorii în vamă a mărfurilor importate și la aspectele legate de determinarea originii mărfurilor.</w:t>
      </w:r>
    </w:p>
    <w:p w14:paraId="67EA3B42" w14:textId="77777777" w:rsidR="00872C56" w:rsidRPr="00697168" w:rsidRDefault="00916BAE">
      <w:pPr>
        <w:rPr>
          <w:noProof/>
        </w:rPr>
      </w:pPr>
      <w:r w:rsidRPr="00697168">
        <w:rPr>
          <w:noProof/>
        </w:rPr>
        <w:t>Actul avut în vedere nu completează și nu modifică cadrul instituțional al acordului.</w:t>
      </w:r>
    </w:p>
    <w:p w14:paraId="1FF0307D" w14:textId="77777777" w:rsidR="00872C56" w:rsidRPr="00697168" w:rsidRDefault="00916BAE">
      <w:pPr>
        <w:rPr>
          <w:noProof/>
        </w:rPr>
      </w:pPr>
      <w:r w:rsidRPr="00697168">
        <w:rPr>
          <w:noProof/>
        </w:rPr>
        <w:t>În consecință, temeiul juridic procedural al deciziei propuse este articolul 218 alineatul (9) din TFUE.</w:t>
      </w:r>
    </w:p>
    <w:p w14:paraId="5C80F942" w14:textId="77777777" w:rsidR="00872C56" w:rsidRPr="00697168" w:rsidRDefault="00C8571D" w:rsidP="00C8571D">
      <w:pPr>
        <w:pStyle w:val="ManualHeading2"/>
        <w:rPr>
          <w:noProof/>
        </w:rPr>
      </w:pPr>
      <w:r w:rsidRPr="00697168">
        <w:rPr>
          <w:noProof/>
        </w:rPr>
        <w:tab/>
        <w:t>Temei juridic material</w:t>
      </w:r>
    </w:p>
    <w:p w14:paraId="5AE74E9D" w14:textId="77777777" w:rsidR="00872C56" w:rsidRPr="00697168" w:rsidRDefault="00C8571D" w:rsidP="00C8571D">
      <w:pPr>
        <w:pStyle w:val="ManualHeading2"/>
        <w:rPr>
          <w:noProof/>
        </w:rPr>
      </w:pPr>
      <w:r w:rsidRPr="00697168">
        <w:rPr>
          <w:noProof/>
        </w:rPr>
        <w:tab/>
        <w:t>Principii</w:t>
      </w:r>
    </w:p>
    <w:p w14:paraId="76BFBD9D" w14:textId="77777777" w:rsidR="00872C56" w:rsidRPr="00697168" w:rsidRDefault="00916BAE">
      <w:pPr>
        <w:rPr>
          <w:noProof/>
        </w:rPr>
      </w:pPr>
      <w:r w:rsidRPr="00697168">
        <w:rPr>
          <w:noProof/>
        </w:rPr>
        <w:t>Temeiul juridic material al unei decizii adoptate în temeiul articolului 218 alineatul (9) din TFUE depinde în primul rând de obiectivul și de conținutul actului avut în vedere cu privire la care se adoptă o poziție în numele Uniunii. În cazul în care actul avut în vedere urmărește două obiective sau include două elemente, iar unul dintre aceste obiective sau elemente poate fi identificat ca fiind obiectivul sau elementul principal, iar celălalt obiectiv sau element are mai degrabă un caracter accesoriu, decizia adoptată în temeiul articolului 218 alineatul (9) din TFUE trebuie să se întemeieze pe un singur temei juridic material, respectiv cel impus de obiectivul sau de elementul principal sau predominant.</w:t>
      </w:r>
    </w:p>
    <w:p w14:paraId="34DA3569" w14:textId="77777777" w:rsidR="00872C56" w:rsidRPr="00697168" w:rsidRDefault="00C8571D" w:rsidP="00C8571D">
      <w:pPr>
        <w:pStyle w:val="ManualHeading2"/>
        <w:ind w:left="0" w:firstLine="0"/>
        <w:rPr>
          <w:noProof/>
        </w:rPr>
      </w:pPr>
      <w:r w:rsidRPr="00697168">
        <w:rPr>
          <w:noProof/>
        </w:rPr>
        <w:tab/>
        <w:t>Aplicarea la cazul în discuție</w:t>
      </w:r>
    </w:p>
    <w:p w14:paraId="323FBCE9" w14:textId="77777777" w:rsidR="00872C56" w:rsidRPr="00697168" w:rsidRDefault="00916BAE">
      <w:pPr>
        <w:rPr>
          <w:noProof/>
        </w:rPr>
      </w:pPr>
      <w:r w:rsidRPr="00697168">
        <w:rPr>
          <w:noProof/>
        </w:rPr>
        <w:t>Potrivit unei jurisprudențe constante, un act al UE ține de politica comercială comună dacă privește în mod specific aceste schimburi comerciale prin aceea că este destinat în esență să le promoveze, să le faciliteze sau să le reglementeze și are efecte directe și imediate asupra acestora. Valoarea în vamă a mărfurilor și originea mărfurilor sunt identificate și reglementate de Codul vamal al Uniunii ca factori pe baza cărora se aplică taxele la import și la export și alte măsuri în ceea ce privește comerțul cu mărfuri. ADVV și ARO sunt acorduri comerciale referitoare la comerțul cu mărfuri, la fel cum sunt și actele adoptate de organismele pe care le-au instituit. Obiectivul principal și conținutul actelor avute în vedere se referă, așadar, la politica comercială comună.</w:t>
      </w:r>
    </w:p>
    <w:p w14:paraId="523F0039" w14:textId="77777777" w:rsidR="00872C56" w:rsidRPr="00697168" w:rsidRDefault="00916BAE">
      <w:pPr>
        <w:rPr>
          <w:noProof/>
        </w:rPr>
      </w:pPr>
      <w:r w:rsidRPr="00697168">
        <w:rPr>
          <w:noProof/>
        </w:rPr>
        <w:t>Prin urmare, temeiul juridic material al deciziei propuse este articolul 207 alineatul (4) primul paragraf din TFUE.</w:t>
      </w:r>
    </w:p>
    <w:p w14:paraId="55F872C8" w14:textId="77777777" w:rsidR="00872C56" w:rsidRPr="00697168" w:rsidRDefault="00773A78" w:rsidP="00773A78">
      <w:pPr>
        <w:pStyle w:val="ManualHeading2"/>
        <w:ind w:left="0" w:firstLine="0"/>
        <w:rPr>
          <w:noProof/>
        </w:rPr>
      </w:pPr>
      <w:r w:rsidRPr="00697168">
        <w:rPr>
          <w:noProof/>
        </w:rPr>
        <w:tab/>
        <w:t>Concluzie</w:t>
      </w:r>
    </w:p>
    <w:p w14:paraId="375847F6" w14:textId="77777777" w:rsidR="00872C56" w:rsidRPr="00697168" w:rsidRDefault="00916BAE">
      <w:pPr>
        <w:rPr>
          <w:noProof/>
        </w:rPr>
      </w:pPr>
      <w:r w:rsidRPr="00697168">
        <w:rPr>
          <w:noProof/>
        </w:rPr>
        <w:t>Temeiul juridic al deciziei propuse trebuie să fie articolul 207 alineatul (4) primul paragraf, coroborat cu articolul 218 alineatul (9) din TFUE.</w:t>
      </w:r>
    </w:p>
    <w:p w14:paraId="50CD7205" w14:textId="77777777" w:rsidR="00E476B4" w:rsidRPr="00697168" w:rsidRDefault="00E476B4">
      <w:pPr>
        <w:rPr>
          <w:noProof/>
        </w:rPr>
        <w:sectPr w:rsidR="00E476B4" w:rsidRPr="00697168" w:rsidSect="00FE2A3B">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pPr>
    </w:p>
    <w:p w14:paraId="749C18DB" w14:textId="77777777" w:rsidR="00CC7534" w:rsidRDefault="006B44EE">
      <w:pPr>
        <w:pStyle w:val="Rfrenceinterinstitutionnelle"/>
        <w:rPr>
          <w:noProof/>
        </w:rPr>
      </w:pPr>
      <w:r>
        <w:rPr>
          <w:noProof/>
        </w:rPr>
        <w:t>2026/0086 (NLE)</w:t>
      </w:r>
    </w:p>
    <w:p w14:paraId="2372911B" w14:textId="77777777" w:rsidR="00872C56" w:rsidRPr="00697168" w:rsidRDefault="00A82189" w:rsidP="00A82189">
      <w:pPr>
        <w:pStyle w:val="Statut"/>
        <w:rPr>
          <w:noProof/>
        </w:rPr>
      </w:pPr>
      <w:r w:rsidRPr="00697168">
        <w:rPr>
          <w:noProof/>
        </w:rPr>
        <w:t>Propunere de</w:t>
      </w:r>
    </w:p>
    <w:p w14:paraId="7D3582E9" w14:textId="77777777" w:rsidR="00872C56" w:rsidRPr="00697168" w:rsidRDefault="00A82189" w:rsidP="00A82189">
      <w:pPr>
        <w:pStyle w:val="Typedudocument"/>
        <w:rPr>
          <w:noProof/>
        </w:rPr>
      </w:pPr>
      <w:r w:rsidRPr="00697168">
        <w:rPr>
          <w:noProof/>
        </w:rPr>
        <w:t>DECIZIE A CONSILIULUI</w:t>
      </w:r>
    </w:p>
    <w:p w14:paraId="08EC1723" w14:textId="77777777" w:rsidR="00872C56" w:rsidRPr="00697168" w:rsidRDefault="00A82189" w:rsidP="00A82189">
      <w:pPr>
        <w:pStyle w:val="Titreobjet"/>
        <w:rPr>
          <w:noProof/>
        </w:rPr>
      </w:pPr>
      <w:r w:rsidRPr="00697168">
        <w:rPr>
          <w:noProof/>
        </w:rPr>
        <w:t>privind poziția care urmează să fie adoptată în numele Uniunii Europene în cadrul Comitetelor tehnice pentru determinarea valorii în vamă și pentru regulile de origine, constituite sub auspiciile Organizației Mondiale a Vămilor, în ceea ce privește adoptarea avizelor consultative, a comentariilor, a notelor explicative, a studiilor de caz, a studiilor și a actelor similare privind determinarea valorii în vamă a mărfurilor importate în temeiul Acordului privind punerea în aplicare a articolului VII din Acordul General pentru Tarife și Comerț din 1994, precum și în ceea ce privește adoptarea avizelor consultative, a informațiilor și a recomandărilor și a actelor similare privind determinarea originii mărfurilor în temeiul Acordului privind regulile de origine</w:t>
      </w:r>
    </w:p>
    <w:p w14:paraId="6440622B" w14:textId="77777777" w:rsidR="00872C56" w:rsidRPr="00697168" w:rsidRDefault="00916BAE" w:rsidP="00DE0164">
      <w:pPr>
        <w:pStyle w:val="Institutionquiagit"/>
        <w:rPr>
          <w:noProof/>
        </w:rPr>
      </w:pPr>
      <w:r w:rsidRPr="00697168">
        <w:rPr>
          <w:noProof/>
        </w:rPr>
        <w:t>CONSILIUL UNIUNII EUROPENE,</w:t>
      </w:r>
    </w:p>
    <w:p w14:paraId="1502FE44" w14:textId="77777777" w:rsidR="00872C56" w:rsidRPr="00697168" w:rsidRDefault="00916BAE">
      <w:pPr>
        <w:rPr>
          <w:noProof/>
        </w:rPr>
      </w:pPr>
      <w:r w:rsidRPr="00697168">
        <w:rPr>
          <w:noProof/>
        </w:rPr>
        <w:t>având în vedere Tratatul privind funcționarea Uniunii Europene, în special articolul 207 alineatul (4) primul paragraf coroborat cu articolul 218 alineatul (9),</w:t>
      </w:r>
    </w:p>
    <w:p w14:paraId="2EE126BC" w14:textId="77777777" w:rsidR="00872C56" w:rsidRPr="00697168" w:rsidRDefault="00916BAE">
      <w:pPr>
        <w:rPr>
          <w:noProof/>
        </w:rPr>
      </w:pPr>
      <w:r w:rsidRPr="00697168">
        <w:rPr>
          <w:noProof/>
        </w:rPr>
        <w:t>având în vedere propunerea Comisiei Europene,</w:t>
      </w:r>
    </w:p>
    <w:p w14:paraId="0E97BE56" w14:textId="77777777" w:rsidR="00872C56" w:rsidRPr="00697168" w:rsidRDefault="00916BAE">
      <w:pPr>
        <w:rPr>
          <w:noProof/>
        </w:rPr>
      </w:pPr>
      <w:r w:rsidRPr="00697168">
        <w:rPr>
          <w:noProof/>
        </w:rPr>
        <w:t>întrucât:</w:t>
      </w:r>
    </w:p>
    <w:p w14:paraId="6E6D9A05" w14:textId="77777777" w:rsidR="00872C56" w:rsidRPr="00697168" w:rsidRDefault="00916BAE" w:rsidP="007E46F0">
      <w:pPr>
        <w:pStyle w:val="ManualConsidrant"/>
        <w:rPr>
          <w:noProof/>
        </w:rPr>
      </w:pPr>
      <w:r>
        <w:rPr>
          <w:noProof/>
        </w:rPr>
        <w:t>(1)</w:t>
      </w:r>
      <w:r>
        <w:rPr>
          <w:noProof/>
        </w:rPr>
        <w:tab/>
      </w:r>
      <w:r w:rsidRPr="00697168">
        <w:rPr>
          <w:noProof/>
        </w:rPr>
        <w:t>Prin Decizia 94/800/CE a Consiliului</w:t>
      </w:r>
      <w:r w:rsidRPr="00697168">
        <w:rPr>
          <w:rStyle w:val="FootnoteReference"/>
          <w:noProof/>
        </w:rPr>
        <w:footnoteReference w:id="7"/>
      </w:r>
      <w:r w:rsidRPr="00697168">
        <w:rPr>
          <w:noProof/>
        </w:rPr>
        <w:t>, Uniunea a aprobat Acordul privind punerea în aplicare a articolului VII din Acordul General pentru Tarife și Comerț din 1994 (Acordul privind determinarea valorii în vamă – ADVV) și Acordul privind regulile de origine (ARO).</w:t>
      </w:r>
    </w:p>
    <w:p w14:paraId="7DBA952B" w14:textId="77777777" w:rsidR="00872C56" w:rsidRPr="00697168" w:rsidRDefault="00916BAE">
      <w:pPr>
        <w:pStyle w:val="ManualConsidrant"/>
        <w:rPr>
          <w:noProof/>
        </w:rPr>
      </w:pPr>
      <w:r>
        <w:rPr>
          <w:noProof/>
        </w:rPr>
        <w:t>(2)</w:t>
      </w:r>
      <w:r>
        <w:rPr>
          <w:noProof/>
        </w:rPr>
        <w:tab/>
      </w:r>
      <w:r w:rsidRPr="00697168">
        <w:rPr>
          <w:noProof/>
        </w:rPr>
        <w:t>Prin articolul 18 alineatul (2) din ADVV se constituie, sub auspiciile Consiliului de Cooperare Vamală, un Comitet tehnic pentru determinarea valorii în vamă (CTDVV), cu scopul, în temeiul punctului 1 din anexa II la ADVV, de a asigura, la nivel tehnic, uniformitatea interpretării și aplicării ADVV.</w:t>
      </w:r>
    </w:p>
    <w:p w14:paraId="79F98D6D" w14:textId="77777777" w:rsidR="00872C56" w:rsidRPr="00697168" w:rsidRDefault="00916BAE">
      <w:pPr>
        <w:pStyle w:val="ManualConsidrant"/>
        <w:rPr>
          <w:noProof/>
        </w:rPr>
      </w:pPr>
      <w:r>
        <w:rPr>
          <w:noProof/>
        </w:rPr>
        <w:t>(3)</w:t>
      </w:r>
      <w:r>
        <w:rPr>
          <w:noProof/>
        </w:rPr>
        <w:tab/>
      </w:r>
      <w:r w:rsidRPr="00697168">
        <w:rPr>
          <w:noProof/>
        </w:rPr>
        <w:t>În temeiul punctului 2 litera (a) din anexa II la ADVV, CTDVV are responsabilitatea de a examina problemele tehnice specifice apărute în administrarea curentă a sistemelor de determinare a valorii în vamă a membrilor și de a emite, pe baza elementelor de fapt prezentate, avize consultative privind soluțiile adecvate.</w:t>
      </w:r>
    </w:p>
    <w:p w14:paraId="75B383B5" w14:textId="77777777" w:rsidR="00872C56" w:rsidRPr="00697168" w:rsidRDefault="00916BAE">
      <w:pPr>
        <w:pStyle w:val="ManualConsidrant"/>
        <w:rPr>
          <w:noProof/>
        </w:rPr>
      </w:pPr>
      <w:r>
        <w:rPr>
          <w:noProof/>
        </w:rPr>
        <w:t>(4)</w:t>
      </w:r>
      <w:r>
        <w:rPr>
          <w:noProof/>
        </w:rPr>
        <w:tab/>
      </w:r>
      <w:r w:rsidRPr="00697168">
        <w:rPr>
          <w:noProof/>
        </w:rPr>
        <w:t>În temeiul punctului 2 litera (b) din anexa II la ADVV, CTDVV are responsabilitatea de a studia, în funcție de solicitări, actele cu putere de lege, procedurile și practicile privind determinarea valorii care au legătură cu ADVV și de a pregăti rapoarte privind rezultatele acestor studii.</w:t>
      </w:r>
    </w:p>
    <w:p w14:paraId="02D0B35D" w14:textId="77777777" w:rsidR="00872C56" w:rsidRPr="00697168" w:rsidRDefault="00916BAE">
      <w:pPr>
        <w:pStyle w:val="ManualConsidrant"/>
        <w:rPr>
          <w:noProof/>
        </w:rPr>
      </w:pPr>
      <w:r>
        <w:rPr>
          <w:noProof/>
        </w:rPr>
        <w:t>(5)</w:t>
      </w:r>
      <w:r>
        <w:rPr>
          <w:noProof/>
        </w:rPr>
        <w:tab/>
      </w:r>
      <w:r w:rsidRPr="00697168">
        <w:rPr>
          <w:noProof/>
        </w:rPr>
        <w:t>În temeiul punctului 2 litera (d) din anexa II la ADVV, CTDVV are responsabilitatea de a furniza astfel de informații și recomandări cu privire la orice aspecte referitoare la determinarea valorii în vamă a mărfurilor importate, în funcție de solicitările venite din partea oricărui membru sau din partea Comitetului pentru determinarea valorii în vamă instituit prin articolul 18 alineatul (1) din ADVV. Astfel de informații și recomandări pot lua forma unor avize consultative, comentarii sau note explicative.</w:t>
      </w:r>
    </w:p>
    <w:p w14:paraId="1B7DACF6" w14:textId="77777777" w:rsidR="00872C56" w:rsidRPr="00697168" w:rsidRDefault="00916BAE">
      <w:pPr>
        <w:pStyle w:val="ManualConsidrant"/>
        <w:rPr>
          <w:noProof/>
        </w:rPr>
      </w:pPr>
      <w:r>
        <w:rPr>
          <w:noProof/>
        </w:rPr>
        <w:t>(6)</w:t>
      </w:r>
      <w:r>
        <w:rPr>
          <w:noProof/>
        </w:rPr>
        <w:tab/>
      </w:r>
      <w:r w:rsidRPr="00697168">
        <w:rPr>
          <w:noProof/>
        </w:rPr>
        <w:t>Prin articolul 4 alineatul (2) din ARO se constituie, sub auspiciile Consiliului de Cooperare Vamală, un Comitet tehnic pentru regulile de origine (CTRO), care urmează să efectueze lucrările tehnice prevăzute în anexa I la ARO.</w:t>
      </w:r>
    </w:p>
    <w:p w14:paraId="3F61195C" w14:textId="77777777" w:rsidR="00872C56" w:rsidRPr="00697168" w:rsidRDefault="00916BAE">
      <w:pPr>
        <w:pStyle w:val="ManualConsidrant"/>
        <w:rPr>
          <w:noProof/>
        </w:rPr>
      </w:pPr>
      <w:r>
        <w:rPr>
          <w:noProof/>
        </w:rPr>
        <w:t>(7)</w:t>
      </w:r>
      <w:r>
        <w:rPr>
          <w:noProof/>
        </w:rPr>
        <w:tab/>
      </w:r>
      <w:r w:rsidRPr="00697168">
        <w:rPr>
          <w:noProof/>
        </w:rPr>
        <w:t>În temeiul punctului 1 litera (a) din anexa I la ARO, CTRO are responsabilitatea de a examina problemele tehnice specifice apărute în administrarea curentă a regulilor de origine ale membrilor și de a emite, pe baza elementelor de fapt prezentate, avize consultative privind soluțiile adecvate.</w:t>
      </w:r>
    </w:p>
    <w:p w14:paraId="0B16AD8D" w14:textId="77777777" w:rsidR="00872C56" w:rsidRPr="00697168" w:rsidRDefault="00916BAE">
      <w:pPr>
        <w:pStyle w:val="ManualConsidrant"/>
        <w:rPr>
          <w:noProof/>
        </w:rPr>
      </w:pPr>
      <w:r>
        <w:rPr>
          <w:noProof/>
        </w:rPr>
        <w:t>(8)</w:t>
      </w:r>
      <w:r>
        <w:rPr>
          <w:noProof/>
        </w:rPr>
        <w:tab/>
      </w:r>
      <w:r w:rsidRPr="00697168">
        <w:rPr>
          <w:noProof/>
        </w:rPr>
        <w:t>În temeiul punctului 1 litera (b) din anexa I la ARO, CTRO are responsabilitatea de a furniza informații și recomandări cu privire la orice aspecte referitoare la determinarea originii mărfurilor, în funcție de solicitările venite din partea oricărui membru sau din partea Comitetului pentru regulile de origine constituit prin articolul 4 alineatul (1) din ARO.</w:t>
      </w:r>
    </w:p>
    <w:p w14:paraId="000CA682" w14:textId="77777777" w:rsidR="00872C56" w:rsidRPr="00697168" w:rsidRDefault="00916BAE">
      <w:pPr>
        <w:pStyle w:val="ManualConsidrant"/>
        <w:rPr>
          <w:noProof/>
        </w:rPr>
      </w:pPr>
      <w:r>
        <w:rPr>
          <w:noProof/>
        </w:rPr>
        <w:t>(9)</w:t>
      </w:r>
      <w:r>
        <w:rPr>
          <w:noProof/>
        </w:rPr>
        <w:tab/>
      </w:r>
      <w:r w:rsidRPr="00697168">
        <w:rPr>
          <w:noProof/>
        </w:rPr>
        <w:t>Este oportun să se stabilească poziția care urmează să fie adoptată în numele Uniunii în cadrul CTDVV în ceea ce privește adoptarea avizelor consultative, a comentariilor, a notelor explicative, a studiilor de caz, a studiilor și a actelor similare cu privire la orice aspecte referitoare la determinarea valorii în vamă a mărfurilor importate, pentru a asigura uniformitatea interpretării și aplicării ADVV, întrucât astfel de acte pot influența în mod decisiv conținutul dreptului Uniunii, și anume Regulamentul (UE) nr. 952/2013 al Parlamentului European și al Consiliului</w:t>
      </w:r>
      <w:r w:rsidRPr="00697168">
        <w:rPr>
          <w:rStyle w:val="FootnoteReference"/>
          <w:noProof/>
        </w:rPr>
        <w:footnoteReference w:id="8"/>
      </w:r>
      <w:r w:rsidRPr="00697168">
        <w:rPr>
          <w:noProof/>
        </w:rPr>
        <w:t>, Regulamentul delegat (UE) 2015/2446 al Comisiei</w:t>
      </w:r>
      <w:r w:rsidRPr="00697168">
        <w:rPr>
          <w:rStyle w:val="FootnoteReference"/>
          <w:noProof/>
        </w:rPr>
        <w:footnoteReference w:id="9"/>
      </w:r>
      <w:r w:rsidRPr="00697168">
        <w:rPr>
          <w:noProof/>
        </w:rPr>
        <w:t xml:space="preserve"> și Regulamentul de punere în aplicare (UE) 2015/2447 al Comisiei</w:t>
      </w:r>
      <w:r w:rsidRPr="00697168">
        <w:rPr>
          <w:rStyle w:val="FootnoteReference"/>
          <w:noProof/>
        </w:rPr>
        <w:footnoteReference w:id="10"/>
      </w:r>
      <w:r w:rsidRPr="00697168">
        <w:rPr>
          <w:noProof/>
        </w:rPr>
        <w:t xml:space="preserve"> privind valoarea în vamă a mărfurilor și determinarea acesteia.</w:t>
      </w:r>
    </w:p>
    <w:p w14:paraId="005C8A1E" w14:textId="77777777" w:rsidR="00872C56" w:rsidRPr="00697168" w:rsidRDefault="00916BAE">
      <w:pPr>
        <w:pStyle w:val="ManualConsidrant"/>
        <w:rPr>
          <w:noProof/>
        </w:rPr>
      </w:pPr>
      <w:r>
        <w:rPr>
          <w:noProof/>
        </w:rPr>
        <w:t>(10)</w:t>
      </w:r>
      <w:r>
        <w:rPr>
          <w:noProof/>
        </w:rPr>
        <w:tab/>
      </w:r>
      <w:r w:rsidRPr="00697168">
        <w:rPr>
          <w:noProof/>
        </w:rPr>
        <w:t>Este oportun să se stabilească poziția care urmează să fie adoptată în numele Uniunii în cadrul CTRO în ceea ce privește adoptarea avizelor consultative, a informațiilor și a recomandărilor și a actelor similare cu privire la determinarea originii mărfurilor, pentru a asigura uniformitatea interpretării și aplicării ARO, întrucât astfel de acte pot influența în mod decisiv conținutul dreptului Uniunii, și anume Regulamentul (UE) nr. 952/2013, Regulamentul delegat (UE) 2015/2446 și Regulamentul de punere în aplicare (UE) 2015/2447 privind originea mărfurilor și determinarea acesteia.</w:t>
      </w:r>
    </w:p>
    <w:p w14:paraId="792B5FE9" w14:textId="77777777" w:rsidR="00872C56" w:rsidRPr="00697168" w:rsidRDefault="00916BAE">
      <w:pPr>
        <w:pStyle w:val="ManualConsidrant"/>
        <w:rPr>
          <w:noProof/>
        </w:rPr>
      </w:pPr>
      <w:r>
        <w:rPr>
          <w:noProof/>
        </w:rPr>
        <w:t>(11)</w:t>
      </w:r>
      <w:r>
        <w:rPr>
          <w:noProof/>
        </w:rPr>
        <w:tab/>
      </w:r>
      <w:r w:rsidRPr="00697168">
        <w:rPr>
          <w:noProof/>
        </w:rPr>
        <w:t>Este în interesul Uniunii ca pozițiile exprimate în numele Uniunii în cadrul CTDVV să fie stabilite în conformitate cu principiile, criteriile și orientările care reglementează determinarea valorii în vamă a mărfurilor importate și ca pozițiile exprimate în cadrul CTRO să fie stabilite în conformitate cu principiile, criteriile și orientările care reglementează determinarea originii mărfurilor. De asemenea, este în interesul Uniunii ca aceste poziții să fie stabilite prompt, pentru a permite Uniunii să își exercite drepturile în cadrul CTDVV și în cadrul CTRO.</w:t>
      </w:r>
    </w:p>
    <w:p w14:paraId="100B724A" w14:textId="77777777" w:rsidR="00872C56" w:rsidRPr="00697168" w:rsidRDefault="00916BAE">
      <w:pPr>
        <w:pStyle w:val="ManualConsidrant"/>
        <w:rPr>
          <w:noProof/>
        </w:rPr>
      </w:pPr>
      <w:r>
        <w:rPr>
          <w:noProof/>
        </w:rPr>
        <w:t>(12)</w:t>
      </w:r>
      <w:r>
        <w:rPr>
          <w:noProof/>
        </w:rPr>
        <w:tab/>
      </w:r>
      <w:r w:rsidRPr="00697168">
        <w:rPr>
          <w:noProof/>
        </w:rPr>
        <w:t>Având în vedere natura extrem de tehnică a aspectelor legate de determinarea valorii în vamă a mărfurilor importate și a aspectelor legate de determinarea originii mărfurilor, numărul de chestiuni tratate în cadrul reuniunilor CTDVV și ale CTRO care se desfășoară anual, perioada scurtă de timp disponibilă pentru a analiza documentele emise de Secretariatul Organizației Mondiale a Vămilor (OMV) și de membrii CTDVV sau ai CTRO în pregătirea reuniunilor CTDVV sau ale CTRO și necesitatea implicită ca poziția Uniunii să țină cont și să abordeze în mod eficient noile informații prezentate înainte sau în timpul acestor reuniuni, trebuie luate măsurile necesare, în concordanță cu principiul cooperării loiale între instituțiile Uniunii consacrat la articolul 13 alineatul (2) din Tratatul privind Uniunea Europeană (TUE), pentru a se preciza poziția Uniunii.</w:t>
      </w:r>
    </w:p>
    <w:p w14:paraId="222C3D0D" w14:textId="77777777" w:rsidR="00872C56" w:rsidRPr="00697168" w:rsidRDefault="00916BAE">
      <w:pPr>
        <w:pStyle w:val="ManualConsidrant"/>
        <w:rPr>
          <w:noProof/>
        </w:rPr>
      </w:pPr>
      <w:r>
        <w:rPr>
          <w:noProof/>
        </w:rPr>
        <w:t>(13)</w:t>
      </w:r>
      <w:r>
        <w:rPr>
          <w:noProof/>
        </w:rPr>
        <w:tab/>
      </w:r>
      <w:r w:rsidRPr="00697168">
        <w:rPr>
          <w:noProof/>
        </w:rPr>
        <w:t>Având în vedere că, în mod recurent, documentele de lucru sunt puse la dispoziție tardiv înainte de reuniunile CTDVV și ale CTRO și pentru a apăra drepturile și interesele Uniunii în cadrul acestor comitete, Comisia trebuie să depună eforturi pentru a solicita secretariatului OMV să asigure disponibilitatea documentelor de lucru în conformitate cu normele de procedură ale CTDVV și ale CTRO, astfel încât aceste documente să fie expediate cu cel puțin 30 de zile înainte de deschiderea sesiunii în cauză.</w:t>
      </w:r>
    </w:p>
    <w:p w14:paraId="162EF018" w14:textId="77777777" w:rsidR="00872C56" w:rsidRPr="00697168" w:rsidRDefault="00916BAE">
      <w:pPr>
        <w:pStyle w:val="ManualConsidrant"/>
        <w:rPr>
          <w:noProof/>
        </w:rPr>
      </w:pPr>
      <w:r>
        <w:rPr>
          <w:noProof/>
        </w:rPr>
        <w:t>(14)</w:t>
      </w:r>
      <w:r>
        <w:rPr>
          <w:noProof/>
        </w:rPr>
        <w:tab/>
      </w:r>
      <w:r w:rsidRPr="00697168">
        <w:rPr>
          <w:noProof/>
        </w:rPr>
        <w:t>Pentru a se asigura capacitatea Consiliului de a evalua și, după caz, de a revizui periodic politica în temeiul prezentei decizii și în spiritul cooperării loiale dintre instituțiile Uniunii, consacrată la articolul 13 alineatul (2) din TUE, valabilitatea prezentei decizii trebuie să fie limitată în timp,</w:t>
      </w:r>
    </w:p>
    <w:p w14:paraId="21BD906D" w14:textId="77777777" w:rsidR="00872C56" w:rsidRPr="00697168" w:rsidRDefault="00916BAE">
      <w:pPr>
        <w:pStyle w:val="Formuledadoption"/>
        <w:rPr>
          <w:noProof/>
        </w:rPr>
      </w:pPr>
      <w:r w:rsidRPr="00697168">
        <w:rPr>
          <w:noProof/>
        </w:rPr>
        <w:t>ADOPTĂ PREZENTA DECIZIE:</w:t>
      </w:r>
    </w:p>
    <w:p w14:paraId="005A78EC" w14:textId="77777777" w:rsidR="00872C56" w:rsidRPr="00697168" w:rsidRDefault="00916BAE">
      <w:pPr>
        <w:pStyle w:val="Titrearticle"/>
        <w:rPr>
          <w:noProof/>
        </w:rPr>
      </w:pPr>
      <w:r w:rsidRPr="00697168">
        <w:rPr>
          <w:noProof/>
        </w:rPr>
        <w:t>Articolul 1</w:t>
      </w:r>
    </w:p>
    <w:p w14:paraId="29DDA89D" w14:textId="77777777" w:rsidR="00872C56" w:rsidRPr="00697168" w:rsidRDefault="00916BAE">
      <w:pPr>
        <w:rPr>
          <w:noProof/>
        </w:rPr>
      </w:pPr>
      <w:r w:rsidRPr="00697168">
        <w:rPr>
          <w:noProof/>
        </w:rPr>
        <w:t xml:space="preserve">Poziția care urmează să fie adoptată în numele Uniunii în cadrul Comitetului tehnic pentru determinarea valorii în vamă constituit sub auspiciile Organizației Mondiale a Vămilor, în ceea ce privește adoptarea avizelor consultative, a comentariilor, a notelor explicative, a studiilor de caz, a studiilor și a actelor similare privind determinarea valorii în vamă a mărfurilor importate în temeiul Acordului privind punerea în aplicare a </w:t>
      </w:r>
      <w:hyperlink r:id="rId16" w:anchor="art7" w:tooltip="https://www.wto.org/english/docs_e/legal_e/gatt47_01_e.htm#art7">
        <w:r w:rsidRPr="00697168">
          <w:rPr>
            <w:rStyle w:val="Hyperlink"/>
            <w:noProof/>
          </w:rPr>
          <w:t>articolului VII din Acordul General pentru Tarife și Comerț</w:t>
        </w:r>
      </w:hyperlink>
      <w:r w:rsidRPr="00697168">
        <w:rPr>
          <w:noProof/>
        </w:rPr>
        <w:t xml:space="preserve"> din 1994, precum și în ceea ce privește pregătirea unor astfel de acte se stabilește în conformitate cu principiile, criteriile și orientările prevăzute în secțiunea 1 din anexa la prezenta decizie. </w:t>
      </w:r>
    </w:p>
    <w:p w14:paraId="379A4F53" w14:textId="77777777" w:rsidR="00872C56" w:rsidRPr="00697168" w:rsidRDefault="00916BAE">
      <w:pPr>
        <w:pStyle w:val="Titrearticle"/>
        <w:rPr>
          <w:noProof/>
        </w:rPr>
      </w:pPr>
      <w:r w:rsidRPr="00697168">
        <w:rPr>
          <w:noProof/>
        </w:rPr>
        <w:t>Articolul 2</w:t>
      </w:r>
    </w:p>
    <w:p w14:paraId="35E20589" w14:textId="77777777" w:rsidR="00872C56" w:rsidRPr="00697168" w:rsidRDefault="00916BAE">
      <w:pPr>
        <w:rPr>
          <w:noProof/>
        </w:rPr>
      </w:pPr>
      <w:r w:rsidRPr="00697168">
        <w:rPr>
          <w:noProof/>
        </w:rPr>
        <w:t xml:space="preserve">Poziția care urmează să fie adoptată în numele Uniunii în cadrul Comitetului tehnic pentru regulile de origine constituit sub auspiciile Organizației Mondiale a Vămilor, în ceea ce privește adoptarea avizelor consultative, a informațiilor și a recomandărilor și a actelor similare referitoare la determinarea originii mărfurilor în temeiul Acordului privind regulile de origine, precum și în ceea ce privește pregătirea unor astfel de acte se stabilește în conformitate cu principiile, criteriile și orientările prevăzute în secțiunea 1 din anexa la prezenta decizie. </w:t>
      </w:r>
    </w:p>
    <w:p w14:paraId="3AFB1F34" w14:textId="5008519D" w:rsidR="00872C56" w:rsidRPr="00697168" w:rsidRDefault="006B44EE">
      <w:pPr>
        <w:pStyle w:val="Titrearticle"/>
        <w:rPr>
          <w:noProof/>
        </w:rPr>
      </w:pPr>
      <w:r w:rsidRPr="00697168">
        <w:rPr>
          <w:noProof/>
        </w:rPr>
        <w:t xml:space="preserve">Articolul </w:t>
      </w:r>
      <w:r w:rsidR="00916BAE" w:rsidRPr="00697168">
        <w:rPr>
          <w:noProof/>
        </w:rPr>
        <w:t>3</w:t>
      </w:r>
    </w:p>
    <w:p w14:paraId="4EE8DDD7" w14:textId="77777777" w:rsidR="00872C56" w:rsidRPr="00697168" w:rsidRDefault="00916BAE">
      <w:pPr>
        <w:rPr>
          <w:noProof/>
        </w:rPr>
      </w:pPr>
      <w:r w:rsidRPr="00697168">
        <w:rPr>
          <w:noProof/>
        </w:rPr>
        <w:t xml:space="preserve">Precizarea poziției Uniunii care urmează să fie adoptată în temeiul articolelor 1 și 2 are loc în conformitate cu prevederile din secțiunea 2 din anexă. </w:t>
      </w:r>
    </w:p>
    <w:p w14:paraId="569353AD" w14:textId="77777777" w:rsidR="00872C56" w:rsidRPr="00697168" w:rsidRDefault="00916BAE">
      <w:pPr>
        <w:pStyle w:val="Titrearticle"/>
        <w:rPr>
          <w:noProof/>
        </w:rPr>
      </w:pPr>
      <w:r w:rsidRPr="00697168">
        <w:rPr>
          <w:noProof/>
        </w:rPr>
        <w:t>Articolul 4</w:t>
      </w:r>
    </w:p>
    <w:p w14:paraId="6CFDF421" w14:textId="77777777" w:rsidR="00872C56" w:rsidRPr="00697168" w:rsidRDefault="00916BAE">
      <w:pPr>
        <w:rPr>
          <w:noProof/>
        </w:rPr>
      </w:pPr>
      <w:r w:rsidRPr="00697168">
        <w:rPr>
          <w:noProof/>
        </w:rPr>
        <w:t>Prezenta decizie intră în vigoare la data adoptării.</w:t>
      </w:r>
    </w:p>
    <w:p w14:paraId="658B7F7C" w14:textId="77777777" w:rsidR="00872C56" w:rsidRPr="00697168" w:rsidRDefault="00916BAE">
      <w:pPr>
        <w:rPr>
          <w:noProof/>
        </w:rPr>
      </w:pPr>
      <w:r w:rsidRPr="00697168">
        <w:rPr>
          <w:noProof/>
        </w:rPr>
        <w:t>Aceasta expiră la 31 decembrie 2030.</w:t>
      </w:r>
    </w:p>
    <w:p w14:paraId="33A6AEA9" w14:textId="77777777" w:rsidR="00872C56" w:rsidRPr="00697168" w:rsidRDefault="00A82189" w:rsidP="00844B46">
      <w:pPr>
        <w:pStyle w:val="Fait"/>
        <w:rPr>
          <w:noProof/>
        </w:rPr>
      </w:pPr>
      <w:r>
        <w:rPr>
          <w:noProof/>
        </w:rPr>
        <w:t>Adoptată la Bruxelles,</w:t>
      </w:r>
    </w:p>
    <w:p w14:paraId="1C87517A" w14:textId="77777777" w:rsidR="00872C56" w:rsidRPr="00697168" w:rsidRDefault="00916BAE" w:rsidP="00844B46">
      <w:pPr>
        <w:pStyle w:val="Institutionquisigne"/>
        <w:rPr>
          <w:noProof/>
        </w:rPr>
      </w:pPr>
      <w:r w:rsidRPr="00697168">
        <w:rPr>
          <w:noProof/>
        </w:rPr>
        <w:tab/>
        <w:t>Pentru Consiliu</w:t>
      </w:r>
    </w:p>
    <w:p w14:paraId="0E4D851F" w14:textId="77777777" w:rsidR="00872C56" w:rsidRPr="00697168" w:rsidRDefault="00916BAE">
      <w:pPr>
        <w:pStyle w:val="Personnequisigne"/>
        <w:rPr>
          <w:noProof/>
        </w:rPr>
      </w:pPr>
      <w:r w:rsidRPr="00697168">
        <w:rPr>
          <w:noProof/>
        </w:rPr>
        <w:tab/>
        <w:t>Președintele</w:t>
      </w:r>
    </w:p>
    <w:sectPr w:rsidR="00872C56" w:rsidRPr="00697168" w:rsidSect="00FE2A3B">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D1C4D" w14:textId="77777777" w:rsidR="007A6228" w:rsidRDefault="007A6228" w:rsidP="00860C61">
      <w:pPr>
        <w:spacing w:before="0" w:after="0"/>
      </w:pPr>
      <w:r>
        <w:separator/>
      </w:r>
    </w:p>
  </w:endnote>
  <w:endnote w:type="continuationSeparator" w:id="0">
    <w:p w14:paraId="23CE56D5" w14:textId="77777777" w:rsidR="007A6228" w:rsidRDefault="007A6228" w:rsidP="00860C6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59053" w14:textId="77777777" w:rsidR="00FE2A3B" w:rsidRPr="00FE2A3B" w:rsidRDefault="00FE2A3B" w:rsidP="00FE2A3B">
    <w:pPr>
      <w:pStyle w:val="Footer"/>
      <w:rPr>
        <w:rFonts w:ascii="Arial" w:hAnsi="Arial" w:cs="Arial"/>
        <w:b/>
        <w:sz w:val="48"/>
      </w:rPr>
    </w:pPr>
    <w:r w:rsidRPr="00FE2A3B">
      <w:rPr>
        <w:rFonts w:ascii="Arial" w:hAnsi="Arial" w:cs="Arial"/>
        <w:b/>
        <w:sz w:val="48"/>
      </w:rPr>
      <w:t>RO</w:t>
    </w:r>
    <w:r w:rsidRPr="00FE2A3B">
      <w:rPr>
        <w:rFonts w:ascii="Arial" w:hAnsi="Arial" w:cs="Arial"/>
        <w:b/>
        <w:sz w:val="48"/>
      </w:rPr>
      <w:tab/>
    </w:r>
    <w:r w:rsidRPr="00FE2A3B">
      <w:rPr>
        <w:rFonts w:ascii="Arial" w:hAnsi="Arial" w:cs="Arial"/>
        <w:b/>
        <w:sz w:val="48"/>
      </w:rPr>
      <w:tab/>
    </w:r>
    <w:r w:rsidRPr="00FE2A3B">
      <w:tab/>
    </w:r>
    <w:r w:rsidRPr="00FE2A3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58458" w14:textId="77777777" w:rsidR="00FE2A3B" w:rsidRPr="00FE2A3B" w:rsidRDefault="00FE2A3B" w:rsidP="00FE2A3B">
    <w:pPr>
      <w:pStyle w:val="Footer"/>
      <w:rPr>
        <w:rFonts w:ascii="Arial" w:hAnsi="Arial" w:cs="Arial"/>
        <w:b/>
        <w:sz w:val="48"/>
      </w:rPr>
    </w:pPr>
    <w:r w:rsidRPr="00FE2A3B">
      <w:rPr>
        <w:rFonts w:ascii="Arial" w:hAnsi="Arial" w:cs="Arial"/>
        <w:b/>
        <w:sz w:val="48"/>
      </w:rPr>
      <w:t>RO</w:t>
    </w:r>
    <w:r w:rsidRPr="00FE2A3B">
      <w:rPr>
        <w:rFonts w:ascii="Arial" w:hAnsi="Arial" w:cs="Arial"/>
        <w:b/>
        <w:sz w:val="48"/>
      </w:rPr>
      <w:tab/>
    </w:r>
    <w:r w:rsidRPr="00FE2A3B">
      <w:rPr>
        <w:rFonts w:ascii="Arial" w:hAnsi="Arial" w:cs="Arial"/>
        <w:b/>
        <w:sz w:val="48"/>
      </w:rPr>
      <w:tab/>
    </w:r>
    <w:r w:rsidRPr="00FE2A3B">
      <w:tab/>
    </w:r>
    <w:r w:rsidRPr="00FE2A3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D1D34" w14:textId="77777777" w:rsidR="00FE2A3B" w:rsidRDefault="00FE2A3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60855" w14:textId="77777777" w:rsidR="00FE2A3B" w:rsidRPr="00FE2A3B" w:rsidRDefault="00FE2A3B" w:rsidP="00FE2A3B">
    <w:pPr>
      <w:pStyle w:val="Footer"/>
      <w:rPr>
        <w:rFonts w:ascii="Arial" w:hAnsi="Arial" w:cs="Arial"/>
        <w:b/>
        <w:sz w:val="48"/>
      </w:rPr>
    </w:pPr>
    <w:r w:rsidRPr="00FE2A3B">
      <w:rPr>
        <w:rFonts w:ascii="Arial" w:hAnsi="Arial" w:cs="Arial"/>
        <w:b/>
        <w:sz w:val="48"/>
      </w:rPr>
      <w:t>RO</w:t>
    </w:r>
    <w:r w:rsidRPr="00FE2A3B">
      <w:rPr>
        <w:rFonts w:ascii="Arial" w:hAnsi="Arial" w:cs="Arial"/>
        <w:b/>
        <w:sz w:val="48"/>
      </w:rPr>
      <w:tab/>
    </w:r>
    <w:r>
      <w:fldChar w:fldCharType="begin"/>
    </w:r>
    <w:r>
      <w:instrText xml:space="preserve"> PAGE  \* MERGEFORMAT </w:instrText>
    </w:r>
    <w:r>
      <w:fldChar w:fldCharType="separate"/>
    </w:r>
    <w:r w:rsidR="00844B46">
      <w:rPr>
        <w:noProof/>
      </w:rPr>
      <w:t>8</w:t>
    </w:r>
    <w:r>
      <w:fldChar w:fldCharType="end"/>
    </w:r>
    <w:r>
      <w:tab/>
    </w:r>
    <w:r w:rsidRPr="00FE2A3B">
      <w:tab/>
    </w:r>
    <w:r w:rsidRPr="00FE2A3B">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6014E" w14:textId="77777777" w:rsidR="00FE2A3B" w:rsidRDefault="00FE2A3B" w:rsidP="00FE2A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EF2B9" w14:textId="77777777" w:rsidR="007A6228" w:rsidRDefault="007A6228" w:rsidP="00860C61">
      <w:pPr>
        <w:spacing w:before="0" w:after="0"/>
      </w:pPr>
      <w:r>
        <w:separator/>
      </w:r>
    </w:p>
  </w:footnote>
  <w:footnote w:type="continuationSeparator" w:id="0">
    <w:p w14:paraId="3527BE8E" w14:textId="77777777" w:rsidR="007A6228" w:rsidRDefault="007A6228" w:rsidP="00860C61">
      <w:pPr>
        <w:spacing w:before="0" w:after="0"/>
      </w:pPr>
      <w:r>
        <w:continuationSeparator/>
      </w:r>
    </w:p>
  </w:footnote>
  <w:footnote w:id="1">
    <w:p w14:paraId="1DAE0CE1" w14:textId="77777777" w:rsidR="00872C56" w:rsidRPr="00697168" w:rsidRDefault="00916BAE">
      <w:pPr>
        <w:pStyle w:val="FootnoteText"/>
      </w:pPr>
      <w:r w:rsidRPr="00697168">
        <w:rPr>
          <w:rStyle w:val="FootnoteReference"/>
        </w:rPr>
        <w:t>(1)</w:t>
      </w:r>
      <w:r w:rsidRPr="00697168">
        <w:tab/>
        <w:t>https://www.wto.org/english/docs_e/legal_e/20-val_01_e.htm</w:t>
      </w:r>
      <w:r w:rsidR="00697168" w:rsidRPr="00697168">
        <w:t>.</w:t>
      </w:r>
    </w:p>
  </w:footnote>
  <w:footnote w:id="2">
    <w:p w14:paraId="3930CB1C" w14:textId="77777777" w:rsidR="00872C56" w:rsidRPr="00697168" w:rsidRDefault="00916BAE">
      <w:pPr>
        <w:pStyle w:val="FootnoteText"/>
      </w:pPr>
      <w:r w:rsidRPr="00697168">
        <w:rPr>
          <w:rStyle w:val="FootnoteReference"/>
        </w:rPr>
        <w:t>(2)</w:t>
      </w:r>
      <w:r w:rsidRPr="00697168">
        <w:tab/>
        <w:t>http://www.wcoomd.org/-/media/wco/public/global/pdf/topics/origin/overview/wto-agreement.pdf?db=web</w:t>
      </w:r>
      <w:r w:rsidR="00697168" w:rsidRPr="00697168">
        <w:t>.</w:t>
      </w:r>
    </w:p>
  </w:footnote>
  <w:footnote w:id="3">
    <w:p w14:paraId="1FECD3EE" w14:textId="77777777" w:rsidR="00872C56" w:rsidRPr="00697168" w:rsidRDefault="00916BAE">
      <w:pPr>
        <w:pStyle w:val="FootnoteText"/>
      </w:pPr>
      <w:r w:rsidRPr="00697168">
        <w:rPr>
          <w:rStyle w:val="FootnoteReference"/>
        </w:rPr>
        <w:t>(3)</w:t>
      </w:r>
      <w:r w:rsidRPr="00697168">
        <w:tab/>
        <w:t xml:space="preserve">Decizia 94/800/CE a Consiliului din 22 decembrie 1994, JO L 336/1, 23.12.1994, p. 1. </w:t>
      </w:r>
    </w:p>
  </w:footnote>
  <w:footnote w:id="4">
    <w:p w14:paraId="5B8B145F" w14:textId="77777777" w:rsidR="00872C56" w:rsidRPr="00697168" w:rsidRDefault="00916BAE">
      <w:pPr>
        <w:pStyle w:val="FootnoteText"/>
      </w:pPr>
      <w:r w:rsidRPr="00697168">
        <w:rPr>
          <w:rStyle w:val="FootnoteReference"/>
        </w:rPr>
        <w:t>(4)</w:t>
      </w:r>
      <w:r w:rsidRPr="00697168">
        <w:tab/>
        <w:t>Versiunea consolidată a Tratatului privind funcționarea Uniunii Europene, JO C 326, 26.10.2012, p. 47-390.</w:t>
      </w:r>
    </w:p>
  </w:footnote>
  <w:footnote w:id="5">
    <w:p w14:paraId="01996239" w14:textId="77777777" w:rsidR="00872C56" w:rsidRPr="00697168" w:rsidRDefault="00916BAE">
      <w:pPr>
        <w:pStyle w:val="FootnoteText"/>
      </w:pPr>
      <w:r w:rsidRPr="00697168">
        <w:rPr>
          <w:rStyle w:val="FootnoteReference"/>
        </w:rPr>
        <w:t>(5)</w:t>
      </w:r>
      <w:r w:rsidRPr="00697168">
        <w:tab/>
        <w:t>Versiunea consolidată a Tratatului privind Uniunea Europeană, JO C 326, 26.10.2012, p. 13-390.</w:t>
      </w:r>
    </w:p>
  </w:footnote>
  <w:footnote w:id="6">
    <w:p w14:paraId="7459D2C9" w14:textId="77777777" w:rsidR="00872C56" w:rsidRPr="00697168" w:rsidRDefault="00916BAE">
      <w:pPr>
        <w:pStyle w:val="FootnoteText"/>
      </w:pPr>
      <w:r w:rsidRPr="00697168">
        <w:rPr>
          <w:rStyle w:val="FootnoteReference"/>
        </w:rPr>
        <w:t>(6)</w:t>
      </w:r>
      <w:r w:rsidRPr="00697168">
        <w:tab/>
        <w:t xml:space="preserve">Hotărârea Curții de Justiție din 7 octombrie 2014, Germania/Consiliu, C-399/12, ECLI:EU:C:2014:2258, punctele 61 – 64. </w:t>
      </w:r>
    </w:p>
  </w:footnote>
  <w:footnote w:id="7">
    <w:p w14:paraId="34F85E0F" w14:textId="77777777" w:rsidR="00542860" w:rsidRPr="00697168" w:rsidRDefault="00542860">
      <w:pPr>
        <w:pStyle w:val="FootnoteText"/>
      </w:pPr>
      <w:r w:rsidRPr="00697168">
        <w:rPr>
          <w:rStyle w:val="FootnoteReference"/>
        </w:rPr>
        <w:footnoteRef/>
      </w:r>
      <w:r w:rsidRPr="00697168">
        <w:tab/>
      </w:r>
      <w:r w:rsidRPr="00697168">
        <w:rPr>
          <w:color w:val="000000"/>
          <w:shd w:val="clear" w:color="auto" w:fill="FFFFFF"/>
        </w:rPr>
        <w:t>Decizia 94/800/CE a Consiliului din 22 decembrie 1994 privind încheierea, în numele Comunității Europene, referitor la domeniile de competența sa, a acordurilor obținute în cadrul negocierilor comerciale multilaterale din Runda Uruguay (1986-1994) (</w:t>
      </w:r>
      <w:hyperlink r:id="rId1" w:history="1">
        <w:r w:rsidRPr="00697168">
          <w:rPr>
            <w:color w:val="0E47CB"/>
            <w:u w:val="single"/>
            <w:shd w:val="clear" w:color="auto" w:fill="FFFFFF"/>
          </w:rPr>
          <w:t>JO L 336, 23.12.1994, p. 1</w:t>
        </w:r>
      </w:hyperlink>
      <w:r w:rsidRPr="00697168">
        <w:rPr>
          <w:color w:val="000000"/>
          <w:shd w:val="clear" w:color="auto" w:fill="FFFFFF"/>
        </w:rPr>
        <w:t>).</w:t>
      </w:r>
    </w:p>
  </w:footnote>
  <w:footnote w:id="8">
    <w:p w14:paraId="373D4030" w14:textId="77777777" w:rsidR="00542860" w:rsidRPr="00697168" w:rsidRDefault="00542860">
      <w:pPr>
        <w:pStyle w:val="FootnoteText"/>
      </w:pPr>
      <w:r w:rsidRPr="00697168">
        <w:rPr>
          <w:rStyle w:val="FootnoteReference"/>
        </w:rPr>
        <w:footnoteRef/>
      </w:r>
      <w:r w:rsidRPr="00697168">
        <w:tab/>
      </w:r>
      <w:r w:rsidRPr="00697168">
        <w:rPr>
          <w:color w:val="000000"/>
          <w:shd w:val="clear" w:color="auto" w:fill="FFFFFF"/>
        </w:rPr>
        <w:t>Regulamentul (UE) nr. 952/2013 al Parlamentului European și al Consiliului din 9 octombrie 2013 de stabilire a Codului vamal al Uniunii (</w:t>
      </w:r>
      <w:hyperlink r:id="rId2" w:history="1">
        <w:r w:rsidRPr="00697168">
          <w:rPr>
            <w:color w:val="0E47CB"/>
            <w:u w:val="single"/>
            <w:shd w:val="clear" w:color="auto" w:fill="FFFFFF"/>
          </w:rPr>
          <w:t>JO L 269, 10.10.2013, p. 1</w:t>
        </w:r>
      </w:hyperlink>
      <w:r w:rsidRPr="00697168">
        <w:rPr>
          <w:color w:val="000000"/>
          <w:shd w:val="clear" w:color="auto" w:fill="FFFFFF"/>
        </w:rPr>
        <w:t>).</w:t>
      </w:r>
    </w:p>
  </w:footnote>
  <w:footnote w:id="9">
    <w:p w14:paraId="43D44A01" w14:textId="77777777" w:rsidR="00542860" w:rsidRPr="00697168" w:rsidRDefault="00542860">
      <w:pPr>
        <w:pStyle w:val="FootnoteText"/>
      </w:pPr>
      <w:r w:rsidRPr="00697168">
        <w:rPr>
          <w:rStyle w:val="FootnoteReference"/>
        </w:rPr>
        <w:footnoteRef/>
      </w:r>
      <w:r w:rsidRPr="00697168">
        <w:tab/>
        <w:t>Regulamentul delegat (UE) 2015/2446 al Comisiei din 28 iulie 2015 de completare a Regulamentului (UE) nr. 952/2013 al Parlamentului European și al Consiliului în ceea ce privește normele detaliate ale anumitor dispoziții ale Codului vamal al Uniunii (</w:t>
      </w:r>
      <w:hyperlink r:id="rId3" w:history="1">
        <w:r w:rsidRPr="00697168">
          <w:rPr>
            <w:rStyle w:val="Hyperlink"/>
          </w:rPr>
          <w:t>JO L 343, 29.12.2015, p. 1</w:t>
        </w:r>
      </w:hyperlink>
      <w:r w:rsidRPr="00697168">
        <w:t>).</w:t>
      </w:r>
    </w:p>
  </w:footnote>
  <w:footnote w:id="10">
    <w:p w14:paraId="4227D6AA" w14:textId="77777777" w:rsidR="00542860" w:rsidRPr="00697168" w:rsidRDefault="00542860">
      <w:pPr>
        <w:pStyle w:val="FootnoteText"/>
      </w:pPr>
      <w:r w:rsidRPr="00697168">
        <w:rPr>
          <w:rStyle w:val="FootnoteReference"/>
        </w:rPr>
        <w:footnoteRef/>
      </w:r>
      <w:r w:rsidRPr="00697168">
        <w:tab/>
        <w:t>Regulamentul de punere în aplicare (UE) 2015/2447 al Comisiei din 24 noiembrie 2015 de stabilire a unor norme pentru punerea în aplicare a anumitor dispoziții din Regulamentul (UE) nr. 952/2013 al Parlamentului European și al Consiliului de stabilire a Codului vamal al Uniunii (</w:t>
      </w:r>
      <w:hyperlink r:id="rId4" w:history="1">
        <w:r w:rsidRPr="00697168">
          <w:rPr>
            <w:rStyle w:val="Hyperlink"/>
          </w:rPr>
          <w:t>JO L 343, 29.12.2015, p. 558</w:t>
        </w:r>
      </w:hyperlink>
      <w:r w:rsidRPr="0069716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CB664" w14:textId="77777777" w:rsidR="00FE2A3B" w:rsidRDefault="00FE2A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F6168" w14:textId="77777777" w:rsidR="00FE2A3B" w:rsidRDefault="00FE2A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33209DD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18CA6F4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908ABD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3FCD2C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2141918473">
    <w:abstractNumId w:val="3"/>
  </w:num>
  <w:num w:numId="2" w16cid:durableId="2107967735">
    <w:abstractNumId w:val="2"/>
  </w:num>
  <w:num w:numId="3" w16cid:durableId="588001966">
    <w:abstractNumId w:val="1"/>
  </w:num>
  <w:num w:numId="4" w16cid:durableId="1971202385">
    <w:abstractNumId w:val="0"/>
  </w:num>
  <w:num w:numId="5" w16cid:durableId="1680035776">
    <w:abstractNumId w:val="18"/>
    <w:lvlOverride w:ilvl="0">
      <w:startOverride w:val="1"/>
    </w:lvlOverride>
  </w:num>
  <w:num w:numId="6" w16cid:durableId="1214851133">
    <w:abstractNumId w:val="15"/>
  </w:num>
  <w:num w:numId="7" w16cid:durableId="1094279264">
    <w:abstractNumId w:val="8"/>
  </w:num>
  <w:num w:numId="8" w16cid:durableId="1865438974">
    <w:abstractNumId w:val="17"/>
  </w:num>
  <w:num w:numId="9" w16cid:durableId="444888607">
    <w:abstractNumId w:val="7"/>
  </w:num>
  <w:num w:numId="10" w16cid:durableId="1928885257">
    <w:abstractNumId w:val="9"/>
  </w:num>
  <w:num w:numId="11" w16cid:durableId="1776248177">
    <w:abstractNumId w:val="10"/>
  </w:num>
  <w:num w:numId="12" w16cid:durableId="534998926">
    <w:abstractNumId w:val="5"/>
  </w:num>
  <w:num w:numId="13" w16cid:durableId="102379891">
    <w:abstractNumId w:val="16"/>
  </w:num>
  <w:num w:numId="14" w16cid:durableId="684786252">
    <w:abstractNumId w:val="4"/>
  </w:num>
  <w:num w:numId="15" w16cid:durableId="1317877463">
    <w:abstractNumId w:val="11"/>
  </w:num>
  <w:num w:numId="16" w16cid:durableId="39597700">
    <w:abstractNumId w:val="13"/>
  </w:num>
  <w:num w:numId="17" w16cid:durableId="1090665887">
    <w:abstractNumId w:val="14"/>
  </w:num>
  <w:num w:numId="18" w16cid:durableId="2130470012">
    <w:abstractNumId w:val="6"/>
  </w:num>
  <w:num w:numId="19" w16cid:durableId="1404062945">
    <w:abstractNumId w:val="12"/>
  </w:num>
  <w:num w:numId="20" w16cid:durableId="591209276">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hideSpellingErrors/>
  <w:hideGrammaticalErrors/>
  <w:attachedTemplate r:id="rId1"/>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QCDateTime" w:val="2026-04-13 15:49:3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KN_IMPORT" w:val="20250820"/>
    <w:docVar w:name="LW_CORRIGENDUM" w:val="&lt;UNUSED&gt;"/>
    <w:docVar w:name="LW_COVERPAGE_EXISTS" w:val="True"/>
    <w:docVar w:name="LW_COVERPAGE_GUID" w:val="42B74710-1A75-432B-BE6E-F2A20EBF0884"/>
    <w:docVar w:name="LW_COVERPAGE_TYPE" w:val="1"/>
    <w:docVar w:name="LW_CROSSREFERENCE" w:val="&lt;UNUSED&gt;"/>
    <w:docVar w:name="LW_DocType" w:val="COM"/>
    <w:docVar w:name="LW_EMISSION" w:val="14.4.2026"/>
    <w:docVar w:name="LW_EMISSION_ISODATE" w:val="2026-04-14"/>
    <w:docVar w:name="LW_EMISSION_LOCATION" w:val="BRX"/>
    <w:docVar w:name="LW_EMISSION_PREFIX" w:val="Bruxelles, "/>
    <w:docVar w:name="LW_EMISSION_SUFFIX" w:val=" "/>
    <w:docVar w:name="LW_ID_DOCSIGNATURE" w:val="SJ-019"/>
    <w:docVar w:name="LW_ID_DOCSTRUCTURE" w:val="COM/PL/ORG"/>
    <w:docVar w:name="LW_ID_DOCTYPE" w:val="SJ-019"/>
    <w:docVar w:name="LW_ID_STATUT" w:val="SJ-019"/>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86"/>
    <w:docVar w:name="LW_REF.II.NEW.CP_YEAR" w:val="2026"/>
    <w:docVar w:name="LW_REF.INST.NEW" w:val="COM"/>
    <w:docVar w:name="LW_REF.INST.NEW_ADOPTED" w:val="final"/>
    <w:docVar w:name="LW_REF.INST.NEW_TEXT" w:val="(2026) 15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ozi\u539?ia care urmeaz\u259? s\u259? fie adoptat\u259? în numele Uniunii Europene în cadrul Comitetelor tehnice pentru determinarea valorii în vam\u259? \u537?i pentru regulile de origine, constituite sub auspiciile Organiza\u539?iei Mondiale a V\u259?milor, în ceea ce prive\u537?te adoptarea avizelor consultative, a comentariilor, a notelor explicative, a studiilor de caz, a studiilor \u537?i a actelor similare privind determinarea valorii în vam\u259? a m\u259?rfurilor importate în temeiul Acordului privind punerea în aplicare a articolului VII din Acordul General pentru Tarife \u537?i Comer\u539? din 1994, precum \u537?i în ceea ce prive\u537?te adoptarea avizelor consultative, a informa\u539?iilor \u537?i a recomand\u259?rilor \u537?i a actelor similare privind determinarea originii m\u259?rfurilor în temeiul Acordului privind regulile de origine"/>
    <w:docVar w:name="LW_TYPE.DOC.CP" w:val="DECIZIE A CONSILIULUI"/>
    <w:docVar w:name="LwApiVersions" w:val="LW4CoDe 1.24.5.0; LW 9.2, Build 20251112"/>
  </w:docVars>
  <w:rsids>
    <w:rsidRoot w:val="0029533F"/>
    <w:rsid w:val="00011CC8"/>
    <w:rsid w:val="00013B73"/>
    <w:rsid w:val="0002182A"/>
    <w:rsid w:val="000237C4"/>
    <w:rsid w:val="00026284"/>
    <w:rsid w:val="00031E63"/>
    <w:rsid w:val="00035A81"/>
    <w:rsid w:val="00041A47"/>
    <w:rsid w:val="00053A66"/>
    <w:rsid w:val="000769AC"/>
    <w:rsid w:val="0009717E"/>
    <w:rsid w:val="000A29C7"/>
    <w:rsid w:val="000C5E24"/>
    <w:rsid w:val="000E4A06"/>
    <w:rsid w:val="001065F5"/>
    <w:rsid w:val="0011541B"/>
    <w:rsid w:val="001238EF"/>
    <w:rsid w:val="001306A5"/>
    <w:rsid w:val="00197613"/>
    <w:rsid w:val="001D4B17"/>
    <w:rsid w:val="002036F5"/>
    <w:rsid w:val="00233DC7"/>
    <w:rsid w:val="00247779"/>
    <w:rsid w:val="00247F11"/>
    <w:rsid w:val="00256F15"/>
    <w:rsid w:val="00285AD0"/>
    <w:rsid w:val="00285BEE"/>
    <w:rsid w:val="00286EC7"/>
    <w:rsid w:val="00291BE3"/>
    <w:rsid w:val="0029533F"/>
    <w:rsid w:val="002A11B8"/>
    <w:rsid w:val="002B2AEA"/>
    <w:rsid w:val="002B30AF"/>
    <w:rsid w:val="00303872"/>
    <w:rsid w:val="0032036A"/>
    <w:rsid w:val="00320FD1"/>
    <w:rsid w:val="0033344A"/>
    <w:rsid w:val="00333B63"/>
    <w:rsid w:val="003351F6"/>
    <w:rsid w:val="00355125"/>
    <w:rsid w:val="0039694E"/>
    <w:rsid w:val="003A4C3A"/>
    <w:rsid w:val="003A4E08"/>
    <w:rsid w:val="003D3877"/>
    <w:rsid w:val="003D3A8B"/>
    <w:rsid w:val="003D7151"/>
    <w:rsid w:val="003F5BE3"/>
    <w:rsid w:val="00403091"/>
    <w:rsid w:val="0042648E"/>
    <w:rsid w:val="0043438E"/>
    <w:rsid w:val="00437420"/>
    <w:rsid w:val="00474907"/>
    <w:rsid w:val="004936D2"/>
    <w:rsid w:val="004A1B48"/>
    <w:rsid w:val="004B1B3C"/>
    <w:rsid w:val="004C1262"/>
    <w:rsid w:val="004D30F6"/>
    <w:rsid w:val="004E765C"/>
    <w:rsid w:val="004F3197"/>
    <w:rsid w:val="00525FBF"/>
    <w:rsid w:val="0052756C"/>
    <w:rsid w:val="0053687D"/>
    <w:rsid w:val="00542860"/>
    <w:rsid w:val="00543C2F"/>
    <w:rsid w:val="00547F6E"/>
    <w:rsid w:val="00573484"/>
    <w:rsid w:val="00594AE0"/>
    <w:rsid w:val="005B1EB6"/>
    <w:rsid w:val="005D1F90"/>
    <w:rsid w:val="005E14AD"/>
    <w:rsid w:val="005E744A"/>
    <w:rsid w:val="006227D9"/>
    <w:rsid w:val="00627B9B"/>
    <w:rsid w:val="00652C40"/>
    <w:rsid w:val="006643E2"/>
    <w:rsid w:val="00665737"/>
    <w:rsid w:val="00693711"/>
    <w:rsid w:val="00697168"/>
    <w:rsid w:val="006B13B2"/>
    <w:rsid w:val="006B44EE"/>
    <w:rsid w:val="006B557D"/>
    <w:rsid w:val="006C5AA7"/>
    <w:rsid w:val="006D3429"/>
    <w:rsid w:val="00730DF5"/>
    <w:rsid w:val="007450B3"/>
    <w:rsid w:val="007632FF"/>
    <w:rsid w:val="007667C7"/>
    <w:rsid w:val="00773331"/>
    <w:rsid w:val="00773A78"/>
    <w:rsid w:val="00782BA0"/>
    <w:rsid w:val="007932EF"/>
    <w:rsid w:val="007A13D4"/>
    <w:rsid w:val="007A6228"/>
    <w:rsid w:val="007D4DCF"/>
    <w:rsid w:val="007E05B0"/>
    <w:rsid w:val="007E06AD"/>
    <w:rsid w:val="007E46F0"/>
    <w:rsid w:val="007F39D1"/>
    <w:rsid w:val="007F7461"/>
    <w:rsid w:val="00812E2F"/>
    <w:rsid w:val="00814890"/>
    <w:rsid w:val="008161BC"/>
    <w:rsid w:val="008428B3"/>
    <w:rsid w:val="00844B46"/>
    <w:rsid w:val="00856E9B"/>
    <w:rsid w:val="00860C61"/>
    <w:rsid w:val="00863D2A"/>
    <w:rsid w:val="008658DD"/>
    <w:rsid w:val="00872C56"/>
    <w:rsid w:val="00874D22"/>
    <w:rsid w:val="00881929"/>
    <w:rsid w:val="008852A5"/>
    <w:rsid w:val="008A20C3"/>
    <w:rsid w:val="008A2914"/>
    <w:rsid w:val="008A4522"/>
    <w:rsid w:val="008B4460"/>
    <w:rsid w:val="008C6A5E"/>
    <w:rsid w:val="008E4D8E"/>
    <w:rsid w:val="00916BAE"/>
    <w:rsid w:val="009242AD"/>
    <w:rsid w:val="00931353"/>
    <w:rsid w:val="00937659"/>
    <w:rsid w:val="00950F8A"/>
    <w:rsid w:val="00954035"/>
    <w:rsid w:val="00957993"/>
    <w:rsid w:val="00997170"/>
    <w:rsid w:val="009A3350"/>
    <w:rsid w:val="009D09BD"/>
    <w:rsid w:val="009E06DE"/>
    <w:rsid w:val="009F5464"/>
    <w:rsid w:val="00A50ACA"/>
    <w:rsid w:val="00A732D0"/>
    <w:rsid w:val="00A82189"/>
    <w:rsid w:val="00A82AAF"/>
    <w:rsid w:val="00AD7D3E"/>
    <w:rsid w:val="00B06D54"/>
    <w:rsid w:val="00B25234"/>
    <w:rsid w:val="00B254A0"/>
    <w:rsid w:val="00B302E1"/>
    <w:rsid w:val="00B3440D"/>
    <w:rsid w:val="00B45A34"/>
    <w:rsid w:val="00B64ED4"/>
    <w:rsid w:val="00BB00B0"/>
    <w:rsid w:val="00BB798D"/>
    <w:rsid w:val="00BC6D5D"/>
    <w:rsid w:val="00BE60F1"/>
    <w:rsid w:val="00C10E61"/>
    <w:rsid w:val="00C12301"/>
    <w:rsid w:val="00C12EE0"/>
    <w:rsid w:val="00C14E55"/>
    <w:rsid w:val="00C21DFC"/>
    <w:rsid w:val="00C21FBE"/>
    <w:rsid w:val="00C32FAF"/>
    <w:rsid w:val="00C365E0"/>
    <w:rsid w:val="00C44CFE"/>
    <w:rsid w:val="00C74982"/>
    <w:rsid w:val="00C8571D"/>
    <w:rsid w:val="00C913BF"/>
    <w:rsid w:val="00CA0D7C"/>
    <w:rsid w:val="00CA11AF"/>
    <w:rsid w:val="00CA20EF"/>
    <w:rsid w:val="00CC7534"/>
    <w:rsid w:val="00D20381"/>
    <w:rsid w:val="00D231C6"/>
    <w:rsid w:val="00D3469E"/>
    <w:rsid w:val="00D46F58"/>
    <w:rsid w:val="00D67FEC"/>
    <w:rsid w:val="00D74AE0"/>
    <w:rsid w:val="00D872BB"/>
    <w:rsid w:val="00D94D16"/>
    <w:rsid w:val="00D97485"/>
    <w:rsid w:val="00DE0164"/>
    <w:rsid w:val="00E31509"/>
    <w:rsid w:val="00E31DFC"/>
    <w:rsid w:val="00E476B4"/>
    <w:rsid w:val="00E664ED"/>
    <w:rsid w:val="00E840AA"/>
    <w:rsid w:val="00EB3793"/>
    <w:rsid w:val="00EB3C42"/>
    <w:rsid w:val="00EE561A"/>
    <w:rsid w:val="00F1310D"/>
    <w:rsid w:val="00F15CCD"/>
    <w:rsid w:val="00F34750"/>
    <w:rsid w:val="00F35C39"/>
    <w:rsid w:val="00F46496"/>
    <w:rsid w:val="00F50573"/>
    <w:rsid w:val="00F60D4A"/>
    <w:rsid w:val="00FA759B"/>
    <w:rsid w:val="00FA7825"/>
    <w:rsid w:val="00FC2C21"/>
    <w:rsid w:val="00FC38F8"/>
    <w:rsid w:val="00FD35D2"/>
    <w:rsid w:val="00FE2A3B"/>
    <w:rsid w:val="00FE5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2A55853"/>
  <w15:docId w15:val="{39A2DD70-6BF9-489C-9B39-3F4B4BB16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3"/>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iPriority w:val="99"/>
    <w:semiHidden/>
    <w:unhideWhenUsed/>
    <w:rsid w:val="00CA0D7C"/>
    <w:pPr>
      <w:numPr>
        <w:numId w:val="1"/>
      </w:numPr>
      <w:contextualSpacing/>
    </w:pPr>
  </w:style>
  <w:style w:type="paragraph" w:styleId="ListBullet2">
    <w:name w:val="List Bullet 2"/>
    <w:basedOn w:val="Normal"/>
    <w:uiPriority w:val="99"/>
    <w:semiHidden/>
    <w:unhideWhenUsed/>
    <w:rsid w:val="00CA0D7C"/>
    <w:pPr>
      <w:numPr>
        <w:numId w:val="2"/>
      </w:numPr>
      <w:contextualSpacing/>
    </w:pPr>
  </w:style>
  <w:style w:type="paragraph" w:styleId="ListBullet3">
    <w:name w:val="List Bullet 3"/>
    <w:basedOn w:val="Normal"/>
    <w:uiPriority w:val="99"/>
    <w:semiHidden/>
    <w:unhideWhenUsed/>
    <w:rsid w:val="00CA0D7C"/>
    <w:pPr>
      <w:numPr>
        <w:numId w:val="3"/>
      </w:numPr>
      <w:contextualSpacing/>
    </w:pPr>
  </w:style>
  <w:style w:type="paragraph" w:styleId="ListBullet4">
    <w:name w:val="List Bullet 4"/>
    <w:basedOn w:val="Normal"/>
    <w:uiPriority w:val="99"/>
    <w:semiHidden/>
    <w:unhideWhenUsed/>
    <w:rsid w:val="00CA0D7C"/>
    <w:pPr>
      <w:numPr>
        <w:numId w:val="4"/>
      </w:numPr>
      <w:contextualSpacing/>
    </w:pPr>
  </w:style>
  <w:style w:type="character" w:styleId="CommentReference">
    <w:name w:val="annotation reference"/>
    <w:basedOn w:val="DefaultParagraphFont"/>
    <w:uiPriority w:val="99"/>
    <w:semiHidden/>
    <w:unhideWhenUsed/>
    <w:rsid w:val="00573484"/>
    <w:rPr>
      <w:sz w:val="16"/>
      <w:szCs w:val="16"/>
    </w:rPr>
  </w:style>
  <w:style w:type="paragraph" w:styleId="CommentText">
    <w:name w:val="annotation text"/>
    <w:basedOn w:val="Normal"/>
    <w:link w:val="CommentTextChar"/>
    <w:uiPriority w:val="99"/>
    <w:unhideWhenUsed/>
    <w:rsid w:val="00573484"/>
    <w:rPr>
      <w:sz w:val="20"/>
      <w:szCs w:val="20"/>
    </w:rPr>
  </w:style>
  <w:style w:type="character" w:customStyle="1" w:styleId="CommentTextChar">
    <w:name w:val="Comment Text Char"/>
    <w:basedOn w:val="DefaultParagraphFont"/>
    <w:link w:val="CommentText"/>
    <w:uiPriority w:val="99"/>
    <w:rsid w:val="00573484"/>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573484"/>
    <w:rPr>
      <w:b/>
      <w:bCs/>
    </w:rPr>
  </w:style>
  <w:style w:type="character" w:customStyle="1" w:styleId="CommentSubjectChar">
    <w:name w:val="Comment Subject Char"/>
    <w:basedOn w:val="CommentTextChar"/>
    <w:link w:val="CommentSubject"/>
    <w:uiPriority w:val="99"/>
    <w:semiHidden/>
    <w:rsid w:val="00573484"/>
    <w:rPr>
      <w:rFonts w:ascii="Times New Roman" w:hAnsi="Times New Roman" w:cs="Times New Roman"/>
      <w:b/>
      <w:bCs/>
      <w:sz w:val="20"/>
      <w:szCs w:val="20"/>
      <w:lang w:val="ro-RO"/>
    </w:rPr>
  </w:style>
  <w:style w:type="paragraph" w:styleId="EndnoteText">
    <w:name w:val="endnote text"/>
    <w:basedOn w:val="Normal"/>
    <w:link w:val="EndnoteTextChar"/>
    <w:uiPriority w:val="99"/>
    <w:semiHidden/>
    <w:unhideWhenUsed/>
    <w:rsid w:val="00542860"/>
    <w:pPr>
      <w:spacing w:before="0" w:after="0"/>
    </w:pPr>
    <w:rPr>
      <w:sz w:val="20"/>
      <w:szCs w:val="20"/>
    </w:rPr>
  </w:style>
  <w:style w:type="character" w:customStyle="1" w:styleId="EndnoteTextChar">
    <w:name w:val="Endnote Text Char"/>
    <w:basedOn w:val="DefaultParagraphFont"/>
    <w:link w:val="EndnoteText"/>
    <w:uiPriority w:val="99"/>
    <w:semiHidden/>
    <w:rsid w:val="00542860"/>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542860"/>
    <w:rPr>
      <w:vertAlign w:val="superscript"/>
    </w:rPr>
  </w:style>
  <w:style w:type="character" w:customStyle="1" w:styleId="UnresolvedMention1">
    <w:name w:val="Unresolved Mention1"/>
    <w:basedOn w:val="DefaultParagraphFont"/>
    <w:uiPriority w:val="99"/>
    <w:semiHidden/>
    <w:unhideWhenUsed/>
    <w:rsid w:val="00542860"/>
    <w:rPr>
      <w:color w:val="605E5C"/>
      <w:shd w:val="clear" w:color="auto" w:fill="E1DFDD"/>
    </w:rPr>
  </w:style>
  <w:style w:type="paragraph" w:styleId="Revision">
    <w:name w:val="Revision"/>
    <w:hidden/>
    <w:uiPriority w:val="99"/>
    <w:semiHidden/>
    <w:rsid w:val="00542860"/>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FE2A3B"/>
    <w:rPr>
      <w:rFonts w:ascii="Times New Roman" w:hAnsi="Times New Roman" w:cs="Times New Roman"/>
      <w:sz w:val="24"/>
      <w:lang w:val="ro-RO"/>
    </w:rPr>
  </w:style>
  <w:style w:type="character" w:customStyle="1" w:styleId="FooterChar">
    <w:name w:val="Footer Char"/>
    <w:basedOn w:val="DefaultParagraphFont"/>
    <w:link w:val="Footer"/>
    <w:uiPriority w:val="99"/>
    <w:rsid w:val="00FE2A3B"/>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E2A3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E2A3B"/>
    <w:pPr>
      <w:spacing w:before="0"/>
      <w:jc w:val="right"/>
    </w:pPr>
    <w:rPr>
      <w:sz w:val="28"/>
    </w:rPr>
  </w:style>
  <w:style w:type="paragraph" w:customStyle="1" w:styleId="FooterSensitivity">
    <w:name w:val="Footer Sensitivity"/>
    <w:basedOn w:val="Normal"/>
    <w:rsid w:val="00FE2A3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4"/>
      </w:numPr>
    </w:pPr>
  </w:style>
  <w:style w:type="paragraph" w:customStyle="1" w:styleId="Point1number">
    <w:name w:val="Point 1 (number)"/>
    <w:basedOn w:val="Normal"/>
    <w:pPr>
      <w:numPr>
        <w:ilvl w:val="2"/>
        <w:numId w:val="14"/>
      </w:numPr>
    </w:pPr>
  </w:style>
  <w:style w:type="paragraph" w:customStyle="1" w:styleId="Point2number">
    <w:name w:val="Point 2 (number)"/>
    <w:basedOn w:val="Normal"/>
    <w:pPr>
      <w:numPr>
        <w:ilvl w:val="4"/>
        <w:numId w:val="14"/>
      </w:numPr>
    </w:pPr>
  </w:style>
  <w:style w:type="paragraph" w:customStyle="1" w:styleId="Point3number">
    <w:name w:val="Point 3 (number)"/>
    <w:basedOn w:val="Normal"/>
    <w:pPr>
      <w:numPr>
        <w:ilvl w:val="6"/>
        <w:numId w:val="14"/>
      </w:numPr>
    </w:pPr>
  </w:style>
  <w:style w:type="paragraph" w:customStyle="1" w:styleId="Point0letter">
    <w:name w:val="Point 0 (letter)"/>
    <w:basedOn w:val="Normal"/>
    <w:pPr>
      <w:numPr>
        <w:ilvl w:val="1"/>
        <w:numId w:val="14"/>
      </w:numPr>
    </w:pPr>
  </w:style>
  <w:style w:type="paragraph" w:customStyle="1" w:styleId="Point1letter">
    <w:name w:val="Point 1 (letter)"/>
    <w:basedOn w:val="Normal"/>
    <w:pPr>
      <w:numPr>
        <w:ilvl w:val="3"/>
        <w:numId w:val="14"/>
      </w:numPr>
    </w:pPr>
  </w:style>
  <w:style w:type="paragraph" w:customStyle="1" w:styleId="Point2letter">
    <w:name w:val="Point 2 (letter)"/>
    <w:basedOn w:val="Normal"/>
    <w:pPr>
      <w:numPr>
        <w:ilvl w:val="5"/>
        <w:numId w:val="14"/>
      </w:numPr>
    </w:pPr>
  </w:style>
  <w:style w:type="paragraph" w:customStyle="1" w:styleId="Point3letter">
    <w:name w:val="Point 3 (letter)"/>
    <w:basedOn w:val="Normal"/>
    <w:pPr>
      <w:numPr>
        <w:ilvl w:val="7"/>
        <w:numId w:val="14"/>
      </w:numPr>
    </w:pPr>
  </w:style>
  <w:style w:type="paragraph" w:customStyle="1" w:styleId="Point4letter">
    <w:name w:val="Point 4 (letter)"/>
    <w:basedOn w:val="Normal"/>
    <w:pPr>
      <w:numPr>
        <w:ilvl w:val="8"/>
        <w:numId w:val="14"/>
      </w:numPr>
    </w:pPr>
  </w:style>
  <w:style w:type="paragraph" w:customStyle="1" w:styleId="Bullet0">
    <w:name w:val="Bullet 0"/>
    <w:basedOn w:val="Normal"/>
    <w:pPr>
      <w:numPr>
        <w:numId w:val="15"/>
      </w:numPr>
    </w:pPr>
  </w:style>
  <w:style w:type="paragraph" w:customStyle="1" w:styleId="Bullet1">
    <w:name w:val="Bullet 1"/>
    <w:basedOn w:val="Normal"/>
    <w:pPr>
      <w:numPr>
        <w:numId w:val="16"/>
      </w:numPr>
    </w:pPr>
  </w:style>
  <w:style w:type="paragraph" w:customStyle="1" w:styleId="Bullet2">
    <w:name w:val="Bullet 2"/>
    <w:basedOn w:val="Normal"/>
    <w:pPr>
      <w:numPr>
        <w:numId w:val="17"/>
      </w:numPr>
    </w:pPr>
  </w:style>
  <w:style w:type="paragraph" w:customStyle="1" w:styleId="Bullet3">
    <w:name w:val="Bullet 3"/>
    <w:basedOn w:val="Normal"/>
    <w:pPr>
      <w:numPr>
        <w:numId w:val="18"/>
      </w:numPr>
    </w:pPr>
  </w:style>
  <w:style w:type="paragraph" w:customStyle="1" w:styleId="Bullet4">
    <w:name w:val="Bullet 4"/>
    <w:basedOn w:val="Normal"/>
    <w:pPr>
      <w:numPr>
        <w:numId w:val="1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E2A3B"/>
    <w:pPr>
      <w:tabs>
        <w:tab w:val="center" w:pos="4535"/>
        <w:tab w:val="right" w:pos="9071"/>
      </w:tabs>
      <w:spacing w:before="0"/>
    </w:pPr>
  </w:style>
  <w:style w:type="paragraph" w:customStyle="1" w:styleId="HeaderLandscape">
    <w:name w:val="HeaderLandscape"/>
    <w:basedOn w:val="Normal"/>
    <w:rsid w:val="00FE2A3B"/>
    <w:pPr>
      <w:tabs>
        <w:tab w:val="center" w:pos="7285"/>
        <w:tab w:val="right" w:pos="14003"/>
      </w:tabs>
      <w:spacing w:before="0"/>
    </w:pPr>
  </w:style>
  <w:style w:type="paragraph" w:styleId="Footer">
    <w:name w:val="footer"/>
    <w:basedOn w:val="Normal"/>
    <w:link w:val="FooterChar"/>
    <w:uiPriority w:val="99"/>
    <w:unhideWhenUsed/>
    <w:rsid w:val="00FE2A3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E2A3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wto.org/english/docs_e/legal_e/gatt47_01_e.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RO/AUTO/?uri=OJ:L:2015:343:TOC" TargetMode="External"/><Relationship Id="rId2" Type="http://schemas.openxmlformats.org/officeDocument/2006/relationships/hyperlink" Target="https://eur-lex.europa.eu/legal-content/RO/AUTO/?uri=OJ:L:2013:269:TOC" TargetMode="External"/><Relationship Id="rId1" Type="http://schemas.openxmlformats.org/officeDocument/2006/relationships/hyperlink" Target="https://eur-lex.europa.eu/legal-content/EN/AUTO/?uri=OJ:L:1994:336:TOC" TargetMode="External"/><Relationship Id="rId4" Type="http://schemas.openxmlformats.org/officeDocument/2006/relationships/hyperlink" Target="https://eur-lex.europa.eu/legal-content/RO/AUTO/?uri=OJ:L:2015:343:T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B5F1D-6FE1-458B-B115-38AAD9152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206</TotalTime>
  <Pages>1</Pages>
  <Words>3089</Words>
  <Characters>17671</Characters>
  <Application>Microsoft Office Word</Application>
  <DocSecurity>0</DocSecurity>
  <Lines>280</Lines>
  <Paragraphs>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STASZAK Anna (SG)</cp:lastModifiedBy>
  <cp:revision>84</cp:revision>
  <cp:lastPrinted>2026-03-02T16:35:00Z</cp:lastPrinted>
  <dcterms:created xsi:type="dcterms:W3CDTF">2026-03-20T12:19:00Z</dcterms:created>
  <dcterms:modified xsi:type="dcterms:W3CDTF">2026-04-14T09:48:00Z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SJ-019</vt:lpwstr>
  </property>
  <property fmtid="{D5CDD505-2E9C-101B-9397-08002B2CF9AE}" pid="6" name="Part">
    <vt:lpwstr>1</vt:lpwstr>
  </property>
  <property fmtid="{D5CDD505-2E9C-101B-9397-08002B2CF9AE}" pid="7" name="Total parts">
    <vt:lpwstr>1</vt:lpwstr>
  </property>
  <property fmtid="{D5CDD505-2E9C-101B-9397-08002B2CF9AE}" pid="8" name="MSIP_Label_6bd9ddd1-4d20-43f6-abfa-fc3c07406f94_Enabled">
    <vt:lpwstr>true</vt:lpwstr>
  </property>
  <property fmtid="{D5CDD505-2E9C-101B-9397-08002B2CF9AE}" pid="9" name="MSIP_Label_6bd9ddd1-4d20-43f6-abfa-fc3c07406f94_SetDate">
    <vt:lpwstr>2026-02-10T11:28:22Z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8c131609-ee59-455e-af5c-84e529e63cd5</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y fmtid="{D5CDD505-2E9C-101B-9397-08002B2CF9AE}" pid="16" name="Last edited using">
    <vt:lpwstr>LW 9.2, Build 20250828</vt:lpwstr>
  </property>
  <property fmtid="{D5CDD505-2E9C-101B-9397-08002B2CF9AE}" pid="17" name="DQCStatus">
    <vt:lpwstr>Yellow (DQC version 03)</vt:lpwstr>
  </property>
</Properties>
</file>