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60090E" w14:textId="0287D4DE" w:rsidR="005C2A28" w:rsidRPr="006E4BDB" w:rsidRDefault="006964D0" w:rsidP="006964D0">
      <w:pPr>
        <w:pStyle w:val="Pagedecouverture"/>
        <w:rPr>
          <w:noProof/>
        </w:rPr>
      </w:pPr>
      <w:r>
        <w:rPr>
          <w:noProof/>
        </w:rPr>
        <w:pict w14:anchorId="2B4530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F1298A8-0B68-4EE6-A2AD-96E27A0FE739" style="width:455.25pt;height:450.75pt">
            <v:imagedata r:id="rId7" o:title=""/>
          </v:shape>
        </w:pict>
      </w:r>
    </w:p>
    <w:p w14:paraId="6841D52D" w14:textId="71C1A968" w:rsidR="00D949B2" w:rsidRPr="006E4BDB" w:rsidRDefault="00D949B2" w:rsidP="00D949B2">
      <w:pPr>
        <w:pStyle w:val="Pagedecouverture"/>
        <w:rPr>
          <w:noProof/>
        </w:rPr>
        <w:sectPr w:rsidR="00D949B2" w:rsidRPr="006E4BDB" w:rsidSect="006964D0">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409C0447" w14:textId="1DF43313" w:rsidR="005C2A28" w:rsidRPr="006E4BDB" w:rsidRDefault="00673A86">
      <w:pPr>
        <w:pStyle w:val="Annexetitre"/>
        <w:rPr>
          <w:noProof/>
        </w:rPr>
      </w:pPr>
      <w:bookmarkStart w:id="0" w:name="_GoBack"/>
      <w:bookmarkEnd w:id="0"/>
      <w:r w:rsidRPr="006E4BDB">
        <w:rPr>
          <w:noProof/>
        </w:rPr>
        <w:lastRenderedPageBreak/>
        <w:t>ANEXĂ</w:t>
      </w:r>
    </w:p>
    <w:p w14:paraId="3C5CE4F8" w14:textId="77777777" w:rsidR="005C2A28" w:rsidRPr="006E4BDB" w:rsidRDefault="005C2A28">
      <w:pPr>
        <w:pStyle w:val="NormalCentered"/>
        <w:rPr>
          <w:noProof/>
        </w:rPr>
      </w:pPr>
    </w:p>
    <w:p w14:paraId="52C8DB61" w14:textId="77777777" w:rsidR="00475872" w:rsidRPr="006E4BDB" w:rsidRDefault="00AC5F5E" w:rsidP="00152639">
      <w:pPr>
        <w:jc w:val="center"/>
        <w:rPr>
          <w:b/>
          <w:bCs/>
          <w:noProof/>
        </w:rPr>
      </w:pPr>
      <w:r w:rsidRPr="006E4BDB">
        <w:rPr>
          <w:b/>
          <w:noProof/>
        </w:rPr>
        <w:t>SECȚIUNEA </w:t>
      </w:r>
      <w:r w:rsidRPr="00BA5169">
        <w:rPr>
          <w:b/>
          <w:noProof/>
        </w:rPr>
        <w:t>1</w:t>
      </w:r>
    </w:p>
    <w:p w14:paraId="7E94F78B" w14:textId="77777777" w:rsidR="005C2A28" w:rsidRPr="006E4BDB" w:rsidRDefault="00673A86" w:rsidP="00152639">
      <w:pPr>
        <w:rPr>
          <w:b/>
          <w:bCs/>
          <w:noProof/>
        </w:rPr>
      </w:pPr>
      <w:r w:rsidRPr="006E4BDB">
        <w:rPr>
          <w:b/>
          <w:noProof/>
        </w:rPr>
        <w:t>Poziția care urmează să fie adoptată în numele Uniunii Europene în cadrul Comitetelor tehnice pentru determinarea valorii în vamă și pentru regulile de origine, constituite sub auspiciile Organizației Mondiale a Vămilor, în ceea ce privește adoptarea avizelor consultative, a comentariilor, a notelor explicative, a studiilor de caz, a studiilor și a actelor similare privind determinarea valorii în vamă a mărfurilor importate în temeiul Acordului privind punerea în aplicare a articolului VII din Acordul General pentru Tarife și Comerț din </w:t>
      </w:r>
      <w:r w:rsidRPr="00BA5169">
        <w:rPr>
          <w:b/>
          <w:noProof/>
        </w:rPr>
        <w:t>1994</w:t>
      </w:r>
      <w:r w:rsidRPr="006E4BDB">
        <w:rPr>
          <w:b/>
          <w:noProof/>
        </w:rPr>
        <w:t>, precum și în ceea ce privește adoptarea avizelor consultative, a informațiilor și a recomandărilor și a actelor similare privind determinarea originii mărfurilor în temeiul Acordului privind regulile de origine</w:t>
      </w:r>
    </w:p>
    <w:p w14:paraId="33E9917F" w14:textId="77777777" w:rsidR="00C9282E" w:rsidRPr="006E4BDB" w:rsidRDefault="00C9282E" w:rsidP="00C9282E">
      <w:pPr>
        <w:pStyle w:val="Text1"/>
        <w:rPr>
          <w:noProof/>
        </w:rPr>
      </w:pPr>
    </w:p>
    <w:p w14:paraId="227F94AC" w14:textId="4C6C6550" w:rsidR="005C2A28" w:rsidRPr="006E4BDB" w:rsidRDefault="00673A86" w:rsidP="00F01F9A">
      <w:pPr>
        <w:pStyle w:val="NumPar2"/>
        <w:numPr>
          <w:ilvl w:val="1"/>
          <w:numId w:val="6"/>
        </w:numPr>
        <w:rPr>
          <w:noProof/>
        </w:rPr>
      </w:pPr>
      <w:r w:rsidRPr="006E4BDB">
        <w:rPr>
          <w:noProof/>
        </w:rPr>
        <w:t>Principii</w:t>
      </w:r>
    </w:p>
    <w:p w14:paraId="137754AB" w14:textId="77777777" w:rsidR="005C2A28" w:rsidRPr="006E4BDB" w:rsidRDefault="00673A86" w:rsidP="00130B31">
      <w:pPr>
        <w:rPr>
          <w:noProof/>
        </w:rPr>
      </w:pPr>
      <w:r w:rsidRPr="006E4BDB">
        <w:rPr>
          <w:noProof/>
        </w:rPr>
        <w:t>În cadrul Comitetelor tehnice pentru determinarea valorii în vamă și pentru regulile de origine, instituite sub auspiciile Organizației Mondiale a Vămilor (OMV), Uniunea:</w:t>
      </w:r>
    </w:p>
    <w:p w14:paraId="63F7D0DA" w14:textId="173FC2B9" w:rsidR="005C2A28" w:rsidRPr="006E4BDB" w:rsidRDefault="00673A86" w:rsidP="00634108">
      <w:pPr>
        <w:pStyle w:val="Point1letter"/>
        <w:numPr>
          <w:ilvl w:val="3"/>
          <w:numId w:val="8"/>
        </w:numPr>
        <w:rPr>
          <w:noProof/>
        </w:rPr>
      </w:pPr>
      <w:r w:rsidRPr="006E4BDB">
        <w:rPr>
          <w:noProof/>
        </w:rPr>
        <w:t xml:space="preserve">promovează, contribuie și facilitează determinarea valorii în vamă a mărfurilor importate și interpretarea și aplicarea uniformă a Acordului privind punerea în aplicare a articolului VII din Acordul General pentru Tarife și Comerț din </w:t>
      </w:r>
      <w:r w:rsidRPr="00BA5169">
        <w:rPr>
          <w:noProof/>
        </w:rPr>
        <w:t>1994</w:t>
      </w:r>
      <w:r w:rsidRPr="006E4BDB">
        <w:rPr>
          <w:noProof/>
        </w:rPr>
        <w:t xml:space="preserve"> (Acordul privind determinarea valorii în vamă – ADVV);</w:t>
      </w:r>
    </w:p>
    <w:p w14:paraId="351425E5" w14:textId="0A82D6DA" w:rsidR="005C2A28" w:rsidRPr="006E4BDB" w:rsidRDefault="00673A86" w:rsidP="00AB7712">
      <w:pPr>
        <w:pStyle w:val="Point1letter"/>
        <w:rPr>
          <w:noProof/>
        </w:rPr>
      </w:pPr>
      <w:r w:rsidRPr="006E4BDB">
        <w:rPr>
          <w:noProof/>
        </w:rPr>
        <w:t>promovează, contribuie și facilitează determinarea originii mărfurilor și interpretarea și aplicarea uniformă a Acordului privind regulile de origine (ARO);</w:t>
      </w:r>
    </w:p>
    <w:p w14:paraId="60FE8ED7" w14:textId="4DA20245" w:rsidR="005C2A28" w:rsidRPr="006E4BDB" w:rsidRDefault="00673A86" w:rsidP="00AB7712">
      <w:pPr>
        <w:pStyle w:val="Point1letter"/>
        <w:rPr>
          <w:noProof/>
        </w:rPr>
      </w:pPr>
      <w:r w:rsidRPr="006E4BDB">
        <w:rPr>
          <w:noProof/>
        </w:rPr>
        <w:t>depune eforturi în vederea implicării corespunzătoare a părților interesate în etapa de pregătire a avizelor consultative, a comentariilor, a notelor explicative, a studiilor de caz, a studiilor, a informațiilor sau a recomandărilor cu privire la orice chestiuni privind determinarea valorii în vamă a mărfurilor importate sau determinarea originii mărfurilor sau a actelor similare ale Comitetului tehnic pentru determinarea valorii în vamă (CTDVV) și ale Comitetului tehnic pentru regulile de origine (CTRO) și se asigură că actele respective sunt în conformitate cu ADVV și, respectiv, cu ARO;</w:t>
      </w:r>
    </w:p>
    <w:p w14:paraId="20BAC757" w14:textId="6896A0CE" w:rsidR="005C2A28" w:rsidRPr="006E4BDB" w:rsidRDefault="00673A86" w:rsidP="00AB7712">
      <w:pPr>
        <w:pStyle w:val="Point1letter"/>
        <w:rPr>
          <w:noProof/>
        </w:rPr>
      </w:pPr>
      <w:r w:rsidRPr="006E4BDB">
        <w:rPr>
          <w:noProof/>
        </w:rPr>
        <w:t>se asigură că măsurile adoptate în cadrul CTDVV sunt în concordanță cu Comentariul general introductiv la ADVV și cu Notele interpretative prevăzute în anexa I la ADVV;</w:t>
      </w:r>
    </w:p>
    <w:p w14:paraId="387E2A66" w14:textId="33D7D479" w:rsidR="00475872" w:rsidRPr="006E4BDB" w:rsidRDefault="00673A86" w:rsidP="00AB7712">
      <w:pPr>
        <w:pStyle w:val="Point1letter"/>
        <w:rPr>
          <w:noProof/>
        </w:rPr>
      </w:pPr>
      <w:r w:rsidRPr="006E4BDB">
        <w:rPr>
          <w:noProof/>
        </w:rPr>
        <w:t>promovează poziții compatibile cu politicile și cu cele mai bune practici ale Uniunii, inclusiv cu obiectivul de a proteja interesele financiare ale Uniunii, precum și cu orice alte angajamente internaționale ale Uniunii în domeniul în cauză.</w:t>
      </w:r>
    </w:p>
    <w:p w14:paraId="5B2D6411" w14:textId="4A5315C9" w:rsidR="005C2A28" w:rsidRPr="006E4BDB" w:rsidRDefault="00673A86" w:rsidP="00F01F9A">
      <w:pPr>
        <w:pStyle w:val="NumPar2"/>
        <w:numPr>
          <w:ilvl w:val="1"/>
          <w:numId w:val="6"/>
        </w:numPr>
        <w:rPr>
          <w:noProof/>
        </w:rPr>
      </w:pPr>
      <w:r w:rsidRPr="006E4BDB">
        <w:rPr>
          <w:noProof/>
        </w:rPr>
        <w:t>Criterii</w:t>
      </w:r>
    </w:p>
    <w:p w14:paraId="7764D848" w14:textId="77777777" w:rsidR="005C2A28" w:rsidRPr="006E4BDB" w:rsidRDefault="00673A86">
      <w:pPr>
        <w:pStyle w:val="Text1"/>
        <w:rPr>
          <w:noProof/>
        </w:rPr>
      </w:pPr>
      <w:r w:rsidRPr="006E4BDB">
        <w:rPr>
          <w:noProof/>
        </w:rPr>
        <w:t>Pozițiile care urmează să fie adoptate în numele Uniunii:</w:t>
      </w:r>
    </w:p>
    <w:p w14:paraId="72CA48E0" w14:textId="4BE51A47" w:rsidR="005C2A28" w:rsidRPr="006E4BDB" w:rsidRDefault="00673A86" w:rsidP="00F845D7">
      <w:pPr>
        <w:pStyle w:val="Point1letter"/>
        <w:numPr>
          <w:ilvl w:val="3"/>
          <w:numId w:val="7"/>
        </w:numPr>
        <w:rPr>
          <w:noProof/>
        </w:rPr>
      </w:pPr>
      <w:r w:rsidRPr="006E4BDB">
        <w:rPr>
          <w:noProof/>
        </w:rPr>
        <w:t>se stabilesc în conformitate cu ADVV, cu Comentariul general introductiv și cu Notele interpretative prevăzute în anexa I la ADVV în ceea ce privește determinarea valorii în vamă a mărfurilor importate;</w:t>
      </w:r>
    </w:p>
    <w:p w14:paraId="555AA9FE" w14:textId="7F8EA4C4" w:rsidR="005C2A28" w:rsidRPr="006E4BDB" w:rsidRDefault="00673A86" w:rsidP="00F845D7">
      <w:pPr>
        <w:pStyle w:val="Point1letter"/>
        <w:numPr>
          <w:ilvl w:val="3"/>
          <w:numId w:val="7"/>
        </w:numPr>
        <w:rPr>
          <w:noProof/>
        </w:rPr>
      </w:pPr>
      <w:r w:rsidRPr="006E4BDB">
        <w:rPr>
          <w:noProof/>
        </w:rPr>
        <w:t>se stabilesc în conformitate cu ADVV în ceea ce privește determinarea originii mărfurilor;</w:t>
      </w:r>
    </w:p>
    <w:p w14:paraId="12384F6A" w14:textId="58063819" w:rsidR="005C2A28" w:rsidRPr="006E4BDB" w:rsidRDefault="00673A86" w:rsidP="00F845D7">
      <w:pPr>
        <w:pStyle w:val="Point1letter"/>
        <w:numPr>
          <w:ilvl w:val="3"/>
          <w:numId w:val="7"/>
        </w:numPr>
        <w:rPr>
          <w:noProof/>
        </w:rPr>
      </w:pPr>
      <w:r w:rsidRPr="006E4BDB">
        <w:rPr>
          <w:noProof/>
        </w:rPr>
        <w:t>țin seama, dacă este cazul, de următoarele:</w:t>
      </w:r>
    </w:p>
    <w:p w14:paraId="154B5CB1" w14:textId="4B8883BC" w:rsidR="005C2A28" w:rsidRPr="006E4BDB" w:rsidRDefault="00AB7712" w:rsidP="00AB7712">
      <w:pPr>
        <w:pStyle w:val="Point2"/>
        <w:rPr>
          <w:noProof/>
        </w:rPr>
      </w:pPr>
      <w:r w:rsidRPr="006E4BDB">
        <w:rPr>
          <w:noProof/>
        </w:rPr>
        <w:t>(i)</w:t>
      </w:r>
      <w:r w:rsidRPr="006E4BDB">
        <w:rPr>
          <w:noProof/>
        </w:rPr>
        <w:tab/>
        <w:t>jurisprudența Curții de Justiție a Uniunii Europene referitoare la determinarea valorii în vamă a mărfurilor importate și la determinarea originii mărfurilor;</w:t>
      </w:r>
    </w:p>
    <w:p w14:paraId="072FBB36" w14:textId="4F329245" w:rsidR="005C2A28" w:rsidRPr="006E4BDB" w:rsidRDefault="00AB7712" w:rsidP="00AB7712">
      <w:pPr>
        <w:pStyle w:val="Point2"/>
        <w:rPr>
          <w:noProof/>
        </w:rPr>
      </w:pPr>
      <w:r w:rsidRPr="006E4BDB">
        <w:rPr>
          <w:noProof/>
        </w:rPr>
        <w:t>(ii)</w:t>
      </w:r>
      <w:r w:rsidRPr="006E4BDB">
        <w:rPr>
          <w:noProof/>
        </w:rPr>
        <w:tab/>
        <w:t>instrumentele adoptate anterior de CTDVV sau de CTRO și care sunt încă aplicabile;</w:t>
      </w:r>
    </w:p>
    <w:p w14:paraId="4D2DAFFA" w14:textId="62224C23" w:rsidR="005C2A28" w:rsidRPr="006E4BDB" w:rsidRDefault="00AB7712" w:rsidP="00AB7712">
      <w:pPr>
        <w:pStyle w:val="Point2"/>
        <w:rPr>
          <w:noProof/>
        </w:rPr>
      </w:pPr>
      <w:r w:rsidRPr="006E4BDB">
        <w:rPr>
          <w:noProof/>
        </w:rPr>
        <w:t>(iii)</w:t>
      </w:r>
      <w:r w:rsidRPr="006E4BDB">
        <w:rPr>
          <w:noProof/>
        </w:rPr>
        <w:tab/>
        <w:t>cadrul legal al Uniunii referitor la determinarea valorii în vamă a mărfurilor importate și la determinarea originii mărfurilor;</w:t>
      </w:r>
    </w:p>
    <w:p w14:paraId="6CC4EDD9" w14:textId="58CFCA35" w:rsidR="005C2A28" w:rsidRPr="006E4BDB" w:rsidRDefault="00AB7712" w:rsidP="00AB7712">
      <w:pPr>
        <w:pStyle w:val="Point2"/>
        <w:rPr>
          <w:noProof/>
        </w:rPr>
      </w:pPr>
      <w:r w:rsidRPr="006E4BDB">
        <w:rPr>
          <w:noProof/>
        </w:rPr>
        <w:t>(iv)</w:t>
      </w:r>
      <w:r w:rsidRPr="006E4BDB">
        <w:rPr>
          <w:noProof/>
        </w:rPr>
        <w:tab/>
        <w:t>instrumentele de orientare referitoare la determinarea valorii în vamă a mărfurilor importate, elaborate în cadrul Secției Determinarea valorii a Grupului de experți în domeniul vamal;</w:t>
      </w:r>
    </w:p>
    <w:p w14:paraId="59E58A7A" w14:textId="368D37E2" w:rsidR="005C2A28" w:rsidRPr="006E4BDB" w:rsidRDefault="00AB7712" w:rsidP="00AB7712">
      <w:pPr>
        <w:pStyle w:val="Point2"/>
        <w:rPr>
          <w:noProof/>
        </w:rPr>
      </w:pPr>
      <w:r w:rsidRPr="006E4BDB">
        <w:rPr>
          <w:noProof/>
        </w:rPr>
        <w:t>(v)</w:t>
      </w:r>
      <w:r w:rsidRPr="006E4BDB">
        <w:rPr>
          <w:noProof/>
        </w:rPr>
        <w:tab/>
        <w:t>instrumentele de orientare referitoare la determinarea originii mărfurilor, elaborate în cadrul Secției Determinarea originii a Grupului de experți în domeniul vamal;</w:t>
      </w:r>
    </w:p>
    <w:p w14:paraId="55FE52D8" w14:textId="62A5B0C4" w:rsidR="005C2A28" w:rsidRPr="006E4BDB" w:rsidRDefault="00AB7712" w:rsidP="00AB7712">
      <w:pPr>
        <w:pStyle w:val="Point2"/>
        <w:rPr>
          <w:noProof/>
        </w:rPr>
      </w:pPr>
      <w:r w:rsidRPr="006E4BDB">
        <w:rPr>
          <w:noProof/>
        </w:rPr>
        <w:t>(vi)</w:t>
      </w:r>
      <w:r w:rsidRPr="006E4BDB">
        <w:rPr>
          <w:noProof/>
        </w:rPr>
        <w:tab/>
        <w:t>orice alte acte juridice sau orientări referitoare la determinarea valorii în vamă a mărfurilor importate și la determinarea originii mărfurilor, elaborate de Consiliu sau de Comisie.</w:t>
      </w:r>
    </w:p>
    <w:p w14:paraId="18BD1139" w14:textId="023CFF02" w:rsidR="005C2A28" w:rsidRPr="006E4BDB" w:rsidRDefault="00673A86" w:rsidP="00F01F9A">
      <w:pPr>
        <w:pStyle w:val="NumPar2"/>
        <w:numPr>
          <w:ilvl w:val="1"/>
          <w:numId w:val="6"/>
        </w:numPr>
        <w:rPr>
          <w:noProof/>
        </w:rPr>
      </w:pPr>
      <w:r w:rsidRPr="006E4BDB">
        <w:rPr>
          <w:noProof/>
        </w:rPr>
        <w:t>Orientări</w:t>
      </w:r>
    </w:p>
    <w:p w14:paraId="284A68A3" w14:textId="77777777" w:rsidR="005C2A28" w:rsidRPr="006E4BDB" w:rsidRDefault="00673A86">
      <w:pPr>
        <w:pStyle w:val="Text1"/>
        <w:rPr>
          <w:noProof/>
        </w:rPr>
      </w:pPr>
      <w:r w:rsidRPr="006E4BDB">
        <w:rPr>
          <w:noProof/>
        </w:rPr>
        <w:t>Uniunea, după caz:</w:t>
      </w:r>
    </w:p>
    <w:p w14:paraId="499D0025" w14:textId="77777777" w:rsidR="005C2A28" w:rsidRPr="006E4BDB" w:rsidRDefault="00673A86">
      <w:pPr>
        <w:pStyle w:val="Text1"/>
        <w:rPr>
          <w:noProof/>
        </w:rPr>
      </w:pPr>
      <w:r w:rsidRPr="006E4BDB">
        <w:rPr>
          <w:noProof/>
        </w:rPr>
        <w:t>(a) depune eforturi pentru a sprijini adoptarea în cadrul CTDVV și CTRO a avizelor consultative, a comentariilor, a notelor explicative, a studiilor de caz, a studiilor, a informațiilor și a recomandărilor sau a actelor similare referitoare la determinarea valorii în vamă a mărfurilor importate sau la determinarea originii mărfurilor, pentru a asigura, la nivel tehnic, uniformitatea interpretării și aplicării ADVV și ARO;</w:t>
      </w:r>
    </w:p>
    <w:p w14:paraId="271B577F" w14:textId="77777777" w:rsidR="005C2A28" w:rsidRPr="006E4BDB" w:rsidRDefault="00673A86">
      <w:pPr>
        <w:pStyle w:val="Text1"/>
        <w:rPr>
          <w:noProof/>
        </w:rPr>
      </w:pPr>
      <w:r w:rsidRPr="006E4BDB">
        <w:rPr>
          <w:noProof/>
        </w:rPr>
        <w:t>(b) propune și pregătește instrumentele menționate la litera (a).</w:t>
      </w:r>
    </w:p>
    <w:p w14:paraId="5EF8649F" w14:textId="77777777" w:rsidR="00E64F57" w:rsidRPr="006E4BDB" w:rsidRDefault="00E64F57">
      <w:pPr>
        <w:pStyle w:val="Text1"/>
        <w:rPr>
          <w:noProof/>
        </w:rPr>
      </w:pPr>
    </w:p>
    <w:p w14:paraId="7A391E85" w14:textId="77777777" w:rsidR="00AC5F5E" w:rsidRPr="006E4BDB" w:rsidRDefault="00AC5F5E">
      <w:pPr>
        <w:pStyle w:val="Text1"/>
        <w:rPr>
          <w:noProof/>
        </w:rPr>
      </w:pPr>
    </w:p>
    <w:p w14:paraId="7C54D0B2" w14:textId="77777777" w:rsidR="00475872" w:rsidRPr="006E4BDB" w:rsidRDefault="00AC5F5E" w:rsidP="00152639">
      <w:pPr>
        <w:jc w:val="center"/>
        <w:rPr>
          <w:b/>
          <w:bCs/>
          <w:noProof/>
        </w:rPr>
      </w:pPr>
      <w:r w:rsidRPr="006E4BDB">
        <w:rPr>
          <w:b/>
          <w:noProof/>
        </w:rPr>
        <w:t>SECȚIUNEA </w:t>
      </w:r>
      <w:r w:rsidRPr="00BA5169">
        <w:rPr>
          <w:b/>
          <w:noProof/>
        </w:rPr>
        <w:t>2</w:t>
      </w:r>
    </w:p>
    <w:p w14:paraId="5CD72A95" w14:textId="77777777" w:rsidR="00475872" w:rsidRPr="006E4BDB" w:rsidRDefault="00673A86" w:rsidP="00152639">
      <w:pPr>
        <w:rPr>
          <w:b/>
          <w:bCs/>
          <w:noProof/>
        </w:rPr>
      </w:pPr>
      <w:r w:rsidRPr="006E4BDB">
        <w:rPr>
          <w:b/>
          <w:noProof/>
        </w:rPr>
        <w:t>Precizarea poziției care urmează să fie adoptată în numele Uniunii în cadrul Comitetelor tehnice pentru determinarea valorii în vamă și pentru regulile de origine, constituite sub auspiciile OMV, în ceea ce privește adoptarea avizelor consultative, a comentariilor, a notelor explicative, a studiilor de caz, a studiilor și a actelor similare privind determinarea valorii în vamă a mărfurilor importate în temeiul ADVV, precum și în ceea ce privește adoptarea avizelor consultative, a informațiilor și a recomandărilor și a actelor similare privind determinarea originii mărfurilor în temeiul ARO</w:t>
      </w:r>
    </w:p>
    <w:p w14:paraId="167E3FB7" w14:textId="77777777" w:rsidR="00352857" w:rsidRPr="006E4BDB" w:rsidRDefault="00352857" w:rsidP="00352857">
      <w:pPr>
        <w:pStyle w:val="ManualNumPar2"/>
        <w:rPr>
          <w:noProof/>
        </w:rPr>
      </w:pPr>
      <w:r w:rsidRPr="00BA5169">
        <w:rPr>
          <w:noProof/>
        </w:rPr>
        <w:t>2</w:t>
      </w:r>
      <w:r w:rsidRPr="006E4BDB">
        <w:rPr>
          <w:noProof/>
        </w:rPr>
        <w:t>.</w:t>
      </w:r>
      <w:r w:rsidRPr="00BA5169">
        <w:rPr>
          <w:noProof/>
        </w:rPr>
        <w:t>1</w:t>
      </w:r>
      <w:r w:rsidRPr="006E4BDB">
        <w:rPr>
          <w:noProof/>
        </w:rPr>
        <w:tab/>
        <w:t xml:space="preserve">Înainte de fiecare reuniune a CTDVV sau a CTRO în cursul căreia CTDVV sau CTRO sunt invitate să adopte avize consultative, comentarii, note explicative, studii de caz, studii, informații și recomandări sau acte similare care au efecte juridice asupra Uniunii, se iau măsurile necesare astfel încât poziția care urmează să fie exprimată în numele Uniunii să țină seama de cele mai recente informații tehnice și de altă natură relevante transmise Comisiei, în conformitate cu principiile, criteriile și orientările stabilite în secțiunea </w:t>
      </w:r>
      <w:r w:rsidRPr="00BA5169">
        <w:rPr>
          <w:noProof/>
        </w:rPr>
        <w:t>1</w:t>
      </w:r>
      <w:r w:rsidRPr="006E4BDB">
        <w:rPr>
          <w:noProof/>
        </w:rPr>
        <w:t>. Pentru a proteja drepturile și interesele Uniunii în cadrul OMV, Comisia acordă o atenție deosebită disponibilității documentelor de lucru prezentate în conformitate cu normele de procedură ale CTDVV și ale CTRO.</w:t>
      </w:r>
    </w:p>
    <w:p w14:paraId="6C261503" w14:textId="77FFF644" w:rsidR="00352857" w:rsidRPr="006E4BDB" w:rsidRDefault="00352857" w:rsidP="00352857">
      <w:pPr>
        <w:pStyle w:val="ManualNumPar3"/>
        <w:rPr>
          <w:noProof/>
        </w:rPr>
      </w:pPr>
      <w:r w:rsidRPr="00BA5169">
        <w:rPr>
          <w:noProof/>
        </w:rPr>
        <w:t>2</w:t>
      </w:r>
      <w:r w:rsidRPr="006E4BDB">
        <w:rPr>
          <w:noProof/>
        </w:rPr>
        <w:t>.</w:t>
      </w:r>
      <w:r w:rsidRPr="00BA5169">
        <w:rPr>
          <w:noProof/>
        </w:rPr>
        <w:t>2</w:t>
      </w:r>
      <w:r w:rsidRPr="006E4BDB">
        <w:rPr>
          <w:noProof/>
        </w:rPr>
        <w:tab/>
        <w:t>În acest sens și pe baza informațiilor transmise Comisiei în temeiul punctului </w:t>
      </w:r>
      <w:r w:rsidRPr="00BA5169">
        <w:rPr>
          <w:noProof/>
        </w:rPr>
        <w:t>2</w:t>
      </w:r>
      <w:r w:rsidRPr="006E4BDB">
        <w:rPr>
          <w:noProof/>
        </w:rPr>
        <w:t>.</w:t>
      </w:r>
      <w:r w:rsidRPr="00BA5169">
        <w:rPr>
          <w:noProof/>
        </w:rPr>
        <w:t>1</w:t>
      </w:r>
      <w:r w:rsidRPr="006E4BDB">
        <w:rPr>
          <w:noProof/>
        </w:rPr>
        <w:t>, Comisia transmite Consiliului, cu suficient timp înainte de fiecare reuniune a CTDVV și a CTRO, astfel cum se menționează la punctul </w:t>
      </w:r>
      <w:r w:rsidRPr="00BA5169">
        <w:rPr>
          <w:noProof/>
        </w:rPr>
        <w:t>2</w:t>
      </w:r>
      <w:r w:rsidRPr="006E4BDB">
        <w:rPr>
          <w:noProof/>
        </w:rPr>
        <w:t>.</w:t>
      </w:r>
      <w:r w:rsidRPr="00BA5169">
        <w:rPr>
          <w:noProof/>
        </w:rPr>
        <w:t>1</w:t>
      </w:r>
      <w:r w:rsidRPr="006E4BDB">
        <w:rPr>
          <w:noProof/>
        </w:rPr>
        <w:t>, un document scris care prezintă în detaliu propunerea de precizare a poziției Uniunii, în vederea dezbaterii și a adoptării detaliilor poziției care urmează să fie exprimată în numele Uniunii. Consiliul examinează documentele Comisiei în cel mai scurt timp posibil. În cazul în care Consiliul nu aprobă o anumită parte a propunerii, Comisia nu va prezenta o poziție a Uniunii cu privire la partea respectivă în cadrul CTDVV sau al CTRO.</w:t>
      </w:r>
    </w:p>
    <w:p w14:paraId="4C8F67BB" w14:textId="54848F4A" w:rsidR="00352857" w:rsidRPr="006E4BDB" w:rsidRDefault="00352857" w:rsidP="00352857">
      <w:pPr>
        <w:pStyle w:val="ManualNumPar3"/>
        <w:rPr>
          <w:noProof/>
        </w:rPr>
      </w:pPr>
      <w:r w:rsidRPr="00BA5169">
        <w:rPr>
          <w:noProof/>
        </w:rPr>
        <w:t>2</w:t>
      </w:r>
      <w:r w:rsidRPr="006E4BDB">
        <w:rPr>
          <w:noProof/>
        </w:rPr>
        <w:t>.</w:t>
      </w:r>
      <w:r w:rsidRPr="00BA5169">
        <w:rPr>
          <w:noProof/>
        </w:rPr>
        <w:t>3</w:t>
      </w:r>
      <w:r w:rsidRPr="006E4BDB">
        <w:rPr>
          <w:noProof/>
        </w:rPr>
        <w:tab/>
        <w:t>În cazurile în care poziția Uniunii diferă în esență de avizele consultative, comentariile, notele explicative, studiile de caz, studiile sau actele similare propuse în CTDVV sau de avizele consultative, informațiile și recomandările și actele similare propuse în CTRO, Comisia exprimă, în numele Uniunii, poziția conform căreia actul în cauză nu întrunește consensul necesar pentru a fi adoptat de CTDVV sau de CTRO.</w:t>
      </w:r>
    </w:p>
    <w:p w14:paraId="235F68BA" w14:textId="6D77162A" w:rsidR="005C2A28" w:rsidRPr="006E4BDB" w:rsidRDefault="00352857" w:rsidP="00352857">
      <w:pPr>
        <w:pStyle w:val="ManualNumPar3"/>
        <w:rPr>
          <w:noProof/>
        </w:rPr>
      </w:pPr>
      <w:r w:rsidRPr="00BA5169">
        <w:rPr>
          <w:noProof/>
        </w:rPr>
        <w:t>2</w:t>
      </w:r>
      <w:r w:rsidRPr="006E4BDB">
        <w:rPr>
          <w:noProof/>
        </w:rPr>
        <w:t>.</w:t>
      </w:r>
      <w:r w:rsidRPr="00BA5169">
        <w:rPr>
          <w:noProof/>
        </w:rPr>
        <w:t>4</w:t>
      </w:r>
      <w:r w:rsidRPr="006E4BDB">
        <w:rPr>
          <w:noProof/>
        </w:rPr>
        <w:tab/>
        <w:t>Pentru a proteja drepturile Uniunii și pentru a evita o decizie cu privire la o chestiune în privința căreia Consiliul nu este în măsură să ajungă la o poziție înainte ca membrii CTDVV sau membrii CTRO să fie invitați să își exprime poziția finală cu privire la adoptarea de avize consultative, comentarii, note explicative, studii de caz, studii, informații și recomandări și acte similare, Comisia solicită, în numele Uniunii, ca actul propus să fie dezbătut în continuare în cadrul CTDVV sau al CTRO.</w:t>
      </w:r>
    </w:p>
    <w:sectPr w:rsidR="005C2A28" w:rsidRPr="006E4BDB" w:rsidSect="006964D0">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B6A5C5" w14:textId="77777777" w:rsidR="005269AA" w:rsidRDefault="005269AA" w:rsidP="00991178">
      <w:pPr>
        <w:spacing w:before="0" w:after="0"/>
      </w:pPr>
      <w:r>
        <w:separator/>
      </w:r>
    </w:p>
  </w:endnote>
  <w:endnote w:type="continuationSeparator" w:id="0">
    <w:p w14:paraId="4D55AB2F" w14:textId="77777777" w:rsidR="005269AA" w:rsidRDefault="005269AA" w:rsidP="0099117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EFB17" w14:textId="3252D194" w:rsidR="006964D0" w:rsidRPr="006964D0" w:rsidRDefault="006964D0" w:rsidP="006964D0">
    <w:pPr>
      <w:pStyle w:val="Footer"/>
      <w:rPr>
        <w:rFonts w:ascii="Arial" w:hAnsi="Arial" w:cs="Arial"/>
        <w:b/>
        <w:sz w:val="48"/>
      </w:rPr>
    </w:pPr>
    <w:r w:rsidRPr="006964D0">
      <w:rPr>
        <w:rFonts w:ascii="Arial" w:hAnsi="Arial" w:cs="Arial"/>
        <w:b/>
        <w:sz w:val="48"/>
      </w:rPr>
      <w:t>RO</w:t>
    </w:r>
    <w:r w:rsidRPr="006964D0">
      <w:rPr>
        <w:rFonts w:ascii="Arial" w:hAnsi="Arial" w:cs="Arial"/>
        <w:b/>
        <w:sz w:val="48"/>
      </w:rPr>
      <w:tab/>
    </w:r>
    <w:r w:rsidRPr="006964D0">
      <w:rPr>
        <w:rFonts w:ascii="Arial" w:hAnsi="Arial" w:cs="Arial"/>
        <w:b/>
        <w:sz w:val="48"/>
      </w:rPr>
      <w:tab/>
    </w:r>
    <w:r w:rsidRPr="006964D0">
      <w:tab/>
    </w:r>
    <w:r w:rsidRPr="006964D0">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D149F" w14:textId="20C40F52" w:rsidR="006964D0" w:rsidRPr="006964D0" w:rsidRDefault="006964D0" w:rsidP="006964D0">
    <w:pPr>
      <w:pStyle w:val="Footer"/>
      <w:rPr>
        <w:rFonts w:ascii="Arial" w:hAnsi="Arial" w:cs="Arial"/>
        <w:b/>
        <w:sz w:val="48"/>
      </w:rPr>
    </w:pPr>
    <w:r w:rsidRPr="006964D0">
      <w:rPr>
        <w:rFonts w:ascii="Arial" w:hAnsi="Arial" w:cs="Arial"/>
        <w:b/>
        <w:sz w:val="48"/>
      </w:rPr>
      <w:t>RO</w:t>
    </w:r>
    <w:r w:rsidRPr="006964D0">
      <w:rPr>
        <w:rFonts w:ascii="Arial" w:hAnsi="Arial" w:cs="Arial"/>
        <w:b/>
        <w:sz w:val="48"/>
      </w:rPr>
      <w:tab/>
    </w:r>
    <w:r w:rsidRPr="006964D0">
      <w:rPr>
        <w:rFonts w:ascii="Arial" w:hAnsi="Arial" w:cs="Arial"/>
        <w:b/>
        <w:sz w:val="48"/>
      </w:rPr>
      <w:tab/>
    </w:r>
    <w:r w:rsidRPr="006964D0">
      <w:tab/>
    </w:r>
    <w:r w:rsidRPr="006964D0">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085FE7" w14:textId="77777777" w:rsidR="006964D0" w:rsidRPr="006964D0" w:rsidRDefault="006964D0" w:rsidP="006964D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38959" w14:textId="77777777" w:rsidR="006964D0" w:rsidRDefault="006964D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D417F" w14:textId="051E45BA" w:rsidR="006964D0" w:rsidRPr="006964D0" w:rsidRDefault="006964D0" w:rsidP="006964D0">
    <w:pPr>
      <w:pStyle w:val="Footer"/>
      <w:rPr>
        <w:rFonts w:ascii="Arial" w:hAnsi="Arial" w:cs="Arial"/>
        <w:b/>
        <w:sz w:val="48"/>
      </w:rPr>
    </w:pPr>
    <w:r w:rsidRPr="006964D0">
      <w:rPr>
        <w:rFonts w:ascii="Arial" w:hAnsi="Arial" w:cs="Arial"/>
        <w:b/>
        <w:sz w:val="48"/>
      </w:rPr>
      <w:t>RO</w:t>
    </w:r>
    <w:r w:rsidRPr="006964D0">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6964D0">
      <w:tab/>
    </w:r>
    <w:r w:rsidRPr="006964D0">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CDE84" w14:textId="77777777" w:rsidR="006964D0" w:rsidRDefault="006964D0" w:rsidP="006964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44EA63" w14:textId="77777777" w:rsidR="005269AA" w:rsidRDefault="005269AA" w:rsidP="00991178">
      <w:pPr>
        <w:spacing w:before="0" w:after="0"/>
      </w:pPr>
      <w:r>
        <w:separator/>
      </w:r>
    </w:p>
  </w:footnote>
  <w:footnote w:type="continuationSeparator" w:id="0">
    <w:p w14:paraId="32CC7E15" w14:textId="77777777" w:rsidR="005269AA" w:rsidRDefault="005269AA" w:rsidP="0099117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85901" w14:textId="77777777" w:rsidR="006964D0" w:rsidRPr="006964D0" w:rsidRDefault="006964D0" w:rsidP="006964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E1A13" w14:textId="77777777" w:rsidR="006964D0" w:rsidRPr="006964D0" w:rsidRDefault="006964D0" w:rsidP="006964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07399" w14:textId="77777777" w:rsidR="006964D0" w:rsidRPr="006964D0" w:rsidRDefault="006964D0" w:rsidP="006964D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07B71" w14:textId="77777777" w:rsidR="006964D0" w:rsidRDefault="006964D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A0F162" w14:textId="77777777" w:rsidR="006964D0" w:rsidRDefault="006964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580AD64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D1CECD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A2AB15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71E888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3E211B1"/>
    <w:multiLevelType w:val="multilevel"/>
    <w:tmpl w:val="7A8CC17A"/>
    <w:styleLink w:val="Style1"/>
    <w:lvl w:ilvl="0">
      <w:start w:val="2"/>
      <w:numFmt w:val="decimal"/>
      <w:lvlRestart w:val="0"/>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1417"/>
        </w:tabs>
        <w:ind w:left="1417" w:hanging="1417"/>
      </w:pPr>
      <w:rPr>
        <w:rFonts w:hint="default"/>
      </w:rPr>
    </w:lvl>
    <w:lvl w:ilvl="5">
      <w:start w:val="1"/>
      <w:numFmt w:val="decimal"/>
      <w:lvlText w:val="%1.%2.%3.%4.%5.%6."/>
      <w:lvlJc w:val="left"/>
      <w:pPr>
        <w:tabs>
          <w:tab w:val="num" w:pos="1417"/>
        </w:tabs>
        <w:ind w:left="1417" w:hanging="1417"/>
      </w:pPr>
      <w:rPr>
        <w:rFonts w:hint="default"/>
      </w:rPr>
    </w:lvl>
    <w:lvl w:ilvl="6">
      <w:start w:val="1"/>
      <w:numFmt w:val="decimal"/>
      <w:lvlText w:val="%1.%2.%3.%4.%5.%6.%7."/>
      <w:lvlJc w:val="left"/>
      <w:pPr>
        <w:tabs>
          <w:tab w:val="num" w:pos="1417"/>
        </w:tabs>
        <w:ind w:left="1417" w:hanging="1417"/>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8"/>
  </w:num>
  <w:num w:numId="11">
    <w:abstractNumId w:val="18"/>
  </w:num>
  <w:num w:numId="12">
    <w:abstractNumId w:val="7"/>
  </w:num>
  <w:num w:numId="13">
    <w:abstractNumId w:val="9"/>
  </w:num>
  <w:num w:numId="14">
    <w:abstractNumId w:val="10"/>
  </w:num>
  <w:num w:numId="15">
    <w:abstractNumId w:val="5"/>
  </w:num>
  <w:num w:numId="16">
    <w:abstractNumId w:val="17"/>
  </w:num>
  <w:num w:numId="17">
    <w:abstractNumId w:val="4"/>
  </w:num>
  <w:num w:numId="18">
    <w:abstractNumId w:val="11"/>
  </w:num>
  <w:num w:numId="19">
    <w:abstractNumId w:val="13"/>
  </w:num>
  <w:num w:numId="20">
    <w:abstractNumId w:val="14"/>
  </w:num>
  <w:num w:numId="21">
    <w:abstractNumId w:val="6"/>
  </w:num>
  <w:num w:numId="22">
    <w:abstractNumId w:val="12"/>
  </w:num>
  <w:num w:numId="23">
    <w:abstractNumId w:val="19"/>
  </w:num>
  <w:num w:numId="24">
    <w:abstractNumId w:val="15"/>
  </w:num>
  <w:num w:numId="25">
    <w:abstractNumId w:val="8"/>
  </w:num>
  <w:num w:numId="26">
    <w:abstractNumId w:val="18"/>
  </w:num>
  <w:num w:numId="27">
    <w:abstractNumId w:val="7"/>
  </w:num>
  <w:num w:numId="28">
    <w:abstractNumId w:val="9"/>
  </w:num>
  <w:num w:numId="29">
    <w:abstractNumId w:val="10"/>
  </w:num>
  <w:num w:numId="30">
    <w:abstractNumId w:val="5"/>
  </w:num>
  <w:num w:numId="31">
    <w:abstractNumId w:val="17"/>
  </w:num>
  <w:num w:numId="32">
    <w:abstractNumId w:val="4"/>
  </w:num>
  <w:num w:numId="33">
    <w:abstractNumId w:val="11"/>
  </w:num>
  <w:num w:numId="34">
    <w:abstractNumId w:val="13"/>
  </w:num>
  <w:num w:numId="35">
    <w:abstractNumId w:val="14"/>
  </w:num>
  <w:num w:numId="36">
    <w:abstractNumId w:val="6"/>
  </w:num>
  <w:num w:numId="37">
    <w:abstractNumId w:val="12"/>
  </w:num>
  <w:num w:numId="38">
    <w:abstractNumId w:val="1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4-13 15:53:0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KN_IMPORT" w:val="20250820"/>
    <w:docVar w:name="LW_ANNEX_NBR_FIRST" w:val="1"/>
    <w:docVar w:name="LW_ANNEX_NBR_LAST" w:val="1"/>
    <w:docVar w:name="LW_ANNEX_UNIQUE" w:val="1"/>
    <w:docVar w:name="LW_CORRIGENDUM" w:val="&lt;UNUSED&gt;"/>
    <w:docVar w:name="LW_COVERPAGE_EXISTS" w:val="True"/>
    <w:docVar w:name="LW_COVERPAGE_GUID" w:val="5F1298A8-0B68-4EE6-A2AD-96E27A0FE739"/>
    <w:docVar w:name="LW_COVERPAGE_TYPE" w:val="1"/>
    <w:docVar w:name="LW_CROSSREFERENCE" w:val="&lt;UNUSED&gt;"/>
    <w:docVar w:name="LW_DocType" w:val="ANNEX"/>
    <w:docVar w:name="LW_EMISSION" w:val="14.4.2026"/>
    <w:docVar w:name="LW_EMISSION_ISODATE" w:val="2026-04-14"/>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lt;FMT:Bold&gt;privind pozi\u539?ia care urmeaz\u259? s\u259? fie adoptat\u259? în numele Uniunii Europene în cadrul Comitetelor tehnice pentru determinarea valorii în vam\u259? \u537?i pentru regulile de origine, constituite sub auspiciile Organiza\u539?iei Mondiale a V\u259?milor, în ceea ce prive\u537?te adoptarea avizelor consultative, a comentariilor, a notelor explicative, a studiilor de caz, a studiilor \u537?i a actelor similare privind determinarea valorii în vam\u259? a m\u259?rfurilor importate în temeiul Acordului privind punerea în aplicare a articolului VII din Acordul General pentru Tarife \u537?i Comer\u539? din 1994, precum \u537?i în ceea ce prive\u537?te adoptarea avizelor consultative, a informa\u539?iilor \u537?i a recomand\u259?rilor \u537?i a actelor similare privind determinarea originii m\u259?rfurilor în temeiul Acordului privind regulile de origine&lt;/FMT&gt;"/>
    <w:docVar w:name="LW_OBJETACTEPRINCIPAL.CP" w:val="&lt;FMT:Bold&gt;privind pozi\u539?ia care urmeaz\u259? s\u259? fie adoptat\u259? în numele Uniunii Europene în cadrul Comitetelor tehnice pentru determinarea valorii în vam\u259? \u537?i pentru regulile de origine, constituite sub auspiciile Organiza\u539?iei Mondiale a V\u259?milor, în ceea ce prive\u537?te adoptarea avizelor consultative, a comentariilor, a notelor explicative, a studiilor de caz, a studiilor \u537?i a actelor similare privind determinarea valorii în vam\u259? a m\u259?rfurilor importate în temeiul Acordului privind punerea în aplicare a articolului VII din Acordul General pentru Tarife \u537?i Comer\u539? din 1994, precum \u537?i în ceea ce prive\u537?te adoptarea avizelor consultative, a informa\u539?iilor \u537?i a recomand\u259?rilor \u537?i a actelor similare privind determinarea originii m\u259?rfurilor în temeiul Acordului privind regulile de origine&lt;/FMT&gt;"/>
    <w:docVar w:name="LW_PART_NBR" w:val="1"/>
    <w:docVar w:name="LW_PART_NBR_TOTAL" w:val="1"/>
    <w:docVar w:name="LW_REF.INST.NEW" w:val="COM"/>
    <w:docVar w:name="LW_REF.INST.NEW_ADOPTED" w:val="final"/>
    <w:docVar w:name="LW_REF.INST.NEW_TEXT" w:val="(2026) 15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 Decizie a Consiliului"/>
    <w:docVar w:name="LW_TYPEACTEPRINCIPAL.CP" w:val="Propunerea de Decizie a Consiliului"/>
    <w:docVar w:name="LwApiVersions" w:val="LW4CoDe 1.24.5.0; LW 9.2, Build 20251112"/>
  </w:docVars>
  <w:rsids>
    <w:rsidRoot w:val="00905D22"/>
    <w:rsid w:val="000405E1"/>
    <w:rsid w:val="00063C6B"/>
    <w:rsid w:val="0006407F"/>
    <w:rsid w:val="00073B6A"/>
    <w:rsid w:val="00086BA5"/>
    <w:rsid w:val="000B11B7"/>
    <w:rsid w:val="000C4A78"/>
    <w:rsid w:val="000E3EA0"/>
    <w:rsid w:val="000F2CD1"/>
    <w:rsid w:val="001064B8"/>
    <w:rsid w:val="00130B31"/>
    <w:rsid w:val="00152639"/>
    <w:rsid w:val="00157715"/>
    <w:rsid w:val="00165C4F"/>
    <w:rsid w:val="0019630A"/>
    <w:rsid w:val="001B10A9"/>
    <w:rsid w:val="001D2AC6"/>
    <w:rsid w:val="001F32EE"/>
    <w:rsid w:val="001F343E"/>
    <w:rsid w:val="00222BCF"/>
    <w:rsid w:val="00235C47"/>
    <w:rsid w:val="00241605"/>
    <w:rsid w:val="00253D0C"/>
    <w:rsid w:val="00265986"/>
    <w:rsid w:val="002712C6"/>
    <w:rsid w:val="002729F2"/>
    <w:rsid w:val="00281787"/>
    <w:rsid w:val="002A7D6D"/>
    <w:rsid w:val="002C61DC"/>
    <w:rsid w:val="002C79B4"/>
    <w:rsid w:val="002F1643"/>
    <w:rsid w:val="0034335D"/>
    <w:rsid w:val="0034539D"/>
    <w:rsid w:val="00352857"/>
    <w:rsid w:val="00364367"/>
    <w:rsid w:val="00390C70"/>
    <w:rsid w:val="0039694E"/>
    <w:rsid w:val="003B5698"/>
    <w:rsid w:val="003D6602"/>
    <w:rsid w:val="003D7151"/>
    <w:rsid w:val="00406528"/>
    <w:rsid w:val="004116BD"/>
    <w:rsid w:val="00413FAE"/>
    <w:rsid w:val="00445A58"/>
    <w:rsid w:val="00475872"/>
    <w:rsid w:val="00492EB7"/>
    <w:rsid w:val="004940BE"/>
    <w:rsid w:val="00494B80"/>
    <w:rsid w:val="004A225F"/>
    <w:rsid w:val="004A5895"/>
    <w:rsid w:val="004B1B3C"/>
    <w:rsid w:val="004B5E71"/>
    <w:rsid w:val="004D30F6"/>
    <w:rsid w:val="004D5B5F"/>
    <w:rsid w:val="00510784"/>
    <w:rsid w:val="005269AA"/>
    <w:rsid w:val="00550248"/>
    <w:rsid w:val="005B0B0D"/>
    <w:rsid w:val="005C2A28"/>
    <w:rsid w:val="005E37EE"/>
    <w:rsid w:val="005E3C89"/>
    <w:rsid w:val="00601626"/>
    <w:rsid w:val="006109B5"/>
    <w:rsid w:val="00615805"/>
    <w:rsid w:val="00626E37"/>
    <w:rsid w:val="00634108"/>
    <w:rsid w:val="00634B7F"/>
    <w:rsid w:val="0064046E"/>
    <w:rsid w:val="00673A86"/>
    <w:rsid w:val="006964D0"/>
    <w:rsid w:val="006A4993"/>
    <w:rsid w:val="006A6BCB"/>
    <w:rsid w:val="006A76D1"/>
    <w:rsid w:val="006E4BDB"/>
    <w:rsid w:val="007076CF"/>
    <w:rsid w:val="007632FF"/>
    <w:rsid w:val="00775EFB"/>
    <w:rsid w:val="00794ECB"/>
    <w:rsid w:val="007A4362"/>
    <w:rsid w:val="007E21C5"/>
    <w:rsid w:val="00837998"/>
    <w:rsid w:val="0084321C"/>
    <w:rsid w:val="00852FAE"/>
    <w:rsid w:val="008658DD"/>
    <w:rsid w:val="00866EA2"/>
    <w:rsid w:val="008A5B23"/>
    <w:rsid w:val="008A6B54"/>
    <w:rsid w:val="008A6D99"/>
    <w:rsid w:val="008D6398"/>
    <w:rsid w:val="008F484F"/>
    <w:rsid w:val="00902CC5"/>
    <w:rsid w:val="00903D8F"/>
    <w:rsid w:val="00905D22"/>
    <w:rsid w:val="00921921"/>
    <w:rsid w:val="00924141"/>
    <w:rsid w:val="0097256D"/>
    <w:rsid w:val="00991178"/>
    <w:rsid w:val="00994A6E"/>
    <w:rsid w:val="009B7AAB"/>
    <w:rsid w:val="009C373D"/>
    <w:rsid w:val="009C56C1"/>
    <w:rsid w:val="009E06DE"/>
    <w:rsid w:val="00A122B2"/>
    <w:rsid w:val="00A144A3"/>
    <w:rsid w:val="00A55F02"/>
    <w:rsid w:val="00A562E8"/>
    <w:rsid w:val="00A6243B"/>
    <w:rsid w:val="00A71F6D"/>
    <w:rsid w:val="00A745A9"/>
    <w:rsid w:val="00A821FA"/>
    <w:rsid w:val="00A84187"/>
    <w:rsid w:val="00AA6B7E"/>
    <w:rsid w:val="00AB7712"/>
    <w:rsid w:val="00AC5F5E"/>
    <w:rsid w:val="00AE2413"/>
    <w:rsid w:val="00AF526E"/>
    <w:rsid w:val="00B211E3"/>
    <w:rsid w:val="00B30E3B"/>
    <w:rsid w:val="00B57267"/>
    <w:rsid w:val="00B6329E"/>
    <w:rsid w:val="00B87922"/>
    <w:rsid w:val="00BA0E19"/>
    <w:rsid w:val="00BA4F3C"/>
    <w:rsid w:val="00BA5169"/>
    <w:rsid w:val="00BB30BC"/>
    <w:rsid w:val="00BB4D01"/>
    <w:rsid w:val="00BC6D5D"/>
    <w:rsid w:val="00BF650E"/>
    <w:rsid w:val="00C32C8D"/>
    <w:rsid w:val="00C37B2C"/>
    <w:rsid w:val="00C46781"/>
    <w:rsid w:val="00C53A3E"/>
    <w:rsid w:val="00C902D2"/>
    <w:rsid w:val="00C9282E"/>
    <w:rsid w:val="00C953CA"/>
    <w:rsid w:val="00CA43AC"/>
    <w:rsid w:val="00CD7638"/>
    <w:rsid w:val="00CE1CC4"/>
    <w:rsid w:val="00D16128"/>
    <w:rsid w:val="00D2683F"/>
    <w:rsid w:val="00D328C4"/>
    <w:rsid w:val="00D33986"/>
    <w:rsid w:val="00D410EE"/>
    <w:rsid w:val="00D50DFA"/>
    <w:rsid w:val="00D67FEC"/>
    <w:rsid w:val="00D74D22"/>
    <w:rsid w:val="00D949B2"/>
    <w:rsid w:val="00DD732C"/>
    <w:rsid w:val="00E0764E"/>
    <w:rsid w:val="00E3028D"/>
    <w:rsid w:val="00E411F8"/>
    <w:rsid w:val="00E4214D"/>
    <w:rsid w:val="00E64F57"/>
    <w:rsid w:val="00E8309A"/>
    <w:rsid w:val="00E93EFE"/>
    <w:rsid w:val="00ED347E"/>
    <w:rsid w:val="00EE27FA"/>
    <w:rsid w:val="00EE5945"/>
    <w:rsid w:val="00F01F9A"/>
    <w:rsid w:val="00F34750"/>
    <w:rsid w:val="00F5414D"/>
    <w:rsid w:val="00F55436"/>
    <w:rsid w:val="00F7024E"/>
    <w:rsid w:val="00F73B64"/>
    <w:rsid w:val="00F82260"/>
    <w:rsid w:val="00F845D7"/>
    <w:rsid w:val="00F91E6A"/>
    <w:rsid w:val="00FA33E0"/>
    <w:rsid w:val="00FE4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978EAC6"/>
  <w15:docId w15:val="{632E477E-616E-43A3-85E8-60BD23213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paragraph" w:styleId="ListBullet">
    <w:name w:val="List Bullet"/>
    <w:basedOn w:val="Normal"/>
    <w:uiPriority w:val="99"/>
    <w:semiHidden/>
    <w:unhideWhenUsed/>
    <w:rsid w:val="008A5B23"/>
    <w:pPr>
      <w:numPr>
        <w:numId w:val="1"/>
      </w:numPr>
      <w:contextualSpacing/>
    </w:pPr>
  </w:style>
  <w:style w:type="paragraph" w:styleId="ListBullet2">
    <w:name w:val="List Bullet 2"/>
    <w:basedOn w:val="Normal"/>
    <w:uiPriority w:val="99"/>
    <w:semiHidden/>
    <w:unhideWhenUsed/>
    <w:rsid w:val="008A5B23"/>
    <w:pPr>
      <w:numPr>
        <w:numId w:val="2"/>
      </w:numPr>
      <w:contextualSpacing/>
    </w:pPr>
  </w:style>
  <w:style w:type="paragraph" w:styleId="ListBullet3">
    <w:name w:val="List Bullet 3"/>
    <w:basedOn w:val="Normal"/>
    <w:uiPriority w:val="99"/>
    <w:semiHidden/>
    <w:unhideWhenUsed/>
    <w:rsid w:val="008A5B23"/>
    <w:pPr>
      <w:numPr>
        <w:numId w:val="3"/>
      </w:numPr>
      <w:contextualSpacing/>
    </w:pPr>
  </w:style>
  <w:style w:type="paragraph" w:styleId="ListBullet4">
    <w:name w:val="List Bullet 4"/>
    <w:basedOn w:val="Normal"/>
    <w:uiPriority w:val="99"/>
    <w:semiHidden/>
    <w:unhideWhenUsed/>
    <w:rsid w:val="008A5B23"/>
    <w:pPr>
      <w:numPr>
        <w:numId w:val="4"/>
      </w:numPr>
      <w:contextualSpacing/>
    </w:pPr>
  </w:style>
  <w:style w:type="paragraph" w:styleId="Revision">
    <w:name w:val="Revision"/>
    <w:hidden/>
    <w:uiPriority w:val="99"/>
    <w:semiHidden/>
    <w:rsid w:val="002C79B4"/>
    <w:pPr>
      <w:spacing w:after="0" w:line="240" w:lineRule="auto"/>
    </w:pPr>
    <w:rPr>
      <w:rFonts w:ascii="Times New Roman" w:hAnsi="Times New Roman" w:cs="Times New Roman"/>
      <w:sz w:val="24"/>
    </w:rPr>
  </w:style>
  <w:style w:type="character" w:styleId="Hyperlink">
    <w:name w:val="Hyperlink"/>
    <w:basedOn w:val="DefaultParagraphFont"/>
    <w:uiPriority w:val="99"/>
    <w:unhideWhenUsed/>
    <w:rsid w:val="00073B6A"/>
    <w:rPr>
      <w:color w:val="0000FF" w:themeColor="hyperlink"/>
      <w:u w:val="single"/>
    </w:rPr>
  </w:style>
  <w:style w:type="character" w:styleId="CommentReference">
    <w:name w:val="annotation reference"/>
    <w:basedOn w:val="DefaultParagraphFont"/>
    <w:uiPriority w:val="99"/>
    <w:semiHidden/>
    <w:unhideWhenUsed/>
    <w:rsid w:val="00073B6A"/>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ListParagraph">
    <w:name w:val="List Paragraph"/>
    <w:basedOn w:val="Normal"/>
    <w:uiPriority w:val="34"/>
    <w:qFormat/>
    <w:rsid w:val="00265986"/>
    <w:pPr>
      <w:ind w:left="720"/>
      <w:contextualSpacing/>
    </w:pPr>
  </w:style>
  <w:style w:type="paragraph" w:styleId="CommentSubject">
    <w:name w:val="annotation subject"/>
    <w:basedOn w:val="CommentText"/>
    <w:next w:val="CommentText"/>
    <w:link w:val="CommentSubjectChar"/>
    <w:uiPriority w:val="99"/>
    <w:semiHidden/>
    <w:unhideWhenUsed/>
    <w:rsid w:val="00903D8F"/>
    <w:rPr>
      <w:b/>
      <w:bCs/>
    </w:rPr>
  </w:style>
  <w:style w:type="character" w:customStyle="1" w:styleId="CommentSubjectChar">
    <w:name w:val="Comment Subject Char"/>
    <w:basedOn w:val="CommentTextChar"/>
    <w:link w:val="CommentSubject"/>
    <w:uiPriority w:val="99"/>
    <w:semiHidden/>
    <w:rsid w:val="00903D8F"/>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903D8F"/>
    <w:rPr>
      <w:color w:val="605E5C"/>
      <w:shd w:val="clear" w:color="auto" w:fill="E1DFDD"/>
    </w:rPr>
  </w:style>
  <w:style w:type="numbering" w:customStyle="1" w:styleId="Style1">
    <w:name w:val="Style1"/>
    <w:uiPriority w:val="99"/>
    <w:rsid w:val="00241605"/>
    <w:pPr>
      <w:numPr>
        <w:numId w:val="5"/>
      </w:numPr>
    </w:pPr>
  </w:style>
  <w:style w:type="character" w:customStyle="1" w:styleId="HeaderChar">
    <w:name w:val="Header Char"/>
    <w:basedOn w:val="DefaultParagraphFont"/>
    <w:link w:val="Header"/>
    <w:uiPriority w:val="99"/>
    <w:rsid w:val="006964D0"/>
    <w:rPr>
      <w:rFonts w:ascii="Times New Roman" w:hAnsi="Times New Roman" w:cs="Times New Roman"/>
      <w:sz w:val="24"/>
      <w:lang w:val="ro-RO"/>
    </w:rPr>
  </w:style>
  <w:style w:type="character" w:customStyle="1" w:styleId="FooterChar">
    <w:name w:val="Footer Char"/>
    <w:basedOn w:val="DefaultParagraphFont"/>
    <w:link w:val="Footer"/>
    <w:uiPriority w:val="99"/>
    <w:rsid w:val="006964D0"/>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964D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964D0"/>
    <w:pPr>
      <w:spacing w:before="0"/>
      <w:jc w:val="right"/>
    </w:pPr>
    <w:rPr>
      <w:sz w:val="28"/>
    </w:rPr>
  </w:style>
  <w:style w:type="paragraph" w:customStyle="1" w:styleId="FooterSensitivity">
    <w:name w:val="Footer Sensitivity"/>
    <w:basedOn w:val="Normal"/>
    <w:rsid w:val="006964D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6964D0"/>
    <w:pPr>
      <w:tabs>
        <w:tab w:val="center" w:pos="4535"/>
        <w:tab w:val="right" w:pos="9071"/>
      </w:tabs>
      <w:spacing w:before="0"/>
    </w:pPr>
  </w:style>
  <w:style w:type="paragraph" w:customStyle="1" w:styleId="HeaderLandscape">
    <w:name w:val="HeaderLandscape"/>
    <w:basedOn w:val="Normal"/>
    <w:rsid w:val="006964D0"/>
    <w:pPr>
      <w:tabs>
        <w:tab w:val="center" w:pos="7285"/>
        <w:tab w:val="right" w:pos="14003"/>
      </w:tabs>
      <w:spacing w:before="0"/>
    </w:pPr>
  </w:style>
  <w:style w:type="paragraph" w:styleId="Footer">
    <w:name w:val="footer"/>
    <w:basedOn w:val="Normal"/>
    <w:link w:val="FooterChar"/>
    <w:uiPriority w:val="99"/>
    <w:unhideWhenUsed/>
    <w:rsid w:val="006964D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964D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15</TotalTime>
  <Pages>4</Pages>
  <Words>1081</Words>
  <Characters>6166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32</cp:revision>
  <cp:lastPrinted>2026-03-02T16:36:00Z</cp:lastPrinted>
  <dcterms:created xsi:type="dcterms:W3CDTF">2026-03-20T12:29:00Z</dcterms:created>
  <dcterms:modified xsi:type="dcterms:W3CDTF">2026-04-13T13:53:00Z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COM/ANNEX</vt:lpwstr>
  </property>
  <property fmtid="{D5CDD505-2E9C-101B-9397-08002B2CF9AE}" pid="4" name="Level of sensitivity">
    <vt:lpwstr>Standard treatment</vt:lpwstr>
  </property>
  <property fmtid="{D5CDD505-2E9C-101B-9397-08002B2CF9AE}" pid="5" name="LWTemplateID">
    <vt:lpwstr>SG-017</vt:lpwstr>
  </property>
  <property fmtid="{D5CDD505-2E9C-101B-9397-08002B2CF9AE}" pid="6" name="Part">
    <vt:lpwstr>1</vt:lpwstr>
  </property>
  <property fmtid="{D5CDD505-2E9C-101B-9397-08002B2CF9AE}" pid="7" name="Total parts">
    <vt:lpwstr>1</vt:lpwstr>
  </property>
  <property fmtid="{D5CDD505-2E9C-101B-9397-08002B2CF9AE}" pid="8" name="MSIP_Label_6bd9ddd1-4d20-43f6-abfa-fc3c07406f94_Enabled">
    <vt:lpwstr>true</vt:lpwstr>
  </property>
  <property fmtid="{D5CDD505-2E9C-101B-9397-08002B2CF9AE}" pid="9" name="MSIP_Label_6bd9ddd1-4d20-43f6-abfa-fc3c07406f94_SetDate">
    <vt:lpwstr>2026-02-09T16:27:17Z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f8850313-5a7a-4687-886f-cc9e7e114fbc</vt:lpwstr>
  </property>
  <property fmtid="{D5CDD505-2E9C-101B-9397-08002B2CF9AE}" pid="14" name="MSIP_Label_6bd9ddd1-4d20-43f6-abfa-fc3c07406f94_ContentBits">
    <vt:lpwstr>0</vt:lpwstr>
  </property>
  <property fmtid="{D5CDD505-2E9C-101B-9397-08002B2CF9AE}" pid="15" name="MSIP_Label_6bd9ddd1-4d20-43f6-abfa-fc3c07406f94_Tag">
    <vt:lpwstr>10, 3, 0, 1</vt:lpwstr>
  </property>
  <property fmtid="{D5CDD505-2E9C-101B-9397-08002B2CF9AE}" pid="16" name="Last edited using">
    <vt:lpwstr>LW 9.2, Build 20250828</vt:lpwstr>
  </property>
  <property fmtid="{D5CDD505-2E9C-101B-9397-08002B2CF9AE}" pid="17" name="First annex">
    <vt:lpwstr>1</vt:lpwstr>
  </property>
  <property fmtid="{D5CDD505-2E9C-101B-9397-08002B2CF9AE}" pid="18" name="Last annex">
    <vt:lpwstr>1</vt:lpwstr>
  </property>
  <property fmtid="{D5CDD505-2E9C-101B-9397-08002B2CF9AE}" pid="19" name="Unique annex">
    <vt:lpwstr>1</vt:lpwstr>
  </property>
  <property fmtid="{D5CDD505-2E9C-101B-9397-08002B2CF9AE}" pid="20" name="DQCStatus">
    <vt:lpwstr>Green (DQC version 03)</vt:lpwstr>
  </property>
</Properties>
</file>