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2C07B0" w:rsidRDefault="002D7454" w:rsidP="002D745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6F7360-88E2-40D6-8CAB-22029331A033" style="width:455.25pt;height:342.75pt">
            <v:imagedata r:id="rId8" o:title=""/>
          </v:shape>
        </w:pict>
      </w:r>
    </w:p>
    <w:p w:rsidR="001A62D7" w:rsidRPr="002C07B0" w:rsidRDefault="001A62D7" w:rsidP="001A62D7">
      <w:pPr>
        <w:rPr>
          <w:noProof/>
        </w:rPr>
        <w:sectPr w:rsidR="001A62D7" w:rsidRPr="002C07B0" w:rsidSect="002D7454">
          <w:footerReference w:type="even" r:id="rId9"/>
          <w:footerReference w:type="default" r:id="rId10"/>
          <w:pgSz w:w="11907" w:h="16839"/>
          <w:pgMar w:top="1134" w:right="1417" w:bottom="1134" w:left="1417" w:header="709" w:footer="709" w:gutter="0"/>
          <w:pgNumType w:start="0"/>
          <w:cols w:space="720"/>
          <w:docGrid w:linePitch="360"/>
        </w:sectPr>
      </w:pPr>
    </w:p>
    <w:p w:rsidR="001A62D7" w:rsidRPr="002C07B0" w:rsidRDefault="001A62D7" w:rsidP="001A62D7">
      <w:pPr>
        <w:pStyle w:val="Exposdesmotifstitre"/>
        <w:rPr>
          <w:noProof/>
        </w:rPr>
      </w:pPr>
      <w:bookmarkStart w:id="0" w:name="_GoBack"/>
      <w:bookmarkEnd w:id="0"/>
      <w:r w:rsidRPr="002C07B0">
        <w:rPr>
          <w:noProof/>
        </w:rPr>
        <w:lastRenderedPageBreak/>
        <w:t>EXPLANATORY MEMORANDUM</w:t>
      </w:r>
    </w:p>
    <w:p w:rsidR="001A62D7" w:rsidRPr="002C07B0" w:rsidRDefault="001A62D7" w:rsidP="001A62D7">
      <w:pPr>
        <w:pStyle w:val="ManualHeading1"/>
        <w:rPr>
          <w:noProof/>
        </w:rPr>
      </w:pPr>
      <w:r w:rsidRPr="002C07B0">
        <w:rPr>
          <w:noProof/>
        </w:rPr>
        <w:t>CONTEXT OF THE PROPOSAL</w:t>
      </w:r>
    </w:p>
    <w:p w:rsidR="001A62D7" w:rsidRPr="002C07B0" w:rsidRDefault="001A62D7" w:rsidP="00AE7D04">
      <w:pPr>
        <w:pStyle w:val="ManualNumPar1"/>
        <w:rPr>
          <w:noProof/>
        </w:rPr>
      </w:pPr>
      <w:r>
        <w:rPr>
          <w:noProof/>
        </w:rPr>
        <w:t>1.</w:t>
      </w:r>
      <w:r>
        <w:rPr>
          <w:noProof/>
        </w:rPr>
        <w:tab/>
      </w:r>
      <w:r w:rsidRPr="002C07B0">
        <w:rPr>
          <w:noProof/>
        </w:rPr>
        <w:t>The rules applicable to financial contributions from the European Globalisation Adjustment Fund for Displaced Workers (EGF) are laid down in Regulation (EU) 2021/691 of the European Parliament and of the Council of 28 April 2021 on the European Globalisation Adjustment Fund for Displaced Workers (EGF) and repealing Regulation (EU) No 1309/2013</w:t>
      </w:r>
      <w:r w:rsidRPr="002C07B0">
        <w:rPr>
          <w:rStyle w:val="FootnoteReference"/>
          <w:noProof/>
        </w:rPr>
        <w:footnoteReference w:id="1"/>
      </w:r>
      <w:r w:rsidRPr="002C07B0">
        <w:rPr>
          <w:noProof/>
        </w:rPr>
        <w:t>.</w:t>
      </w:r>
    </w:p>
    <w:p w:rsidR="001A62D7" w:rsidRPr="002C07B0" w:rsidRDefault="001A62D7" w:rsidP="00AE7D04">
      <w:pPr>
        <w:pStyle w:val="ManualNumPar1"/>
        <w:rPr>
          <w:noProof/>
        </w:rPr>
      </w:pPr>
      <w:r>
        <w:rPr>
          <w:noProof/>
        </w:rPr>
        <w:t>2.</w:t>
      </w:r>
      <w:r>
        <w:rPr>
          <w:noProof/>
        </w:rPr>
        <w:tab/>
      </w:r>
      <w:r w:rsidRPr="002C07B0">
        <w:rPr>
          <w:noProof/>
        </w:rPr>
        <w:t xml:space="preserve">On </w:t>
      </w:r>
      <w:r w:rsidR="00D501D3" w:rsidRPr="002C07B0">
        <w:rPr>
          <w:noProof/>
        </w:rPr>
        <w:t>25 March 2026</w:t>
      </w:r>
      <w:r w:rsidRPr="002C07B0">
        <w:rPr>
          <w:noProof/>
        </w:rPr>
        <w:t xml:space="preserve">, </w:t>
      </w:r>
      <w:r w:rsidR="00D501D3" w:rsidRPr="002C07B0">
        <w:rPr>
          <w:noProof/>
        </w:rPr>
        <w:t>Belgium</w:t>
      </w:r>
      <w:r w:rsidRPr="002C07B0">
        <w:rPr>
          <w:noProof/>
        </w:rPr>
        <w:t xml:space="preserve"> submitted an application EGF/</w:t>
      </w:r>
      <w:bookmarkStart w:id="1" w:name="EGF_Ref_Year"/>
      <w:r w:rsidR="00D501D3" w:rsidRPr="002C07B0">
        <w:rPr>
          <w:noProof/>
        </w:rPr>
        <w:t>2026</w:t>
      </w:r>
      <w:bookmarkEnd w:id="1"/>
      <w:r w:rsidRPr="002C07B0">
        <w:rPr>
          <w:noProof/>
        </w:rPr>
        <w:t>/</w:t>
      </w:r>
      <w:bookmarkStart w:id="2" w:name="EGF_Ref_CaseNumber"/>
      <w:r w:rsidR="00D501D3" w:rsidRPr="002C07B0">
        <w:rPr>
          <w:noProof/>
        </w:rPr>
        <w:t>001</w:t>
      </w:r>
      <w:bookmarkEnd w:id="2"/>
      <w:r w:rsidRPr="002C07B0">
        <w:rPr>
          <w:noProof/>
        </w:rPr>
        <w:t> </w:t>
      </w:r>
      <w:bookmarkStart w:id="3" w:name="MS_Code"/>
      <w:r w:rsidR="007D767B" w:rsidRPr="002C07B0">
        <w:rPr>
          <w:noProof/>
        </w:rPr>
        <w:t>BE</w:t>
      </w:r>
      <w:bookmarkEnd w:id="3"/>
      <w:r w:rsidRPr="002C07B0">
        <w:rPr>
          <w:noProof/>
        </w:rPr>
        <w:t>/</w:t>
      </w:r>
      <w:bookmarkStart w:id="4" w:name="EGF_Ref_CaseName"/>
      <w:r w:rsidR="00D501D3" w:rsidRPr="002C07B0">
        <w:rPr>
          <w:noProof/>
        </w:rPr>
        <w:t>Cora</w:t>
      </w:r>
      <w:bookmarkEnd w:id="4"/>
      <w:r w:rsidRPr="002C07B0">
        <w:rPr>
          <w:noProof/>
        </w:rPr>
        <w:t xml:space="preserve"> for a financial contribution from the EGF, following displacements in </w:t>
      </w:r>
      <w:bookmarkStart w:id="5" w:name="PrimEnterprise_Name"/>
      <w:r w:rsidR="00D501D3" w:rsidRPr="002C07B0">
        <w:rPr>
          <w:noProof/>
        </w:rPr>
        <w:t>Cora SA</w:t>
      </w:r>
      <w:bookmarkEnd w:id="5"/>
      <w:r w:rsidRPr="002C07B0">
        <w:rPr>
          <w:noProof/>
        </w:rPr>
        <w:t xml:space="preserve"> and</w:t>
      </w:r>
      <w:r w:rsidR="00F41756" w:rsidRPr="002C07B0">
        <w:rPr>
          <w:noProof/>
        </w:rPr>
        <w:t xml:space="preserve"> one</w:t>
      </w:r>
      <w:r w:rsidRPr="002C07B0">
        <w:rPr>
          <w:noProof/>
        </w:rPr>
        <w:t xml:space="preserve"> supplier and dowstream producer in </w:t>
      </w:r>
      <w:bookmarkStart w:id="6" w:name="MS_Name"/>
      <w:r w:rsidR="00D501D3" w:rsidRPr="002C07B0">
        <w:rPr>
          <w:noProof/>
        </w:rPr>
        <w:t>Belgium</w:t>
      </w:r>
      <w:bookmarkEnd w:id="6"/>
      <w:r w:rsidRPr="002C07B0">
        <w:rPr>
          <w:noProof/>
        </w:rPr>
        <w:t>.</w:t>
      </w:r>
    </w:p>
    <w:p w:rsidR="001A62D7" w:rsidRPr="002C07B0" w:rsidRDefault="001A62D7" w:rsidP="00AE7D04">
      <w:pPr>
        <w:pStyle w:val="ManualNumPar1"/>
        <w:rPr>
          <w:noProof/>
        </w:rPr>
      </w:pPr>
      <w:r>
        <w:rPr>
          <w:noProof/>
        </w:rPr>
        <w:t>3.</w:t>
      </w:r>
      <w:r>
        <w:rPr>
          <w:noProof/>
        </w:rPr>
        <w:tab/>
      </w:r>
      <w:r w:rsidRPr="002C07B0">
        <w:rPr>
          <w:noProof/>
        </w:rPr>
        <w:t xml:space="preserve">Following its assessment of this application, the Commission has concluded, in accordance with all applicable provisions of Regulation (EU) 2021/691, that the conditions for awarding a financial contribution from the EGF are met. </w:t>
      </w:r>
    </w:p>
    <w:p w:rsidR="001A62D7" w:rsidRPr="002C07B0" w:rsidRDefault="001A62D7" w:rsidP="001A62D7">
      <w:pPr>
        <w:pStyle w:val="ManualHeading1"/>
        <w:rPr>
          <w:noProof/>
        </w:rPr>
      </w:pPr>
      <w:r w:rsidRPr="002C07B0">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2C07B0" w:rsidTr="001D5990">
        <w:tc>
          <w:tcPr>
            <w:tcW w:w="4908" w:type="dxa"/>
            <w:shd w:val="clear" w:color="auto" w:fill="auto"/>
          </w:tcPr>
          <w:p w:rsidR="001A62D7" w:rsidRPr="002C07B0" w:rsidRDefault="001A62D7" w:rsidP="001D5990">
            <w:pPr>
              <w:spacing w:before="60" w:after="60"/>
              <w:jc w:val="left"/>
              <w:rPr>
                <w:rFonts w:eastAsia="Calibri"/>
                <w:noProof/>
              </w:rPr>
            </w:pPr>
            <w:r w:rsidRPr="002C07B0">
              <w:rPr>
                <w:noProof/>
              </w:rPr>
              <w:t>EGF application</w:t>
            </w:r>
          </w:p>
        </w:tc>
        <w:tc>
          <w:tcPr>
            <w:tcW w:w="4379" w:type="dxa"/>
            <w:shd w:val="clear" w:color="auto" w:fill="auto"/>
          </w:tcPr>
          <w:p w:rsidR="001A62D7" w:rsidRPr="002C07B0" w:rsidRDefault="001A62D7" w:rsidP="001D5990">
            <w:pPr>
              <w:spacing w:before="60" w:after="60"/>
              <w:ind w:rightChars="192" w:right="461"/>
              <w:jc w:val="left"/>
              <w:rPr>
                <w:rFonts w:eastAsia="Calibri"/>
                <w:noProof/>
              </w:rPr>
            </w:pPr>
            <w:r w:rsidRPr="002C07B0">
              <w:rPr>
                <w:noProof/>
              </w:rPr>
              <w:t>EGF/</w:t>
            </w:r>
            <w:r w:rsidR="00D501D3" w:rsidRPr="002C07B0">
              <w:rPr>
                <w:noProof/>
              </w:rPr>
              <w:t>2026</w:t>
            </w:r>
            <w:r w:rsidRPr="002C07B0">
              <w:rPr>
                <w:noProof/>
              </w:rPr>
              <w:t>/</w:t>
            </w:r>
            <w:r w:rsidR="00D501D3" w:rsidRPr="002C07B0">
              <w:rPr>
                <w:noProof/>
              </w:rPr>
              <w:t>001</w:t>
            </w:r>
            <w:r w:rsidRPr="002C07B0">
              <w:rPr>
                <w:noProof/>
              </w:rPr>
              <w:t xml:space="preserve"> </w:t>
            </w:r>
            <w:r w:rsidR="007D767B" w:rsidRPr="002C07B0">
              <w:rPr>
                <w:noProof/>
              </w:rPr>
              <w:t>BE</w:t>
            </w:r>
            <w:r w:rsidRPr="002C07B0">
              <w:rPr>
                <w:noProof/>
              </w:rPr>
              <w:t>/</w:t>
            </w:r>
            <w:r w:rsidR="00D501D3" w:rsidRPr="002C07B0">
              <w:rPr>
                <w:noProof/>
              </w:rPr>
              <w:t>Cora</w:t>
            </w:r>
          </w:p>
        </w:tc>
      </w:tr>
      <w:tr w:rsidR="001A62D7" w:rsidRPr="002C07B0" w:rsidTr="001D5990">
        <w:tc>
          <w:tcPr>
            <w:tcW w:w="4908" w:type="dxa"/>
            <w:shd w:val="clear" w:color="auto" w:fill="auto"/>
          </w:tcPr>
          <w:p w:rsidR="001A62D7" w:rsidRPr="002C07B0" w:rsidRDefault="001A62D7" w:rsidP="001D5990">
            <w:pPr>
              <w:spacing w:before="60" w:after="60"/>
              <w:jc w:val="left"/>
              <w:rPr>
                <w:rFonts w:eastAsia="Calibri"/>
                <w:noProof/>
              </w:rPr>
            </w:pPr>
            <w:r w:rsidRPr="002C07B0">
              <w:rPr>
                <w:rFonts w:eastAsia="Calibri"/>
                <w:noProof/>
              </w:rPr>
              <w:t>Member State</w:t>
            </w:r>
          </w:p>
        </w:tc>
        <w:tc>
          <w:tcPr>
            <w:tcW w:w="4379" w:type="dxa"/>
            <w:shd w:val="clear" w:color="auto" w:fill="auto"/>
          </w:tcPr>
          <w:p w:rsidR="001A62D7" w:rsidRPr="002C07B0" w:rsidRDefault="00D501D3" w:rsidP="001D5990">
            <w:pPr>
              <w:spacing w:before="60" w:after="60"/>
              <w:ind w:rightChars="192" w:right="461"/>
              <w:jc w:val="left"/>
              <w:rPr>
                <w:rFonts w:eastAsia="Calibri"/>
                <w:noProof/>
              </w:rPr>
            </w:pPr>
            <w:r w:rsidRPr="002C07B0">
              <w:rPr>
                <w:noProof/>
              </w:rPr>
              <w:t>Belgium</w:t>
            </w:r>
          </w:p>
        </w:tc>
      </w:tr>
      <w:tr w:rsidR="001A62D7" w:rsidRPr="002C07B0" w:rsidTr="001D5990">
        <w:tc>
          <w:tcPr>
            <w:tcW w:w="4908" w:type="dxa"/>
            <w:tcBorders>
              <w:bottom w:val="single"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Region(s) concerned (NUTS</w:t>
            </w:r>
            <w:r w:rsidRPr="002C07B0">
              <w:rPr>
                <w:rStyle w:val="FootnoteReference"/>
                <w:noProof/>
              </w:rPr>
              <w:footnoteReference w:id="2"/>
            </w:r>
            <w:r w:rsidRPr="002C07B0">
              <w:rPr>
                <w:rFonts w:eastAsia="Calibri"/>
                <w:noProof/>
              </w:rPr>
              <w:t xml:space="preserve"> level 2)</w:t>
            </w:r>
          </w:p>
        </w:tc>
        <w:tc>
          <w:tcPr>
            <w:tcW w:w="4379" w:type="dxa"/>
            <w:tcBorders>
              <w:bottom w:val="single" w:sz="4" w:space="0" w:color="auto"/>
            </w:tcBorders>
            <w:shd w:val="clear" w:color="auto" w:fill="auto"/>
          </w:tcPr>
          <w:p w:rsidR="005034F4" w:rsidRPr="001C7A4E" w:rsidRDefault="005034F4" w:rsidP="005034F4">
            <w:pPr>
              <w:spacing w:before="0" w:after="0"/>
              <w:ind w:rightChars="192" w:right="461"/>
              <w:jc w:val="left"/>
              <w:rPr>
                <w:noProof/>
                <w:szCs w:val="24"/>
                <w:lang w:val="fr-FR"/>
              </w:rPr>
            </w:pPr>
            <w:bookmarkStart w:id="7" w:name="Region_1_Name"/>
            <w:r w:rsidRPr="001C7A4E">
              <w:rPr>
                <w:noProof/>
                <w:szCs w:val="24"/>
                <w:lang w:val="fr-FR"/>
              </w:rPr>
              <w:t>Région de Bruxelles-Capitale/</w:t>
            </w:r>
          </w:p>
          <w:p w:rsidR="001A62D7" w:rsidRPr="001C7A4E" w:rsidRDefault="005034F4" w:rsidP="005034F4">
            <w:pPr>
              <w:spacing w:before="0" w:after="0"/>
              <w:ind w:rightChars="192" w:right="461"/>
              <w:jc w:val="left"/>
              <w:rPr>
                <w:noProof/>
                <w:szCs w:val="24"/>
                <w:lang w:val="fr-FR"/>
              </w:rPr>
            </w:pPr>
            <w:r w:rsidRPr="001C7A4E">
              <w:rPr>
                <w:noProof/>
                <w:szCs w:val="24"/>
                <w:lang w:val="fr-FR"/>
              </w:rPr>
              <w:t>Brussels Hoofdstedelijk Gewest</w:t>
            </w:r>
            <w:bookmarkEnd w:id="7"/>
            <w:r w:rsidR="001A62D7" w:rsidRPr="001C7A4E">
              <w:rPr>
                <w:noProof/>
                <w:szCs w:val="24"/>
                <w:lang w:val="fr-FR"/>
              </w:rPr>
              <w:t xml:space="preserve"> (</w:t>
            </w:r>
            <w:r w:rsidRPr="001C7A4E">
              <w:rPr>
                <w:noProof/>
                <w:szCs w:val="24"/>
                <w:lang w:val="fr-FR"/>
              </w:rPr>
              <w:t>BE10</w:t>
            </w:r>
            <w:r w:rsidR="001A62D7" w:rsidRPr="001C7A4E">
              <w:rPr>
                <w:noProof/>
                <w:szCs w:val="24"/>
                <w:lang w:val="fr-FR"/>
              </w:rPr>
              <w:t>)</w:t>
            </w:r>
            <w:r w:rsidRPr="001C7A4E">
              <w:rPr>
                <w:noProof/>
                <w:szCs w:val="24"/>
                <w:lang w:val="fr-FR"/>
              </w:rPr>
              <w:t>,</w:t>
            </w:r>
          </w:p>
          <w:p w:rsidR="005034F4" w:rsidRPr="002C07B0" w:rsidRDefault="005034F4" w:rsidP="005034F4">
            <w:pPr>
              <w:spacing w:before="0" w:after="0"/>
              <w:ind w:rightChars="192" w:right="461"/>
              <w:jc w:val="left"/>
              <w:rPr>
                <w:noProof/>
                <w:szCs w:val="24"/>
              </w:rPr>
            </w:pPr>
            <w:r w:rsidRPr="002C07B0">
              <w:rPr>
                <w:noProof/>
                <w:szCs w:val="24"/>
              </w:rPr>
              <w:t>Province Hainaut</w:t>
            </w:r>
            <w:r w:rsidR="001A62D7" w:rsidRPr="002C07B0">
              <w:rPr>
                <w:noProof/>
                <w:szCs w:val="24"/>
              </w:rPr>
              <w:t xml:space="preserve"> (</w:t>
            </w:r>
            <w:r w:rsidRPr="002C07B0">
              <w:rPr>
                <w:noProof/>
                <w:szCs w:val="24"/>
              </w:rPr>
              <w:t>BE32</w:t>
            </w:r>
            <w:r w:rsidR="001A62D7" w:rsidRPr="002C07B0">
              <w:rPr>
                <w:noProof/>
                <w:szCs w:val="24"/>
              </w:rPr>
              <w:t>)</w:t>
            </w:r>
            <w:r w:rsidRPr="002C07B0">
              <w:rPr>
                <w:noProof/>
                <w:szCs w:val="24"/>
              </w:rPr>
              <w:t xml:space="preserve">, </w:t>
            </w:r>
          </w:p>
          <w:p w:rsidR="005034F4" w:rsidRPr="002C07B0" w:rsidRDefault="005034F4" w:rsidP="005034F4">
            <w:pPr>
              <w:spacing w:before="0" w:after="0"/>
              <w:ind w:rightChars="192" w:right="461"/>
              <w:jc w:val="left"/>
              <w:rPr>
                <w:noProof/>
                <w:szCs w:val="24"/>
              </w:rPr>
            </w:pPr>
            <w:r w:rsidRPr="002C07B0">
              <w:rPr>
                <w:noProof/>
                <w:szCs w:val="24"/>
              </w:rPr>
              <w:t>Province Liège (BE33),</w:t>
            </w:r>
          </w:p>
          <w:p w:rsidR="005034F4" w:rsidRPr="002C07B0" w:rsidRDefault="005034F4" w:rsidP="005034F4">
            <w:pPr>
              <w:spacing w:before="0" w:after="0"/>
              <w:ind w:rightChars="192" w:right="461"/>
              <w:jc w:val="left"/>
              <w:rPr>
                <w:noProof/>
                <w:szCs w:val="24"/>
              </w:rPr>
            </w:pPr>
            <w:r w:rsidRPr="002C07B0">
              <w:rPr>
                <w:noProof/>
                <w:szCs w:val="24"/>
              </w:rPr>
              <w:t>Province Luxembourg (BE34).</w:t>
            </w:r>
          </w:p>
        </w:tc>
      </w:tr>
      <w:tr w:rsidR="001A62D7" w:rsidRPr="002C07B0" w:rsidTr="001D5990">
        <w:tc>
          <w:tcPr>
            <w:tcW w:w="4908" w:type="dxa"/>
            <w:tcBorders>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Date of submission of the application</w:t>
            </w:r>
          </w:p>
        </w:tc>
        <w:tc>
          <w:tcPr>
            <w:tcW w:w="4379" w:type="dxa"/>
            <w:tcBorders>
              <w:bottom w:val="dotted" w:sz="4" w:space="0" w:color="auto"/>
            </w:tcBorders>
            <w:shd w:val="clear" w:color="auto" w:fill="auto"/>
          </w:tcPr>
          <w:p w:rsidR="001A62D7" w:rsidRPr="002C07B0" w:rsidRDefault="00D501D3" w:rsidP="001D5990">
            <w:pPr>
              <w:spacing w:before="60" w:after="60"/>
              <w:ind w:rightChars="192" w:right="461"/>
              <w:jc w:val="left"/>
              <w:rPr>
                <w:rFonts w:eastAsia="Calibri"/>
                <w:noProof/>
              </w:rPr>
            </w:pPr>
            <w:r w:rsidRPr="002C07B0">
              <w:rPr>
                <w:noProof/>
              </w:rPr>
              <w:t>25 March 2026</w:t>
            </w:r>
          </w:p>
        </w:tc>
      </w:tr>
      <w:tr w:rsidR="001A62D7" w:rsidRPr="002C07B0" w:rsidTr="001D5990">
        <w:tc>
          <w:tcPr>
            <w:tcW w:w="4908" w:type="dxa"/>
            <w:tcBorders>
              <w:top w:val="dotted" w:sz="4" w:space="0" w:color="auto"/>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Date of acknowledgement of receipt of the application</w:t>
            </w:r>
          </w:p>
        </w:tc>
        <w:tc>
          <w:tcPr>
            <w:tcW w:w="4379" w:type="dxa"/>
            <w:tcBorders>
              <w:top w:val="dotted" w:sz="4" w:space="0" w:color="auto"/>
              <w:bottom w:val="dotted" w:sz="4" w:space="0" w:color="auto"/>
            </w:tcBorders>
            <w:shd w:val="clear" w:color="auto" w:fill="auto"/>
          </w:tcPr>
          <w:p w:rsidR="001A62D7" w:rsidRPr="002C07B0" w:rsidRDefault="00D501D3" w:rsidP="001D5990">
            <w:pPr>
              <w:spacing w:before="60" w:after="60"/>
              <w:ind w:rightChars="192" w:right="461"/>
              <w:jc w:val="left"/>
              <w:rPr>
                <w:rFonts w:eastAsia="Calibri"/>
                <w:noProof/>
              </w:rPr>
            </w:pPr>
            <w:r w:rsidRPr="002C07B0">
              <w:rPr>
                <w:noProof/>
              </w:rPr>
              <w:t>13 April 2026</w:t>
            </w:r>
          </w:p>
        </w:tc>
      </w:tr>
      <w:tr w:rsidR="001A62D7" w:rsidRPr="002C07B0" w:rsidTr="001D5990">
        <w:tc>
          <w:tcPr>
            <w:tcW w:w="4908" w:type="dxa"/>
            <w:tcBorders>
              <w:top w:val="dotted" w:sz="4" w:space="0" w:color="auto"/>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Date of request for additional information</w:t>
            </w:r>
          </w:p>
        </w:tc>
        <w:tc>
          <w:tcPr>
            <w:tcW w:w="4379" w:type="dxa"/>
            <w:tcBorders>
              <w:top w:val="dotted" w:sz="4" w:space="0" w:color="auto"/>
              <w:bottom w:val="dotted" w:sz="4" w:space="0" w:color="auto"/>
            </w:tcBorders>
            <w:shd w:val="clear" w:color="auto" w:fill="auto"/>
          </w:tcPr>
          <w:p w:rsidR="001A62D7" w:rsidRPr="002C07B0" w:rsidRDefault="00D501D3" w:rsidP="001D5990">
            <w:pPr>
              <w:spacing w:before="60" w:after="60"/>
              <w:ind w:rightChars="192" w:right="461"/>
              <w:jc w:val="left"/>
              <w:rPr>
                <w:rFonts w:eastAsia="Calibri"/>
                <w:noProof/>
              </w:rPr>
            </w:pPr>
            <w:r w:rsidRPr="002C07B0">
              <w:rPr>
                <w:noProof/>
              </w:rPr>
              <w:t>13 April 2026</w:t>
            </w:r>
          </w:p>
        </w:tc>
      </w:tr>
      <w:tr w:rsidR="001A62D7" w:rsidRPr="002C07B0" w:rsidTr="001D5990">
        <w:tc>
          <w:tcPr>
            <w:tcW w:w="4908" w:type="dxa"/>
            <w:tcBorders>
              <w:top w:val="dotted" w:sz="4" w:space="0" w:color="auto"/>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Deadline for provision of the additional information</w:t>
            </w:r>
          </w:p>
        </w:tc>
        <w:tc>
          <w:tcPr>
            <w:tcW w:w="4379" w:type="dxa"/>
            <w:tcBorders>
              <w:top w:val="dotted" w:sz="4" w:space="0" w:color="auto"/>
              <w:bottom w:val="dotted" w:sz="4" w:space="0" w:color="auto"/>
            </w:tcBorders>
            <w:shd w:val="clear" w:color="auto" w:fill="auto"/>
          </w:tcPr>
          <w:p w:rsidR="001A62D7" w:rsidRPr="002C07B0" w:rsidRDefault="00FD67BC" w:rsidP="001D5990">
            <w:pPr>
              <w:spacing w:before="60" w:after="60"/>
              <w:ind w:rightChars="192" w:right="461"/>
              <w:jc w:val="left"/>
              <w:rPr>
                <w:rFonts w:eastAsia="Calibri"/>
                <w:noProof/>
              </w:rPr>
            </w:pPr>
            <w:r w:rsidRPr="002C07B0">
              <w:rPr>
                <w:noProof/>
              </w:rPr>
              <w:t>5 May 2026</w:t>
            </w:r>
          </w:p>
        </w:tc>
      </w:tr>
      <w:tr w:rsidR="001A62D7" w:rsidRPr="002C07B0" w:rsidTr="001D5990">
        <w:tc>
          <w:tcPr>
            <w:tcW w:w="4908" w:type="dxa"/>
            <w:tcBorders>
              <w:top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Deadline for the completion of the assessment</w:t>
            </w:r>
          </w:p>
        </w:tc>
        <w:tc>
          <w:tcPr>
            <w:tcW w:w="4379" w:type="dxa"/>
            <w:tcBorders>
              <w:top w:val="dotted" w:sz="4" w:space="0" w:color="auto"/>
            </w:tcBorders>
            <w:shd w:val="clear" w:color="auto" w:fill="auto"/>
          </w:tcPr>
          <w:p w:rsidR="001A62D7" w:rsidRPr="002C07B0" w:rsidRDefault="00FD67BC" w:rsidP="001D5990">
            <w:pPr>
              <w:spacing w:before="60" w:after="60"/>
              <w:ind w:rightChars="192" w:right="461"/>
              <w:jc w:val="left"/>
              <w:rPr>
                <w:rFonts w:eastAsia="Calibri"/>
                <w:noProof/>
              </w:rPr>
            </w:pPr>
            <w:r w:rsidRPr="002C07B0">
              <w:rPr>
                <w:noProof/>
              </w:rPr>
              <w:t>17 July 2026</w:t>
            </w:r>
          </w:p>
        </w:tc>
      </w:tr>
      <w:tr w:rsidR="001A62D7" w:rsidRPr="002C07B0" w:rsidTr="001D5990">
        <w:tc>
          <w:tcPr>
            <w:tcW w:w="4908" w:type="dxa"/>
            <w:shd w:val="clear" w:color="auto" w:fill="auto"/>
          </w:tcPr>
          <w:p w:rsidR="001A62D7" w:rsidRPr="002C07B0" w:rsidRDefault="001A62D7" w:rsidP="001D5990">
            <w:pPr>
              <w:spacing w:before="60" w:after="60"/>
              <w:jc w:val="left"/>
              <w:rPr>
                <w:rFonts w:eastAsia="Calibri"/>
                <w:noProof/>
              </w:rPr>
            </w:pPr>
            <w:r w:rsidRPr="002C07B0">
              <w:rPr>
                <w:rFonts w:eastAsia="Calibri"/>
                <w:noProof/>
              </w:rPr>
              <w:t>Intervention criterion</w:t>
            </w:r>
          </w:p>
        </w:tc>
        <w:tc>
          <w:tcPr>
            <w:tcW w:w="4379" w:type="dxa"/>
            <w:shd w:val="clear" w:color="auto" w:fill="auto"/>
          </w:tcPr>
          <w:p w:rsidR="001A62D7" w:rsidRPr="002C07B0" w:rsidRDefault="001A62D7" w:rsidP="001D5990">
            <w:pPr>
              <w:spacing w:before="60" w:after="60"/>
              <w:ind w:rightChars="192" w:right="461"/>
              <w:jc w:val="left"/>
              <w:rPr>
                <w:rFonts w:eastAsia="Calibri"/>
                <w:noProof/>
              </w:rPr>
            </w:pPr>
            <w:r w:rsidRPr="002C07B0">
              <w:rPr>
                <w:rFonts w:eastAsia="Calibri"/>
                <w:noProof/>
              </w:rPr>
              <w:t>Article 4(</w:t>
            </w:r>
            <w:r w:rsidR="00300960" w:rsidRPr="002C07B0">
              <w:rPr>
                <w:rFonts w:eastAsia="Calibri"/>
                <w:noProof/>
              </w:rPr>
              <w:t>2</w:t>
            </w:r>
            <w:r w:rsidRPr="002C07B0">
              <w:rPr>
                <w:rFonts w:eastAsia="Calibri"/>
                <w:noProof/>
              </w:rPr>
              <w:t>), point (</w:t>
            </w:r>
            <w:r w:rsidR="00300960" w:rsidRPr="002C07B0">
              <w:rPr>
                <w:rFonts w:eastAsia="Calibri"/>
                <w:noProof/>
              </w:rPr>
              <w:t>a</w:t>
            </w:r>
            <w:r w:rsidRPr="002C07B0">
              <w:rPr>
                <w:rFonts w:eastAsia="Calibri"/>
                <w:noProof/>
              </w:rPr>
              <w:t>), of Regulation (EU) 2021/691</w:t>
            </w:r>
          </w:p>
        </w:tc>
      </w:tr>
      <w:tr w:rsidR="001A62D7" w:rsidRPr="002C07B0" w:rsidTr="001D5990">
        <w:tc>
          <w:tcPr>
            <w:tcW w:w="4908" w:type="dxa"/>
            <w:tcBorders>
              <w:top w:val="single" w:sz="4" w:space="0" w:color="auto"/>
              <w:bottom w:val="single" w:sz="4" w:space="0" w:color="auto"/>
              <w:right w:val="single" w:sz="4" w:space="0" w:color="auto"/>
            </w:tcBorders>
            <w:shd w:val="clear" w:color="auto" w:fill="auto"/>
          </w:tcPr>
          <w:p w:rsidR="001A62D7" w:rsidRPr="002C07B0" w:rsidRDefault="001A62D7" w:rsidP="001D5990">
            <w:pPr>
              <w:spacing w:before="60" w:after="60"/>
              <w:jc w:val="left"/>
              <w:rPr>
                <w:rFonts w:eastAsia="Calibri"/>
                <w:noProof/>
              </w:rPr>
            </w:pPr>
            <w:r w:rsidRPr="002C07B0">
              <w:rPr>
                <w:noProof/>
              </w:rPr>
              <w:br w:type="page"/>
            </w:r>
            <w:r w:rsidRPr="002C07B0">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1A62D7" w:rsidRPr="002C07B0" w:rsidRDefault="00FD67BC" w:rsidP="001D5990">
            <w:pPr>
              <w:spacing w:before="60" w:after="60"/>
              <w:ind w:rightChars="192" w:right="461"/>
              <w:jc w:val="left"/>
              <w:rPr>
                <w:noProof/>
                <w:szCs w:val="24"/>
              </w:rPr>
            </w:pPr>
            <w:r w:rsidRPr="002C07B0">
              <w:rPr>
                <w:noProof/>
              </w:rPr>
              <w:t>Cora SA</w:t>
            </w:r>
          </w:p>
        </w:tc>
      </w:tr>
      <w:tr w:rsidR="001A62D7" w:rsidRPr="002C07B0" w:rsidTr="001D5990">
        <w:tc>
          <w:tcPr>
            <w:tcW w:w="4908" w:type="dxa"/>
            <w:shd w:val="clear" w:color="auto" w:fill="auto"/>
          </w:tcPr>
          <w:p w:rsidR="001A62D7" w:rsidRPr="002C07B0" w:rsidRDefault="001A62D7" w:rsidP="001D5990">
            <w:pPr>
              <w:spacing w:before="60" w:after="60"/>
              <w:jc w:val="left"/>
              <w:rPr>
                <w:rFonts w:eastAsia="Calibri"/>
                <w:noProof/>
              </w:rPr>
            </w:pPr>
            <w:r w:rsidRPr="002C07B0">
              <w:rPr>
                <w:rFonts w:eastAsia="Calibri"/>
                <w:noProof/>
              </w:rPr>
              <w:t>Sectors of economic activity</w:t>
            </w:r>
            <w:r w:rsidR="00F16B21">
              <w:rPr>
                <w:rFonts w:eastAsia="Calibri"/>
                <w:noProof/>
              </w:rPr>
              <w:t xml:space="preserve"> </w:t>
            </w:r>
            <w:r w:rsidRPr="002C07B0">
              <w:rPr>
                <w:rFonts w:eastAsia="Calibri"/>
                <w:noProof/>
              </w:rPr>
              <w:t>(NACE Revision 2 division)</w:t>
            </w:r>
            <w:r w:rsidRPr="002C07B0">
              <w:rPr>
                <w:rStyle w:val="FootnoteReference"/>
                <w:noProof/>
                <w:szCs w:val="24"/>
              </w:rPr>
              <w:footnoteReference w:id="3"/>
            </w:r>
          </w:p>
        </w:tc>
        <w:tc>
          <w:tcPr>
            <w:tcW w:w="4379" w:type="dxa"/>
            <w:shd w:val="clear" w:color="auto" w:fill="auto"/>
          </w:tcPr>
          <w:p w:rsidR="001A62D7" w:rsidRPr="002C07B0" w:rsidRDefault="001A62D7" w:rsidP="001D5990">
            <w:pPr>
              <w:spacing w:before="60" w:after="60"/>
              <w:ind w:rightChars="192" w:right="461"/>
              <w:jc w:val="left"/>
              <w:rPr>
                <w:noProof/>
                <w:szCs w:val="24"/>
              </w:rPr>
            </w:pPr>
            <w:r w:rsidRPr="002C07B0">
              <w:rPr>
                <w:noProof/>
                <w:szCs w:val="24"/>
              </w:rPr>
              <w:t xml:space="preserve">Division </w:t>
            </w:r>
            <w:r w:rsidR="00FD67BC" w:rsidRPr="002C07B0">
              <w:rPr>
                <w:noProof/>
                <w:szCs w:val="24"/>
              </w:rPr>
              <w:t>47</w:t>
            </w:r>
            <w:r w:rsidRPr="002C07B0">
              <w:rPr>
                <w:noProof/>
                <w:szCs w:val="24"/>
              </w:rPr>
              <w:t xml:space="preserve"> (</w:t>
            </w:r>
            <w:r w:rsidR="00FD67BC" w:rsidRPr="002C07B0">
              <w:rPr>
                <w:noProof/>
                <w:szCs w:val="24"/>
              </w:rPr>
              <w:t>Retail trade, except of motor vehicles and motorcycles</w:t>
            </w:r>
            <w:r w:rsidRPr="002C07B0">
              <w:rPr>
                <w:noProof/>
                <w:szCs w:val="24"/>
              </w:rPr>
              <w:t>)</w:t>
            </w:r>
            <w:r w:rsidR="00FD67BC" w:rsidRPr="002C07B0">
              <w:rPr>
                <w:rStyle w:val="FootnoteReference"/>
                <w:noProof/>
                <w:szCs w:val="24"/>
              </w:rPr>
              <w:footnoteReference w:id="4"/>
            </w:r>
            <w:r w:rsidR="000A228C" w:rsidRPr="002C07B0">
              <w:rPr>
                <w:noProof/>
                <w:szCs w:val="24"/>
              </w:rPr>
              <w:t>, and</w:t>
            </w:r>
          </w:p>
          <w:p w:rsidR="001A62D7" w:rsidRPr="002C07B0" w:rsidRDefault="001A62D7" w:rsidP="001D5990">
            <w:pPr>
              <w:spacing w:before="60" w:after="60"/>
              <w:ind w:rightChars="192" w:right="461"/>
              <w:jc w:val="left"/>
              <w:rPr>
                <w:rFonts w:eastAsia="Calibri"/>
                <w:noProof/>
              </w:rPr>
            </w:pPr>
            <w:r w:rsidRPr="002C07B0">
              <w:rPr>
                <w:noProof/>
                <w:szCs w:val="24"/>
              </w:rPr>
              <w:t xml:space="preserve">Division </w:t>
            </w:r>
            <w:r w:rsidR="00FD67BC" w:rsidRPr="002C07B0">
              <w:rPr>
                <w:noProof/>
                <w:szCs w:val="24"/>
              </w:rPr>
              <w:t>49</w:t>
            </w:r>
            <w:r w:rsidRPr="002C07B0">
              <w:rPr>
                <w:noProof/>
                <w:szCs w:val="24"/>
              </w:rPr>
              <w:t xml:space="preserve"> (</w:t>
            </w:r>
            <w:r w:rsidR="00FD67BC" w:rsidRPr="002C07B0">
              <w:rPr>
                <w:noProof/>
                <w:szCs w:val="24"/>
              </w:rPr>
              <w:t xml:space="preserve">Land transport and </w:t>
            </w:r>
            <w:r w:rsidR="00FD67BC" w:rsidRPr="002C07B0">
              <w:rPr>
                <w:noProof/>
                <w:szCs w:val="24"/>
              </w:rPr>
              <w:lastRenderedPageBreak/>
              <w:t>transport via pipelines</w:t>
            </w:r>
            <w:r w:rsidRPr="002C07B0">
              <w:rPr>
                <w:noProof/>
                <w:szCs w:val="24"/>
              </w:rPr>
              <w:t>)</w:t>
            </w:r>
          </w:p>
        </w:tc>
      </w:tr>
      <w:tr w:rsidR="001A62D7" w:rsidRPr="002C07B0" w:rsidTr="001D5990">
        <w:tc>
          <w:tcPr>
            <w:tcW w:w="4908" w:type="dxa"/>
            <w:shd w:val="clear" w:color="auto" w:fill="auto"/>
          </w:tcPr>
          <w:p w:rsidR="001A62D7" w:rsidRPr="002C07B0" w:rsidRDefault="001A62D7" w:rsidP="001D5990">
            <w:pPr>
              <w:spacing w:before="60" w:after="60"/>
              <w:jc w:val="left"/>
              <w:rPr>
                <w:rFonts w:eastAsia="Calibri"/>
                <w:noProof/>
              </w:rPr>
            </w:pPr>
            <w:r w:rsidRPr="002C07B0">
              <w:rPr>
                <w:noProof/>
              </w:rPr>
              <w:lastRenderedPageBreak/>
              <w:br w:type="page"/>
            </w:r>
            <w:r w:rsidRPr="002C07B0">
              <w:rPr>
                <w:rFonts w:eastAsia="Calibri"/>
                <w:noProof/>
              </w:rPr>
              <w:t>Number of subsidiaries, suppliers and downstream producers</w:t>
            </w:r>
          </w:p>
        </w:tc>
        <w:tc>
          <w:tcPr>
            <w:tcW w:w="4379" w:type="dxa"/>
            <w:shd w:val="clear" w:color="auto" w:fill="auto"/>
          </w:tcPr>
          <w:p w:rsidR="001A62D7" w:rsidRPr="002C07B0" w:rsidRDefault="001D5279" w:rsidP="001D5990">
            <w:pPr>
              <w:spacing w:before="60" w:after="60"/>
              <w:ind w:rightChars="192" w:right="461"/>
              <w:jc w:val="left"/>
              <w:rPr>
                <w:rFonts w:eastAsia="Calibri"/>
                <w:noProof/>
              </w:rPr>
            </w:pPr>
            <w:r w:rsidRPr="002C07B0">
              <w:rPr>
                <w:rFonts w:eastAsia="Calibri"/>
                <w:noProof/>
              </w:rPr>
              <w:t>1</w:t>
            </w:r>
          </w:p>
        </w:tc>
      </w:tr>
      <w:tr w:rsidR="001A62D7" w:rsidRPr="002C07B0" w:rsidTr="001D5990">
        <w:tc>
          <w:tcPr>
            <w:tcW w:w="4908" w:type="dxa"/>
            <w:tcBorders>
              <w:bottom w:val="single"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 xml:space="preserve">Reference period </w:t>
            </w:r>
            <w:r w:rsidR="00300960" w:rsidRPr="002C07B0">
              <w:rPr>
                <w:rFonts w:eastAsia="Calibri"/>
                <w:noProof/>
              </w:rPr>
              <w:t>(</w:t>
            </w:r>
            <w:r w:rsidRPr="002C07B0">
              <w:rPr>
                <w:rFonts w:eastAsia="Calibri"/>
                <w:noProof/>
              </w:rPr>
              <w:t>four months):</w:t>
            </w:r>
          </w:p>
        </w:tc>
        <w:tc>
          <w:tcPr>
            <w:tcW w:w="4379" w:type="dxa"/>
            <w:tcBorders>
              <w:bottom w:val="single" w:sz="4" w:space="0" w:color="auto"/>
            </w:tcBorders>
            <w:shd w:val="clear" w:color="auto" w:fill="auto"/>
          </w:tcPr>
          <w:p w:rsidR="001A62D7" w:rsidRPr="002C07B0" w:rsidRDefault="001D5279" w:rsidP="001D5990">
            <w:pPr>
              <w:spacing w:before="60" w:after="60"/>
              <w:ind w:rightChars="192" w:right="461"/>
              <w:jc w:val="left"/>
              <w:rPr>
                <w:rFonts w:eastAsia="Calibri"/>
                <w:noProof/>
              </w:rPr>
            </w:pPr>
            <w:r w:rsidRPr="002C07B0">
              <w:rPr>
                <w:noProof/>
              </w:rPr>
              <w:t>1 September 2025</w:t>
            </w:r>
            <w:r w:rsidR="001A62D7" w:rsidRPr="002C07B0">
              <w:rPr>
                <w:rFonts w:eastAsia="Calibri"/>
                <w:noProof/>
              </w:rPr>
              <w:t xml:space="preserve"> </w:t>
            </w:r>
            <w:r w:rsidRPr="002C07B0">
              <w:rPr>
                <w:rFonts w:eastAsia="Calibri"/>
                <w:noProof/>
              </w:rPr>
              <w:t>–</w:t>
            </w:r>
            <w:r w:rsidR="001A62D7" w:rsidRPr="002C07B0">
              <w:rPr>
                <w:rFonts w:eastAsia="Calibri"/>
                <w:noProof/>
              </w:rPr>
              <w:t xml:space="preserve"> </w:t>
            </w:r>
            <w:r w:rsidRPr="002C07B0">
              <w:rPr>
                <w:noProof/>
              </w:rPr>
              <w:t>1 January 2026</w:t>
            </w:r>
          </w:p>
        </w:tc>
      </w:tr>
      <w:tr w:rsidR="001A62D7" w:rsidRPr="002C07B0" w:rsidTr="001D5990">
        <w:tc>
          <w:tcPr>
            <w:tcW w:w="4908" w:type="dxa"/>
            <w:tcBorders>
              <w:bottom w:val="dotted" w:sz="4" w:space="0" w:color="auto"/>
            </w:tcBorders>
            <w:shd w:val="clear" w:color="auto" w:fill="auto"/>
          </w:tcPr>
          <w:p w:rsidR="001A62D7" w:rsidRPr="002C07B0" w:rsidRDefault="001A62D7" w:rsidP="001D5990">
            <w:pPr>
              <w:spacing w:before="60" w:after="60"/>
              <w:jc w:val="left"/>
              <w:rPr>
                <w:rFonts w:eastAsia="Calibri"/>
                <w:noProof/>
                <w:highlight w:val="magenta"/>
              </w:rPr>
            </w:pPr>
            <w:r w:rsidRPr="002C07B0">
              <w:rPr>
                <w:rFonts w:eastAsia="Calibri"/>
                <w:noProof/>
              </w:rPr>
              <w:t>Number of displacements during the reference period (</w:t>
            </w:r>
            <w:r w:rsidRPr="002C07B0">
              <w:rPr>
                <w:rFonts w:eastAsia="Calibri"/>
                <w:i/>
                <w:noProof/>
              </w:rPr>
              <w:t>a</w:t>
            </w:r>
            <w:r w:rsidRPr="002C07B0">
              <w:rPr>
                <w:rFonts w:eastAsia="Calibri"/>
                <w:noProof/>
              </w:rPr>
              <w:t>)</w:t>
            </w:r>
          </w:p>
        </w:tc>
        <w:tc>
          <w:tcPr>
            <w:tcW w:w="4379" w:type="dxa"/>
            <w:tcBorders>
              <w:bottom w:val="dotted" w:sz="4" w:space="0" w:color="auto"/>
            </w:tcBorders>
            <w:shd w:val="clear" w:color="auto" w:fill="auto"/>
          </w:tcPr>
          <w:p w:rsidR="001A62D7" w:rsidRPr="002C07B0" w:rsidRDefault="0066781E" w:rsidP="001D5990">
            <w:pPr>
              <w:spacing w:before="60" w:after="60"/>
              <w:ind w:rightChars="192" w:right="461"/>
              <w:jc w:val="left"/>
              <w:rPr>
                <w:rFonts w:eastAsia="Calibri"/>
                <w:noProof/>
                <w:highlight w:val="magenta"/>
              </w:rPr>
            </w:pPr>
            <w:r w:rsidRPr="002C07B0">
              <w:rPr>
                <w:noProof/>
              </w:rPr>
              <w:t>662</w:t>
            </w:r>
          </w:p>
        </w:tc>
      </w:tr>
      <w:tr w:rsidR="001A62D7" w:rsidRPr="002C07B0" w:rsidTr="001D5990">
        <w:tc>
          <w:tcPr>
            <w:tcW w:w="4908" w:type="dxa"/>
            <w:tcBorders>
              <w:top w:val="dotted" w:sz="4" w:space="0" w:color="auto"/>
              <w:bottom w:val="dotted" w:sz="4" w:space="0" w:color="auto"/>
            </w:tcBorders>
            <w:shd w:val="clear" w:color="auto" w:fill="auto"/>
          </w:tcPr>
          <w:p w:rsidR="001A62D7" w:rsidRPr="002C07B0" w:rsidRDefault="001A62D7" w:rsidP="001D5990">
            <w:pPr>
              <w:spacing w:before="60" w:after="60"/>
              <w:jc w:val="left"/>
              <w:rPr>
                <w:rFonts w:eastAsia="Calibri"/>
                <w:noProof/>
                <w:highlight w:val="magenta"/>
              </w:rPr>
            </w:pPr>
            <w:r w:rsidRPr="002C07B0">
              <w:rPr>
                <w:rFonts w:eastAsia="Calibri"/>
                <w:noProof/>
              </w:rPr>
              <w:t>Number of displacements before or after the reference period (</w:t>
            </w:r>
            <w:r w:rsidRPr="002C07B0">
              <w:rPr>
                <w:rFonts w:eastAsia="Calibri"/>
                <w:i/>
                <w:noProof/>
              </w:rPr>
              <w:t>b</w:t>
            </w:r>
            <w:r w:rsidRPr="002C07B0">
              <w:rPr>
                <w:rFonts w:eastAsia="Calibri"/>
                <w:noProof/>
              </w:rPr>
              <w:t>)</w:t>
            </w:r>
          </w:p>
        </w:tc>
        <w:tc>
          <w:tcPr>
            <w:tcW w:w="4379" w:type="dxa"/>
            <w:tcBorders>
              <w:top w:val="dotted" w:sz="4" w:space="0" w:color="auto"/>
              <w:bottom w:val="dotted" w:sz="4" w:space="0" w:color="auto"/>
            </w:tcBorders>
            <w:shd w:val="clear" w:color="auto" w:fill="auto"/>
          </w:tcPr>
          <w:p w:rsidR="001A62D7" w:rsidRPr="002C07B0" w:rsidRDefault="0066781E" w:rsidP="001D5990">
            <w:pPr>
              <w:spacing w:before="60" w:after="60"/>
              <w:ind w:rightChars="192" w:right="461"/>
              <w:jc w:val="left"/>
              <w:rPr>
                <w:rFonts w:eastAsia="Calibri"/>
                <w:noProof/>
              </w:rPr>
            </w:pPr>
            <w:r w:rsidRPr="002C07B0">
              <w:rPr>
                <w:noProof/>
              </w:rPr>
              <w:t>595</w:t>
            </w:r>
          </w:p>
        </w:tc>
      </w:tr>
      <w:tr w:rsidR="001A62D7" w:rsidRPr="002C07B0" w:rsidTr="001D5990">
        <w:tc>
          <w:tcPr>
            <w:tcW w:w="4908" w:type="dxa"/>
            <w:tcBorders>
              <w:top w:val="dotted" w:sz="4" w:space="0" w:color="auto"/>
              <w:bottom w:val="single"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Total number of displacements (</w:t>
            </w:r>
            <w:r w:rsidRPr="002C07B0">
              <w:rPr>
                <w:rFonts w:eastAsia="Calibri"/>
                <w:i/>
                <w:noProof/>
              </w:rPr>
              <w:t>a</w:t>
            </w:r>
            <w:r w:rsidRPr="002C07B0">
              <w:rPr>
                <w:rFonts w:eastAsia="Calibri"/>
                <w:noProof/>
              </w:rPr>
              <w:t xml:space="preserve"> + </w:t>
            </w:r>
            <w:r w:rsidRPr="002C07B0">
              <w:rPr>
                <w:rFonts w:eastAsia="Calibri"/>
                <w:i/>
                <w:noProof/>
              </w:rPr>
              <w:t>b</w:t>
            </w:r>
            <w:r w:rsidRPr="002C07B0">
              <w:rPr>
                <w:rFonts w:eastAsia="Calibri"/>
                <w:noProof/>
              </w:rPr>
              <w:t>)</w:t>
            </w:r>
          </w:p>
        </w:tc>
        <w:tc>
          <w:tcPr>
            <w:tcW w:w="4379" w:type="dxa"/>
            <w:tcBorders>
              <w:top w:val="dotted" w:sz="4" w:space="0" w:color="auto"/>
              <w:bottom w:val="single" w:sz="4" w:space="0" w:color="auto"/>
            </w:tcBorders>
            <w:shd w:val="clear" w:color="auto" w:fill="auto"/>
          </w:tcPr>
          <w:p w:rsidR="001A62D7" w:rsidRPr="002C07B0" w:rsidRDefault="0066781E" w:rsidP="001D5990">
            <w:pPr>
              <w:spacing w:before="60" w:after="60"/>
              <w:ind w:rightChars="192" w:right="461"/>
              <w:jc w:val="left"/>
              <w:rPr>
                <w:rFonts w:eastAsia="Calibri"/>
                <w:noProof/>
              </w:rPr>
            </w:pPr>
            <w:r w:rsidRPr="002C07B0">
              <w:rPr>
                <w:noProof/>
              </w:rPr>
              <w:t>1 257</w:t>
            </w:r>
          </w:p>
        </w:tc>
      </w:tr>
      <w:tr w:rsidR="001A62D7" w:rsidRPr="002C07B0" w:rsidTr="001D5990">
        <w:tc>
          <w:tcPr>
            <w:tcW w:w="4908" w:type="dxa"/>
            <w:tcBorders>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Total number of eligible beneficiaries</w:t>
            </w:r>
          </w:p>
        </w:tc>
        <w:tc>
          <w:tcPr>
            <w:tcW w:w="4379" w:type="dxa"/>
            <w:tcBorders>
              <w:bottom w:val="dotted" w:sz="4" w:space="0" w:color="auto"/>
            </w:tcBorders>
            <w:shd w:val="clear" w:color="auto" w:fill="auto"/>
          </w:tcPr>
          <w:p w:rsidR="001A62D7" w:rsidRPr="002C07B0" w:rsidRDefault="0066781E" w:rsidP="001D5990">
            <w:pPr>
              <w:spacing w:before="60" w:after="60"/>
              <w:ind w:rightChars="192" w:right="461"/>
              <w:jc w:val="left"/>
              <w:rPr>
                <w:rFonts w:eastAsia="Calibri"/>
                <w:noProof/>
              </w:rPr>
            </w:pPr>
            <w:r w:rsidRPr="002C07B0">
              <w:rPr>
                <w:noProof/>
              </w:rPr>
              <w:t>1 257</w:t>
            </w:r>
          </w:p>
        </w:tc>
      </w:tr>
      <w:tr w:rsidR="001A62D7" w:rsidRPr="002C07B0" w:rsidTr="001D5990">
        <w:tc>
          <w:tcPr>
            <w:tcW w:w="4908" w:type="dxa"/>
            <w:tcBorders>
              <w:top w:val="dotted" w:sz="4" w:space="0" w:color="auto"/>
              <w:bottom w:val="dotted" w:sz="4" w:space="0" w:color="auto"/>
            </w:tcBorders>
            <w:shd w:val="clear" w:color="auto" w:fill="auto"/>
          </w:tcPr>
          <w:p w:rsidR="001A62D7" w:rsidRPr="002C07B0" w:rsidRDefault="001A62D7" w:rsidP="001D5990">
            <w:pPr>
              <w:spacing w:before="60" w:after="60"/>
              <w:jc w:val="left"/>
              <w:rPr>
                <w:rFonts w:eastAsia="Calibri"/>
                <w:noProof/>
              </w:rPr>
            </w:pPr>
            <w:r w:rsidRPr="002C07B0">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1A62D7" w:rsidRPr="002C07B0" w:rsidRDefault="0094032B" w:rsidP="001D5990">
            <w:pPr>
              <w:spacing w:before="60" w:after="60"/>
              <w:ind w:rightChars="192" w:right="461"/>
              <w:jc w:val="left"/>
              <w:rPr>
                <w:rFonts w:eastAsia="Calibri"/>
                <w:noProof/>
              </w:rPr>
            </w:pPr>
            <w:r w:rsidRPr="002C07B0">
              <w:rPr>
                <w:noProof/>
              </w:rPr>
              <w:t>1 010</w:t>
            </w:r>
          </w:p>
        </w:tc>
      </w:tr>
      <w:tr w:rsidR="001A62D7" w:rsidRPr="002C07B0" w:rsidTr="001D5990">
        <w:tc>
          <w:tcPr>
            <w:tcW w:w="4908" w:type="dxa"/>
            <w:tcBorders>
              <w:bottom w:val="dotted" w:sz="4" w:space="0" w:color="auto"/>
            </w:tcBorders>
            <w:shd w:val="clear" w:color="auto" w:fill="auto"/>
            <w:vAlign w:val="center"/>
          </w:tcPr>
          <w:p w:rsidR="001A62D7" w:rsidRPr="002C07B0" w:rsidRDefault="001A62D7" w:rsidP="001D5990">
            <w:pPr>
              <w:spacing w:before="0" w:after="0"/>
              <w:jc w:val="left"/>
              <w:rPr>
                <w:noProof/>
              </w:rPr>
            </w:pPr>
            <w:r w:rsidRPr="002C07B0">
              <w:rPr>
                <w:noProof/>
              </w:rPr>
              <w:t>Budget for personalised services (EUR)</w:t>
            </w:r>
          </w:p>
        </w:tc>
        <w:tc>
          <w:tcPr>
            <w:tcW w:w="4379" w:type="dxa"/>
            <w:tcBorders>
              <w:bottom w:val="dotted" w:sz="4" w:space="0" w:color="auto"/>
            </w:tcBorders>
            <w:shd w:val="clear" w:color="auto" w:fill="auto"/>
            <w:vAlign w:val="center"/>
          </w:tcPr>
          <w:p w:rsidR="001A62D7" w:rsidRPr="002C07B0" w:rsidRDefault="008032DE" w:rsidP="001D5990">
            <w:pPr>
              <w:spacing w:before="0" w:after="0"/>
              <w:ind w:rightChars="192" w:right="461"/>
              <w:jc w:val="left"/>
              <w:rPr>
                <w:noProof/>
              </w:rPr>
            </w:pPr>
            <w:r w:rsidRPr="002C07B0">
              <w:rPr>
                <w:noProof/>
              </w:rPr>
              <w:t>4 441 774</w:t>
            </w:r>
          </w:p>
        </w:tc>
      </w:tr>
      <w:tr w:rsidR="001A62D7" w:rsidRPr="002C07B0" w:rsidTr="001D5990">
        <w:tc>
          <w:tcPr>
            <w:tcW w:w="4908" w:type="dxa"/>
            <w:tcBorders>
              <w:top w:val="dotted" w:sz="4" w:space="0" w:color="auto"/>
              <w:bottom w:val="dotted" w:sz="4" w:space="0" w:color="auto"/>
            </w:tcBorders>
            <w:shd w:val="clear" w:color="auto" w:fill="auto"/>
            <w:vAlign w:val="center"/>
          </w:tcPr>
          <w:p w:rsidR="001A62D7" w:rsidRPr="002C07B0" w:rsidRDefault="001A62D7" w:rsidP="001D5990">
            <w:pPr>
              <w:spacing w:before="0" w:after="0"/>
              <w:jc w:val="left"/>
              <w:rPr>
                <w:noProof/>
              </w:rPr>
            </w:pPr>
            <w:r w:rsidRPr="002C07B0">
              <w:rPr>
                <w:noProof/>
              </w:rPr>
              <w:t>Budget for implementing EGF</w:t>
            </w:r>
            <w:r w:rsidRPr="002C07B0">
              <w:rPr>
                <w:rStyle w:val="FootnoteReference"/>
                <w:noProof/>
              </w:rPr>
              <w:footnoteReference w:id="5"/>
            </w:r>
            <w:r w:rsidRPr="002C07B0">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2C07B0" w:rsidRDefault="008032DE" w:rsidP="001D5990">
            <w:pPr>
              <w:spacing w:before="0" w:after="0"/>
              <w:ind w:rightChars="192" w:right="461"/>
              <w:jc w:val="left"/>
              <w:rPr>
                <w:noProof/>
              </w:rPr>
            </w:pPr>
            <w:r w:rsidRPr="002C07B0">
              <w:rPr>
                <w:noProof/>
              </w:rPr>
              <w:t>54 062</w:t>
            </w:r>
          </w:p>
        </w:tc>
      </w:tr>
      <w:tr w:rsidR="001A62D7" w:rsidRPr="002C07B0" w:rsidTr="001D5990">
        <w:tc>
          <w:tcPr>
            <w:tcW w:w="4908" w:type="dxa"/>
            <w:tcBorders>
              <w:top w:val="dotted" w:sz="4" w:space="0" w:color="auto"/>
              <w:bottom w:val="dotted" w:sz="4" w:space="0" w:color="auto"/>
            </w:tcBorders>
            <w:shd w:val="clear" w:color="auto" w:fill="auto"/>
            <w:vAlign w:val="center"/>
          </w:tcPr>
          <w:p w:rsidR="001A62D7" w:rsidRPr="002C07B0" w:rsidRDefault="001A62D7" w:rsidP="001D5990">
            <w:pPr>
              <w:spacing w:before="0" w:after="0"/>
              <w:jc w:val="left"/>
              <w:rPr>
                <w:noProof/>
              </w:rPr>
            </w:pPr>
            <w:r w:rsidRPr="002C07B0">
              <w:rPr>
                <w:noProof/>
              </w:rPr>
              <w:t>Total budget (EUR)</w:t>
            </w:r>
          </w:p>
        </w:tc>
        <w:tc>
          <w:tcPr>
            <w:tcW w:w="4379" w:type="dxa"/>
            <w:tcBorders>
              <w:top w:val="dotted" w:sz="4" w:space="0" w:color="auto"/>
              <w:bottom w:val="dotted" w:sz="4" w:space="0" w:color="auto"/>
            </w:tcBorders>
            <w:shd w:val="clear" w:color="auto" w:fill="auto"/>
            <w:vAlign w:val="center"/>
          </w:tcPr>
          <w:p w:rsidR="001A62D7" w:rsidRPr="002C07B0" w:rsidRDefault="008032DE" w:rsidP="001D5990">
            <w:pPr>
              <w:spacing w:before="0" w:after="0"/>
              <w:ind w:rightChars="192" w:right="461"/>
              <w:jc w:val="left"/>
              <w:rPr>
                <w:noProof/>
              </w:rPr>
            </w:pPr>
            <w:r w:rsidRPr="002C07B0">
              <w:rPr>
                <w:noProof/>
              </w:rPr>
              <w:t>4 495 836</w:t>
            </w:r>
          </w:p>
        </w:tc>
      </w:tr>
      <w:tr w:rsidR="001A62D7" w:rsidRPr="002C07B0" w:rsidTr="001D5990">
        <w:tc>
          <w:tcPr>
            <w:tcW w:w="4908" w:type="dxa"/>
            <w:tcBorders>
              <w:top w:val="dotted" w:sz="4" w:space="0" w:color="auto"/>
            </w:tcBorders>
            <w:shd w:val="clear" w:color="auto" w:fill="auto"/>
            <w:vAlign w:val="center"/>
          </w:tcPr>
          <w:p w:rsidR="001A62D7" w:rsidRPr="002C07B0" w:rsidRDefault="001A62D7" w:rsidP="001D5990">
            <w:pPr>
              <w:spacing w:before="0" w:after="0"/>
              <w:jc w:val="left"/>
              <w:rPr>
                <w:noProof/>
              </w:rPr>
            </w:pPr>
            <w:r w:rsidRPr="002C07B0">
              <w:rPr>
                <w:noProof/>
              </w:rPr>
              <w:t>EGF contribution (</w:t>
            </w:r>
            <w:r w:rsidR="001C1059" w:rsidRPr="002C07B0">
              <w:rPr>
                <w:noProof/>
              </w:rPr>
              <w:t>85</w:t>
            </w:r>
            <w:r w:rsidRPr="002C07B0">
              <w:rPr>
                <w:noProof/>
              </w:rPr>
              <w:t> %) (EUR)</w:t>
            </w:r>
          </w:p>
        </w:tc>
        <w:tc>
          <w:tcPr>
            <w:tcW w:w="4379" w:type="dxa"/>
            <w:tcBorders>
              <w:top w:val="dotted" w:sz="4" w:space="0" w:color="auto"/>
            </w:tcBorders>
            <w:shd w:val="clear" w:color="auto" w:fill="auto"/>
            <w:vAlign w:val="center"/>
          </w:tcPr>
          <w:p w:rsidR="001A62D7" w:rsidRPr="002C07B0" w:rsidRDefault="001C1059" w:rsidP="001D5990">
            <w:pPr>
              <w:spacing w:before="0" w:after="0"/>
              <w:ind w:rightChars="192" w:right="461"/>
              <w:jc w:val="left"/>
              <w:rPr>
                <w:noProof/>
              </w:rPr>
            </w:pPr>
            <w:r w:rsidRPr="002C07B0">
              <w:rPr>
                <w:noProof/>
              </w:rPr>
              <w:t>3 821 460</w:t>
            </w:r>
          </w:p>
        </w:tc>
      </w:tr>
    </w:tbl>
    <w:p w:rsidR="001A62D7" w:rsidRPr="002C07B0" w:rsidRDefault="001A62D7" w:rsidP="001A62D7">
      <w:pPr>
        <w:pStyle w:val="ManualHeading1"/>
        <w:rPr>
          <w:noProof/>
        </w:rPr>
      </w:pPr>
      <w:r w:rsidRPr="002C07B0">
        <w:rPr>
          <w:noProof/>
        </w:rPr>
        <w:t>ASSESSMENT OF THE APPLICATION</w:t>
      </w:r>
    </w:p>
    <w:p w:rsidR="001A62D7" w:rsidRPr="002C07B0" w:rsidRDefault="001A62D7" w:rsidP="001A62D7">
      <w:pPr>
        <w:pStyle w:val="ManualHeading2"/>
        <w:rPr>
          <w:noProof/>
        </w:rPr>
      </w:pPr>
      <w:r w:rsidRPr="002C07B0">
        <w:rPr>
          <w:noProof/>
        </w:rPr>
        <w:t>Procedure</w:t>
      </w:r>
    </w:p>
    <w:p w:rsidR="001A62D7" w:rsidRPr="002C07B0" w:rsidRDefault="001C1059" w:rsidP="00AE7D04">
      <w:pPr>
        <w:pStyle w:val="ManualNumPar1"/>
        <w:rPr>
          <w:noProof/>
        </w:rPr>
      </w:pPr>
      <w:r>
        <w:rPr>
          <w:noProof/>
        </w:rPr>
        <w:t>4.</w:t>
      </w:r>
      <w:r>
        <w:rPr>
          <w:noProof/>
        </w:rPr>
        <w:tab/>
      </w:r>
      <w:r w:rsidRPr="002C07B0">
        <w:rPr>
          <w:noProof/>
        </w:rPr>
        <w:t>Belgium</w:t>
      </w:r>
      <w:r w:rsidR="001A62D7" w:rsidRPr="002C07B0">
        <w:rPr>
          <w:noProof/>
        </w:rPr>
        <w:t xml:space="preserve"> submitted application EGF/</w:t>
      </w:r>
      <w:r w:rsidRPr="002C07B0">
        <w:rPr>
          <w:noProof/>
        </w:rPr>
        <w:t>2026</w:t>
      </w:r>
      <w:r w:rsidR="001A62D7" w:rsidRPr="002C07B0">
        <w:rPr>
          <w:noProof/>
        </w:rPr>
        <w:t>/</w:t>
      </w:r>
      <w:r w:rsidRPr="002C07B0">
        <w:rPr>
          <w:noProof/>
        </w:rPr>
        <w:t>001</w:t>
      </w:r>
      <w:r w:rsidR="001A62D7" w:rsidRPr="002C07B0">
        <w:rPr>
          <w:noProof/>
        </w:rPr>
        <w:t> </w:t>
      </w:r>
      <w:r w:rsidR="007D767B" w:rsidRPr="002C07B0">
        <w:rPr>
          <w:noProof/>
        </w:rPr>
        <w:t>BE</w:t>
      </w:r>
      <w:r w:rsidR="001A62D7" w:rsidRPr="002C07B0">
        <w:rPr>
          <w:noProof/>
        </w:rPr>
        <w:t>/</w:t>
      </w:r>
      <w:r w:rsidRPr="002C07B0">
        <w:rPr>
          <w:noProof/>
        </w:rPr>
        <w:t>Cora</w:t>
      </w:r>
      <w:r w:rsidR="001A62D7" w:rsidRPr="002C07B0">
        <w:rPr>
          <w:noProof/>
        </w:rPr>
        <w:t xml:space="preserve"> within 12 weeks of the date on which the intervention criteria set out in Article 4 </w:t>
      </w:r>
      <w:r w:rsidR="001A62D7" w:rsidRPr="002C07B0">
        <w:rPr>
          <w:rFonts w:eastAsia="Calibri"/>
          <w:noProof/>
        </w:rPr>
        <w:t>(</w:t>
      </w:r>
      <w:r w:rsidR="00300960" w:rsidRPr="002C07B0">
        <w:rPr>
          <w:rFonts w:eastAsia="Calibri"/>
          <w:noProof/>
        </w:rPr>
        <w:t>2</w:t>
      </w:r>
      <w:r w:rsidR="001A62D7" w:rsidRPr="002C07B0">
        <w:rPr>
          <w:rFonts w:eastAsia="Calibri"/>
          <w:noProof/>
        </w:rPr>
        <w:t>), point (</w:t>
      </w:r>
      <w:r w:rsidR="00300960" w:rsidRPr="002C07B0">
        <w:rPr>
          <w:rFonts w:eastAsia="Calibri"/>
          <w:noProof/>
        </w:rPr>
        <w:t>a</w:t>
      </w:r>
      <w:r w:rsidR="001A62D7" w:rsidRPr="002C07B0">
        <w:rPr>
          <w:rFonts w:eastAsia="Calibri"/>
          <w:noProof/>
        </w:rPr>
        <w:t>),</w:t>
      </w:r>
      <w:r w:rsidR="001A62D7" w:rsidRPr="002C07B0">
        <w:rPr>
          <w:noProof/>
        </w:rPr>
        <w:t xml:space="preserve"> of Regulation (EU) 2021/691 were met, on </w:t>
      </w:r>
      <w:r w:rsidRPr="002C07B0">
        <w:rPr>
          <w:noProof/>
        </w:rPr>
        <w:t>25 March 2026</w:t>
      </w:r>
      <w:r w:rsidR="001A62D7" w:rsidRPr="002C07B0">
        <w:rPr>
          <w:noProof/>
        </w:rPr>
        <w:t>. The Commission acknowledged receipt of the application</w:t>
      </w:r>
      <w:r w:rsidR="001A62D7" w:rsidRPr="002C07B0">
        <w:rPr>
          <w:noProof/>
          <w:color w:val="FFFFFF" w:themeColor="background1"/>
          <w:u w:val="single"/>
        </w:rPr>
        <w:t xml:space="preserve"> </w:t>
      </w:r>
      <w:r w:rsidR="001A62D7" w:rsidRPr="002C07B0">
        <w:rPr>
          <w:noProof/>
        </w:rPr>
        <w:t xml:space="preserve">and requested additional information from </w:t>
      </w:r>
      <w:r w:rsidRPr="002C07B0">
        <w:rPr>
          <w:noProof/>
        </w:rPr>
        <w:t>Belgium</w:t>
      </w:r>
      <w:r w:rsidR="001A62D7" w:rsidRPr="002C07B0">
        <w:rPr>
          <w:noProof/>
        </w:rPr>
        <w:t xml:space="preserve"> on </w:t>
      </w:r>
      <w:r w:rsidRPr="002C07B0">
        <w:rPr>
          <w:noProof/>
        </w:rPr>
        <w:t>13 April 2026</w:t>
      </w:r>
      <w:r w:rsidR="001A62D7" w:rsidRPr="002C07B0">
        <w:rPr>
          <w:noProof/>
        </w:rPr>
        <w:t>. Such additional information was provided within 15 working days</w:t>
      </w:r>
      <w:r w:rsidR="00300960" w:rsidRPr="002C07B0">
        <w:rPr>
          <w:noProof/>
        </w:rPr>
        <w:t xml:space="preserve"> </w:t>
      </w:r>
      <w:r w:rsidR="001A62D7" w:rsidRPr="002C07B0">
        <w:rPr>
          <w:noProof/>
        </w:rPr>
        <w:t>of the request</w:t>
      </w:r>
      <w:r w:rsidR="00300960" w:rsidRPr="002C07B0">
        <w:rPr>
          <w:noProof/>
        </w:rPr>
        <w:t>.</w:t>
      </w:r>
      <w:r w:rsidR="001A62D7" w:rsidRPr="002C07B0">
        <w:rPr>
          <w:noProof/>
        </w:rPr>
        <w:t xml:space="preserve"> The deadline of 50 working days of the receipt of the complete application within which the Commission should finalise its assessment of the application's compliance with the conditions for providing a financial contribution expires on </w:t>
      </w:r>
      <w:r w:rsidRPr="002C07B0">
        <w:rPr>
          <w:noProof/>
        </w:rPr>
        <w:t>17 July 2026</w:t>
      </w:r>
      <w:r w:rsidR="001A62D7" w:rsidRPr="002C07B0">
        <w:rPr>
          <w:noProof/>
        </w:rPr>
        <w:t>.</w:t>
      </w:r>
    </w:p>
    <w:p w:rsidR="001A62D7" w:rsidRPr="002C07B0" w:rsidRDefault="001A62D7" w:rsidP="001A62D7">
      <w:pPr>
        <w:pStyle w:val="ManualHeading2"/>
        <w:rPr>
          <w:noProof/>
        </w:rPr>
      </w:pPr>
      <w:r w:rsidRPr="002C07B0">
        <w:rPr>
          <w:noProof/>
        </w:rPr>
        <w:t>Eligibility of the application</w:t>
      </w:r>
    </w:p>
    <w:p w:rsidR="001A62D7" w:rsidRPr="002C07B0" w:rsidRDefault="001A62D7" w:rsidP="001A62D7">
      <w:pPr>
        <w:pStyle w:val="ManualHeading3"/>
        <w:rPr>
          <w:noProof/>
        </w:rPr>
      </w:pPr>
      <w:r w:rsidRPr="002C07B0">
        <w:rPr>
          <w:noProof/>
        </w:rPr>
        <w:t>Enterprises and beneficiaries concerned</w:t>
      </w:r>
    </w:p>
    <w:p w:rsidR="001A62D7" w:rsidRPr="002C07B0" w:rsidRDefault="001A62D7" w:rsidP="00AE7D04">
      <w:pPr>
        <w:pStyle w:val="ManualNumPar1"/>
        <w:rPr>
          <w:noProof/>
          <w:szCs w:val="24"/>
        </w:rPr>
      </w:pPr>
      <w:r>
        <w:rPr>
          <w:noProof/>
        </w:rPr>
        <w:t>5.</w:t>
      </w:r>
      <w:r>
        <w:rPr>
          <w:noProof/>
        </w:rPr>
        <w:tab/>
      </w:r>
      <w:r w:rsidRPr="002C07B0">
        <w:rPr>
          <w:noProof/>
        </w:rPr>
        <w:t xml:space="preserve">The application relates to </w:t>
      </w:r>
      <w:r w:rsidR="00796CA6">
        <w:rPr>
          <w:noProof/>
        </w:rPr>
        <w:t>662</w:t>
      </w:r>
      <w:r w:rsidRPr="002C07B0">
        <w:rPr>
          <w:noProof/>
        </w:rPr>
        <w:t xml:space="preserve"> workers whose activity has ceased in </w:t>
      </w:r>
      <w:r w:rsidR="001C1059" w:rsidRPr="002C07B0">
        <w:rPr>
          <w:noProof/>
        </w:rPr>
        <w:t>Cora SA</w:t>
      </w:r>
      <w:r w:rsidRPr="002C07B0">
        <w:rPr>
          <w:noProof/>
        </w:rPr>
        <w:t xml:space="preserve"> and</w:t>
      </w:r>
      <w:r w:rsidR="00171F71" w:rsidRPr="002C07B0">
        <w:rPr>
          <w:noProof/>
        </w:rPr>
        <w:t xml:space="preserve"> one</w:t>
      </w:r>
      <w:r w:rsidR="007F4B7C" w:rsidRPr="002C07B0">
        <w:rPr>
          <w:noProof/>
        </w:rPr>
        <w:t xml:space="preserve"> of its</w:t>
      </w:r>
      <w:r w:rsidRPr="002C07B0">
        <w:rPr>
          <w:noProof/>
        </w:rPr>
        <w:t xml:space="preserve"> supplier</w:t>
      </w:r>
      <w:r w:rsidR="007F4B7C" w:rsidRPr="002C07B0">
        <w:rPr>
          <w:noProof/>
        </w:rPr>
        <w:t>s</w:t>
      </w:r>
      <w:r w:rsidRPr="002C07B0">
        <w:rPr>
          <w:noProof/>
        </w:rPr>
        <w:t>. The primary enterprise operated</w:t>
      </w:r>
      <w:r w:rsidR="00171F71" w:rsidRPr="002C07B0">
        <w:rPr>
          <w:noProof/>
        </w:rPr>
        <w:t xml:space="preserve"> </w:t>
      </w:r>
      <w:r w:rsidRPr="002C07B0">
        <w:rPr>
          <w:noProof/>
        </w:rPr>
        <w:t xml:space="preserve">in the economic sector classified under the NACE Revision 2 division </w:t>
      </w:r>
      <w:r w:rsidR="001C1059" w:rsidRPr="002C07B0">
        <w:rPr>
          <w:noProof/>
          <w:szCs w:val="24"/>
        </w:rPr>
        <w:t>47</w:t>
      </w:r>
      <w:r w:rsidRPr="002C07B0">
        <w:rPr>
          <w:noProof/>
          <w:szCs w:val="24"/>
        </w:rPr>
        <w:t xml:space="preserve"> (</w:t>
      </w:r>
      <w:r w:rsidR="001C1059" w:rsidRPr="002C07B0">
        <w:rPr>
          <w:noProof/>
          <w:szCs w:val="24"/>
        </w:rPr>
        <w:t>Retail trade, except of motor vehicles and motorcycles</w:t>
      </w:r>
      <w:r w:rsidR="00171F71" w:rsidRPr="002C07B0">
        <w:rPr>
          <w:noProof/>
          <w:szCs w:val="24"/>
        </w:rPr>
        <w:t xml:space="preserve">. </w:t>
      </w:r>
      <w:r w:rsidRPr="002C07B0">
        <w:rPr>
          <w:noProof/>
        </w:rPr>
        <w:t xml:space="preserve">The </w:t>
      </w:r>
      <w:r w:rsidR="00BF33E4" w:rsidRPr="002C07B0">
        <w:rPr>
          <w:noProof/>
        </w:rPr>
        <w:t>jobs displaced by</w:t>
      </w:r>
      <w:r w:rsidRPr="002C07B0">
        <w:rPr>
          <w:noProof/>
        </w:rPr>
        <w:t xml:space="preserve"> </w:t>
      </w:r>
      <w:r w:rsidR="003F5C8E" w:rsidRPr="002C07B0">
        <w:rPr>
          <w:noProof/>
        </w:rPr>
        <w:t xml:space="preserve">Cora and its provider </w:t>
      </w:r>
      <w:r w:rsidRPr="002C07B0">
        <w:rPr>
          <w:noProof/>
        </w:rPr>
        <w:t xml:space="preserve">are mainly located in the NUTS 2 region of </w:t>
      </w:r>
      <w:r w:rsidR="007F4B7C" w:rsidRPr="002C07B0">
        <w:rPr>
          <w:noProof/>
          <w:szCs w:val="24"/>
        </w:rPr>
        <w:t>Province Hainaut</w:t>
      </w:r>
      <w:r w:rsidRPr="002C07B0">
        <w:rPr>
          <w:noProof/>
          <w:szCs w:val="24"/>
        </w:rPr>
        <w:t xml:space="preserve"> (</w:t>
      </w:r>
      <w:r w:rsidR="007F4B7C" w:rsidRPr="002C07B0">
        <w:rPr>
          <w:noProof/>
          <w:szCs w:val="24"/>
        </w:rPr>
        <w:t>BE32</w:t>
      </w:r>
      <w:r w:rsidRPr="002C07B0">
        <w:rPr>
          <w:noProof/>
          <w:szCs w:val="24"/>
        </w:rPr>
        <w:t>)</w:t>
      </w:r>
      <w:r w:rsidR="007F4B7C" w:rsidRPr="002C07B0">
        <w:rPr>
          <w:noProof/>
          <w:szCs w:val="24"/>
        </w:rPr>
        <w:t>.</w:t>
      </w:r>
      <w:r w:rsidRPr="002C07B0">
        <w:rPr>
          <w:noProof/>
          <w:szCs w:val="24"/>
        </w:rPr>
        <w:t xml:space="preserve"> </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2C07B0" w:rsidTr="001D5990">
        <w:trPr>
          <w:trHeight w:val="284"/>
          <w:tblHeader/>
        </w:trPr>
        <w:tc>
          <w:tcPr>
            <w:tcW w:w="8340" w:type="dxa"/>
            <w:gridSpan w:val="6"/>
            <w:shd w:val="clear" w:color="auto" w:fill="D9D9D9" w:themeFill="background1" w:themeFillShade="D9"/>
          </w:tcPr>
          <w:p w:rsidR="001A62D7" w:rsidRPr="002C07B0" w:rsidRDefault="001A62D7" w:rsidP="001D5990">
            <w:pPr>
              <w:spacing w:beforeLines="20" w:before="48" w:afterLines="20" w:after="48" w:line="276" w:lineRule="auto"/>
              <w:ind w:left="57"/>
              <w:jc w:val="center"/>
              <w:rPr>
                <w:rFonts w:eastAsia="Calibri"/>
                <w:noProof/>
                <w:szCs w:val="24"/>
              </w:rPr>
            </w:pPr>
            <w:r w:rsidRPr="002C07B0">
              <w:rPr>
                <w:rFonts w:eastAsia="Calibri"/>
                <w:b/>
                <w:noProof/>
                <w:szCs w:val="24"/>
              </w:rPr>
              <w:t>Enterprises and number of displacements within the reference period</w:t>
            </w:r>
          </w:p>
        </w:tc>
      </w:tr>
      <w:tr w:rsidR="001A62D7" w:rsidRPr="002C07B0" w:rsidTr="001D5990">
        <w:tc>
          <w:tcPr>
            <w:tcW w:w="3360" w:type="dxa"/>
            <w:tcBorders>
              <w:bottom w:val="nil"/>
              <w:right w:val="nil"/>
            </w:tcBorders>
            <w:shd w:val="clear" w:color="auto" w:fill="auto"/>
            <w:vAlign w:val="center"/>
          </w:tcPr>
          <w:p w:rsidR="001A62D7" w:rsidRPr="002C07B0" w:rsidRDefault="001C1059" w:rsidP="001D5990">
            <w:pPr>
              <w:spacing w:before="0" w:after="0"/>
              <w:ind w:right="252"/>
              <w:jc w:val="left"/>
              <w:rPr>
                <w:noProof/>
                <w:sz w:val="20"/>
              </w:rPr>
            </w:pPr>
            <w:r w:rsidRPr="002C07B0">
              <w:rPr>
                <w:noProof/>
                <w:sz w:val="20"/>
              </w:rPr>
              <w:t>Cora</w:t>
            </w:r>
          </w:p>
        </w:tc>
        <w:tc>
          <w:tcPr>
            <w:tcW w:w="840" w:type="dxa"/>
            <w:gridSpan w:val="2"/>
            <w:tcBorders>
              <w:left w:val="nil"/>
              <w:bottom w:val="nil"/>
            </w:tcBorders>
            <w:shd w:val="clear" w:color="auto" w:fill="auto"/>
            <w:vAlign w:val="center"/>
          </w:tcPr>
          <w:p w:rsidR="001A62D7" w:rsidRPr="002C07B0" w:rsidRDefault="00AE115B" w:rsidP="001D5990">
            <w:pPr>
              <w:spacing w:before="0" w:after="0"/>
              <w:ind w:left="-828"/>
              <w:jc w:val="right"/>
              <w:rPr>
                <w:noProof/>
                <w:sz w:val="20"/>
                <w:szCs w:val="20"/>
              </w:rPr>
            </w:pPr>
            <w:r w:rsidRPr="002C07B0">
              <w:rPr>
                <w:noProof/>
                <w:sz w:val="20"/>
                <w:szCs w:val="20"/>
              </w:rPr>
              <w:t>621</w:t>
            </w:r>
          </w:p>
        </w:tc>
        <w:tc>
          <w:tcPr>
            <w:tcW w:w="3540" w:type="dxa"/>
            <w:gridSpan w:val="2"/>
            <w:tcBorders>
              <w:bottom w:val="nil"/>
              <w:right w:val="nil"/>
            </w:tcBorders>
            <w:shd w:val="clear" w:color="auto" w:fill="auto"/>
            <w:vAlign w:val="center"/>
          </w:tcPr>
          <w:p w:rsidR="001A62D7" w:rsidRPr="002C07B0" w:rsidRDefault="00F64CE7" w:rsidP="001D5990">
            <w:pPr>
              <w:spacing w:before="0" w:after="0"/>
              <w:jc w:val="left"/>
              <w:rPr>
                <w:noProof/>
                <w:sz w:val="20"/>
              </w:rPr>
            </w:pPr>
            <w:r w:rsidRPr="002C07B0">
              <w:rPr>
                <w:noProof/>
                <w:sz w:val="20"/>
              </w:rPr>
              <w:t>STEF Logistics Courcelles</w:t>
            </w:r>
          </w:p>
        </w:tc>
        <w:tc>
          <w:tcPr>
            <w:tcW w:w="600" w:type="dxa"/>
            <w:tcBorders>
              <w:left w:val="nil"/>
              <w:bottom w:val="nil"/>
            </w:tcBorders>
            <w:shd w:val="clear" w:color="auto" w:fill="auto"/>
            <w:vAlign w:val="center"/>
          </w:tcPr>
          <w:p w:rsidR="001A62D7" w:rsidRPr="002C07B0" w:rsidRDefault="00D5498B" w:rsidP="001D5990">
            <w:pPr>
              <w:spacing w:before="0" w:after="0"/>
              <w:ind w:left="-828"/>
              <w:jc w:val="right"/>
              <w:rPr>
                <w:noProof/>
                <w:sz w:val="20"/>
              </w:rPr>
            </w:pPr>
            <w:r w:rsidRPr="002C07B0">
              <w:rPr>
                <w:noProof/>
                <w:sz w:val="20"/>
                <w:szCs w:val="20"/>
              </w:rPr>
              <w:t>41</w:t>
            </w:r>
          </w:p>
        </w:tc>
      </w:tr>
      <w:tr w:rsidR="001A62D7" w:rsidRPr="002C07B0" w:rsidTr="001D5990">
        <w:trPr>
          <w:trHeight w:val="284"/>
        </w:trPr>
        <w:tc>
          <w:tcPr>
            <w:tcW w:w="3840" w:type="dxa"/>
            <w:gridSpan w:val="2"/>
            <w:tcBorders>
              <w:bottom w:val="nil"/>
              <w:right w:val="nil"/>
            </w:tcBorders>
            <w:shd w:val="clear" w:color="auto" w:fill="E6E6E6"/>
            <w:vAlign w:val="center"/>
          </w:tcPr>
          <w:p w:rsidR="001A62D7" w:rsidRPr="002C07B0" w:rsidRDefault="001A62D7" w:rsidP="001D5990">
            <w:pPr>
              <w:spacing w:beforeLines="20" w:before="48" w:afterLines="20" w:after="48" w:line="276" w:lineRule="auto"/>
              <w:ind w:left="57"/>
              <w:jc w:val="left"/>
              <w:rPr>
                <w:rFonts w:eastAsia="Calibri"/>
                <w:b/>
                <w:noProof/>
                <w:szCs w:val="24"/>
              </w:rPr>
            </w:pPr>
            <w:r w:rsidRPr="002C07B0">
              <w:rPr>
                <w:rFonts w:eastAsia="Calibri"/>
                <w:noProof/>
                <w:szCs w:val="24"/>
              </w:rPr>
              <w:br w:type="page"/>
            </w:r>
            <w:r w:rsidRPr="002C07B0">
              <w:rPr>
                <w:rFonts w:eastAsia="Calibri"/>
                <w:b/>
                <w:noProof/>
                <w:szCs w:val="24"/>
              </w:rPr>
              <w:t>Total no. of enterprises:</w:t>
            </w:r>
            <w:r w:rsidRPr="002C07B0">
              <w:rPr>
                <w:b/>
                <w:noProof/>
                <w:sz w:val="22"/>
              </w:rPr>
              <w:t xml:space="preserve"> </w:t>
            </w:r>
            <w:r w:rsidR="0066781E" w:rsidRPr="002C07B0">
              <w:rPr>
                <w:b/>
                <w:noProof/>
              </w:rPr>
              <w:t>2</w:t>
            </w:r>
          </w:p>
        </w:tc>
        <w:tc>
          <w:tcPr>
            <w:tcW w:w="3300" w:type="dxa"/>
            <w:gridSpan w:val="2"/>
            <w:tcBorders>
              <w:left w:val="nil"/>
              <w:bottom w:val="nil"/>
              <w:right w:val="nil"/>
            </w:tcBorders>
            <w:shd w:val="clear" w:color="auto" w:fill="E6E6E6"/>
            <w:vAlign w:val="center"/>
          </w:tcPr>
          <w:p w:rsidR="001A62D7" w:rsidRPr="002C07B0" w:rsidRDefault="001A62D7" w:rsidP="001D5990">
            <w:pPr>
              <w:spacing w:beforeLines="20" w:before="48" w:afterLines="20" w:after="48" w:line="276" w:lineRule="auto"/>
              <w:ind w:left="57" w:right="227"/>
              <w:jc w:val="left"/>
              <w:rPr>
                <w:rFonts w:eastAsia="Calibri"/>
                <w:b/>
                <w:noProof/>
                <w:szCs w:val="24"/>
              </w:rPr>
            </w:pPr>
            <w:r w:rsidRPr="002C07B0">
              <w:rPr>
                <w:rFonts w:eastAsia="Calibri"/>
                <w:b/>
                <w:noProof/>
                <w:szCs w:val="24"/>
              </w:rPr>
              <w:t>Total no. of displacements:</w:t>
            </w:r>
            <w:r w:rsidRPr="002C07B0">
              <w:rPr>
                <w:b/>
                <w:noProof/>
                <w:sz w:val="22"/>
              </w:rPr>
              <w:t xml:space="preserve"> </w:t>
            </w:r>
          </w:p>
        </w:tc>
        <w:tc>
          <w:tcPr>
            <w:tcW w:w="1200" w:type="dxa"/>
            <w:gridSpan w:val="2"/>
            <w:tcBorders>
              <w:left w:val="nil"/>
              <w:bottom w:val="nil"/>
            </w:tcBorders>
            <w:shd w:val="clear" w:color="auto" w:fill="E6E6E6"/>
            <w:vAlign w:val="center"/>
          </w:tcPr>
          <w:p w:rsidR="001A62D7" w:rsidRPr="002C07B0" w:rsidRDefault="00AE115B" w:rsidP="001D5990">
            <w:pPr>
              <w:spacing w:beforeLines="20" w:before="48" w:afterLines="20" w:after="48" w:line="276" w:lineRule="auto"/>
              <w:ind w:left="57" w:right="227"/>
              <w:jc w:val="left"/>
              <w:rPr>
                <w:rFonts w:eastAsia="Calibri"/>
                <w:b/>
                <w:noProof/>
                <w:szCs w:val="24"/>
              </w:rPr>
            </w:pPr>
            <w:r w:rsidRPr="002C07B0">
              <w:rPr>
                <w:b/>
                <w:noProof/>
              </w:rPr>
              <w:t>662</w:t>
            </w:r>
          </w:p>
        </w:tc>
      </w:tr>
      <w:tr w:rsidR="001A62D7" w:rsidRPr="002C07B0" w:rsidTr="001D5990">
        <w:trPr>
          <w:trHeight w:val="284"/>
        </w:trPr>
        <w:tc>
          <w:tcPr>
            <w:tcW w:w="7140" w:type="dxa"/>
            <w:gridSpan w:val="4"/>
            <w:tcBorders>
              <w:top w:val="nil"/>
              <w:right w:val="nil"/>
            </w:tcBorders>
            <w:shd w:val="clear" w:color="auto" w:fill="E6E6E6"/>
            <w:vAlign w:val="center"/>
          </w:tcPr>
          <w:p w:rsidR="001A62D7" w:rsidRPr="002C07B0" w:rsidRDefault="001A62D7" w:rsidP="001D5990">
            <w:pPr>
              <w:spacing w:beforeLines="20" w:before="48" w:afterLines="20" w:after="48" w:line="276" w:lineRule="auto"/>
              <w:ind w:left="57"/>
              <w:jc w:val="left"/>
              <w:rPr>
                <w:rFonts w:eastAsia="Calibri"/>
                <w:b/>
                <w:noProof/>
                <w:szCs w:val="24"/>
              </w:rPr>
            </w:pPr>
            <w:r w:rsidRPr="002C07B0">
              <w:rPr>
                <w:rFonts w:eastAsia="Calibri"/>
                <w:b/>
                <w:noProof/>
                <w:szCs w:val="24"/>
              </w:rPr>
              <w:t xml:space="preserve">Total no. of eligible workers: </w:t>
            </w:r>
          </w:p>
        </w:tc>
        <w:tc>
          <w:tcPr>
            <w:tcW w:w="1200" w:type="dxa"/>
            <w:gridSpan w:val="2"/>
            <w:tcBorders>
              <w:top w:val="nil"/>
              <w:left w:val="nil"/>
            </w:tcBorders>
            <w:shd w:val="clear" w:color="auto" w:fill="E6E6E6"/>
            <w:vAlign w:val="center"/>
          </w:tcPr>
          <w:p w:rsidR="001A62D7" w:rsidRPr="002C07B0" w:rsidRDefault="00AE115B" w:rsidP="001D5990">
            <w:pPr>
              <w:spacing w:beforeLines="20" w:before="48" w:afterLines="20" w:after="48" w:line="276" w:lineRule="auto"/>
              <w:ind w:left="57" w:right="227"/>
              <w:jc w:val="left"/>
              <w:rPr>
                <w:rFonts w:eastAsia="Calibri"/>
                <w:b/>
                <w:noProof/>
                <w:szCs w:val="24"/>
              </w:rPr>
            </w:pPr>
            <w:r w:rsidRPr="002C07B0">
              <w:rPr>
                <w:b/>
                <w:noProof/>
              </w:rPr>
              <w:t>662</w:t>
            </w:r>
          </w:p>
        </w:tc>
      </w:tr>
    </w:tbl>
    <w:p w:rsidR="001A62D7" w:rsidRPr="002C07B0" w:rsidRDefault="001A62D7" w:rsidP="001A62D7">
      <w:pPr>
        <w:pStyle w:val="ManualHeading3"/>
        <w:rPr>
          <w:noProof/>
        </w:rPr>
      </w:pPr>
      <w:r w:rsidRPr="002C07B0">
        <w:rPr>
          <w:noProof/>
        </w:rPr>
        <w:lastRenderedPageBreak/>
        <w:t>Intervention criteria</w:t>
      </w:r>
    </w:p>
    <w:p w:rsidR="001A62D7" w:rsidRPr="002C07B0" w:rsidRDefault="00953996" w:rsidP="001A62D7">
      <w:pPr>
        <w:pStyle w:val="ManualNumPar1"/>
        <w:rPr>
          <w:noProof/>
        </w:rPr>
      </w:pPr>
      <w:r>
        <w:rPr>
          <w:noProof/>
        </w:rPr>
        <w:t>6.</w:t>
      </w:r>
      <w:r>
        <w:rPr>
          <w:noProof/>
        </w:rPr>
        <w:tab/>
      </w:r>
      <w:r w:rsidRPr="002C07B0">
        <w:rPr>
          <w:noProof/>
        </w:rPr>
        <w:t>Belgium</w:t>
      </w:r>
      <w:r w:rsidR="001A62D7" w:rsidRPr="002C07B0">
        <w:rPr>
          <w:noProof/>
        </w:rPr>
        <w:t xml:space="preserve"> submitted the application under the intervention criteria of </w:t>
      </w:r>
      <w:r w:rsidR="001A62D7" w:rsidRPr="002C07B0">
        <w:rPr>
          <w:rFonts w:eastAsia="Calibri"/>
          <w:noProof/>
        </w:rPr>
        <w:t>Article 4(</w:t>
      </w:r>
      <w:r w:rsidR="00D57806" w:rsidRPr="002C07B0">
        <w:rPr>
          <w:rFonts w:eastAsia="Calibri"/>
          <w:noProof/>
        </w:rPr>
        <w:t>2), point (a)</w:t>
      </w:r>
      <w:r w:rsidR="001A62D7" w:rsidRPr="002C07B0">
        <w:rPr>
          <w:rFonts w:eastAsia="Calibri"/>
          <w:noProof/>
        </w:rPr>
        <w:t>,</w:t>
      </w:r>
      <w:r w:rsidR="001A62D7" w:rsidRPr="002C07B0">
        <w:rPr>
          <w:noProof/>
        </w:rPr>
        <w:t xml:space="preserve"> of Regulation (EU) 2021/691, which requires the cessation of activity of at least 200 displaced workers over a reference period of four months in an enterprise in a Member State, including workers displaced in suppliers and downstream producers</w:t>
      </w:r>
      <w:r w:rsidR="00D57806" w:rsidRPr="002C07B0">
        <w:rPr>
          <w:noProof/>
        </w:rPr>
        <w:t>.</w:t>
      </w:r>
    </w:p>
    <w:p w:rsidR="00AA58A5" w:rsidRPr="002C07B0" w:rsidRDefault="001A62D7" w:rsidP="00D474B0">
      <w:pPr>
        <w:pStyle w:val="ManualNumPar1"/>
        <w:rPr>
          <w:noProof/>
        </w:rPr>
      </w:pPr>
      <w:r>
        <w:rPr>
          <w:noProof/>
        </w:rPr>
        <w:t>7.</w:t>
      </w:r>
      <w:r>
        <w:rPr>
          <w:noProof/>
        </w:rPr>
        <w:tab/>
      </w:r>
      <w:bookmarkStart w:id="8" w:name="_Ref372189348"/>
      <w:r w:rsidRPr="002C07B0">
        <w:rPr>
          <w:noProof/>
        </w:rPr>
        <w:t xml:space="preserve">The reference period of four months for the application runs from </w:t>
      </w:r>
      <w:r w:rsidR="000E7662" w:rsidRPr="002C07B0">
        <w:rPr>
          <w:noProof/>
        </w:rPr>
        <w:t>1 September 2025</w:t>
      </w:r>
      <w:r w:rsidRPr="002C07B0">
        <w:rPr>
          <w:noProof/>
        </w:rPr>
        <w:t xml:space="preserve"> to </w:t>
      </w:r>
      <w:bookmarkEnd w:id="8"/>
      <w:r w:rsidR="000E7662" w:rsidRPr="002C07B0">
        <w:rPr>
          <w:noProof/>
        </w:rPr>
        <w:t>1 January 2026</w:t>
      </w:r>
      <w:r w:rsidRPr="002C07B0">
        <w:rPr>
          <w:noProof/>
        </w:rPr>
        <w:t>.</w:t>
      </w:r>
      <w:r w:rsidR="00D21418" w:rsidRPr="002C07B0">
        <w:rPr>
          <w:noProof/>
        </w:rPr>
        <w:t xml:space="preserve"> </w:t>
      </w:r>
    </w:p>
    <w:p w:rsidR="00F808CC" w:rsidRPr="002C07B0" w:rsidRDefault="001A62D7" w:rsidP="00D474B0">
      <w:pPr>
        <w:pStyle w:val="ManualNumPar1"/>
        <w:rPr>
          <w:noProof/>
        </w:rPr>
      </w:pPr>
      <w:r>
        <w:rPr>
          <w:noProof/>
        </w:rPr>
        <w:t>8.</w:t>
      </w:r>
      <w:r>
        <w:rPr>
          <w:noProof/>
        </w:rPr>
        <w:tab/>
      </w:r>
      <w:r w:rsidRPr="002C07B0">
        <w:rPr>
          <w:noProof/>
        </w:rPr>
        <w:t>The</w:t>
      </w:r>
      <w:r w:rsidR="00D21418" w:rsidRPr="002C07B0">
        <w:rPr>
          <w:noProof/>
        </w:rPr>
        <w:t>re were</w:t>
      </w:r>
      <w:r w:rsidRPr="002C07B0">
        <w:rPr>
          <w:noProof/>
        </w:rPr>
        <w:t xml:space="preserve"> </w:t>
      </w:r>
      <w:r w:rsidR="00AE115B" w:rsidRPr="002C07B0">
        <w:rPr>
          <w:noProof/>
        </w:rPr>
        <w:t>662</w:t>
      </w:r>
      <w:r w:rsidRPr="002C07B0">
        <w:rPr>
          <w:noProof/>
        </w:rPr>
        <w:t xml:space="preserve"> </w:t>
      </w:r>
      <w:r w:rsidR="006F2B4D" w:rsidRPr="002C07B0">
        <w:rPr>
          <w:noProof/>
        </w:rPr>
        <w:t>job displacements</w:t>
      </w:r>
      <w:r w:rsidR="00D21418" w:rsidRPr="002C07B0">
        <w:rPr>
          <w:noProof/>
        </w:rPr>
        <w:t xml:space="preserve"> during the reference period</w:t>
      </w:r>
      <w:r w:rsidR="00AA58A5" w:rsidRPr="002C07B0">
        <w:rPr>
          <w:noProof/>
        </w:rPr>
        <w:t>.</w:t>
      </w:r>
    </w:p>
    <w:p w:rsidR="001A62D7" w:rsidRPr="002C07B0" w:rsidRDefault="001A62D7" w:rsidP="001A62D7">
      <w:pPr>
        <w:pStyle w:val="ManualHeading3"/>
        <w:rPr>
          <w:noProof/>
        </w:rPr>
      </w:pPr>
      <w:r w:rsidRPr="002C07B0">
        <w:rPr>
          <w:noProof/>
        </w:rPr>
        <w:t>Calculation of displacements and of cessation of activity</w:t>
      </w:r>
    </w:p>
    <w:p w:rsidR="001A62D7" w:rsidRPr="002C07B0" w:rsidRDefault="001A62D7" w:rsidP="00D21418">
      <w:pPr>
        <w:pStyle w:val="ManualNumPar1"/>
        <w:rPr>
          <w:noProof/>
        </w:rPr>
      </w:pPr>
      <w:r>
        <w:rPr>
          <w:noProof/>
        </w:rPr>
        <w:t>9.</w:t>
      </w:r>
      <w:r>
        <w:rPr>
          <w:noProof/>
        </w:rPr>
        <w:tab/>
      </w:r>
      <w:r w:rsidRPr="002C07B0">
        <w:rPr>
          <w:noProof/>
        </w:rPr>
        <w:t>Pursuant to Article 6, first paragraph, point (a), in conjunction with Article 5, first paragraph</w:t>
      </w:r>
      <w:r w:rsidR="00D21418" w:rsidRPr="002C07B0">
        <w:rPr>
          <w:noProof/>
        </w:rPr>
        <w:t>, point (c)</w:t>
      </w:r>
      <w:r w:rsidRPr="002C07B0">
        <w:rPr>
          <w:noProof/>
        </w:rPr>
        <w:t xml:space="preserve"> of Regulation (EU) 2021/691,</w:t>
      </w:r>
      <w:r w:rsidRPr="002C07B0" w:rsidDel="00991BDD">
        <w:rPr>
          <w:noProof/>
        </w:rPr>
        <w:t xml:space="preserve"> </w:t>
      </w:r>
      <w:r w:rsidR="009C2E1D" w:rsidRPr="002C07B0">
        <w:rPr>
          <w:noProof/>
        </w:rPr>
        <w:t xml:space="preserve">the number of workers affected by job displacement </w:t>
      </w:r>
      <w:r w:rsidRPr="002C07B0">
        <w:rPr>
          <w:noProof/>
        </w:rPr>
        <w:t>during the reference period has been calculated</w:t>
      </w:r>
      <w:r w:rsidR="00D21418" w:rsidRPr="002C07B0">
        <w:rPr>
          <w:noProof/>
        </w:rPr>
        <w:t xml:space="preserve"> </w:t>
      </w:r>
      <w:r w:rsidRPr="002C07B0">
        <w:rPr>
          <w:noProof/>
        </w:rPr>
        <w:t>from the date of the de facto termination of the contract of employment or its expiry</w:t>
      </w:r>
      <w:r w:rsidR="00D21418" w:rsidRPr="002C07B0">
        <w:rPr>
          <w:noProof/>
        </w:rPr>
        <w:t>.</w:t>
      </w:r>
    </w:p>
    <w:p w:rsidR="001A62D7" w:rsidRPr="002C07B0" w:rsidRDefault="001A62D7" w:rsidP="001A62D7">
      <w:pPr>
        <w:pStyle w:val="ManualHeading3"/>
        <w:rPr>
          <w:noProof/>
        </w:rPr>
      </w:pPr>
      <w:r w:rsidRPr="002C07B0">
        <w:rPr>
          <w:noProof/>
        </w:rPr>
        <w:t>Eligible beneficiaries</w:t>
      </w:r>
    </w:p>
    <w:p w:rsidR="001A62D7" w:rsidRPr="002C07B0" w:rsidRDefault="001A62D7" w:rsidP="00AE7D04">
      <w:pPr>
        <w:pStyle w:val="ManualNumPar1"/>
        <w:rPr>
          <w:noProof/>
        </w:rPr>
      </w:pPr>
      <w:r>
        <w:rPr>
          <w:noProof/>
        </w:rPr>
        <w:t>10.</w:t>
      </w:r>
      <w:r>
        <w:rPr>
          <w:noProof/>
        </w:rPr>
        <w:tab/>
      </w:r>
      <w:r w:rsidRPr="002C07B0">
        <w:rPr>
          <w:noProof/>
        </w:rPr>
        <w:t xml:space="preserve">In addition to the </w:t>
      </w:r>
      <w:r w:rsidR="00AE115B" w:rsidRPr="002C07B0">
        <w:rPr>
          <w:noProof/>
        </w:rPr>
        <w:t xml:space="preserve">662 </w:t>
      </w:r>
      <w:r w:rsidRPr="002C07B0">
        <w:rPr>
          <w:noProof/>
        </w:rPr>
        <w:t xml:space="preserve">workers already referred to, the eligible beneficiaries include </w:t>
      </w:r>
      <w:r w:rsidR="00AE115B" w:rsidRPr="002C07B0">
        <w:rPr>
          <w:noProof/>
        </w:rPr>
        <w:t>595</w:t>
      </w:r>
      <w:r w:rsidRPr="002C07B0">
        <w:rPr>
          <w:noProof/>
        </w:rPr>
        <w:t xml:space="preserve"> displaced workers whose activity ceased before or after the reference period of four months. All these workers ceased their activity within the six months before the start of the reference period on </w:t>
      </w:r>
      <w:r w:rsidR="00D474B0" w:rsidRPr="002C07B0">
        <w:rPr>
          <w:noProof/>
        </w:rPr>
        <w:t>1 September 2025</w:t>
      </w:r>
      <w:r w:rsidRPr="002C07B0">
        <w:rPr>
          <w:noProof/>
        </w:rPr>
        <w:t xml:space="preserve"> and/or between the end of the reference period and the day before the adoption of this proposal, pursuant to Article 6, first paragraph, point (b), of Regulation (EU) 2021/691, as required by Article 6, second paragraph, of Regulation (EU) 2021/691. A clear causal link can be established with the event that triggered the cessations of activity of the displaced workers during the reference period as required by Article 6, second paragraph, of Regulation (EU) 2021/</w:t>
      </w:r>
      <w:r w:rsidR="00D5498B" w:rsidRPr="002C07B0">
        <w:rPr>
          <w:noProof/>
        </w:rPr>
        <w:t>691.</w:t>
      </w:r>
    </w:p>
    <w:p w:rsidR="001A62D7" w:rsidRPr="002C07B0" w:rsidRDefault="001A62D7" w:rsidP="00AE7D04">
      <w:pPr>
        <w:pStyle w:val="ManualNumPar1"/>
        <w:rPr>
          <w:noProof/>
        </w:rPr>
      </w:pPr>
      <w:r>
        <w:rPr>
          <w:noProof/>
        </w:rPr>
        <w:t>11.</w:t>
      </w:r>
      <w:r>
        <w:rPr>
          <w:noProof/>
        </w:rPr>
        <w:tab/>
      </w:r>
      <w:r w:rsidRPr="002C07B0">
        <w:rPr>
          <w:noProof/>
        </w:rPr>
        <w:t xml:space="preserve">The total number of eligible beneficiaries is </w:t>
      </w:r>
      <w:r w:rsidR="00AE115B" w:rsidRPr="002C07B0">
        <w:rPr>
          <w:noProof/>
        </w:rPr>
        <w:t>1 257</w:t>
      </w:r>
      <w:r w:rsidRPr="002C07B0">
        <w:rPr>
          <w:noProof/>
        </w:rPr>
        <w:t>.</w:t>
      </w:r>
    </w:p>
    <w:p w:rsidR="001A62D7" w:rsidRPr="002C07B0" w:rsidRDefault="001A62D7" w:rsidP="001A62D7">
      <w:pPr>
        <w:pStyle w:val="ManualHeading3"/>
        <w:rPr>
          <w:noProof/>
        </w:rPr>
      </w:pPr>
      <w:r w:rsidRPr="002C07B0">
        <w:rPr>
          <w:noProof/>
        </w:rPr>
        <w:t>Description of the events that led to the displacements and cessation of activity</w:t>
      </w:r>
    </w:p>
    <w:p w:rsidR="00CB71AD" w:rsidRPr="002C07B0" w:rsidRDefault="00CB71AD" w:rsidP="00AE7D04">
      <w:pPr>
        <w:pStyle w:val="ManualNumPar1"/>
        <w:rPr>
          <w:noProof/>
        </w:rPr>
      </w:pPr>
      <w:r>
        <w:rPr>
          <w:noProof/>
        </w:rPr>
        <w:t>12.</w:t>
      </w:r>
      <w:r>
        <w:rPr>
          <w:noProof/>
        </w:rPr>
        <w:tab/>
      </w:r>
      <w:r w:rsidRPr="002C07B0">
        <w:rPr>
          <w:noProof/>
        </w:rPr>
        <w:t>The hypermarket model currently faces significant challenges. Shifting consumer habits—with shoppers increasingly favouring quick, convenient shopping trips—alongside the rise of online grocery shopping</w:t>
      </w:r>
      <w:r w:rsidR="00796CA6">
        <w:rPr>
          <w:noProof/>
        </w:rPr>
        <w:t xml:space="preserve"> has</w:t>
      </w:r>
      <w:r w:rsidRPr="002C07B0">
        <w:rPr>
          <w:noProof/>
        </w:rPr>
        <w:t xml:space="preserve"> reduced the need to visit large stores. Competition from new retail formats has also intensified: neighbourhood supermarkets </w:t>
      </w:r>
      <w:r w:rsidR="00796CA6">
        <w:rPr>
          <w:noProof/>
        </w:rPr>
        <w:t xml:space="preserve">and </w:t>
      </w:r>
      <w:r w:rsidR="00796CA6" w:rsidRPr="002C07B0">
        <w:rPr>
          <w:noProof/>
        </w:rPr>
        <w:t>specialty stores, such as organic and gourmet retailers</w:t>
      </w:r>
      <w:r w:rsidR="00796CA6">
        <w:rPr>
          <w:noProof/>
        </w:rPr>
        <w:t>,</w:t>
      </w:r>
      <w:r w:rsidR="00796CA6" w:rsidRPr="002C07B0">
        <w:rPr>
          <w:noProof/>
        </w:rPr>
        <w:t xml:space="preserve"> </w:t>
      </w:r>
      <w:r w:rsidRPr="002C07B0">
        <w:rPr>
          <w:noProof/>
        </w:rPr>
        <w:t>are gaining market share</w:t>
      </w:r>
      <w:r w:rsidR="00796CA6">
        <w:rPr>
          <w:noProof/>
        </w:rPr>
        <w:t>.</w:t>
      </w:r>
      <w:r w:rsidRPr="002C07B0">
        <w:rPr>
          <w:noProof/>
        </w:rPr>
        <w:t xml:space="preserve"> Furthermore, the higher operating costs associated with the hypermarket model, compared to smaller or digital store formats, have pressured profitability.</w:t>
      </w:r>
    </w:p>
    <w:p w:rsidR="00CB71AD" w:rsidRPr="002C07B0" w:rsidRDefault="00CB71AD" w:rsidP="00AE7D04">
      <w:pPr>
        <w:pStyle w:val="ManualNumPar1"/>
        <w:rPr>
          <w:noProof/>
        </w:rPr>
      </w:pPr>
      <w:r>
        <w:rPr>
          <w:noProof/>
        </w:rPr>
        <w:t>13.</w:t>
      </w:r>
      <w:r>
        <w:rPr>
          <w:noProof/>
        </w:rPr>
        <w:tab/>
      </w:r>
      <w:r w:rsidRPr="002C07B0">
        <w:rPr>
          <w:noProof/>
        </w:rPr>
        <w:t>To adapt to these market changes and improve its financial position, Cora implemented several initiatives</w:t>
      </w:r>
      <w:r w:rsidR="00D5498B" w:rsidRPr="002C07B0">
        <w:rPr>
          <w:noProof/>
        </w:rPr>
        <w:t xml:space="preserve">, such as </w:t>
      </w:r>
      <w:r w:rsidRPr="002C07B0">
        <w:rPr>
          <w:noProof/>
        </w:rPr>
        <w:t>multiple recovery plans (introduced in 2014, 2017 and 2023), recapitalisations totalling nearly EUR 112 million since 2020, and strategic commercial collaborations with Carrefour and Intermarché.</w:t>
      </w:r>
    </w:p>
    <w:p w:rsidR="001B689F" w:rsidRPr="002C07B0" w:rsidRDefault="00CB71AD" w:rsidP="001B689F">
      <w:pPr>
        <w:pStyle w:val="ManualNumPar1"/>
        <w:rPr>
          <w:noProof/>
        </w:rPr>
      </w:pPr>
      <w:r>
        <w:rPr>
          <w:noProof/>
        </w:rPr>
        <w:t>14.</w:t>
      </w:r>
      <w:r>
        <w:rPr>
          <w:noProof/>
        </w:rPr>
        <w:tab/>
      </w:r>
      <w:r w:rsidRPr="002C07B0">
        <w:rPr>
          <w:noProof/>
        </w:rPr>
        <w:t xml:space="preserve">Rising inflation weighed on operating costs. Since 2021, hourly wage costs have undergone ten successive </w:t>
      </w:r>
      <w:bookmarkStart w:id="9" w:name="_Hlk229485328"/>
      <w:r w:rsidRPr="002C07B0">
        <w:rPr>
          <w:noProof/>
        </w:rPr>
        <w:t>index-linked increases</w:t>
      </w:r>
      <w:bookmarkEnd w:id="9"/>
      <w:r w:rsidRPr="002C07B0">
        <w:rPr>
          <w:noProof/>
        </w:rPr>
        <w:t xml:space="preserve"> resulting in a cumulative rise of over 20%. In 2024, Cora reported an EUR 34 million loss and a 6,1% decline in revenue. Over the 2020–2024 period, Cora’s gross margin declined by EUR 16,1 </w:t>
      </w:r>
      <w:r w:rsidRPr="002C07B0">
        <w:rPr>
          <w:noProof/>
        </w:rPr>
        <w:lastRenderedPageBreak/>
        <w:t xml:space="preserve">million, while </w:t>
      </w:r>
      <w:bookmarkStart w:id="10" w:name="_Hlk229565472"/>
      <w:r w:rsidRPr="002C07B0">
        <w:rPr>
          <w:noProof/>
        </w:rPr>
        <w:t>EBITDA</w:t>
      </w:r>
      <w:bookmarkEnd w:id="10"/>
      <w:r w:rsidR="004834D6">
        <w:rPr>
          <w:rStyle w:val="FootnoteReference"/>
          <w:noProof/>
        </w:rPr>
        <w:footnoteReference w:id="6"/>
      </w:r>
      <w:r w:rsidRPr="002C07B0">
        <w:rPr>
          <w:noProof/>
        </w:rPr>
        <w:t xml:space="preserve"> deteriorated from EUR -3,7 million to EUR -22,5 million, contributing to a cumulative net loss of EUR 123 million</w:t>
      </w:r>
      <w:r w:rsidR="00CD4063" w:rsidRPr="002C07B0">
        <w:rPr>
          <w:rStyle w:val="FootnoteReference"/>
          <w:noProof/>
        </w:rPr>
        <w:footnoteReference w:id="7"/>
      </w:r>
      <w:r w:rsidRPr="002C07B0">
        <w:rPr>
          <w:noProof/>
        </w:rPr>
        <w:t>.</w:t>
      </w:r>
    </w:p>
    <w:p w:rsidR="001A62D7" w:rsidRPr="002C07B0" w:rsidRDefault="00A130CC" w:rsidP="00532504">
      <w:pPr>
        <w:pStyle w:val="ManualNumPar1"/>
        <w:rPr>
          <w:noProof/>
        </w:rPr>
      </w:pPr>
      <w:r>
        <w:rPr>
          <w:noProof/>
        </w:rPr>
        <w:t>15.</w:t>
      </w:r>
      <w:r>
        <w:rPr>
          <w:noProof/>
        </w:rPr>
        <w:tab/>
      </w:r>
      <w:r w:rsidRPr="002C07B0">
        <w:rPr>
          <w:noProof/>
        </w:rPr>
        <w:t xml:space="preserve">Despite its efforts, Cora could not improve its financial position. Therefore, </w:t>
      </w:r>
      <w:r w:rsidR="00532504" w:rsidRPr="002C07B0">
        <w:rPr>
          <w:noProof/>
        </w:rPr>
        <w:t>the enterprise initiated collective redundancies in successive waves from September 2025, through a gradual wind</w:t>
      </w:r>
      <w:r w:rsidR="00E05564">
        <w:rPr>
          <w:noProof/>
        </w:rPr>
        <w:t>ing</w:t>
      </w:r>
      <w:r w:rsidR="00532504" w:rsidRPr="002C07B0">
        <w:rPr>
          <w:noProof/>
        </w:rPr>
        <w:t>-down of operations.</w:t>
      </w:r>
    </w:p>
    <w:p w:rsidR="001A62D7" w:rsidRPr="002C07B0" w:rsidRDefault="001A62D7" w:rsidP="001A62D7">
      <w:pPr>
        <w:pStyle w:val="ManualHeading3"/>
        <w:tabs>
          <w:tab w:val="clear" w:pos="850"/>
          <w:tab w:val="left" w:pos="0"/>
        </w:tabs>
        <w:ind w:left="0" w:firstLine="0"/>
        <w:rPr>
          <w:noProof/>
        </w:rPr>
      </w:pPr>
      <w:r w:rsidRPr="002C07B0">
        <w:rPr>
          <w:noProof/>
        </w:rPr>
        <w:t>Expected impact of the displacements as regards the local, regional or national economy and employment</w:t>
      </w:r>
    </w:p>
    <w:p w:rsidR="00783113" w:rsidRPr="002C07B0" w:rsidRDefault="00783113" w:rsidP="00A5196A">
      <w:pPr>
        <w:pStyle w:val="ManualNumPar1"/>
        <w:rPr>
          <w:noProof/>
        </w:rPr>
      </w:pPr>
      <w:r>
        <w:rPr>
          <w:noProof/>
        </w:rPr>
        <w:t>16.</w:t>
      </w:r>
      <w:r>
        <w:rPr>
          <w:noProof/>
        </w:rPr>
        <w:tab/>
      </w:r>
      <w:r w:rsidRPr="002C07B0">
        <w:rPr>
          <w:noProof/>
        </w:rPr>
        <w:t>The displacement</w:t>
      </w:r>
      <w:r w:rsidR="00D62121">
        <w:rPr>
          <w:noProof/>
        </w:rPr>
        <w:t>s</w:t>
      </w:r>
      <w:r w:rsidRPr="002C07B0">
        <w:rPr>
          <w:noProof/>
        </w:rPr>
        <w:t xml:space="preserve"> by Cora represent a major social shock for Wallonia, as they occur in a labour market already weakened by other restructuring events such as TNT-FedEx</w:t>
      </w:r>
      <w:r w:rsidR="00E73E09" w:rsidRPr="002C07B0">
        <w:rPr>
          <w:rStyle w:val="FootnoteReference"/>
          <w:noProof/>
        </w:rPr>
        <w:footnoteReference w:id="8"/>
      </w:r>
      <w:r w:rsidRPr="002C07B0">
        <w:rPr>
          <w:noProof/>
        </w:rPr>
        <w:t>, Makro</w:t>
      </w:r>
      <w:r w:rsidR="00E73E09" w:rsidRPr="002C07B0">
        <w:rPr>
          <w:rStyle w:val="FootnoteReference"/>
          <w:noProof/>
        </w:rPr>
        <w:footnoteReference w:id="9"/>
      </w:r>
      <w:r w:rsidRPr="002C07B0">
        <w:rPr>
          <w:noProof/>
        </w:rPr>
        <w:t xml:space="preserve"> or Liber</w:t>
      </w:r>
      <w:r w:rsidR="00D62121">
        <w:rPr>
          <w:noProof/>
        </w:rPr>
        <w:t>t</w:t>
      </w:r>
      <w:r w:rsidRPr="002C07B0">
        <w:rPr>
          <w:noProof/>
        </w:rPr>
        <w:t>y</w:t>
      </w:r>
      <w:r w:rsidR="00DC549A" w:rsidRPr="002C07B0">
        <w:rPr>
          <w:rStyle w:val="FootnoteReference"/>
          <w:noProof/>
        </w:rPr>
        <w:footnoteReference w:id="10"/>
      </w:r>
      <w:r w:rsidRPr="002C07B0">
        <w:rPr>
          <w:noProof/>
        </w:rPr>
        <w:t xml:space="preserve"> for which Belgium also applied for EGF support</w:t>
      </w:r>
      <w:r w:rsidR="00D62121">
        <w:rPr>
          <w:noProof/>
        </w:rPr>
        <w:t>.</w:t>
      </w:r>
    </w:p>
    <w:p w:rsidR="001A3C97" w:rsidRPr="002C07B0" w:rsidRDefault="001A3C97" w:rsidP="00A5196A">
      <w:pPr>
        <w:pStyle w:val="ManualNumPar1"/>
        <w:rPr>
          <w:noProof/>
        </w:rPr>
      </w:pPr>
      <w:r>
        <w:rPr>
          <w:noProof/>
        </w:rPr>
        <w:t>17.</w:t>
      </w:r>
      <w:r>
        <w:rPr>
          <w:noProof/>
        </w:rPr>
        <w:tab/>
      </w:r>
      <w:r w:rsidRPr="002C07B0">
        <w:rPr>
          <w:noProof/>
        </w:rPr>
        <w:t xml:space="preserve">The unemployment rate in Belgium is </w:t>
      </w:r>
      <w:r w:rsidR="00F51BC2" w:rsidRPr="002C07B0">
        <w:rPr>
          <w:noProof/>
        </w:rPr>
        <w:t>6,4</w:t>
      </w:r>
      <w:r w:rsidRPr="002C07B0">
        <w:rPr>
          <w:noProof/>
        </w:rPr>
        <w:t>%</w:t>
      </w:r>
      <w:r w:rsidR="00C634D9" w:rsidRPr="002C07B0">
        <w:rPr>
          <w:rStyle w:val="FootnoteReference"/>
          <w:noProof/>
        </w:rPr>
        <w:footnoteReference w:id="11"/>
      </w:r>
      <w:r w:rsidRPr="002C07B0">
        <w:rPr>
          <w:noProof/>
        </w:rPr>
        <w:t xml:space="preserve">, </w:t>
      </w:r>
      <w:r w:rsidR="00C634D9" w:rsidRPr="002C07B0">
        <w:rPr>
          <w:noProof/>
        </w:rPr>
        <w:t xml:space="preserve">slightly above the </w:t>
      </w:r>
      <w:r w:rsidRPr="002C07B0">
        <w:rPr>
          <w:noProof/>
        </w:rPr>
        <w:t>EU average</w:t>
      </w:r>
      <w:r w:rsidR="00C634D9" w:rsidRPr="002C07B0">
        <w:rPr>
          <w:noProof/>
        </w:rPr>
        <w:t xml:space="preserve"> (5,8%)</w:t>
      </w:r>
      <w:r w:rsidR="00C634D9" w:rsidRPr="002C07B0">
        <w:rPr>
          <w:rStyle w:val="FootnoteReference"/>
          <w:noProof/>
        </w:rPr>
        <w:footnoteReference w:id="12"/>
      </w:r>
      <w:r w:rsidRPr="002C07B0">
        <w:rPr>
          <w:noProof/>
        </w:rPr>
        <w:t>. However, the</w:t>
      </w:r>
      <w:r w:rsidR="00F51BC2" w:rsidRPr="002C07B0">
        <w:rPr>
          <w:noProof/>
        </w:rPr>
        <w:t xml:space="preserve"> </w:t>
      </w:r>
      <w:r w:rsidRPr="002C07B0">
        <w:rPr>
          <w:noProof/>
        </w:rPr>
        <w:t xml:space="preserve">unemployment rate in Wallonia is </w:t>
      </w:r>
      <w:r w:rsidR="00C634D9" w:rsidRPr="002C07B0">
        <w:rPr>
          <w:noProof/>
        </w:rPr>
        <w:t>8,3</w:t>
      </w:r>
      <w:r w:rsidRPr="002C07B0">
        <w:rPr>
          <w:noProof/>
        </w:rPr>
        <w:t>%</w:t>
      </w:r>
      <w:r w:rsidR="00C634D9" w:rsidRPr="002C07B0">
        <w:rPr>
          <w:rStyle w:val="FootnoteReference"/>
          <w:noProof/>
        </w:rPr>
        <w:footnoteReference w:id="13"/>
      </w:r>
      <w:r w:rsidRPr="002C07B0">
        <w:rPr>
          <w:noProof/>
        </w:rPr>
        <w:t xml:space="preserve">, </w:t>
      </w:r>
      <w:r w:rsidR="00F51BC2" w:rsidRPr="002C07B0">
        <w:rPr>
          <w:noProof/>
        </w:rPr>
        <w:t xml:space="preserve">about </w:t>
      </w:r>
      <w:r w:rsidRPr="002C07B0">
        <w:rPr>
          <w:noProof/>
        </w:rPr>
        <w:t xml:space="preserve">2 percentage points (pp) higher than the national rate. </w:t>
      </w:r>
    </w:p>
    <w:p w:rsidR="0095683A" w:rsidRPr="002C07B0" w:rsidRDefault="0095683A" w:rsidP="00A5196A">
      <w:pPr>
        <w:pStyle w:val="ManualNumPar1"/>
        <w:rPr>
          <w:noProof/>
        </w:rPr>
      </w:pPr>
      <w:r>
        <w:rPr>
          <w:noProof/>
        </w:rPr>
        <w:t>18.</w:t>
      </w:r>
      <w:r>
        <w:rPr>
          <w:noProof/>
        </w:rPr>
        <w:tab/>
      </w:r>
      <w:r w:rsidRPr="002C07B0">
        <w:rPr>
          <w:noProof/>
        </w:rPr>
        <w:t>Belgium, citing data from Statbel, highlights that employment rates in Wallonia are strongly influenced by both age and educational attainment, with gaps of 23 to 30 percentage points between successive qualification levels. Among working-age adults, the employment rate reaches just 31% for those with low educational attainment, compared with 61% for those with intermediate qualifications and 84% for those with high attainment</w:t>
      </w:r>
      <w:r w:rsidRPr="002C07B0">
        <w:rPr>
          <w:rStyle w:val="FootnoteReference"/>
          <w:noProof/>
        </w:rPr>
        <w:footnoteReference w:id="14"/>
      </w:r>
      <w:r w:rsidRPr="002C07B0">
        <w:rPr>
          <w:noProof/>
        </w:rPr>
        <w:t>. Meanwhile, while the employment rate for the 25–49 age group stands at 77%, it declines by 16 percentage points for individuals aged 50 and over</w:t>
      </w:r>
      <w:r w:rsidR="006C5032" w:rsidRPr="002C07B0">
        <w:rPr>
          <w:rStyle w:val="FootnoteReference"/>
          <w:noProof/>
        </w:rPr>
        <w:footnoteReference w:id="15"/>
      </w:r>
      <w:r w:rsidRPr="002C07B0">
        <w:rPr>
          <w:noProof/>
        </w:rPr>
        <w:t>.</w:t>
      </w:r>
    </w:p>
    <w:p w:rsidR="00A5196A" w:rsidRPr="002C07B0" w:rsidRDefault="00EF012B" w:rsidP="00A5196A">
      <w:pPr>
        <w:pStyle w:val="ManualNumPar1"/>
        <w:rPr>
          <w:noProof/>
        </w:rPr>
      </w:pPr>
      <w:r>
        <w:rPr>
          <w:noProof/>
        </w:rPr>
        <w:t>19.</w:t>
      </w:r>
      <w:r>
        <w:rPr>
          <w:noProof/>
        </w:rPr>
        <w:tab/>
      </w:r>
      <w:r w:rsidRPr="002C07B0">
        <w:rPr>
          <w:noProof/>
        </w:rPr>
        <w:t>Cora</w:t>
      </w:r>
      <w:r w:rsidR="00A848B8" w:rsidRPr="002C07B0">
        <w:rPr>
          <w:noProof/>
        </w:rPr>
        <w:t xml:space="preserve"> had </w:t>
      </w:r>
      <w:r w:rsidRPr="002C07B0">
        <w:rPr>
          <w:noProof/>
        </w:rPr>
        <w:t xml:space="preserve">two </w:t>
      </w:r>
      <w:r w:rsidR="00A848B8" w:rsidRPr="002C07B0">
        <w:rPr>
          <w:noProof/>
        </w:rPr>
        <w:t xml:space="preserve">stores </w:t>
      </w:r>
      <w:r w:rsidRPr="002C07B0">
        <w:rPr>
          <w:noProof/>
        </w:rPr>
        <w:t>in Brussels</w:t>
      </w:r>
      <w:r w:rsidR="006C5032" w:rsidRPr="002C07B0">
        <w:rPr>
          <w:rStyle w:val="FootnoteReference"/>
          <w:noProof/>
        </w:rPr>
        <w:footnoteReference w:id="16"/>
      </w:r>
      <w:r w:rsidRPr="002C07B0">
        <w:rPr>
          <w:noProof/>
        </w:rPr>
        <w:t xml:space="preserve"> and five in Wallonia. The redundancies primarily concern the Walloon province of Hainaut</w:t>
      </w:r>
      <w:r w:rsidR="00D62121">
        <w:rPr>
          <w:noProof/>
        </w:rPr>
        <w:t>,</w:t>
      </w:r>
      <w:r w:rsidR="00F862B1" w:rsidRPr="002C07B0">
        <w:rPr>
          <w:noProof/>
        </w:rPr>
        <w:t xml:space="preserve"> where two in three displaced worker</w:t>
      </w:r>
      <w:r w:rsidR="00502D60">
        <w:rPr>
          <w:noProof/>
        </w:rPr>
        <w:t>s</w:t>
      </w:r>
      <w:r w:rsidR="00F862B1" w:rsidRPr="002C07B0">
        <w:rPr>
          <w:noProof/>
        </w:rPr>
        <w:t xml:space="preserve"> reside</w:t>
      </w:r>
      <w:r w:rsidRPr="002C07B0">
        <w:rPr>
          <w:noProof/>
        </w:rPr>
        <w:t xml:space="preserve">, and particularly the city of Charleroi </w:t>
      </w:r>
      <w:r w:rsidR="00F862B1" w:rsidRPr="002C07B0">
        <w:rPr>
          <w:noProof/>
        </w:rPr>
        <w:t xml:space="preserve">which also </w:t>
      </w:r>
      <w:r w:rsidR="00A848B8" w:rsidRPr="002C07B0">
        <w:rPr>
          <w:noProof/>
        </w:rPr>
        <w:t xml:space="preserve">hosted Cora's </w:t>
      </w:r>
      <w:r w:rsidRPr="002C07B0">
        <w:rPr>
          <w:noProof/>
        </w:rPr>
        <w:t>general services.</w:t>
      </w:r>
    </w:p>
    <w:p w:rsidR="00A331D5" w:rsidRPr="002C07B0" w:rsidRDefault="00CB3BCE" w:rsidP="000E51CF">
      <w:pPr>
        <w:pStyle w:val="ManualNumPar1"/>
        <w:rPr>
          <w:noProof/>
        </w:rPr>
      </w:pPr>
      <w:r>
        <w:rPr>
          <w:noProof/>
        </w:rPr>
        <w:t>20.</w:t>
      </w:r>
      <w:r>
        <w:rPr>
          <w:noProof/>
        </w:rPr>
        <w:tab/>
      </w:r>
      <w:bookmarkStart w:id="12" w:name="_Hlk229057170"/>
      <w:r w:rsidRPr="002C07B0">
        <w:rPr>
          <w:noProof/>
        </w:rPr>
        <w:t>Hainaut</w:t>
      </w:r>
      <w:r w:rsidR="000F579F" w:rsidRPr="002C07B0">
        <w:rPr>
          <w:noProof/>
        </w:rPr>
        <w:t xml:space="preserve"> </w:t>
      </w:r>
      <w:r w:rsidRPr="002C07B0">
        <w:rPr>
          <w:noProof/>
        </w:rPr>
        <w:t>is a disadvantaged labour market</w:t>
      </w:r>
      <w:r w:rsidR="00186428" w:rsidRPr="002C07B0">
        <w:rPr>
          <w:noProof/>
        </w:rPr>
        <w:t xml:space="preserve">. </w:t>
      </w:r>
      <w:r w:rsidR="007C1A8B" w:rsidRPr="002C07B0">
        <w:rPr>
          <w:noProof/>
        </w:rPr>
        <w:t xml:space="preserve">In </w:t>
      </w:r>
      <w:r w:rsidR="00412F5A" w:rsidRPr="002C07B0">
        <w:rPr>
          <w:noProof/>
        </w:rPr>
        <w:t xml:space="preserve">December </w:t>
      </w:r>
      <w:r w:rsidR="007C1A8B" w:rsidRPr="002C07B0">
        <w:rPr>
          <w:noProof/>
        </w:rPr>
        <w:t>202</w:t>
      </w:r>
      <w:r w:rsidR="00412F5A" w:rsidRPr="002C07B0">
        <w:rPr>
          <w:noProof/>
        </w:rPr>
        <w:t>5</w:t>
      </w:r>
      <w:r w:rsidR="007C1A8B" w:rsidRPr="002C07B0">
        <w:rPr>
          <w:noProof/>
        </w:rPr>
        <w:t xml:space="preserve">, </w:t>
      </w:r>
      <w:bookmarkStart w:id="13" w:name="_Hlk229565640"/>
      <w:r w:rsidR="007C1A8B" w:rsidRPr="002C07B0">
        <w:rPr>
          <w:noProof/>
        </w:rPr>
        <w:t>the</w:t>
      </w:r>
      <w:r w:rsidR="000E51CF" w:rsidRPr="002C07B0">
        <w:rPr>
          <w:noProof/>
        </w:rPr>
        <w:t xml:space="preserve"> registered </w:t>
      </w:r>
      <w:r w:rsidR="00AB00A1" w:rsidRPr="002C07B0">
        <w:rPr>
          <w:noProof/>
        </w:rPr>
        <w:t>unemployed</w:t>
      </w:r>
      <w:r w:rsidR="000E51CF" w:rsidRPr="002C07B0">
        <w:rPr>
          <w:noProof/>
        </w:rPr>
        <w:t xml:space="preserve"> jobseeker rate</w:t>
      </w:r>
      <w:r w:rsidR="007C1A8B" w:rsidRPr="002C07B0">
        <w:rPr>
          <w:noProof/>
        </w:rPr>
        <w:t xml:space="preserve"> in Hainaut</w:t>
      </w:r>
      <w:bookmarkEnd w:id="13"/>
      <w:r w:rsidR="007C1A8B" w:rsidRPr="002C07B0">
        <w:rPr>
          <w:noProof/>
        </w:rPr>
        <w:t xml:space="preserve"> was 1</w:t>
      </w:r>
      <w:r w:rsidR="00412F5A" w:rsidRPr="002C07B0">
        <w:rPr>
          <w:noProof/>
        </w:rPr>
        <w:t>7</w:t>
      </w:r>
      <w:r w:rsidR="00630B06" w:rsidRPr="002C07B0">
        <w:rPr>
          <w:noProof/>
        </w:rPr>
        <w:t>,</w:t>
      </w:r>
      <w:r w:rsidR="00412F5A" w:rsidRPr="002C07B0">
        <w:rPr>
          <w:noProof/>
        </w:rPr>
        <w:t>6</w:t>
      </w:r>
      <w:r w:rsidR="007C1A8B" w:rsidRPr="002C07B0">
        <w:rPr>
          <w:noProof/>
        </w:rPr>
        <w:t>%, (+</w:t>
      </w:r>
      <w:r w:rsidR="00412F5A" w:rsidRPr="002C07B0">
        <w:rPr>
          <w:noProof/>
        </w:rPr>
        <w:t>1,5</w:t>
      </w:r>
      <w:r w:rsidR="007C1A8B" w:rsidRPr="002C07B0">
        <w:rPr>
          <w:noProof/>
        </w:rPr>
        <w:t xml:space="preserve"> percentage points year-on-year)</w:t>
      </w:r>
      <w:r w:rsidR="000F586D" w:rsidRPr="002C07B0">
        <w:rPr>
          <w:rStyle w:val="FootnoteReference"/>
          <w:noProof/>
        </w:rPr>
        <w:footnoteReference w:id="17"/>
      </w:r>
      <w:r w:rsidR="007C1A8B" w:rsidRPr="002C07B0">
        <w:rPr>
          <w:noProof/>
        </w:rPr>
        <w:t>. Hainaut</w:t>
      </w:r>
      <w:r w:rsidR="00186428" w:rsidRPr="002C07B0">
        <w:rPr>
          <w:noProof/>
        </w:rPr>
        <w:t xml:space="preserve"> accounts for 41% of Walloon jobseekers, and </w:t>
      </w:r>
      <w:r w:rsidRPr="002C07B0">
        <w:rPr>
          <w:noProof/>
        </w:rPr>
        <w:t>long-term unemployment is prevalent</w:t>
      </w:r>
      <w:r w:rsidR="00D62121">
        <w:rPr>
          <w:noProof/>
        </w:rPr>
        <w:t>:</w:t>
      </w:r>
      <w:r w:rsidR="007C1A8B" w:rsidRPr="002C07B0">
        <w:rPr>
          <w:noProof/>
        </w:rPr>
        <w:t xml:space="preserve"> </w:t>
      </w:r>
      <w:r w:rsidRPr="002C07B0">
        <w:rPr>
          <w:noProof/>
        </w:rPr>
        <w:t>6</w:t>
      </w:r>
      <w:r w:rsidR="006C36F5" w:rsidRPr="002C07B0">
        <w:rPr>
          <w:noProof/>
        </w:rPr>
        <w:t>8</w:t>
      </w:r>
      <w:r w:rsidRPr="002C07B0">
        <w:rPr>
          <w:noProof/>
        </w:rPr>
        <w:t xml:space="preserve">% of the </w:t>
      </w:r>
      <w:r w:rsidR="00FA5380" w:rsidRPr="002C07B0">
        <w:rPr>
          <w:noProof/>
        </w:rPr>
        <w:t xml:space="preserve">registered </w:t>
      </w:r>
      <w:r w:rsidRPr="002C07B0">
        <w:rPr>
          <w:noProof/>
        </w:rPr>
        <w:t>jobseekers have been unemployed for more than 12 months.</w:t>
      </w:r>
      <w:r w:rsidR="00630B06" w:rsidRPr="002C07B0">
        <w:rPr>
          <w:noProof/>
        </w:rPr>
        <w:t xml:space="preserve"> </w:t>
      </w:r>
      <w:r w:rsidRPr="002C07B0">
        <w:rPr>
          <w:noProof/>
        </w:rPr>
        <w:t xml:space="preserve">Almost </w:t>
      </w:r>
      <w:r w:rsidR="00FA5380" w:rsidRPr="002C07B0">
        <w:rPr>
          <w:noProof/>
        </w:rPr>
        <w:t>two in three long-term unemployed</w:t>
      </w:r>
      <w:r w:rsidRPr="002C07B0">
        <w:rPr>
          <w:noProof/>
        </w:rPr>
        <w:t xml:space="preserve"> jobseekers have </w:t>
      </w:r>
      <w:r w:rsidR="009B4361">
        <w:rPr>
          <w:noProof/>
        </w:rPr>
        <w:t xml:space="preserve">second or third cycle of </w:t>
      </w:r>
      <w:r w:rsidR="00FA5380" w:rsidRPr="002C07B0">
        <w:rPr>
          <w:noProof/>
        </w:rPr>
        <w:t>secondary school</w:t>
      </w:r>
      <w:r w:rsidR="009B4361">
        <w:rPr>
          <w:rStyle w:val="FootnoteReference"/>
          <w:noProof/>
        </w:rPr>
        <w:footnoteReference w:id="18"/>
      </w:r>
      <w:r w:rsidRPr="002C07B0">
        <w:rPr>
          <w:noProof/>
        </w:rPr>
        <w:t xml:space="preserve">. </w:t>
      </w:r>
      <w:r w:rsidR="009A7E0D" w:rsidRPr="002C07B0">
        <w:rPr>
          <w:noProof/>
        </w:rPr>
        <w:t xml:space="preserve">As regards their age, the 15-29 </w:t>
      </w:r>
      <w:r w:rsidR="00502D60">
        <w:rPr>
          <w:noProof/>
        </w:rPr>
        <w:t>age group</w:t>
      </w:r>
      <w:r w:rsidR="009A7E0D" w:rsidRPr="002C07B0">
        <w:rPr>
          <w:noProof/>
        </w:rPr>
        <w:t xml:space="preserve"> accounts for the largest number of jobseekers (30%), followed by the over 50 year old group (26%)</w:t>
      </w:r>
      <w:r w:rsidR="009A7E0D" w:rsidRPr="002C07B0">
        <w:rPr>
          <w:rStyle w:val="FootnoteReference"/>
          <w:noProof/>
        </w:rPr>
        <w:footnoteReference w:id="19"/>
      </w:r>
      <w:r w:rsidR="004524CD" w:rsidRPr="002C07B0">
        <w:rPr>
          <w:noProof/>
        </w:rPr>
        <w:t>.</w:t>
      </w:r>
    </w:p>
    <w:bookmarkEnd w:id="12"/>
    <w:p w:rsidR="00A5196A" w:rsidRPr="002C07B0" w:rsidRDefault="00A331D5" w:rsidP="000E51CF">
      <w:pPr>
        <w:pStyle w:val="ManualNumPar1"/>
        <w:rPr>
          <w:noProof/>
        </w:rPr>
      </w:pPr>
      <w:r>
        <w:rPr>
          <w:noProof/>
        </w:rPr>
        <w:lastRenderedPageBreak/>
        <w:t>21.</w:t>
      </w:r>
      <w:r>
        <w:rPr>
          <w:noProof/>
        </w:rPr>
        <w:tab/>
      </w:r>
      <w:r w:rsidRPr="002C07B0">
        <w:rPr>
          <w:noProof/>
        </w:rPr>
        <w:t>Eight in ten displaced workers have an educational attainment of upper secondary level or lower. Regarding age, around half are aged 50 or over. Consequently, tailored, reinforced outplacement support and vocational guidance, alongside upskilling and reskilling opportunities, are essential to facilitate their transition into new employment.</w:t>
      </w:r>
    </w:p>
    <w:p w:rsidR="001A62D7" w:rsidRPr="002C07B0" w:rsidRDefault="00A331D5" w:rsidP="00A5196A">
      <w:pPr>
        <w:pStyle w:val="ManualNumPar1"/>
        <w:rPr>
          <w:noProof/>
        </w:rPr>
      </w:pPr>
      <w:r>
        <w:rPr>
          <w:noProof/>
        </w:rPr>
        <w:t>22.</w:t>
      </w:r>
      <w:r>
        <w:rPr>
          <w:noProof/>
        </w:rPr>
        <w:tab/>
      </w:r>
      <w:r w:rsidRPr="002C07B0">
        <w:rPr>
          <w:noProof/>
        </w:rPr>
        <w:t>Belgium is applying for EGF co-financing exclusively to support former Cora workers residing in Wallonia. Given the relatively small number of affected workers in Brussels, the regional authorities deem that the public employment services can provide adequate support without requiring additional resources.</w:t>
      </w:r>
    </w:p>
    <w:p w:rsidR="001A62D7" w:rsidRPr="002C07B0" w:rsidRDefault="001A62D7" w:rsidP="001A62D7">
      <w:pPr>
        <w:pStyle w:val="ManualHeading2"/>
        <w:rPr>
          <w:noProof/>
        </w:rPr>
      </w:pPr>
      <w:r w:rsidRPr="002C07B0">
        <w:rPr>
          <w:noProof/>
        </w:rPr>
        <w:t>Application of the EU Quality Framework for anticipation of change and restructuring (QFR)</w:t>
      </w:r>
    </w:p>
    <w:p w:rsidR="004239CD" w:rsidRPr="002C07B0" w:rsidRDefault="003334EE" w:rsidP="00C72394">
      <w:pPr>
        <w:pStyle w:val="ManualNumPar1"/>
        <w:rPr>
          <w:noProof/>
        </w:rPr>
      </w:pPr>
      <w:r>
        <w:rPr>
          <w:noProof/>
        </w:rPr>
        <w:t>23.</w:t>
      </w:r>
      <w:r>
        <w:rPr>
          <w:noProof/>
        </w:rPr>
        <w:tab/>
      </w:r>
      <w:r w:rsidRPr="002C07B0">
        <w:rPr>
          <w:noProof/>
        </w:rPr>
        <w:t>Belgium</w:t>
      </w:r>
      <w:r w:rsidR="001A62D7" w:rsidRPr="002C07B0">
        <w:rPr>
          <w:noProof/>
        </w:rPr>
        <w:t xml:space="preserve"> has described how the recommendations set out in the EU Quality Framework for anticipation of change and restructuring have been taken into account</w:t>
      </w:r>
      <w:r w:rsidR="004239CD" w:rsidRPr="002C07B0">
        <w:rPr>
          <w:noProof/>
        </w:rPr>
        <w:t>.</w:t>
      </w:r>
    </w:p>
    <w:p w:rsidR="0051086D" w:rsidRPr="002C07B0" w:rsidRDefault="0051086D" w:rsidP="0051086D">
      <w:pPr>
        <w:pStyle w:val="ManualNumPar1"/>
        <w:rPr>
          <w:noProof/>
        </w:rPr>
      </w:pPr>
      <w:r>
        <w:rPr>
          <w:noProof/>
        </w:rPr>
        <w:t>24.</w:t>
      </w:r>
      <w:r>
        <w:rPr>
          <w:noProof/>
        </w:rPr>
        <w:tab/>
      </w:r>
      <w:r w:rsidRPr="002C07B0">
        <w:rPr>
          <w:noProof/>
        </w:rPr>
        <w:t xml:space="preserve">Cora complied with Belgian law on collective redundancies, which establishes a mandatory procedure for informing and consulting workers' representatives. The procedure makes it possible to explore any possibility of avoiding or reducing the number of redundancies. It also seeks to mitigate the consequences of job loss through complementary social measures, such as support for redeployment or retraining of redundant workers. The negotiations secured a specific budget of </w:t>
      </w:r>
      <w:bookmarkStart w:id="16" w:name="_Hlk168668396"/>
      <w:r w:rsidRPr="002C07B0">
        <w:rPr>
          <w:noProof/>
        </w:rPr>
        <w:t>EUR </w:t>
      </w:r>
      <w:r w:rsidR="00433F2A" w:rsidRPr="002C07B0">
        <w:rPr>
          <w:noProof/>
        </w:rPr>
        <w:t>1 898 000</w:t>
      </w:r>
      <w:r w:rsidRPr="002C07B0">
        <w:rPr>
          <w:noProof/>
        </w:rPr>
        <w:t xml:space="preserve"> to cover for retraining costs.</w:t>
      </w:r>
      <w:bookmarkEnd w:id="16"/>
    </w:p>
    <w:p w:rsidR="00C72394" w:rsidRPr="002C07B0" w:rsidRDefault="001A62D7" w:rsidP="00C72394">
      <w:pPr>
        <w:pStyle w:val="ManualNumPar1"/>
        <w:rPr>
          <w:noProof/>
        </w:rPr>
      </w:pPr>
      <w:r>
        <w:rPr>
          <w:noProof/>
        </w:rPr>
        <w:t>25.</w:t>
      </w:r>
      <w:r>
        <w:rPr>
          <w:noProof/>
        </w:rPr>
        <w:tab/>
      </w:r>
      <w:r w:rsidRPr="002C07B0">
        <w:rPr>
          <w:noProof/>
        </w:rPr>
        <w:t xml:space="preserve">Regarding the activities undertaken to assist the displaced workers, </w:t>
      </w:r>
      <w:r w:rsidR="00741722" w:rsidRPr="002C07B0">
        <w:rPr>
          <w:noProof/>
        </w:rPr>
        <w:t>Belgium</w:t>
      </w:r>
      <w:r w:rsidRPr="002C07B0">
        <w:rPr>
          <w:noProof/>
        </w:rPr>
        <w:t xml:space="preserve"> has reported that </w:t>
      </w:r>
      <w:r w:rsidR="00C72394" w:rsidRPr="002C07B0">
        <w:rPr>
          <w:noProof/>
        </w:rPr>
        <w:t>national labour law</w:t>
      </w:r>
      <w:r w:rsidR="004239CD" w:rsidRPr="002C07B0">
        <w:rPr>
          <w:rStyle w:val="FootnoteReference"/>
          <w:noProof/>
        </w:rPr>
        <w:footnoteReference w:id="20"/>
      </w:r>
      <w:r w:rsidR="00C72394" w:rsidRPr="002C07B0">
        <w:rPr>
          <w:noProof/>
        </w:rPr>
        <w:t xml:space="preserve"> on the active management of restructuring requires enterprises undergoing restructuring to set up an employment unit (</w:t>
      </w:r>
      <w:r w:rsidR="00C72394" w:rsidRPr="002C07B0">
        <w:rPr>
          <w:i/>
          <w:iCs/>
          <w:noProof/>
        </w:rPr>
        <w:t>cellule pour l’emploi)</w:t>
      </w:r>
      <w:r w:rsidR="003C644B" w:rsidRPr="002C07B0">
        <w:rPr>
          <w:rStyle w:val="FootnoteReference"/>
          <w:i/>
          <w:iCs/>
          <w:noProof/>
        </w:rPr>
        <w:footnoteReference w:id="21"/>
      </w:r>
      <w:r w:rsidR="00C72394" w:rsidRPr="002C07B0">
        <w:rPr>
          <w:noProof/>
        </w:rPr>
        <w:t>, whose purpose is to provide workers laid off in the context of collective redundancies with 30 hours of outplacement services in a period of three months (60 hours over six months for workers aged 45+).</w:t>
      </w:r>
    </w:p>
    <w:p w:rsidR="00C72394" w:rsidRPr="002C07B0" w:rsidRDefault="00C72394" w:rsidP="00C72394">
      <w:pPr>
        <w:pStyle w:val="ManualNumPar1"/>
        <w:rPr>
          <w:noProof/>
        </w:rPr>
      </w:pPr>
      <w:r>
        <w:rPr>
          <w:noProof/>
        </w:rPr>
        <w:t>26.</w:t>
      </w:r>
      <w:r>
        <w:rPr>
          <w:noProof/>
        </w:rPr>
        <w:tab/>
      </w:r>
      <w:r w:rsidRPr="002C07B0">
        <w:rPr>
          <w:noProof/>
        </w:rPr>
        <w:t>Wallonia's regional legislation</w:t>
      </w:r>
      <w:r w:rsidR="002F688A" w:rsidRPr="002C07B0">
        <w:rPr>
          <w:rStyle w:val="FootnoteReference"/>
          <w:noProof/>
        </w:rPr>
        <w:footnoteReference w:id="22"/>
      </w:r>
      <w:r w:rsidRPr="002C07B0">
        <w:rPr>
          <w:noProof/>
        </w:rPr>
        <w:t xml:space="preserve"> provides for specific support for redundant workers, in the form of a redeployment unit (</w:t>
      </w:r>
      <w:r w:rsidRPr="002C07B0">
        <w:rPr>
          <w:i/>
          <w:iCs/>
          <w:noProof/>
        </w:rPr>
        <w:t>cellule de reconversion)</w:t>
      </w:r>
      <w:r w:rsidR="002F688A" w:rsidRPr="002C07B0">
        <w:rPr>
          <w:rStyle w:val="FootnoteReference"/>
          <w:i/>
          <w:iCs/>
          <w:noProof/>
        </w:rPr>
        <w:footnoteReference w:id="23"/>
      </w:r>
      <w:r w:rsidRPr="002C07B0">
        <w:rPr>
          <w:noProof/>
        </w:rPr>
        <w:t xml:space="preserve"> by the Regional Public Employment and Vocational Training Service (Le Forem), at the request of workers’ representative organisations. The redeployment unit does not constitute an obligation for the employer, nor for Le Forem. The implementation of the EGF co-financed measures will be managed through such a redeployment unit.</w:t>
      </w:r>
    </w:p>
    <w:p w:rsidR="00C72394" w:rsidRPr="002C07B0" w:rsidRDefault="00783113" w:rsidP="00C72394">
      <w:pPr>
        <w:pStyle w:val="ManualNumPar1"/>
        <w:rPr>
          <w:noProof/>
        </w:rPr>
      </w:pPr>
      <w:r>
        <w:rPr>
          <w:noProof/>
        </w:rPr>
        <w:t>27.</w:t>
      </w:r>
      <w:r>
        <w:rPr>
          <w:noProof/>
        </w:rPr>
        <w:tab/>
      </w:r>
      <w:r w:rsidRPr="002C07B0">
        <w:rPr>
          <w:noProof/>
        </w:rPr>
        <w:t xml:space="preserve">Regarding the activities undertaken to assist the displaced workers, Belgium has reported that the redeployment unit was set up </w:t>
      </w:r>
      <w:r w:rsidR="00C72394" w:rsidRPr="002C07B0">
        <w:rPr>
          <w:noProof/>
        </w:rPr>
        <w:t xml:space="preserve">on </w:t>
      </w:r>
      <w:r w:rsidR="002B5E3D" w:rsidRPr="002C07B0">
        <w:rPr>
          <w:noProof/>
        </w:rPr>
        <w:t>1 October 2025,</w:t>
      </w:r>
      <w:r w:rsidR="00C72394" w:rsidRPr="002C07B0">
        <w:rPr>
          <w:noProof/>
        </w:rPr>
        <w:t xml:space="preserve"> shortly after the first redundancies</w:t>
      </w:r>
      <w:r w:rsidR="002B5E3D" w:rsidRPr="002C07B0">
        <w:rPr>
          <w:noProof/>
        </w:rPr>
        <w:t xml:space="preserve"> occured</w:t>
      </w:r>
      <w:r w:rsidR="001A62D7" w:rsidRPr="002C07B0">
        <w:rPr>
          <w:noProof/>
        </w:rPr>
        <w:t>.</w:t>
      </w:r>
    </w:p>
    <w:p w:rsidR="001A62D7" w:rsidRPr="002C07B0" w:rsidRDefault="001A62D7" w:rsidP="001A62D7">
      <w:pPr>
        <w:pStyle w:val="ManualHeading3"/>
        <w:rPr>
          <w:noProof/>
        </w:rPr>
      </w:pPr>
      <w:r w:rsidRPr="002C07B0">
        <w:rPr>
          <w:noProof/>
        </w:rPr>
        <w:t>Complementarity with actions funded by national or Union funds</w:t>
      </w:r>
    </w:p>
    <w:p w:rsidR="001A62D7" w:rsidRPr="002C07B0" w:rsidRDefault="00741722" w:rsidP="00AE7D04">
      <w:pPr>
        <w:pStyle w:val="ManualNumPar1"/>
        <w:rPr>
          <w:noProof/>
        </w:rPr>
      </w:pPr>
      <w:r>
        <w:rPr>
          <w:noProof/>
        </w:rPr>
        <w:t>28.</w:t>
      </w:r>
      <w:r>
        <w:rPr>
          <w:noProof/>
        </w:rPr>
        <w:tab/>
      </w:r>
      <w:r w:rsidRPr="002C07B0">
        <w:rPr>
          <w:noProof/>
        </w:rPr>
        <w:t>Belgium</w:t>
      </w:r>
      <w:r w:rsidR="001A62D7" w:rsidRPr="002C07B0">
        <w:rPr>
          <w:noProof/>
        </w:rPr>
        <w:t xml:space="preserve"> has confirmed that the measures described below receiving a financial contribution from the EGF will not also receive financial contributions from other Union financial instruments.</w:t>
      </w:r>
    </w:p>
    <w:p w:rsidR="001A62D7" w:rsidRPr="002C07B0" w:rsidRDefault="001A62D7" w:rsidP="00AE7D04">
      <w:pPr>
        <w:pStyle w:val="ManualNumPar1"/>
        <w:rPr>
          <w:noProof/>
        </w:rPr>
      </w:pPr>
      <w:r>
        <w:rPr>
          <w:noProof/>
        </w:rPr>
        <w:t>29.</w:t>
      </w:r>
      <w:r>
        <w:rPr>
          <w:noProof/>
        </w:rPr>
        <w:tab/>
      </w:r>
      <w:r w:rsidRPr="002C07B0">
        <w:rPr>
          <w:noProof/>
        </w:rPr>
        <w:t>The coordinated package of personalised services complements actions funded by other national or EU funds.</w:t>
      </w:r>
    </w:p>
    <w:p w:rsidR="001A62D7" w:rsidRPr="002C07B0" w:rsidRDefault="001A62D7" w:rsidP="001A62D7">
      <w:pPr>
        <w:pStyle w:val="ManualHeading3"/>
        <w:tabs>
          <w:tab w:val="clear" w:pos="850"/>
          <w:tab w:val="left" w:pos="0"/>
        </w:tabs>
        <w:ind w:left="0" w:firstLine="0"/>
        <w:rPr>
          <w:noProof/>
          <w:u w:val="single"/>
        </w:rPr>
      </w:pPr>
      <w:r w:rsidRPr="002C07B0">
        <w:rPr>
          <w:noProof/>
        </w:rPr>
        <w:lastRenderedPageBreak/>
        <w:t>Procedures for consulting the targeted beneficiaries or their representatives or the social partners as well as local and regional authorities</w:t>
      </w:r>
    </w:p>
    <w:p w:rsidR="001A62D7" w:rsidRPr="002C07B0" w:rsidRDefault="0051086D" w:rsidP="00AE7D04">
      <w:pPr>
        <w:pStyle w:val="ManualNumPar1"/>
        <w:rPr>
          <w:noProof/>
        </w:rPr>
      </w:pPr>
      <w:r>
        <w:rPr>
          <w:noProof/>
        </w:rPr>
        <w:t>30.</w:t>
      </w:r>
      <w:r>
        <w:rPr>
          <w:noProof/>
        </w:rPr>
        <w:tab/>
      </w:r>
      <w:r w:rsidRPr="002C07B0">
        <w:rPr>
          <w:noProof/>
        </w:rPr>
        <w:t>Belgium</w:t>
      </w:r>
      <w:r w:rsidR="001A62D7" w:rsidRPr="002C07B0">
        <w:rPr>
          <w:noProof/>
        </w:rPr>
        <w:t xml:space="preserve"> has indicated that the co-ordinated package of personalised services has been drawn up in consultation with </w:t>
      </w:r>
      <w:r w:rsidR="00BA0477" w:rsidRPr="002C07B0">
        <w:rPr>
          <w:noProof/>
        </w:rPr>
        <w:t>targeted beneficiaries, their representatives, and the social partners</w:t>
      </w:r>
      <w:r w:rsidR="001A62D7" w:rsidRPr="002C07B0">
        <w:rPr>
          <w:noProof/>
        </w:rPr>
        <w:t xml:space="preserve">, in compliance with Article 7(4) of Regulation (EU) 2021/691. </w:t>
      </w:r>
    </w:p>
    <w:p w:rsidR="001A62D7" w:rsidRPr="002C07B0" w:rsidRDefault="00FA0318" w:rsidP="00BA0477">
      <w:pPr>
        <w:pStyle w:val="ManualNumPar1"/>
        <w:rPr>
          <w:noProof/>
        </w:rPr>
      </w:pPr>
      <w:r>
        <w:rPr>
          <w:noProof/>
        </w:rPr>
        <w:t>31.</w:t>
      </w:r>
      <w:r>
        <w:rPr>
          <w:noProof/>
        </w:rPr>
        <w:tab/>
      </w:r>
      <w:r w:rsidRPr="002C07B0">
        <w:rPr>
          <w:noProof/>
        </w:rPr>
        <w:t xml:space="preserve">To facilitate workers' transitions into new employment, </w:t>
      </w:r>
      <w:r w:rsidR="00BA0477" w:rsidRPr="002C07B0">
        <w:rPr>
          <w:noProof/>
        </w:rPr>
        <w:t>Le Forem, trade unions (FGTB</w:t>
      </w:r>
      <w:r w:rsidR="00922007" w:rsidRPr="002C07B0">
        <w:rPr>
          <w:rStyle w:val="FootnoteReference"/>
          <w:noProof/>
        </w:rPr>
        <w:footnoteReference w:id="24"/>
      </w:r>
      <w:r w:rsidR="00BA0477" w:rsidRPr="002C07B0">
        <w:rPr>
          <w:noProof/>
        </w:rPr>
        <w:t xml:space="preserve"> and CSC</w:t>
      </w:r>
      <w:r w:rsidR="00922007" w:rsidRPr="002C07B0">
        <w:rPr>
          <w:rStyle w:val="FootnoteReference"/>
          <w:noProof/>
        </w:rPr>
        <w:footnoteReference w:id="25"/>
      </w:r>
      <w:r w:rsidR="00BA0477" w:rsidRPr="002C07B0">
        <w:rPr>
          <w:noProof/>
        </w:rPr>
        <w:t xml:space="preserve">), and other partners met on </w:t>
      </w:r>
      <w:r w:rsidR="00922007" w:rsidRPr="002C07B0">
        <w:rPr>
          <w:noProof/>
        </w:rPr>
        <w:t>29 September 2025</w:t>
      </w:r>
      <w:r w:rsidRPr="002C07B0">
        <w:rPr>
          <w:noProof/>
        </w:rPr>
        <w:t>.</w:t>
      </w:r>
      <w:r w:rsidR="007571E3" w:rsidRPr="002C07B0">
        <w:rPr>
          <w:noProof/>
        </w:rPr>
        <w:t xml:space="preserve"> T</w:t>
      </w:r>
      <w:r w:rsidRPr="002C07B0">
        <w:rPr>
          <w:noProof/>
        </w:rPr>
        <w:t xml:space="preserve">he meeting helped </w:t>
      </w:r>
      <w:r w:rsidR="007571E3" w:rsidRPr="002C07B0">
        <w:rPr>
          <w:noProof/>
        </w:rPr>
        <w:t>assess workers’ retraining needs. Social counsellors, who had supported the workers following their redundancies, were also consulted. As a result, a coordinated package of EGF measures was developed, compliant with Article 7(4) of Regulation (EU) 2021/691</w:t>
      </w:r>
      <w:r w:rsidR="00BA0477" w:rsidRPr="002C07B0">
        <w:rPr>
          <w:noProof/>
        </w:rPr>
        <w:t>.</w:t>
      </w:r>
    </w:p>
    <w:p w:rsidR="001A62D7" w:rsidRPr="002C07B0" w:rsidRDefault="001A62D7" w:rsidP="001A62D7">
      <w:pPr>
        <w:pStyle w:val="ManualHeading2"/>
        <w:rPr>
          <w:noProof/>
        </w:rPr>
      </w:pPr>
      <w:r w:rsidRPr="002C07B0">
        <w:rPr>
          <w:noProof/>
        </w:rPr>
        <w:t>Targeted beneficiaries and proposed measures</w:t>
      </w:r>
    </w:p>
    <w:p w:rsidR="001A62D7" w:rsidRPr="002C07B0" w:rsidRDefault="001A62D7" w:rsidP="001A62D7">
      <w:pPr>
        <w:pStyle w:val="ManualHeading3"/>
        <w:rPr>
          <w:noProof/>
        </w:rPr>
      </w:pPr>
      <w:r w:rsidRPr="002C07B0">
        <w:rPr>
          <w:noProof/>
        </w:rPr>
        <w:t>Targeted beneficiaries</w:t>
      </w:r>
    </w:p>
    <w:p w:rsidR="001A62D7" w:rsidRPr="002C07B0" w:rsidRDefault="009B2D0E" w:rsidP="00AE7D04">
      <w:pPr>
        <w:pStyle w:val="ManualNumPar1"/>
        <w:rPr>
          <w:noProof/>
        </w:rPr>
      </w:pPr>
      <w:r>
        <w:rPr>
          <w:noProof/>
        </w:rPr>
        <w:t>32.</w:t>
      </w:r>
      <w:r>
        <w:rPr>
          <w:noProof/>
        </w:rPr>
        <w:tab/>
        <w:t xml:space="preserve">The estimated number of </w:t>
      </w:r>
      <w:r w:rsidRPr="003E3994">
        <w:rPr>
          <w:noProof/>
        </w:rPr>
        <w:t>displaced workers</w:t>
      </w:r>
      <w:r>
        <w:rPr>
          <w:noProof/>
        </w:rPr>
        <w:t xml:space="preserve"> expected to participate in the measures is </w:t>
      </w:r>
      <w:r w:rsidR="00B8329A" w:rsidRPr="002C07B0">
        <w:rPr>
          <w:noProof/>
        </w:rPr>
        <w:t>10</w:t>
      </w:r>
      <w:r>
        <w:rPr>
          <w:noProof/>
        </w:rPr>
        <w:t>10</w:t>
      </w:r>
      <w:r w:rsidR="00B8329A" w:rsidRPr="002C07B0">
        <w:rPr>
          <w:noProof/>
        </w:rPr>
        <w:t>. Pur</w:t>
      </w:r>
      <w:r w:rsidR="001A62D7" w:rsidRPr="002C07B0">
        <w:rPr>
          <w:noProof/>
        </w:rPr>
        <w:t>suant to Article 8(7), point (f), of Regulation (EU) 2021/691, the provided breakdown of these workers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RPr="002C07B0" w:rsidTr="001D5990">
        <w:trPr>
          <w:jc w:val="center"/>
        </w:trPr>
        <w:tc>
          <w:tcPr>
            <w:tcW w:w="3559" w:type="dxa"/>
            <w:gridSpan w:val="2"/>
            <w:tcBorders>
              <w:top w:val="single" w:sz="4" w:space="0" w:color="auto"/>
              <w:left w:val="nil"/>
              <w:bottom w:val="single" w:sz="4" w:space="0" w:color="auto"/>
              <w:right w:val="nil"/>
            </w:tcBorders>
            <w:hideMark/>
          </w:tcPr>
          <w:p w:rsidR="001A62D7" w:rsidRPr="002C07B0" w:rsidRDefault="001A62D7" w:rsidP="001D5990">
            <w:pPr>
              <w:spacing w:before="60" w:after="60"/>
              <w:jc w:val="center"/>
              <w:rPr>
                <w:noProof/>
              </w:rPr>
            </w:pPr>
            <w:r w:rsidRPr="002C07B0">
              <w:rPr>
                <w:noProof/>
              </w:rPr>
              <w:t>Category</w:t>
            </w:r>
          </w:p>
        </w:tc>
        <w:tc>
          <w:tcPr>
            <w:tcW w:w="2352" w:type="dxa"/>
            <w:gridSpan w:val="2"/>
            <w:tcBorders>
              <w:top w:val="single" w:sz="4" w:space="0" w:color="auto"/>
              <w:left w:val="nil"/>
              <w:bottom w:val="single" w:sz="4" w:space="0" w:color="auto"/>
              <w:right w:val="nil"/>
            </w:tcBorders>
            <w:hideMark/>
          </w:tcPr>
          <w:p w:rsidR="001A62D7" w:rsidRPr="002C07B0" w:rsidRDefault="001A62D7" w:rsidP="001D5990">
            <w:pPr>
              <w:spacing w:before="60" w:after="60"/>
              <w:jc w:val="center"/>
              <w:rPr>
                <w:noProof/>
              </w:rPr>
            </w:pPr>
            <w:r w:rsidRPr="002C07B0">
              <w:rPr>
                <w:noProof/>
              </w:rPr>
              <w:t xml:space="preserve">Number of </w:t>
            </w:r>
            <w:r w:rsidRPr="002C07B0">
              <w:rPr>
                <w:noProof/>
              </w:rPr>
              <w:br/>
              <w:t>expected beneficiaries</w:t>
            </w:r>
          </w:p>
        </w:tc>
      </w:tr>
      <w:tr w:rsidR="001A62D7" w:rsidRPr="002C07B0" w:rsidTr="001D5990">
        <w:trPr>
          <w:jc w:val="center"/>
        </w:trPr>
        <w:tc>
          <w:tcPr>
            <w:tcW w:w="1496" w:type="dxa"/>
            <w:tcBorders>
              <w:top w:val="single" w:sz="4" w:space="0" w:color="auto"/>
              <w:left w:val="nil"/>
              <w:right w:val="nil"/>
            </w:tcBorders>
            <w:hideMark/>
          </w:tcPr>
          <w:p w:rsidR="001A62D7" w:rsidRPr="002C07B0" w:rsidRDefault="001A62D7" w:rsidP="001D5990">
            <w:pPr>
              <w:spacing w:before="60" w:after="60"/>
              <w:rPr>
                <w:noProof/>
              </w:rPr>
            </w:pPr>
            <w:r w:rsidRPr="002C07B0">
              <w:rPr>
                <w:noProof/>
              </w:rPr>
              <w:t>Gender:</w:t>
            </w:r>
          </w:p>
        </w:tc>
        <w:tc>
          <w:tcPr>
            <w:tcW w:w="2063" w:type="dxa"/>
            <w:tcBorders>
              <w:top w:val="single" w:sz="4" w:space="0" w:color="auto"/>
              <w:left w:val="nil"/>
              <w:right w:val="nil"/>
            </w:tcBorders>
            <w:hideMark/>
          </w:tcPr>
          <w:p w:rsidR="001A62D7" w:rsidRPr="002C07B0" w:rsidRDefault="001A62D7" w:rsidP="001D5990">
            <w:pPr>
              <w:spacing w:before="60" w:after="60"/>
              <w:rPr>
                <w:noProof/>
              </w:rPr>
            </w:pPr>
            <w:r w:rsidRPr="002C07B0">
              <w:rPr>
                <w:noProof/>
              </w:rPr>
              <w:t>Men:</w:t>
            </w:r>
          </w:p>
        </w:tc>
        <w:tc>
          <w:tcPr>
            <w:tcW w:w="1176" w:type="dxa"/>
            <w:tcBorders>
              <w:top w:val="single" w:sz="4" w:space="0" w:color="auto"/>
              <w:left w:val="nil"/>
              <w:right w:val="nil"/>
            </w:tcBorders>
            <w:hideMark/>
          </w:tcPr>
          <w:p w:rsidR="001A62D7" w:rsidRPr="002C07B0" w:rsidRDefault="00D21001" w:rsidP="001D5990">
            <w:pPr>
              <w:spacing w:before="60" w:after="60"/>
              <w:jc w:val="right"/>
              <w:rPr>
                <w:noProof/>
              </w:rPr>
            </w:pPr>
            <w:r w:rsidRPr="002C07B0">
              <w:rPr>
                <w:noProof/>
              </w:rPr>
              <w:t>472</w:t>
            </w:r>
          </w:p>
        </w:tc>
        <w:tc>
          <w:tcPr>
            <w:tcW w:w="1176" w:type="dxa"/>
            <w:tcBorders>
              <w:top w:val="single" w:sz="4" w:space="0" w:color="auto"/>
              <w:left w:val="nil"/>
              <w:right w:val="nil"/>
            </w:tcBorders>
            <w:hideMark/>
          </w:tcPr>
          <w:p w:rsidR="001A62D7" w:rsidRPr="002C07B0" w:rsidRDefault="001A62D7" w:rsidP="001D5990">
            <w:pPr>
              <w:spacing w:before="60" w:after="60"/>
              <w:jc w:val="right"/>
              <w:rPr>
                <w:noProof/>
              </w:rPr>
            </w:pPr>
            <w:r w:rsidRPr="002C07B0">
              <w:rPr>
                <w:rFonts w:eastAsia="Calibri"/>
                <w:noProof/>
              </w:rPr>
              <w:t>(</w:t>
            </w:r>
            <w:r w:rsidR="006239A4" w:rsidRPr="002C07B0">
              <w:rPr>
                <w:noProof/>
              </w:rPr>
              <w:t>46,</w:t>
            </w:r>
            <w:r w:rsidR="00D21001" w:rsidRPr="002C07B0">
              <w:rPr>
                <w:noProof/>
              </w:rPr>
              <w:t>7</w:t>
            </w:r>
            <w:r w:rsidRPr="002C07B0">
              <w:rPr>
                <w:rFonts w:eastAsia="Calibri"/>
                <w:noProof/>
              </w:rPr>
              <w:t> %)</w:t>
            </w:r>
          </w:p>
        </w:tc>
      </w:tr>
      <w:tr w:rsidR="001A62D7" w:rsidRPr="002C07B0" w:rsidTr="001D5990">
        <w:trPr>
          <w:jc w:val="center"/>
        </w:trPr>
        <w:tc>
          <w:tcPr>
            <w:tcW w:w="1496" w:type="dxa"/>
            <w:tcBorders>
              <w:top w:val="nil"/>
              <w:left w:val="nil"/>
              <w:right w:val="nil"/>
            </w:tcBorders>
          </w:tcPr>
          <w:p w:rsidR="001A62D7" w:rsidRPr="002C07B0" w:rsidRDefault="001A62D7" w:rsidP="001D5990">
            <w:pPr>
              <w:spacing w:before="60" w:after="60"/>
              <w:rPr>
                <w:noProof/>
              </w:rPr>
            </w:pPr>
          </w:p>
        </w:tc>
        <w:tc>
          <w:tcPr>
            <w:tcW w:w="2063" w:type="dxa"/>
            <w:tcBorders>
              <w:top w:val="nil"/>
              <w:left w:val="nil"/>
              <w:right w:val="nil"/>
            </w:tcBorders>
          </w:tcPr>
          <w:p w:rsidR="001A62D7" w:rsidRPr="002C07B0" w:rsidRDefault="001A62D7" w:rsidP="001D5990">
            <w:pPr>
              <w:spacing w:before="60" w:after="60"/>
              <w:rPr>
                <w:rFonts w:eastAsia="Calibri"/>
                <w:noProof/>
              </w:rPr>
            </w:pPr>
            <w:r w:rsidRPr="002C07B0">
              <w:rPr>
                <w:rFonts w:eastAsia="Calibri"/>
                <w:noProof/>
              </w:rPr>
              <w:t>W</w:t>
            </w:r>
            <w:r w:rsidRPr="002C07B0">
              <w:rPr>
                <w:noProof/>
              </w:rPr>
              <w:t>omen:</w:t>
            </w:r>
          </w:p>
        </w:tc>
        <w:tc>
          <w:tcPr>
            <w:tcW w:w="1176" w:type="dxa"/>
          </w:tcPr>
          <w:p w:rsidR="001A62D7" w:rsidRPr="002C07B0" w:rsidRDefault="00D21001" w:rsidP="001D5990">
            <w:pPr>
              <w:spacing w:before="60" w:after="60"/>
              <w:jc w:val="right"/>
              <w:rPr>
                <w:noProof/>
              </w:rPr>
            </w:pPr>
            <w:r w:rsidRPr="002C07B0">
              <w:rPr>
                <w:noProof/>
              </w:rPr>
              <w:t>538</w:t>
            </w:r>
          </w:p>
        </w:tc>
        <w:tc>
          <w:tcPr>
            <w:tcW w:w="1176" w:type="dxa"/>
          </w:tcPr>
          <w:p w:rsidR="001A62D7" w:rsidRPr="002C07B0" w:rsidRDefault="001A62D7" w:rsidP="001D5990">
            <w:pPr>
              <w:spacing w:before="60" w:after="60"/>
              <w:jc w:val="right"/>
              <w:rPr>
                <w:rFonts w:eastAsia="Calibri"/>
                <w:noProof/>
              </w:rPr>
            </w:pPr>
            <w:r w:rsidRPr="002C07B0">
              <w:rPr>
                <w:rFonts w:eastAsia="Calibri"/>
                <w:noProof/>
              </w:rPr>
              <w:t>(</w:t>
            </w:r>
            <w:r w:rsidR="006239A4" w:rsidRPr="002C07B0">
              <w:rPr>
                <w:noProof/>
              </w:rPr>
              <w:t>53,</w:t>
            </w:r>
            <w:r w:rsidR="00D21001" w:rsidRPr="002C07B0">
              <w:rPr>
                <w:noProof/>
              </w:rPr>
              <w:t>3</w:t>
            </w:r>
            <w:r w:rsidRPr="002C07B0">
              <w:rPr>
                <w:rFonts w:eastAsia="Calibri"/>
                <w:noProof/>
              </w:rPr>
              <w:t> %)</w:t>
            </w:r>
          </w:p>
        </w:tc>
      </w:tr>
      <w:tr w:rsidR="001A62D7" w:rsidRPr="002C07B0" w:rsidTr="001D5990">
        <w:trPr>
          <w:jc w:val="center"/>
        </w:trPr>
        <w:tc>
          <w:tcPr>
            <w:tcW w:w="1496" w:type="dxa"/>
            <w:tcBorders>
              <w:left w:val="nil"/>
              <w:bottom w:val="single" w:sz="4" w:space="0" w:color="auto"/>
              <w:right w:val="nil"/>
            </w:tcBorders>
          </w:tcPr>
          <w:p w:rsidR="001A62D7" w:rsidRPr="002C07B0" w:rsidRDefault="001A62D7" w:rsidP="001D5990">
            <w:pPr>
              <w:spacing w:before="60" w:after="60"/>
              <w:rPr>
                <w:noProof/>
              </w:rPr>
            </w:pPr>
          </w:p>
        </w:tc>
        <w:tc>
          <w:tcPr>
            <w:tcW w:w="2063" w:type="dxa"/>
            <w:tcBorders>
              <w:left w:val="nil"/>
              <w:bottom w:val="single" w:sz="4" w:space="0" w:color="auto"/>
              <w:right w:val="nil"/>
            </w:tcBorders>
          </w:tcPr>
          <w:p w:rsidR="001A62D7" w:rsidRPr="002C07B0" w:rsidRDefault="001A62D7" w:rsidP="001D5990">
            <w:pPr>
              <w:spacing w:before="60" w:after="60"/>
              <w:rPr>
                <w:noProof/>
              </w:rPr>
            </w:pPr>
            <w:r w:rsidRPr="002C07B0">
              <w:rPr>
                <w:rFonts w:eastAsia="Calibri"/>
                <w:noProof/>
              </w:rPr>
              <w:t>Non-binary</w:t>
            </w:r>
          </w:p>
        </w:tc>
        <w:tc>
          <w:tcPr>
            <w:tcW w:w="1176" w:type="dxa"/>
            <w:tcBorders>
              <w:bottom w:val="single" w:sz="4" w:space="0" w:color="auto"/>
            </w:tcBorders>
            <w:hideMark/>
          </w:tcPr>
          <w:p w:rsidR="001A62D7" w:rsidRPr="002C07B0" w:rsidRDefault="006239A4" w:rsidP="001D5990">
            <w:pPr>
              <w:spacing w:before="60" w:after="60"/>
              <w:jc w:val="right"/>
              <w:rPr>
                <w:noProof/>
              </w:rPr>
            </w:pPr>
            <w:r w:rsidRPr="002C07B0">
              <w:rPr>
                <w:noProof/>
              </w:rPr>
              <w:t>0</w:t>
            </w:r>
          </w:p>
        </w:tc>
        <w:tc>
          <w:tcPr>
            <w:tcW w:w="1176" w:type="dxa"/>
            <w:tcBorders>
              <w:bottom w:val="single" w:sz="4" w:space="0" w:color="auto"/>
            </w:tcBorders>
            <w:hideMark/>
          </w:tcPr>
          <w:p w:rsidR="001A62D7" w:rsidRPr="002C07B0" w:rsidRDefault="001A62D7" w:rsidP="001D5990">
            <w:pPr>
              <w:spacing w:before="60" w:after="60"/>
              <w:jc w:val="right"/>
              <w:rPr>
                <w:noProof/>
              </w:rPr>
            </w:pPr>
            <w:r w:rsidRPr="002C07B0">
              <w:rPr>
                <w:rFonts w:eastAsia="Calibri"/>
                <w:noProof/>
              </w:rPr>
              <w:t>(</w:t>
            </w:r>
            <w:r w:rsidR="006239A4" w:rsidRPr="002C07B0">
              <w:rPr>
                <w:noProof/>
              </w:rPr>
              <w:t>0,0</w:t>
            </w:r>
            <w:r w:rsidRPr="002C07B0">
              <w:rPr>
                <w:rFonts w:eastAsia="Calibri"/>
                <w:noProof/>
              </w:rPr>
              <w:t> %)</w:t>
            </w:r>
          </w:p>
        </w:tc>
      </w:tr>
      <w:tr w:rsidR="001A62D7" w:rsidRPr="002C07B0" w:rsidTr="001D5990">
        <w:trPr>
          <w:jc w:val="center"/>
        </w:trPr>
        <w:tc>
          <w:tcPr>
            <w:tcW w:w="1496" w:type="dxa"/>
            <w:tcBorders>
              <w:top w:val="single" w:sz="4" w:space="0" w:color="auto"/>
              <w:left w:val="nil"/>
              <w:bottom w:val="nil"/>
              <w:right w:val="nil"/>
            </w:tcBorders>
            <w:hideMark/>
          </w:tcPr>
          <w:p w:rsidR="001A62D7" w:rsidRPr="002C07B0" w:rsidRDefault="001A62D7" w:rsidP="001D5990">
            <w:pPr>
              <w:spacing w:before="60" w:after="60"/>
              <w:rPr>
                <w:noProof/>
              </w:rPr>
            </w:pPr>
            <w:r w:rsidRPr="002C07B0">
              <w:rPr>
                <w:noProof/>
              </w:rPr>
              <w:t>Age group:</w:t>
            </w:r>
          </w:p>
        </w:tc>
        <w:tc>
          <w:tcPr>
            <w:tcW w:w="2063" w:type="dxa"/>
            <w:tcBorders>
              <w:top w:val="single" w:sz="4" w:space="0" w:color="auto"/>
              <w:left w:val="nil"/>
              <w:bottom w:val="nil"/>
              <w:right w:val="nil"/>
            </w:tcBorders>
            <w:hideMark/>
          </w:tcPr>
          <w:p w:rsidR="001A62D7" w:rsidRPr="002C07B0" w:rsidRDefault="001A62D7" w:rsidP="001D5990">
            <w:pPr>
              <w:spacing w:before="60" w:after="60"/>
              <w:rPr>
                <w:noProof/>
              </w:rPr>
            </w:pPr>
            <w:r w:rsidRPr="002C07B0">
              <w:rPr>
                <w:noProof/>
              </w:rPr>
              <w:t>Below 30 years:</w:t>
            </w:r>
          </w:p>
        </w:tc>
        <w:tc>
          <w:tcPr>
            <w:tcW w:w="1176" w:type="dxa"/>
            <w:tcBorders>
              <w:top w:val="single" w:sz="4" w:space="0" w:color="auto"/>
            </w:tcBorders>
            <w:hideMark/>
          </w:tcPr>
          <w:p w:rsidR="001A62D7" w:rsidRPr="002C07B0" w:rsidRDefault="006239A4" w:rsidP="001D5990">
            <w:pPr>
              <w:spacing w:before="60" w:after="60"/>
              <w:jc w:val="right"/>
              <w:rPr>
                <w:noProof/>
              </w:rPr>
            </w:pPr>
            <w:r w:rsidRPr="002C07B0">
              <w:rPr>
                <w:noProof/>
              </w:rPr>
              <w:t>44</w:t>
            </w:r>
          </w:p>
        </w:tc>
        <w:tc>
          <w:tcPr>
            <w:tcW w:w="1176" w:type="dxa"/>
            <w:tcBorders>
              <w:top w:val="single" w:sz="4" w:space="0" w:color="auto"/>
            </w:tcBorders>
            <w:hideMark/>
          </w:tcPr>
          <w:p w:rsidR="001A62D7" w:rsidRPr="002C07B0" w:rsidRDefault="001A62D7" w:rsidP="001D5990">
            <w:pPr>
              <w:spacing w:before="60" w:after="60"/>
              <w:jc w:val="right"/>
              <w:rPr>
                <w:noProof/>
              </w:rPr>
            </w:pPr>
            <w:r w:rsidRPr="002C07B0">
              <w:rPr>
                <w:rFonts w:eastAsia="Calibri"/>
                <w:noProof/>
              </w:rPr>
              <w:t>(</w:t>
            </w:r>
            <w:r w:rsidR="006239A4" w:rsidRPr="002C07B0">
              <w:rPr>
                <w:noProof/>
              </w:rPr>
              <w:t>4,4</w:t>
            </w:r>
            <w:r w:rsidRPr="002C07B0">
              <w:rPr>
                <w:rFonts w:eastAsia="Calibri"/>
                <w:noProof/>
              </w:rPr>
              <w:t> %)</w:t>
            </w:r>
          </w:p>
        </w:tc>
      </w:tr>
      <w:tr w:rsidR="001A62D7" w:rsidRPr="002C07B0" w:rsidTr="001D5990">
        <w:trPr>
          <w:jc w:val="center"/>
        </w:trPr>
        <w:tc>
          <w:tcPr>
            <w:tcW w:w="1496" w:type="dxa"/>
          </w:tcPr>
          <w:p w:rsidR="001A62D7" w:rsidRPr="002C07B0" w:rsidRDefault="001A62D7" w:rsidP="001D5990">
            <w:pPr>
              <w:spacing w:before="60" w:after="60"/>
              <w:rPr>
                <w:noProof/>
              </w:rPr>
            </w:pPr>
          </w:p>
        </w:tc>
        <w:tc>
          <w:tcPr>
            <w:tcW w:w="2063" w:type="dxa"/>
            <w:hideMark/>
          </w:tcPr>
          <w:p w:rsidR="001A62D7" w:rsidRPr="002C07B0" w:rsidRDefault="001A62D7" w:rsidP="001D5990">
            <w:pPr>
              <w:spacing w:before="60" w:after="60"/>
              <w:rPr>
                <w:noProof/>
              </w:rPr>
            </w:pPr>
            <w:r w:rsidRPr="002C07B0">
              <w:rPr>
                <w:rFonts w:eastAsia="Calibri"/>
                <w:noProof/>
              </w:rPr>
              <w:t>30-54 years:</w:t>
            </w:r>
          </w:p>
        </w:tc>
        <w:tc>
          <w:tcPr>
            <w:tcW w:w="1176" w:type="dxa"/>
            <w:hideMark/>
          </w:tcPr>
          <w:p w:rsidR="001A62D7" w:rsidRPr="002C07B0" w:rsidRDefault="00D21001" w:rsidP="001D5990">
            <w:pPr>
              <w:spacing w:before="60" w:after="60"/>
              <w:jc w:val="right"/>
              <w:rPr>
                <w:noProof/>
              </w:rPr>
            </w:pPr>
            <w:r w:rsidRPr="002C07B0">
              <w:rPr>
                <w:noProof/>
              </w:rPr>
              <w:t>667</w:t>
            </w:r>
          </w:p>
        </w:tc>
        <w:tc>
          <w:tcPr>
            <w:tcW w:w="1176" w:type="dxa"/>
            <w:hideMark/>
          </w:tcPr>
          <w:p w:rsidR="001A62D7" w:rsidRPr="002C07B0" w:rsidRDefault="001A62D7" w:rsidP="001D5990">
            <w:pPr>
              <w:spacing w:before="60" w:after="60"/>
              <w:jc w:val="right"/>
              <w:rPr>
                <w:noProof/>
              </w:rPr>
            </w:pPr>
            <w:r w:rsidRPr="002C07B0">
              <w:rPr>
                <w:rFonts w:eastAsia="Calibri"/>
                <w:noProof/>
              </w:rPr>
              <w:t>(</w:t>
            </w:r>
            <w:r w:rsidR="006239A4" w:rsidRPr="002C07B0">
              <w:rPr>
                <w:noProof/>
              </w:rPr>
              <w:t>66,0</w:t>
            </w:r>
            <w:r w:rsidRPr="002C07B0">
              <w:rPr>
                <w:rFonts w:eastAsia="Calibri"/>
                <w:noProof/>
              </w:rPr>
              <w:t> %)</w:t>
            </w:r>
          </w:p>
        </w:tc>
      </w:tr>
      <w:tr w:rsidR="001A62D7" w:rsidRPr="002C07B0" w:rsidTr="001D5990">
        <w:trPr>
          <w:jc w:val="center"/>
        </w:trPr>
        <w:tc>
          <w:tcPr>
            <w:tcW w:w="1496" w:type="dxa"/>
          </w:tcPr>
          <w:p w:rsidR="001A62D7" w:rsidRPr="002C07B0" w:rsidRDefault="001A62D7" w:rsidP="001D5990">
            <w:pPr>
              <w:spacing w:before="60" w:after="60"/>
              <w:rPr>
                <w:noProof/>
              </w:rPr>
            </w:pPr>
          </w:p>
        </w:tc>
        <w:tc>
          <w:tcPr>
            <w:tcW w:w="2063" w:type="dxa"/>
            <w:hideMark/>
          </w:tcPr>
          <w:p w:rsidR="001A62D7" w:rsidRPr="002C07B0" w:rsidRDefault="001A62D7" w:rsidP="001D5990">
            <w:pPr>
              <w:spacing w:before="60" w:after="60"/>
              <w:jc w:val="left"/>
              <w:rPr>
                <w:noProof/>
              </w:rPr>
            </w:pPr>
            <w:r w:rsidRPr="002C07B0">
              <w:rPr>
                <w:noProof/>
              </w:rPr>
              <w:t>Over 54 years:</w:t>
            </w:r>
          </w:p>
        </w:tc>
        <w:tc>
          <w:tcPr>
            <w:tcW w:w="1176" w:type="dxa"/>
            <w:hideMark/>
          </w:tcPr>
          <w:p w:rsidR="001A62D7" w:rsidRPr="002C07B0" w:rsidRDefault="00D21001" w:rsidP="001D5990">
            <w:pPr>
              <w:spacing w:before="60" w:after="60"/>
              <w:jc w:val="right"/>
              <w:rPr>
                <w:noProof/>
              </w:rPr>
            </w:pPr>
            <w:r w:rsidRPr="002C07B0">
              <w:rPr>
                <w:noProof/>
              </w:rPr>
              <w:t>299</w:t>
            </w:r>
          </w:p>
        </w:tc>
        <w:tc>
          <w:tcPr>
            <w:tcW w:w="1176" w:type="dxa"/>
            <w:hideMark/>
          </w:tcPr>
          <w:p w:rsidR="001A62D7" w:rsidRPr="002C07B0" w:rsidRDefault="001A62D7" w:rsidP="001D5990">
            <w:pPr>
              <w:spacing w:before="60" w:after="60"/>
              <w:jc w:val="right"/>
              <w:rPr>
                <w:noProof/>
              </w:rPr>
            </w:pPr>
            <w:r w:rsidRPr="002C07B0">
              <w:rPr>
                <w:rFonts w:eastAsia="Calibri"/>
                <w:noProof/>
              </w:rPr>
              <w:t>(</w:t>
            </w:r>
            <w:r w:rsidR="006239A4" w:rsidRPr="002C07B0">
              <w:rPr>
                <w:noProof/>
              </w:rPr>
              <w:t>29,6</w:t>
            </w:r>
            <w:r w:rsidRPr="002C07B0">
              <w:rPr>
                <w:rFonts w:eastAsia="Calibri"/>
                <w:noProof/>
              </w:rPr>
              <w:t> %)</w:t>
            </w:r>
          </w:p>
        </w:tc>
      </w:tr>
      <w:tr w:rsidR="001A62D7" w:rsidRPr="002C07B0" w:rsidTr="001D5990">
        <w:trPr>
          <w:jc w:val="center"/>
        </w:trPr>
        <w:tc>
          <w:tcPr>
            <w:tcW w:w="1496" w:type="dxa"/>
            <w:tcBorders>
              <w:top w:val="single" w:sz="4" w:space="0" w:color="auto"/>
              <w:left w:val="nil"/>
              <w:bottom w:val="nil"/>
              <w:right w:val="nil"/>
            </w:tcBorders>
          </w:tcPr>
          <w:p w:rsidR="001A62D7" w:rsidRPr="002C07B0" w:rsidRDefault="001A62D7" w:rsidP="001D5990">
            <w:pPr>
              <w:spacing w:before="60" w:after="60"/>
              <w:rPr>
                <w:noProof/>
              </w:rPr>
            </w:pPr>
            <w:r w:rsidRPr="002C07B0">
              <w:rPr>
                <w:noProof/>
              </w:rPr>
              <w:t>Educational level</w:t>
            </w:r>
          </w:p>
        </w:tc>
        <w:tc>
          <w:tcPr>
            <w:tcW w:w="2063" w:type="dxa"/>
            <w:tcBorders>
              <w:top w:val="single" w:sz="4" w:space="0" w:color="auto"/>
              <w:left w:val="nil"/>
              <w:bottom w:val="nil"/>
              <w:right w:val="nil"/>
            </w:tcBorders>
          </w:tcPr>
          <w:p w:rsidR="001A62D7" w:rsidRPr="002C07B0" w:rsidRDefault="001A62D7" w:rsidP="001D5990">
            <w:pPr>
              <w:spacing w:before="60" w:after="60"/>
              <w:rPr>
                <w:noProof/>
              </w:rPr>
            </w:pPr>
            <w:r w:rsidRPr="002C07B0">
              <w:rPr>
                <w:noProof/>
              </w:rPr>
              <w:t>Lower secondary education or less</w:t>
            </w:r>
            <w:r w:rsidRPr="002C07B0">
              <w:rPr>
                <w:rStyle w:val="FootnoteReference"/>
                <w:noProof/>
              </w:rPr>
              <w:footnoteReference w:id="26"/>
            </w:r>
            <w:r w:rsidRPr="002C07B0">
              <w:rPr>
                <w:noProof/>
              </w:rPr>
              <w:t xml:space="preserve"> </w:t>
            </w:r>
          </w:p>
        </w:tc>
        <w:tc>
          <w:tcPr>
            <w:tcW w:w="1176" w:type="dxa"/>
            <w:tcBorders>
              <w:top w:val="single" w:sz="4" w:space="0" w:color="auto"/>
              <w:left w:val="nil"/>
              <w:bottom w:val="nil"/>
              <w:right w:val="nil"/>
            </w:tcBorders>
          </w:tcPr>
          <w:p w:rsidR="001A62D7" w:rsidRPr="002C07B0" w:rsidRDefault="00D21001" w:rsidP="001D5990">
            <w:pPr>
              <w:spacing w:before="60" w:after="60"/>
              <w:jc w:val="right"/>
              <w:rPr>
                <w:noProof/>
              </w:rPr>
            </w:pPr>
            <w:r w:rsidRPr="002C07B0">
              <w:rPr>
                <w:noProof/>
              </w:rPr>
              <w:t>120</w:t>
            </w:r>
          </w:p>
        </w:tc>
        <w:tc>
          <w:tcPr>
            <w:tcW w:w="1176" w:type="dxa"/>
            <w:tcBorders>
              <w:top w:val="single" w:sz="4" w:space="0" w:color="auto"/>
              <w:left w:val="nil"/>
              <w:bottom w:val="nil"/>
              <w:right w:val="nil"/>
            </w:tcBorders>
          </w:tcPr>
          <w:p w:rsidR="001A62D7" w:rsidRPr="002C07B0" w:rsidRDefault="001A62D7" w:rsidP="001D5990">
            <w:pPr>
              <w:spacing w:before="60" w:after="60"/>
              <w:jc w:val="right"/>
              <w:rPr>
                <w:rFonts w:eastAsia="Calibri"/>
                <w:noProof/>
              </w:rPr>
            </w:pPr>
            <w:r w:rsidRPr="002C07B0">
              <w:rPr>
                <w:rFonts w:eastAsia="Calibri"/>
                <w:noProof/>
              </w:rPr>
              <w:t>(</w:t>
            </w:r>
            <w:r w:rsidR="006239A4" w:rsidRPr="002C07B0">
              <w:rPr>
                <w:noProof/>
              </w:rPr>
              <w:t>11,</w:t>
            </w:r>
            <w:r w:rsidR="00D21001" w:rsidRPr="002C07B0">
              <w:rPr>
                <w:noProof/>
              </w:rPr>
              <w:t>9</w:t>
            </w:r>
            <w:r w:rsidRPr="002C07B0">
              <w:rPr>
                <w:rFonts w:eastAsia="Calibri"/>
                <w:noProof/>
              </w:rPr>
              <w:t> %)</w:t>
            </w:r>
          </w:p>
        </w:tc>
      </w:tr>
      <w:tr w:rsidR="001A62D7" w:rsidRPr="002C07B0" w:rsidTr="001D5990">
        <w:trPr>
          <w:jc w:val="center"/>
        </w:trPr>
        <w:tc>
          <w:tcPr>
            <w:tcW w:w="1496" w:type="dxa"/>
            <w:tcBorders>
              <w:top w:val="nil"/>
              <w:left w:val="nil"/>
              <w:right w:val="nil"/>
            </w:tcBorders>
          </w:tcPr>
          <w:p w:rsidR="001A62D7" w:rsidRPr="002C07B0" w:rsidRDefault="001A62D7" w:rsidP="001D5990">
            <w:pPr>
              <w:spacing w:before="60" w:after="60"/>
              <w:rPr>
                <w:noProof/>
              </w:rPr>
            </w:pPr>
          </w:p>
        </w:tc>
        <w:tc>
          <w:tcPr>
            <w:tcW w:w="2063" w:type="dxa"/>
            <w:tcBorders>
              <w:top w:val="nil"/>
              <w:left w:val="nil"/>
              <w:right w:val="nil"/>
            </w:tcBorders>
          </w:tcPr>
          <w:p w:rsidR="001A62D7" w:rsidRPr="002C07B0" w:rsidRDefault="001A62D7" w:rsidP="001D5990">
            <w:pPr>
              <w:spacing w:before="60" w:after="60"/>
              <w:rPr>
                <w:noProof/>
              </w:rPr>
            </w:pPr>
            <w:r w:rsidRPr="002C07B0">
              <w:rPr>
                <w:noProof/>
              </w:rPr>
              <w:t>Upper secondary</w:t>
            </w:r>
            <w:r w:rsidRPr="002C07B0">
              <w:rPr>
                <w:rStyle w:val="FootnoteReference"/>
                <w:noProof/>
              </w:rPr>
              <w:footnoteReference w:id="27"/>
            </w:r>
            <w:r w:rsidRPr="002C07B0">
              <w:rPr>
                <w:noProof/>
              </w:rPr>
              <w:t xml:space="preserve"> or post-secondary education</w:t>
            </w:r>
            <w:r w:rsidRPr="002C07B0">
              <w:rPr>
                <w:rStyle w:val="FootnoteReference"/>
                <w:noProof/>
              </w:rPr>
              <w:footnoteReference w:id="28"/>
            </w:r>
          </w:p>
        </w:tc>
        <w:tc>
          <w:tcPr>
            <w:tcW w:w="1176" w:type="dxa"/>
            <w:tcBorders>
              <w:top w:val="nil"/>
              <w:left w:val="nil"/>
              <w:right w:val="nil"/>
            </w:tcBorders>
          </w:tcPr>
          <w:p w:rsidR="001A62D7" w:rsidRPr="002C07B0" w:rsidRDefault="00D21001" w:rsidP="001D5990">
            <w:pPr>
              <w:spacing w:before="60" w:after="60"/>
              <w:jc w:val="right"/>
              <w:rPr>
                <w:noProof/>
              </w:rPr>
            </w:pPr>
            <w:r w:rsidRPr="002C07B0">
              <w:rPr>
                <w:noProof/>
              </w:rPr>
              <w:t>741</w:t>
            </w:r>
          </w:p>
        </w:tc>
        <w:tc>
          <w:tcPr>
            <w:tcW w:w="1176" w:type="dxa"/>
            <w:tcBorders>
              <w:top w:val="nil"/>
              <w:left w:val="nil"/>
              <w:right w:val="nil"/>
            </w:tcBorders>
          </w:tcPr>
          <w:p w:rsidR="001A62D7" w:rsidRPr="002C07B0" w:rsidRDefault="001A62D7" w:rsidP="001D5990">
            <w:pPr>
              <w:spacing w:before="60" w:after="60"/>
              <w:jc w:val="right"/>
              <w:rPr>
                <w:rFonts w:eastAsia="Calibri"/>
                <w:noProof/>
              </w:rPr>
            </w:pPr>
            <w:r w:rsidRPr="002C07B0">
              <w:rPr>
                <w:rFonts w:eastAsia="Calibri"/>
                <w:noProof/>
              </w:rPr>
              <w:t>(</w:t>
            </w:r>
            <w:r w:rsidR="006239A4" w:rsidRPr="002C07B0">
              <w:rPr>
                <w:noProof/>
              </w:rPr>
              <w:t>73,</w:t>
            </w:r>
            <w:r w:rsidR="00D21001" w:rsidRPr="002C07B0">
              <w:rPr>
                <w:noProof/>
              </w:rPr>
              <w:t>4</w:t>
            </w:r>
            <w:r w:rsidRPr="002C07B0">
              <w:rPr>
                <w:rFonts w:eastAsia="Calibri"/>
                <w:noProof/>
              </w:rPr>
              <w:t> %)</w:t>
            </w:r>
          </w:p>
        </w:tc>
      </w:tr>
      <w:tr w:rsidR="001A62D7" w:rsidRPr="002C07B0" w:rsidTr="001D5990">
        <w:trPr>
          <w:jc w:val="center"/>
        </w:trPr>
        <w:tc>
          <w:tcPr>
            <w:tcW w:w="1496" w:type="dxa"/>
            <w:tcBorders>
              <w:top w:val="nil"/>
              <w:left w:val="nil"/>
              <w:bottom w:val="single" w:sz="4" w:space="0" w:color="auto"/>
              <w:right w:val="nil"/>
            </w:tcBorders>
          </w:tcPr>
          <w:p w:rsidR="001A62D7" w:rsidRPr="002C07B0" w:rsidRDefault="001A62D7" w:rsidP="001D5990">
            <w:pPr>
              <w:spacing w:before="60" w:after="60"/>
              <w:rPr>
                <w:noProof/>
              </w:rPr>
            </w:pPr>
          </w:p>
        </w:tc>
        <w:tc>
          <w:tcPr>
            <w:tcW w:w="2063" w:type="dxa"/>
            <w:tcBorders>
              <w:top w:val="nil"/>
              <w:left w:val="nil"/>
              <w:bottom w:val="single" w:sz="4" w:space="0" w:color="auto"/>
              <w:right w:val="nil"/>
            </w:tcBorders>
          </w:tcPr>
          <w:p w:rsidR="001A62D7" w:rsidRPr="002C07B0" w:rsidRDefault="001A62D7" w:rsidP="001D5990">
            <w:pPr>
              <w:spacing w:before="60" w:after="60"/>
              <w:rPr>
                <w:noProof/>
              </w:rPr>
            </w:pPr>
            <w:r w:rsidRPr="002C07B0">
              <w:rPr>
                <w:noProof/>
              </w:rPr>
              <w:t>Tertiary education</w:t>
            </w:r>
            <w:r w:rsidRPr="002C07B0">
              <w:rPr>
                <w:rStyle w:val="FootnoteReference"/>
                <w:noProof/>
              </w:rPr>
              <w:footnoteReference w:id="29"/>
            </w:r>
          </w:p>
        </w:tc>
        <w:tc>
          <w:tcPr>
            <w:tcW w:w="1176" w:type="dxa"/>
            <w:tcBorders>
              <w:top w:val="nil"/>
              <w:left w:val="nil"/>
              <w:bottom w:val="single" w:sz="4" w:space="0" w:color="auto"/>
              <w:right w:val="nil"/>
            </w:tcBorders>
          </w:tcPr>
          <w:p w:rsidR="001A62D7" w:rsidRPr="002C07B0" w:rsidRDefault="00D21001" w:rsidP="001D5990">
            <w:pPr>
              <w:spacing w:before="60" w:after="60"/>
              <w:jc w:val="right"/>
              <w:rPr>
                <w:noProof/>
              </w:rPr>
            </w:pPr>
            <w:r w:rsidRPr="002C07B0">
              <w:rPr>
                <w:noProof/>
              </w:rPr>
              <w:t>149</w:t>
            </w:r>
          </w:p>
        </w:tc>
        <w:tc>
          <w:tcPr>
            <w:tcW w:w="1176" w:type="dxa"/>
            <w:tcBorders>
              <w:top w:val="nil"/>
              <w:left w:val="nil"/>
              <w:bottom w:val="single" w:sz="4" w:space="0" w:color="auto"/>
              <w:right w:val="nil"/>
            </w:tcBorders>
          </w:tcPr>
          <w:p w:rsidR="001A62D7" w:rsidRPr="002C07B0" w:rsidRDefault="001A62D7" w:rsidP="001D5990">
            <w:pPr>
              <w:spacing w:before="60" w:after="60"/>
              <w:jc w:val="right"/>
              <w:rPr>
                <w:rFonts w:eastAsia="Calibri"/>
                <w:noProof/>
              </w:rPr>
            </w:pPr>
            <w:r w:rsidRPr="002C07B0">
              <w:rPr>
                <w:rFonts w:eastAsia="Calibri"/>
                <w:noProof/>
              </w:rPr>
              <w:t>(</w:t>
            </w:r>
            <w:r w:rsidR="006239A4" w:rsidRPr="002C07B0">
              <w:rPr>
                <w:noProof/>
              </w:rPr>
              <w:t>14,7</w:t>
            </w:r>
            <w:r w:rsidRPr="002C07B0">
              <w:rPr>
                <w:rFonts w:eastAsia="Calibri"/>
                <w:noProof/>
              </w:rPr>
              <w:t> %)</w:t>
            </w:r>
          </w:p>
        </w:tc>
      </w:tr>
    </w:tbl>
    <w:p w:rsidR="001A62D7" w:rsidRPr="002C07B0" w:rsidRDefault="001A62D7" w:rsidP="001A62D7">
      <w:pPr>
        <w:pStyle w:val="ManualHeading3"/>
        <w:rPr>
          <w:noProof/>
          <w:u w:val="single"/>
        </w:rPr>
      </w:pPr>
      <w:r w:rsidRPr="002C07B0">
        <w:rPr>
          <w:noProof/>
        </w:rPr>
        <w:t>Proposed measures</w:t>
      </w:r>
    </w:p>
    <w:p w:rsidR="001A62D7" w:rsidRPr="002C07B0" w:rsidRDefault="001A62D7" w:rsidP="00AE7D04">
      <w:pPr>
        <w:pStyle w:val="ManualNumPar1"/>
        <w:rPr>
          <w:noProof/>
        </w:rPr>
      </w:pPr>
      <w:r>
        <w:rPr>
          <w:noProof/>
        </w:rPr>
        <w:t>33.</w:t>
      </w:r>
      <w:r>
        <w:rPr>
          <w:noProof/>
        </w:rPr>
        <w:tab/>
      </w:r>
      <w:bookmarkStart w:id="17" w:name="_Ref372214239"/>
      <w:r w:rsidRPr="002C07B0">
        <w:rPr>
          <w:noProof/>
        </w:rPr>
        <w:t xml:space="preserve">Pursuant to Article 8(7), point (h) of Regulation (EU) 2021/691, the personalised coordinated package to be provided to displaced workers consists of the following measures: </w:t>
      </w:r>
      <w:bookmarkEnd w:id="17"/>
    </w:p>
    <w:p w:rsidR="001A62D7" w:rsidRPr="002C07B0" w:rsidRDefault="00A842DD" w:rsidP="0097593C">
      <w:pPr>
        <w:pStyle w:val="Tiret1"/>
        <w:numPr>
          <w:ilvl w:val="0"/>
          <w:numId w:val="34"/>
        </w:numPr>
        <w:rPr>
          <w:noProof/>
        </w:rPr>
      </w:pPr>
      <w:r w:rsidRPr="002C07B0">
        <w:rPr>
          <w:noProof/>
          <w:u w:val="single"/>
        </w:rPr>
        <w:lastRenderedPageBreak/>
        <w:t>Outplacement and vocational guidance</w:t>
      </w:r>
      <w:r w:rsidR="001A62D7" w:rsidRPr="002C07B0">
        <w:rPr>
          <w:noProof/>
        </w:rPr>
        <w:t xml:space="preserve">: </w:t>
      </w:r>
      <w:r w:rsidR="00EC177D" w:rsidRPr="002C07B0">
        <w:rPr>
          <w:noProof/>
        </w:rPr>
        <w:t>These services are delivered by a team comprising vocational advisors specialising in restructuring events and social support workers, typically drawn from the company’s employee representatives. The advisors offer outplacement services, career guidance, and professional reintegration support through individual and group counselling and coaching sessions. Meanwhile, the social support workers assist with administrative procedures related to changes in employment status and help preserve a collective framework of solidarity among employees</w:t>
      </w:r>
      <w:r w:rsidR="001A62D7" w:rsidRPr="002C07B0">
        <w:rPr>
          <w:noProof/>
        </w:rPr>
        <w:t>.</w:t>
      </w:r>
    </w:p>
    <w:p w:rsidR="001A62D7" w:rsidRPr="002C07B0" w:rsidRDefault="00B4504D" w:rsidP="00B4504D">
      <w:pPr>
        <w:pStyle w:val="Tiret1"/>
        <w:rPr>
          <w:noProof/>
        </w:rPr>
      </w:pPr>
      <w:r w:rsidRPr="002C07B0">
        <w:rPr>
          <w:noProof/>
          <w:u w:val="single"/>
        </w:rPr>
        <w:t>Skills certification</w:t>
      </w:r>
      <w:r w:rsidR="001A62D7" w:rsidRPr="002C07B0">
        <w:rPr>
          <w:noProof/>
        </w:rPr>
        <w:t xml:space="preserve">: </w:t>
      </w:r>
      <w:r w:rsidRPr="002C07B0">
        <w:rPr>
          <w:noProof/>
        </w:rPr>
        <w:t>Former Cora employees can have their professional skills certified through the Skills Validation Consortium</w:t>
      </w:r>
      <w:r w:rsidRPr="002C07B0">
        <w:rPr>
          <w:rStyle w:val="FootnoteReference"/>
          <w:noProof/>
        </w:rPr>
        <w:footnoteReference w:id="30"/>
      </w:r>
      <w:r w:rsidRPr="002C07B0">
        <w:rPr>
          <w:noProof/>
        </w:rPr>
        <w:t>. The Consortium organises tailored validation assessments based on the workers’ profiles and needs. Skills certification helps secure and accelerate reintegration into employment, while also enabling more effective training pathways.</w:t>
      </w:r>
    </w:p>
    <w:p w:rsidR="00741722" w:rsidRPr="002C07B0" w:rsidRDefault="004F669B" w:rsidP="00741722">
      <w:pPr>
        <w:pStyle w:val="Tiret1"/>
        <w:rPr>
          <w:noProof/>
        </w:rPr>
      </w:pPr>
      <w:r w:rsidRPr="002C07B0">
        <w:rPr>
          <w:noProof/>
          <w:u w:val="single"/>
        </w:rPr>
        <w:t>Training</w:t>
      </w:r>
      <w:r w:rsidR="00741722" w:rsidRPr="002C07B0">
        <w:rPr>
          <w:noProof/>
        </w:rPr>
        <w:t xml:space="preserve">: </w:t>
      </w:r>
      <w:r w:rsidR="00412467" w:rsidRPr="002C07B0">
        <w:rPr>
          <w:noProof/>
        </w:rPr>
        <w:t xml:space="preserve">Specific training will be offered to cater for the identified needs of the workers, after the profiling and agreement of individual projects with the vocational counsellors. </w:t>
      </w:r>
      <w:r w:rsidR="008F3247" w:rsidRPr="002C07B0">
        <w:rPr>
          <w:noProof/>
        </w:rPr>
        <w:t>Such training complements Le Forem’s standard training programmes and those of its partners. Two IT modules, designed to develop and strengthen digital autonomy, are offered to workers as cross-cutting training</w:t>
      </w:r>
      <w:r w:rsidR="00741722" w:rsidRPr="002C07B0">
        <w:rPr>
          <w:noProof/>
        </w:rPr>
        <w:t>.</w:t>
      </w:r>
    </w:p>
    <w:p w:rsidR="00741722" w:rsidRPr="002C07B0" w:rsidRDefault="004F669B" w:rsidP="00143574">
      <w:pPr>
        <w:pStyle w:val="Tiret1"/>
        <w:rPr>
          <w:noProof/>
        </w:rPr>
      </w:pPr>
      <w:r w:rsidRPr="002C07B0">
        <w:rPr>
          <w:noProof/>
          <w:u w:val="single"/>
        </w:rPr>
        <w:t xml:space="preserve">Support </w:t>
      </w:r>
      <w:r w:rsidR="00143574" w:rsidRPr="002C07B0">
        <w:rPr>
          <w:noProof/>
          <w:u w:val="single"/>
        </w:rPr>
        <w:t xml:space="preserve">for </w:t>
      </w:r>
      <w:r w:rsidRPr="002C07B0">
        <w:rPr>
          <w:noProof/>
          <w:u w:val="single"/>
        </w:rPr>
        <w:t>business creation</w:t>
      </w:r>
      <w:r w:rsidR="00741722" w:rsidRPr="002C07B0">
        <w:rPr>
          <w:noProof/>
        </w:rPr>
        <w:t xml:space="preserve">: </w:t>
      </w:r>
      <w:r w:rsidRPr="002C07B0">
        <w:rPr>
          <w:noProof/>
        </w:rPr>
        <w:t>Th</w:t>
      </w:r>
      <w:r w:rsidR="00143574" w:rsidRPr="002C07B0">
        <w:rPr>
          <w:noProof/>
        </w:rPr>
        <w:t>is</w:t>
      </w:r>
      <w:r w:rsidRPr="002C07B0">
        <w:rPr>
          <w:noProof/>
        </w:rPr>
        <w:t xml:space="preserve"> measure </w:t>
      </w:r>
      <w:r w:rsidR="00143574" w:rsidRPr="002C07B0">
        <w:rPr>
          <w:noProof/>
        </w:rPr>
        <w:t>targets workers seeking to start their own enterprise and includes a diagnostic and guidance phase, entrepreneurship awareness-raising activities, information sessions on business creation opportunities (based on territorial economic analyses), and networking with established entrepreneurs and certified business-creation coaches.</w:t>
      </w:r>
    </w:p>
    <w:p w:rsidR="00741722" w:rsidRPr="002C07B0" w:rsidRDefault="003F4387" w:rsidP="00741722">
      <w:pPr>
        <w:pStyle w:val="Tiret1"/>
        <w:rPr>
          <w:noProof/>
        </w:rPr>
      </w:pPr>
      <w:r w:rsidRPr="002C07B0">
        <w:rPr>
          <w:noProof/>
          <w:u w:val="single"/>
        </w:rPr>
        <w:t>Contribution to business start-up</w:t>
      </w:r>
      <w:r w:rsidR="00741722" w:rsidRPr="002C07B0">
        <w:rPr>
          <w:noProof/>
        </w:rPr>
        <w:t xml:space="preserve">: </w:t>
      </w:r>
      <w:r w:rsidRPr="002C07B0">
        <w:rPr>
          <w:noProof/>
        </w:rPr>
        <w:t>The workers who start a business or a self-employed activity will receive a contribution up to EUR</w:t>
      </w:r>
      <w:r w:rsidR="00143574" w:rsidRPr="002C07B0">
        <w:rPr>
          <w:noProof/>
        </w:rPr>
        <w:t> </w:t>
      </w:r>
      <w:r w:rsidRPr="002C07B0">
        <w:rPr>
          <w:noProof/>
        </w:rPr>
        <w:t>15 000. The contribution will be paid in two instalments,</w:t>
      </w:r>
      <w:r w:rsidR="00143574" w:rsidRPr="002C07B0">
        <w:rPr>
          <w:noProof/>
        </w:rPr>
        <w:t xml:space="preserve"> subject to verification of the launch and progression of the business activity through</w:t>
      </w:r>
      <w:r w:rsidRPr="002C07B0">
        <w:rPr>
          <w:noProof/>
        </w:rPr>
        <w:t xml:space="preserve"> supporting documents</w:t>
      </w:r>
      <w:r w:rsidR="00741722" w:rsidRPr="002C07B0">
        <w:rPr>
          <w:noProof/>
        </w:rPr>
        <w:t>.</w:t>
      </w:r>
    </w:p>
    <w:p w:rsidR="00741722" w:rsidRPr="002C07B0" w:rsidRDefault="00133E35" w:rsidP="00741722">
      <w:pPr>
        <w:pStyle w:val="Tiret1"/>
        <w:rPr>
          <w:noProof/>
        </w:rPr>
      </w:pPr>
      <w:r w:rsidRPr="002C07B0">
        <w:rPr>
          <w:noProof/>
          <w:u w:val="single"/>
        </w:rPr>
        <w:t>Incentives and allowances</w:t>
      </w:r>
      <w:r w:rsidR="00741722" w:rsidRPr="002C07B0">
        <w:rPr>
          <w:noProof/>
        </w:rPr>
        <w:t xml:space="preserve">: </w:t>
      </w:r>
      <w:r w:rsidRPr="002C07B0">
        <w:rPr>
          <w:noProof/>
        </w:rPr>
        <w:t>(1)</w:t>
      </w:r>
      <w:r w:rsidR="00AE0FB4" w:rsidRPr="002C07B0">
        <w:rPr>
          <w:noProof/>
        </w:rPr>
        <w:t> </w:t>
      </w:r>
      <w:r w:rsidRPr="002C07B0">
        <w:rPr>
          <w:noProof/>
        </w:rPr>
        <w:t>Job-search allowances. Workers will receive EUR</w:t>
      </w:r>
      <w:r w:rsidR="002C07B0">
        <w:rPr>
          <w:noProof/>
        </w:rPr>
        <w:t> </w:t>
      </w:r>
      <w:r w:rsidRPr="002C07B0">
        <w:rPr>
          <w:noProof/>
        </w:rPr>
        <w:t>2 per hour of effective participation in job-search activities entitled to the allowance. (2)</w:t>
      </w:r>
      <w:r w:rsidR="00AE0FB4" w:rsidRPr="002C07B0">
        <w:rPr>
          <w:noProof/>
        </w:rPr>
        <w:t> </w:t>
      </w:r>
      <w:r w:rsidRPr="002C07B0">
        <w:rPr>
          <w:noProof/>
        </w:rPr>
        <w:t>Return-to-school allowance. A monthly allowance of EUR</w:t>
      </w:r>
      <w:r w:rsidR="00AE0FB4" w:rsidRPr="002C07B0">
        <w:rPr>
          <w:noProof/>
        </w:rPr>
        <w:t> </w:t>
      </w:r>
      <w:r w:rsidRPr="002C07B0">
        <w:rPr>
          <w:noProof/>
        </w:rPr>
        <w:t>350 will be granted to workers who embark on full-time secondary</w:t>
      </w:r>
      <w:r w:rsidR="001E2081" w:rsidRPr="002C07B0">
        <w:rPr>
          <w:noProof/>
        </w:rPr>
        <w:t xml:space="preserve"> or</w:t>
      </w:r>
      <w:r w:rsidRPr="002C07B0">
        <w:rPr>
          <w:noProof/>
        </w:rPr>
        <w:t xml:space="preserve"> tertiary studies, or qualifying training to acquire the necessary skills for jobs that are in demand and for which recruiting is difficult or linked to critical functions</w:t>
      </w:r>
      <w:r w:rsidR="001E2081" w:rsidRPr="002C07B0">
        <w:rPr>
          <w:rStyle w:val="FootnoteReference"/>
          <w:noProof/>
        </w:rPr>
        <w:footnoteReference w:id="31"/>
      </w:r>
      <w:r w:rsidRPr="002C07B0">
        <w:rPr>
          <w:noProof/>
        </w:rPr>
        <w:t>. (3)</w:t>
      </w:r>
      <w:r w:rsidR="00AE0FB4" w:rsidRPr="002C07B0">
        <w:rPr>
          <w:noProof/>
        </w:rPr>
        <w:t> </w:t>
      </w:r>
      <w:r w:rsidRPr="002C07B0">
        <w:rPr>
          <w:noProof/>
        </w:rPr>
        <w:t>Allowance towards business creation. To support workers during setting up business, a monthly allowance of EUR</w:t>
      </w:r>
      <w:r w:rsidR="00AE0FB4" w:rsidRPr="002C07B0">
        <w:rPr>
          <w:noProof/>
        </w:rPr>
        <w:t> </w:t>
      </w:r>
      <w:r w:rsidRPr="002C07B0">
        <w:rPr>
          <w:noProof/>
        </w:rPr>
        <w:t>350 will be granted for a maximum of 12 months or up to 18 months under certain conditions</w:t>
      </w:r>
      <w:r w:rsidR="00741722" w:rsidRPr="002C07B0">
        <w:rPr>
          <w:noProof/>
        </w:rPr>
        <w:t>.</w:t>
      </w:r>
    </w:p>
    <w:p w:rsidR="006F7CF9" w:rsidRPr="002C07B0" w:rsidRDefault="006F7CF9" w:rsidP="006F7CF9">
      <w:pPr>
        <w:pStyle w:val="ManualNumPar1"/>
        <w:rPr>
          <w:noProof/>
        </w:rPr>
      </w:pPr>
      <w:r>
        <w:rPr>
          <w:noProof/>
        </w:rPr>
        <w:t>34.</w:t>
      </w:r>
      <w:r>
        <w:rPr>
          <w:noProof/>
        </w:rPr>
        <w:tab/>
      </w:r>
      <w:r w:rsidRPr="002C07B0">
        <w:rPr>
          <w:noProof/>
        </w:rPr>
        <w:t xml:space="preserve">The training designed to develop and strengthen digital autonomy, which complements Le Forem’s standard digital skills programme, alongside a module on the circular economy and efficient resources use, support the dissemination of skills essential for the digital industrial age and a resource-efficient economy, as required by Article 7(2) of Regulation (EU) 2021/691. </w:t>
      </w:r>
    </w:p>
    <w:p w:rsidR="006F7CF9" w:rsidRPr="002C07B0" w:rsidRDefault="006F7CF9" w:rsidP="00783113">
      <w:pPr>
        <w:pStyle w:val="Text1"/>
        <w:rPr>
          <w:noProof/>
        </w:rPr>
      </w:pPr>
      <w:r w:rsidRPr="002C07B0">
        <w:rPr>
          <w:noProof/>
        </w:rPr>
        <w:lastRenderedPageBreak/>
        <w:t>The circular economy and resource efficiency module, originally developed for former Swissport workers (EGF/2020/005 BE)</w:t>
      </w:r>
      <w:r w:rsidRPr="002C07B0">
        <w:rPr>
          <w:rStyle w:val="FootnoteReference"/>
          <w:noProof/>
        </w:rPr>
        <w:footnoteReference w:id="32"/>
      </w:r>
      <w:r w:rsidRPr="002C07B0">
        <w:rPr>
          <w:noProof/>
        </w:rPr>
        <w:t xml:space="preserve">, is now part of Le Forem’s standard training offer, co-financed by the ESF+. As such, it is not included in the budget of this proposal. </w:t>
      </w:r>
    </w:p>
    <w:p w:rsidR="001A62D7" w:rsidRPr="002C07B0" w:rsidRDefault="006F7CF9" w:rsidP="00783113">
      <w:pPr>
        <w:pStyle w:val="Text1"/>
        <w:rPr>
          <w:noProof/>
        </w:rPr>
      </w:pPr>
      <w:r w:rsidRPr="002C07B0">
        <w:rPr>
          <w:noProof/>
        </w:rPr>
        <w:t>Additionally, the circular economy module is supplemented by a social economy module, also developed under an EGF case</w:t>
      </w:r>
      <w:r w:rsidR="00105B12" w:rsidRPr="002C07B0">
        <w:rPr>
          <w:rStyle w:val="FootnoteReference"/>
          <w:noProof/>
        </w:rPr>
        <w:footnoteReference w:id="33"/>
      </w:r>
      <w:r w:rsidRPr="002C07B0">
        <w:rPr>
          <w:noProof/>
        </w:rPr>
        <w:t>.</w:t>
      </w:r>
      <w:r w:rsidR="001A62D7" w:rsidRPr="002C07B0">
        <w:rPr>
          <w:noProof/>
        </w:rPr>
        <w:t xml:space="preserve"> </w:t>
      </w:r>
    </w:p>
    <w:p w:rsidR="001A62D7" w:rsidRPr="002C07B0" w:rsidRDefault="001A62D7" w:rsidP="00AE7D04">
      <w:pPr>
        <w:pStyle w:val="ManualNumPar1"/>
        <w:rPr>
          <w:noProof/>
        </w:rPr>
      </w:pPr>
      <w:r>
        <w:rPr>
          <w:noProof/>
        </w:rPr>
        <w:t>35.</w:t>
      </w:r>
      <w:r>
        <w:rPr>
          <w:noProof/>
        </w:rPr>
        <w:tab/>
      </w:r>
      <w:bookmarkStart w:id="18" w:name="_Ref372214242"/>
      <w:r w:rsidRPr="002C07B0">
        <w:rPr>
          <w:noProof/>
        </w:rPr>
        <w:t xml:space="preserve">The proposed actions, here described, constitute active labour market policy measures within the eligible actions set out in Article 7 of Regulation (EU) 2021/691. These actions do not substitute passive social protection measures. </w:t>
      </w:r>
    </w:p>
    <w:p w:rsidR="001A62D7" w:rsidRPr="002C07B0" w:rsidRDefault="00783113" w:rsidP="00AE7D04">
      <w:pPr>
        <w:pStyle w:val="ManualNumPar1"/>
        <w:rPr>
          <w:noProof/>
        </w:rPr>
      </w:pPr>
      <w:r>
        <w:rPr>
          <w:noProof/>
        </w:rPr>
        <w:t>36.</w:t>
      </w:r>
      <w:r>
        <w:rPr>
          <w:noProof/>
        </w:rPr>
        <w:tab/>
      </w:r>
      <w:r w:rsidRPr="002C07B0">
        <w:rPr>
          <w:noProof/>
        </w:rPr>
        <w:t>Belgium</w:t>
      </w:r>
      <w:r w:rsidR="001A62D7" w:rsidRPr="002C07B0">
        <w:rPr>
          <w:noProof/>
        </w:rPr>
        <w:t xml:space="preserve"> has provided the required information on measures that are mandatory for the enterprise concerned by virtue of national law or pursuant to collective agreements. In accordance with Article 9(1) of Regulation (EU) 2021/691, </w:t>
      </w:r>
      <w:r w:rsidRPr="002C07B0">
        <w:rPr>
          <w:noProof/>
        </w:rPr>
        <w:t>Belgium</w:t>
      </w:r>
      <w:r w:rsidR="001A62D7" w:rsidRPr="002C07B0">
        <w:rPr>
          <w:noProof/>
        </w:rPr>
        <w:t xml:space="preserve"> has confirmed that a financial contribution from the EGF will not replace such measures.</w:t>
      </w:r>
      <w:bookmarkEnd w:id="18"/>
    </w:p>
    <w:p w:rsidR="001A62D7" w:rsidRPr="002C07B0" w:rsidRDefault="001A62D7" w:rsidP="001A62D7">
      <w:pPr>
        <w:pStyle w:val="ManualHeading3"/>
        <w:rPr>
          <w:noProof/>
        </w:rPr>
      </w:pPr>
      <w:r w:rsidRPr="002C07B0">
        <w:rPr>
          <w:noProof/>
        </w:rPr>
        <w:t>Estimated budget</w:t>
      </w:r>
    </w:p>
    <w:p w:rsidR="001A62D7" w:rsidRPr="002C07B0" w:rsidRDefault="001A62D7" w:rsidP="00AE7D04">
      <w:pPr>
        <w:pStyle w:val="ManualNumPar1"/>
        <w:rPr>
          <w:noProof/>
        </w:rPr>
      </w:pPr>
      <w:r>
        <w:rPr>
          <w:noProof/>
        </w:rPr>
        <w:t>37.</w:t>
      </w:r>
      <w:r>
        <w:rPr>
          <w:noProof/>
        </w:rPr>
        <w:tab/>
      </w:r>
      <w:r w:rsidRPr="002C07B0">
        <w:rPr>
          <w:noProof/>
        </w:rPr>
        <w:t>The estimated total costs are EUR </w:t>
      </w:r>
      <w:r w:rsidR="00741722" w:rsidRPr="002C07B0">
        <w:rPr>
          <w:noProof/>
        </w:rPr>
        <w:t>4 495 836</w:t>
      </w:r>
      <w:r w:rsidRPr="002C07B0">
        <w:rPr>
          <w:noProof/>
        </w:rPr>
        <w:t>, comprising expenditure for personalised services of EUR </w:t>
      </w:r>
      <w:r w:rsidR="001D0EB6" w:rsidRPr="002C07B0">
        <w:rPr>
          <w:noProof/>
        </w:rPr>
        <w:t>4 441 774</w:t>
      </w:r>
      <w:r w:rsidR="001D0EB6">
        <w:rPr>
          <w:noProof/>
        </w:rPr>
        <w:t xml:space="preserve"> </w:t>
      </w:r>
      <w:r w:rsidRPr="002C07B0">
        <w:rPr>
          <w:noProof/>
        </w:rPr>
        <w:t>and expenditure for preparatory, management, information and publicity, control and reporting activities of EUR </w:t>
      </w:r>
      <w:r w:rsidR="00741722" w:rsidRPr="002C07B0">
        <w:rPr>
          <w:noProof/>
        </w:rPr>
        <w:t>54 062</w:t>
      </w:r>
      <w:r w:rsidRPr="002C07B0">
        <w:rPr>
          <w:noProof/>
        </w:rPr>
        <w:t>.</w:t>
      </w:r>
    </w:p>
    <w:p w:rsidR="001A62D7" w:rsidRPr="002C07B0" w:rsidRDefault="001A62D7" w:rsidP="00AE7D04">
      <w:pPr>
        <w:pStyle w:val="ManualNumPar1"/>
        <w:rPr>
          <w:noProof/>
        </w:rPr>
      </w:pPr>
      <w:r>
        <w:rPr>
          <w:noProof/>
        </w:rPr>
        <w:t>38.</w:t>
      </w:r>
      <w:r>
        <w:rPr>
          <w:noProof/>
        </w:rPr>
        <w:tab/>
      </w:r>
      <w:bookmarkStart w:id="19" w:name="_Ref372550770"/>
      <w:r w:rsidRPr="002C07B0">
        <w:rPr>
          <w:noProof/>
        </w:rPr>
        <w:t>The total financial contribution requested from the EGF is EUR </w:t>
      </w:r>
      <w:r w:rsidR="00741722" w:rsidRPr="002C07B0">
        <w:rPr>
          <w:noProof/>
        </w:rPr>
        <w:t>3 821 460</w:t>
      </w:r>
      <w:r w:rsidRPr="002C07B0">
        <w:rPr>
          <w:noProof/>
        </w:rPr>
        <w:t xml:space="preserve"> (</w:t>
      </w:r>
      <w:r w:rsidR="00741722" w:rsidRPr="002C07B0">
        <w:rPr>
          <w:noProof/>
        </w:rPr>
        <w:t>85</w:t>
      </w:r>
      <w:r w:rsidRPr="002C07B0">
        <w:rPr>
          <w:noProof/>
        </w:rPr>
        <w:t> % of total costs).</w:t>
      </w:r>
      <w:bookmarkEnd w:id="19"/>
    </w:p>
    <w:p w:rsidR="001A62D7" w:rsidRPr="002C07B0" w:rsidRDefault="001A62D7" w:rsidP="00312E6F">
      <w:pPr>
        <w:pStyle w:val="ManualNumPar1"/>
        <w:rPr>
          <w:noProof/>
        </w:rPr>
      </w:pPr>
      <w:r>
        <w:rPr>
          <w:noProof/>
        </w:rPr>
        <w:t>39.</w:t>
      </w:r>
      <w:r>
        <w:rPr>
          <w:noProof/>
        </w:rPr>
        <w:tab/>
      </w:r>
      <w:r w:rsidRPr="002C07B0">
        <w:rPr>
          <w:noProof/>
        </w:rPr>
        <w:t xml:space="preserve">Pursuant to Article 8(7), point (m), of Regulation (EU) 2021/691, </w:t>
      </w:r>
      <w:r w:rsidR="00741722" w:rsidRPr="002C07B0">
        <w:rPr>
          <w:noProof/>
        </w:rPr>
        <w:t>Belgium</w:t>
      </w:r>
      <w:r w:rsidRPr="002C07B0">
        <w:rPr>
          <w:noProof/>
        </w:rPr>
        <w:t xml:space="preserve"> has specified that the national pre-financing and co-funding is provided by </w:t>
      </w:r>
      <w:r w:rsidR="00312E6F" w:rsidRPr="002C07B0">
        <w:rPr>
          <w:noProof/>
        </w:rPr>
        <w:t xml:space="preserve">Le Forem, and Région </w:t>
      </w:r>
      <w:r w:rsidR="002C07B0" w:rsidRPr="002C07B0">
        <w:rPr>
          <w:noProof/>
        </w:rPr>
        <w:t>W</w:t>
      </w:r>
      <w:r w:rsidR="00312E6F" w:rsidRPr="002C07B0">
        <w:rPr>
          <w:noProof/>
        </w:rPr>
        <w:t>allonne</w:t>
      </w:r>
      <w:r w:rsidRPr="002C07B0">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2C07B0" w:rsidTr="001D5990">
        <w:tc>
          <w:tcPr>
            <w:tcW w:w="4644" w:type="dxa"/>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Measures</w:t>
            </w:r>
          </w:p>
        </w:tc>
        <w:tc>
          <w:tcPr>
            <w:tcW w:w="1548" w:type="dxa"/>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Estimated number of participants</w:t>
            </w:r>
          </w:p>
        </w:tc>
        <w:tc>
          <w:tcPr>
            <w:tcW w:w="1548" w:type="dxa"/>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Estimated cost per participant</w:t>
            </w:r>
            <w:r w:rsidRPr="002C07B0">
              <w:rPr>
                <w:rFonts w:eastAsia="Times New Roman"/>
                <w:noProof/>
                <w:sz w:val="22"/>
              </w:rPr>
              <w:br/>
            </w:r>
            <w:r w:rsidRPr="002C07B0">
              <w:rPr>
                <w:rFonts w:eastAsia="Times New Roman"/>
                <w:i/>
                <w:noProof/>
                <w:sz w:val="22"/>
              </w:rPr>
              <w:t>(EUR)</w:t>
            </w:r>
            <w:r w:rsidRPr="002C07B0">
              <w:rPr>
                <w:rStyle w:val="FootnoteReference"/>
                <w:rFonts w:eastAsia="Times New Roman"/>
                <w:i/>
                <w:noProof/>
                <w:sz w:val="22"/>
              </w:rPr>
              <w:footnoteReference w:id="34"/>
            </w:r>
          </w:p>
        </w:tc>
        <w:tc>
          <w:tcPr>
            <w:tcW w:w="1548" w:type="dxa"/>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Estimated total costs</w:t>
            </w:r>
          </w:p>
          <w:p w:rsidR="001A62D7" w:rsidRPr="002C07B0" w:rsidRDefault="001A62D7" w:rsidP="001D5990">
            <w:pPr>
              <w:spacing w:before="60" w:after="60"/>
              <w:jc w:val="center"/>
              <w:rPr>
                <w:rFonts w:eastAsia="Times New Roman"/>
                <w:noProof/>
                <w:sz w:val="22"/>
              </w:rPr>
            </w:pPr>
            <w:r w:rsidRPr="002C07B0">
              <w:rPr>
                <w:rFonts w:eastAsia="Times New Roman"/>
                <w:i/>
                <w:noProof/>
                <w:sz w:val="22"/>
              </w:rPr>
              <w:t>(EUR)</w:t>
            </w:r>
            <w:r w:rsidRPr="002C07B0">
              <w:rPr>
                <w:rStyle w:val="FootnoteReference"/>
                <w:rFonts w:eastAsia="Times New Roman"/>
                <w:i/>
                <w:noProof/>
                <w:sz w:val="22"/>
              </w:rPr>
              <w:footnoteReference w:id="35"/>
            </w:r>
            <w:r w:rsidRPr="002C07B0">
              <w:rPr>
                <w:rFonts w:eastAsia="Times New Roman"/>
                <w:i/>
                <w:noProof/>
                <w:sz w:val="22"/>
              </w:rPr>
              <w:t xml:space="preserve"> </w:t>
            </w:r>
          </w:p>
        </w:tc>
      </w:tr>
      <w:tr w:rsidR="001A62D7" w:rsidRPr="002C07B0" w:rsidTr="001D5990">
        <w:tc>
          <w:tcPr>
            <w:tcW w:w="9288" w:type="dxa"/>
            <w:gridSpan w:val="4"/>
            <w:shd w:val="clear" w:color="auto" w:fill="auto"/>
          </w:tcPr>
          <w:p w:rsidR="001A62D7" w:rsidRPr="002C07B0" w:rsidRDefault="001A62D7" w:rsidP="001D5990">
            <w:pPr>
              <w:spacing w:before="60" w:after="60"/>
              <w:jc w:val="left"/>
              <w:rPr>
                <w:rFonts w:eastAsia="Times New Roman"/>
                <w:noProof/>
                <w:sz w:val="22"/>
              </w:rPr>
            </w:pPr>
            <w:r w:rsidRPr="002C07B0">
              <w:rPr>
                <w:rFonts w:eastAsia="Times New Roman"/>
                <w:noProof/>
                <w:sz w:val="22"/>
              </w:rPr>
              <w:t xml:space="preserve">Personalised services (measures under Article 7(2), </w:t>
            </w:r>
            <w:r w:rsidRPr="002C07B0">
              <w:rPr>
                <w:noProof/>
              </w:rPr>
              <w:t>second subparagraph</w:t>
            </w:r>
            <w:r w:rsidRPr="002C07B0">
              <w:rPr>
                <w:rFonts w:eastAsia="Times New Roman"/>
                <w:noProof/>
                <w:sz w:val="22"/>
              </w:rPr>
              <w:t>, point (a), of Regulation (EU) 2021/691)</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1C7A4E" w:rsidRDefault="00337A55" w:rsidP="00337A55">
            <w:pPr>
              <w:spacing w:before="60" w:after="60"/>
              <w:jc w:val="left"/>
              <w:rPr>
                <w:noProof/>
                <w:lang w:val="fr-FR"/>
              </w:rPr>
            </w:pPr>
            <w:r w:rsidRPr="001C7A4E">
              <w:rPr>
                <w:noProof/>
                <w:lang w:val="fr-FR"/>
              </w:rPr>
              <w:t>Information services, occupational guidance and outplacement assistance</w:t>
            </w:r>
            <w:r w:rsidRPr="001C7A4E">
              <w:rPr>
                <w:noProof/>
                <w:lang w:val="fr-FR"/>
              </w:rPr>
              <w:br/>
              <w:t>(</w:t>
            </w:r>
            <w:r w:rsidR="00646BD5" w:rsidRPr="001C7A4E">
              <w:rPr>
                <w:i/>
                <w:iCs/>
                <w:noProof/>
                <w:lang w:val="fr-FR"/>
              </w:rPr>
              <w:t>r</w:t>
            </w:r>
            <w:r w:rsidRPr="001C7A4E">
              <w:rPr>
                <w:i/>
                <w:iCs/>
                <w:noProof/>
                <w:lang w:val="fr-FR"/>
              </w:rPr>
              <w:t>econversion: accompagnement/orientation/mobilisation)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1 0</w:t>
            </w:r>
            <w:r w:rsidR="009B2D0E">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2 860</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2 874 558</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1C7A4E" w:rsidRDefault="009056A8" w:rsidP="001D5990">
            <w:pPr>
              <w:spacing w:before="60" w:after="60"/>
              <w:jc w:val="left"/>
              <w:rPr>
                <w:noProof/>
                <w:lang w:val="fr-FR"/>
              </w:rPr>
            </w:pPr>
            <w:r w:rsidRPr="001C7A4E">
              <w:rPr>
                <w:noProof/>
                <w:lang w:val="fr-FR"/>
              </w:rPr>
              <w:t>Skills certification</w:t>
            </w:r>
            <w:r w:rsidRPr="001C7A4E">
              <w:rPr>
                <w:noProof/>
                <w:lang w:val="fr-FR"/>
              </w:rPr>
              <w:br/>
              <w:t>(</w:t>
            </w:r>
            <w:r w:rsidR="00646BD5" w:rsidRPr="001C7A4E">
              <w:rPr>
                <w:noProof/>
                <w:lang w:val="fr-FR"/>
              </w:rPr>
              <w:t>v</w:t>
            </w:r>
            <w:r w:rsidRPr="001C7A4E">
              <w:rPr>
                <w:i/>
                <w:iCs/>
                <w:noProof/>
                <w:lang w:val="fr-FR"/>
              </w:rPr>
              <w:t>alidation des compétences)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133</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20 000</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C07B0" w:rsidRDefault="004B48A5" w:rsidP="004B48A5">
            <w:pPr>
              <w:spacing w:before="60" w:after="60"/>
              <w:jc w:val="left"/>
              <w:rPr>
                <w:noProof/>
              </w:rPr>
            </w:pPr>
            <w:r w:rsidRPr="002C07B0">
              <w:rPr>
                <w:noProof/>
              </w:rPr>
              <w:t xml:space="preserve">Training and retraining </w:t>
            </w:r>
            <w:r w:rsidRPr="002C07B0">
              <w:rPr>
                <w:noProof/>
              </w:rPr>
              <w:br/>
              <w:t>(</w:t>
            </w:r>
            <w:r w:rsidRPr="002C07B0">
              <w:rPr>
                <w:i/>
                <w:iCs/>
                <w:noProof/>
              </w:rPr>
              <w:t>formations et modules spécifiques)</w:t>
            </w:r>
            <w:r w:rsidR="001A62D7" w:rsidRPr="002C07B0">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500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937</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468 800</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C07B0" w:rsidRDefault="00646BD5" w:rsidP="00646BD5">
            <w:pPr>
              <w:spacing w:before="60" w:after="60"/>
              <w:jc w:val="left"/>
              <w:rPr>
                <w:noProof/>
              </w:rPr>
            </w:pPr>
            <w:r w:rsidRPr="002C07B0">
              <w:rPr>
                <w:noProof/>
              </w:rPr>
              <w:lastRenderedPageBreak/>
              <w:t>Support for business creation</w:t>
            </w:r>
            <w:r w:rsidRPr="002C07B0">
              <w:rPr>
                <w:noProof/>
              </w:rPr>
              <w:br/>
              <w:t>(</w:t>
            </w:r>
            <w:r w:rsidRPr="002C07B0">
              <w:rPr>
                <w:i/>
                <w:iCs/>
                <w:noProof/>
              </w:rPr>
              <w:t>accompagnement entrepreneuriat)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2 350</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117 503</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C07B0" w:rsidRDefault="00BC646D" w:rsidP="00BC646D">
            <w:pPr>
              <w:spacing w:before="60" w:after="60"/>
              <w:jc w:val="left"/>
              <w:rPr>
                <w:noProof/>
              </w:rPr>
            </w:pPr>
            <w:r w:rsidRPr="002C07B0">
              <w:rPr>
                <w:noProof/>
              </w:rPr>
              <w:t>Contribution to business start-up</w:t>
            </w:r>
            <w:r w:rsidRPr="002C07B0">
              <w:rPr>
                <w:noProof/>
              </w:rPr>
              <w:br/>
            </w:r>
            <w:r w:rsidRPr="002C07B0">
              <w:rPr>
                <w:i/>
                <w:iCs/>
                <w:noProof/>
              </w:rPr>
              <w:t>(bourse de lancement)</w:t>
            </w:r>
            <w:r w:rsidR="001A62D7" w:rsidRPr="002C07B0">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45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450 000</w:t>
            </w:r>
          </w:p>
        </w:tc>
      </w:tr>
      <w:tr w:rsidR="001A62D7" w:rsidRPr="002C07B0" w:rsidTr="001D5990">
        <w:trPr>
          <w:trHeight w:val="398"/>
        </w:trPr>
        <w:tc>
          <w:tcPr>
            <w:tcW w:w="4644" w:type="dxa"/>
            <w:vMerge w:val="restart"/>
            <w:shd w:val="clear" w:color="auto" w:fill="auto"/>
            <w:vAlign w:val="center"/>
          </w:tcPr>
          <w:p w:rsidR="001A62D7" w:rsidRPr="002C07B0" w:rsidRDefault="001A62D7" w:rsidP="001D5990">
            <w:pPr>
              <w:spacing w:before="60" w:after="60"/>
              <w:jc w:val="right"/>
              <w:rPr>
                <w:rFonts w:eastAsia="Times New Roman"/>
                <w:noProof/>
                <w:sz w:val="22"/>
              </w:rPr>
            </w:pPr>
            <w:r w:rsidRPr="002C07B0">
              <w:rPr>
                <w:rFonts w:eastAsia="Times New Roman"/>
                <w:noProof/>
                <w:sz w:val="22"/>
              </w:rPr>
              <w:t>Sub-total (a):</w:t>
            </w:r>
          </w:p>
          <w:p w:rsidR="001A62D7" w:rsidRPr="002C07B0" w:rsidRDefault="001A62D7" w:rsidP="001D5990">
            <w:pPr>
              <w:spacing w:before="60" w:after="60"/>
              <w:jc w:val="right"/>
              <w:rPr>
                <w:rFonts w:eastAsia="Times New Roman"/>
                <w:noProof/>
                <w:sz w:val="22"/>
              </w:rPr>
            </w:pPr>
            <w:r w:rsidRPr="002C07B0">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tcBorders>
              <w:bottom w:val="nil"/>
            </w:tcBorders>
            <w:shd w:val="clear" w:color="auto" w:fill="auto"/>
            <w:vAlign w:val="center"/>
          </w:tcPr>
          <w:p w:rsidR="001A62D7" w:rsidRPr="002C07B0" w:rsidRDefault="00F252C5" w:rsidP="001D5990">
            <w:pPr>
              <w:spacing w:before="60" w:after="60"/>
              <w:jc w:val="center"/>
              <w:rPr>
                <w:rFonts w:eastAsia="Times New Roman"/>
                <w:noProof/>
                <w:sz w:val="22"/>
              </w:rPr>
            </w:pPr>
            <w:r w:rsidRPr="002C07B0">
              <w:rPr>
                <w:noProof/>
              </w:rPr>
              <w:t>3 930 861</w:t>
            </w:r>
          </w:p>
        </w:tc>
      </w:tr>
      <w:tr w:rsidR="001A62D7" w:rsidRPr="002C07B0" w:rsidTr="001D5990">
        <w:trPr>
          <w:trHeight w:val="397"/>
        </w:trPr>
        <w:tc>
          <w:tcPr>
            <w:tcW w:w="4644" w:type="dxa"/>
            <w:vMerge/>
            <w:shd w:val="clear" w:color="auto" w:fill="auto"/>
            <w:vAlign w:val="center"/>
          </w:tcPr>
          <w:p w:rsidR="001A62D7" w:rsidRPr="002C07B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2C07B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r w:rsidR="00F252C5" w:rsidRPr="002C07B0">
              <w:rPr>
                <w:noProof/>
              </w:rPr>
              <w:t>88,50</w:t>
            </w:r>
            <w:r w:rsidRPr="002C07B0">
              <w:rPr>
                <w:noProof/>
              </w:rPr>
              <w:t> </w:t>
            </w:r>
            <w:r w:rsidRPr="002C07B0">
              <w:rPr>
                <w:rFonts w:eastAsia="Times New Roman"/>
                <w:noProof/>
                <w:sz w:val="22"/>
              </w:rPr>
              <w:t>%)</w:t>
            </w:r>
          </w:p>
        </w:tc>
      </w:tr>
      <w:tr w:rsidR="001A62D7" w:rsidRPr="002C07B0" w:rsidTr="001D5990">
        <w:tc>
          <w:tcPr>
            <w:tcW w:w="9288" w:type="dxa"/>
            <w:gridSpan w:val="4"/>
            <w:shd w:val="clear" w:color="auto" w:fill="auto"/>
            <w:vAlign w:val="center"/>
          </w:tcPr>
          <w:p w:rsidR="001A62D7" w:rsidRPr="002C07B0" w:rsidRDefault="001A62D7" w:rsidP="001D5990">
            <w:pPr>
              <w:spacing w:before="60" w:after="60"/>
              <w:jc w:val="left"/>
              <w:rPr>
                <w:noProof/>
                <w:sz w:val="22"/>
              </w:rPr>
            </w:pPr>
            <w:r w:rsidRPr="002C07B0">
              <w:rPr>
                <w:rFonts w:eastAsia="Times New Roman"/>
                <w:noProof/>
                <w:sz w:val="22"/>
              </w:rPr>
              <w:t xml:space="preserve">Allowances and incentives (measures under Article 7(2), </w:t>
            </w:r>
            <w:r w:rsidRPr="002C07B0">
              <w:rPr>
                <w:noProof/>
              </w:rPr>
              <w:t>second subparagraph</w:t>
            </w:r>
            <w:r w:rsidRPr="002C07B0">
              <w:rPr>
                <w:rFonts w:eastAsia="Times New Roman"/>
                <w:noProof/>
                <w:sz w:val="22"/>
              </w:rPr>
              <w:t>, point (b), of Regulation (EU) 2021/691)</w:t>
            </w:r>
          </w:p>
        </w:tc>
      </w:tr>
      <w:tr w:rsidR="001A62D7" w:rsidRPr="002C07B0"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1C7A4E" w:rsidRDefault="00133E35" w:rsidP="00BC646D">
            <w:pPr>
              <w:spacing w:before="60" w:after="60"/>
              <w:jc w:val="left"/>
              <w:rPr>
                <w:noProof/>
                <w:lang w:val="fr-FR"/>
              </w:rPr>
            </w:pPr>
            <w:r w:rsidRPr="001C7A4E">
              <w:rPr>
                <w:noProof/>
                <w:lang w:val="fr-FR"/>
              </w:rPr>
              <w:t>Incentives and allowances</w:t>
            </w:r>
            <w:r w:rsidR="00BC646D" w:rsidRPr="001C7A4E">
              <w:rPr>
                <w:noProof/>
                <w:lang w:val="fr-FR"/>
              </w:rPr>
              <w:br/>
            </w:r>
            <w:r w:rsidRPr="001C7A4E">
              <w:rPr>
                <w:noProof/>
                <w:lang w:val="fr-FR"/>
              </w:rPr>
              <w:t>(</w:t>
            </w:r>
            <w:r w:rsidR="00BC646D" w:rsidRPr="001C7A4E">
              <w:rPr>
                <w:i/>
                <w:iCs/>
                <w:noProof/>
                <w:lang w:val="fr-FR"/>
              </w:rPr>
              <w:t>a</w:t>
            </w:r>
            <w:r w:rsidRPr="001C7A4E">
              <w:rPr>
                <w:i/>
                <w:iCs/>
                <w:noProof/>
                <w:lang w:val="fr-FR"/>
              </w:rPr>
              <w:t>llocation de recherche d'emploi,</w:t>
            </w:r>
            <w:r w:rsidR="00BC646D" w:rsidRPr="001C7A4E">
              <w:rPr>
                <w:i/>
                <w:iCs/>
                <w:noProof/>
                <w:lang w:val="fr-FR"/>
              </w:rPr>
              <w:t xml:space="preserve"> </w:t>
            </w:r>
            <w:r w:rsidRPr="001C7A4E">
              <w:rPr>
                <w:i/>
                <w:iCs/>
                <w:noProof/>
                <w:lang w:val="fr-FR"/>
              </w:rPr>
              <w:t xml:space="preserve">allocation de reprise d'études, allocation d'entrepreneuriat) </w:t>
            </w:r>
            <w:r w:rsidR="001A62D7" w:rsidRPr="001C7A4E">
              <w:rPr>
                <w:noProof/>
                <w:lang w:val="fr-FR"/>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1 005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C07B0" w:rsidRDefault="002E0B64" w:rsidP="001D5990">
            <w:pPr>
              <w:spacing w:before="60" w:after="60"/>
              <w:jc w:val="center"/>
              <w:rPr>
                <w:noProof/>
              </w:rPr>
            </w:pPr>
            <w:r w:rsidRPr="002C07B0">
              <w:rPr>
                <w:noProof/>
              </w:rPr>
              <w:t>508</w:t>
            </w:r>
          </w:p>
        </w:tc>
        <w:tc>
          <w:tcPr>
            <w:tcW w:w="1548" w:type="dxa"/>
            <w:tcBorders>
              <w:top w:val="single" w:sz="4" w:space="0" w:color="auto"/>
              <w:left w:val="single" w:sz="4" w:space="0" w:color="auto"/>
              <w:bottom w:val="single" w:sz="4" w:space="0" w:color="auto"/>
              <w:right w:val="nil"/>
            </w:tcBorders>
            <w:vAlign w:val="center"/>
            <w:hideMark/>
          </w:tcPr>
          <w:p w:rsidR="001A62D7" w:rsidRPr="002C07B0" w:rsidRDefault="002E0B64" w:rsidP="001D5990">
            <w:pPr>
              <w:spacing w:before="60" w:after="60"/>
              <w:jc w:val="center"/>
              <w:rPr>
                <w:noProof/>
              </w:rPr>
            </w:pPr>
            <w:r w:rsidRPr="002C07B0">
              <w:rPr>
                <w:noProof/>
              </w:rPr>
              <w:t>510 913</w:t>
            </w:r>
          </w:p>
        </w:tc>
      </w:tr>
      <w:tr w:rsidR="001A62D7" w:rsidRPr="002C07B0" w:rsidTr="001D5990">
        <w:trPr>
          <w:trHeight w:val="203"/>
        </w:trPr>
        <w:tc>
          <w:tcPr>
            <w:tcW w:w="4644" w:type="dxa"/>
            <w:vMerge w:val="restart"/>
            <w:shd w:val="clear" w:color="auto" w:fill="auto"/>
            <w:vAlign w:val="center"/>
          </w:tcPr>
          <w:p w:rsidR="001A62D7" w:rsidRPr="002C07B0" w:rsidRDefault="001A62D7" w:rsidP="001D5990">
            <w:pPr>
              <w:spacing w:before="60" w:after="60"/>
              <w:jc w:val="right"/>
              <w:rPr>
                <w:rFonts w:eastAsia="Times New Roman"/>
                <w:noProof/>
                <w:sz w:val="22"/>
              </w:rPr>
            </w:pPr>
            <w:r w:rsidRPr="002C07B0">
              <w:rPr>
                <w:rFonts w:eastAsia="Times New Roman"/>
                <w:noProof/>
                <w:sz w:val="22"/>
              </w:rPr>
              <w:t>Sub-total (b):</w:t>
            </w:r>
          </w:p>
          <w:p w:rsidR="001A62D7" w:rsidRPr="002C07B0" w:rsidRDefault="001A62D7" w:rsidP="001D5990">
            <w:pPr>
              <w:spacing w:before="60" w:after="60"/>
              <w:jc w:val="right"/>
              <w:rPr>
                <w:rFonts w:eastAsia="Times New Roman"/>
                <w:noProof/>
                <w:sz w:val="22"/>
              </w:rPr>
            </w:pPr>
            <w:r w:rsidRPr="002C07B0">
              <w:rPr>
                <w:rFonts w:eastAsia="Times New Roman"/>
                <w:noProof/>
                <w:sz w:val="22"/>
              </w:rPr>
              <w:t>Percentage of the package of personalised services:</w:t>
            </w:r>
          </w:p>
        </w:tc>
        <w:tc>
          <w:tcPr>
            <w:tcW w:w="3096" w:type="dxa"/>
            <w:gridSpan w:val="2"/>
            <w:vMerge w:val="restart"/>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tcBorders>
              <w:bottom w:val="nil"/>
            </w:tcBorders>
            <w:shd w:val="clear" w:color="auto" w:fill="auto"/>
            <w:vAlign w:val="center"/>
          </w:tcPr>
          <w:p w:rsidR="001A62D7" w:rsidRPr="002C07B0" w:rsidRDefault="00133E35" w:rsidP="001D5990">
            <w:pPr>
              <w:spacing w:before="60" w:after="60"/>
              <w:jc w:val="center"/>
              <w:rPr>
                <w:rFonts w:eastAsia="Times New Roman"/>
                <w:noProof/>
                <w:sz w:val="22"/>
              </w:rPr>
            </w:pPr>
            <w:r w:rsidRPr="002C07B0">
              <w:rPr>
                <w:noProof/>
              </w:rPr>
              <w:t>510 913</w:t>
            </w:r>
          </w:p>
        </w:tc>
      </w:tr>
      <w:tr w:rsidR="001A62D7" w:rsidRPr="002C07B0" w:rsidTr="001D5990">
        <w:trPr>
          <w:trHeight w:val="202"/>
        </w:trPr>
        <w:tc>
          <w:tcPr>
            <w:tcW w:w="4644" w:type="dxa"/>
            <w:vMerge/>
            <w:shd w:val="clear" w:color="auto" w:fill="auto"/>
            <w:vAlign w:val="center"/>
          </w:tcPr>
          <w:p w:rsidR="001A62D7" w:rsidRPr="002C07B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2C07B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r w:rsidR="0011121B" w:rsidRPr="002C07B0">
              <w:rPr>
                <w:noProof/>
              </w:rPr>
              <w:t>11,50</w:t>
            </w:r>
            <w:r w:rsidRPr="002C07B0">
              <w:rPr>
                <w:noProof/>
              </w:rPr>
              <w:t> </w:t>
            </w:r>
            <w:r w:rsidRPr="002C07B0">
              <w:rPr>
                <w:rFonts w:eastAsia="Times New Roman"/>
                <w:noProof/>
                <w:sz w:val="22"/>
              </w:rPr>
              <w:t>%)</w:t>
            </w:r>
          </w:p>
        </w:tc>
      </w:tr>
      <w:tr w:rsidR="001A62D7" w:rsidRPr="002C07B0" w:rsidTr="001D5990">
        <w:tc>
          <w:tcPr>
            <w:tcW w:w="9288" w:type="dxa"/>
            <w:gridSpan w:val="4"/>
            <w:shd w:val="clear" w:color="auto" w:fill="auto"/>
            <w:vAlign w:val="center"/>
          </w:tcPr>
          <w:p w:rsidR="001A62D7" w:rsidRPr="002C07B0" w:rsidRDefault="001A62D7" w:rsidP="001D5990">
            <w:pPr>
              <w:spacing w:before="60" w:after="60"/>
              <w:jc w:val="left"/>
              <w:rPr>
                <w:rFonts w:eastAsia="Times New Roman"/>
                <w:noProof/>
                <w:sz w:val="22"/>
              </w:rPr>
            </w:pPr>
            <w:r w:rsidRPr="002C07B0">
              <w:rPr>
                <w:rFonts w:eastAsia="Times New Roman"/>
                <w:noProof/>
                <w:sz w:val="22"/>
              </w:rPr>
              <w:t>Activities under Article 7(5) of Regulation (EU) 2021/691</w:t>
            </w:r>
          </w:p>
        </w:tc>
      </w:tr>
      <w:tr w:rsidR="001A62D7" w:rsidRPr="002C07B0" w:rsidTr="001D5990">
        <w:tc>
          <w:tcPr>
            <w:tcW w:w="4644" w:type="dxa"/>
            <w:shd w:val="clear" w:color="auto" w:fill="auto"/>
          </w:tcPr>
          <w:p w:rsidR="001A62D7" w:rsidRPr="002C07B0" w:rsidRDefault="001A62D7" w:rsidP="001D5990">
            <w:pPr>
              <w:spacing w:before="60" w:after="60"/>
              <w:ind w:left="284"/>
              <w:jc w:val="left"/>
              <w:rPr>
                <w:rFonts w:eastAsia="Times New Roman"/>
                <w:noProof/>
                <w:sz w:val="22"/>
              </w:rPr>
            </w:pPr>
            <w:r w:rsidRPr="002C07B0">
              <w:rPr>
                <w:rFonts w:eastAsia="Times New Roman"/>
                <w:noProof/>
                <w:sz w:val="22"/>
              </w:rPr>
              <w:t>1. Preparatory activities</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shd w:val="clear" w:color="auto" w:fill="auto"/>
          </w:tcPr>
          <w:p w:rsidR="001A62D7" w:rsidRPr="002C07B0" w:rsidRDefault="00B01AB0" w:rsidP="001D5990">
            <w:pPr>
              <w:spacing w:before="60" w:after="60"/>
              <w:jc w:val="center"/>
              <w:rPr>
                <w:rFonts w:eastAsia="Times New Roman"/>
                <w:noProof/>
                <w:sz w:val="22"/>
              </w:rPr>
            </w:pPr>
            <w:r w:rsidRPr="002C07B0">
              <w:rPr>
                <w:noProof/>
              </w:rPr>
              <w:t>0</w:t>
            </w:r>
          </w:p>
        </w:tc>
      </w:tr>
      <w:tr w:rsidR="001A62D7" w:rsidRPr="002C07B0" w:rsidTr="001D5990">
        <w:tc>
          <w:tcPr>
            <w:tcW w:w="4644" w:type="dxa"/>
            <w:shd w:val="clear" w:color="auto" w:fill="auto"/>
          </w:tcPr>
          <w:p w:rsidR="001A62D7" w:rsidRPr="002C07B0" w:rsidRDefault="001A62D7" w:rsidP="001D5990">
            <w:pPr>
              <w:spacing w:before="60" w:after="60"/>
              <w:ind w:left="284"/>
              <w:jc w:val="left"/>
              <w:rPr>
                <w:rFonts w:eastAsia="Times New Roman"/>
                <w:noProof/>
                <w:sz w:val="22"/>
              </w:rPr>
            </w:pPr>
            <w:r w:rsidRPr="002C07B0">
              <w:rPr>
                <w:rFonts w:eastAsia="Times New Roman"/>
                <w:noProof/>
                <w:sz w:val="22"/>
              </w:rPr>
              <w:t>2. Management</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shd w:val="clear" w:color="auto" w:fill="auto"/>
          </w:tcPr>
          <w:p w:rsidR="001A62D7" w:rsidRPr="002C07B0" w:rsidRDefault="00B01AB0" w:rsidP="001D5990">
            <w:pPr>
              <w:spacing w:before="60" w:after="60"/>
              <w:jc w:val="center"/>
              <w:rPr>
                <w:rFonts w:eastAsia="Times New Roman"/>
                <w:noProof/>
                <w:sz w:val="22"/>
              </w:rPr>
            </w:pPr>
            <w:r w:rsidRPr="002C07B0">
              <w:rPr>
                <w:noProof/>
              </w:rPr>
              <w:t>13 260</w:t>
            </w:r>
          </w:p>
        </w:tc>
      </w:tr>
      <w:tr w:rsidR="001A62D7" w:rsidRPr="002C07B0" w:rsidTr="001D5990">
        <w:tc>
          <w:tcPr>
            <w:tcW w:w="4644" w:type="dxa"/>
            <w:shd w:val="clear" w:color="auto" w:fill="auto"/>
          </w:tcPr>
          <w:p w:rsidR="001A62D7" w:rsidRPr="002C07B0" w:rsidRDefault="001A62D7" w:rsidP="001D5990">
            <w:pPr>
              <w:spacing w:before="60" w:after="60"/>
              <w:ind w:left="284"/>
              <w:jc w:val="left"/>
              <w:rPr>
                <w:rFonts w:eastAsia="Times New Roman"/>
                <w:noProof/>
                <w:sz w:val="22"/>
              </w:rPr>
            </w:pPr>
            <w:r w:rsidRPr="002C07B0">
              <w:rPr>
                <w:rFonts w:eastAsia="Times New Roman"/>
                <w:noProof/>
                <w:sz w:val="22"/>
              </w:rPr>
              <w:t>3. Information and publicity</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shd w:val="clear" w:color="auto" w:fill="auto"/>
          </w:tcPr>
          <w:p w:rsidR="001A62D7" w:rsidRPr="002C07B0" w:rsidRDefault="00B01AB0" w:rsidP="001D5990">
            <w:pPr>
              <w:spacing w:before="60" w:after="60"/>
              <w:jc w:val="center"/>
              <w:rPr>
                <w:rFonts w:eastAsia="Times New Roman"/>
                <w:noProof/>
                <w:sz w:val="22"/>
              </w:rPr>
            </w:pPr>
            <w:r w:rsidRPr="002C07B0">
              <w:rPr>
                <w:noProof/>
              </w:rPr>
              <w:t>5 000</w:t>
            </w:r>
          </w:p>
        </w:tc>
      </w:tr>
      <w:tr w:rsidR="001A62D7" w:rsidRPr="002C07B0" w:rsidTr="001D5990">
        <w:tc>
          <w:tcPr>
            <w:tcW w:w="4644" w:type="dxa"/>
            <w:shd w:val="clear" w:color="auto" w:fill="auto"/>
          </w:tcPr>
          <w:p w:rsidR="001A62D7" w:rsidRPr="002C07B0" w:rsidRDefault="001A62D7" w:rsidP="001D5990">
            <w:pPr>
              <w:spacing w:before="60" w:after="60"/>
              <w:ind w:left="284"/>
              <w:jc w:val="left"/>
              <w:rPr>
                <w:rFonts w:eastAsia="Times New Roman"/>
                <w:noProof/>
                <w:sz w:val="22"/>
              </w:rPr>
            </w:pPr>
            <w:r w:rsidRPr="002C07B0">
              <w:rPr>
                <w:rFonts w:eastAsia="Times New Roman"/>
                <w:noProof/>
                <w:sz w:val="22"/>
              </w:rPr>
              <w:t>4. Control and reporting</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tcBorders>
              <w:bottom w:val="single" w:sz="4" w:space="0" w:color="auto"/>
            </w:tcBorders>
            <w:shd w:val="clear" w:color="auto" w:fill="auto"/>
          </w:tcPr>
          <w:p w:rsidR="001A62D7" w:rsidRPr="002C07B0" w:rsidRDefault="00B01AB0" w:rsidP="001D5990">
            <w:pPr>
              <w:spacing w:before="60" w:after="60"/>
              <w:jc w:val="center"/>
              <w:rPr>
                <w:rFonts w:eastAsia="Times New Roman"/>
                <w:noProof/>
                <w:sz w:val="22"/>
              </w:rPr>
            </w:pPr>
            <w:r w:rsidRPr="002C07B0">
              <w:rPr>
                <w:noProof/>
              </w:rPr>
              <w:t>35 802</w:t>
            </w:r>
          </w:p>
        </w:tc>
      </w:tr>
      <w:tr w:rsidR="001A62D7" w:rsidRPr="002C07B0" w:rsidTr="001D5990">
        <w:trPr>
          <w:trHeight w:val="203"/>
        </w:trPr>
        <w:tc>
          <w:tcPr>
            <w:tcW w:w="4644" w:type="dxa"/>
            <w:vMerge w:val="restart"/>
            <w:shd w:val="clear" w:color="auto" w:fill="auto"/>
            <w:vAlign w:val="center"/>
          </w:tcPr>
          <w:p w:rsidR="001A62D7" w:rsidRPr="002C07B0" w:rsidRDefault="001A62D7" w:rsidP="001D5990">
            <w:pPr>
              <w:spacing w:before="60" w:after="60"/>
              <w:jc w:val="right"/>
              <w:rPr>
                <w:rFonts w:eastAsia="Times New Roman"/>
                <w:noProof/>
                <w:sz w:val="22"/>
              </w:rPr>
            </w:pPr>
            <w:r w:rsidRPr="002C07B0">
              <w:rPr>
                <w:rFonts w:eastAsia="Times New Roman"/>
                <w:noProof/>
                <w:sz w:val="22"/>
              </w:rPr>
              <w:t>Sub-total (c):</w:t>
            </w:r>
          </w:p>
          <w:p w:rsidR="001A62D7" w:rsidRPr="002C07B0" w:rsidRDefault="001A62D7" w:rsidP="001D5990">
            <w:pPr>
              <w:spacing w:before="60" w:after="60"/>
              <w:jc w:val="right"/>
              <w:rPr>
                <w:rFonts w:eastAsia="Times New Roman"/>
                <w:noProof/>
                <w:sz w:val="22"/>
              </w:rPr>
            </w:pPr>
            <w:r w:rsidRPr="002C07B0">
              <w:rPr>
                <w:rFonts w:eastAsia="Times New Roman"/>
                <w:noProof/>
                <w:sz w:val="22"/>
              </w:rPr>
              <w:t>Percentage of the total costs :</w:t>
            </w:r>
          </w:p>
        </w:tc>
        <w:tc>
          <w:tcPr>
            <w:tcW w:w="3096" w:type="dxa"/>
            <w:gridSpan w:val="2"/>
            <w:vMerge w:val="restart"/>
            <w:shd w:val="clear" w:color="auto" w:fill="D9D9D9"/>
            <w:vAlign w:val="center"/>
          </w:tcPr>
          <w:p w:rsidR="001A62D7" w:rsidRPr="002C07B0" w:rsidRDefault="001A62D7" w:rsidP="001D5990">
            <w:pPr>
              <w:spacing w:before="0" w:after="0"/>
              <w:jc w:val="center"/>
              <w:rPr>
                <w:rFonts w:eastAsia="Times New Roman"/>
                <w:noProof/>
                <w:sz w:val="22"/>
              </w:rPr>
            </w:pPr>
            <w:r w:rsidRPr="002C07B0">
              <w:rPr>
                <w:rFonts w:eastAsia="Times New Roman"/>
                <w:noProof/>
                <w:sz w:val="22"/>
              </w:rPr>
              <w:t>–</w:t>
            </w:r>
          </w:p>
        </w:tc>
        <w:tc>
          <w:tcPr>
            <w:tcW w:w="1548" w:type="dxa"/>
            <w:tcBorders>
              <w:bottom w:val="nil"/>
            </w:tcBorders>
            <w:shd w:val="clear" w:color="auto" w:fill="auto"/>
            <w:vAlign w:val="center"/>
          </w:tcPr>
          <w:p w:rsidR="001A62D7" w:rsidRPr="002C07B0" w:rsidRDefault="008032DE" w:rsidP="001D5990">
            <w:pPr>
              <w:spacing w:before="60" w:after="60"/>
              <w:jc w:val="center"/>
              <w:rPr>
                <w:rFonts w:eastAsia="Times New Roman"/>
                <w:noProof/>
                <w:sz w:val="22"/>
              </w:rPr>
            </w:pPr>
            <w:r w:rsidRPr="002C07B0">
              <w:rPr>
                <w:noProof/>
              </w:rPr>
              <w:t>54 062</w:t>
            </w:r>
          </w:p>
        </w:tc>
      </w:tr>
      <w:tr w:rsidR="001A62D7" w:rsidRPr="002C07B0" w:rsidTr="001D5990">
        <w:trPr>
          <w:trHeight w:val="202"/>
        </w:trPr>
        <w:tc>
          <w:tcPr>
            <w:tcW w:w="4644" w:type="dxa"/>
            <w:vMerge/>
            <w:shd w:val="clear" w:color="auto" w:fill="auto"/>
          </w:tcPr>
          <w:p w:rsidR="001A62D7" w:rsidRPr="002C07B0"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2C07B0"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r w:rsidR="008032DE" w:rsidRPr="002C07B0">
              <w:rPr>
                <w:noProof/>
              </w:rPr>
              <w:t>1,20</w:t>
            </w:r>
            <w:r w:rsidRPr="002C07B0">
              <w:rPr>
                <w:noProof/>
              </w:rPr>
              <w:t> </w:t>
            </w:r>
            <w:r w:rsidRPr="002C07B0">
              <w:rPr>
                <w:rFonts w:eastAsia="Times New Roman"/>
                <w:noProof/>
                <w:sz w:val="22"/>
              </w:rPr>
              <w:t>%)</w:t>
            </w:r>
          </w:p>
        </w:tc>
      </w:tr>
      <w:tr w:rsidR="001A62D7" w:rsidRPr="002C07B0" w:rsidTr="001D5990">
        <w:tc>
          <w:tcPr>
            <w:tcW w:w="4644" w:type="dxa"/>
            <w:shd w:val="clear" w:color="auto" w:fill="auto"/>
          </w:tcPr>
          <w:p w:rsidR="001A62D7" w:rsidRPr="002C07B0" w:rsidRDefault="001A62D7" w:rsidP="001D5990">
            <w:pPr>
              <w:spacing w:before="60" w:after="60"/>
              <w:jc w:val="left"/>
              <w:rPr>
                <w:rFonts w:eastAsia="Times New Roman"/>
                <w:noProof/>
                <w:sz w:val="22"/>
              </w:rPr>
            </w:pPr>
            <w:r w:rsidRPr="002C07B0">
              <w:rPr>
                <w:rFonts w:eastAsia="Times New Roman"/>
                <w:noProof/>
                <w:sz w:val="22"/>
              </w:rPr>
              <w:t>Total costs (a + b + c):</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shd w:val="clear" w:color="auto" w:fill="auto"/>
          </w:tcPr>
          <w:p w:rsidR="001A62D7" w:rsidRPr="002C07B0" w:rsidRDefault="009E13E4" w:rsidP="001D5990">
            <w:pPr>
              <w:spacing w:before="60" w:after="60"/>
              <w:jc w:val="center"/>
              <w:rPr>
                <w:noProof/>
                <w:sz w:val="22"/>
              </w:rPr>
            </w:pPr>
            <w:r w:rsidRPr="002C07B0">
              <w:rPr>
                <w:noProof/>
              </w:rPr>
              <w:t>4 495 836</w:t>
            </w:r>
          </w:p>
        </w:tc>
      </w:tr>
      <w:tr w:rsidR="001A62D7" w:rsidRPr="002C07B0" w:rsidTr="001D5990">
        <w:tc>
          <w:tcPr>
            <w:tcW w:w="4644" w:type="dxa"/>
            <w:shd w:val="clear" w:color="auto" w:fill="auto"/>
          </w:tcPr>
          <w:p w:rsidR="001A62D7" w:rsidRPr="002C07B0" w:rsidRDefault="001A62D7" w:rsidP="001D5990">
            <w:pPr>
              <w:spacing w:before="60" w:after="60"/>
              <w:jc w:val="left"/>
              <w:rPr>
                <w:rFonts w:eastAsia="Times New Roman"/>
                <w:noProof/>
                <w:sz w:val="22"/>
              </w:rPr>
            </w:pPr>
            <w:r w:rsidRPr="002C07B0">
              <w:rPr>
                <w:rFonts w:eastAsia="Times New Roman"/>
                <w:noProof/>
                <w:sz w:val="22"/>
              </w:rPr>
              <w:t>EGF contribution (</w:t>
            </w:r>
            <w:r w:rsidR="00AD3DA6" w:rsidRPr="002C07B0">
              <w:rPr>
                <w:noProof/>
              </w:rPr>
              <w:t>85</w:t>
            </w:r>
            <w:r w:rsidRPr="002C07B0">
              <w:rPr>
                <w:rFonts w:eastAsia="Times New Roman"/>
                <w:noProof/>
                <w:sz w:val="22"/>
              </w:rPr>
              <w:t> % of total costs)</w:t>
            </w:r>
          </w:p>
        </w:tc>
        <w:tc>
          <w:tcPr>
            <w:tcW w:w="3096" w:type="dxa"/>
            <w:gridSpan w:val="2"/>
            <w:shd w:val="clear" w:color="auto" w:fill="D9D9D9"/>
            <w:vAlign w:val="center"/>
          </w:tcPr>
          <w:p w:rsidR="001A62D7" w:rsidRPr="002C07B0" w:rsidRDefault="001A62D7" w:rsidP="001D5990">
            <w:pPr>
              <w:spacing w:before="60" w:after="60"/>
              <w:jc w:val="center"/>
              <w:rPr>
                <w:rFonts w:eastAsia="Times New Roman"/>
                <w:noProof/>
                <w:sz w:val="22"/>
              </w:rPr>
            </w:pPr>
            <w:r w:rsidRPr="002C07B0">
              <w:rPr>
                <w:rFonts w:eastAsia="Times New Roman"/>
                <w:noProof/>
                <w:sz w:val="22"/>
              </w:rPr>
              <w:t>–</w:t>
            </w:r>
          </w:p>
        </w:tc>
        <w:tc>
          <w:tcPr>
            <w:tcW w:w="1548" w:type="dxa"/>
            <w:shd w:val="clear" w:color="auto" w:fill="auto"/>
          </w:tcPr>
          <w:p w:rsidR="001A62D7" w:rsidRPr="002C07B0" w:rsidRDefault="001C1059" w:rsidP="001D5990">
            <w:pPr>
              <w:spacing w:before="60" w:after="60"/>
              <w:jc w:val="center"/>
              <w:rPr>
                <w:rFonts w:eastAsia="Times New Roman"/>
                <w:noProof/>
                <w:sz w:val="22"/>
              </w:rPr>
            </w:pPr>
            <w:r w:rsidRPr="002C07B0">
              <w:rPr>
                <w:noProof/>
              </w:rPr>
              <w:t>3 821 460</w:t>
            </w:r>
          </w:p>
        </w:tc>
      </w:tr>
    </w:tbl>
    <w:p w:rsidR="001A62D7" w:rsidRPr="002C07B0" w:rsidRDefault="001A62D7" w:rsidP="00AE7D04">
      <w:pPr>
        <w:pStyle w:val="ManualNumPar1"/>
        <w:rPr>
          <w:noProof/>
          <w:szCs w:val="20"/>
        </w:rPr>
      </w:pPr>
      <w:r>
        <w:rPr>
          <w:noProof/>
        </w:rPr>
        <w:t>40.</w:t>
      </w:r>
      <w:r>
        <w:rPr>
          <w:noProof/>
        </w:rPr>
        <w:tab/>
      </w:r>
      <w:r w:rsidRPr="002C07B0">
        <w:rPr>
          <w:noProof/>
        </w:rPr>
        <w:t xml:space="preserve">The costs of the measures identified in the table above as measures under Article 7(2), second subparagraph, point (b), of Regulation (EU) 2021/691 do not exceed 35 % of the total costs for the coordinated package of personalised services. </w:t>
      </w:r>
      <w:r w:rsidR="00E26C3E" w:rsidRPr="002C07B0">
        <w:rPr>
          <w:noProof/>
        </w:rPr>
        <w:t>Belgium</w:t>
      </w:r>
      <w:r w:rsidRPr="002C07B0">
        <w:rPr>
          <w:noProof/>
        </w:rPr>
        <w:t xml:space="preserve"> confirmed that these measures are conditional on the active participation of the targeted beneficiaries in job-search or training activities.</w:t>
      </w:r>
    </w:p>
    <w:p w:rsidR="001A62D7" w:rsidRPr="002C07B0" w:rsidRDefault="001A62D7" w:rsidP="00AE7D04">
      <w:pPr>
        <w:pStyle w:val="ManualNumPar1"/>
        <w:rPr>
          <w:noProof/>
        </w:rPr>
      </w:pPr>
      <w:r>
        <w:rPr>
          <w:noProof/>
        </w:rPr>
        <w:t>41.</w:t>
      </w:r>
      <w:r>
        <w:rPr>
          <w:noProof/>
        </w:rPr>
        <w:tab/>
      </w:r>
      <w:r w:rsidRPr="002C07B0">
        <w:rPr>
          <w:noProof/>
        </w:rPr>
        <w:t xml:space="preserve">In accordance with Article 7(2), fourth subparagraph, of Regulation (EU) 2021/691, </w:t>
      </w:r>
      <w:r w:rsidR="00E26C3E" w:rsidRPr="002C07B0">
        <w:rPr>
          <w:noProof/>
        </w:rPr>
        <w:t>Belgium</w:t>
      </w:r>
      <w:r w:rsidRPr="002C07B0">
        <w:rPr>
          <w:noProof/>
        </w:rPr>
        <w:t xml:space="preserve"> confirmed that the costs of investments for self-employment, business start-ups and employee take-overs will not exceed EUR 22 000 per beneficiary.</w:t>
      </w:r>
    </w:p>
    <w:p w:rsidR="001A62D7" w:rsidRPr="002C07B0" w:rsidRDefault="001A62D7" w:rsidP="001A62D7">
      <w:pPr>
        <w:pStyle w:val="ManualHeading3"/>
        <w:rPr>
          <w:noProof/>
        </w:rPr>
      </w:pPr>
      <w:r w:rsidRPr="002C07B0">
        <w:rPr>
          <w:noProof/>
        </w:rPr>
        <w:t>Period of eligibility of expenditure</w:t>
      </w:r>
    </w:p>
    <w:p w:rsidR="001A62D7" w:rsidRPr="002C07B0" w:rsidRDefault="00E26C3E" w:rsidP="00AE7D04">
      <w:pPr>
        <w:pStyle w:val="ManualNumPar1"/>
        <w:rPr>
          <w:noProof/>
        </w:rPr>
      </w:pPr>
      <w:r>
        <w:rPr>
          <w:noProof/>
        </w:rPr>
        <w:t>42.</w:t>
      </w:r>
      <w:r>
        <w:rPr>
          <w:noProof/>
        </w:rPr>
        <w:tab/>
      </w:r>
      <w:r w:rsidRPr="002C07B0">
        <w:rPr>
          <w:noProof/>
        </w:rPr>
        <w:t>Belgium</w:t>
      </w:r>
      <w:r w:rsidR="001A62D7" w:rsidRPr="002C07B0">
        <w:rPr>
          <w:noProof/>
        </w:rPr>
        <w:t xml:space="preserve"> started</w:t>
      </w:r>
      <w:r w:rsidR="00B8329A" w:rsidRPr="002C07B0">
        <w:rPr>
          <w:noProof/>
        </w:rPr>
        <w:t xml:space="preserve"> </w:t>
      </w:r>
      <w:r w:rsidR="001A62D7" w:rsidRPr="002C07B0">
        <w:rPr>
          <w:noProof/>
        </w:rPr>
        <w:t xml:space="preserve">providing the personalised services to the targeted beneficiaries on </w:t>
      </w:r>
      <w:r w:rsidRPr="002C07B0">
        <w:rPr>
          <w:noProof/>
        </w:rPr>
        <w:t>1 September 2025</w:t>
      </w:r>
      <w:r w:rsidR="001A62D7" w:rsidRPr="002C07B0">
        <w:rPr>
          <w:noProof/>
        </w:rPr>
        <w:t xml:space="preserve">. The expenditure on the measures will therefore be eligible for a financial contribution from the EGF from </w:t>
      </w:r>
      <w:r w:rsidRPr="002C07B0">
        <w:rPr>
          <w:noProof/>
        </w:rPr>
        <w:t>1 September 2025</w:t>
      </w:r>
      <w:r w:rsidR="001A62D7" w:rsidRPr="002C07B0">
        <w:rPr>
          <w:noProof/>
        </w:rPr>
        <w:t xml:space="preserve"> until 24 months after the date of the entry into force of the Financing Decision.</w:t>
      </w:r>
    </w:p>
    <w:p w:rsidR="001A62D7" w:rsidRPr="002C07B0" w:rsidRDefault="00AD3DA6" w:rsidP="00AE7D04">
      <w:pPr>
        <w:pStyle w:val="ManualNumPar1"/>
        <w:rPr>
          <w:noProof/>
        </w:rPr>
      </w:pPr>
      <w:r>
        <w:rPr>
          <w:noProof/>
        </w:rPr>
        <w:t>43.</w:t>
      </w:r>
      <w:r>
        <w:rPr>
          <w:noProof/>
        </w:rPr>
        <w:tab/>
      </w:r>
      <w:r w:rsidRPr="002C07B0">
        <w:rPr>
          <w:noProof/>
        </w:rPr>
        <w:t>Belgium</w:t>
      </w:r>
      <w:r w:rsidR="001A62D7" w:rsidRPr="002C07B0">
        <w:rPr>
          <w:noProof/>
        </w:rPr>
        <w:t xml:space="preserve"> started incurring the administrative expenditure to implement the EGF on </w:t>
      </w:r>
      <w:r w:rsidR="0016539A" w:rsidRPr="002C07B0">
        <w:rPr>
          <w:noProof/>
        </w:rPr>
        <w:t>9 April 2025</w:t>
      </w:r>
      <w:r w:rsidR="001A62D7" w:rsidRPr="002C07B0">
        <w:rPr>
          <w:noProof/>
        </w:rPr>
        <w:t xml:space="preserve">. The expenditure for preparatory, management, information and publicity, control and reporting activities shall therefore be eligible for a financial contribution </w:t>
      </w:r>
      <w:r w:rsidR="001A62D7" w:rsidRPr="002C07B0">
        <w:rPr>
          <w:noProof/>
        </w:rPr>
        <w:lastRenderedPageBreak/>
        <w:t xml:space="preserve">from the EGF from </w:t>
      </w:r>
      <w:r w:rsidRPr="002C07B0">
        <w:rPr>
          <w:noProof/>
        </w:rPr>
        <w:t>9 April 2025</w:t>
      </w:r>
      <w:r w:rsidR="001A62D7" w:rsidRPr="002C07B0">
        <w:rPr>
          <w:noProof/>
        </w:rPr>
        <w:t xml:space="preserve"> until 31 months after the date of the entry into force of the Financing Decision. </w:t>
      </w:r>
    </w:p>
    <w:p w:rsidR="001A62D7" w:rsidRPr="002C07B0" w:rsidRDefault="001A62D7" w:rsidP="001A62D7">
      <w:pPr>
        <w:pStyle w:val="ManualHeading2"/>
        <w:rPr>
          <w:noProof/>
        </w:rPr>
      </w:pPr>
      <w:r w:rsidRPr="002C07B0">
        <w:rPr>
          <w:noProof/>
        </w:rPr>
        <w:t>Management and control systems</w:t>
      </w:r>
    </w:p>
    <w:p w:rsidR="001A62D7" w:rsidRPr="002C07B0" w:rsidRDefault="001A62D7" w:rsidP="00AE7D04">
      <w:pPr>
        <w:pStyle w:val="ManualNumPar1"/>
        <w:rPr>
          <w:noProof/>
        </w:rPr>
      </w:pPr>
      <w:r>
        <w:rPr>
          <w:noProof/>
        </w:rPr>
        <w:t>44.</w:t>
      </w:r>
      <w:r>
        <w:rPr>
          <w:noProof/>
        </w:rPr>
        <w:tab/>
      </w:r>
      <w:r w:rsidRPr="002C07B0">
        <w:rPr>
          <w:noProof/>
        </w:rPr>
        <w:t xml:space="preserve">The application contains a description of the management and control system required under Article 23 of Regulation (EU) 2021/691, which specifies the responsibilities of the bodies involved. </w:t>
      </w:r>
      <w:r w:rsidR="00AD3DA6" w:rsidRPr="002C07B0">
        <w:rPr>
          <w:noProof/>
        </w:rPr>
        <w:t>Belgium</w:t>
      </w:r>
      <w:r w:rsidRPr="002C07B0">
        <w:rPr>
          <w:noProof/>
        </w:rPr>
        <w:t xml:space="preserve"> has notified the Commission that the financial contribution will be </w:t>
      </w:r>
      <w:r w:rsidR="00160244" w:rsidRPr="002C07B0">
        <w:rPr>
          <w:noProof/>
        </w:rPr>
        <w:t>managed and controlled by the same bodies that manage and control the ESF+ in Wallonia.</w:t>
      </w:r>
    </w:p>
    <w:p w:rsidR="001A62D7" w:rsidRPr="002C07B0" w:rsidRDefault="001A62D7" w:rsidP="001A62D7">
      <w:pPr>
        <w:pStyle w:val="ManualHeading2"/>
        <w:rPr>
          <w:noProof/>
        </w:rPr>
      </w:pPr>
      <w:r w:rsidRPr="002C07B0">
        <w:rPr>
          <w:noProof/>
        </w:rPr>
        <w:t>Commitments provided by the Member State concerned</w:t>
      </w:r>
    </w:p>
    <w:p w:rsidR="001A62D7" w:rsidRPr="002C07B0" w:rsidRDefault="00AD3DA6" w:rsidP="00AE7D04">
      <w:pPr>
        <w:pStyle w:val="ManualNumPar1"/>
        <w:rPr>
          <w:noProof/>
        </w:rPr>
      </w:pPr>
      <w:r>
        <w:rPr>
          <w:noProof/>
        </w:rPr>
        <w:t>45.</w:t>
      </w:r>
      <w:r>
        <w:rPr>
          <w:noProof/>
        </w:rPr>
        <w:tab/>
      </w:r>
      <w:r w:rsidRPr="002C07B0">
        <w:rPr>
          <w:noProof/>
        </w:rPr>
        <w:t>Belgium</w:t>
      </w:r>
      <w:r w:rsidR="001A62D7" w:rsidRPr="002C07B0">
        <w:rPr>
          <w:noProof/>
        </w:rPr>
        <w:t xml:space="preserve"> has provided all necessary assurances regarding the following: </w:t>
      </w:r>
    </w:p>
    <w:p w:rsidR="001A62D7" w:rsidRPr="002C07B0" w:rsidRDefault="001A62D7" w:rsidP="001A62D7">
      <w:pPr>
        <w:pStyle w:val="Tiret1"/>
        <w:rPr>
          <w:noProof/>
        </w:rPr>
      </w:pPr>
      <w:r w:rsidRPr="002C07B0">
        <w:rPr>
          <w:noProof/>
        </w:rPr>
        <w:t>the principles of equality of treatment and non-discrimination will be respected in access to the proposed measures and their implementation,</w:t>
      </w:r>
    </w:p>
    <w:p w:rsidR="001A62D7" w:rsidRPr="002C07B0" w:rsidRDefault="001A62D7" w:rsidP="001A62D7">
      <w:pPr>
        <w:pStyle w:val="Tiret1"/>
        <w:rPr>
          <w:noProof/>
        </w:rPr>
      </w:pPr>
      <w:r w:rsidRPr="002C07B0">
        <w:rPr>
          <w:noProof/>
        </w:rPr>
        <w:t>the requirements laid down in national and EU legislation concerning collective redundancies have been complied with,</w:t>
      </w:r>
    </w:p>
    <w:p w:rsidR="001A62D7" w:rsidRPr="002C07B0" w:rsidRDefault="001A62D7" w:rsidP="001A62D7">
      <w:pPr>
        <w:pStyle w:val="Tiret1"/>
        <w:rPr>
          <w:noProof/>
        </w:rPr>
      </w:pPr>
      <w:r w:rsidRPr="002C07B0">
        <w:rPr>
          <w:noProof/>
        </w:rPr>
        <w:t>any double financing will be prevented,</w:t>
      </w:r>
    </w:p>
    <w:p w:rsidR="001A62D7" w:rsidRPr="002C07B0" w:rsidRDefault="001A62D7" w:rsidP="001A62D7">
      <w:pPr>
        <w:pStyle w:val="Tiret1"/>
        <w:rPr>
          <w:noProof/>
        </w:rPr>
      </w:pPr>
      <w:r w:rsidRPr="002C07B0">
        <w:rPr>
          <w:noProof/>
        </w:rPr>
        <w:t>the financial contribution from the EGF will comply with the procedural and material Union rules on State aid.</w:t>
      </w:r>
    </w:p>
    <w:p w:rsidR="001A62D7" w:rsidRPr="002C07B0" w:rsidRDefault="001A62D7" w:rsidP="001A62D7">
      <w:pPr>
        <w:pStyle w:val="ManualHeading1"/>
        <w:rPr>
          <w:noProof/>
        </w:rPr>
      </w:pPr>
      <w:r w:rsidRPr="002C07B0">
        <w:rPr>
          <w:noProof/>
        </w:rPr>
        <w:t>BUDGETARY IMPLICATION</w:t>
      </w:r>
    </w:p>
    <w:p w:rsidR="001A62D7" w:rsidRPr="002C07B0" w:rsidRDefault="001A62D7" w:rsidP="001A62D7">
      <w:pPr>
        <w:pStyle w:val="ManualHeading2"/>
        <w:rPr>
          <w:noProof/>
        </w:rPr>
      </w:pPr>
      <w:r w:rsidRPr="002C07B0">
        <w:rPr>
          <w:noProof/>
        </w:rPr>
        <w:t>Budgetary proposal</w:t>
      </w:r>
    </w:p>
    <w:p w:rsidR="001A62D7" w:rsidRPr="002C07B0" w:rsidRDefault="001A62D7" w:rsidP="00AE7D04">
      <w:pPr>
        <w:pStyle w:val="ManualNumPar1"/>
        <w:rPr>
          <w:noProof/>
        </w:rPr>
      </w:pPr>
      <w:r>
        <w:rPr>
          <w:noProof/>
        </w:rPr>
        <w:t>46.</w:t>
      </w:r>
      <w:r>
        <w:rPr>
          <w:noProof/>
        </w:rPr>
        <w:tab/>
      </w:r>
      <w:r w:rsidRPr="002C07B0">
        <w:rPr>
          <w:noProof/>
        </w:rPr>
        <w:t>The EGF shall not exceed a maximum annual amount of EUR 30 million (in 2018 prices), as laid down in Article 8 of Council Regulation (EU, Euratom) 2020/2093 of 17 December 2020 laying down the multiannual financial framework for the years 2021 to 2027</w:t>
      </w:r>
      <w:r w:rsidRPr="002C07B0">
        <w:rPr>
          <w:rStyle w:val="FootnoteReference"/>
          <w:noProof/>
        </w:rPr>
        <w:footnoteReference w:id="36"/>
      </w:r>
      <w:r w:rsidRPr="002C07B0">
        <w:rPr>
          <w:noProof/>
        </w:rPr>
        <w:t>.</w:t>
      </w:r>
    </w:p>
    <w:p w:rsidR="001A62D7" w:rsidRPr="002C07B0" w:rsidRDefault="001A62D7" w:rsidP="00AE7D04">
      <w:pPr>
        <w:pStyle w:val="ManualNumPar1"/>
        <w:rPr>
          <w:rFonts w:eastAsia="Calibri"/>
          <w:noProof/>
        </w:rPr>
      </w:pPr>
      <w:r>
        <w:rPr>
          <w:noProof/>
        </w:rPr>
        <w:t>47.</w:t>
      </w:r>
      <w:r>
        <w:rPr>
          <w:noProof/>
        </w:rPr>
        <w:tab/>
      </w:r>
      <w:r w:rsidRPr="002C07B0">
        <w:rPr>
          <w:noProof/>
        </w:rPr>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1C1059" w:rsidRPr="002C07B0">
        <w:rPr>
          <w:noProof/>
        </w:rPr>
        <w:t>3 821 460</w:t>
      </w:r>
      <w:r w:rsidRPr="002C07B0">
        <w:rPr>
          <w:rFonts w:eastAsia="Calibri"/>
          <w:noProof/>
        </w:rPr>
        <w:t xml:space="preserve">, representing </w:t>
      </w:r>
      <w:r w:rsidR="001C1059" w:rsidRPr="002C07B0">
        <w:rPr>
          <w:noProof/>
        </w:rPr>
        <w:t>85</w:t>
      </w:r>
      <w:r w:rsidRPr="002C07B0">
        <w:rPr>
          <w:rFonts w:eastAsia="Calibri"/>
          <w:noProof/>
        </w:rPr>
        <w:t> % of the total costs of the proposed measures,</w:t>
      </w:r>
      <w:r w:rsidRPr="002C07B0">
        <w:rPr>
          <w:noProof/>
        </w:rPr>
        <w:t xml:space="preserve"> </w:t>
      </w:r>
      <w:r w:rsidRPr="002C07B0">
        <w:rPr>
          <w:rFonts w:eastAsia="Calibri"/>
          <w:noProof/>
        </w:rPr>
        <w:t>in order to provide a financial contribution for the application.</w:t>
      </w:r>
    </w:p>
    <w:p w:rsidR="001A62D7" w:rsidRPr="002C07B0" w:rsidRDefault="001A62D7" w:rsidP="00AE7D04">
      <w:pPr>
        <w:pStyle w:val="ManualNumPar1"/>
        <w:rPr>
          <w:rFonts w:eastAsia="Times New Roman"/>
          <w:noProof/>
        </w:rPr>
      </w:pPr>
      <w:r>
        <w:rPr>
          <w:noProof/>
        </w:rPr>
        <w:t>48.</w:t>
      </w:r>
      <w:r>
        <w:rPr>
          <w:noProof/>
        </w:rPr>
        <w:tab/>
      </w:r>
      <w:r w:rsidRPr="002C07B0">
        <w:rPr>
          <w:noProof/>
        </w:rPr>
        <w:t>The proposed decision to mobilise the EGF will be taken jointly by the European Parliament and the Council pursuant to Article 15(1), first subparagraph, second sentence, of Regulation (EU) 2021/691 and, as laid down in point 9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2C07B0">
        <w:rPr>
          <w:rStyle w:val="FootnoteReference"/>
          <w:noProof/>
        </w:rPr>
        <w:footnoteReference w:id="37"/>
      </w:r>
      <w:r w:rsidRPr="002C07B0">
        <w:rPr>
          <w:noProof/>
        </w:rPr>
        <w:t>.</w:t>
      </w:r>
    </w:p>
    <w:p w:rsidR="001A62D7" w:rsidRPr="002C07B0" w:rsidRDefault="001A62D7" w:rsidP="001A62D7">
      <w:pPr>
        <w:pStyle w:val="ManualHeading2"/>
        <w:rPr>
          <w:noProof/>
        </w:rPr>
      </w:pPr>
      <w:r w:rsidRPr="002C07B0">
        <w:rPr>
          <w:noProof/>
        </w:rPr>
        <w:lastRenderedPageBreak/>
        <w:t>Related acts</w:t>
      </w:r>
    </w:p>
    <w:p w:rsidR="001A62D7" w:rsidRPr="002C07B0" w:rsidRDefault="001A62D7" w:rsidP="00AE7D04">
      <w:pPr>
        <w:pStyle w:val="ManualNumPar1"/>
        <w:rPr>
          <w:noProof/>
        </w:rPr>
      </w:pPr>
      <w:r>
        <w:rPr>
          <w:noProof/>
        </w:rPr>
        <w:t>49.</w:t>
      </w:r>
      <w:r>
        <w:rPr>
          <w:noProof/>
        </w:rPr>
        <w:tab/>
      </w:r>
      <w:r w:rsidRPr="002C07B0">
        <w:rPr>
          <w:noProof/>
        </w:rPr>
        <w:t>At the same time as it presents this proposal for a decision to mobilise the EGF, the Commission will present to the European Parliament and to the Council a proposal to transfer to the relevant budgetary line the amount of EUR </w:t>
      </w:r>
      <w:r w:rsidR="001C1059" w:rsidRPr="002C07B0">
        <w:rPr>
          <w:noProof/>
        </w:rPr>
        <w:t>3 821 460</w:t>
      </w:r>
      <w:r w:rsidRPr="002C07B0">
        <w:rPr>
          <w:noProof/>
        </w:rPr>
        <w:t>.</w:t>
      </w:r>
    </w:p>
    <w:p w:rsidR="001A62D7" w:rsidRPr="002C07B0" w:rsidRDefault="001A62D7" w:rsidP="00AE7D04">
      <w:pPr>
        <w:pStyle w:val="ManualNumPar1"/>
        <w:rPr>
          <w:noProof/>
        </w:rPr>
      </w:pPr>
      <w:r>
        <w:rPr>
          <w:noProof/>
        </w:rPr>
        <w:t>50.</w:t>
      </w:r>
      <w:r>
        <w:rPr>
          <w:noProof/>
        </w:rPr>
        <w:tab/>
      </w:r>
      <w:r w:rsidRPr="002C07B0">
        <w:rPr>
          <w:noProof/>
        </w:rPr>
        <w:t>At the same time as it adopted this proposal for a decision to mobilise the EGF, the Commission adopted a decision on a financial contribution that constitutes a financing decision within the meaning of Article 110 of Regulation (EU, Euratom) 2024/2509</w:t>
      </w:r>
      <w:r w:rsidRPr="002C07B0">
        <w:rPr>
          <w:rStyle w:val="FootnoteReference"/>
          <w:noProof/>
        </w:rPr>
        <w:footnoteReference w:id="38"/>
      </w:r>
      <w:r w:rsidRPr="002C07B0">
        <w:rPr>
          <w:noProof/>
        </w:rPr>
        <w:t>. That financing decision will enter into force on the date on which the Commission is notified of the approval of the budgetary transfer by the European Parliament and the Council pursuant to Article 15(2), first subparagraph, of Regulation (EU) 2021/691.</w:t>
      </w:r>
    </w:p>
    <w:p w:rsidR="001A62D7" w:rsidRPr="002C07B0" w:rsidRDefault="001A62D7" w:rsidP="001A62D7">
      <w:pPr>
        <w:rPr>
          <w:noProof/>
        </w:rPr>
        <w:sectPr w:rsidR="001A62D7" w:rsidRPr="002C07B0" w:rsidSect="002D745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BD39DE" w:rsidRDefault="00FA0529">
      <w:pPr>
        <w:pStyle w:val="Rfrenceinterinstitutionnelle"/>
        <w:rPr>
          <w:noProof/>
        </w:rPr>
      </w:pPr>
      <w:r>
        <w:rPr>
          <w:noProof/>
        </w:rPr>
        <w:lastRenderedPageBreak/>
        <w:t>2026/0197 (BUD)</w:t>
      </w:r>
    </w:p>
    <w:p w:rsidR="001A62D7" w:rsidRPr="002C07B0" w:rsidRDefault="0087628E" w:rsidP="0087628E">
      <w:pPr>
        <w:pStyle w:val="Statut"/>
        <w:rPr>
          <w:noProof/>
        </w:rPr>
      </w:pPr>
      <w:r w:rsidRPr="002C07B0">
        <w:rPr>
          <w:noProof/>
        </w:rPr>
        <w:t>Proposal for a</w:t>
      </w:r>
    </w:p>
    <w:p w:rsidR="001A62D7" w:rsidRPr="002C07B0" w:rsidRDefault="0087628E" w:rsidP="0087628E">
      <w:pPr>
        <w:pStyle w:val="Typedudocument"/>
        <w:rPr>
          <w:noProof/>
        </w:rPr>
      </w:pPr>
      <w:r w:rsidRPr="002C07B0">
        <w:rPr>
          <w:noProof/>
        </w:rPr>
        <w:t>DECISION OF THE EUROPEAN PARLIAMENT AND OF THE COUNCIL</w:t>
      </w:r>
    </w:p>
    <w:p w:rsidR="001A62D7" w:rsidRPr="002C07B0" w:rsidRDefault="0087628E" w:rsidP="0087628E">
      <w:pPr>
        <w:pStyle w:val="Titreobjet"/>
        <w:rPr>
          <w:noProof/>
        </w:rPr>
      </w:pPr>
      <w:r w:rsidRPr="002C07B0">
        <w:rPr>
          <w:noProof/>
        </w:rPr>
        <w:t>on the mobilisation of the European Globalisation Adjustment Fund for Displaced Workers following an application from Belgium – EGF/2026/001 BE/Cora</w:t>
      </w:r>
    </w:p>
    <w:p w:rsidR="001A62D7" w:rsidRPr="002C07B0" w:rsidRDefault="001A62D7" w:rsidP="001A62D7">
      <w:pPr>
        <w:pStyle w:val="Institutionquiagit"/>
        <w:rPr>
          <w:noProof/>
        </w:rPr>
      </w:pPr>
      <w:r w:rsidRPr="002C07B0">
        <w:rPr>
          <w:noProof/>
        </w:rPr>
        <w:t>THE EUROPEAN PARLIAMENT AND THE COUNCIL OF THE EUROPEAN UNION,</w:t>
      </w:r>
    </w:p>
    <w:p w:rsidR="001A62D7" w:rsidRPr="002C07B0" w:rsidRDefault="001A62D7" w:rsidP="001A62D7">
      <w:pPr>
        <w:rPr>
          <w:noProof/>
        </w:rPr>
      </w:pPr>
      <w:r w:rsidRPr="002C07B0">
        <w:rPr>
          <w:noProof/>
        </w:rPr>
        <w:t>Having regard to the Treaty on the Functioning of the European Union,</w:t>
      </w:r>
    </w:p>
    <w:p w:rsidR="001A62D7" w:rsidRPr="002C07B0" w:rsidRDefault="001A62D7" w:rsidP="001A62D7">
      <w:pPr>
        <w:rPr>
          <w:noProof/>
        </w:rPr>
      </w:pPr>
      <w:r w:rsidRPr="002C07B0">
        <w:rPr>
          <w:noProof/>
        </w:rPr>
        <w:t>Having regard to Regulation (EU) 2021/691 of the European Parliament and of the Council of 28 April 2021 on the European Globalisation Adjustment Fund for Displaced Workers (EGF) and repealing Regulation (EU) No 1309/2013</w:t>
      </w:r>
      <w:r w:rsidRPr="002C07B0">
        <w:rPr>
          <w:rStyle w:val="FootnoteReference"/>
          <w:noProof/>
        </w:rPr>
        <w:footnoteReference w:id="39"/>
      </w:r>
      <w:r w:rsidRPr="002C07B0">
        <w:rPr>
          <w:noProof/>
        </w:rPr>
        <w:t>, and in particular Article 15(1), first subparagraph, thereof,</w:t>
      </w:r>
    </w:p>
    <w:p w:rsidR="001A62D7" w:rsidRPr="002C07B0" w:rsidRDefault="001A62D7" w:rsidP="001A62D7">
      <w:pPr>
        <w:rPr>
          <w:noProof/>
        </w:rPr>
      </w:pPr>
      <w:r w:rsidRPr="002C07B0">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2C07B0">
        <w:rPr>
          <w:rStyle w:val="FootnoteReference"/>
          <w:noProof/>
        </w:rPr>
        <w:footnoteReference w:id="40"/>
      </w:r>
      <w:r w:rsidRPr="002C07B0">
        <w:rPr>
          <w:noProof/>
        </w:rPr>
        <w:t>, and in particular point 9 thereof,</w:t>
      </w:r>
    </w:p>
    <w:p w:rsidR="001A62D7" w:rsidRPr="002C07B0" w:rsidRDefault="001A62D7" w:rsidP="001A62D7">
      <w:pPr>
        <w:rPr>
          <w:noProof/>
        </w:rPr>
      </w:pPr>
      <w:r w:rsidRPr="002C07B0">
        <w:rPr>
          <w:noProof/>
        </w:rPr>
        <w:t>Having regard to the proposal from the European Commission,</w:t>
      </w:r>
    </w:p>
    <w:p w:rsidR="001A62D7" w:rsidRPr="002C07B0" w:rsidRDefault="001A62D7" w:rsidP="001A62D7">
      <w:pPr>
        <w:rPr>
          <w:noProof/>
        </w:rPr>
      </w:pPr>
      <w:r w:rsidRPr="002C07B0">
        <w:rPr>
          <w:noProof/>
        </w:rPr>
        <w:t>Whereas:</w:t>
      </w:r>
    </w:p>
    <w:p w:rsidR="001A62D7" w:rsidRPr="002C07B0" w:rsidRDefault="001A62D7" w:rsidP="00AE7D04">
      <w:pPr>
        <w:pStyle w:val="ManualConsidrant"/>
        <w:rPr>
          <w:noProof/>
        </w:rPr>
      </w:pPr>
      <w:r>
        <w:rPr>
          <w:noProof/>
        </w:rPr>
        <w:t>(1)</w:t>
      </w:r>
      <w:r>
        <w:rPr>
          <w:noProof/>
        </w:rPr>
        <w:tab/>
      </w:r>
      <w:r w:rsidRPr="002C07B0">
        <w:rPr>
          <w:noProof/>
        </w:rPr>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Pr="002C07B0" w:rsidRDefault="001A62D7" w:rsidP="00AE7D04">
      <w:pPr>
        <w:pStyle w:val="ManualConsidrant"/>
        <w:rPr>
          <w:noProof/>
        </w:rPr>
      </w:pPr>
      <w:r>
        <w:rPr>
          <w:noProof/>
        </w:rPr>
        <w:t>(2)</w:t>
      </w:r>
      <w:r>
        <w:rPr>
          <w:noProof/>
        </w:rPr>
        <w:tab/>
      </w:r>
      <w:r w:rsidRPr="002C07B0">
        <w:rPr>
          <w:noProof/>
        </w:rPr>
        <w:t>The EGF is not to exceed a maximum annual amount of EUR 30 million (in 2018 prices), as laid down in Article 8 of Council Regulation (EU, Euratom) 2020/2093</w:t>
      </w:r>
      <w:r w:rsidRPr="002C07B0">
        <w:rPr>
          <w:rStyle w:val="FootnoteReference"/>
          <w:noProof/>
        </w:rPr>
        <w:footnoteReference w:id="41"/>
      </w:r>
      <w:r w:rsidRPr="002C07B0">
        <w:rPr>
          <w:noProof/>
        </w:rPr>
        <w:t>, and Article 16 of Regulation (EU) 2021/691.</w:t>
      </w:r>
    </w:p>
    <w:p w:rsidR="001A62D7" w:rsidRPr="002C07B0" w:rsidRDefault="001A62D7" w:rsidP="00AE7D04">
      <w:pPr>
        <w:pStyle w:val="ManualConsidrant"/>
        <w:rPr>
          <w:noProof/>
        </w:rPr>
      </w:pPr>
      <w:r>
        <w:rPr>
          <w:noProof/>
        </w:rPr>
        <w:t>(3)</w:t>
      </w:r>
      <w:r>
        <w:rPr>
          <w:noProof/>
        </w:rPr>
        <w:tab/>
      </w:r>
      <w:r w:rsidRPr="002C07B0">
        <w:rPr>
          <w:noProof/>
        </w:rPr>
        <w:t xml:space="preserve">On </w:t>
      </w:r>
      <w:r w:rsidR="00AB33DA" w:rsidRPr="002C07B0">
        <w:rPr>
          <w:noProof/>
        </w:rPr>
        <w:t>25 March 2026</w:t>
      </w:r>
      <w:r w:rsidRPr="002C07B0">
        <w:rPr>
          <w:noProof/>
        </w:rPr>
        <w:t xml:space="preserve">, </w:t>
      </w:r>
      <w:r w:rsidR="001C1059" w:rsidRPr="002C07B0">
        <w:rPr>
          <w:noProof/>
        </w:rPr>
        <w:t>Belgium</w:t>
      </w:r>
      <w:r w:rsidRPr="002C07B0">
        <w:rPr>
          <w:noProof/>
        </w:rPr>
        <w:t xml:space="preserve"> submitted an application to mobilise the EGF in accordance with Article 8(1) of Regulation (EU) 2021/691, in respect of worker</w:t>
      </w:r>
      <w:r w:rsidR="00265183" w:rsidRPr="002C07B0">
        <w:rPr>
          <w:noProof/>
        </w:rPr>
        <w:t>s</w:t>
      </w:r>
      <w:r w:rsidRPr="002C07B0">
        <w:rPr>
          <w:noProof/>
        </w:rPr>
        <w:t xml:space="preserve">’ displacements in </w:t>
      </w:r>
      <w:r w:rsidR="001C1059" w:rsidRPr="002C07B0">
        <w:rPr>
          <w:noProof/>
        </w:rPr>
        <w:t>Cora SA</w:t>
      </w:r>
      <w:r w:rsidRPr="002C07B0">
        <w:rPr>
          <w:noProof/>
        </w:rPr>
        <w:t xml:space="preserve"> and</w:t>
      </w:r>
      <w:r w:rsidR="00B8329A" w:rsidRPr="002C07B0">
        <w:rPr>
          <w:noProof/>
        </w:rPr>
        <w:t xml:space="preserve"> one</w:t>
      </w:r>
      <w:r w:rsidRPr="002C07B0">
        <w:rPr>
          <w:noProof/>
        </w:rPr>
        <w:t xml:space="preserve"> supplier </w:t>
      </w:r>
      <w:r w:rsidR="00B8329A" w:rsidRPr="002C07B0">
        <w:rPr>
          <w:noProof/>
        </w:rPr>
        <w:t xml:space="preserve">in </w:t>
      </w:r>
      <w:r w:rsidR="001C1059" w:rsidRPr="002C07B0">
        <w:rPr>
          <w:noProof/>
        </w:rPr>
        <w:t>Belgium</w:t>
      </w:r>
      <w:r w:rsidRPr="002C07B0">
        <w:rPr>
          <w:noProof/>
        </w:rPr>
        <w:t xml:space="preserve">. It was supplemented by additional information provided in accordance with Article 8(5) of Regulation (EU) 2021/691. That application </w:t>
      </w:r>
      <w:r w:rsidRPr="002C07B0">
        <w:rPr>
          <w:iCs/>
          <w:noProof/>
        </w:rPr>
        <w:t xml:space="preserve">is considered to comply </w:t>
      </w:r>
      <w:r w:rsidRPr="002C07B0">
        <w:rPr>
          <w:noProof/>
        </w:rPr>
        <w:t xml:space="preserve">with the conditions for </w:t>
      </w:r>
      <w:r w:rsidRPr="002C07B0">
        <w:rPr>
          <w:iCs/>
          <w:noProof/>
        </w:rPr>
        <w:t xml:space="preserve">providing </w:t>
      </w:r>
      <w:r w:rsidRPr="002C07B0">
        <w:rPr>
          <w:noProof/>
        </w:rPr>
        <w:t xml:space="preserve">a financial contribution from the EGF as laid down in Article 13 of Regulation (EU) 2021/691, </w:t>
      </w:r>
      <w:r w:rsidRPr="002C07B0">
        <w:rPr>
          <w:iCs/>
          <w:noProof/>
        </w:rPr>
        <w:t>on the basis of the assessment made by the Commission in the Proposal for a mobilisation decision of the European Parliament and of the Council</w:t>
      </w:r>
      <w:r w:rsidRPr="002C07B0">
        <w:rPr>
          <w:rStyle w:val="FootnoteReference"/>
          <w:iCs/>
          <w:noProof/>
        </w:rPr>
        <w:footnoteReference w:id="42"/>
      </w:r>
      <w:r w:rsidRPr="002C07B0">
        <w:rPr>
          <w:iCs/>
          <w:noProof/>
        </w:rPr>
        <w:t>.</w:t>
      </w:r>
    </w:p>
    <w:p w:rsidR="001A62D7" w:rsidRPr="002C07B0" w:rsidRDefault="001A62D7" w:rsidP="00AE7D04">
      <w:pPr>
        <w:pStyle w:val="ManualConsidrant"/>
        <w:rPr>
          <w:noProof/>
        </w:rPr>
      </w:pPr>
      <w:r>
        <w:rPr>
          <w:noProof/>
        </w:rPr>
        <w:lastRenderedPageBreak/>
        <w:t>(4)</w:t>
      </w:r>
      <w:r>
        <w:rPr>
          <w:noProof/>
        </w:rPr>
        <w:tab/>
      </w:r>
      <w:r w:rsidRPr="002C07B0">
        <w:rPr>
          <w:noProof/>
        </w:rPr>
        <w:t>The EGF should, therefore, be mobilised in order to provide a financial contribution of EUR </w:t>
      </w:r>
      <w:r w:rsidR="001C1059" w:rsidRPr="002C07B0">
        <w:rPr>
          <w:noProof/>
        </w:rPr>
        <w:t>3 821 460</w:t>
      </w:r>
      <w:r w:rsidRPr="002C07B0">
        <w:rPr>
          <w:noProof/>
        </w:rPr>
        <w:t xml:space="preserve"> in respect of the application submitted by </w:t>
      </w:r>
      <w:r w:rsidR="001C1059" w:rsidRPr="002C07B0">
        <w:rPr>
          <w:noProof/>
        </w:rPr>
        <w:t>Belgium</w:t>
      </w:r>
      <w:r w:rsidRPr="002C07B0">
        <w:rPr>
          <w:noProof/>
        </w:rPr>
        <w:t>.</w:t>
      </w:r>
    </w:p>
    <w:p w:rsidR="001A62D7" w:rsidRPr="002C07B0" w:rsidRDefault="001A62D7" w:rsidP="00AE7D04">
      <w:pPr>
        <w:pStyle w:val="ManualConsidrant"/>
        <w:rPr>
          <w:noProof/>
        </w:rPr>
      </w:pPr>
      <w:r>
        <w:rPr>
          <w:noProof/>
        </w:rPr>
        <w:t>(5)</w:t>
      </w:r>
      <w:r>
        <w:rPr>
          <w:noProof/>
        </w:rPr>
        <w:tab/>
      </w:r>
      <w:r w:rsidRPr="002C07B0">
        <w:rPr>
          <w:noProof/>
        </w:rPr>
        <w:t xml:space="preserve">In order to minimise the time taken to mobilise the EGF, this </w:t>
      </w:r>
      <w:r w:rsidR="00265183" w:rsidRPr="002C07B0">
        <w:rPr>
          <w:noProof/>
        </w:rPr>
        <w:t>D</w:t>
      </w:r>
      <w:r w:rsidRPr="002C07B0">
        <w:rPr>
          <w:noProof/>
        </w:rPr>
        <w:t>ecision should apply from the date of its adoption,</w:t>
      </w:r>
    </w:p>
    <w:p w:rsidR="001A62D7" w:rsidRPr="002C07B0" w:rsidRDefault="001A62D7" w:rsidP="001A62D7">
      <w:pPr>
        <w:pStyle w:val="Formuledadoption"/>
        <w:rPr>
          <w:noProof/>
        </w:rPr>
      </w:pPr>
      <w:r w:rsidRPr="002C07B0">
        <w:rPr>
          <w:noProof/>
        </w:rPr>
        <w:t xml:space="preserve">HAVE ADOPTED THIS DECISION: </w:t>
      </w:r>
    </w:p>
    <w:p w:rsidR="001A62D7" w:rsidRPr="002C07B0" w:rsidRDefault="001A62D7" w:rsidP="001A62D7">
      <w:pPr>
        <w:pStyle w:val="Titrearticle"/>
        <w:rPr>
          <w:noProof/>
        </w:rPr>
      </w:pPr>
      <w:r w:rsidRPr="002C07B0">
        <w:rPr>
          <w:noProof/>
        </w:rPr>
        <w:t>Article 1</w:t>
      </w:r>
    </w:p>
    <w:p w:rsidR="001A62D7" w:rsidRPr="002C07B0" w:rsidRDefault="001A62D7" w:rsidP="001A62D7">
      <w:pPr>
        <w:rPr>
          <w:noProof/>
        </w:rPr>
      </w:pPr>
      <w:r w:rsidRPr="002C07B0">
        <w:rPr>
          <w:noProof/>
        </w:rPr>
        <w:t xml:space="preserve">For the general budget of the Union for the financial year </w:t>
      </w:r>
      <w:r w:rsidR="001C1059" w:rsidRPr="002C07B0">
        <w:rPr>
          <w:noProof/>
        </w:rPr>
        <w:t>2026</w:t>
      </w:r>
      <w:r w:rsidRPr="002C07B0">
        <w:rPr>
          <w:noProof/>
        </w:rPr>
        <w:t>, the European Globalisation Adjustment Fund for Displaced Workers shall be mobilised to provide the amount of EUR </w:t>
      </w:r>
      <w:r w:rsidR="001C1059" w:rsidRPr="002C07B0">
        <w:rPr>
          <w:noProof/>
        </w:rPr>
        <w:t>3 821 460</w:t>
      </w:r>
      <w:r w:rsidRPr="002C07B0">
        <w:rPr>
          <w:noProof/>
        </w:rPr>
        <w:t xml:space="preserve"> in commitment and payment appropriations.</w:t>
      </w:r>
    </w:p>
    <w:p w:rsidR="001A62D7" w:rsidRPr="002C07B0" w:rsidRDefault="001A62D7" w:rsidP="00CE48B7">
      <w:pPr>
        <w:pStyle w:val="Titrearticle"/>
        <w:rPr>
          <w:noProof/>
        </w:rPr>
      </w:pPr>
      <w:r w:rsidRPr="002C07B0">
        <w:rPr>
          <w:noProof/>
        </w:rPr>
        <w:t>Article 2</w:t>
      </w:r>
    </w:p>
    <w:p w:rsidR="001A62D7" w:rsidRPr="002C07B0" w:rsidRDefault="001A62D7" w:rsidP="001A62D7">
      <w:pPr>
        <w:keepNext/>
        <w:keepLines/>
        <w:rPr>
          <w:noProof/>
        </w:rPr>
      </w:pPr>
      <w:r w:rsidRPr="002C07B0">
        <w:rPr>
          <w:noProof/>
        </w:rPr>
        <w:t xml:space="preserve">This Decision shall enter into force on the day of its publication in the Official Journal of the European Union. It shall apply from </w:t>
      </w:r>
      <w:r w:rsidRPr="002C07B0">
        <w:rPr>
          <w:noProof/>
          <w:color w:val="FF0000"/>
        </w:rPr>
        <w:t>[</w:t>
      </w:r>
      <w:r w:rsidRPr="002C07B0">
        <w:rPr>
          <w:i/>
          <w:noProof/>
          <w:color w:val="FF0000"/>
        </w:rPr>
        <w:t>the date of its adoption</w:t>
      </w:r>
      <w:r w:rsidRPr="002C07B0">
        <w:rPr>
          <w:noProof/>
          <w:color w:val="FF0000"/>
        </w:rPr>
        <w:t>]</w:t>
      </w:r>
      <w:r w:rsidR="00281AE4" w:rsidRPr="002C07B0">
        <w:rPr>
          <w:rStyle w:val="FootnoteReference"/>
          <w:noProof/>
          <w:color w:val="FF0000"/>
        </w:rPr>
        <w:footnoteReference w:customMarkFollows="1" w:id="43"/>
        <w:t>*</w:t>
      </w:r>
      <w:r w:rsidR="00281AE4" w:rsidRPr="002C07B0">
        <w:rPr>
          <w:rStyle w:val="CommentReference"/>
          <w:rFonts w:eastAsia="Times New Roman"/>
          <w:noProof/>
          <w:lang w:eastAsia="en-GB"/>
        </w:rPr>
        <w:t xml:space="preserve"> </w:t>
      </w:r>
      <w:r w:rsidRPr="002C07B0">
        <w:rPr>
          <w:noProof/>
        </w:rPr>
        <w:t>.</w:t>
      </w:r>
    </w:p>
    <w:p w:rsidR="001A62D7" w:rsidRPr="002C07B0" w:rsidRDefault="0087628E" w:rsidP="00CE48B7">
      <w:pPr>
        <w:pStyle w:val="Fait"/>
        <w:rPr>
          <w:noProof/>
        </w:rPr>
      </w:pPr>
      <w:r>
        <w:rPr>
          <w:noProof/>
        </w:rPr>
        <w:t>Done at Brussels,</w:t>
      </w:r>
    </w:p>
    <w:p w:rsidR="001A62D7" w:rsidRPr="002C07B0" w:rsidRDefault="001A62D7" w:rsidP="00CE48B7">
      <w:pPr>
        <w:pStyle w:val="Institutionquisigne"/>
        <w:rPr>
          <w:noProof/>
        </w:rPr>
      </w:pPr>
      <w:r w:rsidRPr="002C07B0">
        <w:rPr>
          <w:noProof/>
        </w:rPr>
        <w:t>For the European Parliament</w:t>
      </w:r>
      <w:r w:rsidRPr="002C07B0">
        <w:rPr>
          <w:noProof/>
        </w:rPr>
        <w:tab/>
        <w:t>For the Council</w:t>
      </w:r>
    </w:p>
    <w:p w:rsidR="001A62D7" w:rsidRPr="002C07B0" w:rsidRDefault="001A62D7" w:rsidP="001A62D7">
      <w:pPr>
        <w:pStyle w:val="Personnequisigne"/>
        <w:rPr>
          <w:noProof/>
        </w:rPr>
      </w:pPr>
      <w:r w:rsidRPr="002C07B0">
        <w:rPr>
          <w:noProof/>
        </w:rPr>
        <w:t>The President</w:t>
      </w:r>
      <w:r w:rsidRPr="002C07B0">
        <w:rPr>
          <w:noProof/>
        </w:rPr>
        <w:tab/>
        <w:t>The President</w:t>
      </w:r>
      <w:r w:rsidRPr="002C07B0">
        <w:rPr>
          <w:noProof/>
        </w:rPr>
        <w:br/>
      </w:r>
    </w:p>
    <w:sectPr w:rsidR="001A62D7" w:rsidRPr="002C07B0" w:rsidSect="002D745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Default="001A62D7" w:rsidP="001A62D7">
      <w:pPr>
        <w:spacing w:before="0" w:after="0"/>
      </w:pPr>
      <w:r>
        <w:separator/>
      </w:r>
    </w:p>
  </w:endnote>
  <w:endnote w:type="continuationSeparator" w:id="0">
    <w:p w:rsidR="001A62D7"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Pr="002D7454" w:rsidRDefault="002D7454" w:rsidP="002D7454">
    <w:pPr>
      <w:pStyle w:val="Footer"/>
      <w:rPr>
        <w:rFonts w:ascii="Arial" w:hAnsi="Arial" w:cs="Arial"/>
        <w:b/>
        <w:sz w:val="48"/>
      </w:rPr>
    </w:pPr>
    <w:r w:rsidRPr="002D7454">
      <w:rPr>
        <w:rFonts w:ascii="Arial" w:hAnsi="Arial" w:cs="Arial"/>
        <w:b/>
        <w:sz w:val="48"/>
      </w:rPr>
      <w:t>EN</w:t>
    </w:r>
    <w:r w:rsidRPr="002D7454">
      <w:rPr>
        <w:rFonts w:ascii="Arial" w:hAnsi="Arial" w:cs="Arial"/>
        <w:b/>
        <w:sz w:val="48"/>
      </w:rPr>
      <w:tab/>
    </w:r>
    <w:r w:rsidRPr="002D7454">
      <w:rPr>
        <w:rFonts w:ascii="Arial" w:hAnsi="Arial" w:cs="Arial"/>
        <w:b/>
        <w:sz w:val="48"/>
      </w:rPr>
      <w:tab/>
    </w:r>
    <w:r w:rsidRPr="002D7454">
      <w:tab/>
    </w:r>
    <w:r w:rsidRPr="002D74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Pr="002D7454" w:rsidRDefault="002D7454" w:rsidP="002D7454">
    <w:pPr>
      <w:pStyle w:val="Footer"/>
      <w:rPr>
        <w:rFonts w:ascii="Arial" w:hAnsi="Arial" w:cs="Arial"/>
        <w:b/>
        <w:sz w:val="48"/>
      </w:rPr>
    </w:pPr>
    <w:r w:rsidRPr="002D7454">
      <w:rPr>
        <w:rFonts w:ascii="Arial" w:hAnsi="Arial" w:cs="Arial"/>
        <w:b/>
        <w:sz w:val="48"/>
      </w:rPr>
      <w:t>EN</w:t>
    </w:r>
    <w:r w:rsidRPr="002D7454">
      <w:rPr>
        <w:rFonts w:ascii="Arial" w:hAnsi="Arial" w:cs="Arial"/>
        <w:b/>
        <w:sz w:val="48"/>
      </w:rPr>
      <w:tab/>
    </w:r>
    <w:r w:rsidRPr="002D7454">
      <w:rPr>
        <w:rFonts w:ascii="Arial" w:hAnsi="Arial" w:cs="Arial"/>
        <w:b/>
        <w:sz w:val="48"/>
      </w:rPr>
      <w:tab/>
    </w:r>
    <w:r w:rsidRPr="002D7454">
      <w:tab/>
    </w:r>
    <w:r w:rsidRPr="002D74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Default="002D74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Pr="002D7454" w:rsidRDefault="002D7454" w:rsidP="002D7454">
    <w:pPr>
      <w:pStyle w:val="Footer"/>
      <w:rPr>
        <w:rFonts w:ascii="Arial" w:hAnsi="Arial" w:cs="Arial"/>
        <w:b/>
        <w:sz w:val="48"/>
      </w:rPr>
    </w:pPr>
    <w:r w:rsidRPr="002D7454">
      <w:rPr>
        <w:rFonts w:ascii="Arial" w:hAnsi="Arial" w:cs="Arial"/>
        <w:b/>
        <w:sz w:val="48"/>
      </w:rPr>
      <w:t>EN</w:t>
    </w:r>
    <w:r w:rsidRPr="002D7454">
      <w:rPr>
        <w:rFonts w:ascii="Arial" w:hAnsi="Arial" w:cs="Arial"/>
        <w:b/>
        <w:sz w:val="48"/>
      </w:rPr>
      <w:tab/>
    </w:r>
    <w:r>
      <w:fldChar w:fldCharType="begin"/>
    </w:r>
    <w:r>
      <w:instrText xml:space="preserve"> PAGE  \* MERGEFORMAT </w:instrText>
    </w:r>
    <w:r>
      <w:fldChar w:fldCharType="separate"/>
    </w:r>
    <w:r w:rsidR="00CE48B7">
      <w:rPr>
        <w:noProof/>
      </w:rPr>
      <w:t>13</w:t>
    </w:r>
    <w:r>
      <w:fldChar w:fldCharType="end"/>
    </w:r>
    <w:r>
      <w:tab/>
    </w:r>
    <w:r w:rsidRPr="002D7454">
      <w:tab/>
    </w:r>
    <w:r w:rsidRPr="002D745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Default="002D7454" w:rsidP="002D7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Default="001A62D7" w:rsidP="001A62D7">
      <w:pPr>
        <w:spacing w:before="0" w:after="0"/>
      </w:pPr>
      <w:r>
        <w:separator/>
      </w:r>
    </w:p>
  </w:footnote>
  <w:footnote w:type="continuationSeparator" w:id="0">
    <w:p w:rsidR="001A62D7" w:rsidRDefault="001A62D7" w:rsidP="001A62D7">
      <w:pPr>
        <w:spacing w:before="0" w:after="0"/>
      </w:pPr>
      <w:r>
        <w:continuationSeparator/>
      </w:r>
    </w:p>
  </w:footnote>
  <w:footnote w:id="1">
    <w:p w:rsidR="001A62D7" w:rsidRPr="00BE109D" w:rsidRDefault="001A62D7" w:rsidP="001A62D7">
      <w:pPr>
        <w:pStyle w:val="FootnoteText"/>
      </w:pPr>
      <w:r w:rsidRPr="00872F86">
        <w:rPr>
          <w:rStyle w:val="FootnoteReference"/>
        </w:rPr>
        <w:footnoteRef/>
      </w:r>
      <w:r w:rsidRPr="00BE109D">
        <w:tab/>
      </w:r>
      <w:r w:rsidRPr="00295349">
        <w:t>OJ L 153, 3.5.2021, p. 48</w:t>
      </w:r>
      <w:r w:rsidR="00DC672F">
        <w:rPr>
          <w:lang w:val="pl-PL"/>
        </w:rPr>
        <w:t>,</w:t>
      </w:r>
      <w:r w:rsidR="00DC672F" w:rsidRPr="004768B8">
        <w:rPr>
          <w:sz w:val="24"/>
          <w:szCs w:val="22"/>
          <w:lang w:val="fi-FI"/>
        </w:rPr>
        <w:t xml:space="preserve"> </w:t>
      </w:r>
      <w:r w:rsidR="00DC672F" w:rsidRPr="0075062E">
        <w:rPr>
          <w:lang w:val="pl-PL"/>
        </w:rPr>
        <w:t>ELI: http://data.europa.eu/eli/reg/2021/691/oj</w:t>
      </w:r>
      <w:r w:rsidRPr="00BE109D">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1A62D7" w:rsidRPr="00A50D50" w:rsidRDefault="001A62D7" w:rsidP="001A62D7">
      <w:pPr>
        <w:pStyle w:val="FootnoteText"/>
      </w:pPr>
      <w:r w:rsidRPr="009B1FDB">
        <w:rPr>
          <w:rStyle w:val="FootnoteReference"/>
        </w:rPr>
        <w:footnoteRef/>
      </w:r>
      <w:r>
        <w:tab/>
      </w:r>
      <w:r w:rsidRPr="00A50D50">
        <w:t>OJ L 393, 30.12.2006, p. 1.</w:t>
      </w:r>
    </w:p>
  </w:footnote>
  <w:footnote w:id="4">
    <w:p w:rsidR="00FD67BC" w:rsidRPr="00FD67BC" w:rsidRDefault="00FD67BC">
      <w:pPr>
        <w:pStyle w:val="FootnoteText"/>
        <w:rPr>
          <w:lang w:val="en-IE"/>
        </w:rPr>
      </w:pPr>
      <w:r>
        <w:rPr>
          <w:rStyle w:val="FootnoteReference"/>
        </w:rPr>
        <w:footnoteRef/>
      </w:r>
      <w:r w:rsidRPr="00FD67BC">
        <w:rPr>
          <w:lang w:val="en-IE"/>
        </w:rPr>
        <w:tab/>
      </w:r>
      <w:r>
        <w:rPr>
          <w:lang w:val="en-IE"/>
        </w:rPr>
        <w:t>T</w:t>
      </w:r>
      <w:r w:rsidRPr="00FD67BC">
        <w:rPr>
          <w:lang w:val="en-IE"/>
        </w:rPr>
        <w:t>he sector o</w:t>
      </w:r>
      <w:r>
        <w:rPr>
          <w:lang w:val="en-IE"/>
        </w:rPr>
        <w:t>f economic activity for Cora is retail and for its supplier is land transport.</w:t>
      </w:r>
    </w:p>
  </w:footnote>
  <w:footnote w:id="5">
    <w:p w:rsidR="001A62D7" w:rsidRPr="00A50D50" w:rsidRDefault="001A62D7"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6">
    <w:p w:rsidR="004834D6" w:rsidRPr="00AB00A1" w:rsidRDefault="004834D6">
      <w:pPr>
        <w:pStyle w:val="FootnoteText"/>
        <w:rPr>
          <w:lang w:val="en-IE"/>
        </w:rPr>
      </w:pPr>
      <w:r>
        <w:rPr>
          <w:rStyle w:val="FootnoteReference"/>
        </w:rPr>
        <w:footnoteRef/>
      </w:r>
      <w:r w:rsidRPr="00AB00A1">
        <w:rPr>
          <w:lang w:val="en-IE"/>
        </w:rPr>
        <w:tab/>
        <w:t xml:space="preserve">Earnings Before Interest, Taxes, Depreciation, and Amortization. </w:t>
      </w:r>
    </w:p>
  </w:footnote>
  <w:footnote w:id="7">
    <w:p w:rsidR="00CD4063" w:rsidRPr="00CD4063" w:rsidRDefault="00CD4063">
      <w:pPr>
        <w:pStyle w:val="FootnoteText"/>
        <w:rPr>
          <w:lang w:val="en-IE"/>
        </w:rPr>
      </w:pPr>
      <w:r>
        <w:rPr>
          <w:rStyle w:val="FootnoteReference"/>
        </w:rPr>
        <w:footnoteRef/>
      </w:r>
      <w:r w:rsidRPr="00CD4063">
        <w:rPr>
          <w:lang w:val="en-IE"/>
        </w:rPr>
        <w:tab/>
        <w:t>Information shared by Cora i</w:t>
      </w:r>
      <w:r>
        <w:rPr>
          <w:lang w:val="en-IE"/>
        </w:rPr>
        <w:t xml:space="preserve">n the </w:t>
      </w:r>
      <w:r>
        <w:t>Extraordinary Works Council held on 8 April 2025.</w:t>
      </w:r>
    </w:p>
  </w:footnote>
  <w:footnote w:id="8">
    <w:p w:rsidR="00E73E09" w:rsidRPr="00E73E09" w:rsidRDefault="00E73E09" w:rsidP="00E73E09">
      <w:pPr>
        <w:pStyle w:val="FootnoteText"/>
        <w:rPr>
          <w:lang w:val="en-IE"/>
        </w:rPr>
      </w:pPr>
      <w:r>
        <w:rPr>
          <w:rStyle w:val="FootnoteReference"/>
        </w:rPr>
        <w:footnoteRef/>
      </w:r>
      <w:r w:rsidRPr="00E73E09">
        <w:rPr>
          <w:lang w:val="en-IE"/>
        </w:rPr>
        <w:tab/>
        <w:t>COM(2023)</w:t>
      </w:r>
      <w:r>
        <w:rPr>
          <w:lang w:val="en-IE"/>
        </w:rPr>
        <w:t> </w:t>
      </w:r>
      <w:r w:rsidRPr="00E73E09">
        <w:rPr>
          <w:lang w:val="en-IE"/>
        </w:rPr>
        <w:t>69</w:t>
      </w:r>
    </w:p>
  </w:footnote>
  <w:footnote w:id="9">
    <w:p w:rsidR="00E73E09" w:rsidRPr="00DC549A" w:rsidRDefault="00E73E09">
      <w:pPr>
        <w:pStyle w:val="FootnoteText"/>
        <w:rPr>
          <w:lang w:val="en-IE"/>
        </w:rPr>
      </w:pPr>
      <w:r>
        <w:rPr>
          <w:rStyle w:val="FootnoteReference"/>
        </w:rPr>
        <w:footnoteRef/>
      </w:r>
      <w:r w:rsidRPr="007571E3">
        <w:rPr>
          <w:lang w:val="en-IE"/>
        </w:rPr>
        <w:tab/>
      </w:r>
      <w:r w:rsidRPr="00DC549A">
        <w:rPr>
          <w:lang w:val="en-IE"/>
        </w:rPr>
        <w:t xml:space="preserve">COM(2023) 470 </w:t>
      </w:r>
    </w:p>
  </w:footnote>
  <w:footnote w:id="10">
    <w:p w:rsidR="00DC549A" w:rsidRPr="00967F7F" w:rsidRDefault="00DC549A">
      <w:pPr>
        <w:pStyle w:val="FootnoteText"/>
        <w:rPr>
          <w:lang w:val="en-IE"/>
        </w:rPr>
      </w:pPr>
      <w:r>
        <w:rPr>
          <w:rStyle w:val="FootnoteReference"/>
        </w:rPr>
        <w:footnoteRef/>
      </w:r>
      <w:r w:rsidRPr="00967F7F">
        <w:rPr>
          <w:lang w:val="en-IE"/>
        </w:rPr>
        <w:tab/>
        <w:t>COM(2026) 4</w:t>
      </w:r>
    </w:p>
  </w:footnote>
  <w:footnote w:id="11">
    <w:p w:rsidR="00C634D9" w:rsidRPr="00C634D9" w:rsidRDefault="00C634D9">
      <w:pPr>
        <w:pStyle w:val="FootnoteText"/>
        <w:rPr>
          <w:lang w:val="en-IE"/>
        </w:rPr>
      </w:pPr>
      <w:r>
        <w:rPr>
          <w:rStyle w:val="FootnoteReference"/>
        </w:rPr>
        <w:footnoteRef/>
      </w:r>
      <w:r w:rsidRPr="00C634D9">
        <w:rPr>
          <w:lang w:val="en-IE"/>
        </w:rPr>
        <w:tab/>
      </w:r>
      <w:hyperlink r:id="rId1" w:history="1">
        <w:r w:rsidR="00F51BC2" w:rsidRPr="00F51BC2">
          <w:rPr>
            <w:rStyle w:val="Hyperlink"/>
            <w:lang w:val="en-IE"/>
          </w:rPr>
          <w:t>Eurostat. Seasonally adjusted unemployment</w:t>
        </w:r>
        <w:r w:rsidRPr="00F51BC2">
          <w:rPr>
            <w:rStyle w:val="Hyperlink"/>
            <w:lang w:val="en-IE"/>
          </w:rPr>
          <w:t>.</w:t>
        </w:r>
        <w:r w:rsidR="00F51BC2" w:rsidRPr="00F51BC2">
          <w:rPr>
            <w:rStyle w:val="Hyperlink"/>
            <w:lang w:val="en-IE"/>
          </w:rPr>
          <w:t xml:space="preserve"> January 2026</w:t>
        </w:r>
      </w:hyperlink>
      <w:r w:rsidR="00F51BC2">
        <w:rPr>
          <w:lang w:val="en-IE"/>
        </w:rPr>
        <w:t>.</w:t>
      </w:r>
    </w:p>
  </w:footnote>
  <w:footnote w:id="12">
    <w:p w:rsidR="00C634D9" w:rsidRPr="00C634D9" w:rsidRDefault="00C634D9">
      <w:pPr>
        <w:pStyle w:val="FootnoteText"/>
        <w:rPr>
          <w:lang w:val="en-IE"/>
        </w:rPr>
      </w:pPr>
      <w:r>
        <w:rPr>
          <w:rStyle w:val="FootnoteReference"/>
        </w:rPr>
        <w:footnoteRef/>
      </w:r>
      <w:r w:rsidRPr="00C634D9">
        <w:rPr>
          <w:lang w:val="en-IE"/>
        </w:rPr>
        <w:tab/>
      </w:r>
      <w:hyperlink r:id="rId2" w:history="1">
        <w:r w:rsidRPr="00C634D9">
          <w:rPr>
            <w:rStyle w:val="Hyperlink"/>
            <w:lang w:val="en-IE"/>
          </w:rPr>
          <w:t>Eurostat. EU unemployment rate. January 2026</w:t>
        </w:r>
      </w:hyperlink>
      <w:r w:rsidR="00F51BC2">
        <w:rPr>
          <w:lang w:val="en-IE"/>
        </w:rPr>
        <w:t>.</w:t>
      </w:r>
    </w:p>
  </w:footnote>
  <w:footnote w:id="13">
    <w:p w:rsidR="00C634D9" w:rsidRPr="007571E3" w:rsidRDefault="00C634D9">
      <w:pPr>
        <w:pStyle w:val="FootnoteText"/>
        <w:rPr>
          <w:lang w:val="en-IE"/>
        </w:rPr>
      </w:pPr>
      <w:r>
        <w:rPr>
          <w:rStyle w:val="FootnoteReference"/>
        </w:rPr>
        <w:footnoteRef/>
      </w:r>
      <w:r w:rsidRPr="00C634D9">
        <w:rPr>
          <w:lang w:val="en-IE"/>
        </w:rPr>
        <w:tab/>
      </w:r>
      <w:hyperlink r:id="rId3" w:history="1">
        <w:r w:rsidRPr="00C634D9">
          <w:rPr>
            <w:rStyle w:val="Hyperlink"/>
            <w:lang w:val="en-IE"/>
          </w:rPr>
          <w:t>Statbel</w:t>
        </w:r>
      </w:hyperlink>
      <w:r w:rsidRPr="00C634D9">
        <w:rPr>
          <w:lang w:val="en-IE"/>
        </w:rPr>
        <w:t xml:space="preserve">. </w:t>
      </w:r>
      <w:r w:rsidRPr="007571E3">
        <w:rPr>
          <w:lang w:val="en-IE"/>
        </w:rPr>
        <w:t xml:space="preserve">Unemployment rate Q42025. </w:t>
      </w:r>
    </w:p>
  </w:footnote>
  <w:footnote w:id="14">
    <w:p w:rsidR="0095683A" w:rsidRPr="006C5032" w:rsidRDefault="0095683A">
      <w:pPr>
        <w:pStyle w:val="FootnoteText"/>
        <w:rPr>
          <w:lang w:val="en-IE"/>
        </w:rPr>
      </w:pPr>
      <w:r>
        <w:rPr>
          <w:rStyle w:val="FootnoteReference"/>
        </w:rPr>
        <w:footnoteRef/>
      </w:r>
      <w:r w:rsidRPr="006C5032">
        <w:rPr>
          <w:lang w:val="en-IE"/>
        </w:rPr>
        <w:tab/>
      </w:r>
      <w:bookmarkStart w:id="11" w:name="_Hlk226649164"/>
      <w:r w:rsidR="006C5032">
        <w:rPr>
          <w:lang w:val="es-ES"/>
        </w:rPr>
        <w:fldChar w:fldCharType="begin"/>
      </w:r>
      <w:r w:rsidR="006C5032" w:rsidRPr="006C5032">
        <w:rPr>
          <w:lang w:val="en-IE"/>
        </w:rPr>
        <w:instrText>HYPERLINK "https://bestat.statbel.fgov.be/bestat/crosstable.xhtml?view=4beb6e55-ffd5-471e-a8ba-094d942559ac"</w:instrText>
      </w:r>
      <w:r w:rsidR="006C5032">
        <w:rPr>
          <w:lang w:val="es-ES"/>
        </w:rPr>
        <w:fldChar w:fldCharType="separate"/>
      </w:r>
      <w:r w:rsidRPr="006C5032">
        <w:rPr>
          <w:rStyle w:val="Hyperlink"/>
          <w:lang w:val="en-IE"/>
        </w:rPr>
        <w:t>Statbel (Employment and unemployment. 2025).</w:t>
      </w:r>
      <w:r w:rsidR="006C5032">
        <w:rPr>
          <w:lang w:val="es-ES"/>
        </w:rPr>
        <w:fldChar w:fldCharType="end"/>
      </w:r>
      <w:bookmarkEnd w:id="11"/>
    </w:p>
  </w:footnote>
  <w:footnote w:id="15">
    <w:p w:rsidR="006C5032" w:rsidRPr="007571E3" w:rsidRDefault="006C5032">
      <w:pPr>
        <w:pStyle w:val="FootnoteText"/>
        <w:rPr>
          <w:lang w:val="fr-FR"/>
        </w:rPr>
      </w:pPr>
      <w:r>
        <w:rPr>
          <w:rStyle w:val="FootnoteReference"/>
        </w:rPr>
        <w:footnoteRef/>
      </w:r>
      <w:r w:rsidRPr="006C5032">
        <w:rPr>
          <w:lang w:val="en-IE"/>
        </w:rPr>
        <w:tab/>
      </w:r>
      <w:hyperlink r:id="rId4" w:history="1">
        <w:r w:rsidRPr="006C5032">
          <w:rPr>
            <w:rStyle w:val="Hyperlink"/>
            <w:lang w:val="en-IE"/>
          </w:rPr>
          <w:t xml:space="preserve">Statbel (Employment and unemployment. </w:t>
        </w:r>
        <w:r w:rsidRPr="007571E3">
          <w:rPr>
            <w:rStyle w:val="Hyperlink"/>
            <w:lang w:val="fr-FR"/>
          </w:rPr>
          <w:t>2025)</w:t>
        </w:r>
      </w:hyperlink>
      <w:r w:rsidRPr="007571E3">
        <w:rPr>
          <w:lang w:val="fr-FR"/>
        </w:rPr>
        <w:t>.</w:t>
      </w:r>
    </w:p>
  </w:footnote>
  <w:footnote w:id="16">
    <w:p w:rsidR="006C5032" w:rsidRPr="007571E3" w:rsidRDefault="006C5032" w:rsidP="006C5032">
      <w:pPr>
        <w:pStyle w:val="FootnoteText"/>
        <w:rPr>
          <w:lang w:val="fr-FR"/>
        </w:rPr>
      </w:pPr>
      <w:r>
        <w:rPr>
          <w:rStyle w:val="FootnoteReference"/>
        </w:rPr>
        <w:footnoteRef/>
      </w:r>
      <w:r w:rsidRPr="007571E3">
        <w:rPr>
          <w:lang w:val="fr-FR"/>
        </w:rPr>
        <w:tab/>
        <w:t>Région de Bruxelles-Capitale/Brussels Hoofdstedelijk Gewest</w:t>
      </w:r>
    </w:p>
  </w:footnote>
  <w:footnote w:id="17">
    <w:p w:rsidR="000F586D" w:rsidRPr="007571E3" w:rsidRDefault="000F586D">
      <w:pPr>
        <w:pStyle w:val="FootnoteText"/>
        <w:rPr>
          <w:lang w:val="fr-FR"/>
        </w:rPr>
      </w:pPr>
      <w:r>
        <w:rPr>
          <w:rStyle w:val="FootnoteReference"/>
        </w:rPr>
        <w:footnoteRef/>
      </w:r>
      <w:r w:rsidRPr="007571E3">
        <w:rPr>
          <w:lang w:val="fr-FR"/>
        </w:rPr>
        <w:tab/>
      </w:r>
      <w:bookmarkStart w:id="14" w:name="_Hlk228983023"/>
      <w:r w:rsidR="00412F5A">
        <w:rPr>
          <w:lang w:val="fr-FR"/>
        </w:rPr>
        <w:fldChar w:fldCharType="begin"/>
      </w:r>
      <w:r w:rsidR="00412F5A">
        <w:rPr>
          <w:lang w:val="fr-FR"/>
        </w:rPr>
        <w:instrText>HYPERLINK "https://www.leforem.be/documents/chiffres-et-analyses/infographie-marche-emploi.pdf"</w:instrText>
      </w:r>
      <w:r w:rsidR="00412F5A">
        <w:rPr>
          <w:lang w:val="fr-FR"/>
        </w:rPr>
        <w:fldChar w:fldCharType="separate"/>
      </w:r>
      <w:r w:rsidR="00412F5A" w:rsidRPr="00412F5A">
        <w:rPr>
          <w:rStyle w:val="Hyperlink"/>
          <w:lang w:val="fr-FR"/>
        </w:rPr>
        <w:t>Le Forem. Le marché de l’emploi en Wallonie en 2025</w:t>
      </w:r>
      <w:r w:rsidR="00412F5A">
        <w:rPr>
          <w:lang w:val="fr-FR"/>
        </w:rPr>
        <w:fldChar w:fldCharType="end"/>
      </w:r>
      <w:r w:rsidR="006C36F5">
        <w:rPr>
          <w:lang w:val="fr-FR"/>
        </w:rPr>
        <w:t>.</w:t>
      </w:r>
      <w:bookmarkEnd w:id="14"/>
    </w:p>
  </w:footnote>
  <w:footnote w:id="18">
    <w:p w:rsidR="009B4361" w:rsidRPr="00AB00A1" w:rsidRDefault="009B4361">
      <w:pPr>
        <w:pStyle w:val="FootnoteText"/>
        <w:rPr>
          <w:i/>
          <w:iCs/>
          <w:lang w:val="en-IE"/>
        </w:rPr>
      </w:pPr>
      <w:r>
        <w:rPr>
          <w:rStyle w:val="FootnoteReference"/>
        </w:rPr>
        <w:footnoteRef/>
      </w:r>
      <w:r w:rsidRPr="00AB00A1">
        <w:rPr>
          <w:lang w:val="en-IE"/>
        </w:rPr>
        <w:tab/>
      </w:r>
      <w:bookmarkStart w:id="15" w:name="_Hlk229566196"/>
      <w:r w:rsidRPr="00AB00A1">
        <w:rPr>
          <w:lang w:val="en-IE"/>
        </w:rPr>
        <w:t>In Belgium secondary education consists of three cycles of two years each: First cycle (</w:t>
      </w:r>
      <w:r w:rsidRPr="00AB00A1">
        <w:rPr>
          <w:i/>
          <w:iCs/>
          <w:lang w:val="en-IE"/>
        </w:rPr>
        <w:t>secondaire de base)</w:t>
      </w:r>
      <w:r w:rsidRPr="00AB00A1">
        <w:rPr>
          <w:lang w:val="en-IE"/>
        </w:rPr>
        <w:t xml:space="preserve">, second cycle </w:t>
      </w:r>
      <w:r w:rsidRPr="00AB00A1">
        <w:rPr>
          <w:i/>
          <w:iCs/>
          <w:lang w:val="en-IE"/>
        </w:rPr>
        <w:t>(secondaire deuxième degré),</w:t>
      </w:r>
      <w:r w:rsidRPr="00AB00A1">
        <w:rPr>
          <w:lang w:val="en-IE"/>
        </w:rPr>
        <w:t xml:space="preserve"> and third cycle (</w:t>
      </w:r>
      <w:r w:rsidRPr="00AB00A1">
        <w:rPr>
          <w:i/>
          <w:iCs/>
          <w:lang w:val="en-IE"/>
        </w:rPr>
        <w:t>secondaire troisième degré)</w:t>
      </w:r>
      <w:r w:rsidRPr="00C00707">
        <w:rPr>
          <w:i/>
          <w:iCs/>
          <w:lang w:val="en-IE"/>
        </w:rPr>
        <w:t>.</w:t>
      </w:r>
    </w:p>
    <w:bookmarkEnd w:id="15"/>
  </w:footnote>
  <w:footnote w:id="19">
    <w:p w:rsidR="009A7E0D" w:rsidRPr="001C7A4E" w:rsidRDefault="009A7E0D">
      <w:pPr>
        <w:pStyle w:val="FootnoteText"/>
        <w:rPr>
          <w:lang w:val="en-IE"/>
        </w:rPr>
      </w:pPr>
      <w:r>
        <w:rPr>
          <w:rStyle w:val="FootnoteReference"/>
        </w:rPr>
        <w:footnoteRef/>
      </w:r>
      <w:r w:rsidRPr="001C7A4E">
        <w:rPr>
          <w:lang w:val="en-IE"/>
        </w:rPr>
        <w:tab/>
      </w:r>
      <w:hyperlink r:id="rId5" w:history="1">
        <w:r w:rsidRPr="001C7A4E">
          <w:rPr>
            <w:rStyle w:val="Hyperlink"/>
            <w:lang w:val="en-IE"/>
          </w:rPr>
          <w:t>Le Forem</w:t>
        </w:r>
        <w:r w:rsidRPr="006C36F5">
          <w:rPr>
            <w:rStyle w:val="Hyperlink"/>
          </w:rPr>
          <w:t>. Stats emploi</w:t>
        </w:r>
      </w:hyperlink>
      <w:r w:rsidRPr="001C7A4E">
        <w:rPr>
          <w:lang w:val="en-IE"/>
        </w:rPr>
        <w:t>.</w:t>
      </w:r>
    </w:p>
  </w:footnote>
  <w:footnote w:id="20">
    <w:p w:rsidR="004239CD" w:rsidRPr="004239CD" w:rsidRDefault="004239CD">
      <w:pPr>
        <w:pStyle w:val="FootnoteText"/>
        <w:rPr>
          <w:lang w:val="en-IE"/>
        </w:rPr>
      </w:pPr>
      <w:r>
        <w:rPr>
          <w:rStyle w:val="FootnoteReference"/>
        </w:rPr>
        <w:footnoteRef/>
      </w:r>
      <w:r w:rsidRPr="004239CD">
        <w:rPr>
          <w:lang w:val="en-IE"/>
        </w:rPr>
        <w:tab/>
        <w:t>The Royal Decree (Arrêté Royal) of 10 November 2006 amending the Royal Decree of 9 March 2006.</w:t>
      </w:r>
    </w:p>
  </w:footnote>
  <w:footnote w:id="21">
    <w:p w:rsidR="003C644B" w:rsidRPr="003C644B" w:rsidRDefault="003C644B">
      <w:pPr>
        <w:pStyle w:val="FootnoteText"/>
        <w:rPr>
          <w:lang w:val="en-IE"/>
        </w:rPr>
      </w:pPr>
      <w:r>
        <w:rPr>
          <w:rStyle w:val="FootnoteReference"/>
        </w:rPr>
        <w:footnoteRef/>
      </w:r>
      <w:r w:rsidRPr="003C644B">
        <w:rPr>
          <w:lang w:val="en-IE"/>
        </w:rPr>
        <w:tab/>
      </w:r>
      <w:hyperlink r:id="rId6" w:history="1">
        <w:r>
          <w:rPr>
            <w:rStyle w:val="Hyperlink"/>
            <w:lang w:val="en-IE"/>
          </w:rPr>
          <w:t>Le F</w:t>
        </w:r>
        <w:r w:rsidRPr="00D455CB">
          <w:rPr>
            <w:rStyle w:val="Hyperlink"/>
            <w:lang w:val="en-IE"/>
          </w:rPr>
          <w:t>orem. Restructuring event: employment units</w:t>
        </w:r>
      </w:hyperlink>
      <w:r w:rsidRPr="00D455CB">
        <w:rPr>
          <w:rStyle w:val="Hyperlink"/>
          <w:lang w:val="en-IE"/>
        </w:rPr>
        <w:t>.</w:t>
      </w:r>
    </w:p>
  </w:footnote>
  <w:footnote w:id="22">
    <w:p w:rsidR="002F688A" w:rsidRPr="002F688A" w:rsidRDefault="002F688A">
      <w:pPr>
        <w:pStyle w:val="FootnoteText"/>
        <w:rPr>
          <w:lang w:val="en-IE"/>
        </w:rPr>
      </w:pPr>
      <w:r>
        <w:rPr>
          <w:rStyle w:val="FootnoteReference"/>
        </w:rPr>
        <w:footnoteRef/>
      </w:r>
      <w:r w:rsidRPr="002F688A">
        <w:rPr>
          <w:lang w:val="en-IE"/>
        </w:rPr>
        <w:tab/>
        <w:t>Wallonia Government Decree of 29 January 2004, as amended by the Decree of 30 April 2009.</w:t>
      </w:r>
    </w:p>
  </w:footnote>
  <w:footnote w:id="23">
    <w:p w:rsidR="002F688A" w:rsidRPr="002F688A" w:rsidRDefault="002F688A">
      <w:pPr>
        <w:pStyle w:val="FootnoteText"/>
        <w:rPr>
          <w:lang w:val="en-IE"/>
        </w:rPr>
      </w:pPr>
      <w:r>
        <w:rPr>
          <w:rStyle w:val="FootnoteReference"/>
        </w:rPr>
        <w:footnoteRef/>
      </w:r>
      <w:r w:rsidRPr="002F688A">
        <w:rPr>
          <w:lang w:val="en-IE"/>
        </w:rPr>
        <w:tab/>
      </w:r>
      <w:r w:rsidRPr="000D1317">
        <w:rPr>
          <w:rStyle w:val="Hyperlink"/>
        </w:rPr>
        <w:t xml:space="preserve">Le </w:t>
      </w:r>
      <w:hyperlink r:id="rId7" w:history="1">
        <w:r w:rsidRPr="00210F53">
          <w:rPr>
            <w:rStyle w:val="Hyperlink"/>
            <w:lang w:val="en-IE"/>
          </w:rPr>
          <w:t>Forem. Restructuring event: redeployment units</w:t>
        </w:r>
      </w:hyperlink>
      <w:r>
        <w:rPr>
          <w:rStyle w:val="Hyperlink"/>
          <w:lang w:val="en-IE"/>
        </w:rPr>
        <w:t>.</w:t>
      </w:r>
    </w:p>
  </w:footnote>
  <w:footnote w:id="24">
    <w:p w:rsidR="00922007" w:rsidRPr="00922007" w:rsidRDefault="00922007">
      <w:pPr>
        <w:pStyle w:val="FootnoteText"/>
        <w:rPr>
          <w:lang w:val="fr-FR"/>
        </w:rPr>
      </w:pPr>
      <w:r>
        <w:rPr>
          <w:rStyle w:val="FootnoteReference"/>
        </w:rPr>
        <w:footnoteRef/>
      </w:r>
      <w:r w:rsidRPr="00922007">
        <w:rPr>
          <w:lang w:val="fr-FR"/>
        </w:rPr>
        <w:tab/>
        <w:t>Fédération générale du travail de Belgique.</w:t>
      </w:r>
    </w:p>
  </w:footnote>
  <w:footnote w:id="25">
    <w:p w:rsidR="00922007" w:rsidRPr="00922007" w:rsidRDefault="00922007">
      <w:pPr>
        <w:pStyle w:val="FootnoteText"/>
        <w:rPr>
          <w:lang w:val="fr-FR"/>
        </w:rPr>
      </w:pPr>
      <w:r>
        <w:rPr>
          <w:rStyle w:val="FootnoteReference"/>
        </w:rPr>
        <w:footnoteRef/>
      </w:r>
      <w:r w:rsidRPr="007571E3">
        <w:rPr>
          <w:lang w:val="fr-FR"/>
        </w:rPr>
        <w:tab/>
      </w:r>
      <w:r w:rsidRPr="00922007">
        <w:rPr>
          <w:lang w:val="fr-FR"/>
        </w:rPr>
        <w:t>Confédération des syndicats chrétiens</w:t>
      </w:r>
    </w:p>
  </w:footnote>
  <w:footnote w:id="26">
    <w:p w:rsidR="001A62D7" w:rsidRPr="007571E3" w:rsidRDefault="001A62D7" w:rsidP="001A62D7">
      <w:pPr>
        <w:pStyle w:val="FootnoteText"/>
        <w:rPr>
          <w:lang w:val="fr-FR"/>
        </w:rPr>
      </w:pPr>
      <w:r>
        <w:rPr>
          <w:rStyle w:val="FootnoteReference"/>
        </w:rPr>
        <w:footnoteRef/>
      </w:r>
      <w:r w:rsidRPr="007571E3">
        <w:rPr>
          <w:lang w:val="fr-FR"/>
        </w:rPr>
        <w:tab/>
        <w:t>ISCED 0-2</w:t>
      </w:r>
    </w:p>
  </w:footnote>
  <w:footnote w:id="27">
    <w:p w:rsidR="001A62D7" w:rsidRPr="00A31F0E" w:rsidRDefault="001A62D7" w:rsidP="001A62D7">
      <w:pPr>
        <w:pStyle w:val="FootnoteText"/>
      </w:pPr>
      <w:r>
        <w:rPr>
          <w:rStyle w:val="FootnoteReference"/>
        </w:rPr>
        <w:footnoteRef/>
      </w:r>
      <w:r w:rsidRPr="007244BC">
        <w:tab/>
        <w:t>ISCED 3</w:t>
      </w:r>
    </w:p>
  </w:footnote>
  <w:footnote w:id="28">
    <w:p w:rsidR="001A62D7" w:rsidRPr="00A31F0E" w:rsidRDefault="001A62D7" w:rsidP="001A62D7">
      <w:pPr>
        <w:pStyle w:val="FootnoteText"/>
      </w:pPr>
      <w:r>
        <w:rPr>
          <w:rStyle w:val="FootnoteReference"/>
        </w:rPr>
        <w:footnoteRef/>
      </w:r>
      <w:r w:rsidRPr="007244BC">
        <w:tab/>
        <w:t>ISCED 4</w:t>
      </w:r>
    </w:p>
  </w:footnote>
  <w:footnote w:id="29">
    <w:p w:rsidR="001A62D7" w:rsidRPr="00A31F0E" w:rsidRDefault="001A62D7" w:rsidP="001A62D7">
      <w:pPr>
        <w:pStyle w:val="FootnoteText"/>
      </w:pPr>
      <w:r>
        <w:rPr>
          <w:rStyle w:val="FootnoteReference"/>
        </w:rPr>
        <w:footnoteRef/>
      </w:r>
      <w:r w:rsidRPr="007244BC">
        <w:tab/>
        <w:t>ISCED 5-8</w:t>
      </w:r>
    </w:p>
  </w:footnote>
  <w:footnote w:id="30">
    <w:p w:rsidR="00B4504D" w:rsidRPr="00105B12" w:rsidRDefault="00B4504D">
      <w:pPr>
        <w:pStyle w:val="FootnoteText"/>
      </w:pPr>
      <w:r>
        <w:rPr>
          <w:rStyle w:val="FootnoteReference"/>
        </w:rPr>
        <w:footnoteRef/>
      </w:r>
      <w:r w:rsidRPr="00105B12">
        <w:tab/>
      </w:r>
      <w:hyperlink r:id="rId8" w:history="1">
        <w:r w:rsidRPr="00105B12">
          <w:rPr>
            <w:rStyle w:val="Hyperlink"/>
          </w:rPr>
          <w:t>https://www.validationdescompetences.be/</w:t>
        </w:r>
      </w:hyperlink>
    </w:p>
  </w:footnote>
  <w:footnote w:id="31">
    <w:p w:rsidR="001E2081" w:rsidRPr="0041675E" w:rsidRDefault="001E2081" w:rsidP="001E2081">
      <w:pPr>
        <w:pStyle w:val="FootnoteText"/>
        <w:rPr>
          <w:lang w:val="fr-FR"/>
        </w:rPr>
      </w:pPr>
      <w:r>
        <w:rPr>
          <w:rStyle w:val="FootnoteReference"/>
        </w:rPr>
        <w:footnoteRef/>
      </w:r>
      <w:r w:rsidRPr="001E2081">
        <w:rPr>
          <w:lang w:val="en-IE"/>
        </w:rPr>
        <w:tab/>
      </w:r>
      <w:hyperlink r:id="rId9" w:history="1">
        <w:r w:rsidRPr="001E2081">
          <w:rPr>
            <w:rStyle w:val="Hyperlink"/>
          </w:rPr>
          <w:t xml:space="preserve">List of jobs in demand and difficult to be </w:t>
        </w:r>
        <w:r w:rsidR="0041675E" w:rsidRPr="001E2081">
          <w:rPr>
            <w:rStyle w:val="Hyperlink"/>
          </w:rPr>
          <w:t>covered</w:t>
        </w:r>
        <w:r w:rsidR="0041675E">
          <w:rPr>
            <w:rStyle w:val="Hyperlink"/>
          </w:rPr>
          <w:t xml:space="preserve"> or</w:t>
        </w:r>
        <w:r w:rsidRPr="001E2081">
          <w:rPr>
            <w:rStyle w:val="Hyperlink"/>
          </w:rPr>
          <w:t xml:space="preserve"> linked to critical functions</w:t>
        </w:r>
        <w:r w:rsidR="0041675E">
          <w:rPr>
            <w:rStyle w:val="Hyperlink"/>
          </w:rPr>
          <w:t xml:space="preserve"> (</w:t>
        </w:r>
        <w:r w:rsidRPr="0041675E">
          <w:rPr>
            <w:rStyle w:val="Hyperlink"/>
            <w:lang w:val="en-IE"/>
          </w:rPr>
          <w:t xml:space="preserve">« Métiers en tension de recrutement en Wallonie. </w:t>
        </w:r>
        <w:r w:rsidRPr="0041675E">
          <w:rPr>
            <w:rStyle w:val="Hyperlink"/>
            <w:lang w:val="fr-FR"/>
          </w:rPr>
          <w:t>Liste des métiers/fonctions critiques et en pénurie ». Le Forem 2025-2026</w:t>
        </w:r>
      </w:hyperlink>
      <w:r w:rsidR="0041675E" w:rsidRPr="0041675E">
        <w:rPr>
          <w:lang w:val="fr-FR"/>
        </w:rPr>
        <w:t>)</w:t>
      </w:r>
      <w:r w:rsidRPr="0041675E">
        <w:rPr>
          <w:rStyle w:val="Hyperlink"/>
          <w:lang w:val="fr-FR"/>
        </w:rPr>
        <w:t>.</w:t>
      </w:r>
    </w:p>
    <w:p w:rsidR="001E2081" w:rsidRPr="0041675E" w:rsidRDefault="001E2081">
      <w:pPr>
        <w:pStyle w:val="FootnoteText"/>
        <w:rPr>
          <w:lang w:val="fr-FR"/>
        </w:rPr>
      </w:pPr>
    </w:p>
  </w:footnote>
  <w:footnote w:id="32">
    <w:p w:rsidR="006F7CF9" w:rsidRPr="00105B12" w:rsidRDefault="006F7CF9">
      <w:pPr>
        <w:pStyle w:val="FootnoteText"/>
      </w:pPr>
      <w:r>
        <w:rPr>
          <w:rStyle w:val="FootnoteReference"/>
        </w:rPr>
        <w:footnoteRef/>
      </w:r>
      <w:r w:rsidRPr="00105B12">
        <w:tab/>
      </w:r>
      <w:r w:rsidR="00105B12" w:rsidRPr="00105B12">
        <w:t>COM(2021)</w:t>
      </w:r>
      <w:r w:rsidR="00105B12">
        <w:t> </w:t>
      </w:r>
      <w:r w:rsidR="00105B12" w:rsidRPr="00105B12">
        <w:t>212.</w:t>
      </w:r>
    </w:p>
  </w:footnote>
  <w:footnote w:id="33">
    <w:p w:rsidR="00105B12" w:rsidRPr="007571E3" w:rsidRDefault="00105B12">
      <w:pPr>
        <w:pStyle w:val="FootnoteText"/>
        <w:rPr>
          <w:lang w:val="en-IE"/>
        </w:rPr>
      </w:pPr>
      <w:r>
        <w:rPr>
          <w:rStyle w:val="FootnoteReference"/>
        </w:rPr>
        <w:footnoteRef/>
      </w:r>
      <w:r w:rsidRPr="007571E3">
        <w:rPr>
          <w:lang w:val="en-IE"/>
        </w:rPr>
        <w:tab/>
      </w:r>
      <w:r w:rsidR="00E04593" w:rsidRPr="007571E3">
        <w:rPr>
          <w:lang w:val="en-IE"/>
        </w:rPr>
        <w:t>EGF/2022/002 BE/TNT</w:t>
      </w:r>
      <w:r w:rsidR="001D0EB6">
        <w:rPr>
          <w:lang w:val="en-IE"/>
        </w:rPr>
        <w:t>-</w:t>
      </w:r>
      <w:r w:rsidR="00E04593" w:rsidRPr="007571E3">
        <w:rPr>
          <w:lang w:val="en-IE"/>
        </w:rPr>
        <w:t xml:space="preserve"> COM(2023) 69</w:t>
      </w:r>
    </w:p>
  </w:footnote>
  <w:footnote w:id="34">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t xml:space="preserve"> </w:t>
      </w:r>
      <w:r w:rsidR="00B01AB0">
        <w:t>Belgium.</w:t>
      </w:r>
    </w:p>
  </w:footnote>
  <w:footnote w:id="35">
    <w:p w:rsidR="001A62D7" w:rsidRPr="002060F6" w:rsidRDefault="001A62D7" w:rsidP="001A62D7">
      <w:pPr>
        <w:pStyle w:val="FootnoteText"/>
      </w:pPr>
      <w:r>
        <w:rPr>
          <w:rStyle w:val="FootnoteReference"/>
        </w:rPr>
        <w:footnoteRef/>
      </w:r>
      <w:r w:rsidRPr="007244BC">
        <w:tab/>
        <w:t>Totals do not tally due to rounding.</w:t>
      </w:r>
    </w:p>
  </w:footnote>
  <w:footnote w:id="36">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r w:rsidR="00DC672F">
        <w:rPr>
          <w:lang w:val="it-IT"/>
        </w:rPr>
        <w:t xml:space="preserve">, </w:t>
      </w:r>
      <w:r w:rsidR="00E8428B" w:rsidRPr="005B2FE9">
        <w:rPr>
          <w:lang w:val="pl-PL"/>
        </w:rPr>
        <w:t>ELI: http://data.europa.eu/eli/reg/2020/2093/oj</w:t>
      </w:r>
      <w:r>
        <w:rPr>
          <w:lang w:val="pl-PL"/>
        </w:rPr>
        <w:t>.</w:t>
      </w:r>
    </w:p>
  </w:footnote>
  <w:footnote w:id="37">
    <w:p w:rsidR="001A62D7" w:rsidRDefault="001A62D7" w:rsidP="001A62D7">
      <w:pPr>
        <w:pStyle w:val="FootnoteText"/>
        <w:rPr>
          <w:lang w:val="pl-PL"/>
        </w:rPr>
      </w:pPr>
      <w:r>
        <w:rPr>
          <w:rStyle w:val="FootnoteReference"/>
        </w:rPr>
        <w:footnoteRef/>
      </w:r>
      <w:r>
        <w:rPr>
          <w:lang w:val="pl-PL"/>
        </w:rPr>
        <w:tab/>
        <w:t>OJ L 433 I, 22.12.2020, p. 28</w:t>
      </w:r>
      <w:r w:rsidR="00E8428B">
        <w:rPr>
          <w:lang w:val="it-IT"/>
        </w:rPr>
        <w:t xml:space="preserve">, </w:t>
      </w:r>
      <w:r w:rsidR="00E8428B" w:rsidRPr="00751DE2">
        <w:rPr>
          <w:lang w:val="it-IT"/>
        </w:rPr>
        <w:t>ELI: http://data.europa.eu/eli/agree_interinstit/2020/1222/oj</w:t>
      </w:r>
      <w:r>
        <w:rPr>
          <w:lang w:val="pl-PL"/>
        </w:rPr>
        <w:t>.</w:t>
      </w:r>
    </w:p>
  </w:footnote>
  <w:footnote w:id="38">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C054F9">
        <w:t xml:space="preserve">, </w:t>
      </w:r>
      <w:r w:rsidR="00C054F9" w:rsidRPr="00C054F9">
        <w:t>ELI: http://data.europa.eu/eli/reg/2024/2509/oj</w:t>
      </w:r>
      <w:r w:rsidRPr="00B54269">
        <w:t>.</w:t>
      </w:r>
    </w:p>
  </w:footnote>
  <w:footnote w:id="39">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r w:rsidR="00F36B3D">
        <w:rPr>
          <w:lang w:val="pl-PL"/>
        </w:rPr>
        <w:t>,</w:t>
      </w:r>
      <w:r w:rsidR="00F36B3D" w:rsidRPr="004768B8">
        <w:rPr>
          <w:sz w:val="24"/>
          <w:szCs w:val="22"/>
          <w:lang w:val="fi-FI"/>
        </w:rPr>
        <w:t xml:space="preserve"> </w:t>
      </w:r>
      <w:r w:rsidR="00F36B3D" w:rsidRPr="0075062E">
        <w:rPr>
          <w:lang w:val="pl-PL"/>
        </w:rPr>
        <w:t>ELI: http://data.europa.eu/eli/reg/2021/691/oj</w:t>
      </w:r>
      <w:r w:rsidRPr="00640DB0">
        <w:rPr>
          <w:lang w:val="pl-PL"/>
        </w:rPr>
        <w:t>.</w:t>
      </w:r>
    </w:p>
  </w:footnote>
  <w:footnote w:id="40">
    <w:p w:rsidR="001A62D7" w:rsidRPr="00AB00A1" w:rsidRDefault="001A62D7" w:rsidP="001A62D7">
      <w:pPr>
        <w:pStyle w:val="FootnoteText"/>
        <w:rPr>
          <w:lang w:val="it-IT"/>
        </w:rPr>
      </w:pPr>
      <w:r>
        <w:rPr>
          <w:rStyle w:val="FootnoteReference"/>
        </w:rPr>
        <w:footnoteRef/>
      </w:r>
      <w:r w:rsidRPr="00AB00A1">
        <w:rPr>
          <w:lang w:val="it-IT"/>
        </w:rPr>
        <w:tab/>
        <w:t>OJ L 433 I, 22.12.2020, p. 28</w:t>
      </w:r>
      <w:r w:rsidR="00F36B3D">
        <w:rPr>
          <w:lang w:val="it-IT"/>
        </w:rPr>
        <w:t xml:space="preserve">, </w:t>
      </w:r>
      <w:r w:rsidR="00F36B3D" w:rsidRPr="00751DE2">
        <w:rPr>
          <w:lang w:val="it-IT"/>
        </w:rPr>
        <w:t>ELI: http://data.europa.eu/eli/agree_interinstit/2020/1222/oj</w:t>
      </w:r>
      <w:r w:rsidR="00F36B3D">
        <w:rPr>
          <w:lang w:val="it-IT"/>
        </w:rPr>
        <w:t>.</w:t>
      </w:r>
    </w:p>
  </w:footnote>
  <w:footnote w:id="41">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r w:rsidR="00F36B3D">
        <w:rPr>
          <w:lang w:val="pl-PL"/>
        </w:rPr>
        <w:t>,</w:t>
      </w:r>
      <w:r w:rsidR="00F36B3D" w:rsidRPr="00F36B3D">
        <w:rPr>
          <w:lang w:val="pl-PL"/>
        </w:rPr>
        <w:t xml:space="preserve"> </w:t>
      </w:r>
      <w:r w:rsidR="00F36B3D" w:rsidRPr="005B2FE9">
        <w:rPr>
          <w:lang w:val="pl-PL"/>
        </w:rPr>
        <w:t>ELI: http://data.europa.eu/eli/reg/2020/2093/oj</w:t>
      </w:r>
      <w:r>
        <w:rPr>
          <w:lang w:val="pl-PL"/>
        </w:rPr>
        <w:t>).</w:t>
      </w:r>
    </w:p>
  </w:footnote>
  <w:footnote w:id="42">
    <w:p w:rsidR="001A62D7" w:rsidRPr="0097092E" w:rsidRDefault="001A62D7" w:rsidP="001A62D7">
      <w:pPr>
        <w:pStyle w:val="FootnoteText"/>
      </w:pPr>
      <w:r>
        <w:rPr>
          <w:rStyle w:val="FootnoteReference"/>
        </w:rPr>
        <w:footnoteRef/>
      </w:r>
      <w:r w:rsidRPr="0097092E">
        <w:rPr>
          <w:lang w:val="en-IE"/>
        </w:rPr>
        <w:tab/>
      </w:r>
      <w:r w:rsidR="004D7EE9" w:rsidRPr="004D7EE9">
        <w:rPr>
          <w:lang w:val="en-IE"/>
        </w:rPr>
        <w:t>COM(2026)1</w:t>
      </w:r>
      <w:r w:rsidR="008D5025">
        <w:rPr>
          <w:lang w:val="en-IE"/>
        </w:rPr>
        <w:t>55</w:t>
      </w:r>
      <w:r w:rsidR="004D7EE9">
        <w:rPr>
          <w:lang w:val="en-IE"/>
        </w:rPr>
        <w:t>.</w:t>
      </w:r>
    </w:p>
  </w:footnote>
  <w:footnote w:id="43">
    <w:p w:rsidR="00281AE4" w:rsidRPr="00281AE4" w:rsidRDefault="00281AE4">
      <w:pPr>
        <w:pStyle w:val="FootnoteText"/>
        <w:rPr>
          <w:lang w:val="en-IE"/>
        </w:rPr>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Default="002D7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54" w:rsidRDefault="002D7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12"/>
    <w:lvlOverride w:ilvl="0">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09:36: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6F7360-88E2-40D6-8CAB-22029331A033"/>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197"/>
    <w:docVar w:name="LW_REF.II.NEW.CP_YEAR" w:val="2026"/>
    <w:docVar w:name="LW_REF.INST.NEW" w:val="COM"/>
    <w:docVar w:name="LW_REF.INST.NEW_ADOPTED" w:val="final"/>
    <w:docVar w:name="LW_REF.INST.NEW_TEXT" w:val="(2026) 1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6/001 BE/Cora"/>
    <w:docVar w:name="LW_TYPE.DOC.CP" w:val="DECISION OF THE EUROPEAN PARLIAMENT AND OF THE COUNCIL"/>
    <w:docVar w:name="LwApiVersions" w:val="LW4CoDe 1.24.5.0; LW 9.2, Build 20251112"/>
  </w:docVars>
  <w:rsids>
    <w:rsidRoot w:val="001A62D7"/>
    <w:rsid w:val="000171AE"/>
    <w:rsid w:val="00022B0C"/>
    <w:rsid w:val="000A228C"/>
    <w:rsid w:val="000C4B49"/>
    <w:rsid w:val="000E51CF"/>
    <w:rsid w:val="000E54A7"/>
    <w:rsid w:val="000E7662"/>
    <w:rsid w:val="000F24B9"/>
    <w:rsid w:val="000F579F"/>
    <w:rsid w:val="000F586D"/>
    <w:rsid w:val="00105B12"/>
    <w:rsid w:val="001065F5"/>
    <w:rsid w:val="0011121B"/>
    <w:rsid w:val="001238EF"/>
    <w:rsid w:val="00133E35"/>
    <w:rsid w:val="0013736E"/>
    <w:rsid w:val="00143574"/>
    <w:rsid w:val="00160244"/>
    <w:rsid w:val="0016539A"/>
    <w:rsid w:val="00171F71"/>
    <w:rsid w:val="001751F0"/>
    <w:rsid w:val="00186428"/>
    <w:rsid w:val="00197613"/>
    <w:rsid w:val="001A2D38"/>
    <w:rsid w:val="001A3C97"/>
    <w:rsid w:val="001A62D7"/>
    <w:rsid w:val="001B689F"/>
    <w:rsid w:val="001C1059"/>
    <w:rsid w:val="001C2C78"/>
    <w:rsid w:val="001C7A4E"/>
    <w:rsid w:val="001D0EB6"/>
    <w:rsid w:val="001D3672"/>
    <w:rsid w:val="001D5279"/>
    <w:rsid w:val="001E2081"/>
    <w:rsid w:val="001F1BF2"/>
    <w:rsid w:val="002004E6"/>
    <w:rsid w:val="00203BFD"/>
    <w:rsid w:val="00205F86"/>
    <w:rsid w:val="00207E64"/>
    <w:rsid w:val="0021773D"/>
    <w:rsid w:val="0022114D"/>
    <w:rsid w:val="00233DC7"/>
    <w:rsid w:val="00241826"/>
    <w:rsid w:val="00241DE0"/>
    <w:rsid w:val="00247779"/>
    <w:rsid w:val="00265183"/>
    <w:rsid w:val="00281AE4"/>
    <w:rsid w:val="00285A39"/>
    <w:rsid w:val="00285BEE"/>
    <w:rsid w:val="0029533F"/>
    <w:rsid w:val="002B30AF"/>
    <w:rsid w:val="002B5E3D"/>
    <w:rsid w:val="002C07B0"/>
    <w:rsid w:val="002C667E"/>
    <w:rsid w:val="002D7454"/>
    <w:rsid w:val="002E0B64"/>
    <w:rsid w:val="002F0F09"/>
    <w:rsid w:val="002F688A"/>
    <w:rsid w:val="002F75DB"/>
    <w:rsid w:val="00300960"/>
    <w:rsid w:val="0030399C"/>
    <w:rsid w:val="00312E6F"/>
    <w:rsid w:val="003170F4"/>
    <w:rsid w:val="0033344A"/>
    <w:rsid w:val="003334EE"/>
    <w:rsid w:val="00337A55"/>
    <w:rsid w:val="00343E67"/>
    <w:rsid w:val="00346A60"/>
    <w:rsid w:val="003812AA"/>
    <w:rsid w:val="00385B9A"/>
    <w:rsid w:val="003A3BF5"/>
    <w:rsid w:val="003C644B"/>
    <w:rsid w:val="003D3D6D"/>
    <w:rsid w:val="003E0A61"/>
    <w:rsid w:val="003F4387"/>
    <w:rsid w:val="003F5C8E"/>
    <w:rsid w:val="00412467"/>
    <w:rsid w:val="00412734"/>
    <w:rsid w:val="00412F5A"/>
    <w:rsid w:val="0041675E"/>
    <w:rsid w:val="004239CD"/>
    <w:rsid w:val="00425404"/>
    <w:rsid w:val="0042648E"/>
    <w:rsid w:val="00433F2A"/>
    <w:rsid w:val="004428D8"/>
    <w:rsid w:val="004524CD"/>
    <w:rsid w:val="004829AA"/>
    <w:rsid w:val="004834D6"/>
    <w:rsid w:val="0049148B"/>
    <w:rsid w:val="004936D2"/>
    <w:rsid w:val="004A0B30"/>
    <w:rsid w:val="004B4212"/>
    <w:rsid w:val="004B48A5"/>
    <w:rsid w:val="004D3EAA"/>
    <w:rsid w:val="004D7EE9"/>
    <w:rsid w:val="004F5528"/>
    <w:rsid w:val="004F669B"/>
    <w:rsid w:val="00502D60"/>
    <w:rsid w:val="005034F4"/>
    <w:rsid w:val="0051086D"/>
    <w:rsid w:val="005206E6"/>
    <w:rsid w:val="005244A3"/>
    <w:rsid w:val="00532504"/>
    <w:rsid w:val="00532962"/>
    <w:rsid w:val="005403FB"/>
    <w:rsid w:val="005504B1"/>
    <w:rsid w:val="005B1EB6"/>
    <w:rsid w:val="005B49D8"/>
    <w:rsid w:val="005B5E5A"/>
    <w:rsid w:val="005E047F"/>
    <w:rsid w:val="00605200"/>
    <w:rsid w:val="006166F7"/>
    <w:rsid w:val="006239A4"/>
    <w:rsid w:val="00630B06"/>
    <w:rsid w:val="00640155"/>
    <w:rsid w:val="00646BD5"/>
    <w:rsid w:val="006610FB"/>
    <w:rsid w:val="0066781E"/>
    <w:rsid w:val="00697647"/>
    <w:rsid w:val="006A49CB"/>
    <w:rsid w:val="006C36F5"/>
    <w:rsid w:val="006C5032"/>
    <w:rsid w:val="006F2B4D"/>
    <w:rsid w:val="006F407F"/>
    <w:rsid w:val="006F7CF9"/>
    <w:rsid w:val="00731183"/>
    <w:rsid w:val="00731699"/>
    <w:rsid w:val="00734C7D"/>
    <w:rsid w:val="00741722"/>
    <w:rsid w:val="007571E3"/>
    <w:rsid w:val="00773331"/>
    <w:rsid w:val="00783113"/>
    <w:rsid w:val="00792227"/>
    <w:rsid w:val="007932EF"/>
    <w:rsid w:val="00795A2F"/>
    <w:rsid w:val="00796CA6"/>
    <w:rsid w:val="007A0C2F"/>
    <w:rsid w:val="007B3690"/>
    <w:rsid w:val="007B5F0C"/>
    <w:rsid w:val="007C116C"/>
    <w:rsid w:val="007C1A8B"/>
    <w:rsid w:val="007C798A"/>
    <w:rsid w:val="007D767B"/>
    <w:rsid w:val="007E05B0"/>
    <w:rsid w:val="007E05CE"/>
    <w:rsid w:val="007F4B7C"/>
    <w:rsid w:val="007F6054"/>
    <w:rsid w:val="008032DE"/>
    <w:rsid w:val="008123FA"/>
    <w:rsid w:val="0081371A"/>
    <w:rsid w:val="00832804"/>
    <w:rsid w:val="00833CD3"/>
    <w:rsid w:val="00842DE2"/>
    <w:rsid w:val="00852F0E"/>
    <w:rsid w:val="008610B5"/>
    <w:rsid w:val="00874D22"/>
    <w:rsid w:val="0087628E"/>
    <w:rsid w:val="008A2914"/>
    <w:rsid w:val="008D2433"/>
    <w:rsid w:val="008D5025"/>
    <w:rsid w:val="008E4D8E"/>
    <w:rsid w:val="008F0803"/>
    <w:rsid w:val="008F3247"/>
    <w:rsid w:val="009056A8"/>
    <w:rsid w:val="00911EB4"/>
    <w:rsid w:val="00922007"/>
    <w:rsid w:val="009230D3"/>
    <w:rsid w:val="0094032B"/>
    <w:rsid w:val="009470FB"/>
    <w:rsid w:val="00953996"/>
    <w:rsid w:val="0095683A"/>
    <w:rsid w:val="00961B27"/>
    <w:rsid w:val="00967F7F"/>
    <w:rsid w:val="00971384"/>
    <w:rsid w:val="009739AC"/>
    <w:rsid w:val="0097593C"/>
    <w:rsid w:val="00976509"/>
    <w:rsid w:val="00985D0A"/>
    <w:rsid w:val="00990C2C"/>
    <w:rsid w:val="009A476A"/>
    <w:rsid w:val="009A7E0D"/>
    <w:rsid w:val="009B2D0E"/>
    <w:rsid w:val="009B4361"/>
    <w:rsid w:val="009C2E1D"/>
    <w:rsid w:val="009E13E4"/>
    <w:rsid w:val="009F56AE"/>
    <w:rsid w:val="00A04E1E"/>
    <w:rsid w:val="00A130CC"/>
    <w:rsid w:val="00A277CE"/>
    <w:rsid w:val="00A331D5"/>
    <w:rsid w:val="00A33A75"/>
    <w:rsid w:val="00A5196A"/>
    <w:rsid w:val="00A576A7"/>
    <w:rsid w:val="00A73027"/>
    <w:rsid w:val="00A748C9"/>
    <w:rsid w:val="00A842DD"/>
    <w:rsid w:val="00A848B8"/>
    <w:rsid w:val="00AA58A5"/>
    <w:rsid w:val="00AB00A1"/>
    <w:rsid w:val="00AB33DA"/>
    <w:rsid w:val="00AB7221"/>
    <w:rsid w:val="00AD3DA6"/>
    <w:rsid w:val="00AE0C27"/>
    <w:rsid w:val="00AE0FB4"/>
    <w:rsid w:val="00AE115B"/>
    <w:rsid w:val="00AE7D04"/>
    <w:rsid w:val="00B01AB0"/>
    <w:rsid w:val="00B10303"/>
    <w:rsid w:val="00B30683"/>
    <w:rsid w:val="00B4504D"/>
    <w:rsid w:val="00B55E88"/>
    <w:rsid w:val="00B63C7E"/>
    <w:rsid w:val="00B8329A"/>
    <w:rsid w:val="00BA0477"/>
    <w:rsid w:val="00BC646D"/>
    <w:rsid w:val="00BD34DE"/>
    <w:rsid w:val="00BD39DE"/>
    <w:rsid w:val="00BD4F4E"/>
    <w:rsid w:val="00BF33E4"/>
    <w:rsid w:val="00C00707"/>
    <w:rsid w:val="00C0245D"/>
    <w:rsid w:val="00C054F9"/>
    <w:rsid w:val="00C05C03"/>
    <w:rsid w:val="00C12301"/>
    <w:rsid w:val="00C2027B"/>
    <w:rsid w:val="00C22CCB"/>
    <w:rsid w:val="00C542C5"/>
    <w:rsid w:val="00C634D9"/>
    <w:rsid w:val="00C72394"/>
    <w:rsid w:val="00C846D4"/>
    <w:rsid w:val="00C8508D"/>
    <w:rsid w:val="00CA5074"/>
    <w:rsid w:val="00CA7EE1"/>
    <w:rsid w:val="00CB3BCE"/>
    <w:rsid w:val="00CB71AD"/>
    <w:rsid w:val="00CD4063"/>
    <w:rsid w:val="00CE48B7"/>
    <w:rsid w:val="00CF5AB6"/>
    <w:rsid w:val="00D20381"/>
    <w:rsid w:val="00D21001"/>
    <w:rsid w:val="00D21418"/>
    <w:rsid w:val="00D474B0"/>
    <w:rsid w:val="00D501D3"/>
    <w:rsid w:val="00D51A37"/>
    <w:rsid w:val="00D544B0"/>
    <w:rsid w:val="00D5498B"/>
    <w:rsid w:val="00D54F1D"/>
    <w:rsid w:val="00D54FDB"/>
    <w:rsid w:val="00D574B1"/>
    <w:rsid w:val="00D57806"/>
    <w:rsid w:val="00D62121"/>
    <w:rsid w:val="00D76287"/>
    <w:rsid w:val="00D762C9"/>
    <w:rsid w:val="00DB12C0"/>
    <w:rsid w:val="00DC01DA"/>
    <w:rsid w:val="00DC549A"/>
    <w:rsid w:val="00DC672F"/>
    <w:rsid w:val="00DF590F"/>
    <w:rsid w:val="00E04593"/>
    <w:rsid w:val="00E05564"/>
    <w:rsid w:val="00E1163B"/>
    <w:rsid w:val="00E20AAB"/>
    <w:rsid w:val="00E26C3E"/>
    <w:rsid w:val="00E346FB"/>
    <w:rsid w:val="00E43514"/>
    <w:rsid w:val="00E73E09"/>
    <w:rsid w:val="00E8428B"/>
    <w:rsid w:val="00E844D5"/>
    <w:rsid w:val="00E95B48"/>
    <w:rsid w:val="00EA015B"/>
    <w:rsid w:val="00EA2D96"/>
    <w:rsid w:val="00EB06DB"/>
    <w:rsid w:val="00EC177D"/>
    <w:rsid w:val="00ED3418"/>
    <w:rsid w:val="00EE1DB4"/>
    <w:rsid w:val="00EE4EA9"/>
    <w:rsid w:val="00EF012B"/>
    <w:rsid w:val="00EF01DB"/>
    <w:rsid w:val="00F04468"/>
    <w:rsid w:val="00F12AE9"/>
    <w:rsid w:val="00F16B21"/>
    <w:rsid w:val="00F211CD"/>
    <w:rsid w:val="00F252C5"/>
    <w:rsid w:val="00F36B3D"/>
    <w:rsid w:val="00F41756"/>
    <w:rsid w:val="00F51BC2"/>
    <w:rsid w:val="00F64CE7"/>
    <w:rsid w:val="00F808CC"/>
    <w:rsid w:val="00F862B1"/>
    <w:rsid w:val="00F87FDE"/>
    <w:rsid w:val="00F90B98"/>
    <w:rsid w:val="00FA0318"/>
    <w:rsid w:val="00FA12AB"/>
    <w:rsid w:val="00FA5322"/>
    <w:rsid w:val="00FA5380"/>
    <w:rsid w:val="00FB3733"/>
    <w:rsid w:val="00FC38F8"/>
    <w:rsid w:val="00FC6C00"/>
    <w:rsid w:val="00FD6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2D7454"/>
    <w:rPr>
      <w:rFonts w:ascii="Times New Roman" w:hAnsi="Times New Roman" w:cs="Times New Roman"/>
      <w:sz w:val="24"/>
      <w:lang w:val="en-GB"/>
    </w:rPr>
  </w:style>
  <w:style w:type="character" w:customStyle="1" w:styleId="FooterChar">
    <w:name w:val="Footer Char"/>
    <w:basedOn w:val="DefaultParagraphFont"/>
    <w:link w:val="Footer"/>
    <w:uiPriority w:val="99"/>
    <w:rsid w:val="002D745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D745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D7454"/>
    <w:pPr>
      <w:spacing w:before="0"/>
      <w:jc w:val="right"/>
    </w:pPr>
    <w:rPr>
      <w:sz w:val="28"/>
    </w:rPr>
  </w:style>
  <w:style w:type="paragraph" w:customStyle="1" w:styleId="FooterSensitivity">
    <w:name w:val="Footer Sensitivity"/>
    <w:basedOn w:val="Normal"/>
    <w:rsid w:val="002D745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D7454"/>
    <w:pPr>
      <w:tabs>
        <w:tab w:val="center" w:pos="4535"/>
        <w:tab w:val="right" w:pos="9071"/>
      </w:tabs>
      <w:spacing w:before="0"/>
    </w:pPr>
  </w:style>
  <w:style w:type="paragraph" w:customStyle="1" w:styleId="HeaderLandscape">
    <w:name w:val="HeaderLandscape"/>
    <w:basedOn w:val="Normal"/>
    <w:rsid w:val="002D7454"/>
    <w:pPr>
      <w:tabs>
        <w:tab w:val="center" w:pos="7285"/>
        <w:tab w:val="right" w:pos="14003"/>
      </w:tabs>
      <w:spacing w:before="0"/>
    </w:pPr>
  </w:style>
  <w:style w:type="paragraph" w:styleId="Footer">
    <w:name w:val="footer"/>
    <w:basedOn w:val="Normal"/>
    <w:link w:val="FooterChar"/>
    <w:uiPriority w:val="99"/>
    <w:unhideWhenUsed/>
    <w:rsid w:val="002D745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D745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validationdescompetences.be/" TargetMode="External"/><Relationship Id="rId3" Type="http://schemas.openxmlformats.org/officeDocument/2006/relationships/hyperlink" Target="https://statbel.fgov.be/en/themes/work-training/labour-market/employment-and-unemployment" TargetMode="External"/><Relationship Id="rId7"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4032026-ap" TargetMode="External"/><Relationship Id="rId1" Type="http://schemas.openxmlformats.org/officeDocument/2006/relationships/hyperlink" Target="https://ec.europa.eu/eurostat/web/products-euro-indicators/w/3-04032026-ap" TargetMode="External"/><Relationship Id="rId6" Type="http://schemas.openxmlformats.org/officeDocument/2006/relationships/hyperlink" Target="https://www.leforem.be/a-propos/reconversions-collectives.html" TargetMode="External"/><Relationship Id="rId5" Type="http://schemas.openxmlformats.org/officeDocument/2006/relationships/hyperlink" Target="https://www.leforem.be/stats-emploi" TargetMode="External"/><Relationship Id="rId4" Type="http://schemas.openxmlformats.org/officeDocument/2006/relationships/hyperlink" Target="https://bestat.statbel.fgov.be/bestat/crosstable.xhtml?view=4beb6e55-ffd5-471e-a8ba-094d942559ac" TargetMode="External"/><Relationship Id="rId9" Type="http://schemas.openxmlformats.org/officeDocument/2006/relationships/hyperlink" Target="https://www.leforem.be/documents/citoyens/penuries-liste-metier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6E6A-C36E-4C7B-8442-42518BD2F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13</Pages>
  <Words>4074</Words>
  <Characters>23226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2026-05-18T16:04:00Z</dcterms:created>
  <dcterms:modified xsi:type="dcterms:W3CDTF">2026-07-16T07:36:00Z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