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074805" w:rsidRDefault="002C17C1" w:rsidP="002C17C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C2BE86-405A-44DE-B605-23E9E89372D5" style="width:455.25pt;height:357.75pt">
            <v:imagedata r:id="rId8" o:title=""/>
          </v:shape>
        </w:pict>
      </w:r>
    </w:p>
    <w:p w:rsidR="001A62D7" w:rsidRPr="00074805" w:rsidRDefault="001A62D7" w:rsidP="001A62D7">
      <w:pPr>
        <w:rPr>
          <w:noProof/>
        </w:rPr>
        <w:sectPr w:rsidR="001A62D7" w:rsidRPr="00074805" w:rsidSect="002C17C1">
          <w:footerReference w:type="even" r:id="rId9"/>
          <w:footerReference w:type="default" r:id="rId10"/>
          <w:pgSz w:w="11907" w:h="16839"/>
          <w:pgMar w:top="1134" w:right="1417" w:bottom="1134" w:left="1417" w:header="709" w:footer="709" w:gutter="0"/>
          <w:pgNumType w:start="0"/>
          <w:cols w:space="720"/>
          <w:docGrid w:linePitch="360"/>
        </w:sectPr>
      </w:pPr>
    </w:p>
    <w:p w:rsidR="001A62D7" w:rsidRPr="00074805" w:rsidRDefault="001A62D7" w:rsidP="001A62D7">
      <w:pPr>
        <w:pStyle w:val="Exposdesmotifstitre"/>
        <w:rPr>
          <w:noProof/>
        </w:rPr>
      </w:pPr>
      <w:bookmarkStart w:id="0" w:name="_GoBack"/>
      <w:bookmarkEnd w:id="0"/>
      <w:r w:rsidRPr="00074805">
        <w:rPr>
          <w:noProof/>
        </w:rPr>
        <w:lastRenderedPageBreak/>
        <w:t>EXPOSÉ DES MOTIFS</w:t>
      </w:r>
    </w:p>
    <w:p w:rsidR="001A62D7" w:rsidRPr="00074805" w:rsidRDefault="001A62D7" w:rsidP="001A62D7">
      <w:pPr>
        <w:pStyle w:val="ManualHeading1"/>
        <w:rPr>
          <w:noProof/>
        </w:rPr>
      </w:pPr>
      <w:r w:rsidRPr="00074805">
        <w:rPr>
          <w:noProof/>
        </w:rPr>
        <w:t>CONTEXTE DE LA PROPOSITION</w:t>
      </w:r>
    </w:p>
    <w:p w:rsidR="001A62D7" w:rsidRPr="00074805" w:rsidRDefault="001A62D7" w:rsidP="00AE7D04">
      <w:pPr>
        <w:pStyle w:val="ManualNumPar1"/>
        <w:rPr>
          <w:noProof/>
        </w:rPr>
      </w:pPr>
      <w:r>
        <w:rPr>
          <w:noProof/>
        </w:rPr>
        <w:t>1.</w:t>
      </w:r>
      <w:r>
        <w:rPr>
          <w:noProof/>
        </w:rPr>
        <w:tab/>
      </w:r>
      <w:r w:rsidRPr="00074805">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074805">
        <w:rPr>
          <w:rStyle w:val="FootnoteReference"/>
          <w:noProof/>
        </w:rPr>
        <w:footnoteReference w:id="1"/>
      </w:r>
      <w:r w:rsidRPr="00074805">
        <w:rPr>
          <w:noProof/>
        </w:rPr>
        <w:t>.</w:t>
      </w:r>
    </w:p>
    <w:p w:rsidR="001A62D7" w:rsidRPr="00074805" w:rsidRDefault="001A62D7" w:rsidP="00AE7D04">
      <w:pPr>
        <w:pStyle w:val="ManualNumPar1"/>
        <w:rPr>
          <w:noProof/>
        </w:rPr>
      </w:pPr>
      <w:r>
        <w:rPr>
          <w:noProof/>
        </w:rPr>
        <w:t>2.</w:t>
      </w:r>
      <w:r>
        <w:rPr>
          <w:noProof/>
        </w:rPr>
        <w:tab/>
      </w:r>
      <w:r w:rsidRPr="00074805">
        <w:rPr>
          <w:noProof/>
        </w:rPr>
        <w:t>Le 25 mars 2026, la Belgique a introduit la demande EGF/</w:t>
      </w:r>
      <w:bookmarkStart w:id="1" w:name="EGF_Ref_Year"/>
      <w:r w:rsidRPr="00074805">
        <w:rPr>
          <w:noProof/>
        </w:rPr>
        <w:t>2026</w:t>
      </w:r>
      <w:bookmarkEnd w:id="1"/>
      <w:r w:rsidRPr="00074805">
        <w:rPr>
          <w:noProof/>
        </w:rPr>
        <w:t>/</w:t>
      </w:r>
      <w:bookmarkStart w:id="2" w:name="EGF_Ref_CaseNumber"/>
      <w:r w:rsidRPr="00074805">
        <w:rPr>
          <w:noProof/>
        </w:rPr>
        <w:t>001</w:t>
      </w:r>
      <w:bookmarkEnd w:id="2"/>
      <w:r w:rsidRPr="00074805">
        <w:rPr>
          <w:noProof/>
        </w:rPr>
        <w:t xml:space="preserve"> </w:t>
      </w:r>
      <w:bookmarkStart w:id="3" w:name="MS_Code"/>
      <w:r w:rsidRPr="00074805">
        <w:rPr>
          <w:noProof/>
        </w:rPr>
        <w:t>BE</w:t>
      </w:r>
      <w:bookmarkEnd w:id="3"/>
      <w:r w:rsidRPr="00074805">
        <w:rPr>
          <w:noProof/>
        </w:rPr>
        <w:t>/</w:t>
      </w:r>
      <w:bookmarkStart w:id="4" w:name="EGF_Ref_CaseName"/>
      <w:r w:rsidRPr="00074805">
        <w:rPr>
          <w:noProof/>
        </w:rPr>
        <w:t>Cora</w:t>
      </w:r>
      <w:bookmarkEnd w:id="4"/>
      <w:r w:rsidRPr="00074805">
        <w:rPr>
          <w:noProof/>
        </w:rPr>
        <w:t xml:space="preserve"> en vue d’obtenir une contribution financière du FEM, à la suite de licenciements intervenus chez </w:t>
      </w:r>
      <w:bookmarkStart w:id="5" w:name="PrimEnterprise_Name"/>
      <w:r w:rsidRPr="00074805">
        <w:rPr>
          <w:noProof/>
        </w:rPr>
        <w:t>Cora SA</w:t>
      </w:r>
      <w:bookmarkEnd w:id="5"/>
      <w:r w:rsidRPr="00074805">
        <w:rPr>
          <w:noProof/>
        </w:rPr>
        <w:t xml:space="preserve"> ainsi que chez un fournisseur et un producteur en aval en </w:t>
      </w:r>
      <w:bookmarkStart w:id="6" w:name="MS_Name"/>
      <w:r w:rsidRPr="00074805">
        <w:rPr>
          <w:noProof/>
        </w:rPr>
        <w:t>Belgique</w:t>
      </w:r>
      <w:bookmarkEnd w:id="6"/>
      <w:r w:rsidRPr="00074805">
        <w:rPr>
          <w:noProof/>
        </w:rPr>
        <w:t>.</w:t>
      </w:r>
    </w:p>
    <w:p w:rsidR="001A62D7" w:rsidRPr="00074805" w:rsidRDefault="001A62D7" w:rsidP="00AE7D04">
      <w:pPr>
        <w:pStyle w:val="ManualNumPar1"/>
        <w:rPr>
          <w:noProof/>
        </w:rPr>
      </w:pPr>
      <w:r>
        <w:rPr>
          <w:noProof/>
        </w:rPr>
        <w:t>3.</w:t>
      </w:r>
      <w:r>
        <w:rPr>
          <w:noProof/>
        </w:rPr>
        <w:tab/>
      </w:r>
      <w:r w:rsidRPr="00074805">
        <w:rPr>
          <w:noProof/>
        </w:rPr>
        <w:t xml:space="preserve">Au terme de l’évaluation de cette demande, la Commission a conclu, conformément à l’ensemble des dispositions applicables du règlement (UE) 2021/691, que les conditions d’octroi d’une contribution financière au titre du FEM sont remplies. </w:t>
      </w:r>
    </w:p>
    <w:p w:rsidR="001A62D7" w:rsidRPr="00074805" w:rsidRDefault="001A62D7" w:rsidP="001A62D7">
      <w:pPr>
        <w:pStyle w:val="ManualHeading1"/>
        <w:rPr>
          <w:noProof/>
        </w:rPr>
      </w:pPr>
      <w:r w:rsidRPr="00074805">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074805" w:rsidTr="001D5990">
        <w:tc>
          <w:tcPr>
            <w:tcW w:w="4908" w:type="dxa"/>
          </w:tcPr>
          <w:p w:rsidR="001A62D7" w:rsidRPr="00074805" w:rsidRDefault="001A62D7" w:rsidP="001D5990">
            <w:pPr>
              <w:spacing w:before="60" w:after="60"/>
              <w:jc w:val="left"/>
              <w:rPr>
                <w:rFonts w:eastAsia="Calibri"/>
                <w:noProof/>
              </w:rPr>
            </w:pPr>
            <w:r w:rsidRPr="00074805">
              <w:rPr>
                <w:noProof/>
              </w:rPr>
              <w:t>Numéro de la demande FEM</w:t>
            </w:r>
          </w:p>
        </w:tc>
        <w:tc>
          <w:tcPr>
            <w:tcW w:w="4379" w:type="dxa"/>
          </w:tcPr>
          <w:p w:rsidR="001A62D7" w:rsidRPr="00074805" w:rsidRDefault="001A62D7" w:rsidP="001D5990">
            <w:pPr>
              <w:spacing w:before="60" w:after="60"/>
              <w:ind w:rightChars="192" w:right="461"/>
              <w:jc w:val="left"/>
              <w:rPr>
                <w:rFonts w:eastAsia="Calibri"/>
                <w:noProof/>
              </w:rPr>
            </w:pPr>
            <w:r w:rsidRPr="00074805">
              <w:rPr>
                <w:noProof/>
              </w:rPr>
              <w:t>EGF/2026/001 BE/Cora</w:t>
            </w:r>
          </w:p>
        </w:tc>
      </w:tr>
      <w:tr w:rsidR="001A62D7" w:rsidRPr="00074805" w:rsidTr="001D5990">
        <w:tc>
          <w:tcPr>
            <w:tcW w:w="4908" w:type="dxa"/>
          </w:tcPr>
          <w:p w:rsidR="001A62D7" w:rsidRPr="00074805" w:rsidRDefault="001A62D7" w:rsidP="001D5990">
            <w:pPr>
              <w:spacing w:before="60" w:after="60"/>
              <w:jc w:val="left"/>
              <w:rPr>
                <w:rFonts w:eastAsia="Calibri"/>
                <w:noProof/>
              </w:rPr>
            </w:pPr>
            <w:r w:rsidRPr="00074805">
              <w:rPr>
                <w:noProof/>
              </w:rPr>
              <w:t>État membre</w:t>
            </w:r>
          </w:p>
        </w:tc>
        <w:tc>
          <w:tcPr>
            <w:tcW w:w="4379" w:type="dxa"/>
          </w:tcPr>
          <w:p w:rsidR="001A62D7" w:rsidRPr="00074805" w:rsidRDefault="00D501D3" w:rsidP="001D5990">
            <w:pPr>
              <w:spacing w:before="60" w:after="60"/>
              <w:ind w:rightChars="192" w:right="461"/>
              <w:jc w:val="left"/>
              <w:rPr>
                <w:rFonts w:eastAsia="Calibri"/>
                <w:noProof/>
              </w:rPr>
            </w:pPr>
            <w:r w:rsidRPr="00074805">
              <w:rPr>
                <w:noProof/>
              </w:rPr>
              <w:t>Belgique</w:t>
            </w:r>
          </w:p>
        </w:tc>
      </w:tr>
      <w:tr w:rsidR="001A62D7" w:rsidRPr="00074805" w:rsidTr="001D5990">
        <w:tc>
          <w:tcPr>
            <w:tcW w:w="4908" w:type="dxa"/>
            <w:tcBorders>
              <w:bottom w:val="single" w:sz="4" w:space="0" w:color="auto"/>
            </w:tcBorders>
          </w:tcPr>
          <w:p w:rsidR="001A62D7" w:rsidRPr="00074805" w:rsidRDefault="001A62D7" w:rsidP="001D5990">
            <w:pPr>
              <w:spacing w:before="60" w:after="60"/>
              <w:jc w:val="left"/>
              <w:rPr>
                <w:rFonts w:eastAsia="Calibri"/>
                <w:noProof/>
              </w:rPr>
            </w:pPr>
            <w:r w:rsidRPr="00074805">
              <w:rPr>
                <w:noProof/>
              </w:rPr>
              <w:t>Région(s) concernée(s) (niveau NUTS</w:t>
            </w:r>
            <w:r w:rsidRPr="00074805">
              <w:rPr>
                <w:rStyle w:val="FootnoteReference"/>
                <w:noProof/>
              </w:rPr>
              <w:footnoteReference w:id="2"/>
            </w:r>
            <w:r w:rsidRPr="00074805">
              <w:rPr>
                <w:noProof/>
              </w:rPr>
              <w:t> 2)</w:t>
            </w:r>
          </w:p>
        </w:tc>
        <w:tc>
          <w:tcPr>
            <w:tcW w:w="4379" w:type="dxa"/>
            <w:tcBorders>
              <w:bottom w:val="single" w:sz="4" w:space="0" w:color="auto"/>
            </w:tcBorders>
          </w:tcPr>
          <w:p w:rsidR="005034F4" w:rsidRPr="00074805" w:rsidRDefault="005034F4" w:rsidP="005034F4">
            <w:pPr>
              <w:spacing w:before="0" w:after="0"/>
              <w:ind w:rightChars="192" w:right="461"/>
              <w:jc w:val="left"/>
              <w:rPr>
                <w:noProof/>
                <w:szCs w:val="24"/>
              </w:rPr>
            </w:pPr>
            <w:bookmarkStart w:id="7" w:name="Region_1_Name"/>
            <w:r w:rsidRPr="00074805">
              <w:rPr>
                <w:noProof/>
              </w:rPr>
              <w:t>Région de Bruxelles-Capitale/</w:t>
            </w:r>
          </w:p>
          <w:p w:rsidR="001A62D7" w:rsidRPr="00074805" w:rsidRDefault="005034F4" w:rsidP="005034F4">
            <w:pPr>
              <w:spacing w:before="0" w:after="0"/>
              <w:ind w:rightChars="192" w:right="461"/>
              <w:jc w:val="left"/>
              <w:rPr>
                <w:noProof/>
                <w:szCs w:val="24"/>
              </w:rPr>
            </w:pPr>
            <w:r w:rsidRPr="00074805">
              <w:rPr>
                <w:noProof/>
              </w:rPr>
              <w:t>Brussels Hoofdstedelijk Gewest</w:t>
            </w:r>
            <w:bookmarkEnd w:id="7"/>
            <w:r w:rsidRPr="00074805">
              <w:rPr>
                <w:noProof/>
              </w:rPr>
              <w:t xml:space="preserve"> (BE10),</w:t>
            </w:r>
          </w:p>
          <w:p w:rsidR="005034F4" w:rsidRPr="00074805" w:rsidRDefault="005034F4" w:rsidP="005034F4">
            <w:pPr>
              <w:spacing w:before="0" w:after="0"/>
              <w:ind w:rightChars="192" w:right="461"/>
              <w:jc w:val="left"/>
              <w:rPr>
                <w:noProof/>
                <w:szCs w:val="24"/>
              </w:rPr>
            </w:pPr>
            <w:r w:rsidRPr="00074805">
              <w:rPr>
                <w:noProof/>
              </w:rPr>
              <w:t xml:space="preserve">Province de Hainaut (BE32) </w:t>
            </w:r>
          </w:p>
          <w:p w:rsidR="005034F4" w:rsidRPr="00074805" w:rsidRDefault="005034F4" w:rsidP="005034F4">
            <w:pPr>
              <w:spacing w:before="0" w:after="0"/>
              <w:ind w:rightChars="192" w:right="461"/>
              <w:jc w:val="left"/>
              <w:rPr>
                <w:noProof/>
                <w:szCs w:val="24"/>
              </w:rPr>
            </w:pPr>
            <w:r w:rsidRPr="00074805">
              <w:rPr>
                <w:noProof/>
              </w:rPr>
              <w:t>Province de Liège (BE33)</w:t>
            </w:r>
          </w:p>
          <w:p w:rsidR="005034F4" w:rsidRPr="00074805" w:rsidRDefault="005034F4" w:rsidP="005034F4">
            <w:pPr>
              <w:spacing w:before="0" w:after="0"/>
              <w:ind w:rightChars="192" w:right="461"/>
              <w:jc w:val="left"/>
              <w:rPr>
                <w:noProof/>
                <w:szCs w:val="24"/>
              </w:rPr>
            </w:pPr>
            <w:r w:rsidRPr="00074805">
              <w:rPr>
                <w:noProof/>
              </w:rPr>
              <w:t>Province de Luxembourg (BE34).</w:t>
            </w:r>
          </w:p>
        </w:tc>
      </w:tr>
      <w:tr w:rsidR="001A62D7" w:rsidRPr="00074805" w:rsidTr="001D5990">
        <w:tc>
          <w:tcPr>
            <w:tcW w:w="4908" w:type="dxa"/>
            <w:tcBorders>
              <w:bottom w:val="dotted" w:sz="4" w:space="0" w:color="auto"/>
            </w:tcBorders>
          </w:tcPr>
          <w:p w:rsidR="001A62D7" w:rsidRPr="00074805" w:rsidRDefault="001A62D7" w:rsidP="001D5990">
            <w:pPr>
              <w:spacing w:before="60" w:after="60"/>
              <w:jc w:val="left"/>
              <w:rPr>
                <w:rFonts w:eastAsia="Calibri"/>
                <w:noProof/>
              </w:rPr>
            </w:pPr>
            <w:r w:rsidRPr="00074805">
              <w:rPr>
                <w:noProof/>
              </w:rPr>
              <w:t>Date de dépôt de la demande</w:t>
            </w:r>
          </w:p>
        </w:tc>
        <w:tc>
          <w:tcPr>
            <w:tcW w:w="4379" w:type="dxa"/>
            <w:tcBorders>
              <w:bottom w:val="dotted" w:sz="4" w:space="0" w:color="auto"/>
            </w:tcBorders>
          </w:tcPr>
          <w:p w:rsidR="001A62D7" w:rsidRPr="00074805" w:rsidRDefault="00D501D3" w:rsidP="001D5990">
            <w:pPr>
              <w:spacing w:before="60" w:after="60"/>
              <w:ind w:rightChars="192" w:right="461"/>
              <w:jc w:val="left"/>
              <w:rPr>
                <w:rFonts w:eastAsia="Calibri"/>
                <w:noProof/>
              </w:rPr>
            </w:pPr>
            <w:r w:rsidRPr="00074805">
              <w:rPr>
                <w:noProof/>
              </w:rPr>
              <w:t>25 mars 2026</w:t>
            </w:r>
          </w:p>
        </w:tc>
      </w:tr>
      <w:tr w:rsidR="001A62D7" w:rsidRPr="00074805" w:rsidTr="001D5990">
        <w:tc>
          <w:tcPr>
            <w:tcW w:w="4908" w:type="dxa"/>
            <w:tcBorders>
              <w:top w:val="dotted" w:sz="4" w:space="0" w:color="auto"/>
              <w:bottom w:val="dotted" w:sz="4" w:space="0" w:color="auto"/>
            </w:tcBorders>
          </w:tcPr>
          <w:p w:rsidR="001A62D7" w:rsidRPr="00074805" w:rsidRDefault="001A62D7" w:rsidP="001D5990">
            <w:pPr>
              <w:spacing w:before="60" w:after="60"/>
              <w:jc w:val="left"/>
              <w:rPr>
                <w:rFonts w:eastAsia="Calibri"/>
                <w:noProof/>
              </w:rPr>
            </w:pPr>
            <w:r w:rsidRPr="00074805">
              <w:rPr>
                <w:noProof/>
              </w:rPr>
              <w:t>Date d’accusé de réception de la demande</w:t>
            </w:r>
          </w:p>
        </w:tc>
        <w:tc>
          <w:tcPr>
            <w:tcW w:w="4379" w:type="dxa"/>
            <w:tcBorders>
              <w:top w:val="dotted" w:sz="4" w:space="0" w:color="auto"/>
              <w:bottom w:val="dotted" w:sz="4" w:space="0" w:color="auto"/>
            </w:tcBorders>
          </w:tcPr>
          <w:p w:rsidR="001A62D7" w:rsidRPr="00074805" w:rsidRDefault="00D501D3" w:rsidP="001D5990">
            <w:pPr>
              <w:spacing w:before="60" w:after="60"/>
              <w:ind w:rightChars="192" w:right="461"/>
              <w:jc w:val="left"/>
              <w:rPr>
                <w:rFonts w:eastAsia="Calibri"/>
                <w:noProof/>
              </w:rPr>
            </w:pPr>
            <w:r w:rsidRPr="00074805">
              <w:rPr>
                <w:noProof/>
              </w:rPr>
              <w:t>13 avril 2026</w:t>
            </w:r>
          </w:p>
        </w:tc>
      </w:tr>
      <w:tr w:rsidR="001A62D7" w:rsidRPr="00074805" w:rsidTr="001D5990">
        <w:tc>
          <w:tcPr>
            <w:tcW w:w="4908" w:type="dxa"/>
            <w:tcBorders>
              <w:top w:val="dotted" w:sz="4" w:space="0" w:color="auto"/>
              <w:bottom w:val="dotted" w:sz="4" w:space="0" w:color="auto"/>
            </w:tcBorders>
          </w:tcPr>
          <w:p w:rsidR="001A62D7" w:rsidRPr="00074805" w:rsidRDefault="001A62D7" w:rsidP="001D5990">
            <w:pPr>
              <w:spacing w:before="60" w:after="60"/>
              <w:jc w:val="left"/>
              <w:rPr>
                <w:rFonts w:eastAsia="Calibri"/>
                <w:noProof/>
              </w:rPr>
            </w:pPr>
            <w:r w:rsidRPr="00074805">
              <w:rPr>
                <w:noProof/>
              </w:rPr>
              <w:t>Date de demande d’informations complémentaires</w:t>
            </w:r>
          </w:p>
        </w:tc>
        <w:tc>
          <w:tcPr>
            <w:tcW w:w="4379" w:type="dxa"/>
            <w:tcBorders>
              <w:top w:val="dotted" w:sz="4" w:space="0" w:color="auto"/>
              <w:bottom w:val="dotted" w:sz="4" w:space="0" w:color="auto"/>
            </w:tcBorders>
          </w:tcPr>
          <w:p w:rsidR="001A62D7" w:rsidRPr="00074805" w:rsidRDefault="00D501D3" w:rsidP="001D5990">
            <w:pPr>
              <w:spacing w:before="60" w:after="60"/>
              <w:ind w:rightChars="192" w:right="461"/>
              <w:jc w:val="left"/>
              <w:rPr>
                <w:rFonts w:eastAsia="Calibri"/>
                <w:noProof/>
              </w:rPr>
            </w:pPr>
            <w:r w:rsidRPr="00074805">
              <w:rPr>
                <w:noProof/>
              </w:rPr>
              <w:t>13 avril 2026</w:t>
            </w:r>
          </w:p>
        </w:tc>
      </w:tr>
      <w:tr w:rsidR="001A62D7" w:rsidRPr="00074805" w:rsidTr="001D5990">
        <w:tc>
          <w:tcPr>
            <w:tcW w:w="4908" w:type="dxa"/>
            <w:tcBorders>
              <w:top w:val="dotted" w:sz="4" w:space="0" w:color="auto"/>
              <w:bottom w:val="dotted" w:sz="4" w:space="0" w:color="auto"/>
            </w:tcBorders>
          </w:tcPr>
          <w:p w:rsidR="001A62D7" w:rsidRPr="00074805" w:rsidRDefault="001A62D7" w:rsidP="001D5990">
            <w:pPr>
              <w:spacing w:before="60" w:after="60"/>
              <w:jc w:val="left"/>
              <w:rPr>
                <w:rFonts w:eastAsia="Calibri"/>
                <w:noProof/>
              </w:rPr>
            </w:pPr>
            <w:r w:rsidRPr="00074805">
              <w:rPr>
                <w:noProof/>
              </w:rPr>
              <w:t>Date limite pour la communication des informations complémentaires</w:t>
            </w:r>
          </w:p>
        </w:tc>
        <w:tc>
          <w:tcPr>
            <w:tcW w:w="4379" w:type="dxa"/>
            <w:tcBorders>
              <w:top w:val="dotted" w:sz="4" w:space="0" w:color="auto"/>
              <w:bottom w:val="dotted" w:sz="4" w:space="0" w:color="auto"/>
            </w:tcBorders>
          </w:tcPr>
          <w:p w:rsidR="001A62D7" w:rsidRPr="00074805" w:rsidRDefault="00FD67BC" w:rsidP="001D5990">
            <w:pPr>
              <w:spacing w:before="60" w:after="60"/>
              <w:ind w:rightChars="192" w:right="461"/>
              <w:jc w:val="left"/>
              <w:rPr>
                <w:rFonts w:eastAsia="Calibri"/>
                <w:noProof/>
              </w:rPr>
            </w:pPr>
            <w:r w:rsidRPr="00074805">
              <w:rPr>
                <w:noProof/>
              </w:rPr>
              <w:t>5 mai 2026</w:t>
            </w:r>
          </w:p>
        </w:tc>
      </w:tr>
      <w:tr w:rsidR="001A62D7" w:rsidRPr="00074805" w:rsidTr="001D5990">
        <w:tc>
          <w:tcPr>
            <w:tcW w:w="4908" w:type="dxa"/>
            <w:tcBorders>
              <w:top w:val="dotted" w:sz="4" w:space="0" w:color="auto"/>
            </w:tcBorders>
          </w:tcPr>
          <w:p w:rsidR="001A62D7" w:rsidRPr="00074805" w:rsidRDefault="001A62D7" w:rsidP="001D5990">
            <w:pPr>
              <w:spacing w:before="60" w:after="60"/>
              <w:jc w:val="left"/>
              <w:rPr>
                <w:rFonts w:eastAsia="Calibri"/>
                <w:noProof/>
              </w:rPr>
            </w:pPr>
            <w:r w:rsidRPr="00074805">
              <w:rPr>
                <w:noProof/>
              </w:rPr>
              <w:t>Date limite pour la réalisation de l’évaluation</w:t>
            </w:r>
          </w:p>
        </w:tc>
        <w:tc>
          <w:tcPr>
            <w:tcW w:w="4379" w:type="dxa"/>
            <w:tcBorders>
              <w:top w:val="dotted" w:sz="4" w:space="0" w:color="auto"/>
            </w:tcBorders>
          </w:tcPr>
          <w:p w:rsidR="001A62D7" w:rsidRPr="00074805" w:rsidRDefault="00FD67BC" w:rsidP="001D5990">
            <w:pPr>
              <w:spacing w:before="60" w:after="60"/>
              <w:ind w:rightChars="192" w:right="461"/>
              <w:jc w:val="left"/>
              <w:rPr>
                <w:rFonts w:eastAsia="Calibri"/>
                <w:noProof/>
              </w:rPr>
            </w:pPr>
            <w:r w:rsidRPr="00074805">
              <w:rPr>
                <w:noProof/>
              </w:rPr>
              <w:t>17 juillet 2026</w:t>
            </w:r>
          </w:p>
        </w:tc>
      </w:tr>
      <w:tr w:rsidR="001A62D7" w:rsidRPr="00074805" w:rsidTr="001D5990">
        <w:tc>
          <w:tcPr>
            <w:tcW w:w="4908" w:type="dxa"/>
          </w:tcPr>
          <w:p w:rsidR="001A62D7" w:rsidRPr="00074805" w:rsidRDefault="001A62D7" w:rsidP="001D5990">
            <w:pPr>
              <w:spacing w:before="60" w:after="60"/>
              <w:jc w:val="left"/>
              <w:rPr>
                <w:rFonts w:eastAsia="Calibri"/>
                <w:noProof/>
              </w:rPr>
            </w:pPr>
            <w:r w:rsidRPr="00074805">
              <w:rPr>
                <w:noProof/>
              </w:rPr>
              <w:t>Critère d’intervention</w:t>
            </w:r>
          </w:p>
        </w:tc>
        <w:tc>
          <w:tcPr>
            <w:tcW w:w="4379" w:type="dxa"/>
          </w:tcPr>
          <w:p w:rsidR="001A62D7" w:rsidRPr="00074805" w:rsidRDefault="001A62D7" w:rsidP="001D5990">
            <w:pPr>
              <w:spacing w:before="60" w:after="60"/>
              <w:ind w:rightChars="192" w:right="461"/>
              <w:jc w:val="left"/>
              <w:rPr>
                <w:rFonts w:eastAsia="Calibri"/>
                <w:noProof/>
              </w:rPr>
            </w:pPr>
            <w:r w:rsidRPr="00074805">
              <w:rPr>
                <w:noProof/>
              </w:rPr>
              <w:t>Article 4, paragraphe 2, point a), du règlement (UE) 2021/691</w:t>
            </w:r>
          </w:p>
        </w:tc>
      </w:tr>
      <w:tr w:rsidR="001A62D7" w:rsidRPr="00074805" w:rsidTr="001D5990">
        <w:tc>
          <w:tcPr>
            <w:tcW w:w="4908" w:type="dxa"/>
            <w:tcBorders>
              <w:top w:val="single" w:sz="4" w:space="0" w:color="auto"/>
              <w:bottom w:val="single" w:sz="4" w:space="0" w:color="auto"/>
              <w:right w:val="single" w:sz="4" w:space="0" w:color="auto"/>
            </w:tcBorders>
          </w:tcPr>
          <w:p w:rsidR="001A62D7" w:rsidRPr="00074805" w:rsidRDefault="001A62D7" w:rsidP="001D5990">
            <w:pPr>
              <w:spacing w:before="60" w:after="60"/>
              <w:jc w:val="left"/>
              <w:rPr>
                <w:rFonts w:eastAsia="Calibri"/>
                <w:noProof/>
              </w:rPr>
            </w:pPr>
            <w:r w:rsidRPr="00074805">
              <w:rPr>
                <w:noProof/>
              </w:rPr>
              <w:br w:type="page"/>
              <w:t>Entreprise principale</w:t>
            </w:r>
          </w:p>
        </w:tc>
        <w:tc>
          <w:tcPr>
            <w:tcW w:w="4379" w:type="dxa"/>
            <w:tcBorders>
              <w:top w:val="single" w:sz="4" w:space="0" w:color="auto"/>
              <w:left w:val="single" w:sz="4" w:space="0" w:color="auto"/>
              <w:bottom w:val="single" w:sz="4" w:space="0" w:color="auto"/>
            </w:tcBorders>
          </w:tcPr>
          <w:p w:rsidR="001A62D7" w:rsidRPr="00074805" w:rsidRDefault="00FD67BC" w:rsidP="001D5990">
            <w:pPr>
              <w:spacing w:before="60" w:after="60"/>
              <w:ind w:rightChars="192" w:right="461"/>
              <w:jc w:val="left"/>
              <w:rPr>
                <w:noProof/>
                <w:szCs w:val="24"/>
              </w:rPr>
            </w:pPr>
            <w:r w:rsidRPr="00074805">
              <w:rPr>
                <w:noProof/>
              </w:rPr>
              <w:t>Cora SA</w:t>
            </w:r>
          </w:p>
        </w:tc>
      </w:tr>
      <w:tr w:rsidR="001A62D7" w:rsidRPr="00074805" w:rsidTr="001D5990">
        <w:tc>
          <w:tcPr>
            <w:tcW w:w="4908" w:type="dxa"/>
          </w:tcPr>
          <w:p w:rsidR="001A62D7" w:rsidRPr="00074805" w:rsidRDefault="001A62D7" w:rsidP="001D5990">
            <w:pPr>
              <w:spacing w:before="60" w:after="60"/>
              <w:jc w:val="left"/>
              <w:rPr>
                <w:rFonts w:eastAsia="Calibri"/>
                <w:noProof/>
              </w:rPr>
            </w:pPr>
            <w:r w:rsidRPr="00074805">
              <w:rPr>
                <w:noProof/>
              </w:rPr>
              <w:t>Secteurs d’activité économique (division de la NACE Rév. 2)</w:t>
            </w:r>
            <w:r w:rsidRPr="00074805">
              <w:rPr>
                <w:rStyle w:val="FootnoteReference"/>
                <w:noProof/>
                <w:szCs w:val="24"/>
              </w:rPr>
              <w:footnoteReference w:id="3"/>
            </w:r>
          </w:p>
        </w:tc>
        <w:tc>
          <w:tcPr>
            <w:tcW w:w="4379" w:type="dxa"/>
          </w:tcPr>
          <w:p w:rsidR="001A62D7" w:rsidRPr="00074805" w:rsidRDefault="001A62D7" w:rsidP="001D5990">
            <w:pPr>
              <w:spacing w:before="60" w:after="60"/>
              <w:ind w:rightChars="192" w:right="461"/>
              <w:jc w:val="left"/>
              <w:rPr>
                <w:noProof/>
                <w:szCs w:val="24"/>
              </w:rPr>
            </w:pPr>
            <w:r w:rsidRPr="00074805">
              <w:rPr>
                <w:noProof/>
              </w:rPr>
              <w:t>Division 47 (Commerce de détail, à l’exception des automobiles et des motocycles)</w:t>
            </w:r>
            <w:r w:rsidR="00FD67BC" w:rsidRPr="00074805">
              <w:rPr>
                <w:rStyle w:val="FootnoteReference"/>
                <w:noProof/>
                <w:szCs w:val="24"/>
              </w:rPr>
              <w:footnoteReference w:id="4"/>
            </w:r>
            <w:r w:rsidRPr="00074805">
              <w:rPr>
                <w:noProof/>
              </w:rPr>
              <w:t>, et</w:t>
            </w:r>
          </w:p>
          <w:p w:rsidR="001A62D7" w:rsidRPr="00074805" w:rsidRDefault="001A62D7" w:rsidP="001D5990">
            <w:pPr>
              <w:spacing w:before="60" w:after="60"/>
              <w:ind w:rightChars="192" w:right="461"/>
              <w:jc w:val="left"/>
              <w:rPr>
                <w:rFonts w:eastAsia="Calibri"/>
                <w:noProof/>
              </w:rPr>
            </w:pPr>
            <w:r w:rsidRPr="00074805">
              <w:rPr>
                <w:noProof/>
              </w:rPr>
              <w:lastRenderedPageBreak/>
              <w:t>Division 49 (Transports terrestres et transport par conduites)</w:t>
            </w:r>
          </w:p>
        </w:tc>
      </w:tr>
      <w:tr w:rsidR="001A62D7" w:rsidRPr="00074805" w:rsidTr="001D5990">
        <w:tc>
          <w:tcPr>
            <w:tcW w:w="4908" w:type="dxa"/>
          </w:tcPr>
          <w:p w:rsidR="001A62D7" w:rsidRPr="00074805" w:rsidRDefault="001A62D7" w:rsidP="001D5990">
            <w:pPr>
              <w:spacing w:before="60" w:after="60"/>
              <w:jc w:val="left"/>
              <w:rPr>
                <w:rFonts w:eastAsia="Calibri"/>
                <w:noProof/>
              </w:rPr>
            </w:pPr>
            <w:r w:rsidRPr="00074805">
              <w:rPr>
                <w:noProof/>
              </w:rPr>
              <w:lastRenderedPageBreak/>
              <w:br w:type="page"/>
              <w:t>Nombre de filiales, fournisseurs et producteurs en aval concernés</w:t>
            </w:r>
          </w:p>
        </w:tc>
        <w:tc>
          <w:tcPr>
            <w:tcW w:w="4379" w:type="dxa"/>
          </w:tcPr>
          <w:p w:rsidR="001A62D7" w:rsidRPr="00074805" w:rsidRDefault="001D5279" w:rsidP="001D5990">
            <w:pPr>
              <w:spacing w:before="60" w:after="60"/>
              <w:ind w:rightChars="192" w:right="461"/>
              <w:jc w:val="left"/>
              <w:rPr>
                <w:rFonts w:eastAsia="Calibri"/>
                <w:noProof/>
              </w:rPr>
            </w:pPr>
            <w:r w:rsidRPr="00074805">
              <w:rPr>
                <w:noProof/>
              </w:rPr>
              <w:t>1</w:t>
            </w:r>
          </w:p>
        </w:tc>
      </w:tr>
      <w:tr w:rsidR="001A62D7" w:rsidRPr="00074805" w:rsidTr="001D5990">
        <w:tc>
          <w:tcPr>
            <w:tcW w:w="4908" w:type="dxa"/>
            <w:tcBorders>
              <w:bottom w:val="single" w:sz="4" w:space="0" w:color="auto"/>
            </w:tcBorders>
          </w:tcPr>
          <w:p w:rsidR="001A62D7" w:rsidRPr="00074805" w:rsidRDefault="001A62D7" w:rsidP="001D5990">
            <w:pPr>
              <w:spacing w:before="60" w:after="60"/>
              <w:jc w:val="left"/>
              <w:rPr>
                <w:rFonts w:eastAsia="Calibri"/>
                <w:noProof/>
              </w:rPr>
            </w:pPr>
            <w:r w:rsidRPr="00074805">
              <w:rPr>
                <w:noProof/>
              </w:rPr>
              <w:t>Période de référence (quatre mois):</w:t>
            </w:r>
          </w:p>
        </w:tc>
        <w:tc>
          <w:tcPr>
            <w:tcW w:w="4379" w:type="dxa"/>
            <w:tcBorders>
              <w:bottom w:val="single" w:sz="4" w:space="0" w:color="auto"/>
            </w:tcBorders>
          </w:tcPr>
          <w:p w:rsidR="001A62D7" w:rsidRPr="00074805" w:rsidRDefault="001D5279" w:rsidP="001D5990">
            <w:pPr>
              <w:spacing w:before="60" w:after="60"/>
              <w:ind w:rightChars="192" w:right="461"/>
              <w:jc w:val="left"/>
              <w:rPr>
                <w:rFonts w:eastAsia="Calibri"/>
                <w:noProof/>
              </w:rPr>
            </w:pPr>
            <w:r w:rsidRPr="00074805">
              <w:rPr>
                <w:noProof/>
              </w:rPr>
              <w:t>1</w:t>
            </w:r>
            <w:r w:rsidRPr="00074805">
              <w:rPr>
                <w:noProof/>
                <w:vertAlign w:val="superscript"/>
              </w:rPr>
              <w:t>er</w:t>
            </w:r>
            <w:r w:rsidRPr="00074805">
              <w:rPr>
                <w:noProof/>
              </w:rPr>
              <w:t> septembre 2025 – 1</w:t>
            </w:r>
            <w:r w:rsidRPr="00074805">
              <w:rPr>
                <w:noProof/>
                <w:vertAlign w:val="superscript"/>
              </w:rPr>
              <w:t>er</w:t>
            </w:r>
            <w:r w:rsidRPr="00074805">
              <w:rPr>
                <w:noProof/>
              </w:rPr>
              <w:t> janvier 2026</w:t>
            </w:r>
          </w:p>
        </w:tc>
      </w:tr>
      <w:tr w:rsidR="001A62D7" w:rsidRPr="00074805" w:rsidTr="001D5990">
        <w:tc>
          <w:tcPr>
            <w:tcW w:w="4908" w:type="dxa"/>
            <w:tcBorders>
              <w:bottom w:val="dotted" w:sz="4" w:space="0" w:color="auto"/>
            </w:tcBorders>
          </w:tcPr>
          <w:p w:rsidR="001A62D7" w:rsidRPr="00074805" w:rsidRDefault="001A62D7" w:rsidP="001D5990">
            <w:pPr>
              <w:spacing w:before="60" w:after="60"/>
              <w:jc w:val="left"/>
              <w:rPr>
                <w:rFonts w:eastAsia="Calibri"/>
                <w:noProof/>
                <w:highlight w:val="magenta"/>
              </w:rPr>
            </w:pPr>
            <w:r w:rsidRPr="00074805">
              <w:rPr>
                <w:noProof/>
              </w:rPr>
              <w:t>Nombre de licenciements intervenus durant la période de référence (</w:t>
            </w:r>
            <w:r w:rsidRPr="00074805">
              <w:rPr>
                <w:i/>
                <w:noProof/>
              </w:rPr>
              <w:t>a</w:t>
            </w:r>
            <w:r w:rsidRPr="00074805">
              <w:rPr>
                <w:noProof/>
              </w:rPr>
              <w:t>)</w:t>
            </w:r>
          </w:p>
        </w:tc>
        <w:tc>
          <w:tcPr>
            <w:tcW w:w="4379" w:type="dxa"/>
            <w:tcBorders>
              <w:bottom w:val="dotted" w:sz="4" w:space="0" w:color="auto"/>
            </w:tcBorders>
          </w:tcPr>
          <w:p w:rsidR="001A62D7" w:rsidRPr="00074805" w:rsidRDefault="0066781E" w:rsidP="001D5990">
            <w:pPr>
              <w:spacing w:before="60" w:after="60"/>
              <w:ind w:rightChars="192" w:right="461"/>
              <w:jc w:val="left"/>
              <w:rPr>
                <w:rFonts w:eastAsia="Calibri"/>
                <w:noProof/>
                <w:highlight w:val="magenta"/>
              </w:rPr>
            </w:pPr>
            <w:r w:rsidRPr="00074805">
              <w:rPr>
                <w:noProof/>
              </w:rPr>
              <w:t>662</w:t>
            </w:r>
          </w:p>
        </w:tc>
      </w:tr>
      <w:tr w:rsidR="001A62D7" w:rsidRPr="00074805" w:rsidTr="001D5990">
        <w:tc>
          <w:tcPr>
            <w:tcW w:w="4908" w:type="dxa"/>
            <w:tcBorders>
              <w:top w:val="dotted" w:sz="4" w:space="0" w:color="auto"/>
              <w:bottom w:val="dotted" w:sz="4" w:space="0" w:color="auto"/>
            </w:tcBorders>
          </w:tcPr>
          <w:p w:rsidR="001A62D7" w:rsidRPr="00074805" w:rsidRDefault="001A62D7" w:rsidP="001D5990">
            <w:pPr>
              <w:spacing w:before="60" w:after="60"/>
              <w:jc w:val="left"/>
              <w:rPr>
                <w:rFonts w:eastAsia="Calibri"/>
                <w:noProof/>
                <w:highlight w:val="magenta"/>
              </w:rPr>
            </w:pPr>
            <w:r w:rsidRPr="00074805">
              <w:rPr>
                <w:noProof/>
              </w:rPr>
              <w:t>Nombre de licenciements intervenus avant ou après la période de référence (</w:t>
            </w:r>
            <w:r w:rsidRPr="00074805">
              <w:rPr>
                <w:i/>
                <w:noProof/>
              </w:rPr>
              <w:t>b</w:t>
            </w:r>
            <w:r w:rsidRPr="00074805">
              <w:rPr>
                <w:noProof/>
              </w:rPr>
              <w:t>)</w:t>
            </w:r>
          </w:p>
        </w:tc>
        <w:tc>
          <w:tcPr>
            <w:tcW w:w="4379" w:type="dxa"/>
            <w:tcBorders>
              <w:top w:val="dotted" w:sz="4" w:space="0" w:color="auto"/>
              <w:bottom w:val="dotted" w:sz="4" w:space="0" w:color="auto"/>
            </w:tcBorders>
          </w:tcPr>
          <w:p w:rsidR="001A62D7" w:rsidRPr="00074805" w:rsidRDefault="0066781E" w:rsidP="001D5990">
            <w:pPr>
              <w:spacing w:before="60" w:after="60"/>
              <w:ind w:rightChars="192" w:right="461"/>
              <w:jc w:val="left"/>
              <w:rPr>
                <w:rFonts w:eastAsia="Calibri"/>
                <w:noProof/>
              </w:rPr>
            </w:pPr>
            <w:r w:rsidRPr="00074805">
              <w:rPr>
                <w:noProof/>
              </w:rPr>
              <w:t>595</w:t>
            </w:r>
          </w:p>
        </w:tc>
      </w:tr>
      <w:tr w:rsidR="001A62D7" w:rsidRPr="00074805" w:rsidTr="001D5990">
        <w:tc>
          <w:tcPr>
            <w:tcW w:w="4908" w:type="dxa"/>
            <w:tcBorders>
              <w:top w:val="dotted" w:sz="4" w:space="0" w:color="auto"/>
              <w:bottom w:val="single" w:sz="4" w:space="0" w:color="auto"/>
            </w:tcBorders>
          </w:tcPr>
          <w:p w:rsidR="001A62D7" w:rsidRPr="00074805" w:rsidRDefault="001A62D7" w:rsidP="001D5990">
            <w:pPr>
              <w:spacing w:before="60" w:after="60"/>
              <w:jc w:val="left"/>
              <w:rPr>
                <w:rFonts w:eastAsia="Calibri"/>
                <w:noProof/>
              </w:rPr>
            </w:pPr>
            <w:r w:rsidRPr="00074805">
              <w:rPr>
                <w:noProof/>
              </w:rPr>
              <w:t>Nombre total de licenciements (</w:t>
            </w:r>
            <w:r w:rsidRPr="00074805">
              <w:rPr>
                <w:i/>
                <w:noProof/>
              </w:rPr>
              <w:t>a</w:t>
            </w:r>
            <w:r w:rsidRPr="00074805">
              <w:rPr>
                <w:noProof/>
              </w:rPr>
              <w:t xml:space="preserve"> + </w:t>
            </w:r>
            <w:r w:rsidRPr="00074805">
              <w:rPr>
                <w:i/>
                <w:noProof/>
              </w:rPr>
              <w:t>b</w:t>
            </w:r>
            <w:r w:rsidRPr="00074805">
              <w:rPr>
                <w:noProof/>
              </w:rPr>
              <w:t>)</w:t>
            </w:r>
          </w:p>
        </w:tc>
        <w:tc>
          <w:tcPr>
            <w:tcW w:w="4379" w:type="dxa"/>
            <w:tcBorders>
              <w:top w:val="dotted" w:sz="4" w:space="0" w:color="auto"/>
              <w:bottom w:val="single" w:sz="4" w:space="0" w:color="auto"/>
            </w:tcBorders>
          </w:tcPr>
          <w:p w:rsidR="001A62D7" w:rsidRPr="00074805" w:rsidRDefault="0066781E" w:rsidP="001D5990">
            <w:pPr>
              <w:spacing w:before="60" w:after="60"/>
              <w:ind w:rightChars="192" w:right="461"/>
              <w:jc w:val="left"/>
              <w:rPr>
                <w:rFonts w:eastAsia="Calibri"/>
                <w:noProof/>
              </w:rPr>
            </w:pPr>
            <w:r w:rsidRPr="00074805">
              <w:rPr>
                <w:noProof/>
              </w:rPr>
              <w:t>1 257</w:t>
            </w:r>
          </w:p>
        </w:tc>
      </w:tr>
      <w:tr w:rsidR="001A62D7" w:rsidRPr="00074805" w:rsidTr="001D5990">
        <w:tc>
          <w:tcPr>
            <w:tcW w:w="4908" w:type="dxa"/>
            <w:tcBorders>
              <w:bottom w:val="dotted" w:sz="4" w:space="0" w:color="auto"/>
            </w:tcBorders>
          </w:tcPr>
          <w:p w:rsidR="001A62D7" w:rsidRPr="00074805" w:rsidRDefault="001A62D7" w:rsidP="001D5990">
            <w:pPr>
              <w:spacing w:before="60" w:after="60"/>
              <w:jc w:val="left"/>
              <w:rPr>
                <w:rFonts w:eastAsia="Calibri"/>
                <w:noProof/>
              </w:rPr>
            </w:pPr>
            <w:r w:rsidRPr="00074805">
              <w:rPr>
                <w:noProof/>
              </w:rPr>
              <w:t>Nombre total de bénéficiaires éligibles</w:t>
            </w:r>
          </w:p>
        </w:tc>
        <w:tc>
          <w:tcPr>
            <w:tcW w:w="4379" w:type="dxa"/>
            <w:tcBorders>
              <w:bottom w:val="dotted" w:sz="4" w:space="0" w:color="auto"/>
            </w:tcBorders>
          </w:tcPr>
          <w:p w:rsidR="001A62D7" w:rsidRPr="00074805" w:rsidRDefault="0066781E" w:rsidP="001D5990">
            <w:pPr>
              <w:spacing w:before="60" w:after="60"/>
              <w:ind w:rightChars="192" w:right="461"/>
              <w:jc w:val="left"/>
              <w:rPr>
                <w:rFonts w:eastAsia="Calibri"/>
                <w:noProof/>
              </w:rPr>
            </w:pPr>
            <w:r w:rsidRPr="00074805">
              <w:rPr>
                <w:noProof/>
              </w:rPr>
              <w:t>1 257</w:t>
            </w:r>
          </w:p>
        </w:tc>
      </w:tr>
      <w:tr w:rsidR="001A62D7" w:rsidRPr="00074805" w:rsidTr="001D5990">
        <w:tc>
          <w:tcPr>
            <w:tcW w:w="4908" w:type="dxa"/>
            <w:tcBorders>
              <w:top w:val="dotted" w:sz="4" w:space="0" w:color="auto"/>
              <w:bottom w:val="dotted" w:sz="4" w:space="0" w:color="auto"/>
            </w:tcBorders>
          </w:tcPr>
          <w:p w:rsidR="001A62D7" w:rsidRPr="00074805" w:rsidRDefault="001A62D7" w:rsidP="001D5990">
            <w:pPr>
              <w:spacing w:before="60" w:after="60"/>
              <w:jc w:val="left"/>
              <w:rPr>
                <w:rFonts w:eastAsia="Calibri"/>
                <w:noProof/>
              </w:rPr>
            </w:pPr>
            <w:r w:rsidRPr="00074805">
              <w:rPr>
                <w:noProof/>
              </w:rPr>
              <w:t>Nombre total de bénéficiaires visés</w:t>
            </w:r>
          </w:p>
        </w:tc>
        <w:tc>
          <w:tcPr>
            <w:tcW w:w="4379" w:type="dxa"/>
            <w:tcBorders>
              <w:top w:val="dotted" w:sz="4" w:space="0" w:color="auto"/>
              <w:bottom w:val="dotted" w:sz="4" w:space="0" w:color="auto"/>
            </w:tcBorders>
          </w:tcPr>
          <w:p w:rsidR="001A62D7" w:rsidRPr="00074805" w:rsidRDefault="0094032B" w:rsidP="001D5990">
            <w:pPr>
              <w:spacing w:before="60" w:after="60"/>
              <w:ind w:rightChars="192" w:right="461"/>
              <w:jc w:val="left"/>
              <w:rPr>
                <w:rFonts w:eastAsia="Calibri"/>
                <w:noProof/>
              </w:rPr>
            </w:pPr>
            <w:r w:rsidRPr="00074805">
              <w:rPr>
                <w:noProof/>
              </w:rPr>
              <w:t>1 010</w:t>
            </w:r>
          </w:p>
        </w:tc>
      </w:tr>
      <w:tr w:rsidR="001A62D7" w:rsidRPr="00074805" w:rsidTr="001D5990">
        <w:tc>
          <w:tcPr>
            <w:tcW w:w="4908" w:type="dxa"/>
            <w:tcBorders>
              <w:bottom w:val="dotted" w:sz="4" w:space="0" w:color="auto"/>
            </w:tcBorders>
            <w:vAlign w:val="center"/>
          </w:tcPr>
          <w:p w:rsidR="001A62D7" w:rsidRPr="00074805" w:rsidRDefault="001A62D7" w:rsidP="001D5990">
            <w:pPr>
              <w:spacing w:before="0" w:after="0"/>
              <w:jc w:val="left"/>
              <w:rPr>
                <w:noProof/>
              </w:rPr>
            </w:pPr>
            <w:r w:rsidRPr="00074805">
              <w:rPr>
                <w:noProof/>
              </w:rPr>
              <w:t>Budget pour les services personnalisés (en EUR)</w:t>
            </w:r>
          </w:p>
        </w:tc>
        <w:tc>
          <w:tcPr>
            <w:tcW w:w="4379" w:type="dxa"/>
            <w:tcBorders>
              <w:bottom w:val="dotted" w:sz="4" w:space="0" w:color="auto"/>
            </w:tcBorders>
            <w:vAlign w:val="center"/>
          </w:tcPr>
          <w:p w:rsidR="001A62D7" w:rsidRPr="00074805" w:rsidRDefault="008032DE" w:rsidP="001D5990">
            <w:pPr>
              <w:spacing w:before="0" w:after="0"/>
              <w:ind w:rightChars="192" w:right="461"/>
              <w:jc w:val="left"/>
              <w:rPr>
                <w:noProof/>
              </w:rPr>
            </w:pPr>
            <w:r w:rsidRPr="00074805">
              <w:rPr>
                <w:noProof/>
              </w:rPr>
              <w:t>4 441 774</w:t>
            </w:r>
          </w:p>
        </w:tc>
      </w:tr>
      <w:tr w:rsidR="001A62D7" w:rsidRPr="00074805" w:rsidTr="001D5990">
        <w:tc>
          <w:tcPr>
            <w:tcW w:w="4908" w:type="dxa"/>
            <w:tcBorders>
              <w:top w:val="dotted" w:sz="4" w:space="0" w:color="auto"/>
              <w:bottom w:val="dotted" w:sz="4" w:space="0" w:color="auto"/>
            </w:tcBorders>
            <w:vAlign w:val="center"/>
          </w:tcPr>
          <w:p w:rsidR="001A62D7" w:rsidRPr="00074805" w:rsidRDefault="001A62D7" w:rsidP="001D5990">
            <w:pPr>
              <w:spacing w:before="0" w:after="0"/>
              <w:jc w:val="left"/>
              <w:rPr>
                <w:noProof/>
              </w:rPr>
            </w:pPr>
            <w:r w:rsidRPr="00074805">
              <w:rPr>
                <w:noProof/>
              </w:rPr>
              <w:t>Budget pour la mise en œuvre du FEM</w:t>
            </w:r>
            <w:r w:rsidRPr="00074805">
              <w:rPr>
                <w:rStyle w:val="FootnoteReference"/>
                <w:noProof/>
              </w:rPr>
              <w:footnoteReference w:id="5"/>
            </w:r>
            <w:r w:rsidRPr="00074805">
              <w:rPr>
                <w:noProof/>
              </w:rPr>
              <w:t xml:space="preserve"> (en EUR)</w:t>
            </w:r>
          </w:p>
        </w:tc>
        <w:tc>
          <w:tcPr>
            <w:tcW w:w="4379" w:type="dxa"/>
            <w:tcBorders>
              <w:top w:val="dotted" w:sz="4" w:space="0" w:color="auto"/>
              <w:bottom w:val="dotted" w:sz="4" w:space="0" w:color="auto"/>
            </w:tcBorders>
            <w:vAlign w:val="center"/>
          </w:tcPr>
          <w:p w:rsidR="001A62D7" w:rsidRPr="00074805" w:rsidRDefault="008032DE" w:rsidP="001D5990">
            <w:pPr>
              <w:spacing w:before="0" w:after="0"/>
              <w:ind w:rightChars="192" w:right="461"/>
              <w:jc w:val="left"/>
              <w:rPr>
                <w:noProof/>
              </w:rPr>
            </w:pPr>
            <w:r w:rsidRPr="00074805">
              <w:rPr>
                <w:noProof/>
              </w:rPr>
              <w:t>54 062</w:t>
            </w:r>
          </w:p>
        </w:tc>
      </w:tr>
      <w:tr w:rsidR="001A62D7" w:rsidRPr="00074805" w:rsidTr="001D5990">
        <w:tc>
          <w:tcPr>
            <w:tcW w:w="4908" w:type="dxa"/>
            <w:tcBorders>
              <w:top w:val="dotted" w:sz="4" w:space="0" w:color="auto"/>
              <w:bottom w:val="dotted" w:sz="4" w:space="0" w:color="auto"/>
            </w:tcBorders>
            <w:vAlign w:val="center"/>
          </w:tcPr>
          <w:p w:rsidR="001A62D7" w:rsidRPr="00074805" w:rsidRDefault="001A62D7" w:rsidP="001D5990">
            <w:pPr>
              <w:spacing w:before="0" w:after="0"/>
              <w:jc w:val="left"/>
              <w:rPr>
                <w:noProof/>
              </w:rPr>
            </w:pPr>
            <w:r w:rsidRPr="00074805">
              <w:rPr>
                <w:noProof/>
              </w:rPr>
              <w:t>Budget total (en EUR)</w:t>
            </w:r>
          </w:p>
        </w:tc>
        <w:tc>
          <w:tcPr>
            <w:tcW w:w="4379" w:type="dxa"/>
            <w:tcBorders>
              <w:top w:val="dotted" w:sz="4" w:space="0" w:color="auto"/>
              <w:bottom w:val="dotted" w:sz="4" w:space="0" w:color="auto"/>
            </w:tcBorders>
            <w:vAlign w:val="center"/>
          </w:tcPr>
          <w:p w:rsidR="001A62D7" w:rsidRPr="00074805" w:rsidRDefault="008032DE" w:rsidP="001D5990">
            <w:pPr>
              <w:spacing w:before="0" w:after="0"/>
              <w:ind w:rightChars="192" w:right="461"/>
              <w:jc w:val="left"/>
              <w:rPr>
                <w:noProof/>
              </w:rPr>
            </w:pPr>
            <w:r w:rsidRPr="00074805">
              <w:rPr>
                <w:noProof/>
              </w:rPr>
              <w:t>4 495 836</w:t>
            </w:r>
          </w:p>
        </w:tc>
      </w:tr>
      <w:tr w:rsidR="001A62D7" w:rsidRPr="00074805" w:rsidTr="001D5990">
        <w:tc>
          <w:tcPr>
            <w:tcW w:w="4908" w:type="dxa"/>
            <w:tcBorders>
              <w:top w:val="dotted" w:sz="4" w:space="0" w:color="auto"/>
            </w:tcBorders>
            <w:vAlign w:val="center"/>
          </w:tcPr>
          <w:p w:rsidR="001A62D7" w:rsidRPr="00074805" w:rsidRDefault="001A62D7" w:rsidP="001D5990">
            <w:pPr>
              <w:spacing w:before="0" w:after="0"/>
              <w:jc w:val="left"/>
              <w:rPr>
                <w:noProof/>
              </w:rPr>
            </w:pPr>
            <w:r w:rsidRPr="00074805">
              <w:rPr>
                <w:noProof/>
              </w:rPr>
              <w:t>Contribution du FEM (85 %) (en EUR)</w:t>
            </w:r>
          </w:p>
        </w:tc>
        <w:tc>
          <w:tcPr>
            <w:tcW w:w="4379" w:type="dxa"/>
            <w:tcBorders>
              <w:top w:val="dotted" w:sz="4" w:space="0" w:color="auto"/>
            </w:tcBorders>
            <w:vAlign w:val="center"/>
          </w:tcPr>
          <w:p w:rsidR="001A62D7" w:rsidRPr="00074805" w:rsidRDefault="001C1059" w:rsidP="001D5990">
            <w:pPr>
              <w:spacing w:before="0" w:after="0"/>
              <w:ind w:rightChars="192" w:right="461"/>
              <w:jc w:val="left"/>
              <w:rPr>
                <w:noProof/>
              </w:rPr>
            </w:pPr>
            <w:r w:rsidRPr="00074805">
              <w:rPr>
                <w:noProof/>
              </w:rPr>
              <w:t>3 821 460</w:t>
            </w:r>
          </w:p>
        </w:tc>
      </w:tr>
    </w:tbl>
    <w:p w:rsidR="001A62D7" w:rsidRPr="00074805" w:rsidRDefault="001A62D7" w:rsidP="001A62D7">
      <w:pPr>
        <w:pStyle w:val="ManualHeading1"/>
        <w:rPr>
          <w:noProof/>
        </w:rPr>
      </w:pPr>
      <w:r w:rsidRPr="00074805">
        <w:rPr>
          <w:noProof/>
        </w:rPr>
        <w:t>ÉVALUATION DE LA DEMANDE</w:t>
      </w:r>
    </w:p>
    <w:p w:rsidR="001A62D7" w:rsidRPr="00074805" w:rsidRDefault="001A62D7" w:rsidP="001A62D7">
      <w:pPr>
        <w:pStyle w:val="ManualHeading2"/>
        <w:rPr>
          <w:noProof/>
        </w:rPr>
      </w:pPr>
      <w:r w:rsidRPr="00074805">
        <w:rPr>
          <w:noProof/>
        </w:rPr>
        <w:t>Procédure</w:t>
      </w:r>
    </w:p>
    <w:p w:rsidR="001A62D7" w:rsidRPr="00074805" w:rsidRDefault="001C1059" w:rsidP="00AE7D04">
      <w:pPr>
        <w:pStyle w:val="ManualNumPar1"/>
        <w:rPr>
          <w:noProof/>
        </w:rPr>
      </w:pPr>
      <w:r>
        <w:rPr>
          <w:noProof/>
        </w:rPr>
        <w:t>4.</w:t>
      </w:r>
      <w:r>
        <w:rPr>
          <w:noProof/>
        </w:rPr>
        <w:tab/>
      </w:r>
      <w:r w:rsidRPr="00074805">
        <w:rPr>
          <w:noProof/>
        </w:rPr>
        <w:t>La Belgique a présenté la demande EGF/2026/001 BE/Cora le 25 mars 2026, dans le délai de 12 semaines à compter de la date à laquelle les critères d’intervention précisés à l’article 4, paragraphe 2, point a), du règlement (UE) 2021/691 ont été remplis. La Commission a accusé réception de la demande</w:t>
      </w:r>
      <w:r w:rsidRPr="00074805">
        <w:rPr>
          <w:noProof/>
          <w:color w:val="FFFFFF" w:themeColor="background1"/>
          <w:u w:val="single"/>
        </w:rPr>
        <w:t xml:space="preserve"> </w:t>
      </w:r>
      <w:r w:rsidRPr="00074805">
        <w:rPr>
          <w:noProof/>
        </w:rPr>
        <w:t>et demandé des informations complémentaires à la Belgique le 13 avril 2026. Ces informations complémentaires ont été fournies dans les 15 jours ouvrables qui ont suivi la demande. Le délai de 50 jours ouvrables à compter de la réception de la demande complète dont dispose la Commission pour achever son évaluation de la conformité de la demande avec les conditions d’octroi d’une contribution financière expire le 17 juillet 2026.</w:t>
      </w:r>
    </w:p>
    <w:p w:rsidR="001A62D7" w:rsidRPr="00074805" w:rsidRDefault="001A62D7" w:rsidP="001A62D7">
      <w:pPr>
        <w:pStyle w:val="ManualHeading2"/>
        <w:rPr>
          <w:noProof/>
        </w:rPr>
      </w:pPr>
      <w:r w:rsidRPr="00074805">
        <w:rPr>
          <w:noProof/>
        </w:rPr>
        <w:t>Recevabilité de la demande</w:t>
      </w:r>
    </w:p>
    <w:p w:rsidR="001A62D7" w:rsidRPr="00074805" w:rsidRDefault="001A62D7" w:rsidP="001A62D7">
      <w:pPr>
        <w:pStyle w:val="ManualHeading3"/>
        <w:rPr>
          <w:noProof/>
        </w:rPr>
      </w:pPr>
      <w:r w:rsidRPr="00074805">
        <w:rPr>
          <w:noProof/>
        </w:rPr>
        <w:t>Entreprises et bénéficiaires concernés</w:t>
      </w:r>
    </w:p>
    <w:p w:rsidR="001A62D7" w:rsidRPr="00074805" w:rsidRDefault="001A62D7" w:rsidP="00AE7D04">
      <w:pPr>
        <w:pStyle w:val="ManualNumPar1"/>
        <w:rPr>
          <w:noProof/>
          <w:szCs w:val="24"/>
        </w:rPr>
      </w:pPr>
      <w:r>
        <w:rPr>
          <w:noProof/>
        </w:rPr>
        <w:t>5.</w:t>
      </w:r>
      <w:r>
        <w:rPr>
          <w:noProof/>
        </w:rPr>
        <w:tab/>
      </w:r>
      <w:r w:rsidRPr="00074805">
        <w:rPr>
          <w:noProof/>
        </w:rPr>
        <w:t xml:space="preserve">La demande concerne 662 travailleurs dont l’activité chez Cora SA et chez l’un de ses fournisseurs a cessé. L’entreprise principale exerçait ses activités dans le secteur économique relevant de la division 47 de la NACE Rév. 2 (Commerce de détail, à l’exception des automobiles et des motocycles). Les emplois supprimés chez Cora et chez son fournisseur sont principalement situés dans la région de niveau NUTS 2 de la province de Hainaut (BE32). </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rsidR="001A62D7" w:rsidRPr="00074805" w:rsidTr="001D5990">
        <w:trPr>
          <w:trHeight w:val="284"/>
          <w:tblHeader/>
        </w:trPr>
        <w:tc>
          <w:tcPr>
            <w:tcW w:w="8340" w:type="dxa"/>
            <w:gridSpan w:val="6"/>
            <w:shd w:val="clear" w:color="auto" w:fill="D9D9D9" w:themeFill="background1" w:themeFillShade="D9"/>
          </w:tcPr>
          <w:p w:rsidR="001A62D7" w:rsidRPr="00074805" w:rsidRDefault="001A62D7" w:rsidP="001D5990">
            <w:pPr>
              <w:spacing w:beforeLines="20" w:before="48" w:afterLines="20" w:after="48" w:line="276" w:lineRule="auto"/>
              <w:ind w:left="57"/>
              <w:jc w:val="center"/>
              <w:rPr>
                <w:rFonts w:eastAsia="Calibri"/>
                <w:noProof/>
                <w:szCs w:val="24"/>
              </w:rPr>
            </w:pPr>
            <w:r w:rsidRPr="00074805">
              <w:rPr>
                <w:b/>
                <w:noProof/>
              </w:rPr>
              <w:t>Entreprises et nombre de licenciements intervenus durant la période de référence</w:t>
            </w:r>
          </w:p>
        </w:tc>
      </w:tr>
      <w:tr w:rsidR="001A62D7" w:rsidRPr="00074805" w:rsidTr="001D5990">
        <w:tc>
          <w:tcPr>
            <w:tcW w:w="3360" w:type="dxa"/>
            <w:tcBorders>
              <w:bottom w:val="nil"/>
              <w:right w:val="nil"/>
            </w:tcBorders>
            <w:vAlign w:val="center"/>
          </w:tcPr>
          <w:p w:rsidR="001A62D7" w:rsidRPr="00074805" w:rsidRDefault="001C1059" w:rsidP="001D5990">
            <w:pPr>
              <w:spacing w:before="0" w:after="0"/>
              <w:ind w:right="252"/>
              <w:jc w:val="left"/>
              <w:rPr>
                <w:noProof/>
                <w:sz w:val="20"/>
              </w:rPr>
            </w:pPr>
            <w:r w:rsidRPr="00074805">
              <w:rPr>
                <w:noProof/>
                <w:sz w:val="20"/>
              </w:rPr>
              <w:t>Cora</w:t>
            </w:r>
          </w:p>
        </w:tc>
        <w:tc>
          <w:tcPr>
            <w:tcW w:w="840" w:type="dxa"/>
            <w:gridSpan w:val="2"/>
            <w:tcBorders>
              <w:left w:val="nil"/>
              <w:bottom w:val="nil"/>
            </w:tcBorders>
            <w:vAlign w:val="center"/>
          </w:tcPr>
          <w:p w:rsidR="001A62D7" w:rsidRPr="00074805" w:rsidRDefault="00AE115B" w:rsidP="001D5990">
            <w:pPr>
              <w:spacing w:before="0" w:after="0"/>
              <w:ind w:left="-828"/>
              <w:jc w:val="right"/>
              <w:rPr>
                <w:noProof/>
                <w:sz w:val="20"/>
                <w:szCs w:val="20"/>
              </w:rPr>
            </w:pPr>
            <w:r w:rsidRPr="00074805">
              <w:rPr>
                <w:noProof/>
                <w:sz w:val="20"/>
              </w:rPr>
              <w:t>621</w:t>
            </w:r>
          </w:p>
        </w:tc>
        <w:tc>
          <w:tcPr>
            <w:tcW w:w="3540" w:type="dxa"/>
            <w:gridSpan w:val="2"/>
            <w:tcBorders>
              <w:bottom w:val="nil"/>
              <w:right w:val="nil"/>
            </w:tcBorders>
            <w:vAlign w:val="center"/>
          </w:tcPr>
          <w:p w:rsidR="001A62D7" w:rsidRPr="00074805" w:rsidRDefault="00F64CE7" w:rsidP="001D5990">
            <w:pPr>
              <w:spacing w:before="0" w:after="0"/>
              <w:jc w:val="left"/>
              <w:rPr>
                <w:noProof/>
                <w:sz w:val="20"/>
              </w:rPr>
            </w:pPr>
            <w:r w:rsidRPr="00074805">
              <w:rPr>
                <w:noProof/>
                <w:sz w:val="20"/>
              </w:rPr>
              <w:t>STEF Logistics Courcelles</w:t>
            </w:r>
          </w:p>
        </w:tc>
        <w:tc>
          <w:tcPr>
            <w:tcW w:w="600" w:type="dxa"/>
            <w:tcBorders>
              <w:left w:val="nil"/>
              <w:bottom w:val="nil"/>
            </w:tcBorders>
            <w:vAlign w:val="center"/>
          </w:tcPr>
          <w:p w:rsidR="001A62D7" w:rsidRPr="00074805" w:rsidRDefault="00D5498B" w:rsidP="001D5990">
            <w:pPr>
              <w:spacing w:before="0" w:after="0"/>
              <w:ind w:left="-828"/>
              <w:jc w:val="right"/>
              <w:rPr>
                <w:noProof/>
                <w:sz w:val="20"/>
              </w:rPr>
            </w:pPr>
            <w:r w:rsidRPr="00074805">
              <w:rPr>
                <w:noProof/>
                <w:sz w:val="20"/>
              </w:rPr>
              <w:t>41</w:t>
            </w:r>
          </w:p>
        </w:tc>
      </w:tr>
      <w:tr w:rsidR="001A62D7" w:rsidRPr="00074805" w:rsidTr="001D5990">
        <w:trPr>
          <w:trHeight w:val="284"/>
        </w:trPr>
        <w:tc>
          <w:tcPr>
            <w:tcW w:w="3840" w:type="dxa"/>
            <w:gridSpan w:val="2"/>
            <w:tcBorders>
              <w:bottom w:val="nil"/>
              <w:right w:val="nil"/>
            </w:tcBorders>
            <w:shd w:val="clear" w:color="auto" w:fill="E6E6E6"/>
            <w:vAlign w:val="center"/>
          </w:tcPr>
          <w:p w:rsidR="001A62D7" w:rsidRPr="00074805" w:rsidRDefault="001A62D7" w:rsidP="001D5990">
            <w:pPr>
              <w:spacing w:beforeLines="20" w:before="48" w:afterLines="20" w:after="48" w:line="276" w:lineRule="auto"/>
              <w:ind w:left="57"/>
              <w:jc w:val="left"/>
              <w:rPr>
                <w:rFonts w:eastAsia="Calibri"/>
                <w:b/>
                <w:noProof/>
                <w:szCs w:val="24"/>
              </w:rPr>
            </w:pPr>
            <w:r w:rsidRPr="00074805">
              <w:rPr>
                <w:noProof/>
              </w:rPr>
              <w:lastRenderedPageBreak/>
              <w:br w:type="page"/>
            </w:r>
            <w:r w:rsidRPr="00074805">
              <w:rPr>
                <w:b/>
                <w:noProof/>
              </w:rPr>
              <w:t>Nombre total d’entreprises:</w:t>
            </w:r>
            <w:r w:rsidRPr="00074805">
              <w:rPr>
                <w:b/>
                <w:noProof/>
                <w:sz w:val="22"/>
              </w:rPr>
              <w:t xml:space="preserve"> </w:t>
            </w:r>
            <w:r w:rsidRPr="00074805">
              <w:rPr>
                <w:b/>
                <w:noProof/>
              </w:rPr>
              <w:t>2</w:t>
            </w:r>
          </w:p>
        </w:tc>
        <w:tc>
          <w:tcPr>
            <w:tcW w:w="3300" w:type="dxa"/>
            <w:gridSpan w:val="2"/>
            <w:tcBorders>
              <w:left w:val="nil"/>
              <w:bottom w:val="nil"/>
              <w:right w:val="nil"/>
            </w:tcBorders>
            <w:shd w:val="clear" w:color="auto" w:fill="E6E6E6"/>
            <w:vAlign w:val="center"/>
          </w:tcPr>
          <w:p w:rsidR="001A62D7" w:rsidRPr="00074805" w:rsidRDefault="001A62D7" w:rsidP="001D5990">
            <w:pPr>
              <w:spacing w:beforeLines="20" w:before="48" w:afterLines="20" w:after="48" w:line="276" w:lineRule="auto"/>
              <w:ind w:left="57" w:right="227"/>
              <w:jc w:val="left"/>
              <w:rPr>
                <w:rFonts w:eastAsia="Calibri"/>
                <w:b/>
                <w:noProof/>
                <w:szCs w:val="24"/>
              </w:rPr>
            </w:pPr>
            <w:r w:rsidRPr="00074805">
              <w:rPr>
                <w:b/>
                <w:noProof/>
              </w:rPr>
              <w:t>Nombre total de licenciements:</w:t>
            </w:r>
            <w:r w:rsidRPr="00074805">
              <w:rPr>
                <w:b/>
                <w:noProof/>
                <w:sz w:val="22"/>
              </w:rPr>
              <w:t xml:space="preserve"> </w:t>
            </w:r>
          </w:p>
        </w:tc>
        <w:tc>
          <w:tcPr>
            <w:tcW w:w="1200" w:type="dxa"/>
            <w:gridSpan w:val="2"/>
            <w:tcBorders>
              <w:left w:val="nil"/>
              <w:bottom w:val="nil"/>
            </w:tcBorders>
            <w:shd w:val="clear" w:color="auto" w:fill="E6E6E6"/>
            <w:vAlign w:val="center"/>
          </w:tcPr>
          <w:p w:rsidR="001A62D7" w:rsidRPr="00074805" w:rsidRDefault="00AE115B" w:rsidP="001D5990">
            <w:pPr>
              <w:spacing w:beforeLines="20" w:before="48" w:afterLines="20" w:after="48" w:line="276" w:lineRule="auto"/>
              <w:ind w:left="57" w:right="227"/>
              <w:jc w:val="left"/>
              <w:rPr>
                <w:rFonts w:eastAsia="Calibri"/>
                <w:b/>
                <w:noProof/>
                <w:szCs w:val="24"/>
              </w:rPr>
            </w:pPr>
            <w:r w:rsidRPr="00074805">
              <w:rPr>
                <w:b/>
                <w:noProof/>
              </w:rPr>
              <w:t>662</w:t>
            </w:r>
          </w:p>
        </w:tc>
      </w:tr>
      <w:tr w:rsidR="001A62D7" w:rsidRPr="00074805" w:rsidTr="001D5990">
        <w:trPr>
          <w:trHeight w:val="284"/>
        </w:trPr>
        <w:tc>
          <w:tcPr>
            <w:tcW w:w="7140" w:type="dxa"/>
            <w:gridSpan w:val="4"/>
            <w:tcBorders>
              <w:top w:val="nil"/>
              <w:right w:val="nil"/>
            </w:tcBorders>
            <w:shd w:val="clear" w:color="auto" w:fill="E6E6E6"/>
            <w:vAlign w:val="center"/>
          </w:tcPr>
          <w:p w:rsidR="001A62D7" w:rsidRPr="00074805" w:rsidRDefault="001A62D7" w:rsidP="001D5990">
            <w:pPr>
              <w:spacing w:beforeLines="20" w:before="48" w:afterLines="20" w:after="48" w:line="276" w:lineRule="auto"/>
              <w:ind w:left="57"/>
              <w:jc w:val="left"/>
              <w:rPr>
                <w:rFonts w:eastAsia="Calibri"/>
                <w:b/>
                <w:noProof/>
                <w:szCs w:val="24"/>
              </w:rPr>
            </w:pPr>
            <w:r w:rsidRPr="00074805">
              <w:rPr>
                <w:b/>
                <w:noProof/>
              </w:rPr>
              <w:t xml:space="preserve">Nombre total de travailleurs éligibles: </w:t>
            </w:r>
          </w:p>
        </w:tc>
        <w:tc>
          <w:tcPr>
            <w:tcW w:w="1200" w:type="dxa"/>
            <w:gridSpan w:val="2"/>
            <w:tcBorders>
              <w:top w:val="nil"/>
              <w:left w:val="nil"/>
            </w:tcBorders>
            <w:shd w:val="clear" w:color="auto" w:fill="E6E6E6"/>
            <w:vAlign w:val="center"/>
          </w:tcPr>
          <w:p w:rsidR="001A62D7" w:rsidRPr="00074805" w:rsidRDefault="00AE115B" w:rsidP="001D5990">
            <w:pPr>
              <w:spacing w:beforeLines="20" w:before="48" w:afterLines="20" w:after="48" w:line="276" w:lineRule="auto"/>
              <w:ind w:left="57" w:right="227"/>
              <w:jc w:val="left"/>
              <w:rPr>
                <w:rFonts w:eastAsia="Calibri"/>
                <w:b/>
                <w:noProof/>
                <w:szCs w:val="24"/>
              </w:rPr>
            </w:pPr>
            <w:r w:rsidRPr="00074805">
              <w:rPr>
                <w:b/>
                <w:noProof/>
              </w:rPr>
              <w:t>662</w:t>
            </w:r>
          </w:p>
        </w:tc>
      </w:tr>
    </w:tbl>
    <w:p w:rsidR="001A62D7" w:rsidRPr="00074805" w:rsidRDefault="001A62D7" w:rsidP="001A62D7">
      <w:pPr>
        <w:pStyle w:val="ManualHeading3"/>
        <w:rPr>
          <w:noProof/>
        </w:rPr>
      </w:pPr>
      <w:r w:rsidRPr="00074805">
        <w:rPr>
          <w:noProof/>
        </w:rPr>
        <w:t>Critères d’intervention</w:t>
      </w:r>
    </w:p>
    <w:p w:rsidR="001A62D7" w:rsidRPr="00074805" w:rsidRDefault="00953996" w:rsidP="001A62D7">
      <w:pPr>
        <w:pStyle w:val="ManualNumPar1"/>
        <w:rPr>
          <w:noProof/>
        </w:rPr>
      </w:pPr>
      <w:r>
        <w:rPr>
          <w:noProof/>
        </w:rPr>
        <w:t>6.</w:t>
      </w:r>
      <w:r>
        <w:rPr>
          <w:noProof/>
        </w:rPr>
        <w:tab/>
      </w:r>
      <w:r w:rsidRPr="00074805">
        <w:rPr>
          <w:noProof/>
        </w:rPr>
        <w:t>La Belgique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w:t>
      </w:r>
    </w:p>
    <w:p w:rsidR="00AA58A5" w:rsidRPr="00074805" w:rsidRDefault="001A62D7" w:rsidP="00D474B0">
      <w:pPr>
        <w:pStyle w:val="ManualNumPar1"/>
        <w:rPr>
          <w:noProof/>
        </w:rPr>
      </w:pPr>
      <w:r>
        <w:rPr>
          <w:noProof/>
        </w:rPr>
        <w:t>7.</w:t>
      </w:r>
      <w:r>
        <w:rPr>
          <w:noProof/>
        </w:rPr>
        <w:tab/>
      </w:r>
      <w:bookmarkStart w:id="8" w:name="_Ref372189348"/>
      <w:r w:rsidRPr="00074805">
        <w:rPr>
          <w:noProof/>
        </w:rPr>
        <w:t>La période de référence de quatre mois retenue pour la demande s’étend du 1</w:t>
      </w:r>
      <w:r w:rsidRPr="00074805">
        <w:rPr>
          <w:noProof/>
          <w:vertAlign w:val="superscript"/>
        </w:rPr>
        <w:t>er</w:t>
      </w:r>
      <w:r w:rsidRPr="00074805">
        <w:rPr>
          <w:noProof/>
        </w:rPr>
        <w:t xml:space="preserve"> septembre 2025 au </w:t>
      </w:r>
      <w:bookmarkEnd w:id="8"/>
      <w:r w:rsidRPr="00074805">
        <w:rPr>
          <w:noProof/>
        </w:rPr>
        <w:t>1</w:t>
      </w:r>
      <w:r w:rsidRPr="00074805">
        <w:rPr>
          <w:noProof/>
          <w:vertAlign w:val="superscript"/>
        </w:rPr>
        <w:t>er</w:t>
      </w:r>
      <w:r w:rsidRPr="00074805">
        <w:rPr>
          <w:noProof/>
        </w:rPr>
        <w:t xml:space="preserve"> janvier 2026. </w:t>
      </w:r>
    </w:p>
    <w:p w:rsidR="00F808CC" w:rsidRPr="00074805" w:rsidRDefault="001A62D7" w:rsidP="00D474B0">
      <w:pPr>
        <w:pStyle w:val="ManualNumPar1"/>
        <w:rPr>
          <w:noProof/>
        </w:rPr>
      </w:pPr>
      <w:r>
        <w:rPr>
          <w:noProof/>
        </w:rPr>
        <w:t>8.</w:t>
      </w:r>
      <w:r>
        <w:rPr>
          <w:noProof/>
        </w:rPr>
        <w:tab/>
      </w:r>
      <w:r w:rsidRPr="00074805">
        <w:rPr>
          <w:noProof/>
        </w:rPr>
        <w:t>Au cours de la période de référence, 662 licenciements ont eu lieu.</w:t>
      </w:r>
    </w:p>
    <w:p w:rsidR="001A62D7" w:rsidRPr="00074805" w:rsidRDefault="001A62D7" w:rsidP="001A62D7">
      <w:pPr>
        <w:pStyle w:val="ManualHeading3"/>
        <w:rPr>
          <w:noProof/>
        </w:rPr>
      </w:pPr>
      <w:r w:rsidRPr="00074805">
        <w:rPr>
          <w:noProof/>
        </w:rPr>
        <w:t>Calcul des licenciements et de la cessation d’activité</w:t>
      </w:r>
    </w:p>
    <w:p w:rsidR="001A62D7" w:rsidRPr="00074805" w:rsidRDefault="001A62D7" w:rsidP="00D21418">
      <w:pPr>
        <w:pStyle w:val="ManualNumPar1"/>
        <w:rPr>
          <w:noProof/>
        </w:rPr>
      </w:pPr>
      <w:r>
        <w:rPr>
          <w:noProof/>
        </w:rPr>
        <w:t>9.</w:t>
      </w:r>
      <w:r>
        <w:rPr>
          <w:noProof/>
        </w:rPr>
        <w:tab/>
      </w:r>
      <w:r w:rsidRPr="00074805">
        <w:rPr>
          <w:noProof/>
        </w:rPr>
        <w:t>Conformément à l’article 6, premier alinéa, point a), lu en combinaison avec l’article 5, premier alinéa, point c), du règlement (UE) 2021/691, le nombre de travailleurs concernés par les licenciements intervenus durant la période de référence a été calculé à partir de la date de la résiliation de fait du contrat de travail ou de son expiration.</w:t>
      </w:r>
    </w:p>
    <w:p w:rsidR="001A62D7" w:rsidRPr="00074805" w:rsidRDefault="001A62D7" w:rsidP="001A62D7">
      <w:pPr>
        <w:pStyle w:val="ManualHeading3"/>
        <w:rPr>
          <w:noProof/>
        </w:rPr>
      </w:pPr>
      <w:r w:rsidRPr="00074805">
        <w:rPr>
          <w:noProof/>
        </w:rPr>
        <w:t>Bénéficiaires éligibles</w:t>
      </w:r>
    </w:p>
    <w:p w:rsidR="001A62D7" w:rsidRPr="00074805" w:rsidRDefault="001A62D7" w:rsidP="00AE7D04">
      <w:pPr>
        <w:pStyle w:val="ManualNumPar1"/>
        <w:rPr>
          <w:noProof/>
        </w:rPr>
      </w:pPr>
      <w:r>
        <w:rPr>
          <w:noProof/>
        </w:rPr>
        <w:t>10.</w:t>
      </w:r>
      <w:r>
        <w:rPr>
          <w:noProof/>
        </w:rPr>
        <w:tab/>
      </w:r>
      <w:r w:rsidRPr="00074805">
        <w:rPr>
          <w:noProof/>
        </w:rPr>
        <w:t>Outre les 662 travailleurs déjà évoqués, les bénéficiaires éligibles incluent 595 travailleurs licenciés dont l’activité a cessé avant ou après la période de référence de quatre mois. Tous ces travailleurs ont cessé leur activité dans les six mois précédant le début de la période de référence, le 1</w:t>
      </w:r>
      <w:r w:rsidRPr="00074805">
        <w:rPr>
          <w:noProof/>
          <w:vertAlign w:val="superscript"/>
        </w:rPr>
        <w:t>er</w:t>
      </w:r>
      <w:r w:rsidRPr="00074805">
        <w:rPr>
          <w:noProof/>
        </w:rPr>
        <w:t> septembre 2025, et/ou entre la fin de la période de référence et la veille de l’adoption de la présente proposition, conformément à l’article 6, premier alinéa, point b), du règlement (UE) 2021/691, comme l’exige l’article 6, deuxième alinéa, dudit règlement. Un lien de causalité clair peut être établi avec l’événement qui a déclenché la cessation d’activité des travailleurs licenciés au cours de la période de référence, comme l’exige l’article 6, deuxième alinéa, du règlement (UE) 2021/691.</w:t>
      </w:r>
    </w:p>
    <w:p w:rsidR="001A62D7" w:rsidRPr="00074805" w:rsidRDefault="001A62D7" w:rsidP="00AE7D04">
      <w:pPr>
        <w:pStyle w:val="ManualNumPar1"/>
        <w:rPr>
          <w:noProof/>
        </w:rPr>
      </w:pPr>
      <w:r>
        <w:rPr>
          <w:noProof/>
        </w:rPr>
        <w:t>11.</w:t>
      </w:r>
      <w:r>
        <w:rPr>
          <w:noProof/>
        </w:rPr>
        <w:tab/>
      </w:r>
      <w:r w:rsidRPr="00074805">
        <w:rPr>
          <w:noProof/>
        </w:rPr>
        <w:t>Le nombre total de bénéficiaires éligibles s’élève à 1 257.</w:t>
      </w:r>
    </w:p>
    <w:p w:rsidR="001A62D7" w:rsidRPr="00074805" w:rsidRDefault="001A62D7" w:rsidP="001A62D7">
      <w:pPr>
        <w:pStyle w:val="ManualHeading3"/>
        <w:rPr>
          <w:noProof/>
        </w:rPr>
      </w:pPr>
      <w:r w:rsidRPr="00074805">
        <w:rPr>
          <w:noProof/>
        </w:rPr>
        <w:t>Description des événements ayant conduit aux licenciements et à la cessation d’activité</w:t>
      </w:r>
    </w:p>
    <w:p w:rsidR="00CB71AD" w:rsidRPr="00074805" w:rsidRDefault="00CB71AD" w:rsidP="00AE7D04">
      <w:pPr>
        <w:pStyle w:val="ManualNumPar1"/>
        <w:rPr>
          <w:noProof/>
        </w:rPr>
      </w:pPr>
      <w:r>
        <w:rPr>
          <w:noProof/>
        </w:rPr>
        <w:t>12.</w:t>
      </w:r>
      <w:r>
        <w:rPr>
          <w:noProof/>
        </w:rPr>
        <w:tab/>
      </w:r>
      <w:r w:rsidRPr="00074805">
        <w:rPr>
          <w:noProof/>
        </w:rPr>
        <w:t>Le modèle des hypermarchés est actuellement confronté à des défis majeurs. L’évolution des habitudes de consommation — les consommateurs privilégiant de plus en plus les courses rapides et pratiques — conjuguée à l’essor des achats alimentaires en ligne ont réduit la nécessité de se rendre dans de grandes surfaces. La concurrence exercée par les nouveaux formats de commerce de détail s’est également intensifiée: les supermarchés de proximité et les magasins spécialisés, notamment les enseignes spécialisées dans les produits biologiques et les produits gastronomiques, gagnent des parts de marché. En outre, les coûts d’exploitation plus élevés associés au modèle des hypermarchés, par rapport aux formats de magasins de plus petite taille ou numériques, ont pesé sur la rentabilité.</w:t>
      </w:r>
    </w:p>
    <w:p w:rsidR="00CB71AD" w:rsidRPr="00074805" w:rsidRDefault="00CB71AD" w:rsidP="00AE7D04">
      <w:pPr>
        <w:pStyle w:val="ManualNumPar1"/>
        <w:rPr>
          <w:noProof/>
        </w:rPr>
      </w:pPr>
      <w:r>
        <w:rPr>
          <w:noProof/>
        </w:rPr>
        <w:lastRenderedPageBreak/>
        <w:t>13.</w:t>
      </w:r>
      <w:r>
        <w:rPr>
          <w:noProof/>
        </w:rPr>
        <w:tab/>
      </w:r>
      <w:r w:rsidRPr="00074805">
        <w:rPr>
          <w:noProof/>
        </w:rPr>
        <w:t>Afin de s’adapter à ces évolutions du marché et d’améliorer sa situation financière, Cora a mis en œuvre plusieurs initiatives, notamment plusieurs plans de redressement (mis en place en 2014, 2017 et 2023), des recapitalisations représentant près de 112 millions d’EUR depuis 2020, ainsi que des collaborations commerciales stratégiques avec Carrefour et Intermarché.</w:t>
      </w:r>
    </w:p>
    <w:p w:rsidR="001B689F" w:rsidRPr="00074805" w:rsidRDefault="00CB71AD" w:rsidP="001B689F">
      <w:pPr>
        <w:pStyle w:val="ManualNumPar1"/>
        <w:rPr>
          <w:noProof/>
        </w:rPr>
      </w:pPr>
      <w:r>
        <w:rPr>
          <w:noProof/>
        </w:rPr>
        <w:t>14.</w:t>
      </w:r>
      <w:r>
        <w:rPr>
          <w:noProof/>
        </w:rPr>
        <w:tab/>
      </w:r>
      <w:r w:rsidRPr="00074805">
        <w:rPr>
          <w:noProof/>
        </w:rPr>
        <w:t xml:space="preserve">La hausse de l’inflation a pesé sur les coûts d’exploitation. Depuis 2021, le coût horaire de la main-d’œuvre a fait l’objet de dix </w:t>
      </w:r>
      <w:bookmarkStart w:id="9" w:name="_Hlk229485328"/>
      <w:r w:rsidRPr="00074805">
        <w:rPr>
          <w:noProof/>
        </w:rPr>
        <w:t>augmentations successives liées à l’indexation</w:t>
      </w:r>
      <w:bookmarkEnd w:id="9"/>
      <w:r w:rsidRPr="00074805">
        <w:rPr>
          <w:noProof/>
        </w:rPr>
        <w:t xml:space="preserve">, représentant une hausse cumulée de plus de 20 %. En 2024, Cora a enregistré une perte de 34 millions d’EUR et une baisse de 6,1 % de son chiffre d’affaires. Sur la période 2020-2024, la marge brute de Cora a diminué de 16,1 millions d’EUR, tandis que son </w:t>
      </w:r>
      <w:bookmarkStart w:id="10" w:name="_Hlk229565472"/>
      <w:r w:rsidRPr="00074805">
        <w:rPr>
          <w:noProof/>
        </w:rPr>
        <w:t>EBITDA</w:t>
      </w:r>
      <w:r w:rsidR="004834D6" w:rsidRPr="00074805">
        <w:rPr>
          <w:rStyle w:val="FootnoteReference"/>
          <w:noProof/>
        </w:rPr>
        <w:footnoteReference w:id="6"/>
      </w:r>
      <w:bookmarkEnd w:id="10"/>
      <w:r w:rsidRPr="00074805">
        <w:rPr>
          <w:noProof/>
        </w:rPr>
        <w:t xml:space="preserve"> est passé de -3,7 millions d’EUR à -22,5 millions d’EUR, contribuant à une perte nette cumulée de 123 millions d’EUR</w:t>
      </w:r>
      <w:r w:rsidR="00CD4063" w:rsidRPr="00074805">
        <w:rPr>
          <w:rStyle w:val="FootnoteReference"/>
          <w:noProof/>
        </w:rPr>
        <w:footnoteReference w:id="7"/>
      </w:r>
      <w:r w:rsidRPr="00074805">
        <w:rPr>
          <w:noProof/>
        </w:rPr>
        <w:t>.</w:t>
      </w:r>
    </w:p>
    <w:p w:rsidR="001A62D7" w:rsidRPr="00074805" w:rsidRDefault="00A130CC" w:rsidP="00532504">
      <w:pPr>
        <w:pStyle w:val="ManualNumPar1"/>
        <w:rPr>
          <w:noProof/>
        </w:rPr>
      </w:pPr>
      <w:r>
        <w:rPr>
          <w:noProof/>
        </w:rPr>
        <w:t>15.</w:t>
      </w:r>
      <w:r>
        <w:rPr>
          <w:noProof/>
        </w:rPr>
        <w:tab/>
      </w:r>
      <w:r w:rsidRPr="00074805">
        <w:rPr>
          <w:noProof/>
        </w:rPr>
        <w:t>Malgré les efforts qu’elle a déployés, Cora n’est pas parvenue à améliorer sa situation financière. L’entreprise a donc engagé des licenciements collectifs par vagues successives à partir de septembre 2025, dans le cadre d’une cessation progressive de ses activités.</w:t>
      </w:r>
    </w:p>
    <w:p w:rsidR="001A62D7" w:rsidRPr="00074805" w:rsidRDefault="001A62D7" w:rsidP="001A62D7">
      <w:pPr>
        <w:pStyle w:val="ManualHeading3"/>
        <w:tabs>
          <w:tab w:val="clear" w:pos="850"/>
          <w:tab w:val="left" w:pos="0"/>
        </w:tabs>
        <w:ind w:left="0" w:firstLine="0"/>
        <w:rPr>
          <w:noProof/>
        </w:rPr>
      </w:pPr>
      <w:r w:rsidRPr="00074805">
        <w:rPr>
          <w:noProof/>
        </w:rPr>
        <w:t>Effets attendus des licenciements sur l’économie et l’emploi au niveau local, régional ou national</w:t>
      </w:r>
    </w:p>
    <w:p w:rsidR="00783113" w:rsidRPr="00074805" w:rsidRDefault="00783113" w:rsidP="00A5196A">
      <w:pPr>
        <w:pStyle w:val="ManualNumPar1"/>
        <w:rPr>
          <w:noProof/>
        </w:rPr>
      </w:pPr>
      <w:r>
        <w:rPr>
          <w:noProof/>
        </w:rPr>
        <w:t>16.</w:t>
      </w:r>
      <w:r>
        <w:rPr>
          <w:noProof/>
        </w:rPr>
        <w:tab/>
      </w:r>
      <w:r w:rsidRPr="00074805">
        <w:rPr>
          <w:noProof/>
        </w:rPr>
        <w:t>Les licenciements opérés par Cora constituent un choc social majeur pour la Wallonie, dans la mesure où ils interviennent sur un marché du travail déjà fragilisé par d’autres restructurations, telles que celles de TNT-FedEx</w:t>
      </w:r>
      <w:r w:rsidR="00E73E09" w:rsidRPr="00074805">
        <w:rPr>
          <w:rStyle w:val="FootnoteReference"/>
          <w:noProof/>
        </w:rPr>
        <w:footnoteReference w:id="8"/>
      </w:r>
      <w:r w:rsidRPr="00074805">
        <w:rPr>
          <w:noProof/>
        </w:rPr>
        <w:t>, Makro</w:t>
      </w:r>
      <w:r w:rsidR="00E73E09" w:rsidRPr="00074805">
        <w:rPr>
          <w:rStyle w:val="FootnoteReference"/>
          <w:noProof/>
        </w:rPr>
        <w:footnoteReference w:id="9"/>
      </w:r>
      <w:r w:rsidRPr="00074805">
        <w:rPr>
          <w:noProof/>
        </w:rPr>
        <w:t xml:space="preserve"> ou Liberty</w:t>
      </w:r>
      <w:r w:rsidR="00DC549A" w:rsidRPr="00074805">
        <w:rPr>
          <w:rStyle w:val="FootnoteReference"/>
          <w:noProof/>
        </w:rPr>
        <w:footnoteReference w:id="10"/>
      </w:r>
      <w:r w:rsidRPr="00074805">
        <w:rPr>
          <w:noProof/>
        </w:rPr>
        <w:t>, pour lesquelles la Belgique a également sollicité un soutien du FEM.</w:t>
      </w:r>
    </w:p>
    <w:p w:rsidR="001A3C97" w:rsidRPr="00074805" w:rsidRDefault="001A3C97" w:rsidP="00A5196A">
      <w:pPr>
        <w:pStyle w:val="ManualNumPar1"/>
        <w:rPr>
          <w:noProof/>
        </w:rPr>
      </w:pPr>
      <w:r>
        <w:rPr>
          <w:noProof/>
        </w:rPr>
        <w:t>17.</w:t>
      </w:r>
      <w:r>
        <w:rPr>
          <w:noProof/>
        </w:rPr>
        <w:tab/>
      </w:r>
      <w:r w:rsidRPr="00074805">
        <w:rPr>
          <w:noProof/>
        </w:rPr>
        <w:t>Le taux de chômage en Belgique est de 6,4 %</w:t>
      </w:r>
      <w:r w:rsidR="00C634D9" w:rsidRPr="00074805">
        <w:rPr>
          <w:rStyle w:val="FootnoteReference"/>
          <w:noProof/>
        </w:rPr>
        <w:footnoteReference w:id="11"/>
      </w:r>
      <w:r w:rsidRPr="00074805">
        <w:rPr>
          <w:noProof/>
        </w:rPr>
        <w:t>, soit un niveau légèrement supérieur à la moyenne de l’Union (5,8 %)</w:t>
      </w:r>
      <w:r w:rsidR="00C634D9" w:rsidRPr="00074805">
        <w:rPr>
          <w:rStyle w:val="FootnoteReference"/>
          <w:noProof/>
        </w:rPr>
        <w:footnoteReference w:id="12"/>
      </w:r>
      <w:r w:rsidRPr="00074805">
        <w:rPr>
          <w:noProof/>
        </w:rPr>
        <w:t>. Toutefois, le taux de chômage en Wallonie s’élève à 8,3 %</w:t>
      </w:r>
      <w:r w:rsidR="00C634D9" w:rsidRPr="00074805">
        <w:rPr>
          <w:rStyle w:val="FootnoteReference"/>
          <w:noProof/>
        </w:rPr>
        <w:footnoteReference w:id="13"/>
      </w:r>
      <w:r w:rsidRPr="00074805">
        <w:rPr>
          <w:noProof/>
        </w:rPr>
        <w:t xml:space="preserve">, soit environ 2 points de pourcentage (pp) de plus que le taux national. </w:t>
      </w:r>
    </w:p>
    <w:p w:rsidR="0095683A" w:rsidRPr="00074805" w:rsidRDefault="0095683A" w:rsidP="00A5196A">
      <w:pPr>
        <w:pStyle w:val="ManualNumPar1"/>
        <w:rPr>
          <w:noProof/>
        </w:rPr>
      </w:pPr>
      <w:r>
        <w:rPr>
          <w:noProof/>
        </w:rPr>
        <w:t>18.</w:t>
      </w:r>
      <w:r>
        <w:rPr>
          <w:noProof/>
        </w:rPr>
        <w:tab/>
      </w:r>
      <w:r w:rsidRPr="00074805">
        <w:rPr>
          <w:noProof/>
        </w:rPr>
        <w:t>La Belgique, s’appuyant sur des données de Statbel, souligne que les taux d’emploi en Wallonie sont fortement influencés à la fois par l’âge et le niveau d’éducation, avec des écarts de 23 à 30 points de pourcentage entre les niveaux de qualification successifs. Parmi les personnes en âge de travailler, le taux d’emploi n’atteint que 31 % pour celles ayant un faible niveau d’éducation, contre 61 % pour celles ayant un niveau de qualification intermédiaire et 84 % pour celles ayant un niveau de qualification élevé</w:t>
      </w:r>
      <w:r w:rsidRPr="00074805">
        <w:rPr>
          <w:rStyle w:val="FootnoteReference"/>
          <w:noProof/>
        </w:rPr>
        <w:footnoteReference w:id="14"/>
      </w:r>
      <w:r w:rsidRPr="00074805">
        <w:rPr>
          <w:noProof/>
        </w:rPr>
        <w:t>. Par ailleurs, alors que le taux d’emploi des personnes âgées de 25 à 49 ans s’élève à 77 %, il diminue de 16 points de pourcentage pour les personnes âgées de 50 ans et plus</w:t>
      </w:r>
      <w:r w:rsidR="006C5032" w:rsidRPr="00074805">
        <w:rPr>
          <w:rStyle w:val="FootnoteReference"/>
          <w:noProof/>
        </w:rPr>
        <w:footnoteReference w:id="15"/>
      </w:r>
      <w:r w:rsidRPr="00074805">
        <w:rPr>
          <w:noProof/>
        </w:rPr>
        <w:t>.</w:t>
      </w:r>
    </w:p>
    <w:p w:rsidR="00A5196A" w:rsidRPr="00074805" w:rsidRDefault="00EF012B" w:rsidP="00A5196A">
      <w:pPr>
        <w:pStyle w:val="ManualNumPar1"/>
        <w:rPr>
          <w:noProof/>
        </w:rPr>
      </w:pPr>
      <w:r>
        <w:rPr>
          <w:noProof/>
        </w:rPr>
        <w:lastRenderedPageBreak/>
        <w:t>19.</w:t>
      </w:r>
      <w:r>
        <w:rPr>
          <w:noProof/>
        </w:rPr>
        <w:tab/>
      </w:r>
      <w:r w:rsidRPr="00074805">
        <w:rPr>
          <w:noProof/>
        </w:rPr>
        <w:t>Cora possédait deux magasins à Bruxelles</w:t>
      </w:r>
      <w:r w:rsidR="006C5032" w:rsidRPr="00074805">
        <w:rPr>
          <w:rStyle w:val="FootnoteReference"/>
          <w:noProof/>
        </w:rPr>
        <w:footnoteReference w:id="16"/>
      </w:r>
      <w:r w:rsidRPr="00074805">
        <w:rPr>
          <w:noProof/>
        </w:rPr>
        <w:t xml:space="preserve"> et cinq en Wallonie. Les licenciements concernent principalement la province wallonne de Hainaut, où résident deux travailleurs licenciés sur trois, et plus particulièrement la ville de Charleroi, où étaient également implantés les services généraux de Cora.</w:t>
      </w:r>
    </w:p>
    <w:p w:rsidR="00A331D5" w:rsidRPr="00074805" w:rsidRDefault="00CB3BCE" w:rsidP="000E51CF">
      <w:pPr>
        <w:pStyle w:val="ManualNumPar1"/>
        <w:rPr>
          <w:noProof/>
        </w:rPr>
      </w:pPr>
      <w:r>
        <w:rPr>
          <w:noProof/>
        </w:rPr>
        <w:t>20.</w:t>
      </w:r>
      <w:r>
        <w:rPr>
          <w:noProof/>
        </w:rPr>
        <w:tab/>
      </w:r>
      <w:bookmarkStart w:id="12" w:name="_Hlk229057170"/>
      <w:r w:rsidRPr="00074805">
        <w:rPr>
          <w:noProof/>
        </w:rPr>
        <w:t xml:space="preserve">La province de Hainaut est confrontée à un marché du travail défavorisé. En décembre 2025, </w:t>
      </w:r>
      <w:bookmarkStart w:id="13" w:name="_Hlk229565640"/>
      <w:r w:rsidRPr="00074805">
        <w:rPr>
          <w:noProof/>
        </w:rPr>
        <w:t>le taux de demandeurs d’emploi inoccupés inscrits</w:t>
      </w:r>
      <w:bookmarkEnd w:id="13"/>
      <w:r w:rsidRPr="00074805">
        <w:rPr>
          <w:noProof/>
        </w:rPr>
        <w:t xml:space="preserve"> était de 17,6 % dans le Hainaut (+1,5 point de pourcentage par rapport à l’année précédente)</w:t>
      </w:r>
      <w:r w:rsidR="000F586D" w:rsidRPr="00074805">
        <w:rPr>
          <w:rStyle w:val="FootnoteReference"/>
          <w:noProof/>
        </w:rPr>
        <w:footnoteReference w:id="17"/>
      </w:r>
      <w:r w:rsidRPr="00074805">
        <w:rPr>
          <w:noProof/>
        </w:rPr>
        <w:t>. Le Hainaut concentre 41 % des demandeurs d’emploi wallons et le chômage de longue durée y est très répandu: 68 % des demandeurs d’emploi inscrits sont au chômage depuis plus de 12 mois. Près de deux demandeurs d’emploi de longue durée sur trois ont atteint le deuxième ou le troisième degré de l’enseignement secondaire</w:t>
      </w:r>
      <w:r w:rsidR="009B4361" w:rsidRPr="00074805">
        <w:rPr>
          <w:rStyle w:val="FootnoteReference"/>
          <w:noProof/>
        </w:rPr>
        <w:footnoteReference w:id="18"/>
      </w:r>
      <w:r w:rsidRPr="00074805">
        <w:rPr>
          <w:noProof/>
        </w:rPr>
        <w:t>. En ce qui concerne l’âge, les 15-29 ans représentent la part la plus importante des demandeurs d’emploi (30 %), suivis des 50 ans et plus (26 %)</w:t>
      </w:r>
      <w:r w:rsidR="009A7E0D" w:rsidRPr="00074805">
        <w:rPr>
          <w:rStyle w:val="FootnoteReference"/>
          <w:noProof/>
        </w:rPr>
        <w:footnoteReference w:id="19"/>
      </w:r>
      <w:r w:rsidRPr="00074805">
        <w:rPr>
          <w:noProof/>
        </w:rPr>
        <w:t>.</w:t>
      </w:r>
    </w:p>
    <w:bookmarkEnd w:id="12"/>
    <w:p w:rsidR="00A5196A" w:rsidRPr="00074805" w:rsidRDefault="00A331D5" w:rsidP="000E51CF">
      <w:pPr>
        <w:pStyle w:val="ManualNumPar1"/>
        <w:rPr>
          <w:noProof/>
        </w:rPr>
      </w:pPr>
      <w:r>
        <w:rPr>
          <w:noProof/>
        </w:rPr>
        <w:t>21.</w:t>
      </w:r>
      <w:r>
        <w:rPr>
          <w:noProof/>
        </w:rPr>
        <w:tab/>
      </w:r>
      <w:r w:rsidRPr="00074805">
        <w:rPr>
          <w:noProof/>
        </w:rPr>
        <w:t>Huit travailleurs licenciés sur dix ont un niveau d’éducation correspondant au deuxième cycle de l’enseignement secondaire ou inférieur. En ce qui concerne l’âge, environ la moitié sont âgés de 50 ans ou plus. Par conséquent, un accompagnement personnalisé et renforcé en matière de reclassement externe et d’orientation professionnelle, associé à des possibilités de perfectionnement et de reconversion professionnels, est indispensable pour faciliter leur transition vers un nouvel emploi.</w:t>
      </w:r>
    </w:p>
    <w:p w:rsidR="001A62D7" w:rsidRPr="00074805" w:rsidRDefault="00A331D5" w:rsidP="00A5196A">
      <w:pPr>
        <w:pStyle w:val="ManualNumPar1"/>
        <w:rPr>
          <w:noProof/>
        </w:rPr>
      </w:pPr>
      <w:r>
        <w:rPr>
          <w:noProof/>
        </w:rPr>
        <w:t>22.</w:t>
      </w:r>
      <w:r>
        <w:rPr>
          <w:noProof/>
        </w:rPr>
        <w:tab/>
      </w:r>
      <w:r w:rsidRPr="00074805">
        <w:rPr>
          <w:noProof/>
        </w:rPr>
        <w:t>La Belgique sollicite un cofinancement du FEM exclusivement afin de soutenir les anciens travailleurs de Cora résidant en Wallonie. Compte tenu du nombre relativement limité de travailleurs concernés à Bruxelles, les autorités régionales estiment que les services publics de l’emploi sont en mesure de leur apporter un soutien adéquat sans qu’il soit nécessaire de mobiliser des ressources supplémentaires.</w:t>
      </w:r>
    </w:p>
    <w:p w:rsidR="001A62D7" w:rsidRPr="00074805" w:rsidRDefault="001A62D7" w:rsidP="001A62D7">
      <w:pPr>
        <w:pStyle w:val="ManualHeading2"/>
        <w:rPr>
          <w:noProof/>
        </w:rPr>
      </w:pPr>
      <w:r w:rsidRPr="00074805">
        <w:rPr>
          <w:noProof/>
        </w:rPr>
        <w:t>Mise en œuvre du cadre de qualité de l’UE pour l’anticipation des changements et des restructurations</w:t>
      </w:r>
    </w:p>
    <w:p w:rsidR="004239CD" w:rsidRPr="00074805" w:rsidRDefault="003334EE" w:rsidP="00C72394">
      <w:pPr>
        <w:pStyle w:val="ManualNumPar1"/>
        <w:rPr>
          <w:noProof/>
        </w:rPr>
      </w:pPr>
      <w:r>
        <w:rPr>
          <w:noProof/>
        </w:rPr>
        <w:t>23.</w:t>
      </w:r>
      <w:r>
        <w:rPr>
          <w:noProof/>
        </w:rPr>
        <w:tab/>
      </w:r>
      <w:r w:rsidRPr="00074805">
        <w:rPr>
          <w:noProof/>
        </w:rPr>
        <w:t>La Belgique a décrit la manière dont les recommandations formulées dans le cadre de qualité de l’UE pour l’anticipation des changements et des restructurations ont été prises en considération.</w:t>
      </w:r>
    </w:p>
    <w:p w:rsidR="0051086D" w:rsidRPr="00074805" w:rsidRDefault="0051086D" w:rsidP="0051086D">
      <w:pPr>
        <w:pStyle w:val="ManualNumPar1"/>
        <w:rPr>
          <w:noProof/>
        </w:rPr>
      </w:pPr>
      <w:r>
        <w:rPr>
          <w:noProof/>
        </w:rPr>
        <w:t>24.</w:t>
      </w:r>
      <w:r>
        <w:rPr>
          <w:noProof/>
        </w:rPr>
        <w:tab/>
      </w:r>
      <w:r w:rsidRPr="00074805">
        <w:rPr>
          <w:noProof/>
        </w:rPr>
        <w:t xml:space="preserve">Cora s’est conformée à la législation belge sur les licenciements collectifs, qui impose une procédure obligatoire d’information et de consultation des représentants des travailleurs. La procédure permet d’explorer toute possibilité d’éviter ou de réduire le nombre de licenciements. Elle vise également à atténuer les conséquences de la perte d’emploi au moyen de mesures sociales complémentaires, telles que le soutien à la reconversion et au recyclage des travailleurs licenciés. Les négociations ont permis d’obtenir un budget spécifique de </w:t>
      </w:r>
      <w:bookmarkStart w:id="16" w:name="_Hlk168668396"/>
      <w:r w:rsidRPr="00074805">
        <w:rPr>
          <w:noProof/>
        </w:rPr>
        <w:t>1 898 000 EUR destiné à couvrir les coûts de la reconversion.</w:t>
      </w:r>
      <w:bookmarkEnd w:id="16"/>
    </w:p>
    <w:p w:rsidR="00C72394" w:rsidRPr="00074805" w:rsidRDefault="001A62D7" w:rsidP="00C72394">
      <w:pPr>
        <w:pStyle w:val="ManualNumPar1"/>
        <w:rPr>
          <w:noProof/>
        </w:rPr>
      </w:pPr>
      <w:r>
        <w:rPr>
          <w:noProof/>
        </w:rPr>
        <w:t>25.</w:t>
      </w:r>
      <w:r>
        <w:rPr>
          <w:noProof/>
        </w:rPr>
        <w:tab/>
      </w:r>
      <w:r w:rsidRPr="00074805">
        <w:rPr>
          <w:noProof/>
        </w:rPr>
        <w:t>En ce qui concerne les activités entreprises pour aider les travailleurs licenciés, la Belgique a indiqué que le droit national</w:t>
      </w:r>
      <w:r w:rsidR="004239CD" w:rsidRPr="00074805">
        <w:rPr>
          <w:rStyle w:val="FootnoteReference"/>
          <w:noProof/>
        </w:rPr>
        <w:footnoteReference w:id="20"/>
      </w:r>
      <w:r w:rsidRPr="00074805">
        <w:rPr>
          <w:noProof/>
        </w:rPr>
        <w:t xml:space="preserve"> du travail relatif à la gestion active des restructurations exige des entreprises en cours de restructuration qu’elles créent une </w:t>
      </w:r>
      <w:r w:rsidRPr="00074805">
        <w:rPr>
          <w:noProof/>
        </w:rPr>
        <w:lastRenderedPageBreak/>
        <w:t>cellule pour l’emploi</w:t>
      </w:r>
      <w:r w:rsidR="003C644B" w:rsidRPr="00005761">
        <w:rPr>
          <w:rStyle w:val="FootnoteReference"/>
          <w:iCs/>
          <w:noProof/>
        </w:rPr>
        <w:footnoteReference w:id="21"/>
      </w:r>
      <w:r w:rsidRPr="00074805">
        <w:rPr>
          <w:noProof/>
        </w:rPr>
        <w:t>, dont l’objectif est de fournir aux travailleurs licenciés dans le cadre de licenciements collectifs 30 heures de services de reclassement externe sur une période de trois mois (60 heures sur six mois pour les travailleurs âgés de 45 ans et plus).</w:t>
      </w:r>
    </w:p>
    <w:p w:rsidR="00C72394" w:rsidRPr="00074805" w:rsidRDefault="00C72394" w:rsidP="00C72394">
      <w:pPr>
        <w:pStyle w:val="ManualNumPar1"/>
        <w:rPr>
          <w:noProof/>
        </w:rPr>
      </w:pPr>
      <w:r>
        <w:rPr>
          <w:noProof/>
        </w:rPr>
        <w:t>26.</w:t>
      </w:r>
      <w:r>
        <w:rPr>
          <w:noProof/>
        </w:rPr>
        <w:tab/>
      </w:r>
      <w:r w:rsidRPr="00074805">
        <w:rPr>
          <w:noProof/>
        </w:rPr>
        <w:t>La législation régionale wallonne</w:t>
      </w:r>
      <w:r w:rsidR="002F688A" w:rsidRPr="00074805">
        <w:rPr>
          <w:rStyle w:val="FootnoteReference"/>
          <w:noProof/>
        </w:rPr>
        <w:footnoteReference w:id="22"/>
      </w:r>
      <w:r w:rsidRPr="00074805">
        <w:rPr>
          <w:noProof/>
        </w:rPr>
        <w:t xml:space="preserve"> prévoit un soutien spécifique aux travailleurs licenciés, sous la forme d’une cellule de reconversion</w:t>
      </w:r>
      <w:r w:rsidR="002F688A" w:rsidRPr="00005761">
        <w:rPr>
          <w:rStyle w:val="FootnoteReference"/>
          <w:iCs/>
          <w:noProof/>
        </w:rPr>
        <w:footnoteReference w:id="23"/>
      </w:r>
      <w:r w:rsidRPr="00074805">
        <w:rPr>
          <w:noProof/>
        </w:rPr>
        <w:t xml:space="preserve"> mise en place par le service public régional de l’emploi et de la formation professionnelle (Le Forem), à la demande des organisations représentatives des travailleurs. La cellule de reconversion ne constitue pas une obligation pour l’employeur, ni pour le Forem. La mise en œuvre des mesures cofinancées par le FEM sera gérée par l’intermédiaire d’une telle cellule de reconversion.</w:t>
      </w:r>
    </w:p>
    <w:p w:rsidR="00C72394" w:rsidRPr="00074805" w:rsidRDefault="00783113" w:rsidP="00C72394">
      <w:pPr>
        <w:pStyle w:val="ManualNumPar1"/>
        <w:rPr>
          <w:noProof/>
        </w:rPr>
      </w:pPr>
      <w:r>
        <w:rPr>
          <w:noProof/>
        </w:rPr>
        <w:t>27.</w:t>
      </w:r>
      <w:r>
        <w:rPr>
          <w:noProof/>
        </w:rPr>
        <w:tab/>
      </w:r>
      <w:r w:rsidRPr="00074805">
        <w:rPr>
          <w:noProof/>
        </w:rPr>
        <w:t>En ce qui concerne les actions mises en œuvre pour aider les travailleurs licenciés, la Belgique a indiqué que la cellule de reconversion avait été créée le 1er octobre2025, peu de temps après les premiers licenciements.</w:t>
      </w:r>
    </w:p>
    <w:p w:rsidR="001A62D7" w:rsidRPr="00074805" w:rsidRDefault="001A62D7" w:rsidP="001A62D7">
      <w:pPr>
        <w:pStyle w:val="ManualHeading3"/>
        <w:rPr>
          <w:noProof/>
        </w:rPr>
      </w:pPr>
      <w:r w:rsidRPr="00074805">
        <w:rPr>
          <w:noProof/>
        </w:rPr>
        <w:t>Complémentarité avec les actions financées par des fonds nationaux ou de l’Union</w:t>
      </w:r>
    </w:p>
    <w:p w:rsidR="001A62D7" w:rsidRPr="00074805" w:rsidRDefault="00741722" w:rsidP="00AE7D04">
      <w:pPr>
        <w:pStyle w:val="ManualNumPar1"/>
        <w:rPr>
          <w:noProof/>
        </w:rPr>
      </w:pPr>
      <w:r>
        <w:rPr>
          <w:noProof/>
        </w:rPr>
        <w:t>28.</w:t>
      </w:r>
      <w:r>
        <w:rPr>
          <w:noProof/>
        </w:rPr>
        <w:tab/>
      </w:r>
      <w:r w:rsidRPr="00074805">
        <w:rPr>
          <w:noProof/>
        </w:rPr>
        <w:t>La Belgique a confirmé que les mesures décrites ci-dessous bénéficiant d’une contribution financière du FEM ne recevront pas d’aide au titre d’autres instruments financiers de l’Union.</w:t>
      </w:r>
    </w:p>
    <w:p w:rsidR="001A62D7" w:rsidRPr="00074805" w:rsidRDefault="001A62D7" w:rsidP="00AE7D04">
      <w:pPr>
        <w:pStyle w:val="ManualNumPar1"/>
        <w:rPr>
          <w:noProof/>
        </w:rPr>
      </w:pPr>
      <w:r>
        <w:rPr>
          <w:noProof/>
        </w:rPr>
        <w:t>29.</w:t>
      </w:r>
      <w:r>
        <w:rPr>
          <w:noProof/>
        </w:rPr>
        <w:tab/>
      </w:r>
      <w:r w:rsidRPr="00074805">
        <w:rPr>
          <w:noProof/>
        </w:rPr>
        <w:t>L’ensemble coordonné de services personnalisés complète les actions financées par d’autres fonds nationaux ou de l’UE.</w:t>
      </w:r>
    </w:p>
    <w:p w:rsidR="001A62D7" w:rsidRPr="00074805" w:rsidRDefault="001A62D7" w:rsidP="001A62D7">
      <w:pPr>
        <w:pStyle w:val="ManualHeading3"/>
        <w:tabs>
          <w:tab w:val="clear" w:pos="850"/>
          <w:tab w:val="left" w:pos="0"/>
        </w:tabs>
        <w:ind w:left="0" w:firstLine="0"/>
        <w:rPr>
          <w:noProof/>
          <w:u w:val="single"/>
        </w:rPr>
      </w:pPr>
      <w:r w:rsidRPr="00074805">
        <w:rPr>
          <w:noProof/>
        </w:rPr>
        <w:t>Procédures suivies pour la consultation des bénéficiaires visés ou de leurs représentants, des partenaires sociaux et des collectivités locales et régionales</w:t>
      </w:r>
    </w:p>
    <w:p w:rsidR="001A62D7" w:rsidRPr="00074805" w:rsidRDefault="0051086D" w:rsidP="00AE7D04">
      <w:pPr>
        <w:pStyle w:val="ManualNumPar1"/>
        <w:rPr>
          <w:noProof/>
        </w:rPr>
      </w:pPr>
      <w:r>
        <w:rPr>
          <w:noProof/>
        </w:rPr>
        <w:t>30.</w:t>
      </w:r>
      <w:r>
        <w:rPr>
          <w:noProof/>
        </w:rPr>
        <w:tab/>
      </w:r>
      <w:r w:rsidRPr="00074805">
        <w:rPr>
          <w:noProof/>
        </w:rPr>
        <w:t xml:space="preserve">La Belgique a indiqué que l’ensemble coordonné de services personnalisés a été établi en consultation avec les bénéficiaires visés, leurs représentants et les partenaires sociaux, conformément à l’article 7, paragraphe 4, du règlement (UE) 2021/691. </w:t>
      </w:r>
    </w:p>
    <w:p w:rsidR="001A62D7" w:rsidRPr="00074805" w:rsidRDefault="00FA0318" w:rsidP="00BA0477">
      <w:pPr>
        <w:pStyle w:val="ManualNumPar1"/>
        <w:rPr>
          <w:noProof/>
        </w:rPr>
      </w:pPr>
      <w:r>
        <w:rPr>
          <w:noProof/>
        </w:rPr>
        <w:t>31.</w:t>
      </w:r>
      <w:r>
        <w:rPr>
          <w:noProof/>
        </w:rPr>
        <w:tab/>
      </w:r>
      <w:r w:rsidRPr="00074805">
        <w:rPr>
          <w:noProof/>
        </w:rPr>
        <w:t>Afin de faciliter la transition des travailleurs vers un nouvel emploi, le Forem, les syndicats (FGTB</w:t>
      </w:r>
      <w:r w:rsidR="00922007" w:rsidRPr="00074805">
        <w:rPr>
          <w:rStyle w:val="FootnoteReference"/>
          <w:noProof/>
        </w:rPr>
        <w:footnoteReference w:id="24"/>
      </w:r>
      <w:r w:rsidRPr="00074805">
        <w:rPr>
          <w:noProof/>
        </w:rPr>
        <w:t xml:space="preserve"> et CSC</w:t>
      </w:r>
      <w:r w:rsidR="00922007" w:rsidRPr="00074805">
        <w:rPr>
          <w:rStyle w:val="FootnoteReference"/>
          <w:noProof/>
        </w:rPr>
        <w:footnoteReference w:id="25"/>
      </w:r>
      <w:r w:rsidRPr="00074805">
        <w:rPr>
          <w:noProof/>
        </w:rPr>
        <w:t>) ainsi que d’autres partenaires se sont réunis le 29 septembre 2025. Cette réunion a permis d’évaluer les besoins des travailleurs en matière de reconversion. Les conseillers sociaux, qui avaient accompagné les travailleurs à la suite de leur licenciement, ont également été consultés. À l’issue de cette concertation, un ensemble coordonné de mesures du FEM, conforme à l’article 7, paragraphe 4, du règlement (UE) 2021/691, a été élaboré.</w:t>
      </w:r>
    </w:p>
    <w:p w:rsidR="001A62D7" w:rsidRPr="00074805" w:rsidRDefault="001A62D7" w:rsidP="001A62D7">
      <w:pPr>
        <w:pStyle w:val="ManualHeading2"/>
        <w:rPr>
          <w:noProof/>
        </w:rPr>
      </w:pPr>
      <w:r w:rsidRPr="00074805">
        <w:rPr>
          <w:noProof/>
        </w:rPr>
        <w:t>Bénéficiaires visés et mesures proposées</w:t>
      </w:r>
    </w:p>
    <w:p w:rsidR="001A62D7" w:rsidRPr="00074805" w:rsidRDefault="001A62D7" w:rsidP="001A62D7">
      <w:pPr>
        <w:pStyle w:val="ManualHeading3"/>
        <w:rPr>
          <w:noProof/>
        </w:rPr>
      </w:pPr>
      <w:r w:rsidRPr="00074805">
        <w:rPr>
          <w:noProof/>
        </w:rPr>
        <w:t>Bénéficiaires visés</w:t>
      </w:r>
    </w:p>
    <w:p w:rsidR="001A62D7" w:rsidRPr="00074805" w:rsidRDefault="009B2D0E" w:rsidP="00AE7D04">
      <w:pPr>
        <w:pStyle w:val="ManualNumPar1"/>
        <w:rPr>
          <w:noProof/>
        </w:rPr>
      </w:pPr>
      <w:r>
        <w:rPr>
          <w:noProof/>
        </w:rPr>
        <w:t>32.</w:t>
      </w:r>
      <w:r>
        <w:rPr>
          <w:noProof/>
        </w:rPr>
        <w:tab/>
      </w:r>
      <w:r w:rsidRPr="00074805">
        <w:rPr>
          <w:noProof/>
        </w:rPr>
        <w:t>On estime à 1010 le nombre de travailleurs licenciés qui devraient participer aux mesures. Conformément à l’article 8, paragraphe 7, point f), du règlement (UE) 2021/691, la ventilation fournie de ces travailleurs par genre, groupe d’âge et niveau d’éducation est la suivante:</w:t>
      </w:r>
    </w:p>
    <w:tbl>
      <w:tblPr>
        <w:tblW w:w="0" w:type="auto"/>
        <w:jc w:val="center"/>
        <w:tblLook w:val="04A0" w:firstRow="1" w:lastRow="0" w:firstColumn="1" w:lastColumn="0" w:noHBand="0" w:noVBand="1"/>
      </w:tblPr>
      <w:tblGrid>
        <w:gridCol w:w="1496"/>
        <w:gridCol w:w="2063"/>
        <w:gridCol w:w="1176"/>
        <w:gridCol w:w="1176"/>
      </w:tblGrid>
      <w:tr w:rsidR="001A62D7" w:rsidRPr="00074805" w:rsidTr="001D5990">
        <w:trPr>
          <w:jc w:val="center"/>
        </w:trPr>
        <w:tc>
          <w:tcPr>
            <w:tcW w:w="3559" w:type="dxa"/>
            <w:gridSpan w:val="2"/>
            <w:tcBorders>
              <w:top w:val="single" w:sz="4" w:space="0" w:color="auto"/>
              <w:left w:val="nil"/>
              <w:bottom w:val="single" w:sz="4" w:space="0" w:color="auto"/>
              <w:right w:val="nil"/>
            </w:tcBorders>
            <w:hideMark/>
          </w:tcPr>
          <w:p w:rsidR="001A62D7" w:rsidRPr="00074805" w:rsidRDefault="001A62D7" w:rsidP="001D5990">
            <w:pPr>
              <w:spacing w:before="60" w:after="60"/>
              <w:jc w:val="center"/>
              <w:rPr>
                <w:noProof/>
              </w:rPr>
            </w:pPr>
            <w:r w:rsidRPr="00074805">
              <w:rPr>
                <w:noProof/>
              </w:rPr>
              <w:t>Catégorie</w:t>
            </w:r>
          </w:p>
        </w:tc>
        <w:tc>
          <w:tcPr>
            <w:tcW w:w="2352" w:type="dxa"/>
            <w:gridSpan w:val="2"/>
            <w:tcBorders>
              <w:top w:val="single" w:sz="4" w:space="0" w:color="auto"/>
              <w:left w:val="nil"/>
              <w:bottom w:val="single" w:sz="4" w:space="0" w:color="auto"/>
              <w:right w:val="nil"/>
            </w:tcBorders>
            <w:hideMark/>
          </w:tcPr>
          <w:p w:rsidR="001A62D7" w:rsidRPr="00074805" w:rsidRDefault="001A62D7" w:rsidP="001D5990">
            <w:pPr>
              <w:spacing w:before="60" w:after="60"/>
              <w:jc w:val="center"/>
              <w:rPr>
                <w:noProof/>
              </w:rPr>
            </w:pPr>
            <w:r w:rsidRPr="00074805">
              <w:rPr>
                <w:noProof/>
              </w:rPr>
              <w:t xml:space="preserve">Nombre de </w:t>
            </w:r>
            <w:r w:rsidRPr="00074805">
              <w:rPr>
                <w:noProof/>
              </w:rPr>
              <w:br/>
            </w:r>
            <w:r w:rsidRPr="00074805">
              <w:rPr>
                <w:noProof/>
              </w:rPr>
              <w:lastRenderedPageBreak/>
              <w:t>bénéficiaires attendus</w:t>
            </w:r>
          </w:p>
        </w:tc>
      </w:tr>
      <w:tr w:rsidR="001A62D7" w:rsidRPr="00074805" w:rsidTr="001D5990">
        <w:trPr>
          <w:jc w:val="center"/>
        </w:trPr>
        <w:tc>
          <w:tcPr>
            <w:tcW w:w="1496" w:type="dxa"/>
            <w:tcBorders>
              <w:top w:val="single" w:sz="4" w:space="0" w:color="auto"/>
              <w:left w:val="nil"/>
              <w:right w:val="nil"/>
            </w:tcBorders>
            <w:hideMark/>
          </w:tcPr>
          <w:p w:rsidR="001A62D7" w:rsidRPr="00074805" w:rsidRDefault="001A62D7" w:rsidP="001D5990">
            <w:pPr>
              <w:spacing w:before="60" w:after="60"/>
              <w:rPr>
                <w:noProof/>
              </w:rPr>
            </w:pPr>
            <w:r w:rsidRPr="00074805">
              <w:rPr>
                <w:noProof/>
              </w:rPr>
              <w:lastRenderedPageBreak/>
              <w:t>Genre:</w:t>
            </w:r>
          </w:p>
        </w:tc>
        <w:tc>
          <w:tcPr>
            <w:tcW w:w="2063" w:type="dxa"/>
            <w:tcBorders>
              <w:top w:val="single" w:sz="4" w:space="0" w:color="auto"/>
              <w:left w:val="nil"/>
              <w:right w:val="nil"/>
            </w:tcBorders>
            <w:hideMark/>
          </w:tcPr>
          <w:p w:rsidR="001A62D7" w:rsidRPr="00074805" w:rsidRDefault="001A62D7" w:rsidP="001D5990">
            <w:pPr>
              <w:spacing w:before="60" w:after="60"/>
              <w:rPr>
                <w:noProof/>
              </w:rPr>
            </w:pPr>
            <w:r w:rsidRPr="00074805">
              <w:rPr>
                <w:noProof/>
              </w:rPr>
              <w:t>Hommes:</w:t>
            </w:r>
          </w:p>
        </w:tc>
        <w:tc>
          <w:tcPr>
            <w:tcW w:w="1176" w:type="dxa"/>
            <w:tcBorders>
              <w:top w:val="single" w:sz="4" w:space="0" w:color="auto"/>
              <w:left w:val="nil"/>
              <w:right w:val="nil"/>
            </w:tcBorders>
            <w:hideMark/>
          </w:tcPr>
          <w:p w:rsidR="001A62D7" w:rsidRPr="00074805" w:rsidRDefault="00D21001" w:rsidP="001D5990">
            <w:pPr>
              <w:spacing w:before="60" w:after="60"/>
              <w:jc w:val="right"/>
              <w:rPr>
                <w:noProof/>
              </w:rPr>
            </w:pPr>
            <w:r w:rsidRPr="00074805">
              <w:rPr>
                <w:noProof/>
              </w:rPr>
              <w:t>472</w:t>
            </w:r>
          </w:p>
        </w:tc>
        <w:tc>
          <w:tcPr>
            <w:tcW w:w="1176" w:type="dxa"/>
            <w:tcBorders>
              <w:top w:val="single" w:sz="4" w:space="0" w:color="auto"/>
              <w:left w:val="nil"/>
              <w:right w:val="nil"/>
            </w:tcBorders>
            <w:hideMark/>
          </w:tcPr>
          <w:p w:rsidR="001A62D7" w:rsidRPr="00074805" w:rsidRDefault="001A62D7" w:rsidP="001D5990">
            <w:pPr>
              <w:spacing w:before="60" w:after="60"/>
              <w:jc w:val="right"/>
              <w:rPr>
                <w:noProof/>
              </w:rPr>
            </w:pPr>
            <w:r w:rsidRPr="00074805">
              <w:rPr>
                <w:noProof/>
              </w:rPr>
              <w:t>(46,7 %)</w:t>
            </w:r>
          </w:p>
        </w:tc>
      </w:tr>
      <w:tr w:rsidR="001A62D7" w:rsidRPr="00074805" w:rsidTr="001D5990">
        <w:trPr>
          <w:jc w:val="center"/>
        </w:trPr>
        <w:tc>
          <w:tcPr>
            <w:tcW w:w="1496" w:type="dxa"/>
            <w:tcBorders>
              <w:top w:val="nil"/>
              <w:left w:val="nil"/>
              <w:right w:val="nil"/>
            </w:tcBorders>
          </w:tcPr>
          <w:p w:rsidR="001A62D7" w:rsidRPr="00074805" w:rsidRDefault="001A62D7" w:rsidP="001D5990">
            <w:pPr>
              <w:spacing w:before="60" w:after="60"/>
              <w:rPr>
                <w:noProof/>
              </w:rPr>
            </w:pPr>
          </w:p>
        </w:tc>
        <w:tc>
          <w:tcPr>
            <w:tcW w:w="2063" w:type="dxa"/>
            <w:tcBorders>
              <w:top w:val="nil"/>
              <w:left w:val="nil"/>
              <w:right w:val="nil"/>
            </w:tcBorders>
          </w:tcPr>
          <w:p w:rsidR="001A62D7" w:rsidRPr="00074805" w:rsidRDefault="001A62D7" w:rsidP="001D5990">
            <w:pPr>
              <w:spacing w:before="60" w:after="60"/>
              <w:rPr>
                <w:rFonts w:eastAsia="Calibri"/>
                <w:noProof/>
              </w:rPr>
            </w:pPr>
            <w:r w:rsidRPr="00074805">
              <w:rPr>
                <w:noProof/>
              </w:rPr>
              <w:t>Femmes:</w:t>
            </w:r>
          </w:p>
        </w:tc>
        <w:tc>
          <w:tcPr>
            <w:tcW w:w="1176" w:type="dxa"/>
          </w:tcPr>
          <w:p w:rsidR="001A62D7" w:rsidRPr="00074805" w:rsidRDefault="00D21001" w:rsidP="001D5990">
            <w:pPr>
              <w:spacing w:before="60" w:after="60"/>
              <w:jc w:val="right"/>
              <w:rPr>
                <w:noProof/>
              </w:rPr>
            </w:pPr>
            <w:r w:rsidRPr="00074805">
              <w:rPr>
                <w:noProof/>
              </w:rPr>
              <w:t>538</w:t>
            </w:r>
          </w:p>
        </w:tc>
        <w:tc>
          <w:tcPr>
            <w:tcW w:w="1176" w:type="dxa"/>
          </w:tcPr>
          <w:p w:rsidR="001A62D7" w:rsidRPr="00074805" w:rsidRDefault="001A62D7" w:rsidP="001D5990">
            <w:pPr>
              <w:spacing w:before="60" w:after="60"/>
              <w:jc w:val="right"/>
              <w:rPr>
                <w:rFonts w:eastAsia="Calibri"/>
                <w:noProof/>
              </w:rPr>
            </w:pPr>
            <w:r w:rsidRPr="00074805">
              <w:rPr>
                <w:noProof/>
              </w:rPr>
              <w:t>(53,3 %)</w:t>
            </w:r>
          </w:p>
        </w:tc>
      </w:tr>
      <w:tr w:rsidR="001A62D7" w:rsidRPr="00074805" w:rsidTr="001D5990">
        <w:trPr>
          <w:jc w:val="center"/>
        </w:trPr>
        <w:tc>
          <w:tcPr>
            <w:tcW w:w="1496" w:type="dxa"/>
            <w:tcBorders>
              <w:left w:val="nil"/>
              <w:bottom w:val="single" w:sz="4" w:space="0" w:color="auto"/>
              <w:right w:val="nil"/>
            </w:tcBorders>
          </w:tcPr>
          <w:p w:rsidR="001A62D7" w:rsidRPr="00074805" w:rsidRDefault="001A62D7" w:rsidP="001D5990">
            <w:pPr>
              <w:spacing w:before="60" w:after="60"/>
              <w:rPr>
                <w:noProof/>
              </w:rPr>
            </w:pPr>
          </w:p>
        </w:tc>
        <w:tc>
          <w:tcPr>
            <w:tcW w:w="2063" w:type="dxa"/>
            <w:tcBorders>
              <w:left w:val="nil"/>
              <w:bottom w:val="single" w:sz="4" w:space="0" w:color="auto"/>
              <w:right w:val="nil"/>
            </w:tcBorders>
          </w:tcPr>
          <w:p w:rsidR="001A62D7" w:rsidRPr="00074805" w:rsidRDefault="001A62D7" w:rsidP="001D5990">
            <w:pPr>
              <w:spacing w:before="60" w:after="60"/>
              <w:rPr>
                <w:noProof/>
              </w:rPr>
            </w:pPr>
            <w:r w:rsidRPr="00074805">
              <w:rPr>
                <w:noProof/>
              </w:rPr>
              <w:t>Non binaire</w:t>
            </w:r>
          </w:p>
        </w:tc>
        <w:tc>
          <w:tcPr>
            <w:tcW w:w="1176" w:type="dxa"/>
            <w:tcBorders>
              <w:bottom w:val="single" w:sz="4" w:space="0" w:color="auto"/>
            </w:tcBorders>
            <w:hideMark/>
          </w:tcPr>
          <w:p w:rsidR="001A62D7" w:rsidRPr="00074805" w:rsidRDefault="006239A4" w:rsidP="001D5990">
            <w:pPr>
              <w:spacing w:before="60" w:after="60"/>
              <w:jc w:val="right"/>
              <w:rPr>
                <w:noProof/>
              </w:rPr>
            </w:pPr>
            <w:r w:rsidRPr="00074805">
              <w:rPr>
                <w:noProof/>
              </w:rPr>
              <w:t>0</w:t>
            </w:r>
          </w:p>
        </w:tc>
        <w:tc>
          <w:tcPr>
            <w:tcW w:w="1176" w:type="dxa"/>
            <w:tcBorders>
              <w:bottom w:val="single" w:sz="4" w:space="0" w:color="auto"/>
            </w:tcBorders>
            <w:hideMark/>
          </w:tcPr>
          <w:p w:rsidR="001A62D7" w:rsidRPr="00074805" w:rsidRDefault="001A62D7" w:rsidP="001D5990">
            <w:pPr>
              <w:spacing w:before="60" w:after="60"/>
              <w:jc w:val="right"/>
              <w:rPr>
                <w:noProof/>
              </w:rPr>
            </w:pPr>
            <w:r w:rsidRPr="00074805">
              <w:rPr>
                <w:noProof/>
              </w:rPr>
              <w:t>(0,0 %)</w:t>
            </w:r>
          </w:p>
        </w:tc>
      </w:tr>
      <w:tr w:rsidR="001A62D7" w:rsidRPr="00074805" w:rsidTr="001D5990">
        <w:trPr>
          <w:jc w:val="center"/>
        </w:trPr>
        <w:tc>
          <w:tcPr>
            <w:tcW w:w="1496" w:type="dxa"/>
            <w:tcBorders>
              <w:top w:val="single" w:sz="4" w:space="0" w:color="auto"/>
              <w:left w:val="nil"/>
              <w:bottom w:val="nil"/>
              <w:right w:val="nil"/>
            </w:tcBorders>
            <w:hideMark/>
          </w:tcPr>
          <w:p w:rsidR="001A62D7" w:rsidRPr="00074805" w:rsidRDefault="001A62D7" w:rsidP="001D5990">
            <w:pPr>
              <w:spacing w:before="60" w:after="60"/>
              <w:rPr>
                <w:noProof/>
              </w:rPr>
            </w:pPr>
            <w:r w:rsidRPr="00074805">
              <w:rPr>
                <w:noProof/>
              </w:rPr>
              <w:t>Groupe d’âge:</w:t>
            </w:r>
          </w:p>
        </w:tc>
        <w:tc>
          <w:tcPr>
            <w:tcW w:w="2063" w:type="dxa"/>
            <w:tcBorders>
              <w:top w:val="single" w:sz="4" w:space="0" w:color="auto"/>
              <w:left w:val="nil"/>
              <w:bottom w:val="nil"/>
              <w:right w:val="nil"/>
            </w:tcBorders>
            <w:hideMark/>
          </w:tcPr>
          <w:p w:rsidR="001A62D7" w:rsidRPr="00074805" w:rsidRDefault="001A62D7" w:rsidP="001D5990">
            <w:pPr>
              <w:spacing w:before="60" w:after="60"/>
              <w:rPr>
                <w:noProof/>
              </w:rPr>
            </w:pPr>
            <w:r w:rsidRPr="00074805">
              <w:rPr>
                <w:noProof/>
              </w:rPr>
              <w:t>Moins de 30 ans:</w:t>
            </w:r>
          </w:p>
        </w:tc>
        <w:tc>
          <w:tcPr>
            <w:tcW w:w="1176" w:type="dxa"/>
            <w:tcBorders>
              <w:top w:val="single" w:sz="4" w:space="0" w:color="auto"/>
            </w:tcBorders>
            <w:hideMark/>
          </w:tcPr>
          <w:p w:rsidR="001A62D7" w:rsidRPr="00074805" w:rsidRDefault="006239A4" w:rsidP="001D5990">
            <w:pPr>
              <w:spacing w:before="60" w:after="60"/>
              <w:jc w:val="right"/>
              <w:rPr>
                <w:noProof/>
              </w:rPr>
            </w:pPr>
            <w:r w:rsidRPr="00074805">
              <w:rPr>
                <w:noProof/>
              </w:rPr>
              <w:t>44</w:t>
            </w:r>
          </w:p>
        </w:tc>
        <w:tc>
          <w:tcPr>
            <w:tcW w:w="1176" w:type="dxa"/>
            <w:tcBorders>
              <w:top w:val="single" w:sz="4" w:space="0" w:color="auto"/>
            </w:tcBorders>
            <w:hideMark/>
          </w:tcPr>
          <w:p w:rsidR="001A62D7" w:rsidRPr="00074805" w:rsidRDefault="001A62D7" w:rsidP="001D5990">
            <w:pPr>
              <w:spacing w:before="60" w:after="60"/>
              <w:jc w:val="right"/>
              <w:rPr>
                <w:noProof/>
              </w:rPr>
            </w:pPr>
            <w:r w:rsidRPr="00074805">
              <w:rPr>
                <w:noProof/>
              </w:rPr>
              <w:t>(4,4 %)</w:t>
            </w:r>
          </w:p>
        </w:tc>
      </w:tr>
      <w:tr w:rsidR="001A62D7" w:rsidRPr="00074805" w:rsidTr="001D5990">
        <w:trPr>
          <w:jc w:val="center"/>
        </w:trPr>
        <w:tc>
          <w:tcPr>
            <w:tcW w:w="1496" w:type="dxa"/>
          </w:tcPr>
          <w:p w:rsidR="001A62D7" w:rsidRPr="00074805" w:rsidRDefault="001A62D7" w:rsidP="001D5990">
            <w:pPr>
              <w:spacing w:before="60" w:after="60"/>
              <w:rPr>
                <w:noProof/>
              </w:rPr>
            </w:pPr>
          </w:p>
        </w:tc>
        <w:tc>
          <w:tcPr>
            <w:tcW w:w="2063" w:type="dxa"/>
            <w:hideMark/>
          </w:tcPr>
          <w:p w:rsidR="001A62D7" w:rsidRPr="00074805" w:rsidRDefault="001A62D7" w:rsidP="001D5990">
            <w:pPr>
              <w:spacing w:before="60" w:after="60"/>
              <w:rPr>
                <w:noProof/>
              </w:rPr>
            </w:pPr>
            <w:r w:rsidRPr="00074805">
              <w:rPr>
                <w:noProof/>
              </w:rPr>
              <w:t>30-54 ans:</w:t>
            </w:r>
          </w:p>
        </w:tc>
        <w:tc>
          <w:tcPr>
            <w:tcW w:w="1176" w:type="dxa"/>
            <w:hideMark/>
          </w:tcPr>
          <w:p w:rsidR="001A62D7" w:rsidRPr="00074805" w:rsidRDefault="00D21001" w:rsidP="001D5990">
            <w:pPr>
              <w:spacing w:before="60" w:after="60"/>
              <w:jc w:val="right"/>
              <w:rPr>
                <w:noProof/>
              </w:rPr>
            </w:pPr>
            <w:r w:rsidRPr="00074805">
              <w:rPr>
                <w:noProof/>
              </w:rPr>
              <w:t>667</w:t>
            </w:r>
          </w:p>
        </w:tc>
        <w:tc>
          <w:tcPr>
            <w:tcW w:w="1176" w:type="dxa"/>
            <w:hideMark/>
          </w:tcPr>
          <w:p w:rsidR="001A62D7" w:rsidRPr="00074805" w:rsidRDefault="001A62D7" w:rsidP="001D5990">
            <w:pPr>
              <w:spacing w:before="60" w:after="60"/>
              <w:jc w:val="right"/>
              <w:rPr>
                <w:noProof/>
              </w:rPr>
            </w:pPr>
            <w:r w:rsidRPr="00074805">
              <w:rPr>
                <w:noProof/>
              </w:rPr>
              <w:t>(66,0 %)</w:t>
            </w:r>
          </w:p>
        </w:tc>
      </w:tr>
      <w:tr w:rsidR="001A62D7" w:rsidRPr="00074805" w:rsidTr="001D5990">
        <w:trPr>
          <w:jc w:val="center"/>
        </w:trPr>
        <w:tc>
          <w:tcPr>
            <w:tcW w:w="1496" w:type="dxa"/>
          </w:tcPr>
          <w:p w:rsidR="001A62D7" w:rsidRPr="00074805" w:rsidRDefault="001A62D7" w:rsidP="001D5990">
            <w:pPr>
              <w:spacing w:before="60" w:after="60"/>
              <w:rPr>
                <w:noProof/>
              </w:rPr>
            </w:pPr>
          </w:p>
        </w:tc>
        <w:tc>
          <w:tcPr>
            <w:tcW w:w="2063" w:type="dxa"/>
            <w:hideMark/>
          </w:tcPr>
          <w:p w:rsidR="001A62D7" w:rsidRPr="00074805" w:rsidRDefault="001A62D7" w:rsidP="001D5990">
            <w:pPr>
              <w:spacing w:before="60" w:after="60"/>
              <w:jc w:val="left"/>
              <w:rPr>
                <w:noProof/>
              </w:rPr>
            </w:pPr>
            <w:r w:rsidRPr="00074805">
              <w:rPr>
                <w:noProof/>
              </w:rPr>
              <w:t>Plus de 54 ans:</w:t>
            </w:r>
          </w:p>
        </w:tc>
        <w:tc>
          <w:tcPr>
            <w:tcW w:w="1176" w:type="dxa"/>
            <w:hideMark/>
          </w:tcPr>
          <w:p w:rsidR="001A62D7" w:rsidRPr="00074805" w:rsidRDefault="00D21001" w:rsidP="001D5990">
            <w:pPr>
              <w:spacing w:before="60" w:after="60"/>
              <w:jc w:val="right"/>
              <w:rPr>
                <w:noProof/>
              </w:rPr>
            </w:pPr>
            <w:r w:rsidRPr="00074805">
              <w:rPr>
                <w:noProof/>
              </w:rPr>
              <w:t>299</w:t>
            </w:r>
          </w:p>
        </w:tc>
        <w:tc>
          <w:tcPr>
            <w:tcW w:w="1176" w:type="dxa"/>
            <w:hideMark/>
          </w:tcPr>
          <w:p w:rsidR="001A62D7" w:rsidRPr="00074805" w:rsidRDefault="001A62D7" w:rsidP="001D5990">
            <w:pPr>
              <w:spacing w:before="60" w:after="60"/>
              <w:jc w:val="right"/>
              <w:rPr>
                <w:noProof/>
              </w:rPr>
            </w:pPr>
            <w:r w:rsidRPr="00074805">
              <w:rPr>
                <w:noProof/>
              </w:rPr>
              <w:t>(29,6 %)</w:t>
            </w:r>
          </w:p>
        </w:tc>
      </w:tr>
      <w:tr w:rsidR="001A62D7" w:rsidRPr="00074805" w:rsidTr="001D5990">
        <w:trPr>
          <w:jc w:val="center"/>
        </w:trPr>
        <w:tc>
          <w:tcPr>
            <w:tcW w:w="1496" w:type="dxa"/>
            <w:tcBorders>
              <w:top w:val="single" w:sz="4" w:space="0" w:color="auto"/>
              <w:left w:val="nil"/>
              <w:bottom w:val="nil"/>
              <w:right w:val="nil"/>
            </w:tcBorders>
          </w:tcPr>
          <w:p w:rsidR="001A62D7" w:rsidRPr="00074805" w:rsidRDefault="001A62D7" w:rsidP="001D5990">
            <w:pPr>
              <w:spacing w:before="60" w:after="60"/>
              <w:rPr>
                <w:noProof/>
              </w:rPr>
            </w:pPr>
            <w:r w:rsidRPr="00074805">
              <w:rPr>
                <w:noProof/>
              </w:rPr>
              <w:t>Niveau d’éducation</w:t>
            </w:r>
          </w:p>
        </w:tc>
        <w:tc>
          <w:tcPr>
            <w:tcW w:w="2063" w:type="dxa"/>
            <w:tcBorders>
              <w:top w:val="single" w:sz="4" w:space="0" w:color="auto"/>
              <w:left w:val="nil"/>
              <w:bottom w:val="nil"/>
              <w:right w:val="nil"/>
            </w:tcBorders>
          </w:tcPr>
          <w:p w:rsidR="001A62D7" w:rsidRPr="00074805" w:rsidRDefault="001A62D7" w:rsidP="001D5990">
            <w:pPr>
              <w:spacing w:before="60" w:after="60"/>
              <w:rPr>
                <w:noProof/>
              </w:rPr>
            </w:pPr>
            <w:r w:rsidRPr="00074805">
              <w:rPr>
                <w:noProof/>
              </w:rPr>
              <w:t>Premier cycle du secondaire ou inférieur</w:t>
            </w:r>
            <w:r w:rsidRPr="00074805">
              <w:rPr>
                <w:rStyle w:val="FootnoteReference"/>
                <w:noProof/>
              </w:rPr>
              <w:footnoteReference w:id="26"/>
            </w:r>
            <w:r w:rsidRPr="00074805">
              <w:rPr>
                <w:noProof/>
              </w:rPr>
              <w:t xml:space="preserve"> </w:t>
            </w:r>
          </w:p>
        </w:tc>
        <w:tc>
          <w:tcPr>
            <w:tcW w:w="1176" w:type="dxa"/>
            <w:tcBorders>
              <w:top w:val="single" w:sz="4" w:space="0" w:color="auto"/>
              <w:left w:val="nil"/>
              <w:bottom w:val="nil"/>
              <w:right w:val="nil"/>
            </w:tcBorders>
          </w:tcPr>
          <w:p w:rsidR="001A62D7" w:rsidRPr="00074805" w:rsidRDefault="00D21001" w:rsidP="001D5990">
            <w:pPr>
              <w:spacing w:before="60" w:after="60"/>
              <w:jc w:val="right"/>
              <w:rPr>
                <w:noProof/>
              </w:rPr>
            </w:pPr>
            <w:r w:rsidRPr="00074805">
              <w:rPr>
                <w:noProof/>
              </w:rPr>
              <w:t>120</w:t>
            </w:r>
          </w:p>
        </w:tc>
        <w:tc>
          <w:tcPr>
            <w:tcW w:w="1176" w:type="dxa"/>
            <w:tcBorders>
              <w:top w:val="single" w:sz="4" w:space="0" w:color="auto"/>
              <w:left w:val="nil"/>
              <w:bottom w:val="nil"/>
              <w:right w:val="nil"/>
            </w:tcBorders>
          </w:tcPr>
          <w:p w:rsidR="001A62D7" w:rsidRPr="00074805" w:rsidRDefault="001A62D7" w:rsidP="001D5990">
            <w:pPr>
              <w:spacing w:before="60" w:after="60"/>
              <w:jc w:val="right"/>
              <w:rPr>
                <w:rFonts w:eastAsia="Calibri"/>
                <w:noProof/>
              </w:rPr>
            </w:pPr>
            <w:r w:rsidRPr="00074805">
              <w:rPr>
                <w:noProof/>
              </w:rPr>
              <w:t>(11,9 %)</w:t>
            </w:r>
          </w:p>
        </w:tc>
      </w:tr>
      <w:tr w:rsidR="001A62D7" w:rsidRPr="00074805" w:rsidTr="001D5990">
        <w:trPr>
          <w:jc w:val="center"/>
        </w:trPr>
        <w:tc>
          <w:tcPr>
            <w:tcW w:w="1496" w:type="dxa"/>
            <w:tcBorders>
              <w:top w:val="nil"/>
              <w:left w:val="nil"/>
              <w:right w:val="nil"/>
            </w:tcBorders>
          </w:tcPr>
          <w:p w:rsidR="001A62D7" w:rsidRPr="00074805" w:rsidRDefault="001A62D7" w:rsidP="001D5990">
            <w:pPr>
              <w:spacing w:before="60" w:after="60"/>
              <w:rPr>
                <w:noProof/>
              </w:rPr>
            </w:pPr>
          </w:p>
        </w:tc>
        <w:tc>
          <w:tcPr>
            <w:tcW w:w="2063" w:type="dxa"/>
            <w:tcBorders>
              <w:top w:val="nil"/>
              <w:left w:val="nil"/>
              <w:right w:val="nil"/>
            </w:tcBorders>
          </w:tcPr>
          <w:p w:rsidR="001A62D7" w:rsidRPr="00074805" w:rsidRDefault="001A62D7" w:rsidP="001D5990">
            <w:pPr>
              <w:spacing w:before="60" w:after="60"/>
              <w:rPr>
                <w:noProof/>
              </w:rPr>
            </w:pPr>
            <w:r w:rsidRPr="00074805">
              <w:rPr>
                <w:noProof/>
              </w:rPr>
              <w:t>Deuxième cycle du secondaire</w:t>
            </w:r>
            <w:r w:rsidRPr="00074805">
              <w:rPr>
                <w:rStyle w:val="FootnoteReference"/>
                <w:noProof/>
              </w:rPr>
              <w:footnoteReference w:id="27"/>
            </w:r>
            <w:r w:rsidRPr="00074805">
              <w:rPr>
                <w:noProof/>
              </w:rPr>
              <w:t xml:space="preserve"> ou post-secondaire non supérieur</w:t>
            </w:r>
            <w:r w:rsidRPr="00074805">
              <w:rPr>
                <w:rStyle w:val="FootnoteReference"/>
                <w:noProof/>
              </w:rPr>
              <w:footnoteReference w:id="28"/>
            </w:r>
          </w:p>
        </w:tc>
        <w:tc>
          <w:tcPr>
            <w:tcW w:w="1176" w:type="dxa"/>
            <w:tcBorders>
              <w:top w:val="nil"/>
              <w:left w:val="nil"/>
              <w:right w:val="nil"/>
            </w:tcBorders>
          </w:tcPr>
          <w:p w:rsidR="001A62D7" w:rsidRPr="00074805" w:rsidRDefault="00D21001" w:rsidP="001D5990">
            <w:pPr>
              <w:spacing w:before="60" w:after="60"/>
              <w:jc w:val="right"/>
              <w:rPr>
                <w:noProof/>
              </w:rPr>
            </w:pPr>
            <w:r w:rsidRPr="00074805">
              <w:rPr>
                <w:noProof/>
              </w:rPr>
              <w:t>741</w:t>
            </w:r>
          </w:p>
        </w:tc>
        <w:tc>
          <w:tcPr>
            <w:tcW w:w="1176" w:type="dxa"/>
            <w:tcBorders>
              <w:top w:val="nil"/>
              <w:left w:val="nil"/>
              <w:right w:val="nil"/>
            </w:tcBorders>
          </w:tcPr>
          <w:p w:rsidR="001A62D7" w:rsidRPr="00074805" w:rsidRDefault="001A62D7" w:rsidP="001D5990">
            <w:pPr>
              <w:spacing w:before="60" w:after="60"/>
              <w:jc w:val="right"/>
              <w:rPr>
                <w:rFonts w:eastAsia="Calibri"/>
                <w:noProof/>
              </w:rPr>
            </w:pPr>
            <w:r w:rsidRPr="00074805">
              <w:rPr>
                <w:noProof/>
              </w:rPr>
              <w:t>(73,4 %)</w:t>
            </w:r>
          </w:p>
        </w:tc>
      </w:tr>
      <w:tr w:rsidR="001A62D7" w:rsidRPr="00074805" w:rsidTr="001D5990">
        <w:trPr>
          <w:jc w:val="center"/>
        </w:trPr>
        <w:tc>
          <w:tcPr>
            <w:tcW w:w="1496" w:type="dxa"/>
            <w:tcBorders>
              <w:top w:val="nil"/>
              <w:left w:val="nil"/>
              <w:bottom w:val="single" w:sz="4" w:space="0" w:color="auto"/>
              <w:right w:val="nil"/>
            </w:tcBorders>
          </w:tcPr>
          <w:p w:rsidR="001A62D7" w:rsidRPr="00074805" w:rsidRDefault="001A62D7" w:rsidP="001D5990">
            <w:pPr>
              <w:spacing w:before="60" w:after="60"/>
              <w:rPr>
                <w:noProof/>
              </w:rPr>
            </w:pPr>
          </w:p>
        </w:tc>
        <w:tc>
          <w:tcPr>
            <w:tcW w:w="2063" w:type="dxa"/>
            <w:tcBorders>
              <w:top w:val="nil"/>
              <w:left w:val="nil"/>
              <w:bottom w:val="single" w:sz="4" w:space="0" w:color="auto"/>
              <w:right w:val="nil"/>
            </w:tcBorders>
          </w:tcPr>
          <w:p w:rsidR="001A62D7" w:rsidRPr="00074805" w:rsidRDefault="001A62D7" w:rsidP="001D5990">
            <w:pPr>
              <w:spacing w:before="60" w:after="60"/>
              <w:rPr>
                <w:noProof/>
              </w:rPr>
            </w:pPr>
            <w:r w:rsidRPr="00074805">
              <w:rPr>
                <w:noProof/>
              </w:rPr>
              <w:t>Enseignement tertiaire</w:t>
            </w:r>
            <w:r w:rsidRPr="00074805">
              <w:rPr>
                <w:rStyle w:val="FootnoteReference"/>
                <w:noProof/>
              </w:rPr>
              <w:footnoteReference w:id="29"/>
            </w:r>
          </w:p>
        </w:tc>
        <w:tc>
          <w:tcPr>
            <w:tcW w:w="1176" w:type="dxa"/>
            <w:tcBorders>
              <w:top w:val="nil"/>
              <w:left w:val="nil"/>
              <w:bottom w:val="single" w:sz="4" w:space="0" w:color="auto"/>
              <w:right w:val="nil"/>
            </w:tcBorders>
          </w:tcPr>
          <w:p w:rsidR="001A62D7" w:rsidRPr="00074805" w:rsidRDefault="00D21001" w:rsidP="001D5990">
            <w:pPr>
              <w:spacing w:before="60" w:after="60"/>
              <w:jc w:val="right"/>
              <w:rPr>
                <w:noProof/>
              </w:rPr>
            </w:pPr>
            <w:r w:rsidRPr="00074805">
              <w:rPr>
                <w:noProof/>
              </w:rPr>
              <w:t>149</w:t>
            </w:r>
          </w:p>
        </w:tc>
        <w:tc>
          <w:tcPr>
            <w:tcW w:w="1176" w:type="dxa"/>
            <w:tcBorders>
              <w:top w:val="nil"/>
              <w:left w:val="nil"/>
              <w:bottom w:val="single" w:sz="4" w:space="0" w:color="auto"/>
              <w:right w:val="nil"/>
            </w:tcBorders>
          </w:tcPr>
          <w:p w:rsidR="001A62D7" w:rsidRPr="00074805" w:rsidRDefault="001A62D7" w:rsidP="001D5990">
            <w:pPr>
              <w:spacing w:before="60" w:after="60"/>
              <w:jc w:val="right"/>
              <w:rPr>
                <w:rFonts w:eastAsia="Calibri"/>
                <w:noProof/>
              </w:rPr>
            </w:pPr>
            <w:r w:rsidRPr="00074805">
              <w:rPr>
                <w:noProof/>
              </w:rPr>
              <w:t>(14,7 %)</w:t>
            </w:r>
          </w:p>
        </w:tc>
      </w:tr>
    </w:tbl>
    <w:p w:rsidR="001A62D7" w:rsidRPr="00074805" w:rsidRDefault="001A62D7" w:rsidP="001A62D7">
      <w:pPr>
        <w:pStyle w:val="ManualHeading3"/>
        <w:rPr>
          <w:noProof/>
          <w:u w:val="single"/>
        </w:rPr>
      </w:pPr>
      <w:r w:rsidRPr="00074805">
        <w:rPr>
          <w:noProof/>
        </w:rPr>
        <w:t>Mesures proposées</w:t>
      </w:r>
    </w:p>
    <w:p w:rsidR="001A62D7" w:rsidRPr="00074805" w:rsidRDefault="001A62D7" w:rsidP="00AE7D04">
      <w:pPr>
        <w:pStyle w:val="ManualNumPar1"/>
        <w:rPr>
          <w:noProof/>
        </w:rPr>
      </w:pPr>
      <w:r>
        <w:rPr>
          <w:noProof/>
        </w:rPr>
        <w:t>33.</w:t>
      </w:r>
      <w:r>
        <w:rPr>
          <w:noProof/>
        </w:rPr>
        <w:tab/>
      </w:r>
      <w:bookmarkStart w:id="17" w:name="_Ref372214239"/>
      <w:r w:rsidRPr="00074805">
        <w:rPr>
          <w:noProof/>
        </w:rPr>
        <w:t xml:space="preserve">Conformément à l’article 8, paragraphe 7, point h), du règlement (UE) 2021/691, l’ensemble coordonné de services personnalisés à fournir aux travailleurs licenciés comprend les mesures suivantes: </w:t>
      </w:r>
      <w:bookmarkEnd w:id="17"/>
    </w:p>
    <w:p w:rsidR="001A62D7" w:rsidRPr="00074805" w:rsidRDefault="00A842DD" w:rsidP="00A061E1">
      <w:pPr>
        <w:pStyle w:val="Tiret1"/>
        <w:numPr>
          <w:ilvl w:val="0"/>
          <w:numId w:val="19"/>
        </w:numPr>
        <w:rPr>
          <w:noProof/>
        </w:rPr>
      </w:pPr>
      <w:r w:rsidRPr="00074805">
        <w:rPr>
          <w:noProof/>
          <w:u w:val="single"/>
        </w:rPr>
        <w:t>Reclassement externe (outplacement) et orientation professionnelle</w:t>
      </w:r>
      <w:r w:rsidRPr="00074805">
        <w:rPr>
          <w:noProof/>
        </w:rPr>
        <w:t>: ces services sont assurés par une équipe composée de conseillers en orientation professionnelle spécialisés dans les restructurations et d’intervenants chargés de l’accompagnement social, généralement issus des représentants des travailleurs de l’entreprise. Les conseillers fournissent des services de reclassement externe, d’orientation professionnelle et d’accompagnement à la réinsertion professionnelle au moyen de séances individuelles et collectives de conseil et de coaching. Les intervenants chargés de l’accompagnement social apportent, quant à eux, leur assistance dans les démarches administratives liées au changement de statut professionnel et contribuent à préserver un cadre collectif de solidarité entre les travailleurs.</w:t>
      </w:r>
    </w:p>
    <w:p w:rsidR="001A62D7" w:rsidRPr="00074805" w:rsidRDefault="00B4504D" w:rsidP="00B4504D">
      <w:pPr>
        <w:pStyle w:val="Tiret1"/>
        <w:rPr>
          <w:noProof/>
        </w:rPr>
      </w:pPr>
      <w:r w:rsidRPr="00074805">
        <w:rPr>
          <w:noProof/>
          <w:u w:val="single"/>
        </w:rPr>
        <w:t>Validation des compétences</w:t>
      </w:r>
      <w:r w:rsidRPr="00074805">
        <w:rPr>
          <w:noProof/>
        </w:rPr>
        <w:t>: les anciens travailleurs de Cora peuvent faire valider leurs compétences professionnelles par le Consortium de validation des compétences</w:t>
      </w:r>
      <w:r w:rsidRPr="00074805">
        <w:rPr>
          <w:rStyle w:val="FootnoteReference"/>
          <w:noProof/>
        </w:rPr>
        <w:footnoteReference w:id="30"/>
      </w:r>
      <w:r w:rsidRPr="00074805">
        <w:rPr>
          <w:noProof/>
        </w:rPr>
        <w:t>. Le Consortium organise des épreuves de validation adaptées au profil et aux besoins des travailleurs. La validation des compétences contribue à sécuriser et à accélérer la réinsertion professionnelle, tout en permettant une orientation plus efficace vers des parcours de formation.</w:t>
      </w:r>
    </w:p>
    <w:p w:rsidR="00741722" w:rsidRPr="00074805" w:rsidRDefault="004F669B" w:rsidP="00741722">
      <w:pPr>
        <w:pStyle w:val="Tiret1"/>
        <w:rPr>
          <w:noProof/>
        </w:rPr>
      </w:pPr>
      <w:r w:rsidRPr="00074805">
        <w:rPr>
          <w:noProof/>
          <w:u w:val="single"/>
        </w:rPr>
        <w:lastRenderedPageBreak/>
        <w:t>Formation</w:t>
      </w:r>
      <w:r w:rsidRPr="00074805">
        <w:rPr>
          <w:noProof/>
        </w:rPr>
        <w:t>: une fois le profil et les projets individuels des travailleurs établis avec les conseillers en accompagnement professionnel, une formation spécifique sera proposée afin de répondre à leurs besoins recensés. Cette formation complète les programmes de formation standard du Forem ainsi que ceux de ses partenaires. Deux modules informatiques, conçus pour développer et renforcer l’autonomie numérique, sont proposés aux travailleurs au titre des formations transversales.</w:t>
      </w:r>
    </w:p>
    <w:p w:rsidR="00741722" w:rsidRPr="00074805" w:rsidRDefault="004F669B" w:rsidP="00143574">
      <w:pPr>
        <w:pStyle w:val="Tiret1"/>
        <w:rPr>
          <w:noProof/>
        </w:rPr>
      </w:pPr>
      <w:r w:rsidRPr="00074805">
        <w:rPr>
          <w:noProof/>
          <w:u w:val="single"/>
        </w:rPr>
        <w:t>Soutien à la création d’entreprise</w:t>
      </w:r>
      <w:r w:rsidRPr="00074805">
        <w:rPr>
          <w:noProof/>
        </w:rPr>
        <w:t>: cette mesure s’adresse aux travailleurs qui souhaitent créer leur propre entreprise et comprend une phase de diagnostic et d’orientation, des activités de sensibilisation à l’entrepreneuriat, des séances d’information sur les possibilités de création d’entreprise (fondées sur des analyses économiques territoriales), ainsi que des activités de mise en réseau avec des entrepreneurs établis et des conseillers agréés en création d’entreprise.</w:t>
      </w:r>
    </w:p>
    <w:p w:rsidR="00741722" w:rsidRPr="00074805" w:rsidRDefault="003F4387" w:rsidP="00741722">
      <w:pPr>
        <w:pStyle w:val="Tiret1"/>
        <w:rPr>
          <w:noProof/>
        </w:rPr>
      </w:pPr>
      <w:r w:rsidRPr="00074805">
        <w:rPr>
          <w:noProof/>
          <w:u w:val="single"/>
        </w:rPr>
        <w:t>Contribution à la création d’entreprise</w:t>
      </w:r>
      <w:r w:rsidRPr="00074805">
        <w:rPr>
          <w:noProof/>
        </w:rPr>
        <w:t>: les travailleurs qui créent une entreprise ou démarrent une activité indépendante recevront une contribution allant jusqu’à 15 000 EUR. Cette contribution sera versée en deux tranches, sous réserve de la vérification du lancement et de la progression de l’activité de l’entreprise au moyen de pièces justificatives.</w:t>
      </w:r>
    </w:p>
    <w:p w:rsidR="00741722" w:rsidRPr="00074805" w:rsidRDefault="00133E35" w:rsidP="00741722">
      <w:pPr>
        <w:pStyle w:val="Tiret1"/>
        <w:rPr>
          <w:noProof/>
        </w:rPr>
      </w:pPr>
      <w:r w:rsidRPr="00074805">
        <w:rPr>
          <w:noProof/>
          <w:u w:val="single"/>
        </w:rPr>
        <w:t>Mesures d’incitation et allocations</w:t>
      </w:r>
      <w:r w:rsidRPr="00074805">
        <w:rPr>
          <w:noProof/>
        </w:rPr>
        <w:t>: (1) allocation de recherche d’emploi. Les travailleurs recevront 2 EUR pour chaque heure de participation effective aux activités de recherche d’emploi pouvant bénéficier de l’allocation. (2) Allocation de reprise d’études. Une allocation mensuelle de 350 EUR sera accordée aux travailleurs qui entreprennent des études secondaires ou tertiaires à temps plein, ou une formation qualifiante permettant d’acquérir des compétences nécessaires pour des emplois pour lesquels il existe des besoins et pour lesquels le recrutement est difficile ou lié à des fonctions critiques</w:t>
      </w:r>
      <w:r w:rsidR="001E2081" w:rsidRPr="00074805">
        <w:rPr>
          <w:rStyle w:val="FootnoteReference"/>
          <w:noProof/>
        </w:rPr>
        <w:footnoteReference w:id="31"/>
      </w:r>
      <w:r w:rsidRPr="00074805">
        <w:rPr>
          <w:noProof/>
        </w:rPr>
        <w:t>. (3) Allocation de soutien à la création d’entreprise. Afin de soutenir les travailleurs lors de la création d’une entreprise, une allocation mensuelle de 350 EUR sera accordée pour une durée maximale de 12 mois, qui pourra aller jusqu’à 18 mois sous certaines conditions.</w:t>
      </w:r>
    </w:p>
    <w:p w:rsidR="006F7CF9" w:rsidRPr="00074805" w:rsidRDefault="006F7CF9" w:rsidP="006F7CF9">
      <w:pPr>
        <w:pStyle w:val="ManualNumPar1"/>
        <w:rPr>
          <w:noProof/>
        </w:rPr>
      </w:pPr>
      <w:r>
        <w:rPr>
          <w:noProof/>
        </w:rPr>
        <w:t>34.</w:t>
      </w:r>
      <w:r>
        <w:rPr>
          <w:noProof/>
        </w:rPr>
        <w:tab/>
      </w:r>
      <w:r w:rsidRPr="00074805">
        <w:rPr>
          <w:noProof/>
        </w:rPr>
        <w:t xml:space="preserve">Les formations destinées à développer et à renforcer l’autonomie numérique, qui complètent le programme standard de développement des compétences numériques du Forem, ainsi qu’un module consacré à l’économie circulaire et à l’utilisation efficace des ressources, favorisent la diffusion des compétences indispensables à l’ère de l’industrie numérique et dans une économie efficace dans l’utilisation des ressources, comme l’exige l’article 7, paragraphe 2, du règlement (UE) 2021/691. </w:t>
      </w:r>
    </w:p>
    <w:p w:rsidR="006F7CF9" w:rsidRPr="00074805" w:rsidRDefault="006F7CF9" w:rsidP="00783113">
      <w:pPr>
        <w:pStyle w:val="Text1"/>
        <w:rPr>
          <w:noProof/>
        </w:rPr>
      </w:pPr>
      <w:r w:rsidRPr="00074805">
        <w:rPr>
          <w:noProof/>
        </w:rPr>
        <w:t>Le module consacré à l’économie circulaire et à l’utilisation efficace des ressources, initialement développé à l’intention des anciens travailleurs de Swissport (EGF/2020/005 BE)</w:t>
      </w:r>
      <w:r w:rsidRPr="00074805">
        <w:rPr>
          <w:rStyle w:val="FootnoteReference"/>
          <w:noProof/>
        </w:rPr>
        <w:footnoteReference w:id="32"/>
      </w:r>
      <w:r w:rsidRPr="00074805">
        <w:rPr>
          <w:noProof/>
        </w:rPr>
        <w:t xml:space="preserve">, fait désormais partie de l’offre de formation standard du Forem, cofinancée par le FSE+. À ce titre, il n’est pas inclus dans le budget de la présente proposition. </w:t>
      </w:r>
    </w:p>
    <w:p w:rsidR="001A62D7" w:rsidRPr="00074805" w:rsidRDefault="006F7CF9" w:rsidP="00783113">
      <w:pPr>
        <w:pStyle w:val="Text1"/>
        <w:rPr>
          <w:noProof/>
        </w:rPr>
      </w:pPr>
      <w:r w:rsidRPr="00074805">
        <w:rPr>
          <w:noProof/>
        </w:rPr>
        <w:lastRenderedPageBreak/>
        <w:t>En outre, le module consacré à l’économie circulaire est complété par un module sur l’économie sociale, également élaboré dans le cadre d’un dossier FEM</w:t>
      </w:r>
      <w:r w:rsidR="00105B12" w:rsidRPr="00074805">
        <w:rPr>
          <w:rStyle w:val="FootnoteReference"/>
          <w:noProof/>
        </w:rPr>
        <w:footnoteReference w:id="33"/>
      </w:r>
      <w:r w:rsidRPr="00074805">
        <w:rPr>
          <w:noProof/>
        </w:rPr>
        <w:t xml:space="preserve">. </w:t>
      </w:r>
    </w:p>
    <w:p w:rsidR="001A62D7" w:rsidRPr="00074805" w:rsidRDefault="001A62D7" w:rsidP="00AE7D04">
      <w:pPr>
        <w:pStyle w:val="ManualNumPar1"/>
        <w:rPr>
          <w:noProof/>
        </w:rPr>
      </w:pPr>
      <w:r>
        <w:rPr>
          <w:noProof/>
        </w:rPr>
        <w:t>35.</w:t>
      </w:r>
      <w:r>
        <w:rPr>
          <w:noProof/>
        </w:rPr>
        <w:tab/>
      </w:r>
      <w:bookmarkStart w:id="18" w:name="_Ref372214242"/>
      <w:r w:rsidRPr="00074805">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074805" w:rsidRDefault="00783113" w:rsidP="00AE7D04">
      <w:pPr>
        <w:pStyle w:val="ManualNumPar1"/>
        <w:rPr>
          <w:noProof/>
        </w:rPr>
      </w:pPr>
      <w:r>
        <w:rPr>
          <w:noProof/>
        </w:rPr>
        <w:t>36.</w:t>
      </w:r>
      <w:r>
        <w:rPr>
          <w:noProof/>
        </w:rPr>
        <w:tab/>
      </w:r>
      <w:r w:rsidRPr="00074805">
        <w:rPr>
          <w:noProof/>
        </w:rPr>
        <w:t>La Belgique a fourni les informations requises sur les mesures revêtant un caractère obligatoire pour l’entreprise concernée en vertu du droit national ou de conventions collectives. Conformément à l’article 9, paragraphe 1, du règlement (UE) 2021/691, la Belgique a confirmé que la contribution financière du FEM ne se substituerait pas à ces mesures.</w:t>
      </w:r>
      <w:bookmarkEnd w:id="18"/>
    </w:p>
    <w:p w:rsidR="001A62D7" w:rsidRPr="00074805" w:rsidRDefault="001A62D7" w:rsidP="001A62D7">
      <w:pPr>
        <w:pStyle w:val="ManualHeading3"/>
        <w:rPr>
          <w:noProof/>
        </w:rPr>
      </w:pPr>
      <w:r w:rsidRPr="00074805">
        <w:rPr>
          <w:noProof/>
        </w:rPr>
        <w:t>Budget prévisionnel</w:t>
      </w:r>
    </w:p>
    <w:p w:rsidR="001A62D7" w:rsidRPr="00074805" w:rsidRDefault="001A62D7" w:rsidP="00AE7D04">
      <w:pPr>
        <w:pStyle w:val="ManualNumPar1"/>
        <w:rPr>
          <w:noProof/>
        </w:rPr>
      </w:pPr>
      <w:r>
        <w:rPr>
          <w:noProof/>
        </w:rPr>
        <w:t>37.</w:t>
      </w:r>
      <w:r>
        <w:rPr>
          <w:noProof/>
        </w:rPr>
        <w:tab/>
      </w:r>
      <w:r w:rsidRPr="00074805">
        <w:rPr>
          <w:noProof/>
        </w:rPr>
        <w:t>Le coût total estimé s’élève à 4 495 836 EUR; il correspond aux dépenses pour les services personnalisés à hauteur de 4 441 774 EUR et aux dépenses pour financer les activités préparatoires, de gestion, d’information et de publicité, ainsi que les activités de contrôle et de rapport, pour un montant de 54 062 EUR.</w:t>
      </w:r>
    </w:p>
    <w:p w:rsidR="001A62D7" w:rsidRPr="00074805" w:rsidRDefault="001A62D7" w:rsidP="00AE7D04">
      <w:pPr>
        <w:pStyle w:val="ManualNumPar1"/>
        <w:rPr>
          <w:noProof/>
        </w:rPr>
      </w:pPr>
      <w:r>
        <w:rPr>
          <w:noProof/>
        </w:rPr>
        <w:t>38.</w:t>
      </w:r>
      <w:r>
        <w:rPr>
          <w:noProof/>
        </w:rPr>
        <w:tab/>
      </w:r>
      <w:bookmarkStart w:id="19" w:name="_Ref372550770"/>
      <w:r w:rsidRPr="00074805">
        <w:rPr>
          <w:noProof/>
        </w:rPr>
        <w:t>La contribution financière totale demandée au FEM s’élève à 3 821 460 EUR (soit 85 % du coût total).</w:t>
      </w:r>
      <w:bookmarkEnd w:id="19"/>
    </w:p>
    <w:p w:rsidR="001A62D7" w:rsidRPr="00074805" w:rsidRDefault="001A62D7" w:rsidP="00312E6F">
      <w:pPr>
        <w:pStyle w:val="ManualNumPar1"/>
        <w:rPr>
          <w:noProof/>
        </w:rPr>
      </w:pPr>
      <w:r>
        <w:rPr>
          <w:noProof/>
        </w:rPr>
        <w:t>39.</w:t>
      </w:r>
      <w:r>
        <w:rPr>
          <w:noProof/>
        </w:rPr>
        <w:tab/>
      </w:r>
      <w:r w:rsidRPr="00074805">
        <w:rPr>
          <w:noProof/>
        </w:rPr>
        <w:t>Conformément à l’article 8, paragraphe 7, point m), du règlement (UE) 2021/691, la Belgique a indiqué que le préfinancement et le cofinancement nationaux sont assurés par le Forem et la Région wallonne.</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074805" w:rsidTr="001D5990">
        <w:tc>
          <w:tcPr>
            <w:tcW w:w="4644" w:type="dxa"/>
            <w:vAlign w:val="center"/>
          </w:tcPr>
          <w:p w:rsidR="001A62D7" w:rsidRPr="00074805" w:rsidRDefault="001A62D7" w:rsidP="001D5990">
            <w:pPr>
              <w:spacing w:before="60" w:after="60"/>
              <w:jc w:val="center"/>
              <w:rPr>
                <w:rFonts w:eastAsia="Times New Roman"/>
                <w:noProof/>
                <w:sz w:val="22"/>
              </w:rPr>
            </w:pPr>
            <w:r w:rsidRPr="00074805">
              <w:rPr>
                <w:noProof/>
                <w:sz w:val="22"/>
              </w:rPr>
              <w:t>Mesures</w:t>
            </w:r>
          </w:p>
        </w:tc>
        <w:tc>
          <w:tcPr>
            <w:tcW w:w="1548" w:type="dxa"/>
            <w:vAlign w:val="center"/>
          </w:tcPr>
          <w:p w:rsidR="001A62D7" w:rsidRPr="00074805" w:rsidRDefault="001A62D7" w:rsidP="001D5990">
            <w:pPr>
              <w:spacing w:before="60" w:after="60"/>
              <w:jc w:val="center"/>
              <w:rPr>
                <w:rFonts w:eastAsia="Times New Roman"/>
                <w:noProof/>
                <w:sz w:val="22"/>
              </w:rPr>
            </w:pPr>
            <w:r w:rsidRPr="00074805">
              <w:rPr>
                <w:noProof/>
                <w:sz w:val="22"/>
              </w:rPr>
              <w:t>Nombre estimé de participants</w:t>
            </w:r>
          </w:p>
        </w:tc>
        <w:tc>
          <w:tcPr>
            <w:tcW w:w="1548" w:type="dxa"/>
            <w:vAlign w:val="center"/>
          </w:tcPr>
          <w:p w:rsidR="001A62D7" w:rsidRPr="00074805" w:rsidRDefault="001A62D7" w:rsidP="001D5990">
            <w:pPr>
              <w:spacing w:before="60" w:after="60"/>
              <w:jc w:val="center"/>
              <w:rPr>
                <w:rFonts w:eastAsia="Times New Roman"/>
                <w:noProof/>
                <w:sz w:val="22"/>
              </w:rPr>
            </w:pPr>
            <w:r w:rsidRPr="00074805">
              <w:rPr>
                <w:noProof/>
                <w:sz w:val="22"/>
              </w:rPr>
              <w:t>Coût estimé par participant</w:t>
            </w:r>
            <w:r w:rsidRPr="00074805">
              <w:rPr>
                <w:noProof/>
                <w:sz w:val="22"/>
              </w:rPr>
              <w:br/>
            </w:r>
            <w:r w:rsidRPr="00074805">
              <w:rPr>
                <w:i/>
                <w:noProof/>
                <w:sz w:val="22"/>
              </w:rPr>
              <w:t>(en euros)</w:t>
            </w:r>
            <w:r w:rsidRPr="00074805">
              <w:rPr>
                <w:rStyle w:val="FootnoteReference"/>
                <w:rFonts w:eastAsia="Times New Roman"/>
                <w:i/>
                <w:noProof/>
                <w:sz w:val="22"/>
              </w:rPr>
              <w:footnoteReference w:id="34"/>
            </w:r>
          </w:p>
        </w:tc>
        <w:tc>
          <w:tcPr>
            <w:tcW w:w="1548" w:type="dxa"/>
            <w:vAlign w:val="center"/>
          </w:tcPr>
          <w:p w:rsidR="001A62D7" w:rsidRPr="00074805" w:rsidRDefault="001A62D7" w:rsidP="001D5990">
            <w:pPr>
              <w:spacing w:before="60" w:after="60"/>
              <w:jc w:val="center"/>
              <w:rPr>
                <w:rFonts w:eastAsia="Times New Roman"/>
                <w:noProof/>
                <w:sz w:val="22"/>
              </w:rPr>
            </w:pPr>
            <w:r w:rsidRPr="00074805">
              <w:rPr>
                <w:noProof/>
                <w:sz w:val="22"/>
              </w:rPr>
              <w:t>Estimation du coût total</w:t>
            </w:r>
          </w:p>
          <w:p w:rsidR="001A62D7" w:rsidRPr="00074805" w:rsidRDefault="001A62D7" w:rsidP="001D5990">
            <w:pPr>
              <w:spacing w:before="60" w:after="60"/>
              <w:jc w:val="center"/>
              <w:rPr>
                <w:rFonts w:eastAsia="Times New Roman"/>
                <w:noProof/>
                <w:sz w:val="22"/>
              </w:rPr>
            </w:pPr>
            <w:r w:rsidRPr="00074805">
              <w:rPr>
                <w:i/>
                <w:noProof/>
                <w:sz w:val="22"/>
              </w:rPr>
              <w:t>(en euros)</w:t>
            </w:r>
            <w:r w:rsidRPr="00074805">
              <w:rPr>
                <w:rStyle w:val="FootnoteReference"/>
                <w:rFonts w:eastAsia="Times New Roman"/>
                <w:i/>
                <w:noProof/>
                <w:sz w:val="22"/>
              </w:rPr>
              <w:footnoteReference w:id="35"/>
            </w:r>
            <w:r w:rsidRPr="00074805">
              <w:rPr>
                <w:i/>
                <w:noProof/>
                <w:sz w:val="22"/>
              </w:rPr>
              <w:t xml:space="preserve"> </w:t>
            </w:r>
          </w:p>
        </w:tc>
      </w:tr>
      <w:tr w:rsidR="001A62D7" w:rsidRPr="00074805" w:rsidTr="001D5990">
        <w:tc>
          <w:tcPr>
            <w:tcW w:w="9288" w:type="dxa"/>
            <w:gridSpan w:val="4"/>
          </w:tcPr>
          <w:p w:rsidR="001A62D7" w:rsidRPr="00074805" w:rsidRDefault="001A62D7" w:rsidP="001D5990">
            <w:pPr>
              <w:spacing w:before="60" w:after="60"/>
              <w:jc w:val="left"/>
              <w:rPr>
                <w:rFonts w:eastAsia="Times New Roman"/>
                <w:noProof/>
                <w:sz w:val="22"/>
              </w:rPr>
            </w:pPr>
            <w:r w:rsidRPr="00074805">
              <w:rPr>
                <w:noProof/>
                <w:sz w:val="22"/>
              </w:rPr>
              <w:t>Services personnalisés [mesures au titre de l’article 7, paragraphe 2</w:t>
            </w:r>
            <w:r w:rsidRPr="00074805">
              <w:rPr>
                <w:noProof/>
              </w:rPr>
              <w:t xml:space="preserve">, deuxième alinéa, </w:t>
            </w:r>
            <w:r w:rsidRPr="00074805">
              <w:rPr>
                <w:noProof/>
                <w:sz w:val="22"/>
              </w:rPr>
              <w:t>point a), du règlement (UE) 2021/691]</w:t>
            </w:r>
          </w:p>
        </w:tc>
      </w:tr>
      <w:tr w:rsidR="001A62D7" w:rsidRPr="0007480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074805" w:rsidRDefault="00337A55" w:rsidP="00337A55">
            <w:pPr>
              <w:spacing w:before="60" w:after="60"/>
              <w:jc w:val="left"/>
              <w:rPr>
                <w:noProof/>
              </w:rPr>
            </w:pPr>
            <w:r w:rsidRPr="00074805">
              <w:rPr>
                <w:noProof/>
              </w:rPr>
              <w:t>Services d’information, orientation professionnelle et aide au reclassement externe</w:t>
            </w:r>
            <w:r w:rsidRPr="00074805">
              <w:rPr>
                <w:noProof/>
              </w:rPr>
              <w:br/>
              <w:t>(</w:t>
            </w:r>
            <w:r w:rsidRPr="00074805">
              <w:rPr>
                <w:i/>
                <w:noProof/>
              </w:rPr>
              <w:t>reconversion: accompagnement/orientation/mobilisation)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1 010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2 860</w:t>
            </w:r>
          </w:p>
        </w:tc>
        <w:tc>
          <w:tcPr>
            <w:tcW w:w="1548" w:type="dxa"/>
            <w:tcBorders>
              <w:top w:val="single" w:sz="4" w:space="0" w:color="auto"/>
              <w:left w:val="single" w:sz="4" w:space="0" w:color="auto"/>
              <w:bottom w:val="single" w:sz="4" w:space="0" w:color="auto"/>
              <w:right w:val="nil"/>
            </w:tcBorders>
            <w:vAlign w:val="center"/>
            <w:hideMark/>
          </w:tcPr>
          <w:p w:rsidR="001A62D7" w:rsidRPr="00074805" w:rsidRDefault="002E0B64" w:rsidP="001D5990">
            <w:pPr>
              <w:spacing w:before="60" w:after="60"/>
              <w:jc w:val="center"/>
              <w:rPr>
                <w:noProof/>
              </w:rPr>
            </w:pPr>
            <w:r w:rsidRPr="00074805">
              <w:rPr>
                <w:noProof/>
              </w:rPr>
              <w:t>2 874 558</w:t>
            </w:r>
          </w:p>
        </w:tc>
      </w:tr>
      <w:tr w:rsidR="001A62D7" w:rsidRPr="0007480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074805" w:rsidRDefault="009056A8" w:rsidP="001D5990">
            <w:pPr>
              <w:spacing w:before="60" w:after="60"/>
              <w:jc w:val="left"/>
              <w:rPr>
                <w:noProof/>
              </w:rPr>
            </w:pPr>
            <w:r w:rsidRPr="00074805">
              <w:rPr>
                <w:noProof/>
              </w:rPr>
              <w:t>Validation des compétences</w:t>
            </w:r>
            <w:r w:rsidRPr="00074805">
              <w:rPr>
                <w:noProof/>
              </w:rPr>
              <w:br/>
              <w:t>(v</w:t>
            </w:r>
            <w:r w:rsidRPr="00074805">
              <w:rPr>
                <w:i/>
                <w:noProof/>
              </w:rPr>
              <w:t>alidation des compétences)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150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133</w:t>
            </w:r>
          </w:p>
        </w:tc>
        <w:tc>
          <w:tcPr>
            <w:tcW w:w="1548" w:type="dxa"/>
            <w:tcBorders>
              <w:top w:val="single" w:sz="4" w:space="0" w:color="auto"/>
              <w:left w:val="single" w:sz="4" w:space="0" w:color="auto"/>
              <w:bottom w:val="single" w:sz="4" w:space="0" w:color="auto"/>
              <w:right w:val="nil"/>
            </w:tcBorders>
            <w:vAlign w:val="center"/>
            <w:hideMark/>
          </w:tcPr>
          <w:p w:rsidR="001A62D7" w:rsidRPr="00074805" w:rsidRDefault="002E0B64" w:rsidP="001D5990">
            <w:pPr>
              <w:spacing w:before="60" w:after="60"/>
              <w:jc w:val="center"/>
              <w:rPr>
                <w:noProof/>
              </w:rPr>
            </w:pPr>
            <w:r w:rsidRPr="00074805">
              <w:rPr>
                <w:noProof/>
              </w:rPr>
              <w:t>20 000</w:t>
            </w:r>
          </w:p>
        </w:tc>
      </w:tr>
      <w:tr w:rsidR="001A62D7" w:rsidRPr="0007480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074805" w:rsidRDefault="004B48A5" w:rsidP="004B48A5">
            <w:pPr>
              <w:spacing w:before="60" w:after="60"/>
              <w:jc w:val="left"/>
              <w:rPr>
                <w:noProof/>
              </w:rPr>
            </w:pPr>
            <w:r w:rsidRPr="00074805">
              <w:rPr>
                <w:noProof/>
              </w:rPr>
              <w:t xml:space="preserve">Formation et reconversion </w:t>
            </w:r>
            <w:r w:rsidRPr="00074805">
              <w:rPr>
                <w:noProof/>
              </w:rPr>
              <w:br/>
              <w:t>(</w:t>
            </w:r>
            <w:r w:rsidRPr="00074805">
              <w:rPr>
                <w:i/>
                <w:noProof/>
              </w:rPr>
              <w:t>formations et modules spécifiques)</w:t>
            </w:r>
            <w:r w:rsidRPr="00074805">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500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937</w:t>
            </w:r>
          </w:p>
        </w:tc>
        <w:tc>
          <w:tcPr>
            <w:tcW w:w="1548" w:type="dxa"/>
            <w:tcBorders>
              <w:top w:val="single" w:sz="4" w:space="0" w:color="auto"/>
              <w:left w:val="single" w:sz="4" w:space="0" w:color="auto"/>
              <w:bottom w:val="single" w:sz="4" w:space="0" w:color="auto"/>
              <w:right w:val="nil"/>
            </w:tcBorders>
            <w:vAlign w:val="center"/>
            <w:hideMark/>
          </w:tcPr>
          <w:p w:rsidR="001A62D7" w:rsidRPr="00074805" w:rsidRDefault="002E0B64" w:rsidP="001D5990">
            <w:pPr>
              <w:spacing w:before="60" w:after="60"/>
              <w:jc w:val="center"/>
              <w:rPr>
                <w:noProof/>
              </w:rPr>
            </w:pPr>
            <w:r w:rsidRPr="00074805">
              <w:rPr>
                <w:noProof/>
              </w:rPr>
              <w:t>468 800</w:t>
            </w:r>
          </w:p>
        </w:tc>
      </w:tr>
      <w:tr w:rsidR="001A62D7" w:rsidRPr="0007480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074805" w:rsidRDefault="00646BD5" w:rsidP="00646BD5">
            <w:pPr>
              <w:spacing w:before="60" w:after="60"/>
              <w:jc w:val="left"/>
              <w:rPr>
                <w:noProof/>
              </w:rPr>
            </w:pPr>
            <w:r w:rsidRPr="00074805">
              <w:rPr>
                <w:noProof/>
              </w:rPr>
              <w:t>Soutien à la création d’entreprise</w:t>
            </w:r>
            <w:r w:rsidRPr="00074805">
              <w:rPr>
                <w:noProof/>
              </w:rPr>
              <w:br/>
              <w:t>(</w:t>
            </w:r>
            <w:r w:rsidRPr="00074805">
              <w:rPr>
                <w:i/>
                <w:noProof/>
              </w:rPr>
              <w:t>accompagnement entrepreneuriat)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2 350</w:t>
            </w:r>
          </w:p>
        </w:tc>
        <w:tc>
          <w:tcPr>
            <w:tcW w:w="1548" w:type="dxa"/>
            <w:tcBorders>
              <w:top w:val="single" w:sz="4" w:space="0" w:color="auto"/>
              <w:left w:val="single" w:sz="4" w:space="0" w:color="auto"/>
              <w:bottom w:val="single" w:sz="4" w:space="0" w:color="auto"/>
              <w:right w:val="nil"/>
            </w:tcBorders>
            <w:vAlign w:val="center"/>
            <w:hideMark/>
          </w:tcPr>
          <w:p w:rsidR="001A62D7" w:rsidRPr="00074805" w:rsidRDefault="002E0B64" w:rsidP="001D5990">
            <w:pPr>
              <w:spacing w:before="60" w:after="60"/>
              <w:jc w:val="center"/>
              <w:rPr>
                <w:noProof/>
              </w:rPr>
            </w:pPr>
            <w:r w:rsidRPr="00074805">
              <w:rPr>
                <w:noProof/>
              </w:rPr>
              <w:t>117 503</w:t>
            </w:r>
          </w:p>
        </w:tc>
      </w:tr>
      <w:tr w:rsidR="001A62D7" w:rsidRPr="0007480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074805" w:rsidRDefault="00BC646D" w:rsidP="00BC646D">
            <w:pPr>
              <w:spacing w:before="60" w:after="60"/>
              <w:jc w:val="left"/>
              <w:rPr>
                <w:noProof/>
              </w:rPr>
            </w:pPr>
            <w:r w:rsidRPr="00074805">
              <w:rPr>
                <w:noProof/>
              </w:rPr>
              <w:lastRenderedPageBreak/>
              <w:t>Contribution à la création d’entreprise</w:t>
            </w:r>
            <w:r w:rsidRPr="00074805">
              <w:rPr>
                <w:noProof/>
              </w:rPr>
              <w:br/>
            </w:r>
            <w:r w:rsidRPr="00074805">
              <w:rPr>
                <w:i/>
                <w:noProof/>
              </w:rPr>
              <w:t>(bourse de lancement)</w:t>
            </w:r>
            <w:r w:rsidRPr="00074805">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45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074805" w:rsidRDefault="002E0B64" w:rsidP="001D5990">
            <w:pPr>
              <w:spacing w:before="60" w:after="60"/>
              <w:jc w:val="center"/>
              <w:rPr>
                <w:noProof/>
              </w:rPr>
            </w:pPr>
            <w:r w:rsidRPr="00074805">
              <w:rPr>
                <w:noProof/>
              </w:rPr>
              <w:t>450 000</w:t>
            </w:r>
          </w:p>
        </w:tc>
      </w:tr>
      <w:tr w:rsidR="001A62D7" w:rsidRPr="00074805" w:rsidTr="001D5990">
        <w:trPr>
          <w:trHeight w:val="398"/>
        </w:trPr>
        <w:tc>
          <w:tcPr>
            <w:tcW w:w="4644" w:type="dxa"/>
            <w:vMerge w:val="restart"/>
            <w:vAlign w:val="center"/>
          </w:tcPr>
          <w:p w:rsidR="001A62D7" w:rsidRPr="00074805" w:rsidRDefault="001A62D7" w:rsidP="001D5990">
            <w:pPr>
              <w:spacing w:before="60" w:after="60"/>
              <w:jc w:val="right"/>
              <w:rPr>
                <w:rFonts w:eastAsia="Times New Roman"/>
                <w:noProof/>
                <w:sz w:val="22"/>
              </w:rPr>
            </w:pPr>
            <w:r w:rsidRPr="00074805">
              <w:rPr>
                <w:noProof/>
                <w:sz w:val="22"/>
              </w:rPr>
              <w:t>Sous-total a):</w:t>
            </w:r>
          </w:p>
          <w:p w:rsidR="001A62D7" w:rsidRPr="00074805" w:rsidRDefault="001A62D7" w:rsidP="001D5990">
            <w:pPr>
              <w:spacing w:before="60" w:after="60"/>
              <w:jc w:val="right"/>
              <w:rPr>
                <w:rFonts w:eastAsia="Times New Roman"/>
                <w:noProof/>
                <w:sz w:val="22"/>
              </w:rPr>
            </w:pPr>
            <w:r w:rsidRPr="00074805">
              <w:rPr>
                <w:noProof/>
                <w:sz w:val="22"/>
              </w:rPr>
              <w:t xml:space="preserve">Pourcentage de l’ensemble coordonné de services personnalisés </w:t>
            </w:r>
          </w:p>
        </w:tc>
        <w:tc>
          <w:tcPr>
            <w:tcW w:w="3096" w:type="dxa"/>
            <w:gridSpan w:val="2"/>
            <w:vMerge w:val="restart"/>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Borders>
              <w:bottom w:val="nil"/>
            </w:tcBorders>
            <w:vAlign w:val="center"/>
          </w:tcPr>
          <w:p w:rsidR="001A62D7" w:rsidRPr="00074805" w:rsidRDefault="00F252C5" w:rsidP="001D5990">
            <w:pPr>
              <w:spacing w:before="60" w:after="60"/>
              <w:jc w:val="center"/>
              <w:rPr>
                <w:rFonts w:eastAsia="Times New Roman"/>
                <w:noProof/>
                <w:sz w:val="22"/>
              </w:rPr>
            </w:pPr>
            <w:r w:rsidRPr="00074805">
              <w:rPr>
                <w:noProof/>
              </w:rPr>
              <w:t>3 930 861</w:t>
            </w:r>
          </w:p>
        </w:tc>
      </w:tr>
      <w:tr w:rsidR="001A62D7" w:rsidRPr="00074805" w:rsidTr="001D5990">
        <w:trPr>
          <w:trHeight w:val="397"/>
        </w:trPr>
        <w:tc>
          <w:tcPr>
            <w:tcW w:w="4644" w:type="dxa"/>
            <w:vMerge/>
            <w:vAlign w:val="center"/>
          </w:tcPr>
          <w:p w:rsidR="001A62D7" w:rsidRPr="00074805"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074805" w:rsidRDefault="001A62D7" w:rsidP="001D5990">
            <w:pPr>
              <w:spacing w:before="60" w:after="60"/>
              <w:jc w:val="center"/>
              <w:rPr>
                <w:rFonts w:eastAsia="Times New Roman"/>
                <w:noProof/>
                <w:sz w:val="22"/>
              </w:rPr>
            </w:pPr>
          </w:p>
        </w:tc>
        <w:tc>
          <w:tcPr>
            <w:tcW w:w="1548" w:type="dxa"/>
            <w:tcBorders>
              <w:top w:val="nil"/>
            </w:tcBorders>
            <w:vAlign w:val="center"/>
          </w:tcPr>
          <w:p w:rsidR="001A62D7" w:rsidRPr="00074805" w:rsidRDefault="001A62D7" w:rsidP="001D5990">
            <w:pPr>
              <w:spacing w:before="60" w:after="60"/>
              <w:jc w:val="center"/>
              <w:rPr>
                <w:rFonts w:eastAsia="Times New Roman"/>
                <w:noProof/>
                <w:sz w:val="22"/>
              </w:rPr>
            </w:pPr>
            <w:r w:rsidRPr="00074805">
              <w:rPr>
                <w:noProof/>
                <w:sz w:val="22"/>
              </w:rPr>
              <w:t>(</w:t>
            </w:r>
            <w:r w:rsidRPr="00074805">
              <w:rPr>
                <w:noProof/>
              </w:rPr>
              <w:t>88,50 </w:t>
            </w:r>
            <w:r w:rsidRPr="00074805">
              <w:rPr>
                <w:noProof/>
                <w:sz w:val="22"/>
              </w:rPr>
              <w:t>%)</w:t>
            </w:r>
          </w:p>
        </w:tc>
      </w:tr>
      <w:tr w:rsidR="001A62D7" w:rsidRPr="00074805" w:rsidTr="001D5990">
        <w:tc>
          <w:tcPr>
            <w:tcW w:w="9288" w:type="dxa"/>
            <w:gridSpan w:val="4"/>
            <w:vAlign w:val="center"/>
          </w:tcPr>
          <w:p w:rsidR="001A62D7" w:rsidRPr="00074805" w:rsidRDefault="001A62D7" w:rsidP="001D5990">
            <w:pPr>
              <w:spacing w:before="60" w:after="60"/>
              <w:jc w:val="left"/>
              <w:rPr>
                <w:noProof/>
                <w:sz w:val="22"/>
              </w:rPr>
            </w:pPr>
            <w:r w:rsidRPr="00074805">
              <w:rPr>
                <w:noProof/>
                <w:sz w:val="22"/>
              </w:rPr>
              <w:t xml:space="preserve">Allocations et incitations [mesures au titre de l’article 7, paragraphe 2, </w:t>
            </w:r>
            <w:r w:rsidRPr="00074805">
              <w:rPr>
                <w:noProof/>
              </w:rPr>
              <w:t>deuxième alinéa</w:t>
            </w:r>
            <w:r w:rsidRPr="00074805">
              <w:rPr>
                <w:noProof/>
                <w:sz w:val="22"/>
              </w:rPr>
              <w:t>, point b), du règlement (UE) 2021/691]</w:t>
            </w:r>
          </w:p>
        </w:tc>
      </w:tr>
      <w:tr w:rsidR="001A62D7" w:rsidRPr="0007480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074805" w:rsidRDefault="00133E35" w:rsidP="00BC646D">
            <w:pPr>
              <w:spacing w:before="60" w:after="60"/>
              <w:jc w:val="left"/>
              <w:rPr>
                <w:noProof/>
              </w:rPr>
            </w:pPr>
            <w:r w:rsidRPr="00074805">
              <w:rPr>
                <w:noProof/>
              </w:rPr>
              <w:t>Mesures d’incitation et allocations</w:t>
            </w:r>
            <w:r w:rsidRPr="00074805">
              <w:rPr>
                <w:noProof/>
              </w:rPr>
              <w:br/>
              <w:t>(</w:t>
            </w:r>
            <w:r w:rsidRPr="00074805">
              <w:rPr>
                <w:i/>
                <w:noProof/>
              </w:rPr>
              <w:t xml:space="preserve">allocation de recherche d'emploi, allocation de reprise d'études, allocation d'entrepreneuriat) </w:t>
            </w:r>
            <w:r w:rsidRPr="00074805">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1 005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074805" w:rsidRDefault="002E0B64" w:rsidP="001D5990">
            <w:pPr>
              <w:spacing w:before="60" w:after="60"/>
              <w:jc w:val="center"/>
              <w:rPr>
                <w:noProof/>
              </w:rPr>
            </w:pPr>
            <w:r w:rsidRPr="00074805">
              <w:rPr>
                <w:noProof/>
              </w:rPr>
              <w:t>508</w:t>
            </w:r>
          </w:p>
        </w:tc>
        <w:tc>
          <w:tcPr>
            <w:tcW w:w="1548" w:type="dxa"/>
            <w:tcBorders>
              <w:top w:val="single" w:sz="4" w:space="0" w:color="auto"/>
              <w:left w:val="single" w:sz="4" w:space="0" w:color="auto"/>
              <w:bottom w:val="single" w:sz="4" w:space="0" w:color="auto"/>
              <w:right w:val="nil"/>
            </w:tcBorders>
            <w:vAlign w:val="center"/>
            <w:hideMark/>
          </w:tcPr>
          <w:p w:rsidR="001A62D7" w:rsidRPr="00074805" w:rsidRDefault="002E0B64" w:rsidP="001D5990">
            <w:pPr>
              <w:spacing w:before="60" w:after="60"/>
              <w:jc w:val="center"/>
              <w:rPr>
                <w:noProof/>
              </w:rPr>
            </w:pPr>
            <w:r w:rsidRPr="00074805">
              <w:rPr>
                <w:noProof/>
              </w:rPr>
              <w:t>510 913</w:t>
            </w:r>
          </w:p>
        </w:tc>
      </w:tr>
      <w:tr w:rsidR="001A62D7" w:rsidRPr="00074805" w:rsidTr="001D5990">
        <w:trPr>
          <w:trHeight w:val="203"/>
        </w:trPr>
        <w:tc>
          <w:tcPr>
            <w:tcW w:w="4644" w:type="dxa"/>
            <w:vMerge w:val="restart"/>
            <w:vAlign w:val="center"/>
          </w:tcPr>
          <w:p w:rsidR="001A62D7" w:rsidRPr="00074805" w:rsidRDefault="001A62D7" w:rsidP="001D5990">
            <w:pPr>
              <w:spacing w:before="60" w:after="60"/>
              <w:jc w:val="right"/>
              <w:rPr>
                <w:rFonts w:eastAsia="Times New Roman"/>
                <w:noProof/>
                <w:sz w:val="22"/>
              </w:rPr>
            </w:pPr>
            <w:r w:rsidRPr="00074805">
              <w:rPr>
                <w:noProof/>
                <w:sz w:val="22"/>
              </w:rPr>
              <w:t>Sous-total b):</w:t>
            </w:r>
          </w:p>
          <w:p w:rsidR="001A62D7" w:rsidRPr="00074805" w:rsidRDefault="001A62D7" w:rsidP="001D5990">
            <w:pPr>
              <w:spacing w:before="60" w:after="60"/>
              <w:jc w:val="right"/>
              <w:rPr>
                <w:rFonts w:eastAsia="Times New Roman"/>
                <w:noProof/>
                <w:sz w:val="22"/>
              </w:rPr>
            </w:pPr>
            <w:r w:rsidRPr="00074805">
              <w:rPr>
                <w:noProof/>
                <w:sz w:val="22"/>
              </w:rPr>
              <w:t>Pourcentage de l’ensemble coordonné de services personnalisés:</w:t>
            </w:r>
          </w:p>
        </w:tc>
        <w:tc>
          <w:tcPr>
            <w:tcW w:w="3096" w:type="dxa"/>
            <w:gridSpan w:val="2"/>
            <w:vMerge w:val="restart"/>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Borders>
              <w:bottom w:val="nil"/>
            </w:tcBorders>
            <w:vAlign w:val="center"/>
          </w:tcPr>
          <w:p w:rsidR="001A62D7" w:rsidRPr="00074805" w:rsidRDefault="00133E35" w:rsidP="001D5990">
            <w:pPr>
              <w:spacing w:before="60" w:after="60"/>
              <w:jc w:val="center"/>
              <w:rPr>
                <w:rFonts w:eastAsia="Times New Roman"/>
                <w:noProof/>
                <w:sz w:val="22"/>
              </w:rPr>
            </w:pPr>
            <w:r w:rsidRPr="00074805">
              <w:rPr>
                <w:noProof/>
              </w:rPr>
              <w:t>510 913</w:t>
            </w:r>
          </w:p>
        </w:tc>
      </w:tr>
      <w:tr w:rsidR="001A62D7" w:rsidRPr="00074805" w:rsidTr="001D5990">
        <w:trPr>
          <w:trHeight w:val="202"/>
        </w:trPr>
        <w:tc>
          <w:tcPr>
            <w:tcW w:w="4644" w:type="dxa"/>
            <w:vMerge/>
            <w:vAlign w:val="center"/>
          </w:tcPr>
          <w:p w:rsidR="001A62D7" w:rsidRPr="00074805"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074805" w:rsidRDefault="001A62D7" w:rsidP="001D5990">
            <w:pPr>
              <w:spacing w:before="60" w:after="60"/>
              <w:jc w:val="center"/>
              <w:rPr>
                <w:rFonts w:eastAsia="Times New Roman"/>
                <w:noProof/>
                <w:sz w:val="22"/>
              </w:rPr>
            </w:pPr>
          </w:p>
        </w:tc>
        <w:tc>
          <w:tcPr>
            <w:tcW w:w="1548" w:type="dxa"/>
            <w:tcBorders>
              <w:top w:val="nil"/>
            </w:tcBorders>
            <w:vAlign w:val="center"/>
          </w:tcPr>
          <w:p w:rsidR="001A62D7" w:rsidRPr="00074805" w:rsidRDefault="001A62D7" w:rsidP="001D5990">
            <w:pPr>
              <w:spacing w:before="60" w:after="60"/>
              <w:jc w:val="center"/>
              <w:rPr>
                <w:rFonts w:eastAsia="Times New Roman"/>
                <w:noProof/>
                <w:sz w:val="22"/>
              </w:rPr>
            </w:pPr>
            <w:r w:rsidRPr="00074805">
              <w:rPr>
                <w:noProof/>
                <w:sz w:val="22"/>
              </w:rPr>
              <w:t>(</w:t>
            </w:r>
            <w:r w:rsidRPr="00074805">
              <w:rPr>
                <w:noProof/>
              </w:rPr>
              <w:t>11,50 </w:t>
            </w:r>
            <w:r w:rsidRPr="00074805">
              <w:rPr>
                <w:noProof/>
                <w:sz w:val="22"/>
              </w:rPr>
              <w:t>%)</w:t>
            </w:r>
          </w:p>
        </w:tc>
      </w:tr>
      <w:tr w:rsidR="001A62D7" w:rsidRPr="00074805" w:rsidTr="001D5990">
        <w:tc>
          <w:tcPr>
            <w:tcW w:w="9288" w:type="dxa"/>
            <w:gridSpan w:val="4"/>
            <w:vAlign w:val="center"/>
          </w:tcPr>
          <w:p w:rsidR="001A62D7" w:rsidRPr="00074805" w:rsidRDefault="001A62D7" w:rsidP="001D5990">
            <w:pPr>
              <w:spacing w:before="60" w:after="60"/>
              <w:jc w:val="left"/>
              <w:rPr>
                <w:rFonts w:eastAsia="Times New Roman"/>
                <w:noProof/>
                <w:sz w:val="22"/>
              </w:rPr>
            </w:pPr>
            <w:r w:rsidRPr="00074805">
              <w:rPr>
                <w:noProof/>
                <w:sz w:val="22"/>
              </w:rPr>
              <w:t>Activités relevant de l’article 7, paragraphe 5, du règlement (UE) 2021/691</w:t>
            </w:r>
          </w:p>
        </w:tc>
      </w:tr>
      <w:tr w:rsidR="001A62D7" w:rsidRPr="00074805" w:rsidTr="001D5990">
        <w:tc>
          <w:tcPr>
            <w:tcW w:w="4644" w:type="dxa"/>
          </w:tcPr>
          <w:p w:rsidR="001A62D7" w:rsidRPr="00074805" w:rsidRDefault="001A62D7" w:rsidP="001D5990">
            <w:pPr>
              <w:spacing w:before="60" w:after="60"/>
              <w:ind w:left="284"/>
              <w:jc w:val="left"/>
              <w:rPr>
                <w:rFonts w:eastAsia="Times New Roman"/>
                <w:noProof/>
                <w:sz w:val="22"/>
              </w:rPr>
            </w:pPr>
            <w:r w:rsidRPr="00074805">
              <w:rPr>
                <w:noProof/>
                <w:sz w:val="22"/>
              </w:rPr>
              <w:t>1. Activités préparatoires</w:t>
            </w:r>
          </w:p>
        </w:tc>
        <w:tc>
          <w:tcPr>
            <w:tcW w:w="3096" w:type="dxa"/>
            <w:gridSpan w:val="2"/>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Pr>
          <w:p w:rsidR="001A62D7" w:rsidRPr="00074805" w:rsidRDefault="00B01AB0" w:rsidP="001D5990">
            <w:pPr>
              <w:spacing w:before="60" w:after="60"/>
              <w:jc w:val="center"/>
              <w:rPr>
                <w:rFonts w:eastAsia="Times New Roman"/>
                <w:noProof/>
                <w:sz w:val="22"/>
              </w:rPr>
            </w:pPr>
            <w:r w:rsidRPr="00074805">
              <w:rPr>
                <w:noProof/>
              </w:rPr>
              <w:t>0</w:t>
            </w:r>
          </w:p>
        </w:tc>
      </w:tr>
      <w:tr w:rsidR="001A62D7" w:rsidRPr="00074805" w:rsidTr="001D5990">
        <w:tc>
          <w:tcPr>
            <w:tcW w:w="4644" w:type="dxa"/>
          </w:tcPr>
          <w:p w:rsidR="001A62D7" w:rsidRPr="00074805" w:rsidRDefault="001A62D7" w:rsidP="001D5990">
            <w:pPr>
              <w:spacing w:before="60" w:after="60"/>
              <w:ind w:left="284"/>
              <w:jc w:val="left"/>
              <w:rPr>
                <w:rFonts w:eastAsia="Times New Roman"/>
                <w:noProof/>
                <w:sz w:val="22"/>
              </w:rPr>
            </w:pPr>
            <w:r w:rsidRPr="00074805">
              <w:rPr>
                <w:noProof/>
                <w:sz w:val="22"/>
              </w:rPr>
              <w:t>2. Activités de gestion</w:t>
            </w:r>
          </w:p>
        </w:tc>
        <w:tc>
          <w:tcPr>
            <w:tcW w:w="3096" w:type="dxa"/>
            <w:gridSpan w:val="2"/>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Pr>
          <w:p w:rsidR="001A62D7" w:rsidRPr="00074805" w:rsidRDefault="00B01AB0" w:rsidP="001D5990">
            <w:pPr>
              <w:spacing w:before="60" w:after="60"/>
              <w:jc w:val="center"/>
              <w:rPr>
                <w:rFonts w:eastAsia="Times New Roman"/>
                <w:noProof/>
                <w:sz w:val="22"/>
              </w:rPr>
            </w:pPr>
            <w:r w:rsidRPr="00074805">
              <w:rPr>
                <w:noProof/>
              </w:rPr>
              <w:t>13 260</w:t>
            </w:r>
          </w:p>
        </w:tc>
      </w:tr>
      <w:tr w:rsidR="001A62D7" w:rsidRPr="00074805" w:rsidTr="001D5990">
        <w:tc>
          <w:tcPr>
            <w:tcW w:w="4644" w:type="dxa"/>
          </w:tcPr>
          <w:p w:rsidR="001A62D7" w:rsidRPr="00074805" w:rsidRDefault="001A62D7" w:rsidP="001D5990">
            <w:pPr>
              <w:spacing w:before="60" w:after="60"/>
              <w:ind w:left="284"/>
              <w:jc w:val="left"/>
              <w:rPr>
                <w:rFonts w:eastAsia="Times New Roman"/>
                <w:noProof/>
                <w:sz w:val="22"/>
              </w:rPr>
            </w:pPr>
            <w:r w:rsidRPr="00074805">
              <w:rPr>
                <w:noProof/>
                <w:sz w:val="22"/>
              </w:rPr>
              <w:t>3. Activités de gestion et de publicité</w:t>
            </w:r>
          </w:p>
        </w:tc>
        <w:tc>
          <w:tcPr>
            <w:tcW w:w="3096" w:type="dxa"/>
            <w:gridSpan w:val="2"/>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Pr>
          <w:p w:rsidR="001A62D7" w:rsidRPr="00074805" w:rsidRDefault="00B01AB0" w:rsidP="001D5990">
            <w:pPr>
              <w:spacing w:before="60" w:after="60"/>
              <w:jc w:val="center"/>
              <w:rPr>
                <w:rFonts w:eastAsia="Times New Roman"/>
                <w:noProof/>
                <w:sz w:val="22"/>
              </w:rPr>
            </w:pPr>
            <w:r w:rsidRPr="00074805">
              <w:rPr>
                <w:noProof/>
              </w:rPr>
              <w:t>5 000</w:t>
            </w:r>
          </w:p>
        </w:tc>
      </w:tr>
      <w:tr w:rsidR="001A62D7" w:rsidRPr="00074805" w:rsidTr="001D5990">
        <w:tc>
          <w:tcPr>
            <w:tcW w:w="4644" w:type="dxa"/>
          </w:tcPr>
          <w:p w:rsidR="001A62D7" w:rsidRPr="00074805" w:rsidRDefault="001A62D7" w:rsidP="001D5990">
            <w:pPr>
              <w:spacing w:before="60" w:after="60"/>
              <w:ind w:left="284"/>
              <w:jc w:val="left"/>
              <w:rPr>
                <w:rFonts w:eastAsia="Times New Roman"/>
                <w:noProof/>
                <w:sz w:val="22"/>
              </w:rPr>
            </w:pPr>
            <w:r w:rsidRPr="00074805">
              <w:rPr>
                <w:noProof/>
                <w:sz w:val="22"/>
              </w:rPr>
              <w:t>4. Activité de contrôle et de rapport</w:t>
            </w:r>
          </w:p>
        </w:tc>
        <w:tc>
          <w:tcPr>
            <w:tcW w:w="3096" w:type="dxa"/>
            <w:gridSpan w:val="2"/>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Borders>
              <w:bottom w:val="single" w:sz="4" w:space="0" w:color="auto"/>
            </w:tcBorders>
          </w:tcPr>
          <w:p w:rsidR="001A62D7" w:rsidRPr="00074805" w:rsidRDefault="00B01AB0" w:rsidP="001D5990">
            <w:pPr>
              <w:spacing w:before="60" w:after="60"/>
              <w:jc w:val="center"/>
              <w:rPr>
                <w:rFonts w:eastAsia="Times New Roman"/>
                <w:noProof/>
                <w:sz w:val="22"/>
              </w:rPr>
            </w:pPr>
            <w:r w:rsidRPr="00074805">
              <w:rPr>
                <w:noProof/>
              </w:rPr>
              <w:t>35 802</w:t>
            </w:r>
          </w:p>
        </w:tc>
      </w:tr>
      <w:tr w:rsidR="001A62D7" w:rsidRPr="00074805" w:rsidTr="001D5990">
        <w:trPr>
          <w:trHeight w:val="203"/>
        </w:trPr>
        <w:tc>
          <w:tcPr>
            <w:tcW w:w="4644" w:type="dxa"/>
            <w:vMerge w:val="restart"/>
            <w:vAlign w:val="center"/>
          </w:tcPr>
          <w:p w:rsidR="001A62D7" w:rsidRPr="00074805" w:rsidRDefault="001A62D7" w:rsidP="001D5990">
            <w:pPr>
              <w:spacing w:before="60" w:after="60"/>
              <w:jc w:val="right"/>
              <w:rPr>
                <w:rFonts w:eastAsia="Times New Roman"/>
                <w:noProof/>
                <w:sz w:val="22"/>
              </w:rPr>
            </w:pPr>
            <w:r w:rsidRPr="00074805">
              <w:rPr>
                <w:noProof/>
                <w:sz w:val="22"/>
              </w:rPr>
              <w:t>Sous-total c):</w:t>
            </w:r>
          </w:p>
          <w:p w:rsidR="001A62D7" w:rsidRPr="00074805" w:rsidRDefault="001A62D7" w:rsidP="001D5990">
            <w:pPr>
              <w:spacing w:before="60" w:after="60"/>
              <w:jc w:val="right"/>
              <w:rPr>
                <w:rFonts w:eastAsia="Times New Roman"/>
                <w:noProof/>
                <w:sz w:val="22"/>
              </w:rPr>
            </w:pPr>
            <w:r w:rsidRPr="00074805">
              <w:rPr>
                <w:noProof/>
                <w:sz w:val="22"/>
              </w:rPr>
              <w:t>Pourcentage du coût total:</w:t>
            </w:r>
          </w:p>
        </w:tc>
        <w:tc>
          <w:tcPr>
            <w:tcW w:w="3096" w:type="dxa"/>
            <w:gridSpan w:val="2"/>
            <w:vMerge w:val="restart"/>
            <w:shd w:val="clear" w:color="auto" w:fill="D9D9D9"/>
            <w:vAlign w:val="center"/>
          </w:tcPr>
          <w:p w:rsidR="001A62D7" w:rsidRPr="00074805" w:rsidRDefault="001A62D7" w:rsidP="001D5990">
            <w:pPr>
              <w:spacing w:before="0" w:after="0"/>
              <w:jc w:val="center"/>
              <w:rPr>
                <w:rFonts w:eastAsia="Times New Roman"/>
                <w:noProof/>
                <w:sz w:val="22"/>
              </w:rPr>
            </w:pPr>
            <w:r w:rsidRPr="00074805">
              <w:rPr>
                <w:noProof/>
                <w:sz w:val="22"/>
              </w:rPr>
              <w:t>–</w:t>
            </w:r>
          </w:p>
        </w:tc>
        <w:tc>
          <w:tcPr>
            <w:tcW w:w="1548" w:type="dxa"/>
            <w:tcBorders>
              <w:bottom w:val="nil"/>
            </w:tcBorders>
            <w:vAlign w:val="center"/>
          </w:tcPr>
          <w:p w:rsidR="001A62D7" w:rsidRPr="00074805" w:rsidRDefault="008032DE" w:rsidP="001D5990">
            <w:pPr>
              <w:spacing w:before="60" w:after="60"/>
              <w:jc w:val="center"/>
              <w:rPr>
                <w:rFonts w:eastAsia="Times New Roman"/>
                <w:noProof/>
                <w:sz w:val="22"/>
              </w:rPr>
            </w:pPr>
            <w:r w:rsidRPr="00074805">
              <w:rPr>
                <w:noProof/>
              </w:rPr>
              <w:t>54 062</w:t>
            </w:r>
          </w:p>
        </w:tc>
      </w:tr>
      <w:tr w:rsidR="001A62D7" w:rsidRPr="00074805" w:rsidTr="001D5990">
        <w:trPr>
          <w:trHeight w:val="202"/>
        </w:trPr>
        <w:tc>
          <w:tcPr>
            <w:tcW w:w="4644" w:type="dxa"/>
            <w:vMerge/>
          </w:tcPr>
          <w:p w:rsidR="001A62D7" w:rsidRPr="00074805"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074805" w:rsidRDefault="001A62D7" w:rsidP="001D5990">
            <w:pPr>
              <w:spacing w:before="0" w:after="0"/>
              <w:jc w:val="center"/>
              <w:rPr>
                <w:rFonts w:eastAsia="Times New Roman"/>
                <w:noProof/>
                <w:sz w:val="22"/>
              </w:rPr>
            </w:pPr>
          </w:p>
        </w:tc>
        <w:tc>
          <w:tcPr>
            <w:tcW w:w="1548" w:type="dxa"/>
            <w:tcBorders>
              <w:top w:val="nil"/>
            </w:tcBorders>
            <w:vAlign w:val="center"/>
          </w:tcPr>
          <w:p w:rsidR="001A62D7" w:rsidRPr="00074805" w:rsidRDefault="001A62D7" w:rsidP="001D5990">
            <w:pPr>
              <w:spacing w:before="60" w:after="60"/>
              <w:jc w:val="center"/>
              <w:rPr>
                <w:rFonts w:eastAsia="Times New Roman"/>
                <w:noProof/>
                <w:sz w:val="22"/>
              </w:rPr>
            </w:pPr>
            <w:r w:rsidRPr="00074805">
              <w:rPr>
                <w:noProof/>
                <w:sz w:val="22"/>
              </w:rPr>
              <w:t>(</w:t>
            </w:r>
            <w:r w:rsidRPr="00074805">
              <w:rPr>
                <w:noProof/>
              </w:rPr>
              <w:t>1,20 </w:t>
            </w:r>
            <w:r w:rsidRPr="00074805">
              <w:rPr>
                <w:noProof/>
                <w:sz w:val="22"/>
              </w:rPr>
              <w:t>%)</w:t>
            </w:r>
          </w:p>
        </w:tc>
      </w:tr>
      <w:tr w:rsidR="001A62D7" w:rsidRPr="00074805" w:rsidTr="001D5990">
        <w:tc>
          <w:tcPr>
            <w:tcW w:w="4644" w:type="dxa"/>
          </w:tcPr>
          <w:p w:rsidR="001A62D7" w:rsidRPr="00074805" w:rsidRDefault="001A62D7" w:rsidP="001D5990">
            <w:pPr>
              <w:spacing w:before="60" w:after="60"/>
              <w:jc w:val="left"/>
              <w:rPr>
                <w:rFonts w:eastAsia="Times New Roman"/>
                <w:noProof/>
                <w:sz w:val="22"/>
              </w:rPr>
            </w:pPr>
            <w:r w:rsidRPr="00074805">
              <w:rPr>
                <w:noProof/>
                <w:sz w:val="22"/>
              </w:rPr>
              <w:t>Coût total (a + b + c):</w:t>
            </w:r>
          </w:p>
        </w:tc>
        <w:tc>
          <w:tcPr>
            <w:tcW w:w="3096" w:type="dxa"/>
            <w:gridSpan w:val="2"/>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Pr>
          <w:p w:rsidR="001A62D7" w:rsidRPr="00074805" w:rsidRDefault="009E13E4" w:rsidP="001D5990">
            <w:pPr>
              <w:spacing w:before="60" w:after="60"/>
              <w:jc w:val="center"/>
              <w:rPr>
                <w:noProof/>
                <w:sz w:val="22"/>
              </w:rPr>
            </w:pPr>
            <w:r w:rsidRPr="00074805">
              <w:rPr>
                <w:noProof/>
              </w:rPr>
              <w:t>4 495 836</w:t>
            </w:r>
          </w:p>
        </w:tc>
      </w:tr>
      <w:tr w:rsidR="001A62D7" w:rsidRPr="00074805" w:rsidTr="001D5990">
        <w:tc>
          <w:tcPr>
            <w:tcW w:w="4644" w:type="dxa"/>
          </w:tcPr>
          <w:p w:rsidR="001A62D7" w:rsidRPr="00074805" w:rsidRDefault="001A62D7" w:rsidP="001D5990">
            <w:pPr>
              <w:spacing w:before="60" w:after="60"/>
              <w:jc w:val="left"/>
              <w:rPr>
                <w:rFonts w:eastAsia="Times New Roman"/>
                <w:noProof/>
                <w:sz w:val="22"/>
              </w:rPr>
            </w:pPr>
            <w:r w:rsidRPr="00074805">
              <w:rPr>
                <w:noProof/>
                <w:sz w:val="22"/>
              </w:rPr>
              <w:t>Contribution du FEM (</w:t>
            </w:r>
            <w:r w:rsidRPr="00074805">
              <w:rPr>
                <w:noProof/>
              </w:rPr>
              <w:t>85 </w:t>
            </w:r>
            <w:r w:rsidRPr="00074805">
              <w:rPr>
                <w:noProof/>
                <w:sz w:val="22"/>
              </w:rPr>
              <w:t>% du coût total)</w:t>
            </w:r>
          </w:p>
        </w:tc>
        <w:tc>
          <w:tcPr>
            <w:tcW w:w="3096" w:type="dxa"/>
            <w:gridSpan w:val="2"/>
            <w:shd w:val="clear" w:color="auto" w:fill="D9D9D9"/>
            <w:vAlign w:val="center"/>
          </w:tcPr>
          <w:p w:rsidR="001A62D7" w:rsidRPr="00074805" w:rsidRDefault="001A62D7" w:rsidP="001D5990">
            <w:pPr>
              <w:spacing w:before="60" w:after="60"/>
              <w:jc w:val="center"/>
              <w:rPr>
                <w:rFonts w:eastAsia="Times New Roman"/>
                <w:noProof/>
                <w:sz w:val="22"/>
              </w:rPr>
            </w:pPr>
            <w:r w:rsidRPr="00074805">
              <w:rPr>
                <w:noProof/>
                <w:sz w:val="22"/>
              </w:rPr>
              <w:t>–</w:t>
            </w:r>
          </w:p>
        </w:tc>
        <w:tc>
          <w:tcPr>
            <w:tcW w:w="1548" w:type="dxa"/>
          </w:tcPr>
          <w:p w:rsidR="001A62D7" w:rsidRPr="00074805" w:rsidRDefault="001C1059" w:rsidP="001D5990">
            <w:pPr>
              <w:spacing w:before="60" w:after="60"/>
              <w:jc w:val="center"/>
              <w:rPr>
                <w:rFonts w:eastAsia="Times New Roman"/>
                <w:noProof/>
                <w:sz w:val="22"/>
              </w:rPr>
            </w:pPr>
            <w:r w:rsidRPr="00074805">
              <w:rPr>
                <w:noProof/>
              </w:rPr>
              <w:t>3 821 460</w:t>
            </w:r>
          </w:p>
        </w:tc>
      </w:tr>
    </w:tbl>
    <w:p w:rsidR="001A62D7" w:rsidRPr="00074805" w:rsidRDefault="001A62D7" w:rsidP="00AE7D04">
      <w:pPr>
        <w:pStyle w:val="ManualNumPar1"/>
        <w:rPr>
          <w:noProof/>
          <w:szCs w:val="20"/>
        </w:rPr>
      </w:pPr>
      <w:r>
        <w:rPr>
          <w:noProof/>
        </w:rPr>
        <w:t>40.</w:t>
      </w:r>
      <w:r>
        <w:rPr>
          <w:noProof/>
        </w:rPr>
        <w:tab/>
      </w:r>
      <w:r w:rsidRPr="00074805">
        <w:rPr>
          <w:noProof/>
        </w:rPr>
        <w:t>Le coût des mesures indiquées dans le tableau ci-dessus en tant que mesures relevant de l’article 7, paragraphe 2, deuxième alinéa, point b), du règlement (UE) 2021/691 ne dépasse pas 35 % du coût total de l’ensemble coordonné de services personnalisés. La Belgique a confirmé que ces mesures étaient conditionnées à la participation active des bénéficiaires visés à des activités de recherche d’emploi ou de formation.</w:t>
      </w:r>
    </w:p>
    <w:p w:rsidR="001A62D7" w:rsidRPr="00074805" w:rsidRDefault="001A62D7" w:rsidP="00AE7D04">
      <w:pPr>
        <w:pStyle w:val="ManualNumPar1"/>
        <w:rPr>
          <w:noProof/>
        </w:rPr>
      </w:pPr>
      <w:r>
        <w:rPr>
          <w:noProof/>
        </w:rPr>
        <w:t>41.</w:t>
      </w:r>
      <w:r>
        <w:rPr>
          <w:noProof/>
        </w:rPr>
        <w:tab/>
      </w:r>
      <w:r w:rsidRPr="00074805">
        <w:rPr>
          <w:noProof/>
        </w:rPr>
        <w:t>Conformément à l’article 7, paragraphe 2, quatrième alinéa, du règlement (UE) 2021/691, la Belgique a confirmé que les coûts d’investissement pour le travail indépendant, la création d’entreprise et la reprise d’entreprise par les salariés ne dépasseront pas 22 000 EUR par bénéficiaire.</w:t>
      </w:r>
    </w:p>
    <w:p w:rsidR="001A62D7" w:rsidRPr="00074805" w:rsidRDefault="001A62D7" w:rsidP="001A62D7">
      <w:pPr>
        <w:pStyle w:val="ManualHeading3"/>
        <w:rPr>
          <w:noProof/>
        </w:rPr>
      </w:pPr>
      <w:r w:rsidRPr="00074805">
        <w:rPr>
          <w:noProof/>
        </w:rPr>
        <w:t>Période d’éligibilité des dépenses</w:t>
      </w:r>
    </w:p>
    <w:p w:rsidR="001A62D7" w:rsidRPr="00074805" w:rsidRDefault="00E26C3E" w:rsidP="00AE7D04">
      <w:pPr>
        <w:pStyle w:val="ManualNumPar1"/>
        <w:rPr>
          <w:noProof/>
        </w:rPr>
      </w:pPr>
      <w:r>
        <w:rPr>
          <w:noProof/>
        </w:rPr>
        <w:t>42.</w:t>
      </w:r>
      <w:r>
        <w:rPr>
          <w:noProof/>
        </w:rPr>
        <w:tab/>
      </w:r>
      <w:r w:rsidRPr="00074805">
        <w:rPr>
          <w:noProof/>
        </w:rPr>
        <w:t>La Belgique a commencé à fournir les services personnalisés aux bénéficiaires visés le 1</w:t>
      </w:r>
      <w:r w:rsidRPr="00074805">
        <w:rPr>
          <w:noProof/>
          <w:vertAlign w:val="superscript"/>
        </w:rPr>
        <w:t>er</w:t>
      </w:r>
      <w:r w:rsidRPr="00074805">
        <w:rPr>
          <w:noProof/>
        </w:rPr>
        <w:t> septembre 2025. Les dépenses relatives aux mesures seront donc éligibles à une contribution financière du FEM à partir du 1</w:t>
      </w:r>
      <w:r w:rsidRPr="00074805">
        <w:rPr>
          <w:noProof/>
          <w:vertAlign w:val="superscript"/>
        </w:rPr>
        <w:t>er</w:t>
      </w:r>
      <w:r w:rsidRPr="00074805">
        <w:rPr>
          <w:noProof/>
        </w:rPr>
        <w:t> septembre 2025 et pendant 24 mois après la date d’entrée en vigueur de la décision de financement.</w:t>
      </w:r>
    </w:p>
    <w:p w:rsidR="001A62D7" w:rsidRPr="00074805" w:rsidRDefault="00AD3DA6" w:rsidP="00AE7D04">
      <w:pPr>
        <w:pStyle w:val="ManualNumPar1"/>
        <w:rPr>
          <w:noProof/>
        </w:rPr>
      </w:pPr>
      <w:r>
        <w:rPr>
          <w:noProof/>
        </w:rPr>
        <w:t>43.</w:t>
      </w:r>
      <w:r>
        <w:rPr>
          <w:noProof/>
        </w:rPr>
        <w:tab/>
      </w:r>
      <w:r w:rsidRPr="00074805">
        <w:rPr>
          <w:noProof/>
        </w:rPr>
        <w:t xml:space="preserve">La Belgique a commencé à engager les dépenses administratives pour la mise en œuvre du FEM le 9 avril 2025. Les dépenses relatives aux activités préparatoires, de gestion, d’information et de publicité, ainsi que de contrôle et de rapport, peuvent </w:t>
      </w:r>
      <w:r w:rsidRPr="00074805">
        <w:rPr>
          <w:noProof/>
        </w:rPr>
        <w:lastRenderedPageBreak/>
        <w:t xml:space="preserve">donc faire l’objet d’une contribution financière du FEM à partir du 9 avril 2025 et pendant 31 mois après la date d’entrée en vigueur de la décision de financement. </w:t>
      </w:r>
    </w:p>
    <w:p w:rsidR="001A62D7" w:rsidRPr="00074805" w:rsidRDefault="001A62D7" w:rsidP="001A62D7">
      <w:pPr>
        <w:pStyle w:val="ManualHeading2"/>
        <w:rPr>
          <w:noProof/>
        </w:rPr>
      </w:pPr>
      <w:r w:rsidRPr="00074805">
        <w:rPr>
          <w:noProof/>
        </w:rPr>
        <w:t>Systèmes de gestion et de contrôle</w:t>
      </w:r>
    </w:p>
    <w:p w:rsidR="001A62D7" w:rsidRPr="00074805" w:rsidRDefault="001A62D7" w:rsidP="00AE7D04">
      <w:pPr>
        <w:pStyle w:val="ManualNumPar1"/>
        <w:rPr>
          <w:noProof/>
        </w:rPr>
      </w:pPr>
      <w:r>
        <w:rPr>
          <w:noProof/>
        </w:rPr>
        <w:t>44.</w:t>
      </w:r>
      <w:r>
        <w:rPr>
          <w:noProof/>
        </w:rPr>
        <w:tab/>
      </w:r>
      <w:r w:rsidRPr="00074805">
        <w:rPr>
          <w:noProof/>
        </w:rPr>
        <w:t>La demande contient une description du système de gestion et de contrôle requis en vertu de l’article 23 du règlement (UE) 2021/691, qui précise les responsabilités des organismes concernés. La Belgique a indiqué à la Commission que la contribution financière serait gérée et contrôlée par les organismes qui gèrent et contrôlent le FSE+ en Wallonie.</w:t>
      </w:r>
    </w:p>
    <w:p w:rsidR="001A62D7" w:rsidRPr="00074805" w:rsidRDefault="001A62D7" w:rsidP="001A62D7">
      <w:pPr>
        <w:pStyle w:val="ManualHeading2"/>
        <w:rPr>
          <w:noProof/>
        </w:rPr>
      </w:pPr>
      <w:r w:rsidRPr="00074805">
        <w:rPr>
          <w:noProof/>
        </w:rPr>
        <w:t>Engagements de l’État membre concerné</w:t>
      </w:r>
    </w:p>
    <w:p w:rsidR="001A62D7" w:rsidRPr="00074805" w:rsidRDefault="00AD3DA6" w:rsidP="00AE7D04">
      <w:pPr>
        <w:pStyle w:val="ManualNumPar1"/>
        <w:rPr>
          <w:noProof/>
        </w:rPr>
      </w:pPr>
      <w:r>
        <w:rPr>
          <w:noProof/>
        </w:rPr>
        <w:t>45.</w:t>
      </w:r>
      <w:r>
        <w:rPr>
          <w:noProof/>
        </w:rPr>
        <w:tab/>
      </w:r>
      <w:r w:rsidRPr="00074805">
        <w:rPr>
          <w:noProof/>
        </w:rPr>
        <w:t xml:space="preserve">La Belgique a apporté toutes les assurances nécessaires concernant les aspects suivants: </w:t>
      </w:r>
    </w:p>
    <w:p w:rsidR="001A62D7" w:rsidRPr="00074805" w:rsidRDefault="001A62D7" w:rsidP="001A62D7">
      <w:pPr>
        <w:pStyle w:val="Tiret1"/>
        <w:rPr>
          <w:noProof/>
        </w:rPr>
      </w:pPr>
      <w:r w:rsidRPr="00074805">
        <w:rPr>
          <w:noProof/>
        </w:rPr>
        <w:t>les principes d’égalité de traitement et de non-discrimination seront respectés pour l’accès aux mesures proposées et leur réalisation;</w:t>
      </w:r>
    </w:p>
    <w:p w:rsidR="001A62D7" w:rsidRPr="00074805" w:rsidRDefault="001A62D7" w:rsidP="001A62D7">
      <w:pPr>
        <w:pStyle w:val="Tiret1"/>
        <w:rPr>
          <w:noProof/>
        </w:rPr>
      </w:pPr>
      <w:r w:rsidRPr="00074805">
        <w:rPr>
          <w:noProof/>
        </w:rPr>
        <w:t>les exigences fixées dans la législation nationale et dans celle de l’UE concernant les licenciements collectifs ont été respectées;</w:t>
      </w:r>
    </w:p>
    <w:p w:rsidR="001A62D7" w:rsidRPr="00074805" w:rsidRDefault="001A62D7" w:rsidP="001A62D7">
      <w:pPr>
        <w:pStyle w:val="Tiret1"/>
        <w:rPr>
          <w:noProof/>
        </w:rPr>
      </w:pPr>
      <w:r w:rsidRPr="00074805">
        <w:rPr>
          <w:noProof/>
        </w:rPr>
        <w:t>tout double financement sera évité;</w:t>
      </w:r>
    </w:p>
    <w:p w:rsidR="001A62D7" w:rsidRPr="00074805" w:rsidRDefault="001A62D7" w:rsidP="001A62D7">
      <w:pPr>
        <w:pStyle w:val="Tiret1"/>
        <w:rPr>
          <w:noProof/>
        </w:rPr>
      </w:pPr>
      <w:r w:rsidRPr="00074805">
        <w:rPr>
          <w:noProof/>
        </w:rPr>
        <w:t>la contribution financière du FEM sera conforme aux règles procédurales et de fond de l’Union en matière d’aides d’État.</w:t>
      </w:r>
    </w:p>
    <w:p w:rsidR="001A62D7" w:rsidRPr="00074805" w:rsidRDefault="001A62D7" w:rsidP="001A62D7">
      <w:pPr>
        <w:pStyle w:val="ManualHeading1"/>
        <w:rPr>
          <w:noProof/>
        </w:rPr>
      </w:pPr>
      <w:r w:rsidRPr="00074805">
        <w:rPr>
          <w:noProof/>
        </w:rPr>
        <w:t>INCIDENCE BUDGÉTAIRE</w:t>
      </w:r>
    </w:p>
    <w:p w:rsidR="001A62D7" w:rsidRPr="00074805" w:rsidRDefault="001A62D7" w:rsidP="001A62D7">
      <w:pPr>
        <w:pStyle w:val="ManualHeading2"/>
        <w:rPr>
          <w:noProof/>
        </w:rPr>
      </w:pPr>
      <w:r w:rsidRPr="00074805">
        <w:rPr>
          <w:noProof/>
        </w:rPr>
        <w:t>Proposition budgétaire</w:t>
      </w:r>
    </w:p>
    <w:p w:rsidR="001A62D7" w:rsidRPr="00074805" w:rsidRDefault="001A62D7" w:rsidP="00AE7D04">
      <w:pPr>
        <w:pStyle w:val="ManualNumPar1"/>
        <w:rPr>
          <w:noProof/>
        </w:rPr>
      </w:pPr>
      <w:r>
        <w:rPr>
          <w:noProof/>
        </w:rPr>
        <w:t>46.</w:t>
      </w:r>
      <w:r>
        <w:rPr>
          <w:noProof/>
        </w:rPr>
        <w:tab/>
      </w:r>
      <w:r w:rsidRPr="00074805">
        <w:rPr>
          <w:noProof/>
        </w:rPr>
        <w:t>La dotation annuelle du FEM n’excède pas un montant maximal de 30 millions d’EUR (aux prix de 2018), comme le prévoit l’article 8 du règlement (UE, Euratom) 2020/2093 du Conseil du 17 décembre 2020 fixant le cadre financier pluriannuel pour les années 2021 à 2027</w:t>
      </w:r>
      <w:r w:rsidRPr="00074805">
        <w:rPr>
          <w:rStyle w:val="FootnoteReference"/>
          <w:noProof/>
        </w:rPr>
        <w:footnoteReference w:id="36"/>
      </w:r>
      <w:r w:rsidRPr="00074805">
        <w:rPr>
          <w:noProof/>
        </w:rPr>
        <w:t>.</w:t>
      </w:r>
    </w:p>
    <w:p w:rsidR="001A62D7" w:rsidRPr="00074805" w:rsidRDefault="001A62D7" w:rsidP="00AE7D04">
      <w:pPr>
        <w:pStyle w:val="ManualNumPar1"/>
        <w:rPr>
          <w:rFonts w:eastAsia="Calibri"/>
          <w:noProof/>
        </w:rPr>
      </w:pPr>
      <w:r>
        <w:rPr>
          <w:noProof/>
        </w:rPr>
        <w:t>47.</w:t>
      </w:r>
      <w:r>
        <w:rPr>
          <w:noProof/>
        </w:rPr>
        <w:tab/>
      </w:r>
      <w:r w:rsidRPr="00074805">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3 821 460 EUR, ce qui correspond à 85 % du coût total des mesures proposées, afin d’apporter une contribution financière en réponse à la demande.</w:t>
      </w:r>
    </w:p>
    <w:p w:rsidR="001A62D7" w:rsidRPr="00074805" w:rsidRDefault="001A62D7" w:rsidP="00AE7D04">
      <w:pPr>
        <w:pStyle w:val="ManualNumPar1"/>
        <w:rPr>
          <w:rFonts w:eastAsia="Times New Roman"/>
          <w:noProof/>
        </w:rPr>
      </w:pPr>
      <w:r>
        <w:rPr>
          <w:noProof/>
        </w:rPr>
        <w:t>48.</w:t>
      </w:r>
      <w:r>
        <w:rPr>
          <w:noProof/>
        </w:rPr>
        <w:tab/>
      </w:r>
      <w:r w:rsidRPr="00074805">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074805">
        <w:rPr>
          <w:rStyle w:val="FootnoteReference"/>
          <w:noProof/>
        </w:rPr>
        <w:footnoteReference w:id="37"/>
      </w:r>
      <w:r w:rsidRPr="00074805">
        <w:rPr>
          <w:noProof/>
        </w:rPr>
        <w:t>.</w:t>
      </w:r>
    </w:p>
    <w:p w:rsidR="001A62D7" w:rsidRPr="00074805" w:rsidRDefault="001A62D7" w:rsidP="001A62D7">
      <w:pPr>
        <w:pStyle w:val="ManualHeading2"/>
        <w:rPr>
          <w:noProof/>
        </w:rPr>
      </w:pPr>
      <w:r w:rsidRPr="00074805">
        <w:rPr>
          <w:noProof/>
        </w:rPr>
        <w:lastRenderedPageBreak/>
        <w:t>Actes liés</w:t>
      </w:r>
    </w:p>
    <w:p w:rsidR="001A62D7" w:rsidRPr="00074805" w:rsidRDefault="001A62D7" w:rsidP="00AE7D04">
      <w:pPr>
        <w:pStyle w:val="ManualNumPar1"/>
        <w:rPr>
          <w:noProof/>
        </w:rPr>
      </w:pPr>
      <w:r>
        <w:rPr>
          <w:noProof/>
        </w:rPr>
        <w:t>49.</w:t>
      </w:r>
      <w:r>
        <w:rPr>
          <w:noProof/>
        </w:rPr>
        <w:tab/>
      </w:r>
      <w:r w:rsidRPr="00074805">
        <w:rPr>
          <w:noProof/>
        </w:rPr>
        <w:t>En même temps que la présente proposition de décision de mobilisation du FEM, la Commission présentera au Parlement européen et au Conseil une proposition de virement à la ligne budgétaire pertinente d’un montant de 3 821 460 EUR.</w:t>
      </w:r>
    </w:p>
    <w:p w:rsidR="001A62D7" w:rsidRPr="00074805" w:rsidRDefault="001A62D7" w:rsidP="00AE7D04">
      <w:pPr>
        <w:pStyle w:val="ManualNumPar1"/>
        <w:rPr>
          <w:noProof/>
        </w:rPr>
      </w:pPr>
      <w:r>
        <w:rPr>
          <w:noProof/>
        </w:rPr>
        <w:t>50.</w:t>
      </w:r>
      <w:r>
        <w:rPr>
          <w:noProof/>
        </w:rPr>
        <w:tab/>
      </w:r>
      <w:r w:rsidRPr="00074805">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Pr="00074805">
        <w:rPr>
          <w:rStyle w:val="FootnoteReference"/>
          <w:noProof/>
        </w:rPr>
        <w:footnoteReference w:id="38"/>
      </w:r>
      <w:r w:rsidRPr="00074805">
        <w:rPr>
          <w:noProof/>
        </w:rPr>
        <w:t>. Cette décision de financement entre en vigueur à la date à laquelle la Commission est informée de l’approbation du virement budgétaire par le Parlement européen et le Conseil, en application de l’article 15, paragraphe 2, premier alinéa, du règlement (UE) 2021/691.</w:t>
      </w:r>
    </w:p>
    <w:p w:rsidR="001A62D7" w:rsidRPr="00074805" w:rsidRDefault="001A62D7" w:rsidP="001A62D7">
      <w:pPr>
        <w:rPr>
          <w:noProof/>
        </w:rPr>
        <w:sectPr w:rsidR="001A62D7" w:rsidRPr="00074805" w:rsidSect="002C17C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D04A85" w:rsidRDefault="0069183B">
      <w:pPr>
        <w:pStyle w:val="Rfrenceinterinstitutionnelle"/>
        <w:rPr>
          <w:noProof/>
        </w:rPr>
      </w:pPr>
      <w:r>
        <w:rPr>
          <w:noProof/>
        </w:rPr>
        <w:lastRenderedPageBreak/>
        <w:t>2026/0197 (BUD)</w:t>
      </w:r>
    </w:p>
    <w:p w:rsidR="001A62D7" w:rsidRPr="00074805" w:rsidRDefault="00074805" w:rsidP="00074805">
      <w:pPr>
        <w:pStyle w:val="Statut"/>
        <w:rPr>
          <w:noProof/>
        </w:rPr>
      </w:pPr>
      <w:r w:rsidRPr="00074805">
        <w:rPr>
          <w:noProof/>
        </w:rPr>
        <w:t>Proposition de</w:t>
      </w:r>
    </w:p>
    <w:p w:rsidR="001A62D7" w:rsidRPr="00074805" w:rsidRDefault="00074805" w:rsidP="00074805">
      <w:pPr>
        <w:pStyle w:val="Typedudocument"/>
        <w:rPr>
          <w:noProof/>
        </w:rPr>
      </w:pPr>
      <w:r w:rsidRPr="00074805">
        <w:rPr>
          <w:noProof/>
        </w:rPr>
        <w:t>DÉCISION DU PARLEMENT EUROPÉEN ET DU CONSEIL</w:t>
      </w:r>
    </w:p>
    <w:p w:rsidR="001A62D7" w:rsidRPr="00074805" w:rsidRDefault="00074805" w:rsidP="00074805">
      <w:pPr>
        <w:pStyle w:val="Titreobjet"/>
        <w:rPr>
          <w:noProof/>
        </w:rPr>
      </w:pPr>
      <w:r w:rsidRPr="00074805">
        <w:rPr>
          <w:noProof/>
        </w:rPr>
        <w:t>relative à la mobilisation du Fonds européen d’ajustement à la mondialisation en faveur des travailleurs licenciés à la suite d’une demande de la Belgique — EGF/2026/001 BE/Cora</w:t>
      </w:r>
    </w:p>
    <w:p w:rsidR="001A62D7" w:rsidRPr="00074805" w:rsidRDefault="001A62D7" w:rsidP="001A62D7">
      <w:pPr>
        <w:pStyle w:val="Institutionquiagit"/>
        <w:rPr>
          <w:noProof/>
        </w:rPr>
      </w:pPr>
      <w:r w:rsidRPr="00074805">
        <w:rPr>
          <w:noProof/>
        </w:rPr>
        <w:t>LE PARLEMENT EUROPÉEN ET LE CONSEIL DE L’UNION EUROPÉENNE,</w:t>
      </w:r>
    </w:p>
    <w:p w:rsidR="001A62D7" w:rsidRPr="00074805" w:rsidRDefault="001A62D7" w:rsidP="001A62D7">
      <w:pPr>
        <w:rPr>
          <w:noProof/>
        </w:rPr>
      </w:pPr>
      <w:r w:rsidRPr="00074805">
        <w:rPr>
          <w:noProof/>
        </w:rPr>
        <w:t>vu le traité sur le fonctionnement de l’Union européenne,</w:t>
      </w:r>
    </w:p>
    <w:p w:rsidR="001A62D7" w:rsidRPr="00074805" w:rsidRDefault="001A62D7" w:rsidP="001A62D7">
      <w:pPr>
        <w:rPr>
          <w:noProof/>
        </w:rPr>
      </w:pPr>
      <w:r w:rsidRPr="00074805">
        <w:rPr>
          <w:noProof/>
        </w:rPr>
        <w:t>vu le règlement (UE) 2021/691 du Parlement européen et du Conseil du 28 avril 2021 relatif au Fonds européen d’ajustement à la mondialisation en faveur des travailleurs licenciés (FEM) et abrogeant le règlement (UE) nº 1309/2013</w:t>
      </w:r>
      <w:r w:rsidRPr="00074805">
        <w:rPr>
          <w:rStyle w:val="FootnoteReference"/>
          <w:noProof/>
        </w:rPr>
        <w:footnoteReference w:id="39"/>
      </w:r>
      <w:r w:rsidRPr="00074805">
        <w:rPr>
          <w:noProof/>
        </w:rPr>
        <w:t>, et notamment son article 15, paragraphe 1, premier alinéa,</w:t>
      </w:r>
    </w:p>
    <w:p w:rsidR="001A62D7" w:rsidRPr="00074805" w:rsidRDefault="001A62D7" w:rsidP="001A62D7">
      <w:pPr>
        <w:rPr>
          <w:noProof/>
        </w:rPr>
      </w:pPr>
      <w:r w:rsidRPr="00074805">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074805">
        <w:rPr>
          <w:rStyle w:val="FootnoteReference"/>
          <w:noProof/>
        </w:rPr>
        <w:footnoteReference w:id="40"/>
      </w:r>
      <w:r w:rsidRPr="00074805">
        <w:rPr>
          <w:noProof/>
        </w:rPr>
        <w:t>, et notamment son point 9,</w:t>
      </w:r>
    </w:p>
    <w:p w:rsidR="001A62D7" w:rsidRPr="00074805" w:rsidRDefault="001A62D7" w:rsidP="001A62D7">
      <w:pPr>
        <w:rPr>
          <w:noProof/>
        </w:rPr>
      </w:pPr>
      <w:r w:rsidRPr="00074805">
        <w:rPr>
          <w:noProof/>
        </w:rPr>
        <w:t>vu la proposition de la Commission européenne,</w:t>
      </w:r>
    </w:p>
    <w:p w:rsidR="001A62D7" w:rsidRPr="00074805" w:rsidRDefault="001A62D7" w:rsidP="001A62D7">
      <w:pPr>
        <w:rPr>
          <w:noProof/>
        </w:rPr>
      </w:pPr>
      <w:r w:rsidRPr="00074805">
        <w:rPr>
          <w:noProof/>
        </w:rPr>
        <w:t>considérant ce qui suit:</w:t>
      </w:r>
    </w:p>
    <w:p w:rsidR="001A62D7" w:rsidRPr="00074805" w:rsidRDefault="001A62D7" w:rsidP="00AE7D04">
      <w:pPr>
        <w:pStyle w:val="ManualConsidrant"/>
        <w:rPr>
          <w:noProof/>
        </w:rPr>
      </w:pPr>
      <w:r>
        <w:rPr>
          <w:noProof/>
        </w:rPr>
        <w:t>(1)</w:t>
      </w:r>
      <w:r>
        <w:rPr>
          <w:noProof/>
        </w:rPr>
        <w:tab/>
      </w:r>
      <w:r w:rsidRPr="00074805">
        <w:rPr>
          <w:noProof/>
        </w:rPr>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1A62D7" w:rsidRPr="00074805" w:rsidRDefault="001A62D7" w:rsidP="00AE7D04">
      <w:pPr>
        <w:pStyle w:val="ManualConsidrant"/>
        <w:rPr>
          <w:noProof/>
        </w:rPr>
      </w:pPr>
      <w:r>
        <w:rPr>
          <w:noProof/>
        </w:rPr>
        <w:t>(2)</w:t>
      </w:r>
      <w:r>
        <w:rPr>
          <w:noProof/>
        </w:rPr>
        <w:tab/>
      </w:r>
      <w:r w:rsidRPr="00074805">
        <w:rPr>
          <w:noProof/>
        </w:rPr>
        <w:t>La dotation annuelle du FEM n’excède pas un montant maximal de 30 000 000 EUR (aux prix de 2018), comme le prévoient l’article 8 du règlement (UE, Euratom) 2020/2093</w:t>
      </w:r>
      <w:r w:rsidRPr="00074805">
        <w:rPr>
          <w:rStyle w:val="FootnoteReference"/>
          <w:noProof/>
        </w:rPr>
        <w:footnoteReference w:id="41"/>
      </w:r>
      <w:r w:rsidRPr="00074805">
        <w:rPr>
          <w:noProof/>
        </w:rPr>
        <w:t xml:space="preserve"> du Conseil et l’article 16 du règlement (UE) 2021/691.</w:t>
      </w:r>
    </w:p>
    <w:p w:rsidR="001A62D7" w:rsidRPr="00074805" w:rsidRDefault="001A62D7" w:rsidP="00AE7D04">
      <w:pPr>
        <w:pStyle w:val="ManualConsidrant"/>
        <w:rPr>
          <w:noProof/>
        </w:rPr>
      </w:pPr>
      <w:r>
        <w:rPr>
          <w:noProof/>
        </w:rPr>
        <w:t>(3)</w:t>
      </w:r>
      <w:r>
        <w:rPr>
          <w:noProof/>
        </w:rPr>
        <w:tab/>
      </w:r>
      <w:r w:rsidRPr="00074805">
        <w:rPr>
          <w:noProof/>
        </w:rPr>
        <w:t xml:space="preserve">Le 25 mars 2026, la Belgique a introduit une demande de mobilisation du FEM conformément à l’article 8, paragraphe 1, du règlement (UE) 2021/691, concernant des licenciements intervenus chez Cora SA et chez l’un de ses fournisseurs en Belgique.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w:t>
      </w:r>
      <w:r w:rsidRPr="00074805">
        <w:rPr>
          <w:noProof/>
        </w:rPr>
        <w:lastRenderedPageBreak/>
        <w:t>effectuée par la Commission dans la proposition de décision du Parlement européen et du Conseil relative à la mobilisation du FEM</w:t>
      </w:r>
      <w:r w:rsidRPr="00074805">
        <w:rPr>
          <w:rStyle w:val="FootnoteReference"/>
          <w:iCs/>
          <w:noProof/>
        </w:rPr>
        <w:footnoteReference w:id="42"/>
      </w:r>
      <w:r w:rsidRPr="00074805">
        <w:rPr>
          <w:noProof/>
        </w:rPr>
        <w:t>.</w:t>
      </w:r>
    </w:p>
    <w:p w:rsidR="001A62D7" w:rsidRPr="00074805" w:rsidRDefault="001A62D7" w:rsidP="00AE7D04">
      <w:pPr>
        <w:pStyle w:val="ManualConsidrant"/>
        <w:rPr>
          <w:noProof/>
        </w:rPr>
      </w:pPr>
      <w:r>
        <w:rPr>
          <w:noProof/>
        </w:rPr>
        <w:t>(4)</w:t>
      </w:r>
      <w:r>
        <w:rPr>
          <w:noProof/>
        </w:rPr>
        <w:tab/>
      </w:r>
      <w:r w:rsidRPr="00074805">
        <w:rPr>
          <w:noProof/>
        </w:rPr>
        <w:t>Il y a lieu, par conséquent, de mobiliser le FEM en vue d’octroyer une contribution financière d’un montant de 3 821 460 EUR en réponse à la demande présentée par la Belgique.</w:t>
      </w:r>
    </w:p>
    <w:p w:rsidR="001A62D7" w:rsidRPr="00074805" w:rsidRDefault="001A62D7" w:rsidP="00AE7D04">
      <w:pPr>
        <w:pStyle w:val="ManualConsidrant"/>
        <w:rPr>
          <w:noProof/>
        </w:rPr>
      </w:pPr>
      <w:r>
        <w:rPr>
          <w:noProof/>
        </w:rPr>
        <w:t>(5)</w:t>
      </w:r>
      <w:r>
        <w:rPr>
          <w:noProof/>
        </w:rPr>
        <w:tab/>
      </w:r>
      <w:r w:rsidRPr="00074805">
        <w:rPr>
          <w:noProof/>
        </w:rPr>
        <w:t>Afin de limiter au maximum le délai de mobilisation du FEM, il convient que la présente décision soit applicable à partir de la date de son adoption,</w:t>
      </w:r>
    </w:p>
    <w:p w:rsidR="001A62D7" w:rsidRPr="00074805" w:rsidRDefault="001A62D7" w:rsidP="001A62D7">
      <w:pPr>
        <w:pStyle w:val="Formuledadoption"/>
        <w:rPr>
          <w:noProof/>
        </w:rPr>
      </w:pPr>
      <w:r w:rsidRPr="00074805">
        <w:rPr>
          <w:noProof/>
        </w:rPr>
        <w:t xml:space="preserve">ONT ADOPTÉ LA PRÉSENTE DÉCISION: </w:t>
      </w:r>
    </w:p>
    <w:p w:rsidR="001A62D7" w:rsidRPr="00074805" w:rsidRDefault="001A62D7" w:rsidP="001A62D7">
      <w:pPr>
        <w:pStyle w:val="Titrearticle"/>
        <w:rPr>
          <w:noProof/>
        </w:rPr>
      </w:pPr>
      <w:r w:rsidRPr="00074805">
        <w:rPr>
          <w:noProof/>
        </w:rPr>
        <w:t>Article 1</w:t>
      </w:r>
    </w:p>
    <w:p w:rsidR="001A62D7" w:rsidRPr="00074805" w:rsidRDefault="001A62D7" w:rsidP="001A62D7">
      <w:pPr>
        <w:rPr>
          <w:noProof/>
        </w:rPr>
      </w:pPr>
      <w:r w:rsidRPr="00074805">
        <w:rPr>
          <w:noProof/>
        </w:rPr>
        <w:t>Dans le cadre du budget général de l’Union établi pour l’exercice 2026, un montant de 3 821 460 EUR en crédits d’engagement et de paiement est mobilisé au titre du Fonds européen d’ajustement à la mondialisation en faveur des travailleurs licenciés.</w:t>
      </w:r>
    </w:p>
    <w:p w:rsidR="001A62D7" w:rsidRPr="00074805" w:rsidRDefault="001A62D7" w:rsidP="00EF5EC5">
      <w:pPr>
        <w:pStyle w:val="Titrearticle"/>
        <w:rPr>
          <w:noProof/>
        </w:rPr>
      </w:pPr>
      <w:r w:rsidRPr="00074805">
        <w:rPr>
          <w:noProof/>
        </w:rPr>
        <w:t>Article 2</w:t>
      </w:r>
    </w:p>
    <w:p w:rsidR="001A62D7" w:rsidRPr="00074805" w:rsidRDefault="001A62D7" w:rsidP="001A62D7">
      <w:pPr>
        <w:keepNext/>
        <w:keepLines/>
        <w:rPr>
          <w:noProof/>
        </w:rPr>
      </w:pPr>
      <w:r w:rsidRPr="00074805">
        <w:rPr>
          <w:noProof/>
        </w:rPr>
        <w:t xml:space="preserve">La présente décision entre en vigueur le jour de sa publication au Journal officiel de l’Union européenne. Elle est applicable à partir du </w:t>
      </w:r>
      <w:r w:rsidRPr="00074805">
        <w:rPr>
          <w:noProof/>
          <w:color w:val="FF0000"/>
        </w:rPr>
        <w:t>[</w:t>
      </w:r>
      <w:r w:rsidRPr="00074805">
        <w:rPr>
          <w:i/>
          <w:noProof/>
          <w:color w:val="FF0000"/>
        </w:rPr>
        <w:t>date de son adoption</w:t>
      </w:r>
      <w:r w:rsidRPr="00074805">
        <w:rPr>
          <w:noProof/>
          <w:color w:val="FF0000"/>
        </w:rPr>
        <w:t>]</w:t>
      </w:r>
      <w:r w:rsidRPr="00074805">
        <w:rPr>
          <w:rStyle w:val="FootnoteReference"/>
          <w:noProof/>
          <w:color w:val="FF0000"/>
        </w:rPr>
        <w:footnoteReference w:customMarkFollows="1" w:id="43"/>
        <w:t>*</w:t>
      </w:r>
      <w:r w:rsidRPr="00074805">
        <w:rPr>
          <w:noProof/>
        </w:rPr>
        <w:t>.</w:t>
      </w:r>
    </w:p>
    <w:p w:rsidR="001A62D7" w:rsidRPr="00074805" w:rsidRDefault="00074805" w:rsidP="00EF5EC5">
      <w:pPr>
        <w:pStyle w:val="Fait"/>
        <w:rPr>
          <w:noProof/>
        </w:rPr>
      </w:pPr>
      <w:r>
        <w:rPr>
          <w:noProof/>
        </w:rPr>
        <w:t>Fait à Bruxelles, le</w:t>
      </w:r>
    </w:p>
    <w:p w:rsidR="001A62D7" w:rsidRPr="00074805" w:rsidRDefault="001A62D7" w:rsidP="00EF5EC5">
      <w:pPr>
        <w:pStyle w:val="Institutionquisigne"/>
        <w:rPr>
          <w:noProof/>
        </w:rPr>
      </w:pPr>
      <w:r w:rsidRPr="00074805">
        <w:rPr>
          <w:noProof/>
        </w:rPr>
        <w:t>Par le Parlement européen</w:t>
      </w:r>
      <w:r w:rsidRPr="00074805">
        <w:rPr>
          <w:noProof/>
        </w:rPr>
        <w:tab/>
        <w:t>Par le Conseil</w:t>
      </w:r>
    </w:p>
    <w:p w:rsidR="001A62D7" w:rsidRPr="00074805" w:rsidRDefault="001A62D7" w:rsidP="001A62D7">
      <w:pPr>
        <w:pStyle w:val="Personnequisigne"/>
        <w:rPr>
          <w:noProof/>
        </w:rPr>
      </w:pPr>
      <w:r w:rsidRPr="00074805">
        <w:rPr>
          <w:noProof/>
        </w:rPr>
        <w:t>La présidente</w:t>
      </w:r>
      <w:r w:rsidRPr="00074805">
        <w:rPr>
          <w:noProof/>
        </w:rPr>
        <w:tab/>
        <w:t>Le président</w:t>
      </w:r>
      <w:r w:rsidRPr="00074805">
        <w:rPr>
          <w:noProof/>
        </w:rPr>
        <w:br/>
      </w:r>
    </w:p>
    <w:sectPr w:rsidR="001A62D7" w:rsidRPr="00074805" w:rsidSect="002C17C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21A" w:rsidRDefault="00D3621A" w:rsidP="001A62D7">
      <w:pPr>
        <w:spacing w:before="0" w:after="0"/>
      </w:pPr>
      <w:r>
        <w:separator/>
      </w:r>
    </w:p>
  </w:endnote>
  <w:endnote w:type="continuationSeparator" w:id="0">
    <w:p w:rsidR="00D3621A" w:rsidRDefault="00D3621A"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Pr="002C17C1" w:rsidRDefault="002C17C1" w:rsidP="002C17C1">
    <w:pPr>
      <w:pStyle w:val="Footer"/>
      <w:rPr>
        <w:rFonts w:ascii="Arial" w:hAnsi="Arial" w:cs="Arial"/>
        <w:b/>
        <w:sz w:val="48"/>
      </w:rPr>
    </w:pPr>
    <w:r w:rsidRPr="002C17C1">
      <w:rPr>
        <w:rFonts w:ascii="Arial" w:hAnsi="Arial" w:cs="Arial"/>
        <w:b/>
        <w:sz w:val="48"/>
      </w:rPr>
      <w:t>FR</w:t>
    </w:r>
    <w:r w:rsidRPr="002C17C1">
      <w:rPr>
        <w:rFonts w:ascii="Arial" w:hAnsi="Arial" w:cs="Arial"/>
        <w:b/>
        <w:sz w:val="48"/>
      </w:rPr>
      <w:tab/>
    </w:r>
    <w:r w:rsidRPr="002C17C1">
      <w:rPr>
        <w:rFonts w:ascii="Arial" w:hAnsi="Arial" w:cs="Arial"/>
        <w:b/>
        <w:sz w:val="48"/>
      </w:rPr>
      <w:tab/>
    </w:r>
    <w:r w:rsidRPr="002C17C1">
      <w:tab/>
    </w:r>
    <w:r w:rsidRPr="002C17C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Pr="002C17C1" w:rsidRDefault="002C17C1" w:rsidP="002C17C1">
    <w:pPr>
      <w:pStyle w:val="Footer"/>
      <w:rPr>
        <w:rFonts w:ascii="Arial" w:hAnsi="Arial" w:cs="Arial"/>
        <w:b/>
        <w:sz w:val="48"/>
      </w:rPr>
    </w:pPr>
    <w:r w:rsidRPr="002C17C1">
      <w:rPr>
        <w:rFonts w:ascii="Arial" w:hAnsi="Arial" w:cs="Arial"/>
        <w:b/>
        <w:sz w:val="48"/>
      </w:rPr>
      <w:t>FR</w:t>
    </w:r>
    <w:r w:rsidRPr="002C17C1">
      <w:rPr>
        <w:rFonts w:ascii="Arial" w:hAnsi="Arial" w:cs="Arial"/>
        <w:b/>
        <w:sz w:val="48"/>
      </w:rPr>
      <w:tab/>
    </w:r>
    <w:r w:rsidRPr="002C17C1">
      <w:rPr>
        <w:rFonts w:ascii="Arial" w:hAnsi="Arial" w:cs="Arial"/>
        <w:b/>
        <w:sz w:val="48"/>
      </w:rPr>
      <w:tab/>
    </w:r>
    <w:r w:rsidRPr="002C17C1">
      <w:tab/>
    </w:r>
    <w:r w:rsidRPr="002C17C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Default="002C17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Pr="002C17C1" w:rsidRDefault="002C17C1" w:rsidP="002C17C1">
    <w:pPr>
      <w:pStyle w:val="Footer"/>
      <w:rPr>
        <w:rFonts w:ascii="Arial" w:hAnsi="Arial" w:cs="Arial"/>
        <w:b/>
        <w:sz w:val="48"/>
      </w:rPr>
    </w:pPr>
    <w:r w:rsidRPr="002C17C1">
      <w:rPr>
        <w:rFonts w:ascii="Arial" w:hAnsi="Arial" w:cs="Arial"/>
        <w:b/>
        <w:sz w:val="48"/>
      </w:rPr>
      <w:t>FR</w:t>
    </w:r>
    <w:r w:rsidRPr="002C17C1">
      <w:rPr>
        <w:rFonts w:ascii="Arial" w:hAnsi="Arial" w:cs="Arial"/>
        <w:b/>
        <w:sz w:val="48"/>
      </w:rPr>
      <w:tab/>
    </w:r>
    <w:r>
      <w:fldChar w:fldCharType="begin"/>
    </w:r>
    <w:r>
      <w:instrText xml:space="preserve"> PAGE  \* MERGEFORMAT </w:instrText>
    </w:r>
    <w:r>
      <w:fldChar w:fldCharType="separate"/>
    </w:r>
    <w:r w:rsidR="00EF5EC5">
      <w:rPr>
        <w:noProof/>
      </w:rPr>
      <w:t>14</w:t>
    </w:r>
    <w:r>
      <w:fldChar w:fldCharType="end"/>
    </w:r>
    <w:r>
      <w:tab/>
    </w:r>
    <w:r w:rsidRPr="002C17C1">
      <w:tab/>
    </w:r>
    <w:r w:rsidRPr="002C17C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Default="002C17C1" w:rsidP="002C1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21A" w:rsidRDefault="00D3621A" w:rsidP="001A62D7">
      <w:pPr>
        <w:spacing w:before="0" w:after="0"/>
      </w:pPr>
      <w:r>
        <w:separator/>
      </w:r>
    </w:p>
  </w:footnote>
  <w:footnote w:type="continuationSeparator" w:id="0">
    <w:p w:rsidR="00D3621A" w:rsidRDefault="00D3621A" w:rsidP="001A62D7">
      <w:pPr>
        <w:spacing w:before="0" w:after="0"/>
      </w:pPr>
      <w:r>
        <w:continuationSeparator/>
      </w:r>
    </w:p>
  </w:footnote>
  <w:footnote w:id="1">
    <w:p w:rsidR="001A62D7" w:rsidRPr="00074805" w:rsidRDefault="001A62D7" w:rsidP="001A62D7">
      <w:pPr>
        <w:pStyle w:val="FootnoteText"/>
        <w:rPr>
          <w:lang w:val="fr-BE"/>
        </w:rPr>
      </w:pPr>
      <w:r>
        <w:rPr>
          <w:rStyle w:val="FootnoteReference"/>
        </w:rPr>
        <w:footnoteRef/>
      </w:r>
      <w:r w:rsidRPr="00074805">
        <w:rPr>
          <w:lang w:val="fr-BE"/>
        </w:rPr>
        <w:tab/>
        <w:t>JO L 153 du 3.5.2021, p. 48,</w:t>
      </w:r>
      <w:r w:rsidRPr="00074805">
        <w:rPr>
          <w:sz w:val="24"/>
          <w:lang w:val="fr-BE"/>
        </w:rPr>
        <w:t xml:space="preserve"> </w:t>
      </w:r>
      <w:r w:rsidRPr="00074805">
        <w:rPr>
          <w:lang w:val="fr-BE"/>
        </w:rPr>
        <w:t>ELI: http://data.europa.eu/eli/reg/2021/691/oj.</w:t>
      </w:r>
    </w:p>
  </w:footnote>
  <w:footnote w:id="2">
    <w:p w:rsidR="001A62D7" w:rsidRPr="00074805" w:rsidRDefault="001A62D7" w:rsidP="001A62D7">
      <w:pPr>
        <w:pStyle w:val="FootnoteText"/>
        <w:rPr>
          <w:lang w:val="fr-BE"/>
        </w:rPr>
      </w:pPr>
      <w:r>
        <w:rPr>
          <w:rStyle w:val="FootnoteReference"/>
        </w:rPr>
        <w:footnoteRef/>
      </w:r>
      <w:r w:rsidRPr="00074805">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1A62D7" w:rsidRPr="00074805" w:rsidRDefault="001A62D7" w:rsidP="001A62D7">
      <w:pPr>
        <w:pStyle w:val="FootnoteText"/>
        <w:rPr>
          <w:lang w:val="fr-BE"/>
        </w:rPr>
      </w:pPr>
      <w:r>
        <w:rPr>
          <w:rStyle w:val="FootnoteReference"/>
        </w:rPr>
        <w:footnoteRef/>
      </w:r>
      <w:r w:rsidRPr="00074805">
        <w:rPr>
          <w:lang w:val="fr-BE"/>
        </w:rPr>
        <w:tab/>
        <w:t>JO L 393 du 30.12.2006, p. 1.</w:t>
      </w:r>
    </w:p>
  </w:footnote>
  <w:footnote w:id="4">
    <w:p w:rsidR="00FD67BC" w:rsidRPr="00074805" w:rsidRDefault="00FD67BC">
      <w:pPr>
        <w:pStyle w:val="FootnoteText"/>
        <w:rPr>
          <w:lang w:val="fr-BE"/>
        </w:rPr>
      </w:pPr>
      <w:r>
        <w:rPr>
          <w:rStyle w:val="FootnoteReference"/>
        </w:rPr>
        <w:footnoteRef/>
      </w:r>
      <w:r w:rsidRPr="00074805">
        <w:rPr>
          <w:lang w:val="fr-BE"/>
        </w:rPr>
        <w:tab/>
        <w:t>Le secteur d’activité économique de Cora est le commerce de détail et celui de son fournisseur est le transport terrestre.</w:t>
      </w:r>
    </w:p>
  </w:footnote>
  <w:footnote w:id="5">
    <w:p w:rsidR="001A62D7" w:rsidRPr="00074805" w:rsidRDefault="001A62D7" w:rsidP="001A62D7">
      <w:pPr>
        <w:pStyle w:val="FootnoteText"/>
        <w:rPr>
          <w:lang w:val="fr-BE"/>
        </w:rPr>
      </w:pPr>
      <w:r>
        <w:rPr>
          <w:rStyle w:val="FootnoteReference"/>
        </w:rPr>
        <w:footnoteRef/>
      </w:r>
      <w:r w:rsidRPr="00074805">
        <w:rPr>
          <w:lang w:val="fr-BE"/>
        </w:rPr>
        <w:tab/>
        <w:t>Conformément à l’article 7, paragraphe 5, du règlement (UE) 2021/691.</w:t>
      </w:r>
    </w:p>
  </w:footnote>
  <w:footnote w:id="6">
    <w:p w:rsidR="004834D6" w:rsidRPr="00074805" w:rsidRDefault="004834D6">
      <w:pPr>
        <w:pStyle w:val="FootnoteText"/>
        <w:rPr>
          <w:lang w:val="fr-BE"/>
        </w:rPr>
      </w:pPr>
      <w:r>
        <w:rPr>
          <w:rStyle w:val="FootnoteReference"/>
        </w:rPr>
        <w:footnoteRef/>
      </w:r>
      <w:r w:rsidRPr="00074805">
        <w:rPr>
          <w:lang w:val="fr-BE"/>
        </w:rPr>
        <w:tab/>
        <w:t>Bénéfice avant intérêts, impôts, dépréciation et amortissement (</w:t>
      </w:r>
      <w:r w:rsidRPr="00074805">
        <w:rPr>
          <w:i/>
          <w:iCs/>
          <w:lang w:val="fr-BE"/>
        </w:rPr>
        <w:t>Earnings Before Interest, Taxes, Depreciation, and Amortization</w:t>
      </w:r>
      <w:r w:rsidRPr="00074805">
        <w:rPr>
          <w:lang w:val="fr-BE"/>
        </w:rPr>
        <w:t xml:space="preserve">). </w:t>
      </w:r>
    </w:p>
  </w:footnote>
  <w:footnote w:id="7">
    <w:p w:rsidR="00CD4063" w:rsidRPr="00074805" w:rsidRDefault="00CD4063">
      <w:pPr>
        <w:pStyle w:val="FootnoteText"/>
        <w:rPr>
          <w:lang w:val="fr-BE"/>
        </w:rPr>
      </w:pPr>
      <w:r>
        <w:rPr>
          <w:rStyle w:val="FootnoteReference"/>
        </w:rPr>
        <w:footnoteRef/>
      </w:r>
      <w:r w:rsidRPr="00074805">
        <w:rPr>
          <w:lang w:val="fr-BE"/>
        </w:rPr>
        <w:tab/>
        <w:t>Informations communiquées par Cora lors du conseil d’entreprise extraordinaire tenu le 8 avril 2025.</w:t>
      </w:r>
    </w:p>
  </w:footnote>
  <w:footnote w:id="8">
    <w:p w:rsidR="00E73E09" w:rsidRPr="00074805" w:rsidRDefault="00E73E09" w:rsidP="00E73E09">
      <w:pPr>
        <w:pStyle w:val="FootnoteText"/>
        <w:rPr>
          <w:lang w:val="fr-BE"/>
        </w:rPr>
      </w:pPr>
      <w:r>
        <w:rPr>
          <w:rStyle w:val="FootnoteReference"/>
        </w:rPr>
        <w:footnoteRef/>
      </w:r>
      <w:r w:rsidRPr="00074805">
        <w:rPr>
          <w:lang w:val="fr-BE"/>
        </w:rPr>
        <w:tab/>
        <w:t>COM(2023) 69.</w:t>
      </w:r>
    </w:p>
  </w:footnote>
  <w:footnote w:id="9">
    <w:p w:rsidR="00E73E09" w:rsidRPr="00074805" w:rsidRDefault="00E73E09">
      <w:pPr>
        <w:pStyle w:val="FootnoteText"/>
        <w:rPr>
          <w:lang w:val="fr-BE"/>
        </w:rPr>
      </w:pPr>
      <w:r>
        <w:rPr>
          <w:rStyle w:val="FootnoteReference"/>
        </w:rPr>
        <w:footnoteRef/>
      </w:r>
      <w:r w:rsidRPr="00074805">
        <w:rPr>
          <w:lang w:val="fr-BE"/>
        </w:rPr>
        <w:tab/>
        <w:t xml:space="preserve">COM(2023) 470. </w:t>
      </w:r>
    </w:p>
  </w:footnote>
  <w:footnote w:id="10">
    <w:p w:rsidR="00DC549A" w:rsidRPr="00074805" w:rsidRDefault="00DC549A">
      <w:pPr>
        <w:pStyle w:val="FootnoteText"/>
        <w:rPr>
          <w:lang w:val="fr-BE"/>
        </w:rPr>
      </w:pPr>
      <w:r>
        <w:rPr>
          <w:rStyle w:val="FootnoteReference"/>
        </w:rPr>
        <w:footnoteRef/>
      </w:r>
      <w:r w:rsidRPr="00074805">
        <w:rPr>
          <w:lang w:val="fr-BE"/>
        </w:rPr>
        <w:tab/>
        <w:t>COM(2026) 4.</w:t>
      </w:r>
    </w:p>
  </w:footnote>
  <w:footnote w:id="11">
    <w:p w:rsidR="00C634D9" w:rsidRPr="00074805" w:rsidRDefault="00C634D9">
      <w:pPr>
        <w:pStyle w:val="FootnoteText"/>
        <w:rPr>
          <w:lang w:val="fr-BE"/>
        </w:rPr>
      </w:pPr>
      <w:r>
        <w:rPr>
          <w:rStyle w:val="FootnoteReference"/>
        </w:rPr>
        <w:footnoteRef/>
      </w:r>
      <w:r w:rsidRPr="00074805">
        <w:rPr>
          <w:lang w:val="fr-BE"/>
        </w:rPr>
        <w:tab/>
      </w:r>
      <w:hyperlink r:id="rId1" w:history="1">
        <w:r w:rsidRPr="00074805">
          <w:rPr>
            <w:rStyle w:val="Hyperlink"/>
            <w:lang w:val="fr-BE"/>
          </w:rPr>
          <w:t>Eurostat.</w:t>
        </w:r>
      </w:hyperlink>
      <w:hyperlink r:id="rId2" w:history="1">
        <w:r w:rsidRPr="00074805">
          <w:rPr>
            <w:rStyle w:val="Hyperlink"/>
            <w:lang w:val="fr-BE"/>
          </w:rPr>
          <w:t xml:space="preserve"> </w:t>
        </w:r>
        <w:r w:rsidRPr="00074805">
          <w:rPr>
            <w:rStyle w:val="Hyperlink"/>
            <w:i/>
            <w:iCs/>
            <w:lang w:val="fr-BE"/>
          </w:rPr>
          <w:t>Seasonally adjusted unemployment</w:t>
        </w:r>
      </w:hyperlink>
      <w:r w:rsidRPr="00074805">
        <w:rPr>
          <w:lang w:val="fr-BE"/>
        </w:rPr>
        <w:t xml:space="preserve"> (Chômage corrigé des variations saisonnières).</w:t>
      </w:r>
      <w:hyperlink r:id="rId3" w:history="1">
        <w:r w:rsidRPr="00074805">
          <w:rPr>
            <w:rStyle w:val="Hyperlink"/>
            <w:lang w:val="fr-BE"/>
          </w:rPr>
          <w:t xml:space="preserve"> Janvier 2026</w:t>
        </w:r>
      </w:hyperlink>
      <w:r w:rsidRPr="00074805">
        <w:rPr>
          <w:lang w:val="fr-BE"/>
        </w:rPr>
        <w:t>.</w:t>
      </w:r>
    </w:p>
  </w:footnote>
  <w:footnote w:id="12">
    <w:p w:rsidR="00C634D9" w:rsidRPr="00074805" w:rsidRDefault="00C634D9">
      <w:pPr>
        <w:pStyle w:val="FootnoteText"/>
        <w:rPr>
          <w:lang w:val="fr-BE"/>
        </w:rPr>
      </w:pPr>
      <w:r>
        <w:rPr>
          <w:rStyle w:val="FootnoteReference"/>
        </w:rPr>
        <w:footnoteRef/>
      </w:r>
      <w:r w:rsidRPr="00074805">
        <w:rPr>
          <w:lang w:val="fr-BE"/>
        </w:rPr>
        <w:tab/>
      </w:r>
      <w:hyperlink r:id="rId4" w:history="1">
        <w:r w:rsidRPr="00074805">
          <w:rPr>
            <w:rStyle w:val="Hyperlink"/>
            <w:lang w:val="fr-BE"/>
          </w:rPr>
          <w:t>Eurostat.</w:t>
        </w:r>
      </w:hyperlink>
      <w:hyperlink r:id="rId5" w:history="1">
        <w:r w:rsidRPr="00074805">
          <w:rPr>
            <w:rStyle w:val="Hyperlink"/>
            <w:lang w:val="fr-BE"/>
          </w:rPr>
          <w:t xml:space="preserve"> </w:t>
        </w:r>
        <w:r w:rsidRPr="00074805">
          <w:rPr>
            <w:rStyle w:val="Hyperlink"/>
            <w:i/>
            <w:iCs/>
            <w:lang w:val="fr-BE"/>
          </w:rPr>
          <w:t>EU unemployment rate</w:t>
        </w:r>
      </w:hyperlink>
      <w:r w:rsidRPr="00074805">
        <w:rPr>
          <w:lang w:val="fr-BE"/>
        </w:rPr>
        <w:t xml:space="preserve"> (Taux de chômage dans l’Union européenne).</w:t>
      </w:r>
      <w:hyperlink r:id="rId6" w:history="1">
        <w:r w:rsidRPr="00074805">
          <w:rPr>
            <w:rStyle w:val="Hyperlink"/>
            <w:lang w:val="fr-BE"/>
          </w:rPr>
          <w:t xml:space="preserve"> Janvier 2026</w:t>
        </w:r>
      </w:hyperlink>
      <w:r w:rsidRPr="00074805">
        <w:rPr>
          <w:lang w:val="fr-BE"/>
        </w:rPr>
        <w:t>.</w:t>
      </w:r>
    </w:p>
  </w:footnote>
  <w:footnote w:id="13">
    <w:p w:rsidR="00C634D9" w:rsidRPr="00074805" w:rsidRDefault="00C634D9">
      <w:pPr>
        <w:pStyle w:val="FootnoteText"/>
        <w:rPr>
          <w:lang w:val="fr-BE"/>
        </w:rPr>
      </w:pPr>
      <w:r>
        <w:rPr>
          <w:rStyle w:val="FootnoteReference"/>
        </w:rPr>
        <w:footnoteRef/>
      </w:r>
      <w:r w:rsidRPr="00074805">
        <w:rPr>
          <w:lang w:val="fr-BE"/>
        </w:rPr>
        <w:tab/>
      </w:r>
      <w:hyperlink r:id="rId7" w:history="1">
        <w:r w:rsidRPr="00074805">
          <w:rPr>
            <w:rStyle w:val="Hyperlink"/>
            <w:lang w:val="fr-BE"/>
          </w:rPr>
          <w:t>Statbel</w:t>
        </w:r>
      </w:hyperlink>
      <w:r w:rsidRPr="00074805">
        <w:rPr>
          <w:lang w:val="fr-BE"/>
        </w:rPr>
        <w:t xml:space="preserve">. Taux de chômage, quatrième trimestre 2025. </w:t>
      </w:r>
    </w:p>
  </w:footnote>
  <w:footnote w:id="14">
    <w:p w:rsidR="0095683A" w:rsidRPr="00074805" w:rsidRDefault="0095683A">
      <w:pPr>
        <w:pStyle w:val="FootnoteText"/>
        <w:rPr>
          <w:lang w:val="fr-BE"/>
        </w:rPr>
      </w:pPr>
      <w:r>
        <w:rPr>
          <w:rStyle w:val="FootnoteReference"/>
        </w:rPr>
        <w:footnoteRef/>
      </w:r>
      <w:r w:rsidRPr="00074805">
        <w:rPr>
          <w:lang w:val="fr-BE"/>
        </w:rPr>
        <w:tab/>
      </w:r>
      <w:bookmarkStart w:id="11" w:name="_Hlk226649164"/>
      <w:r w:rsidR="006C5032">
        <w:fldChar w:fldCharType="begin"/>
      </w:r>
      <w:r w:rsidR="006C5032" w:rsidRPr="00074805">
        <w:rPr>
          <w:lang w:val="fr-BE"/>
        </w:rPr>
        <w:instrText>HYPERLINK "https://bestat.statbel.fgov.be/bestat/crosstable.xhtml?datasource=262defc5-1607-42aa-a646-d0b4f6844d4f"</w:instrText>
      </w:r>
      <w:r w:rsidR="006C5032">
        <w:fldChar w:fldCharType="separate"/>
      </w:r>
      <w:r w:rsidRPr="00074805">
        <w:rPr>
          <w:rStyle w:val="Hyperlink"/>
          <w:lang w:val="fr-BE"/>
        </w:rPr>
        <w:t>Statbel (Emploi et chômage. 2025).</w:t>
      </w:r>
      <w:r w:rsidR="006C5032">
        <w:fldChar w:fldCharType="end"/>
      </w:r>
      <w:bookmarkEnd w:id="11"/>
    </w:p>
  </w:footnote>
  <w:footnote w:id="15">
    <w:p w:rsidR="006C5032" w:rsidRPr="00074805" w:rsidRDefault="006C5032">
      <w:pPr>
        <w:pStyle w:val="FootnoteText"/>
        <w:rPr>
          <w:lang w:val="fr-BE"/>
        </w:rPr>
      </w:pPr>
      <w:r>
        <w:rPr>
          <w:rStyle w:val="FootnoteReference"/>
        </w:rPr>
        <w:footnoteRef/>
      </w:r>
      <w:r w:rsidRPr="00074805">
        <w:rPr>
          <w:lang w:val="fr-BE"/>
        </w:rPr>
        <w:tab/>
      </w:r>
      <w:hyperlink r:id="rId8" w:history="1">
        <w:r w:rsidRPr="00074805">
          <w:rPr>
            <w:rStyle w:val="Hyperlink"/>
            <w:lang w:val="fr-BE"/>
          </w:rPr>
          <w:t>Statbel (Emploi et chômage.</w:t>
        </w:r>
      </w:hyperlink>
      <w:hyperlink r:id="rId9" w:history="1">
        <w:r w:rsidRPr="00074805">
          <w:rPr>
            <w:rStyle w:val="Hyperlink"/>
            <w:lang w:val="fr-BE"/>
          </w:rPr>
          <w:t>2025).</w:t>
        </w:r>
      </w:hyperlink>
    </w:p>
  </w:footnote>
  <w:footnote w:id="16">
    <w:p w:rsidR="006C5032" w:rsidRPr="00074805" w:rsidRDefault="006C5032" w:rsidP="006C5032">
      <w:pPr>
        <w:pStyle w:val="FootnoteText"/>
        <w:rPr>
          <w:lang w:val="fr-BE"/>
        </w:rPr>
      </w:pPr>
      <w:r>
        <w:rPr>
          <w:rStyle w:val="FootnoteReference"/>
        </w:rPr>
        <w:footnoteRef/>
      </w:r>
      <w:r w:rsidRPr="00074805">
        <w:rPr>
          <w:lang w:val="fr-BE"/>
        </w:rPr>
        <w:tab/>
        <w:t>Région de Bruxelles-Capitale/Brussels Hoofdstedelijk Gewest.</w:t>
      </w:r>
    </w:p>
  </w:footnote>
  <w:footnote w:id="17">
    <w:p w:rsidR="000F586D" w:rsidRPr="00074805" w:rsidRDefault="000F586D">
      <w:pPr>
        <w:pStyle w:val="FootnoteText"/>
        <w:rPr>
          <w:lang w:val="fr-BE"/>
        </w:rPr>
      </w:pPr>
      <w:r>
        <w:rPr>
          <w:rStyle w:val="FootnoteReference"/>
        </w:rPr>
        <w:footnoteRef/>
      </w:r>
      <w:r w:rsidRPr="00074805">
        <w:rPr>
          <w:lang w:val="fr-BE"/>
        </w:rPr>
        <w:tab/>
      </w:r>
      <w:bookmarkStart w:id="14" w:name="_Hlk228983023"/>
      <w:r w:rsidR="00412F5A">
        <w:fldChar w:fldCharType="begin"/>
      </w:r>
      <w:r w:rsidR="00412F5A" w:rsidRPr="00074805">
        <w:rPr>
          <w:lang w:val="fr-BE"/>
        </w:rPr>
        <w:instrText>HYPERLINK "https://www.leforem.be/documents/chiffres-et-analyses/infographie-marche-emploi.pdf"</w:instrText>
      </w:r>
      <w:r w:rsidR="00412F5A">
        <w:fldChar w:fldCharType="separate"/>
      </w:r>
      <w:r w:rsidRPr="00074805">
        <w:rPr>
          <w:rStyle w:val="Hyperlink"/>
          <w:lang w:val="fr-BE"/>
        </w:rPr>
        <w:t>Le Forem. Le marché de l’emploi en Wallonie en 2025.</w:t>
      </w:r>
      <w:r w:rsidR="00412F5A">
        <w:fldChar w:fldCharType="end"/>
      </w:r>
      <w:r w:rsidRPr="00074805">
        <w:rPr>
          <w:lang w:val="fr-BE"/>
        </w:rPr>
        <w:t>.</w:t>
      </w:r>
      <w:bookmarkEnd w:id="14"/>
    </w:p>
  </w:footnote>
  <w:footnote w:id="18">
    <w:p w:rsidR="009B4361" w:rsidRPr="00074805" w:rsidRDefault="009B4361">
      <w:pPr>
        <w:pStyle w:val="FootnoteText"/>
        <w:rPr>
          <w:i/>
          <w:iCs/>
          <w:lang w:val="fr-BE"/>
        </w:rPr>
      </w:pPr>
      <w:r>
        <w:rPr>
          <w:rStyle w:val="FootnoteReference"/>
        </w:rPr>
        <w:footnoteRef/>
      </w:r>
      <w:r w:rsidRPr="00074805">
        <w:rPr>
          <w:lang w:val="fr-BE"/>
        </w:rPr>
        <w:tab/>
      </w:r>
      <w:bookmarkStart w:id="15" w:name="_Hlk229566196"/>
      <w:r w:rsidRPr="00074805">
        <w:rPr>
          <w:lang w:val="fr-BE"/>
        </w:rPr>
        <w:t>En Belgique, l’enseignement secondaire comprend trois degrés, chacun d’une durée de deux ans: le premier degré (</w:t>
      </w:r>
      <w:r w:rsidRPr="00074805">
        <w:rPr>
          <w:i/>
          <w:lang w:val="fr-BE"/>
        </w:rPr>
        <w:t>secondaire de base</w:t>
      </w:r>
      <w:r w:rsidRPr="00074805">
        <w:rPr>
          <w:lang w:val="fr-BE"/>
        </w:rPr>
        <w:t>), le deuxième degré (</w:t>
      </w:r>
      <w:r w:rsidRPr="00074805">
        <w:rPr>
          <w:i/>
          <w:lang w:val="fr-BE"/>
        </w:rPr>
        <w:t>secondaire deuxième degré</w:t>
      </w:r>
      <w:r w:rsidRPr="00074805">
        <w:rPr>
          <w:lang w:val="fr-BE"/>
        </w:rPr>
        <w:t>) et le troisième degré (</w:t>
      </w:r>
      <w:r w:rsidRPr="00074805">
        <w:rPr>
          <w:i/>
          <w:lang w:val="fr-BE"/>
        </w:rPr>
        <w:t>secondaire troisième degré</w:t>
      </w:r>
      <w:r w:rsidRPr="00074805">
        <w:rPr>
          <w:lang w:val="fr-BE"/>
        </w:rPr>
        <w:t>).</w:t>
      </w:r>
    </w:p>
    <w:bookmarkEnd w:id="15"/>
  </w:footnote>
  <w:footnote w:id="19">
    <w:p w:rsidR="009A7E0D" w:rsidRPr="00074805" w:rsidRDefault="009A7E0D">
      <w:pPr>
        <w:pStyle w:val="FootnoteText"/>
        <w:rPr>
          <w:lang w:val="fr-BE"/>
        </w:rPr>
      </w:pPr>
      <w:r>
        <w:rPr>
          <w:rStyle w:val="FootnoteReference"/>
        </w:rPr>
        <w:footnoteRef/>
      </w:r>
      <w:r w:rsidRPr="00074805">
        <w:rPr>
          <w:lang w:val="fr-BE"/>
        </w:rPr>
        <w:tab/>
      </w:r>
      <w:hyperlink r:id="rId10" w:history="1">
        <w:r w:rsidRPr="00074805">
          <w:rPr>
            <w:rStyle w:val="Hyperlink"/>
            <w:lang w:val="fr-BE"/>
          </w:rPr>
          <w:t>Le Forem.</w:t>
        </w:r>
      </w:hyperlink>
      <w:hyperlink r:id="rId11" w:history="1">
        <w:r w:rsidRPr="00074805">
          <w:rPr>
            <w:rStyle w:val="Hyperlink"/>
            <w:lang w:val="fr-BE"/>
          </w:rPr>
          <w:t xml:space="preserve"> Stats Emploi</w:t>
        </w:r>
      </w:hyperlink>
      <w:r w:rsidRPr="00074805">
        <w:rPr>
          <w:lang w:val="fr-BE"/>
        </w:rPr>
        <w:t>.</w:t>
      </w:r>
    </w:p>
  </w:footnote>
  <w:footnote w:id="20">
    <w:p w:rsidR="004239CD" w:rsidRPr="00074805" w:rsidRDefault="004239CD">
      <w:pPr>
        <w:pStyle w:val="FootnoteText"/>
        <w:rPr>
          <w:lang w:val="fr-BE"/>
        </w:rPr>
      </w:pPr>
      <w:r>
        <w:rPr>
          <w:rStyle w:val="FootnoteReference"/>
        </w:rPr>
        <w:footnoteRef/>
      </w:r>
      <w:r w:rsidRPr="00074805">
        <w:rPr>
          <w:lang w:val="fr-BE"/>
        </w:rPr>
        <w:tab/>
        <w:t>Arrêté royal du 10 novembre 2006 modifiant l’arrêté royal du 9 mars 2006.</w:t>
      </w:r>
    </w:p>
  </w:footnote>
  <w:footnote w:id="21">
    <w:p w:rsidR="003C644B" w:rsidRPr="00074805" w:rsidRDefault="003C644B">
      <w:pPr>
        <w:pStyle w:val="FootnoteText"/>
        <w:rPr>
          <w:lang w:val="fr-BE"/>
        </w:rPr>
      </w:pPr>
      <w:r>
        <w:rPr>
          <w:rStyle w:val="FootnoteReference"/>
        </w:rPr>
        <w:footnoteRef/>
      </w:r>
      <w:r w:rsidRPr="00074805">
        <w:rPr>
          <w:lang w:val="fr-BE"/>
        </w:rPr>
        <w:tab/>
      </w:r>
      <w:hyperlink r:id="rId12" w:history="1">
        <w:r w:rsidRPr="00074805">
          <w:rPr>
            <w:rStyle w:val="Hyperlink"/>
            <w:lang w:val="fr-BE"/>
          </w:rPr>
          <w:t>Le Forem.</w:t>
        </w:r>
      </w:hyperlink>
      <w:hyperlink r:id="rId13" w:history="1">
        <w:r w:rsidRPr="00074805">
          <w:rPr>
            <w:rStyle w:val="Hyperlink"/>
            <w:lang w:val="fr-BE"/>
          </w:rPr>
          <w:t xml:space="preserve"> Restructurations:</w:t>
        </w:r>
      </w:hyperlink>
      <w:hyperlink r:id="rId14" w:history="1">
        <w:r w:rsidRPr="00074805">
          <w:rPr>
            <w:rStyle w:val="Hyperlink"/>
            <w:lang w:val="fr-BE"/>
          </w:rPr>
          <w:t xml:space="preserve"> cellules pour l’emploi</w:t>
        </w:r>
      </w:hyperlink>
      <w:r w:rsidRPr="00074805">
        <w:rPr>
          <w:rStyle w:val="Hyperlink"/>
          <w:lang w:val="fr-BE"/>
        </w:rPr>
        <w:t>.</w:t>
      </w:r>
    </w:p>
  </w:footnote>
  <w:footnote w:id="22">
    <w:p w:rsidR="002F688A" w:rsidRPr="00074805" w:rsidRDefault="002F688A">
      <w:pPr>
        <w:pStyle w:val="FootnoteText"/>
        <w:rPr>
          <w:lang w:val="fr-BE"/>
        </w:rPr>
      </w:pPr>
      <w:r>
        <w:rPr>
          <w:rStyle w:val="FootnoteReference"/>
        </w:rPr>
        <w:footnoteRef/>
      </w:r>
      <w:r w:rsidRPr="00074805">
        <w:rPr>
          <w:lang w:val="fr-BE"/>
        </w:rPr>
        <w:tab/>
        <w:t>Décret du gouvernement wallon du 29 janvier 2004, modifié par le décret du 30 avril 2009.</w:t>
      </w:r>
    </w:p>
  </w:footnote>
  <w:footnote w:id="23">
    <w:p w:rsidR="002F688A" w:rsidRPr="00074805" w:rsidRDefault="002F688A">
      <w:pPr>
        <w:pStyle w:val="FootnoteText"/>
        <w:rPr>
          <w:lang w:val="fr-BE"/>
        </w:rPr>
      </w:pPr>
      <w:r>
        <w:rPr>
          <w:rStyle w:val="FootnoteReference"/>
        </w:rPr>
        <w:footnoteRef/>
      </w:r>
      <w:r w:rsidRPr="00074805">
        <w:rPr>
          <w:lang w:val="fr-BE"/>
        </w:rPr>
        <w:tab/>
      </w:r>
      <w:r w:rsidRPr="00074805">
        <w:rPr>
          <w:rStyle w:val="Hyperlink"/>
          <w:lang w:val="fr-BE"/>
        </w:rPr>
        <w:t xml:space="preserve">Le </w:t>
      </w:r>
      <w:hyperlink r:id="rId15" w:history="1">
        <w:r w:rsidRPr="00074805">
          <w:rPr>
            <w:rStyle w:val="Hyperlink"/>
            <w:lang w:val="fr-BE"/>
          </w:rPr>
          <w:t>Forem.</w:t>
        </w:r>
      </w:hyperlink>
      <w:hyperlink r:id="rId16" w:history="1">
        <w:r w:rsidRPr="00074805">
          <w:rPr>
            <w:rStyle w:val="Hyperlink"/>
            <w:lang w:val="fr-BE"/>
          </w:rPr>
          <w:t xml:space="preserve"> Restructurations:</w:t>
        </w:r>
      </w:hyperlink>
      <w:hyperlink r:id="rId17" w:history="1">
        <w:r w:rsidRPr="00074805">
          <w:rPr>
            <w:rStyle w:val="Hyperlink"/>
            <w:lang w:val="fr-BE"/>
          </w:rPr>
          <w:t xml:space="preserve"> cellules de reconversion</w:t>
        </w:r>
      </w:hyperlink>
      <w:r w:rsidRPr="00074805">
        <w:rPr>
          <w:rStyle w:val="Hyperlink"/>
          <w:lang w:val="fr-BE"/>
        </w:rPr>
        <w:t>.</w:t>
      </w:r>
    </w:p>
  </w:footnote>
  <w:footnote w:id="24">
    <w:p w:rsidR="00922007" w:rsidRPr="00074805" w:rsidRDefault="00922007">
      <w:pPr>
        <w:pStyle w:val="FootnoteText"/>
        <w:rPr>
          <w:lang w:val="fr-BE"/>
        </w:rPr>
      </w:pPr>
      <w:r>
        <w:rPr>
          <w:rStyle w:val="FootnoteReference"/>
        </w:rPr>
        <w:footnoteRef/>
      </w:r>
      <w:r w:rsidRPr="00074805">
        <w:rPr>
          <w:lang w:val="fr-BE"/>
        </w:rPr>
        <w:tab/>
        <w:t>Fédération générale du travail de Belgique.</w:t>
      </w:r>
    </w:p>
  </w:footnote>
  <w:footnote w:id="25">
    <w:p w:rsidR="00922007" w:rsidRPr="00074805" w:rsidRDefault="00922007">
      <w:pPr>
        <w:pStyle w:val="FootnoteText"/>
        <w:rPr>
          <w:lang w:val="fr-BE"/>
        </w:rPr>
      </w:pPr>
      <w:r>
        <w:rPr>
          <w:rStyle w:val="FootnoteReference"/>
        </w:rPr>
        <w:footnoteRef/>
      </w:r>
      <w:r w:rsidRPr="00074805">
        <w:rPr>
          <w:lang w:val="fr-BE"/>
        </w:rPr>
        <w:tab/>
        <w:t>Confédération des syndicats chrétiens</w:t>
      </w:r>
    </w:p>
  </w:footnote>
  <w:footnote w:id="26">
    <w:p w:rsidR="001A62D7" w:rsidRPr="00074805" w:rsidRDefault="001A62D7" w:rsidP="001A62D7">
      <w:pPr>
        <w:pStyle w:val="FootnoteText"/>
        <w:rPr>
          <w:lang w:val="fr-BE"/>
        </w:rPr>
      </w:pPr>
      <w:r>
        <w:rPr>
          <w:rStyle w:val="FootnoteReference"/>
        </w:rPr>
        <w:footnoteRef/>
      </w:r>
      <w:r w:rsidRPr="00074805">
        <w:rPr>
          <w:lang w:val="fr-BE"/>
        </w:rPr>
        <w:tab/>
        <w:t>CITE 0-2.</w:t>
      </w:r>
    </w:p>
  </w:footnote>
  <w:footnote w:id="27">
    <w:p w:rsidR="001A62D7" w:rsidRPr="00074805" w:rsidRDefault="001A62D7" w:rsidP="001A62D7">
      <w:pPr>
        <w:pStyle w:val="FootnoteText"/>
        <w:rPr>
          <w:lang w:val="fr-BE"/>
        </w:rPr>
      </w:pPr>
      <w:r>
        <w:rPr>
          <w:rStyle w:val="FootnoteReference"/>
        </w:rPr>
        <w:footnoteRef/>
      </w:r>
      <w:r w:rsidRPr="00074805">
        <w:rPr>
          <w:lang w:val="fr-BE"/>
        </w:rPr>
        <w:tab/>
        <w:t>CITE 3.</w:t>
      </w:r>
    </w:p>
  </w:footnote>
  <w:footnote w:id="28">
    <w:p w:rsidR="001A62D7" w:rsidRPr="00074805" w:rsidRDefault="001A62D7" w:rsidP="001A62D7">
      <w:pPr>
        <w:pStyle w:val="FootnoteText"/>
        <w:rPr>
          <w:lang w:val="fr-BE"/>
        </w:rPr>
      </w:pPr>
      <w:r>
        <w:rPr>
          <w:rStyle w:val="FootnoteReference"/>
        </w:rPr>
        <w:footnoteRef/>
      </w:r>
      <w:r w:rsidRPr="00074805">
        <w:rPr>
          <w:lang w:val="fr-BE"/>
        </w:rPr>
        <w:tab/>
        <w:t>CITE 4.</w:t>
      </w:r>
    </w:p>
  </w:footnote>
  <w:footnote w:id="29">
    <w:p w:rsidR="001A62D7" w:rsidRPr="00074805" w:rsidRDefault="001A62D7" w:rsidP="001A62D7">
      <w:pPr>
        <w:pStyle w:val="FootnoteText"/>
        <w:rPr>
          <w:lang w:val="fr-BE"/>
        </w:rPr>
      </w:pPr>
      <w:r>
        <w:rPr>
          <w:rStyle w:val="FootnoteReference"/>
        </w:rPr>
        <w:footnoteRef/>
      </w:r>
      <w:r w:rsidRPr="00074805">
        <w:rPr>
          <w:lang w:val="fr-BE"/>
        </w:rPr>
        <w:tab/>
        <w:t>CITE 5-8.</w:t>
      </w:r>
    </w:p>
  </w:footnote>
  <w:footnote w:id="30">
    <w:p w:rsidR="00B4504D" w:rsidRPr="00074805" w:rsidRDefault="00B4504D">
      <w:pPr>
        <w:pStyle w:val="FootnoteText"/>
        <w:rPr>
          <w:lang w:val="fr-BE"/>
        </w:rPr>
      </w:pPr>
      <w:r>
        <w:rPr>
          <w:rStyle w:val="FootnoteReference"/>
        </w:rPr>
        <w:footnoteRef/>
      </w:r>
      <w:r w:rsidRPr="00074805">
        <w:rPr>
          <w:lang w:val="fr-BE"/>
        </w:rPr>
        <w:tab/>
      </w:r>
      <w:hyperlink r:id="rId18" w:history="1">
        <w:r w:rsidRPr="00074805">
          <w:rPr>
            <w:rStyle w:val="Hyperlink"/>
            <w:lang w:val="fr-BE"/>
          </w:rPr>
          <w:t>https://www.validationdescompetences.be/</w:t>
        </w:r>
      </w:hyperlink>
      <w:r w:rsidRPr="00074805">
        <w:rPr>
          <w:lang w:val="fr-BE"/>
        </w:rPr>
        <w:t>.</w:t>
      </w:r>
    </w:p>
  </w:footnote>
  <w:footnote w:id="31">
    <w:p w:rsidR="001E2081" w:rsidRPr="00074805" w:rsidRDefault="001E2081" w:rsidP="001E2081">
      <w:pPr>
        <w:pStyle w:val="FootnoteText"/>
        <w:rPr>
          <w:lang w:val="fr-BE"/>
        </w:rPr>
      </w:pPr>
      <w:r>
        <w:rPr>
          <w:rStyle w:val="FootnoteReference"/>
        </w:rPr>
        <w:footnoteRef/>
      </w:r>
      <w:r w:rsidRPr="00074805">
        <w:rPr>
          <w:lang w:val="fr-BE"/>
        </w:rPr>
        <w:tab/>
      </w:r>
      <w:hyperlink r:id="rId19" w:history="1">
        <w:r w:rsidRPr="00074805">
          <w:rPr>
            <w:rStyle w:val="Hyperlink"/>
            <w:lang w:val="fr-BE"/>
          </w:rPr>
          <w:t>Liste des métiers en demande et pour lesquels le recrutement est difficile ou liés à des fonctions critiques («Métiers en tension de recrutement en Wallonie.</w:t>
        </w:r>
      </w:hyperlink>
      <w:hyperlink r:id="rId20" w:history="1">
        <w:r w:rsidRPr="00074805">
          <w:rPr>
            <w:rStyle w:val="Hyperlink"/>
            <w:lang w:val="fr-BE"/>
          </w:rPr>
          <w:t xml:space="preserve"> Liste des métiers/fonctions critiques et en pénurie».</w:t>
        </w:r>
      </w:hyperlink>
      <w:hyperlink r:id="rId21" w:history="1">
        <w:r w:rsidRPr="00074805">
          <w:rPr>
            <w:rStyle w:val="Hyperlink"/>
            <w:lang w:val="fr-BE"/>
          </w:rPr>
          <w:t xml:space="preserve"> Le Forem 2025-2026</w:t>
        </w:r>
      </w:hyperlink>
      <w:r w:rsidRPr="00074805">
        <w:rPr>
          <w:lang w:val="fr-BE"/>
        </w:rPr>
        <w:t>)</w:t>
      </w:r>
      <w:r w:rsidRPr="00074805">
        <w:rPr>
          <w:rStyle w:val="Hyperlink"/>
          <w:lang w:val="fr-BE"/>
        </w:rPr>
        <w:t>.</w:t>
      </w:r>
    </w:p>
    <w:p w:rsidR="001E2081" w:rsidRPr="00074805" w:rsidRDefault="001E2081">
      <w:pPr>
        <w:pStyle w:val="FootnoteText"/>
        <w:rPr>
          <w:lang w:val="fr-BE"/>
        </w:rPr>
      </w:pPr>
    </w:p>
  </w:footnote>
  <w:footnote w:id="32">
    <w:p w:rsidR="006F7CF9" w:rsidRPr="002B45AB" w:rsidRDefault="006F7CF9">
      <w:pPr>
        <w:pStyle w:val="FootnoteText"/>
        <w:rPr>
          <w:lang w:val="en-IE"/>
        </w:rPr>
      </w:pPr>
      <w:r>
        <w:rPr>
          <w:rStyle w:val="FootnoteReference"/>
        </w:rPr>
        <w:footnoteRef/>
      </w:r>
      <w:r w:rsidRPr="002B45AB">
        <w:rPr>
          <w:lang w:val="en-IE"/>
        </w:rPr>
        <w:tab/>
        <w:t>COM(2021) 212.</w:t>
      </w:r>
    </w:p>
  </w:footnote>
  <w:footnote w:id="33">
    <w:p w:rsidR="00105B12" w:rsidRPr="002B45AB" w:rsidRDefault="00105B12">
      <w:pPr>
        <w:pStyle w:val="FootnoteText"/>
        <w:rPr>
          <w:lang w:val="en-IE"/>
        </w:rPr>
      </w:pPr>
      <w:r>
        <w:rPr>
          <w:rStyle w:val="FootnoteReference"/>
        </w:rPr>
        <w:footnoteRef/>
      </w:r>
      <w:r w:rsidRPr="002B45AB">
        <w:rPr>
          <w:lang w:val="en-IE"/>
        </w:rPr>
        <w:tab/>
        <w:t>EGF/2022/002 BE/TNT – COM(2023) 69.</w:t>
      </w:r>
    </w:p>
  </w:footnote>
  <w:footnote w:id="34">
    <w:p w:rsidR="001A62D7" w:rsidRPr="00074805" w:rsidRDefault="001A62D7" w:rsidP="001A62D7">
      <w:pPr>
        <w:pStyle w:val="FootnoteText"/>
        <w:rPr>
          <w:lang w:val="fr-BE"/>
        </w:rPr>
      </w:pPr>
      <w:r>
        <w:rPr>
          <w:rStyle w:val="FootnoteReference"/>
        </w:rPr>
        <w:footnoteRef/>
      </w:r>
      <w:r w:rsidRPr="00074805">
        <w:rPr>
          <w:lang w:val="fr-BE"/>
        </w:rPr>
        <w:tab/>
        <w:t>Afin d’éviter les décimales, les coûts estimés par travailleur ont été arrondis. Cela n’a néanmoins aucune incidence sur le coût total de chaque mesure, qui reste identique à celui indiqué dans la demande présentée par la Belgique.</w:t>
      </w:r>
    </w:p>
  </w:footnote>
  <w:footnote w:id="35">
    <w:p w:rsidR="001A62D7" w:rsidRPr="00074805" w:rsidRDefault="001A62D7" w:rsidP="001A62D7">
      <w:pPr>
        <w:pStyle w:val="FootnoteText"/>
        <w:rPr>
          <w:lang w:val="fr-BE"/>
        </w:rPr>
      </w:pPr>
      <w:r>
        <w:rPr>
          <w:rStyle w:val="FootnoteReference"/>
        </w:rPr>
        <w:footnoteRef/>
      </w:r>
      <w:r w:rsidRPr="00074805">
        <w:rPr>
          <w:lang w:val="fr-BE"/>
        </w:rPr>
        <w:tab/>
        <w:t>Le total diffère de la somme des rubriques en raison de l’arrondi.</w:t>
      </w:r>
    </w:p>
  </w:footnote>
  <w:footnote w:id="36">
    <w:p w:rsidR="001A62D7" w:rsidRPr="00074805" w:rsidRDefault="001A62D7" w:rsidP="001A62D7">
      <w:pPr>
        <w:pStyle w:val="FootnoteText"/>
        <w:rPr>
          <w:lang w:val="fr-BE"/>
        </w:rPr>
      </w:pPr>
      <w:r>
        <w:rPr>
          <w:rStyle w:val="FootnoteReference"/>
        </w:rPr>
        <w:footnoteRef/>
      </w:r>
      <w:r w:rsidRPr="00074805">
        <w:rPr>
          <w:lang w:val="fr-BE"/>
        </w:rPr>
        <w:tab/>
        <w:t>JO L 433 I du 22.12.2020, p. 11, ELI: http://data.europa.eu/eli/reg/2020/2093/oj.</w:t>
      </w:r>
    </w:p>
  </w:footnote>
  <w:footnote w:id="37">
    <w:p w:rsidR="001A62D7" w:rsidRPr="00074805" w:rsidRDefault="001A62D7" w:rsidP="001A62D7">
      <w:pPr>
        <w:pStyle w:val="FootnoteText"/>
        <w:rPr>
          <w:lang w:val="fr-BE"/>
        </w:rPr>
      </w:pPr>
      <w:r>
        <w:rPr>
          <w:rStyle w:val="FootnoteReference"/>
        </w:rPr>
        <w:footnoteRef/>
      </w:r>
      <w:r w:rsidRPr="00074805">
        <w:rPr>
          <w:lang w:val="fr-BE"/>
        </w:rPr>
        <w:tab/>
        <w:t>JO L 433 I du 22.12.2020, p. 28, ELI: http://data.europa.eu/eli/agree_interinstit/2020/1222/oj.</w:t>
      </w:r>
    </w:p>
  </w:footnote>
  <w:footnote w:id="38">
    <w:p w:rsidR="001A62D7" w:rsidRPr="00074805" w:rsidRDefault="001A62D7" w:rsidP="001A62D7">
      <w:pPr>
        <w:pStyle w:val="FootnoteText"/>
        <w:rPr>
          <w:lang w:val="fr-BE"/>
        </w:rPr>
      </w:pPr>
      <w:r>
        <w:rPr>
          <w:rStyle w:val="FootnoteReference"/>
        </w:rPr>
        <w:footnoteRef/>
      </w:r>
      <w:r w:rsidRPr="00074805">
        <w:rPr>
          <w:lang w:val="fr-BE"/>
        </w:rPr>
        <w:tab/>
        <w:t>Règlement (UE, Euratom) 2024/2509 du Parlement européen et du Conseil du 23 septembre 2024 relatif aux règles financières applicables au budget général de l’Union (refonte) (JO L, 2024/2509, 26.9.2024, ELI: http://data.europa.eu/eli/reg/2024/2509/oj).</w:t>
      </w:r>
    </w:p>
  </w:footnote>
  <w:footnote w:id="39">
    <w:p w:rsidR="001A62D7" w:rsidRPr="00074805" w:rsidRDefault="001A62D7" w:rsidP="001A62D7">
      <w:pPr>
        <w:pStyle w:val="FootnoteText"/>
        <w:rPr>
          <w:lang w:val="fr-BE"/>
        </w:rPr>
      </w:pPr>
      <w:r>
        <w:rPr>
          <w:rStyle w:val="FootnoteReference"/>
        </w:rPr>
        <w:footnoteRef/>
      </w:r>
      <w:r w:rsidRPr="00074805">
        <w:rPr>
          <w:lang w:val="fr-BE"/>
        </w:rPr>
        <w:tab/>
        <w:t>JO L 153 du 3.5.2021, p. 48,</w:t>
      </w:r>
      <w:r w:rsidRPr="00074805">
        <w:rPr>
          <w:sz w:val="24"/>
          <w:lang w:val="fr-BE"/>
        </w:rPr>
        <w:t xml:space="preserve"> </w:t>
      </w:r>
      <w:r w:rsidRPr="00074805">
        <w:rPr>
          <w:lang w:val="fr-BE"/>
        </w:rPr>
        <w:t>ELI: http://data.europa.eu/eli/reg/2021/691/oj.</w:t>
      </w:r>
    </w:p>
  </w:footnote>
  <w:footnote w:id="40">
    <w:p w:rsidR="001A62D7" w:rsidRPr="00074805" w:rsidRDefault="001A62D7" w:rsidP="001A62D7">
      <w:pPr>
        <w:pStyle w:val="FootnoteText"/>
        <w:rPr>
          <w:lang w:val="fr-BE"/>
        </w:rPr>
      </w:pPr>
      <w:r>
        <w:rPr>
          <w:rStyle w:val="FootnoteReference"/>
        </w:rPr>
        <w:footnoteRef/>
      </w:r>
      <w:r w:rsidRPr="00074805">
        <w:rPr>
          <w:lang w:val="fr-BE"/>
        </w:rPr>
        <w:tab/>
        <w:t>JO L 433 I du 22.12.2020, p. 28, ELI: http://data.europa.eu/eli/agree_interinstit/2020/1222/oj.</w:t>
      </w:r>
    </w:p>
  </w:footnote>
  <w:footnote w:id="41">
    <w:p w:rsidR="001A62D7" w:rsidRPr="00074805" w:rsidRDefault="001A62D7" w:rsidP="001A62D7">
      <w:pPr>
        <w:pStyle w:val="FootnoteText"/>
        <w:rPr>
          <w:lang w:val="fr-BE"/>
        </w:rPr>
      </w:pPr>
      <w:r>
        <w:rPr>
          <w:rStyle w:val="FootnoteReference"/>
        </w:rPr>
        <w:footnoteRef/>
      </w:r>
      <w:r w:rsidRPr="00074805">
        <w:rPr>
          <w:lang w:val="fr-BE"/>
        </w:rPr>
        <w:tab/>
        <w:t>Règlement (UE, Euratom) 2020/2093 du Conseil du 17 décembre 2020 fixant le cadre financier pluriannuel pour les années 2021 à 2027 (JO L 433 I du 22.12.2020, p. 11, ELI: http://data.europa.eu/eli/reg/2020/2093/oj).</w:t>
      </w:r>
    </w:p>
  </w:footnote>
  <w:footnote w:id="42">
    <w:p w:rsidR="001A62D7" w:rsidRPr="00074805" w:rsidRDefault="001A62D7" w:rsidP="001A62D7">
      <w:pPr>
        <w:pStyle w:val="FootnoteText"/>
        <w:rPr>
          <w:lang w:val="fr-BE"/>
        </w:rPr>
      </w:pPr>
      <w:r>
        <w:rPr>
          <w:rStyle w:val="FootnoteReference"/>
        </w:rPr>
        <w:footnoteRef/>
      </w:r>
      <w:r w:rsidRPr="00074805">
        <w:rPr>
          <w:lang w:val="fr-BE"/>
        </w:rPr>
        <w:tab/>
        <w:t>COM(2026) 155.</w:t>
      </w:r>
    </w:p>
  </w:footnote>
  <w:footnote w:id="43">
    <w:p w:rsidR="00281AE4" w:rsidRPr="00074805" w:rsidRDefault="00281AE4">
      <w:pPr>
        <w:pStyle w:val="FootnoteText"/>
        <w:rPr>
          <w:lang w:val="fr-BE"/>
        </w:rPr>
      </w:pPr>
      <w:r w:rsidRPr="00074805">
        <w:rPr>
          <w:rStyle w:val="FootnoteReference"/>
          <w:lang w:val="fr-BE"/>
        </w:rPr>
        <w:t>*</w:t>
      </w:r>
      <w:r w:rsidRPr="00074805">
        <w:rPr>
          <w:lang w:val="fr-BE"/>
        </w:rPr>
        <w:tab/>
      </w:r>
      <w:r w:rsidRPr="00074805">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Default="002C1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C1" w:rsidRDefault="002C1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09:3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4C2BE86-405A-44DE-B605-23E9E89372D5"/>
    <w:docVar w:name="LW_COVERPAGE_TYPE" w:val="1"/>
    <w:docVar w:name="LW_CreatedUtc" w:val="2025-02-03T12:09:04.7855178Z"/>
    <w:docVar w:name="LW_CROSSREFERENCE" w:val="&lt;UNUSED&gt;"/>
    <w:docVar w:name="LW_DocType" w:val="COM"/>
    <w:docVar w:name="LW_EMISSION" w:val="16.7.2026"/>
    <w:docVar w:name="LW_EMISSION_ISODATE" w:val="2026-07-16"/>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197"/>
    <w:docVar w:name="LW_REF.II.NEW.CP_YEAR" w:val="2026"/>
    <w:docVar w:name="LW_REF.INST.NEW" w:val="COM"/>
    <w:docVar w:name="LW_REF.INST.NEW_ADOPTED" w:val="final"/>
    <w:docVar w:name="LW_REF.INST.NEW_TEXT" w:val="(2026) 1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Belgique \u8212? EGF/2026/001 BE/Cora"/>
    <w:docVar w:name="LW_TYPE.DOC.CP" w:val="DÉCISION DU PARLEMENT EUROPÉEN ET DU CONSEIL"/>
    <w:docVar w:name="LwApiVersions" w:val="LW4CoDe 1.24.5.0; LW 9.2, Build 20251112"/>
  </w:docVars>
  <w:rsids>
    <w:rsidRoot w:val="001A62D7"/>
    <w:rsid w:val="00005761"/>
    <w:rsid w:val="000171AE"/>
    <w:rsid w:val="00022B0C"/>
    <w:rsid w:val="00074805"/>
    <w:rsid w:val="000A228C"/>
    <w:rsid w:val="000C4B49"/>
    <w:rsid w:val="000E51CF"/>
    <w:rsid w:val="000E54A7"/>
    <w:rsid w:val="000E7662"/>
    <w:rsid w:val="000F24B9"/>
    <w:rsid w:val="000F579F"/>
    <w:rsid w:val="000F586D"/>
    <w:rsid w:val="00105B12"/>
    <w:rsid w:val="001065F5"/>
    <w:rsid w:val="0011121B"/>
    <w:rsid w:val="001238EF"/>
    <w:rsid w:val="00133E35"/>
    <w:rsid w:val="0013736E"/>
    <w:rsid w:val="00143574"/>
    <w:rsid w:val="00160244"/>
    <w:rsid w:val="0016539A"/>
    <w:rsid w:val="00171F71"/>
    <w:rsid w:val="001751F0"/>
    <w:rsid w:val="00186428"/>
    <w:rsid w:val="00196EC0"/>
    <w:rsid w:val="00197613"/>
    <w:rsid w:val="001A2D38"/>
    <w:rsid w:val="001A3C97"/>
    <w:rsid w:val="001A62D7"/>
    <w:rsid w:val="001B689F"/>
    <w:rsid w:val="001C1059"/>
    <w:rsid w:val="001C2C78"/>
    <w:rsid w:val="001C7A4E"/>
    <w:rsid w:val="001D0EB6"/>
    <w:rsid w:val="001D3672"/>
    <w:rsid w:val="001D5279"/>
    <w:rsid w:val="001E2081"/>
    <w:rsid w:val="001F1BF2"/>
    <w:rsid w:val="002004E6"/>
    <w:rsid w:val="00203BFD"/>
    <w:rsid w:val="00205F86"/>
    <w:rsid w:val="00207E64"/>
    <w:rsid w:val="0021773D"/>
    <w:rsid w:val="00220BF0"/>
    <w:rsid w:val="0022114D"/>
    <w:rsid w:val="00233DC7"/>
    <w:rsid w:val="00241826"/>
    <w:rsid w:val="00241DE0"/>
    <w:rsid w:val="00247779"/>
    <w:rsid w:val="00265183"/>
    <w:rsid w:val="00281AE4"/>
    <w:rsid w:val="00285A39"/>
    <w:rsid w:val="00285BEE"/>
    <w:rsid w:val="0029533F"/>
    <w:rsid w:val="002B30AF"/>
    <w:rsid w:val="002B45AB"/>
    <w:rsid w:val="002B5E3D"/>
    <w:rsid w:val="002C07B0"/>
    <w:rsid w:val="002C17C1"/>
    <w:rsid w:val="002C667E"/>
    <w:rsid w:val="002E0B64"/>
    <w:rsid w:val="002F0F09"/>
    <w:rsid w:val="002F688A"/>
    <w:rsid w:val="00300960"/>
    <w:rsid w:val="0030399C"/>
    <w:rsid w:val="00312E6F"/>
    <w:rsid w:val="003170F4"/>
    <w:rsid w:val="0033344A"/>
    <w:rsid w:val="003334EE"/>
    <w:rsid w:val="00337A55"/>
    <w:rsid w:val="00343E67"/>
    <w:rsid w:val="00346A60"/>
    <w:rsid w:val="003812AA"/>
    <w:rsid w:val="00385B9A"/>
    <w:rsid w:val="003A3BF5"/>
    <w:rsid w:val="003C644B"/>
    <w:rsid w:val="003D3D6D"/>
    <w:rsid w:val="003E0A61"/>
    <w:rsid w:val="003F4387"/>
    <w:rsid w:val="003F5C8E"/>
    <w:rsid w:val="00412467"/>
    <w:rsid w:val="00412734"/>
    <w:rsid w:val="00412F5A"/>
    <w:rsid w:val="0041675E"/>
    <w:rsid w:val="004239CD"/>
    <w:rsid w:val="00425404"/>
    <w:rsid w:val="0042648E"/>
    <w:rsid w:val="00433F2A"/>
    <w:rsid w:val="004428D8"/>
    <w:rsid w:val="004524CD"/>
    <w:rsid w:val="004829AA"/>
    <w:rsid w:val="004834D6"/>
    <w:rsid w:val="0049148B"/>
    <w:rsid w:val="004936D2"/>
    <w:rsid w:val="004A0B30"/>
    <w:rsid w:val="004B4212"/>
    <w:rsid w:val="004B48A5"/>
    <w:rsid w:val="004D3EAA"/>
    <w:rsid w:val="004D7EE9"/>
    <w:rsid w:val="004F5528"/>
    <w:rsid w:val="004F669B"/>
    <w:rsid w:val="00502D60"/>
    <w:rsid w:val="005034F4"/>
    <w:rsid w:val="0051086D"/>
    <w:rsid w:val="005206E6"/>
    <w:rsid w:val="005244A3"/>
    <w:rsid w:val="00532504"/>
    <w:rsid w:val="00532962"/>
    <w:rsid w:val="005403FB"/>
    <w:rsid w:val="005B1EB6"/>
    <w:rsid w:val="005B5E5A"/>
    <w:rsid w:val="005E047F"/>
    <w:rsid w:val="005F4D47"/>
    <w:rsid w:val="00605200"/>
    <w:rsid w:val="006166F7"/>
    <w:rsid w:val="006239A4"/>
    <w:rsid w:val="00630B06"/>
    <w:rsid w:val="00640155"/>
    <w:rsid w:val="00646BD5"/>
    <w:rsid w:val="006610FB"/>
    <w:rsid w:val="0066781E"/>
    <w:rsid w:val="00697647"/>
    <w:rsid w:val="006A49CB"/>
    <w:rsid w:val="006C36F5"/>
    <w:rsid w:val="006C5032"/>
    <w:rsid w:val="006F2B4D"/>
    <w:rsid w:val="006F407F"/>
    <w:rsid w:val="006F7CF9"/>
    <w:rsid w:val="00720022"/>
    <w:rsid w:val="00731183"/>
    <w:rsid w:val="00731699"/>
    <w:rsid w:val="00734C7D"/>
    <w:rsid w:val="00741722"/>
    <w:rsid w:val="007571E3"/>
    <w:rsid w:val="00773331"/>
    <w:rsid w:val="00783113"/>
    <w:rsid w:val="00792227"/>
    <w:rsid w:val="007932EF"/>
    <w:rsid w:val="00795A2F"/>
    <w:rsid w:val="00796CA6"/>
    <w:rsid w:val="007A0C2F"/>
    <w:rsid w:val="007B3690"/>
    <w:rsid w:val="007B5F0C"/>
    <w:rsid w:val="007C116C"/>
    <w:rsid w:val="007C1A8B"/>
    <w:rsid w:val="007C798A"/>
    <w:rsid w:val="007D767B"/>
    <w:rsid w:val="007E05B0"/>
    <w:rsid w:val="007E05CE"/>
    <w:rsid w:val="007F4B7C"/>
    <w:rsid w:val="007F6054"/>
    <w:rsid w:val="008032DE"/>
    <w:rsid w:val="008123FA"/>
    <w:rsid w:val="0081371A"/>
    <w:rsid w:val="00832804"/>
    <w:rsid w:val="00833CD3"/>
    <w:rsid w:val="00842DE2"/>
    <w:rsid w:val="00852F0E"/>
    <w:rsid w:val="008610B5"/>
    <w:rsid w:val="00874D22"/>
    <w:rsid w:val="0087628E"/>
    <w:rsid w:val="008A2914"/>
    <w:rsid w:val="008D2433"/>
    <w:rsid w:val="008D5025"/>
    <w:rsid w:val="008E4D8E"/>
    <w:rsid w:val="008F0803"/>
    <w:rsid w:val="008F3247"/>
    <w:rsid w:val="009056A8"/>
    <w:rsid w:val="00911EB4"/>
    <w:rsid w:val="00922007"/>
    <w:rsid w:val="009230D3"/>
    <w:rsid w:val="0094032B"/>
    <w:rsid w:val="009470FB"/>
    <w:rsid w:val="00953996"/>
    <w:rsid w:val="0095683A"/>
    <w:rsid w:val="00961B27"/>
    <w:rsid w:val="00967F7F"/>
    <w:rsid w:val="00971384"/>
    <w:rsid w:val="009739AC"/>
    <w:rsid w:val="0097593C"/>
    <w:rsid w:val="00976509"/>
    <w:rsid w:val="00985D0A"/>
    <w:rsid w:val="0098717C"/>
    <w:rsid w:val="00990C2C"/>
    <w:rsid w:val="009A476A"/>
    <w:rsid w:val="009A7E0D"/>
    <w:rsid w:val="009B2D0E"/>
    <w:rsid w:val="009B4361"/>
    <w:rsid w:val="009C2E1D"/>
    <w:rsid w:val="009E13E4"/>
    <w:rsid w:val="009F56AE"/>
    <w:rsid w:val="00A04E1E"/>
    <w:rsid w:val="00A061E1"/>
    <w:rsid w:val="00A130CC"/>
    <w:rsid w:val="00A277CE"/>
    <w:rsid w:val="00A331D5"/>
    <w:rsid w:val="00A33A75"/>
    <w:rsid w:val="00A42E9F"/>
    <w:rsid w:val="00A5196A"/>
    <w:rsid w:val="00A576A7"/>
    <w:rsid w:val="00A73027"/>
    <w:rsid w:val="00A748C9"/>
    <w:rsid w:val="00A842DD"/>
    <w:rsid w:val="00A848B8"/>
    <w:rsid w:val="00AA58A5"/>
    <w:rsid w:val="00AB00A1"/>
    <w:rsid w:val="00AB33DA"/>
    <w:rsid w:val="00AB7221"/>
    <w:rsid w:val="00AC5611"/>
    <w:rsid w:val="00AD3DA6"/>
    <w:rsid w:val="00AE0C27"/>
    <w:rsid w:val="00AE0FB4"/>
    <w:rsid w:val="00AE115B"/>
    <w:rsid w:val="00AE7D04"/>
    <w:rsid w:val="00B01AB0"/>
    <w:rsid w:val="00B10303"/>
    <w:rsid w:val="00B30683"/>
    <w:rsid w:val="00B4504D"/>
    <w:rsid w:val="00B55E88"/>
    <w:rsid w:val="00B63C7E"/>
    <w:rsid w:val="00B8329A"/>
    <w:rsid w:val="00BA0477"/>
    <w:rsid w:val="00BB37DB"/>
    <w:rsid w:val="00BC646D"/>
    <w:rsid w:val="00BD34DE"/>
    <w:rsid w:val="00BD4F4E"/>
    <w:rsid w:val="00BE35B4"/>
    <w:rsid w:val="00BF33E4"/>
    <w:rsid w:val="00C00707"/>
    <w:rsid w:val="00C0245D"/>
    <w:rsid w:val="00C054F9"/>
    <w:rsid w:val="00C05C03"/>
    <w:rsid w:val="00C12301"/>
    <w:rsid w:val="00C2027B"/>
    <w:rsid w:val="00C22CCB"/>
    <w:rsid w:val="00C542C5"/>
    <w:rsid w:val="00C634D9"/>
    <w:rsid w:val="00C72394"/>
    <w:rsid w:val="00C77B93"/>
    <w:rsid w:val="00C846D4"/>
    <w:rsid w:val="00C8508D"/>
    <w:rsid w:val="00C94A6F"/>
    <w:rsid w:val="00CA2811"/>
    <w:rsid w:val="00CA5074"/>
    <w:rsid w:val="00CA7EE1"/>
    <w:rsid w:val="00CB3BCE"/>
    <w:rsid w:val="00CB71AD"/>
    <w:rsid w:val="00CD4063"/>
    <w:rsid w:val="00CF5AB6"/>
    <w:rsid w:val="00D04A85"/>
    <w:rsid w:val="00D20381"/>
    <w:rsid w:val="00D21001"/>
    <w:rsid w:val="00D21418"/>
    <w:rsid w:val="00D3621A"/>
    <w:rsid w:val="00D474B0"/>
    <w:rsid w:val="00D501D3"/>
    <w:rsid w:val="00D51A37"/>
    <w:rsid w:val="00D544B0"/>
    <w:rsid w:val="00D5498B"/>
    <w:rsid w:val="00D54F1D"/>
    <w:rsid w:val="00D54FDB"/>
    <w:rsid w:val="00D574B1"/>
    <w:rsid w:val="00D57806"/>
    <w:rsid w:val="00D62121"/>
    <w:rsid w:val="00D76287"/>
    <w:rsid w:val="00D762C9"/>
    <w:rsid w:val="00DB12C0"/>
    <w:rsid w:val="00DC01DA"/>
    <w:rsid w:val="00DC549A"/>
    <w:rsid w:val="00DC672F"/>
    <w:rsid w:val="00DF590F"/>
    <w:rsid w:val="00E04593"/>
    <w:rsid w:val="00E05564"/>
    <w:rsid w:val="00E1163B"/>
    <w:rsid w:val="00E20AAB"/>
    <w:rsid w:val="00E26C3E"/>
    <w:rsid w:val="00E346FB"/>
    <w:rsid w:val="00E43514"/>
    <w:rsid w:val="00E73E09"/>
    <w:rsid w:val="00E8428B"/>
    <w:rsid w:val="00E844D5"/>
    <w:rsid w:val="00E95B48"/>
    <w:rsid w:val="00EA015B"/>
    <w:rsid w:val="00EA2D96"/>
    <w:rsid w:val="00EB06DB"/>
    <w:rsid w:val="00EC177D"/>
    <w:rsid w:val="00ED3418"/>
    <w:rsid w:val="00EE1DB4"/>
    <w:rsid w:val="00EE4EA9"/>
    <w:rsid w:val="00EF012B"/>
    <w:rsid w:val="00EF01DB"/>
    <w:rsid w:val="00EF5EC5"/>
    <w:rsid w:val="00F04468"/>
    <w:rsid w:val="00F12AE9"/>
    <w:rsid w:val="00F16B21"/>
    <w:rsid w:val="00F211CD"/>
    <w:rsid w:val="00F252C5"/>
    <w:rsid w:val="00F36B3D"/>
    <w:rsid w:val="00F41756"/>
    <w:rsid w:val="00F51BC2"/>
    <w:rsid w:val="00F64CE7"/>
    <w:rsid w:val="00F65FB3"/>
    <w:rsid w:val="00F808CC"/>
    <w:rsid w:val="00F862B1"/>
    <w:rsid w:val="00F87FDE"/>
    <w:rsid w:val="00F90B98"/>
    <w:rsid w:val="00FA0318"/>
    <w:rsid w:val="00FA12AB"/>
    <w:rsid w:val="00FA5322"/>
    <w:rsid w:val="00FA5380"/>
    <w:rsid w:val="00FB3733"/>
    <w:rsid w:val="00FC38F8"/>
    <w:rsid w:val="00FC6C00"/>
    <w:rsid w:val="00FD6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2C17C1"/>
    <w:rPr>
      <w:rFonts w:ascii="Times New Roman" w:hAnsi="Times New Roman" w:cs="Times New Roman"/>
      <w:sz w:val="24"/>
      <w:lang w:val="fr-FR"/>
    </w:rPr>
  </w:style>
  <w:style w:type="character" w:customStyle="1" w:styleId="FooterChar">
    <w:name w:val="Footer Char"/>
    <w:basedOn w:val="DefaultParagraphFont"/>
    <w:link w:val="Footer"/>
    <w:uiPriority w:val="99"/>
    <w:rsid w:val="002C17C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C17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C17C1"/>
    <w:pPr>
      <w:spacing w:before="0"/>
      <w:jc w:val="right"/>
    </w:pPr>
    <w:rPr>
      <w:sz w:val="28"/>
    </w:rPr>
  </w:style>
  <w:style w:type="paragraph" w:customStyle="1" w:styleId="FooterSensitivity">
    <w:name w:val="Footer Sensitivity"/>
    <w:basedOn w:val="Normal"/>
    <w:rsid w:val="002C17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C17C1"/>
    <w:pPr>
      <w:tabs>
        <w:tab w:val="center" w:pos="4535"/>
        <w:tab w:val="right" w:pos="9071"/>
      </w:tabs>
      <w:spacing w:before="0"/>
    </w:pPr>
  </w:style>
  <w:style w:type="paragraph" w:customStyle="1" w:styleId="HeaderLandscape">
    <w:name w:val="HeaderLandscape"/>
    <w:basedOn w:val="Normal"/>
    <w:rsid w:val="002C17C1"/>
    <w:pPr>
      <w:tabs>
        <w:tab w:val="center" w:pos="7285"/>
        <w:tab w:val="right" w:pos="14003"/>
      </w:tabs>
      <w:spacing w:before="0"/>
    </w:pPr>
  </w:style>
  <w:style w:type="paragraph" w:styleId="Footer">
    <w:name w:val="footer"/>
    <w:basedOn w:val="Normal"/>
    <w:link w:val="FooterChar"/>
    <w:uiPriority w:val="99"/>
    <w:unhideWhenUsed/>
    <w:rsid w:val="002C17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C17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bestat.statbel.fgov.be/bestat/crosstable.xhtml?datasource=262defc5-1607-42aa-a646-d0b4f6844d4f" TargetMode="External"/><Relationship Id="rId13" Type="http://schemas.openxmlformats.org/officeDocument/2006/relationships/hyperlink" Target="https://www.leforem.be/a-propos/reconversions-collectives.html" TargetMode="External"/><Relationship Id="rId18" Type="http://schemas.openxmlformats.org/officeDocument/2006/relationships/hyperlink" Target="https://www.validationdescompetences.be/" TargetMode="External"/><Relationship Id="rId3" Type="http://schemas.openxmlformats.org/officeDocument/2006/relationships/hyperlink" Target="https://ec.europa.eu/eurostat/web/products-euro-indicators/w/3-04032026-ap" TargetMode="External"/><Relationship Id="rId21" Type="http://schemas.openxmlformats.org/officeDocument/2006/relationships/hyperlink" Target="https://www.leforem.be/documents/citoyens/penuries-liste-metiers.pdf" TargetMode="External"/><Relationship Id="rId7" Type="http://schemas.openxmlformats.org/officeDocument/2006/relationships/hyperlink" Target="https://statbel.fgov.be/fr/themes/emploi-formation/marche-du-travail/emploi-et-chomage" TargetMode="External"/><Relationship Id="rId12" Type="http://schemas.openxmlformats.org/officeDocument/2006/relationships/hyperlink" Target="https://www.leforem.be/a-propos/reconversions-collectives.html" TargetMode="External"/><Relationship Id="rId17" Type="http://schemas.openxmlformats.org/officeDocument/2006/relationships/hyperlink" Target="https://www.leforem.be/a-propos/reconversions-collectives.html" TargetMode="External"/><Relationship Id="rId2" Type="http://schemas.openxmlformats.org/officeDocument/2006/relationships/hyperlink" Target="https://ec.europa.eu/eurostat/web/products-euro-indicators/w/3-04032026-ap" TargetMode="External"/><Relationship Id="rId16" Type="http://schemas.openxmlformats.org/officeDocument/2006/relationships/hyperlink" Target="https://www.leforem.be/a-propos/reconversions-collectives.html" TargetMode="External"/><Relationship Id="rId20" Type="http://schemas.openxmlformats.org/officeDocument/2006/relationships/hyperlink" Target="https://www.leforem.be/documents/citoyens/penuries-liste-metiers.pdf" TargetMode="External"/><Relationship Id="rId1" Type="http://schemas.openxmlformats.org/officeDocument/2006/relationships/hyperlink" Target="https://ec.europa.eu/eurostat/web/products-euro-indicators/w/3-04032026-ap" TargetMode="External"/><Relationship Id="rId6" Type="http://schemas.openxmlformats.org/officeDocument/2006/relationships/hyperlink" Target="https://ec.europa.eu/eurostat/web/products-euro-indicators/w/3-04032026-ap" TargetMode="External"/><Relationship Id="rId11" Type="http://schemas.openxmlformats.org/officeDocument/2006/relationships/hyperlink" Target="https://www.leforem.be/stats-emploi" TargetMode="External"/><Relationship Id="rId5" Type="http://schemas.openxmlformats.org/officeDocument/2006/relationships/hyperlink" Target="https://ec.europa.eu/eurostat/web/products-euro-indicators/w/3-04032026-ap" TargetMode="External"/><Relationship Id="rId15" Type="http://schemas.openxmlformats.org/officeDocument/2006/relationships/hyperlink" Target="https://www.leforem.be/a-propos/reconversions-collectives.html" TargetMode="External"/><Relationship Id="rId10" Type="http://schemas.openxmlformats.org/officeDocument/2006/relationships/hyperlink" Target="https://www.leforem.be/stats-emploi" TargetMode="External"/><Relationship Id="rId19" Type="http://schemas.openxmlformats.org/officeDocument/2006/relationships/hyperlink" Target="https://www.leforem.be/documents/citoyens/penuries-liste-metiers.pdf" TargetMode="External"/><Relationship Id="rId4" Type="http://schemas.openxmlformats.org/officeDocument/2006/relationships/hyperlink" Target="https://ec.europa.eu/eurostat/web/products-euro-indicators/w/3-04032026-ap" TargetMode="External"/><Relationship Id="rId9" Type="http://schemas.openxmlformats.org/officeDocument/2006/relationships/hyperlink" Target="https://bestat.statbel.fgov.be/bestat/crosstable.xhtml?datasource=262defc5-1607-42aa-a646-d0b4f6844d4f" TargetMode="External"/><Relationship Id="rId14" Type="http://schemas.openxmlformats.org/officeDocument/2006/relationships/hyperlink" Target="https://www.leforem.be/a-propos/reconversions-collectiv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D0AB0-66C5-4010-8176-6C916FEE6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8</Pages>
  <Words>4651</Words>
  <Characters>26513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2026-05-18T16:04:00Z</dcterms:created>
  <dcterms:modified xsi:type="dcterms:W3CDTF">2026-07-16T07:36:00Z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