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311647" w:rsidRDefault="004A4D53" w:rsidP="004A4D5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FB4D6AD-4BFC-4AD7-9320-9C46A659F8B5" style="width:455.25pt;height:342.75pt">
            <v:imagedata r:id="rId8" o:title=""/>
          </v:shape>
        </w:pict>
      </w:r>
    </w:p>
    <w:p w:rsidR="001A62D7" w:rsidRPr="00311647" w:rsidRDefault="001A62D7" w:rsidP="001A62D7">
      <w:pPr>
        <w:rPr>
          <w:noProof/>
        </w:rPr>
        <w:sectPr w:rsidR="001A62D7" w:rsidRPr="00311647" w:rsidSect="004A4D53">
          <w:footerReference w:type="even" r:id="rId9"/>
          <w:footerReference w:type="default" r:id="rId10"/>
          <w:pgSz w:w="11907" w:h="16839"/>
          <w:pgMar w:top="1134" w:right="1417" w:bottom="1134" w:left="1417" w:header="709" w:footer="709" w:gutter="0"/>
          <w:pgNumType w:start="0"/>
          <w:cols w:space="720"/>
          <w:docGrid w:linePitch="360"/>
        </w:sectPr>
      </w:pPr>
    </w:p>
    <w:p w:rsidR="001A62D7" w:rsidRPr="00311647" w:rsidRDefault="001A62D7" w:rsidP="001A62D7">
      <w:pPr>
        <w:pStyle w:val="Exposdesmotifstitre"/>
        <w:rPr>
          <w:noProof/>
        </w:rPr>
      </w:pPr>
      <w:bookmarkStart w:id="0" w:name="_GoBack"/>
      <w:bookmarkEnd w:id="0"/>
      <w:r w:rsidRPr="00311647">
        <w:rPr>
          <w:noProof/>
        </w:rPr>
        <w:lastRenderedPageBreak/>
        <w:t>EXPUNERE DE MOTIVE</w:t>
      </w:r>
    </w:p>
    <w:p w:rsidR="001A62D7" w:rsidRPr="00311647" w:rsidRDefault="001A62D7" w:rsidP="001A62D7">
      <w:pPr>
        <w:pStyle w:val="ManualHeading1"/>
        <w:rPr>
          <w:noProof/>
        </w:rPr>
      </w:pPr>
      <w:r w:rsidRPr="00311647">
        <w:rPr>
          <w:noProof/>
        </w:rPr>
        <w:t>CONTEXTUL PROPUNERII</w:t>
      </w:r>
    </w:p>
    <w:p w:rsidR="001A62D7" w:rsidRPr="00311647" w:rsidRDefault="001A62D7" w:rsidP="00AE7D04">
      <w:pPr>
        <w:pStyle w:val="ManualNumPar1"/>
        <w:rPr>
          <w:noProof/>
        </w:rPr>
      </w:pPr>
      <w:r>
        <w:rPr>
          <w:noProof/>
        </w:rPr>
        <w:t>1.</w:t>
      </w:r>
      <w:r>
        <w:rPr>
          <w:noProof/>
        </w:rPr>
        <w:tab/>
      </w:r>
      <w:r w:rsidRPr="00311647">
        <w:rPr>
          <w:noProof/>
        </w:rPr>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Pr="00311647">
        <w:rPr>
          <w:rStyle w:val="FootnoteReference"/>
          <w:noProof/>
        </w:rPr>
        <w:footnoteReference w:id="1"/>
      </w:r>
      <w:r w:rsidRPr="00311647">
        <w:rPr>
          <w:noProof/>
        </w:rPr>
        <w:t>.</w:t>
      </w:r>
    </w:p>
    <w:p w:rsidR="001A62D7" w:rsidRPr="00311647" w:rsidRDefault="001A62D7" w:rsidP="00AE7D04">
      <w:pPr>
        <w:pStyle w:val="ManualNumPar1"/>
        <w:rPr>
          <w:noProof/>
        </w:rPr>
      </w:pPr>
      <w:r>
        <w:rPr>
          <w:noProof/>
        </w:rPr>
        <w:t>2.</w:t>
      </w:r>
      <w:r>
        <w:rPr>
          <w:noProof/>
        </w:rPr>
        <w:tab/>
      </w:r>
      <w:r w:rsidRPr="00311647">
        <w:rPr>
          <w:noProof/>
        </w:rPr>
        <w:t>La 25 martie 2026, Belgia a depus cererea EGF/</w:t>
      </w:r>
      <w:bookmarkStart w:id="1" w:name="EGF_Ref_Year"/>
      <w:r w:rsidRPr="00311647">
        <w:rPr>
          <w:noProof/>
        </w:rPr>
        <w:t>2026</w:t>
      </w:r>
      <w:bookmarkEnd w:id="1"/>
      <w:r w:rsidRPr="00311647">
        <w:rPr>
          <w:noProof/>
        </w:rPr>
        <w:t>/</w:t>
      </w:r>
      <w:bookmarkStart w:id="2" w:name="EGF_Ref_CaseNumber"/>
      <w:r w:rsidRPr="00311647">
        <w:rPr>
          <w:noProof/>
        </w:rPr>
        <w:t>001</w:t>
      </w:r>
      <w:bookmarkEnd w:id="2"/>
      <w:r w:rsidRPr="00311647">
        <w:rPr>
          <w:noProof/>
        </w:rPr>
        <w:t xml:space="preserve"> </w:t>
      </w:r>
      <w:bookmarkStart w:id="3" w:name="MS_Code"/>
      <w:r w:rsidRPr="00311647">
        <w:rPr>
          <w:noProof/>
        </w:rPr>
        <w:t>BE</w:t>
      </w:r>
      <w:bookmarkEnd w:id="3"/>
      <w:r w:rsidRPr="00311647">
        <w:rPr>
          <w:noProof/>
        </w:rPr>
        <w:t>/</w:t>
      </w:r>
      <w:bookmarkStart w:id="4" w:name="EGF_Ref_CaseName"/>
      <w:r w:rsidRPr="00311647">
        <w:rPr>
          <w:noProof/>
        </w:rPr>
        <w:t>Cora</w:t>
      </w:r>
      <w:bookmarkEnd w:id="4"/>
      <w:r w:rsidRPr="00311647">
        <w:rPr>
          <w:noProof/>
        </w:rPr>
        <w:t xml:space="preserve">, prin care solicita o contribuție financiară din partea FEG ca urmare a disponibilizărilor efectuate la întreprinderea </w:t>
      </w:r>
      <w:bookmarkStart w:id="5" w:name="PrimEnterprise_Name"/>
      <w:r w:rsidRPr="00311647">
        <w:rPr>
          <w:noProof/>
        </w:rPr>
        <w:t>Cora SA</w:t>
      </w:r>
      <w:bookmarkEnd w:id="5"/>
      <w:r w:rsidRPr="00311647">
        <w:rPr>
          <w:noProof/>
        </w:rPr>
        <w:t xml:space="preserve"> și la un furnizor și producător din aval din </w:t>
      </w:r>
      <w:bookmarkStart w:id="6" w:name="MS_Name"/>
      <w:r w:rsidRPr="00311647">
        <w:rPr>
          <w:noProof/>
        </w:rPr>
        <w:t>Belgia</w:t>
      </w:r>
      <w:bookmarkEnd w:id="6"/>
      <w:r w:rsidRPr="00311647">
        <w:rPr>
          <w:noProof/>
        </w:rPr>
        <w:t>.</w:t>
      </w:r>
    </w:p>
    <w:p w:rsidR="001A62D7" w:rsidRPr="00311647" w:rsidRDefault="001A62D7" w:rsidP="00AE7D04">
      <w:pPr>
        <w:pStyle w:val="ManualNumPar1"/>
        <w:rPr>
          <w:noProof/>
        </w:rPr>
      </w:pPr>
      <w:r>
        <w:rPr>
          <w:noProof/>
        </w:rPr>
        <w:t>3.</w:t>
      </w:r>
      <w:r>
        <w:rPr>
          <w:noProof/>
        </w:rPr>
        <w:tab/>
      </w:r>
      <w:r w:rsidRPr="00311647">
        <w:rPr>
          <w:noProof/>
        </w:rPr>
        <w:t xml:space="preserve">După evaluarea acestei cereri, Comisia a concluzionat, în conformitate cu toate dispozițiile aplicabile ale Regulamentului (UE) 2021/691, că sunt îndeplinite condițiile pentru acordarea unei contribuții financiare din partea FEG. </w:t>
      </w:r>
    </w:p>
    <w:p w:rsidR="001A62D7" w:rsidRPr="00311647" w:rsidRDefault="001A62D7" w:rsidP="001A62D7">
      <w:pPr>
        <w:pStyle w:val="ManualHeading1"/>
        <w:rPr>
          <w:noProof/>
        </w:rPr>
      </w:pPr>
      <w:r w:rsidRPr="00311647">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311647" w:rsidTr="001D5990">
        <w:tc>
          <w:tcPr>
            <w:tcW w:w="4908" w:type="dxa"/>
            <w:shd w:val="clear" w:color="auto" w:fill="auto"/>
          </w:tcPr>
          <w:p w:rsidR="001A62D7" w:rsidRPr="00311647" w:rsidRDefault="001A62D7" w:rsidP="001D5990">
            <w:pPr>
              <w:spacing w:before="60" w:after="60"/>
              <w:jc w:val="left"/>
              <w:rPr>
                <w:rFonts w:eastAsia="Calibri"/>
                <w:noProof/>
              </w:rPr>
            </w:pPr>
            <w:r w:rsidRPr="00311647">
              <w:rPr>
                <w:noProof/>
              </w:rPr>
              <w:t>Cererea FEG</w:t>
            </w:r>
          </w:p>
        </w:tc>
        <w:tc>
          <w:tcPr>
            <w:tcW w:w="4379" w:type="dxa"/>
            <w:shd w:val="clear" w:color="auto" w:fill="auto"/>
          </w:tcPr>
          <w:p w:rsidR="001A62D7" w:rsidRPr="00311647" w:rsidRDefault="001A62D7" w:rsidP="001D5990">
            <w:pPr>
              <w:spacing w:before="60" w:after="60"/>
              <w:ind w:rightChars="192" w:right="461"/>
              <w:jc w:val="left"/>
              <w:rPr>
                <w:rFonts w:eastAsia="Calibri"/>
                <w:noProof/>
              </w:rPr>
            </w:pPr>
            <w:r w:rsidRPr="00311647">
              <w:rPr>
                <w:noProof/>
              </w:rPr>
              <w:t>EGF/2026/001 BE/Cora</w:t>
            </w:r>
          </w:p>
        </w:tc>
      </w:tr>
      <w:tr w:rsidR="001A62D7" w:rsidRPr="00311647" w:rsidTr="001D5990">
        <w:tc>
          <w:tcPr>
            <w:tcW w:w="4908" w:type="dxa"/>
            <w:shd w:val="clear" w:color="auto" w:fill="auto"/>
          </w:tcPr>
          <w:p w:rsidR="001A62D7" w:rsidRPr="00311647" w:rsidRDefault="001A62D7" w:rsidP="001D5990">
            <w:pPr>
              <w:spacing w:before="60" w:after="60"/>
              <w:jc w:val="left"/>
              <w:rPr>
                <w:rFonts w:eastAsia="Calibri"/>
                <w:noProof/>
              </w:rPr>
            </w:pPr>
            <w:r w:rsidRPr="00311647">
              <w:rPr>
                <w:noProof/>
              </w:rPr>
              <w:t>Statul membru</w:t>
            </w:r>
          </w:p>
        </w:tc>
        <w:tc>
          <w:tcPr>
            <w:tcW w:w="4379" w:type="dxa"/>
            <w:shd w:val="clear" w:color="auto" w:fill="auto"/>
          </w:tcPr>
          <w:p w:rsidR="001A62D7" w:rsidRPr="00311647" w:rsidRDefault="00D501D3" w:rsidP="001D5990">
            <w:pPr>
              <w:spacing w:before="60" w:after="60"/>
              <w:ind w:rightChars="192" w:right="461"/>
              <w:jc w:val="left"/>
              <w:rPr>
                <w:rFonts w:eastAsia="Calibri"/>
                <w:noProof/>
              </w:rPr>
            </w:pPr>
            <w:r w:rsidRPr="00311647">
              <w:rPr>
                <w:noProof/>
              </w:rPr>
              <w:t>Belgia</w:t>
            </w:r>
          </w:p>
        </w:tc>
      </w:tr>
      <w:tr w:rsidR="001A62D7" w:rsidRPr="00311647" w:rsidTr="001D5990">
        <w:tc>
          <w:tcPr>
            <w:tcW w:w="4908" w:type="dxa"/>
            <w:tcBorders>
              <w:bottom w:val="single"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Regiunea sau regiunile vizate (nivel NUTS</w:t>
            </w:r>
            <w:r w:rsidRPr="00311647">
              <w:rPr>
                <w:rStyle w:val="FootnoteReference"/>
                <w:noProof/>
              </w:rPr>
              <w:footnoteReference w:id="2"/>
            </w:r>
            <w:r w:rsidRPr="00311647">
              <w:rPr>
                <w:noProof/>
              </w:rPr>
              <w:t xml:space="preserve"> 2)</w:t>
            </w:r>
          </w:p>
        </w:tc>
        <w:tc>
          <w:tcPr>
            <w:tcW w:w="4379" w:type="dxa"/>
            <w:tcBorders>
              <w:bottom w:val="single" w:sz="4" w:space="0" w:color="auto"/>
            </w:tcBorders>
            <w:shd w:val="clear" w:color="auto" w:fill="auto"/>
          </w:tcPr>
          <w:p w:rsidR="005034F4" w:rsidRPr="00311647" w:rsidRDefault="005034F4" w:rsidP="005034F4">
            <w:pPr>
              <w:spacing w:before="0" w:after="0"/>
              <w:ind w:rightChars="192" w:right="461"/>
              <w:jc w:val="left"/>
              <w:rPr>
                <w:noProof/>
                <w:szCs w:val="24"/>
              </w:rPr>
            </w:pPr>
            <w:bookmarkStart w:id="7" w:name="Region_1_Name"/>
            <w:r w:rsidRPr="00311647">
              <w:rPr>
                <w:noProof/>
              </w:rPr>
              <w:t>Région de Bruxelles-Capitale/</w:t>
            </w:r>
          </w:p>
          <w:p w:rsidR="001A62D7" w:rsidRPr="00311647" w:rsidRDefault="005034F4" w:rsidP="005034F4">
            <w:pPr>
              <w:spacing w:before="0" w:after="0"/>
              <w:ind w:rightChars="192" w:right="461"/>
              <w:jc w:val="left"/>
              <w:rPr>
                <w:noProof/>
                <w:szCs w:val="24"/>
              </w:rPr>
            </w:pPr>
            <w:r w:rsidRPr="00311647">
              <w:rPr>
                <w:noProof/>
              </w:rPr>
              <w:t>Brussels Hoofdstedelijk Gewest</w:t>
            </w:r>
            <w:bookmarkEnd w:id="7"/>
            <w:r w:rsidRPr="00311647">
              <w:rPr>
                <w:noProof/>
              </w:rPr>
              <w:t xml:space="preserve"> (BE10),</w:t>
            </w:r>
          </w:p>
          <w:p w:rsidR="005034F4" w:rsidRPr="00311647" w:rsidRDefault="005034F4" w:rsidP="005034F4">
            <w:pPr>
              <w:spacing w:before="0" w:after="0"/>
              <w:ind w:rightChars="192" w:right="461"/>
              <w:jc w:val="left"/>
              <w:rPr>
                <w:noProof/>
                <w:szCs w:val="24"/>
              </w:rPr>
            </w:pPr>
            <w:r w:rsidRPr="00311647">
              <w:rPr>
                <w:noProof/>
              </w:rPr>
              <w:t xml:space="preserve">Province Hainaut (BE32), </w:t>
            </w:r>
          </w:p>
          <w:p w:rsidR="005034F4" w:rsidRPr="00311647" w:rsidRDefault="005034F4" w:rsidP="005034F4">
            <w:pPr>
              <w:spacing w:before="0" w:after="0"/>
              <w:ind w:rightChars="192" w:right="461"/>
              <w:jc w:val="left"/>
              <w:rPr>
                <w:noProof/>
                <w:szCs w:val="24"/>
              </w:rPr>
            </w:pPr>
            <w:r w:rsidRPr="00311647">
              <w:rPr>
                <w:noProof/>
              </w:rPr>
              <w:t>Province Liège (BE33),</w:t>
            </w:r>
          </w:p>
          <w:p w:rsidR="005034F4" w:rsidRPr="00311647" w:rsidRDefault="005034F4" w:rsidP="005034F4">
            <w:pPr>
              <w:spacing w:before="0" w:after="0"/>
              <w:ind w:rightChars="192" w:right="461"/>
              <w:jc w:val="left"/>
              <w:rPr>
                <w:noProof/>
                <w:szCs w:val="24"/>
              </w:rPr>
            </w:pPr>
            <w:r w:rsidRPr="00311647">
              <w:rPr>
                <w:noProof/>
              </w:rPr>
              <w:t>Province Luxembourg (BE34).</w:t>
            </w:r>
          </w:p>
        </w:tc>
      </w:tr>
      <w:tr w:rsidR="001A62D7" w:rsidRPr="00311647" w:rsidTr="001D5990">
        <w:tc>
          <w:tcPr>
            <w:tcW w:w="4908" w:type="dxa"/>
            <w:tcBorders>
              <w:bottom w:val="dotted"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Data depunerii cererii</w:t>
            </w:r>
          </w:p>
        </w:tc>
        <w:tc>
          <w:tcPr>
            <w:tcW w:w="4379" w:type="dxa"/>
            <w:tcBorders>
              <w:bottom w:val="dotted" w:sz="4" w:space="0" w:color="auto"/>
            </w:tcBorders>
            <w:shd w:val="clear" w:color="auto" w:fill="auto"/>
          </w:tcPr>
          <w:p w:rsidR="001A62D7" w:rsidRPr="00311647" w:rsidRDefault="00D501D3" w:rsidP="001D5990">
            <w:pPr>
              <w:spacing w:before="60" w:after="60"/>
              <w:ind w:rightChars="192" w:right="461"/>
              <w:jc w:val="left"/>
              <w:rPr>
                <w:rFonts w:eastAsia="Calibri"/>
                <w:noProof/>
              </w:rPr>
            </w:pPr>
            <w:r w:rsidRPr="00311647">
              <w:rPr>
                <w:noProof/>
              </w:rPr>
              <w:t>25 martie 2026</w:t>
            </w:r>
          </w:p>
        </w:tc>
      </w:tr>
      <w:tr w:rsidR="001A62D7" w:rsidRPr="00311647" w:rsidTr="001D5990">
        <w:tc>
          <w:tcPr>
            <w:tcW w:w="4908" w:type="dxa"/>
            <w:tcBorders>
              <w:top w:val="dotted" w:sz="4" w:space="0" w:color="auto"/>
              <w:bottom w:val="dotted"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Data confirmării primirii cererii</w:t>
            </w:r>
          </w:p>
        </w:tc>
        <w:tc>
          <w:tcPr>
            <w:tcW w:w="4379" w:type="dxa"/>
            <w:tcBorders>
              <w:top w:val="dotted" w:sz="4" w:space="0" w:color="auto"/>
              <w:bottom w:val="dotted" w:sz="4" w:space="0" w:color="auto"/>
            </w:tcBorders>
            <w:shd w:val="clear" w:color="auto" w:fill="auto"/>
          </w:tcPr>
          <w:p w:rsidR="001A62D7" w:rsidRPr="00311647" w:rsidRDefault="00D501D3" w:rsidP="001D5990">
            <w:pPr>
              <w:spacing w:before="60" w:after="60"/>
              <w:ind w:rightChars="192" w:right="461"/>
              <w:jc w:val="left"/>
              <w:rPr>
                <w:rFonts w:eastAsia="Calibri"/>
                <w:noProof/>
              </w:rPr>
            </w:pPr>
            <w:r w:rsidRPr="00311647">
              <w:rPr>
                <w:noProof/>
              </w:rPr>
              <w:t>13 aprilie 2026</w:t>
            </w:r>
          </w:p>
        </w:tc>
      </w:tr>
      <w:tr w:rsidR="001A62D7" w:rsidRPr="00311647" w:rsidTr="001D5990">
        <w:tc>
          <w:tcPr>
            <w:tcW w:w="4908" w:type="dxa"/>
            <w:tcBorders>
              <w:top w:val="dotted" w:sz="4" w:space="0" w:color="auto"/>
              <w:bottom w:val="dotted"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Data cererii de informații suplimentare</w:t>
            </w:r>
          </w:p>
        </w:tc>
        <w:tc>
          <w:tcPr>
            <w:tcW w:w="4379" w:type="dxa"/>
            <w:tcBorders>
              <w:top w:val="dotted" w:sz="4" w:space="0" w:color="auto"/>
              <w:bottom w:val="dotted" w:sz="4" w:space="0" w:color="auto"/>
            </w:tcBorders>
            <w:shd w:val="clear" w:color="auto" w:fill="auto"/>
          </w:tcPr>
          <w:p w:rsidR="001A62D7" w:rsidRPr="00311647" w:rsidRDefault="00D501D3" w:rsidP="001D5990">
            <w:pPr>
              <w:spacing w:before="60" w:after="60"/>
              <w:ind w:rightChars="192" w:right="461"/>
              <w:jc w:val="left"/>
              <w:rPr>
                <w:rFonts w:eastAsia="Calibri"/>
                <w:noProof/>
              </w:rPr>
            </w:pPr>
            <w:r w:rsidRPr="00311647">
              <w:rPr>
                <w:noProof/>
              </w:rPr>
              <w:t>13 aprilie 2026</w:t>
            </w:r>
          </w:p>
        </w:tc>
      </w:tr>
      <w:tr w:rsidR="001A62D7" w:rsidRPr="00311647" w:rsidTr="001D5990">
        <w:tc>
          <w:tcPr>
            <w:tcW w:w="4908" w:type="dxa"/>
            <w:tcBorders>
              <w:top w:val="dotted" w:sz="4" w:space="0" w:color="auto"/>
              <w:bottom w:val="dotted"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Termenul pentru furnizarea informațiilor suplimentare</w:t>
            </w:r>
          </w:p>
        </w:tc>
        <w:tc>
          <w:tcPr>
            <w:tcW w:w="4379" w:type="dxa"/>
            <w:tcBorders>
              <w:top w:val="dotted" w:sz="4" w:space="0" w:color="auto"/>
              <w:bottom w:val="dotted" w:sz="4" w:space="0" w:color="auto"/>
            </w:tcBorders>
            <w:shd w:val="clear" w:color="auto" w:fill="auto"/>
          </w:tcPr>
          <w:p w:rsidR="001A62D7" w:rsidRPr="00311647" w:rsidRDefault="00FD67BC" w:rsidP="001D5990">
            <w:pPr>
              <w:spacing w:before="60" w:after="60"/>
              <w:ind w:rightChars="192" w:right="461"/>
              <w:jc w:val="left"/>
              <w:rPr>
                <w:rFonts w:eastAsia="Calibri"/>
                <w:noProof/>
              </w:rPr>
            </w:pPr>
            <w:r w:rsidRPr="00311647">
              <w:rPr>
                <w:noProof/>
              </w:rPr>
              <w:t>5 mai 2026</w:t>
            </w:r>
          </w:p>
        </w:tc>
      </w:tr>
      <w:tr w:rsidR="001A62D7" w:rsidRPr="00311647" w:rsidTr="001D5990">
        <w:tc>
          <w:tcPr>
            <w:tcW w:w="4908" w:type="dxa"/>
            <w:tcBorders>
              <w:top w:val="dotted"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Termenul pentru finalizarea evaluării</w:t>
            </w:r>
          </w:p>
        </w:tc>
        <w:tc>
          <w:tcPr>
            <w:tcW w:w="4379" w:type="dxa"/>
            <w:tcBorders>
              <w:top w:val="dotted" w:sz="4" w:space="0" w:color="auto"/>
            </w:tcBorders>
            <w:shd w:val="clear" w:color="auto" w:fill="auto"/>
          </w:tcPr>
          <w:p w:rsidR="001A62D7" w:rsidRPr="00311647" w:rsidRDefault="00FD67BC" w:rsidP="001D5990">
            <w:pPr>
              <w:spacing w:before="60" w:after="60"/>
              <w:ind w:rightChars="192" w:right="461"/>
              <w:jc w:val="left"/>
              <w:rPr>
                <w:rFonts w:eastAsia="Calibri"/>
                <w:noProof/>
              </w:rPr>
            </w:pPr>
            <w:r w:rsidRPr="00311647">
              <w:rPr>
                <w:noProof/>
              </w:rPr>
              <w:t>17 iulie 2026</w:t>
            </w:r>
          </w:p>
        </w:tc>
      </w:tr>
      <w:tr w:rsidR="001A62D7" w:rsidRPr="00311647" w:rsidTr="001D5990">
        <w:tc>
          <w:tcPr>
            <w:tcW w:w="4908" w:type="dxa"/>
            <w:shd w:val="clear" w:color="auto" w:fill="auto"/>
          </w:tcPr>
          <w:p w:rsidR="001A62D7" w:rsidRPr="00311647" w:rsidRDefault="001A62D7" w:rsidP="001D5990">
            <w:pPr>
              <w:spacing w:before="60" w:after="60"/>
              <w:jc w:val="left"/>
              <w:rPr>
                <w:rFonts w:eastAsia="Calibri"/>
                <w:noProof/>
              </w:rPr>
            </w:pPr>
            <w:r w:rsidRPr="00311647">
              <w:rPr>
                <w:noProof/>
              </w:rPr>
              <w:t>Criteriul de intervenție</w:t>
            </w:r>
          </w:p>
        </w:tc>
        <w:tc>
          <w:tcPr>
            <w:tcW w:w="4379" w:type="dxa"/>
            <w:shd w:val="clear" w:color="auto" w:fill="auto"/>
          </w:tcPr>
          <w:p w:rsidR="001A62D7" w:rsidRPr="00311647" w:rsidRDefault="001A62D7" w:rsidP="001D5990">
            <w:pPr>
              <w:spacing w:before="60" w:after="60"/>
              <w:ind w:rightChars="192" w:right="461"/>
              <w:jc w:val="left"/>
              <w:rPr>
                <w:rFonts w:eastAsia="Calibri"/>
                <w:noProof/>
              </w:rPr>
            </w:pPr>
            <w:r w:rsidRPr="00311647">
              <w:rPr>
                <w:noProof/>
              </w:rPr>
              <w:t>Articolul 4 alineatul (2) litera (a) din Regulamentul (UE) 2021/691</w:t>
            </w:r>
          </w:p>
        </w:tc>
      </w:tr>
      <w:tr w:rsidR="001A62D7" w:rsidRPr="00311647" w:rsidTr="001D5990">
        <w:tc>
          <w:tcPr>
            <w:tcW w:w="4908" w:type="dxa"/>
            <w:tcBorders>
              <w:top w:val="single" w:sz="4" w:space="0" w:color="auto"/>
              <w:bottom w:val="single" w:sz="4" w:space="0" w:color="auto"/>
              <w:right w:val="single"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br w:type="page"/>
              <w:t>Întreprinderea principală</w:t>
            </w:r>
          </w:p>
        </w:tc>
        <w:tc>
          <w:tcPr>
            <w:tcW w:w="4379" w:type="dxa"/>
            <w:tcBorders>
              <w:top w:val="single" w:sz="4" w:space="0" w:color="auto"/>
              <w:left w:val="single" w:sz="4" w:space="0" w:color="auto"/>
              <w:bottom w:val="single" w:sz="4" w:space="0" w:color="auto"/>
            </w:tcBorders>
            <w:shd w:val="clear" w:color="auto" w:fill="auto"/>
          </w:tcPr>
          <w:p w:rsidR="001A62D7" w:rsidRPr="00311647" w:rsidRDefault="00FD67BC" w:rsidP="001D5990">
            <w:pPr>
              <w:spacing w:before="60" w:after="60"/>
              <w:ind w:rightChars="192" w:right="461"/>
              <w:jc w:val="left"/>
              <w:rPr>
                <w:noProof/>
                <w:szCs w:val="24"/>
              </w:rPr>
            </w:pPr>
            <w:r w:rsidRPr="00311647">
              <w:rPr>
                <w:noProof/>
              </w:rPr>
              <w:t>Cora SA</w:t>
            </w:r>
          </w:p>
        </w:tc>
      </w:tr>
      <w:tr w:rsidR="001A62D7" w:rsidRPr="00311647" w:rsidTr="001D5990">
        <w:tc>
          <w:tcPr>
            <w:tcW w:w="4908" w:type="dxa"/>
            <w:shd w:val="clear" w:color="auto" w:fill="auto"/>
          </w:tcPr>
          <w:p w:rsidR="001A62D7" w:rsidRPr="00311647" w:rsidRDefault="001A62D7" w:rsidP="001D5990">
            <w:pPr>
              <w:spacing w:before="60" w:after="60"/>
              <w:jc w:val="left"/>
              <w:rPr>
                <w:rFonts w:eastAsia="Calibri"/>
                <w:noProof/>
              </w:rPr>
            </w:pPr>
            <w:r w:rsidRPr="00311647">
              <w:rPr>
                <w:noProof/>
              </w:rPr>
              <w:t>Sectoare de activitate economică (diviziunea NACE Rev. 2)</w:t>
            </w:r>
            <w:r w:rsidRPr="00311647">
              <w:rPr>
                <w:rStyle w:val="FootnoteReference"/>
                <w:noProof/>
                <w:szCs w:val="24"/>
              </w:rPr>
              <w:footnoteReference w:id="3"/>
            </w:r>
          </w:p>
        </w:tc>
        <w:tc>
          <w:tcPr>
            <w:tcW w:w="4379" w:type="dxa"/>
            <w:shd w:val="clear" w:color="auto" w:fill="auto"/>
          </w:tcPr>
          <w:p w:rsidR="001A62D7" w:rsidRPr="00311647" w:rsidRDefault="001A62D7" w:rsidP="001D5990">
            <w:pPr>
              <w:spacing w:before="60" w:after="60"/>
              <w:ind w:rightChars="192" w:right="461"/>
              <w:jc w:val="left"/>
              <w:rPr>
                <w:noProof/>
                <w:szCs w:val="24"/>
              </w:rPr>
            </w:pPr>
            <w:r w:rsidRPr="00311647">
              <w:rPr>
                <w:noProof/>
              </w:rPr>
              <w:t>Diviziunea 47 (Comerț cu amănuntul, cu excepția autovehiculelor și motocicletelor)</w:t>
            </w:r>
            <w:r w:rsidRPr="00311647">
              <w:rPr>
                <w:rStyle w:val="FootnoteReference"/>
                <w:noProof/>
                <w:szCs w:val="24"/>
              </w:rPr>
              <w:footnoteReference w:id="4"/>
            </w:r>
            <w:r w:rsidRPr="00311647">
              <w:rPr>
                <w:noProof/>
              </w:rPr>
              <w:t xml:space="preserve"> și</w:t>
            </w:r>
          </w:p>
          <w:p w:rsidR="001A62D7" w:rsidRPr="00311647" w:rsidRDefault="001A62D7" w:rsidP="001D5990">
            <w:pPr>
              <w:spacing w:before="60" w:after="60"/>
              <w:ind w:rightChars="192" w:right="461"/>
              <w:jc w:val="left"/>
              <w:rPr>
                <w:rFonts w:eastAsia="Calibri"/>
                <w:noProof/>
              </w:rPr>
            </w:pPr>
            <w:r w:rsidRPr="00311647">
              <w:rPr>
                <w:noProof/>
              </w:rPr>
              <w:t xml:space="preserve">Diviziunea 49 (Transporturi terestre și </w:t>
            </w:r>
            <w:r w:rsidRPr="00311647">
              <w:rPr>
                <w:noProof/>
              </w:rPr>
              <w:lastRenderedPageBreak/>
              <w:t>transporturi prin conducte)</w:t>
            </w:r>
          </w:p>
        </w:tc>
      </w:tr>
      <w:tr w:rsidR="001A62D7" w:rsidRPr="00311647" w:rsidTr="001D5990">
        <w:tc>
          <w:tcPr>
            <w:tcW w:w="4908" w:type="dxa"/>
            <w:shd w:val="clear" w:color="auto" w:fill="auto"/>
          </w:tcPr>
          <w:p w:rsidR="001A62D7" w:rsidRPr="00311647" w:rsidRDefault="001A62D7" w:rsidP="001D5990">
            <w:pPr>
              <w:spacing w:before="60" w:after="60"/>
              <w:jc w:val="left"/>
              <w:rPr>
                <w:rFonts w:eastAsia="Calibri"/>
                <w:noProof/>
              </w:rPr>
            </w:pPr>
            <w:r w:rsidRPr="00311647">
              <w:rPr>
                <w:noProof/>
              </w:rPr>
              <w:lastRenderedPageBreak/>
              <w:br w:type="page"/>
              <w:t>Numărul de filiale, furnizori și producători din aval</w:t>
            </w:r>
          </w:p>
        </w:tc>
        <w:tc>
          <w:tcPr>
            <w:tcW w:w="4379" w:type="dxa"/>
            <w:shd w:val="clear" w:color="auto" w:fill="auto"/>
          </w:tcPr>
          <w:p w:rsidR="001A62D7" w:rsidRPr="00311647" w:rsidRDefault="001D5279" w:rsidP="001D5990">
            <w:pPr>
              <w:spacing w:before="60" w:after="60"/>
              <w:ind w:rightChars="192" w:right="461"/>
              <w:jc w:val="left"/>
              <w:rPr>
                <w:rFonts w:eastAsia="Calibri"/>
                <w:noProof/>
              </w:rPr>
            </w:pPr>
            <w:r w:rsidRPr="00311647">
              <w:rPr>
                <w:noProof/>
              </w:rPr>
              <w:t>1</w:t>
            </w:r>
          </w:p>
        </w:tc>
      </w:tr>
      <w:tr w:rsidR="001A62D7" w:rsidRPr="00311647" w:rsidTr="001D5990">
        <w:tc>
          <w:tcPr>
            <w:tcW w:w="4908" w:type="dxa"/>
            <w:tcBorders>
              <w:bottom w:val="single"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Perioada de referință (patru luni):</w:t>
            </w:r>
          </w:p>
        </w:tc>
        <w:tc>
          <w:tcPr>
            <w:tcW w:w="4379" w:type="dxa"/>
            <w:tcBorders>
              <w:bottom w:val="single" w:sz="4" w:space="0" w:color="auto"/>
            </w:tcBorders>
            <w:shd w:val="clear" w:color="auto" w:fill="auto"/>
          </w:tcPr>
          <w:p w:rsidR="001A62D7" w:rsidRPr="00311647" w:rsidRDefault="001D5279" w:rsidP="001D5990">
            <w:pPr>
              <w:spacing w:before="60" w:after="60"/>
              <w:ind w:rightChars="192" w:right="461"/>
              <w:jc w:val="left"/>
              <w:rPr>
                <w:rFonts w:eastAsia="Calibri"/>
                <w:noProof/>
              </w:rPr>
            </w:pPr>
            <w:r w:rsidRPr="00311647">
              <w:rPr>
                <w:noProof/>
              </w:rPr>
              <w:t>1 septembrie 2025 – 1 ianuarie 2026</w:t>
            </w:r>
          </w:p>
        </w:tc>
      </w:tr>
      <w:tr w:rsidR="001A62D7" w:rsidRPr="00311647" w:rsidTr="001D5990">
        <w:tc>
          <w:tcPr>
            <w:tcW w:w="4908" w:type="dxa"/>
            <w:tcBorders>
              <w:bottom w:val="dotted" w:sz="4" w:space="0" w:color="auto"/>
            </w:tcBorders>
            <w:shd w:val="clear" w:color="auto" w:fill="auto"/>
          </w:tcPr>
          <w:p w:rsidR="001A62D7" w:rsidRPr="00311647" w:rsidRDefault="001A62D7" w:rsidP="001D5990">
            <w:pPr>
              <w:spacing w:before="60" w:after="60"/>
              <w:jc w:val="left"/>
              <w:rPr>
                <w:rFonts w:eastAsia="Calibri"/>
                <w:noProof/>
                <w:highlight w:val="magenta"/>
              </w:rPr>
            </w:pPr>
            <w:r w:rsidRPr="00311647">
              <w:rPr>
                <w:noProof/>
              </w:rPr>
              <w:t>Numărul de disponibilizări în perioada de referință (</w:t>
            </w:r>
            <w:r w:rsidRPr="00311647">
              <w:rPr>
                <w:i/>
                <w:noProof/>
              </w:rPr>
              <w:t>a</w:t>
            </w:r>
            <w:r w:rsidRPr="00311647">
              <w:rPr>
                <w:noProof/>
              </w:rPr>
              <w:t>)</w:t>
            </w:r>
          </w:p>
        </w:tc>
        <w:tc>
          <w:tcPr>
            <w:tcW w:w="4379" w:type="dxa"/>
            <w:tcBorders>
              <w:bottom w:val="dotted" w:sz="4" w:space="0" w:color="auto"/>
            </w:tcBorders>
            <w:shd w:val="clear" w:color="auto" w:fill="auto"/>
          </w:tcPr>
          <w:p w:rsidR="001A62D7" w:rsidRPr="00311647" w:rsidRDefault="0066781E" w:rsidP="001D5990">
            <w:pPr>
              <w:spacing w:before="60" w:after="60"/>
              <w:ind w:rightChars="192" w:right="461"/>
              <w:jc w:val="left"/>
              <w:rPr>
                <w:rFonts w:eastAsia="Calibri"/>
                <w:noProof/>
                <w:highlight w:val="magenta"/>
              </w:rPr>
            </w:pPr>
            <w:r w:rsidRPr="00311647">
              <w:rPr>
                <w:noProof/>
              </w:rPr>
              <w:t>662</w:t>
            </w:r>
          </w:p>
        </w:tc>
      </w:tr>
      <w:tr w:rsidR="001A62D7" w:rsidRPr="00311647" w:rsidTr="001D5990">
        <w:tc>
          <w:tcPr>
            <w:tcW w:w="4908" w:type="dxa"/>
            <w:tcBorders>
              <w:top w:val="dotted" w:sz="4" w:space="0" w:color="auto"/>
              <w:bottom w:val="dotted" w:sz="4" w:space="0" w:color="auto"/>
            </w:tcBorders>
            <w:shd w:val="clear" w:color="auto" w:fill="auto"/>
          </w:tcPr>
          <w:p w:rsidR="001A62D7" w:rsidRPr="00311647" w:rsidRDefault="001A62D7" w:rsidP="001D5990">
            <w:pPr>
              <w:spacing w:before="60" w:after="60"/>
              <w:jc w:val="left"/>
              <w:rPr>
                <w:rFonts w:eastAsia="Calibri"/>
                <w:noProof/>
                <w:highlight w:val="magenta"/>
              </w:rPr>
            </w:pPr>
            <w:r w:rsidRPr="00311647">
              <w:rPr>
                <w:noProof/>
              </w:rPr>
              <w:t>Numărul de disponibilizări înainte sau după perioada de referință (</w:t>
            </w:r>
            <w:r w:rsidRPr="00311647">
              <w:rPr>
                <w:i/>
                <w:noProof/>
              </w:rPr>
              <w:t>b</w:t>
            </w:r>
            <w:r w:rsidRPr="00311647">
              <w:rPr>
                <w:noProof/>
              </w:rPr>
              <w:t>)</w:t>
            </w:r>
          </w:p>
        </w:tc>
        <w:tc>
          <w:tcPr>
            <w:tcW w:w="4379" w:type="dxa"/>
            <w:tcBorders>
              <w:top w:val="dotted" w:sz="4" w:space="0" w:color="auto"/>
              <w:bottom w:val="dotted" w:sz="4" w:space="0" w:color="auto"/>
            </w:tcBorders>
            <w:shd w:val="clear" w:color="auto" w:fill="auto"/>
          </w:tcPr>
          <w:p w:rsidR="001A62D7" w:rsidRPr="00311647" w:rsidRDefault="0066781E" w:rsidP="001D5990">
            <w:pPr>
              <w:spacing w:before="60" w:after="60"/>
              <w:ind w:rightChars="192" w:right="461"/>
              <w:jc w:val="left"/>
              <w:rPr>
                <w:rFonts w:eastAsia="Calibri"/>
                <w:noProof/>
              </w:rPr>
            </w:pPr>
            <w:r w:rsidRPr="00311647">
              <w:rPr>
                <w:noProof/>
              </w:rPr>
              <w:t>595</w:t>
            </w:r>
          </w:p>
        </w:tc>
      </w:tr>
      <w:tr w:rsidR="001A62D7" w:rsidRPr="00311647" w:rsidTr="001D5990">
        <w:tc>
          <w:tcPr>
            <w:tcW w:w="4908" w:type="dxa"/>
            <w:tcBorders>
              <w:top w:val="dotted" w:sz="4" w:space="0" w:color="auto"/>
              <w:bottom w:val="single"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Numărul total de disponibilizări (</w:t>
            </w:r>
            <w:r w:rsidRPr="00311647">
              <w:rPr>
                <w:i/>
                <w:noProof/>
              </w:rPr>
              <w:t>a</w:t>
            </w:r>
            <w:r w:rsidRPr="00311647">
              <w:rPr>
                <w:noProof/>
              </w:rPr>
              <w:t xml:space="preserve"> + </w:t>
            </w:r>
            <w:r w:rsidRPr="00311647">
              <w:rPr>
                <w:i/>
                <w:noProof/>
              </w:rPr>
              <w:t>b</w:t>
            </w:r>
            <w:r w:rsidRPr="00311647">
              <w:rPr>
                <w:noProof/>
              </w:rPr>
              <w:t>)</w:t>
            </w:r>
          </w:p>
        </w:tc>
        <w:tc>
          <w:tcPr>
            <w:tcW w:w="4379" w:type="dxa"/>
            <w:tcBorders>
              <w:top w:val="dotted" w:sz="4" w:space="0" w:color="auto"/>
              <w:bottom w:val="single" w:sz="4" w:space="0" w:color="auto"/>
            </w:tcBorders>
            <w:shd w:val="clear" w:color="auto" w:fill="auto"/>
          </w:tcPr>
          <w:p w:rsidR="001A62D7" w:rsidRPr="00311647" w:rsidRDefault="0066781E" w:rsidP="001D5990">
            <w:pPr>
              <w:spacing w:before="60" w:after="60"/>
              <w:ind w:rightChars="192" w:right="461"/>
              <w:jc w:val="left"/>
              <w:rPr>
                <w:rFonts w:eastAsia="Calibri"/>
                <w:noProof/>
              </w:rPr>
            </w:pPr>
            <w:r w:rsidRPr="00311647">
              <w:rPr>
                <w:noProof/>
              </w:rPr>
              <w:t>1 257</w:t>
            </w:r>
          </w:p>
        </w:tc>
      </w:tr>
      <w:tr w:rsidR="001A62D7" w:rsidRPr="00311647" w:rsidTr="001D5990">
        <w:tc>
          <w:tcPr>
            <w:tcW w:w="4908" w:type="dxa"/>
            <w:tcBorders>
              <w:bottom w:val="dotted"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Numărul total de beneficiari eligibili</w:t>
            </w:r>
          </w:p>
        </w:tc>
        <w:tc>
          <w:tcPr>
            <w:tcW w:w="4379" w:type="dxa"/>
            <w:tcBorders>
              <w:bottom w:val="dotted" w:sz="4" w:space="0" w:color="auto"/>
            </w:tcBorders>
            <w:shd w:val="clear" w:color="auto" w:fill="auto"/>
          </w:tcPr>
          <w:p w:rsidR="001A62D7" w:rsidRPr="00311647" w:rsidRDefault="0066781E" w:rsidP="001D5990">
            <w:pPr>
              <w:spacing w:before="60" w:after="60"/>
              <w:ind w:rightChars="192" w:right="461"/>
              <w:jc w:val="left"/>
              <w:rPr>
                <w:rFonts w:eastAsia="Calibri"/>
                <w:noProof/>
              </w:rPr>
            </w:pPr>
            <w:r w:rsidRPr="00311647">
              <w:rPr>
                <w:noProof/>
              </w:rPr>
              <w:t>1 257</w:t>
            </w:r>
          </w:p>
        </w:tc>
      </w:tr>
      <w:tr w:rsidR="001A62D7" w:rsidRPr="00311647" w:rsidTr="001D5990">
        <w:tc>
          <w:tcPr>
            <w:tcW w:w="4908" w:type="dxa"/>
            <w:tcBorders>
              <w:top w:val="dotted" w:sz="4" w:space="0" w:color="auto"/>
              <w:bottom w:val="dotted" w:sz="4" w:space="0" w:color="auto"/>
            </w:tcBorders>
            <w:shd w:val="clear" w:color="auto" w:fill="auto"/>
          </w:tcPr>
          <w:p w:rsidR="001A62D7" w:rsidRPr="00311647" w:rsidRDefault="001A62D7" w:rsidP="001D5990">
            <w:pPr>
              <w:spacing w:before="60" w:after="60"/>
              <w:jc w:val="left"/>
              <w:rPr>
                <w:rFonts w:eastAsia="Calibri"/>
                <w:noProof/>
              </w:rPr>
            </w:pPr>
            <w:r w:rsidRPr="00311647">
              <w:rPr>
                <w:noProof/>
              </w:rPr>
              <w:t>Numărul total de beneficiari vizați</w:t>
            </w:r>
          </w:p>
        </w:tc>
        <w:tc>
          <w:tcPr>
            <w:tcW w:w="4379" w:type="dxa"/>
            <w:tcBorders>
              <w:top w:val="dotted" w:sz="4" w:space="0" w:color="auto"/>
              <w:bottom w:val="dotted" w:sz="4" w:space="0" w:color="auto"/>
            </w:tcBorders>
            <w:shd w:val="clear" w:color="auto" w:fill="auto"/>
          </w:tcPr>
          <w:p w:rsidR="001A62D7" w:rsidRPr="00311647" w:rsidRDefault="0094032B" w:rsidP="001D5990">
            <w:pPr>
              <w:spacing w:before="60" w:after="60"/>
              <w:ind w:rightChars="192" w:right="461"/>
              <w:jc w:val="left"/>
              <w:rPr>
                <w:rFonts w:eastAsia="Calibri"/>
                <w:noProof/>
              </w:rPr>
            </w:pPr>
            <w:r w:rsidRPr="00311647">
              <w:rPr>
                <w:noProof/>
              </w:rPr>
              <w:t>1 010</w:t>
            </w:r>
          </w:p>
        </w:tc>
      </w:tr>
      <w:tr w:rsidR="001A62D7" w:rsidRPr="00311647" w:rsidTr="001D5990">
        <w:tc>
          <w:tcPr>
            <w:tcW w:w="4908" w:type="dxa"/>
            <w:tcBorders>
              <w:bottom w:val="dotted" w:sz="4" w:space="0" w:color="auto"/>
            </w:tcBorders>
            <w:shd w:val="clear" w:color="auto" w:fill="auto"/>
            <w:vAlign w:val="center"/>
          </w:tcPr>
          <w:p w:rsidR="001A62D7" w:rsidRPr="00311647" w:rsidRDefault="001A62D7" w:rsidP="001D5990">
            <w:pPr>
              <w:spacing w:before="0" w:after="0"/>
              <w:jc w:val="left"/>
              <w:rPr>
                <w:noProof/>
              </w:rPr>
            </w:pPr>
            <w:r w:rsidRPr="00311647">
              <w:rPr>
                <w:noProof/>
              </w:rPr>
              <w:t>Bugetul pentru servicii personalizate (EUR)</w:t>
            </w:r>
          </w:p>
        </w:tc>
        <w:tc>
          <w:tcPr>
            <w:tcW w:w="4379" w:type="dxa"/>
            <w:tcBorders>
              <w:bottom w:val="dotted" w:sz="4" w:space="0" w:color="auto"/>
            </w:tcBorders>
            <w:shd w:val="clear" w:color="auto" w:fill="auto"/>
            <w:vAlign w:val="center"/>
          </w:tcPr>
          <w:p w:rsidR="001A62D7" w:rsidRPr="00311647" w:rsidRDefault="008032DE" w:rsidP="001D5990">
            <w:pPr>
              <w:spacing w:before="0" w:after="0"/>
              <w:ind w:rightChars="192" w:right="461"/>
              <w:jc w:val="left"/>
              <w:rPr>
                <w:noProof/>
              </w:rPr>
            </w:pPr>
            <w:r w:rsidRPr="00311647">
              <w:rPr>
                <w:noProof/>
              </w:rPr>
              <w:t>4 441 774</w:t>
            </w:r>
          </w:p>
        </w:tc>
      </w:tr>
      <w:tr w:rsidR="001A62D7" w:rsidRPr="00311647" w:rsidTr="001D5990">
        <w:tc>
          <w:tcPr>
            <w:tcW w:w="4908" w:type="dxa"/>
            <w:tcBorders>
              <w:top w:val="dotted" w:sz="4" w:space="0" w:color="auto"/>
              <w:bottom w:val="dotted" w:sz="4" w:space="0" w:color="auto"/>
            </w:tcBorders>
            <w:shd w:val="clear" w:color="auto" w:fill="auto"/>
            <w:vAlign w:val="center"/>
          </w:tcPr>
          <w:p w:rsidR="001A62D7" w:rsidRPr="00311647" w:rsidRDefault="001A62D7" w:rsidP="001D5990">
            <w:pPr>
              <w:spacing w:before="0" w:after="0"/>
              <w:jc w:val="left"/>
              <w:rPr>
                <w:noProof/>
              </w:rPr>
            </w:pPr>
            <w:r w:rsidRPr="00311647">
              <w:rPr>
                <w:noProof/>
              </w:rPr>
              <w:t>Bugetul pentru implementarea FEG</w:t>
            </w:r>
            <w:r w:rsidRPr="00311647">
              <w:rPr>
                <w:rStyle w:val="FootnoteReference"/>
                <w:noProof/>
              </w:rPr>
              <w:footnoteReference w:id="5"/>
            </w:r>
            <w:r w:rsidRPr="00311647">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311647" w:rsidRDefault="008032DE" w:rsidP="001D5990">
            <w:pPr>
              <w:spacing w:before="0" w:after="0"/>
              <w:ind w:rightChars="192" w:right="461"/>
              <w:jc w:val="left"/>
              <w:rPr>
                <w:noProof/>
              </w:rPr>
            </w:pPr>
            <w:r w:rsidRPr="00311647">
              <w:rPr>
                <w:noProof/>
              </w:rPr>
              <w:t>54 062</w:t>
            </w:r>
          </w:p>
        </w:tc>
      </w:tr>
      <w:tr w:rsidR="001A62D7" w:rsidRPr="00311647" w:rsidTr="001D5990">
        <w:tc>
          <w:tcPr>
            <w:tcW w:w="4908" w:type="dxa"/>
            <w:tcBorders>
              <w:top w:val="dotted" w:sz="4" w:space="0" w:color="auto"/>
              <w:bottom w:val="dotted" w:sz="4" w:space="0" w:color="auto"/>
            </w:tcBorders>
            <w:shd w:val="clear" w:color="auto" w:fill="auto"/>
            <w:vAlign w:val="center"/>
          </w:tcPr>
          <w:p w:rsidR="001A62D7" w:rsidRPr="00311647" w:rsidRDefault="001A62D7" w:rsidP="001D5990">
            <w:pPr>
              <w:spacing w:before="0" w:after="0"/>
              <w:jc w:val="left"/>
              <w:rPr>
                <w:noProof/>
              </w:rPr>
            </w:pPr>
            <w:r w:rsidRPr="00311647">
              <w:rPr>
                <w:noProof/>
              </w:rPr>
              <w:t>Bugetul total (EUR)</w:t>
            </w:r>
          </w:p>
        </w:tc>
        <w:tc>
          <w:tcPr>
            <w:tcW w:w="4379" w:type="dxa"/>
            <w:tcBorders>
              <w:top w:val="dotted" w:sz="4" w:space="0" w:color="auto"/>
              <w:bottom w:val="dotted" w:sz="4" w:space="0" w:color="auto"/>
            </w:tcBorders>
            <w:shd w:val="clear" w:color="auto" w:fill="auto"/>
            <w:vAlign w:val="center"/>
          </w:tcPr>
          <w:p w:rsidR="001A62D7" w:rsidRPr="00311647" w:rsidRDefault="008032DE" w:rsidP="001D5990">
            <w:pPr>
              <w:spacing w:before="0" w:after="0"/>
              <w:ind w:rightChars="192" w:right="461"/>
              <w:jc w:val="left"/>
              <w:rPr>
                <w:noProof/>
              </w:rPr>
            </w:pPr>
            <w:r w:rsidRPr="00311647">
              <w:rPr>
                <w:noProof/>
              </w:rPr>
              <w:t>4 495 836</w:t>
            </w:r>
          </w:p>
        </w:tc>
      </w:tr>
      <w:tr w:rsidR="001A62D7" w:rsidRPr="00311647" w:rsidTr="001D5990">
        <w:tc>
          <w:tcPr>
            <w:tcW w:w="4908" w:type="dxa"/>
            <w:tcBorders>
              <w:top w:val="dotted" w:sz="4" w:space="0" w:color="auto"/>
            </w:tcBorders>
            <w:shd w:val="clear" w:color="auto" w:fill="auto"/>
            <w:vAlign w:val="center"/>
          </w:tcPr>
          <w:p w:rsidR="001A62D7" w:rsidRPr="00311647" w:rsidRDefault="001A62D7" w:rsidP="001D5990">
            <w:pPr>
              <w:spacing w:before="0" w:after="0"/>
              <w:jc w:val="left"/>
              <w:rPr>
                <w:noProof/>
              </w:rPr>
            </w:pPr>
            <w:r w:rsidRPr="00311647">
              <w:rPr>
                <w:noProof/>
              </w:rPr>
              <w:t>Contribuția din partea FEG (85 %) (EUR)</w:t>
            </w:r>
          </w:p>
        </w:tc>
        <w:tc>
          <w:tcPr>
            <w:tcW w:w="4379" w:type="dxa"/>
            <w:tcBorders>
              <w:top w:val="dotted" w:sz="4" w:space="0" w:color="auto"/>
            </w:tcBorders>
            <w:shd w:val="clear" w:color="auto" w:fill="auto"/>
            <w:vAlign w:val="center"/>
          </w:tcPr>
          <w:p w:rsidR="001A62D7" w:rsidRPr="00311647" w:rsidRDefault="001C1059" w:rsidP="001D5990">
            <w:pPr>
              <w:spacing w:before="0" w:after="0"/>
              <w:ind w:rightChars="192" w:right="461"/>
              <w:jc w:val="left"/>
              <w:rPr>
                <w:noProof/>
              </w:rPr>
            </w:pPr>
            <w:r w:rsidRPr="00311647">
              <w:rPr>
                <w:noProof/>
              </w:rPr>
              <w:t>3 821 460</w:t>
            </w:r>
          </w:p>
        </w:tc>
      </w:tr>
    </w:tbl>
    <w:p w:rsidR="001A62D7" w:rsidRPr="00311647" w:rsidRDefault="001A62D7" w:rsidP="001A62D7">
      <w:pPr>
        <w:pStyle w:val="ManualHeading1"/>
        <w:rPr>
          <w:noProof/>
        </w:rPr>
      </w:pPr>
      <w:r w:rsidRPr="00311647">
        <w:rPr>
          <w:noProof/>
        </w:rPr>
        <w:t>EVALUAREA CERERII</w:t>
      </w:r>
    </w:p>
    <w:p w:rsidR="001A62D7" w:rsidRPr="00311647" w:rsidRDefault="001A62D7" w:rsidP="001A62D7">
      <w:pPr>
        <w:pStyle w:val="ManualHeading2"/>
        <w:rPr>
          <w:noProof/>
        </w:rPr>
      </w:pPr>
      <w:r w:rsidRPr="00311647">
        <w:rPr>
          <w:noProof/>
        </w:rPr>
        <w:t>Procedură</w:t>
      </w:r>
    </w:p>
    <w:p w:rsidR="001A62D7" w:rsidRPr="00311647" w:rsidRDefault="001C1059" w:rsidP="00AE7D04">
      <w:pPr>
        <w:pStyle w:val="ManualNumPar1"/>
        <w:rPr>
          <w:noProof/>
        </w:rPr>
      </w:pPr>
      <w:r>
        <w:rPr>
          <w:noProof/>
        </w:rPr>
        <w:t>4.</w:t>
      </w:r>
      <w:r>
        <w:rPr>
          <w:noProof/>
        </w:rPr>
        <w:tab/>
      </w:r>
      <w:r w:rsidRPr="00311647">
        <w:rPr>
          <w:noProof/>
        </w:rPr>
        <w:t>La 25 martie 2026, Belgia a depus cererea EGF/2026/001 BE/Cora în termen de 12 săptămâni de la data la care au fost îndeplinite criteriile de intervenție prevăzute la articolul 4 alineatul (2) litera (a) din Regulamentul (UE) 2021/691. Comisia a confirmat primirea cererii și a solicitat Belgiei informații suplimentare la 13 aprilie 2026. Aceste informații suplimentare au fost furnizate în termen de 15 zile lucrătoare de la data cererii. Perioada de 50 de zile lucrătoare de la data primirii cererii complete, în cursul căreia Comisia trebuie să finalizeze evaluarea măsurii în care cererea îndeplinește condițiile de acordare a unei contribuții financiare, expiră la 17 iulie 2026.</w:t>
      </w:r>
    </w:p>
    <w:p w:rsidR="001A62D7" w:rsidRPr="00311647" w:rsidRDefault="001A62D7" w:rsidP="001A62D7">
      <w:pPr>
        <w:pStyle w:val="ManualHeading2"/>
        <w:rPr>
          <w:noProof/>
        </w:rPr>
      </w:pPr>
      <w:r w:rsidRPr="00311647">
        <w:rPr>
          <w:noProof/>
        </w:rPr>
        <w:t>Eligibilitatea cererii</w:t>
      </w:r>
    </w:p>
    <w:p w:rsidR="001A62D7" w:rsidRPr="00311647" w:rsidRDefault="001A62D7" w:rsidP="001A62D7">
      <w:pPr>
        <w:pStyle w:val="ManualHeading3"/>
        <w:rPr>
          <w:noProof/>
        </w:rPr>
      </w:pPr>
      <w:r w:rsidRPr="00311647">
        <w:rPr>
          <w:noProof/>
        </w:rPr>
        <w:t>Întreprinderile și beneficiarii vizați</w:t>
      </w:r>
    </w:p>
    <w:p w:rsidR="001A62D7" w:rsidRPr="00311647" w:rsidRDefault="001A62D7" w:rsidP="00AE7D04">
      <w:pPr>
        <w:pStyle w:val="ManualNumPar1"/>
        <w:rPr>
          <w:noProof/>
          <w:szCs w:val="24"/>
        </w:rPr>
      </w:pPr>
      <w:r>
        <w:rPr>
          <w:noProof/>
        </w:rPr>
        <w:t>5.</w:t>
      </w:r>
      <w:r>
        <w:rPr>
          <w:noProof/>
        </w:rPr>
        <w:tab/>
      </w:r>
      <w:r w:rsidRPr="00311647">
        <w:rPr>
          <w:noProof/>
        </w:rPr>
        <w:t xml:space="preserve">Cererea se referă la 662 de lucrători a căror activitate a încetat în cadrul Cora SA și al unuia dintre furnizorii săi. Întreprinderea principală își desfășura activitatea în sectorul economic clasificat în cadrul diviziunii 47 din NACE Rev.2 (Comerț cu amănuntul, cu excepția autovehiculelor și motocicletelor). Locurile de muncă desființate de Cora și de furnizorul său sunt situate în principal în regiunea NUTS 2 Provincia Hainaut (BE32). </w:t>
      </w: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480"/>
        <w:gridCol w:w="360"/>
        <w:gridCol w:w="2940"/>
        <w:gridCol w:w="600"/>
        <w:gridCol w:w="600"/>
      </w:tblGrid>
      <w:tr w:rsidR="001A62D7" w:rsidRPr="00311647" w:rsidTr="001D5990">
        <w:trPr>
          <w:trHeight w:val="284"/>
          <w:tblHeader/>
        </w:trPr>
        <w:tc>
          <w:tcPr>
            <w:tcW w:w="8340" w:type="dxa"/>
            <w:gridSpan w:val="6"/>
            <w:shd w:val="clear" w:color="auto" w:fill="D9D9D9" w:themeFill="background1" w:themeFillShade="D9"/>
          </w:tcPr>
          <w:p w:rsidR="001A62D7" w:rsidRPr="00311647" w:rsidRDefault="001A62D7" w:rsidP="001D5990">
            <w:pPr>
              <w:spacing w:beforeLines="20" w:before="48" w:afterLines="20" w:after="48" w:line="276" w:lineRule="auto"/>
              <w:ind w:left="57"/>
              <w:jc w:val="center"/>
              <w:rPr>
                <w:rFonts w:eastAsia="Calibri"/>
                <w:noProof/>
                <w:szCs w:val="24"/>
              </w:rPr>
            </w:pPr>
            <w:r w:rsidRPr="00311647">
              <w:rPr>
                <w:b/>
                <w:noProof/>
              </w:rPr>
              <w:t>Întreprinderile și numărul disponibilizărilor în perioada de referință</w:t>
            </w:r>
          </w:p>
        </w:tc>
      </w:tr>
      <w:tr w:rsidR="001A62D7" w:rsidRPr="00311647" w:rsidTr="001D5990">
        <w:tc>
          <w:tcPr>
            <w:tcW w:w="3360" w:type="dxa"/>
            <w:tcBorders>
              <w:bottom w:val="nil"/>
              <w:right w:val="nil"/>
            </w:tcBorders>
            <w:shd w:val="clear" w:color="auto" w:fill="auto"/>
            <w:vAlign w:val="center"/>
          </w:tcPr>
          <w:p w:rsidR="001A62D7" w:rsidRPr="00311647" w:rsidRDefault="001C1059" w:rsidP="001D5990">
            <w:pPr>
              <w:spacing w:before="0" w:after="0"/>
              <w:ind w:right="252"/>
              <w:jc w:val="left"/>
              <w:rPr>
                <w:noProof/>
                <w:sz w:val="20"/>
              </w:rPr>
            </w:pPr>
            <w:r w:rsidRPr="00311647">
              <w:rPr>
                <w:noProof/>
                <w:sz w:val="20"/>
              </w:rPr>
              <w:t>Cora</w:t>
            </w:r>
          </w:p>
        </w:tc>
        <w:tc>
          <w:tcPr>
            <w:tcW w:w="840" w:type="dxa"/>
            <w:gridSpan w:val="2"/>
            <w:tcBorders>
              <w:left w:val="nil"/>
              <w:bottom w:val="nil"/>
            </w:tcBorders>
            <w:shd w:val="clear" w:color="auto" w:fill="auto"/>
            <w:vAlign w:val="center"/>
          </w:tcPr>
          <w:p w:rsidR="001A62D7" w:rsidRPr="00311647" w:rsidRDefault="00AE115B" w:rsidP="001D5990">
            <w:pPr>
              <w:spacing w:before="0" w:after="0"/>
              <w:ind w:left="-828"/>
              <w:jc w:val="right"/>
              <w:rPr>
                <w:noProof/>
                <w:sz w:val="20"/>
                <w:szCs w:val="20"/>
              </w:rPr>
            </w:pPr>
            <w:r w:rsidRPr="00311647">
              <w:rPr>
                <w:noProof/>
                <w:sz w:val="20"/>
              </w:rPr>
              <w:t>621</w:t>
            </w:r>
          </w:p>
        </w:tc>
        <w:tc>
          <w:tcPr>
            <w:tcW w:w="3540" w:type="dxa"/>
            <w:gridSpan w:val="2"/>
            <w:tcBorders>
              <w:bottom w:val="nil"/>
              <w:right w:val="nil"/>
            </w:tcBorders>
            <w:shd w:val="clear" w:color="auto" w:fill="auto"/>
            <w:vAlign w:val="center"/>
          </w:tcPr>
          <w:p w:rsidR="001A62D7" w:rsidRPr="00311647" w:rsidRDefault="00F64CE7" w:rsidP="001D5990">
            <w:pPr>
              <w:spacing w:before="0" w:after="0"/>
              <w:jc w:val="left"/>
              <w:rPr>
                <w:noProof/>
                <w:sz w:val="20"/>
              </w:rPr>
            </w:pPr>
            <w:r w:rsidRPr="00311647">
              <w:rPr>
                <w:noProof/>
                <w:sz w:val="20"/>
              </w:rPr>
              <w:t>STEF Logistics Courcelles</w:t>
            </w:r>
          </w:p>
        </w:tc>
        <w:tc>
          <w:tcPr>
            <w:tcW w:w="600" w:type="dxa"/>
            <w:tcBorders>
              <w:left w:val="nil"/>
              <w:bottom w:val="nil"/>
            </w:tcBorders>
            <w:shd w:val="clear" w:color="auto" w:fill="auto"/>
            <w:vAlign w:val="center"/>
          </w:tcPr>
          <w:p w:rsidR="001A62D7" w:rsidRPr="00311647" w:rsidRDefault="00D5498B" w:rsidP="001D5990">
            <w:pPr>
              <w:spacing w:before="0" w:after="0"/>
              <w:ind w:left="-828"/>
              <w:jc w:val="right"/>
              <w:rPr>
                <w:noProof/>
                <w:sz w:val="20"/>
              </w:rPr>
            </w:pPr>
            <w:r w:rsidRPr="00311647">
              <w:rPr>
                <w:noProof/>
                <w:sz w:val="20"/>
              </w:rPr>
              <w:t>41</w:t>
            </w:r>
          </w:p>
        </w:tc>
      </w:tr>
      <w:tr w:rsidR="001A62D7" w:rsidRPr="00311647" w:rsidTr="001D5990">
        <w:trPr>
          <w:trHeight w:val="284"/>
        </w:trPr>
        <w:tc>
          <w:tcPr>
            <w:tcW w:w="3840" w:type="dxa"/>
            <w:gridSpan w:val="2"/>
            <w:tcBorders>
              <w:bottom w:val="nil"/>
              <w:right w:val="nil"/>
            </w:tcBorders>
            <w:shd w:val="clear" w:color="auto" w:fill="E6E6E6"/>
            <w:vAlign w:val="center"/>
          </w:tcPr>
          <w:p w:rsidR="001A62D7" w:rsidRPr="00311647" w:rsidRDefault="001A62D7" w:rsidP="001D5990">
            <w:pPr>
              <w:spacing w:beforeLines="20" w:before="48" w:afterLines="20" w:after="48" w:line="276" w:lineRule="auto"/>
              <w:ind w:left="57"/>
              <w:jc w:val="left"/>
              <w:rPr>
                <w:rFonts w:eastAsia="Calibri"/>
                <w:b/>
                <w:noProof/>
                <w:szCs w:val="24"/>
              </w:rPr>
            </w:pPr>
            <w:r w:rsidRPr="00311647">
              <w:rPr>
                <w:noProof/>
              </w:rPr>
              <w:br w:type="page"/>
            </w:r>
            <w:r w:rsidRPr="00311647">
              <w:rPr>
                <w:b/>
                <w:noProof/>
              </w:rPr>
              <w:t>Numărul total de întreprinderi:</w:t>
            </w:r>
            <w:r w:rsidRPr="00311647">
              <w:rPr>
                <w:b/>
                <w:noProof/>
                <w:sz w:val="22"/>
              </w:rPr>
              <w:t xml:space="preserve"> </w:t>
            </w:r>
            <w:r w:rsidRPr="00311647">
              <w:rPr>
                <w:b/>
                <w:noProof/>
              </w:rPr>
              <w:t>2</w:t>
            </w:r>
          </w:p>
        </w:tc>
        <w:tc>
          <w:tcPr>
            <w:tcW w:w="3300" w:type="dxa"/>
            <w:gridSpan w:val="2"/>
            <w:tcBorders>
              <w:left w:val="nil"/>
              <w:bottom w:val="nil"/>
              <w:right w:val="nil"/>
            </w:tcBorders>
            <w:shd w:val="clear" w:color="auto" w:fill="E6E6E6"/>
            <w:vAlign w:val="center"/>
          </w:tcPr>
          <w:p w:rsidR="001A62D7" w:rsidRPr="00311647" w:rsidRDefault="001A62D7" w:rsidP="001D5990">
            <w:pPr>
              <w:spacing w:beforeLines="20" w:before="48" w:afterLines="20" w:after="48" w:line="276" w:lineRule="auto"/>
              <w:ind w:left="57" w:right="227"/>
              <w:jc w:val="left"/>
              <w:rPr>
                <w:rFonts w:eastAsia="Calibri"/>
                <w:b/>
                <w:noProof/>
                <w:szCs w:val="24"/>
              </w:rPr>
            </w:pPr>
            <w:r w:rsidRPr="00311647">
              <w:rPr>
                <w:b/>
                <w:noProof/>
              </w:rPr>
              <w:t>Numărul total de disponibilizări:</w:t>
            </w:r>
            <w:r w:rsidRPr="00311647">
              <w:rPr>
                <w:b/>
                <w:noProof/>
                <w:sz w:val="22"/>
              </w:rPr>
              <w:t xml:space="preserve"> </w:t>
            </w:r>
          </w:p>
        </w:tc>
        <w:tc>
          <w:tcPr>
            <w:tcW w:w="1200" w:type="dxa"/>
            <w:gridSpan w:val="2"/>
            <w:tcBorders>
              <w:left w:val="nil"/>
              <w:bottom w:val="nil"/>
            </w:tcBorders>
            <w:shd w:val="clear" w:color="auto" w:fill="E6E6E6"/>
            <w:vAlign w:val="center"/>
          </w:tcPr>
          <w:p w:rsidR="001A62D7" w:rsidRPr="00311647" w:rsidRDefault="00AE115B" w:rsidP="001D5990">
            <w:pPr>
              <w:spacing w:beforeLines="20" w:before="48" w:afterLines="20" w:after="48" w:line="276" w:lineRule="auto"/>
              <w:ind w:left="57" w:right="227"/>
              <w:jc w:val="left"/>
              <w:rPr>
                <w:rFonts w:eastAsia="Calibri"/>
                <w:b/>
                <w:noProof/>
                <w:szCs w:val="24"/>
              </w:rPr>
            </w:pPr>
            <w:r w:rsidRPr="00311647">
              <w:rPr>
                <w:b/>
                <w:noProof/>
              </w:rPr>
              <w:t>662</w:t>
            </w:r>
          </w:p>
        </w:tc>
      </w:tr>
      <w:tr w:rsidR="001A62D7" w:rsidRPr="00311647" w:rsidTr="001D5990">
        <w:trPr>
          <w:trHeight w:val="284"/>
        </w:trPr>
        <w:tc>
          <w:tcPr>
            <w:tcW w:w="7140" w:type="dxa"/>
            <w:gridSpan w:val="4"/>
            <w:tcBorders>
              <w:top w:val="nil"/>
              <w:right w:val="nil"/>
            </w:tcBorders>
            <w:shd w:val="clear" w:color="auto" w:fill="E6E6E6"/>
            <w:vAlign w:val="center"/>
          </w:tcPr>
          <w:p w:rsidR="001A62D7" w:rsidRPr="00311647" w:rsidRDefault="001A62D7" w:rsidP="001D5990">
            <w:pPr>
              <w:spacing w:beforeLines="20" w:before="48" w:afterLines="20" w:after="48" w:line="276" w:lineRule="auto"/>
              <w:ind w:left="57"/>
              <w:jc w:val="left"/>
              <w:rPr>
                <w:rFonts w:eastAsia="Calibri"/>
                <w:b/>
                <w:noProof/>
                <w:szCs w:val="24"/>
              </w:rPr>
            </w:pPr>
            <w:r w:rsidRPr="00311647">
              <w:rPr>
                <w:b/>
                <w:noProof/>
              </w:rPr>
              <w:t xml:space="preserve">Numărul total de lucrători eligibili: </w:t>
            </w:r>
          </w:p>
        </w:tc>
        <w:tc>
          <w:tcPr>
            <w:tcW w:w="1200" w:type="dxa"/>
            <w:gridSpan w:val="2"/>
            <w:tcBorders>
              <w:top w:val="nil"/>
              <w:left w:val="nil"/>
            </w:tcBorders>
            <w:shd w:val="clear" w:color="auto" w:fill="E6E6E6"/>
            <w:vAlign w:val="center"/>
          </w:tcPr>
          <w:p w:rsidR="001A62D7" w:rsidRPr="00311647" w:rsidRDefault="00AE115B" w:rsidP="001D5990">
            <w:pPr>
              <w:spacing w:beforeLines="20" w:before="48" w:afterLines="20" w:after="48" w:line="276" w:lineRule="auto"/>
              <w:ind w:left="57" w:right="227"/>
              <w:jc w:val="left"/>
              <w:rPr>
                <w:rFonts w:eastAsia="Calibri"/>
                <w:b/>
                <w:noProof/>
                <w:szCs w:val="24"/>
              </w:rPr>
            </w:pPr>
            <w:r w:rsidRPr="00311647">
              <w:rPr>
                <w:b/>
                <w:noProof/>
              </w:rPr>
              <w:t>662</w:t>
            </w:r>
          </w:p>
        </w:tc>
      </w:tr>
    </w:tbl>
    <w:p w:rsidR="001A62D7" w:rsidRPr="00311647" w:rsidRDefault="001A62D7" w:rsidP="001A62D7">
      <w:pPr>
        <w:pStyle w:val="ManualHeading3"/>
        <w:rPr>
          <w:noProof/>
        </w:rPr>
      </w:pPr>
      <w:r w:rsidRPr="00311647">
        <w:rPr>
          <w:noProof/>
        </w:rPr>
        <w:lastRenderedPageBreak/>
        <w:t>Criteriile de intervenție</w:t>
      </w:r>
    </w:p>
    <w:p w:rsidR="001A62D7" w:rsidRPr="00311647" w:rsidRDefault="00953996" w:rsidP="001A62D7">
      <w:pPr>
        <w:pStyle w:val="ManualNumPar1"/>
        <w:rPr>
          <w:noProof/>
        </w:rPr>
      </w:pPr>
      <w:r>
        <w:rPr>
          <w:noProof/>
        </w:rPr>
        <w:t>6.</w:t>
      </w:r>
      <w:r>
        <w:rPr>
          <w:noProof/>
        </w:rPr>
        <w:tab/>
      </w:r>
      <w:r w:rsidRPr="00311647">
        <w:rPr>
          <w:noProof/>
        </w:rPr>
        <w:t>Belgia a depus cererea în temeiul criteriilor de intervenție prevăzute la articolul 4 alineatul (2) litera (a) din Regulamentul (UE) 2021/691, care prevede drept condiție încetarea activității a cel puțin 200 de lucrători disponibilizați, într-o perioadă de referință de patru luni, într-o întreprindere dintr-un stat membru, inclusiv lucrători disponibilizați de furnizorii și producătorii din aval.</w:t>
      </w:r>
    </w:p>
    <w:p w:rsidR="00AA58A5" w:rsidRPr="00311647" w:rsidRDefault="001A62D7" w:rsidP="00D474B0">
      <w:pPr>
        <w:pStyle w:val="ManualNumPar1"/>
        <w:rPr>
          <w:noProof/>
        </w:rPr>
      </w:pPr>
      <w:r>
        <w:rPr>
          <w:noProof/>
        </w:rPr>
        <w:t>7.</w:t>
      </w:r>
      <w:r>
        <w:rPr>
          <w:noProof/>
        </w:rPr>
        <w:tab/>
      </w:r>
      <w:bookmarkStart w:id="8" w:name="_Ref372189348"/>
      <w:r w:rsidRPr="00311647">
        <w:rPr>
          <w:noProof/>
        </w:rPr>
        <w:t xml:space="preserve">Perioada de referință de patru luni pentru cerere este cuprinsă între 1 septembrie 2025 și </w:t>
      </w:r>
      <w:bookmarkEnd w:id="8"/>
      <w:r w:rsidRPr="00311647">
        <w:rPr>
          <w:noProof/>
        </w:rPr>
        <w:t xml:space="preserve">1 ianuarie 2026. </w:t>
      </w:r>
    </w:p>
    <w:p w:rsidR="00F808CC" w:rsidRPr="00311647" w:rsidRDefault="001A62D7" w:rsidP="00D474B0">
      <w:pPr>
        <w:pStyle w:val="ManualNumPar1"/>
        <w:rPr>
          <w:noProof/>
        </w:rPr>
      </w:pPr>
      <w:r>
        <w:rPr>
          <w:noProof/>
        </w:rPr>
        <w:t>8.</w:t>
      </w:r>
      <w:r>
        <w:rPr>
          <w:noProof/>
        </w:rPr>
        <w:tab/>
      </w:r>
      <w:r w:rsidRPr="00311647">
        <w:rPr>
          <w:noProof/>
        </w:rPr>
        <w:t>În perioada de referință, au existat 662 de disponibilizări.</w:t>
      </w:r>
    </w:p>
    <w:p w:rsidR="001A62D7" w:rsidRPr="00311647" w:rsidRDefault="001A62D7" w:rsidP="001A62D7">
      <w:pPr>
        <w:pStyle w:val="ManualHeading3"/>
        <w:rPr>
          <w:noProof/>
        </w:rPr>
      </w:pPr>
      <w:r w:rsidRPr="00311647">
        <w:rPr>
          <w:noProof/>
        </w:rPr>
        <w:t>Calcularea disponibilizărilor și a cazurilor de încetare a activității</w:t>
      </w:r>
    </w:p>
    <w:p w:rsidR="001A62D7" w:rsidRPr="00311647" w:rsidRDefault="001A62D7" w:rsidP="00D21418">
      <w:pPr>
        <w:pStyle w:val="ManualNumPar1"/>
        <w:rPr>
          <w:noProof/>
        </w:rPr>
      </w:pPr>
      <w:r>
        <w:rPr>
          <w:noProof/>
        </w:rPr>
        <w:t>9.</w:t>
      </w:r>
      <w:r>
        <w:rPr>
          <w:noProof/>
        </w:rPr>
        <w:tab/>
      </w:r>
      <w:r w:rsidRPr="00311647">
        <w:rPr>
          <w:noProof/>
        </w:rPr>
        <w:t>În temeiul articolului 6 primul paragraf litera (a) coroborat cu articolul 5 primul paragraf litera (c) din Regulamentul (UE) 2021/691, numărul de lucrători afectați de disponibilizări în cursul perioadei de referință a fost calculat de la data încetării de facto a contractului de muncă sau de la data expirării acestuia.</w:t>
      </w:r>
    </w:p>
    <w:p w:rsidR="001A62D7" w:rsidRPr="00311647" w:rsidRDefault="001A62D7" w:rsidP="001A62D7">
      <w:pPr>
        <w:pStyle w:val="ManualHeading3"/>
        <w:rPr>
          <w:noProof/>
        </w:rPr>
      </w:pPr>
      <w:r w:rsidRPr="00311647">
        <w:rPr>
          <w:noProof/>
        </w:rPr>
        <w:t>Beneficiari eligibili</w:t>
      </w:r>
    </w:p>
    <w:p w:rsidR="001A62D7" w:rsidRPr="00311647" w:rsidRDefault="001A62D7" w:rsidP="00AE7D04">
      <w:pPr>
        <w:pStyle w:val="ManualNumPar1"/>
        <w:rPr>
          <w:noProof/>
        </w:rPr>
      </w:pPr>
      <w:r>
        <w:rPr>
          <w:noProof/>
        </w:rPr>
        <w:t>10.</w:t>
      </w:r>
      <w:r>
        <w:rPr>
          <w:noProof/>
        </w:rPr>
        <w:tab/>
      </w:r>
      <w:r w:rsidRPr="00311647">
        <w:rPr>
          <w:noProof/>
        </w:rPr>
        <w:t>Pe lângă cei 662 de lucrători deja menționați, printre beneficiarii eligibili se numără 595 de lucrători disponibilizați a căror activitate a încetat înainte sau după perioada de referință de patru luni. Toți acești lucrători și-au încetat activitatea în cele șase luni anterioare începerii perioadei de referință, la 1 septembrie 2025 și/sau între sfârșitul perioadei de referință și ziua anterioară adoptării prezentei propuneri, în conformitate cu articolul 6 primul paragraf litera (b) din Regulamentul (UE) 2021/691, astfel cum se prevede la articolul 6 al doilea paragraf din Regulamentul (UE) 2021/691. Se poate stabili o legătură de cauzalitate clară cu evenimentul care a declanșat încetarea activității lucrătorilor disponibilizați în perioada de referință, astfel cum se prevede la articolul 6 al doilea paragraf din Regulamentul (UE) 2021/691.</w:t>
      </w:r>
    </w:p>
    <w:p w:rsidR="001A62D7" w:rsidRPr="00311647" w:rsidRDefault="001A62D7" w:rsidP="00AE7D04">
      <w:pPr>
        <w:pStyle w:val="ManualNumPar1"/>
        <w:rPr>
          <w:noProof/>
        </w:rPr>
      </w:pPr>
      <w:r>
        <w:rPr>
          <w:noProof/>
        </w:rPr>
        <w:t>11.</w:t>
      </w:r>
      <w:r>
        <w:rPr>
          <w:noProof/>
        </w:rPr>
        <w:tab/>
      </w:r>
      <w:r w:rsidRPr="00311647">
        <w:rPr>
          <w:noProof/>
        </w:rPr>
        <w:t>Numărul total de beneficiari eligibili este de 1 257.</w:t>
      </w:r>
    </w:p>
    <w:p w:rsidR="001A62D7" w:rsidRPr="00311647" w:rsidRDefault="001A62D7" w:rsidP="001A62D7">
      <w:pPr>
        <w:pStyle w:val="ManualHeading3"/>
        <w:rPr>
          <w:noProof/>
        </w:rPr>
      </w:pPr>
      <w:r w:rsidRPr="00311647">
        <w:rPr>
          <w:noProof/>
        </w:rPr>
        <w:t>Descrierea evenimentelor care au determinat disponibilizările și încetarea activității</w:t>
      </w:r>
    </w:p>
    <w:p w:rsidR="00CB71AD" w:rsidRPr="00311647" w:rsidRDefault="00CB71AD" w:rsidP="00AE7D04">
      <w:pPr>
        <w:pStyle w:val="ManualNumPar1"/>
        <w:rPr>
          <w:noProof/>
        </w:rPr>
      </w:pPr>
      <w:r>
        <w:rPr>
          <w:noProof/>
        </w:rPr>
        <w:t>12.</w:t>
      </w:r>
      <w:r>
        <w:rPr>
          <w:noProof/>
        </w:rPr>
        <w:tab/>
      </w:r>
      <w:r w:rsidRPr="00311647">
        <w:rPr>
          <w:noProof/>
        </w:rPr>
        <w:t>Modelul hipermarketurilor se confruntă în prezent cu provocări semnificative. Schimbarea obiceiurilor consumatorilor – cumpărătorii preferând din ce în ce mai mult deplasările pentru cumpărături rapide și convenabile – alături de dezvoltarea cumpărăturilor de alimente online, a redus necesitatea de a vizita magazinele mari. De asemenea, s-a intensificat concurența din partea noilor formate de vânzare cu amănuntul: supermarketurile și magazinele specializate din vecinătate, cum ar fi comercianții cu amănuntul ecologici și gourmet, câștigă cotă de piață. În plus, costurile de exploatare mai ridicate asociate modelului de hipermarket, în comparație cu formatele magazinelor mai mici sau digitale, au exercitat presiuni asupra profitabilității.</w:t>
      </w:r>
    </w:p>
    <w:p w:rsidR="00CB71AD" w:rsidRPr="00311647" w:rsidRDefault="00CB71AD" w:rsidP="00AE7D04">
      <w:pPr>
        <w:pStyle w:val="ManualNumPar1"/>
        <w:rPr>
          <w:noProof/>
        </w:rPr>
      </w:pPr>
      <w:r>
        <w:rPr>
          <w:noProof/>
        </w:rPr>
        <w:t>13.</w:t>
      </w:r>
      <w:r>
        <w:rPr>
          <w:noProof/>
        </w:rPr>
        <w:tab/>
      </w:r>
      <w:r w:rsidRPr="00311647">
        <w:rPr>
          <w:noProof/>
        </w:rPr>
        <w:t>Pentru a se adapta la aceste schimbări ale pieței și pentru a-și îmbunătăți poziția financiară, Cora a pus în aplicare mai multe inițiative, cum ar fi mai multe planuri de redresare (introduse în 2014, 2017 și 2023), recapitalizări în valoare totală de aproape 112 milioane EUR începând din 2020 și colaborări comerciale strategice cu Carrefour și Intermarché.</w:t>
      </w:r>
    </w:p>
    <w:p w:rsidR="001B689F" w:rsidRPr="00311647" w:rsidRDefault="00CB71AD" w:rsidP="001B689F">
      <w:pPr>
        <w:pStyle w:val="ManualNumPar1"/>
        <w:rPr>
          <w:noProof/>
        </w:rPr>
      </w:pPr>
      <w:r>
        <w:rPr>
          <w:noProof/>
        </w:rPr>
        <w:t>14.</w:t>
      </w:r>
      <w:r>
        <w:rPr>
          <w:noProof/>
        </w:rPr>
        <w:tab/>
      </w:r>
      <w:r w:rsidRPr="00311647">
        <w:rPr>
          <w:noProof/>
        </w:rPr>
        <w:t xml:space="preserve">Creșterea inflației a afectat costurile de exploatare. Începând din 2021, costurile salariale orare au suferit zece </w:t>
      </w:r>
      <w:bookmarkStart w:id="9" w:name="_Hlk229485328"/>
      <w:r w:rsidRPr="00311647">
        <w:rPr>
          <w:noProof/>
        </w:rPr>
        <w:t>creșteri indexate</w:t>
      </w:r>
      <w:bookmarkEnd w:id="9"/>
      <w:r w:rsidRPr="00311647">
        <w:rPr>
          <w:noProof/>
        </w:rPr>
        <w:t xml:space="preserve"> succesive, ceea ce a dus la o creștere </w:t>
      </w:r>
      <w:r w:rsidRPr="00311647">
        <w:rPr>
          <w:noProof/>
        </w:rPr>
        <w:lastRenderedPageBreak/>
        <w:t xml:space="preserve">cumulată de peste 20 %. În 2024, Cora a raportat o pierdere de 34 de milioane EUR și o scădere cu 6,1 % a veniturilor. În perioada 2020-2024, marja brută a Cora a scăzut cu 16,1 milioane EUR, în timp ce </w:t>
      </w:r>
      <w:bookmarkStart w:id="10" w:name="_Hlk229565472"/>
      <w:r w:rsidRPr="00311647">
        <w:rPr>
          <w:noProof/>
        </w:rPr>
        <w:t>EBITDA</w:t>
      </w:r>
      <w:r w:rsidRPr="00311647">
        <w:rPr>
          <w:rStyle w:val="FootnoteReference"/>
          <w:noProof/>
        </w:rPr>
        <w:footnoteReference w:id="6"/>
      </w:r>
      <w:bookmarkEnd w:id="10"/>
      <w:r w:rsidRPr="00311647">
        <w:rPr>
          <w:noProof/>
        </w:rPr>
        <w:t xml:space="preserve"> s-a deteriorat de la -3,7 milioane EUR la -22,5 milioane EUR, contribuind la o pierdere netă cumulată de 123 de milioane EUR</w:t>
      </w:r>
      <w:r w:rsidRPr="00311647">
        <w:rPr>
          <w:rStyle w:val="FootnoteReference"/>
          <w:noProof/>
        </w:rPr>
        <w:footnoteReference w:id="7"/>
      </w:r>
      <w:r w:rsidRPr="00311647">
        <w:rPr>
          <w:noProof/>
        </w:rPr>
        <w:t>.</w:t>
      </w:r>
    </w:p>
    <w:p w:rsidR="001A62D7" w:rsidRPr="00311647" w:rsidRDefault="00A130CC" w:rsidP="00532504">
      <w:pPr>
        <w:pStyle w:val="ManualNumPar1"/>
        <w:rPr>
          <w:noProof/>
        </w:rPr>
      </w:pPr>
      <w:r>
        <w:rPr>
          <w:noProof/>
        </w:rPr>
        <w:t>15.</w:t>
      </w:r>
      <w:r>
        <w:rPr>
          <w:noProof/>
        </w:rPr>
        <w:tab/>
      </w:r>
      <w:r w:rsidRPr="00311647">
        <w:rPr>
          <w:noProof/>
        </w:rPr>
        <w:t>În pofida eforturilor sale, Cora nu și-a putut îmbunătăți poziția financiară. Prin urmare, întreprinderea a inițiat concedieri colective în valuri succesive începând din septembrie 2025, printr-o lichidare treptată a operațiunilor.</w:t>
      </w:r>
    </w:p>
    <w:p w:rsidR="001A62D7" w:rsidRPr="00311647" w:rsidRDefault="001A62D7" w:rsidP="001A62D7">
      <w:pPr>
        <w:pStyle w:val="ManualHeading3"/>
        <w:tabs>
          <w:tab w:val="clear" w:pos="850"/>
          <w:tab w:val="left" w:pos="0"/>
        </w:tabs>
        <w:ind w:left="0" w:firstLine="0"/>
        <w:rPr>
          <w:noProof/>
        </w:rPr>
      </w:pPr>
      <w:r w:rsidRPr="00311647">
        <w:rPr>
          <w:noProof/>
        </w:rPr>
        <w:t>Impactul preconizat al disponibilizărilor asupra economiei și a ocupării forței de muncă la nivel local, regional sau național</w:t>
      </w:r>
    </w:p>
    <w:p w:rsidR="00783113" w:rsidRPr="00311647" w:rsidRDefault="00783113" w:rsidP="00A5196A">
      <w:pPr>
        <w:pStyle w:val="ManualNumPar1"/>
        <w:rPr>
          <w:noProof/>
        </w:rPr>
      </w:pPr>
      <w:r>
        <w:rPr>
          <w:noProof/>
        </w:rPr>
        <w:t>16.</w:t>
      </w:r>
      <w:r>
        <w:rPr>
          <w:noProof/>
        </w:rPr>
        <w:tab/>
      </w:r>
      <w:r w:rsidRPr="00311647">
        <w:rPr>
          <w:noProof/>
        </w:rPr>
        <w:t>Disponibilizările efectuate de Cora reprezintă un șoc social major pentru Regiunea Valonă, deoarece au loc pe o piață a forței de muncă deja slăbită de alte evenimente de restructurare, cum ar fi TNT-FedEx</w:t>
      </w:r>
      <w:r w:rsidRPr="00311647">
        <w:rPr>
          <w:rStyle w:val="FootnoteReference"/>
          <w:noProof/>
        </w:rPr>
        <w:footnoteReference w:id="8"/>
      </w:r>
      <w:r w:rsidRPr="00311647">
        <w:rPr>
          <w:noProof/>
        </w:rPr>
        <w:t>, Makro</w:t>
      </w:r>
      <w:r w:rsidRPr="00311647">
        <w:rPr>
          <w:rStyle w:val="FootnoteReference"/>
          <w:noProof/>
        </w:rPr>
        <w:footnoteReference w:id="9"/>
      </w:r>
      <w:r w:rsidRPr="00311647">
        <w:rPr>
          <w:noProof/>
        </w:rPr>
        <w:t xml:space="preserve"> sau Liberty</w:t>
      </w:r>
      <w:r w:rsidRPr="00311647">
        <w:rPr>
          <w:rStyle w:val="FootnoteReference"/>
          <w:noProof/>
        </w:rPr>
        <w:footnoteReference w:id="10"/>
      </w:r>
      <w:r w:rsidRPr="00311647">
        <w:rPr>
          <w:noProof/>
        </w:rPr>
        <w:t>, pentru care Belgia a solicitat, de asemenea, sprijin din partea FEG.</w:t>
      </w:r>
    </w:p>
    <w:p w:rsidR="001A3C97" w:rsidRPr="00311647" w:rsidRDefault="001A3C97" w:rsidP="00A5196A">
      <w:pPr>
        <w:pStyle w:val="ManualNumPar1"/>
        <w:rPr>
          <w:noProof/>
        </w:rPr>
      </w:pPr>
      <w:r>
        <w:rPr>
          <w:noProof/>
        </w:rPr>
        <w:t>17.</w:t>
      </w:r>
      <w:r>
        <w:rPr>
          <w:noProof/>
        </w:rPr>
        <w:tab/>
      </w:r>
      <w:r w:rsidRPr="00311647">
        <w:rPr>
          <w:noProof/>
        </w:rPr>
        <w:t>Rata șomajului în Belgia este de 6,4 %</w:t>
      </w:r>
      <w:r w:rsidRPr="00311647">
        <w:rPr>
          <w:rStyle w:val="FootnoteReference"/>
          <w:noProof/>
        </w:rPr>
        <w:footnoteReference w:id="11"/>
      </w:r>
      <w:r w:rsidRPr="00311647">
        <w:rPr>
          <w:noProof/>
        </w:rPr>
        <w:t>, ușor peste media UE (5,8 %)</w:t>
      </w:r>
      <w:r w:rsidRPr="00311647">
        <w:rPr>
          <w:rStyle w:val="FootnoteReference"/>
          <w:noProof/>
        </w:rPr>
        <w:footnoteReference w:id="12"/>
      </w:r>
      <w:r w:rsidRPr="00311647">
        <w:rPr>
          <w:noProof/>
        </w:rPr>
        <w:t>. Cu toate acestea, rata șomajului în Valonia este de 8,3 %</w:t>
      </w:r>
      <w:r w:rsidRPr="00311647">
        <w:rPr>
          <w:rStyle w:val="FootnoteReference"/>
          <w:noProof/>
        </w:rPr>
        <w:footnoteReference w:id="13"/>
      </w:r>
      <w:r w:rsidRPr="00311647">
        <w:rPr>
          <w:noProof/>
        </w:rPr>
        <w:t xml:space="preserve">, cu aproximativ 2 puncte procentuale (pp) mai mare decât rata națională. </w:t>
      </w:r>
    </w:p>
    <w:p w:rsidR="0095683A" w:rsidRPr="00311647" w:rsidRDefault="0095683A" w:rsidP="00A5196A">
      <w:pPr>
        <w:pStyle w:val="ManualNumPar1"/>
        <w:rPr>
          <w:noProof/>
        </w:rPr>
      </w:pPr>
      <w:r>
        <w:rPr>
          <w:noProof/>
        </w:rPr>
        <w:t>18.</w:t>
      </w:r>
      <w:r>
        <w:rPr>
          <w:noProof/>
        </w:rPr>
        <w:tab/>
      </w:r>
      <w:r w:rsidRPr="00311647">
        <w:rPr>
          <w:noProof/>
        </w:rPr>
        <w:t>Belgia, citând date din Statbel, subliniază că ratele de ocupare a forței de muncă în Valonia sunt puternic influențate atât de vârstă, cât și de nivelul de instruire, cu diferențe de 23-30 de puncte procentuale între nivelurile succesive de calificare. În rândul adulților de vârstă activă, rata de ocupare a forței de muncă ajunge la doar 31 % pentru cei cu un nivel scăzut de instruire, comparativ cu 61 % pentru cei cu calificări intermediare și 84 % pentru cei cu un nivel ridicat de instruire</w:t>
      </w:r>
      <w:r w:rsidRPr="00311647">
        <w:rPr>
          <w:rStyle w:val="FootnoteReference"/>
          <w:noProof/>
        </w:rPr>
        <w:footnoteReference w:id="14"/>
      </w:r>
      <w:r w:rsidRPr="00311647">
        <w:rPr>
          <w:noProof/>
        </w:rPr>
        <w:t>. Între timp, dacă rata de ocupare a forței de muncă pentru grupa de vârstă 25-49 de ani este de 77 %, ea scade cu 16 puncte procentuale pentru persoanele cu vârsta de cel puțin 50 de ani</w:t>
      </w:r>
      <w:r w:rsidRPr="00311647">
        <w:rPr>
          <w:rStyle w:val="FootnoteReference"/>
          <w:noProof/>
        </w:rPr>
        <w:footnoteReference w:id="15"/>
      </w:r>
      <w:r w:rsidRPr="00311647">
        <w:rPr>
          <w:noProof/>
        </w:rPr>
        <w:t>.</w:t>
      </w:r>
    </w:p>
    <w:p w:rsidR="00A5196A" w:rsidRPr="00311647" w:rsidRDefault="00EF012B" w:rsidP="00A5196A">
      <w:pPr>
        <w:pStyle w:val="ManualNumPar1"/>
        <w:rPr>
          <w:noProof/>
        </w:rPr>
      </w:pPr>
      <w:r>
        <w:rPr>
          <w:noProof/>
        </w:rPr>
        <w:t>19.</w:t>
      </w:r>
      <w:r>
        <w:rPr>
          <w:noProof/>
        </w:rPr>
        <w:tab/>
      </w:r>
      <w:r w:rsidRPr="00311647">
        <w:rPr>
          <w:noProof/>
        </w:rPr>
        <w:t>Cora avea două magazine în Bruxelles</w:t>
      </w:r>
      <w:r w:rsidRPr="00311647">
        <w:rPr>
          <w:rStyle w:val="FootnoteReference"/>
          <w:noProof/>
        </w:rPr>
        <w:footnoteReference w:id="16"/>
      </w:r>
      <w:r w:rsidRPr="00311647">
        <w:rPr>
          <w:noProof/>
        </w:rPr>
        <w:t xml:space="preserve"> și cinci în Valonia. Disponibilizările vizează în principal provincia valonă Hainaut, unde locuiesc doi din trei lucrători disponibilizați, în special orașul Charleroi, care a găzduit, de asemenea, serviciile generale ale Cora.</w:t>
      </w:r>
    </w:p>
    <w:p w:rsidR="00A331D5" w:rsidRPr="00311647" w:rsidRDefault="00CB3BCE" w:rsidP="000E51CF">
      <w:pPr>
        <w:pStyle w:val="ManualNumPar1"/>
        <w:rPr>
          <w:noProof/>
        </w:rPr>
      </w:pPr>
      <w:r>
        <w:rPr>
          <w:noProof/>
        </w:rPr>
        <w:t>20.</w:t>
      </w:r>
      <w:r>
        <w:rPr>
          <w:noProof/>
        </w:rPr>
        <w:tab/>
      </w:r>
      <w:bookmarkStart w:id="12" w:name="_Hlk229057170"/>
      <w:r w:rsidRPr="00311647">
        <w:rPr>
          <w:noProof/>
        </w:rPr>
        <w:t xml:space="preserve">Hainaut este o piață a forței de muncă dezavantajată. În decembrie 2025, </w:t>
      </w:r>
      <w:bookmarkStart w:id="13" w:name="_Hlk229565640"/>
      <w:r w:rsidRPr="00311647">
        <w:rPr>
          <w:noProof/>
        </w:rPr>
        <w:t>rata șomerilor înregistrați aflați în căutarea unui loc de muncă în Hainaut</w:t>
      </w:r>
      <w:bookmarkEnd w:id="13"/>
      <w:r w:rsidRPr="00311647">
        <w:rPr>
          <w:noProof/>
        </w:rPr>
        <w:t xml:space="preserve"> a fost de 17,6 % (+1,5 puncte procentuale de la an la an)</w:t>
      </w:r>
      <w:r w:rsidRPr="00311647">
        <w:rPr>
          <w:rStyle w:val="FootnoteReference"/>
          <w:noProof/>
        </w:rPr>
        <w:footnoteReference w:id="17"/>
      </w:r>
      <w:r w:rsidRPr="00311647">
        <w:rPr>
          <w:noProof/>
        </w:rPr>
        <w:t xml:space="preserve">. Hainaut reprezintă 41 % din persoanele aflate în căutarea unui loc de muncă din Valonia, iar șomajul de lungă durată este predominant: 68 % dintre persoanele aflate în căutarea unui loc de muncă înregistrate se află în șomaj de peste 12 luni. Aproape două din trei persoane șomere aflate în </w:t>
      </w:r>
      <w:r w:rsidRPr="00311647">
        <w:rPr>
          <w:noProof/>
        </w:rPr>
        <w:lastRenderedPageBreak/>
        <w:t>căutarea unui loc de muncă pe termen lung au finalizat un al doilea sau al treilea ciclu de învățământ secundar</w:t>
      </w:r>
      <w:r w:rsidRPr="00311647">
        <w:rPr>
          <w:rStyle w:val="FootnoteReference"/>
          <w:noProof/>
        </w:rPr>
        <w:footnoteReference w:id="18"/>
      </w:r>
      <w:r w:rsidRPr="00311647">
        <w:rPr>
          <w:noProof/>
        </w:rPr>
        <w:t>. În ceea ce privește vârsta, grupa de vârstă 15-29 de ani reprezintă cel mai mare număr de persoane aflate în căutarea unui loc de muncă (30 %), urmată de grupa de vârstă de peste 50 de ani (26 %)</w:t>
      </w:r>
      <w:r w:rsidRPr="00311647">
        <w:rPr>
          <w:rStyle w:val="FootnoteReference"/>
          <w:noProof/>
        </w:rPr>
        <w:footnoteReference w:id="19"/>
      </w:r>
      <w:r w:rsidRPr="00311647">
        <w:rPr>
          <w:noProof/>
        </w:rPr>
        <w:t>.</w:t>
      </w:r>
    </w:p>
    <w:bookmarkEnd w:id="12"/>
    <w:p w:rsidR="00A5196A" w:rsidRPr="00311647" w:rsidRDefault="00A331D5" w:rsidP="000E51CF">
      <w:pPr>
        <w:pStyle w:val="ManualNumPar1"/>
        <w:rPr>
          <w:noProof/>
        </w:rPr>
      </w:pPr>
      <w:r>
        <w:rPr>
          <w:noProof/>
        </w:rPr>
        <w:t>21.</w:t>
      </w:r>
      <w:r>
        <w:rPr>
          <w:noProof/>
        </w:rPr>
        <w:tab/>
      </w:r>
      <w:r w:rsidRPr="00311647">
        <w:rPr>
          <w:noProof/>
        </w:rPr>
        <w:t>Opt din zece lucrători disponibilizați au un nivel de instruire de nivel secundar superior sau inferior. În ceea ce privește vârsta, aproximativ jumătate dintre ei au vârsta de 50 de ani sau mai mult. În consecință, sprijinul adaptat și consolidat pentru plasarea personalului disponibilizat și orientarea profesională, alături de oportunitățile de perfecționare și recalificare, sunt esențiale pentru a facilita tranziția lor către un nou loc de muncă.</w:t>
      </w:r>
    </w:p>
    <w:p w:rsidR="001A62D7" w:rsidRPr="00311647" w:rsidRDefault="00A331D5" w:rsidP="00A5196A">
      <w:pPr>
        <w:pStyle w:val="ManualNumPar1"/>
        <w:rPr>
          <w:noProof/>
        </w:rPr>
      </w:pPr>
      <w:r>
        <w:rPr>
          <w:noProof/>
        </w:rPr>
        <w:t>22.</w:t>
      </w:r>
      <w:r>
        <w:rPr>
          <w:noProof/>
        </w:rPr>
        <w:tab/>
      </w:r>
      <w:r w:rsidRPr="00311647">
        <w:rPr>
          <w:noProof/>
        </w:rPr>
        <w:t>Belgia solicită cofinanțare din FEG exclusiv pentru a sprijini foștii lucrători Cora care locuiesc în Valonia. Având în vedere numărul relativ mic de lucrători afectați din Bruxelles, autoritățile regionale consideră că serviciile publice de ocupare a forței de muncă pot oferi sprijin adecvat fără a necesita resurse suplimentare.</w:t>
      </w:r>
    </w:p>
    <w:p w:rsidR="001A62D7" w:rsidRPr="00311647" w:rsidRDefault="001A62D7" w:rsidP="001A62D7">
      <w:pPr>
        <w:pStyle w:val="ManualHeading2"/>
        <w:rPr>
          <w:noProof/>
        </w:rPr>
      </w:pPr>
      <w:r w:rsidRPr="00311647">
        <w:rPr>
          <w:noProof/>
        </w:rPr>
        <w:t>Aplicarea Cadrului de calitate al UE pentru anticiparea schimbărilor și a restructurării (QFR)</w:t>
      </w:r>
    </w:p>
    <w:p w:rsidR="004239CD" w:rsidRPr="00311647" w:rsidRDefault="003334EE" w:rsidP="00C72394">
      <w:pPr>
        <w:pStyle w:val="ManualNumPar1"/>
        <w:rPr>
          <w:noProof/>
        </w:rPr>
      </w:pPr>
      <w:r>
        <w:rPr>
          <w:noProof/>
        </w:rPr>
        <w:t>23.</w:t>
      </w:r>
      <w:r>
        <w:rPr>
          <w:noProof/>
        </w:rPr>
        <w:tab/>
      </w:r>
      <w:r w:rsidRPr="00311647">
        <w:rPr>
          <w:noProof/>
        </w:rPr>
        <w:t>Belgia a descris modul în care au fost luate în considerare recomandările prevăzute în Cadrul de calitate al UE pentru anticiparea schimbărilor și a restructurării.</w:t>
      </w:r>
    </w:p>
    <w:p w:rsidR="0051086D" w:rsidRPr="00311647" w:rsidRDefault="0051086D" w:rsidP="0051086D">
      <w:pPr>
        <w:pStyle w:val="ManualNumPar1"/>
        <w:rPr>
          <w:noProof/>
        </w:rPr>
      </w:pPr>
      <w:r>
        <w:rPr>
          <w:noProof/>
        </w:rPr>
        <w:t>24.</w:t>
      </w:r>
      <w:r>
        <w:rPr>
          <w:noProof/>
        </w:rPr>
        <w:tab/>
      </w:r>
      <w:r w:rsidRPr="00311647">
        <w:rPr>
          <w:noProof/>
        </w:rPr>
        <w:t xml:space="preserve">Cora a respectat legislația belgiană privind concedierile colective, care stabilește o procedură obligatorie de informare și consultare a reprezentanților lucrătorilor. Procedura oferă posibilitatea de a explora orice posibilitate de evitare sau de reducere a numărului de concedieri. Se urmărește, de asemenea, atenuarea consecințelor pierderii locurilor de muncă prin măsuri sociale complementare, cum ar fi sprijin pentru reconversia profesională sau recalificarea lucrătorilor concediați. Negocierile au asigurat un buget specific de </w:t>
      </w:r>
      <w:bookmarkStart w:id="16" w:name="_Hlk168668396"/>
      <w:r w:rsidRPr="00311647">
        <w:rPr>
          <w:noProof/>
        </w:rPr>
        <w:t>1 898 000 EUR pentru acoperirea costurilor de recalificare.</w:t>
      </w:r>
      <w:bookmarkEnd w:id="16"/>
    </w:p>
    <w:p w:rsidR="00C72394" w:rsidRPr="00311647" w:rsidRDefault="001A62D7" w:rsidP="00C72394">
      <w:pPr>
        <w:pStyle w:val="ManualNumPar1"/>
        <w:rPr>
          <w:noProof/>
        </w:rPr>
      </w:pPr>
      <w:r>
        <w:rPr>
          <w:noProof/>
        </w:rPr>
        <w:t>25.</w:t>
      </w:r>
      <w:r>
        <w:rPr>
          <w:noProof/>
        </w:rPr>
        <w:tab/>
      </w:r>
      <w:r w:rsidRPr="00311647">
        <w:rPr>
          <w:noProof/>
        </w:rPr>
        <w:t>În ceea ce privește activitățile întreprinse pentru a acorda asistență lucrătorilor disponibilizați, Belgia a raportat că legislația națională a muncii</w:t>
      </w:r>
      <w:r w:rsidRPr="00311647">
        <w:rPr>
          <w:rStyle w:val="FootnoteReference"/>
          <w:noProof/>
        </w:rPr>
        <w:footnoteReference w:id="20"/>
      </w:r>
      <w:r w:rsidRPr="00311647">
        <w:rPr>
          <w:noProof/>
        </w:rPr>
        <w:t xml:space="preserve"> referitoare la gestionarea activă a restructurării impune întreprinderilor care realizează restructurări să înființeze o unitate de ocupare a forței de muncă (</w:t>
      </w:r>
      <w:r w:rsidRPr="00311647">
        <w:rPr>
          <w:i/>
          <w:noProof/>
        </w:rPr>
        <w:t>cellule pour l’emploi</w:t>
      </w:r>
      <w:r w:rsidRPr="00311647">
        <w:rPr>
          <w:noProof/>
        </w:rPr>
        <w:t>)</w:t>
      </w:r>
      <w:r w:rsidRPr="00311647">
        <w:rPr>
          <w:rStyle w:val="FootnoteReference"/>
          <w:iCs/>
          <w:noProof/>
        </w:rPr>
        <w:footnoteReference w:id="21"/>
      </w:r>
      <w:r w:rsidRPr="00311647">
        <w:rPr>
          <w:noProof/>
        </w:rPr>
        <w:t>, având scopul de a oferi lucrătorilor concediați în contextul disponibilizărilor colective 30 de ore de servicii de plasare pe piața muncii într-o perioadă de trei luni (60 de ore într-o perioadă de șase luni în cazul lucrătorilor trecuți de 45 de ani).</w:t>
      </w:r>
    </w:p>
    <w:p w:rsidR="00C72394" w:rsidRPr="00311647" w:rsidRDefault="00C72394" w:rsidP="00C72394">
      <w:pPr>
        <w:pStyle w:val="ManualNumPar1"/>
        <w:rPr>
          <w:noProof/>
        </w:rPr>
      </w:pPr>
      <w:r>
        <w:rPr>
          <w:noProof/>
        </w:rPr>
        <w:t>26.</w:t>
      </w:r>
      <w:r>
        <w:rPr>
          <w:noProof/>
        </w:rPr>
        <w:tab/>
      </w:r>
      <w:r w:rsidRPr="00311647">
        <w:rPr>
          <w:noProof/>
        </w:rPr>
        <w:t>Legislația regională din Regiunea Valonă</w:t>
      </w:r>
      <w:r w:rsidRPr="00311647">
        <w:rPr>
          <w:rStyle w:val="FootnoteReference"/>
          <w:noProof/>
        </w:rPr>
        <w:footnoteReference w:id="22"/>
      </w:r>
      <w:r w:rsidRPr="00311647">
        <w:rPr>
          <w:noProof/>
        </w:rPr>
        <w:t xml:space="preserve"> prevede un sprijin specific pentru lucrătorii concediați, sub forma unei unități de reconversie profesională (</w:t>
      </w:r>
      <w:r w:rsidRPr="00311647">
        <w:rPr>
          <w:i/>
          <w:noProof/>
        </w:rPr>
        <w:t>cellule de reconversion</w:t>
      </w:r>
      <w:r w:rsidRPr="00311647">
        <w:rPr>
          <w:noProof/>
        </w:rPr>
        <w:t>)</w:t>
      </w:r>
      <w:r w:rsidRPr="00311647">
        <w:rPr>
          <w:rStyle w:val="FootnoteReference"/>
          <w:iCs/>
          <w:noProof/>
        </w:rPr>
        <w:footnoteReference w:id="23"/>
      </w:r>
      <w:r w:rsidRPr="00311647">
        <w:rPr>
          <w:noProof/>
        </w:rPr>
        <w:t xml:space="preserve"> înființate de Serviciul public regional pentru ocuparea forței de muncă și formare profesională (Le Forem) la cererea organizațiilor de reprezentanți ai lucrătorilor. Unitatea de reconversie profesională nu constituie o obligație nici pentru angajator, nici pentru Le Forem. Punerea în aplicare a măsurilor cofinanțate </w:t>
      </w:r>
      <w:r w:rsidRPr="00311647">
        <w:rPr>
          <w:noProof/>
        </w:rPr>
        <w:lastRenderedPageBreak/>
        <w:t>prin FEG va fi gestionată prin intermediul unei astfel de unități de reconversie profesională.</w:t>
      </w:r>
    </w:p>
    <w:p w:rsidR="00C72394" w:rsidRPr="00311647" w:rsidRDefault="00783113" w:rsidP="00C72394">
      <w:pPr>
        <w:pStyle w:val="ManualNumPar1"/>
        <w:rPr>
          <w:noProof/>
        </w:rPr>
      </w:pPr>
      <w:r>
        <w:rPr>
          <w:noProof/>
        </w:rPr>
        <w:t>27.</w:t>
      </w:r>
      <w:r>
        <w:rPr>
          <w:noProof/>
        </w:rPr>
        <w:tab/>
      </w:r>
      <w:r w:rsidRPr="00311647">
        <w:rPr>
          <w:noProof/>
        </w:rPr>
        <w:t>În ceea ce privește activitățile întreprinse pentru a sprijini lucrătorii disponibilizați, Belgia a raportat că unitatea de reconversie profesională a fost înființată la 1 octombrie 2025, la scurt timp după primele concedieri.</w:t>
      </w:r>
    </w:p>
    <w:p w:rsidR="001A62D7" w:rsidRPr="00311647" w:rsidRDefault="001A62D7" w:rsidP="001A62D7">
      <w:pPr>
        <w:pStyle w:val="ManualHeading3"/>
        <w:rPr>
          <w:noProof/>
        </w:rPr>
      </w:pPr>
      <w:r w:rsidRPr="00311647">
        <w:rPr>
          <w:noProof/>
        </w:rPr>
        <w:t>Complementaritatea cu acțiuni finanțate din fonduri naționale sau din fonduri ale Uniunii</w:t>
      </w:r>
    </w:p>
    <w:p w:rsidR="001A62D7" w:rsidRPr="00311647" w:rsidRDefault="00741722" w:rsidP="00AE7D04">
      <w:pPr>
        <w:pStyle w:val="ManualNumPar1"/>
        <w:rPr>
          <w:noProof/>
        </w:rPr>
      </w:pPr>
      <w:r>
        <w:rPr>
          <w:noProof/>
        </w:rPr>
        <w:t>28.</w:t>
      </w:r>
      <w:r>
        <w:rPr>
          <w:noProof/>
        </w:rPr>
        <w:tab/>
      </w:r>
      <w:r w:rsidRPr="00311647">
        <w:rPr>
          <w:noProof/>
        </w:rPr>
        <w:t>Belgia a confirmat faptul că măsurile descrise mai jos care primesc o contribuție financiară din partea FEG nu vor beneficia și de contribuții financiare din partea altor instrumente financiare ale Uniunii.</w:t>
      </w:r>
    </w:p>
    <w:p w:rsidR="001A62D7" w:rsidRPr="00311647" w:rsidRDefault="001A62D7" w:rsidP="00AE7D04">
      <w:pPr>
        <w:pStyle w:val="ManualNumPar1"/>
        <w:rPr>
          <w:noProof/>
        </w:rPr>
      </w:pPr>
      <w:r>
        <w:rPr>
          <w:noProof/>
        </w:rPr>
        <w:t>29.</w:t>
      </w:r>
      <w:r>
        <w:rPr>
          <w:noProof/>
        </w:rPr>
        <w:tab/>
      </w:r>
      <w:r w:rsidRPr="00311647">
        <w:rPr>
          <w:noProof/>
        </w:rPr>
        <w:t>Pachetul coordonat de servicii personalizate completează acțiunile finanțate prin alte fonduri naționale sau ale UE.</w:t>
      </w:r>
    </w:p>
    <w:p w:rsidR="001A62D7" w:rsidRPr="00311647" w:rsidRDefault="001A62D7" w:rsidP="001A62D7">
      <w:pPr>
        <w:pStyle w:val="ManualHeading3"/>
        <w:tabs>
          <w:tab w:val="clear" w:pos="850"/>
          <w:tab w:val="left" w:pos="0"/>
        </w:tabs>
        <w:ind w:left="0" w:firstLine="0"/>
        <w:rPr>
          <w:noProof/>
          <w:u w:val="single"/>
        </w:rPr>
      </w:pPr>
      <w:r w:rsidRPr="00311647">
        <w:rPr>
          <w:noProof/>
        </w:rPr>
        <w:t>Proceduri de consultare a beneficiarilor vizați sau a reprezentanților acestora ori a partenerilor sociali, precum și a autorităților locale și regionale</w:t>
      </w:r>
    </w:p>
    <w:p w:rsidR="001A62D7" w:rsidRPr="00311647" w:rsidRDefault="0051086D" w:rsidP="00AE7D04">
      <w:pPr>
        <w:pStyle w:val="ManualNumPar1"/>
        <w:rPr>
          <w:noProof/>
        </w:rPr>
      </w:pPr>
      <w:r>
        <w:rPr>
          <w:noProof/>
        </w:rPr>
        <w:t>30.</w:t>
      </w:r>
      <w:r>
        <w:rPr>
          <w:noProof/>
        </w:rPr>
        <w:tab/>
      </w:r>
      <w:r w:rsidRPr="00311647">
        <w:rPr>
          <w:noProof/>
        </w:rPr>
        <w:t xml:space="preserve">Belgia a indicat că pachetul coordonat de servicii personalizate a fost elaborat în consultare cu beneficiarii vizați, cu reprezentanții lor și cu partenerii sociali, în conformitate cu articolul 7 alineatul (4) din Regulamentul (UE) 2021/691. </w:t>
      </w:r>
    </w:p>
    <w:p w:rsidR="001A62D7" w:rsidRPr="00311647" w:rsidRDefault="00FA0318" w:rsidP="00BA0477">
      <w:pPr>
        <w:pStyle w:val="ManualNumPar1"/>
        <w:rPr>
          <w:noProof/>
        </w:rPr>
      </w:pPr>
      <w:r>
        <w:rPr>
          <w:noProof/>
        </w:rPr>
        <w:t>31.</w:t>
      </w:r>
      <w:r>
        <w:rPr>
          <w:noProof/>
        </w:rPr>
        <w:tab/>
      </w:r>
      <w:r w:rsidRPr="00311647">
        <w:rPr>
          <w:noProof/>
        </w:rPr>
        <w:t>Pentru a facilita tranziția lucrătorilor către un nou loc de muncă, Le Forem, sindicatele (FGTB</w:t>
      </w:r>
      <w:r w:rsidRPr="00311647">
        <w:rPr>
          <w:rStyle w:val="FootnoteReference"/>
          <w:noProof/>
        </w:rPr>
        <w:footnoteReference w:id="24"/>
      </w:r>
      <w:r w:rsidRPr="00311647">
        <w:rPr>
          <w:noProof/>
        </w:rPr>
        <w:t xml:space="preserve"> și CSC</w:t>
      </w:r>
      <w:r w:rsidRPr="00311647">
        <w:rPr>
          <w:rStyle w:val="FootnoteReference"/>
          <w:noProof/>
        </w:rPr>
        <w:footnoteReference w:id="25"/>
      </w:r>
      <w:r w:rsidRPr="00311647">
        <w:rPr>
          <w:noProof/>
        </w:rPr>
        <w:t>) și alți parteneri s-au reunit la 29 septembrie 2025. Reuniunea a contribuit la evaluarea nevoilor de recalificare ale lucrătorilor. Au fost consultați, de asemenea, consilierii sociali, care au sprijinit lucrătorii în urma disponibilizărilor. Prin urmare, a fost elaborat un pachet coordonat de măsuri FEG, în conformitate cu articolul 7 alineatul (4) din Regulamentul (UE) 2021/691.</w:t>
      </w:r>
    </w:p>
    <w:p w:rsidR="001A62D7" w:rsidRPr="00311647" w:rsidRDefault="001A62D7" w:rsidP="001A62D7">
      <w:pPr>
        <w:pStyle w:val="ManualHeading2"/>
        <w:rPr>
          <w:noProof/>
        </w:rPr>
      </w:pPr>
      <w:r w:rsidRPr="00311647">
        <w:rPr>
          <w:noProof/>
        </w:rPr>
        <w:t>Beneficiarii vizați și măsurile propuse</w:t>
      </w:r>
    </w:p>
    <w:p w:rsidR="001A62D7" w:rsidRPr="00311647" w:rsidRDefault="001A62D7" w:rsidP="001A62D7">
      <w:pPr>
        <w:pStyle w:val="ManualHeading3"/>
        <w:rPr>
          <w:noProof/>
        </w:rPr>
      </w:pPr>
      <w:r w:rsidRPr="00311647">
        <w:rPr>
          <w:noProof/>
        </w:rPr>
        <w:t>Beneficiarii vizați</w:t>
      </w:r>
    </w:p>
    <w:p w:rsidR="001A62D7" w:rsidRPr="00311647" w:rsidRDefault="009B2D0E" w:rsidP="00AE7D04">
      <w:pPr>
        <w:pStyle w:val="ManualNumPar1"/>
        <w:rPr>
          <w:noProof/>
        </w:rPr>
      </w:pPr>
      <w:r>
        <w:rPr>
          <w:noProof/>
        </w:rPr>
        <w:t>32.</w:t>
      </w:r>
      <w:r>
        <w:rPr>
          <w:noProof/>
        </w:rPr>
        <w:tab/>
      </w:r>
      <w:r w:rsidRPr="00311647">
        <w:rPr>
          <w:noProof/>
        </w:rPr>
        <w:t>Se estimează că numărul lucrătorilor disponibilizați care vor beneficia de măsuri va fi de 1010.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rsidR="001A62D7" w:rsidRPr="00311647" w:rsidTr="001D5990">
        <w:trPr>
          <w:jc w:val="center"/>
        </w:trPr>
        <w:tc>
          <w:tcPr>
            <w:tcW w:w="3559" w:type="dxa"/>
            <w:gridSpan w:val="2"/>
            <w:tcBorders>
              <w:top w:val="single" w:sz="4" w:space="0" w:color="auto"/>
              <w:left w:val="nil"/>
              <w:bottom w:val="single" w:sz="4" w:space="0" w:color="auto"/>
              <w:right w:val="nil"/>
            </w:tcBorders>
            <w:hideMark/>
          </w:tcPr>
          <w:p w:rsidR="001A62D7" w:rsidRPr="00311647" w:rsidRDefault="001A62D7" w:rsidP="001D5990">
            <w:pPr>
              <w:spacing w:before="60" w:after="60"/>
              <w:jc w:val="center"/>
              <w:rPr>
                <w:noProof/>
              </w:rPr>
            </w:pPr>
            <w:r w:rsidRPr="00311647">
              <w:rPr>
                <w:noProof/>
              </w:rPr>
              <w:t>Categorie</w:t>
            </w:r>
          </w:p>
        </w:tc>
        <w:tc>
          <w:tcPr>
            <w:tcW w:w="2352" w:type="dxa"/>
            <w:gridSpan w:val="2"/>
            <w:tcBorders>
              <w:top w:val="single" w:sz="4" w:space="0" w:color="auto"/>
              <w:left w:val="nil"/>
              <w:bottom w:val="single" w:sz="4" w:space="0" w:color="auto"/>
              <w:right w:val="nil"/>
            </w:tcBorders>
            <w:hideMark/>
          </w:tcPr>
          <w:p w:rsidR="001A62D7" w:rsidRPr="00311647" w:rsidRDefault="001A62D7" w:rsidP="001D5990">
            <w:pPr>
              <w:spacing w:before="60" w:after="60"/>
              <w:jc w:val="center"/>
              <w:rPr>
                <w:noProof/>
              </w:rPr>
            </w:pPr>
            <w:r w:rsidRPr="00311647">
              <w:rPr>
                <w:noProof/>
              </w:rPr>
              <w:t>Numărul</w:t>
            </w:r>
            <w:r w:rsidR="00311647">
              <w:rPr>
                <w:noProof/>
              </w:rPr>
              <w:t xml:space="preserve"> </w:t>
            </w:r>
            <w:r w:rsidRPr="00311647">
              <w:rPr>
                <w:noProof/>
              </w:rPr>
              <w:cr/>
            </w:r>
            <w:r w:rsidRPr="00311647">
              <w:rPr>
                <w:noProof/>
              </w:rPr>
              <w:br/>
              <w:t>beneficiarilor preconizați</w:t>
            </w:r>
          </w:p>
        </w:tc>
      </w:tr>
      <w:tr w:rsidR="001A62D7" w:rsidRPr="00311647" w:rsidTr="001D5990">
        <w:trPr>
          <w:jc w:val="center"/>
        </w:trPr>
        <w:tc>
          <w:tcPr>
            <w:tcW w:w="1496" w:type="dxa"/>
            <w:tcBorders>
              <w:top w:val="single" w:sz="4" w:space="0" w:color="auto"/>
              <w:left w:val="nil"/>
              <w:right w:val="nil"/>
            </w:tcBorders>
            <w:hideMark/>
          </w:tcPr>
          <w:p w:rsidR="001A62D7" w:rsidRPr="00311647" w:rsidRDefault="001A62D7" w:rsidP="001D5990">
            <w:pPr>
              <w:spacing w:before="60" w:after="60"/>
              <w:rPr>
                <w:noProof/>
              </w:rPr>
            </w:pPr>
            <w:r w:rsidRPr="00311647">
              <w:rPr>
                <w:noProof/>
              </w:rPr>
              <w:t>Gen:</w:t>
            </w:r>
          </w:p>
        </w:tc>
        <w:tc>
          <w:tcPr>
            <w:tcW w:w="2063" w:type="dxa"/>
            <w:tcBorders>
              <w:top w:val="single" w:sz="4" w:space="0" w:color="auto"/>
              <w:left w:val="nil"/>
              <w:right w:val="nil"/>
            </w:tcBorders>
            <w:hideMark/>
          </w:tcPr>
          <w:p w:rsidR="001A62D7" w:rsidRPr="00311647" w:rsidRDefault="001A62D7" w:rsidP="001D5990">
            <w:pPr>
              <w:spacing w:before="60" w:after="60"/>
              <w:rPr>
                <w:noProof/>
              </w:rPr>
            </w:pPr>
            <w:r w:rsidRPr="00311647">
              <w:rPr>
                <w:noProof/>
              </w:rPr>
              <w:t>Bărbați:</w:t>
            </w:r>
          </w:p>
        </w:tc>
        <w:tc>
          <w:tcPr>
            <w:tcW w:w="1176" w:type="dxa"/>
            <w:tcBorders>
              <w:top w:val="single" w:sz="4" w:space="0" w:color="auto"/>
              <w:left w:val="nil"/>
              <w:right w:val="nil"/>
            </w:tcBorders>
            <w:hideMark/>
          </w:tcPr>
          <w:p w:rsidR="001A62D7" w:rsidRPr="00311647" w:rsidRDefault="00D21001" w:rsidP="001D5990">
            <w:pPr>
              <w:spacing w:before="60" w:after="60"/>
              <w:jc w:val="right"/>
              <w:rPr>
                <w:noProof/>
              </w:rPr>
            </w:pPr>
            <w:r w:rsidRPr="00311647">
              <w:rPr>
                <w:noProof/>
              </w:rPr>
              <w:t>472</w:t>
            </w:r>
          </w:p>
        </w:tc>
        <w:tc>
          <w:tcPr>
            <w:tcW w:w="1176" w:type="dxa"/>
            <w:tcBorders>
              <w:top w:val="single" w:sz="4" w:space="0" w:color="auto"/>
              <w:left w:val="nil"/>
              <w:right w:val="nil"/>
            </w:tcBorders>
            <w:hideMark/>
          </w:tcPr>
          <w:p w:rsidR="001A62D7" w:rsidRPr="00311647" w:rsidRDefault="001A62D7" w:rsidP="001D5990">
            <w:pPr>
              <w:spacing w:before="60" w:after="60"/>
              <w:jc w:val="right"/>
              <w:rPr>
                <w:noProof/>
              </w:rPr>
            </w:pPr>
            <w:r w:rsidRPr="00311647">
              <w:rPr>
                <w:noProof/>
              </w:rPr>
              <w:t>(46,7 %)</w:t>
            </w:r>
          </w:p>
        </w:tc>
      </w:tr>
      <w:tr w:rsidR="001A62D7" w:rsidRPr="00311647" w:rsidTr="001D5990">
        <w:trPr>
          <w:jc w:val="center"/>
        </w:trPr>
        <w:tc>
          <w:tcPr>
            <w:tcW w:w="1496" w:type="dxa"/>
            <w:tcBorders>
              <w:top w:val="nil"/>
              <w:left w:val="nil"/>
              <w:right w:val="nil"/>
            </w:tcBorders>
          </w:tcPr>
          <w:p w:rsidR="001A62D7" w:rsidRPr="00311647" w:rsidRDefault="001A62D7" w:rsidP="001D5990">
            <w:pPr>
              <w:spacing w:before="60" w:after="60"/>
              <w:rPr>
                <w:noProof/>
              </w:rPr>
            </w:pPr>
          </w:p>
        </w:tc>
        <w:tc>
          <w:tcPr>
            <w:tcW w:w="2063" w:type="dxa"/>
            <w:tcBorders>
              <w:top w:val="nil"/>
              <w:left w:val="nil"/>
              <w:right w:val="nil"/>
            </w:tcBorders>
          </w:tcPr>
          <w:p w:rsidR="001A62D7" w:rsidRPr="00311647" w:rsidRDefault="001A62D7" w:rsidP="001D5990">
            <w:pPr>
              <w:spacing w:before="60" w:after="60"/>
              <w:rPr>
                <w:rFonts w:eastAsia="Calibri"/>
                <w:noProof/>
              </w:rPr>
            </w:pPr>
            <w:r w:rsidRPr="00311647">
              <w:rPr>
                <w:noProof/>
              </w:rPr>
              <w:t>Femei:</w:t>
            </w:r>
          </w:p>
        </w:tc>
        <w:tc>
          <w:tcPr>
            <w:tcW w:w="1176" w:type="dxa"/>
          </w:tcPr>
          <w:p w:rsidR="001A62D7" w:rsidRPr="00311647" w:rsidRDefault="00D21001" w:rsidP="001D5990">
            <w:pPr>
              <w:spacing w:before="60" w:after="60"/>
              <w:jc w:val="right"/>
              <w:rPr>
                <w:noProof/>
              </w:rPr>
            </w:pPr>
            <w:r w:rsidRPr="00311647">
              <w:rPr>
                <w:noProof/>
              </w:rPr>
              <w:t>538</w:t>
            </w:r>
          </w:p>
        </w:tc>
        <w:tc>
          <w:tcPr>
            <w:tcW w:w="1176" w:type="dxa"/>
          </w:tcPr>
          <w:p w:rsidR="001A62D7" w:rsidRPr="00311647" w:rsidRDefault="001A62D7" w:rsidP="001D5990">
            <w:pPr>
              <w:spacing w:before="60" w:after="60"/>
              <w:jc w:val="right"/>
              <w:rPr>
                <w:rFonts w:eastAsia="Calibri"/>
                <w:noProof/>
              </w:rPr>
            </w:pPr>
            <w:r w:rsidRPr="00311647">
              <w:rPr>
                <w:noProof/>
              </w:rPr>
              <w:t>(53,3 %)</w:t>
            </w:r>
          </w:p>
        </w:tc>
      </w:tr>
      <w:tr w:rsidR="001A62D7" w:rsidRPr="00311647" w:rsidTr="001D5990">
        <w:trPr>
          <w:jc w:val="center"/>
        </w:trPr>
        <w:tc>
          <w:tcPr>
            <w:tcW w:w="1496" w:type="dxa"/>
            <w:tcBorders>
              <w:left w:val="nil"/>
              <w:bottom w:val="single" w:sz="4" w:space="0" w:color="auto"/>
              <w:right w:val="nil"/>
            </w:tcBorders>
          </w:tcPr>
          <w:p w:rsidR="001A62D7" w:rsidRPr="00311647" w:rsidRDefault="001A62D7" w:rsidP="001D5990">
            <w:pPr>
              <w:spacing w:before="60" w:after="60"/>
              <w:rPr>
                <w:noProof/>
              </w:rPr>
            </w:pPr>
          </w:p>
        </w:tc>
        <w:tc>
          <w:tcPr>
            <w:tcW w:w="2063" w:type="dxa"/>
            <w:tcBorders>
              <w:left w:val="nil"/>
              <w:bottom w:val="single" w:sz="4" w:space="0" w:color="auto"/>
              <w:right w:val="nil"/>
            </w:tcBorders>
          </w:tcPr>
          <w:p w:rsidR="001A62D7" w:rsidRPr="00311647" w:rsidRDefault="001A62D7" w:rsidP="001D5990">
            <w:pPr>
              <w:spacing w:before="60" w:after="60"/>
              <w:rPr>
                <w:noProof/>
              </w:rPr>
            </w:pPr>
            <w:r w:rsidRPr="00311647">
              <w:rPr>
                <w:noProof/>
              </w:rPr>
              <w:t>Persoane non-binare</w:t>
            </w:r>
          </w:p>
        </w:tc>
        <w:tc>
          <w:tcPr>
            <w:tcW w:w="1176" w:type="dxa"/>
            <w:tcBorders>
              <w:bottom w:val="single" w:sz="4" w:space="0" w:color="auto"/>
            </w:tcBorders>
            <w:hideMark/>
          </w:tcPr>
          <w:p w:rsidR="001A62D7" w:rsidRPr="00311647" w:rsidRDefault="006239A4" w:rsidP="001D5990">
            <w:pPr>
              <w:spacing w:before="60" w:after="60"/>
              <w:jc w:val="right"/>
              <w:rPr>
                <w:noProof/>
              </w:rPr>
            </w:pPr>
            <w:r w:rsidRPr="00311647">
              <w:rPr>
                <w:noProof/>
              </w:rPr>
              <w:t>0</w:t>
            </w:r>
          </w:p>
        </w:tc>
        <w:tc>
          <w:tcPr>
            <w:tcW w:w="1176" w:type="dxa"/>
            <w:tcBorders>
              <w:bottom w:val="single" w:sz="4" w:space="0" w:color="auto"/>
            </w:tcBorders>
            <w:hideMark/>
          </w:tcPr>
          <w:p w:rsidR="001A62D7" w:rsidRPr="00311647" w:rsidRDefault="001A62D7" w:rsidP="001D5990">
            <w:pPr>
              <w:spacing w:before="60" w:after="60"/>
              <w:jc w:val="right"/>
              <w:rPr>
                <w:noProof/>
              </w:rPr>
            </w:pPr>
            <w:r w:rsidRPr="00311647">
              <w:rPr>
                <w:noProof/>
              </w:rPr>
              <w:t>(0,0 %)</w:t>
            </w:r>
          </w:p>
        </w:tc>
      </w:tr>
      <w:tr w:rsidR="001A62D7" w:rsidRPr="00311647" w:rsidTr="001D5990">
        <w:trPr>
          <w:jc w:val="center"/>
        </w:trPr>
        <w:tc>
          <w:tcPr>
            <w:tcW w:w="1496" w:type="dxa"/>
            <w:tcBorders>
              <w:top w:val="single" w:sz="4" w:space="0" w:color="auto"/>
              <w:left w:val="nil"/>
              <w:bottom w:val="nil"/>
              <w:right w:val="nil"/>
            </w:tcBorders>
            <w:hideMark/>
          </w:tcPr>
          <w:p w:rsidR="001A62D7" w:rsidRPr="00311647" w:rsidRDefault="001A62D7" w:rsidP="001D5990">
            <w:pPr>
              <w:spacing w:before="60" w:after="60"/>
              <w:rPr>
                <w:noProof/>
              </w:rPr>
            </w:pPr>
            <w:r w:rsidRPr="00311647">
              <w:rPr>
                <w:noProof/>
              </w:rPr>
              <w:t>Grupa de vârstă:</w:t>
            </w:r>
          </w:p>
        </w:tc>
        <w:tc>
          <w:tcPr>
            <w:tcW w:w="2063" w:type="dxa"/>
            <w:tcBorders>
              <w:top w:val="single" w:sz="4" w:space="0" w:color="auto"/>
              <w:left w:val="nil"/>
              <w:bottom w:val="nil"/>
              <w:right w:val="nil"/>
            </w:tcBorders>
            <w:hideMark/>
          </w:tcPr>
          <w:p w:rsidR="001A62D7" w:rsidRPr="00311647" w:rsidRDefault="001A62D7" w:rsidP="001D5990">
            <w:pPr>
              <w:spacing w:before="60" w:after="60"/>
              <w:rPr>
                <w:noProof/>
              </w:rPr>
            </w:pPr>
            <w:r w:rsidRPr="00311647">
              <w:rPr>
                <w:noProof/>
              </w:rPr>
              <w:t>sub 30 de ani:</w:t>
            </w:r>
          </w:p>
        </w:tc>
        <w:tc>
          <w:tcPr>
            <w:tcW w:w="1176" w:type="dxa"/>
            <w:tcBorders>
              <w:top w:val="single" w:sz="4" w:space="0" w:color="auto"/>
            </w:tcBorders>
            <w:hideMark/>
          </w:tcPr>
          <w:p w:rsidR="001A62D7" w:rsidRPr="00311647" w:rsidRDefault="006239A4" w:rsidP="001D5990">
            <w:pPr>
              <w:spacing w:before="60" w:after="60"/>
              <w:jc w:val="right"/>
              <w:rPr>
                <w:noProof/>
              </w:rPr>
            </w:pPr>
            <w:r w:rsidRPr="00311647">
              <w:rPr>
                <w:noProof/>
              </w:rPr>
              <w:t>44</w:t>
            </w:r>
          </w:p>
        </w:tc>
        <w:tc>
          <w:tcPr>
            <w:tcW w:w="1176" w:type="dxa"/>
            <w:tcBorders>
              <w:top w:val="single" w:sz="4" w:space="0" w:color="auto"/>
            </w:tcBorders>
            <w:hideMark/>
          </w:tcPr>
          <w:p w:rsidR="001A62D7" w:rsidRPr="00311647" w:rsidRDefault="001A62D7" w:rsidP="001D5990">
            <w:pPr>
              <w:spacing w:before="60" w:after="60"/>
              <w:jc w:val="right"/>
              <w:rPr>
                <w:noProof/>
              </w:rPr>
            </w:pPr>
            <w:r w:rsidRPr="00311647">
              <w:rPr>
                <w:noProof/>
              </w:rPr>
              <w:t>(4,4 %)</w:t>
            </w:r>
          </w:p>
        </w:tc>
      </w:tr>
      <w:tr w:rsidR="001A62D7" w:rsidRPr="00311647" w:rsidTr="001D5990">
        <w:trPr>
          <w:jc w:val="center"/>
        </w:trPr>
        <w:tc>
          <w:tcPr>
            <w:tcW w:w="1496" w:type="dxa"/>
          </w:tcPr>
          <w:p w:rsidR="001A62D7" w:rsidRPr="00311647" w:rsidRDefault="001A62D7" w:rsidP="001D5990">
            <w:pPr>
              <w:spacing w:before="60" w:after="60"/>
              <w:rPr>
                <w:noProof/>
              </w:rPr>
            </w:pPr>
          </w:p>
        </w:tc>
        <w:tc>
          <w:tcPr>
            <w:tcW w:w="2063" w:type="dxa"/>
            <w:hideMark/>
          </w:tcPr>
          <w:p w:rsidR="001A62D7" w:rsidRPr="00311647" w:rsidRDefault="001A62D7" w:rsidP="001D5990">
            <w:pPr>
              <w:spacing w:before="60" w:after="60"/>
              <w:rPr>
                <w:noProof/>
              </w:rPr>
            </w:pPr>
            <w:r w:rsidRPr="00311647">
              <w:rPr>
                <w:noProof/>
              </w:rPr>
              <w:t>30-54 de ani:</w:t>
            </w:r>
          </w:p>
        </w:tc>
        <w:tc>
          <w:tcPr>
            <w:tcW w:w="1176" w:type="dxa"/>
            <w:hideMark/>
          </w:tcPr>
          <w:p w:rsidR="001A62D7" w:rsidRPr="00311647" w:rsidRDefault="00D21001" w:rsidP="001D5990">
            <w:pPr>
              <w:spacing w:before="60" w:after="60"/>
              <w:jc w:val="right"/>
              <w:rPr>
                <w:noProof/>
              </w:rPr>
            </w:pPr>
            <w:r w:rsidRPr="00311647">
              <w:rPr>
                <w:noProof/>
              </w:rPr>
              <w:t>667</w:t>
            </w:r>
          </w:p>
        </w:tc>
        <w:tc>
          <w:tcPr>
            <w:tcW w:w="1176" w:type="dxa"/>
            <w:hideMark/>
          </w:tcPr>
          <w:p w:rsidR="001A62D7" w:rsidRPr="00311647" w:rsidRDefault="001A62D7" w:rsidP="001D5990">
            <w:pPr>
              <w:spacing w:before="60" w:after="60"/>
              <w:jc w:val="right"/>
              <w:rPr>
                <w:noProof/>
              </w:rPr>
            </w:pPr>
            <w:r w:rsidRPr="00311647">
              <w:rPr>
                <w:noProof/>
              </w:rPr>
              <w:t>(66,0 %)</w:t>
            </w:r>
          </w:p>
        </w:tc>
      </w:tr>
      <w:tr w:rsidR="001A62D7" w:rsidRPr="00311647" w:rsidTr="001D5990">
        <w:trPr>
          <w:jc w:val="center"/>
        </w:trPr>
        <w:tc>
          <w:tcPr>
            <w:tcW w:w="1496" w:type="dxa"/>
          </w:tcPr>
          <w:p w:rsidR="001A62D7" w:rsidRPr="00311647" w:rsidRDefault="001A62D7" w:rsidP="001D5990">
            <w:pPr>
              <w:spacing w:before="60" w:after="60"/>
              <w:rPr>
                <w:noProof/>
              </w:rPr>
            </w:pPr>
          </w:p>
        </w:tc>
        <w:tc>
          <w:tcPr>
            <w:tcW w:w="2063" w:type="dxa"/>
            <w:hideMark/>
          </w:tcPr>
          <w:p w:rsidR="001A62D7" w:rsidRPr="00311647" w:rsidRDefault="001A62D7" w:rsidP="001D5990">
            <w:pPr>
              <w:spacing w:before="60" w:after="60"/>
              <w:jc w:val="left"/>
              <w:rPr>
                <w:noProof/>
              </w:rPr>
            </w:pPr>
            <w:r w:rsidRPr="00311647">
              <w:rPr>
                <w:noProof/>
              </w:rPr>
              <w:t>peste 54 de ani:</w:t>
            </w:r>
          </w:p>
        </w:tc>
        <w:tc>
          <w:tcPr>
            <w:tcW w:w="1176" w:type="dxa"/>
            <w:hideMark/>
          </w:tcPr>
          <w:p w:rsidR="001A62D7" w:rsidRPr="00311647" w:rsidRDefault="00D21001" w:rsidP="001D5990">
            <w:pPr>
              <w:spacing w:before="60" w:after="60"/>
              <w:jc w:val="right"/>
              <w:rPr>
                <w:noProof/>
              </w:rPr>
            </w:pPr>
            <w:r w:rsidRPr="00311647">
              <w:rPr>
                <w:noProof/>
              </w:rPr>
              <w:t>299</w:t>
            </w:r>
          </w:p>
        </w:tc>
        <w:tc>
          <w:tcPr>
            <w:tcW w:w="1176" w:type="dxa"/>
            <w:hideMark/>
          </w:tcPr>
          <w:p w:rsidR="001A62D7" w:rsidRPr="00311647" w:rsidRDefault="001A62D7" w:rsidP="001D5990">
            <w:pPr>
              <w:spacing w:before="60" w:after="60"/>
              <w:jc w:val="right"/>
              <w:rPr>
                <w:noProof/>
              </w:rPr>
            </w:pPr>
            <w:r w:rsidRPr="00311647">
              <w:rPr>
                <w:noProof/>
              </w:rPr>
              <w:t>(29,6 %)</w:t>
            </w:r>
          </w:p>
        </w:tc>
      </w:tr>
      <w:tr w:rsidR="001A62D7" w:rsidRPr="00311647" w:rsidTr="001D5990">
        <w:trPr>
          <w:jc w:val="center"/>
        </w:trPr>
        <w:tc>
          <w:tcPr>
            <w:tcW w:w="1496" w:type="dxa"/>
            <w:tcBorders>
              <w:top w:val="single" w:sz="4" w:space="0" w:color="auto"/>
              <w:left w:val="nil"/>
              <w:bottom w:val="nil"/>
              <w:right w:val="nil"/>
            </w:tcBorders>
          </w:tcPr>
          <w:p w:rsidR="001A62D7" w:rsidRPr="00311647" w:rsidRDefault="001A62D7" w:rsidP="001D5990">
            <w:pPr>
              <w:spacing w:before="60" w:after="60"/>
              <w:rPr>
                <w:noProof/>
              </w:rPr>
            </w:pPr>
            <w:r w:rsidRPr="00311647">
              <w:rPr>
                <w:noProof/>
              </w:rPr>
              <w:lastRenderedPageBreak/>
              <w:t>Nivelul de instruire</w:t>
            </w:r>
          </w:p>
        </w:tc>
        <w:tc>
          <w:tcPr>
            <w:tcW w:w="2063" w:type="dxa"/>
            <w:tcBorders>
              <w:top w:val="single" w:sz="4" w:space="0" w:color="auto"/>
              <w:left w:val="nil"/>
              <w:bottom w:val="nil"/>
              <w:right w:val="nil"/>
            </w:tcBorders>
          </w:tcPr>
          <w:p w:rsidR="001A62D7" w:rsidRPr="00311647" w:rsidRDefault="001A62D7" w:rsidP="001D5990">
            <w:pPr>
              <w:spacing w:before="60" w:after="60"/>
              <w:rPr>
                <w:noProof/>
              </w:rPr>
            </w:pPr>
            <w:r w:rsidRPr="00311647">
              <w:rPr>
                <w:noProof/>
              </w:rPr>
              <w:t>Învățământ secundar inferior sau sub acest nivel</w:t>
            </w:r>
            <w:r w:rsidRPr="00311647">
              <w:rPr>
                <w:rStyle w:val="FootnoteReference"/>
                <w:noProof/>
              </w:rPr>
              <w:footnoteReference w:id="26"/>
            </w:r>
            <w:r w:rsidRPr="00311647">
              <w:rPr>
                <w:noProof/>
              </w:rPr>
              <w:t xml:space="preserve"> </w:t>
            </w:r>
          </w:p>
        </w:tc>
        <w:tc>
          <w:tcPr>
            <w:tcW w:w="1176" w:type="dxa"/>
            <w:tcBorders>
              <w:top w:val="single" w:sz="4" w:space="0" w:color="auto"/>
              <w:left w:val="nil"/>
              <w:bottom w:val="nil"/>
              <w:right w:val="nil"/>
            </w:tcBorders>
          </w:tcPr>
          <w:p w:rsidR="001A62D7" w:rsidRPr="00311647" w:rsidRDefault="00D21001" w:rsidP="001D5990">
            <w:pPr>
              <w:spacing w:before="60" w:after="60"/>
              <w:jc w:val="right"/>
              <w:rPr>
                <w:noProof/>
              </w:rPr>
            </w:pPr>
            <w:r w:rsidRPr="00311647">
              <w:rPr>
                <w:noProof/>
              </w:rPr>
              <w:t>120</w:t>
            </w:r>
          </w:p>
        </w:tc>
        <w:tc>
          <w:tcPr>
            <w:tcW w:w="1176" w:type="dxa"/>
            <w:tcBorders>
              <w:top w:val="single" w:sz="4" w:space="0" w:color="auto"/>
              <w:left w:val="nil"/>
              <w:bottom w:val="nil"/>
              <w:right w:val="nil"/>
            </w:tcBorders>
          </w:tcPr>
          <w:p w:rsidR="001A62D7" w:rsidRPr="00311647" w:rsidRDefault="001A62D7" w:rsidP="001D5990">
            <w:pPr>
              <w:spacing w:before="60" w:after="60"/>
              <w:jc w:val="right"/>
              <w:rPr>
                <w:rFonts w:eastAsia="Calibri"/>
                <w:noProof/>
              </w:rPr>
            </w:pPr>
            <w:r w:rsidRPr="00311647">
              <w:rPr>
                <w:noProof/>
              </w:rPr>
              <w:t>(11,9 %)</w:t>
            </w:r>
          </w:p>
        </w:tc>
      </w:tr>
      <w:tr w:rsidR="001A62D7" w:rsidRPr="00311647" w:rsidTr="001D5990">
        <w:trPr>
          <w:jc w:val="center"/>
        </w:trPr>
        <w:tc>
          <w:tcPr>
            <w:tcW w:w="1496" w:type="dxa"/>
            <w:tcBorders>
              <w:top w:val="nil"/>
              <w:left w:val="nil"/>
              <w:right w:val="nil"/>
            </w:tcBorders>
          </w:tcPr>
          <w:p w:rsidR="001A62D7" w:rsidRPr="00311647" w:rsidRDefault="001A62D7" w:rsidP="001D5990">
            <w:pPr>
              <w:spacing w:before="60" w:after="60"/>
              <w:rPr>
                <w:noProof/>
              </w:rPr>
            </w:pPr>
          </w:p>
        </w:tc>
        <w:tc>
          <w:tcPr>
            <w:tcW w:w="2063" w:type="dxa"/>
            <w:tcBorders>
              <w:top w:val="nil"/>
              <w:left w:val="nil"/>
              <w:right w:val="nil"/>
            </w:tcBorders>
          </w:tcPr>
          <w:p w:rsidR="001A62D7" w:rsidRPr="00311647" w:rsidRDefault="001A62D7" w:rsidP="001D5990">
            <w:pPr>
              <w:spacing w:before="60" w:after="60"/>
              <w:rPr>
                <w:noProof/>
              </w:rPr>
            </w:pPr>
            <w:r w:rsidRPr="00311647">
              <w:rPr>
                <w:noProof/>
              </w:rPr>
              <w:t>Învățământ liceal</w:t>
            </w:r>
            <w:r w:rsidRPr="00311647">
              <w:rPr>
                <w:rStyle w:val="FootnoteReference"/>
                <w:noProof/>
              </w:rPr>
              <w:footnoteReference w:id="27"/>
            </w:r>
            <w:r w:rsidRPr="00311647">
              <w:rPr>
                <w:noProof/>
              </w:rPr>
              <w:t xml:space="preserve"> sau postliceal</w:t>
            </w:r>
            <w:r w:rsidRPr="00311647">
              <w:rPr>
                <w:rStyle w:val="FootnoteReference"/>
                <w:noProof/>
              </w:rPr>
              <w:footnoteReference w:id="28"/>
            </w:r>
          </w:p>
        </w:tc>
        <w:tc>
          <w:tcPr>
            <w:tcW w:w="1176" w:type="dxa"/>
            <w:tcBorders>
              <w:top w:val="nil"/>
              <w:left w:val="nil"/>
              <w:right w:val="nil"/>
            </w:tcBorders>
          </w:tcPr>
          <w:p w:rsidR="001A62D7" w:rsidRPr="00311647" w:rsidRDefault="00D21001" w:rsidP="001D5990">
            <w:pPr>
              <w:spacing w:before="60" w:after="60"/>
              <w:jc w:val="right"/>
              <w:rPr>
                <w:noProof/>
              </w:rPr>
            </w:pPr>
            <w:r w:rsidRPr="00311647">
              <w:rPr>
                <w:noProof/>
              </w:rPr>
              <w:t>741</w:t>
            </w:r>
          </w:p>
        </w:tc>
        <w:tc>
          <w:tcPr>
            <w:tcW w:w="1176" w:type="dxa"/>
            <w:tcBorders>
              <w:top w:val="nil"/>
              <w:left w:val="nil"/>
              <w:right w:val="nil"/>
            </w:tcBorders>
          </w:tcPr>
          <w:p w:rsidR="001A62D7" w:rsidRPr="00311647" w:rsidRDefault="001A62D7" w:rsidP="001D5990">
            <w:pPr>
              <w:spacing w:before="60" w:after="60"/>
              <w:jc w:val="right"/>
              <w:rPr>
                <w:rFonts w:eastAsia="Calibri"/>
                <w:noProof/>
              </w:rPr>
            </w:pPr>
            <w:r w:rsidRPr="00311647">
              <w:rPr>
                <w:noProof/>
              </w:rPr>
              <w:t>(73,4 %)</w:t>
            </w:r>
          </w:p>
        </w:tc>
      </w:tr>
      <w:tr w:rsidR="001A62D7" w:rsidRPr="00311647" w:rsidTr="001D5990">
        <w:trPr>
          <w:jc w:val="center"/>
        </w:trPr>
        <w:tc>
          <w:tcPr>
            <w:tcW w:w="1496" w:type="dxa"/>
            <w:tcBorders>
              <w:top w:val="nil"/>
              <w:left w:val="nil"/>
              <w:bottom w:val="single" w:sz="4" w:space="0" w:color="auto"/>
              <w:right w:val="nil"/>
            </w:tcBorders>
          </w:tcPr>
          <w:p w:rsidR="001A62D7" w:rsidRPr="00311647" w:rsidRDefault="001A62D7" w:rsidP="001D5990">
            <w:pPr>
              <w:spacing w:before="60" w:after="60"/>
              <w:rPr>
                <w:noProof/>
              </w:rPr>
            </w:pPr>
          </w:p>
        </w:tc>
        <w:tc>
          <w:tcPr>
            <w:tcW w:w="2063" w:type="dxa"/>
            <w:tcBorders>
              <w:top w:val="nil"/>
              <w:left w:val="nil"/>
              <w:bottom w:val="single" w:sz="4" w:space="0" w:color="auto"/>
              <w:right w:val="nil"/>
            </w:tcBorders>
          </w:tcPr>
          <w:p w:rsidR="001A62D7" w:rsidRPr="00311647" w:rsidRDefault="001A62D7" w:rsidP="001D5990">
            <w:pPr>
              <w:spacing w:before="60" w:after="60"/>
              <w:rPr>
                <w:noProof/>
              </w:rPr>
            </w:pPr>
            <w:r w:rsidRPr="00311647">
              <w:rPr>
                <w:noProof/>
              </w:rPr>
              <w:t>Învățământ terțiar</w:t>
            </w:r>
            <w:r w:rsidRPr="00311647">
              <w:rPr>
                <w:rStyle w:val="FootnoteReference"/>
                <w:noProof/>
              </w:rPr>
              <w:footnoteReference w:id="29"/>
            </w:r>
          </w:p>
        </w:tc>
        <w:tc>
          <w:tcPr>
            <w:tcW w:w="1176" w:type="dxa"/>
            <w:tcBorders>
              <w:top w:val="nil"/>
              <w:left w:val="nil"/>
              <w:bottom w:val="single" w:sz="4" w:space="0" w:color="auto"/>
              <w:right w:val="nil"/>
            </w:tcBorders>
          </w:tcPr>
          <w:p w:rsidR="001A62D7" w:rsidRPr="00311647" w:rsidRDefault="00D21001" w:rsidP="001D5990">
            <w:pPr>
              <w:spacing w:before="60" w:after="60"/>
              <w:jc w:val="right"/>
              <w:rPr>
                <w:noProof/>
              </w:rPr>
            </w:pPr>
            <w:r w:rsidRPr="00311647">
              <w:rPr>
                <w:noProof/>
              </w:rPr>
              <w:t>149</w:t>
            </w:r>
          </w:p>
        </w:tc>
        <w:tc>
          <w:tcPr>
            <w:tcW w:w="1176" w:type="dxa"/>
            <w:tcBorders>
              <w:top w:val="nil"/>
              <w:left w:val="nil"/>
              <w:bottom w:val="single" w:sz="4" w:space="0" w:color="auto"/>
              <w:right w:val="nil"/>
            </w:tcBorders>
          </w:tcPr>
          <w:p w:rsidR="001A62D7" w:rsidRPr="00311647" w:rsidRDefault="001A62D7" w:rsidP="001D5990">
            <w:pPr>
              <w:spacing w:before="60" w:after="60"/>
              <w:jc w:val="right"/>
              <w:rPr>
                <w:rFonts w:eastAsia="Calibri"/>
                <w:noProof/>
              </w:rPr>
            </w:pPr>
            <w:r w:rsidRPr="00311647">
              <w:rPr>
                <w:noProof/>
              </w:rPr>
              <w:t>(14,7 %)</w:t>
            </w:r>
          </w:p>
        </w:tc>
      </w:tr>
    </w:tbl>
    <w:p w:rsidR="001A62D7" w:rsidRPr="00311647" w:rsidRDefault="001A62D7" w:rsidP="001A62D7">
      <w:pPr>
        <w:pStyle w:val="ManualHeading3"/>
        <w:rPr>
          <w:noProof/>
          <w:u w:val="single"/>
        </w:rPr>
      </w:pPr>
      <w:r w:rsidRPr="00311647">
        <w:rPr>
          <w:noProof/>
        </w:rPr>
        <w:t>Măsurile propuse</w:t>
      </w:r>
    </w:p>
    <w:p w:rsidR="001A62D7" w:rsidRPr="00311647" w:rsidRDefault="001A62D7" w:rsidP="00AE7D04">
      <w:pPr>
        <w:pStyle w:val="ManualNumPar1"/>
        <w:rPr>
          <w:noProof/>
        </w:rPr>
      </w:pPr>
      <w:r>
        <w:rPr>
          <w:noProof/>
        </w:rPr>
        <w:t>33.</w:t>
      </w:r>
      <w:r>
        <w:rPr>
          <w:noProof/>
        </w:rPr>
        <w:tab/>
      </w:r>
      <w:bookmarkStart w:id="17" w:name="_Ref372214239"/>
      <w:r w:rsidRPr="00311647">
        <w:rPr>
          <w:noProof/>
        </w:rPr>
        <w:t xml:space="preserve">În conformitate cu articolul 8 alineatul (7) litera (h) din Regulamentul (UE) 2021/691, pachetul coordonat personalizat care urmează să fie pus la dispoziția lucrătorilor disponibilizați constă în următoarele măsuri: </w:t>
      </w:r>
      <w:bookmarkEnd w:id="17"/>
    </w:p>
    <w:p w:rsidR="001A62D7" w:rsidRPr="00311647" w:rsidRDefault="00A842DD" w:rsidP="00246CAB">
      <w:pPr>
        <w:pStyle w:val="Tiret1"/>
        <w:numPr>
          <w:ilvl w:val="0"/>
          <w:numId w:val="19"/>
        </w:numPr>
        <w:rPr>
          <w:noProof/>
        </w:rPr>
      </w:pPr>
      <w:r w:rsidRPr="00311647">
        <w:rPr>
          <w:noProof/>
          <w:u w:val="single"/>
        </w:rPr>
        <w:t>Plasarea personalului disponibilizat și orientare profesională</w:t>
      </w:r>
      <w:r w:rsidRPr="00311647">
        <w:rPr>
          <w:noProof/>
        </w:rPr>
        <w:t>: Aceste servicii sunt furnizate de o echipă care cuprinde consilieri profesionali specializați în evenimente de restructurare și din asistenți sociali care provin, în mod obișnuit, din rândul reprezentanților angajaților întreprinderii. Consilierii oferă servicii de plasare pe piața muncii a personalului disponibilizat, orientare profesională și sprijin pentru reintegrare profesională prin sesiuni de consiliere și îndrumare individuală și de grup. Între timp, asistenții sociali contribuie la procedurile administrative legate de schimbarea statutului profesional și la menținerea unui cadru colectiv de solidaritate între angajați.</w:t>
      </w:r>
    </w:p>
    <w:p w:rsidR="001A62D7" w:rsidRPr="00311647" w:rsidRDefault="00B4504D" w:rsidP="00B4504D">
      <w:pPr>
        <w:pStyle w:val="Tiret1"/>
        <w:rPr>
          <w:noProof/>
        </w:rPr>
      </w:pPr>
      <w:r w:rsidRPr="00311647">
        <w:rPr>
          <w:noProof/>
          <w:u w:val="single"/>
        </w:rPr>
        <w:t>Certificarea competențelor</w:t>
      </w:r>
      <w:r w:rsidRPr="00311647">
        <w:rPr>
          <w:noProof/>
        </w:rPr>
        <w:t>: Foștilor angajați ai Cora li se pot certifica competențele profesionale prin intermediul Consorțiului pentru validarea competențelor</w:t>
      </w:r>
      <w:r w:rsidRPr="00311647">
        <w:rPr>
          <w:rStyle w:val="FootnoteReference"/>
          <w:noProof/>
        </w:rPr>
        <w:footnoteReference w:id="30"/>
      </w:r>
      <w:r w:rsidRPr="00311647">
        <w:rPr>
          <w:noProof/>
        </w:rPr>
        <w:t>. Consorțiul organizează evaluări de validare adaptate, bazate pe profilurile și nevoile lucrătorilor. Certificarea competențelor contribuie la asigurarea și accelerarea reintegrării pe piața muncii, permițând, în același timp, parcursuri de formare mai eficace.</w:t>
      </w:r>
    </w:p>
    <w:p w:rsidR="00741722" w:rsidRPr="00311647" w:rsidRDefault="004F669B" w:rsidP="00741722">
      <w:pPr>
        <w:pStyle w:val="Tiret1"/>
        <w:rPr>
          <w:noProof/>
        </w:rPr>
      </w:pPr>
      <w:r w:rsidRPr="00311647">
        <w:rPr>
          <w:noProof/>
          <w:u w:val="single"/>
        </w:rPr>
        <w:t>Formare</w:t>
      </w:r>
      <w:r w:rsidRPr="00311647">
        <w:rPr>
          <w:noProof/>
        </w:rPr>
        <w:t>: Vor fi oferite cursuri de formare specifice pentru a răspunde nevoilor identificate ale lucrătorilor, după realizarea profilului și stabilirea unui acord cu consilierii profesionali cu privire la proiectele individuale. O astfel de formare completează programele standard de formare ale Le Forem și pe cele ale partenerilor săi. Două module informatice, concepute pentru a dezvolta și a consolida autonomia digitală, sunt oferite lucrătorilor ca formare transversală.</w:t>
      </w:r>
    </w:p>
    <w:p w:rsidR="00741722" w:rsidRPr="00311647" w:rsidRDefault="004F669B" w:rsidP="00143574">
      <w:pPr>
        <w:pStyle w:val="Tiret1"/>
        <w:rPr>
          <w:noProof/>
        </w:rPr>
      </w:pPr>
      <w:r w:rsidRPr="00311647">
        <w:rPr>
          <w:noProof/>
          <w:u w:val="single"/>
        </w:rPr>
        <w:t>Sprijin pentru înființarea de întreprinderi</w:t>
      </w:r>
      <w:r w:rsidRPr="00311647">
        <w:rPr>
          <w:noProof/>
        </w:rPr>
        <w:t>: Această măsură vizează lucrătorii care doresc să își înființeze propria întreprindere și include o etapă de diagnosticare și orientare, activități de sensibilizare în materie de antreprenoriat, sesiuni de informare privind oportunitățile de creare de întreprinderi (pe baza analizelor economice teritoriale) și crearea de rețele cu antreprenori consacrați și cu antrenori certificați în materie de creare de întreprinderi.</w:t>
      </w:r>
    </w:p>
    <w:p w:rsidR="00741722" w:rsidRPr="00311647" w:rsidRDefault="003F4387" w:rsidP="00741722">
      <w:pPr>
        <w:pStyle w:val="Tiret1"/>
        <w:rPr>
          <w:noProof/>
        </w:rPr>
      </w:pPr>
      <w:r w:rsidRPr="00311647">
        <w:rPr>
          <w:noProof/>
          <w:u w:val="single"/>
        </w:rPr>
        <w:lastRenderedPageBreak/>
        <w:t>Contribuție la înființarea unei întreprinderi</w:t>
      </w:r>
      <w:r w:rsidRPr="00311647">
        <w:rPr>
          <w:noProof/>
        </w:rPr>
        <w:t>: Lucrătorii care își deschid o afacere sau încep o activitate independentă vor primi o contribuție de până la 15 000 EUR. Contribuția va fi plătită în două tranșe, sub rezerva verificării lansării și a evoluției activității comerciale prin documente justificative.</w:t>
      </w:r>
    </w:p>
    <w:p w:rsidR="00741722" w:rsidRPr="00311647" w:rsidRDefault="00133E35" w:rsidP="00741722">
      <w:pPr>
        <w:pStyle w:val="Tiret1"/>
        <w:rPr>
          <w:noProof/>
        </w:rPr>
      </w:pPr>
      <w:r w:rsidRPr="00311647">
        <w:rPr>
          <w:noProof/>
          <w:u w:val="single"/>
        </w:rPr>
        <w:t>Stimulente și alocații</w:t>
      </w:r>
      <w:r w:rsidRPr="00311647">
        <w:rPr>
          <w:noProof/>
        </w:rPr>
        <w:t>: (1) Alocații pentru căutarea unui loc de muncă. Lucrătorii vor primi 2 EUR pe oră de participare efectivă la activități de căutare a unui loc de muncă care au dreptul la alocație. (2) Alocație pentru reîntoarcerea la școală. Se va acorda o alocație lunară de 350 EUR lucrătorilor care urmează studii secundare și terțiare cu frecvență completă sau cursuri de calificare pentru dobândirea competențelor necesare ocupării unor locuri de muncă solicitate în cazul cărora recrutarea este dificilă sau legată de funcții critice</w:t>
      </w:r>
      <w:r w:rsidRPr="00311647">
        <w:rPr>
          <w:rStyle w:val="FootnoteReference"/>
          <w:noProof/>
        </w:rPr>
        <w:footnoteReference w:id="31"/>
      </w:r>
      <w:r w:rsidRPr="00311647">
        <w:rPr>
          <w:noProof/>
        </w:rPr>
        <w:t>. (3) Alocație pentru înființarea de întreprinderi. Pentru a sprijini lucrătorii pe durata înființării unei întreprinderi, se va acorda o indemnizație lunară de 350 EUR pentru o perioadă maximă de 12 luni sau de până la 18 luni, în anumite condiții.</w:t>
      </w:r>
    </w:p>
    <w:p w:rsidR="006F7CF9" w:rsidRPr="00311647" w:rsidRDefault="006F7CF9" w:rsidP="006F7CF9">
      <w:pPr>
        <w:pStyle w:val="ManualNumPar1"/>
        <w:rPr>
          <w:noProof/>
        </w:rPr>
      </w:pPr>
      <w:r>
        <w:rPr>
          <w:noProof/>
        </w:rPr>
        <w:t>34.</w:t>
      </w:r>
      <w:r>
        <w:rPr>
          <w:noProof/>
        </w:rPr>
        <w:tab/>
      </w:r>
      <w:r w:rsidRPr="00311647">
        <w:rPr>
          <w:noProof/>
        </w:rPr>
        <w:t xml:space="preserve">Formarea menită să dezvolte și să consolideze autonomia digitală, care completează programul standard de competențe digitale al Le Forem, alături de un modul privind economia circulară și utilizarea eficientă a resurselor, sprijină diseminarea competențelor esențiale pentru era industrială digitală și pentru o economie eficientă din punctul de vedere al utilizării resurselor, astfel cum se prevede la articolul 7 alineatul (2) din Regulamentul (UE) 2021/691. </w:t>
      </w:r>
    </w:p>
    <w:p w:rsidR="006F7CF9" w:rsidRPr="00311647" w:rsidRDefault="006F7CF9" w:rsidP="00783113">
      <w:pPr>
        <w:pStyle w:val="Text1"/>
        <w:rPr>
          <w:noProof/>
        </w:rPr>
      </w:pPr>
      <w:r w:rsidRPr="00311647">
        <w:rPr>
          <w:noProof/>
        </w:rPr>
        <w:t>Modulul privind economia circulară și utilizarea eficientă a resurselor, realizat pentru foștii lucrători ai Swissport (EGF/2020/005 BE)</w:t>
      </w:r>
      <w:r w:rsidRPr="00311647">
        <w:rPr>
          <w:rStyle w:val="FootnoteReference"/>
          <w:noProof/>
        </w:rPr>
        <w:footnoteReference w:id="32"/>
      </w:r>
      <w:r w:rsidRPr="00311647">
        <w:rPr>
          <w:noProof/>
        </w:rPr>
        <w:t xml:space="preserve">, face parte în prezent din oferta standard de instruire a serviciului Le Forem, cofinanțată prin FSE+. Ca atare, acesta nu este inclus în bugetul prezentei propuneri. </w:t>
      </w:r>
    </w:p>
    <w:p w:rsidR="001A62D7" w:rsidRPr="00311647" w:rsidRDefault="006F7CF9" w:rsidP="00783113">
      <w:pPr>
        <w:pStyle w:val="Text1"/>
        <w:rPr>
          <w:noProof/>
        </w:rPr>
      </w:pPr>
      <w:r w:rsidRPr="00311647">
        <w:rPr>
          <w:noProof/>
        </w:rPr>
        <w:t>În plus, modulul privind economia circulară este completat de un modul privind economia socială, dezvoltat, de asemenea, în cadrul unui caz FEG</w:t>
      </w:r>
      <w:r w:rsidRPr="00311647">
        <w:rPr>
          <w:rStyle w:val="FootnoteReference"/>
          <w:noProof/>
        </w:rPr>
        <w:footnoteReference w:id="33"/>
      </w:r>
      <w:r w:rsidRPr="00311647">
        <w:rPr>
          <w:noProof/>
        </w:rPr>
        <w:t xml:space="preserve">. </w:t>
      </w:r>
    </w:p>
    <w:p w:rsidR="001A62D7" w:rsidRPr="00311647" w:rsidRDefault="001A62D7" w:rsidP="00AE7D04">
      <w:pPr>
        <w:pStyle w:val="ManualNumPar1"/>
        <w:rPr>
          <w:noProof/>
        </w:rPr>
      </w:pPr>
      <w:r>
        <w:rPr>
          <w:noProof/>
        </w:rPr>
        <w:t>35.</w:t>
      </w:r>
      <w:r>
        <w:rPr>
          <w:noProof/>
        </w:rPr>
        <w:tab/>
      </w:r>
      <w:bookmarkStart w:id="18" w:name="_Ref372214242"/>
      <w:r w:rsidRPr="00311647">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rsidR="001A62D7" w:rsidRPr="00311647" w:rsidRDefault="00783113" w:rsidP="00AE7D04">
      <w:pPr>
        <w:pStyle w:val="ManualNumPar1"/>
        <w:rPr>
          <w:noProof/>
        </w:rPr>
      </w:pPr>
      <w:r>
        <w:rPr>
          <w:noProof/>
        </w:rPr>
        <w:t>36.</w:t>
      </w:r>
      <w:r>
        <w:rPr>
          <w:noProof/>
        </w:rPr>
        <w:tab/>
      </w:r>
      <w:r w:rsidRPr="00311647">
        <w:rPr>
          <w:noProof/>
        </w:rPr>
        <w:t>Belgia a furnizat informațiile necesare privind măsurile de care este responsabilă întreprinderea vizată în temeiul legislației naționale sau al contractelor colective de muncă. În conformitate cu articolul 9 alineatul (1) din Regulamentul (UE) 2021/691, Belgia a confirmat că măsurile respective nu vor fi înlocuite cu o contribuție financiară din partea FEG.</w:t>
      </w:r>
      <w:bookmarkEnd w:id="18"/>
    </w:p>
    <w:p w:rsidR="001A62D7" w:rsidRPr="00311647" w:rsidRDefault="001A62D7" w:rsidP="001A62D7">
      <w:pPr>
        <w:pStyle w:val="ManualHeading3"/>
        <w:rPr>
          <w:noProof/>
        </w:rPr>
      </w:pPr>
      <w:r w:rsidRPr="00311647">
        <w:rPr>
          <w:noProof/>
        </w:rPr>
        <w:t>Buget estimat</w:t>
      </w:r>
    </w:p>
    <w:p w:rsidR="001A62D7" w:rsidRPr="00311647" w:rsidRDefault="001A62D7" w:rsidP="00AE7D04">
      <w:pPr>
        <w:pStyle w:val="ManualNumPar1"/>
        <w:rPr>
          <w:noProof/>
        </w:rPr>
      </w:pPr>
      <w:r>
        <w:rPr>
          <w:noProof/>
        </w:rPr>
        <w:t>37.</w:t>
      </w:r>
      <w:r>
        <w:rPr>
          <w:noProof/>
        </w:rPr>
        <w:tab/>
      </w:r>
      <w:r w:rsidRPr="00311647">
        <w:rPr>
          <w:noProof/>
        </w:rPr>
        <w:t>Costurile totale estimate sunt de 4 495 836 EUR, incluzând cheltuieli pentru servicii personalizate de 4 441 774 EUR și cheltuieli pentru activitățile de pregătire, gestionare, informare și publicitate, control și raportare de 54 062 EUR.</w:t>
      </w:r>
    </w:p>
    <w:p w:rsidR="001A62D7" w:rsidRPr="00311647" w:rsidRDefault="001A62D7" w:rsidP="00AE7D04">
      <w:pPr>
        <w:pStyle w:val="ManualNumPar1"/>
        <w:rPr>
          <w:noProof/>
        </w:rPr>
      </w:pPr>
      <w:r>
        <w:rPr>
          <w:noProof/>
        </w:rPr>
        <w:lastRenderedPageBreak/>
        <w:t>38.</w:t>
      </w:r>
      <w:r>
        <w:rPr>
          <w:noProof/>
        </w:rPr>
        <w:tab/>
      </w:r>
      <w:bookmarkStart w:id="19" w:name="_Ref372550770"/>
      <w:r w:rsidRPr="00311647">
        <w:rPr>
          <w:noProof/>
        </w:rPr>
        <w:t>Contribuția financiară totală solicitată din partea FEG este de 3 821 460 EUR (85 % din costurile totale).</w:t>
      </w:r>
      <w:bookmarkEnd w:id="19"/>
    </w:p>
    <w:p w:rsidR="001A62D7" w:rsidRPr="00311647" w:rsidRDefault="001A62D7" w:rsidP="00312E6F">
      <w:pPr>
        <w:pStyle w:val="ManualNumPar1"/>
        <w:rPr>
          <w:noProof/>
        </w:rPr>
      </w:pPr>
      <w:r>
        <w:rPr>
          <w:noProof/>
        </w:rPr>
        <w:t>39.</w:t>
      </w:r>
      <w:r>
        <w:rPr>
          <w:noProof/>
        </w:rPr>
        <w:tab/>
      </w:r>
      <w:r w:rsidRPr="00311647">
        <w:rPr>
          <w:noProof/>
        </w:rPr>
        <w:t>În conformitate cu articolul 8 alineatul (7) litera (m) din Regulamentul (UE) 2021/691, Belgia a precizat că prefinanțarea și cofinanțarea națională sunt asigurate de Le Forem și de Région Wallone.</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311647" w:rsidTr="001D5990">
        <w:tc>
          <w:tcPr>
            <w:tcW w:w="4644" w:type="dxa"/>
            <w:shd w:val="clear" w:color="auto" w:fill="auto"/>
            <w:vAlign w:val="center"/>
          </w:tcPr>
          <w:p w:rsidR="001A62D7" w:rsidRPr="00311647" w:rsidRDefault="001A62D7" w:rsidP="001D5990">
            <w:pPr>
              <w:spacing w:before="60" w:after="60"/>
              <w:jc w:val="center"/>
              <w:rPr>
                <w:rFonts w:eastAsia="Times New Roman"/>
                <w:noProof/>
                <w:sz w:val="22"/>
              </w:rPr>
            </w:pPr>
            <w:r w:rsidRPr="00311647">
              <w:rPr>
                <w:noProof/>
                <w:sz w:val="22"/>
              </w:rPr>
              <w:t>Măsuri</w:t>
            </w:r>
          </w:p>
        </w:tc>
        <w:tc>
          <w:tcPr>
            <w:tcW w:w="1548" w:type="dxa"/>
            <w:shd w:val="clear" w:color="auto" w:fill="auto"/>
            <w:vAlign w:val="center"/>
          </w:tcPr>
          <w:p w:rsidR="001A62D7" w:rsidRPr="00311647" w:rsidRDefault="001A62D7" w:rsidP="001D5990">
            <w:pPr>
              <w:spacing w:before="60" w:after="60"/>
              <w:jc w:val="center"/>
              <w:rPr>
                <w:rFonts w:eastAsia="Times New Roman"/>
                <w:noProof/>
                <w:sz w:val="22"/>
              </w:rPr>
            </w:pPr>
            <w:r w:rsidRPr="00311647">
              <w:rPr>
                <w:noProof/>
                <w:sz w:val="22"/>
              </w:rPr>
              <w:t>Numărul de participanți estimat</w:t>
            </w:r>
          </w:p>
        </w:tc>
        <w:tc>
          <w:tcPr>
            <w:tcW w:w="1548" w:type="dxa"/>
            <w:shd w:val="clear" w:color="auto" w:fill="auto"/>
            <w:vAlign w:val="center"/>
          </w:tcPr>
          <w:p w:rsidR="001A62D7" w:rsidRPr="00311647" w:rsidRDefault="001A62D7" w:rsidP="001D5990">
            <w:pPr>
              <w:spacing w:before="60" w:after="60"/>
              <w:jc w:val="center"/>
              <w:rPr>
                <w:rFonts w:eastAsia="Times New Roman"/>
                <w:noProof/>
                <w:sz w:val="22"/>
              </w:rPr>
            </w:pPr>
            <w:r w:rsidRPr="00311647">
              <w:rPr>
                <w:noProof/>
                <w:sz w:val="22"/>
              </w:rPr>
              <w:t>Costul estimat per participant</w:t>
            </w:r>
            <w:r w:rsidRPr="00311647">
              <w:rPr>
                <w:noProof/>
              </w:rPr>
              <w:t xml:space="preserve"> </w:t>
            </w:r>
            <w:r w:rsidRPr="00311647">
              <w:rPr>
                <w:noProof/>
              </w:rPr>
              <w:br/>
            </w:r>
            <w:r w:rsidRPr="00311647">
              <w:rPr>
                <w:i/>
                <w:noProof/>
                <w:sz w:val="22"/>
              </w:rPr>
              <w:t>(EUR)</w:t>
            </w:r>
            <w:r w:rsidRPr="00311647">
              <w:rPr>
                <w:rStyle w:val="FootnoteReference"/>
                <w:rFonts w:eastAsia="Times New Roman"/>
                <w:i/>
                <w:noProof/>
                <w:sz w:val="22"/>
              </w:rPr>
              <w:footnoteReference w:id="34"/>
            </w:r>
          </w:p>
        </w:tc>
        <w:tc>
          <w:tcPr>
            <w:tcW w:w="1548" w:type="dxa"/>
            <w:shd w:val="clear" w:color="auto" w:fill="auto"/>
            <w:vAlign w:val="center"/>
          </w:tcPr>
          <w:p w:rsidR="001A62D7" w:rsidRPr="00311647" w:rsidRDefault="001A62D7" w:rsidP="001D5990">
            <w:pPr>
              <w:spacing w:before="60" w:after="60"/>
              <w:jc w:val="center"/>
              <w:rPr>
                <w:rFonts w:eastAsia="Times New Roman"/>
                <w:noProof/>
                <w:sz w:val="22"/>
              </w:rPr>
            </w:pPr>
            <w:r w:rsidRPr="00311647">
              <w:rPr>
                <w:noProof/>
                <w:sz w:val="22"/>
              </w:rPr>
              <w:t>Costuri totale estimate</w:t>
            </w:r>
          </w:p>
          <w:p w:rsidR="001A62D7" w:rsidRPr="00311647" w:rsidRDefault="001A62D7" w:rsidP="001D5990">
            <w:pPr>
              <w:spacing w:before="60" w:after="60"/>
              <w:jc w:val="center"/>
              <w:rPr>
                <w:rFonts w:eastAsia="Times New Roman"/>
                <w:noProof/>
                <w:sz w:val="22"/>
              </w:rPr>
            </w:pPr>
            <w:r w:rsidRPr="00311647">
              <w:rPr>
                <w:i/>
                <w:noProof/>
                <w:sz w:val="22"/>
              </w:rPr>
              <w:t>(EUR)</w:t>
            </w:r>
            <w:r w:rsidRPr="00311647">
              <w:rPr>
                <w:rStyle w:val="FootnoteReference"/>
                <w:rFonts w:eastAsia="Times New Roman"/>
                <w:i/>
                <w:noProof/>
                <w:sz w:val="22"/>
              </w:rPr>
              <w:footnoteReference w:id="35"/>
            </w:r>
            <w:r w:rsidRPr="00311647">
              <w:rPr>
                <w:i/>
                <w:noProof/>
                <w:sz w:val="22"/>
              </w:rPr>
              <w:t xml:space="preserve"> </w:t>
            </w:r>
          </w:p>
        </w:tc>
      </w:tr>
      <w:tr w:rsidR="001A62D7" w:rsidRPr="00311647" w:rsidTr="001D5990">
        <w:tc>
          <w:tcPr>
            <w:tcW w:w="9288" w:type="dxa"/>
            <w:gridSpan w:val="4"/>
            <w:shd w:val="clear" w:color="auto" w:fill="auto"/>
          </w:tcPr>
          <w:p w:rsidR="001A62D7" w:rsidRPr="00311647" w:rsidRDefault="001A62D7" w:rsidP="001D5990">
            <w:pPr>
              <w:spacing w:before="60" w:after="60"/>
              <w:jc w:val="left"/>
              <w:rPr>
                <w:rFonts w:eastAsia="Times New Roman"/>
                <w:noProof/>
                <w:sz w:val="22"/>
              </w:rPr>
            </w:pPr>
            <w:r w:rsidRPr="00311647">
              <w:rPr>
                <w:noProof/>
                <w:sz w:val="22"/>
              </w:rPr>
              <w:t xml:space="preserve">Servicii personalizate [măsuri în temeiul articolului 7 alineatul (2) </w:t>
            </w:r>
            <w:r w:rsidRPr="00311647">
              <w:rPr>
                <w:noProof/>
              </w:rPr>
              <w:t>al doilea paragraf</w:t>
            </w:r>
            <w:r w:rsidRPr="00311647">
              <w:rPr>
                <w:noProof/>
                <w:sz w:val="22"/>
              </w:rPr>
              <w:t xml:space="preserve"> litera (a) din Regulamentul (UE) 2021/691]</w:t>
            </w:r>
          </w:p>
        </w:tc>
      </w:tr>
      <w:tr w:rsidR="001A62D7" w:rsidRPr="0031164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311647" w:rsidRDefault="00337A55" w:rsidP="00337A55">
            <w:pPr>
              <w:spacing w:before="60" w:after="60"/>
              <w:jc w:val="left"/>
              <w:rPr>
                <w:noProof/>
              </w:rPr>
            </w:pPr>
            <w:r w:rsidRPr="00311647">
              <w:rPr>
                <w:noProof/>
              </w:rPr>
              <w:t xml:space="preserve">Servicii de informare, orientare profesională și asistență pentru plasarea pe piața muncii a personalului disponibilizat </w:t>
            </w:r>
            <w:r w:rsidRPr="00311647">
              <w:rPr>
                <w:noProof/>
              </w:rPr>
              <w:br/>
              <w:t>(</w:t>
            </w:r>
            <w:r w:rsidRPr="00311647">
              <w:rPr>
                <w:i/>
                <w:noProof/>
              </w:rPr>
              <w:t>reconversion: accompagnement/orientation/mobilisation)</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1 010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2 860</w:t>
            </w:r>
          </w:p>
        </w:tc>
        <w:tc>
          <w:tcPr>
            <w:tcW w:w="1548" w:type="dxa"/>
            <w:tcBorders>
              <w:top w:val="single" w:sz="4" w:space="0" w:color="auto"/>
              <w:left w:val="single" w:sz="4" w:space="0" w:color="auto"/>
              <w:bottom w:val="single" w:sz="4" w:space="0" w:color="auto"/>
              <w:right w:val="nil"/>
            </w:tcBorders>
            <w:vAlign w:val="center"/>
            <w:hideMark/>
          </w:tcPr>
          <w:p w:rsidR="001A62D7" w:rsidRPr="00311647" w:rsidRDefault="002E0B64" w:rsidP="001D5990">
            <w:pPr>
              <w:spacing w:before="60" w:after="60"/>
              <w:jc w:val="center"/>
              <w:rPr>
                <w:noProof/>
              </w:rPr>
            </w:pPr>
            <w:r w:rsidRPr="00311647">
              <w:rPr>
                <w:noProof/>
              </w:rPr>
              <w:t>2 874 558</w:t>
            </w:r>
          </w:p>
        </w:tc>
      </w:tr>
      <w:tr w:rsidR="001A62D7" w:rsidRPr="0031164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311647" w:rsidRDefault="009056A8" w:rsidP="001D5990">
            <w:pPr>
              <w:spacing w:before="60" w:after="60"/>
              <w:jc w:val="left"/>
              <w:rPr>
                <w:noProof/>
              </w:rPr>
            </w:pPr>
            <w:r w:rsidRPr="00311647">
              <w:rPr>
                <w:noProof/>
              </w:rPr>
              <w:t xml:space="preserve">Certificarea competențelor </w:t>
            </w:r>
            <w:r w:rsidRPr="00311647">
              <w:rPr>
                <w:noProof/>
              </w:rPr>
              <w:br/>
              <w:t>(v</w:t>
            </w:r>
            <w:r w:rsidRPr="00311647">
              <w:rPr>
                <w:i/>
                <w:noProof/>
              </w:rPr>
              <w:t>alidation des compétences)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150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133</w:t>
            </w:r>
          </w:p>
        </w:tc>
        <w:tc>
          <w:tcPr>
            <w:tcW w:w="1548" w:type="dxa"/>
            <w:tcBorders>
              <w:top w:val="single" w:sz="4" w:space="0" w:color="auto"/>
              <w:left w:val="single" w:sz="4" w:space="0" w:color="auto"/>
              <w:bottom w:val="single" w:sz="4" w:space="0" w:color="auto"/>
              <w:right w:val="nil"/>
            </w:tcBorders>
            <w:vAlign w:val="center"/>
            <w:hideMark/>
          </w:tcPr>
          <w:p w:rsidR="001A62D7" w:rsidRPr="00311647" w:rsidRDefault="002E0B64" w:rsidP="001D5990">
            <w:pPr>
              <w:spacing w:before="60" w:after="60"/>
              <w:jc w:val="center"/>
              <w:rPr>
                <w:noProof/>
              </w:rPr>
            </w:pPr>
            <w:r w:rsidRPr="00311647">
              <w:rPr>
                <w:noProof/>
              </w:rPr>
              <w:t>20 000</w:t>
            </w:r>
          </w:p>
        </w:tc>
      </w:tr>
      <w:tr w:rsidR="001A62D7" w:rsidRPr="0031164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311647" w:rsidRDefault="004B48A5" w:rsidP="004B48A5">
            <w:pPr>
              <w:spacing w:before="60" w:after="60"/>
              <w:jc w:val="left"/>
              <w:rPr>
                <w:noProof/>
              </w:rPr>
            </w:pPr>
            <w:r w:rsidRPr="00311647">
              <w:rPr>
                <w:noProof/>
              </w:rPr>
              <w:t xml:space="preserve">Formare și reconversie profesională </w:t>
            </w:r>
            <w:r w:rsidRPr="00311647">
              <w:rPr>
                <w:noProof/>
              </w:rPr>
              <w:br/>
              <w:t>(</w:t>
            </w:r>
            <w:r w:rsidRPr="00311647">
              <w:rPr>
                <w:i/>
                <w:noProof/>
              </w:rPr>
              <w:t>formations et modules spécifiques)</w:t>
            </w:r>
            <w:r w:rsidRPr="0031164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500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937</w:t>
            </w:r>
          </w:p>
        </w:tc>
        <w:tc>
          <w:tcPr>
            <w:tcW w:w="1548" w:type="dxa"/>
            <w:tcBorders>
              <w:top w:val="single" w:sz="4" w:space="0" w:color="auto"/>
              <w:left w:val="single" w:sz="4" w:space="0" w:color="auto"/>
              <w:bottom w:val="single" w:sz="4" w:space="0" w:color="auto"/>
              <w:right w:val="nil"/>
            </w:tcBorders>
            <w:vAlign w:val="center"/>
            <w:hideMark/>
          </w:tcPr>
          <w:p w:rsidR="001A62D7" w:rsidRPr="00311647" w:rsidRDefault="002E0B64" w:rsidP="001D5990">
            <w:pPr>
              <w:spacing w:before="60" w:after="60"/>
              <w:jc w:val="center"/>
              <w:rPr>
                <w:noProof/>
              </w:rPr>
            </w:pPr>
            <w:r w:rsidRPr="00311647">
              <w:rPr>
                <w:noProof/>
              </w:rPr>
              <w:t>468 800</w:t>
            </w:r>
          </w:p>
        </w:tc>
      </w:tr>
      <w:tr w:rsidR="001A62D7" w:rsidRPr="0031164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311647" w:rsidRDefault="00646BD5" w:rsidP="00646BD5">
            <w:pPr>
              <w:spacing w:before="60" w:after="60"/>
              <w:jc w:val="left"/>
              <w:rPr>
                <w:noProof/>
              </w:rPr>
            </w:pPr>
            <w:r w:rsidRPr="00311647">
              <w:rPr>
                <w:noProof/>
              </w:rPr>
              <w:t xml:space="preserve">Sprijin pentru înființarea de întreprinderi </w:t>
            </w:r>
            <w:r w:rsidRPr="00311647">
              <w:rPr>
                <w:noProof/>
              </w:rPr>
              <w:br/>
              <w:t>(</w:t>
            </w:r>
            <w:r w:rsidRPr="00311647">
              <w:rPr>
                <w:i/>
                <w:noProof/>
              </w:rPr>
              <w:t>accompagnement entrepreneuriat)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2 350</w:t>
            </w:r>
          </w:p>
        </w:tc>
        <w:tc>
          <w:tcPr>
            <w:tcW w:w="1548" w:type="dxa"/>
            <w:tcBorders>
              <w:top w:val="single" w:sz="4" w:space="0" w:color="auto"/>
              <w:left w:val="single" w:sz="4" w:space="0" w:color="auto"/>
              <w:bottom w:val="single" w:sz="4" w:space="0" w:color="auto"/>
              <w:right w:val="nil"/>
            </w:tcBorders>
            <w:vAlign w:val="center"/>
            <w:hideMark/>
          </w:tcPr>
          <w:p w:rsidR="001A62D7" w:rsidRPr="00311647" w:rsidRDefault="002E0B64" w:rsidP="001D5990">
            <w:pPr>
              <w:spacing w:before="60" w:after="60"/>
              <w:jc w:val="center"/>
              <w:rPr>
                <w:noProof/>
              </w:rPr>
            </w:pPr>
            <w:r w:rsidRPr="00311647">
              <w:rPr>
                <w:noProof/>
              </w:rPr>
              <w:t>117 503</w:t>
            </w:r>
          </w:p>
        </w:tc>
      </w:tr>
      <w:tr w:rsidR="001A62D7" w:rsidRPr="0031164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311647" w:rsidRDefault="00BC646D" w:rsidP="00BC646D">
            <w:pPr>
              <w:spacing w:before="60" w:after="60"/>
              <w:jc w:val="left"/>
              <w:rPr>
                <w:noProof/>
              </w:rPr>
            </w:pPr>
            <w:r w:rsidRPr="00311647">
              <w:rPr>
                <w:noProof/>
              </w:rPr>
              <w:t xml:space="preserve">Contribuție la înființarea unei întreprinderi </w:t>
            </w:r>
            <w:r w:rsidRPr="00311647">
              <w:rPr>
                <w:noProof/>
              </w:rPr>
              <w:br/>
            </w:r>
            <w:r w:rsidRPr="00311647">
              <w:rPr>
                <w:i/>
                <w:noProof/>
              </w:rPr>
              <w:t>(bourse de lancement)</w:t>
            </w:r>
            <w:r w:rsidRPr="00311647">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45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10 000</w:t>
            </w:r>
          </w:p>
        </w:tc>
        <w:tc>
          <w:tcPr>
            <w:tcW w:w="1548" w:type="dxa"/>
            <w:tcBorders>
              <w:top w:val="single" w:sz="4" w:space="0" w:color="auto"/>
              <w:left w:val="single" w:sz="4" w:space="0" w:color="auto"/>
              <w:bottom w:val="single" w:sz="4" w:space="0" w:color="auto"/>
              <w:right w:val="nil"/>
            </w:tcBorders>
            <w:vAlign w:val="center"/>
            <w:hideMark/>
          </w:tcPr>
          <w:p w:rsidR="001A62D7" w:rsidRPr="00311647" w:rsidRDefault="002E0B64" w:rsidP="001D5990">
            <w:pPr>
              <w:spacing w:before="60" w:after="60"/>
              <w:jc w:val="center"/>
              <w:rPr>
                <w:noProof/>
              </w:rPr>
            </w:pPr>
            <w:r w:rsidRPr="00311647">
              <w:rPr>
                <w:noProof/>
              </w:rPr>
              <w:t>450 000</w:t>
            </w:r>
          </w:p>
        </w:tc>
      </w:tr>
      <w:tr w:rsidR="001A62D7" w:rsidRPr="00311647" w:rsidTr="001D5990">
        <w:trPr>
          <w:trHeight w:val="398"/>
        </w:trPr>
        <w:tc>
          <w:tcPr>
            <w:tcW w:w="4644" w:type="dxa"/>
            <w:vMerge w:val="restart"/>
            <w:shd w:val="clear" w:color="auto" w:fill="auto"/>
            <w:vAlign w:val="center"/>
          </w:tcPr>
          <w:p w:rsidR="001A62D7" w:rsidRPr="00311647" w:rsidRDefault="001A62D7" w:rsidP="001D5990">
            <w:pPr>
              <w:spacing w:before="60" w:after="60"/>
              <w:jc w:val="right"/>
              <w:rPr>
                <w:rFonts w:eastAsia="Times New Roman"/>
                <w:noProof/>
                <w:sz w:val="22"/>
              </w:rPr>
            </w:pPr>
            <w:r w:rsidRPr="00311647">
              <w:rPr>
                <w:noProof/>
                <w:sz w:val="22"/>
              </w:rPr>
              <w:t>Subtotal (a):</w:t>
            </w:r>
          </w:p>
          <w:p w:rsidR="001A62D7" w:rsidRPr="00311647" w:rsidRDefault="001A62D7" w:rsidP="001D5990">
            <w:pPr>
              <w:spacing w:before="60" w:after="60"/>
              <w:jc w:val="right"/>
              <w:rPr>
                <w:rFonts w:eastAsia="Times New Roman"/>
                <w:noProof/>
                <w:sz w:val="22"/>
              </w:rPr>
            </w:pPr>
            <w:r w:rsidRPr="00311647">
              <w:rPr>
                <w:noProof/>
                <w:sz w:val="22"/>
              </w:rPr>
              <w:t xml:space="preserve">Procentaj din pachetul de servicii personalizate </w:t>
            </w:r>
          </w:p>
        </w:tc>
        <w:tc>
          <w:tcPr>
            <w:tcW w:w="3096" w:type="dxa"/>
            <w:gridSpan w:val="2"/>
            <w:vMerge w:val="restart"/>
            <w:shd w:val="clear" w:color="auto" w:fill="D9D9D9"/>
            <w:vAlign w:val="center"/>
          </w:tcPr>
          <w:p w:rsidR="001A62D7" w:rsidRPr="00311647" w:rsidRDefault="001A62D7" w:rsidP="001D5990">
            <w:pPr>
              <w:spacing w:before="60" w:after="60"/>
              <w:jc w:val="center"/>
              <w:rPr>
                <w:rFonts w:eastAsia="Times New Roman"/>
                <w:noProof/>
                <w:sz w:val="22"/>
              </w:rPr>
            </w:pPr>
            <w:r w:rsidRPr="00311647">
              <w:rPr>
                <w:noProof/>
                <w:sz w:val="22"/>
              </w:rPr>
              <w:t>–</w:t>
            </w:r>
          </w:p>
        </w:tc>
        <w:tc>
          <w:tcPr>
            <w:tcW w:w="1548" w:type="dxa"/>
            <w:tcBorders>
              <w:bottom w:val="nil"/>
            </w:tcBorders>
            <w:shd w:val="clear" w:color="auto" w:fill="auto"/>
            <w:vAlign w:val="center"/>
          </w:tcPr>
          <w:p w:rsidR="001A62D7" w:rsidRPr="00311647" w:rsidRDefault="00F252C5" w:rsidP="001D5990">
            <w:pPr>
              <w:spacing w:before="60" w:after="60"/>
              <w:jc w:val="center"/>
              <w:rPr>
                <w:rFonts w:eastAsia="Times New Roman"/>
                <w:noProof/>
                <w:sz w:val="22"/>
              </w:rPr>
            </w:pPr>
            <w:r w:rsidRPr="00311647">
              <w:rPr>
                <w:noProof/>
              </w:rPr>
              <w:t>3 930 861</w:t>
            </w:r>
          </w:p>
        </w:tc>
      </w:tr>
      <w:tr w:rsidR="001A62D7" w:rsidRPr="00311647" w:rsidTr="001D5990">
        <w:trPr>
          <w:trHeight w:val="397"/>
        </w:trPr>
        <w:tc>
          <w:tcPr>
            <w:tcW w:w="4644" w:type="dxa"/>
            <w:vMerge/>
            <w:shd w:val="clear" w:color="auto" w:fill="auto"/>
            <w:vAlign w:val="center"/>
          </w:tcPr>
          <w:p w:rsidR="001A62D7" w:rsidRPr="00311647"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311647"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311647" w:rsidRDefault="001A62D7" w:rsidP="001D5990">
            <w:pPr>
              <w:spacing w:before="60" w:after="60"/>
              <w:jc w:val="center"/>
              <w:rPr>
                <w:rFonts w:eastAsia="Times New Roman"/>
                <w:noProof/>
                <w:sz w:val="22"/>
              </w:rPr>
            </w:pPr>
            <w:r w:rsidRPr="00311647">
              <w:rPr>
                <w:noProof/>
                <w:sz w:val="22"/>
              </w:rPr>
              <w:t>(</w:t>
            </w:r>
            <w:r w:rsidRPr="00311647">
              <w:rPr>
                <w:noProof/>
              </w:rPr>
              <w:t>88,50 </w:t>
            </w:r>
            <w:r w:rsidRPr="00311647">
              <w:rPr>
                <w:noProof/>
                <w:sz w:val="22"/>
              </w:rPr>
              <w:t>%)</w:t>
            </w:r>
          </w:p>
        </w:tc>
      </w:tr>
      <w:tr w:rsidR="001A62D7" w:rsidRPr="00311647" w:rsidTr="001D5990">
        <w:tc>
          <w:tcPr>
            <w:tcW w:w="9288" w:type="dxa"/>
            <w:gridSpan w:val="4"/>
            <w:shd w:val="clear" w:color="auto" w:fill="auto"/>
            <w:vAlign w:val="center"/>
          </w:tcPr>
          <w:p w:rsidR="001A62D7" w:rsidRPr="00311647" w:rsidRDefault="001A62D7" w:rsidP="001D5990">
            <w:pPr>
              <w:spacing w:before="60" w:after="60"/>
              <w:jc w:val="left"/>
              <w:rPr>
                <w:noProof/>
                <w:sz w:val="22"/>
              </w:rPr>
            </w:pPr>
            <w:r w:rsidRPr="00311647">
              <w:rPr>
                <w:noProof/>
                <w:sz w:val="22"/>
              </w:rPr>
              <w:t>Alocații și stimulente [măsuri în temeiul articolului 7 alineatul (2)</w:t>
            </w:r>
            <w:r w:rsidRPr="00311647">
              <w:rPr>
                <w:noProof/>
              </w:rPr>
              <w:t xml:space="preserve"> al doilea paragraf</w:t>
            </w:r>
            <w:r w:rsidRPr="00311647">
              <w:rPr>
                <w:noProof/>
                <w:sz w:val="22"/>
              </w:rPr>
              <w:t xml:space="preserve"> litera (b) din Regulamentul (UE) 2021/691]</w:t>
            </w:r>
          </w:p>
        </w:tc>
      </w:tr>
      <w:tr w:rsidR="001A62D7" w:rsidRPr="0031164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311647" w:rsidRDefault="00133E35" w:rsidP="00BC646D">
            <w:pPr>
              <w:spacing w:before="60" w:after="60"/>
              <w:jc w:val="left"/>
              <w:rPr>
                <w:noProof/>
              </w:rPr>
            </w:pPr>
            <w:r w:rsidRPr="00311647">
              <w:rPr>
                <w:noProof/>
              </w:rPr>
              <w:t xml:space="preserve">Stimulente și alocații </w:t>
            </w:r>
            <w:r w:rsidRPr="00311647">
              <w:rPr>
                <w:noProof/>
              </w:rPr>
              <w:br/>
              <w:t>(</w:t>
            </w:r>
            <w:r w:rsidRPr="00311647">
              <w:rPr>
                <w:i/>
                <w:noProof/>
              </w:rPr>
              <w:t>allocation de recherche d'emploi, allocation de reprise d'études, allocation d'entrepreneuriat)</w:t>
            </w:r>
            <w:r w:rsidR="00311647">
              <w:rPr>
                <w:i/>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1 005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311647" w:rsidRDefault="002E0B64" w:rsidP="001D5990">
            <w:pPr>
              <w:spacing w:before="60" w:after="60"/>
              <w:jc w:val="center"/>
              <w:rPr>
                <w:noProof/>
              </w:rPr>
            </w:pPr>
            <w:r w:rsidRPr="00311647">
              <w:rPr>
                <w:noProof/>
              </w:rPr>
              <w:t>508</w:t>
            </w:r>
          </w:p>
        </w:tc>
        <w:tc>
          <w:tcPr>
            <w:tcW w:w="1548" w:type="dxa"/>
            <w:tcBorders>
              <w:top w:val="single" w:sz="4" w:space="0" w:color="auto"/>
              <w:left w:val="single" w:sz="4" w:space="0" w:color="auto"/>
              <w:bottom w:val="single" w:sz="4" w:space="0" w:color="auto"/>
              <w:right w:val="nil"/>
            </w:tcBorders>
            <w:vAlign w:val="center"/>
            <w:hideMark/>
          </w:tcPr>
          <w:p w:rsidR="001A62D7" w:rsidRPr="00311647" w:rsidRDefault="002E0B64" w:rsidP="001D5990">
            <w:pPr>
              <w:spacing w:before="60" w:after="60"/>
              <w:jc w:val="center"/>
              <w:rPr>
                <w:noProof/>
              </w:rPr>
            </w:pPr>
            <w:r w:rsidRPr="00311647">
              <w:rPr>
                <w:noProof/>
              </w:rPr>
              <w:t>510 913</w:t>
            </w:r>
          </w:p>
        </w:tc>
      </w:tr>
      <w:tr w:rsidR="001A62D7" w:rsidRPr="00311647" w:rsidTr="001D5990">
        <w:trPr>
          <w:trHeight w:val="203"/>
        </w:trPr>
        <w:tc>
          <w:tcPr>
            <w:tcW w:w="4644" w:type="dxa"/>
            <w:vMerge w:val="restart"/>
            <w:shd w:val="clear" w:color="auto" w:fill="auto"/>
            <w:vAlign w:val="center"/>
          </w:tcPr>
          <w:p w:rsidR="001A62D7" w:rsidRPr="00311647" w:rsidRDefault="001A62D7" w:rsidP="001D5990">
            <w:pPr>
              <w:spacing w:before="60" w:after="60"/>
              <w:jc w:val="right"/>
              <w:rPr>
                <w:rFonts w:eastAsia="Times New Roman"/>
                <w:noProof/>
                <w:sz w:val="22"/>
              </w:rPr>
            </w:pPr>
            <w:r w:rsidRPr="00311647">
              <w:rPr>
                <w:noProof/>
                <w:sz w:val="22"/>
              </w:rPr>
              <w:t>Subtotal (b):</w:t>
            </w:r>
          </w:p>
          <w:p w:rsidR="001A62D7" w:rsidRPr="00311647" w:rsidRDefault="001A62D7" w:rsidP="001D5990">
            <w:pPr>
              <w:spacing w:before="60" w:after="60"/>
              <w:jc w:val="right"/>
              <w:rPr>
                <w:rFonts w:eastAsia="Times New Roman"/>
                <w:noProof/>
                <w:sz w:val="22"/>
              </w:rPr>
            </w:pPr>
            <w:r w:rsidRPr="00311647">
              <w:rPr>
                <w:noProof/>
                <w:sz w:val="22"/>
              </w:rPr>
              <w:t>Procentaj din pachetul de servicii personalizate:</w:t>
            </w:r>
          </w:p>
        </w:tc>
        <w:tc>
          <w:tcPr>
            <w:tcW w:w="3096" w:type="dxa"/>
            <w:gridSpan w:val="2"/>
            <w:vMerge w:val="restart"/>
            <w:shd w:val="clear" w:color="auto" w:fill="D9D9D9"/>
            <w:vAlign w:val="center"/>
          </w:tcPr>
          <w:p w:rsidR="001A62D7" w:rsidRPr="00311647" w:rsidRDefault="001A62D7" w:rsidP="001D5990">
            <w:pPr>
              <w:spacing w:before="60" w:after="60"/>
              <w:jc w:val="center"/>
              <w:rPr>
                <w:rFonts w:eastAsia="Times New Roman"/>
                <w:noProof/>
                <w:sz w:val="22"/>
              </w:rPr>
            </w:pPr>
            <w:r w:rsidRPr="00311647">
              <w:rPr>
                <w:noProof/>
                <w:sz w:val="22"/>
              </w:rPr>
              <w:t>–</w:t>
            </w:r>
          </w:p>
        </w:tc>
        <w:tc>
          <w:tcPr>
            <w:tcW w:w="1548" w:type="dxa"/>
            <w:tcBorders>
              <w:bottom w:val="nil"/>
            </w:tcBorders>
            <w:shd w:val="clear" w:color="auto" w:fill="auto"/>
            <w:vAlign w:val="center"/>
          </w:tcPr>
          <w:p w:rsidR="001A62D7" w:rsidRPr="00311647" w:rsidRDefault="00133E35" w:rsidP="001D5990">
            <w:pPr>
              <w:spacing w:before="60" w:after="60"/>
              <w:jc w:val="center"/>
              <w:rPr>
                <w:rFonts w:eastAsia="Times New Roman"/>
                <w:noProof/>
                <w:sz w:val="22"/>
              </w:rPr>
            </w:pPr>
            <w:r w:rsidRPr="00311647">
              <w:rPr>
                <w:noProof/>
              </w:rPr>
              <w:t>510 913</w:t>
            </w:r>
          </w:p>
        </w:tc>
      </w:tr>
      <w:tr w:rsidR="001A62D7" w:rsidRPr="00311647" w:rsidTr="001D5990">
        <w:trPr>
          <w:trHeight w:val="202"/>
        </w:trPr>
        <w:tc>
          <w:tcPr>
            <w:tcW w:w="4644" w:type="dxa"/>
            <w:vMerge/>
            <w:shd w:val="clear" w:color="auto" w:fill="auto"/>
            <w:vAlign w:val="center"/>
          </w:tcPr>
          <w:p w:rsidR="001A62D7" w:rsidRPr="00311647"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311647"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311647" w:rsidRDefault="001A62D7" w:rsidP="001D5990">
            <w:pPr>
              <w:spacing w:before="60" w:after="60"/>
              <w:jc w:val="center"/>
              <w:rPr>
                <w:rFonts w:eastAsia="Times New Roman"/>
                <w:noProof/>
                <w:sz w:val="22"/>
              </w:rPr>
            </w:pPr>
            <w:r w:rsidRPr="00311647">
              <w:rPr>
                <w:noProof/>
                <w:sz w:val="22"/>
              </w:rPr>
              <w:t>(</w:t>
            </w:r>
            <w:r w:rsidRPr="00311647">
              <w:rPr>
                <w:noProof/>
              </w:rPr>
              <w:t>11,50 </w:t>
            </w:r>
            <w:r w:rsidRPr="00311647">
              <w:rPr>
                <w:noProof/>
                <w:sz w:val="22"/>
              </w:rPr>
              <w:t>%)</w:t>
            </w:r>
          </w:p>
        </w:tc>
      </w:tr>
      <w:tr w:rsidR="001A62D7" w:rsidRPr="00311647" w:rsidTr="001D5990">
        <w:tc>
          <w:tcPr>
            <w:tcW w:w="9288" w:type="dxa"/>
            <w:gridSpan w:val="4"/>
            <w:shd w:val="clear" w:color="auto" w:fill="auto"/>
            <w:vAlign w:val="center"/>
          </w:tcPr>
          <w:p w:rsidR="001A62D7" w:rsidRPr="00311647" w:rsidRDefault="001A62D7" w:rsidP="001D5990">
            <w:pPr>
              <w:spacing w:before="60" w:after="60"/>
              <w:jc w:val="left"/>
              <w:rPr>
                <w:rFonts w:eastAsia="Times New Roman"/>
                <w:noProof/>
                <w:sz w:val="22"/>
              </w:rPr>
            </w:pPr>
            <w:r w:rsidRPr="00311647">
              <w:rPr>
                <w:noProof/>
                <w:sz w:val="22"/>
              </w:rPr>
              <w:t>Activități în temeiul articolului 7 alineatul (5) din Regulamentul (UE) 2021/691</w:t>
            </w:r>
          </w:p>
        </w:tc>
      </w:tr>
      <w:tr w:rsidR="001A62D7" w:rsidRPr="00311647" w:rsidTr="001D5990">
        <w:tc>
          <w:tcPr>
            <w:tcW w:w="4644" w:type="dxa"/>
            <w:shd w:val="clear" w:color="auto" w:fill="auto"/>
          </w:tcPr>
          <w:p w:rsidR="001A62D7" w:rsidRPr="00311647" w:rsidRDefault="001A62D7" w:rsidP="001D5990">
            <w:pPr>
              <w:spacing w:before="60" w:after="60"/>
              <w:ind w:left="284"/>
              <w:jc w:val="left"/>
              <w:rPr>
                <w:rFonts w:eastAsia="Times New Roman"/>
                <w:noProof/>
                <w:sz w:val="22"/>
              </w:rPr>
            </w:pPr>
            <w:r w:rsidRPr="00311647">
              <w:rPr>
                <w:noProof/>
                <w:sz w:val="22"/>
              </w:rPr>
              <w:t>1. Activități de pregătire</w:t>
            </w:r>
          </w:p>
        </w:tc>
        <w:tc>
          <w:tcPr>
            <w:tcW w:w="3096" w:type="dxa"/>
            <w:gridSpan w:val="2"/>
            <w:shd w:val="clear" w:color="auto" w:fill="D9D9D9"/>
            <w:vAlign w:val="center"/>
          </w:tcPr>
          <w:p w:rsidR="001A62D7" w:rsidRPr="00311647" w:rsidRDefault="001A62D7" w:rsidP="001D5990">
            <w:pPr>
              <w:spacing w:before="60" w:after="60"/>
              <w:jc w:val="center"/>
              <w:rPr>
                <w:rFonts w:eastAsia="Times New Roman"/>
                <w:noProof/>
                <w:sz w:val="22"/>
              </w:rPr>
            </w:pPr>
            <w:r w:rsidRPr="00311647">
              <w:rPr>
                <w:noProof/>
                <w:sz w:val="22"/>
              </w:rPr>
              <w:t>–</w:t>
            </w:r>
          </w:p>
        </w:tc>
        <w:tc>
          <w:tcPr>
            <w:tcW w:w="1548" w:type="dxa"/>
            <w:shd w:val="clear" w:color="auto" w:fill="auto"/>
          </w:tcPr>
          <w:p w:rsidR="001A62D7" w:rsidRPr="00311647" w:rsidRDefault="00B01AB0" w:rsidP="001D5990">
            <w:pPr>
              <w:spacing w:before="60" w:after="60"/>
              <w:jc w:val="center"/>
              <w:rPr>
                <w:rFonts w:eastAsia="Times New Roman"/>
                <w:noProof/>
                <w:sz w:val="22"/>
              </w:rPr>
            </w:pPr>
            <w:r w:rsidRPr="00311647">
              <w:rPr>
                <w:noProof/>
              </w:rPr>
              <w:t>0</w:t>
            </w:r>
          </w:p>
        </w:tc>
      </w:tr>
      <w:tr w:rsidR="001A62D7" w:rsidRPr="00311647" w:rsidTr="001D5990">
        <w:tc>
          <w:tcPr>
            <w:tcW w:w="4644" w:type="dxa"/>
            <w:shd w:val="clear" w:color="auto" w:fill="auto"/>
          </w:tcPr>
          <w:p w:rsidR="001A62D7" w:rsidRPr="00311647" w:rsidRDefault="001A62D7" w:rsidP="001D5990">
            <w:pPr>
              <w:spacing w:before="60" w:after="60"/>
              <w:ind w:left="284"/>
              <w:jc w:val="left"/>
              <w:rPr>
                <w:rFonts w:eastAsia="Times New Roman"/>
                <w:noProof/>
                <w:sz w:val="22"/>
              </w:rPr>
            </w:pPr>
            <w:r w:rsidRPr="00311647">
              <w:rPr>
                <w:noProof/>
                <w:sz w:val="22"/>
              </w:rPr>
              <w:t>2. Gestionare</w:t>
            </w:r>
          </w:p>
        </w:tc>
        <w:tc>
          <w:tcPr>
            <w:tcW w:w="3096" w:type="dxa"/>
            <w:gridSpan w:val="2"/>
            <w:shd w:val="clear" w:color="auto" w:fill="D9D9D9"/>
            <w:vAlign w:val="center"/>
          </w:tcPr>
          <w:p w:rsidR="001A62D7" w:rsidRPr="00311647" w:rsidRDefault="001A62D7" w:rsidP="001D5990">
            <w:pPr>
              <w:spacing w:before="60" w:after="60"/>
              <w:jc w:val="center"/>
              <w:rPr>
                <w:rFonts w:eastAsia="Times New Roman"/>
                <w:noProof/>
                <w:sz w:val="22"/>
              </w:rPr>
            </w:pPr>
            <w:r w:rsidRPr="00311647">
              <w:rPr>
                <w:noProof/>
                <w:sz w:val="22"/>
              </w:rPr>
              <w:t>–</w:t>
            </w:r>
          </w:p>
        </w:tc>
        <w:tc>
          <w:tcPr>
            <w:tcW w:w="1548" w:type="dxa"/>
            <w:shd w:val="clear" w:color="auto" w:fill="auto"/>
          </w:tcPr>
          <w:p w:rsidR="001A62D7" w:rsidRPr="00311647" w:rsidRDefault="00B01AB0" w:rsidP="001D5990">
            <w:pPr>
              <w:spacing w:before="60" w:after="60"/>
              <w:jc w:val="center"/>
              <w:rPr>
                <w:rFonts w:eastAsia="Times New Roman"/>
                <w:noProof/>
                <w:sz w:val="22"/>
              </w:rPr>
            </w:pPr>
            <w:r w:rsidRPr="00311647">
              <w:rPr>
                <w:noProof/>
              </w:rPr>
              <w:t>13 260</w:t>
            </w:r>
          </w:p>
        </w:tc>
      </w:tr>
      <w:tr w:rsidR="001A62D7" w:rsidRPr="00311647" w:rsidTr="001D5990">
        <w:tc>
          <w:tcPr>
            <w:tcW w:w="4644" w:type="dxa"/>
            <w:shd w:val="clear" w:color="auto" w:fill="auto"/>
          </w:tcPr>
          <w:p w:rsidR="001A62D7" w:rsidRPr="00311647" w:rsidRDefault="001A62D7" w:rsidP="001D5990">
            <w:pPr>
              <w:spacing w:before="60" w:after="60"/>
              <w:ind w:left="284"/>
              <w:jc w:val="left"/>
              <w:rPr>
                <w:rFonts w:eastAsia="Times New Roman"/>
                <w:noProof/>
                <w:sz w:val="22"/>
              </w:rPr>
            </w:pPr>
            <w:r w:rsidRPr="00311647">
              <w:rPr>
                <w:noProof/>
                <w:sz w:val="22"/>
              </w:rPr>
              <w:t>3. Informare și publicitate</w:t>
            </w:r>
          </w:p>
        </w:tc>
        <w:tc>
          <w:tcPr>
            <w:tcW w:w="3096" w:type="dxa"/>
            <w:gridSpan w:val="2"/>
            <w:shd w:val="clear" w:color="auto" w:fill="D9D9D9"/>
            <w:vAlign w:val="center"/>
          </w:tcPr>
          <w:p w:rsidR="001A62D7" w:rsidRPr="00311647" w:rsidRDefault="001A62D7" w:rsidP="001D5990">
            <w:pPr>
              <w:spacing w:before="60" w:after="60"/>
              <w:jc w:val="center"/>
              <w:rPr>
                <w:rFonts w:eastAsia="Times New Roman"/>
                <w:noProof/>
                <w:sz w:val="22"/>
              </w:rPr>
            </w:pPr>
            <w:r w:rsidRPr="00311647">
              <w:rPr>
                <w:noProof/>
                <w:sz w:val="22"/>
              </w:rPr>
              <w:t>–</w:t>
            </w:r>
          </w:p>
        </w:tc>
        <w:tc>
          <w:tcPr>
            <w:tcW w:w="1548" w:type="dxa"/>
            <w:shd w:val="clear" w:color="auto" w:fill="auto"/>
          </w:tcPr>
          <w:p w:rsidR="001A62D7" w:rsidRPr="00311647" w:rsidRDefault="00B01AB0" w:rsidP="001D5990">
            <w:pPr>
              <w:spacing w:before="60" w:after="60"/>
              <w:jc w:val="center"/>
              <w:rPr>
                <w:rFonts w:eastAsia="Times New Roman"/>
                <w:noProof/>
                <w:sz w:val="22"/>
              </w:rPr>
            </w:pPr>
            <w:r w:rsidRPr="00311647">
              <w:rPr>
                <w:noProof/>
              </w:rPr>
              <w:t>5 000</w:t>
            </w:r>
          </w:p>
        </w:tc>
      </w:tr>
      <w:tr w:rsidR="001A62D7" w:rsidRPr="00311647" w:rsidTr="001D5990">
        <w:tc>
          <w:tcPr>
            <w:tcW w:w="4644" w:type="dxa"/>
            <w:shd w:val="clear" w:color="auto" w:fill="auto"/>
          </w:tcPr>
          <w:p w:rsidR="001A62D7" w:rsidRPr="00311647" w:rsidRDefault="001A62D7" w:rsidP="001D5990">
            <w:pPr>
              <w:spacing w:before="60" w:after="60"/>
              <w:ind w:left="284"/>
              <w:jc w:val="left"/>
              <w:rPr>
                <w:rFonts w:eastAsia="Times New Roman"/>
                <w:noProof/>
                <w:sz w:val="22"/>
              </w:rPr>
            </w:pPr>
            <w:r w:rsidRPr="00311647">
              <w:rPr>
                <w:noProof/>
                <w:sz w:val="22"/>
              </w:rPr>
              <w:lastRenderedPageBreak/>
              <w:t>4. Control și raportare</w:t>
            </w:r>
          </w:p>
        </w:tc>
        <w:tc>
          <w:tcPr>
            <w:tcW w:w="3096" w:type="dxa"/>
            <w:gridSpan w:val="2"/>
            <w:shd w:val="clear" w:color="auto" w:fill="D9D9D9"/>
            <w:vAlign w:val="center"/>
          </w:tcPr>
          <w:p w:rsidR="001A62D7" w:rsidRPr="00311647" w:rsidRDefault="001A62D7" w:rsidP="001D5990">
            <w:pPr>
              <w:spacing w:before="60" w:after="60"/>
              <w:jc w:val="center"/>
              <w:rPr>
                <w:rFonts w:eastAsia="Times New Roman"/>
                <w:noProof/>
                <w:sz w:val="22"/>
              </w:rPr>
            </w:pPr>
            <w:r w:rsidRPr="00311647">
              <w:rPr>
                <w:noProof/>
                <w:sz w:val="22"/>
              </w:rPr>
              <w:t>–</w:t>
            </w:r>
          </w:p>
        </w:tc>
        <w:tc>
          <w:tcPr>
            <w:tcW w:w="1548" w:type="dxa"/>
            <w:tcBorders>
              <w:bottom w:val="single" w:sz="4" w:space="0" w:color="auto"/>
            </w:tcBorders>
            <w:shd w:val="clear" w:color="auto" w:fill="auto"/>
          </w:tcPr>
          <w:p w:rsidR="001A62D7" w:rsidRPr="00311647" w:rsidRDefault="00B01AB0" w:rsidP="001D5990">
            <w:pPr>
              <w:spacing w:before="60" w:after="60"/>
              <w:jc w:val="center"/>
              <w:rPr>
                <w:rFonts w:eastAsia="Times New Roman"/>
                <w:noProof/>
                <w:sz w:val="22"/>
              </w:rPr>
            </w:pPr>
            <w:r w:rsidRPr="00311647">
              <w:rPr>
                <w:noProof/>
              </w:rPr>
              <w:t>35 802</w:t>
            </w:r>
          </w:p>
        </w:tc>
      </w:tr>
      <w:tr w:rsidR="001A62D7" w:rsidRPr="00311647" w:rsidTr="001D5990">
        <w:trPr>
          <w:trHeight w:val="203"/>
        </w:trPr>
        <w:tc>
          <w:tcPr>
            <w:tcW w:w="4644" w:type="dxa"/>
            <w:vMerge w:val="restart"/>
            <w:shd w:val="clear" w:color="auto" w:fill="auto"/>
            <w:vAlign w:val="center"/>
          </w:tcPr>
          <w:p w:rsidR="001A62D7" w:rsidRPr="00311647" w:rsidRDefault="001A62D7" w:rsidP="001D5990">
            <w:pPr>
              <w:spacing w:before="60" w:after="60"/>
              <w:jc w:val="right"/>
              <w:rPr>
                <w:rFonts w:eastAsia="Times New Roman"/>
                <w:noProof/>
                <w:sz w:val="22"/>
              </w:rPr>
            </w:pPr>
            <w:r w:rsidRPr="00311647">
              <w:rPr>
                <w:noProof/>
                <w:sz w:val="22"/>
              </w:rPr>
              <w:t>Subtotal (c):</w:t>
            </w:r>
          </w:p>
          <w:p w:rsidR="001A62D7" w:rsidRPr="00311647" w:rsidRDefault="001A62D7" w:rsidP="001D5990">
            <w:pPr>
              <w:spacing w:before="60" w:after="60"/>
              <w:jc w:val="right"/>
              <w:rPr>
                <w:rFonts w:eastAsia="Times New Roman"/>
                <w:noProof/>
                <w:sz w:val="22"/>
              </w:rPr>
            </w:pPr>
            <w:r w:rsidRPr="00311647">
              <w:rPr>
                <w:noProof/>
                <w:sz w:val="22"/>
              </w:rPr>
              <w:t>Procentaj din costurile totale:</w:t>
            </w:r>
          </w:p>
        </w:tc>
        <w:tc>
          <w:tcPr>
            <w:tcW w:w="3096" w:type="dxa"/>
            <w:gridSpan w:val="2"/>
            <w:vMerge w:val="restart"/>
            <w:shd w:val="clear" w:color="auto" w:fill="D9D9D9"/>
            <w:vAlign w:val="center"/>
          </w:tcPr>
          <w:p w:rsidR="001A62D7" w:rsidRPr="00311647" w:rsidRDefault="001A62D7" w:rsidP="001D5990">
            <w:pPr>
              <w:spacing w:before="0" w:after="0"/>
              <w:jc w:val="center"/>
              <w:rPr>
                <w:rFonts w:eastAsia="Times New Roman"/>
                <w:noProof/>
                <w:sz w:val="22"/>
              </w:rPr>
            </w:pPr>
            <w:r w:rsidRPr="00311647">
              <w:rPr>
                <w:noProof/>
                <w:sz w:val="22"/>
              </w:rPr>
              <w:t>–</w:t>
            </w:r>
          </w:p>
        </w:tc>
        <w:tc>
          <w:tcPr>
            <w:tcW w:w="1548" w:type="dxa"/>
            <w:tcBorders>
              <w:bottom w:val="nil"/>
            </w:tcBorders>
            <w:shd w:val="clear" w:color="auto" w:fill="auto"/>
            <w:vAlign w:val="center"/>
          </w:tcPr>
          <w:p w:rsidR="001A62D7" w:rsidRPr="00311647" w:rsidRDefault="008032DE" w:rsidP="001D5990">
            <w:pPr>
              <w:spacing w:before="60" w:after="60"/>
              <w:jc w:val="center"/>
              <w:rPr>
                <w:rFonts w:eastAsia="Times New Roman"/>
                <w:noProof/>
                <w:sz w:val="22"/>
              </w:rPr>
            </w:pPr>
            <w:r w:rsidRPr="00311647">
              <w:rPr>
                <w:noProof/>
              </w:rPr>
              <w:t>54 062</w:t>
            </w:r>
          </w:p>
        </w:tc>
      </w:tr>
      <w:tr w:rsidR="001A62D7" w:rsidRPr="00311647" w:rsidTr="001D5990">
        <w:trPr>
          <w:trHeight w:val="202"/>
        </w:trPr>
        <w:tc>
          <w:tcPr>
            <w:tcW w:w="4644" w:type="dxa"/>
            <w:vMerge/>
            <w:shd w:val="clear" w:color="auto" w:fill="auto"/>
          </w:tcPr>
          <w:p w:rsidR="001A62D7" w:rsidRPr="00311647"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311647"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311647" w:rsidRDefault="001A62D7" w:rsidP="001D5990">
            <w:pPr>
              <w:spacing w:before="60" w:after="60"/>
              <w:jc w:val="center"/>
              <w:rPr>
                <w:rFonts w:eastAsia="Times New Roman"/>
                <w:noProof/>
                <w:sz w:val="22"/>
              </w:rPr>
            </w:pPr>
            <w:r w:rsidRPr="00311647">
              <w:rPr>
                <w:noProof/>
                <w:sz w:val="22"/>
              </w:rPr>
              <w:t>(</w:t>
            </w:r>
            <w:r w:rsidRPr="00311647">
              <w:rPr>
                <w:noProof/>
              </w:rPr>
              <w:t>1,20 </w:t>
            </w:r>
            <w:r w:rsidRPr="00311647">
              <w:rPr>
                <w:noProof/>
                <w:sz w:val="22"/>
              </w:rPr>
              <w:t>%)</w:t>
            </w:r>
          </w:p>
        </w:tc>
      </w:tr>
      <w:tr w:rsidR="001A62D7" w:rsidRPr="00311647" w:rsidTr="001D5990">
        <w:tc>
          <w:tcPr>
            <w:tcW w:w="4644" w:type="dxa"/>
            <w:shd w:val="clear" w:color="auto" w:fill="auto"/>
          </w:tcPr>
          <w:p w:rsidR="001A62D7" w:rsidRPr="00311647" w:rsidRDefault="001A62D7" w:rsidP="001D5990">
            <w:pPr>
              <w:spacing w:before="60" w:after="60"/>
              <w:jc w:val="left"/>
              <w:rPr>
                <w:rFonts w:eastAsia="Times New Roman"/>
                <w:noProof/>
                <w:sz w:val="22"/>
              </w:rPr>
            </w:pPr>
            <w:r w:rsidRPr="00311647">
              <w:rPr>
                <w:noProof/>
                <w:sz w:val="22"/>
              </w:rPr>
              <w:t>Costuri totale (a + b + c):</w:t>
            </w:r>
          </w:p>
        </w:tc>
        <w:tc>
          <w:tcPr>
            <w:tcW w:w="3096" w:type="dxa"/>
            <w:gridSpan w:val="2"/>
            <w:shd w:val="clear" w:color="auto" w:fill="D9D9D9"/>
            <w:vAlign w:val="center"/>
          </w:tcPr>
          <w:p w:rsidR="001A62D7" w:rsidRPr="00311647" w:rsidRDefault="001A62D7" w:rsidP="001D5990">
            <w:pPr>
              <w:spacing w:before="60" w:after="60"/>
              <w:jc w:val="center"/>
              <w:rPr>
                <w:rFonts w:eastAsia="Times New Roman"/>
                <w:noProof/>
                <w:sz w:val="22"/>
              </w:rPr>
            </w:pPr>
            <w:r w:rsidRPr="00311647">
              <w:rPr>
                <w:noProof/>
                <w:sz w:val="22"/>
              </w:rPr>
              <w:t>–</w:t>
            </w:r>
          </w:p>
        </w:tc>
        <w:tc>
          <w:tcPr>
            <w:tcW w:w="1548" w:type="dxa"/>
            <w:shd w:val="clear" w:color="auto" w:fill="auto"/>
          </w:tcPr>
          <w:p w:rsidR="001A62D7" w:rsidRPr="00311647" w:rsidRDefault="009E13E4" w:rsidP="001D5990">
            <w:pPr>
              <w:spacing w:before="60" w:after="60"/>
              <w:jc w:val="center"/>
              <w:rPr>
                <w:noProof/>
                <w:sz w:val="22"/>
              </w:rPr>
            </w:pPr>
            <w:r w:rsidRPr="00311647">
              <w:rPr>
                <w:noProof/>
              </w:rPr>
              <w:t>4 495 836</w:t>
            </w:r>
          </w:p>
        </w:tc>
      </w:tr>
      <w:tr w:rsidR="001A62D7" w:rsidRPr="00311647" w:rsidTr="001D5990">
        <w:tc>
          <w:tcPr>
            <w:tcW w:w="4644" w:type="dxa"/>
            <w:shd w:val="clear" w:color="auto" w:fill="auto"/>
          </w:tcPr>
          <w:p w:rsidR="001A62D7" w:rsidRPr="00311647" w:rsidRDefault="001A62D7" w:rsidP="001D5990">
            <w:pPr>
              <w:spacing w:before="60" w:after="60"/>
              <w:jc w:val="left"/>
              <w:rPr>
                <w:rFonts w:eastAsia="Times New Roman"/>
                <w:noProof/>
                <w:sz w:val="22"/>
              </w:rPr>
            </w:pPr>
            <w:r w:rsidRPr="00311647">
              <w:rPr>
                <w:noProof/>
                <w:sz w:val="22"/>
              </w:rPr>
              <w:t>Contribuția din partea FEG (</w:t>
            </w:r>
            <w:r w:rsidRPr="00311647">
              <w:rPr>
                <w:noProof/>
              </w:rPr>
              <w:t>85</w:t>
            </w:r>
            <w:r w:rsidRPr="00311647">
              <w:rPr>
                <w:noProof/>
                <w:sz w:val="22"/>
              </w:rPr>
              <w:t> % din costurile totale)</w:t>
            </w:r>
          </w:p>
        </w:tc>
        <w:tc>
          <w:tcPr>
            <w:tcW w:w="3096" w:type="dxa"/>
            <w:gridSpan w:val="2"/>
            <w:shd w:val="clear" w:color="auto" w:fill="D9D9D9"/>
            <w:vAlign w:val="center"/>
          </w:tcPr>
          <w:p w:rsidR="001A62D7" w:rsidRPr="00311647" w:rsidRDefault="001A62D7" w:rsidP="001D5990">
            <w:pPr>
              <w:spacing w:before="60" w:after="60"/>
              <w:jc w:val="center"/>
              <w:rPr>
                <w:rFonts w:eastAsia="Times New Roman"/>
                <w:noProof/>
                <w:sz w:val="22"/>
              </w:rPr>
            </w:pPr>
            <w:r w:rsidRPr="00311647">
              <w:rPr>
                <w:noProof/>
                <w:sz w:val="22"/>
              </w:rPr>
              <w:t>–</w:t>
            </w:r>
          </w:p>
        </w:tc>
        <w:tc>
          <w:tcPr>
            <w:tcW w:w="1548" w:type="dxa"/>
            <w:shd w:val="clear" w:color="auto" w:fill="auto"/>
          </w:tcPr>
          <w:p w:rsidR="001A62D7" w:rsidRPr="00311647" w:rsidRDefault="001C1059" w:rsidP="001D5990">
            <w:pPr>
              <w:spacing w:before="60" w:after="60"/>
              <w:jc w:val="center"/>
              <w:rPr>
                <w:rFonts w:eastAsia="Times New Roman"/>
                <w:noProof/>
                <w:sz w:val="22"/>
              </w:rPr>
            </w:pPr>
            <w:r w:rsidRPr="00311647">
              <w:rPr>
                <w:noProof/>
              </w:rPr>
              <w:t>3 821 460</w:t>
            </w:r>
          </w:p>
        </w:tc>
      </w:tr>
    </w:tbl>
    <w:p w:rsidR="001A62D7" w:rsidRPr="00311647" w:rsidRDefault="001A62D7" w:rsidP="00AE7D04">
      <w:pPr>
        <w:pStyle w:val="ManualNumPar1"/>
        <w:rPr>
          <w:noProof/>
          <w:szCs w:val="20"/>
        </w:rPr>
      </w:pPr>
      <w:r>
        <w:rPr>
          <w:noProof/>
        </w:rPr>
        <w:t>40.</w:t>
      </w:r>
      <w:r>
        <w:rPr>
          <w:noProof/>
        </w:rPr>
        <w:tab/>
      </w:r>
      <w:r w:rsidRPr="00311647">
        <w:rPr>
          <w:noProof/>
        </w:rPr>
        <w:t>Costurile măsurilor identificate în tabelul de mai sus ca măsuri adoptate în temeiul articolului 7 alineatul (2) al doilea paragraf litera (b) din Regulamentul (UE) 2021/691 nu depășesc 35 % din costurile totale ale pachetului coordonat de servicii personalizate. Belgia a confirmat că aceste măsuri sunt condiționate de participarea activă a beneficiarilor vizați la activități de căutare a unui loc de muncă sau de instruire.</w:t>
      </w:r>
    </w:p>
    <w:p w:rsidR="001A62D7" w:rsidRPr="00311647" w:rsidRDefault="001A62D7" w:rsidP="00AE7D04">
      <w:pPr>
        <w:pStyle w:val="ManualNumPar1"/>
        <w:rPr>
          <w:noProof/>
        </w:rPr>
      </w:pPr>
      <w:r>
        <w:rPr>
          <w:noProof/>
        </w:rPr>
        <w:t>41.</w:t>
      </w:r>
      <w:r>
        <w:rPr>
          <w:noProof/>
        </w:rPr>
        <w:tab/>
      </w:r>
      <w:r w:rsidRPr="00311647">
        <w:rPr>
          <w:noProof/>
        </w:rPr>
        <w:t>În conformitate cu articolul 7 alineatul (2) al patrulea paragraf din Regulamentul (UE) 2021/691, Belgia a confirmat că costurile investițiilor pentru desfășurarea de activități independente, înființarea de noi întreprinderi și preluarea întreprinderilor de către angajați nu vor depăși 22 000 EUR per beneficiar.</w:t>
      </w:r>
    </w:p>
    <w:p w:rsidR="001A62D7" w:rsidRPr="00311647" w:rsidRDefault="001A62D7" w:rsidP="001A62D7">
      <w:pPr>
        <w:pStyle w:val="ManualHeading3"/>
        <w:rPr>
          <w:noProof/>
        </w:rPr>
      </w:pPr>
      <w:r w:rsidRPr="00311647">
        <w:rPr>
          <w:noProof/>
        </w:rPr>
        <w:t>Perioada de eligibilitate a cheltuielilor</w:t>
      </w:r>
    </w:p>
    <w:p w:rsidR="001A62D7" w:rsidRPr="00311647" w:rsidRDefault="00E26C3E" w:rsidP="00AE7D04">
      <w:pPr>
        <w:pStyle w:val="ManualNumPar1"/>
        <w:rPr>
          <w:noProof/>
        </w:rPr>
      </w:pPr>
      <w:r>
        <w:rPr>
          <w:noProof/>
        </w:rPr>
        <w:t>42.</w:t>
      </w:r>
      <w:r>
        <w:rPr>
          <w:noProof/>
        </w:rPr>
        <w:tab/>
      </w:r>
      <w:r w:rsidRPr="00311647">
        <w:rPr>
          <w:noProof/>
        </w:rPr>
        <w:t>Belgia a început prestarea serviciilor personalizate către beneficiarii vizați la 1 septembrie 2025. Prin urmare, cheltuielile aferente măsurilor vor fi eligibile pentru o contribuție financiară din FEG începând cu 1 septembrie 2025, pentru o perioadă de 24 de luni de la data intrării în vigoare a deciziei de finanțare.</w:t>
      </w:r>
    </w:p>
    <w:p w:rsidR="001A62D7" w:rsidRPr="00311647" w:rsidRDefault="00AD3DA6" w:rsidP="00AE7D04">
      <w:pPr>
        <w:pStyle w:val="ManualNumPar1"/>
        <w:rPr>
          <w:noProof/>
        </w:rPr>
      </w:pPr>
      <w:r>
        <w:rPr>
          <w:noProof/>
        </w:rPr>
        <w:t>43.</w:t>
      </w:r>
      <w:r>
        <w:rPr>
          <w:noProof/>
        </w:rPr>
        <w:tab/>
      </w:r>
      <w:r w:rsidRPr="00311647">
        <w:rPr>
          <w:noProof/>
        </w:rPr>
        <w:t xml:space="preserve">Belgia a început plata cheltuielilor administrative pentru punerea în aplicare a FEG la 9 aprilie 2025. Prin urmare, cheltuielile pentru activitățile de pregătire, gestionare, informare și publicitate, control și raportare sunt eligibile pentru o contribuție financiară din FEG de la 9 aprilie 2025, pentru o perioadă de 31 de luni de la data intrării în vigoare a deciziei de finanțare. </w:t>
      </w:r>
    </w:p>
    <w:p w:rsidR="001A62D7" w:rsidRPr="00311647" w:rsidRDefault="001A62D7" w:rsidP="001A62D7">
      <w:pPr>
        <w:pStyle w:val="ManualHeading2"/>
        <w:rPr>
          <w:noProof/>
        </w:rPr>
      </w:pPr>
      <w:r w:rsidRPr="00311647">
        <w:rPr>
          <w:noProof/>
        </w:rPr>
        <w:t>Sisteme de gestionare și control</w:t>
      </w:r>
    </w:p>
    <w:p w:rsidR="001A62D7" w:rsidRPr="00311647" w:rsidRDefault="001A62D7" w:rsidP="00AE7D04">
      <w:pPr>
        <w:pStyle w:val="ManualNumPar1"/>
        <w:rPr>
          <w:noProof/>
        </w:rPr>
      </w:pPr>
      <w:r>
        <w:rPr>
          <w:noProof/>
        </w:rPr>
        <w:t>44.</w:t>
      </w:r>
      <w:r>
        <w:rPr>
          <w:noProof/>
        </w:rPr>
        <w:tab/>
      </w:r>
      <w:r w:rsidRPr="00311647">
        <w:rPr>
          <w:noProof/>
        </w:rPr>
        <w:t>Cererea conține o descriere a sistemului de gestionare și control prevăzut la articolul 23 din Regulamentul (UE) 2021/691, care precizează responsabilitățile organismelor implicate. Belgia a notificat Comisiei faptul că această contribuție financiară va fi gestionată și controlată de către aceleași organisme care asigură gestionarea și controlul FSE+ în Regiunea Valonă.</w:t>
      </w:r>
    </w:p>
    <w:p w:rsidR="001A62D7" w:rsidRPr="00311647" w:rsidRDefault="001A62D7" w:rsidP="001A62D7">
      <w:pPr>
        <w:pStyle w:val="ManualHeading2"/>
        <w:rPr>
          <w:noProof/>
        </w:rPr>
      </w:pPr>
      <w:r w:rsidRPr="00311647">
        <w:rPr>
          <w:noProof/>
        </w:rPr>
        <w:t>Angajamentele asumate de statul membru în cauză</w:t>
      </w:r>
    </w:p>
    <w:p w:rsidR="001A62D7" w:rsidRPr="00311647" w:rsidRDefault="00AD3DA6" w:rsidP="00AE7D04">
      <w:pPr>
        <w:pStyle w:val="ManualNumPar1"/>
        <w:rPr>
          <w:noProof/>
        </w:rPr>
      </w:pPr>
      <w:r>
        <w:rPr>
          <w:noProof/>
        </w:rPr>
        <w:t>45.</w:t>
      </w:r>
      <w:r>
        <w:rPr>
          <w:noProof/>
        </w:rPr>
        <w:tab/>
      </w:r>
      <w:r w:rsidRPr="00311647">
        <w:rPr>
          <w:noProof/>
        </w:rPr>
        <w:t xml:space="preserve">Belgia a oferit toate garanțiile necesare cu privire la următoarele: </w:t>
      </w:r>
    </w:p>
    <w:p w:rsidR="001A62D7" w:rsidRPr="00311647" w:rsidRDefault="001A62D7" w:rsidP="001A62D7">
      <w:pPr>
        <w:pStyle w:val="Tiret1"/>
        <w:rPr>
          <w:noProof/>
        </w:rPr>
      </w:pPr>
      <w:r w:rsidRPr="00311647">
        <w:rPr>
          <w:noProof/>
        </w:rPr>
        <w:t>în contextul accesului la măsurile propuse și al punerii în aplicare a acestora, vor fi respectate principiul egalității de tratament și principiul nediscriminării,</w:t>
      </w:r>
    </w:p>
    <w:p w:rsidR="001A62D7" w:rsidRPr="00311647" w:rsidRDefault="001A62D7" w:rsidP="001A62D7">
      <w:pPr>
        <w:pStyle w:val="Tiret1"/>
        <w:rPr>
          <w:noProof/>
        </w:rPr>
      </w:pPr>
      <w:r w:rsidRPr="00311647">
        <w:rPr>
          <w:noProof/>
        </w:rPr>
        <w:t>au fost îndeplinite cerințele prevăzute de legislația națională și de legislația UE în ceea ce privește concedierile colective,</w:t>
      </w:r>
    </w:p>
    <w:p w:rsidR="001A62D7" w:rsidRPr="00311647" w:rsidRDefault="001A62D7" w:rsidP="001A62D7">
      <w:pPr>
        <w:pStyle w:val="Tiret1"/>
        <w:rPr>
          <w:noProof/>
        </w:rPr>
      </w:pPr>
      <w:r w:rsidRPr="00311647">
        <w:rPr>
          <w:noProof/>
        </w:rPr>
        <w:t>se va evita orice fel de dublă finanțare,</w:t>
      </w:r>
    </w:p>
    <w:p w:rsidR="001A62D7" w:rsidRPr="00311647" w:rsidRDefault="001A62D7" w:rsidP="001A62D7">
      <w:pPr>
        <w:pStyle w:val="Tiret1"/>
        <w:rPr>
          <w:noProof/>
        </w:rPr>
      </w:pPr>
      <w:r w:rsidRPr="00311647">
        <w:rPr>
          <w:noProof/>
        </w:rPr>
        <w:t>contribuția financiară din partea FEG va respecta normele procedurale și de fond ale Uniunii privind ajutoarele de stat.</w:t>
      </w:r>
    </w:p>
    <w:p w:rsidR="001A62D7" w:rsidRPr="00311647" w:rsidRDefault="001A62D7" w:rsidP="001A62D7">
      <w:pPr>
        <w:pStyle w:val="ManualHeading1"/>
        <w:rPr>
          <w:noProof/>
        </w:rPr>
      </w:pPr>
      <w:r w:rsidRPr="00311647">
        <w:rPr>
          <w:noProof/>
        </w:rPr>
        <w:lastRenderedPageBreak/>
        <w:t>IMPLICAȚII BUGETARE</w:t>
      </w:r>
    </w:p>
    <w:p w:rsidR="001A62D7" w:rsidRPr="00311647" w:rsidRDefault="001A62D7" w:rsidP="001A62D7">
      <w:pPr>
        <w:pStyle w:val="ManualHeading2"/>
        <w:rPr>
          <w:noProof/>
        </w:rPr>
      </w:pPr>
      <w:r w:rsidRPr="00311647">
        <w:rPr>
          <w:noProof/>
        </w:rPr>
        <w:t>Propunerea bugetară</w:t>
      </w:r>
    </w:p>
    <w:p w:rsidR="001A62D7" w:rsidRPr="00311647" w:rsidRDefault="001A62D7" w:rsidP="00AE7D04">
      <w:pPr>
        <w:pStyle w:val="ManualNumPar1"/>
        <w:rPr>
          <w:noProof/>
        </w:rPr>
      </w:pPr>
      <w:r>
        <w:rPr>
          <w:noProof/>
        </w:rPr>
        <w:t>46.</w:t>
      </w:r>
      <w:r>
        <w:rPr>
          <w:noProof/>
        </w:rPr>
        <w:tab/>
      </w:r>
      <w:r w:rsidRPr="00311647">
        <w:rPr>
          <w:noProof/>
        </w:rPr>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sidRPr="00311647">
        <w:rPr>
          <w:rStyle w:val="FootnoteReference"/>
          <w:noProof/>
        </w:rPr>
        <w:footnoteReference w:id="36"/>
      </w:r>
      <w:r w:rsidRPr="00311647">
        <w:rPr>
          <w:noProof/>
        </w:rPr>
        <w:t>.</w:t>
      </w:r>
    </w:p>
    <w:p w:rsidR="001A62D7" w:rsidRPr="00311647" w:rsidRDefault="001A62D7" w:rsidP="00AE7D04">
      <w:pPr>
        <w:pStyle w:val="ManualNumPar1"/>
        <w:rPr>
          <w:rFonts w:eastAsia="Calibri"/>
          <w:noProof/>
        </w:rPr>
      </w:pPr>
      <w:r>
        <w:rPr>
          <w:noProof/>
        </w:rPr>
        <w:t>47.</w:t>
      </w:r>
      <w:r>
        <w:rPr>
          <w:noProof/>
        </w:rPr>
        <w:tab/>
      </w:r>
      <w:r w:rsidRPr="00311647">
        <w:rPr>
          <w:noProof/>
        </w:rPr>
        <w:t>După examinarea cererii în conformitate cu condițiile stabilite la articolul 13 alineatele (1) și (2) din Regulamentul (UE) 2021/691 și luând în considerare numărul de beneficiari vizați, măsurile propuse și costurile estimate, Comisia propune mobilizarea FEG pentru suma de 3 821 460 EUR, reprezentând 85 % din costurile totale ale măsurilor propuse, cu scopul de a furniza o contribuție financiară ca răspuns la cererea menționată.</w:t>
      </w:r>
    </w:p>
    <w:p w:rsidR="001A62D7" w:rsidRPr="00311647" w:rsidRDefault="001A62D7" w:rsidP="00AE7D04">
      <w:pPr>
        <w:pStyle w:val="ManualNumPar1"/>
        <w:rPr>
          <w:rFonts w:eastAsia="Times New Roman"/>
          <w:noProof/>
        </w:rPr>
      </w:pPr>
      <w:r>
        <w:rPr>
          <w:noProof/>
        </w:rPr>
        <w:t>48.</w:t>
      </w:r>
      <w:r>
        <w:rPr>
          <w:noProof/>
        </w:rPr>
        <w:tab/>
      </w:r>
      <w:r w:rsidRPr="00311647">
        <w:rPr>
          <w:noProof/>
        </w:rPr>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311647">
        <w:rPr>
          <w:rStyle w:val="FootnoteReference"/>
          <w:noProof/>
        </w:rPr>
        <w:footnoteReference w:id="37"/>
      </w:r>
      <w:r w:rsidRPr="00311647">
        <w:rPr>
          <w:noProof/>
        </w:rPr>
        <w:t>.</w:t>
      </w:r>
    </w:p>
    <w:p w:rsidR="001A62D7" w:rsidRPr="00311647" w:rsidRDefault="001A62D7" w:rsidP="001A62D7">
      <w:pPr>
        <w:pStyle w:val="ManualHeading2"/>
        <w:rPr>
          <w:noProof/>
        </w:rPr>
      </w:pPr>
      <w:r w:rsidRPr="00311647">
        <w:rPr>
          <w:noProof/>
        </w:rPr>
        <w:t>Acte conexe</w:t>
      </w:r>
    </w:p>
    <w:p w:rsidR="001A62D7" w:rsidRPr="00311647" w:rsidRDefault="001A62D7" w:rsidP="00AE7D04">
      <w:pPr>
        <w:pStyle w:val="ManualNumPar1"/>
        <w:rPr>
          <w:noProof/>
        </w:rPr>
      </w:pPr>
      <w:r>
        <w:rPr>
          <w:noProof/>
        </w:rPr>
        <w:t>49.</w:t>
      </w:r>
      <w:r>
        <w:rPr>
          <w:noProof/>
        </w:rPr>
        <w:tab/>
      </w:r>
      <w:r w:rsidRPr="00311647">
        <w:rPr>
          <w:noProof/>
        </w:rPr>
        <w:t>În același timp cu prezentarea acestei propuneri de decizie privind mobilizarea FEG, Comisia va prezenta Parlamentului European și Consiliului o propunere de transfer al sumei de 3 821 460 EUR către linia bugetară relevantă.</w:t>
      </w:r>
    </w:p>
    <w:p w:rsidR="001A62D7" w:rsidRPr="00311647" w:rsidRDefault="001A62D7" w:rsidP="00AE7D04">
      <w:pPr>
        <w:pStyle w:val="ManualNumPar1"/>
        <w:rPr>
          <w:noProof/>
        </w:rPr>
      </w:pPr>
      <w:r>
        <w:rPr>
          <w:noProof/>
        </w:rPr>
        <w:t>50.</w:t>
      </w:r>
      <w:r>
        <w:rPr>
          <w:noProof/>
        </w:rPr>
        <w:tab/>
      </w:r>
      <w:r w:rsidRPr="00311647">
        <w:rPr>
          <w:noProof/>
        </w:rPr>
        <w:t>Concomitent cu adoptarea prezentei propuneri de decizie privind mobilizarea FEG, Comisia a adoptat o decizie privind o contribuție financiară, care constituie o decizie de finanțare în sensul articolului 110 din Regulamentul (UE, Euratom) 2024/2509</w:t>
      </w:r>
      <w:r w:rsidRPr="00311647">
        <w:rPr>
          <w:rStyle w:val="FootnoteReference"/>
          <w:noProof/>
        </w:rPr>
        <w:footnoteReference w:id="38"/>
      </w:r>
      <w:r w:rsidRPr="00311647">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rsidR="001A62D7" w:rsidRPr="00311647" w:rsidRDefault="001A62D7" w:rsidP="001A62D7">
      <w:pPr>
        <w:rPr>
          <w:noProof/>
        </w:rPr>
        <w:sectPr w:rsidR="001A62D7" w:rsidRPr="00311647" w:rsidSect="004A4D5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F4003B" w:rsidRDefault="00630CD1">
      <w:pPr>
        <w:pStyle w:val="Rfrenceinterinstitutionnelle"/>
        <w:rPr>
          <w:noProof/>
        </w:rPr>
      </w:pPr>
      <w:r>
        <w:rPr>
          <w:noProof/>
        </w:rPr>
        <w:lastRenderedPageBreak/>
        <w:t>2026/0197 (BUD)</w:t>
      </w:r>
    </w:p>
    <w:p w:rsidR="001A62D7" w:rsidRPr="00311647" w:rsidRDefault="00AB1030" w:rsidP="00AB1030">
      <w:pPr>
        <w:pStyle w:val="Statut"/>
        <w:rPr>
          <w:noProof/>
        </w:rPr>
      </w:pPr>
      <w:r w:rsidRPr="00311647">
        <w:rPr>
          <w:noProof/>
        </w:rPr>
        <w:t>Propunere de</w:t>
      </w:r>
    </w:p>
    <w:p w:rsidR="001A62D7" w:rsidRPr="00311647" w:rsidRDefault="00AB1030" w:rsidP="00AB1030">
      <w:pPr>
        <w:pStyle w:val="Typedudocument"/>
        <w:rPr>
          <w:noProof/>
        </w:rPr>
      </w:pPr>
      <w:r w:rsidRPr="00311647">
        <w:rPr>
          <w:noProof/>
        </w:rPr>
        <w:t>DECIZIE A PARLAMENTULUI EUROPEAN ȘI A CONSILIULUI</w:t>
      </w:r>
    </w:p>
    <w:p w:rsidR="001A62D7" w:rsidRPr="00311647" w:rsidRDefault="00AB1030" w:rsidP="00AB1030">
      <w:pPr>
        <w:pStyle w:val="Titreobjet"/>
        <w:rPr>
          <w:noProof/>
        </w:rPr>
      </w:pPr>
      <w:r w:rsidRPr="00311647">
        <w:rPr>
          <w:noProof/>
        </w:rPr>
        <w:t>privind mobilizarea Fondului european de ajustare la globalizare pentru lucrătorii disponibilizați în urma unei cereri din partea Belgiei – EGF/2026/001 BE/Cora</w:t>
      </w:r>
    </w:p>
    <w:p w:rsidR="001A62D7" w:rsidRPr="00311647" w:rsidRDefault="001A62D7" w:rsidP="001A62D7">
      <w:pPr>
        <w:pStyle w:val="Institutionquiagit"/>
        <w:rPr>
          <w:noProof/>
        </w:rPr>
      </w:pPr>
      <w:r w:rsidRPr="00311647">
        <w:rPr>
          <w:noProof/>
        </w:rPr>
        <w:t>PARLAMENTUL EUROPEAN ȘI CONSILIUL UNIUNII EUROPENE,</w:t>
      </w:r>
    </w:p>
    <w:p w:rsidR="001A62D7" w:rsidRPr="00311647" w:rsidRDefault="001A62D7" w:rsidP="001A62D7">
      <w:pPr>
        <w:rPr>
          <w:noProof/>
        </w:rPr>
      </w:pPr>
      <w:r w:rsidRPr="00311647">
        <w:rPr>
          <w:noProof/>
        </w:rPr>
        <w:t>având în vedere Tratatul privind funcționarea Uniunii Europene,</w:t>
      </w:r>
    </w:p>
    <w:p w:rsidR="001A62D7" w:rsidRPr="00311647" w:rsidRDefault="001A62D7" w:rsidP="001A62D7">
      <w:pPr>
        <w:rPr>
          <w:noProof/>
        </w:rPr>
      </w:pPr>
      <w:r w:rsidRPr="00311647">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311647">
        <w:rPr>
          <w:rStyle w:val="FootnoteReference"/>
          <w:noProof/>
        </w:rPr>
        <w:footnoteReference w:id="39"/>
      </w:r>
      <w:r w:rsidRPr="00311647">
        <w:rPr>
          <w:noProof/>
        </w:rPr>
        <w:t>, în special articolul 15 alineatul (1) primul paragraf,</w:t>
      </w:r>
    </w:p>
    <w:p w:rsidR="001A62D7" w:rsidRPr="00311647" w:rsidRDefault="001A62D7" w:rsidP="001A62D7">
      <w:pPr>
        <w:rPr>
          <w:noProof/>
        </w:rPr>
      </w:pPr>
      <w:r w:rsidRPr="00311647">
        <w:rPr>
          <w:noProof/>
        </w:rPr>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311647">
        <w:rPr>
          <w:rStyle w:val="FootnoteReference"/>
          <w:noProof/>
        </w:rPr>
        <w:footnoteReference w:id="40"/>
      </w:r>
      <w:r w:rsidRPr="00311647">
        <w:rPr>
          <w:noProof/>
        </w:rPr>
        <w:t>, în special punctul 9,</w:t>
      </w:r>
    </w:p>
    <w:p w:rsidR="001A62D7" w:rsidRPr="00311647" w:rsidRDefault="001A62D7" w:rsidP="001A62D7">
      <w:pPr>
        <w:rPr>
          <w:noProof/>
        </w:rPr>
      </w:pPr>
      <w:r w:rsidRPr="00311647">
        <w:rPr>
          <w:noProof/>
        </w:rPr>
        <w:t>având în vedere propunerea Comisiei Europene,</w:t>
      </w:r>
    </w:p>
    <w:p w:rsidR="001A62D7" w:rsidRPr="00311647" w:rsidRDefault="001A62D7" w:rsidP="001A62D7">
      <w:pPr>
        <w:rPr>
          <w:noProof/>
        </w:rPr>
      </w:pPr>
      <w:r w:rsidRPr="00311647">
        <w:rPr>
          <w:noProof/>
        </w:rPr>
        <w:t>întrucât:</w:t>
      </w:r>
    </w:p>
    <w:p w:rsidR="001A62D7" w:rsidRPr="00311647" w:rsidRDefault="001A62D7" w:rsidP="00AE7D04">
      <w:pPr>
        <w:pStyle w:val="ManualConsidrant"/>
        <w:rPr>
          <w:noProof/>
        </w:rPr>
      </w:pPr>
      <w:r>
        <w:rPr>
          <w:noProof/>
        </w:rPr>
        <w:t>(1)</w:t>
      </w:r>
      <w:r>
        <w:rPr>
          <w:noProof/>
        </w:rPr>
        <w:tab/>
      </w:r>
      <w:r w:rsidRPr="00311647">
        <w:rPr>
          <w:noProof/>
        </w:rPr>
        <w:t xml:space="preserve">Fondul european de ajustare la globalizare pentru lucrătorii disponibilizați (FEG) urmărește să demonstreze solidaritatea și să promoveze locuri de muncă decente și sustenabile în Uniune, oferind sprijin lucrătorilor concediați și lucrătorilor independenți a căror activitate a încetat în cazul unor evenimente majore de restructurare și ajutându-i să revină cât mai curând posibil la locuri de muncă decente și sustenabile. </w:t>
      </w:r>
    </w:p>
    <w:p w:rsidR="001A62D7" w:rsidRPr="00311647" w:rsidRDefault="001A62D7" w:rsidP="00AE7D04">
      <w:pPr>
        <w:pStyle w:val="ManualConsidrant"/>
        <w:rPr>
          <w:noProof/>
        </w:rPr>
      </w:pPr>
      <w:r>
        <w:rPr>
          <w:noProof/>
        </w:rPr>
        <w:t>(2)</w:t>
      </w:r>
      <w:r>
        <w:rPr>
          <w:noProof/>
        </w:rPr>
        <w:tab/>
      </w:r>
      <w:r w:rsidRPr="00311647">
        <w:rPr>
          <w:noProof/>
        </w:rPr>
        <w:t>FEG nu trebuie să depășească un cuantum anual de maximum 30 de milioane EUR (la prețurile din 2018), astfel cum se prevede la articolul 8 din Regulamentul (UE, Euratom) 2020/2093</w:t>
      </w:r>
      <w:r w:rsidRPr="00311647">
        <w:rPr>
          <w:rStyle w:val="FootnoteReference"/>
          <w:noProof/>
        </w:rPr>
        <w:footnoteReference w:id="41"/>
      </w:r>
      <w:r w:rsidRPr="00311647">
        <w:rPr>
          <w:noProof/>
        </w:rPr>
        <w:t xml:space="preserve"> al Consiliului și la articolul 16 din Regulamentul (UE) 2021/691.</w:t>
      </w:r>
    </w:p>
    <w:p w:rsidR="001A62D7" w:rsidRPr="00311647" w:rsidRDefault="001A62D7" w:rsidP="00AE7D04">
      <w:pPr>
        <w:pStyle w:val="ManualConsidrant"/>
        <w:rPr>
          <w:noProof/>
        </w:rPr>
      </w:pPr>
      <w:r>
        <w:rPr>
          <w:noProof/>
        </w:rPr>
        <w:t>(3)</w:t>
      </w:r>
      <w:r>
        <w:rPr>
          <w:noProof/>
        </w:rPr>
        <w:tab/>
      </w:r>
      <w:r w:rsidRPr="00311647">
        <w:rPr>
          <w:noProof/>
        </w:rPr>
        <w:t xml:space="preserve">La 25 martie 2026, Belgia a depus o cerere de mobilizare a FEG în conformitate cu articolul 8 alineatul (1) din Regulamentul (UE) 2021/691, în ceea ce privește disponibilizările unor lucrători de la Cora SA și de la un furnizor din Belgia.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2021/691, pe baza evaluării </w:t>
      </w:r>
      <w:r w:rsidRPr="00311647">
        <w:rPr>
          <w:noProof/>
        </w:rPr>
        <w:lastRenderedPageBreak/>
        <w:t>efectuate de Comisie în propunerea de decizie de mobilizare a Parlamentului European și a Consiliului</w:t>
      </w:r>
      <w:r w:rsidRPr="00311647">
        <w:rPr>
          <w:rStyle w:val="FootnoteReference"/>
          <w:iCs/>
          <w:noProof/>
        </w:rPr>
        <w:footnoteReference w:id="42"/>
      </w:r>
      <w:r w:rsidRPr="00311647">
        <w:rPr>
          <w:noProof/>
        </w:rPr>
        <w:t>.</w:t>
      </w:r>
    </w:p>
    <w:p w:rsidR="001A62D7" w:rsidRPr="00311647" w:rsidRDefault="001A62D7" w:rsidP="00AE7D04">
      <w:pPr>
        <w:pStyle w:val="ManualConsidrant"/>
        <w:rPr>
          <w:noProof/>
        </w:rPr>
      </w:pPr>
      <w:r>
        <w:rPr>
          <w:noProof/>
        </w:rPr>
        <w:t>(4)</w:t>
      </w:r>
      <w:r>
        <w:rPr>
          <w:noProof/>
        </w:rPr>
        <w:tab/>
      </w:r>
      <w:r w:rsidRPr="00311647">
        <w:rPr>
          <w:noProof/>
        </w:rPr>
        <w:t>Prin urmare, este necesară mobilizarea FEG pentru a se furniza o contribuție financiară în valoare de 3 821 460 EUR ca urmare a cererii depuse de Belgia.</w:t>
      </w:r>
    </w:p>
    <w:p w:rsidR="001A62D7" w:rsidRPr="00311647" w:rsidRDefault="001A62D7" w:rsidP="00AE7D04">
      <w:pPr>
        <w:pStyle w:val="ManualConsidrant"/>
        <w:rPr>
          <w:noProof/>
        </w:rPr>
      </w:pPr>
      <w:r>
        <w:rPr>
          <w:noProof/>
        </w:rPr>
        <w:t>(5)</w:t>
      </w:r>
      <w:r>
        <w:rPr>
          <w:noProof/>
        </w:rPr>
        <w:tab/>
      </w:r>
      <w:r w:rsidRPr="00311647">
        <w:rPr>
          <w:noProof/>
        </w:rPr>
        <w:t>Pentru a se reduce la minimum timpul necesar pentru mobilizarea FEG, prezenta decizie trebuie să se aplice de la data adoptării,</w:t>
      </w:r>
    </w:p>
    <w:p w:rsidR="001A62D7" w:rsidRPr="00311647" w:rsidRDefault="001A62D7" w:rsidP="001A62D7">
      <w:pPr>
        <w:pStyle w:val="Formuledadoption"/>
        <w:rPr>
          <w:noProof/>
        </w:rPr>
      </w:pPr>
      <w:r w:rsidRPr="00311647">
        <w:rPr>
          <w:noProof/>
        </w:rPr>
        <w:t xml:space="preserve">ADOPTĂ PREZENTA DECIZIE: </w:t>
      </w:r>
    </w:p>
    <w:p w:rsidR="001A62D7" w:rsidRPr="00311647" w:rsidRDefault="001A62D7" w:rsidP="001A62D7">
      <w:pPr>
        <w:pStyle w:val="Titrearticle"/>
        <w:rPr>
          <w:noProof/>
        </w:rPr>
      </w:pPr>
      <w:r w:rsidRPr="00311647">
        <w:rPr>
          <w:noProof/>
        </w:rPr>
        <w:t>Articolul 1</w:t>
      </w:r>
    </w:p>
    <w:p w:rsidR="001A62D7" w:rsidRPr="00311647" w:rsidRDefault="001A62D7" w:rsidP="001A62D7">
      <w:pPr>
        <w:rPr>
          <w:noProof/>
        </w:rPr>
      </w:pPr>
      <w:r w:rsidRPr="00311647">
        <w:rPr>
          <w:noProof/>
        </w:rPr>
        <w:t>În cadrul bugetului general al Uniunii aferent exercițiului financiar 2026, Fondul european de ajustare la globalizare pentru lucrătorii disponibilizați se mobilizează pentru a se furniza cuantumul de 3 821 460 EUR, sub formă de credite de angajament și de credite de plată.</w:t>
      </w:r>
    </w:p>
    <w:p w:rsidR="001A62D7" w:rsidRPr="00311647" w:rsidRDefault="001A62D7" w:rsidP="004F253E">
      <w:pPr>
        <w:pStyle w:val="Titrearticle"/>
        <w:rPr>
          <w:noProof/>
        </w:rPr>
      </w:pPr>
      <w:r w:rsidRPr="00311647">
        <w:rPr>
          <w:noProof/>
        </w:rPr>
        <w:t>Articolul 2</w:t>
      </w:r>
    </w:p>
    <w:p w:rsidR="001A62D7" w:rsidRPr="00311647" w:rsidRDefault="001A62D7" w:rsidP="001A62D7">
      <w:pPr>
        <w:keepNext/>
        <w:keepLines/>
        <w:rPr>
          <w:noProof/>
        </w:rPr>
      </w:pPr>
      <w:r w:rsidRPr="00311647">
        <w:rPr>
          <w:noProof/>
        </w:rPr>
        <w:t xml:space="preserve">Prezenta decizie intră în vigoare la data publicării în </w:t>
      </w:r>
      <w:r w:rsidRPr="00311647">
        <w:rPr>
          <w:i/>
          <w:noProof/>
        </w:rPr>
        <w:t>Jurnalul Oficial al Uniunii Europene</w:t>
      </w:r>
      <w:r w:rsidRPr="00311647">
        <w:rPr>
          <w:noProof/>
        </w:rPr>
        <w:t xml:space="preserve">. Prezenta decizie se aplică de la </w:t>
      </w:r>
      <w:r w:rsidRPr="00311647">
        <w:rPr>
          <w:noProof/>
          <w:color w:val="FF0000"/>
        </w:rPr>
        <w:t>[</w:t>
      </w:r>
      <w:r w:rsidRPr="00311647">
        <w:rPr>
          <w:i/>
          <w:noProof/>
          <w:color w:val="FF0000"/>
        </w:rPr>
        <w:t>data adoptării</w:t>
      </w:r>
      <w:r w:rsidRPr="00311647">
        <w:rPr>
          <w:noProof/>
          <w:color w:val="FF0000"/>
        </w:rPr>
        <w:t>]</w:t>
      </w:r>
      <w:r w:rsidRPr="00311647">
        <w:rPr>
          <w:rStyle w:val="FootnoteReference"/>
          <w:noProof/>
          <w:color w:val="FF0000"/>
        </w:rPr>
        <w:footnoteReference w:customMarkFollows="1" w:id="43"/>
        <w:t>*</w:t>
      </w:r>
      <w:r w:rsidRPr="00311647">
        <w:rPr>
          <w:rStyle w:val="CommentReference"/>
          <w:noProof/>
        </w:rPr>
        <w:t xml:space="preserve"> </w:t>
      </w:r>
      <w:r w:rsidRPr="00311647">
        <w:rPr>
          <w:noProof/>
        </w:rPr>
        <w:t>.</w:t>
      </w:r>
    </w:p>
    <w:p w:rsidR="001A62D7" w:rsidRPr="00311647" w:rsidRDefault="00AB1030" w:rsidP="004F253E">
      <w:pPr>
        <w:pStyle w:val="Fait"/>
        <w:rPr>
          <w:noProof/>
        </w:rPr>
      </w:pPr>
      <w:r>
        <w:rPr>
          <w:noProof/>
        </w:rPr>
        <w:t>Adoptată la Bruxelles,</w:t>
      </w:r>
    </w:p>
    <w:p w:rsidR="001A62D7" w:rsidRPr="00311647" w:rsidRDefault="001A62D7" w:rsidP="004F253E">
      <w:pPr>
        <w:pStyle w:val="Institutionquisigne"/>
        <w:rPr>
          <w:noProof/>
        </w:rPr>
      </w:pPr>
      <w:r w:rsidRPr="00311647">
        <w:rPr>
          <w:noProof/>
        </w:rPr>
        <w:t>Pentru Parlamentul European</w:t>
      </w:r>
      <w:r w:rsidRPr="00311647">
        <w:rPr>
          <w:noProof/>
        </w:rPr>
        <w:tab/>
        <w:t>Pentru Consiliu</w:t>
      </w:r>
    </w:p>
    <w:p w:rsidR="001A62D7" w:rsidRPr="00311647" w:rsidRDefault="001A62D7" w:rsidP="001A62D7">
      <w:pPr>
        <w:pStyle w:val="Personnequisigne"/>
        <w:rPr>
          <w:noProof/>
        </w:rPr>
      </w:pPr>
      <w:r w:rsidRPr="00311647">
        <w:rPr>
          <w:noProof/>
        </w:rPr>
        <w:t>Președint</w:t>
      </w:r>
      <w:r w:rsidR="00311647" w:rsidRPr="00311647">
        <w:rPr>
          <w:noProof/>
        </w:rPr>
        <w:t>a</w:t>
      </w:r>
      <w:r w:rsidRPr="00311647">
        <w:rPr>
          <w:noProof/>
        </w:rPr>
        <w:tab/>
        <w:t xml:space="preserve">Președintele </w:t>
      </w:r>
      <w:r w:rsidRPr="00311647">
        <w:rPr>
          <w:noProof/>
        </w:rPr>
        <w:br/>
      </w:r>
    </w:p>
    <w:sectPr w:rsidR="001A62D7" w:rsidRPr="00311647" w:rsidSect="004A4D5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Pr="00311647" w:rsidRDefault="001A62D7" w:rsidP="001A62D7">
      <w:pPr>
        <w:spacing w:before="0" w:after="0"/>
      </w:pPr>
      <w:r w:rsidRPr="00311647">
        <w:separator/>
      </w:r>
    </w:p>
  </w:endnote>
  <w:endnote w:type="continuationSeparator" w:id="0">
    <w:p w:rsidR="001A62D7" w:rsidRPr="00311647" w:rsidRDefault="001A62D7" w:rsidP="001A62D7">
      <w:pPr>
        <w:spacing w:before="0" w:after="0"/>
      </w:pPr>
      <w:r w:rsidRPr="003116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D53" w:rsidRPr="004A4D53" w:rsidRDefault="004A4D53" w:rsidP="004A4D53">
    <w:pPr>
      <w:pStyle w:val="Footer"/>
      <w:rPr>
        <w:rFonts w:ascii="Arial" w:hAnsi="Arial" w:cs="Arial"/>
        <w:b/>
        <w:sz w:val="48"/>
      </w:rPr>
    </w:pPr>
    <w:r w:rsidRPr="004A4D53">
      <w:rPr>
        <w:rFonts w:ascii="Arial" w:hAnsi="Arial" w:cs="Arial"/>
        <w:b/>
        <w:sz w:val="48"/>
      </w:rPr>
      <w:t>RO</w:t>
    </w:r>
    <w:r w:rsidRPr="004A4D53">
      <w:rPr>
        <w:rFonts w:ascii="Arial" w:hAnsi="Arial" w:cs="Arial"/>
        <w:b/>
        <w:sz w:val="48"/>
      </w:rPr>
      <w:tab/>
    </w:r>
    <w:r w:rsidRPr="004A4D53">
      <w:rPr>
        <w:rFonts w:ascii="Arial" w:hAnsi="Arial" w:cs="Arial"/>
        <w:b/>
        <w:sz w:val="48"/>
      </w:rPr>
      <w:tab/>
    </w:r>
    <w:r w:rsidRPr="004A4D53">
      <w:tab/>
    </w:r>
    <w:r w:rsidRPr="004A4D5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D53" w:rsidRPr="004A4D53" w:rsidRDefault="004A4D53" w:rsidP="004A4D53">
    <w:pPr>
      <w:pStyle w:val="Footer"/>
      <w:rPr>
        <w:rFonts w:ascii="Arial" w:hAnsi="Arial" w:cs="Arial"/>
        <w:b/>
        <w:sz w:val="48"/>
      </w:rPr>
    </w:pPr>
    <w:r w:rsidRPr="004A4D53">
      <w:rPr>
        <w:rFonts w:ascii="Arial" w:hAnsi="Arial" w:cs="Arial"/>
        <w:b/>
        <w:sz w:val="48"/>
      </w:rPr>
      <w:t>RO</w:t>
    </w:r>
    <w:r w:rsidRPr="004A4D53">
      <w:rPr>
        <w:rFonts w:ascii="Arial" w:hAnsi="Arial" w:cs="Arial"/>
        <w:b/>
        <w:sz w:val="48"/>
      </w:rPr>
      <w:tab/>
    </w:r>
    <w:r w:rsidRPr="004A4D53">
      <w:rPr>
        <w:rFonts w:ascii="Arial" w:hAnsi="Arial" w:cs="Arial"/>
        <w:b/>
        <w:sz w:val="48"/>
      </w:rPr>
      <w:tab/>
    </w:r>
    <w:r w:rsidRPr="004A4D53">
      <w:tab/>
    </w:r>
    <w:r w:rsidRPr="004A4D5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D53" w:rsidRDefault="004A4D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D53" w:rsidRPr="004A4D53" w:rsidRDefault="004A4D53" w:rsidP="004A4D53">
    <w:pPr>
      <w:pStyle w:val="Footer"/>
      <w:rPr>
        <w:rFonts w:ascii="Arial" w:hAnsi="Arial" w:cs="Arial"/>
        <w:b/>
        <w:sz w:val="48"/>
      </w:rPr>
    </w:pPr>
    <w:r w:rsidRPr="004A4D53">
      <w:rPr>
        <w:rFonts w:ascii="Arial" w:hAnsi="Arial" w:cs="Arial"/>
        <w:b/>
        <w:sz w:val="48"/>
      </w:rPr>
      <w:t>RO</w:t>
    </w:r>
    <w:r w:rsidRPr="004A4D53">
      <w:rPr>
        <w:rFonts w:ascii="Arial" w:hAnsi="Arial" w:cs="Arial"/>
        <w:b/>
        <w:sz w:val="48"/>
      </w:rPr>
      <w:tab/>
    </w:r>
    <w:r>
      <w:fldChar w:fldCharType="begin"/>
    </w:r>
    <w:r>
      <w:instrText xml:space="preserve"> PAGE  \* MERGEFORMAT </w:instrText>
    </w:r>
    <w:r>
      <w:fldChar w:fldCharType="separate"/>
    </w:r>
    <w:r w:rsidR="004F253E">
      <w:rPr>
        <w:noProof/>
      </w:rPr>
      <w:t>13</w:t>
    </w:r>
    <w:r>
      <w:fldChar w:fldCharType="end"/>
    </w:r>
    <w:r>
      <w:tab/>
    </w:r>
    <w:r w:rsidRPr="004A4D53">
      <w:tab/>
    </w:r>
    <w:r w:rsidRPr="004A4D5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D53" w:rsidRDefault="004A4D53" w:rsidP="004A4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Pr="00311647" w:rsidRDefault="001A62D7" w:rsidP="001A62D7">
      <w:pPr>
        <w:spacing w:before="0" w:after="0"/>
      </w:pPr>
      <w:r w:rsidRPr="00311647">
        <w:separator/>
      </w:r>
    </w:p>
  </w:footnote>
  <w:footnote w:type="continuationSeparator" w:id="0">
    <w:p w:rsidR="001A62D7" w:rsidRPr="00311647" w:rsidRDefault="001A62D7" w:rsidP="001A62D7">
      <w:pPr>
        <w:spacing w:before="0" w:after="0"/>
      </w:pPr>
      <w:r w:rsidRPr="00311647">
        <w:continuationSeparator/>
      </w:r>
    </w:p>
  </w:footnote>
  <w:footnote w:id="1">
    <w:p w:rsidR="001A62D7" w:rsidRPr="00311647" w:rsidRDefault="001A62D7" w:rsidP="001A62D7">
      <w:pPr>
        <w:pStyle w:val="FootnoteText"/>
      </w:pPr>
      <w:r w:rsidRPr="00311647">
        <w:rPr>
          <w:rStyle w:val="FootnoteReference"/>
        </w:rPr>
        <w:footnoteRef/>
      </w:r>
      <w:r w:rsidRPr="00311647">
        <w:tab/>
        <w:t>JO</w:t>
      </w:r>
      <w:r w:rsidR="00311647">
        <w:t> </w:t>
      </w:r>
      <w:r w:rsidRPr="00311647">
        <w:t>L 153, 3.5.2021, p. 48,</w:t>
      </w:r>
      <w:r w:rsidRPr="00311647">
        <w:rPr>
          <w:sz w:val="24"/>
        </w:rPr>
        <w:t xml:space="preserve"> </w:t>
      </w:r>
      <w:r w:rsidRPr="00311647">
        <w:t>ELI: http://data.europa.eu/eli/reg/2021/691/oj.</w:t>
      </w:r>
    </w:p>
  </w:footnote>
  <w:footnote w:id="2">
    <w:p w:rsidR="001A62D7" w:rsidRPr="00311647" w:rsidRDefault="001A62D7" w:rsidP="001A62D7">
      <w:pPr>
        <w:pStyle w:val="FootnoteText"/>
      </w:pPr>
      <w:r w:rsidRPr="00311647">
        <w:rPr>
          <w:rStyle w:val="FootnoteReference"/>
        </w:rPr>
        <w:footnoteRef/>
      </w:r>
      <w:r w:rsidRPr="00311647">
        <w:tab/>
        <w:t>Regulamentul Delegat (UE) 2019/1755 al Comisiei din 8 august 2019 de modificare a anexelor la Regulamentul (CE) nr. 1059/2003 al Parlamentului European și al Consiliului privind instituirea unui nomenclator comun al unităților teritoriale de statistică (NUTS). JO</w:t>
      </w:r>
      <w:r w:rsidR="00311647">
        <w:t> </w:t>
      </w:r>
      <w:r w:rsidRPr="00311647">
        <w:t>L 270, 24.10.2019, p. 1.</w:t>
      </w:r>
    </w:p>
  </w:footnote>
  <w:footnote w:id="3">
    <w:p w:rsidR="001A62D7" w:rsidRPr="00311647" w:rsidRDefault="001A62D7" w:rsidP="001A62D7">
      <w:pPr>
        <w:pStyle w:val="FootnoteText"/>
      </w:pPr>
      <w:r w:rsidRPr="00311647">
        <w:rPr>
          <w:rStyle w:val="FootnoteReference"/>
        </w:rPr>
        <w:footnoteRef/>
      </w:r>
      <w:r w:rsidRPr="00311647">
        <w:tab/>
        <w:t>JO</w:t>
      </w:r>
      <w:r w:rsidR="00311647">
        <w:t> </w:t>
      </w:r>
      <w:r w:rsidRPr="00311647">
        <w:t>L 393, 30.12.2006, p. 1.</w:t>
      </w:r>
    </w:p>
  </w:footnote>
  <w:footnote w:id="4">
    <w:p w:rsidR="00FD67BC" w:rsidRPr="00311647" w:rsidRDefault="00FD67BC">
      <w:pPr>
        <w:pStyle w:val="FootnoteText"/>
      </w:pPr>
      <w:r w:rsidRPr="00311647">
        <w:rPr>
          <w:rStyle w:val="FootnoteReference"/>
        </w:rPr>
        <w:footnoteRef/>
      </w:r>
      <w:r w:rsidRPr="00311647">
        <w:tab/>
        <w:t>Sectorul de activitate economică pentru Cora este comerțul cu amănuntul, iar pentru furnizorul său este transportul terestru.</w:t>
      </w:r>
    </w:p>
  </w:footnote>
  <w:footnote w:id="5">
    <w:p w:rsidR="001A62D7" w:rsidRPr="00311647" w:rsidRDefault="001A62D7" w:rsidP="001A62D7">
      <w:pPr>
        <w:pStyle w:val="FootnoteText"/>
      </w:pPr>
      <w:r w:rsidRPr="00311647">
        <w:rPr>
          <w:rStyle w:val="FootnoteReference"/>
        </w:rPr>
        <w:footnoteRef/>
      </w:r>
      <w:r w:rsidRPr="00311647">
        <w:tab/>
        <w:t>În conformitate cu articolul 7 alineatul (5) din Regulamentul (UE) 2021/691.</w:t>
      </w:r>
    </w:p>
  </w:footnote>
  <w:footnote w:id="6">
    <w:p w:rsidR="004834D6" w:rsidRPr="00311647" w:rsidRDefault="004834D6">
      <w:pPr>
        <w:pStyle w:val="FootnoteText"/>
      </w:pPr>
      <w:r w:rsidRPr="00311647">
        <w:rPr>
          <w:rStyle w:val="FootnoteReference"/>
        </w:rPr>
        <w:footnoteRef/>
      </w:r>
      <w:r w:rsidRPr="00311647">
        <w:tab/>
        <w:t xml:space="preserve">Profitul înainte de dobânzi, taxe, depreciere și amortizare. </w:t>
      </w:r>
    </w:p>
  </w:footnote>
  <w:footnote w:id="7">
    <w:p w:rsidR="00CD4063" w:rsidRPr="00311647" w:rsidRDefault="00CD4063">
      <w:pPr>
        <w:pStyle w:val="FootnoteText"/>
      </w:pPr>
      <w:r w:rsidRPr="00311647">
        <w:rPr>
          <w:rStyle w:val="FootnoteReference"/>
        </w:rPr>
        <w:footnoteRef/>
      </w:r>
      <w:r w:rsidRPr="00311647">
        <w:tab/>
        <w:t>Informații comunicate de Cora în cadrul comitetului extraordinar de întreprindere care a avut loc la 8 aprilie 2025.</w:t>
      </w:r>
    </w:p>
  </w:footnote>
  <w:footnote w:id="8">
    <w:p w:rsidR="00E73E09" w:rsidRPr="00311647" w:rsidRDefault="00E73E09" w:rsidP="00E73E09">
      <w:pPr>
        <w:pStyle w:val="FootnoteText"/>
      </w:pPr>
      <w:r w:rsidRPr="00311647">
        <w:rPr>
          <w:rStyle w:val="FootnoteReference"/>
        </w:rPr>
        <w:footnoteRef/>
      </w:r>
      <w:r w:rsidRPr="00311647">
        <w:tab/>
        <w:t>COM(2023) 69</w:t>
      </w:r>
      <w:r w:rsidR="00311647">
        <w:t>.</w:t>
      </w:r>
    </w:p>
  </w:footnote>
  <w:footnote w:id="9">
    <w:p w:rsidR="00E73E09" w:rsidRPr="00311647" w:rsidRDefault="00E73E09">
      <w:pPr>
        <w:pStyle w:val="FootnoteText"/>
      </w:pPr>
      <w:r w:rsidRPr="00311647">
        <w:rPr>
          <w:rStyle w:val="FootnoteReference"/>
        </w:rPr>
        <w:footnoteRef/>
      </w:r>
      <w:r w:rsidRPr="00311647">
        <w:tab/>
        <w:t>COM(2023) 470</w:t>
      </w:r>
      <w:r w:rsidR="00311647">
        <w:t>.</w:t>
      </w:r>
    </w:p>
  </w:footnote>
  <w:footnote w:id="10">
    <w:p w:rsidR="00DC549A" w:rsidRPr="00311647" w:rsidRDefault="00DC549A">
      <w:pPr>
        <w:pStyle w:val="FootnoteText"/>
      </w:pPr>
      <w:r w:rsidRPr="00311647">
        <w:rPr>
          <w:rStyle w:val="FootnoteReference"/>
        </w:rPr>
        <w:footnoteRef/>
      </w:r>
      <w:r w:rsidRPr="00311647">
        <w:tab/>
        <w:t>COM(2026) 4</w:t>
      </w:r>
      <w:r w:rsidR="00311647">
        <w:t>.</w:t>
      </w:r>
    </w:p>
  </w:footnote>
  <w:footnote w:id="11">
    <w:p w:rsidR="00C634D9" w:rsidRPr="00311647" w:rsidRDefault="00C634D9">
      <w:pPr>
        <w:pStyle w:val="FootnoteText"/>
      </w:pPr>
      <w:r w:rsidRPr="00311647">
        <w:rPr>
          <w:rStyle w:val="FootnoteReference"/>
        </w:rPr>
        <w:footnoteRef/>
      </w:r>
      <w:r w:rsidRPr="00311647">
        <w:tab/>
      </w:r>
      <w:hyperlink r:id="rId1" w:history="1">
        <w:r w:rsidRPr="00311647">
          <w:rPr>
            <w:rStyle w:val="Hyperlink"/>
          </w:rPr>
          <w:t>Eurostat.</w:t>
        </w:r>
      </w:hyperlink>
      <w:hyperlink r:id="rId2" w:history="1">
        <w:r w:rsidRPr="00311647">
          <w:rPr>
            <w:rStyle w:val="Hyperlink"/>
          </w:rPr>
          <w:t xml:space="preserve"> Șomajul ajustat sezonier.</w:t>
        </w:r>
      </w:hyperlink>
      <w:hyperlink r:id="rId3" w:history="1">
        <w:r w:rsidRPr="00311647">
          <w:rPr>
            <w:rStyle w:val="Hyperlink"/>
          </w:rPr>
          <w:t xml:space="preserve"> Ianuarie 2026</w:t>
        </w:r>
      </w:hyperlink>
      <w:r w:rsidRPr="00311647">
        <w:t>.</w:t>
      </w:r>
    </w:p>
  </w:footnote>
  <w:footnote w:id="12">
    <w:p w:rsidR="00C634D9" w:rsidRPr="00311647" w:rsidRDefault="00C634D9">
      <w:pPr>
        <w:pStyle w:val="FootnoteText"/>
      </w:pPr>
      <w:r w:rsidRPr="00311647">
        <w:rPr>
          <w:rStyle w:val="FootnoteReference"/>
        </w:rPr>
        <w:footnoteRef/>
      </w:r>
      <w:r w:rsidRPr="00311647">
        <w:tab/>
      </w:r>
      <w:hyperlink r:id="rId4" w:history="1">
        <w:r w:rsidRPr="00311647">
          <w:rPr>
            <w:rStyle w:val="Hyperlink"/>
          </w:rPr>
          <w:t>Eurostat.</w:t>
        </w:r>
      </w:hyperlink>
      <w:hyperlink r:id="rId5" w:history="1">
        <w:r w:rsidRPr="00311647">
          <w:rPr>
            <w:rStyle w:val="Hyperlink"/>
          </w:rPr>
          <w:t xml:space="preserve"> Rata șomajului în UE.</w:t>
        </w:r>
      </w:hyperlink>
      <w:hyperlink r:id="rId6" w:history="1">
        <w:r w:rsidRPr="00311647">
          <w:rPr>
            <w:rStyle w:val="Hyperlink"/>
          </w:rPr>
          <w:t xml:space="preserve"> Ianuarie 2026</w:t>
        </w:r>
      </w:hyperlink>
      <w:r w:rsidRPr="00311647">
        <w:t>.</w:t>
      </w:r>
    </w:p>
  </w:footnote>
  <w:footnote w:id="13">
    <w:p w:rsidR="00C634D9" w:rsidRPr="00311647" w:rsidRDefault="00C634D9">
      <w:pPr>
        <w:pStyle w:val="FootnoteText"/>
      </w:pPr>
      <w:r w:rsidRPr="00311647">
        <w:rPr>
          <w:rStyle w:val="FootnoteReference"/>
        </w:rPr>
        <w:footnoteRef/>
      </w:r>
      <w:r w:rsidRPr="00311647">
        <w:tab/>
      </w:r>
      <w:hyperlink r:id="rId7" w:history="1">
        <w:r w:rsidRPr="00311647">
          <w:rPr>
            <w:rStyle w:val="Hyperlink"/>
          </w:rPr>
          <w:t>Statbel</w:t>
        </w:r>
      </w:hyperlink>
      <w:r w:rsidRPr="00311647">
        <w:t xml:space="preserve">. Rata șomajului T4 2025. </w:t>
      </w:r>
    </w:p>
  </w:footnote>
  <w:footnote w:id="14">
    <w:p w:rsidR="0095683A" w:rsidRPr="00311647" w:rsidRDefault="0095683A">
      <w:pPr>
        <w:pStyle w:val="FootnoteText"/>
      </w:pPr>
      <w:r w:rsidRPr="00311647">
        <w:rPr>
          <w:rStyle w:val="FootnoteReference"/>
        </w:rPr>
        <w:footnoteRef/>
      </w:r>
      <w:r w:rsidRPr="00311647">
        <w:tab/>
      </w:r>
      <w:bookmarkStart w:id="11" w:name="_Hlk226649164"/>
      <w:r w:rsidRPr="00311647">
        <w:fldChar w:fldCharType="begin"/>
      </w:r>
      <w:r w:rsidRPr="00311647">
        <w:instrText>HYPERLINK "https://bestat.statbel.fgov.be/bestat/crosstable.xhtml?view=4beb6e55-ffd5-471e-a8ba-094d942559ac"</w:instrText>
      </w:r>
      <w:r w:rsidRPr="00311647">
        <w:fldChar w:fldCharType="separate"/>
      </w:r>
      <w:r w:rsidRPr="00311647">
        <w:rPr>
          <w:rStyle w:val="Hyperlink"/>
        </w:rPr>
        <w:t>Statbel (Ocuparea forței de muncă și șomajul. 2025)</w:t>
      </w:r>
      <w:r w:rsidRPr="00311647">
        <w:rPr>
          <w:rStyle w:val="Hyperlink"/>
          <w:u w:val="none"/>
        </w:rPr>
        <w:t>.</w:t>
      </w:r>
      <w:r w:rsidRPr="00311647">
        <w:fldChar w:fldCharType="end"/>
      </w:r>
      <w:bookmarkEnd w:id="11"/>
    </w:p>
  </w:footnote>
  <w:footnote w:id="15">
    <w:p w:rsidR="006C5032" w:rsidRPr="00311647" w:rsidRDefault="006C5032">
      <w:pPr>
        <w:pStyle w:val="FootnoteText"/>
      </w:pPr>
      <w:r w:rsidRPr="00311647">
        <w:rPr>
          <w:rStyle w:val="FootnoteReference"/>
        </w:rPr>
        <w:footnoteRef/>
      </w:r>
      <w:r w:rsidRPr="00311647">
        <w:tab/>
      </w:r>
      <w:hyperlink r:id="rId8" w:history="1">
        <w:r w:rsidRPr="00311647">
          <w:rPr>
            <w:rStyle w:val="Hyperlink"/>
          </w:rPr>
          <w:t>Statbel (Ocuparea forței de muncă și șomajul.</w:t>
        </w:r>
      </w:hyperlink>
      <w:hyperlink r:id="rId9" w:history="1">
        <w:r w:rsidRPr="00311647">
          <w:rPr>
            <w:rStyle w:val="Hyperlink"/>
          </w:rPr>
          <w:t xml:space="preserve"> 2025)</w:t>
        </w:r>
      </w:hyperlink>
      <w:r w:rsidRPr="00311647">
        <w:t>.</w:t>
      </w:r>
    </w:p>
  </w:footnote>
  <w:footnote w:id="16">
    <w:p w:rsidR="006C5032" w:rsidRPr="00311647" w:rsidRDefault="006C5032" w:rsidP="006C5032">
      <w:pPr>
        <w:pStyle w:val="FootnoteText"/>
      </w:pPr>
      <w:r w:rsidRPr="00311647">
        <w:rPr>
          <w:rStyle w:val="FootnoteReference"/>
        </w:rPr>
        <w:footnoteRef/>
      </w:r>
      <w:r w:rsidRPr="00311647">
        <w:tab/>
        <w:t>Région de Bruxelles-Capitale/Brussels Hoofdstedelijk Gewest</w:t>
      </w:r>
      <w:r w:rsidR="00311647">
        <w:t>.</w:t>
      </w:r>
    </w:p>
  </w:footnote>
  <w:footnote w:id="17">
    <w:p w:rsidR="000F586D" w:rsidRPr="00311647" w:rsidRDefault="000F586D">
      <w:pPr>
        <w:pStyle w:val="FootnoteText"/>
      </w:pPr>
      <w:r w:rsidRPr="00311647">
        <w:rPr>
          <w:rStyle w:val="FootnoteReference"/>
        </w:rPr>
        <w:footnoteRef/>
      </w:r>
      <w:r w:rsidRPr="00311647">
        <w:tab/>
      </w:r>
      <w:bookmarkStart w:id="14" w:name="_Hlk228983023"/>
      <w:r w:rsidRPr="00311647">
        <w:fldChar w:fldCharType="begin"/>
      </w:r>
      <w:r w:rsidRPr="00311647">
        <w:instrText>HYPERLINK "https://www.leforem.be/documents/chiffres-et-analyses/infographie-marche-emploi.pdf"</w:instrText>
      </w:r>
      <w:r w:rsidRPr="00311647">
        <w:fldChar w:fldCharType="separate"/>
      </w:r>
      <w:r w:rsidRPr="00311647">
        <w:rPr>
          <w:rStyle w:val="Hyperlink"/>
        </w:rPr>
        <w:t>Le Forem. Le marché de l’emploi en Wallonie en 2025</w:t>
      </w:r>
      <w:r w:rsidRPr="00311647">
        <w:fldChar w:fldCharType="end"/>
      </w:r>
      <w:r w:rsidRPr="00311647">
        <w:t>.</w:t>
      </w:r>
      <w:bookmarkEnd w:id="14"/>
    </w:p>
  </w:footnote>
  <w:footnote w:id="18">
    <w:p w:rsidR="009B4361" w:rsidRPr="00311647" w:rsidRDefault="009B4361">
      <w:pPr>
        <w:pStyle w:val="FootnoteText"/>
        <w:rPr>
          <w:i/>
          <w:iCs/>
        </w:rPr>
      </w:pPr>
      <w:r w:rsidRPr="00311647">
        <w:rPr>
          <w:rStyle w:val="FootnoteReference"/>
        </w:rPr>
        <w:footnoteRef/>
      </w:r>
      <w:r w:rsidRPr="00311647">
        <w:tab/>
      </w:r>
      <w:bookmarkStart w:id="15" w:name="_Hlk229566196"/>
      <w:r w:rsidRPr="00311647">
        <w:t>În Belgia, învățământul secundar constă în trei cicluri de câte doi ani fiecare: Primul ciclu (</w:t>
      </w:r>
      <w:r w:rsidRPr="00311647">
        <w:rPr>
          <w:i/>
        </w:rPr>
        <w:t>secondaire de base)</w:t>
      </w:r>
      <w:r w:rsidRPr="00311647">
        <w:t xml:space="preserve">, al doilea ciclu </w:t>
      </w:r>
      <w:r w:rsidRPr="00311647">
        <w:rPr>
          <w:i/>
        </w:rPr>
        <w:t>(secondaire deuxième degré)</w:t>
      </w:r>
      <w:r w:rsidRPr="00311647">
        <w:t xml:space="preserve"> și al treilea ciclu (</w:t>
      </w:r>
      <w:r w:rsidRPr="00311647">
        <w:rPr>
          <w:i/>
        </w:rPr>
        <w:t>secondaire troisième degré).</w:t>
      </w:r>
    </w:p>
    <w:bookmarkEnd w:id="15"/>
  </w:footnote>
  <w:footnote w:id="19">
    <w:p w:rsidR="009A7E0D" w:rsidRPr="00311647" w:rsidRDefault="009A7E0D">
      <w:pPr>
        <w:pStyle w:val="FootnoteText"/>
      </w:pPr>
      <w:r w:rsidRPr="00311647">
        <w:rPr>
          <w:rStyle w:val="FootnoteReference"/>
        </w:rPr>
        <w:footnoteRef/>
      </w:r>
      <w:r w:rsidRPr="00311647">
        <w:tab/>
      </w:r>
      <w:hyperlink r:id="rId10" w:history="1">
        <w:r w:rsidRPr="00311647">
          <w:rPr>
            <w:rStyle w:val="Hyperlink"/>
          </w:rPr>
          <w:t>Le Forem.</w:t>
        </w:r>
      </w:hyperlink>
      <w:hyperlink r:id="rId11" w:history="1">
        <w:r w:rsidRPr="00311647">
          <w:rPr>
            <w:rStyle w:val="Hyperlink"/>
          </w:rPr>
          <w:t xml:space="preserve"> Stats emploi</w:t>
        </w:r>
      </w:hyperlink>
      <w:r w:rsidRPr="00311647">
        <w:t>.</w:t>
      </w:r>
    </w:p>
  </w:footnote>
  <w:footnote w:id="20">
    <w:p w:rsidR="004239CD" w:rsidRPr="00311647" w:rsidRDefault="004239CD">
      <w:pPr>
        <w:pStyle w:val="FootnoteText"/>
      </w:pPr>
      <w:r w:rsidRPr="00311647">
        <w:rPr>
          <w:rStyle w:val="FootnoteReference"/>
        </w:rPr>
        <w:footnoteRef/>
      </w:r>
      <w:r w:rsidRPr="00311647">
        <w:tab/>
        <w:t>Decretul regal (Arrêté Royal) din 10 noiembrie 2006 de modificare a Decretului regal din 9 martie 2006.</w:t>
      </w:r>
    </w:p>
  </w:footnote>
  <w:footnote w:id="21">
    <w:p w:rsidR="003C644B" w:rsidRPr="00311647" w:rsidRDefault="003C644B">
      <w:pPr>
        <w:pStyle w:val="FootnoteText"/>
      </w:pPr>
      <w:r w:rsidRPr="00311647">
        <w:rPr>
          <w:rStyle w:val="FootnoteReference"/>
        </w:rPr>
        <w:footnoteRef/>
      </w:r>
      <w:r w:rsidRPr="00311647">
        <w:tab/>
      </w:r>
      <w:hyperlink r:id="rId12" w:history="1">
        <w:r w:rsidRPr="00311647">
          <w:rPr>
            <w:rStyle w:val="Hyperlink"/>
          </w:rPr>
          <w:t>Le Forem.</w:t>
        </w:r>
      </w:hyperlink>
      <w:hyperlink r:id="rId13" w:history="1">
        <w:r w:rsidRPr="00311647">
          <w:rPr>
            <w:rStyle w:val="Hyperlink"/>
          </w:rPr>
          <w:t xml:space="preserve"> Eveniment de restructurare:</w:t>
        </w:r>
      </w:hyperlink>
      <w:hyperlink r:id="rId14" w:history="1">
        <w:r w:rsidRPr="00311647">
          <w:rPr>
            <w:rStyle w:val="Hyperlink"/>
          </w:rPr>
          <w:t xml:space="preserve"> unitățile de ocupare a forței de muncă</w:t>
        </w:r>
      </w:hyperlink>
      <w:r w:rsidRPr="00311647">
        <w:rPr>
          <w:rStyle w:val="Hyperlink"/>
          <w:u w:val="none"/>
        </w:rPr>
        <w:t>.</w:t>
      </w:r>
    </w:p>
  </w:footnote>
  <w:footnote w:id="22">
    <w:p w:rsidR="002F688A" w:rsidRPr="00311647" w:rsidRDefault="002F688A">
      <w:pPr>
        <w:pStyle w:val="FootnoteText"/>
      </w:pPr>
      <w:r w:rsidRPr="00311647">
        <w:rPr>
          <w:rStyle w:val="FootnoteReference"/>
        </w:rPr>
        <w:footnoteRef/>
      </w:r>
      <w:r w:rsidRPr="00311647">
        <w:tab/>
        <w:t>Decretul din 29 ianuarie 2004 al Guvernului Valoniei, astfel cum a fost modificat prin Decretul din 30 aprilie 2009.</w:t>
      </w:r>
    </w:p>
  </w:footnote>
  <w:footnote w:id="23">
    <w:p w:rsidR="002F688A" w:rsidRPr="00311647" w:rsidRDefault="002F688A">
      <w:pPr>
        <w:pStyle w:val="FootnoteText"/>
      </w:pPr>
      <w:r w:rsidRPr="00311647">
        <w:rPr>
          <w:rStyle w:val="FootnoteReference"/>
        </w:rPr>
        <w:footnoteRef/>
      </w:r>
      <w:r w:rsidRPr="00311647">
        <w:tab/>
      </w:r>
      <w:r w:rsidRPr="00311647">
        <w:rPr>
          <w:rStyle w:val="Hyperlink"/>
        </w:rPr>
        <w:t xml:space="preserve">Le </w:t>
      </w:r>
      <w:hyperlink r:id="rId15" w:history="1">
        <w:r w:rsidRPr="00311647">
          <w:rPr>
            <w:rStyle w:val="Hyperlink"/>
          </w:rPr>
          <w:t>Forem.</w:t>
        </w:r>
      </w:hyperlink>
      <w:hyperlink r:id="rId16" w:history="1">
        <w:r w:rsidRPr="00311647">
          <w:rPr>
            <w:rStyle w:val="Hyperlink"/>
          </w:rPr>
          <w:t xml:space="preserve"> Eveniment de restructurare:</w:t>
        </w:r>
      </w:hyperlink>
      <w:hyperlink r:id="rId17" w:history="1">
        <w:r w:rsidRPr="00311647">
          <w:rPr>
            <w:rStyle w:val="Hyperlink"/>
          </w:rPr>
          <w:t xml:space="preserve"> unitățile de reconversie profesională</w:t>
        </w:r>
      </w:hyperlink>
      <w:r w:rsidRPr="00311647">
        <w:rPr>
          <w:rStyle w:val="Hyperlink"/>
          <w:u w:val="none"/>
        </w:rPr>
        <w:t>.</w:t>
      </w:r>
    </w:p>
  </w:footnote>
  <w:footnote w:id="24">
    <w:p w:rsidR="00922007" w:rsidRPr="00311647" w:rsidRDefault="00922007">
      <w:pPr>
        <w:pStyle w:val="FootnoteText"/>
      </w:pPr>
      <w:r w:rsidRPr="00311647">
        <w:rPr>
          <w:rStyle w:val="FootnoteReference"/>
        </w:rPr>
        <w:footnoteRef/>
      </w:r>
      <w:r w:rsidRPr="00311647">
        <w:tab/>
        <w:t>Fédération générale du travail de Belgique.</w:t>
      </w:r>
    </w:p>
  </w:footnote>
  <w:footnote w:id="25">
    <w:p w:rsidR="00922007" w:rsidRPr="00311647" w:rsidRDefault="00922007">
      <w:pPr>
        <w:pStyle w:val="FootnoteText"/>
      </w:pPr>
      <w:r w:rsidRPr="00311647">
        <w:rPr>
          <w:rStyle w:val="FootnoteReference"/>
        </w:rPr>
        <w:footnoteRef/>
      </w:r>
      <w:r w:rsidRPr="00311647">
        <w:tab/>
        <w:t>Confédération des syndicats chrétiens</w:t>
      </w:r>
      <w:r w:rsidR="00311647">
        <w:t>.</w:t>
      </w:r>
    </w:p>
  </w:footnote>
  <w:footnote w:id="26">
    <w:p w:rsidR="001A62D7" w:rsidRPr="00311647" w:rsidRDefault="001A62D7" w:rsidP="001A62D7">
      <w:pPr>
        <w:pStyle w:val="FootnoteText"/>
      </w:pPr>
      <w:r w:rsidRPr="00311647">
        <w:rPr>
          <w:rStyle w:val="FootnoteReference"/>
        </w:rPr>
        <w:footnoteRef/>
      </w:r>
      <w:r w:rsidRPr="00311647">
        <w:tab/>
        <w:t>ISCED 0-2</w:t>
      </w:r>
      <w:r w:rsidR="00311647">
        <w:t>.</w:t>
      </w:r>
    </w:p>
  </w:footnote>
  <w:footnote w:id="27">
    <w:p w:rsidR="001A62D7" w:rsidRPr="00311647" w:rsidRDefault="001A62D7" w:rsidP="001A62D7">
      <w:pPr>
        <w:pStyle w:val="FootnoteText"/>
      </w:pPr>
      <w:r w:rsidRPr="00311647">
        <w:rPr>
          <w:rStyle w:val="FootnoteReference"/>
        </w:rPr>
        <w:footnoteRef/>
      </w:r>
      <w:r w:rsidRPr="00311647">
        <w:tab/>
        <w:t>ISCED 3</w:t>
      </w:r>
      <w:r w:rsidR="00311647">
        <w:t>.</w:t>
      </w:r>
    </w:p>
  </w:footnote>
  <w:footnote w:id="28">
    <w:p w:rsidR="001A62D7" w:rsidRPr="00311647" w:rsidRDefault="001A62D7" w:rsidP="001A62D7">
      <w:pPr>
        <w:pStyle w:val="FootnoteText"/>
      </w:pPr>
      <w:r w:rsidRPr="00311647">
        <w:rPr>
          <w:rStyle w:val="FootnoteReference"/>
        </w:rPr>
        <w:footnoteRef/>
      </w:r>
      <w:r w:rsidRPr="00311647">
        <w:tab/>
        <w:t>ISCED 4</w:t>
      </w:r>
      <w:r w:rsidR="00311647">
        <w:t>.</w:t>
      </w:r>
    </w:p>
  </w:footnote>
  <w:footnote w:id="29">
    <w:p w:rsidR="001A62D7" w:rsidRPr="00311647" w:rsidRDefault="001A62D7" w:rsidP="001A62D7">
      <w:pPr>
        <w:pStyle w:val="FootnoteText"/>
      </w:pPr>
      <w:r w:rsidRPr="00311647">
        <w:rPr>
          <w:rStyle w:val="FootnoteReference"/>
        </w:rPr>
        <w:footnoteRef/>
      </w:r>
      <w:r w:rsidRPr="00311647">
        <w:tab/>
        <w:t>ISCED 5-8</w:t>
      </w:r>
      <w:r w:rsidR="00311647">
        <w:t>.</w:t>
      </w:r>
    </w:p>
  </w:footnote>
  <w:footnote w:id="30">
    <w:p w:rsidR="00B4504D" w:rsidRPr="00311647" w:rsidRDefault="00B4504D">
      <w:pPr>
        <w:pStyle w:val="FootnoteText"/>
      </w:pPr>
      <w:r w:rsidRPr="00311647">
        <w:rPr>
          <w:rStyle w:val="FootnoteReference"/>
        </w:rPr>
        <w:footnoteRef/>
      </w:r>
      <w:r w:rsidRPr="00311647">
        <w:tab/>
      </w:r>
      <w:hyperlink r:id="rId18" w:history="1">
        <w:r w:rsidRPr="00311647">
          <w:rPr>
            <w:rStyle w:val="Hyperlink"/>
          </w:rPr>
          <w:t>https://www.validationdescompetences.be/</w:t>
        </w:r>
      </w:hyperlink>
      <w:r w:rsidR="00311647">
        <w:t>.</w:t>
      </w:r>
    </w:p>
  </w:footnote>
  <w:footnote w:id="31">
    <w:p w:rsidR="001E2081" w:rsidRPr="00311647" w:rsidRDefault="001E2081" w:rsidP="001E2081">
      <w:pPr>
        <w:pStyle w:val="FootnoteText"/>
      </w:pPr>
      <w:r w:rsidRPr="00311647">
        <w:rPr>
          <w:rStyle w:val="FootnoteReference"/>
        </w:rPr>
        <w:footnoteRef/>
      </w:r>
      <w:r w:rsidRPr="00311647">
        <w:tab/>
      </w:r>
      <w:hyperlink r:id="rId19" w:history="1">
        <w:r w:rsidRPr="00311647">
          <w:rPr>
            <w:rStyle w:val="Hyperlink"/>
          </w:rPr>
          <w:t>Lista locurilor de muncă pentru care există cerere și sunt greu de ocupat ori implică funcții esențiale.« Métiers en tension de recrutement en Wallonie.</w:t>
        </w:r>
      </w:hyperlink>
      <w:hyperlink r:id="rId20" w:history="1">
        <w:r w:rsidRPr="00311647">
          <w:rPr>
            <w:rStyle w:val="Hyperlink"/>
          </w:rPr>
          <w:t xml:space="preserve"> Liste des métiers/fonctions critiques et en pénurie ».</w:t>
        </w:r>
      </w:hyperlink>
      <w:hyperlink r:id="rId21" w:history="1">
        <w:r w:rsidRPr="00311647">
          <w:rPr>
            <w:rStyle w:val="Hyperlink"/>
          </w:rPr>
          <w:t xml:space="preserve"> Le Forem 2025-2026</w:t>
        </w:r>
      </w:hyperlink>
      <w:r w:rsidRPr="00311647">
        <w:t>)</w:t>
      </w:r>
      <w:r w:rsidRPr="00311647">
        <w:rPr>
          <w:rStyle w:val="Hyperlink"/>
          <w:u w:val="none"/>
        </w:rPr>
        <w:t>.</w:t>
      </w:r>
    </w:p>
    <w:p w:rsidR="001E2081" w:rsidRPr="00311647" w:rsidRDefault="001E2081">
      <w:pPr>
        <w:pStyle w:val="FootnoteText"/>
      </w:pPr>
    </w:p>
  </w:footnote>
  <w:footnote w:id="32">
    <w:p w:rsidR="006F7CF9" w:rsidRPr="00311647" w:rsidRDefault="006F7CF9">
      <w:pPr>
        <w:pStyle w:val="FootnoteText"/>
      </w:pPr>
      <w:r w:rsidRPr="00311647">
        <w:rPr>
          <w:rStyle w:val="FootnoteReference"/>
        </w:rPr>
        <w:footnoteRef/>
      </w:r>
      <w:r w:rsidRPr="00311647">
        <w:tab/>
        <w:t>COM(2021) 212.</w:t>
      </w:r>
    </w:p>
  </w:footnote>
  <w:footnote w:id="33">
    <w:p w:rsidR="00105B12" w:rsidRPr="00311647" w:rsidRDefault="00105B12">
      <w:pPr>
        <w:pStyle w:val="FootnoteText"/>
      </w:pPr>
      <w:r w:rsidRPr="00311647">
        <w:rPr>
          <w:rStyle w:val="FootnoteReference"/>
        </w:rPr>
        <w:footnoteRef/>
      </w:r>
      <w:r w:rsidRPr="00311647">
        <w:tab/>
        <w:t>EGF/2022/002 BE/TNT- COM(2023) 69</w:t>
      </w:r>
      <w:r w:rsidR="00311647">
        <w:t>.</w:t>
      </w:r>
    </w:p>
  </w:footnote>
  <w:footnote w:id="34">
    <w:p w:rsidR="001A62D7" w:rsidRPr="00311647" w:rsidRDefault="001A62D7" w:rsidP="001A62D7">
      <w:pPr>
        <w:pStyle w:val="FootnoteText"/>
      </w:pPr>
      <w:r w:rsidRPr="00311647">
        <w:rPr>
          <w:rStyle w:val="FootnoteReference"/>
        </w:rPr>
        <w:footnoteRef/>
      </w:r>
      <w:r w:rsidRPr="00311647">
        <w:tab/>
        <w:t>Pentru a se evita zecimalele, costurile estimate per lucrător au fost rotunjite. Totuși, rotunjirile nu afectează costul total al fiecărei măsuri, care nu diferă de cel indicat în cererea depusă de Belgia.</w:t>
      </w:r>
    </w:p>
  </w:footnote>
  <w:footnote w:id="35">
    <w:p w:rsidR="001A62D7" w:rsidRPr="00311647" w:rsidRDefault="001A62D7" w:rsidP="001A62D7">
      <w:pPr>
        <w:pStyle w:val="FootnoteText"/>
      </w:pPr>
      <w:r w:rsidRPr="00311647">
        <w:rPr>
          <w:rStyle w:val="FootnoteReference"/>
        </w:rPr>
        <w:footnoteRef/>
      </w:r>
      <w:r w:rsidRPr="00311647">
        <w:tab/>
        <w:t>Totalurile nu corespund din cauza rotunjirii.</w:t>
      </w:r>
    </w:p>
  </w:footnote>
  <w:footnote w:id="36">
    <w:p w:rsidR="001A62D7" w:rsidRPr="00311647" w:rsidRDefault="001A62D7" w:rsidP="001A62D7">
      <w:pPr>
        <w:pStyle w:val="FootnoteText"/>
      </w:pPr>
      <w:r w:rsidRPr="00311647">
        <w:rPr>
          <w:rStyle w:val="FootnoteReference"/>
        </w:rPr>
        <w:footnoteRef/>
      </w:r>
      <w:r w:rsidRPr="00311647">
        <w:tab/>
        <w:t>JO</w:t>
      </w:r>
      <w:r w:rsidR="00311647">
        <w:t> </w:t>
      </w:r>
      <w:r w:rsidRPr="00311647">
        <w:t>L 433 I, 22.12.2020, p. 11, ELI: http://data.europa.eu/eli/reg/2020/2093/oj.</w:t>
      </w:r>
    </w:p>
  </w:footnote>
  <w:footnote w:id="37">
    <w:p w:rsidR="001A62D7" w:rsidRPr="00311647" w:rsidRDefault="001A62D7" w:rsidP="001A62D7">
      <w:pPr>
        <w:pStyle w:val="FootnoteText"/>
      </w:pPr>
      <w:r w:rsidRPr="00311647">
        <w:rPr>
          <w:rStyle w:val="FootnoteReference"/>
        </w:rPr>
        <w:footnoteRef/>
      </w:r>
      <w:r w:rsidRPr="00311647">
        <w:tab/>
        <w:t>JO</w:t>
      </w:r>
      <w:r w:rsidR="00311647">
        <w:t> </w:t>
      </w:r>
      <w:r w:rsidRPr="00311647">
        <w:t>L 433 I, 22.12.2020, p. 28, ELI: http://data.europa.eu/eli/agree_interinstit/2020/1222/oj.</w:t>
      </w:r>
    </w:p>
  </w:footnote>
  <w:footnote w:id="38">
    <w:p w:rsidR="001A62D7" w:rsidRPr="00311647" w:rsidRDefault="001A62D7" w:rsidP="001A62D7">
      <w:pPr>
        <w:pStyle w:val="FootnoteText"/>
      </w:pPr>
      <w:r w:rsidRPr="00311647">
        <w:rPr>
          <w:rStyle w:val="FootnoteReference"/>
        </w:rPr>
        <w:footnoteRef/>
      </w:r>
      <w:r w:rsidRPr="00311647">
        <w:tab/>
        <w:t>Regulamentul (UE, Euratom) 2024/2509 al Parlamentului European și al Consiliului din 23 septembrie 2024 privind normele financiare aplicabile bugetului general al Uniunii (reformare) JO L, 2024/2509, 26.9.2024, ELI: http://data.europa.eu/eli/reg/2024/2509/oj.</w:t>
      </w:r>
    </w:p>
  </w:footnote>
  <w:footnote w:id="39">
    <w:p w:rsidR="001A62D7" w:rsidRPr="00311647" w:rsidRDefault="001A62D7" w:rsidP="001A62D7">
      <w:pPr>
        <w:pStyle w:val="FootnoteText"/>
      </w:pPr>
      <w:r w:rsidRPr="00311647">
        <w:rPr>
          <w:rStyle w:val="FootnoteReference"/>
        </w:rPr>
        <w:footnoteRef/>
      </w:r>
      <w:r w:rsidRPr="00311647">
        <w:tab/>
        <w:t>JO</w:t>
      </w:r>
      <w:r w:rsidR="00311647">
        <w:t> </w:t>
      </w:r>
      <w:r w:rsidRPr="00311647">
        <w:t>L 153, 3.5.2021, p. 48,</w:t>
      </w:r>
      <w:r w:rsidRPr="00311647">
        <w:rPr>
          <w:sz w:val="24"/>
        </w:rPr>
        <w:t xml:space="preserve"> </w:t>
      </w:r>
      <w:r w:rsidRPr="00311647">
        <w:t>ELI: http://data.europa.eu/eli/reg/2021/691/oj.</w:t>
      </w:r>
    </w:p>
  </w:footnote>
  <w:footnote w:id="40">
    <w:p w:rsidR="001A62D7" w:rsidRPr="00311647" w:rsidRDefault="001A62D7" w:rsidP="001A62D7">
      <w:pPr>
        <w:pStyle w:val="FootnoteText"/>
      </w:pPr>
      <w:r w:rsidRPr="00311647">
        <w:rPr>
          <w:rStyle w:val="FootnoteReference"/>
        </w:rPr>
        <w:footnoteRef/>
      </w:r>
      <w:r w:rsidRPr="00311647">
        <w:tab/>
        <w:t>JO</w:t>
      </w:r>
      <w:r w:rsidR="00311647">
        <w:t> </w:t>
      </w:r>
      <w:r w:rsidRPr="00311647">
        <w:t>L 433 I, 22.12.2020, p. 28, ELI: http://data.europa.eu/eli/agree_interinstit/2020/1222/oj.</w:t>
      </w:r>
    </w:p>
  </w:footnote>
  <w:footnote w:id="41">
    <w:p w:rsidR="001A62D7" w:rsidRPr="00311647" w:rsidRDefault="001A62D7" w:rsidP="001A62D7">
      <w:pPr>
        <w:pStyle w:val="FootnoteText"/>
      </w:pPr>
      <w:r w:rsidRPr="00311647">
        <w:rPr>
          <w:rStyle w:val="FootnoteReference"/>
        </w:rPr>
        <w:footnoteRef/>
      </w:r>
      <w:r w:rsidRPr="00311647">
        <w:tab/>
        <w:t>Regulamentul (UE, Euratom) 2020/2093 al Consiliului din 17 decembrie 2020 de stabilire a cadrului financiar multianual pentru perioada 2021-2027 (JO</w:t>
      </w:r>
      <w:r w:rsidR="00311647">
        <w:t> </w:t>
      </w:r>
      <w:r w:rsidRPr="00311647">
        <w:t>L</w:t>
      </w:r>
      <w:r w:rsidR="00311647">
        <w:t> </w:t>
      </w:r>
      <w:r w:rsidRPr="00311647">
        <w:t>433</w:t>
      </w:r>
      <w:r w:rsidR="00311647">
        <w:t> </w:t>
      </w:r>
      <w:r w:rsidRPr="00311647">
        <w:t>I, 22.12.2020, p. 11, ELI: http://data.europa.eu/eli/reg/2020/2093/oj).</w:t>
      </w:r>
    </w:p>
  </w:footnote>
  <w:footnote w:id="42">
    <w:p w:rsidR="001A62D7" w:rsidRPr="00311647" w:rsidRDefault="001A62D7" w:rsidP="001A62D7">
      <w:pPr>
        <w:pStyle w:val="FootnoteText"/>
      </w:pPr>
      <w:r w:rsidRPr="00311647">
        <w:rPr>
          <w:rStyle w:val="FootnoteReference"/>
        </w:rPr>
        <w:footnoteRef/>
      </w:r>
      <w:r w:rsidRPr="00311647">
        <w:tab/>
        <w:t>COM(2026)155.</w:t>
      </w:r>
    </w:p>
  </w:footnote>
  <w:footnote w:id="43">
    <w:p w:rsidR="00281AE4" w:rsidRPr="00281AE4" w:rsidRDefault="00281AE4">
      <w:pPr>
        <w:pStyle w:val="FootnoteText"/>
      </w:pPr>
      <w:r w:rsidRPr="00311647">
        <w:rPr>
          <w:rStyle w:val="FootnoteReference"/>
        </w:rPr>
        <w:t>*</w:t>
      </w:r>
      <w:r w:rsidRPr="00311647">
        <w:tab/>
      </w:r>
      <w:r w:rsidRPr="00311647">
        <w:rPr>
          <w:color w:val="FF0000"/>
        </w:rPr>
        <w:t>Data urmează să fie introdusă de către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D53" w:rsidRDefault="004A4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D53" w:rsidRDefault="004A4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09:37: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FB4D6AD-4BFC-4AD7-9320-9C46A659F8B5"/>
    <w:docVar w:name="LW_COVERPAGE_TYPE" w:val="1"/>
    <w:docVar w:name="LW_CreatedUtc" w:val="2025-02-03T12:09:04.7855178Z"/>
    <w:docVar w:name="LW_CROSSREFERENCE" w:val="&lt;UNUSED&gt;"/>
    <w:docVar w:name="LW_DocType" w:val="COM"/>
    <w:docVar w:name="LW_EMISSION" w:val="16.7.2026"/>
    <w:docVar w:name="LW_EMISSION_ISODATE" w:val="2026-07-16"/>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197"/>
    <w:docVar w:name="LW_REF.II.NEW.CP_YEAR" w:val="2026"/>
    <w:docVar w:name="LW_REF.INST.NEW" w:val="COM"/>
    <w:docVar w:name="LW_REF.INST.NEW_ADOPTED" w:val="final"/>
    <w:docVar w:name="LW_REF.INST.NEW_TEXT" w:val="(2026) 1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Belgiei \u8211? EGF/2026/001 BE/Cora"/>
    <w:docVar w:name="LW_TYPE.DOC.CP" w:val="DECIZIE A PARLAMENTULUI EUROPEAN \u536?I A CONSILIULUI"/>
    <w:docVar w:name="LwApiVersions" w:val="LW4CoDe 1.24.5.0; LW 9.2, Build 20251112"/>
  </w:docVars>
  <w:rsids>
    <w:rsidRoot w:val="001A62D7"/>
    <w:rsid w:val="00006DEC"/>
    <w:rsid w:val="000171AE"/>
    <w:rsid w:val="00022B0C"/>
    <w:rsid w:val="000A228C"/>
    <w:rsid w:val="000C4B49"/>
    <w:rsid w:val="000D0987"/>
    <w:rsid w:val="000E51CF"/>
    <w:rsid w:val="000E54A7"/>
    <w:rsid w:val="000E7662"/>
    <w:rsid w:val="000F24B9"/>
    <w:rsid w:val="000F579F"/>
    <w:rsid w:val="000F586D"/>
    <w:rsid w:val="00105B12"/>
    <w:rsid w:val="001065F5"/>
    <w:rsid w:val="0011121B"/>
    <w:rsid w:val="001238EF"/>
    <w:rsid w:val="00133E35"/>
    <w:rsid w:val="0013736E"/>
    <w:rsid w:val="00143574"/>
    <w:rsid w:val="00160244"/>
    <w:rsid w:val="0016539A"/>
    <w:rsid w:val="00171F71"/>
    <w:rsid w:val="001751F0"/>
    <w:rsid w:val="00186428"/>
    <w:rsid w:val="00197613"/>
    <w:rsid w:val="001A2D38"/>
    <w:rsid w:val="001A3C97"/>
    <w:rsid w:val="001A62D7"/>
    <w:rsid w:val="001B1713"/>
    <w:rsid w:val="001B689F"/>
    <w:rsid w:val="001C1059"/>
    <w:rsid w:val="001C2C78"/>
    <w:rsid w:val="001C7A4E"/>
    <w:rsid w:val="001D0EB6"/>
    <w:rsid w:val="001D3672"/>
    <w:rsid w:val="001D5279"/>
    <w:rsid w:val="001E2081"/>
    <w:rsid w:val="001F1BF2"/>
    <w:rsid w:val="001F2878"/>
    <w:rsid w:val="002004E6"/>
    <w:rsid w:val="00203BFD"/>
    <w:rsid w:val="00205F86"/>
    <w:rsid w:val="00207E64"/>
    <w:rsid w:val="0021773D"/>
    <w:rsid w:val="0022114D"/>
    <w:rsid w:val="00233DC7"/>
    <w:rsid w:val="00241826"/>
    <w:rsid w:val="00241DE0"/>
    <w:rsid w:val="00246CAB"/>
    <w:rsid w:val="00247779"/>
    <w:rsid w:val="00265183"/>
    <w:rsid w:val="00281AE4"/>
    <w:rsid w:val="00285A39"/>
    <w:rsid w:val="00285BEE"/>
    <w:rsid w:val="0029533F"/>
    <w:rsid w:val="002B30AF"/>
    <w:rsid w:val="002B5E3D"/>
    <w:rsid w:val="002C07B0"/>
    <w:rsid w:val="002C667E"/>
    <w:rsid w:val="002E0B64"/>
    <w:rsid w:val="002F0F09"/>
    <w:rsid w:val="002F688A"/>
    <w:rsid w:val="00300960"/>
    <w:rsid w:val="0030399C"/>
    <w:rsid w:val="00311647"/>
    <w:rsid w:val="00312E6F"/>
    <w:rsid w:val="003170F4"/>
    <w:rsid w:val="0033344A"/>
    <w:rsid w:val="003334EE"/>
    <w:rsid w:val="00337A55"/>
    <w:rsid w:val="00343E67"/>
    <w:rsid w:val="00346A60"/>
    <w:rsid w:val="003812AA"/>
    <w:rsid w:val="00385B9A"/>
    <w:rsid w:val="003A3BF5"/>
    <w:rsid w:val="003C644B"/>
    <w:rsid w:val="003D3D6D"/>
    <w:rsid w:val="003E0A61"/>
    <w:rsid w:val="003F1B33"/>
    <w:rsid w:val="003F4387"/>
    <w:rsid w:val="003F5C8E"/>
    <w:rsid w:val="00411EF5"/>
    <w:rsid w:val="00412467"/>
    <w:rsid w:val="00412734"/>
    <w:rsid w:val="00412F5A"/>
    <w:rsid w:val="0041675E"/>
    <w:rsid w:val="004239CD"/>
    <w:rsid w:val="00425404"/>
    <w:rsid w:val="0042648E"/>
    <w:rsid w:val="00433F2A"/>
    <w:rsid w:val="004428D8"/>
    <w:rsid w:val="004524CD"/>
    <w:rsid w:val="004829AA"/>
    <w:rsid w:val="004834D6"/>
    <w:rsid w:val="0049148B"/>
    <w:rsid w:val="004936D2"/>
    <w:rsid w:val="004A0B30"/>
    <w:rsid w:val="004A4D53"/>
    <w:rsid w:val="004B4212"/>
    <w:rsid w:val="004B48A5"/>
    <w:rsid w:val="004D3EAA"/>
    <w:rsid w:val="004D7EE9"/>
    <w:rsid w:val="004F253E"/>
    <w:rsid w:val="004F5528"/>
    <w:rsid w:val="004F669B"/>
    <w:rsid w:val="00502D60"/>
    <w:rsid w:val="005034F4"/>
    <w:rsid w:val="0051086D"/>
    <w:rsid w:val="005206E6"/>
    <w:rsid w:val="005244A3"/>
    <w:rsid w:val="00524B2C"/>
    <w:rsid w:val="00532504"/>
    <w:rsid w:val="00532962"/>
    <w:rsid w:val="005403FB"/>
    <w:rsid w:val="005662B7"/>
    <w:rsid w:val="005B1EB6"/>
    <w:rsid w:val="005B5E5A"/>
    <w:rsid w:val="005E047F"/>
    <w:rsid w:val="00605200"/>
    <w:rsid w:val="006166F7"/>
    <w:rsid w:val="006239A4"/>
    <w:rsid w:val="00630B06"/>
    <w:rsid w:val="00640155"/>
    <w:rsid w:val="00646BD5"/>
    <w:rsid w:val="006610FB"/>
    <w:rsid w:val="00661F84"/>
    <w:rsid w:val="0066781E"/>
    <w:rsid w:val="00697647"/>
    <w:rsid w:val="006A49CB"/>
    <w:rsid w:val="006C36F5"/>
    <w:rsid w:val="006C5032"/>
    <w:rsid w:val="006F2B4D"/>
    <w:rsid w:val="006F407F"/>
    <w:rsid w:val="006F7CF9"/>
    <w:rsid w:val="00731183"/>
    <w:rsid w:val="00731699"/>
    <w:rsid w:val="00732C08"/>
    <w:rsid w:val="00734C7D"/>
    <w:rsid w:val="00741722"/>
    <w:rsid w:val="007571E3"/>
    <w:rsid w:val="00773331"/>
    <w:rsid w:val="00783113"/>
    <w:rsid w:val="00792227"/>
    <w:rsid w:val="007932EF"/>
    <w:rsid w:val="00795A2F"/>
    <w:rsid w:val="00796CA6"/>
    <w:rsid w:val="007A0C2F"/>
    <w:rsid w:val="007B3690"/>
    <w:rsid w:val="007B5F0C"/>
    <w:rsid w:val="007C116C"/>
    <w:rsid w:val="007C1A8B"/>
    <w:rsid w:val="007C798A"/>
    <w:rsid w:val="007D767B"/>
    <w:rsid w:val="007E05B0"/>
    <w:rsid w:val="007E05CE"/>
    <w:rsid w:val="007F4B7C"/>
    <w:rsid w:val="007F6054"/>
    <w:rsid w:val="008032DE"/>
    <w:rsid w:val="008123FA"/>
    <w:rsid w:val="0081371A"/>
    <w:rsid w:val="00832804"/>
    <w:rsid w:val="00833CD3"/>
    <w:rsid w:val="00842DE2"/>
    <w:rsid w:val="00852F0E"/>
    <w:rsid w:val="008610B5"/>
    <w:rsid w:val="00874D22"/>
    <w:rsid w:val="0087628E"/>
    <w:rsid w:val="008A2914"/>
    <w:rsid w:val="008D2433"/>
    <w:rsid w:val="008D5025"/>
    <w:rsid w:val="008E4D8E"/>
    <w:rsid w:val="008F0803"/>
    <w:rsid w:val="008F3247"/>
    <w:rsid w:val="009056A8"/>
    <w:rsid w:val="00911EB4"/>
    <w:rsid w:val="00922007"/>
    <w:rsid w:val="009230D3"/>
    <w:rsid w:val="0094032B"/>
    <w:rsid w:val="009470FB"/>
    <w:rsid w:val="00953996"/>
    <w:rsid w:val="0095683A"/>
    <w:rsid w:val="00961B27"/>
    <w:rsid w:val="00967F7F"/>
    <w:rsid w:val="00971384"/>
    <w:rsid w:val="009739AC"/>
    <w:rsid w:val="0097593C"/>
    <w:rsid w:val="00976509"/>
    <w:rsid w:val="00985D0A"/>
    <w:rsid w:val="00990C2C"/>
    <w:rsid w:val="009A476A"/>
    <w:rsid w:val="009A7E0D"/>
    <w:rsid w:val="009B2D0E"/>
    <w:rsid w:val="009B4361"/>
    <w:rsid w:val="009C2E1D"/>
    <w:rsid w:val="009E13E4"/>
    <w:rsid w:val="009F56AE"/>
    <w:rsid w:val="009F7836"/>
    <w:rsid w:val="00A04E1E"/>
    <w:rsid w:val="00A130CC"/>
    <w:rsid w:val="00A277CE"/>
    <w:rsid w:val="00A331D5"/>
    <w:rsid w:val="00A33A75"/>
    <w:rsid w:val="00A5196A"/>
    <w:rsid w:val="00A576A7"/>
    <w:rsid w:val="00A73027"/>
    <w:rsid w:val="00A748C9"/>
    <w:rsid w:val="00A842DD"/>
    <w:rsid w:val="00A848B8"/>
    <w:rsid w:val="00AA58A5"/>
    <w:rsid w:val="00AB00A1"/>
    <w:rsid w:val="00AB1030"/>
    <w:rsid w:val="00AB33DA"/>
    <w:rsid w:val="00AB7221"/>
    <w:rsid w:val="00AD3DA6"/>
    <w:rsid w:val="00AE0C27"/>
    <w:rsid w:val="00AE0FB4"/>
    <w:rsid w:val="00AE115B"/>
    <w:rsid w:val="00AE7D04"/>
    <w:rsid w:val="00B01AB0"/>
    <w:rsid w:val="00B10303"/>
    <w:rsid w:val="00B30683"/>
    <w:rsid w:val="00B4504D"/>
    <w:rsid w:val="00B55E88"/>
    <w:rsid w:val="00B63C7E"/>
    <w:rsid w:val="00B64EEB"/>
    <w:rsid w:val="00B8329A"/>
    <w:rsid w:val="00BA0477"/>
    <w:rsid w:val="00BB5BBA"/>
    <w:rsid w:val="00BC646D"/>
    <w:rsid w:val="00BD34DE"/>
    <w:rsid w:val="00BD4F4E"/>
    <w:rsid w:val="00BE54FB"/>
    <w:rsid w:val="00BF33E4"/>
    <w:rsid w:val="00C00707"/>
    <w:rsid w:val="00C0245D"/>
    <w:rsid w:val="00C0420D"/>
    <w:rsid w:val="00C054F9"/>
    <w:rsid w:val="00C05C03"/>
    <w:rsid w:val="00C12301"/>
    <w:rsid w:val="00C2027B"/>
    <w:rsid w:val="00C22CCB"/>
    <w:rsid w:val="00C44E60"/>
    <w:rsid w:val="00C542C5"/>
    <w:rsid w:val="00C634D9"/>
    <w:rsid w:val="00C72394"/>
    <w:rsid w:val="00C846D4"/>
    <w:rsid w:val="00C8508D"/>
    <w:rsid w:val="00CA5074"/>
    <w:rsid w:val="00CA7EE1"/>
    <w:rsid w:val="00CB3BCE"/>
    <w:rsid w:val="00CB71AD"/>
    <w:rsid w:val="00CD4063"/>
    <w:rsid w:val="00CF5AB6"/>
    <w:rsid w:val="00D11449"/>
    <w:rsid w:val="00D12CAA"/>
    <w:rsid w:val="00D20381"/>
    <w:rsid w:val="00D21001"/>
    <w:rsid w:val="00D21418"/>
    <w:rsid w:val="00D474B0"/>
    <w:rsid w:val="00D501D3"/>
    <w:rsid w:val="00D51A37"/>
    <w:rsid w:val="00D544B0"/>
    <w:rsid w:val="00D5498B"/>
    <w:rsid w:val="00D54F1D"/>
    <w:rsid w:val="00D54FDB"/>
    <w:rsid w:val="00D574B1"/>
    <w:rsid w:val="00D57806"/>
    <w:rsid w:val="00D62121"/>
    <w:rsid w:val="00D62BF9"/>
    <w:rsid w:val="00D76287"/>
    <w:rsid w:val="00D762C9"/>
    <w:rsid w:val="00D81F4E"/>
    <w:rsid w:val="00DB12C0"/>
    <w:rsid w:val="00DC01DA"/>
    <w:rsid w:val="00DC549A"/>
    <w:rsid w:val="00DC672F"/>
    <w:rsid w:val="00DD0483"/>
    <w:rsid w:val="00DF590F"/>
    <w:rsid w:val="00E04593"/>
    <w:rsid w:val="00E05564"/>
    <w:rsid w:val="00E1163B"/>
    <w:rsid w:val="00E20AAB"/>
    <w:rsid w:val="00E26C3E"/>
    <w:rsid w:val="00E346FB"/>
    <w:rsid w:val="00E43514"/>
    <w:rsid w:val="00E66243"/>
    <w:rsid w:val="00E73E09"/>
    <w:rsid w:val="00E8428B"/>
    <w:rsid w:val="00E844D5"/>
    <w:rsid w:val="00E95B48"/>
    <w:rsid w:val="00EA015B"/>
    <w:rsid w:val="00EA2D96"/>
    <w:rsid w:val="00EB06DB"/>
    <w:rsid w:val="00EC177D"/>
    <w:rsid w:val="00ED3418"/>
    <w:rsid w:val="00EE1DB4"/>
    <w:rsid w:val="00EE4EA9"/>
    <w:rsid w:val="00EF012B"/>
    <w:rsid w:val="00EF01DB"/>
    <w:rsid w:val="00F04468"/>
    <w:rsid w:val="00F12AE9"/>
    <w:rsid w:val="00F16B21"/>
    <w:rsid w:val="00F211CD"/>
    <w:rsid w:val="00F252C5"/>
    <w:rsid w:val="00F36B3D"/>
    <w:rsid w:val="00F4003B"/>
    <w:rsid w:val="00F41756"/>
    <w:rsid w:val="00F51BC2"/>
    <w:rsid w:val="00F64CE7"/>
    <w:rsid w:val="00F808CC"/>
    <w:rsid w:val="00F862B1"/>
    <w:rsid w:val="00F87FDE"/>
    <w:rsid w:val="00F90B98"/>
    <w:rsid w:val="00FA0318"/>
    <w:rsid w:val="00FA12AB"/>
    <w:rsid w:val="00FA5322"/>
    <w:rsid w:val="00FA5380"/>
    <w:rsid w:val="00FB3733"/>
    <w:rsid w:val="00FB6271"/>
    <w:rsid w:val="00FC38F8"/>
    <w:rsid w:val="00FC6C00"/>
    <w:rsid w:val="00FD67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4A4D53"/>
    <w:rPr>
      <w:rFonts w:ascii="Times New Roman" w:hAnsi="Times New Roman" w:cs="Times New Roman"/>
      <w:sz w:val="24"/>
      <w:lang w:val="ro-RO"/>
    </w:rPr>
  </w:style>
  <w:style w:type="character" w:customStyle="1" w:styleId="FooterChar">
    <w:name w:val="Footer Char"/>
    <w:basedOn w:val="DefaultParagraphFont"/>
    <w:link w:val="Footer"/>
    <w:uiPriority w:val="99"/>
    <w:rsid w:val="004A4D5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A4D5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A4D53"/>
    <w:pPr>
      <w:spacing w:before="0"/>
      <w:jc w:val="right"/>
    </w:pPr>
    <w:rPr>
      <w:sz w:val="28"/>
    </w:rPr>
  </w:style>
  <w:style w:type="paragraph" w:customStyle="1" w:styleId="FooterSensitivity">
    <w:name w:val="Footer Sensitivity"/>
    <w:basedOn w:val="Normal"/>
    <w:rsid w:val="004A4D5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A4D53"/>
    <w:pPr>
      <w:tabs>
        <w:tab w:val="center" w:pos="4535"/>
        <w:tab w:val="right" w:pos="9071"/>
      </w:tabs>
      <w:spacing w:before="0"/>
    </w:pPr>
  </w:style>
  <w:style w:type="paragraph" w:customStyle="1" w:styleId="HeaderLandscape">
    <w:name w:val="HeaderLandscape"/>
    <w:basedOn w:val="Normal"/>
    <w:rsid w:val="004A4D53"/>
    <w:pPr>
      <w:tabs>
        <w:tab w:val="center" w:pos="7285"/>
        <w:tab w:val="right" w:pos="14003"/>
      </w:tabs>
      <w:spacing w:before="0"/>
    </w:pPr>
  </w:style>
  <w:style w:type="paragraph" w:styleId="Footer">
    <w:name w:val="footer"/>
    <w:basedOn w:val="Normal"/>
    <w:link w:val="FooterChar"/>
    <w:uiPriority w:val="99"/>
    <w:unhideWhenUsed/>
    <w:rsid w:val="004A4D5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A4D5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bestat.statbel.fgov.be/bestat/crosstable.xhtml?view=4beb6e55-ffd5-471e-a8ba-094d942559ac" TargetMode="External"/><Relationship Id="rId13" Type="http://schemas.openxmlformats.org/officeDocument/2006/relationships/hyperlink" Target="https://www.leforem.be/a-propos/reconversions-collectives.html" TargetMode="External"/><Relationship Id="rId18" Type="http://schemas.openxmlformats.org/officeDocument/2006/relationships/hyperlink" Target="https://www.validationdescompetences.be/" TargetMode="External"/><Relationship Id="rId3" Type="http://schemas.openxmlformats.org/officeDocument/2006/relationships/hyperlink" Target="https://ec.europa.eu/eurostat/web/products-euro-indicators/w/3-04032026-ap" TargetMode="External"/><Relationship Id="rId21" Type="http://schemas.openxmlformats.org/officeDocument/2006/relationships/hyperlink" Target="https://www.leforem.be/documents/citoyens/penuries-liste-metiers.pdf" TargetMode="External"/><Relationship Id="rId7" Type="http://schemas.openxmlformats.org/officeDocument/2006/relationships/hyperlink" Target="https://statbel.fgov.be/en/themes/work-training/labour-market/employment-and-unemployment" TargetMode="External"/><Relationship Id="rId12" Type="http://schemas.openxmlformats.org/officeDocument/2006/relationships/hyperlink" Target="https://www.leforem.be/a-propos/reconversions-collectives.html" TargetMode="External"/><Relationship Id="rId17" Type="http://schemas.openxmlformats.org/officeDocument/2006/relationships/hyperlink" Target="https://www.leforem.be/a-propos/reconversions-collectives.html" TargetMode="External"/><Relationship Id="rId2" Type="http://schemas.openxmlformats.org/officeDocument/2006/relationships/hyperlink" Target="https://ec.europa.eu/eurostat/web/products-euro-indicators/w/3-04032026-ap" TargetMode="External"/><Relationship Id="rId16" Type="http://schemas.openxmlformats.org/officeDocument/2006/relationships/hyperlink" Target="https://www.leforem.be/a-propos/reconversions-collectives.html" TargetMode="External"/><Relationship Id="rId20" Type="http://schemas.openxmlformats.org/officeDocument/2006/relationships/hyperlink" Target="https://www.leforem.be/documents/citoyens/penuries-liste-metiers.pdf" TargetMode="External"/><Relationship Id="rId1" Type="http://schemas.openxmlformats.org/officeDocument/2006/relationships/hyperlink" Target="https://ec.europa.eu/eurostat/web/products-euro-indicators/w/3-04032026-ap" TargetMode="External"/><Relationship Id="rId6" Type="http://schemas.openxmlformats.org/officeDocument/2006/relationships/hyperlink" Target="https://ec.europa.eu/eurostat/web/products-euro-indicators/w/3-04032026-ap" TargetMode="External"/><Relationship Id="rId11" Type="http://schemas.openxmlformats.org/officeDocument/2006/relationships/hyperlink" Target="https://www.leforem.be/stats-emploi" TargetMode="External"/><Relationship Id="rId5" Type="http://schemas.openxmlformats.org/officeDocument/2006/relationships/hyperlink" Target="https://ec.europa.eu/eurostat/web/products-euro-indicators/w/3-04032026-ap" TargetMode="External"/><Relationship Id="rId15" Type="http://schemas.openxmlformats.org/officeDocument/2006/relationships/hyperlink" Target="https://www.leforem.be/a-propos/reconversions-collectives.html" TargetMode="External"/><Relationship Id="rId10" Type="http://schemas.openxmlformats.org/officeDocument/2006/relationships/hyperlink" Target="https://www.leforem.be/stats-emploi" TargetMode="External"/><Relationship Id="rId19" Type="http://schemas.openxmlformats.org/officeDocument/2006/relationships/hyperlink" Target="https://www.leforem.be/documents/citoyens/penuries-liste-metiers.pdf" TargetMode="External"/><Relationship Id="rId4" Type="http://schemas.openxmlformats.org/officeDocument/2006/relationships/hyperlink" Target="https://ec.europa.eu/eurostat/web/products-euro-indicators/w/3-04032026-ap" TargetMode="External"/><Relationship Id="rId9" Type="http://schemas.openxmlformats.org/officeDocument/2006/relationships/hyperlink" Target="https://bestat.statbel.fgov.be/bestat/crosstable.xhtml?view=4beb6e55-ffd5-471e-a8ba-094d942559ac" TargetMode="External"/><Relationship Id="rId14" Type="http://schemas.openxmlformats.org/officeDocument/2006/relationships/hyperlink" Target="https://www.leforem.be/a-propos/reconversions-collective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ABE47-AB39-45F7-8F4C-0485893C6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14</Pages>
  <Words>4540</Words>
  <Characters>25880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2026-05-18T16:04:00Z</dcterms:created>
  <dcterms:modified xsi:type="dcterms:W3CDTF">2026-07-16T07:37:00Z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