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9DA898" w14:textId="2056C7B5" w:rsidR="00446D5D" w:rsidRPr="00EB5A51" w:rsidRDefault="0042064C" w:rsidP="0042064C">
      <w:pPr>
        <w:pStyle w:val="Pagedecouverture"/>
        <w:rPr>
          <w:noProof/>
        </w:rPr>
      </w:pPr>
      <w:r>
        <w:rPr>
          <w:noProof/>
        </w:rPr>
        <w:pict w14:anchorId="462464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4A3BFDC-ABBA-4E29-9B6B-33E079270FA0" style="width:455.25pt;height:357.75pt">
            <v:imagedata r:id="rId11" o:title=""/>
          </v:shape>
        </w:pict>
      </w:r>
    </w:p>
    <w:p w14:paraId="7A59BB0A" w14:textId="77777777" w:rsidR="00945E1A" w:rsidRPr="00EB5A51" w:rsidRDefault="00945E1A" w:rsidP="008F3A8B">
      <w:pPr>
        <w:spacing w:line="276" w:lineRule="auto"/>
        <w:rPr>
          <w:noProof/>
        </w:rPr>
        <w:sectPr w:rsidR="00945E1A" w:rsidRPr="00EB5A51" w:rsidSect="0042064C">
          <w:footerReference w:type="even" r:id="rId12"/>
          <w:footerReference w:type="default" r:id="rId13"/>
          <w:pgSz w:w="11907" w:h="16839"/>
          <w:pgMar w:top="1134" w:right="1417" w:bottom="1134" w:left="1417" w:header="709" w:footer="709" w:gutter="0"/>
          <w:pgNumType w:start="0"/>
          <w:cols w:space="720"/>
          <w:docGrid w:linePitch="360"/>
        </w:sectPr>
      </w:pPr>
    </w:p>
    <w:p w14:paraId="5F695715" w14:textId="77777777" w:rsidR="00C064F5" w:rsidRPr="00EB5A51" w:rsidRDefault="00C064F5" w:rsidP="008F3A8B">
      <w:pPr>
        <w:pStyle w:val="Exposdesmotifstitre"/>
        <w:spacing w:line="276" w:lineRule="auto"/>
        <w:ind w:left="360"/>
        <w:rPr>
          <w:noProof/>
          <w:sz w:val="2"/>
          <w:szCs w:val="2"/>
        </w:rPr>
      </w:pPr>
      <w:bookmarkStart w:id="0" w:name="_GoBack"/>
      <w:bookmarkEnd w:id="0"/>
    </w:p>
    <w:p w14:paraId="673EA28F" w14:textId="77777777" w:rsidR="00C064F5" w:rsidRPr="00EB5A51" w:rsidRDefault="00C064F5" w:rsidP="008F3A8B">
      <w:pPr>
        <w:spacing w:line="276" w:lineRule="auto"/>
        <w:rPr>
          <w:noProof/>
          <w:sz w:val="2"/>
          <w:szCs w:val="2"/>
        </w:rPr>
      </w:pPr>
    </w:p>
    <w:p w14:paraId="68EF314C" w14:textId="00CD9F5D" w:rsidR="00A04C54" w:rsidRPr="00EB5A51" w:rsidRDefault="00EB5A51" w:rsidP="00EB5A51">
      <w:pPr>
        <w:pStyle w:val="Rfrenceinterinstitutionnelle"/>
        <w:rPr>
          <w:noProof/>
        </w:rPr>
      </w:pPr>
      <w:r>
        <w:rPr>
          <w:noProof/>
        </w:rPr>
        <w:t>2026/0087 (NLE)</w:t>
      </w:r>
    </w:p>
    <w:p w14:paraId="3B431949" w14:textId="79C7DEA1" w:rsidR="00446D5D" w:rsidRPr="00EB5A51" w:rsidRDefault="00EB5A51" w:rsidP="00EB5A51">
      <w:pPr>
        <w:pStyle w:val="Statut"/>
        <w:rPr>
          <w:noProof/>
        </w:rPr>
      </w:pPr>
      <w:r w:rsidRPr="00EB5A51">
        <w:rPr>
          <w:noProof/>
        </w:rPr>
        <w:t>Proposition de</w:t>
      </w:r>
    </w:p>
    <w:p w14:paraId="182DD5D8" w14:textId="4845D0E9" w:rsidR="00446D5D" w:rsidRPr="00EB5A51" w:rsidRDefault="00EB5A51" w:rsidP="00EB5A51">
      <w:pPr>
        <w:pStyle w:val="Typedudocument"/>
        <w:rPr>
          <w:noProof/>
        </w:rPr>
      </w:pPr>
      <w:r w:rsidRPr="00EB5A51">
        <w:rPr>
          <w:noProof/>
        </w:rPr>
        <w:t>DÉCISION D’EXÉCUTION DU CONSEIL</w:t>
      </w:r>
    </w:p>
    <w:p w14:paraId="31718E85" w14:textId="0001616A" w:rsidR="00446D5D" w:rsidRPr="00EB5A51" w:rsidRDefault="00EB5A51" w:rsidP="00EB5A51">
      <w:pPr>
        <w:pStyle w:val="Titreobjet"/>
        <w:rPr>
          <w:noProof/>
        </w:rPr>
      </w:pPr>
      <w:r w:rsidRPr="00EB5A51">
        <w:rPr>
          <w:noProof/>
        </w:rPr>
        <w:t xml:space="preserve">portant approbation d’une assistance à l’Ukraine pour la mise en œuvre de la stratégie de financement ukrainienne </w:t>
      </w:r>
      <w:r w:rsidRPr="00EB5A51">
        <w:rPr>
          <w:noProof/>
        </w:rPr>
        <w:br/>
      </w:r>
    </w:p>
    <w:p w14:paraId="6C754FFE" w14:textId="77777777" w:rsidR="00DA7DB3" w:rsidRPr="00EB5A51" w:rsidRDefault="00DA7DB3" w:rsidP="00DA7DB3">
      <w:pPr>
        <w:pStyle w:val="Institutionquiagit"/>
        <w:rPr>
          <w:noProof/>
        </w:rPr>
      </w:pPr>
      <w:r w:rsidRPr="00EB5A51">
        <w:rPr>
          <w:noProof/>
        </w:rPr>
        <w:t>LE CONSEIL DE L’UNION EUROPÉENNE,</w:t>
      </w:r>
    </w:p>
    <w:p w14:paraId="6B8AAEA5" w14:textId="77777777" w:rsidR="00DA7DB3" w:rsidRPr="00EB5A51" w:rsidRDefault="00DA7DB3" w:rsidP="00DA7DB3">
      <w:pPr>
        <w:rPr>
          <w:noProof/>
        </w:rPr>
      </w:pPr>
      <w:r w:rsidRPr="00EB5A51">
        <w:rPr>
          <w:noProof/>
        </w:rPr>
        <w:t xml:space="preserve">vu le traité sur le fonctionnement de l’Union européenne, </w:t>
      </w:r>
    </w:p>
    <w:p w14:paraId="425AD505" w14:textId="77777777" w:rsidR="00DA7DB3" w:rsidRPr="00EB5A51" w:rsidRDefault="00DA7DB3" w:rsidP="00DA7DB3">
      <w:pPr>
        <w:rPr>
          <w:noProof/>
        </w:rPr>
      </w:pPr>
      <w:r w:rsidRPr="00EB5A51">
        <w:rPr>
          <w:noProof/>
        </w:rPr>
        <w:t>vu le règlement (UE) 2026/467 du Parlement européen et du Conseil du 24 février 2026 mettant en œuvre une coopération renforcée concernant l’établissement du prêt de soutien à l’Ukraine pour 2026 et 2027</w:t>
      </w:r>
      <w:r w:rsidRPr="00EB5A51">
        <w:rPr>
          <w:rStyle w:val="FootnoteReference"/>
          <w:noProof/>
        </w:rPr>
        <w:footnoteReference w:id="2"/>
      </w:r>
      <w:r w:rsidRPr="00EB5A51">
        <w:rPr>
          <w:noProof/>
        </w:rPr>
        <w:t>, et notamment son article 8,</w:t>
      </w:r>
    </w:p>
    <w:p w14:paraId="31AAFC01" w14:textId="77777777" w:rsidR="00DA7DB3" w:rsidRPr="00EB5A51" w:rsidRDefault="00DA7DB3" w:rsidP="00DA7DB3">
      <w:pPr>
        <w:rPr>
          <w:noProof/>
        </w:rPr>
      </w:pPr>
      <w:r w:rsidRPr="00EB5A51">
        <w:rPr>
          <w:noProof/>
        </w:rPr>
        <w:t>vu la proposition de la Commission européenne,</w:t>
      </w:r>
    </w:p>
    <w:p w14:paraId="07928E61" w14:textId="77777777" w:rsidR="00DA7DB3" w:rsidRPr="00EB5A51" w:rsidRDefault="00DA7DB3" w:rsidP="00DA7DB3">
      <w:pPr>
        <w:rPr>
          <w:noProof/>
        </w:rPr>
      </w:pPr>
      <w:r w:rsidRPr="00EB5A51">
        <w:rPr>
          <w:noProof/>
        </w:rPr>
        <w:t>considérant ce qui suit:</w:t>
      </w:r>
    </w:p>
    <w:p w14:paraId="1C6CD4D1" w14:textId="77777777" w:rsidR="00DA7DB3" w:rsidRPr="00EB5A51" w:rsidRDefault="00DA7DB3" w:rsidP="00F605E1">
      <w:pPr>
        <w:pStyle w:val="ManualConsidrant"/>
        <w:rPr>
          <w:noProof/>
        </w:rPr>
      </w:pPr>
      <w:r>
        <w:rPr>
          <w:noProof/>
        </w:rPr>
        <w:t>(1)</w:t>
      </w:r>
      <w:r>
        <w:rPr>
          <w:noProof/>
        </w:rPr>
        <w:tab/>
      </w:r>
      <w:r w:rsidRPr="00EB5A51">
        <w:rPr>
          <w:noProof/>
        </w:rPr>
        <w:t>Le 18 décembre 2025, le Conseil européen a décidé d’accorder à l’Ukraine un prêt de 90 000 000 000 EUR pour les années 2026 et 2027.</w:t>
      </w:r>
      <w:r w:rsidRPr="00EB5A51">
        <w:rPr>
          <w:noProof/>
          <w:color w:val="333333"/>
          <w:sz w:val="27"/>
          <w:shd w:val="clear" w:color="auto" w:fill="FFFFFF"/>
        </w:rPr>
        <w:t xml:space="preserve"> </w:t>
      </w:r>
      <w:r w:rsidRPr="00EB5A51">
        <w:rPr>
          <w:noProof/>
        </w:rPr>
        <w:t xml:space="preserve">Il est également convenu que, dans le cadre d’une coopération renforcée conformément à l’article 20 du traité sur l’Union européenne, aucune mobilisation de ressources du budget de l’Union en tant que garantie pour ce prêt n’aurait d’incidence sur les obligations financières de la Tchéquie, de la Hongrie et de la Slovaquie. À la même date, 25 États membres sont convenus que ce prêt ne devrait être remboursé par l’Ukraine qu’une fois des réparations reçues. D’ici là, les avoirs de la Banque centrale de Russie resteront </w:t>
      </w:r>
      <w:bookmarkStart w:id="1" w:name="_Int_eXtKIMu5"/>
      <w:r w:rsidRPr="00EB5A51">
        <w:rPr>
          <w:noProof/>
        </w:rPr>
        <w:t>immobilisés</w:t>
      </w:r>
      <w:bookmarkEnd w:id="1"/>
      <w:r w:rsidRPr="00EB5A51">
        <w:rPr>
          <w:noProof/>
        </w:rPr>
        <w:t xml:space="preserve"> et l’Union se réserve le droit d’y recourir pour rembourser le prêt, dans le plein respect du droit de l’Union et du droit international.</w:t>
      </w:r>
    </w:p>
    <w:p w14:paraId="162D0489" w14:textId="77777777" w:rsidR="00C42B70" w:rsidRPr="00EB5A51" w:rsidRDefault="00DA7DB3" w:rsidP="00C42B70">
      <w:pPr>
        <w:pStyle w:val="ManualConsidrant"/>
        <w:rPr>
          <w:noProof/>
        </w:rPr>
      </w:pPr>
      <w:r>
        <w:rPr>
          <w:noProof/>
        </w:rPr>
        <w:t>(2)</w:t>
      </w:r>
      <w:r>
        <w:rPr>
          <w:noProof/>
        </w:rPr>
        <w:tab/>
      </w:r>
      <w:r w:rsidRPr="00EB5A51">
        <w:rPr>
          <w:noProof/>
        </w:rPr>
        <w:t>Le 29 janvier 2026, le Conseil a adopté la décision (UE) 2026/258</w:t>
      </w:r>
      <w:r w:rsidRPr="00EB5A51">
        <w:rPr>
          <w:rStyle w:val="FootnoteReference"/>
          <w:noProof/>
        </w:rPr>
        <w:footnoteReference w:id="3"/>
      </w:r>
      <w:r w:rsidRPr="00EB5A51">
        <w:rPr>
          <w:noProof/>
        </w:rPr>
        <w:t xml:space="preserve"> autorisant une coopération renforcée concernant l’établissement d’un prêt en faveur de l’Ukraine. Par la suite, le Parlement européen et le Conseil ont adopté le règlement (UE) 2026/467 mettant en œuvre une coopération renforcée concernant l’établissement du prêt de soutien à l’Ukraine pour 2026 et 2027.</w:t>
      </w:r>
    </w:p>
    <w:p w14:paraId="5813AE7F" w14:textId="77777777" w:rsidR="00DA7DB3" w:rsidRPr="00EB5A51" w:rsidRDefault="00DA7DB3" w:rsidP="00C42B70">
      <w:pPr>
        <w:pStyle w:val="ManualConsidrant"/>
        <w:rPr>
          <w:noProof/>
        </w:rPr>
      </w:pPr>
      <w:r>
        <w:rPr>
          <w:noProof/>
        </w:rPr>
        <w:t>(3)</w:t>
      </w:r>
      <w:r>
        <w:rPr>
          <w:noProof/>
        </w:rPr>
        <w:tab/>
      </w:r>
      <w:r w:rsidRPr="00EB5A51">
        <w:rPr>
          <w:noProof/>
        </w:rPr>
        <w:t>En février et mars 2026, les services de la Commission et le Service européen pour l’action extérieure ont eu plusieurs échanges avec le gouvernement ukrainien afin de recueillir des informations sur les prévisions de l’Ukraine en matière de besoins financiers et de défense pour la période allant jusqu’au 31 décembre 2026.</w:t>
      </w:r>
    </w:p>
    <w:p w14:paraId="061A16DB" w14:textId="77777777" w:rsidR="00C42B70" w:rsidRPr="00EB5A51" w:rsidRDefault="6E5B5F01" w:rsidP="00C42B70">
      <w:pPr>
        <w:pStyle w:val="ManualConsidrant"/>
        <w:rPr>
          <w:noProof/>
        </w:rPr>
      </w:pPr>
      <w:r>
        <w:rPr>
          <w:noProof/>
        </w:rPr>
        <w:t>(4)</w:t>
      </w:r>
      <w:r>
        <w:rPr>
          <w:noProof/>
        </w:rPr>
        <w:tab/>
      </w:r>
      <w:r w:rsidRPr="00EB5A51">
        <w:rPr>
          <w:noProof/>
        </w:rPr>
        <w:t xml:space="preserve">Conformément à l’article 6, paragraphe 1, du règlement (UE) 2026/467, le 24 mars 2026, l’Ukraine a officiellement présenté à la Commission sa stratégie de financement. Le 26 mars 2026, elle a ensuite transmis une version révisée des tableaux annexés. La stratégie de financement ukrainienne fournit des informations détaillées sur les besoins de financement et les sources de financement de l’Ukraine, ainsi que sur ses besoins en matière de défense et d’assistance militaire en nature pour la période allant jusqu’au 31 décembre 2026. </w:t>
      </w:r>
    </w:p>
    <w:p w14:paraId="31EB856F" w14:textId="1958B31E" w:rsidR="00CF747C" w:rsidRPr="00EB5A51" w:rsidRDefault="00CF747C" w:rsidP="00CF747C">
      <w:pPr>
        <w:pStyle w:val="ManualConsidrant"/>
        <w:rPr>
          <w:rFonts w:eastAsia="Times New Roman"/>
          <w:noProof/>
          <w:color w:val="000000" w:themeColor="text1"/>
        </w:rPr>
      </w:pPr>
      <w:r>
        <w:rPr>
          <w:noProof/>
        </w:rPr>
        <w:t>(5)</w:t>
      </w:r>
      <w:r>
        <w:rPr>
          <w:noProof/>
        </w:rPr>
        <w:tab/>
      </w:r>
      <w:r w:rsidRPr="00EB5A51">
        <w:rPr>
          <w:noProof/>
        </w:rPr>
        <w:t>Conformément à l’article 7 du règlement (UE) 2026/467, la Commission a évalué la stratégie de financement ukrainienne au regard des critères d’évaluation énoncés à l’article 7, paragraphe 3, dudit règlement. Pour réaliser cette évaluation, la Commission a coopéré autant que possible et étroitement avec l’Ukraine.</w:t>
      </w:r>
    </w:p>
    <w:p w14:paraId="336ABDCE" w14:textId="659E26A8" w:rsidR="00264CE5" w:rsidRPr="00EB5A51" w:rsidRDefault="00264CE5" w:rsidP="00264CE5">
      <w:pPr>
        <w:pStyle w:val="ManualConsidrant"/>
        <w:rPr>
          <w:noProof/>
        </w:rPr>
      </w:pPr>
      <w:r>
        <w:rPr>
          <w:noProof/>
        </w:rPr>
        <w:t>(6)</w:t>
      </w:r>
      <w:r>
        <w:rPr>
          <w:noProof/>
        </w:rPr>
        <w:tab/>
      </w:r>
      <w:r w:rsidRPr="00EB5A51">
        <w:rPr>
          <w:noProof/>
        </w:rPr>
        <w:t xml:space="preserve">Conformément à l’article 7, paragraphe 3, point a), du règlement (UE) 2026/467, la Commission a évalué l’exhaustivité et la faisabilité de la stratégie de financement ukrainienne, ainsi que sa cohérence avec les hypothèses sous-jacentes. </w:t>
      </w:r>
    </w:p>
    <w:p w14:paraId="21005072" w14:textId="7F3DE5E0" w:rsidR="00C42B70" w:rsidRPr="00EB5A51" w:rsidRDefault="00264CE5">
      <w:pPr>
        <w:pStyle w:val="ManualConsidrant"/>
        <w:rPr>
          <w:noProof/>
        </w:rPr>
      </w:pPr>
      <w:r>
        <w:rPr>
          <w:noProof/>
        </w:rPr>
        <w:t>(7)</w:t>
      </w:r>
      <w:r>
        <w:rPr>
          <w:noProof/>
        </w:rPr>
        <w:tab/>
      </w:r>
      <w:r w:rsidRPr="00EB5A51">
        <w:rPr>
          <w:noProof/>
        </w:rPr>
        <w:t xml:space="preserve">Conformément à l’article 7, paragraphe 3, point b), du règlement (UE) 2026/467, la Commission a évalué la cohérence des informations que contient la stratégie de financement ukrainienne avec les sources externes. En février et mars 2026, la Commission a mené des consultations avec le Fonds monétaire international au sujet des besoins de financement prévus de l’Ukraine. Les services de la Commission et le Service européen pour l’action extérieure ont également mené des consultations avec des experts de la plateforme des donateurs pour l’Ukraine et du groupe de contact pour la défense de l’Ukraine. </w:t>
      </w:r>
    </w:p>
    <w:p w14:paraId="241AD944" w14:textId="04A8C355" w:rsidR="00C42B70" w:rsidRPr="00EB5A51" w:rsidRDefault="00B40B31">
      <w:pPr>
        <w:pStyle w:val="ManualConsidrant"/>
        <w:rPr>
          <w:noProof/>
        </w:rPr>
      </w:pPr>
      <w:r>
        <w:rPr>
          <w:noProof/>
        </w:rPr>
        <w:t>(8)</w:t>
      </w:r>
      <w:r>
        <w:rPr>
          <w:noProof/>
        </w:rPr>
        <w:tab/>
      </w:r>
      <w:r w:rsidRPr="00EB5A51">
        <w:rPr>
          <w:noProof/>
        </w:rPr>
        <w:t>La Commission a, par ailleurs, évalué la cohérence du déficit de financement extérieur attendu de l’Ukraine, pour lequel celle-ci sollicite un soutien, avec la répartition indicative du prêt de soutien à l’Ukraine prévue à l’article 7, paragraphe 3, point c), du règlement (UE) 2026/467.</w:t>
      </w:r>
    </w:p>
    <w:p w14:paraId="350DD3DB" w14:textId="595A3838" w:rsidR="000B3791" w:rsidRPr="00EB5A51" w:rsidRDefault="000B3791" w:rsidP="000B3791">
      <w:pPr>
        <w:pStyle w:val="ManualConsidrant"/>
        <w:rPr>
          <w:noProof/>
        </w:rPr>
      </w:pPr>
      <w:r>
        <w:rPr>
          <w:noProof/>
        </w:rPr>
        <w:t>(9)</w:t>
      </w:r>
      <w:r>
        <w:rPr>
          <w:noProof/>
        </w:rPr>
        <w:tab/>
      </w:r>
      <w:r w:rsidRPr="00EB5A51">
        <w:rPr>
          <w:noProof/>
        </w:rPr>
        <w:t>Conformément à l’article 7, paragraphe 3, point d), du règlement (UE) 2026/467, les services de la Commission et le Service européen pour l’action extérieure ont évalué le respect des conditions préalables énoncées à l’article 5, paragraphe 1, du règlement (UE) 2026/467. En particulier, l’Ukraine continue de défendre et de respecter des mécanismes démocratiques effectifs, y compris le pluralisme parlementaire et l’état de droit, et de garantir le respect des droits de l’homme, y compris des droits des personnes appartenant à des minorités. La défense et le respect de l’état de droit doivent inclure la lutte contre la corruption.</w:t>
      </w:r>
    </w:p>
    <w:p w14:paraId="6E853D57" w14:textId="77777777" w:rsidR="00C42B70" w:rsidRPr="00EB5A51" w:rsidRDefault="00E0372A" w:rsidP="00C42B70">
      <w:pPr>
        <w:pStyle w:val="ManualConsidrant"/>
        <w:rPr>
          <w:noProof/>
        </w:rPr>
      </w:pPr>
      <w:r>
        <w:rPr>
          <w:noProof/>
        </w:rPr>
        <w:t>(10)</w:t>
      </w:r>
      <w:r>
        <w:rPr>
          <w:noProof/>
        </w:rPr>
        <w:tab/>
      </w:r>
      <w:r w:rsidRPr="00EB5A51">
        <w:rPr>
          <w:noProof/>
        </w:rPr>
        <w:t>Sur la base de l’évaluation visée aux considérants 5 à 8, la Commission a évalué positivement la stratégie de financement ukrainienne qui lui a été soumise par le pays, conformément à l’article 7, paragraphe 4, du règlement (UE) 2026/467. À la suite de l’évaluation positive de la stratégie de financement ukrainienne par la Commission, il convient d’approuver cette évaluation et de déterminer, dans la présente décision, les montants de l’assistance à mettre à la disposition de l’Ukraine pour l’aider à mettre en œuvre la stratégie de financement ukrainienne, conformément à l’article 8 du règlement (UE) 2026/467.</w:t>
      </w:r>
    </w:p>
    <w:p w14:paraId="088F2912" w14:textId="77777777" w:rsidR="00C42B70" w:rsidRPr="00EB5A51" w:rsidRDefault="00DA7DB3" w:rsidP="00C42B70">
      <w:pPr>
        <w:pStyle w:val="ManualConsidrant"/>
        <w:rPr>
          <w:noProof/>
        </w:rPr>
      </w:pPr>
      <w:r>
        <w:rPr>
          <w:noProof/>
        </w:rPr>
        <w:t>(11)</w:t>
      </w:r>
      <w:r>
        <w:rPr>
          <w:noProof/>
        </w:rPr>
        <w:tab/>
      </w:r>
      <w:r w:rsidRPr="00EB5A51">
        <w:rPr>
          <w:noProof/>
        </w:rPr>
        <w:t>Les montants fixés dans la présente décision sont alignés sur les objectifs énoncés à l’article 2 du règlement (UE) 2026/467.</w:t>
      </w:r>
    </w:p>
    <w:p w14:paraId="772751C1" w14:textId="77777777" w:rsidR="00C03BF1" w:rsidRPr="00EB5A51" w:rsidRDefault="00C03BF1" w:rsidP="00C42B70">
      <w:pPr>
        <w:pStyle w:val="ManualConsidrant"/>
        <w:rPr>
          <w:noProof/>
        </w:rPr>
      </w:pPr>
      <w:r>
        <w:rPr>
          <w:noProof/>
        </w:rPr>
        <w:t>(12)</w:t>
      </w:r>
      <w:r>
        <w:rPr>
          <w:noProof/>
        </w:rPr>
        <w:tab/>
      </w:r>
      <w:r w:rsidRPr="00EB5A51">
        <w:rPr>
          <w:noProof/>
        </w:rPr>
        <w:t>L’assistance qui sera mise à la disposition du pays dans le cadre du prêt de soutien à l’Ukraine sera financée par des emprunts contractés par la Commission au nom de l’Union, sur la base de l’article 24, paragraphe 1, du règlement (UE) 2026/467.</w:t>
      </w:r>
    </w:p>
    <w:p w14:paraId="3A785E7C" w14:textId="77777777" w:rsidR="00151719" w:rsidRPr="00EB5A51" w:rsidRDefault="00B919C2" w:rsidP="00C42B70">
      <w:pPr>
        <w:pStyle w:val="ManualConsidrant"/>
        <w:rPr>
          <w:noProof/>
        </w:rPr>
      </w:pPr>
      <w:r>
        <w:rPr>
          <w:noProof/>
        </w:rPr>
        <w:t>(13)</w:t>
      </w:r>
      <w:r>
        <w:rPr>
          <w:noProof/>
        </w:rPr>
        <w:tab/>
      </w:r>
      <w:r w:rsidRPr="00EB5A51">
        <w:rPr>
          <w:noProof/>
        </w:rPr>
        <w:t xml:space="preserve">Conformément à l’article 8, paragraphe 3, du règlement (UE) 2026/467, les montants du prêt de soutien à l’Ukraine qui doivent être mis à la disposition du pays en vertu de la présente décision ont été déterminés sur la base du déficit de financement extérieur prévu de l’Ukraine pour la période allant jusqu’au 31 décembre 2026, en tenant compte des contributions disponibles et prévues d’autres donateurs. Le montant total de 45 000 000 000 EUR ne dépasse pas le montant maximal prévu à l’article 4, paragraphe 1, du règlement (UE) 2026/467. Pour déterminer ces montants, la contribution de l’Union a été fixée à un niveau qui tient compte des contributions des autres donateurs internationaux, garantissant ainsi un partage équitable de la charge pour couvrir les besoins de financement de l’Ukraine. </w:t>
      </w:r>
    </w:p>
    <w:p w14:paraId="36CDA12D" w14:textId="77777777" w:rsidR="00FC3FDF" w:rsidRPr="00EB5A51" w:rsidRDefault="00FC3FDF" w:rsidP="00FC3FDF">
      <w:pPr>
        <w:pStyle w:val="ManualConsidrant"/>
        <w:rPr>
          <w:noProof/>
        </w:rPr>
      </w:pPr>
      <w:r>
        <w:rPr>
          <w:noProof/>
        </w:rPr>
        <w:t>(14)</w:t>
      </w:r>
      <w:r>
        <w:rPr>
          <w:noProof/>
        </w:rPr>
        <w:tab/>
      </w:r>
      <w:r w:rsidRPr="00EB5A51">
        <w:rPr>
          <w:noProof/>
        </w:rPr>
        <w:t xml:space="preserve">Conformément à la stratégie de financement ukrainienne, un montant de 16 700 000 000 EUR est destiné à l’assistance macrofinancière prévue au chapitre III du règlement (UE) 2026/467 ou à une assistance budgétaire sous la forme d’un prêt à mettre en œuvre dans le cadre de la facilité pour l’Ukraine conformément au chapitre III du règlement (UE) 2024/792, et 28 300 000 000 EUR sont destinés à soutenir les capacités industrielles de défense de l’Ukraine conformément au chapitre IV du règlement (UE) 2026/467. </w:t>
      </w:r>
    </w:p>
    <w:p w14:paraId="09AD04EE" w14:textId="18F46BEA" w:rsidR="00C42B70" w:rsidRPr="00EB5A51" w:rsidRDefault="00F25D0E" w:rsidP="00CC1C20">
      <w:pPr>
        <w:pStyle w:val="ManualConsidrant"/>
        <w:rPr>
          <w:noProof/>
        </w:rPr>
      </w:pPr>
      <w:r>
        <w:rPr>
          <w:noProof/>
        </w:rPr>
        <w:t>(15)</w:t>
      </w:r>
      <w:r>
        <w:rPr>
          <w:noProof/>
        </w:rPr>
        <w:tab/>
      </w:r>
      <w:r w:rsidRPr="00EB5A51">
        <w:rPr>
          <w:noProof/>
        </w:rPr>
        <w:t>En outre, dans le cadre de l’assistance budgétaire, la détermination des montants repose sur une évaluation des modalités de financement appropriées, compte tenu de la nature et de l’urgence des besoins de financement. Sur cette base, un montant de 8 350 000 000 EUR devrait être octroyé sous forme de prêts mis en œuvre conformément au chapitre III du règlement (UE) 2024/792 du Parlement européen et du Conseil</w:t>
      </w:r>
      <w:r w:rsidRPr="00EB5A51">
        <w:rPr>
          <w:rStyle w:val="FootnoteReference"/>
          <w:noProof/>
        </w:rPr>
        <w:footnoteReference w:id="4"/>
      </w:r>
      <w:r w:rsidRPr="00EB5A51">
        <w:rPr>
          <w:noProof/>
        </w:rPr>
        <w:t>, et un montant de 8 350 000 000 EUR sous forme d’assistance macrofinancière octroyée conformément au chapitre III du règlement (UE) 2026/467.</w:t>
      </w:r>
    </w:p>
    <w:p w14:paraId="4DA2E02C" w14:textId="77777777" w:rsidR="00C42B70" w:rsidRPr="00EB5A51" w:rsidRDefault="00C03BF1" w:rsidP="00C42B70">
      <w:pPr>
        <w:pStyle w:val="ManualConsidrant"/>
        <w:rPr>
          <w:noProof/>
        </w:rPr>
      </w:pPr>
      <w:r>
        <w:rPr>
          <w:noProof/>
        </w:rPr>
        <w:t>(16)</w:t>
      </w:r>
      <w:r>
        <w:rPr>
          <w:noProof/>
        </w:rPr>
        <w:tab/>
      </w:r>
      <w:r w:rsidRPr="00EB5A51">
        <w:rPr>
          <w:noProof/>
        </w:rPr>
        <w:t>Conformément aux principes de bonne gestion financière et de prudence, les décaissements ne devraient pas être effectués tant qu’une garantie correspondante au titre du prêt de soutien à l’Ukraine n’aura pas été obtenue.</w:t>
      </w:r>
    </w:p>
    <w:p w14:paraId="7C7EDD49" w14:textId="77777777" w:rsidR="00DA7DB3" w:rsidRPr="00EB5A51" w:rsidRDefault="00DA7DB3" w:rsidP="00C42B70">
      <w:pPr>
        <w:pStyle w:val="ManualConsidrant"/>
        <w:rPr>
          <w:noProof/>
        </w:rPr>
      </w:pPr>
      <w:r>
        <w:rPr>
          <w:noProof/>
        </w:rPr>
        <w:t>(17)</w:t>
      </w:r>
      <w:r>
        <w:rPr>
          <w:noProof/>
        </w:rPr>
        <w:tab/>
      </w:r>
      <w:r w:rsidRPr="00EB5A51">
        <w:rPr>
          <w:noProof/>
        </w:rPr>
        <w:t xml:space="preserve">Afin d’accélérer le processus, en raison de la situation financière difficile de l’Ukraine et de l’urgence de la situation causée par la guerre en cours, il convient que la présente décision entre en vigueur à la date de sa publication au </w:t>
      </w:r>
      <w:r w:rsidRPr="00EB5A51">
        <w:rPr>
          <w:i/>
          <w:iCs/>
          <w:noProof/>
        </w:rPr>
        <w:t>Journal officiel de l’Union européenne</w:t>
      </w:r>
      <w:r w:rsidRPr="00EB5A51">
        <w:rPr>
          <w:noProof/>
        </w:rPr>
        <w:t xml:space="preserve"> et qu’elle s’applique à compter de la date de son adoption,</w:t>
      </w:r>
    </w:p>
    <w:p w14:paraId="29FC298A" w14:textId="77777777" w:rsidR="00DA7DB3" w:rsidRPr="00EB5A51" w:rsidRDefault="00DA7DB3" w:rsidP="00DA7DB3">
      <w:pPr>
        <w:pStyle w:val="Formuledadoption"/>
        <w:rPr>
          <w:noProof/>
        </w:rPr>
      </w:pPr>
      <w:r w:rsidRPr="00EB5A51">
        <w:rPr>
          <w:noProof/>
        </w:rPr>
        <w:t xml:space="preserve">A ADOPTÉ LA PRÉSENTE DÉCISION: </w:t>
      </w:r>
    </w:p>
    <w:p w14:paraId="49D25BE3" w14:textId="77777777" w:rsidR="004D3FA9" w:rsidRPr="00EB5A51" w:rsidRDefault="00DA7DB3" w:rsidP="00DA7DB3">
      <w:pPr>
        <w:pStyle w:val="Titrearticle"/>
        <w:rPr>
          <w:noProof/>
        </w:rPr>
      </w:pPr>
      <w:r w:rsidRPr="00EB5A51">
        <w:rPr>
          <w:noProof/>
        </w:rPr>
        <w:t>Article premier</w:t>
      </w:r>
    </w:p>
    <w:p w14:paraId="261BFB9E" w14:textId="77777777" w:rsidR="004D3FA9" w:rsidRPr="00EB5A51" w:rsidRDefault="004D3FA9" w:rsidP="004D3FA9">
      <w:pPr>
        <w:jc w:val="center"/>
        <w:rPr>
          <w:b/>
          <w:bCs/>
          <w:noProof/>
        </w:rPr>
      </w:pPr>
      <w:r w:rsidRPr="00EB5A51">
        <w:rPr>
          <w:b/>
          <w:noProof/>
        </w:rPr>
        <w:t>Approbation de l’évaluation par la Commission de la stratégie de financement ukrainienne</w:t>
      </w:r>
    </w:p>
    <w:p w14:paraId="1A90A24F" w14:textId="77777777" w:rsidR="007C7498" w:rsidRPr="00EB5A51" w:rsidRDefault="007C7498" w:rsidP="007C7498">
      <w:pPr>
        <w:rPr>
          <w:rFonts w:eastAsia="Times New Roman"/>
          <w:noProof/>
        </w:rPr>
      </w:pPr>
      <w:r w:rsidRPr="00EB5A51">
        <w:rPr>
          <w:noProof/>
        </w:rPr>
        <w:t>L’évaluation de la stratégie de financement ukrainienne, présentée le 24 mars 2026, est approuvée. Cette évaluation, fondée sur les critères prévus à l’article 7, paragraphe 3, du règlement (UE) 2026/467, figure à l’annexe de la présente décision.</w:t>
      </w:r>
    </w:p>
    <w:p w14:paraId="39AF763C" w14:textId="77777777" w:rsidR="006E74D3" w:rsidRPr="00EB5A51" w:rsidRDefault="006E74D3" w:rsidP="006E74D3">
      <w:pPr>
        <w:jc w:val="center"/>
        <w:rPr>
          <w:noProof/>
        </w:rPr>
      </w:pPr>
    </w:p>
    <w:p w14:paraId="1B57A4DB" w14:textId="77777777" w:rsidR="00DA7DB3" w:rsidRPr="00EB5A51" w:rsidRDefault="004D3FA9" w:rsidP="00DA7DB3">
      <w:pPr>
        <w:pStyle w:val="Titrearticle"/>
        <w:rPr>
          <w:noProof/>
        </w:rPr>
      </w:pPr>
      <w:r w:rsidRPr="00EB5A51">
        <w:rPr>
          <w:noProof/>
        </w:rPr>
        <w:t xml:space="preserve">Article 2 </w:t>
      </w:r>
    </w:p>
    <w:p w14:paraId="0C5C1CDC" w14:textId="77777777" w:rsidR="00BD0DF8" w:rsidRPr="00EB5A51" w:rsidRDefault="00BD0DF8" w:rsidP="00BD0DF8">
      <w:pPr>
        <w:jc w:val="center"/>
        <w:rPr>
          <w:b/>
          <w:bCs/>
          <w:noProof/>
        </w:rPr>
      </w:pPr>
      <w:r w:rsidRPr="00EB5A51">
        <w:rPr>
          <w:b/>
          <w:noProof/>
        </w:rPr>
        <w:t>Montant de l’assistance mise à la disposition de l’Ukraine</w:t>
      </w:r>
    </w:p>
    <w:p w14:paraId="44CBD959" w14:textId="35A03211" w:rsidR="007C0C63" w:rsidRPr="00EB5A51" w:rsidRDefault="00DA7DB3" w:rsidP="00FA58B6">
      <w:pPr>
        <w:pStyle w:val="Point0"/>
        <w:rPr>
          <w:rStyle w:val="CommentReference"/>
          <w:rFonts w:eastAsiaTheme="minorEastAsia"/>
          <w:noProof/>
          <w:sz w:val="24"/>
          <w:szCs w:val="22"/>
        </w:rPr>
      </w:pPr>
      <w:r>
        <w:rPr>
          <w:noProof/>
        </w:rPr>
        <w:t>(1)</w:t>
      </w:r>
      <w:r>
        <w:rPr>
          <w:noProof/>
        </w:rPr>
        <w:tab/>
      </w:r>
      <w:r w:rsidRPr="00EB5A51">
        <w:rPr>
          <w:noProof/>
        </w:rPr>
        <w:t>Une assistance d’un montant maximal de 45 000 000 000 EUR sera mise à la disposition de l’Ukraine afin de contribuer à la mise en œuvre de la stratégie de financement ukrainienne. Cette assistance devrait couvrir les besoins de financement recensés par l’Ukraine dans sa stratégie de financement pour la période allant jusqu’au 31 décembre 2026.</w:t>
      </w:r>
    </w:p>
    <w:p w14:paraId="5B5DF25D" w14:textId="77777777" w:rsidR="007C0C63" w:rsidRPr="00EB5A51" w:rsidRDefault="00A875B0" w:rsidP="006C61F6">
      <w:pPr>
        <w:pStyle w:val="Point0"/>
        <w:rPr>
          <w:rStyle w:val="CommentReference"/>
          <w:noProof/>
          <w:sz w:val="24"/>
          <w:szCs w:val="22"/>
        </w:rPr>
      </w:pPr>
      <w:r>
        <w:rPr>
          <w:noProof/>
        </w:rPr>
        <w:t>(2)</w:t>
      </w:r>
      <w:r>
        <w:rPr>
          <w:noProof/>
        </w:rPr>
        <w:tab/>
      </w:r>
      <w:r w:rsidRPr="00EB5A51">
        <w:rPr>
          <w:noProof/>
        </w:rPr>
        <w:t>Le décaissement de cette assistance ne sera effectué qu’une fois qu’une garantie aura été fournie pour le prêt de soutien à l’Ukraine.</w:t>
      </w:r>
    </w:p>
    <w:p w14:paraId="3E27BB1E" w14:textId="77777777" w:rsidR="007B4388" w:rsidRPr="00EB5A51" w:rsidRDefault="007C0C63" w:rsidP="006C61F6">
      <w:pPr>
        <w:pStyle w:val="Point0"/>
        <w:rPr>
          <w:noProof/>
        </w:rPr>
      </w:pPr>
      <w:r>
        <w:rPr>
          <w:noProof/>
        </w:rPr>
        <w:t>(3)</w:t>
      </w:r>
      <w:r>
        <w:rPr>
          <w:noProof/>
        </w:rPr>
        <w:tab/>
      </w:r>
      <w:r w:rsidRPr="00EB5A51">
        <w:rPr>
          <w:noProof/>
        </w:rPr>
        <w:t>Conformément à l’article 8, paragraphe 2, du règlement (UE) 2026/467, l’assistance visée au paragraphe 1 du présent article est mise à la disposition de l’Ukraine comme suit:</w:t>
      </w:r>
    </w:p>
    <w:p w14:paraId="154245DE" w14:textId="77777777" w:rsidR="007B4388" w:rsidRPr="00EB5A51" w:rsidRDefault="00FB79C1" w:rsidP="006C61F6">
      <w:pPr>
        <w:pStyle w:val="Point1"/>
        <w:rPr>
          <w:noProof/>
        </w:rPr>
      </w:pPr>
      <w:r>
        <w:rPr>
          <w:noProof/>
        </w:rPr>
        <w:t>(a)</w:t>
      </w:r>
      <w:r>
        <w:rPr>
          <w:noProof/>
        </w:rPr>
        <w:tab/>
      </w:r>
      <w:r w:rsidRPr="00EB5A51">
        <w:rPr>
          <w:noProof/>
        </w:rPr>
        <w:t>jusqu’à 8 350 000 000 EUR pour une assistance</w:t>
      </w:r>
      <w:r w:rsidRPr="00EB5A51">
        <w:rPr>
          <w:noProof/>
          <w:color w:val="333333"/>
          <w:sz w:val="27"/>
          <w:shd w:val="clear" w:color="auto" w:fill="FFFFFF"/>
        </w:rPr>
        <w:t xml:space="preserve"> </w:t>
      </w:r>
      <w:r w:rsidRPr="00EB5A51">
        <w:rPr>
          <w:noProof/>
        </w:rPr>
        <w:t>budgétaire sous la forme d’un prêt à mettre en œuvre conformément au chapitre III du règlement (UE) 2024/792;</w:t>
      </w:r>
    </w:p>
    <w:p w14:paraId="2A7F1291" w14:textId="77777777" w:rsidR="007B4388" w:rsidRPr="00EB5A51" w:rsidRDefault="00FB79C1" w:rsidP="007B4388">
      <w:pPr>
        <w:pStyle w:val="Point1"/>
        <w:rPr>
          <w:noProof/>
        </w:rPr>
      </w:pPr>
      <w:r>
        <w:rPr>
          <w:noProof/>
        </w:rPr>
        <w:t>(b)</w:t>
      </w:r>
      <w:r>
        <w:rPr>
          <w:noProof/>
        </w:rPr>
        <w:tab/>
      </w:r>
      <w:r w:rsidRPr="00EB5A51">
        <w:rPr>
          <w:noProof/>
        </w:rPr>
        <w:t>jusqu’à 8 350 000 000 EUR pour l’assistance macrofinancière conformément au chapitre III du règlement (UE) 2026/467;</w:t>
      </w:r>
    </w:p>
    <w:p w14:paraId="67F81200" w14:textId="77777777" w:rsidR="007B4388" w:rsidRPr="00EB5A51" w:rsidRDefault="00FB79C1" w:rsidP="007B4388">
      <w:pPr>
        <w:pStyle w:val="Point1"/>
        <w:rPr>
          <w:noProof/>
        </w:rPr>
      </w:pPr>
      <w:r>
        <w:rPr>
          <w:noProof/>
        </w:rPr>
        <w:t>(c)</w:t>
      </w:r>
      <w:r>
        <w:rPr>
          <w:noProof/>
        </w:rPr>
        <w:tab/>
      </w:r>
      <w:r w:rsidRPr="00EB5A51">
        <w:rPr>
          <w:noProof/>
        </w:rPr>
        <w:t>jusqu’à 28 300 000 000 EUR pour soutenir les capacités industrielles de défense de l’Ukraine conformément au chapitre IV du règlement (UE) 2026/467.</w:t>
      </w:r>
    </w:p>
    <w:p w14:paraId="32D77539" w14:textId="77777777" w:rsidR="00FA58B6" w:rsidRPr="00EB5A51" w:rsidRDefault="00FA58B6" w:rsidP="00DA7DB3">
      <w:pPr>
        <w:pStyle w:val="Titrearticle"/>
        <w:rPr>
          <w:noProof/>
        </w:rPr>
      </w:pPr>
    </w:p>
    <w:p w14:paraId="0EB8E2C7" w14:textId="77777777" w:rsidR="00BD0DF8" w:rsidRPr="00EB5A51" w:rsidRDefault="00BD0DF8" w:rsidP="00DA7DB3">
      <w:pPr>
        <w:pStyle w:val="Titrearticle"/>
        <w:rPr>
          <w:noProof/>
        </w:rPr>
      </w:pPr>
      <w:r w:rsidRPr="00EB5A51">
        <w:rPr>
          <w:noProof/>
        </w:rPr>
        <w:t>Article 3</w:t>
      </w:r>
    </w:p>
    <w:p w14:paraId="65E0A250" w14:textId="77777777" w:rsidR="00BD0DF8" w:rsidRPr="00EB5A51" w:rsidRDefault="00BD0DF8" w:rsidP="00BD0DF8">
      <w:pPr>
        <w:jc w:val="center"/>
        <w:rPr>
          <w:b/>
          <w:bCs/>
          <w:noProof/>
        </w:rPr>
      </w:pPr>
      <w:r w:rsidRPr="00EB5A51">
        <w:rPr>
          <w:b/>
          <w:noProof/>
        </w:rPr>
        <w:t>Tranches de l’assistance macrofinancière</w:t>
      </w:r>
    </w:p>
    <w:p w14:paraId="75BFD5D7" w14:textId="77777777" w:rsidR="007C0C63" w:rsidRPr="00EB5A51" w:rsidRDefault="00BD0DF8" w:rsidP="006C61F6">
      <w:pPr>
        <w:pStyle w:val="Point0"/>
        <w:rPr>
          <w:noProof/>
        </w:rPr>
      </w:pPr>
      <w:r>
        <w:rPr>
          <w:noProof/>
        </w:rPr>
        <w:t>(1)</w:t>
      </w:r>
      <w:r>
        <w:rPr>
          <w:noProof/>
        </w:rPr>
        <w:tab/>
      </w:r>
      <w:r w:rsidRPr="00EB5A51">
        <w:rPr>
          <w:noProof/>
        </w:rPr>
        <w:t xml:space="preserve">L’assistance mise à la disposition de l’Ukraine au titre de l’assistance macrofinancière conformément au chapitre III du règlement (UE) 2026/467 est versée en trois tranches au maximum. </w:t>
      </w:r>
    </w:p>
    <w:p w14:paraId="5B7B7FD5" w14:textId="77777777" w:rsidR="007C0C63" w:rsidRPr="00EB5A51" w:rsidRDefault="007C0C63" w:rsidP="007C0C63">
      <w:pPr>
        <w:pStyle w:val="ListParagraph"/>
        <w:rPr>
          <w:noProof/>
        </w:rPr>
      </w:pPr>
    </w:p>
    <w:p w14:paraId="2BE3E96B" w14:textId="77777777" w:rsidR="00C3398D" w:rsidRPr="00EB5A51" w:rsidRDefault="00BD0DF8" w:rsidP="00BD3FD6">
      <w:pPr>
        <w:pStyle w:val="Point0"/>
        <w:rPr>
          <w:noProof/>
        </w:rPr>
      </w:pPr>
      <w:r>
        <w:rPr>
          <w:noProof/>
        </w:rPr>
        <w:t>(2)</w:t>
      </w:r>
      <w:r>
        <w:rPr>
          <w:noProof/>
        </w:rPr>
        <w:tab/>
      </w:r>
      <w:r w:rsidRPr="00EB5A51">
        <w:rPr>
          <w:noProof/>
        </w:rPr>
        <w:t>Les valeurs indicatives des tranches visées au paragraphe 1 sont les suivantes:</w:t>
      </w:r>
    </w:p>
    <w:p w14:paraId="617E7BF2" w14:textId="77777777" w:rsidR="00C3398D" w:rsidRPr="00EB5A51" w:rsidRDefault="00C3398D" w:rsidP="00C3398D">
      <w:pPr>
        <w:pStyle w:val="Point2"/>
        <w:rPr>
          <w:noProof/>
        </w:rPr>
      </w:pPr>
      <w:r>
        <w:rPr>
          <w:noProof/>
        </w:rPr>
        <w:t>(a)</w:t>
      </w:r>
      <w:r>
        <w:rPr>
          <w:noProof/>
        </w:rPr>
        <w:tab/>
      </w:r>
      <w:r w:rsidRPr="00EB5A51">
        <w:rPr>
          <w:noProof/>
        </w:rPr>
        <w:t xml:space="preserve">une première tranche de 3 200 000 000 EUR; </w:t>
      </w:r>
    </w:p>
    <w:p w14:paraId="4C65D718" w14:textId="77777777" w:rsidR="00C3398D" w:rsidRPr="00EB5A51" w:rsidRDefault="00C3398D" w:rsidP="00C3398D">
      <w:pPr>
        <w:pStyle w:val="Point2"/>
        <w:rPr>
          <w:noProof/>
        </w:rPr>
      </w:pPr>
      <w:r>
        <w:rPr>
          <w:noProof/>
        </w:rPr>
        <w:t>(b)</w:t>
      </w:r>
      <w:r>
        <w:rPr>
          <w:noProof/>
        </w:rPr>
        <w:tab/>
      </w:r>
      <w:r w:rsidRPr="00EB5A51">
        <w:rPr>
          <w:noProof/>
        </w:rPr>
        <w:t xml:space="preserve">une deuxième tranche de 3 700 000 000 EUR; </w:t>
      </w:r>
    </w:p>
    <w:p w14:paraId="79F987EF" w14:textId="77777777" w:rsidR="00BD0DF8" w:rsidRPr="00EB5A51" w:rsidRDefault="00C3398D" w:rsidP="00C3398D">
      <w:pPr>
        <w:pStyle w:val="Point2"/>
        <w:rPr>
          <w:noProof/>
        </w:rPr>
      </w:pPr>
      <w:r>
        <w:rPr>
          <w:noProof/>
        </w:rPr>
        <w:t>(c)</w:t>
      </w:r>
      <w:r>
        <w:rPr>
          <w:noProof/>
        </w:rPr>
        <w:tab/>
      </w:r>
      <w:r w:rsidRPr="00EB5A51">
        <w:rPr>
          <w:noProof/>
        </w:rPr>
        <w:t>une troisième tranche de 1 450 000 000 EUR. </w:t>
      </w:r>
    </w:p>
    <w:p w14:paraId="74E0E251" w14:textId="702CCB8A" w:rsidR="00DA7DB3" w:rsidRPr="00EB5A51" w:rsidRDefault="00DA7DB3" w:rsidP="00DA7DB3">
      <w:pPr>
        <w:pStyle w:val="Titrearticle"/>
        <w:rPr>
          <w:noProof/>
        </w:rPr>
      </w:pPr>
      <w:r w:rsidRPr="00EB5A51">
        <w:rPr>
          <w:noProof/>
        </w:rPr>
        <w:t>Article 4</w:t>
      </w:r>
    </w:p>
    <w:p w14:paraId="72573F6C" w14:textId="77777777" w:rsidR="00C3398D" w:rsidRPr="00EB5A51" w:rsidRDefault="00C3398D" w:rsidP="00C3398D">
      <w:pPr>
        <w:jc w:val="center"/>
        <w:rPr>
          <w:b/>
          <w:bCs/>
          <w:noProof/>
        </w:rPr>
      </w:pPr>
      <w:r w:rsidRPr="00EB5A51">
        <w:rPr>
          <w:b/>
          <w:noProof/>
        </w:rPr>
        <w:t>Entrée en vigueur</w:t>
      </w:r>
    </w:p>
    <w:p w14:paraId="18291822" w14:textId="77777777" w:rsidR="00DA7DB3" w:rsidRPr="00EB5A51" w:rsidRDefault="00DA7DB3" w:rsidP="00DA7DB3">
      <w:pPr>
        <w:rPr>
          <w:noProof/>
        </w:rPr>
      </w:pPr>
    </w:p>
    <w:p w14:paraId="7B8F9A9A" w14:textId="77777777" w:rsidR="00DA7DB3" w:rsidRPr="00EB5A51" w:rsidRDefault="00DA7DB3" w:rsidP="00DA7DB3">
      <w:pPr>
        <w:keepNext/>
        <w:keepLines/>
        <w:rPr>
          <w:noProof/>
        </w:rPr>
      </w:pPr>
      <w:r w:rsidRPr="00EB5A51">
        <w:rPr>
          <w:noProof/>
        </w:rPr>
        <w:t xml:space="preserve">La présente décision entre en vigueur le jour de sa publication au </w:t>
      </w:r>
      <w:r w:rsidRPr="00EB5A51">
        <w:rPr>
          <w:i/>
          <w:iCs/>
          <w:noProof/>
        </w:rPr>
        <w:t>Journal officiel de l’Union européenne</w:t>
      </w:r>
      <w:r w:rsidRPr="00EB5A51">
        <w:rPr>
          <w:noProof/>
        </w:rPr>
        <w:t>.</w:t>
      </w:r>
    </w:p>
    <w:p w14:paraId="4F2B065F" w14:textId="77777777" w:rsidR="00DA7DB3" w:rsidRPr="00EB5A51" w:rsidRDefault="00DA7DB3" w:rsidP="00DA7DB3">
      <w:pPr>
        <w:keepNext/>
        <w:keepLines/>
        <w:rPr>
          <w:noProof/>
        </w:rPr>
      </w:pPr>
      <w:r w:rsidRPr="00EB5A51">
        <w:rPr>
          <w:noProof/>
        </w:rPr>
        <w:t>Elle est applicable à partir de la date de son adoption.</w:t>
      </w:r>
    </w:p>
    <w:p w14:paraId="40A0513D" w14:textId="41086706" w:rsidR="00DA7DB3" w:rsidRPr="00EB5A51" w:rsidRDefault="00EB5A51" w:rsidP="00FC5F84">
      <w:pPr>
        <w:pStyle w:val="Fait"/>
        <w:rPr>
          <w:noProof/>
        </w:rPr>
      </w:pPr>
      <w:r>
        <w:rPr>
          <w:noProof/>
        </w:rPr>
        <w:t>Fait à Bruxelles, le</w:t>
      </w:r>
    </w:p>
    <w:p w14:paraId="61596C1F" w14:textId="77777777" w:rsidR="00DA7DB3" w:rsidRPr="00EB5A51" w:rsidRDefault="00DA7DB3" w:rsidP="00FC5F84">
      <w:pPr>
        <w:pStyle w:val="Institutionquisigne"/>
        <w:rPr>
          <w:noProof/>
        </w:rPr>
      </w:pPr>
      <w:r w:rsidRPr="00EB5A51">
        <w:rPr>
          <w:noProof/>
        </w:rPr>
        <w:tab/>
        <w:t>Par le Conseil</w:t>
      </w:r>
    </w:p>
    <w:p w14:paraId="3E95CEBB" w14:textId="77777777" w:rsidR="00446D5D" w:rsidRPr="00EB5A51" w:rsidRDefault="00DA7DB3" w:rsidP="00DA7DB3">
      <w:pPr>
        <w:pStyle w:val="Personnequisigne"/>
        <w:rPr>
          <w:noProof/>
        </w:rPr>
      </w:pPr>
      <w:r w:rsidRPr="00EB5A51">
        <w:rPr>
          <w:noProof/>
        </w:rPr>
        <w:tab/>
        <w:t>Le président/La présidente</w:t>
      </w:r>
    </w:p>
    <w:sectPr w:rsidR="00446D5D" w:rsidRPr="00EB5A51" w:rsidSect="0042064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E417EA" w14:textId="77777777" w:rsidR="00A35CBE" w:rsidRDefault="00A35CBE" w:rsidP="00446D5D">
      <w:pPr>
        <w:spacing w:before="0" w:after="0"/>
      </w:pPr>
      <w:r>
        <w:separator/>
      </w:r>
    </w:p>
  </w:endnote>
  <w:endnote w:type="continuationSeparator" w:id="0">
    <w:p w14:paraId="2D00ABE7" w14:textId="77777777" w:rsidR="00A35CBE" w:rsidRDefault="00A35CBE" w:rsidP="00446D5D">
      <w:pPr>
        <w:spacing w:before="0" w:after="0"/>
      </w:pPr>
      <w:r>
        <w:continuationSeparator/>
      </w:r>
    </w:p>
  </w:endnote>
  <w:endnote w:type="continuationNotice" w:id="1">
    <w:p w14:paraId="6DC679F1" w14:textId="77777777" w:rsidR="00A35CBE" w:rsidRDefault="00A35CB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65F7F" w14:textId="7E80FFB6" w:rsidR="0042064C" w:rsidRPr="0042064C" w:rsidRDefault="0042064C" w:rsidP="0042064C">
    <w:pPr>
      <w:pStyle w:val="Footer"/>
      <w:rPr>
        <w:rFonts w:ascii="Arial" w:hAnsi="Arial" w:cs="Arial"/>
        <w:b/>
        <w:sz w:val="48"/>
      </w:rPr>
    </w:pPr>
    <w:r w:rsidRPr="0042064C">
      <w:rPr>
        <w:rFonts w:ascii="Arial" w:hAnsi="Arial" w:cs="Arial"/>
        <w:b/>
        <w:sz w:val="48"/>
      </w:rPr>
      <w:t>FR</w:t>
    </w:r>
    <w:r w:rsidRPr="0042064C">
      <w:rPr>
        <w:rFonts w:ascii="Arial" w:hAnsi="Arial" w:cs="Arial"/>
        <w:b/>
        <w:sz w:val="48"/>
      </w:rPr>
      <w:tab/>
    </w:r>
    <w:r w:rsidRPr="0042064C">
      <w:rPr>
        <w:rFonts w:ascii="Arial" w:hAnsi="Arial" w:cs="Arial"/>
        <w:b/>
        <w:sz w:val="48"/>
      </w:rPr>
      <w:tab/>
    </w:r>
    <w:r w:rsidRPr="0042064C">
      <w:tab/>
    </w:r>
    <w:r w:rsidRPr="0042064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83F1A" w14:textId="7505C432" w:rsidR="0042064C" w:rsidRPr="0042064C" w:rsidRDefault="0042064C" w:rsidP="0042064C">
    <w:pPr>
      <w:pStyle w:val="Footer"/>
      <w:rPr>
        <w:rFonts w:ascii="Arial" w:hAnsi="Arial" w:cs="Arial"/>
        <w:b/>
        <w:sz w:val="48"/>
      </w:rPr>
    </w:pPr>
    <w:r w:rsidRPr="0042064C">
      <w:rPr>
        <w:rFonts w:ascii="Arial" w:hAnsi="Arial" w:cs="Arial"/>
        <w:b/>
        <w:sz w:val="48"/>
      </w:rPr>
      <w:t>FR</w:t>
    </w:r>
    <w:r w:rsidRPr="0042064C">
      <w:rPr>
        <w:rFonts w:ascii="Arial" w:hAnsi="Arial" w:cs="Arial"/>
        <w:b/>
        <w:sz w:val="48"/>
      </w:rPr>
      <w:tab/>
    </w:r>
    <w:r w:rsidRPr="0042064C">
      <w:rPr>
        <w:rFonts w:ascii="Arial" w:hAnsi="Arial" w:cs="Arial"/>
        <w:b/>
        <w:sz w:val="48"/>
      </w:rPr>
      <w:tab/>
    </w:r>
    <w:r w:rsidRPr="0042064C">
      <w:tab/>
    </w:r>
    <w:r w:rsidRPr="0042064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9D3D2" w14:textId="77777777" w:rsidR="0042064C" w:rsidRDefault="004206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58852" w14:textId="461C0C55" w:rsidR="0042064C" w:rsidRPr="0042064C" w:rsidRDefault="0042064C" w:rsidP="0042064C">
    <w:pPr>
      <w:pStyle w:val="Footer"/>
      <w:rPr>
        <w:rFonts w:ascii="Arial" w:hAnsi="Arial" w:cs="Arial"/>
        <w:b/>
        <w:sz w:val="48"/>
      </w:rPr>
    </w:pPr>
    <w:r w:rsidRPr="0042064C">
      <w:rPr>
        <w:rFonts w:ascii="Arial" w:hAnsi="Arial" w:cs="Arial"/>
        <w:b/>
        <w:sz w:val="48"/>
      </w:rPr>
      <w:t>FR</w:t>
    </w:r>
    <w:r w:rsidRPr="0042064C">
      <w:rPr>
        <w:rFonts w:ascii="Arial" w:hAnsi="Arial" w:cs="Arial"/>
        <w:b/>
        <w:sz w:val="48"/>
      </w:rPr>
      <w:tab/>
    </w:r>
    <w:r>
      <w:fldChar w:fldCharType="begin"/>
    </w:r>
    <w:r>
      <w:instrText xml:space="preserve"> PAGE  \* MERGEFORMAT </w:instrText>
    </w:r>
    <w:r>
      <w:fldChar w:fldCharType="separate"/>
    </w:r>
    <w:r w:rsidR="00FC5F84">
      <w:rPr>
        <w:noProof/>
      </w:rPr>
      <w:t>4</w:t>
    </w:r>
    <w:r>
      <w:fldChar w:fldCharType="end"/>
    </w:r>
    <w:r>
      <w:tab/>
    </w:r>
    <w:r w:rsidRPr="0042064C">
      <w:tab/>
    </w:r>
    <w:r w:rsidRPr="0042064C">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5F5B4" w14:textId="77777777" w:rsidR="0042064C" w:rsidRDefault="0042064C" w:rsidP="004206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009A7B" w14:textId="77777777" w:rsidR="00A35CBE" w:rsidRDefault="00A35CBE" w:rsidP="00446D5D">
      <w:pPr>
        <w:spacing w:before="0" w:after="0"/>
      </w:pPr>
      <w:r>
        <w:separator/>
      </w:r>
    </w:p>
  </w:footnote>
  <w:footnote w:type="continuationSeparator" w:id="0">
    <w:p w14:paraId="00A157A7" w14:textId="77777777" w:rsidR="00A35CBE" w:rsidRDefault="00A35CBE" w:rsidP="00446D5D">
      <w:pPr>
        <w:spacing w:before="0" w:after="0"/>
      </w:pPr>
      <w:r>
        <w:continuationSeparator/>
      </w:r>
    </w:p>
  </w:footnote>
  <w:footnote w:type="continuationNotice" w:id="1">
    <w:p w14:paraId="16343F27" w14:textId="77777777" w:rsidR="00A35CBE" w:rsidRDefault="00A35CBE">
      <w:pPr>
        <w:spacing w:before="0" w:after="0"/>
      </w:pPr>
    </w:p>
  </w:footnote>
  <w:footnote w:id="2">
    <w:p w14:paraId="310C5273" w14:textId="77777777" w:rsidR="00DA7DB3" w:rsidRPr="00EB5A51" w:rsidRDefault="00DA7DB3" w:rsidP="00DA7DB3">
      <w:pPr>
        <w:pStyle w:val="FootnoteText"/>
      </w:pPr>
      <w:r>
        <w:rPr>
          <w:rStyle w:val="FootnoteReference"/>
        </w:rPr>
        <w:footnoteRef/>
      </w:r>
      <w:r w:rsidRPr="00EB5A51">
        <w:rPr>
          <w:lang w:val="en-GB"/>
        </w:rPr>
        <w:tab/>
        <w:t xml:space="preserve">JO L, 2026/467, 24.2.2026, ELI: </w:t>
      </w:r>
      <w:hyperlink r:id="rId1" w:history="1">
        <w:r w:rsidRPr="00EB5A51">
          <w:rPr>
            <w:rStyle w:val="Hyperlink"/>
            <w:color w:val="auto"/>
            <w:u w:val="none"/>
            <w:lang w:val="en-GB"/>
          </w:rPr>
          <w:t>http://data.europa.eu/eli/reg/2026/467/oj</w:t>
        </w:r>
      </w:hyperlink>
      <w:r w:rsidRPr="00EB5A51">
        <w:rPr>
          <w:lang w:val="en-GB"/>
        </w:rPr>
        <w:t>.</w:t>
      </w:r>
    </w:p>
  </w:footnote>
  <w:footnote w:id="3">
    <w:p w14:paraId="40C3D906" w14:textId="0535791D" w:rsidR="00A552FC" w:rsidRPr="00C00218" w:rsidRDefault="00A552FC">
      <w:pPr>
        <w:pStyle w:val="FootnoteText"/>
        <w:rPr>
          <w:lang w:val="fr-BE"/>
        </w:rPr>
      </w:pPr>
      <w:r>
        <w:rPr>
          <w:rStyle w:val="FootnoteReference"/>
        </w:rPr>
        <w:footnoteRef/>
      </w:r>
      <w:r w:rsidRPr="00C00218">
        <w:rPr>
          <w:lang w:val="fr-BE"/>
        </w:rPr>
        <w:tab/>
        <w:t xml:space="preserve">Décision (UE) 2026/258 du Conseil du 29 janvier 2026 autorisant une coopération renforcée concernant l’établissement d’un prêt en faveur de l’Ukraine (JO L, 2026/258, 2.2.2026, ELI: </w:t>
      </w:r>
      <w:hyperlink r:id="rId2" w:history="1">
        <w:r w:rsidRPr="00C00218">
          <w:rPr>
            <w:rStyle w:val="Hyperlink"/>
            <w:color w:val="auto"/>
            <w:u w:val="none"/>
            <w:lang w:val="fr-BE"/>
          </w:rPr>
          <w:t>http://data.europa.eu/eli/dec/2026/258/oj</w:t>
        </w:r>
      </w:hyperlink>
      <w:r w:rsidRPr="00C00218">
        <w:rPr>
          <w:lang w:val="fr-BE"/>
        </w:rPr>
        <w:t xml:space="preserve">).  </w:t>
      </w:r>
    </w:p>
  </w:footnote>
  <w:footnote w:id="4">
    <w:p w14:paraId="34698D74" w14:textId="77777777" w:rsidR="00D33DFD" w:rsidRPr="00C00218" w:rsidRDefault="00D33DFD">
      <w:pPr>
        <w:pStyle w:val="FootnoteText"/>
        <w:rPr>
          <w:lang w:val="fr-BE"/>
        </w:rPr>
      </w:pPr>
      <w:r>
        <w:rPr>
          <w:rStyle w:val="FootnoteReference"/>
        </w:rPr>
        <w:footnoteRef/>
      </w:r>
      <w:r w:rsidRPr="00C00218">
        <w:rPr>
          <w:lang w:val="fr-BE"/>
        </w:rPr>
        <w:tab/>
        <w:t>Règlement (UE) 2024/792 du Parlement européen et du Conseil du 29 février 2024 établissant la facilité pour l’Ukraine (JO L, 2024/792, 29.2.2024, ELI: http://data.europa.eu/eli/reg/2024/792/oj).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6F9FD" w14:textId="77777777" w:rsidR="0042064C" w:rsidRDefault="004206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4BC2E" w14:textId="77777777" w:rsidR="0042064C" w:rsidRDefault="004206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4A6FF1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F00674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A0ADE4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9C6C14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8"/>
  </w:num>
  <w:num w:numId="6">
    <w:abstractNumId w:val="19"/>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num>
  <w:num w:numId="10">
    <w:abstractNumId w:val="16"/>
  </w:num>
  <w:num w:numId="11">
    <w:abstractNumId w:val="9"/>
  </w:num>
  <w:num w:numId="12">
    <w:abstractNumId w:val="18"/>
  </w:num>
  <w:num w:numId="13">
    <w:abstractNumId w:val="7"/>
  </w:num>
  <w:num w:numId="14">
    <w:abstractNumId w:val="10"/>
  </w:num>
  <w:num w:numId="15">
    <w:abstractNumId w:val="11"/>
  </w:num>
  <w:num w:numId="16">
    <w:abstractNumId w:val="5"/>
  </w:num>
  <w:num w:numId="17">
    <w:abstractNumId w:val="17"/>
  </w:num>
  <w:num w:numId="18">
    <w:abstractNumId w:val="4"/>
  </w:num>
  <w:num w:numId="19">
    <w:abstractNumId w:val="12"/>
  </w:num>
  <w:num w:numId="20">
    <w:abstractNumId w:val="14"/>
  </w:num>
  <w:num w:numId="21">
    <w:abstractNumId w:val="15"/>
  </w:num>
  <w:num w:numId="22">
    <w:abstractNumId w:val="6"/>
  </w:num>
  <w:num w:numId="23">
    <w:abstractNumId w:val="13"/>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09 14:10: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4A3BFDC-ABBA-4E29-9B6B-33E079270FA0"/>
    <w:docVar w:name="LW_COVERPAGE_TYPE" w:val="1"/>
    <w:docVar w:name="LW_CROSSREFERENCE" w:val="&lt;UNUSED&gt;"/>
    <w:docVar w:name="LW_DocType" w:val="COM"/>
    <w:docVar w:name="LW_EMISSION" w:val="1.4.2026"/>
    <w:docVar w:name="LW_EMISSION_ISODATE" w:val="2026-04-01"/>
    <w:docVar w:name="LW_EMISSION_LOCATION" w:val="BRX"/>
    <w:docVar w:name="LW_EMISSION_PREFIX" w:val="Bruxelles, le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87"/>
    <w:docVar w:name="LW_REF.II.NEW.CP_YEAR" w:val="2026"/>
    <w:docVar w:name="LW_REF.INST.NEW" w:val="COM"/>
    <w:docVar w:name="LW_REF.INST.NEW_ADOPTED" w:val="final"/>
    <w:docVar w:name="LW_REF.INST.NEW_TEXT" w:val="(2026) 15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portant approbation d\u8217?une assistance à l\u8217?Ukraine pour la mise en \u339?uvre de la stratégie de financement ukrainienne _x000b_"/>
    <w:docVar w:name="LW_TYPE.DOC.CP" w:val="DÉCISION D\u8217?EXÉCUTION DU CONSEIL"/>
    <w:docVar w:name="LwApiVersions" w:val="LW4CoDe 1.24.5.0; LW 9.2, Build 20251112"/>
  </w:docVars>
  <w:rsids>
    <w:rsidRoot w:val="00446D5D"/>
    <w:rsid w:val="00000075"/>
    <w:rsid w:val="00000EEA"/>
    <w:rsid w:val="000063F6"/>
    <w:rsid w:val="0000782C"/>
    <w:rsid w:val="00014B47"/>
    <w:rsid w:val="00016F49"/>
    <w:rsid w:val="00020211"/>
    <w:rsid w:val="000209A9"/>
    <w:rsid w:val="00021430"/>
    <w:rsid w:val="0002155F"/>
    <w:rsid w:val="000273D6"/>
    <w:rsid w:val="00032527"/>
    <w:rsid w:val="00032D37"/>
    <w:rsid w:val="000330A0"/>
    <w:rsid w:val="000340CB"/>
    <w:rsid w:val="00034A97"/>
    <w:rsid w:val="00034EE9"/>
    <w:rsid w:val="000351B1"/>
    <w:rsid w:val="00036175"/>
    <w:rsid w:val="00040482"/>
    <w:rsid w:val="00040BF9"/>
    <w:rsid w:val="00040CE6"/>
    <w:rsid w:val="000425B0"/>
    <w:rsid w:val="00042C15"/>
    <w:rsid w:val="00043537"/>
    <w:rsid w:val="00043E08"/>
    <w:rsid w:val="00044922"/>
    <w:rsid w:val="00047547"/>
    <w:rsid w:val="00047B7D"/>
    <w:rsid w:val="00050027"/>
    <w:rsid w:val="000508F7"/>
    <w:rsid w:val="00050B92"/>
    <w:rsid w:val="000516C4"/>
    <w:rsid w:val="00051D90"/>
    <w:rsid w:val="00052C06"/>
    <w:rsid w:val="00052DA8"/>
    <w:rsid w:val="00053231"/>
    <w:rsid w:val="000563EE"/>
    <w:rsid w:val="00057058"/>
    <w:rsid w:val="00061BAD"/>
    <w:rsid w:val="00061D85"/>
    <w:rsid w:val="000633F4"/>
    <w:rsid w:val="00063A00"/>
    <w:rsid w:val="00065141"/>
    <w:rsid w:val="000655E7"/>
    <w:rsid w:val="0006593E"/>
    <w:rsid w:val="00065F34"/>
    <w:rsid w:val="00066A8E"/>
    <w:rsid w:val="00075605"/>
    <w:rsid w:val="00075835"/>
    <w:rsid w:val="0007737E"/>
    <w:rsid w:val="0007788B"/>
    <w:rsid w:val="00080EA7"/>
    <w:rsid w:val="00085F2F"/>
    <w:rsid w:val="000861C4"/>
    <w:rsid w:val="000864C0"/>
    <w:rsid w:val="00090FDA"/>
    <w:rsid w:val="000911AC"/>
    <w:rsid w:val="00092F5D"/>
    <w:rsid w:val="000971DE"/>
    <w:rsid w:val="000A0AE3"/>
    <w:rsid w:val="000A0AFC"/>
    <w:rsid w:val="000A1D48"/>
    <w:rsid w:val="000A2895"/>
    <w:rsid w:val="000A593B"/>
    <w:rsid w:val="000B15A4"/>
    <w:rsid w:val="000B3791"/>
    <w:rsid w:val="000B3B5F"/>
    <w:rsid w:val="000B49AE"/>
    <w:rsid w:val="000B4B84"/>
    <w:rsid w:val="000B4CF7"/>
    <w:rsid w:val="000B54AB"/>
    <w:rsid w:val="000C1A9C"/>
    <w:rsid w:val="000C1D84"/>
    <w:rsid w:val="000C215B"/>
    <w:rsid w:val="000C3494"/>
    <w:rsid w:val="000C392A"/>
    <w:rsid w:val="000C42DF"/>
    <w:rsid w:val="000C4C40"/>
    <w:rsid w:val="000C6787"/>
    <w:rsid w:val="000C6F42"/>
    <w:rsid w:val="000C6FD5"/>
    <w:rsid w:val="000D015A"/>
    <w:rsid w:val="000D302C"/>
    <w:rsid w:val="000D3505"/>
    <w:rsid w:val="000D39EF"/>
    <w:rsid w:val="000D44FD"/>
    <w:rsid w:val="000D453F"/>
    <w:rsid w:val="000D4FCD"/>
    <w:rsid w:val="000D5807"/>
    <w:rsid w:val="000D59D6"/>
    <w:rsid w:val="000D6931"/>
    <w:rsid w:val="000D74D2"/>
    <w:rsid w:val="000E00A9"/>
    <w:rsid w:val="000E0860"/>
    <w:rsid w:val="000E0938"/>
    <w:rsid w:val="000E106D"/>
    <w:rsid w:val="000E166D"/>
    <w:rsid w:val="000E75D8"/>
    <w:rsid w:val="000F08B4"/>
    <w:rsid w:val="000F0B9D"/>
    <w:rsid w:val="000F1194"/>
    <w:rsid w:val="000F40E3"/>
    <w:rsid w:val="000F578D"/>
    <w:rsid w:val="000F733C"/>
    <w:rsid w:val="00103EDF"/>
    <w:rsid w:val="001065F5"/>
    <w:rsid w:val="0010698E"/>
    <w:rsid w:val="00107AFA"/>
    <w:rsid w:val="00107EF6"/>
    <w:rsid w:val="00110390"/>
    <w:rsid w:val="00113BA1"/>
    <w:rsid w:val="001163F5"/>
    <w:rsid w:val="001201D7"/>
    <w:rsid w:val="00121F1D"/>
    <w:rsid w:val="00122CCF"/>
    <w:rsid w:val="00123769"/>
    <w:rsid w:val="001238EF"/>
    <w:rsid w:val="0012573F"/>
    <w:rsid w:val="00125CF7"/>
    <w:rsid w:val="00126B12"/>
    <w:rsid w:val="00126B5A"/>
    <w:rsid w:val="00127D89"/>
    <w:rsid w:val="00130393"/>
    <w:rsid w:val="00135DF2"/>
    <w:rsid w:val="00140AAF"/>
    <w:rsid w:val="0014144D"/>
    <w:rsid w:val="001439D1"/>
    <w:rsid w:val="0014647B"/>
    <w:rsid w:val="00146672"/>
    <w:rsid w:val="00146F17"/>
    <w:rsid w:val="001474D9"/>
    <w:rsid w:val="00147CB4"/>
    <w:rsid w:val="001513D0"/>
    <w:rsid w:val="00151719"/>
    <w:rsid w:val="0015333E"/>
    <w:rsid w:val="00155810"/>
    <w:rsid w:val="00156E4A"/>
    <w:rsid w:val="00162073"/>
    <w:rsid w:val="00162111"/>
    <w:rsid w:val="0016222D"/>
    <w:rsid w:val="00163DCA"/>
    <w:rsid w:val="001650A4"/>
    <w:rsid w:val="001709B3"/>
    <w:rsid w:val="00170D03"/>
    <w:rsid w:val="00171646"/>
    <w:rsid w:val="00171B18"/>
    <w:rsid w:val="00171C41"/>
    <w:rsid w:val="001738B0"/>
    <w:rsid w:val="00177AC0"/>
    <w:rsid w:val="00180B97"/>
    <w:rsid w:val="001828F1"/>
    <w:rsid w:val="001838E1"/>
    <w:rsid w:val="00185992"/>
    <w:rsid w:val="00186590"/>
    <w:rsid w:val="00196364"/>
    <w:rsid w:val="00196ECA"/>
    <w:rsid w:val="00197613"/>
    <w:rsid w:val="001A4C6E"/>
    <w:rsid w:val="001A6A9C"/>
    <w:rsid w:val="001B01A4"/>
    <w:rsid w:val="001B12D8"/>
    <w:rsid w:val="001B1301"/>
    <w:rsid w:val="001B1E1D"/>
    <w:rsid w:val="001B24F2"/>
    <w:rsid w:val="001B2F39"/>
    <w:rsid w:val="001B3CB2"/>
    <w:rsid w:val="001B53C9"/>
    <w:rsid w:val="001B7896"/>
    <w:rsid w:val="001B7C8D"/>
    <w:rsid w:val="001C245B"/>
    <w:rsid w:val="001C2501"/>
    <w:rsid w:val="001C3E32"/>
    <w:rsid w:val="001C3F97"/>
    <w:rsid w:val="001C507C"/>
    <w:rsid w:val="001D32E3"/>
    <w:rsid w:val="001D6689"/>
    <w:rsid w:val="001D7F92"/>
    <w:rsid w:val="001E082D"/>
    <w:rsid w:val="001E1372"/>
    <w:rsid w:val="001E1699"/>
    <w:rsid w:val="001E1FEB"/>
    <w:rsid w:val="001E54BA"/>
    <w:rsid w:val="001E5B56"/>
    <w:rsid w:val="001E7A66"/>
    <w:rsid w:val="001F446C"/>
    <w:rsid w:val="001F4EA7"/>
    <w:rsid w:val="001F59A4"/>
    <w:rsid w:val="001F7077"/>
    <w:rsid w:val="002000D0"/>
    <w:rsid w:val="0020174A"/>
    <w:rsid w:val="0020325C"/>
    <w:rsid w:val="00205D3A"/>
    <w:rsid w:val="00207DD6"/>
    <w:rsid w:val="00213002"/>
    <w:rsid w:val="002149A4"/>
    <w:rsid w:val="002153A6"/>
    <w:rsid w:val="00215459"/>
    <w:rsid w:val="002159EA"/>
    <w:rsid w:val="00215D4A"/>
    <w:rsid w:val="0021754B"/>
    <w:rsid w:val="002176A4"/>
    <w:rsid w:val="00221A84"/>
    <w:rsid w:val="00221CCD"/>
    <w:rsid w:val="00221E3B"/>
    <w:rsid w:val="002224FF"/>
    <w:rsid w:val="00222E1F"/>
    <w:rsid w:val="002243C8"/>
    <w:rsid w:val="0022494F"/>
    <w:rsid w:val="00227442"/>
    <w:rsid w:val="00230525"/>
    <w:rsid w:val="002318F3"/>
    <w:rsid w:val="00233C1F"/>
    <w:rsid w:val="00233DC7"/>
    <w:rsid w:val="00240D4C"/>
    <w:rsid w:val="002445FB"/>
    <w:rsid w:val="00247665"/>
    <w:rsid w:val="00247779"/>
    <w:rsid w:val="002508F8"/>
    <w:rsid w:val="0025553A"/>
    <w:rsid w:val="00255EC4"/>
    <w:rsid w:val="002560CB"/>
    <w:rsid w:val="00257FD6"/>
    <w:rsid w:val="002621C8"/>
    <w:rsid w:val="00262AFF"/>
    <w:rsid w:val="00262FF9"/>
    <w:rsid w:val="00264CE5"/>
    <w:rsid w:val="00265454"/>
    <w:rsid w:val="00267065"/>
    <w:rsid w:val="00267E45"/>
    <w:rsid w:val="002708B5"/>
    <w:rsid w:val="00272DDF"/>
    <w:rsid w:val="00274749"/>
    <w:rsid w:val="0027785D"/>
    <w:rsid w:val="002778CC"/>
    <w:rsid w:val="00280CED"/>
    <w:rsid w:val="002815EF"/>
    <w:rsid w:val="00282139"/>
    <w:rsid w:val="00284AC0"/>
    <w:rsid w:val="00285964"/>
    <w:rsid w:val="00285BEE"/>
    <w:rsid w:val="002860FC"/>
    <w:rsid w:val="00286552"/>
    <w:rsid w:val="0029019B"/>
    <w:rsid w:val="00292A16"/>
    <w:rsid w:val="002950EA"/>
    <w:rsid w:val="0029533F"/>
    <w:rsid w:val="002955C7"/>
    <w:rsid w:val="002A00B8"/>
    <w:rsid w:val="002A09FC"/>
    <w:rsid w:val="002A1097"/>
    <w:rsid w:val="002A1954"/>
    <w:rsid w:val="002A4108"/>
    <w:rsid w:val="002A46A8"/>
    <w:rsid w:val="002A5C80"/>
    <w:rsid w:val="002A7BEE"/>
    <w:rsid w:val="002B021F"/>
    <w:rsid w:val="002B183D"/>
    <w:rsid w:val="002B1EEE"/>
    <w:rsid w:val="002B2C20"/>
    <w:rsid w:val="002B30AF"/>
    <w:rsid w:val="002B4605"/>
    <w:rsid w:val="002B5388"/>
    <w:rsid w:val="002B6230"/>
    <w:rsid w:val="002B7F3F"/>
    <w:rsid w:val="002C3579"/>
    <w:rsid w:val="002C4CA4"/>
    <w:rsid w:val="002C5F6E"/>
    <w:rsid w:val="002C65F8"/>
    <w:rsid w:val="002C6CCE"/>
    <w:rsid w:val="002D2A74"/>
    <w:rsid w:val="002D3A57"/>
    <w:rsid w:val="002D4A4D"/>
    <w:rsid w:val="002E04B5"/>
    <w:rsid w:val="002E17E2"/>
    <w:rsid w:val="002E4582"/>
    <w:rsid w:val="002E56B1"/>
    <w:rsid w:val="002E5B7F"/>
    <w:rsid w:val="002E7E69"/>
    <w:rsid w:val="002F039E"/>
    <w:rsid w:val="002F25F4"/>
    <w:rsid w:val="002F2AC8"/>
    <w:rsid w:val="002F4D55"/>
    <w:rsid w:val="002F55D0"/>
    <w:rsid w:val="002F55E2"/>
    <w:rsid w:val="002F6420"/>
    <w:rsid w:val="002F6CC6"/>
    <w:rsid w:val="002F756B"/>
    <w:rsid w:val="002F7AFC"/>
    <w:rsid w:val="002F7D7F"/>
    <w:rsid w:val="0030362B"/>
    <w:rsid w:val="00306507"/>
    <w:rsid w:val="00310D74"/>
    <w:rsid w:val="00312958"/>
    <w:rsid w:val="00312BE0"/>
    <w:rsid w:val="00312CB4"/>
    <w:rsid w:val="0031354B"/>
    <w:rsid w:val="00315F1B"/>
    <w:rsid w:val="0031630D"/>
    <w:rsid w:val="00317B2B"/>
    <w:rsid w:val="00320B9C"/>
    <w:rsid w:val="0032359E"/>
    <w:rsid w:val="00324741"/>
    <w:rsid w:val="0032684C"/>
    <w:rsid w:val="003313C0"/>
    <w:rsid w:val="003317D4"/>
    <w:rsid w:val="0033344A"/>
    <w:rsid w:val="003335F1"/>
    <w:rsid w:val="00334138"/>
    <w:rsid w:val="0033687D"/>
    <w:rsid w:val="00337B41"/>
    <w:rsid w:val="00340B14"/>
    <w:rsid w:val="00342336"/>
    <w:rsid w:val="003444D1"/>
    <w:rsid w:val="00344C1D"/>
    <w:rsid w:val="00345473"/>
    <w:rsid w:val="00346D9A"/>
    <w:rsid w:val="003477B3"/>
    <w:rsid w:val="003511D1"/>
    <w:rsid w:val="0035478B"/>
    <w:rsid w:val="00354A97"/>
    <w:rsid w:val="003553FC"/>
    <w:rsid w:val="003605E3"/>
    <w:rsid w:val="00363E0D"/>
    <w:rsid w:val="0036445B"/>
    <w:rsid w:val="00365722"/>
    <w:rsid w:val="0036659E"/>
    <w:rsid w:val="00366E89"/>
    <w:rsid w:val="00367B8F"/>
    <w:rsid w:val="003714EA"/>
    <w:rsid w:val="00373BD5"/>
    <w:rsid w:val="00375C71"/>
    <w:rsid w:val="0037634B"/>
    <w:rsid w:val="0038116E"/>
    <w:rsid w:val="003850C5"/>
    <w:rsid w:val="003933A6"/>
    <w:rsid w:val="00394BBB"/>
    <w:rsid w:val="00395C5C"/>
    <w:rsid w:val="00396DDA"/>
    <w:rsid w:val="003A0585"/>
    <w:rsid w:val="003A0DF4"/>
    <w:rsid w:val="003A192D"/>
    <w:rsid w:val="003A6D4E"/>
    <w:rsid w:val="003A7775"/>
    <w:rsid w:val="003A7960"/>
    <w:rsid w:val="003B0B2C"/>
    <w:rsid w:val="003B1A4E"/>
    <w:rsid w:val="003B3056"/>
    <w:rsid w:val="003B3D81"/>
    <w:rsid w:val="003B6034"/>
    <w:rsid w:val="003B663E"/>
    <w:rsid w:val="003B6A0F"/>
    <w:rsid w:val="003C2CFD"/>
    <w:rsid w:val="003C39FD"/>
    <w:rsid w:val="003C5374"/>
    <w:rsid w:val="003C70EC"/>
    <w:rsid w:val="003D0A3C"/>
    <w:rsid w:val="003D111A"/>
    <w:rsid w:val="003D17C4"/>
    <w:rsid w:val="003D1F43"/>
    <w:rsid w:val="003D4A93"/>
    <w:rsid w:val="003D7597"/>
    <w:rsid w:val="003E1291"/>
    <w:rsid w:val="003E1F54"/>
    <w:rsid w:val="003E39AF"/>
    <w:rsid w:val="003E3CE5"/>
    <w:rsid w:val="003F06F8"/>
    <w:rsid w:val="003F0DDB"/>
    <w:rsid w:val="003F205F"/>
    <w:rsid w:val="003F2F66"/>
    <w:rsid w:val="003F5213"/>
    <w:rsid w:val="003F5258"/>
    <w:rsid w:val="003F61CA"/>
    <w:rsid w:val="003F6FD5"/>
    <w:rsid w:val="003F792A"/>
    <w:rsid w:val="00402E24"/>
    <w:rsid w:val="00404A93"/>
    <w:rsid w:val="00405ECE"/>
    <w:rsid w:val="00406ACB"/>
    <w:rsid w:val="00407A49"/>
    <w:rsid w:val="00412614"/>
    <w:rsid w:val="004128EA"/>
    <w:rsid w:val="00414ADA"/>
    <w:rsid w:val="00415A54"/>
    <w:rsid w:val="00415B75"/>
    <w:rsid w:val="00415B98"/>
    <w:rsid w:val="0041615F"/>
    <w:rsid w:val="00417102"/>
    <w:rsid w:val="00417D76"/>
    <w:rsid w:val="0042064C"/>
    <w:rsid w:val="004215E9"/>
    <w:rsid w:val="00421BE1"/>
    <w:rsid w:val="00421CAD"/>
    <w:rsid w:val="00424A87"/>
    <w:rsid w:val="00425FE9"/>
    <w:rsid w:val="004262C3"/>
    <w:rsid w:val="0042648E"/>
    <w:rsid w:val="00427508"/>
    <w:rsid w:val="00431C64"/>
    <w:rsid w:val="00432CC1"/>
    <w:rsid w:val="004337EB"/>
    <w:rsid w:val="0043406F"/>
    <w:rsid w:val="00436BB6"/>
    <w:rsid w:val="004372DF"/>
    <w:rsid w:val="004373B6"/>
    <w:rsid w:val="00437B07"/>
    <w:rsid w:val="00437D1B"/>
    <w:rsid w:val="00437ECF"/>
    <w:rsid w:val="00441916"/>
    <w:rsid w:val="004421E4"/>
    <w:rsid w:val="00443224"/>
    <w:rsid w:val="004436F5"/>
    <w:rsid w:val="00443EBF"/>
    <w:rsid w:val="0044456D"/>
    <w:rsid w:val="00445EA7"/>
    <w:rsid w:val="00446D5D"/>
    <w:rsid w:val="004474B3"/>
    <w:rsid w:val="00451586"/>
    <w:rsid w:val="00451E8A"/>
    <w:rsid w:val="00454724"/>
    <w:rsid w:val="0045522D"/>
    <w:rsid w:val="00455288"/>
    <w:rsid w:val="00457030"/>
    <w:rsid w:val="0046037B"/>
    <w:rsid w:val="004612F5"/>
    <w:rsid w:val="0046163E"/>
    <w:rsid w:val="00461CC8"/>
    <w:rsid w:val="00461ECC"/>
    <w:rsid w:val="00462A4D"/>
    <w:rsid w:val="00463C0E"/>
    <w:rsid w:val="00463E9A"/>
    <w:rsid w:val="00464163"/>
    <w:rsid w:val="00467517"/>
    <w:rsid w:val="004677EA"/>
    <w:rsid w:val="00467AC3"/>
    <w:rsid w:val="00471DA8"/>
    <w:rsid w:val="0047335E"/>
    <w:rsid w:val="00474141"/>
    <w:rsid w:val="00481F18"/>
    <w:rsid w:val="00484FE6"/>
    <w:rsid w:val="00485CD1"/>
    <w:rsid w:val="004916D9"/>
    <w:rsid w:val="00492FF9"/>
    <w:rsid w:val="0049344B"/>
    <w:rsid w:val="004936D2"/>
    <w:rsid w:val="00497956"/>
    <w:rsid w:val="004A2094"/>
    <w:rsid w:val="004A3199"/>
    <w:rsid w:val="004A369D"/>
    <w:rsid w:val="004A681B"/>
    <w:rsid w:val="004A7CD7"/>
    <w:rsid w:val="004B0196"/>
    <w:rsid w:val="004B2375"/>
    <w:rsid w:val="004B3556"/>
    <w:rsid w:val="004B4E82"/>
    <w:rsid w:val="004C08A2"/>
    <w:rsid w:val="004C0DC4"/>
    <w:rsid w:val="004C1246"/>
    <w:rsid w:val="004C21C1"/>
    <w:rsid w:val="004C2231"/>
    <w:rsid w:val="004C402F"/>
    <w:rsid w:val="004C4DDA"/>
    <w:rsid w:val="004C50B0"/>
    <w:rsid w:val="004C7356"/>
    <w:rsid w:val="004D0746"/>
    <w:rsid w:val="004D115A"/>
    <w:rsid w:val="004D2532"/>
    <w:rsid w:val="004D3FA9"/>
    <w:rsid w:val="004D4290"/>
    <w:rsid w:val="004D5A9F"/>
    <w:rsid w:val="004D5CAD"/>
    <w:rsid w:val="004E4109"/>
    <w:rsid w:val="004E5438"/>
    <w:rsid w:val="004E5A7B"/>
    <w:rsid w:val="004F11CE"/>
    <w:rsid w:val="004F1436"/>
    <w:rsid w:val="004F2CE7"/>
    <w:rsid w:val="004F3A23"/>
    <w:rsid w:val="004F55DC"/>
    <w:rsid w:val="004F65C8"/>
    <w:rsid w:val="0050034F"/>
    <w:rsid w:val="00500E56"/>
    <w:rsid w:val="00501FF3"/>
    <w:rsid w:val="00502D85"/>
    <w:rsid w:val="00503320"/>
    <w:rsid w:val="00503C04"/>
    <w:rsid w:val="00505577"/>
    <w:rsid w:val="00505CE2"/>
    <w:rsid w:val="0050700D"/>
    <w:rsid w:val="00512432"/>
    <w:rsid w:val="00513050"/>
    <w:rsid w:val="00515B0D"/>
    <w:rsid w:val="00515C3D"/>
    <w:rsid w:val="005160F7"/>
    <w:rsid w:val="00517262"/>
    <w:rsid w:val="00520890"/>
    <w:rsid w:val="00522D32"/>
    <w:rsid w:val="005235F9"/>
    <w:rsid w:val="00524287"/>
    <w:rsid w:val="005253C0"/>
    <w:rsid w:val="00525D20"/>
    <w:rsid w:val="00525E4B"/>
    <w:rsid w:val="005267DD"/>
    <w:rsid w:val="00527261"/>
    <w:rsid w:val="005278D9"/>
    <w:rsid w:val="0053024F"/>
    <w:rsid w:val="005311F2"/>
    <w:rsid w:val="005321F0"/>
    <w:rsid w:val="00532F83"/>
    <w:rsid w:val="0053788D"/>
    <w:rsid w:val="00537E27"/>
    <w:rsid w:val="00543C9B"/>
    <w:rsid w:val="0054646A"/>
    <w:rsid w:val="00550312"/>
    <w:rsid w:val="005525BA"/>
    <w:rsid w:val="00553355"/>
    <w:rsid w:val="00554E5C"/>
    <w:rsid w:val="00555E4D"/>
    <w:rsid w:val="00555ECC"/>
    <w:rsid w:val="00556034"/>
    <w:rsid w:val="00556C5B"/>
    <w:rsid w:val="00561CAF"/>
    <w:rsid w:val="005637E7"/>
    <w:rsid w:val="0056565D"/>
    <w:rsid w:val="00566C98"/>
    <w:rsid w:val="00566D6B"/>
    <w:rsid w:val="00566FA8"/>
    <w:rsid w:val="005673EC"/>
    <w:rsid w:val="005721F1"/>
    <w:rsid w:val="00573112"/>
    <w:rsid w:val="0057448C"/>
    <w:rsid w:val="00575DFE"/>
    <w:rsid w:val="00576A1E"/>
    <w:rsid w:val="005770DE"/>
    <w:rsid w:val="005778F8"/>
    <w:rsid w:val="00580AEA"/>
    <w:rsid w:val="005827FC"/>
    <w:rsid w:val="00582CB7"/>
    <w:rsid w:val="00586BDD"/>
    <w:rsid w:val="0058D03F"/>
    <w:rsid w:val="00595441"/>
    <w:rsid w:val="0059579D"/>
    <w:rsid w:val="00596146"/>
    <w:rsid w:val="00596FFD"/>
    <w:rsid w:val="00597064"/>
    <w:rsid w:val="005A262C"/>
    <w:rsid w:val="005A49C6"/>
    <w:rsid w:val="005A5E6A"/>
    <w:rsid w:val="005A684A"/>
    <w:rsid w:val="005B1192"/>
    <w:rsid w:val="005B17AD"/>
    <w:rsid w:val="005B1EB6"/>
    <w:rsid w:val="005B1EBE"/>
    <w:rsid w:val="005B1F7E"/>
    <w:rsid w:val="005B5F89"/>
    <w:rsid w:val="005B677A"/>
    <w:rsid w:val="005C0CE9"/>
    <w:rsid w:val="005C1F7C"/>
    <w:rsid w:val="005C4313"/>
    <w:rsid w:val="005C462E"/>
    <w:rsid w:val="005C6B25"/>
    <w:rsid w:val="005C71C1"/>
    <w:rsid w:val="005D1F3A"/>
    <w:rsid w:val="005D5B7C"/>
    <w:rsid w:val="005E0A34"/>
    <w:rsid w:val="005E145A"/>
    <w:rsid w:val="005E18B2"/>
    <w:rsid w:val="005E3D91"/>
    <w:rsid w:val="005E3DA8"/>
    <w:rsid w:val="005E3F99"/>
    <w:rsid w:val="005E4FCE"/>
    <w:rsid w:val="005F08A2"/>
    <w:rsid w:val="005F16D6"/>
    <w:rsid w:val="005F3FD8"/>
    <w:rsid w:val="005F7BF1"/>
    <w:rsid w:val="00600F12"/>
    <w:rsid w:val="00602D48"/>
    <w:rsid w:val="00607765"/>
    <w:rsid w:val="00610C11"/>
    <w:rsid w:val="006122FE"/>
    <w:rsid w:val="00615521"/>
    <w:rsid w:val="00616308"/>
    <w:rsid w:val="006219AA"/>
    <w:rsid w:val="0062259A"/>
    <w:rsid w:val="00622692"/>
    <w:rsid w:val="00623D34"/>
    <w:rsid w:val="006250D5"/>
    <w:rsid w:val="00625E5F"/>
    <w:rsid w:val="0062661D"/>
    <w:rsid w:val="00627798"/>
    <w:rsid w:val="00627D19"/>
    <w:rsid w:val="0062849E"/>
    <w:rsid w:val="00630ECE"/>
    <w:rsid w:val="0063329D"/>
    <w:rsid w:val="0063427B"/>
    <w:rsid w:val="0063511A"/>
    <w:rsid w:val="00635158"/>
    <w:rsid w:val="00635389"/>
    <w:rsid w:val="00637B15"/>
    <w:rsid w:val="0064108B"/>
    <w:rsid w:val="006419D6"/>
    <w:rsid w:val="00641FBD"/>
    <w:rsid w:val="006478C1"/>
    <w:rsid w:val="00647BE1"/>
    <w:rsid w:val="006505AA"/>
    <w:rsid w:val="00650823"/>
    <w:rsid w:val="00653DF9"/>
    <w:rsid w:val="00653EBE"/>
    <w:rsid w:val="0065493B"/>
    <w:rsid w:val="00661D43"/>
    <w:rsid w:val="00662ABC"/>
    <w:rsid w:val="00663E46"/>
    <w:rsid w:val="00664DF9"/>
    <w:rsid w:val="00671DF6"/>
    <w:rsid w:val="00671FEC"/>
    <w:rsid w:val="00672184"/>
    <w:rsid w:val="00672B41"/>
    <w:rsid w:val="006737AE"/>
    <w:rsid w:val="00676895"/>
    <w:rsid w:val="0067781D"/>
    <w:rsid w:val="00677D15"/>
    <w:rsid w:val="00681804"/>
    <w:rsid w:val="00681E14"/>
    <w:rsid w:val="0068327A"/>
    <w:rsid w:val="0068465D"/>
    <w:rsid w:val="00684EE1"/>
    <w:rsid w:val="0069106B"/>
    <w:rsid w:val="00695714"/>
    <w:rsid w:val="006962D8"/>
    <w:rsid w:val="00696A91"/>
    <w:rsid w:val="0069749A"/>
    <w:rsid w:val="006A08A8"/>
    <w:rsid w:val="006A1335"/>
    <w:rsid w:val="006A3B62"/>
    <w:rsid w:val="006A573F"/>
    <w:rsid w:val="006B1FDA"/>
    <w:rsid w:val="006B2773"/>
    <w:rsid w:val="006B390C"/>
    <w:rsid w:val="006B3B30"/>
    <w:rsid w:val="006B6AD3"/>
    <w:rsid w:val="006B71C4"/>
    <w:rsid w:val="006B7239"/>
    <w:rsid w:val="006C01C9"/>
    <w:rsid w:val="006C2E47"/>
    <w:rsid w:val="006C3FAD"/>
    <w:rsid w:val="006C61F6"/>
    <w:rsid w:val="006C68DF"/>
    <w:rsid w:val="006C7AD2"/>
    <w:rsid w:val="006D1D06"/>
    <w:rsid w:val="006D2B43"/>
    <w:rsid w:val="006D33A8"/>
    <w:rsid w:val="006D5784"/>
    <w:rsid w:val="006D7A56"/>
    <w:rsid w:val="006E0D23"/>
    <w:rsid w:val="006E3CB5"/>
    <w:rsid w:val="006E4C0E"/>
    <w:rsid w:val="006E4CF3"/>
    <w:rsid w:val="006E55F6"/>
    <w:rsid w:val="006E74D3"/>
    <w:rsid w:val="006E75AA"/>
    <w:rsid w:val="006F05F8"/>
    <w:rsid w:val="006F092D"/>
    <w:rsid w:val="006F7454"/>
    <w:rsid w:val="006F7D00"/>
    <w:rsid w:val="00700AB0"/>
    <w:rsid w:val="00700C71"/>
    <w:rsid w:val="007017D6"/>
    <w:rsid w:val="00702077"/>
    <w:rsid w:val="00703143"/>
    <w:rsid w:val="007065E6"/>
    <w:rsid w:val="00707597"/>
    <w:rsid w:val="00710886"/>
    <w:rsid w:val="00711A02"/>
    <w:rsid w:val="00712FE2"/>
    <w:rsid w:val="00714909"/>
    <w:rsid w:val="007169B8"/>
    <w:rsid w:val="0072149D"/>
    <w:rsid w:val="00721E02"/>
    <w:rsid w:val="00722006"/>
    <w:rsid w:val="00722BAA"/>
    <w:rsid w:val="00723E76"/>
    <w:rsid w:val="00727608"/>
    <w:rsid w:val="00730915"/>
    <w:rsid w:val="007309D7"/>
    <w:rsid w:val="00730F8C"/>
    <w:rsid w:val="0073200F"/>
    <w:rsid w:val="00732AB9"/>
    <w:rsid w:val="00732E2C"/>
    <w:rsid w:val="00734B28"/>
    <w:rsid w:val="00736AF3"/>
    <w:rsid w:val="00736D7D"/>
    <w:rsid w:val="00740287"/>
    <w:rsid w:val="00747DF5"/>
    <w:rsid w:val="00750927"/>
    <w:rsid w:val="00750C8E"/>
    <w:rsid w:val="0075207E"/>
    <w:rsid w:val="0075258D"/>
    <w:rsid w:val="00753034"/>
    <w:rsid w:val="0075793B"/>
    <w:rsid w:val="0076009E"/>
    <w:rsid w:val="007623AB"/>
    <w:rsid w:val="007635CD"/>
    <w:rsid w:val="007651CE"/>
    <w:rsid w:val="007657DD"/>
    <w:rsid w:val="00765996"/>
    <w:rsid w:val="00766547"/>
    <w:rsid w:val="00770992"/>
    <w:rsid w:val="00771416"/>
    <w:rsid w:val="00771CE9"/>
    <w:rsid w:val="00773331"/>
    <w:rsid w:val="0077392B"/>
    <w:rsid w:val="00774EE3"/>
    <w:rsid w:val="00775C21"/>
    <w:rsid w:val="007777F6"/>
    <w:rsid w:val="0078030A"/>
    <w:rsid w:val="00780DFD"/>
    <w:rsid w:val="00781972"/>
    <w:rsid w:val="00783A53"/>
    <w:rsid w:val="0078426D"/>
    <w:rsid w:val="00785212"/>
    <w:rsid w:val="00785D87"/>
    <w:rsid w:val="0078646C"/>
    <w:rsid w:val="00786EB6"/>
    <w:rsid w:val="0078725A"/>
    <w:rsid w:val="007876AA"/>
    <w:rsid w:val="00790F2E"/>
    <w:rsid w:val="00791A55"/>
    <w:rsid w:val="00792A7E"/>
    <w:rsid w:val="00792C37"/>
    <w:rsid w:val="007932EF"/>
    <w:rsid w:val="0079347A"/>
    <w:rsid w:val="00794224"/>
    <w:rsid w:val="007961D6"/>
    <w:rsid w:val="00796E42"/>
    <w:rsid w:val="007A00FD"/>
    <w:rsid w:val="007A02EA"/>
    <w:rsid w:val="007A0D2B"/>
    <w:rsid w:val="007A12F4"/>
    <w:rsid w:val="007A15C9"/>
    <w:rsid w:val="007A326D"/>
    <w:rsid w:val="007A6548"/>
    <w:rsid w:val="007B043A"/>
    <w:rsid w:val="007B0B34"/>
    <w:rsid w:val="007B1732"/>
    <w:rsid w:val="007B1C4D"/>
    <w:rsid w:val="007B2616"/>
    <w:rsid w:val="007B3098"/>
    <w:rsid w:val="007B4388"/>
    <w:rsid w:val="007B7EE7"/>
    <w:rsid w:val="007C0C63"/>
    <w:rsid w:val="007C3143"/>
    <w:rsid w:val="007C4A17"/>
    <w:rsid w:val="007C5D20"/>
    <w:rsid w:val="007C6934"/>
    <w:rsid w:val="007C7498"/>
    <w:rsid w:val="007D2838"/>
    <w:rsid w:val="007D3614"/>
    <w:rsid w:val="007D39C9"/>
    <w:rsid w:val="007D4EC7"/>
    <w:rsid w:val="007D6C3B"/>
    <w:rsid w:val="007D7EE7"/>
    <w:rsid w:val="007E05B0"/>
    <w:rsid w:val="007E14B1"/>
    <w:rsid w:val="007E1BB2"/>
    <w:rsid w:val="007E35E1"/>
    <w:rsid w:val="007E3A88"/>
    <w:rsid w:val="007E450E"/>
    <w:rsid w:val="007E6728"/>
    <w:rsid w:val="007E72F7"/>
    <w:rsid w:val="007F10C9"/>
    <w:rsid w:val="007F2DCC"/>
    <w:rsid w:val="007F4B86"/>
    <w:rsid w:val="007F6E47"/>
    <w:rsid w:val="007F7A7B"/>
    <w:rsid w:val="0080054D"/>
    <w:rsid w:val="00803CDD"/>
    <w:rsid w:val="00804678"/>
    <w:rsid w:val="00805EB2"/>
    <w:rsid w:val="00811671"/>
    <w:rsid w:val="008123E5"/>
    <w:rsid w:val="008124D0"/>
    <w:rsid w:val="0081289B"/>
    <w:rsid w:val="008129BB"/>
    <w:rsid w:val="00812BE0"/>
    <w:rsid w:val="00812C1B"/>
    <w:rsid w:val="00812E54"/>
    <w:rsid w:val="00813B5B"/>
    <w:rsid w:val="00816490"/>
    <w:rsid w:val="00817352"/>
    <w:rsid w:val="00817470"/>
    <w:rsid w:val="00818C39"/>
    <w:rsid w:val="0082142A"/>
    <w:rsid w:val="00821841"/>
    <w:rsid w:val="00823B93"/>
    <w:rsid w:val="00824125"/>
    <w:rsid w:val="0082457A"/>
    <w:rsid w:val="00825813"/>
    <w:rsid w:val="00825D60"/>
    <w:rsid w:val="00830D99"/>
    <w:rsid w:val="00832091"/>
    <w:rsid w:val="008325EA"/>
    <w:rsid w:val="00832EDC"/>
    <w:rsid w:val="00834496"/>
    <w:rsid w:val="00836D89"/>
    <w:rsid w:val="008377E5"/>
    <w:rsid w:val="00837F4C"/>
    <w:rsid w:val="00840B28"/>
    <w:rsid w:val="00840CF5"/>
    <w:rsid w:val="008411B3"/>
    <w:rsid w:val="0084124B"/>
    <w:rsid w:val="008425D8"/>
    <w:rsid w:val="00843DBA"/>
    <w:rsid w:val="0084463D"/>
    <w:rsid w:val="00844CAF"/>
    <w:rsid w:val="008472C1"/>
    <w:rsid w:val="0085210B"/>
    <w:rsid w:val="00853B58"/>
    <w:rsid w:val="00856E73"/>
    <w:rsid w:val="0085761D"/>
    <w:rsid w:val="00861200"/>
    <w:rsid w:val="0086404C"/>
    <w:rsid w:val="00865E82"/>
    <w:rsid w:val="00867451"/>
    <w:rsid w:val="0086767D"/>
    <w:rsid w:val="00870A0B"/>
    <w:rsid w:val="00873512"/>
    <w:rsid w:val="00874D22"/>
    <w:rsid w:val="008759F8"/>
    <w:rsid w:val="008762B2"/>
    <w:rsid w:val="00876431"/>
    <w:rsid w:val="00877021"/>
    <w:rsid w:val="0088014E"/>
    <w:rsid w:val="00881113"/>
    <w:rsid w:val="00881455"/>
    <w:rsid w:val="0088308C"/>
    <w:rsid w:val="00884657"/>
    <w:rsid w:val="0088488A"/>
    <w:rsid w:val="0088538A"/>
    <w:rsid w:val="008857A5"/>
    <w:rsid w:val="008857B9"/>
    <w:rsid w:val="0088622D"/>
    <w:rsid w:val="00886646"/>
    <w:rsid w:val="008866C9"/>
    <w:rsid w:val="0088AE84"/>
    <w:rsid w:val="00890510"/>
    <w:rsid w:val="00890EF7"/>
    <w:rsid w:val="00891B80"/>
    <w:rsid w:val="00894E5E"/>
    <w:rsid w:val="0089526F"/>
    <w:rsid w:val="008962A8"/>
    <w:rsid w:val="00896E6D"/>
    <w:rsid w:val="008A05AF"/>
    <w:rsid w:val="008A126A"/>
    <w:rsid w:val="008A1739"/>
    <w:rsid w:val="008A245A"/>
    <w:rsid w:val="008A2914"/>
    <w:rsid w:val="008A2B82"/>
    <w:rsid w:val="008A3CA2"/>
    <w:rsid w:val="008A4786"/>
    <w:rsid w:val="008A4D82"/>
    <w:rsid w:val="008A6BD6"/>
    <w:rsid w:val="008A72A2"/>
    <w:rsid w:val="008AA115"/>
    <w:rsid w:val="008B1651"/>
    <w:rsid w:val="008B1E29"/>
    <w:rsid w:val="008B2E07"/>
    <w:rsid w:val="008B351E"/>
    <w:rsid w:val="008B3EFA"/>
    <w:rsid w:val="008B465E"/>
    <w:rsid w:val="008B6BEE"/>
    <w:rsid w:val="008C12DB"/>
    <w:rsid w:val="008C4321"/>
    <w:rsid w:val="008C5296"/>
    <w:rsid w:val="008C59B3"/>
    <w:rsid w:val="008C6873"/>
    <w:rsid w:val="008C6CC3"/>
    <w:rsid w:val="008C922D"/>
    <w:rsid w:val="008D028F"/>
    <w:rsid w:val="008D10B8"/>
    <w:rsid w:val="008D19DA"/>
    <w:rsid w:val="008D4188"/>
    <w:rsid w:val="008D4C98"/>
    <w:rsid w:val="008D5A21"/>
    <w:rsid w:val="008D5F16"/>
    <w:rsid w:val="008D7C9B"/>
    <w:rsid w:val="008E14DD"/>
    <w:rsid w:val="008E1949"/>
    <w:rsid w:val="008E257B"/>
    <w:rsid w:val="008E2E71"/>
    <w:rsid w:val="008E4243"/>
    <w:rsid w:val="008E4D8E"/>
    <w:rsid w:val="008E50F2"/>
    <w:rsid w:val="008E56EA"/>
    <w:rsid w:val="008E5795"/>
    <w:rsid w:val="008E6062"/>
    <w:rsid w:val="008E6E66"/>
    <w:rsid w:val="008E7703"/>
    <w:rsid w:val="008E7D51"/>
    <w:rsid w:val="008F037A"/>
    <w:rsid w:val="008F2ADA"/>
    <w:rsid w:val="008F3A8B"/>
    <w:rsid w:val="008F7454"/>
    <w:rsid w:val="008F75A8"/>
    <w:rsid w:val="00900062"/>
    <w:rsid w:val="00900411"/>
    <w:rsid w:val="0090223C"/>
    <w:rsid w:val="0090489F"/>
    <w:rsid w:val="009067AD"/>
    <w:rsid w:val="00910019"/>
    <w:rsid w:val="0091065E"/>
    <w:rsid w:val="00911D67"/>
    <w:rsid w:val="009144B9"/>
    <w:rsid w:val="0091477D"/>
    <w:rsid w:val="009158AD"/>
    <w:rsid w:val="009167F1"/>
    <w:rsid w:val="00921AB5"/>
    <w:rsid w:val="0092201E"/>
    <w:rsid w:val="009251B9"/>
    <w:rsid w:val="0092597E"/>
    <w:rsid w:val="00925C7D"/>
    <w:rsid w:val="009260EE"/>
    <w:rsid w:val="00927228"/>
    <w:rsid w:val="009363D4"/>
    <w:rsid w:val="009366FF"/>
    <w:rsid w:val="00936E4A"/>
    <w:rsid w:val="0093736D"/>
    <w:rsid w:val="00937D53"/>
    <w:rsid w:val="00941389"/>
    <w:rsid w:val="00945E1A"/>
    <w:rsid w:val="009465E3"/>
    <w:rsid w:val="00946BE8"/>
    <w:rsid w:val="00946C65"/>
    <w:rsid w:val="009471C4"/>
    <w:rsid w:val="009483A5"/>
    <w:rsid w:val="00950D2B"/>
    <w:rsid w:val="009549C0"/>
    <w:rsid w:val="00954AEA"/>
    <w:rsid w:val="00955079"/>
    <w:rsid w:val="00956338"/>
    <w:rsid w:val="00956CBB"/>
    <w:rsid w:val="0095709D"/>
    <w:rsid w:val="00957853"/>
    <w:rsid w:val="0096233A"/>
    <w:rsid w:val="0096315A"/>
    <w:rsid w:val="0096347A"/>
    <w:rsid w:val="00964D3C"/>
    <w:rsid w:val="00964FD5"/>
    <w:rsid w:val="009704E9"/>
    <w:rsid w:val="00971F86"/>
    <w:rsid w:val="00972011"/>
    <w:rsid w:val="009757DE"/>
    <w:rsid w:val="009776E3"/>
    <w:rsid w:val="00985662"/>
    <w:rsid w:val="00985D11"/>
    <w:rsid w:val="00985F96"/>
    <w:rsid w:val="00990284"/>
    <w:rsid w:val="00990744"/>
    <w:rsid w:val="00991ED7"/>
    <w:rsid w:val="00992B11"/>
    <w:rsid w:val="00994F4A"/>
    <w:rsid w:val="00995D0C"/>
    <w:rsid w:val="00995E09"/>
    <w:rsid w:val="009A0EFC"/>
    <w:rsid w:val="009A220C"/>
    <w:rsid w:val="009A22FC"/>
    <w:rsid w:val="009A27A3"/>
    <w:rsid w:val="009A4A3B"/>
    <w:rsid w:val="009B02E3"/>
    <w:rsid w:val="009B1609"/>
    <w:rsid w:val="009B1950"/>
    <w:rsid w:val="009B25A3"/>
    <w:rsid w:val="009B32EB"/>
    <w:rsid w:val="009B3575"/>
    <w:rsid w:val="009B52D8"/>
    <w:rsid w:val="009B6A41"/>
    <w:rsid w:val="009B70E0"/>
    <w:rsid w:val="009C30E3"/>
    <w:rsid w:val="009C42E7"/>
    <w:rsid w:val="009C4B57"/>
    <w:rsid w:val="009C6E78"/>
    <w:rsid w:val="009C7146"/>
    <w:rsid w:val="009D002F"/>
    <w:rsid w:val="009D014F"/>
    <w:rsid w:val="009D6082"/>
    <w:rsid w:val="009D6A16"/>
    <w:rsid w:val="009D6D7D"/>
    <w:rsid w:val="009E142A"/>
    <w:rsid w:val="009E7FCC"/>
    <w:rsid w:val="009F013A"/>
    <w:rsid w:val="009F1A86"/>
    <w:rsid w:val="009F4C11"/>
    <w:rsid w:val="009F5F6A"/>
    <w:rsid w:val="009F6926"/>
    <w:rsid w:val="009F6ED6"/>
    <w:rsid w:val="009F6F0F"/>
    <w:rsid w:val="00A01374"/>
    <w:rsid w:val="00A01547"/>
    <w:rsid w:val="00A01844"/>
    <w:rsid w:val="00A0290E"/>
    <w:rsid w:val="00A04C54"/>
    <w:rsid w:val="00A05022"/>
    <w:rsid w:val="00A10156"/>
    <w:rsid w:val="00A11498"/>
    <w:rsid w:val="00A1185E"/>
    <w:rsid w:val="00A13061"/>
    <w:rsid w:val="00A13B4F"/>
    <w:rsid w:val="00A15E61"/>
    <w:rsid w:val="00A16737"/>
    <w:rsid w:val="00A17283"/>
    <w:rsid w:val="00A209ED"/>
    <w:rsid w:val="00A20B82"/>
    <w:rsid w:val="00A230FB"/>
    <w:rsid w:val="00A23CF7"/>
    <w:rsid w:val="00A24727"/>
    <w:rsid w:val="00A2575A"/>
    <w:rsid w:val="00A276D1"/>
    <w:rsid w:val="00A27FB8"/>
    <w:rsid w:val="00A354CC"/>
    <w:rsid w:val="00A35C73"/>
    <w:rsid w:val="00A35CBE"/>
    <w:rsid w:val="00A434EC"/>
    <w:rsid w:val="00A43895"/>
    <w:rsid w:val="00A475FF"/>
    <w:rsid w:val="00A502C2"/>
    <w:rsid w:val="00A50EB6"/>
    <w:rsid w:val="00A5326A"/>
    <w:rsid w:val="00A534D6"/>
    <w:rsid w:val="00A5404E"/>
    <w:rsid w:val="00A55012"/>
    <w:rsid w:val="00A552FC"/>
    <w:rsid w:val="00A56CA9"/>
    <w:rsid w:val="00A56F2B"/>
    <w:rsid w:val="00A65B29"/>
    <w:rsid w:val="00A67AC5"/>
    <w:rsid w:val="00A70C32"/>
    <w:rsid w:val="00A71610"/>
    <w:rsid w:val="00A73082"/>
    <w:rsid w:val="00A733E5"/>
    <w:rsid w:val="00A74294"/>
    <w:rsid w:val="00A74DD1"/>
    <w:rsid w:val="00A75B92"/>
    <w:rsid w:val="00A766C0"/>
    <w:rsid w:val="00A76FC9"/>
    <w:rsid w:val="00A77EF0"/>
    <w:rsid w:val="00A81B32"/>
    <w:rsid w:val="00A81C85"/>
    <w:rsid w:val="00A85773"/>
    <w:rsid w:val="00A875B0"/>
    <w:rsid w:val="00A93F79"/>
    <w:rsid w:val="00A94546"/>
    <w:rsid w:val="00A9636C"/>
    <w:rsid w:val="00A96382"/>
    <w:rsid w:val="00A971AF"/>
    <w:rsid w:val="00AA01D7"/>
    <w:rsid w:val="00AA0857"/>
    <w:rsid w:val="00AA10F1"/>
    <w:rsid w:val="00AA1F72"/>
    <w:rsid w:val="00AA2C3C"/>
    <w:rsid w:val="00AA3E83"/>
    <w:rsid w:val="00AA4AE3"/>
    <w:rsid w:val="00AA5DFF"/>
    <w:rsid w:val="00AA5FAA"/>
    <w:rsid w:val="00AA69B8"/>
    <w:rsid w:val="00AB0996"/>
    <w:rsid w:val="00AB5C54"/>
    <w:rsid w:val="00AC02E7"/>
    <w:rsid w:val="00AC032F"/>
    <w:rsid w:val="00AC233D"/>
    <w:rsid w:val="00AC2A6C"/>
    <w:rsid w:val="00AC3790"/>
    <w:rsid w:val="00AC4142"/>
    <w:rsid w:val="00AC4C12"/>
    <w:rsid w:val="00AC562B"/>
    <w:rsid w:val="00AC6F86"/>
    <w:rsid w:val="00AC704B"/>
    <w:rsid w:val="00AD05DC"/>
    <w:rsid w:val="00AD131E"/>
    <w:rsid w:val="00AD1BA6"/>
    <w:rsid w:val="00AD23C1"/>
    <w:rsid w:val="00AD3972"/>
    <w:rsid w:val="00AD4801"/>
    <w:rsid w:val="00AD4DDE"/>
    <w:rsid w:val="00AD63A0"/>
    <w:rsid w:val="00AE146B"/>
    <w:rsid w:val="00AE21BF"/>
    <w:rsid w:val="00AE48E3"/>
    <w:rsid w:val="00AE6ECC"/>
    <w:rsid w:val="00AE728C"/>
    <w:rsid w:val="00AE72D4"/>
    <w:rsid w:val="00AF28C3"/>
    <w:rsid w:val="00AF3973"/>
    <w:rsid w:val="00AF3AA4"/>
    <w:rsid w:val="00AF4926"/>
    <w:rsid w:val="00B01295"/>
    <w:rsid w:val="00B01A6D"/>
    <w:rsid w:val="00B02940"/>
    <w:rsid w:val="00B04A34"/>
    <w:rsid w:val="00B1011B"/>
    <w:rsid w:val="00B1190B"/>
    <w:rsid w:val="00B13B14"/>
    <w:rsid w:val="00B13FCD"/>
    <w:rsid w:val="00B14A63"/>
    <w:rsid w:val="00B14F18"/>
    <w:rsid w:val="00B15678"/>
    <w:rsid w:val="00B15BF2"/>
    <w:rsid w:val="00B2050D"/>
    <w:rsid w:val="00B214EF"/>
    <w:rsid w:val="00B215C5"/>
    <w:rsid w:val="00B21AAB"/>
    <w:rsid w:val="00B22A09"/>
    <w:rsid w:val="00B2484E"/>
    <w:rsid w:val="00B249AB"/>
    <w:rsid w:val="00B26735"/>
    <w:rsid w:val="00B26C06"/>
    <w:rsid w:val="00B30177"/>
    <w:rsid w:val="00B31C31"/>
    <w:rsid w:val="00B34394"/>
    <w:rsid w:val="00B34542"/>
    <w:rsid w:val="00B34EDD"/>
    <w:rsid w:val="00B37C14"/>
    <w:rsid w:val="00B37D64"/>
    <w:rsid w:val="00B40B31"/>
    <w:rsid w:val="00B40F62"/>
    <w:rsid w:val="00B41621"/>
    <w:rsid w:val="00B41F3C"/>
    <w:rsid w:val="00B42A85"/>
    <w:rsid w:val="00B510FB"/>
    <w:rsid w:val="00B52A68"/>
    <w:rsid w:val="00B53606"/>
    <w:rsid w:val="00B567B0"/>
    <w:rsid w:val="00B57BE6"/>
    <w:rsid w:val="00B600EB"/>
    <w:rsid w:val="00B63111"/>
    <w:rsid w:val="00B63E40"/>
    <w:rsid w:val="00B66125"/>
    <w:rsid w:val="00B66F87"/>
    <w:rsid w:val="00B72519"/>
    <w:rsid w:val="00B753D1"/>
    <w:rsid w:val="00B75A29"/>
    <w:rsid w:val="00B762CB"/>
    <w:rsid w:val="00B77ED8"/>
    <w:rsid w:val="00B85227"/>
    <w:rsid w:val="00B85592"/>
    <w:rsid w:val="00B90BB5"/>
    <w:rsid w:val="00B919C2"/>
    <w:rsid w:val="00B9254C"/>
    <w:rsid w:val="00B934F1"/>
    <w:rsid w:val="00B95372"/>
    <w:rsid w:val="00B956F2"/>
    <w:rsid w:val="00B96C28"/>
    <w:rsid w:val="00BA0395"/>
    <w:rsid w:val="00BA0857"/>
    <w:rsid w:val="00BA0BCF"/>
    <w:rsid w:val="00BA0C22"/>
    <w:rsid w:val="00BA1054"/>
    <w:rsid w:val="00BA4088"/>
    <w:rsid w:val="00BA4E53"/>
    <w:rsid w:val="00BA78D9"/>
    <w:rsid w:val="00BB0668"/>
    <w:rsid w:val="00BB0D9B"/>
    <w:rsid w:val="00BB3126"/>
    <w:rsid w:val="00BB73BE"/>
    <w:rsid w:val="00BB7F58"/>
    <w:rsid w:val="00BC0981"/>
    <w:rsid w:val="00BC0AB5"/>
    <w:rsid w:val="00BC0AF0"/>
    <w:rsid w:val="00BC3C84"/>
    <w:rsid w:val="00BC491C"/>
    <w:rsid w:val="00BC6487"/>
    <w:rsid w:val="00BC68DE"/>
    <w:rsid w:val="00BC6BA7"/>
    <w:rsid w:val="00BC6DEE"/>
    <w:rsid w:val="00BC7D23"/>
    <w:rsid w:val="00BD0DF8"/>
    <w:rsid w:val="00BD2260"/>
    <w:rsid w:val="00BD2BE8"/>
    <w:rsid w:val="00BD3FD6"/>
    <w:rsid w:val="00BD4106"/>
    <w:rsid w:val="00BD5F4C"/>
    <w:rsid w:val="00BD67FE"/>
    <w:rsid w:val="00BD7268"/>
    <w:rsid w:val="00BD741C"/>
    <w:rsid w:val="00BE061D"/>
    <w:rsid w:val="00BE0918"/>
    <w:rsid w:val="00BE3960"/>
    <w:rsid w:val="00BE3D40"/>
    <w:rsid w:val="00BE6834"/>
    <w:rsid w:val="00BF1119"/>
    <w:rsid w:val="00BF2355"/>
    <w:rsid w:val="00BF33ED"/>
    <w:rsid w:val="00BF3749"/>
    <w:rsid w:val="00BF3E15"/>
    <w:rsid w:val="00BF4F5E"/>
    <w:rsid w:val="00BF5E02"/>
    <w:rsid w:val="00BF5FD3"/>
    <w:rsid w:val="00BF7441"/>
    <w:rsid w:val="00BF750F"/>
    <w:rsid w:val="00BF7653"/>
    <w:rsid w:val="00C00218"/>
    <w:rsid w:val="00C00341"/>
    <w:rsid w:val="00C00C02"/>
    <w:rsid w:val="00C03BF1"/>
    <w:rsid w:val="00C045F0"/>
    <w:rsid w:val="00C05CA0"/>
    <w:rsid w:val="00C060ED"/>
    <w:rsid w:val="00C064F5"/>
    <w:rsid w:val="00C110F0"/>
    <w:rsid w:val="00C12301"/>
    <w:rsid w:val="00C125C5"/>
    <w:rsid w:val="00C16E36"/>
    <w:rsid w:val="00C17F87"/>
    <w:rsid w:val="00C20864"/>
    <w:rsid w:val="00C21D4C"/>
    <w:rsid w:val="00C22F60"/>
    <w:rsid w:val="00C235C1"/>
    <w:rsid w:val="00C24A3D"/>
    <w:rsid w:val="00C25CCF"/>
    <w:rsid w:val="00C274D7"/>
    <w:rsid w:val="00C275DE"/>
    <w:rsid w:val="00C276C0"/>
    <w:rsid w:val="00C27B1D"/>
    <w:rsid w:val="00C31BAE"/>
    <w:rsid w:val="00C3398D"/>
    <w:rsid w:val="00C3551D"/>
    <w:rsid w:val="00C35E38"/>
    <w:rsid w:val="00C40848"/>
    <w:rsid w:val="00C41D44"/>
    <w:rsid w:val="00C42B70"/>
    <w:rsid w:val="00C43D08"/>
    <w:rsid w:val="00C44A33"/>
    <w:rsid w:val="00C4631F"/>
    <w:rsid w:val="00C46530"/>
    <w:rsid w:val="00C498B6"/>
    <w:rsid w:val="00C51877"/>
    <w:rsid w:val="00C52048"/>
    <w:rsid w:val="00C523ED"/>
    <w:rsid w:val="00C53D3E"/>
    <w:rsid w:val="00C55249"/>
    <w:rsid w:val="00C55D20"/>
    <w:rsid w:val="00C564BE"/>
    <w:rsid w:val="00C6202E"/>
    <w:rsid w:val="00C62DC7"/>
    <w:rsid w:val="00C62F41"/>
    <w:rsid w:val="00C63ABB"/>
    <w:rsid w:val="00C63D96"/>
    <w:rsid w:val="00C65B93"/>
    <w:rsid w:val="00C668F9"/>
    <w:rsid w:val="00C66A47"/>
    <w:rsid w:val="00C675FA"/>
    <w:rsid w:val="00C71CF3"/>
    <w:rsid w:val="00C71F79"/>
    <w:rsid w:val="00C73359"/>
    <w:rsid w:val="00C7348F"/>
    <w:rsid w:val="00C73801"/>
    <w:rsid w:val="00C73979"/>
    <w:rsid w:val="00C746E7"/>
    <w:rsid w:val="00C754CE"/>
    <w:rsid w:val="00C77D19"/>
    <w:rsid w:val="00C800BD"/>
    <w:rsid w:val="00C81AA1"/>
    <w:rsid w:val="00C81CA6"/>
    <w:rsid w:val="00C8311E"/>
    <w:rsid w:val="00C8416B"/>
    <w:rsid w:val="00C86361"/>
    <w:rsid w:val="00C8655D"/>
    <w:rsid w:val="00C911E3"/>
    <w:rsid w:val="00C92878"/>
    <w:rsid w:val="00C92A57"/>
    <w:rsid w:val="00C9596D"/>
    <w:rsid w:val="00C961F8"/>
    <w:rsid w:val="00C962E7"/>
    <w:rsid w:val="00C96544"/>
    <w:rsid w:val="00C974BA"/>
    <w:rsid w:val="00CA14FD"/>
    <w:rsid w:val="00CA16AB"/>
    <w:rsid w:val="00CA3EAE"/>
    <w:rsid w:val="00CA62A7"/>
    <w:rsid w:val="00CB101C"/>
    <w:rsid w:val="00CB1623"/>
    <w:rsid w:val="00CB28C0"/>
    <w:rsid w:val="00CB3AD5"/>
    <w:rsid w:val="00CB4643"/>
    <w:rsid w:val="00CB548D"/>
    <w:rsid w:val="00CB5DE3"/>
    <w:rsid w:val="00CB6B5A"/>
    <w:rsid w:val="00CC177F"/>
    <w:rsid w:val="00CC1C20"/>
    <w:rsid w:val="00CC742A"/>
    <w:rsid w:val="00CC7629"/>
    <w:rsid w:val="00CD0189"/>
    <w:rsid w:val="00CD0E6E"/>
    <w:rsid w:val="00CD2078"/>
    <w:rsid w:val="00CD25CC"/>
    <w:rsid w:val="00CD28BC"/>
    <w:rsid w:val="00CD3F44"/>
    <w:rsid w:val="00CD54BA"/>
    <w:rsid w:val="00CD7F86"/>
    <w:rsid w:val="00CE0C3D"/>
    <w:rsid w:val="00CE2477"/>
    <w:rsid w:val="00CE2591"/>
    <w:rsid w:val="00CE27A4"/>
    <w:rsid w:val="00CE2EE0"/>
    <w:rsid w:val="00CE53D5"/>
    <w:rsid w:val="00CE69BA"/>
    <w:rsid w:val="00CE7E51"/>
    <w:rsid w:val="00CF0723"/>
    <w:rsid w:val="00CF079D"/>
    <w:rsid w:val="00CF07DC"/>
    <w:rsid w:val="00CF1A3A"/>
    <w:rsid w:val="00CF25A6"/>
    <w:rsid w:val="00CF3AAD"/>
    <w:rsid w:val="00CF42E9"/>
    <w:rsid w:val="00CF747C"/>
    <w:rsid w:val="00D00BA8"/>
    <w:rsid w:val="00D02B23"/>
    <w:rsid w:val="00D02DDA"/>
    <w:rsid w:val="00D04E75"/>
    <w:rsid w:val="00D067D8"/>
    <w:rsid w:val="00D072B1"/>
    <w:rsid w:val="00D11D06"/>
    <w:rsid w:val="00D13620"/>
    <w:rsid w:val="00D1685D"/>
    <w:rsid w:val="00D17730"/>
    <w:rsid w:val="00D17DCE"/>
    <w:rsid w:val="00D20381"/>
    <w:rsid w:val="00D25AA3"/>
    <w:rsid w:val="00D27362"/>
    <w:rsid w:val="00D276A6"/>
    <w:rsid w:val="00D30903"/>
    <w:rsid w:val="00D320AF"/>
    <w:rsid w:val="00D33182"/>
    <w:rsid w:val="00D33AA6"/>
    <w:rsid w:val="00D33DFD"/>
    <w:rsid w:val="00D36583"/>
    <w:rsid w:val="00D40D01"/>
    <w:rsid w:val="00D42AF0"/>
    <w:rsid w:val="00D44764"/>
    <w:rsid w:val="00D453CB"/>
    <w:rsid w:val="00D45B77"/>
    <w:rsid w:val="00D46797"/>
    <w:rsid w:val="00D50929"/>
    <w:rsid w:val="00D515FC"/>
    <w:rsid w:val="00D5452E"/>
    <w:rsid w:val="00D5530B"/>
    <w:rsid w:val="00D6038C"/>
    <w:rsid w:val="00D60C84"/>
    <w:rsid w:val="00D61AF9"/>
    <w:rsid w:val="00D61C2E"/>
    <w:rsid w:val="00D634B0"/>
    <w:rsid w:val="00D66A7C"/>
    <w:rsid w:val="00D6743C"/>
    <w:rsid w:val="00D67553"/>
    <w:rsid w:val="00D67892"/>
    <w:rsid w:val="00D70B96"/>
    <w:rsid w:val="00D71B15"/>
    <w:rsid w:val="00D7295C"/>
    <w:rsid w:val="00D746DC"/>
    <w:rsid w:val="00D7493E"/>
    <w:rsid w:val="00D756BA"/>
    <w:rsid w:val="00D75E29"/>
    <w:rsid w:val="00D76137"/>
    <w:rsid w:val="00D77C40"/>
    <w:rsid w:val="00D80E77"/>
    <w:rsid w:val="00D81EDA"/>
    <w:rsid w:val="00D82BEE"/>
    <w:rsid w:val="00D82E3E"/>
    <w:rsid w:val="00D8423C"/>
    <w:rsid w:val="00D846E1"/>
    <w:rsid w:val="00D85194"/>
    <w:rsid w:val="00D85DAE"/>
    <w:rsid w:val="00D86DAB"/>
    <w:rsid w:val="00D87D84"/>
    <w:rsid w:val="00D9085C"/>
    <w:rsid w:val="00D909FE"/>
    <w:rsid w:val="00D92E63"/>
    <w:rsid w:val="00D93AFD"/>
    <w:rsid w:val="00D93F7A"/>
    <w:rsid w:val="00D95D45"/>
    <w:rsid w:val="00DA13EE"/>
    <w:rsid w:val="00DA2A66"/>
    <w:rsid w:val="00DA3866"/>
    <w:rsid w:val="00DA46B4"/>
    <w:rsid w:val="00DA4758"/>
    <w:rsid w:val="00DA4923"/>
    <w:rsid w:val="00DA7DB3"/>
    <w:rsid w:val="00DA7FBC"/>
    <w:rsid w:val="00DB09E8"/>
    <w:rsid w:val="00DB0C47"/>
    <w:rsid w:val="00DB1915"/>
    <w:rsid w:val="00DB28D0"/>
    <w:rsid w:val="00DB48B9"/>
    <w:rsid w:val="00DB563D"/>
    <w:rsid w:val="00DC28BF"/>
    <w:rsid w:val="00DC3292"/>
    <w:rsid w:val="00DC453B"/>
    <w:rsid w:val="00DC6879"/>
    <w:rsid w:val="00DD02D1"/>
    <w:rsid w:val="00DD0B78"/>
    <w:rsid w:val="00DD169B"/>
    <w:rsid w:val="00DD33CC"/>
    <w:rsid w:val="00DD44AB"/>
    <w:rsid w:val="00DD5D1F"/>
    <w:rsid w:val="00DD63EA"/>
    <w:rsid w:val="00DD6D4B"/>
    <w:rsid w:val="00DD73BD"/>
    <w:rsid w:val="00DE04D9"/>
    <w:rsid w:val="00DE0A78"/>
    <w:rsid w:val="00DE1BA6"/>
    <w:rsid w:val="00DE246F"/>
    <w:rsid w:val="00DE65C2"/>
    <w:rsid w:val="00DE663E"/>
    <w:rsid w:val="00DE70F9"/>
    <w:rsid w:val="00DE7269"/>
    <w:rsid w:val="00DF30A3"/>
    <w:rsid w:val="00DF32F8"/>
    <w:rsid w:val="00DF3416"/>
    <w:rsid w:val="00DF4F6B"/>
    <w:rsid w:val="00DF6E4C"/>
    <w:rsid w:val="00DF7915"/>
    <w:rsid w:val="00E00B5C"/>
    <w:rsid w:val="00E01353"/>
    <w:rsid w:val="00E02844"/>
    <w:rsid w:val="00E0372A"/>
    <w:rsid w:val="00E05C32"/>
    <w:rsid w:val="00E136F5"/>
    <w:rsid w:val="00E1700C"/>
    <w:rsid w:val="00E1751F"/>
    <w:rsid w:val="00E2043A"/>
    <w:rsid w:val="00E21974"/>
    <w:rsid w:val="00E222C4"/>
    <w:rsid w:val="00E22562"/>
    <w:rsid w:val="00E23FD8"/>
    <w:rsid w:val="00E2694F"/>
    <w:rsid w:val="00E26FF1"/>
    <w:rsid w:val="00E279BD"/>
    <w:rsid w:val="00E279F9"/>
    <w:rsid w:val="00E30783"/>
    <w:rsid w:val="00E3295E"/>
    <w:rsid w:val="00E34158"/>
    <w:rsid w:val="00E36400"/>
    <w:rsid w:val="00E40E84"/>
    <w:rsid w:val="00E4290C"/>
    <w:rsid w:val="00E4326A"/>
    <w:rsid w:val="00E43BFC"/>
    <w:rsid w:val="00E44E4D"/>
    <w:rsid w:val="00E47885"/>
    <w:rsid w:val="00E50620"/>
    <w:rsid w:val="00E5324F"/>
    <w:rsid w:val="00E567BF"/>
    <w:rsid w:val="00E61380"/>
    <w:rsid w:val="00E61CEE"/>
    <w:rsid w:val="00E62090"/>
    <w:rsid w:val="00E63449"/>
    <w:rsid w:val="00E65408"/>
    <w:rsid w:val="00E65C0D"/>
    <w:rsid w:val="00E66459"/>
    <w:rsid w:val="00E7038A"/>
    <w:rsid w:val="00E71029"/>
    <w:rsid w:val="00E72263"/>
    <w:rsid w:val="00E72291"/>
    <w:rsid w:val="00E74B1E"/>
    <w:rsid w:val="00E76D05"/>
    <w:rsid w:val="00E77499"/>
    <w:rsid w:val="00E82C1A"/>
    <w:rsid w:val="00E82C23"/>
    <w:rsid w:val="00E8313C"/>
    <w:rsid w:val="00E8483C"/>
    <w:rsid w:val="00E853C2"/>
    <w:rsid w:val="00E8705A"/>
    <w:rsid w:val="00E87219"/>
    <w:rsid w:val="00E876B9"/>
    <w:rsid w:val="00E87D91"/>
    <w:rsid w:val="00E92F9B"/>
    <w:rsid w:val="00E93598"/>
    <w:rsid w:val="00E94935"/>
    <w:rsid w:val="00E95A83"/>
    <w:rsid w:val="00E96941"/>
    <w:rsid w:val="00EA06A1"/>
    <w:rsid w:val="00EA2EC5"/>
    <w:rsid w:val="00EA349B"/>
    <w:rsid w:val="00EA7638"/>
    <w:rsid w:val="00EB0608"/>
    <w:rsid w:val="00EB1FD5"/>
    <w:rsid w:val="00EB31AC"/>
    <w:rsid w:val="00EB3E33"/>
    <w:rsid w:val="00EB5562"/>
    <w:rsid w:val="00EB5A51"/>
    <w:rsid w:val="00EB5E32"/>
    <w:rsid w:val="00EB6F59"/>
    <w:rsid w:val="00EB7A40"/>
    <w:rsid w:val="00EC2128"/>
    <w:rsid w:val="00EC2175"/>
    <w:rsid w:val="00EC4257"/>
    <w:rsid w:val="00EC66A6"/>
    <w:rsid w:val="00EC7E0D"/>
    <w:rsid w:val="00ED13C9"/>
    <w:rsid w:val="00ED2BF0"/>
    <w:rsid w:val="00ED3834"/>
    <w:rsid w:val="00ED7019"/>
    <w:rsid w:val="00EE3037"/>
    <w:rsid w:val="00EE5188"/>
    <w:rsid w:val="00EE5BFA"/>
    <w:rsid w:val="00EE789B"/>
    <w:rsid w:val="00EE7CA7"/>
    <w:rsid w:val="00EF2622"/>
    <w:rsid w:val="00EF4713"/>
    <w:rsid w:val="00EF57D2"/>
    <w:rsid w:val="00EF5DCE"/>
    <w:rsid w:val="00EF7B36"/>
    <w:rsid w:val="00F0132F"/>
    <w:rsid w:val="00F02B06"/>
    <w:rsid w:val="00F06D3F"/>
    <w:rsid w:val="00F06D64"/>
    <w:rsid w:val="00F075DA"/>
    <w:rsid w:val="00F07F11"/>
    <w:rsid w:val="00F10BFC"/>
    <w:rsid w:val="00F1383F"/>
    <w:rsid w:val="00F13BCB"/>
    <w:rsid w:val="00F13D4F"/>
    <w:rsid w:val="00F14B21"/>
    <w:rsid w:val="00F207E1"/>
    <w:rsid w:val="00F216F8"/>
    <w:rsid w:val="00F22138"/>
    <w:rsid w:val="00F23A16"/>
    <w:rsid w:val="00F24168"/>
    <w:rsid w:val="00F24819"/>
    <w:rsid w:val="00F248F5"/>
    <w:rsid w:val="00F25556"/>
    <w:rsid w:val="00F25A88"/>
    <w:rsid w:val="00F25D0E"/>
    <w:rsid w:val="00F26E1D"/>
    <w:rsid w:val="00F272AF"/>
    <w:rsid w:val="00F311F3"/>
    <w:rsid w:val="00F31AED"/>
    <w:rsid w:val="00F31C9A"/>
    <w:rsid w:val="00F336F1"/>
    <w:rsid w:val="00F33E2E"/>
    <w:rsid w:val="00F34BDE"/>
    <w:rsid w:val="00F350AC"/>
    <w:rsid w:val="00F41D34"/>
    <w:rsid w:val="00F426AA"/>
    <w:rsid w:val="00F435D9"/>
    <w:rsid w:val="00F4534F"/>
    <w:rsid w:val="00F46E78"/>
    <w:rsid w:val="00F51F93"/>
    <w:rsid w:val="00F52662"/>
    <w:rsid w:val="00F5280B"/>
    <w:rsid w:val="00F54451"/>
    <w:rsid w:val="00F5520D"/>
    <w:rsid w:val="00F570E7"/>
    <w:rsid w:val="00F57235"/>
    <w:rsid w:val="00F605E1"/>
    <w:rsid w:val="00F6076F"/>
    <w:rsid w:val="00F61D49"/>
    <w:rsid w:val="00F62F0C"/>
    <w:rsid w:val="00F639AC"/>
    <w:rsid w:val="00F651CC"/>
    <w:rsid w:val="00F65203"/>
    <w:rsid w:val="00F65848"/>
    <w:rsid w:val="00F664E4"/>
    <w:rsid w:val="00F711BD"/>
    <w:rsid w:val="00F71EE8"/>
    <w:rsid w:val="00F72A7F"/>
    <w:rsid w:val="00F73684"/>
    <w:rsid w:val="00F7582F"/>
    <w:rsid w:val="00F7673E"/>
    <w:rsid w:val="00F76A40"/>
    <w:rsid w:val="00F76B06"/>
    <w:rsid w:val="00F80F78"/>
    <w:rsid w:val="00F814E6"/>
    <w:rsid w:val="00F831D4"/>
    <w:rsid w:val="00F83869"/>
    <w:rsid w:val="00F84906"/>
    <w:rsid w:val="00F85E0B"/>
    <w:rsid w:val="00F86160"/>
    <w:rsid w:val="00F86F27"/>
    <w:rsid w:val="00F9024A"/>
    <w:rsid w:val="00F9061A"/>
    <w:rsid w:val="00F906D1"/>
    <w:rsid w:val="00F90A59"/>
    <w:rsid w:val="00F90C91"/>
    <w:rsid w:val="00F93B9A"/>
    <w:rsid w:val="00F96593"/>
    <w:rsid w:val="00F969BE"/>
    <w:rsid w:val="00F97D99"/>
    <w:rsid w:val="00FA00D9"/>
    <w:rsid w:val="00FA1E2D"/>
    <w:rsid w:val="00FA1FD2"/>
    <w:rsid w:val="00FA3E8C"/>
    <w:rsid w:val="00FA58B6"/>
    <w:rsid w:val="00FA6F85"/>
    <w:rsid w:val="00FA7FBF"/>
    <w:rsid w:val="00FB57BD"/>
    <w:rsid w:val="00FB729E"/>
    <w:rsid w:val="00FB79C1"/>
    <w:rsid w:val="00FC0289"/>
    <w:rsid w:val="00FC071C"/>
    <w:rsid w:val="00FC2C2B"/>
    <w:rsid w:val="00FC3247"/>
    <w:rsid w:val="00FC36B7"/>
    <w:rsid w:val="00FC38F8"/>
    <w:rsid w:val="00FC3C40"/>
    <w:rsid w:val="00FC3FDF"/>
    <w:rsid w:val="00FC4885"/>
    <w:rsid w:val="00FC517A"/>
    <w:rsid w:val="00FC5F84"/>
    <w:rsid w:val="00FD229C"/>
    <w:rsid w:val="00FD264E"/>
    <w:rsid w:val="00FD2B4D"/>
    <w:rsid w:val="00FD5A38"/>
    <w:rsid w:val="00FD6CB4"/>
    <w:rsid w:val="00FE1111"/>
    <w:rsid w:val="00FE1250"/>
    <w:rsid w:val="00FE178C"/>
    <w:rsid w:val="00FE3A79"/>
    <w:rsid w:val="00FE4036"/>
    <w:rsid w:val="00FE72B9"/>
    <w:rsid w:val="00FE7FDD"/>
    <w:rsid w:val="00FF19D9"/>
    <w:rsid w:val="00FF2896"/>
    <w:rsid w:val="00FF2CC1"/>
    <w:rsid w:val="00FF3112"/>
    <w:rsid w:val="00FF40BA"/>
    <w:rsid w:val="012D1AFF"/>
    <w:rsid w:val="0132107E"/>
    <w:rsid w:val="01876007"/>
    <w:rsid w:val="018BF1BC"/>
    <w:rsid w:val="019547DB"/>
    <w:rsid w:val="01FFC1FA"/>
    <w:rsid w:val="0226C3A3"/>
    <w:rsid w:val="026B7CCD"/>
    <w:rsid w:val="026D4184"/>
    <w:rsid w:val="031B1F60"/>
    <w:rsid w:val="03276BB3"/>
    <w:rsid w:val="0365D88C"/>
    <w:rsid w:val="037D3E95"/>
    <w:rsid w:val="03836109"/>
    <w:rsid w:val="03A579A0"/>
    <w:rsid w:val="03B44F1A"/>
    <w:rsid w:val="03BA3396"/>
    <w:rsid w:val="03C06E7D"/>
    <w:rsid w:val="03DE322B"/>
    <w:rsid w:val="03DF7BC4"/>
    <w:rsid w:val="0425AE70"/>
    <w:rsid w:val="042703CF"/>
    <w:rsid w:val="04820F6A"/>
    <w:rsid w:val="04A0E94E"/>
    <w:rsid w:val="04A321E8"/>
    <w:rsid w:val="04AE5132"/>
    <w:rsid w:val="04C3FFE6"/>
    <w:rsid w:val="04C7EFCD"/>
    <w:rsid w:val="04D89DDF"/>
    <w:rsid w:val="04E58D35"/>
    <w:rsid w:val="0500275D"/>
    <w:rsid w:val="0508DEB9"/>
    <w:rsid w:val="051EDC45"/>
    <w:rsid w:val="0526C983"/>
    <w:rsid w:val="054354FC"/>
    <w:rsid w:val="054F3AD5"/>
    <w:rsid w:val="05583D31"/>
    <w:rsid w:val="0585D312"/>
    <w:rsid w:val="058B3CEB"/>
    <w:rsid w:val="0596040B"/>
    <w:rsid w:val="05A9CF81"/>
    <w:rsid w:val="05AC94DF"/>
    <w:rsid w:val="05FB06CB"/>
    <w:rsid w:val="06236EC0"/>
    <w:rsid w:val="067AF373"/>
    <w:rsid w:val="06894F51"/>
    <w:rsid w:val="069E218A"/>
    <w:rsid w:val="06B7FADB"/>
    <w:rsid w:val="06CF229A"/>
    <w:rsid w:val="06DC13B0"/>
    <w:rsid w:val="06E3BB73"/>
    <w:rsid w:val="070FC1F9"/>
    <w:rsid w:val="07288F11"/>
    <w:rsid w:val="073657D7"/>
    <w:rsid w:val="07748539"/>
    <w:rsid w:val="07879692"/>
    <w:rsid w:val="07BBF85B"/>
    <w:rsid w:val="07F2553D"/>
    <w:rsid w:val="07F5F6C8"/>
    <w:rsid w:val="07FBA906"/>
    <w:rsid w:val="081F0144"/>
    <w:rsid w:val="0822E2CC"/>
    <w:rsid w:val="08367266"/>
    <w:rsid w:val="0871D127"/>
    <w:rsid w:val="0873FE09"/>
    <w:rsid w:val="08927AD9"/>
    <w:rsid w:val="08A18884"/>
    <w:rsid w:val="08F4F6E0"/>
    <w:rsid w:val="08F5AE30"/>
    <w:rsid w:val="0911C733"/>
    <w:rsid w:val="09376371"/>
    <w:rsid w:val="09396FDA"/>
    <w:rsid w:val="09831E55"/>
    <w:rsid w:val="09834284"/>
    <w:rsid w:val="098FF33A"/>
    <w:rsid w:val="09C20C0A"/>
    <w:rsid w:val="09F341B7"/>
    <w:rsid w:val="0A0028B9"/>
    <w:rsid w:val="0A488DAC"/>
    <w:rsid w:val="0AC02CDE"/>
    <w:rsid w:val="0AF49A89"/>
    <w:rsid w:val="0AF53AC5"/>
    <w:rsid w:val="0B05A426"/>
    <w:rsid w:val="0B0D9B18"/>
    <w:rsid w:val="0B1AE20E"/>
    <w:rsid w:val="0B24903B"/>
    <w:rsid w:val="0B591546"/>
    <w:rsid w:val="0B6DF086"/>
    <w:rsid w:val="0BA1A780"/>
    <w:rsid w:val="0BA96CD9"/>
    <w:rsid w:val="0BBAA102"/>
    <w:rsid w:val="0BBF68DD"/>
    <w:rsid w:val="0C943B39"/>
    <w:rsid w:val="0CB972FE"/>
    <w:rsid w:val="0CBEE970"/>
    <w:rsid w:val="0CC9A4F2"/>
    <w:rsid w:val="0CCBAA81"/>
    <w:rsid w:val="0CCC3393"/>
    <w:rsid w:val="0CF0E2D1"/>
    <w:rsid w:val="0D0D1F80"/>
    <w:rsid w:val="0D3F2608"/>
    <w:rsid w:val="0DC51C59"/>
    <w:rsid w:val="0DF81A7B"/>
    <w:rsid w:val="0E0ADD02"/>
    <w:rsid w:val="0E1BC916"/>
    <w:rsid w:val="0E5D4830"/>
    <w:rsid w:val="0E893749"/>
    <w:rsid w:val="0ED6CE6E"/>
    <w:rsid w:val="0EF070FD"/>
    <w:rsid w:val="0EFB2C1A"/>
    <w:rsid w:val="0F0757C6"/>
    <w:rsid w:val="0F079058"/>
    <w:rsid w:val="0F0B2325"/>
    <w:rsid w:val="0F177AA3"/>
    <w:rsid w:val="0F476C8B"/>
    <w:rsid w:val="0F6B141A"/>
    <w:rsid w:val="0F79E15D"/>
    <w:rsid w:val="0FE1FFF4"/>
    <w:rsid w:val="10020A59"/>
    <w:rsid w:val="1002444A"/>
    <w:rsid w:val="101227D6"/>
    <w:rsid w:val="102D9D7F"/>
    <w:rsid w:val="1030002D"/>
    <w:rsid w:val="1103B3F5"/>
    <w:rsid w:val="1107F1CD"/>
    <w:rsid w:val="1126EFC7"/>
    <w:rsid w:val="1148DA84"/>
    <w:rsid w:val="1169CAD0"/>
    <w:rsid w:val="117AAF7F"/>
    <w:rsid w:val="11975402"/>
    <w:rsid w:val="11A737C1"/>
    <w:rsid w:val="1202C9C5"/>
    <w:rsid w:val="120C4C06"/>
    <w:rsid w:val="12161BFD"/>
    <w:rsid w:val="121C5C89"/>
    <w:rsid w:val="12248A5B"/>
    <w:rsid w:val="12591E4D"/>
    <w:rsid w:val="127CDEBC"/>
    <w:rsid w:val="12898506"/>
    <w:rsid w:val="12AB8FD8"/>
    <w:rsid w:val="12BE6F9A"/>
    <w:rsid w:val="12E9FC1C"/>
    <w:rsid w:val="130004C2"/>
    <w:rsid w:val="1317F2A9"/>
    <w:rsid w:val="1320076D"/>
    <w:rsid w:val="13215B2F"/>
    <w:rsid w:val="13303290"/>
    <w:rsid w:val="1332BB91"/>
    <w:rsid w:val="13782478"/>
    <w:rsid w:val="13A02A94"/>
    <w:rsid w:val="141176F4"/>
    <w:rsid w:val="1434D6BD"/>
    <w:rsid w:val="14BB042E"/>
    <w:rsid w:val="14C8DF9A"/>
    <w:rsid w:val="14F25BB0"/>
    <w:rsid w:val="1502B509"/>
    <w:rsid w:val="15050999"/>
    <w:rsid w:val="152608E9"/>
    <w:rsid w:val="15482435"/>
    <w:rsid w:val="15561E5B"/>
    <w:rsid w:val="1558553A"/>
    <w:rsid w:val="1576178C"/>
    <w:rsid w:val="157ACC6A"/>
    <w:rsid w:val="1593468C"/>
    <w:rsid w:val="15A42781"/>
    <w:rsid w:val="15D82A3D"/>
    <w:rsid w:val="15EBFC60"/>
    <w:rsid w:val="16131E2A"/>
    <w:rsid w:val="164B61A4"/>
    <w:rsid w:val="16540C3B"/>
    <w:rsid w:val="16D23FF9"/>
    <w:rsid w:val="16E64717"/>
    <w:rsid w:val="16FB3814"/>
    <w:rsid w:val="171DE303"/>
    <w:rsid w:val="1728FA9B"/>
    <w:rsid w:val="173425F1"/>
    <w:rsid w:val="175548B9"/>
    <w:rsid w:val="176BE265"/>
    <w:rsid w:val="17960538"/>
    <w:rsid w:val="18396E7E"/>
    <w:rsid w:val="18580BF1"/>
    <w:rsid w:val="18928A9E"/>
    <w:rsid w:val="18CDA770"/>
    <w:rsid w:val="18EBC8FC"/>
    <w:rsid w:val="18EFFB4D"/>
    <w:rsid w:val="1900D9CF"/>
    <w:rsid w:val="190E0C5C"/>
    <w:rsid w:val="191A905D"/>
    <w:rsid w:val="193E443C"/>
    <w:rsid w:val="1981DCE0"/>
    <w:rsid w:val="19A11F35"/>
    <w:rsid w:val="19A5EA17"/>
    <w:rsid w:val="19B290C6"/>
    <w:rsid w:val="19ECBB86"/>
    <w:rsid w:val="1A12FD30"/>
    <w:rsid w:val="1A74197A"/>
    <w:rsid w:val="1A773E37"/>
    <w:rsid w:val="1ABE2E83"/>
    <w:rsid w:val="1AD1F62D"/>
    <w:rsid w:val="1AE6F282"/>
    <w:rsid w:val="1AFFB734"/>
    <w:rsid w:val="1B0A2988"/>
    <w:rsid w:val="1B471B1C"/>
    <w:rsid w:val="1B55CD7F"/>
    <w:rsid w:val="1B6FAC6D"/>
    <w:rsid w:val="1B6FDFA3"/>
    <w:rsid w:val="1B70B133"/>
    <w:rsid w:val="1B777074"/>
    <w:rsid w:val="1B820FF5"/>
    <w:rsid w:val="1B9FFE18"/>
    <w:rsid w:val="1BF0DCD0"/>
    <w:rsid w:val="1C1E7DDD"/>
    <w:rsid w:val="1C204E96"/>
    <w:rsid w:val="1C23D277"/>
    <w:rsid w:val="1C54523F"/>
    <w:rsid w:val="1C5C6CFD"/>
    <w:rsid w:val="1C70A584"/>
    <w:rsid w:val="1C8EE802"/>
    <w:rsid w:val="1CA304E0"/>
    <w:rsid w:val="1CA820FE"/>
    <w:rsid w:val="1CD3B19D"/>
    <w:rsid w:val="1CE398AD"/>
    <w:rsid w:val="1D29975C"/>
    <w:rsid w:val="1D40E48F"/>
    <w:rsid w:val="1D42AF2A"/>
    <w:rsid w:val="1DB64DCC"/>
    <w:rsid w:val="1DCA0D55"/>
    <w:rsid w:val="1DDB9D07"/>
    <w:rsid w:val="1DF28B9E"/>
    <w:rsid w:val="1E1E4A83"/>
    <w:rsid w:val="1E4CD5C5"/>
    <w:rsid w:val="1E510B7E"/>
    <w:rsid w:val="1E617C15"/>
    <w:rsid w:val="1E7D540B"/>
    <w:rsid w:val="1E99DD82"/>
    <w:rsid w:val="1E9BABED"/>
    <w:rsid w:val="1EA1538B"/>
    <w:rsid w:val="1ED5C055"/>
    <w:rsid w:val="1EE5D16E"/>
    <w:rsid w:val="1EE84D77"/>
    <w:rsid w:val="1EEF034E"/>
    <w:rsid w:val="1F026542"/>
    <w:rsid w:val="1F5F78DB"/>
    <w:rsid w:val="1F6232A5"/>
    <w:rsid w:val="1F664839"/>
    <w:rsid w:val="1FA28B26"/>
    <w:rsid w:val="1FAE2DF9"/>
    <w:rsid w:val="1FC841E7"/>
    <w:rsid w:val="1FE85D6E"/>
    <w:rsid w:val="2010A09B"/>
    <w:rsid w:val="2031E2AA"/>
    <w:rsid w:val="203C6E40"/>
    <w:rsid w:val="2041F701"/>
    <w:rsid w:val="20A45A9A"/>
    <w:rsid w:val="20AB9210"/>
    <w:rsid w:val="20DBC7B4"/>
    <w:rsid w:val="20FA29B3"/>
    <w:rsid w:val="215645BF"/>
    <w:rsid w:val="216A6C5D"/>
    <w:rsid w:val="218A9A6C"/>
    <w:rsid w:val="219E637F"/>
    <w:rsid w:val="21CDB594"/>
    <w:rsid w:val="2208EDE4"/>
    <w:rsid w:val="2272284D"/>
    <w:rsid w:val="2279D2A3"/>
    <w:rsid w:val="227AAF14"/>
    <w:rsid w:val="228C77F7"/>
    <w:rsid w:val="22B4E027"/>
    <w:rsid w:val="230B8042"/>
    <w:rsid w:val="232E538C"/>
    <w:rsid w:val="233ECC3D"/>
    <w:rsid w:val="237F2EEB"/>
    <w:rsid w:val="23B0B757"/>
    <w:rsid w:val="243B19CD"/>
    <w:rsid w:val="244FE1B0"/>
    <w:rsid w:val="2456A858"/>
    <w:rsid w:val="245FF27E"/>
    <w:rsid w:val="2474AA75"/>
    <w:rsid w:val="24C67379"/>
    <w:rsid w:val="24CCE9EF"/>
    <w:rsid w:val="24D7AC80"/>
    <w:rsid w:val="24DAC853"/>
    <w:rsid w:val="25054A57"/>
    <w:rsid w:val="25078A1B"/>
    <w:rsid w:val="251B278C"/>
    <w:rsid w:val="25527531"/>
    <w:rsid w:val="2560961E"/>
    <w:rsid w:val="2587B927"/>
    <w:rsid w:val="2590D678"/>
    <w:rsid w:val="25C5DC12"/>
    <w:rsid w:val="25F2DA5C"/>
    <w:rsid w:val="2606ABE8"/>
    <w:rsid w:val="26114B19"/>
    <w:rsid w:val="2615FB26"/>
    <w:rsid w:val="2618BA5C"/>
    <w:rsid w:val="262904D5"/>
    <w:rsid w:val="268960D8"/>
    <w:rsid w:val="26A9714F"/>
    <w:rsid w:val="26C61C5F"/>
    <w:rsid w:val="26E4E706"/>
    <w:rsid w:val="270B9B3F"/>
    <w:rsid w:val="272332B2"/>
    <w:rsid w:val="27668F31"/>
    <w:rsid w:val="277C36B9"/>
    <w:rsid w:val="2797A48D"/>
    <w:rsid w:val="27AC9566"/>
    <w:rsid w:val="27B37D0E"/>
    <w:rsid w:val="27B6D8A7"/>
    <w:rsid w:val="27BB8800"/>
    <w:rsid w:val="27EF9ED9"/>
    <w:rsid w:val="28236DD2"/>
    <w:rsid w:val="28237D2A"/>
    <w:rsid w:val="2827BDE9"/>
    <w:rsid w:val="28399160"/>
    <w:rsid w:val="289CB573"/>
    <w:rsid w:val="28ADB12C"/>
    <w:rsid w:val="28ECE249"/>
    <w:rsid w:val="28EF2020"/>
    <w:rsid w:val="28F52645"/>
    <w:rsid w:val="28FDF27C"/>
    <w:rsid w:val="291BBE9D"/>
    <w:rsid w:val="292AE39B"/>
    <w:rsid w:val="294F75FE"/>
    <w:rsid w:val="2972B0AB"/>
    <w:rsid w:val="29B124F3"/>
    <w:rsid w:val="29C51CD1"/>
    <w:rsid w:val="2A3AEF9A"/>
    <w:rsid w:val="2A3C0A35"/>
    <w:rsid w:val="2A43DA4B"/>
    <w:rsid w:val="2A47E4A6"/>
    <w:rsid w:val="2A4E99E2"/>
    <w:rsid w:val="2AB6E0D6"/>
    <w:rsid w:val="2ABBD113"/>
    <w:rsid w:val="2AC518DC"/>
    <w:rsid w:val="2B00679B"/>
    <w:rsid w:val="2B114F01"/>
    <w:rsid w:val="2B12152A"/>
    <w:rsid w:val="2B164BBB"/>
    <w:rsid w:val="2B5A8D32"/>
    <w:rsid w:val="2B7EC2E8"/>
    <w:rsid w:val="2B808607"/>
    <w:rsid w:val="2BCEF40F"/>
    <w:rsid w:val="2C098B91"/>
    <w:rsid w:val="2C13FDDC"/>
    <w:rsid w:val="2C5B5037"/>
    <w:rsid w:val="2C672B2A"/>
    <w:rsid w:val="2C79A894"/>
    <w:rsid w:val="2C9F5EEA"/>
    <w:rsid w:val="2CA9D9CB"/>
    <w:rsid w:val="2CD7CDB6"/>
    <w:rsid w:val="2CDF0CB7"/>
    <w:rsid w:val="2D0ABBC1"/>
    <w:rsid w:val="2D426FA6"/>
    <w:rsid w:val="2D50163B"/>
    <w:rsid w:val="2D77FECE"/>
    <w:rsid w:val="2D909687"/>
    <w:rsid w:val="2D929478"/>
    <w:rsid w:val="2E1BC3B4"/>
    <w:rsid w:val="2E31386D"/>
    <w:rsid w:val="2EA188AA"/>
    <w:rsid w:val="2EFA7D4D"/>
    <w:rsid w:val="2F19E3D1"/>
    <w:rsid w:val="2F20339A"/>
    <w:rsid w:val="2F3316DD"/>
    <w:rsid w:val="2F529224"/>
    <w:rsid w:val="2F691E90"/>
    <w:rsid w:val="2F78EAB0"/>
    <w:rsid w:val="2F7B6550"/>
    <w:rsid w:val="2F9E9CD1"/>
    <w:rsid w:val="2FC389C6"/>
    <w:rsid w:val="2FF0B603"/>
    <w:rsid w:val="3005876D"/>
    <w:rsid w:val="30255831"/>
    <w:rsid w:val="3093B4C6"/>
    <w:rsid w:val="309B45E4"/>
    <w:rsid w:val="30B84291"/>
    <w:rsid w:val="30C74353"/>
    <w:rsid w:val="3106314B"/>
    <w:rsid w:val="3152CAE0"/>
    <w:rsid w:val="3156791D"/>
    <w:rsid w:val="31868445"/>
    <w:rsid w:val="31897E99"/>
    <w:rsid w:val="31AC3411"/>
    <w:rsid w:val="31FCA27B"/>
    <w:rsid w:val="3251CE9B"/>
    <w:rsid w:val="32A7F60F"/>
    <w:rsid w:val="32A81EAF"/>
    <w:rsid w:val="32B22CF2"/>
    <w:rsid w:val="32DDA0BF"/>
    <w:rsid w:val="32DFEE98"/>
    <w:rsid w:val="3303D89B"/>
    <w:rsid w:val="33083F4D"/>
    <w:rsid w:val="332AD833"/>
    <w:rsid w:val="33631C2E"/>
    <w:rsid w:val="33F9904F"/>
    <w:rsid w:val="3438B6B7"/>
    <w:rsid w:val="3480407B"/>
    <w:rsid w:val="3498661C"/>
    <w:rsid w:val="34AD1E7E"/>
    <w:rsid w:val="353862D3"/>
    <w:rsid w:val="353E4A15"/>
    <w:rsid w:val="35684C80"/>
    <w:rsid w:val="35B89B09"/>
    <w:rsid w:val="35DF7409"/>
    <w:rsid w:val="35EEB5DD"/>
    <w:rsid w:val="35FBBBBB"/>
    <w:rsid w:val="3659E70E"/>
    <w:rsid w:val="365FBC15"/>
    <w:rsid w:val="3675513E"/>
    <w:rsid w:val="368F7649"/>
    <w:rsid w:val="3697F48F"/>
    <w:rsid w:val="36B8FE6B"/>
    <w:rsid w:val="36BE4DC2"/>
    <w:rsid w:val="37106DB9"/>
    <w:rsid w:val="372DD380"/>
    <w:rsid w:val="37544EF8"/>
    <w:rsid w:val="37873451"/>
    <w:rsid w:val="37A79F28"/>
    <w:rsid w:val="37C32B2D"/>
    <w:rsid w:val="37DAD846"/>
    <w:rsid w:val="37DCC815"/>
    <w:rsid w:val="37EBFC1E"/>
    <w:rsid w:val="37F11D84"/>
    <w:rsid w:val="381BB2A8"/>
    <w:rsid w:val="382E1C8D"/>
    <w:rsid w:val="3842A4A2"/>
    <w:rsid w:val="38674F08"/>
    <w:rsid w:val="386FA555"/>
    <w:rsid w:val="3882371D"/>
    <w:rsid w:val="38890076"/>
    <w:rsid w:val="388BEAF2"/>
    <w:rsid w:val="3893EFBC"/>
    <w:rsid w:val="38BC9CC6"/>
    <w:rsid w:val="38E0CD7A"/>
    <w:rsid w:val="38EE2C7B"/>
    <w:rsid w:val="38F53CF7"/>
    <w:rsid w:val="38FA3ED1"/>
    <w:rsid w:val="3920E768"/>
    <w:rsid w:val="392C17C2"/>
    <w:rsid w:val="3951BDCA"/>
    <w:rsid w:val="3953F5C7"/>
    <w:rsid w:val="39579EAD"/>
    <w:rsid w:val="39A7F7F9"/>
    <w:rsid w:val="39BA0029"/>
    <w:rsid w:val="3A24763D"/>
    <w:rsid w:val="3A2A38E3"/>
    <w:rsid w:val="3A31FC68"/>
    <w:rsid w:val="3A33D496"/>
    <w:rsid w:val="3A535463"/>
    <w:rsid w:val="3A576A5D"/>
    <w:rsid w:val="3A86A537"/>
    <w:rsid w:val="3A8FE737"/>
    <w:rsid w:val="3AE412CE"/>
    <w:rsid w:val="3AFEF8BD"/>
    <w:rsid w:val="3B322D17"/>
    <w:rsid w:val="3B5562C6"/>
    <w:rsid w:val="3B5EBE9B"/>
    <w:rsid w:val="3B67806D"/>
    <w:rsid w:val="3BB44C4C"/>
    <w:rsid w:val="3C5CA172"/>
    <w:rsid w:val="3C72090B"/>
    <w:rsid w:val="3C937948"/>
    <w:rsid w:val="3CA3545D"/>
    <w:rsid w:val="3D05AC3E"/>
    <w:rsid w:val="3D20C779"/>
    <w:rsid w:val="3D2AC85C"/>
    <w:rsid w:val="3D3B09D7"/>
    <w:rsid w:val="3D41BCCF"/>
    <w:rsid w:val="3D430FF7"/>
    <w:rsid w:val="3DED16ED"/>
    <w:rsid w:val="3DF22F48"/>
    <w:rsid w:val="3E596D9F"/>
    <w:rsid w:val="3E70DDFB"/>
    <w:rsid w:val="3E9B7881"/>
    <w:rsid w:val="3F0A14C5"/>
    <w:rsid w:val="3F108F34"/>
    <w:rsid w:val="3F90810D"/>
    <w:rsid w:val="3FC92187"/>
    <w:rsid w:val="3FF45FBA"/>
    <w:rsid w:val="4007D866"/>
    <w:rsid w:val="4018027E"/>
    <w:rsid w:val="402E8283"/>
    <w:rsid w:val="403BCEB3"/>
    <w:rsid w:val="4055C4CE"/>
    <w:rsid w:val="40A87F53"/>
    <w:rsid w:val="40C01149"/>
    <w:rsid w:val="40D8101F"/>
    <w:rsid w:val="40E63FB3"/>
    <w:rsid w:val="41010CAE"/>
    <w:rsid w:val="41273B63"/>
    <w:rsid w:val="4185A6D2"/>
    <w:rsid w:val="4186C18B"/>
    <w:rsid w:val="41D747A2"/>
    <w:rsid w:val="4227D869"/>
    <w:rsid w:val="425A645B"/>
    <w:rsid w:val="425BC895"/>
    <w:rsid w:val="425CB2F1"/>
    <w:rsid w:val="425DEE6A"/>
    <w:rsid w:val="426AF8C4"/>
    <w:rsid w:val="428BC90A"/>
    <w:rsid w:val="42EAF21B"/>
    <w:rsid w:val="42FEACFD"/>
    <w:rsid w:val="4330874C"/>
    <w:rsid w:val="4362E7AE"/>
    <w:rsid w:val="436B620D"/>
    <w:rsid w:val="43A30C0F"/>
    <w:rsid w:val="43AB3567"/>
    <w:rsid w:val="43B105A8"/>
    <w:rsid w:val="43D1AD9D"/>
    <w:rsid w:val="43EC3928"/>
    <w:rsid w:val="445DC788"/>
    <w:rsid w:val="449D1CEB"/>
    <w:rsid w:val="44B57B04"/>
    <w:rsid w:val="44BF7892"/>
    <w:rsid w:val="44CD51CC"/>
    <w:rsid w:val="4501B4EF"/>
    <w:rsid w:val="4525481A"/>
    <w:rsid w:val="452D0AFF"/>
    <w:rsid w:val="45869F17"/>
    <w:rsid w:val="45D07B26"/>
    <w:rsid w:val="45D52C8B"/>
    <w:rsid w:val="45DF3A6A"/>
    <w:rsid w:val="4615A9C7"/>
    <w:rsid w:val="46A50B1E"/>
    <w:rsid w:val="46B392D3"/>
    <w:rsid w:val="46CE1865"/>
    <w:rsid w:val="46E8D91F"/>
    <w:rsid w:val="46EC44AA"/>
    <w:rsid w:val="474F3D41"/>
    <w:rsid w:val="4765657C"/>
    <w:rsid w:val="4780B78E"/>
    <w:rsid w:val="47A12A3B"/>
    <w:rsid w:val="47B7FF0A"/>
    <w:rsid w:val="47FD2C8B"/>
    <w:rsid w:val="48493A24"/>
    <w:rsid w:val="486FAD50"/>
    <w:rsid w:val="489DEA45"/>
    <w:rsid w:val="48E4180F"/>
    <w:rsid w:val="490BE7DC"/>
    <w:rsid w:val="493E030D"/>
    <w:rsid w:val="494781D2"/>
    <w:rsid w:val="49532CB4"/>
    <w:rsid w:val="49780627"/>
    <w:rsid w:val="49818478"/>
    <w:rsid w:val="49B57375"/>
    <w:rsid w:val="49EAA477"/>
    <w:rsid w:val="4A0060AE"/>
    <w:rsid w:val="4A33B10A"/>
    <w:rsid w:val="4A42DDCB"/>
    <w:rsid w:val="4A44753B"/>
    <w:rsid w:val="4A6B8E11"/>
    <w:rsid w:val="4A7241BE"/>
    <w:rsid w:val="4A85E182"/>
    <w:rsid w:val="4AC8CC81"/>
    <w:rsid w:val="4ADDAF62"/>
    <w:rsid w:val="4B549329"/>
    <w:rsid w:val="4B5FB7CE"/>
    <w:rsid w:val="4BD6BF21"/>
    <w:rsid w:val="4BE53003"/>
    <w:rsid w:val="4BE5E6C8"/>
    <w:rsid w:val="4BF55480"/>
    <w:rsid w:val="4C3AB6E1"/>
    <w:rsid w:val="4C5A157A"/>
    <w:rsid w:val="4C5AEA43"/>
    <w:rsid w:val="4C6DBD78"/>
    <w:rsid w:val="4C736762"/>
    <w:rsid w:val="4C7754F9"/>
    <w:rsid w:val="4CB61DCC"/>
    <w:rsid w:val="4CB70B27"/>
    <w:rsid w:val="4CDE5A61"/>
    <w:rsid w:val="4CF8EF60"/>
    <w:rsid w:val="4D0376A1"/>
    <w:rsid w:val="4D8C7FAA"/>
    <w:rsid w:val="4D9B24B7"/>
    <w:rsid w:val="4DAB7E00"/>
    <w:rsid w:val="4DBAD394"/>
    <w:rsid w:val="4DFB0CFC"/>
    <w:rsid w:val="4E0552FA"/>
    <w:rsid w:val="4E12A087"/>
    <w:rsid w:val="4E20DC3C"/>
    <w:rsid w:val="4E3174AE"/>
    <w:rsid w:val="4E44961E"/>
    <w:rsid w:val="4E67069E"/>
    <w:rsid w:val="4EA50700"/>
    <w:rsid w:val="4F03B4A1"/>
    <w:rsid w:val="4F45C983"/>
    <w:rsid w:val="4F9F15E8"/>
    <w:rsid w:val="4FB13EA3"/>
    <w:rsid w:val="4FEA4827"/>
    <w:rsid w:val="50076170"/>
    <w:rsid w:val="5015C04A"/>
    <w:rsid w:val="501F8385"/>
    <w:rsid w:val="50268D9B"/>
    <w:rsid w:val="50556098"/>
    <w:rsid w:val="505F5902"/>
    <w:rsid w:val="50747FC3"/>
    <w:rsid w:val="50879709"/>
    <w:rsid w:val="50BBE37C"/>
    <w:rsid w:val="50C1D1CD"/>
    <w:rsid w:val="50C5DC6A"/>
    <w:rsid w:val="5105B947"/>
    <w:rsid w:val="512E4557"/>
    <w:rsid w:val="514FA4D7"/>
    <w:rsid w:val="51686FC1"/>
    <w:rsid w:val="51D6B5DE"/>
    <w:rsid w:val="5214883A"/>
    <w:rsid w:val="52302507"/>
    <w:rsid w:val="52438077"/>
    <w:rsid w:val="524FADF8"/>
    <w:rsid w:val="5260D394"/>
    <w:rsid w:val="52856A05"/>
    <w:rsid w:val="5298CF6E"/>
    <w:rsid w:val="52A7A8DD"/>
    <w:rsid w:val="52D2CCB4"/>
    <w:rsid w:val="52DC9BD2"/>
    <w:rsid w:val="52FBE47E"/>
    <w:rsid w:val="5307AC28"/>
    <w:rsid w:val="534412F8"/>
    <w:rsid w:val="534C708B"/>
    <w:rsid w:val="535BD78D"/>
    <w:rsid w:val="53CCB437"/>
    <w:rsid w:val="53D854E0"/>
    <w:rsid w:val="53F7C2EF"/>
    <w:rsid w:val="5418BE57"/>
    <w:rsid w:val="54617F11"/>
    <w:rsid w:val="54676F2F"/>
    <w:rsid w:val="547012B8"/>
    <w:rsid w:val="548FA2D6"/>
    <w:rsid w:val="5493890E"/>
    <w:rsid w:val="54B403AC"/>
    <w:rsid w:val="54E52960"/>
    <w:rsid w:val="55118022"/>
    <w:rsid w:val="553BE84F"/>
    <w:rsid w:val="5561FF60"/>
    <w:rsid w:val="556EA346"/>
    <w:rsid w:val="55810133"/>
    <w:rsid w:val="55ADF842"/>
    <w:rsid w:val="55E8EFD5"/>
    <w:rsid w:val="55FCF717"/>
    <w:rsid w:val="55FEF6D6"/>
    <w:rsid w:val="561C3E6C"/>
    <w:rsid w:val="5624F7ED"/>
    <w:rsid w:val="567ABCE9"/>
    <w:rsid w:val="568BDB9D"/>
    <w:rsid w:val="56AB8A2A"/>
    <w:rsid w:val="56CA2D84"/>
    <w:rsid w:val="56EFDF1D"/>
    <w:rsid w:val="570FE2FD"/>
    <w:rsid w:val="5714E2E2"/>
    <w:rsid w:val="5734FC12"/>
    <w:rsid w:val="575C4AD8"/>
    <w:rsid w:val="578A2D95"/>
    <w:rsid w:val="57E7797C"/>
    <w:rsid w:val="580D2BCC"/>
    <w:rsid w:val="584F5EB8"/>
    <w:rsid w:val="585CFE61"/>
    <w:rsid w:val="58C69473"/>
    <w:rsid w:val="58E3A4F7"/>
    <w:rsid w:val="5914DDDF"/>
    <w:rsid w:val="594E642E"/>
    <w:rsid w:val="596A8132"/>
    <w:rsid w:val="597D8060"/>
    <w:rsid w:val="5A216B67"/>
    <w:rsid w:val="5A36F02B"/>
    <w:rsid w:val="5A3D2215"/>
    <w:rsid w:val="5AB25188"/>
    <w:rsid w:val="5AC1BAB5"/>
    <w:rsid w:val="5AD8BCCF"/>
    <w:rsid w:val="5AF44C1E"/>
    <w:rsid w:val="5AF97FCB"/>
    <w:rsid w:val="5B5AE558"/>
    <w:rsid w:val="5B5E8845"/>
    <w:rsid w:val="5B78B1B0"/>
    <w:rsid w:val="5B964AB0"/>
    <w:rsid w:val="5BCA065B"/>
    <w:rsid w:val="5BF0F475"/>
    <w:rsid w:val="5C703172"/>
    <w:rsid w:val="5C7BB61B"/>
    <w:rsid w:val="5C889288"/>
    <w:rsid w:val="5C88CD6E"/>
    <w:rsid w:val="5C9C927E"/>
    <w:rsid w:val="5CB2987F"/>
    <w:rsid w:val="5CB6811B"/>
    <w:rsid w:val="5CDEC329"/>
    <w:rsid w:val="5CE7CE04"/>
    <w:rsid w:val="5CFE75C0"/>
    <w:rsid w:val="5D03BDC3"/>
    <w:rsid w:val="5DB620DD"/>
    <w:rsid w:val="5E63B7FE"/>
    <w:rsid w:val="5E640ACA"/>
    <w:rsid w:val="5EBB2983"/>
    <w:rsid w:val="5ED59664"/>
    <w:rsid w:val="5ED78E08"/>
    <w:rsid w:val="5EE1A372"/>
    <w:rsid w:val="5F2218E9"/>
    <w:rsid w:val="5F32E550"/>
    <w:rsid w:val="5F79708F"/>
    <w:rsid w:val="5F7B3744"/>
    <w:rsid w:val="5F9336D4"/>
    <w:rsid w:val="5F959770"/>
    <w:rsid w:val="5F9CC2E8"/>
    <w:rsid w:val="5FB143E8"/>
    <w:rsid w:val="5FCCB232"/>
    <w:rsid w:val="5FDA0D42"/>
    <w:rsid w:val="6006F91B"/>
    <w:rsid w:val="60099A18"/>
    <w:rsid w:val="601F7F63"/>
    <w:rsid w:val="6036A790"/>
    <w:rsid w:val="6066E0D6"/>
    <w:rsid w:val="60E71D01"/>
    <w:rsid w:val="60E90C65"/>
    <w:rsid w:val="6126F71E"/>
    <w:rsid w:val="613D1AF9"/>
    <w:rsid w:val="6156FC45"/>
    <w:rsid w:val="61663BBE"/>
    <w:rsid w:val="6192EDB7"/>
    <w:rsid w:val="61A0CCB6"/>
    <w:rsid w:val="62093EFF"/>
    <w:rsid w:val="620FB2E8"/>
    <w:rsid w:val="62333F05"/>
    <w:rsid w:val="625B81AF"/>
    <w:rsid w:val="62953680"/>
    <w:rsid w:val="62ABFA27"/>
    <w:rsid w:val="62B20ED3"/>
    <w:rsid w:val="62C31FF9"/>
    <w:rsid w:val="62D59FAD"/>
    <w:rsid w:val="62FCDE97"/>
    <w:rsid w:val="632234B2"/>
    <w:rsid w:val="632FEE7B"/>
    <w:rsid w:val="6354D58E"/>
    <w:rsid w:val="635FFF2E"/>
    <w:rsid w:val="636B20D4"/>
    <w:rsid w:val="638CB839"/>
    <w:rsid w:val="63BB61B8"/>
    <w:rsid w:val="64212B11"/>
    <w:rsid w:val="64312435"/>
    <w:rsid w:val="643A3854"/>
    <w:rsid w:val="64552DC3"/>
    <w:rsid w:val="6481ED05"/>
    <w:rsid w:val="649F98C5"/>
    <w:rsid w:val="64C667AF"/>
    <w:rsid w:val="64C9C7DB"/>
    <w:rsid w:val="64E0F0C7"/>
    <w:rsid w:val="64E36B8A"/>
    <w:rsid w:val="64F4BA9C"/>
    <w:rsid w:val="652E407D"/>
    <w:rsid w:val="6541BFB4"/>
    <w:rsid w:val="655081B1"/>
    <w:rsid w:val="6558CD78"/>
    <w:rsid w:val="655A2BFF"/>
    <w:rsid w:val="655CFF0D"/>
    <w:rsid w:val="65793CE6"/>
    <w:rsid w:val="65894C58"/>
    <w:rsid w:val="65E21ED2"/>
    <w:rsid w:val="6605A96D"/>
    <w:rsid w:val="667343D1"/>
    <w:rsid w:val="66742450"/>
    <w:rsid w:val="6714B2A5"/>
    <w:rsid w:val="677FB63D"/>
    <w:rsid w:val="67824E86"/>
    <w:rsid w:val="6796F4DE"/>
    <w:rsid w:val="67BCB6F2"/>
    <w:rsid w:val="67D49D37"/>
    <w:rsid w:val="67EFAD0F"/>
    <w:rsid w:val="68056AD3"/>
    <w:rsid w:val="6840CA36"/>
    <w:rsid w:val="6860269D"/>
    <w:rsid w:val="6863CBF0"/>
    <w:rsid w:val="6877D831"/>
    <w:rsid w:val="68DD13B8"/>
    <w:rsid w:val="68E5CA57"/>
    <w:rsid w:val="68FFE74E"/>
    <w:rsid w:val="6968AF32"/>
    <w:rsid w:val="69B63310"/>
    <w:rsid w:val="69FECB21"/>
    <w:rsid w:val="6A32093F"/>
    <w:rsid w:val="6A62B209"/>
    <w:rsid w:val="6A996F76"/>
    <w:rsid w:val="6A9E7709"/>
    <w:rsid w:val="6AC5AB15"/>
    <w:rsid w:val="6AD375A3"/>
    <w:rsid w:val="6AD4AE18"/>
    <w:rsid w:val="6AF8491F"/>
    <w:rsid w:val="6B5F0271"/>
    <w:rsid w:val="6B632290"/>
    <w:rsid w:val="6BC4C24C"/>
    <w:rsid w:val="6BD167B8"/>
    <w:rsid w:val="6BEDE0A5"/>
    <w:rsid w:val="6BFDCEE7"/>
    <w:rsid w:val="6C11E0C9"/>
    <w:rsid w:val="6C37E441"/>
    <w:rsid w:val="6C37E883"/>
    <w:rsid w:val="6C53CBFD"/>
    <w:rsid w:val="6C8F6892"/>
    <w:rsid w:val="6C93BBAA"/>
    <w:rsid w:val="6CCA0043"/>
    <w:rsid w:val="6CD6AC7C"/>
    <w:rsid w:val="6D71E9FC"/>
    <w:rsid w:val="6D90D12F"/>
    <w:rsid w:val="6DAF66E4"/>
    <w:rsid w:val="6DBB1BEE"/>
    <w:rsid w:val="6DCECF18"/>
    <w:rsid w:val="6DD4C371"/>
    <w:rsid w:val="6DF35B7F"/>
    <w:rsid w:val="6E027285"/>
    <w:rsid w:val="6E41034C"/>
    <w:rsid w:val="6E469D03"/>
    <w:rsid w:val="6E5B5F01"/>
    <w:rsid w:val="6E73AA01"/>
    <w:rsid w:val="6E8043BB"/>
    <w:rsid w:val="6E83F2DB"/>
    <w:rsid w:val="6E958D38"/>
    <w:rsid w:val="6EA65C63"/>
    <w:rsid w:val="6EAB24B3"/>
    <w:rsid w:val="6EDAA443"/>
    <w:rsid w:val="6EDDE438"/>
    <w:rsid w:val="6F169190"/>
    <w:rsid w:val="6F670431"/>
    <w:rsid w:val="6F9BBAC4"/>
    <w:rsid w:val="6FBC58E6"/>
    <w:rsid w:val="6FFC8EF9"/>
    <w:rsid w:val="70069BF4"/>
    <w:rsid w:val="701BBA1A"/>
    <w:rsid w:val="701BDDB5"/>
    <w:rsid w:val="703866ED"/>
    <w:rsid w:val="705D2628"/>
    <w:rsid w:val="7064FC91"/>
    <w:rsid w:val="70841BED"/>
    <w:rsid w:val="70F83285"/>
    <w:rsid w:val="7111F523"/>
    <w:rsid w:val="718EBE38"/>
    <w:rsid w:val="72D15E7D"/>
    <w:rsid w:val="734B09AE"/>
    <w:rsid w:val="73CED8A1"/>
    <w:rsid w:val="73CF6C7D"/>
    <w:rsid w:val="73FEA3E1"/>
    <w:rsid w:val="740D5804"/>
    <w:rsid w:val="749263C6"/>
    <w:rsid w:val="74A08E0C"/>
    <w:rsid w:val="74BCCEEB"/>
    <w:rsid w:val="74BD315D"/>
    <w:rsid w:val="74F83A53"/>
    <w:rsid w:val="74FC503F"/>
    <w:rsid w:val="75149E43"/>
    <w:rsid w:val="7553C11F"/>
    <w:rsid w:val="764792B6"/>
    <w:rsid w:val="76620841"/>
    <w:rsid w:val="7667D9B7"/>
    <w:rsid w:val="76B687EC"/>
    <w:rsid w:val="76C7304A"/>
    <w:rsid w:val="7722A28C"/>
    <w:rsid w:val="7766E1C9"/>
    <w:rsid w:val="778A68DE"/>
    <w:rsid w:val="77C28868"/>
    <w:rsid w:val="77D8AFC6"/>
    <w:rsid w:val="77E4E33E"/>
    <w:rsid w:val="77FB04F0"/>
    <w:rsid w:val="78251339"/>
    <w:rsid w:val="7826A317"/>
    <w:rsid w:val="7853B33A"/>
    <w:rsid w:val="78988FAE"/>
    <w:rsid w:val="78A2C95F"/>
    <w:rsid w:val="78AA34DF"/>
    <w:rsid w:val="78C443D0"/>
    <w:rsid w:val="78DF4650"/>
    <w:rsid w:val="78FD1074"/>
    <w:rsid w:val="79108195"/>
    <w:rsid w:val="792A3D5F"/>
    <w:rsid w:val="795C2DB5"/>
    <w:rsid w:val="797E97E7"/>
    <w:rsid w:val="79A4B35C"/>
    <w:rsid w:val="79C41C87"/>
    <w:rsid w:val="79DA10CE"/>
    <w:rsid w:val="7A23866B"/>
    <w:rsid w:val="7A36AB00"/>
    <w:rsid w:val="7A5016DC"/>
    <w:rsid w:val="7A64305F"/>
    <w:rsid w:val="7A6B0F2B"/>
    <w:rsid w:val="7A9C22DC"/>
    <w:rsid w:val="7AAC13E0"/>
    <w:rsid w:val="7AC2B42D"/>
    <w:rsid w:val="7ADE5F9D"/>
    <w:rsid w:val="7B08D1F3"/>
    <w:rsid w:val="7B1C1ABC"/>
    <w:rsid w:val="7B5D5FDE"/>
    <w:rsid w:val="7B8CB7A2"/>
    <w:rsid w:val="7BB0B233"/>
    <w:rsid w:val="7BE475B1"/>
    <w:rsid w:val="7BE90A76"/>
    <w:rsid w:val="7BF10244"/>
    <w:rsid w:val="7BF576E6"/>
    <w:rsid w:val="7C0B9288"/>
    <w:rsid w:val="7C1562BD"/>
    <w:rsid w:val="7C25AC55"/>
    <w:rsid w:val="7C6BD82B"/>
    <w:rsid w:val="7C8D7A82"/>
    <w:rsid w:val="7C9CA0D5"/>
    <w:rsid w:val="7CBE8DF4"/>
    <w:rsid w:val="7D39A216"/>
    <w:rsid w:val="7D515DC0"/>
    <w:rsid w:val="7D605035"/>
    <w:rsid w:val="7D70EF8D"/>
    <w:rsid w:val="7D87E3B2"/>
    <w:rsid w:val="7D8E18BC"/>
    <w:rsid w:val="7DABE842"/>
    <w:rsid w:val="7DCC72F7"/>
    <w:rsid w:val="7E07ECFD"/>
    <w:rsid w:val="7E0E35F5"/>
    <w:rsid w:val="7E67A8DC"/>
    <w:rsid w:val="7E93F686"/>
    <w:rsid w:val="7E9EFDFE"/>
    <w:rsid w:val="7E9F8101"/>
    <w:rsid w:val="7EC25780"/>
    <w:rsid w:val="7ED95095"/>
    <w:rsid w:val="7EDC3B77"/>
    <w:rsid w:val="7EE4B221"/>
    <w:rsid w:val="7EF447DF"/>
    <w:rsid w:val="7F93B8DD"/>
    <w:rsid w:val="7FB9F6C4"/>
    <w:rsid w:val="7FCDE339"/>
    <w:rsid w:val="7FF77DA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3270282"/>
  <w15:docId w15:val="{5C94983E-2AA8-404E-8372-9BA565924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6D5D"/>
    <w:rPr>
      <w:color w:val="0000FF" w:themeColor="hyperlink"/>
      <w:u w:val="single"/>
    </w:rPr>
  </w:style>
  <w:style w:type="character" w:customStyle="1" w:styleId="cf01">
    <w:name w:val="cf01"/>
    <w:basedOn w:val="DefaultParagraphFont"/>
    <w:rsid w:val="00446D5D"/>
    <w:rPr>
      <w:rFonts w:ascii="Segoe UI" w:hAnsi="Segoe UI" w:cs="Segoe UI" w:hint="default"/>
      <w:color w:val="333333"/>
      <w:sz w:val="18"/>
      <w:szCs w:val="18"/>
      <w:shd w:val="clear" w:color="auto" w:fill="FFFFFF"/>
    </w:rPr>
  </w:style>
  <w:style w:type="paragraph" w:styleId="ListBullet">
    <w:name w:val="List Bullet"/>
    <w:basedOn w:val="Normal"/>
    <w:uiPriority w:val="99"/>
    <w:semiHidden/>
    <w:unhideWhenUsed/>
    <w:rsid w:val="00CB1623"/>
    <w:pPr>
      <w:numPr>
        <w:numId w:val="1"/>
      </w:numPr>
      <w:contextualSpacing/>
    </w:pPr>
  </w:style>
  <w:style w:type="paragraph" w:styleId="ListBullet2">
    <w:name w:val="List Bullet 2"/>
    <w:basedOn w:val="Normal"/>
    <w:uiPriority w:val="99"/>
    <w:semiHidden/>
    <w:unhideWhenUsed/>
    <w:rsid w:val="00CB1623"/>
    <w:pPr>
      <w:numPr>
        <w:numId w:val="2"/>
      </w:numPr>
      <w:contextualSpacing/>
    </w:pPr>
  </w:style>
  <w:style w:type="paragraph" w:styleId="ListBullet3">
    <w:name w:val="List Bullet 3"/>
    <w:basedOn w:val="Normal"/>
    <w:uiPriority w:val="99"/>
    <w:semiHidden/>
    <w:unhideWhenUsed/>
    <w:rsid w:val="00CB1623"/>
    <w:pPr>
      <w:numPr>
        <w:numId w:val="3"/>
      </w:numPr>
      <w:contextualSpacing/>
    </w:pPr>
  </w:style>
  <w:style w:type="paragraph" w:styleId="ListBullet4">
    <w:name w:val="List Bullet 4"/>
    <w:basedOn w:val="Normal"/>
    <w:uiPriority w:val="99"/>
    <w:semiHidden/>
    <w:unhideWhenUsed/>
    <w:rsid w:val="00CB1623"/>
    <w:pPr>
      <w:numPr>
        <w:numId w:val="4"/>
      </w:numPr>
      <w:contextualSpacing/>
    </w:pPr>
  </w:style>
  <w:style w:type="character" w:styleId="CommentReference">
    <w:name w:val="annotation reference"/>
    <w:basedOn w:val="DefaultParagraphFont"/>
    <w:uiPriority w:val="99"/>
    <w:semiHidden/>
    <w:unhideWhenUsed/>
    <w:rsid w:val="000B49AE"/>
    <w:rPr>
      <w:sz w:val="16"/>
      <w:szCs w:val="16"/>
    </w:rPr>
  </w:style>
  <w:style w:type="paragraph" w:styleId="CommentText">
    <w:name w:val="annotation text"/>
    <w:basedOn w:val="Normal"/>
    <w:link w:val="CommentTextChar"/>
    <w:uiPriority w:val="99"/>
    <w:unhideWhenUsed/>
    <w:rsid w:val="000B49AE"/>
    <w:rPr>
      <w:sz w:val="20"/>
      <w:szCs w:val="20"/>
    </w:rPr>
  </w:style>
  <w:style w:type="character" w:customStyle="1" w:styleId="CommentTextChar">
    <w:name w:val="Comment Text Char"/>
    <w:basedOn w:val="DefaultParagraphFont"/>
    <w:link w:val="CommentText"/>
    <w:uiPriority w:val="99"/>
    <w:rsid w:val="000B49AE"/>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0B49AE"/>
    <w:rPr>
      <w:b/>
      <w:bCs/>
    </w:rPr>
  </w:style>
  <w:style w:type="character" w:customStyle="1" w:styleId="CommentSubjectChar">
    <w:name w:val="Comment Subject Char"/>
    <w:basedOn w:val="CommentTextChar"/>
    <w:link w:val="CommentSubject"/>
    <w:uiPriority w:val="99"/>
    <w:semiHidden/>
    <w:rsid w:val="000B49AE"/>
    <w:rPr>
      <w:rFonts w:ascii="Times New Roman" w:hAnsi="Times New Roman" w:cs="Times New Roman"/>
      <w:b/>
      <w:bCs/>
      <w:sz w:val="20"/>
      <w:szCs w:val="20"/>
      <w:lang w:val="fr-FR"/>
    </w:rPr>
  </w:style>
  <w:style w:type="paragraph" w:styleId="Revision">
    <w:name w:val="Revision"/>
    <w:hidden/>
    <w:uiPriority w:val="99"/>
    <w:semiHidden/>
    <w:rsid w:val="00AC6F86"/>
    <w:pPr>
      <w:spacing w:after="0" w:line="240" w:lineRule="auto"/>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D02DDA"/>
    <w:rPr>
      <w:color w:val="605E5C"/>
      <w:shd w:val="clear" w:color="auto" w:fill="E1DFDD"/>
    </w:rPr>
  </w:style>
  <w:style w:type="character" w:customStyle="1" w:styleId="normaltextrun">
    <w:name w:val="normaltextrun"/>
    <w:basedOn w:val="DefaultParagraphFont"/>
    <w:rsid w:val="006E0D23"/>
  </w:style>
  <w:style w:type="character" w:customStyle="1" w:styleId="UnresolvedMention">
    <w:name w:val="Unresolved Mention"/>
    <w:basedOn w:val="DefaultParagraphFont"/>
    <w:uiPriority w:val="99"/>
    <w:semiHidden/>
    <w:unhideWhenUsed/>
    <w:rsid w:val="00C25CCF"/>
    <w:rPr>
      <w:color w:val="605E5C"/>
      <w:shd w:val="clear" w:color="auto" w:fill="E1DFDD"/>
    </w:rPr>
  </w:style>
  <w:style w:type="paragraph" w:customStyle="1" w:styleId="LegalNumPar">
    <w:name w:val="LegalNumPar"/>
    <w:basedOn w:val="Normal"/>
    <w:rsid w:val="005637E7"/>
    <w:pPr>
      <w:numPr>
        <w:numId w:val="5"/>
      </w:numPr>
      <w:spacing w:line="360" w:lineRule="auto"/>
    </w:pPr>
  </w:style>
  <w:style w:type="paragraph" w:customStyle="1" w:styleId="LegalNumPar2">
    <w:name w:val="LegalNumPar2"/>
    <w:basedOn w:val="Normal"/>
    <w:rsid w:val="005637E7"/>
    <w:pPr>
      <w:numPr>
        <w:ilvl w:val="1"/>
        <w:numId w:val="5"/>
      </w:numPr>
      <w:spacing w:line="360" w:lineRule="auto"/>
    </w:pPr>
  </w:style>
  <w:style w:type="paragraph" w:customStyle="1" w:styleId="LegalNumPar3">
    <w:name w:val="LegalNumPar3"/>
    <w:basedOn w:val="Normal"/>
    <w:rsid w:val="005637E7"/>
    <w:pPr>
      <w:numPr>
        <w:ilvl w:val="2"/>
        <w:numId w:val="5"/>
      </w:numPr>
      <w:spacing w:line="360" w:lineRule="auto"/>
    </w:pPr>
  </w:style>
  <w:style w:type="character" w:customStyle="1" w:styleId="Mention">
    <w:name w:val="Mention"/>
    <w:basedOn w:val="DefaultParagraphFont"/>
    <w:uiPriority w:val="99"/>
    <w:unhideWhenUsed/>
    <w:rsid w:val="00445EA7"/>
    <w:rPr>
      <w:color w:val="2B579A"/>
      <w:shd w:val="clear" w:color="auto" w:fill="E1DFDD"/>
    </w:rPr>
  </w:style>
  <w:style w:type="paragraph" w:styleId="ListParagraph">
    <w:name w:val="List Paragraph"/>
    <w:basedOn w:val="Normal"/>
    <w:uiPriority w:val="34"/>
    <w:qFormat/>
    <w:rsid w:val="00DA7DB3"/>
    <w:pPr>
      <w:ind w:left="720"/>
      <w:contextualSpacing/>
    </w:pPr>
  </w:style>
  <w:style w:type="character" w:customStyle="1" w:styleId="HeaderChar">
    <w:name w:val="Header Char"/>
    <w:basedOn w:val="DefaultParagraphFont"/>
    <w:link w:val="Header"/>
    <w:uiPriority w:val="99"/>
    <w:rsid w:val="0042064C"/>
    <w:rPr>
      <w:rFonts w:ascii="Times New Roman" w:hAnsi="Times New Roman" w:cs="Times New Roman"/>
      <w:sz w:val="24"/>
      <w:lang w:val="fr-FR"/>
    </w:rPr>
  </w:style>
  <w:style w:type="character" w:customStyle="1" w:styleId="FooterChar">
    <w:name w:val="Footer Char"/>
    <w:basedOn w:val="DefaultParagraphFont"/>
    <w:link w:val="Footer"/>
    <w:uiPriority w:val="99"/>
    <w:rsid w:val="0042064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2064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2064C"/>
    <w:pPr>
      <w:spacing w:before="0"/>
      <w:jc w:val="right"/>
    </w:pPr>
    <w:rPr>
      <w:sz w:val="28"/>
    </w:rPr>
  </w:style>
  <w:style w:type="paragraph" w:customStyle="1" w:styleId="FooterSensitivity">
    <w:name w:val="Footer Sensitivity"/>
    <w:basedOn w:val="Normal"/>
    <w:rsid w:val="0042064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2064C"/>
    <w:pPr>
      <w:tabs>
        <w:tab w:val="center" w:pos="4535"/>
        <w:tab w:val="right" w:pos="9071"/>
      </w:tabs>
      <w:spacing w:before="0"/>
    </w:pPr>
  </w:style>
  <w:style w:type="paragraph" w:customStyle="1" w:styleId="HeaderLandscape">
    <w:name w:val="HeaderLandscape"/>
    <w:basedOn w:val="Normal"/>
    <w:rsid w:val="0042064C"/>
    <w:pPr>
      <w:tabs>
        <w:tab w:val="center" w:pos="7285"/>
        <w:tab w:val="right" w:pos="14003"/>
      </w:tabs>
      <w:spacing w:before="0"/>
    </w:pPr>
  </w:style>
  <w:style w:type="paragraph" w:styleId="Footer">
    <w:name w:val="footer"/>
    <w:basedOn w:val="Normal"/>
    <w:link w:val="FooterChar"/>
    <w:uiPriority w:val="99"/>
    <w:unhideWhenUsed/>
    <w:rsid w:val="0042064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2064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192451">
      <w:bodyDiv w:val="1"/>
      <w:marLeft w:val="0"/>
      <w:marRight w:val="0"/>
      <w:marTop w:val="0"/>
      <w:marBottom w:val="0"/>
      <w:divBdr>
        <w:top w:val="none" w:sz="0" w:space="0" w:color="auto"/>
        <w:left w:val="none" w:sz="0" w:space="0" w:color="auto"/>
        <w:bottom w:val="none" w:sz="0" w:space="0" w:color="auto"/>
        <w:right w:val="none" w:sz="0" w:space="0" w:color="auto"/>
      </w:divBdr>
      <w:divsChild>
        <w:div w:id="1618176328">
          <w:marLeft w:val="0"/>
          <w:marRight w:val="0"/>
          <w:marTop w:val="0"/>
          <w:marBottom w:val="0"/>
          <w:divBdr>
            <w:top w:val="none" w:sz="0" w:space="0" w:color="auto"/>
            <w:left w:val="none" w:sz="0" w:space="0" w:color="auto"/>
            <w:bottom w:val="none" w:sz="0" w:space="0" w:color="auto"/>
            <w:right w:val="none" w:sz="0" w:space="0" w:color="auto"/>
          </w:divBdr>
        </w:div>
      </w:divsChild>
    </w:div>
    <w:div w:id="1103107931">
      <w:bodyDiv w:val="1"/>
      <w:marLeft w:val="0"/>
      <w:marRight w:val="0"/>
      <w:marTop w:val="0"/>
      <w:marBottom w:val="0"/>
      <w:divBdr>
        <w:top w:val="none" w:sz="0" w:space="0" w:color="auto"/>
        <w:left w:val="none" w:sz="0" w:space="0" w:color="auto"/>
        <w:bottom w:val="none" w:sz="0" w:space="0" w:color="auto"/>
        <w:right w:val="none" w:sz="0" w:space="0" w:color="auto"/>
      </w:divBdr>
    </w:div>
    <w:div w:id="1532842187">
      <w:bodyDiv w:val="1"/>
      <w:marLeft w:val="0"/>
      <w:marRight w:val="0"/>
      <w:marTop w:val="0"/>
      <w:marBottom w:val="0"/>
      <w:divBdr>
        <w:top w:val="none" w:sz="0" w:space="0" w:color="auto"/>
        <w:left w:val="none" w:sz="0" w:space="0" w:color="auto"/>
        <w:bottom w:val="none" w:sz="0" w:space="0" w:color="auto"/>
        <w:right w:val="none" w:sz="0" w:space="0" w:color="auto"/>
      </w:divBdr>
    </w:div>
    <w:div w:id="200542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2026/258/oj" TargetMode="External"/><Relationship Id="rId1" Type="http://schemas.openxmlformats.org/officeDocument/2006/relationships/hyperlink" Target="http://data.europa.eu/eli/reg/2026/46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6A81E-4273-4C1C-94EB-347DEC0EBD30}">
  <ds:schemaRefs>
    <ds:schemaRef ds:uri="http://schemas.microsoft.com/sharepoint/v3/contenttype/forms"/>
  </ds:schemaRefs>
</ds:datastoreItem>
</file>

<file path=customXml/itemProps2.xml><?xml version="1.0" encoding="utf-8"?>
<ds:datastoreItem xmlns:ds="http://schemas.openxmlformats.org/officeDocument/2006/customXml" ds:itemID="{39FFCBC5-DA67-4D89-9458-2D83D2E9D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7E8230-EA63-49C6-BB9C-D2E2FBF3C148}">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4.xml><?xml version="1.0" encoding="utf-8"?>
<ds:datastoreItem xmlns:ds="http://schemas.openxmlformats.org/officeDocument/2006/customXml" ds:itemID="{EB935ABE-8F08-4198-A5A0-117B8EEFE871}">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3</TotalTime>
  <Pages>5</Pages>
  <Words>1566</Words>
  <Characters>8930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2026-04-08T06:32:00Z</dcterms:created>
  <dcterms:modified xsi:type="dcterms:W3CDTF">2026-04-09T12:10:00Z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Version">
    <vt:lpwstr>8.0.25.0</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2024-07-17T11:37:53Z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00b229e1-a42a-4753-93f8-f11c8b4585bb</vt:lpwstr>
  </property>
  <property fmtid="{D5CDD505-2E9C-101B-9397-08002B2CF9AE}" pid="16" name="MSIP_Label_6bd9ddd1-4d20-43f6-abfa-fc3c07406f94_ContentBits">
    <vt:lpwstr>0</vt:lpwstr>
  </property>
  <property fmtid="{D5CDD505-2E9C-101B-9397-08002B2CF9AE}" pid="17" name="ContentTypeId">
    <vt:lpwstr>0x01010089A035B8C3EAA64A9CFE17FEB37C94B7</vt:lpwstr>
  </property>
  <property fmtid="{D5CDD505-2E9C-101B-9397-08002B2CF9AE}" pid="18" name="MediaServiceImageTags">
    <vt:lpwstr/>
  </property>
  <property fmtid="{D5CDD505-2E9C-101B-9397-08002B2CF9AE}" pid="19" name="DQCStatus">
    <vt:lpwstr>Green (DQC version 03)</vt:lpwstr>
  </property>
</Properties>
</file>