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DA568" w14:textId="4E55C33F" w:rsidR="001874FD" w:rsidRDefault="00D1598B" w:rsidP="00D1598B">
      <w:pPr>
        <w:pStyle w:val="Pagedecouverture"/>
        <w:rPr>
          <w:noProof/>
        </w:rPr>
      </w:pPr>
      <w:r>
        <w:rPr>
          <w:noProof/>
        </w:rPr>
        <w:pict w14:anchorId="0AF7D3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127B56-6EBC-4E75-98B9-43CDFCB75A2B" style="width:455.25pt;height:342.75pt">
            <v:imagedata r:id="rId11" o:title=""/>
          </v:shape>
        </w:pict>
      </w:r>
    </w:p>
    <w:p w14:paraId="7CAF2CEB" w14:textId="77777777" w:rsidR="001874FD" w:rsidRDefault="001874FD" w:rsidP="001874FD">
      <w:pPr>
        <w:rPr>
          <w:noProof/>
        </w:rPr>
        <w:sectPr w:rsidR="001874FD" w:rsidSect="00D1598B">
          <w:footerReference w:type="even" r:id="rId12"/>
          <w:footerReference w:type="default" r:id="rId13"/>
          <w:pgSz w:w="11907" w:h="16839"/>
          <w:pgMar w:top="1134" w:right="1417" w:bottom="1134" w:left="1417" w:header="709" w:footer="709" w:gutter="0"/>
          <w:pgNumType w:start="0"/>
          <w:cols w:space="720"/>
          <w:docGrid w:linePitch="360"/>
        </w:sectPr>
      </w:pPr>
    </w:p>
    <w:p w14:paraId="675B1EAB" w14:textId="77777777" w:rsidR="001874FD" w:rsidRPr="004603FD" w:rsidRDefault="001874FD">
      <w:pPr>
        <w:pStyle w:val="Exposdesmotifstitre"/>
        <w:rPr>
          <w:noProof/>
          <w:lang w:val="fr-BE"/>
        </w:rPr>
      </w:pPr>
      <w:bookmarkStart w:id="0" w:name="_GoBack"/>
      <w:bookmarkEnd w:id="0"/>
      <w:r w:rsidRPr="004603FD">
        <w:rPr>
          <w:noProof/>
          <w:lang w:val="fr-BE"/>
        </w:rPr>
        <w:lastRenderedPageBreak/>
        <w:t>EXPOSÉ DES MOTIFS</w:t>
      </w:r>
    </w:p>
    <w:p w14:paraId="6342BE46" w14:textId="67EFBE06" w:rsidR="001874FD" w:rsidRDefault="001874FD" w:rsidP="001874FD">
      <w:pPr>
        <w:pStyle w:val="ManualNumPar1"/>
        <w:rPr>
          <w:noProof/>
        </w:rPr>
      </w:pPr>
      <w:r>
        <w:rPr>
          <w:noProof/>
        </w:rPr>
        <w:t>1.</w:t>
      </w:r>
      <w:r>
        <w:rPr>
          <w:noProof/>
        </w:rPr>
        <w:tab/>
        <w:t xml:space="preserve">Le </w:t>
      </w:r>
      <w:r w:rsidR="00AF036B">
        <w:rPr>
          <w:noProof/>
        </w:rPr>
        <w:t xml:space="preserve">20 </w:t>
      </w:r>
      <w:r w:rsidR="00431DC9">
        <w:rPr>
          <w:noProof/>
        </w:rPr>
        <w:t>juin</w:t>
      </w:r>
      <w:r w:rsidR="00AF036B">
        <w:rPr>
          <w:noProof/>
        </w:rPr>
        <w:t xml:space="preserve"> 2024, </w:t>
      </w:r>
      <w:r>
        <w:rPr>
          <w:noProof/>
        </w:rPr>
        <w:t xml:space="preserve">la Commission a présenté une proposition de règlement du Parlement européen et du Conseil codifiant le règlement </w:t>
      </w:r>
      <w:r w:rsidR="00976B9C">
        <w:rPr>
          <w:noProof/>
        </w:rPr>
        <w:t>(CE)</w:t>
      </w:r>
      <w:r w:rsidR="00C3064B">
        <w:rPr>
          <w:noProof/>
        </w:rPr>
        <w:t> </w:t>
      </w:r>
      <w:r w:rsidR="00976B9C">
        <w:rPr>
          <w:noProof/>
        </w:rPr>
        <w:t xml:space="preserve">n° 138/2004 </w:t>
      </w:r>
      <w:r>
        <w:rPr>
          <w:noProof/>
        </w:rPr>
        <w:t xml:space="preserve">du Parlement européen et du Conseil, du </w:t>
      </w:r>
      <w:r w:rsidR="00976B9C">
        <w:rPr>
          <w:noProof/>
        </w:rPr>
        <w:t>5 décembre 2003</w:t>
      </w:r>
      <w:r>
        <w:rPr>
          <w:noProof/>
        </w:rPr>
        <w:t xml:space="preserve"> </w:t>
      </w:r>
      <w:r w:rsidR="00976B9C" w:rsidRPr="00976B9C">
        <w:rPr>
          <w:noProof/>
        </w:rPr>
        <w:t>relatif aux comptes économiques de l'agriculture dans la Communauté</w:t>
      </w:r>
      <w:r w:rsidR="00A5764C">
        <w:rPr>
          <w:rStyle w:val="FootnoteReference"/>
          <w:noProof/>
        </w:rPr>
        <w:footnoteReference w:id="1"/>
      </w:r>
      <w:r>
        <w:rPr>
          <w:noProof/>
        </w:rPr>
        <w:t>.</w:t>
      </w:r>
    </w:p>
    <w:p w14:paraId="128A5D7F" w14:textId="7CC815DC" w:rsidR="001874FD" w:rsidRDefault="001874FD" w:rsidP="001874FD">
      <w:pPr>
        <w:pStyle w:val="ManualNumPar1"/>
        <w:rPr>
          <w:noProof/>
        </w:rPr>
      </w:pPr>
      <w:r>
        <w:rPr>
          <w:noProof/>
        </w:rPr>
        <w:t>2.</w:t>
      </w:r>
      <w:r>
        <w:rPr>
          <w:noProof/>
        </w:rPr>
        <w:tab/>
        <w:t xml:space="preserve">Dans son avis du </w:t>
      </w:r>
      <w:r w:rsidR="00343711">
        <w:rPr>
          <w:noProof/>
        </w:rPr>
        <w:t>25 octobre 2024</w:t>
      </w:r>
      <w:r>
        <w:rPr>
          <w:noProof/>
        </w:rPr>
        <w:t>, le Groupe consultatif des services juridiques créé en vertu de l'accord interinstitutionnel du 20 décembre 1994 sur une méthode de travail accélérée pour la codification officielle des textes législatifs</w:t>
      </w:r>
      <w:r w:rsidR="00A5764C">
        <w:rPr>
          <w:rStyle w:val="FootnoteReference"/>
          <w:noProof/>
        </w:rPr>
        <w:footnoteReference w:id="2"/>
      </w:r>
      <w:r>
        <w:rPr>
          <w:noProof/>
        </w:rPr>
        <w:t xml:space="preserve"> a déclaré que la proposition visée au point 1 se limite effectivement à une codification pure et simple, sans modification de substance des actes qui en font l'objet.</w:t>
      </w:r>
    </w:p>
    <w:p w14:paraId="7182E68E" w14:textId="524F934F" w:rsidR="001874FD" w:rsidRDefault="00343711" w:rsidP="001874FD">
      <w:pPr>
        <w:pStyle w:val="ManualNumPar1"/>
        <w:rPr>
          <w:noProof/>
        </w:rPr>
      </w:pPr>
      <w:r>
        <w:rPr>
          <w:noProof/>
        </w:rPr>
        <w:t>3</w:t>
      </w:r>
      <w:r w:rsidR="001874FD">
        <w:rPr>
          <w:noProof/>
        </w:rPr>
        <w:t>.</w:t>
      </w:r>
      <w:r w:rsidR="001874FD">
        <w:rPr>
          <w:noProof/>
        </w:rPr>
        <w:tab/>
        <w:t xml:space="preserve">Eu </w:t>
      </w:r>
      <w:r w:rsidR="001874FD" w:rsidRPr="00950AE9">
        <w:rPr>
          <w:noProof/>
        </w:rPr>
        <w:t xml:space="preserve">égard </w:t>
      </w:r>
      <w:r w:rsidR="00431DC9" w:rsidRPr="00950AE9">
        <w:rPr>
          <w:noProof/>
        </w:rPr>
        <w:t>à la</w:t>
      </w:r>
      <w:r w:rsidR="001874FD" w:rsidRPr="00950AE9">
        <w:rPr>
          <w:noProof/>
        </w:rPr>
        <w:t xml:space="preserve"> modification</w:t>
      </w:r>
      <w:r w:rsidR="001874FD" w:rsidRPr="00950AE9">
        <w:rPr>
          <w:rStyle w:val="FootnoteReference"/>
          <w:noProof/>
        </w:rPr>
        <w:footnoteReference w:id="3"/>
      </w:r>
      <w:r w:rsidR="001874FD" w:rsidRPr="00950AE9">
        <w:rPr>
          <w:noProof/>
        </w:rPr>
        <w:t xml:space="preserve"> qui </w:t>
      </w:r>
      <w:r w:rsidR="00431DC9" w:rsidRPr="00950AE9">
        <w:rPr>
          <w:noProof/>
        </w:rPr>
        <w:t xml:space="preserve">a </w:t>
      </w:r>
      <w:r w:rsidR="001874FD" w:rsidRPr="00950AE9">
        <w:rPr>
          <w:noProof/>
        </w:rPr>
        <w:t>été apportée</w:t>
      </w:r>
      <w:r w:rsidR="001874FD">
        <w:rPr>
          <w:noProof/>
        </w:rPr>
        <w:t xml:space="preserve"> à la proposition visée au point 1 et aux travaux déjà réalisés au cours de la procédure législative, la Commission a décidé de présenter, conformément à l'article 293, paragraphe 2, du TFUE, une</w:t>
      </w:r>
      <w:r w:rsidR="00C3064B">
        <w:rPr>
          <w:noProof/>
        </w:rPr>
        <w:t xml:space="preserve"> </w:t>
      </w:r>
      <w:r w:rsidR="001874FD">
        <w:rPr>
          <w:noProof/>
        </w:rPr>
        <w:t>proposition modifiée de codification du règlement en question.</w:t>
      </w:r>
    </w:p>
    <w:p w14:paraId="670BC2C0" w14:textId="638C9709" w:rsidR="001874FD" w:rsidRDefault="00E12C4D" w:rsidP="001874FD">
      <w:pPr>
        <w:pStyle w:val="ManualNumPar1"/>
        <w:rPr>
          <w:noProof/>
        </w:rPr>
      </w:pPr>
      <w:r>
        <w:rPr>
          <w:noProof/>
        </w:rPr>
        <w:t>4</w:t>
      </w:r>
      <w:r w:rsidR="001874FD">
        <w:rPr>
          <w:noProof/>
        </w:rPr>
        <w:t>.</w:t>
      </w:r>
      <w:r w:rsidR="001874FD">
        <w:rPr>
          <w:noProof/>
        </w:rPr>
        <w:tab/>
        <w:t xml:space="preserve">Par rapport à la </w:t>
      </w:r>
      <w:r w:rsidR="001874FD" w:rsidRPr="00F31FE3">
        <w:rPr>
          <w:noProof/>
        </w:rPr>
        <w:t>proposition</w:t>
      </w:r>
      <w:r w:rsidR="001874FD" w:rsidDel="008D4DC0">
        <w:rPr>
          <w:noProof/>
        </w:rPr>
        <w:t xml:space="preserve"> </w:t>
      </w:r>
      <w:r w:rsidR="001874FD">
        <w:rPr>
          <w:noProof/>
        </w:rPr>
        <w:t>vis</w:t>
      </w:r>
      <w:r w:rsidR="001874FD">
        <w:rPr>
          <w:noProof/>
          <w:lang w:val="fr-BE"/>
        </w:rPr>
        <w:t>é</w:t>
      </w:r>
      <w:r w:rsidR="001874FD">
        <w:rPr>
          <w:noProof/>
        </w:rPr>
        <w:t>e au point 1, les changements apportés par la présente proposition modifiée sont les suivants</w:t>
      </w:r>
      <w:r w:rsidR="006F3B30">
        <w:rPr>
          <w:noProof/>
        </w:rPr>
        <w:t> </w:t>
      </w:r>
      <w:r w:rsidR="001874FD">
        <w:rPr>
          <w:noProof/>
        </w:rPr>
        <w:t>:</w:t>
      </w:r>
    </w:p>
    <w:p w14:paraId="0B9BF134" w14:textId="06AB3D31" w:rsidR="006F3B30" w:rsidRDefault="001874FD" w:rsidP="006F3B30">
      <w:pPr>
        <w:pStyle w:val="Point1"/>
        <w:rPr>
          <w:iCs/>
          <w:noProof/>
        </w:rPr>
      </w:pPr>
      <w:r w:rsidRPr="00707CF3">
        <w:rPr>
          <w:i/>
          <w:noProof/>
        </w:rPr>
        <w:t>(</w:t>
      </w:r>
      <w:r>
        <w:rPr>
          <w:i/>
          <w:noProof/>
        </w:rPr>
        <w:t>a</w:t>
      </w:r>
      <w:r w:rsidRPr="00707CF3">
        <w:rPr>
          <w:i/>
          <w:noProof/>
        </w:rPr>
        <w:t>)</w:t>
      </w:r>
      <w:r>
        <w:rPr>
          <w:i/>
          <w:noProof/>
        </w:rPr>
        <w:tab/>
      </w:r>
      <w:r w:rsidR="00553884">
        <w:rPr>
          <w:iCs/>
          <w:noProof/>
        </w:rPr>
        <w:t>à</w:t>
      </w:r>
      <w:r w:rsidR="00807EA5" w:rsidRPr="004603FD">
        <w:rPr>
          <w:iCs/>
          <w:noProof/>
        </w:rPr>
        <w:t xml:space="preserve"> l’article </w:t>
      </w:r>
      <w:r w:rsidR="009F7563">
        <w:rPr>
          <w:iCs/>
          <w:noProof/>
        </w:rPr>
        <w:t>10</w:t>
      </w:r>
      <w:r w:rsidR="00807EA5" w:rsidRPr="004603FD">
        <w:rPr>
          <w:iCs/>
          <w:noProof/>
        </w:rPr>
        <w:t xml:space="preserve">, le paragraphe suivant est </w:t>
      </w:r>
      <w:r w:rsidR="006F3B30" w:rsidRPr="004603FD">
        <w:rPr>
          <w:iCs/>
          <w:noProof/>
        </w:rPr>
        <w:t>ajouté</w:t>
      </w:r>
      <w:r w:rsidR="006F3B30">
        <w:rPr>
          <w:iCs/>
          <w:noProof/>
        </w:rPr>
        <w:t> </w:t>
      </w:r>
      <w:r w:rsidR="006F3B30" w:rsidRPr="004603FD">
        <w:rPr>
          <w:iCs/>
          <w:noProof/>
        </w:rPr>
        <w:t>:</w:t>
      </w:r>
    </w:p>
    <w:p w14:paraId="4743DBFC" w14:textId="352FF377" w:rsidR="00807EA5" w:rsidRPr="00E10A07" w:rsidRDefault="00E10A07" w:rsidP="006F3B30">
      <w:pPr>
        <w:pStyle w:val="Text2"/>
        <w:rPr>
          <w:noProof/>
        </w:rPr>
      </w:pPr>
      <w:r>
        <w:rPr>
          <w:noProof/>
        </w:rPr>
        <w:t>« </w:t>
      </w:r>
      <w:r w:rsidRPr="006F3B30">
        <w:rPr>
          <w:i/>
          <w:iCs/>
          <w:noProof/>
        </w:rPr>
        <w:t>Il est applicable à partir du 1er janvier 2028 en ce qui concerne les transmissions de données à la Commission (Eurostat) relatives à chaque période de référence commençant à cette date ou après cette date.</w:t>
      </w:r>
      <w:r>
        <w:rPr>
          <w:noProof/>
        </w:rPr>
        <w:t> » ;</w:t>
      </w:r>
    </w:p>
    <w:p w14:paraId="7F4DF99D" w14:textId="3D0548F5" w:rsidR="001874FD" w:rsidRDefault="001874FD" w:rsidP="001874FD">
      <w:pPr>
        <w:pStyle w:val="Point1"/>
        <w:rPr>
          <w:iCs/>
          <w:noProof/>
        </w:rPr>
      </w:pPr>
      <w:r w:rsidRPr="00707CF3">
        <w:rPr>
          <w:i/>
          <w:noProof/>
        </w:rPr>
        <w:t>(</w:t>
      </w:r>
      <w:r>
        <w:rPr>
          <w:i/>
          <w:noProof/>
        </w:rPr>
        <w:t>b</w:t>
      </w:r>
      <w:r w:rsidRPr="00707CF3">
        <w:rPr>
          <w:i/>
          <w:noProof/>
        </w:rPr>
        <w:t>)</w:t>
      </w:r>
      <w:r>
        <w:rPr>
          <w:i/>
          <w:noProof/>
        </w:rPr>
        <w:tab/>
      </w:r>
      <w:r w:rsidR="00553884">
        <w:rPr>
          <w:iCs/>
          <w:noProof/>
        </w:rPr>
        <w:t>l</w:t>
      </w:r>
      <w:r w:rsidR="00807EA5" w:rsidRPr="004603FD">
        <w:rPr>
          <w:iCs/>
          <w:noProof/>
        </w:rPr>
        <w:t xml:space="preserve">'annexe I est modifiée conformément </w:t>
      </w:r>
      <w:r w:rsidR="0049459B">
        <w:rPr>
          <w:iCs/>
          <w:noProof/>
        </w:rPr>
        <w:t>à</w:t>
      </w:r>
      <w:r w:rsidR="00807EA5" w:rsidRPr="004603FD">
        <w:rPr>
          <w:iCs/>
          <w:noProof/>
        </w:rPr>
        <w:t xml:space="preserve"> l'annexe du règlement délégué</w:t>
      </w:r>
      <w:r w:rsidR="00312313">
        <w:rPr>
          <w:iCs/>
          <w:noProof/>
        </w:rPr>
        <w:t> </w:t>
      </w:r>
      <w:r w:rsidR="00807EA5" w:rsidRPr="004603FD">
        <w:rPr>
          <w:iCs/>
          <w:noProof/>
        </w:rPr>
        <w:t>(UE)</w:t>
      </w:r>
      <w:r w:rsidR="00312313">
        <w:rPr>
          <w:iCs/>
          <w:noProof/>
        </w:rPr>
        <w:t> </w:t>
      </w:r>
      <w:r w:rsidR="00807EA5" w:rsidRPr="004603FD">
        <w:rPr>
          <w:iCs/>
          <w:noProof/>
        </w:rPr>
        <w:t>2024/3102 de la Commission du 2 septembre 2024 modifiant le règlement</w:t>
      </w:r>
      <w:r w:rsidR="00312313">
        <w:rPr>
          <w:iCs/>
          <w:noProof/>
        </w:rPr>
        <w:t> </w:t>
      </w:r>
      <w:r w:rsidR="00807EA5" w:rsidRPr="004603FD">
        <w:rPr>
          <w:iCs/>
          <w:noProof/>
        </w:rPr>
        <w:t>(CE)</w:t>
      </w:r>
      <w:r w:rsidR="00312313">
        <w:rPr>
          <w:iCs/>
          <w:noProof/>
        </w:rPr>
        <w:t> </w:t>
      </w:r>
      <w:r w:rsidR="00553884">
        <w:rPr>
          <w:iCs/>
          <w:noProof/>
        </w:rPr>
        <w:t>n°</w:t>
      </w:r>
      <w:r w:rsidR="00312313">
        <w:rPr>
          <w:iCs/>
          <w:noProof/>
        </w:rPr>
        <w:t> </w:t>
      </w:r>
      <w:r w:rsidR="00807EA5" w:rsidRPr="004603FD">
        <w:rPr>
          <w:iCs/>
          <w:noProof/>
        </w:rPr>
        <w:t>138/2004 du Parlement européen et du Conseil en ce qui concerne les références à la nomenclature statistique des activités économiques NACE établie par le règlement</w:t>
      </w:r>
      <w:r w:rsidR="00312313">
        <w:rPr>
          <w:iCs/>
          <w:noProof/>
        </w:rPr>
        <w:t> </w:t>
      </w:r>
      <w:r w:rsidR="00807EA5" w:rsidRPr="004603FD">
        <w:rPr>
          <w:iCs/>
          <w:noProof/>
        </w:rPr>
        <w:t>(CE)</w:t>
      </w:r>
      <w:r w:rsidR="00312313">
        <w:rPr>
          <w:iCs/>
          <w:noProof/>
        </w:rPr>
        <w:t> </w:t>
      </w:r>
      <w:r w:rsidR="00553884">
        <w:rPr>
          <w:iCs/>
          <w:noProof/>
        </w:rPr>
        <w:t>n°</w:t>
      </w:r>
      <w:r w:rsidR="00312313">
        <w:rPr>
          <w:iCs/>
          <w:noProof/>
        </w:rPr>
        <w:t> </w:t>
      </w:r>
      <w:r w:rsidR="00807EA5" w:rsidRPr="004603FD">
        <w:rPr>
          <w:iCs/>
          <w:noProof/>
        </w:rPr>
        <w:t xml:space="preserve">1893/2006 du Parlement européen et du </w:t>
      </w:r>
      <w:r w:rsidR="00312313" w:rsidRPr="004603FD">
        <w:rPr>
          <w:iCs/>
          <w:noProof/>
        </w:rPr>
        <w:t>Conseil</w:t>
      </w:r>
      <w:r w:rsidR="00312313">
        <w:rPr>
          <w:iCs/>
          <w:noProof/>
        </w:rPr>
        <w:t> ;</w:t>
      </w:r>
    </w:p>
    <w:p w14:paraId="35844FDE" w14:textId="725725AA" w:rsidR="00807EA5" w:rsidRDefault="00807EA5" w:rsidP="001874FD">
      <w:pPr>
        <w:pStyle w:val="Point1"/>
        <w:rPr>
          <w:iCs/>
          <w:noProof/>
        </w:rPr>
      </w:pPr>
      <w:r>
        <w:rPr>
          <w:i/>
          <w:noProof/>
        </w:rPr>
        <w:t>(c)</w:t>
      </w:r>
      <w:r>
        <w:rPr>
          <w:i/>
          <w:noProof/>
        </w:rPr>
        <w:tab/>
      </w:r>
      <w:r w:rsidR="00553884">
        <w:rPr>
          <w:iCs/>
          <w:noProof/>
        </w:rPr>
        <w:t>à</w:t>
      </w:r>
      <w:r w:rsidRPr="004603FD">
        <w:rPr>
          <w:iCs/>
          <w:noProof/>
        </w:rPr>
        <w:t xml:space="preserve"> l’annexe III, l’entrée suivante est ajoutée</w:t>
      </w:r>
      <w:r w:rsidR="006F3B30">
        <w:rPr>
          <w:iCs/>
          <w:noProof/>
        </w:rPr>
        <w:t> </w:t>
      </w:r>
      <w:r w:rsidRPr="004603FD">
        <w:rPr>
          <w:iCs/>
          <w:noProof/>
        </w:rPr>
        <w:t>:</w:t>
      </w:r>
    </w:p>
    <w:p w14:paraId="10BF52D2" w14:textId="48B388ED" w:rsidR="00807EA5" w:rsidRPr="00E10A07" w:rsidRDefault="00E10A07" w:rsidP="004603FD">
      <w:pPr>
        <w:pStyle w:val="Point1"/>
        <w:ind w:firstLine="0"/>
        <w:rPr>
          <w:i/>
          <w:noProof/>
        </w:rPr>
      </w:pPr>
      <w:r w:rsidRPr="00312313">
        <w:rPr>
          <w:iCs/>
          <w:noProof/>
        </w:rPr>
        <w:t>« </w:t>
      </w:r>
      <w:r w:rsidRPr="004603FD">
        <w:rPr>
          <w:i/>
          <w:noProof/>
        </w:rPr>
        <w:t xml:space="preserve">Règlement délégué (UE) 2024/3102 de la Commission </w:t>
      </w:r>
      <w:r w:rsidR="009F7563">
        <w:rPr>
          <w:i/>
          <w:noProof/>
        </w:rPr>
        <w:t>(</w:t>
      </w:r>
      <w:r w:rsidRPr="004603FD">
        <w:rPr>
          <w:i/>
          <w:noProof/>
        </w:rPr>
        <w:t xml:space="preserve">JO L, 2024/3102, 12.12.2024, ELI: </w:t>
      </w:r>
      <w:hyperlink r:id="rId14" w:history="1">
        <w:r w:rsidRPr="00312313">
          <w:rPr>
            <w:rStyle w:val="Hyperlink"/>
            <w:i/>
            <w:noProof/>
          </w:rPr>
          <w:t>http://data.europa.eu/eli/reg_del/2024/3102/oj</w:t>
        </w:r>
      </w:hyperlink>
      <w:r w:rsidR="009F7563">
        <w:rPr>
          <w:i/>
          <w:noProof/>
        </w:rPr>
        <w:t>)</w:t>
      </w:r>
      <w:r w:rsidRPr="00312313">
        <w:rPr>
          <w:iCs/>
          <w:noProof/>
        </w:rPr>
        <w:t> »</w:t>
      </w:r>
      <w:r w:rsidR="000D27E1" w:rsidRPr="00312313">
        <w:rPr>
          <w:iCs/>
          <w:noProof/>
        </w:rPr>
        <w:t>.</w:t>
      </w:r>
    </w:p>
    <w:p w14:paraId="084A9C0C" w14:textId="609F53D6" w:rsidR="001874FD" w:rsidRDefault="00312313" w:rsidP="001874FD">
      <w:pPr>
        <w:pStyle w:val="ManualNumPar1"/>
        <w:rPr>
          <w:noProof/>
        </w:rPr>
      </w:pPr>
      <w:r>
        <w:rPr>
          <w:noProof/>
        </w:rPr>
        <w:t>5</w:t>
      </w:r>
      <w:r w:rsidR="001874FD">
        <w:rPr>
          <w:noProof/>
        </w:rPr>
        <w:t>.</w:t>
      </w:r>
      <w:r w:rsidR="001874FD">
        <w:rPr>
          <w:noProof/>
        </w:rPr>
        <w:tab/>
        <w:t xml:space="preserve">Afin d’en faciliter la lecture et l'examen, le texte </w:t>
      </w:r>
      <w:r w:rsidR="001874FD" w:rsidRPr="00F31FE3">
        <w:rPr>
          <w:noProof/>
        </w:rPr>
        <w:t>complet</w:t>
      </w:r>
      <w:r w:rsidR="001874FD">
        <w:rPr>
          <w:noProof/>
        </w:rPr>
        <w:t xml:space="preserve"> de la proposition de codification ainsi modifiée est présenté ci-après.</w:t>
      </w:r>
    </w:p>
    <w:p w14:paraId="07008EC1" w14:textId="77777777" w:rsidR="001874FD" w:rsidRPr="001874FD" w:rsidRDefault="001874FD">
      <w:pPr>
        <w:rPr>
          <w:noProof/>
          <w:lang w:val="fr-BE"/>
        </w:rPr>
        <w:sectPr w:rsidR="001874FD" w:rsidRPr="001874FD" w:rsidSect="00D1598B">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14:paraId="20E9E832" w14:textId="77777777" w:rsidR="00E10A07" w:rsidRDefault="00E10A07" w:rsidP="00E10A07">
      <w:pPr>
        <w:pStyle w:val="CRSeparator"/>
        <w:rPr>
          <w:noProof/>
        </w:rPr>
      </w:pPr>
    </w:p>
    <w:p w14:paraId="1117D599" w14:textId="0CB4E38D" w:rsidR="00E10A07" w:rsidRPr="00E10A07" w:rsidRDefault="00E10A07" w:rsidP="00E10A07">
      <w:pPr>
        <w:pStyle w:val="CRReference"/>
        <w:rPr>
          <w:noProof/>
        </w:rPr>
      </w:pPr>
      <w:r w:rsidRPr="00E10A07">
        <w:rPr>
          <w:noProof/>
        </w:rPr>
        <w:fldChar w:fldCharType="begin"/>
      </w:r>
      <w:r w:rsidRPr="00E10A07">
        <w:rPr>
          <w:noProof/>
        </w:rPr>
        <w:instrText xml:space="preserve"> QUOTE "</w:instrText>
      </w:r>
      <w:r w:rsidRPr="00E10A07">
        <w:rPr>
          <w:rStyle w:val="CRMarker"/>
          <w:noProof/>
        </w:rPr>
        <w:instrText>ê</w:instrText>
      </w:r>
      <w:r w:rsidRPr="00E10A07">
        <w:rPr>
          <w:noProof/>
        </w:rPr>
        <w:instrText xml:space="preserve">" </w:instrText>
      </w:r>
      <w:r w:rsidRPr="00E10A07">
        <w:rPr>
          <w:noProof/>
        </w:rPr>
        <w:fldChar w:fldCharType="separate"/>
      </w:r>
      <w:r w:rsidRPr="00E10A07">
        <w:rPr>
          <w:rStyle w:val="CRMarker"/>
          <w:noProof/>
        </w:rPr>
        <w:t>ê</w:t>
      </w:r>
      <w:r w:rsidRPr="00E10A07">
        <w:rPr>
          <w:noProof/>
        </w:rPr>
        <w:fldChar w:fldCharType="end"/>
      </w:r>
      <w:r w:rsidRPr="00E10A07">
        <w:rPr>
          <w:noProof/>
        </w:rPr>
        <w:t> </w:t>
      </w:r>
      <w:r>
        <w:rPr>
          <w:noProof/>
        </w:rPr>
        <w:t>138/2004 (adapté)</w:t>
      </w:r>
    </w:p>
    <w:p w14:paraId="442AC258" w14:textId="61DBE85B" w:rsidR="002C2E8C" w:rsidRDefault="002C2E8C" w:rsidP="002C2E8C">
      <w:pPr>
        <w:pStyle w:val="Rfrenceinterinstitutionnelle"/>
        <w:rPr>
          <w:noProof/>
        </w:rPr>
      </w:pPr>
      <w:r>
        <w:rPr>
          <w:noProof/>
        </w:rPr>
        <w:t>2024/0144 (COD)</w:t>
      </w:r>
    </w:p>
    <w:p w14:paraId="3B712ABA" w14:textId="2EFB859E" w:rsidR="001874FD" w:rsidRPr="001D32A7" w:rsidRDefault="002C2E8C" w:rsidP="002C2E8C">
      <w:pPr>
        <w:pStyle w:val="Statut"/>
        <w:rPr>
          <w:noProof/>
        </w:rPr>
      </w:pPr>
      <w:r w:rsidRPr="002C2E8C">
        <w:rPr>
          <w:noProof/>
        </w:rPr>
        <w:t>Proposition modifiée de</w:t>
      </w:r>
    </w:p>
    <w:p w14:paraId="7F80E647" w14:textId="31E67B48" w:rsidR="001874FD" w:rsidRPr="001D32A7" w:rsidRDefault="002C2E8C" w:rsidP="002C2E8C">
      <w:pPr>
        <w:pStyle w:val="Typedudocument"/>
        <w:rPr>
          <w:noProof/>
        </w:rPr>
      </w:pPr>
      <w:r w:rsidRPr="002C2E8C">
        <w:rPr>
          <w:noProof/>
        </w:rPr>
        <w:t>RÈGLEMENT DU PARLEMENT EUROPÉEN ET DU CONSEIL</w:t>
      </w:r>
    </w:p>
    <w:p w14:paraId="0F0F214A" w14:textId="7FE4A4A9" w:rsidR="001874FD" w:rsidRPr="001D32A7" w:rsidRDefault="002C2E8C" w:rsidP="002C2E8C">
      <w:pPr>
        <w:pStyle w:val="Titreobjet"/>
        <w:rPr>
          <w:noProof/>
        </w:rPr>
      </w:pPr>
      <w:r w:rsidRPr="002C2E8C">
        <w:rPr>
          <w:noProof/>
        </w:rPr>
        <w:t xml:space="preserve">relatif aux comptes économiques de l'agriculture dans </w:t>
      </w:r>
      <w:r>
        <w:rPr>
          <w:noProof/>
        </w:rPr>
        <w:fldChar w:fldCharType="begin"/>
      </w:r>
      <w:r>
        <w:rPr>
          <w:noProof/>
        </w:rPr>
        <w:instrText xml:space="preserve"> QUOTE "</w:instrText>
      </w:r>
      <w:r w:rsidRPr="002C2E8C">
        <w:rPr>
          <w:rStyle w:val="CRMarker"/>
          <w:noProof/>
        </w:rPr>
        <w:instrText>Ö</w:instrText>
      </w:r>
      <w:r>
        <w:rPr>
          <w:noProof/>
        </w:rPr>
        <w:instrText xml:space="preserve">" </w:instrText>
      </w:r>
      <w:r>
        <w:rPr>
          <w:noProof/>
        </w:rPr>
        <w:fldChar w:fldCharType="separate"/>
      </w:r>
      <w:r w:rsidRPr="002C2E8C">
        <w:rPr>
          <w:rStyle w:val="CRMarker"/>
          <w:noProof/>
        </w:rPr>
        <w:t>Ö</w:t>
      </w:r>
      <w:r>
        <w:rPr>
          <w:noProof/>
        </w:rPr>
        <w:fldChar w:fldCharType="end"/>
      </w:r>
      <w:r w:rsidRPr="002C2E8C">
        <w:rPr>
          <w:noProof/>
        </w:rPr>
        <w:t> l'Union </w:t>
      </w:r>
      <w:r>
        <w:rPr>
          <w:noProof/>
        </w:rPr>
        <w:fldChar w:fldCharType="begin"/>
      </w:r>
      <w:r>
        <w:rPr>
          <w:noProof/>
        </w:rPr>
        <w:instrText xml:space="preserve"> QUOTE "</w:instrText>
      </w:r>
      <w:r w:rsidRPr="002C2E8C">
        <w:rPr>
          <w:rStyle w:val="CRMarker"/>
          <w:noProof/>
        </w:rPr>
        <w:instrText>Õ</w:instrText>
      </w:r>
      <w:r>
        <w:rPr>
          <w:noProof/>
        </w:rPr>
        <w:instrText xml:space="preserve">" </w:instrText>
      </w:r>
      <w:r>
        <w:rPr>
          <w:noProof/>
        </w:rPr>
        <w:fldChar w:fldCharType="separate"/>
      </w:r>
      <w:r w:rsidRPr="002C2E8C">
        <w:rPr>
          <w:rStyle w:val="CRMarker"/>
          <w:noProof/>
        </w:rPr>
        <w:t>Õ</w:t>
      </w:r>
      <w:r>
        <w:rPr>
          <w:noProof/>
        </w:rPr>
        <w:fldChar w:fldCharType="end"/>
      </w:r>
      <w:r w:rsidRPr="002C2E8C">
        <w:rPr>
          <w:noProof/>
        </w:rPr>
        <w:t xml:space="preserve"> (codification)</w:t>
      </w:r>
    </w:p>
    <w:p w14:paraId="527CD226" w14:textId="3D8198BE" w:rsidR="001874FD" w:rsidRPr="001874FD" w:rsidRDefault="002C2E8C" w:rsidP="002C2E8C">
      <w:pPr>
        <w:pStyle w:val="IntrtEEE"/>
        <w:rPr>
          <w:noProof/>
        </w:rPr>
      </w:pPr>
      <w:r w:rsidRPr="002C2E8C">
        <w:rPr>
          <w:noProof/>
        </w:rPr>
        <w:t>(Texte présentant de l'intérêt pour l'EEE)</w:t>
      </w:r>
    </w:p>
    <w:p w14:paraId="0A0EF33A" w14:textId="77777777" w:rsidR="001874FD" w:rsidRPr="001D32A7" w:rsidRDefault="001874FD" w:rsidP="001874FD">
      <w:pPr>
        <w:pStyle w:val="Institutionquiagit"/>
        <w:rPr>
          <w:noProof/>
        </w:rPr>
      </w:pPr>
      <w:r w:rsidRPr="001D32A7">
        <w:rPr>
          <w:noProof/>
        </w:rPr>
        <w:t>LE PARLEMENT EUROPÉEN ET LE CONSEIL DE L</w:t>
      </w:r>
      <w:r>
        <w:rPr>
          <w:noProof/>
        </w:rPr>
        <w:t>’</w:t>
      </w:r>
      <w:r w:rsidRPr="001D32A7">
        <w:rPr>
          <w:noProof/>
        </w:rPr>
        <w:t>UNION EUROPÉENNE,</w:t>
      </w:r>
    </w:p>
    <w:p w14:paraId="7A95A673" w14:textId="77777777" w:rsidR="001874FD" w:rsidRDefault="001874FD" w:rsidP="001874FD">
      <w:pPr>
        <w:rPr>
          <w:noProof/>
        </w:rPr>
      </w:pPr>
      <w:r>
        <w:rPr>
          <w:noProof/>
        </w:rPr>
        <w:t xml:space="preserve">vu le traité </w:t>
      </w:r>
      <w:r w:rsidRPr="00D06696">
        <w:rPr>
          <w:noProof/>
        </w:rPr>
        <w:fldChar w:fldCharType="begin"/>
      </w:r>
      <w:r w:rsidRPr="00D06696">
        <w:rPr>
          <w:noProof/>
        </w:rPr>
        <w:instrText xml:space="preserve"> QUOTE "</w:instrText>
      </w:r>
      <w:r w:rsidRPr="00D06696">
        <w:rPr>
          <w:rStyle w:val="CRMarker"/>
          <w:noProof/>
        </w:rPr>
        <w:instrText>Ö</w:instrText>
      </w:r>
      <w:r w:rsidRPr="00D06696">
        <w:rPr>
          <w:noProof/>
        </w:rPr>
        <w:instrText xml:space="preserve">" </w:instrText>
      </w:r>
      <w:r w:rsidRPr="00D06696">
        <w:rPr>
          <w:noProof/>
        </w:rPr>
        <w:fldChar w:fldCharType="separate"/>
      </w:r>
      <w:r w:rsidRPr="00D06696">
        <w:rPr>
          <w:rStyle w:val="CRMarker"/>
          <w:noProof/>
        </w:rPr>
        <w:t>Ö</w:t>
      </w:r>
      <w:r w:rsidRPr="00D06696">
        <w:rPr>
          <w:noProof/>
        </w:rPr>
        <w:fldChar w:fldCharType="end"/>
      </w:r>
      <w:r w:rsidRPr="00D06696">
        <w:rPr>
          <w:noProof/>
        </w:rPr>
        <w:t> </w:t>
      </w:r>
      <w:r w:rsidRPr="001D32A7">
        <w:rPr>
          <w:noProof/>
        </w:rPr>
        <w:t>sur le fonctionnement de l</w:t>
      </w:r>
      <w:r>
        <w:rPr>
          <w:noProof/>
        </w:rPr>
        <w:t>’</w:t>
      </w:r>
      <w:r w:rsidRPr="001D32A7">
        <w:rPr>
          <w:noProof/>
        </w:rPr>
        <w:t>Union</w:t>
      </w:r>
      <w:r w:rsidRPr="00D06696">
        <w:rPr>
          <w:noProof/>
        </w:rPr>
        <w:t> </w:t>
      </w:r>
      <w:r w:rsidRPr="00D06696">
        <w:rPr>
          <w:noProof/>
        </w:rPr>
        <w:fldChar w:fldCharType="begin"/>
      </w:r>
      <w:r w:rsidRPr="00D06696">
        <w:rPr>
          <w:noProof/>
        </w:rPr>
        <w:instrText xml:space="preserve"> QUOTE "</w:instrText>
      </w:r>
      <w:r w:rsidRPr="00D06696">
        <w:rPr>
          <w:rStyle w:val="CRMarker"/>
          <w:noProof/>
        </w:rPr>
        <w:instrText>Õ</w:instrText>
      </w:r>
      <w:r w:rsidRPr="00D06696">
        <w:rPr>
          <w:noProof/>
        </w:rPr>
        <w:instrText xml:space="preserve">" </w:instrText>
      </w:r>
      <w:r w:rsidRPr="00D06696">
        <w:rPr>
          <w:noProof/>
        </w:rPr>
        <w:fldChar w:fldCharType="separate"/>
      </w:r>
      <w:r w:rsidRPr="00D06696">
        <w:rPr>
          <w:rStyle w:val="CRMarker"/>
          <w:noProof/>
        </w:rPr>
        <w:t>Õ</w:t>
      </w:r>
      <w:r w:rsidRPr="00D06696">
        <w:rPr>
          <w:noProof/>
        </w:rPr>
        <w:fldChar w:fldCharType="end"/>
      </w:r>
      <w:r>
        <w:rPr>
          <w:noProof/>
        </w:rPr>
        <w:t xml:space="preserve"> européenne, et notamment son </w:t>
      </w:r>
      <w:r w:rsidRPr="001977D2">
        <w:rPr>
          <w:noProof/>
        </w:rPr>
        <w:t xml:space="preserve">article </w:t>
      </w:r>
      <w:r w:rsidRPr="001977D2">
        <w:rPr>
          <w:noProof/>
        </w:rPr>
        <w:fldChar w:fldCharType="begin"/>
      </w:r>
      <w:r w:rsidRPr="001977D2">
        <w:rPr>
          <w:noProof/>
        </w:rPr>
        <w:instrText xml:space="preserve"> QUOTE "</w:instrText>
      </w:r>
      <w:r w:rsidRPr="001977D2">
        <w:rPr>
          <w:rStyle w:val="CRMarker"/>
          <w:noProof/>
        </w:rPr>
        <w:instrText>Ö</w:instrText>
      </w:r>
      <w:r w:rsidRPr="001977D2">
        <w:rPr>
          <w:noProof/>
        </w:rPr>
        <w:instrText xml:space="preserve">" </w:instrText>
      </w:r>
      <w:r w:rsidRPr="001977D2">
        <w:rPr>
          <w:noProof/>
        </w:rPr>
        <w:fldChar w:fldCharType="separate"/>
      </w:r>
      <w:r w:rsidRPr="001977D2">
        <w:rPr>
          <w:rStyle w:val="CRMarker"/>
          <w:noProof/>
        </w:rPr>
        <w:t>Ö</w:t>
      </w:r>
      <w:r w:rsidRPr="001977D2">
        <w:rPr>
          <w:noProof/>
        </w:rPr>
        <w:fldChar w:fldCharType="end"/>
      </w:r>
      <w:r w:rsidRPr="001977D2">
        <w:rPr>
          <w:noProof/>
        </w:rPr>
        <w:t> 338 </w:t>
      </w:r>
      <w:r w:rsidRPr="001977D2">
        <w:rPr>
          <w:noProof/>
        </w:rPr>
        <w:fldChar w:fldCharType="begin"/>
      </w:r>
      <w:r w:rsidRPr="001977D2">
        <w:rPr>
          <w:noProof/>
        </w:rPr>
        <w:instrText xml:space="preserve"> QUOTE "</w:instrText>
      </w:r>
      <w:r w:rsidRPr="001977D2">
        <w:rPr>
          <w:rStyle w:val="CRMarker"/>
          <w:noProof/>
        </w:rPr>
        <w:instrText>Õ</w:instrText>
      </w:r>
      <w:r w:rsidRPr="001977D2">
        <w:rPr>
          <w:noProof/>
        </w:rPr>
        <w:instrText xml:space="preserve">" </w:instrText>
      </w:r>
      <w:r w:rsidRPr="001977D2">
        <w:rPr>
          <w:noProof/>
        </w:rPr>
        <w:fldChar w:fldCharType="separate"/>
      </w:r>
      <w:r w:rsidRPr="001977D2">
        <w:rPr>
          <w:rStyle w:val="CRMarker"/>
          <w:noProof/>
        </w:rPr>
        <w:t>Õ</w:t>
      </w:r>
      <w:r w:rsidRPr="001977D2">
        <w:rPr>
          <w:noProof/>
        </w:rPr>
        <w:fldChar w:fldCharType="end"/>
      </w:r>
      <w:r w:rsidRPr="001977D2">
        <w:rPr>
          <w:noProof/>
        </w:rPr>
        <w:t>, paragraphe 1</w:t>
      </w:r>
      <w:r w:rsidRPr="003654EF">
        <w:rPr>
          <w:noProof/>
        </w:rPr>
        <w:t>,</w:t>
      </w:r>
    </w:p>
    <w:p w14:paraId="5A1F7453" w14:textId="77777777" w:rsidR="001874FD" w:rsidRPr="001D32A7" w:rsidRDefault="001874FD" w:rsidP="001874FD">
      <w:pPr>
        <w:rPr>
          <w:noProof/>
        </w:rPr>
      </w:pPr>
      <w:r w:rsidRPr="001D32A7">
        <w:rPr>
          <w:noProof/>
        </w:rPr>
        <w:t xml:space="preserve">vu la proposition de la Commission </w:t>
      </w:r>
      <w:r w:rsidRPr="00D06696">
        <w:rPr>
          <w:noProof/>
        </w:rPr>
        <w:fldChar w:fldCharType="begin"/>
      </w:r>
      <w:r w:rsidRPr="00D06696">
        <w:rPr>
          <w:noProof/>
        </w:rPr>
        <w:instrText xml:space="preserve"> QUOTE "</w:instrText>
      </w:r>
      <w:r w:rsidRPr="00D06696">
        <w:rPr>
          <w:rStyle w:val="CRMarker"/>
          <w:noProof/>
        </w:rPr>
        <w:instrText>Ö</w:instrText>
      </w:r>
      <w:r w:rsidRPr="00D06696">
        <w:rPr>
          <w:noProof/>
        </w:rPr>
        <w:instrText xml:space="preserve">" </w:instrText>
      </w:r>
      <w:r w:rsidRPr="00D06696">
        <w:rPr>
          <w:noProof/>
        </w:rPr>
        <w:fldChar w:fldCharType="separate"/>
      </w:r>
      <w:r w:rsidRPr="00D06696">
        <w:rPr>
          <w:rStyle w:val="CRMarker"/>
          <w:noProof/>
        </w:rPr>
        <w:t>Ö</w:t>
      </w:r>
      <w:r w:rsidRPr="00D06696">
        <w:rPr>
          <w:noProof/>
        </w:rPr>
        <w:fldChar w:fldCharType="end"/>
      </w:r>
      <w:r w:rsidRPr="00D06696">
        <w:rPr>
          <w:noProof/>
        </w:rPr>
        <w:t> </w:t>
      </w:r>
      <w:r w:rsidRPr="001D32A7">
        <w:rPr>
          <w:noProof/>
        </w:rPr>
        <w:t>européenne</w:t>
      </w:r>
      <w:r w:rsidRPr="00D06696">
        <w:rPr>
          <w:noProof/>
        </w:rPr>
        <w:t> </w:t>
      </w:r>
      <w:r w:rsidRPr="00D06696">
        <w:rPr>
          <w:noProof/>
        </w:rPr>
        <w:fldChar w:fldCharType="begin"/>
      </w:r>
      <w:r w:rsidRPr="00D06696">
        <w:rPr>
          <w:noProof/>
        </w:rPr>
        <w:instrText xml:space="preserve"> QUOTE "</w:instrText>
      </w:r>
      <w:r w:rsidRPr="00D06696">
        <w:rPr>
          <w:rStyle w:val="CRMarker"/>
          <w:noProof/>
        </w:rPr>
        <w:instrText>Õ</w:instrText>
      </w:r>
      <w:r w:rsidRPr="00D06696">
        <w:rPr>
          <w:noProof/>
        </w:rPr>
        <w:instrText xml:space="preserve">" </w:instrText>
      </w:r>
      <w:r w:rsidRPr="00D06696">
        <w:rPr>
          <w:noProof/>
        </w:rPr>
        <w:fldChar w:fldCharType="separate"/>
      </w:r>
      <w:r w:rsidRPr="00D06696">
        <w:rPr>
          <w:rStyle w:val="CRMarker"/>
          <w:noProof/>
        </w:rPr>
        <w:t>Õ</w:t>
      </w:r>
      <w:r w:rsidRPr="00D06696">
        <w:rPr>
          <w:noProof/>
        </w:rPr>
        <w:fldChar w:fldCharType="end"/>
      </w:r>
      <w:r w:rsidRPr="001D32A7">
        <w:rPr>
          <w:noProof/>
        </w:rPr>
        <w:t>,</w:t>
      </w:r>
    </w:p>
    <w:p w14:paraId="03BE7962" w14:textId="77777777" w:rsidR="001874FD" w:rsidRDefault="001874FD" w:rsidP="001874FD">
      <w:pPr>
        <w:rPr>
          <w:noProof/>
        </w:rPr>
      </w:pPr>
      <w:r w:rsidRPr="001D32A7">
        <w:rPr>
          <w:noProof/>
        </w:rPr>
        <w:t>après transmission du projet d</w:t>
      </w:r>
      <w:r>
        <w:rPr>
          <w:noProof/>
        </w:rPr>
        <w:t>’</w:t>
      </w:r>
      <w:r w:rsidRPr="001D32A7">
        <w:rPr>
          <w:noProof/>
        </w:rPr>
        <w:t>acte législatif aux parlements nationaux,</w:t>
      </w:r>
    </w:p>
    <w:p w14:paraId="3D43674A" w14:textId="77777777" w:rsidR="001874FD" w:rsidRPr="001D32A7" w:rsidRDefault="001874FD" w:rsidP="001874FD">
      <w:pPr>
        <w:rPr>
          <w:noProof/>
        </w:rPr>
      </w:pPr>
      <w:r>
        <w:rPr>
          <w:noProof/>
        </w:rPr>
        <w:t>vu l’avis du Comité économique et social européen</w:t>
      </w:r>
      <w:r>
        <w:rPr>
          <w:rStyle w:val="FootnoteReference"/>
          <w:noProof/>
        </w:rPr>
        <w:footnoteReference w:id="4"/>
      </w:r>
      <w:r>
        <w:rPr>
          <w:noProof/>
        </w:rPr>
        <w:t>,</w:t>
      </w:r>
    </w:p>
    <w:p w14:paraId="5DDE4EAF" w14:textId="77777777" w:rsidR="001874FD" w:rsidRPr="001D32A7" w:rsidRDefault="001874FD" w:rsidP="001874FD">
      <w:pPr>
        <w:rPr>
          <w:noProof/>
        </w:rPr>
      </w:pPr>
      <w:r w:rsidRPr="001D32A7">
        <w:rPr>
          <w:noProof/>
        </w:rPr>
        <w:t>statuant conformément à la procédure législative ordinaire,</w:t>
      </w:r>
    </w:p>
    <w:p w14:paraId="347D7062" w14:textId="77777777" w:rsidR="001874FD" w:rsidRDefault="001874FD" w:rsidP="001874FD">
      <w:pPr>
        <w:rPr>
          <w:noProof/>
        </w:rPr>
      </w:pPr>
      <w:r w:rsidRPr="001D32A7">
        <w:rPr>
          <w:noProof/>
        </w:rPr>
        <w:t>considérant ce qui suit:</w:t>
      </w:r>
    </w:p>
    <w:p w14:paraId="4B4D2D27" w14:textId="77777777" w:rsidR="001874FD" w:rsidRDefault="001874FD" w:rsidP="001874FD">
      <w:pPr>
        <w:pStyle w:val="CRSeparator"/>
        <w:rPr>
          <w:noProof/>
          <w:lang w:val="fr-BE"/>
        </w:rPr>
      </w:pPr>
    </w:p>
    <w:p w14:paraId="6ACA0AEE" w14:textId="77777777" w:rsidR="001874FD" w:rsidRPr="00D54AD5" w:rsidRDefault="001874FD" w:rsidP="001874FD">
      <w:pPr>
        <w:pStyle w:val="CRReference"/>
        <w:rPr>
          <w:noProof/>
          <w:lang w:val="fr-BE"/>
        </w:rPr>
      </w:pPr>
      <w:r w:rsidRPr="001A4872">
        <w:rPr>
          <w:noProof/>
        </w:rPr>
        <w:fldChar w:fldCharType="begin"/>
      </w:r>
      <w:r w:rsidRPr="001A4872">
        <w:rPr>
          <w:noProof/>
        </w:rPr>
        <w:instrText xml:space="preserve"> QUOTE "</w:instrText>
      </w:r>
      <w:r w:rsidRPr="001A4872">
        <w:rPr>
          <w:rStyle w:val="CRMarker"/>
          <w:noProof/>
        </w:rPr>
        <w:instrText>ê</w:instrText>
      </w:r>
      <w:r w:rsidRPr="001A4872">
        <w:rPr>
          <w:noProof/>
        </w:rPr>
        <w:instrText xml:space="preserve">" </w:instrText>
      </w:r>
      <w:r w:rsidRPr="001A4872">
        <w:rPr>
          <w:noProof/>
        </w:rPr>
        <w:fldChar w:fldCharType="separate"/>
      </w:r>
      <w:r w:rsidRPr="001A4872">
        <w:rPr>
          <w:rStyle w:val="CRMarker"/>
          <w:noProof/>
        </w:rPr>
        <w:t>ê</w:t>
      </w:r>
      <w:r w:rsidRPr="001A4872">
        <w:rPr>
          <w:noProof/>
        </w:rPr>
        <w:fldChar w:fldCharType="end"/>
      </w:r>
      <w:r w:rsidRPr="001A4872">
        <w:rPr>
          <w:noProof/>
        </w:rPr>
        <w:t> </w:t>
      </w:r>
    </w:p>
    <w:p w14:paraId="64123D87" w14:textId="0CE9531A" w:rsidR="001874FD" w:rsidRDefault="001874FD" w:rsidP="00D27BB5">
      <w:pPr>
        <w:pStyle w:val="ManualConsidrant"/>
        <w:autoSpaceDE w:val="0"/>
        <w:autoSpaceDN w:val="0"/>
        <w:rPr>
          <w:noProof/>
          <w:lang w:val="fr-BE"/>
        </w:rPr>
      </w:pPr>
      <w:r>
        <w:rPr>
          <w:noProof/>
        </w:rPr>
        <w:t>(1)</w:t>
      </w:r>
      <w:r>
        <w:rPr>
          <w:noProof/>
        </w:rPr>
        <w:tab/>
        <w:t>R</w:t>
      </w:r>
      <w:r w:rsidRPr="007B4F1E">
        <w:rPr>
          <w:noProof/>
        </w:rPr>
        <w:t>èglement</w:t>
      </w:r>
      <w:r w:rsidR="008E68C6">
        <w:rPr>
          <w:noProof/>
        </w:rPr>
        <w:t> </w:t>
      </w:r>
      <w:r w:rsidRPr="007B4F1E">
        <w:rPr>
          <w:noProof/>
        </w:rPr>
        <w:t>(CE)</w:t>
      </w:r>
      <w:r w:rsidR="008E68C6">
        <w:rPr>
          <w:noProof/>
        </w:rPr>
        <w:t> </w:t>
      </w:r>
      <w:r w:rsidRPr="007B4F1E">
        <w:rPr>
          <w:noProof/>
        </w:rPr>
        <w:t>n° 138/2004 du Parlement européen et du Conseil</w:t>
      </w:r>
      <w:r w:rsidRPr="001B236A">
        <w:rPr>
          <w:rStyle w:val="FootnoteReference"/>
          <w:noProof/>
        </w:rPr>
        <w:footnoteReference w:id="5"/>
      </w:r>
      <w:r w:rsidRPr="007B4F1E">
        <w:rPr>
          <w:noProof/>
          <w:lang w:val="fr-BE"/>
        </w:rPr>
        <w:t xml:space="preserve"> a été modifié à</w:t>
      </w:r>
      <w:r w:rsidRPr="003654EF">
        <w:rPr>
          <w:noProof/>
          <w:lang w:val="fr-BE"/>
        </w:rPr>
        <w:t xml:space="preserve"> plusieurs reprises et de façon substantielle</w:t>
      </w:r>
      <w:r w:rsidRPr="001B236A">
        <w:rPr>
          <w:rStyle w:val="FootnoteReference"/>
          <w:noProof/>
        </w:rPr>
        <w:footnoteReference w:id="6"/>
      </w:r>
      <w:r w:rsidRPr="003654EF">
        <w:rPr>
          <w:noProof/>
          <w:lang w:val="fr-BE"/>
        </w:rPr>
        <w:t xml:space="preserve">. Il convient, dans un souci de clarté et de rationalité, de procéder à la codification dudit </w:t>
      </w:r>
      <w:r w:rsidRPr="001977D2">
        <w:rPr>
          <w:noProof/>
          <w:lang w:val="fr-BE"/>
        </w:rPr>
        <w:t>règlement</w:t>
      </w:r>
      <w:r w:rsidRPr="003654EF">
        <w:rPr>
          <w:noProof/>
          <w:lang w:val="fr-BE"/>
        </w:rPr>
        <w:t>.</w:t>
      </w:r>
    </w:p>
    <w:p w14:paraId="2ACF41A1" w14:textId="77777777" w:rsidR="001874FD" w:rsidRDefault="001874FD" w:rsidP="001874FD">
      <w:pPr>
        <w:pStyle w:val="CRSeparator"/>
        <w:rPr>
          <w:noProof/>
          <w:lang w:val="fr-BE"/>
        </w:rPr>
      </w:pPr>
    </w:p>
    <w:p w14:paraId="6C15924E" w14:textId="77777777" w:rsidR="001874FD" w:rsidRPr="001A4872" w:rsidRDefault="001874FD" w:rsidP="001874FD">
      <w:pPr>
        <w:pStyle w:val="CRReference"/>
        <w:rPr>
          <w:noProof/>
          <w:lang w:val="fr-BE"/>
        </w:rPr>
      </w:pPr>
      <w:r w:rsidRPr="001A4872">
        <w:rPr>
          <w:noProof/>
        </w:rPr>
        <w:fldChar w:fldCharType="begin"/>
      </w:r>
      <w:r w:rsidRPr="001A4872">
        <w:rPr>
          <w:noProof/>
        </w:rPr>
        <w:instrText xml:space="preserve"> QUOTE "</w:instrText>
      </w:r>
      <w:r w:rsidRPr="001A4872">
        <w:rPr>
          <w:rStyle w:val="CRMarker"/>
          <w:noProof/>
        </w:rPr>
        <w:instrText>ê</w:instrText>
      </w:r>
      <w:r w:rsidRPr="001A4872">
        <w:rPr>
          <w:noProof/>
        </w:rPr>
        <w:instrText xml:space="preserve">" </w:instrText>
      </w:r>
      <w:r w:rsidRPr="001A4872">
        <w:rPr>
          <w:noProof/>
        </w:rPr>
        <w:fldChar w:fldCharType="separate"/>
      </w:r>
      <w:r w:rsidRPr="001A4872">
        <w:rPr>
          <w:rStyle w:val="CRMarker"/>
          <w:noProof/>
        </w:rPr>
        <w:t>ê</w:t>
      </w:r>
      <w:r w:rsidRPr="001A4872">
        <w:rPr>
          <w:noProof/>
        </w:rPr>
        <w:fldChar w:fldCharType="end"/>
      </w:r>
      <w:r w:rsidRPr="001A4872">
        <w:rPr>
          <w:noProof/>
        </w:rPr>
        <w:t> </w:t>
      </w:r>
      <w:r>
        <w:rPr>
          <w:noProof/>
        </w:rPr>
        <w:t xml:space="preserve">138/2004 </w:t>
      </w:r>
      <w:r w:rsidRPr="00747384">
        <w:rPr>
          <w:rStyle w:val="normaltextrun"/>
          <w:noProof/>
        </w:rPr>
        <w:t>considérant</w:t>
      </w:r>
      <w:r>
        <w:rPr>
          <w:noProof/>
        </w:rPr>
        <w:t xml:space="preserve"> 1</w:t>
      </w:r>
    </w:p>
    <w:p w14:paraId="129AABDB" w14:textId="77777777" w:rsidR="001874FD" w:rsidRDefault="001874FD" w:rsidP="00D27BB5">
      <w:pPr>
        <w:pStyle w:val="ManualConsidrant"/>
        <w:autoSpaceDE w:val="0"/>
        <w:autoSpaceDN w:val="0"/>
        <w:rPr>
          <w:noProof/>
          <w:lang w:val="fr-BE"/>
        </w:rPr>
      </w:pPr>
      <w:r>
        <w:rPr>
          <w:noProof/>
        </w:rPr>
        <w:t>(2)</w:t>
      </w:r>
      <w:r>
        <w:rPr>
          <w:noProof/>
        </w:rPr>
        <w:tab/>
      </w:r>
      <w:r w:rsidRPr="00B605AC">
        <w:rPr>
          <w:noProof/>
          <w:lang w:val="fr-BE"/>
        </w:rPr>
        <w:t>Le contrôle et l'évaluation de la politique agricole commune nécessitent des informations comparables, actualisées et fiables sur la situation économique de l'agriculture, et plus particulièrement sur l'évolution du revenu agricole.</w:t>
      </w:r>
    </w:p>
    <w:p w14:paraId="52BFAB3A" w14:textId="77777777" w:rsidR="001874FD" w:rsidRDefault="001874FD" w:rsidP="001874FD">
      <w:pPr>
        <w:pStyle w:val="CRSeparator"/>
        <w:rPr>
          <w:noProof/>
          <w:lang w:val="fr-BE"/>
        </w:rPr>
      </w:pPr>
    </w:p>
    <w:p w14:paraId="1E18B287" w14:textId="77777777" w:rsidR="001874FD" w:rsidRPr="00D54AD5" w:rsidRDefault="001874FD" w:rsidP="001874FD">
      <w:pPr>
        <w:pStyle w:val="CRReference"/>
        <w:rPr>
          <w:noProof/>
          <w:lang w:val="fr-BE"/>
        </w:rPr>
      </w:pPr>
      <w:r w:rsidRPr="001A4872">
        <w:rPr>
          <w:noProof/>
        </w:rPr>
        <w:fldChar w:fldCharType="begin"/>
      </w:r>
      <w:r w:rsidRPr="001A4872">
        <w:rPr>
          <w:noProof/>
        </w:rPr>
        <w:instrText xml:space="preserve"> QUOTE "</w:instrText>
      </w:r>
      <w:r w:rsidRPr="001A4872">
        <w:rPr>
          <w:rStyle w:val="CRMarker"/>
          <w:noProof/>
        </w:rPr>
        <w:instrText>ê</w:instrText>
      </w:r>
      <w:r w:rsidRPr="001A4872">
        <w:rPr>
          <w:noProof/>
        </w:rPr>
        <w:instrText xml:space="preserve">" </w:instrText>
      </w:r>
      <w:r w:rsidRPr="001A4872">
        <w:rPr>
          <w:noProof/>
        </w:rPr>
        <w:fldChar w:fldCharType="separate"/>
      </w:r>
      <w:r w:rsidRPr="001A4872">
        <w:rPr>
          <w:rStyle w:val="CRMarker"/>
          <w:noProof/>
        </w:rPr>
        <w:t>ê</w:t>
      </w:r>
      <w:r w:rsidRPr="001A4872">
        <w:rPr>
          <w:noProof/>
        </w:rPr>
        <w:fldChar w:fldCharType="end"/>
      </w:r>
      <w:r w:rsidRPr="001A4872">
        <w:rPr>
          <w:noProof/>
        </w:rPr>
        <w:t> </w:t>
      </w:r>
      <w:r>
        <w:rPr>
          <w:rStyle w:val="normaltextrun"/>
          <w:noProof/>
        </w:rPr>
        <w:t>138/2004 considérant 2</w:t>
      </w:r>
    </w:p>
    <w:p w14:paraId="3485B272" w14:textId="77777777" w:rsidR="001874FD" w:rsidRDefault="001874FD" w:rsidP="00D27BB5">
      <w:pPr>
        <w:pStyle w:val="ManualConsidrant"/>
        <w:autoSpaceDE w:val="0"/>
        <w:autoSpaceDN w:val="0"/>
        <w:rPr>
          <w:noProof/>
          <w:lang w:val="fr-BE"/>
        </w:rPr>
      </w:pPr>
      <w:r>
        <w:rPr>
          <w:noProof/>
        </w:rPr>
        <w:t>(3)</w:t>
      </w:r>
      <w:r>
        <w:rPr>
          <w:noProof/>
        </w:rPr>
        <w:tab/>
      </w:r>
      <w:r w:rsidRPr="00B605AC">
        <w:rPr>
          <w:noProof/>
          <w:lang w:val="fr-BE"/>
        </w:rPr>
        <w:t>Les comptes de l'agriculture sont un instrument de base permettant d'analyser la situation économique de l'agriculture d'un pays, à condition qu'ils soient établis sur la base de principes uniques. Les comptes de l'agriculture apportent également une appréciable contribution au calcul des comptes nationaux.</w:t>
      </w:r>
    </w:p>
    <w:p w14:paraId="081B8B3F" w14:textId="77777777" w:rsidR="001874FD" w:rsidRDefault="001874FD" w:rsidP="001874FD">
      <w:pPr>
        <w:pStyle w:val="CRSeparator"/>
        <w:rPr>
          <w:noProof/>
          <w:lang w:val="fr-BE"/>
        </w:rPr>
      </w:pPr>
    </w:p>
    <w:p w14:paraId="23B99C79" w14:textId="77777777" w:rsidR="001874FD" w:rsidRPr="000355CC" w:rsidRDefault="001874FD" w:rsidP="001874FD">
      <w:pPr>
        <w:pStyle w:val="CRReference"/>
        <w:rPr>
          <w:noProof/>
          <w:lang w:val="fr-BE"/>
        </w:rPr>
      </w:pPr>
      <w:r w:rsidRPr="0057458E">
        <w:rPr>
          <w:noProof/>
        </w:rPr>
        <w:fldChar w:fldCharType="begin"/>
      </w:r>
      <w:r w:rsidRPr="000355CC">
        <w:rPr>
          <w:noProof/>
          <w:lang w:val="fr-BE"/>
        </w:rPr>
        <w:instrText xml:space="preserve"> QUOTE "</w:instrText>
      </w:r>
      <w:r w:rsidRPr="000355CC">
        <w:rPr>
          <w:rStyle w:val="CRMarker"/>
          <w:noProof/>
          <w:lang w:val="fr-BE"/>
        </w:rPr>
        <w:instrText>ê</w:instrText>
      </w:r>
      <w:r w:rsidRPr="000355CC">
        <w:rPr>
          <w:noProof/>
          <w:lang w:val="fr-BE"/>
        </w:rPr>
        <w:instrText xml:space="preserve">" </w:instrText>
      </w:r>
      <w:r w:rsidRPr="0057458E">
        <w:rPr>
          <w:noProof/>
        </w:rPr>
        <w:fldChar w:fldCharType="separate"/>
      </w:r>
      <w:r w:rsidRPr="000355CC">
        <w:rPr>
          <w:rStyle w:val="CRMarker"/>
          <w:noProof/>
          <w:lang w:val="fr-BE"/>
        </w:rPr>
        <w:t>ê</w:t>
      </w:r>
      <w:r w:rsidRPr="0057458E">
        <w:rPr>
          <w:noProof/>
        </w:rPr>
        <w:fldChar w:fldCharType="end"/>
      </w:r>
      <w:r w:rsidRPr="000355CC">
        <w:rPr>
          <w:noProof/>
          <w:lang w:val="fr-BE"/>
        </w:rPr>
        <w:t xml:space="preserve"> 2022 </w:t>
      </w:r>
      <w:r>
        <w:rPr>
          <w:noProof/>
          <w:lang w:val="fr-BE"/>
        </w:rPr>
        <w:t xml:space="preserve">/590 </w:t>
      </w:r>
      <w:r w:rsidRPr="000355CC">
        <w:rPr>
          <w:noProof/>
          <w:lang w:val="fr-BE"/>
        </w:rPr>
        <w:t>considérant 2 (adapté)</w:t>
      </w:r>
    </w:p>
    <w:p w14:paraId="22B4845B" w14:textId="77777777" w:rsidR="001874FD" w:rsidRPr="0057458E" w:rsidRDefault="001874FD" w:rsidP="00D27BB5">
      <w:pPr>
        <w:pStyle w:val="ManualConsidrant"/>
        <w:autoSpaceDE w:val="0"/>
        <w:autoSpaceDN w:val="0"/>
        <w:rPr>
          <w:noProof/>
          <w:lang w:val="fr-BE"/>
        </w:rPr>
      </w:pPr>
      <w:r>
        <w:rPr>
          <w:noProof/>
        </w:rPr>
        <w:t>(4)</w:t>
      </w:r>
      <w:r>
        <w:rPr>
          <w:noProof/>
        </w:rPr>
        <w:tab/>
      </w:r>
      <w:r w:rsidRPr="0057458E">
        <w:rPr>
          <w:noProof/>
          <w:lang w:val="fr-BE"/>
        </w:rPr>
        <w:t xml:space="preserve">Le </w:t>
      </w:r>
      <w:r w:rsidRPr="000355CC">
        <w:rPr>
          <w:noProof/>
        </w:rPr>
        <w:fldChar w:fldCharType="begin"/>
      </w:r>
      <w:r w:rsidRPr="000355CC">
        <w:rPr>
          <w:noProof/>
        </w:rPr>
        <w:instrText xml:space="preserve"> QUOTE "</w:instrText>
      </w:r>
      <w:r w:rsidRPr="000355CC">
        <w:rPr>
          <w:rStyle w:val="CRMarker"/>
          <w:noProof/>
        </w:rPr>
        <w:instrText>Ö</w:instrText>
      </w:r>
      <w:r w:rsidRPr="000355CC">
        <w:rPr>
          <w:noProof/>
        </w:rPr>
        <w:instrText xml:space="preserve">" </w:instrText>
      </w:r>
      <w:r w:rsidRPr="000355CC">
        <w:rPr>
          <w:noProof/>
        </w:rPr>
        <w:fldChar w:fldCharType="separate"/>
      </w:r>
      <w:r w:rsidRPr="000355CC">
        <w:rPr>
          <w:rStyle w:val="CRMarker"/>
          <w:noProof/>
        </w:rPr>
        <w:t>Ö</w:t>
      </w:r>
      <w:r w:rsidRPr="000355CC">
        <w:rPr>
          <w:noProof/>
        </w:rPr>
        <w:fldChar w:fldCharType="end"/>
      </w:r>
      <w:r w:rsidRPr="000355CC">
        <w:rPr>
          <w:noProof/>
        </w:rPr>
        <w:t> </w:t>
      </w:r>
      <w:r>
        <w:rPr>
          <w:noProof/>
          <w:lang w:val="fr-BE"/>
        </w:rPr>
        <w:t>présent</w:t>
      </w:r>
      <w:r w:rsidRPr="000355CC">
        <w:rPr>
          <w:noProof/>
        </w:rPr>
        <w:t> </w:t>
      </w:r>
      <w:r w:rsidRPr="000355CC">
        <w:rPr>
          <w:noProof/>
        </w:rPr>
        <w:fldChar w:fldCharType="begin"/>
      </w:r>
      <w:r w:rsidRPr="000355CC">
        <w:rPr>
          <w:noProof/>
        </w:rPr>
        <w:instrText xml:space="preserve"> QUOTE "</w:instrText>
      </w:r>
      <w:r w:rsidRPr="000355CC">
        <w:rPr>
          <w:rStyle w:val="CRMarker"/>
          <w:noProof/>
        </w:rPr>
        <w:instrText>Õ</w:instrText>
      </w:r>
      <w:r w:rsidRPr="000355CC">
        <w:rPr>
          <w:noProof/>
        </w:rPr>
        <w:instrText xml:space="preserve">" </w:instrText>
      </w:r>
      <w:r w:rsidRPr="000355CC">
        <w:rPr>
          <w:noProof/>
        </w:rPr>
        <w:fldChar w:fldCharType="separate"/>
      </w:r>
      <w:r w:rsidRPr="000355CC">
        <w:rPr>
          <w:rStyle w:val="CRMarker"/>
          <w:noProof/>
        </w:rPr>
        <w:t>Õ</w:t>
      </w:r>
      <w:r w:rsidRPr="000355CC">
        <w:rPr>
          <w:noProof/>
        </w:rPr>
        <w:fldChar w:fldCharType="end"/>
      </w:r>
      <w:r>
        <w:rPr>
          <w:noProof/>
          <w:lang w:val="fr-BE"/>
        </w:rPr>
        <w:t xml:space="preserve"> </w:t>
      </w:r>
      <w:r w:rsidRPr="0057458E">
        <w:rPr>
          <w:noProof/>
          <w:lang w:val="fr-BE"/>
        </w:rPr>
        <w:t xml:space="preserve">règlement </w:t>
      </w:r>
      <w:r w:rsidRPr="000355CC">
        <w:rPr>
          <w:noProof/>
        </w:rPr>
        <w:fldChar w:fldCharType="begin"/>
      </w:r>
      <w:r w:rsidRPr="000355CC">
        <w:rPr>
          <w:noProof/>
        </w:rPr>
        <w:instrText xml:space="preserve"> QUOTE "</w:instrText>
      </w:r>
      <w:r w:rsidRPr="000355CC">
        <w:rPr>
          <w:rStyle w:val="CRMarker"/>
          <w:noProof/>
        </w:rPr>
        <w:instrText>Ö</w:instrText>
      </w:r>
      <w:r w:rsidRPr="000355CC">
        <w:rPr>
          <w:noProof/>
        </w:rPr>
        <w:instrText xml:space="preserve">" </w:instrText>
      </w:r>
      <w:r w:rsidRPr="000355CC">
        <w:rPr>
          <w:noProof/>
        </w:rPr>
        <w:fldChar w:fldCharType="separate"/>
      </w:r>
      <w:r w:rsidRPr="000355CC">
        <w:rPr>
          <w:rStyle w:val="CRMarker"/>
          <w:noProof/>
        </w:rPr>
        <w:t>Ö</w:t>
      </w:r>
      <w:r w:rsidRPr="000355CC">
        <w:rPr>
          <w:noProof/>
        </w:rPr>
        <w:fldChar w:fldCharType="end"/>
      </w:r>
      <w:r w:rsidRPr="000355CC">
        <w:rPr>
          <w:noProof/>
        </w:rPr>
        <w:t> </w:t>
      </w:r>
      <w:r>
        <w:rPr>
          <w:noProof/>
          <w:lang w:val="fr-BE"/>
        </w:rPr>
        <w:t>devrait établir des règles pour</w:t>
      </w:r>
      <w:r w:rsidRPr="000355CC">
        <w:rPr>
          <w:noProof/>
        </w:rPr>
        <w:t> </w:t>
      </w:r>
      <w:r w:rsidRPr="000355CC">
        <w:rPr>
          <w:noProof/>
        </w:rPr>
        <w:fldChar w:fldCharType="begin"/>
      </w:r>
      <w:r w:rsidRPr="000355CC">
        <w:rPr>
          <w:noProof/>
        </w:rPr>
        <w:instrText xml:space="preserve"> QUOTE "</w:instrText>
      </w:r>
      <w:r w:rsidRPr="000355CC">
        <w:rPr>
          <w:rStyle w:val="CRMarker"/>
          <w:noProof/>
        </w:rPr>
        <w:instrText>Õ</w:instrText>
      </w:r>
      <w:r w:rsidRPr="000355CC">
        <w:rPr>
          <w:noProof/>
        </w:rPr>
        <w:instrText xml:space="preserve">" </w:instrText>
      </w:r>
      <w:r w:rsidRPr="000355CC">
        <w:rPr>
          <w:noProof/>
        </w:rPr>
        <w:fldChar w:fldCharType="separate"/>
      </w:r>
      <w:r w:rsidRPr="000355CC">
        <w:rPr>
          <w:rStyle w:val="CRMarker"/>
          <w:noProof/>
        </w:rPr>
        <w:t>Õ</w:t>
      </w:r>
      <w:r w:rsidRPr="000355CC">
        <w:rPr>
          <w:noProof/>
        </w:rPr>
        <w:fldChar w:fldCharType="end"/>
      </w:r>
      <w:r>
        <w:rPr>
          <w:noProof/>
          <w:lang w:val="fr-BE"/>
        </w:rPr>
        <w:t xml:space="preserve"> </w:t>
      </w:r>
      <w:r w:rsidRPr="0057458E">
        <w:rPr>
          <w:noProof/>
          <w:lang w:val="fr-BE"/>
        </w:rPr>
        <w:t xml:space="preserve">les comptes économiques de l’agriculture (CEA) dans l’Union en prévoyant la méthodologie et les délais pour la transmission des comptes agricoles. Les CEA sont des comptes satellites des comptes nationaux, tels qu’ils sont prévus par le </w:t>
      </w:r>
      <w:r w:rsidRPr="000355CC">
        <w:rPr>
          <w:noProof/>
        </w:rPr>
        <w:fldChar w:fldCharType="begin"/>
      </w:r>
      <w:r w:rsidRPr="000355CC">
        <w:rPr>
          <w:noProof/>
        </w:rPr>
        <w:instrText xml:space="preserve"> QUOTE "</w:instrText>
      </w:r>
      <w:r w:rsidRPr="000355CC">
        <w:rPr>
          <w:rStyle w:val="CRMarker"/>
          <w:noProof/>
        </w:rPr>
        <w:instrText>Ö</w:instrText>
      </w:r>
      <w:r w:rsidRPr="000355CC">
        <w:rPr>
          <w:noProof/>
        </w:rPr>
        <w:instrText xml:space="preserve">" </w:instrText>
      </w:r>
      <w:r w:rsidRPr="000355CC">
        <w:rPr>
          <w:noProof/>
        </w:rPr>
        <w:fldChar w:fldCharType="separate"/>
      </w:r>
      <w:r w:rsidRPr="000355CC">
        <w:rPr>
          <w:rStyle w:val="CRMarker"/>
          <w:noProof/>
        </w:rPr>
        <w:t>Ö</w:t>
      </w:r>
      <w:r w:rsidRPr="000355CC">
        <w:rPr>
          <w:noProof/>
        </w:rPr>
        <w:fldChar w:fldCharType="end"/>
      </w:r>
      <w:r>
        <w:rPr>
          <w:noProof/>
        </w:rPr>
        <w:t> </w:t>
      </w:r>
      <w:r>
        <w:rPr>
          <w:noProof/>
          <w:lang w:val="fr-BE"/>
        </w:rPr>
        <w:t>Système européen des comptes </w:t>
      </w:r>
      <w:r w:rsidRPr="000355CC">
        <w:rPr>
          <w:noProof/>
        </w:rPr>
        <w:fldChar w:fldCharType="begin"/>
      </w:r>
      <w:r w:rsidRPr="000355CC">
        <w:rPr>
          <w:noProof/>
        </w:rPr>
        <w:instrText xml:space="preserve"> QUOTE "</w:instrText>
      </w:r>
      <w:r w:rsidRPr="000355CC">
        <w:rPr>
          <w:rStyle w:val="CRMarker"/>
          <w:noProof/>
        </w:rPr>
        <w:instrText>Õ</w:instrText>
      </w:r>
      <w:r w:rsidRPr="000355CC">
        <w:rPr>
          <w:noProof/>
        </w:rPr>
        <w:instrText xml:space="preserve">" </w:instrText>
      </w:r>
      <w:r w:rsidRPr="000355CC">
        <w:rPr>
          <w:noProof/>
        </w:rPr>
        <w:fldChar w:fldCharType="separate"/>
      </w:r>
      <w:r w:rsidRPr="000355CC">
        <w:rPr>
          <w:rStyle w:val="CRMarker"/>
          <w:noProof/>
        </w:rPr>
        <w:t>Õ</w:t>
      </w:r>
      <w:r w:rsidRPr="000355CC">
        <w:rPr>
          <w:noProof/>
        </w:rPr>
        <w:fldChar w:fldCharType="end"/>
      </w:r>
      <w:r>
        <w:rPr>
          <w:rStyle w:val="FootnoteReference"/>
          <w:noProof/>
        </w:rPr>
        <w:footnoteReference w:id="7"/>
      </w:r>
      <w:r>
        <w:rPr>
          <w:noProof/>
          <w:lang w:val="fr-BE"/>
        </w:rPr>
        <w:t xml:space="preserve"> (</w:t>
      </w:r>
      <w:r w:rsidRPr="0057458E">
        <w:rPr>
          <w:noProof/>
          <w:lang w:val="fr-BE"/>
        </w:rPr>
        <w:t>SEC 2010</w:t>
      </w:r>
      <w:r>
        <w:rPr>
          <w:noProof/>
          <w:lang w:val="fr-BE"/>
        </w:rPr>
        <w:t>)</w:t>
      </w:r>
      <w:r w:rsidRPr="0057458E">
        <w:rPr>
          <w:noProof/>
          <w:lang w:val="fr-BE"/>
        </w:rPr>
        <w:t>, dont le but est d’obtenir des résultats harmonisés et comparables entre les États membres afin d’élaborer des comptes pour les besoins de l’Union.</w:t>
      </w:r>
    </w:p>
    <w:p w14:paraId="02466BF5" w14:textId="77777777" w:rsidR="001874FD" w:rsidRDefault="001874FD" w:rsidP="001874FD">
      <w:pPr>
        <w:pStyle w:val="CRSeparator"/>
        <w:rPr>
          <w:noProof/>
          <w:lang w:val="fr-BE"/>
        </w:rPr>
      </w:pPr>
    </w:p>
    <w:p w14:paraId="62A841C3" w14:textId="49D3248B" w:rsidR="001874FD" w:rsidRPr="000355CC" w:rsidRDefault="001874FD" w:rsidP="001874FD">
      <w:pPr>
        <w:pStyle w:val="CRReference"/>
        <w:rPr>
          <w:noProof/>
          <w:lang w:val="fr-BE"/>
        </w:rPr>
      </w:pPr>
      <w:r w:rsidRPr="000355CC">
        <w:rPr>
          <w:noProof/>
        </w:rPr>
        <w:fldChar w:fldCharType="begin"/>
      </w:r>
      <w:r w:rsidRPr="000355CC">
        <w:rPr>
          <w:noProof/>
        </w:rPr>
        <w:instrText xml:space="preserve"> QUOTE "</w:instrText>
      </w:r>
      <w:r w:rsidRPr="000355CC">
        <w:rPr>
          <w:rStyle w:val="CRMarker"/>
          <w:noProof/>
        </w:rPr>
        <w:instrText>ê</w:instrText>
      </w:r>
      <w:r w:rsidRPr="000355CC">
        <w:rPr>
          <w:noProof/>
        </w:rPr>
        <w:instrText xml:space="preserve">" </w:instrText>
      </w:r>
      <w:r w:rsidRPr="000355CC">
        <w:rPr>
          <w:noProof/>
        </w:rPr>
        <w:fldChar w:fldCharType="separate"/>
      </w:r>
      <w:r w:rsidRPr="000355CC">
        <w:rPr>
          <w:rStyle w:val="CRMarker"/>
          <w:noProof/>
        </w:rPr>
        <w:t>ê</w:t>
      </w:r>
      <w:r w:rsidRPr="000355CC">
        <w:rPr>
          <w:noProof/>
        </w:rPr>
        <w:fldChar w:fldCharType="end"/>
      </w:r>
      <w:r w:rsidRPr="000355CC">
        <w:rPr>
          <w:noProof/>
        </w:rPr>
        <w:t> </w:t>
      </w:r>
      <w:r>
        <w:rPr>
          <w:noProof/>
        </w:rPr>
        <w:t>2022/590 considérant 3</w:t>
      </w:r>
    </w:p>
    <w:p w14:paraId="6BEFB2AD" w14:textId="77777777" w:rsidR="001874FD" w:rsidRDefault="001874FD" w:rsidP="00D27BB5">
      <w:pPr>
        <w:pStyle w:val="ManualConsidrant"/>
        <w:autoSpaceDE w:val="0"/>
        <w:autoSpaceDN w:val="0"/>
        <w:rPr>
          <w:noProof/>
          <w:lang w:val="fr-BE"/>
        </w:rPr>
      </w:pPr>
      <w:r>
        <w:rPr>
          <w:noProof/>
        </w:rPr>
        <w:t>(5)</w:t>
      </w:r>
      <w:r>
        <w:rPr>
          <w:noProof/>
        </w:rPr>
        <w:tab/>
      </w:r>
      <w:r w:rsidRPr="000355CC">
        <w:rPr>
          <w:noProof/>
          <w:lang w:val="fr-BE"/>
        </w:rPr>
        <w:t>Les comptes économiques régionaux de l’agriculture (CERA) sont une adaptation des CEA au niveau régional. Les chiffres nationaux ne peuvent, à eux seuls, rendre pleinement compte de la situation, parfois complexe, à un niveau plus détaillé. Les données régionales aident donc à mieux comprendre la diversité qui existe entre les régions en complétant les informations de l’Union, de la zone euro et des différents États membres, tout en répondant à la nécessité accrue de statistiques au regard de l’obligation de rendre des comptes, et en renforçant l’harmonisation, l’efficacité et la cohérence des statistiques agricoles de l’Union.</w:t>
      </w:r>
    </w:p>
    <w:p w14:paraId="65A689B6" w14:textId="77777777" w:rsidR="001874FD" w:rsidRDefault="001874FD" w:rsidP="001874FD">
      <w:pPr>
        <w:pStyle w:val="CRSeparator"/>
        <w:rPr>
          <w:noProof/>
          <w:lang w:val="fr-BE"/>
        </w:rPr>
      </w:pPr>
    </w:p>
    <w:p w14:paraId="40FDF67D" w14:textId="77777777" w:rsidR="001874FD" w:rsidRPr="000355CC" w:rsidRDefault="001874FD" w:rsidP="001874FD">
      <w:pPr>
        <w:pStyle w:val="CRReference"/>
        <w:rPr>
          <w:noProof/>
          <w:lang w:val="fr-BE"/>
        </w:rPr>
      </w:pPr>
      <w:r w:rsidRPr="000355CC">
        <w:rPr>
          <w:noProof/>
        </w:rPr>
        <w:fldChar w:fldCharType="begin"/>
      </w:r>
      <w:r w:rsidRPr="000355CC">
        <w:rPr>
          <w:noProof/>
        </w:rPr>
        <w:instrText xml:space="preserve"> QUOTE "</w:instrText>
      </w:r>
      <w:r w:rsidRPr="000355CC">
        <w:rPr>
          <w:rStyle w:val="CRMarker"/>
          <w:noProof/>
        </w:rPr>
        <w:instrText>ê</w:instrText>
      </w:r>
      <w:r w:rsidRPr="000355CC">
        <w:rPr>
          <w:noProof/>
        </w:rPr>
        <w:instrText xml:space="preserve">" </w:instrText>
      </w:r>
      <w:r w:rsidRPr="000355CC">
        <w:rPr>
          <w:noProof/>
        </w:rPr>
        <w:fldChar w:fldCharType="separate"/>
      </w:r>
      <w:r w:rsidRPr="000355CC">
        <w:rPr>
          <w:rStyle w:val="CRMarker"/>
          <w:noProof/>
        </w:rPr>
        <w:t>ê</w:t>
      </w:r>
      <w:r w:rsidRPr="000355CC">
        <w:rPr>
          <w:noProof/>
        </w:rPr>
        <w:fldChar w:fldCharType="end"/>
      </w:r>
      <w:r w:rsidRPr="000355CC">
        <w:rPr>
          <w:noProof/>
        </w:rPr>
        <w:t> </w:t>
      </w:r>
      <w:r>
        <w:rPr>
          <w:noProof/>
        </w:rPr>
        <w:t>2022/590 considérant 4</w:t>
      </w:r>
    </w:p>
    <w:p w14:paraId="69E5FE69" w14:textId="49D3AD55" w:rsidR="001874FD" w:rsidRDefault="001874FD" w:rsidP="00D27BB5">
      <w:pPr>
        <w:pStyle w:val="ManualConsidrant"/>
        <w:autoSpaceDE w:val="0"/>
        <w:autoSpaceDN w:val="0"/>
        <w:rPr>
          <w:noProof/>
          <w:lang w:val="fr-BE"/>
        </w:rPr>
      </w:pPr>
      <w:r>
        <w:rPr>
          <w:noProof/>
        </w:rPr>
        <w:t>(6)</w:t>
      </w:r>
      <w:r>
        <w:rPr>
          <w:noProof/>
        </w:rPr>
        <w:tab/>
      </w:r>
      <w:r w:rsidRPr="000355CC">
        <w:rPr>
          <w:noProof/>
          <w:lang w:val="fr-BE"/>
        </w:rPr>
        <w:t>Les statistiques ne sont plus considérées simplement comme l’une des nombreuses sources d’informations disponibles pour l’élaboration des politiques, mais jouent un rôle central dans le processus décisionnel. La prise de décision fondée sur des données probantes exige des statistiques conformes aux critères de qualité élevée, énoncés dans le règlement</w:t>
      </w:r>
      <w:r w:rsidR="008E68C6">
        <w:rPr>
          <w:noProof/>
          <w:lang w:val="fr-BE"/>
        </w:rPr>
        <w:t> </w:t>
      </w:r>
      <w:r w:rsidRPr="000355CC">
        <w:rPr>
          <w:noProof/>
          <w:lang w:val="fr-BE"/>
        </w:rPr>
        <w:t>(CE)</w:t>
      </w:r>
      <w:r w:rsidR="008E68C6">
        <w:rPr>
          <w:noProof/>
          <w:lang w:val="fr-BE"/>
        </w:rPr>
        <w:t> </w:t>
      </w:r>
      <w:r w:rsidRPr="000355CC">
        <w:rPr>
          <w:noProof/>
          <w:lang w:val="fr-BE"/>
        </w:rPr>
        <w:t>n°</w:t>
      </w:r>
      <w:r w:rsidR="008E68C6">
        <w:rPr>
          <w:noProof/>
          <w:lang w:val="fr-BE"/>
        </w:rPr>
        <w:t> </w:t>
      </w:r>
      <w:r w:rsidRPr="000355CC">
        <w:rPr>
          <w:noProof/>
          <w:lang w:val="fr-BE"/>
        </w:rPr>
        <w:t>223/2009 du Parlement européen et du Conseil</w:t>
      </w:r>
      <w:r>
        <w:rPr>
          <w:rStyle w:val="FootnoteReference"/>
          <w:noProof/>
          <w:lang w:val="fr-BE"/>
        </w:rPr>
        <w:footnoteReference w:id="8"/>
      </w:r>
      <w:r w:rsidRPr="000355CC">
        <w:rPr>
          <w:noProof/>
          <w:lang w:val="fr-BE"/>
        </w:rPr>
        <w:t>, conformément aux objectifs qu’ils poursuivent.</w:t>
      </w:r>
    </w:p>
    <w:p w14:paraId="375DFCA7" w14:textId="77777777" w:rsidR="001874FD" w:rsidRDefault="001874FD" w:rsidP="001874FD">
      <w:pPr>
        <w:pStyle w:val="CRSeparator"/>
        <w:rPr>
          <w:noProof/>
          <w:lang w:val="fr-BE"/>
        </w:rPr>
      </w:pPr>
    </w:p>
    <w:p w14:paraId="2BB26BD6" w14:textId="77777777" w:rsidR="001874FD" w:rsidRPr="00B52DBB" w:rsidRDefault="001874FD" w:rsidP="001874FD">
      <w:pPr>
        <w:pStyle w:val="CRReference"/>
        <w:rPr>
          <w:noProof/>
          <w:lang w:val="fr-BE"/>
        </w:rPr>
      </w:pPr>
      <w:r w:rsidRPr="00B52DBB">
        <w:rPr>
          <w:noProof/>
        </w:rPr>
        <w:fldChar w:fldCharType="begin"/>
      </w:r>
      <w:r w:rsidRPr="00B52DBB">
        <w:rPr>
          <w:noProof/>
        </w:rPr>
        <w:instrText xml:space="preserve"> QUOTE "</w:instrText>
      </w:r>
      <w:r w:rsidRPr="00B52DBB">
        <w:rPr>
          <w:rStyle w:val="CRMarker"/>
          <w:noProof/>
        </w:rPr>
        <w:instrText>ê</w:instrText>
      </w:r>
      <w:r w:rsidRPr="00B52DBB">
        <w:rPr>
          <w:noProof/>
        </w:rPr>
        <w:instrText xml:space="preserve">" </w:instrText>
      </w:r>
      <w:r w:rsidRPr="00B52DBB">
        <w:rPr>
          <w:noProof/>
        </w:rPr>
        <w:fldChar w:fldCharType="separate"/>
      </w:r>
      <w:r w:rsidRPr="00B52DBB">
        <w:rPr>
          <w:rStyle w:val="CRMarker"/>
          <w:noProof/>
        </w:rPr>
        <w:t>ê</w:t>
      </w:r>
      <w:r w:rsidRPr="00B52DBB">
        <w:rPr>
          <w:noProof/>
        </w:rPr>
        <w:fldChar w:fldCharType="end"/>
      </w:r>
      <w:r w:rsidRPr="00B52DBB">
        <w:rPr>
          <w:noProof/>
        </w:rPr>
        <w:t> </w:t>
      </w:r>
      <w:r>
        <w:rPr>
          <w:noProof/>
        </w:rPr>
        <w:t>2022/590 considérant 7</w:t>
      </w:r>
    </w:p>
    <w:p w14:paraId="76DFAA0F" w14:textId="3053DA46" w:rsidR="001874FD" w:rsidRDefault="001874FD" w:rsidP="00D27BB5">
      <w:pPr>
        <w:pStyle w:val="ManualConsidrant"/>
        <w:autoSpaceDE w:val="0"/>
        <w:autoSpaceDN w:val="0"/>
        <w:rPr>
          <w:noProof/>
          <w:lang w:val="fr-BE"/>
        </w:rPr>
      </w:pPr>
      <w:r>
        <w:rPr>
          <w:noProof/>
        </w:rPr>
        <w:t>(7)</w:t>
      </w:r>
      <w:r>
        <w:rPr>
          <w:noProof/>
        </w:rPr>
        <w:tab/>
      </w:r>
      <w:r w:rsidRPr="00B52DBB">
        <w:rPr>
          <w:noProof/>
          <w:lang w:val="fr-BE"/>
        </w:rPr>
        <w:t>Le règlement</w:t>
      </w:r>
      <w:r w:rsidR="008E68C6">
        <w:rPr>
          <w:noProof/>
          <w:lang w:val="fr-BE"/>
        </w:rPr>
        <w:t> </w:t>
      </w:r>
      <w:r w:rsidRPr="00B52DBB">
        <w:rPr>
          <w:noProof/>
          <w:lang w:val="fr-BE"/>
        </w:rPr>
        <w:t>(CE)</w:t>
      </w:r>
      <w:r w:rsidR="008E68C6">
        <w:rPr>
          <w:noProof/>
          <w:lang w:val="fr-BE"/>
        </w:rPr>
        <w:t> </w:t>
      </w:r>
      <w:r w:rsidRPr="00B52DBB">
        <w:rPr>
          <w:noProof/>
          <w:lang w:val="fr-BE"/>
        </w:rPr>
        <w:t>n°</w:t>
      </w:r>
      <w:r w:rsidR="008E68C6">
        <w:rPr>
          <w:noProof/>
          <w:lang w:val="fr-BE"/>
        </w:rPr>
        <w:t> </w:t>
      </w:r>
      <w:r w:rsidRPr="00B52DBB">
        <w:rPr>
          <w:noProof/>
          <w:lang w:val="fr-BE"/>
        </w:rPr>
        <w:t>223/2009 fournit un cadre juridique pour les statistiques européennes et exige des États membres qu’ils respectent les principes statistiques et les critères de qualité qu’il énonce. Les rapports sur la qualité sont essentiels à l’évaluation et à l’amélioration de la qualité des statistiques européennes ainsi qu’à la communication sur le sujet. Le comité du système statistique européen a adopté la structure unique et intégrée de métadonnées comme norme du système statistique européen pour les rapports sur la qualité, contribuant ainsi à satisfaire, par des normes uniformes et des méthodes harmonisées, aux exigences en matière de qualité statistique définies dans le règlement</w:t>
      </w:r>
      <w:r w:rsidR="008E68C6">
        <w:rPr>
          <w:noProof/>
          <w:lang w:val="fr-BE"/>
        </w:rPr>
        <w:t> </w:t>
      </w:r>
      <w:r w:rsidRPr="00B52DBB">
        <w:rPr>
          <w:noProof/>
          <w:lang w:val="fr-BE"/>
        </w:rPr>
        <w:t>(CE)</w:t>
      </w:r>
      <w:r w:rsidR="008E68C6">
        <w:rPr>
          <w:noProof/>
          <w:lang w:val="fr-BE"/>
        </w:rPr>
        <w:t> </w:t>
      </w:r>
      <w:r w:rsidRPr="00B52DBB">
        <w:rPr>
          <w:noProof/>
          <w:lang w:val="fr-BE"/>
        </w:rPr>
        <w:t>n°</w:t>
      </w:r>
      <w:r w:rsidRPr="00B52DBB">
        <w:rPr>
          <w:noProof/>
        </w:rPr>
        <w:t> </w:t>
      </w:r>
      <w:r w:rsidRPr="00B52DBB">
        <w:rPr>
          <w:noProof/>
          <w:lang w:val="fr-BE"/>
        </w:rPr>
        <w:t xml:space="preserve">223/2009, en particulier celles énoncées </w:t>
      </w:r>
      <w:r w:rsidRPr="00B52DBB">
        <w:rPr>
          <w:noProof/>
          <w:lang w:val="fr-BE"/>
        </w:rPr>
        <w:lastRenderedPageBreak/>
        <w:t>dans son article 12, paragraphe 3. Les ressources devraient être utilisées de manière optimale et la charge de réponse devrait être réduite autant que possible.</w:t>
      </w:r>
    </w:p>
    <w:p w14:paraId="7D8BFFED" w14:textId="77777777" w:rsidR="001874FD" w:rsidRDefault="001874FD" w:rsidP="001874FD">
      <w:pPr>
        <w:pStyle w:val="CRSeparator"/>
        <w:rPr>
          <w:noProof/>
          <w:lang w:val="fr-BE"/>
        </w:rPr>
      </w:pPr>
    </w:p>
    <w:p w14:paraId="7EE61850" w14:textId="77777777" w:rsidR="001874FD" w:rsidRPr="00B605AC" w:rsidRDefault="001874FD" w:rsidP="001874FD">
      <w:pPr>
        <w:pStyle w:val="CRReference"/>
        <w:rPr>
          <w:noProof/>
          <w:lang w:val="fr-BE"/>
        </w:rPr>
      </w:pPr>
      <w:r w:rsidRPr="00B605AC">
        <w:rPr>
          <w:noProof/>
        </w:rPr>
        <w:fldChar w:fldCharType="begin"/>
      </w:r>
      <w:r w:rsidRPr="00B605AC">
        <w:rPr>
          <w:noProof/>
        </w:rPr>
        <w:instrText xml:space="preserve"> QUOTE "</w:instrText>
      </w:r>
      <w:r w:rsidRPr="00B605AC">
        <w:rPr>
          <w:rStyle w:val="CRMarker"/>
          <w:noProof/>
        </w:rPr>
        <w:instrText>ê</w:instrText>
      </w:r>
      <w:r w:rsidRPr="00B605AC">
        <w:rPr>
          <w:noProof/>
        </w:rPr>
        <w:instrText xml:space="preserve">" </w:instrText>
      </w:r>
      <w:r w:rsidRPr="00B605AC">
        <w:rPr>
          <w:noProof/>
        </w:rPr>
        <w:fldChar w:fldCharType="separate"/>
      </w:r>
      <w:r w:rsidRPr="00B605AC">
        <w:rPr>
          <w:rStyle w:val="CRMarker"/>
          <w:noProof/>
        </w:rPr>
        <w:t>ê</w:t>
      </w:r>
      <w:r w:rsidRPr="00B605AC">
        <w:rPr>
          <w:noProof/>
        </w:rPr>
        <w:fldChar w:fldCharType="end"/>
      </w:r>
      <w:r w:rsidRPr="00B605AC">
        <w:rPr>
          <w:noProof/>
        </w:rPr>
        <w:t> </w:t>
      </w:r>
      <w:r>
        <w:rPr>
          <w:noProof/>
        </w:rPr>
        <w:t>138/2004 considérant 5 (adapté)</w:t>
      </w:r>
    </w:p>
    <w:p w14:paraId="5C3FA095" w14:textId="77777777" w:rsidR="001874FD" w:rsidRDefault="001874FD" w:rsidP="00D27BB5">
      <w:pPr>
        <w:pStyle w:val="ManualConsidrant"/>
        <w:autoSpaceDE w:val="0"/>
        <w:autoSpaceDN w:val="0"/>
        <w:rPr>
          <w:noProof/>
          <w:lang w:val="fr-BE"/>
        </w:rPr>
      </w:pPr>
      <w:r>
        <w:rPr>
          <w:noProof/>
        </w:rPr>
        <w:t>(8)</w:t>
      </w:r>
      <w:r>
        <w:rPr>
          <w:noProof/>
        </w:rPr>
        <w:tab/>
      </w:r>
      <w:r w:rsidRPr="00B605AC">
        <w:rPr>
          <w:noProof/>
          <w:lang w:val="fr-BE"/>
        </w:rPr>
        <w:t xml:space="preserve">Étant donné que l'objectif </w:t>
      </w:r>
      <w:r w:rsidRPr="00B605AC">
        <w:rPr>
          <w:noProof/>
        </w:rPr>
        <w:fldChar w:fldCharType="begin"/>
      </w:r>
      <w:r w:rsidRPr="00B605AC">
        <w:rPr>
          <w:noProof/>
        </w:rPr>
        <w:instrText xml:space="preserve"> QUOTE "</w:instrText>
      </w:r>
      <w:r w:rsidRPr="00B605AC">
        <w:rPr>
          <w:rStyle w:val="CRMarker"/>
          <w:noProof/>
        </w:rPr>
        <w:instrText>Ö</w:instrText>
      </w:r>
      <w:r w:rsidRPr="00B605AC">
        <w:rPr>
          <w:noProof/>
        </w:rPr>
        <w:instrText xml:space="preserve">" </w:instrText>
      </w:r>
      <w:r w:rsidRPr="00B605AC">
        <w:rPr>
          <w:noProof/>
        </w:rPr>
        <w:fldChar w:fldCharType="separate"/>
      </w:r>
      <w:r w:rsidRPr="00B605AC">
        <w:rPr>
          <w:rStyle w:val="CRMarker"/>
          <w:noProof/>
        </w:rPr>
        <w:t>Ö</w:t>
      </w:r>
      <w:r w:rsidRPr="00B605AC">
        <w:rPr>
          <w:noProof/>
        </w:rPr>
        <w:fldChar w:fldCharType="end"/>
      </w:r>
      <w:r w:rsidRPr="00B605AC">
        <w:rPr>
          <w:noProof/>
        </w:rPr>
        <w:t> </w:t>
      </w:r>
      <w:r>
        <w:rPr>
          <w:noProof/>
          <w:lang w:val="fr-BE"/>
        </w:rPr>
        <w:t xml:space="preserve">du présent </w:t>
      </w:r>
      <w:r w:rsidRPr="0057458E">
        <w:rPr>
          <w:noProof/>
          <w:lang w:val="fr-BE"/>
        </w:rPr>
        <w:t>règlement</w:t>
      </w:r>
      <w:r w:rsidRPr="00B605AC">
        <w:rPr>
          <w:noProof/>
        </w:rPr>
        <w:t> </w:t>
      </w:r>
      <w:r w:rsidRPr="00B605AC">
        <w:rPr>
          <w:noProof/>
        </w:rPr>
        <w:fldChar w:fldCharType="begin"/>
      </w:r>
      <w:r w:rsidRPr="00B605AC">
        <w:rPr>
          <w:noProof/>
        </w:rPr>
        <w:instrText xml:space="preserve"> QUOTE "</w:instrText>
      </w:r>
      <w:r w:rsidRPr="00B605AC">
        <w:rPr>
          <w:rStyle w:val="CRMarker"/>
          <w:noProof/>
        </w:rPr>
        <w:instrText>Õ</w:instrText>
      </w:r>
      <w:r w:rsidRPr="00B605AC">
        <w:rPr>
          <w:noProof/>
        </w:rPr>
        <w:instrText xml:space="preserve">" </w:instrText>
      </w:r>
      <w:r w:rsidRPr="00B605AC">
        <w:rPr>
          <w:noProof/>
        </w:rPr>
        <w:fldChar w:fldCharType="separate"/>
      </w:r>
      <w:r w:rsidRPr="00B605AC">
        <w:rPr>
          <w:rStyle w:val="CRMarker"/>
          <w:noProof/>
        </w:rPr>
        <w:t>Õ</w:t>
      </w:r>
      <w:r w:rsidRPr="00B605AC">
        <w:rPr>
          <w:noProof/>
        </w:rPr>
        <w:fldChar w:fldCharType="end"/>
      </w:r>
      <w:r w:rsidRPr="00B605AC">
        <w:rPr>
          <w:noProof/>
          <w:lang w:val="fr-BE"/>
        </w:rPr>
        <w:t>, à savoir la création de normes statistiques communes permettant de produire des données harmonisées ne peut pas être réalisé de manière suffisante par les États membres</w:t>
      </w:r>
      <w:r w:rsidRPr="00D54AD5">
        <w:rPr>
          <w:noProof/>
        </w:rPr>
        <w:t>,</w:t>
      </w:r>
      <w:r w:rsidRPr="00B605AC">
        <w:rPr>
          <w:noProof/>
          <w:lang w:val="fr-BE"/>
        </w:rPr>
        <w:t xml:space="preserve"> </w:t>
      </w:r>
      <w:r w:rsidRPr="00F510C6">
        <w:rPr>
          <w:noProof/>
        </w:rPr>
        <w:fldChar w:fldCharType="begin"/>
      </w:r>
      <w:r w:rsidRPr="00F510C6">
        <w:rPr>
          <w:noProof/>
        </w:rPr>
        <w:instrText xml:space="preserve"> QUOTE "</w:instrText>
      </w:r>
      <w:r w:rsidRPr="00F510C6">
        <w:rPr>
          <w:rStyle w:val="CRMarker"/>
          <w:noProof/>
        </w:rPr>
        <w:instrText>Ö</w:instrText>
      </w:r>
      <w:r w:rsidRPr="00F510C6">
        <w:rPr>
          <w:noProof/>
        </w:rPr>
        <w:instrText xml:space="preserve">" </w:instrText>
      </w:r>
      <w:r w:rsidRPr="00F510C6">
        <w:rPr>
          <w:noProof/>
        </w:rPr>
        <w:fldChar w:fldCharType="separate"/>
      </w:r>
      <w:r w:rsidRPr="00F510C6">
        <w:rPr>
          <w:rStyle w:val="CRMarker"/>
          <w:noProof/>
        </w:rPr>
        <w:t>Ö</w:t>
      </w:r>
      <w:r w:rsidRPr="00F510C6">
        <w:rPr>
          <w:noProof/>
        </w:rPr>
        <w:fldChar w:fldCharType="end"/>
      </w:r>
      <w:r w:rsidRPr="00F510C6">
        <w:rPr>
          <w:noProof/>
        </w:rPr>
        <w:t> </w:t>
      </w:r>
      <w:r>
        <w:rPr>
          <w:noProof/>
          <w:lang w:val="fr-BE"/>
        </w:rPr>
        <w:t>mais</w:t>
      </w:r>
      <w:r w:rsidRPr="00F510C6">
        <w:rPr>
          <w:noProof/>
        </w:rPr>
        <w:t> </w:t>
      </w:r>
      <w:r w:rsidRPr="00F510C6">
        <w:rPr>
          <w:noProof/>
        </w:rPr>
        <w:fldChar w:fldCharType="begin"/>
      </w:r>
      <w:r w:rsidRPr="00F510C6">
        <w:rPr>
          <w:noProof/>
        </w:rPr>
        <w:instrText xml:space="preserve"> QUOTE "</w:instrText>
      </w:r>
      <w:r w:rsidRPr="00F510C6">
        <w:rPr>
          <w:rStyle w:val="CRMarker"/>
          <w:noProof/>
        </w:rPr>
        <w:instrText>Õ</w:instrText>
      </w:r>
      <w:r w:rsidRPr="00F510C6">
        <w:rPr>
          <w:noProof/>
        </w:rPr>
        <w:instrText xml:space="preserve">" </w:instrText>
      </w:r>
      <w:r w:rsidRPr="00F510C6">
        <w:rPr>
          <w:noProof/>
        </w:rPr>
        <w:fldChar w:fldCharType="separate"/>
      </w:r>
      <w:r w:rsidRPr="00F510C6">
        <w:rPr>
          <w:rStyle w:val="CRMarker"/>
          <w:noProof/>
        </w:rPr>
        <w:t>Õ</w:t>
      </w:r>
      <w:r w:rsidRPr="00F510C6">
        <w:rPr>
          <w:noProof/>
        </w:rPr>
        <w:fldChar w:fldCharType="end"/>
      </w:r>
      <w:r>
        <w:rPr>
          <w:noProof/>
          <w:lang w:val="fr-BE"/>
        </w:rPr>
        <w:t xml:space="preserve"> </w:t>
      </w:r>
      <w:r w:rsidRPr="00B605AC">
        <w:rPr>
          <w:noProof/>
          <w:lang w:val="fr-BE"/>
        </w:rPr>
        <w:t xml:space="preserve">peut </w:t>
      </w:r>
      <w:r w:rsidRPr="00F510C6">
        <w:rPr>
          <w:noProof/>
        </w:rPr>
        <w:fldChar w:fldCharType="begin"/>
      </w:r>
      <w:r w:rsidRPr="00F510C6">
        <w:rPr>
          <w:noProof/>
        </w:rPr>
        <w:instrText xml:space="preserve"> QUOTE "</w:instrText>
      </w:r>
      <w:r w:rsidRPr="00F510C6">
        <w:rPr>
          <w:rStyle w:val="CRMarker"/>
          <w:noProof/>
        </w:rPr>
        <w:instrText>Ö</w:instrText>
      </w:r>
      <w:r w:rsidRPr="00F510C6">
        <w:rPr>
          <w:noProof/>
        </w:rPr>
        <w:instrText xml:space="preserve">" </w:instrText>
      </w:r>
      <w:r w:rsidRPr="00F510C6">
        <w:rPr>
          <w:noProof/>
        </w:rPr>
        <w:fldChar w:fldCharType="separate"/>
      </w:r>
      <w:r w:rsidRPr="00F510C6">
        <w:rPr>
          <w:rStyle w:val="CRMarker"/>
          <w:noProof/>
        </w:rPr>
        <w:t>Ö</w:t>
      </w:r>
      <w:r w:rsidRPr="00F510C6">
        <w:rPr>
          <w:noProof/>
        </w:rPr>
        <w:fldChar w:fldCharType="end"/>
      </w:r>
      <w:r w:rsidRPr="00F510C6">
        <w:rPr>
          <w:noProof/>
        </w:rPr>
        <w:t> </w:t>
      </w:r>
      <w:r w:rsidRPr="00F510C6">
        <w:rPr>
          <w:noProof/>
          <w:lang w:val="fr-BE"/>
        </w:rPr>
        <w:t>plutôt</w:t>
      </w:r>
      <w:r w:rsidRPr="00F510C6">
        <w:rPr>
          <w:noProof/>
        </w:rPr>
        <w:t> </w:t>
      </w:r>
      <w:r w:rsidRPr="00F510C6">
        <w:rPr>
          <w:noProof/>
        </w:rPr>
        <w:fldChar w:fldCharType="begin"/>
      </w:r>
      <w:r w:rsidRPr="00F510C6">
        <w:rPr>
          <w:noProof/>
        </w:rPr>
        <w:instrText xml:space="preserve"> QUOTE "</w:instrText>
      </w:r>
      <w:r w:rsidRPr="00F510C6">
        <w:rPr>
          <w:rStyle w:val="CRMarker"/>
          <w:noProof/>
        </w:rPr>
        <w:instrText>Õ</w:instrText>
      </w:r>
      <w:r w:rsidRPr="00F510C6">
        <w:rPr>
          <w:noProof/>
        </w:rPr>
        <w:instrText xml:space="preserve">" </w:instrText>
      </w:r>
      <w:r w:rsidRPr="00F510C6">
        <w:rPr>
          <w:noProof/>
        </w:rPr>
        <w:fldChar w:fldCharType="separate"/>
      </w:r>
      <w:r w:rsidRPr="00F510C6">
        <w:rPr>
          <w:rStyle w:val="CRMarker"/>
          <w:noProof/>
        </w:rPr>
        <w:t>Õ</w:t>
      </w:r>
      <w:r w:rsidRPr="00F510C6">
        <w:rPr>
          <w:noProof/>
        </w:rPr>
        <w:fldChar w:fldCharType="end"/>
      </w:r>
      <w:r w:rsidRPr="00F510C6">
        <w:rPr>
          <w:noProof/>
          <w:lang w:val="fr-BE"/>
        </w:rPr>
        <w:t xml:space="preserve"> </w:t>
      </w:r>
      <w:r w:rsidRPr="00B605AC">
        <w:rPr>
          <w:noProof/>
          <w:lang w:val="fr-BE"/>
        </w:rPr>
        <w:t xml:space="preserve">en raison des dimensions de l'action être mieux réalisé au niveau </w:t>
      </w:r>
      <w:r w:rsidRPr="00B605AC">
        <w:rPr>
          <w:noProof/>
        </w:rPr>
        <w:fldChar w:fldCharType="begin"/>
      </w:r>
      <w:r w:rsidRPr="00B605AC">
        <w:rPr>
          <w:noProof/>
        </w:rPr>
        <w:instrText xml:space="preserve"> QUOTE "</w:instrText>
      </w:r>
      <w:r w:rsidRPr="00B605AC">
        <w:rPr>
          <w:rStyle w:val="CRMarker"/>
          <w:noProof/>
        </w:rPr>
        <w:instrText>Ö</w:instrText>
      </w:r>
      <w:r w:rsidRPr="00B605AC">
        <w:rPr>
          <w:noProof/>
        </w:rPr>
        <w:instrText xml:space="preserve">" </w:instrText>
      </w:r>
      <w:r w:rsidRPr="00B605AC">
        <w:rPr>
          <w:noProof/>
        </w:rPr>
        <w:fldChar w:fldCharType="separate"/>
      </w:r>
      <w:r w:rsidRPr="00B605AC">
        <w:rPr>
          <w:rStyle w:val="CRMarker"/>
          <w:noProof/>
        </w:rPr>
        <w:t>Ö</w:t>
      </w:r>
      <w:r w:rsidRPr="00B605AC">
        <w:rPr>
          <w:noProof/>
        </w:rPr>
        <w:fldChar w:fldCharType="end"/>
      </w:r>
      <w:r w:rsidRPr="00B605AC">
        <w:rPr>
          <w:noProof/>
        </w:rPr>
        <w:t> </w:t>
      </w:r>
      <w:r w:rsidRPr="00B605AC">
        <w:rPr>
          <w:noProof/>
          <w:lang w:val="fr-BE"/>
        </w:rPr>
        <w:t>de l'Union</w:t>
      </w:r>
      <w:r w:rsidRPr="00B605AC">
        <w:rPr>
          <w:noProof/>
        </w:rPr>
        <w:t> </w:t>
      </w:r>
      <w:r w:rsidRPr="00B605AC">
        <w:rPr>
          <w:noProof/>
        </w:rPr>
        <w:fldChar w:fldCharType="begin"/>
      </w:r>
      <w:r w:rsidRPr="00B605AC">
        <w:rPr>
          <w:noProof/>
        </w:rPr>
        <w:instrText xml:space="preserve"> QUOTE "</w:instrText>
      </w:r>
      <w:r w:rsidRPr="00B605AC">
        <w:rPr>
          <w:rStyle w:val="CRMarker"/>
          <w:noProof/>
        </w:rPr>
        <w:instrText>Õ</w:instrText>
      </w:r>
      <w:r w:rsidRPr="00B605AC">
        <w:rPr>
          <w:noProof/>
        </w:rPr>
        <w:instrText xml:space="preserve">" </w:instrText>
      </w:r>
      <w:r w:rsidRPr="00B605AC">
        <w:rPr>
          <w:noProof/>
        </w:rPr>
        <w:fldChar w:fldCharType="separate"/>
      </w:r>
      <w:r w:rsidRPr="00B605AC">
        <w:rPr>
          <w:rStyle w:val="CRMarker"/>
          <w:noProof/>
        </w:rPr>
        <w:t>Õ</w:t>
      </w:r>
      <w:r w:rsidRPr="00B605AC">
        <w:rPr>
          <w:noProof/>
        </w:rPr>
        <w:fldChar w:fldCharType="end"/>
      </w:r>
      <w:r w:rsidRPr="00B605AC">
        <w:rPr>
          <w:noProof/>
          <w:lang w:val="fr-BE"/>
        </w:rPr>
        <w:t xml:space="preserve">, </w:t>
      </w:r>
      <w:r w:rsidRPr="00B605AC">
        <w:rPr>
          <w:noProof/>
        </w:rPr>
        <w:fldChar w:fldCharType="begin"/>
      </w:r>
      <w:r w:rsidRPr="00B605AC">
        <w:rPr>
          <w:noProof/>
        </w:rPr>
        <w:instrText xml:space="preserve"> QUOTE "</w:instrText>
      </w:r>
      <w:r w:rsidRPr="00B605AC">
        <w:rPr>
          <w:rStyle w:val="CRMarker"/>
          <w:noProof/>
        </w:rPr>
        <w:instrText>Ö</w:instrText>
      </w:r>
      <w:r w:rsidRPr="00B605AC">
        <w:rPr>
          <w:noProof/>
        </w:rPr>
        <w:instrText xml:space="preserve">" </w:instrText>
      </w:r>
      <w:r w:rsidRPr="00B605AC">
        <w:rPr>
          <w:noProof/>
        </w:rPr>
        <w:fldChar w:fldCharType="separate"/>
      </w:r>
      <w:r w:rsidRPr="00B605AC">
        <w:rPr>
          <w:rStyle w:val="CRMarker"/>
          <w:noProof/>
        </w:rPr>
        <w:t>Ö</w:t>
      </w:r>
      <w:r w:rsidRPr="00B605AC">
        <w:rPr>
          <w:noProof/>
        </w:rPr>
        <w:fldChar w:fldCharType="end"/>
      </w:r>
      <w:r w:rsidRPr="00B605AC">
        <w:rPr>
          <w:noProof/>
        </w:rPr>
        <w:t> </w:t>
      </w:r>
      <w:r w:rsidRPr="00B605AC">
        <w:rPr>
          <w:noProof/>
          <w:lang w:val="fr-BE"/>
        </w:rPr>
        <w:t>l'Union</w:t>
      </w:r>
      <w:r w:rsidRPr="00B605AC">
        <w:rPr>
          <w:noProof/>
        </w:rPr>
        <w:t> </w:t>
      </w:r>
      <w:r w:rsidRPr="00B605AC">
        <w:rPr>
          <w:noProof/>
        </w:rPr>
        <w:fldChar w:fldCharType="begin"/>
      </w:r>
      <w:r w:rsidRPr="00B605AC">
        <w:rPr>
          <w:noProof/>
        </w:rPr>
        <w:instrText xml:space="preserve"> QUOTE "</w:instrText>
      </w:r>
      <w:r w:rsidRPr="00B605AC">
        <w:rPr>
          <w:rStyle w:val="CRMarker"/>
          <w:noProof/>
        </w:rPr>
        <w:instrText>Õ</w:instrText>
      </w:r>
      <w:r w:rsidRPr="00B605AC">
        <w:rPr>
          <w:noProof/>
        </w:rPr>
        <w:instrText xml:space="preserve">" </w:instrText>
      </w:r>
      <w:r w:rsidRPr="00B605AC">
        <w:rPr>
          <w:noProof/>
        </w:rPr>
        <w:fldChar w:fldCharType="separate"/>
      </w:r>
      <w:r w:rsidRPr="00B605AC">
        <w:rPr>
          <w:rStyle w:val="CRMarker"/>
          <w:noProof/>
        </w:rPr>
        <w:t>Õ</w:t>
      </w:r>
      <w:r w:rsidRPr="00B605AC">
        <w:rPr>
          <w:noProof/>
        </w:rPr>
        <w:fldChar w:fldCharType="end"/>
      </w:r>
      <w:r w:rsidRPr="00B605AC">
        <w:rPr>
          <w:noProof/>
          <w:lang w:val="fr-BE"/>
        </w:rPr>
        <w:t xml:space="preserve"> peut prendre des mesures, conformément au principe de subsidiarité consacré à l'article</w:t>
      </w:r>
      <w:r w:rsidRPr="00B605AC">
        <w:rPr>
          <w:noProof/>
        </w:rPr>
        <w:t> </w:t>
      </w:r>
      <w:r w:rsidRPr="00B605AC">
        <w:rPr>
          <w:noProof/>
          <w:lang w:val="fr-BE"/>
        </w:rPr>
        <w:t>5 du traité. Conformément au principe de proportionnalité tel qu'énoncé audit article, le présent règlement n'excède pas ce qui est nécessaire pour atteindre cet objectif.</w:t>
      </w:r>
    </w:p>
    <w:p w14:paraId="10006726" w14:textId="77777777" w:rsidR="001874FD" w:rsidRDefault="001874FD" w:rsidP="001874FD">
      <w:pPr>
        <w:pStyle w:val="CRSeparator"/>
        <w:rPr>
          <w:noProof/>
          <w:lang w:val="fr-BE"/>
        </w:rPr>
      </w:pPr>
    </w:p>
    <w:p w14:paraId="7A81C94F" w14:textId="77777777" w:rsidR="001874FD" w:rsidRPr="00D54AD5" w:rsidRDefault="001874FD" w:rsidP="001874FD">
      <w:pPr>
        <w:pStyle w:val="CRReference"/>
        <w:rPr>
          <w:noProof/>
          <w:lang w:val="fr-BE"/>
        </w:rPr>
      </w:pPr>
      <w:r w:rsidRPr="00B605AC">
        <w:rPr>
          <w:noProof/>
        </w:rPr>
        <w:fldChar w:fldCharType="begin"/>
      </w:r>
      <w:r w:rsidRPr="00B605AC">
        <w:rPr>
          <w:noProof/>
        </w:rPr>
        <w:instrText xml:space="preserve"> QUOTE "</w:instrText>
      </w:r>
      <w:r w:rsidRPr="00B605AC">
        <w:rPr>
          <w:rStyle w:val="CRMarker"/>
          <w:noProof/>
        </w:rPr>
        <w:instrText>ê</w:instrText>
      </w:r>
      <w:r w:rsidRPr="00B605AC">
        <w:rPr>
          <w:noProof/>
        </w:rPr>
        <w:instrText xml:space="preserve">" </w:instrText>
      </w:r>
      <w:r w:rsidRPr="00B605AC">
        <w:rPr>
          <w:noProof/>
        </w:rPr>
        <w:fldChar w:fldCharType="separate"/>
      </w:r>
      <w:r w:rsidRPr="00B605AC">
        <w:rPr>
          <w:rStyle w:val="CRMarker"/>
          <w:noProof/>
        </w:rPr>
        <w:t>ê</w:t>
      </w:r>
      <w:r w:rsidRPr="00B605AC">
        <w:rPr>
          <w:noProof/>
        </w:rPr>
        <w:fldChar w:fldCharType="end"/>
      </w:r>
      <w:r w:rsidRPr="00B605AC">
        <w:rPr>
          <w:noProof/>
        </w:rPr>
        <w:t> </w:t>
      </w:r>
      <w:r>
        <w:rPr>
          <w:noProof/>
          <w:lang w:val="fr-BE"/>
        </w:rPr>
        <w:t>1350/2013 considérant 5 (adapté)</w:t>
      </w:r>
    </w:p>
    <w:p w14:paraId="6014D7DB" w14:textId="77777777" w:rsidR="001874FD" w:rsidRPr="00D54AD5" w:rsidRDefault="001874FD" w:rsidP="00D27BB5">
      <w:pPr>
        <w:pStyle w:val="ManualConsidrant"/>
        <w:autoSpaceDE w:val="0"/>
        <w:autoSpaceDN w:val="0"/>
        <w:rPr>
          <w:noProof/>
          <w:lang w:val="fr-BE"/>
        </w:rPr>
      </w:pPr>
      <w:r>
        <w:rPr>
          <w:noProof/>
        </w:rPr>
        <w:t>(9)</w:t>
      </w:r>
      <w:r>
        <w:rPr>
          <w:noProof/>
        </w:rPr>
        <w:tab/>
      </w:r>
      <w:r w:rsidRPr="00D54AD5">
        <w:rPr>
          <w:noProof/>
          <w:lang w:val="fr-BE"/>
        </w:rPr>
        <w:t>Afin</w:t>
      </w:r>
      <w:r>
        <w:rPr>
          <w:noProof/>
        </w:rPr>
        <w:t xml:space="preserve"> de tenir compte des progrès économiques et techniques, il convient de déléguer à la Commission le pouvoir d'adopter des actes conformément à l'article 290 du traité sur le </w:t>
      </w:r>
      <w:r w:rsidRPr="00D54AD5">
        <w:rPr>
          <w:noProof/>
          <w:lang w:val="fr-BE"/>
        </w:rPr>
        <w:t>fonctionnement</w:t>
      </w:r>
      <w:r>
        <w:rPr>
          <w:noProof/>
        </w:rPr>
        <w:t xml:space="preserve"> de </w:t>
      </w:r>
      <w:r w:rsidRPr="00D54AD5">
        <w:rPr>
          <w:noProof/>
          <w:lang w:val="fr-BE"/>
        </w:rPr>
        <w:t>l'Union</w:t>
      </w:r>
      <w:r>
        <w:rPr>
          <w:noProof/>
        </w:rPr>
        <w:t xml:space="preserve"> européenne en ce qui concerne les modifications apportées aux annexes I et II du présent règlement. Il importe particulièrement que la Commission procède aux consultations appropriées durant son travail préparatoire, y compris au niveau des experts et que ces consultations soient menées conformément aux principes énoncés dans l’Accord interinstitutionnel du 13 avril 2016 Mieux Légiférer</w:t>
      </w:r>
      <w:r>
        <w:rPr>
          <w:rStyle w:val="FootnoteReference"/>
          <w:noProof/>
        </w:rPr>
        <w:footnoteReference w:id="9"/>
      </w:r>
      <w:r>
        <w:rPr>
          <w:noProof/>
        </w:rPr>
        <w:t xml:space="preserve">. </w:t>
      </w:r>
      <w:r w:rsidRPr="0010764D">
        <w:rPr>
          <w:noProof/>
        </w:rPr>
        <w:fldChar w:fldCharType="begin"/>
      </w:r>
      <w:r w:rsidRPr="0010764D">
        <w:rPr>
          <w:noProof/>
        </w:rPr>
        <w:instrText xml:space="preserve"> QUOTE "</w:instrText>
      </w:r>
      <w:r w:rsidRPr="0010764D">
        <w:rPr>
          <w:rStyle w:val="CRMarker"/>
          <w:noProof/>
        </w:rPr>
        <w:instrText>Ö</w:instrText>
      </w:r>
      <w:r w:rsidRPr="0010764D">
        <w:rPr>
          <w:noProof/>
        </w:rPr>
        <w:instrText xml:space="preserve">" </w:instrText>
      </w:r>
      <w:r w:rsidRPr="0010764D">
        <w:rPr>
          <w:noProof/>
        </w:rPr>
        <w:fldChar w:fldCharType="separate"/>
      </w:r>
      <w:r w:rsidRPr="0010764D">
        <w:rPr>
          <w:rStyle w:val="CRMarker"/>
          <w:noProof/>
        </w:rPr>
        <w:t>Ö</w:t>
      </w:r>
      <w:r w:rsidRPr="0010764D">
        <w:rPr>
          <w:noProof/>
        </w:rPr>
        <w:fldChar w:fldCharType="end"/>
      </w:r>
      <w:r w:rsidRPr="0010764D">
        <w:rPr>
          <w:noProof/>
        </w:rPr>
        <w:t> </w:t>
      </w:r>
      <w:r>
        <w:rPr>
          <w:noProof/>
        </w:rPr>
        <w:t xml:space="preserve">Notamment, afin d’assurer une participation égale dans la préparation des actes délégués, il convient que le Parlement européen et le </w:t>
      </w:r>
      <w:r w:rsidRPr="00D54AD5">
        <w:rPr>
          <w:noProof/>
          <w:lang w:val="fr-BE"/>
        </w:rPr>
        <w:t>Conseil</w:t>
      </w:r>
      <w:r>
        <w:rPr>
          <w:noProof/>
        </w:rPr>
        <w:t xml:space="preserve"> reçoivent tous les documents en même temps que les experts des États membres, et que les experts aient systématiquement accès aux réunions des groupes d’experts de la Commission chargés de la préparation des actes délégués.</w:t>
      </w:r>
      <w:r w:rsidRPr="0010764D">
        <w:rPr>
          <w:noProof/>
        </w:rPr>
        <w:t> </w:t>
      </w:r>
      <w:r w:rsidRPr="0010764D">
        <w:rPr>
          <w:noProof/>
        </w:rPr>
        <w:fldChar w:fldCharType="begin"/>
      </w:r>
      <w:r w:rsidRPr="0010764D">
        <w:rPr>
          <w:noProof/>
        </w:rPr>
        <w:instrText xml:space="preserve"> QUOTE "</w:instrText>
      </w:r>
      <w:r w:rsidRPr="0010764D">
        <w:rPr>
          <w:rStyle w:val="CRMarker"/>
          <w:noProof/>
        </w:rPr>
        <w:instrText>Õ</w:instrText>
      </w:r>
      <w:r w:rsidRPr="0010764D">
        <w:rPr>
          <w:noProof/>
        </w:rPr>
        <w:instrText xml:space="preserve">" </w:instrText>
      </w:r>
      <w:r w:rsidRPr="0010764D">
        <w:rPr>
          <w:noProof/>
        </w:rPr>
        <w:fldChar w:fldCharType="separate"/>
      </w:r>
      <w:r w:rsidRPr="0010764D">
        <w:rPr>
          <w:rStyle w:val="CRMarker"/>
          <w:noProof/>
        </w:rPr>
        <w:t>Õ</w:t>
      </w:r>
      <w:r w:rsidRPr="0010764D">
        <w:rPr>
          <w:noProof/>
        </w:rPr>
        <w:fldChar w:fldCharType="end"/>
      </w:r>
    </w:p>
    <w:p w14:paraId="1AA9C5A7" w14:textId="77777777" w:rsidR="001874FD" w:rsidRDefault="001874FD" w:rsidP="001874FD">
      <w:pPr>
        <w:pStyle w:val="CRSeparator"/>
        <w:rPr>
          <w:noProof/>
          <w:lang w:val="fr-BE"/>
        </w:rPr>
      </w:pPr>
    </w:p>
    <w:p w14:paraId="7E104A04" w14:textId="77777777" w:rsidR="001874FD" w:rsidRPr="00F510C6" w:rsidRDefault="001874FD" w:rsidP="001874FD">
      <w:pPr>
        <w:pStyle w:val="CRReference"/>
        <w:rPr>
          <w:noProof/>
          <w:lang w:val="fr-BE"/>
        </w:rPr>
      </w:pPr>
      <w:r w:rsidRPr="00F510C6">
        <w:rPr>
          <w:noProof/>
        </w:rPr>
        <w:fldChar w:fldCharType="begin"/>
      </w:r>
      <w:r w:rsidRPr="00F510C6">
        <w:rPr>
          <w:noProof/>
        </w:rPr>
        <w:instrText xml:space="preserve"> QUOTE "</w:instrText>
      </w:r>
      <w:r w:rsidRPr="00F510C6">
        <w:rPr>
          <w:rStyle w:val="CRMarker"/>
          <w:noProof/>
        </w:rPr>
        <w:instrText>ê</w:instrText>
      </w:r>
      <w:r w:rsidRPr="00F510C6">
        <w:rPr>
          <w:noProof/>
        </w:rPr>
        <w:instrText xml:space="preserve">" </w:instrText>
      </w:r>
      <w:r w:rsidRPr="00F510C6">
        <w:rPr>
          <w:noProof/>
        </w:rPr>
        <w:fldChar w:fldCharType="separate"/>
      </w:r>
      <w:r w:rsidRPr="00F510C6">
        <w:rPr>
          <w:rStyle w:val="CRMarker"/>
          <w:noProof/>
        </w:rPr>
        <w:t>ê</w:t>
      </w:r>
      <w:r w:rsidRPr="00F510C6">
        <w:rPr>
          <w:noProof/>
        </w:rPr>
        <w:fldChar w:fldCharType="end"/>
      </w:r>
      <w:r w:rsidRPr="00F510C6">
        <w:rPr>
          <w:noProof/>
        </w:rPr>
        <w:t> </w:t>
      </w:r>
      <w:r>
        <w:rPr>
          <w:noProof/>
        </w:rPr>
        <w:t>2022/590 considérant 8</w:t>
      </w:r>
    </w:p>
    <w:p w14:paraId="51F47E0D" w14:textId="24877999" w:rsidR="001874FD" w:rsidRDefault="001874FD" w:rsidP="00D27BB5">
      <w:pPr>
        <w:pStyle w:val="ManualConsidrant"/>
        <w:autoSpaceDE w:val="0"/>
        <w:autoSpaceDN w:val="0"/>
        <w:rPr>
          <w:noProof/>
          <w:lang w:val="fr-BE"/>
        </w:rPr>
      </w:pPr>
      <w:r>
        <w:rPr>
          <w:noProof/>
        </w:rPr>
        <w:t>(10)</w:t>
      </w:r>
      <w:r>
        <w:rPr>
          <w:noProof/>
        </w:rPr>
        <w:tab/>
      </w:r>
      <w:r w:rsidRPr="00F510C6">
        <w:rPr>
          <w:noProof/>
          <w:lang w:val="fr-BE"/>
        </w:rPr>
        <w:t>Afin d’assurer des conditions uniformes d’exécution du présent règlement, il convient de conférer des compétences d’exécution à la Commission en ce qui concerne les modalités relatives à l’établissement des rapports sur la qualité et leur contenu. Des compétences d’exécution devraient aussi être conférées à la Commission en ce qui concerne d’éventuelles dérogations aux exigences des CERA. Ces compétences devraient être exercées conformément au règlement</w:t>
      </w:r>
      <w:r w:rsidR="008E68C6">
        <w:rPr>
          <w:noProof/>
          <w:lang w:val="fr-BE"/>
        </w:rPr>
        <w:t> </w:t>
      </w:r>
      <w:r w:rsidRPr="00F510C6">
        <w:rPr>
          <w:noProof/>
          <w:lang w:val="fr-BE"/>
        </w:rPr>
        <w:t>(UE)</w:t>
      </w:r>
      <w:r w:rsidR="008E68C6">
        <w:rPr>
          <w:noProof/>
          <w:lang w:val="fr-BE"/>
        </w:rPr>
        <w:t> </w:t>
      </w:r>
      <w:r w:rsidRPr="00F510C6">
        <w:rPr>
          <w:noProof/>
          <w:lang w:val="fr-BE"/>
        </w:rPr>
        <w:t>n°</w:t>
      </w:r>
      <w:r>
        <w:rPr>
          <w:noProof/>
          <w:lang w:val="fr-BE"/>
        </w:rPr>
        <w:t> </w:t>
      </w:r>
      <w:r w:rsidRPr="00F510C6">
        <w:rPr>
          <w:noProof/>
          <w:lang w:val="fr-BE"/>
        </w:rPr>
        <w:t>182/2011 du Parlement européen et du Conseil</w:t>
      </w:r>
      <w:r>
        <w:rPr>
          <w:rStyle w:val="FootnoteReference"/>
          <w:noProof/>
          <w:lang w:val="fr-BE"/>
        </w:rPr>
        <w:footnoteReference w:id="10"/>
      </w:r>
      <w:r w:rsidRPr="00F510C6">
        <w:rPr>
          <w:noProof/>
          <w:lang w:val="fr-BE"/>
        </w:rPr>
        <w:t>.</w:t>
      </w:r>
    </w:p>
    <w:p w14:paraId="2B94A9A4" w14:textId="77777777" w:rsidR="001874FD" w:rsidRDefault="001874FD" w:rsidP="001874FD">
      <w:pPr>
        <w:pStyle w:val="CRSeparator"/>
        <w:rPr>
          <w:noProof/>
          <w:lang w:val="fr-BE"/>
        </w:rPr>
      </w:pPr>
    </w:p>
    <w:p w14:paraId="013CC828" w14:textId="77777777" w:rsidR="001874FD" w:rsidRPr="00F510C6" w:rsidRDefault="001874FD" w:rsidP="001874FD">
      <w:pPr>
        <w:pStyle w:val="CRReference"/>
        <w:rPr>
          <w:noProof/>
          <w:lang w:val="fr-BE"/>
        </w:rPr>
      </w:pPr>
      <w:r w:rsidRPr="00F510C6">
        <w:rPr>
          <w:noProof/>
        </w:rPr>
        <w:fldChar w:fldCharType="begin"/>
      </w:r>
      <w:r w:rsidRPr="00F510C6">
        <w:rPr>
          <w:noProof/>
        </w:rPr>
        <w:instrText xml:space="preserve"> QUOTE "</w:instrText>
      </w:r>
      <w:r w:rsidRPr="00F510C6">
        <w:rPr>
          <w:rStyle w:val="CRMarker"/>
          <w:noProof/>
        </w:rPr>
        <w:instrText>ê</w:instrText>
      </w:r>
      <w:r w:rsidRPr="00F510C6">
        <w:rPr>
          <w:noProof/>
        </w:rPr>
        <w:instrText xml:space="preserve">" </w:instrText>
      </w:r>
      <w:r w:rsidRPr="00F510C6">
        <w:rPr>
          <w:noProof/>
        </w:rPr>
        <w:fldChar w:fldCharType="separate"/>
      </w:r>
      <w:r w:rsidRPr="00F510C6">
        <w:rPr>
          <w:rStyle w:val="CRMarker"/>
          <w:noProof/>
        </w:rPr>
        <w:t>ê</w:t>
      </w:r>
      <w:r w:rsidRPr="00F510C6">
        <w:rPr>
          <w:noProof/>
        </w:rPr>
        <w:fldChar w:fldCharType="end"/>
      </w:r>
      <w:r w:rsidRPr="00F510C6">
        <w:rPr>
          <w:noProof/>
        </w:rPr>
        <w:t> </w:t>
      </w:r>
      <w:r>
        <w:rPr>
          <w:noProof/>
        </w:rPr>
        <w:t>138/2004 (adapté)</w:t>
      </w:r>
    </w:p>
    <w:p w14:paraId="13D75643" w14:textId="7C50B899" w:rsidR="001874FD" w:rsidRPr="001D32A7" w:rsidRDefault="001874FD" w:rsidP="001874FD">
      <w:pPr>
        <w:pStyle w:val="Formuledadoption"/>
        <w:rPr>
          <w:noProof/>
        </w:rPr>
      </w:pPr>
      <w:r w:rsidRPr="001D32A7">
        <w:rPr>
          <w:noProof/>
        </w:rPr>
        <w:t>ONT ADOPTÉ LE PRÉSENT RÈGLEMENT</w:t>
      </w:r>
      <w:r w:rsidR="008E68C6">
        <w:rPr>
          <w:noProof/>
        </w:rPr>
        <w:t> </w:t>
      </w:r>
      <w:r w:rsidRPr="001D32A7">
        <w:rPr>
          <w:noProof/>
        </w:rPr>
        <w:t>:</w:t>
      </w:r>
    </w:p>
    <w:p w14:paraId="471516DE" w14:textId="77777777" w:rsidR="001874FD" w:rsidRDefault="001874FD" w:rsidP="001874FD">
      <w:pPr>
        <w:pStyle w:val="Titrearticle"/>
        <w:rPr>
          <w:noProof/>
        </w:rPr>
      </w:pPr>
      <w:r>
        <w:rPr>
          <w:noProof/>
        </w:rPr>
        <w:t>Article premier</w:t>
      </w:r>
    </w:p>
    <w:p w14:paraId="0F1B0F6A" w14:textId="77777777" w:rsidR="001874FD" w:rsidRDefault="001874FD" w:rsidP="001874FD">
      <w:pPr>
        <w:pStyle w:val="NormalCentered"/>
        <w:keepNext/>
        <w:rPr>
          <w:b/>
          <w:bCs/>
          <w:noProof/>
        </w:rPr>
      </w:pPr>
      <w:r>
        <w:rPr>
          <w:b/>
          <w:bCs/>
          <w:noProof/>
        </w:rPr>
        <w:t>Objet</w:t>
      </w:r>
    </w:p>
    <w:p w14:paraId="1C2B1FB0" w14:textId="44E12152" w:rsidR="001874FD" w:rsidRDefault="001874FD" w:rsidP="001874FD">
      <w:pPr>
        <w:rPr>
          <w:noProof/>
        </w:rPr>
      </w:pPr>
      <w:r>
        <w:rPr>
          <w:noProof/>
        </w:rPr>
        <w:t xml:space="preserve">1. Le présent règlement </w:t>
      </w:r>
      <w:r w:rsidRPr="00EC21EB">
        <w:rPr>
          <w:noProof/>
        </w:rPr>
        <w:fldChar w:fldCharType="begin"/>
      </w:r>
      <w:r w:rsidRPr="00EC21EB">
        <w:rPr>
          <w:noProof/>
        </w:rPr>
        <w:instrText xml:space="preserve"> QUOTE "</w:instrText>
      </w:r>
      <w:r w:rsidRPr="00EC21EB">
        <w:rPr>
          <w:rStyle w:val="CRMarker"/>
          <w:noProof/>
        </w:rPr>
        <w:instrText>Ö</w:instrText>
      </w:r>
      <w:r w:rsidRPr="00EC21EB">
        <w:rPr>
          <w:noProof/>
        </w:rPr>
        <w:instrText xml:space="preserve">" </w:instrText>
      </w:r>
      <w:r w:rsidRPr="00EC21EB">
        <w:rPr>
          <w:noProof/>
        </w:rPr>
        <w:fldChar w:fldCharType="separate"/>
      </w:r>
      <w:r w:rsidRPr="00EC21EB">
        <w:rPr>
          <w:rStyle w:val="CRMarker"/>
          <w:noProof/>
        </w:rPr>
        <w:t>Ö</w:t>
      </w:r>
      <w:r w:rsidRPr="00EC21EB">
        <w:rPr>
          <w:noProof/>
        </w:rPr>
        <w:fldChar w:fldCharType="end"/>
      </w:r>
      <w:r w:rsidRPr="00EC21EB">
        <w:rPr>
          <w:noProof/>
        </w:rPr>
        <w:t> </w:t>
      </w:r>
      <w:r>
        <w:rPr>
          <w:noProof/>
        </w:rPr>
        <w:t>établit</w:t>
      </w:r>
      <w:r w:rsidRPr="00EC21EB">
        <w:rPr>
          <w:noProof/>
        </w:rPr>
        <w:t> </w:t>
      </w:r>
      <w:r>
        <w:rPr>
          <w:noProof/>
        </w:rPr>
        <w:t>des règles pour </w:t>
      </w:r>
      <w:r w:rsidRPr="00EC21EB">
        <w:rPr>
          <w:noProof/>
        </w:rPr>
        <w:fldChar w:fldCharType="begin"/>
      </w:r>
      <w:r w:rsidRPr="00EC21EB">
        <w:rPr>
          <w:noProof/>
        </w:rPr>
        <w:instrText xml:space="preserve"> QUOTE "</w:instrText>
      </w:r>
      <w:r w:rsidRPr="00EC21EB">
        <w:rPr>
          <w:rStyle w:val="CRMarker"/>
          <w:noProof/>
        </w:rPr>
        <w:instrText>Õ</w:instrText>
      </w:r>
      <w:r w:rsidRPr="00EC21EB">
        <w:rPr>
          <w:noProof/>
        </w:rPr>
        <w:instrText xml:space="preserve">" </w:instrText>
      </w:r>
      <w:r w:rsidRPr="00EC21EB">
        <w:rPr>
          <w:noProof/>
        </w:rPr>
        <w:fldChar w:fldCharType="separate"/>
      </w:r>
      <w:r w:rsidRPr="00EC21EB">
        <w:rPr>
          <w:rStyle w:val="CRMarker"/>
          <w:noProof/>
        </w:rPr>
        <w:t>Õ</w:t>
      </w:r>
      <w:r w:rsidRPr="00EC21EB">
        <w:rPr>
          <w:noProof/>
        </w:rPr>
        <w:fldChar w:fldCharType="end"/>
      </w:r>
      <w:r>
        <w:rPr>
          <w:noProof/>
        </w:rPr>
        <w:t xml:space="preserve"> les comptes économiques de l'agriculture dans </w:t>
      </w:r>
      <w:r w:rsidRPr="00EC21EB">
        <w:rPr>
          <w:noProof/>
        </w:rPr>
        <w:fldChar w:fldCharType="begin"/>
      </w:r>
      <w:r w:rsidRPr="00EC21EB">
        <w:rPr>
          <w:noProof/>
        </w:rPr>
        <w:instrText xml:space="preserve"> QUOTE "</w:instrText>
      </w:r>
      <w:r w:rsidRPr="00EC21EB">
        <w:rPr>
          <w:rStyle w:val="CRMarker"/>
          <w:noProof/>
        </w:rPr>
        <w:instrText>Ö</w:instrText>
      </w:r>
      <w:r w:rsidRPr="00EC21EB">
        <w:rPr>
          <w:noProof/>
        </w:rPr>
        <w:instrText xml:space="preserve">" </w:instrText>
      </w:r>
      <w:r w:rsidRPr="00EC21EB">
        <w:rPr>
          <w:noProof/>
        </w:rPr>
        <w:fldChar w:fldCharType="separate"/>
      </w:r>
      <w:r w:rsidRPr="00EC21EB">
        <w:rPr>
          <w:rStyle w:val="CRMarker"/>
          <w:noProof/>
        </w:rPr>
        <w:t>Ö</w:t>
      </w:r>
      <w:r w:rsidRPr="00EC21EB">
        <w:rPr>
          <w:noProof/>
        </w:rPr>
        <w:fldChar w:fldCharType="end"/>
      </w:r>
      <w:r w:rsidRPr="00EC21EB">
        <w:rPr>
          <w:noProof/>
        </w:rPr>
        <w:t> </w:t>
      </w:r>
      <w:r w:rsidRPr="00B605AC">
        <w:rPr>
          <w:noProof/>
          <w:lang w:val="fr-BE"/>
        </w:rPr>
        <w:t>l'Union</w:t>
      </w:r>
      <w:r w:rsidRPr="00EC21EB">
        <w:rPr>
          <w:noProof/>
        </w:rPr>
        <w:t> </w:t>
      </w:r>
      <w:r w:rsidRPr="00EC21EB">
        <w:rPr>
          <w:noProof/>
        </w:rPr>
        <w:fldChar w:fldCharType="begin"/>
      </w:r>
      <w:r w:rsidRPr="00EC21EB">
        <w:rPr>
          <w:noProof/>
        </w:rPr>
        <w:instrText xml:space="preserve"> QUOTE "</w:instrText>
      </w:r>
      <w:r w:rsidRPr="00EC21EB">
        <w:rPr>
          <w:rStyle w:val="CRMarker"/>
          <w:noProof/>
        </w:rPr>
        <w:instrText>Õ</w:instrText>
      </w:r>
      <w:r w:rsidRPr="00EC21EB">
        <w:rPr>
          <w:noProof/>
        </w:rPr>
        <w:instrText xml:space="preserve">" </w:instrText>
      </w:r>
      <w:r w:rsidRPr="00EC21EB">
        <w:rPr>
          <w:noProof/>
        </w:rPr>
        <w:fldChar w:fldCharType="separate"/>
      </w:r>
      <w:r w:rsidRPr="00EC21EB">
        <w:rPr>
          <w:rStyle w:val="CRMarker"/>
          <w:noProof/>
        </w:rPr>
        <w:t>Õ</w:t>
      </w:r>
      <w:r w:rsidRPr="00EC21EB">
        <w:rPr>
          <w:noProof/>
        </w:rPr>
        <w:fldChar w:fldCharType="end"/>
      </w:r>
      <w:r>
        <w:rPr>
          <w:noProof/>
        </w:rPr>
        <w:t xml:space="preserve"> (ci-après dénommés «</w:t>
      </w:r>
      <w:r w:rsidR="008E68C6">
        <w:rPr>
          <w:noProof/>
        </w:rPr>
        <w:t> </w:t>
      </w:r>
      <w:r>
        <w:rPr>
          <w:noProof/>
        </w:rPr>
        <w:t>CEA</w:t>
      </w:r>
      <w:r w:rsidR="008E68C6">
        <w:rPr>
          <w:noProof/>
        </w:rPr>
        <w:t> </w:t>
      </w:r>
      <w:r>
        <w:rPr>
          <w:noProof/>
        </w:rPr>
        <w:t>»), en prévoyant:</w:t>
      </w:r>
    </w:p>
    <w:p w14:paraId="3D6B7609" w14:textId="0BC82F3E" w:rsidR="001874FD" w:rsidRDefault="001874FD" w:rsidP="001874FD">
      <w:pPr>
        <w:pStyle w:val="Point0"/>
        <w:rPr>
          <w:noProof/>
        </w:rPr>
      </w:pPr>
      <w:r>
        <w:rPr>
          <w:noProof/>
        </w:rPr>
        <w:t>a)</w:t>
      </w:r>
      <w:r>
        <w:rPr>
          <w:noProof/>
        </w:rPr>
        <w:tab/>
        <w:t xml:space="preserve">une méthodologie des CEA (normes, définitions, nomenclatures et règles comptables communes) destinée à être utilisée pour l'élaboration des comptes sur des bases comparables pour les besoins de </w:t>
      </w:r>
      <w:r w:rsidRPr="00E50265">
        <w:rPr>
          <w:noProof/>
        </w:rPr>
        <w:fldChar w:fldCharType="begin"/>
      </w:r>
      <w:r w:rsidRPr="00E50265">
        <w:rPr>
          <w:noProof/>
        </w:rPr>
        <w:instrText xml:space="preserve"> QUOTE "</w:instrText>
      </w:r>
      <w:r w:rsidRPr="00E50265">
        <w:rPr>
          <w:rStyle w:val="CRMarker"/>
          <w:noProof/>
        </w:rPr>
        <w:instrText>Ö</w:instrText>
      </w:r>
      <w:r w:rsidRPr="00E50265">
        <w:rPr>
          <w:noProof/>
        </w:rPr>
        <w:instrText xml:space="preserve">" </w:instrText>
      </w:r>
      <w:r w:rsidRPr="00E50265">
        <w:rPr>
          <w:noProof/>
        </w:rPr>
        <w:fldChar w:fldCharType="separate"/>
      </w:r>
      <w:r w:rsidRPr="00E50265">
        <w:rPr>
          <w:rStyle w:val="CRMarker"/>
          <w:noProof/>
        </w:rPr>
        <w:t>Ö</w:t>
      </w:r>
      <w:r w:rsidRPr="00E50265">
        <w:rPr>
          <w:noProof/>
        </w:rPr>
        <w:fldChar w:fldCharType="end"/>
      </w:r>
      <w:r w:rsidRPr="00E50265">
        <w:rPr>
          <w:noProof/>
        </w:rPr>
        <w:t> </w:t>
      </w:r>
      <w:r w:rsidRPr="00B605AC">
        <w:rPr>
          <w:noProof/>
          <w:lang w:val="fr-BE"/>
        </w:rPr>
        <w:t>l'Union</w:t>
      </w:r>
      <w:r w:rsidRPr="00E50265">
        <w:rPr>
          <w:noProof/>
        </w:rPr>
        <w:t> </w:t>
      </w:r>
      <w:r w:rsidRPr="00E50265">
        <w:rPr>
          <w:noProof/>
        </w:rPr>
        <w:fldChar w:fldCharType="begin"/>
      </w:r>
      <w:r w:rsidRPr="00E50265">
        <w:rPr>
          <w:noProof/>
        </w:rPr>
        <w:instrText xml:space="preserve"> QUOTE "</w:instrText>
      </w:r>
      <w:r w:rsidRPr="00E50265">
        <w:rPr>
          <w:rStyle w:val="CRMarker"/>
          <w:noProof/>
        </w:rPr>
        <w:instrText>Õ</w:instrText>
      </w:r>
      <w:r w:rsidRPr="00E50265">
        <w:rPr>
          <w:noProof/>
        </w:rPr>
        <w:instrText xml:space="preserve">" </w:instrText>
      </w:r>
      <w:r w:rsidRPr="00E50265">
        <w:rPr>
          <w:noProof/>
        </w:rPr>
        <w:fldChar w:fldCharType="separate"/>
      </w:r>
      <w:r w:rsidRPr="00E50265">
        <w:rPr>
          <w:rStyle w:val="CRMarker"/>
          <w:noProof/>
        </w:rPr>
        <w:t>Õ</w:t>
      </w:r>
      <w:r w:rsidRPr="00E50265">
        <w:rPr>
          <w:noProof/>
        </w:rPr>
        <w:fldChar w:fldCharType="end"/>
      </w:r>
      <w:r>
        <w:rPr>
          <w:noProof/>
        </w:rPr>
        <w:t>, et la transmission des données conformément à l'article 3</w:t>
      </w:r>
      <w:r w:rsidR="008E68C6">
        <w:rPr>
          <w:noProof/>
        </w:rPr>
        <w:t> </w:t>
      </w:r>
      <w:r>
        <w:rPr>
          <w:noProof/>
        </w:rPr>
        <w:t>;</w:t>
      </w:r>
    </w:p>
    <w:p w14:paraId="5E9BFB9A" w14:textId="77777777" w:rsidR="001874FD" w:rsidRDefault="001874FD" w:rsidP="001874FD">
      <w:pPr>
        <w:pStyle w:val="Point0"/>
        <w:rPr>
          <w:noProof/>
        </w:rPr>
      </w:pPr>
      <w:r>
        <w:rPr>
          <w:noProof/>
        </w:rPr>
        <w:t>b)</w:t>
      </w:r>
      <w:r>
        <w:rPr>
          <w:noProof/>
        </w:rPr>
        <w:tab/>
        <w:t>des délais pour la transmission des comptes agricoles établis conformément à la méthodologie des CEA.</w:t>
      </w:r>
    </w:p>
    <w:p w14:paraId="211035F6" w14:textId="77777777" w:rsidR="001874FD" w:rsidRDefault="001874FD" w:rsidP="001874FD">
      <w:pPr>
        <w:rPr>
          <w:noProof/>
        </w:rPr>
      </w:pPr>
      <w:r>
        <w:rPr>
          <w:noProof/>
        </w:rPr>
        <w:t>2. Le présent règlement n'oblige pas les États membres à utiliser la méthodologie des CEA lorsqu'ils élaborent des comptes agricoles pour leurs propres besoins.</w:t>
      </w:r>
    </w:p>
    <w:p w14:paraId="05F2F13E" w14:textId="77777777" w:rsidR="001874FD" w:rsidRDefault="001874FD" w:rsidP="001874FD">
      <w:pPr>
        <w:pStyle w:val="Titrearticle"/>
        <w:rPr>
          <w:noProof/>
        </w:rPr>
      </w:pPr>
      <w:r>
        <w:rPr>
          <w:noProof/>
        </w:rPr>
        <w:t>Article 2</w:t>
      </w:r>
    </w:p>
    <w:p w14:paraId="541D86F4" w14:textId="77777777" w:rsidR="001874FD" w:rsidRDefault="001874FD" w:rsidP="001874FD">
      <w:pPr>
        <w:pStyle w:val="NormalCentered"/>
        <w:keepNext/>
        <w:rPr>
          <w:b/>
          <w:bCs/>
          <w:noProof/>
        </w:rPr>
      </w:pPr>
      <w:r>
        <w:rPr>
          <w:b/>
          <w:bCs/>
          <w:noProof/>
        </w:rPr>
        <w:t>Méthodologie</w:t>
      </w:r>
    </w:p>
    <w:p w14:paraId="0BCF17A9" w14:textId="77777777" w:rsidR="001874FD" w:rsidRDefault="001874FD" w:rsidP="001874FD">
      <w:pPr>
        <w:rPr>
          <w:noProof/>
        </w:rPr>
      </w:pPr>
      <w:r>
        <w:rPr>
          <w:noProof/>
        </w:rPr>
        <w:t>1. La méthodologie des CEA visée à l'article 1</w:t>
      </w:r>
      <w:r>
        <w:rPr>
          <w:noProof/>
          <w:vertAlign w:val="superscript"/>
        </w:rPr>
        <w:t>er</w:t>
      </w:r>
      <w:r>
        <w:rPr>
          <w:noProof/>
        </w:rPr>
        <w:t>, paragraphe 1, point a), figure à l'annexe</w:t>
      </w:r>
      <w:r w:rsidRPr="00F510C6">
        <w:rPr>
          <w:noProof/>
        </w:rPr>
        <w:t> </w:t>
      </w:r>
      <w:r>
        <w:rPr>
          <w:noProof/>
        </w:rPr>
        <w:t>I.</w:t>
      </w:r>
    </w:p>
    <w:p w14:paraId="22CB59C8" w14:textId="77777777" w:rsidR="001874FD" w:rsidRDefault="001874FD" w:rsidP="001874FD">
      <w:pPr>
        <w:pStyle w:val="CRSeparator"/>
        <w:rPr>
          <w:noProof/>
        </w:rPr>
      </w:pPr>
    </w:p>
    <w:p w14:paraId="6E4007A6" w14:textId="77777777" w:rsidR="001874FD" w:rsidRDefault="001874FD" w:rsidP="001874FD">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1350/2013 Art. 1 et Annexe, pt</w:t>
      </w:r>
      <w:r w:rsidRPr="00F510C6">
        <w:rPr>
          <w:noProof/>
        </w:rPr>
        <w:t> </w:t>
      </w:r>
      <w:r>
        <w:rPr>
          <w:noProof/>
        </w:rPr>
        <w:t>2 a (adapté)</w:t>
      </w:r>
    </w:p>
    <w:p w14:paraId="29725BC6" w14:textId="77777777" w:rsidR="001874FD" w:rsidRDefault="001874FD" w:rsidP="001874FD">
      <w:pPr>
        <w:rPr>
          <w:noProof/>
        </w:rPr>
      </w:pPr>
      <w:r>
        <w:rPr>
          <w:noProof/>
        </w:rPr>
        <w:t>2. La Commission est habilitée à adopter des actes délégués en conformité avec l'article</w:t>
      </w:r>
      <w:r w:rsidRPr="00F510C6">
        <w:rPr>
          <w:noProof/>
        </w:rPr>
        <w:t> </w:t>
      </w:r>
      <w:r>
        <w:rPr>
          <w:noProof/>
        </w:rPr>
        <w:t xml:space="preserve">6 </w:t>
      </w:r>
      <w:r w:rsidRPr="001B4955">
        <w:rPr>
          <w:noProof/>
        </w:rPr>
        <w:fldChar w:fldCharType="begin"/>
      </w:r>
      <w:r w:rsidRPr="001B4955">
        <w:rPr>
          <w:noProof/>
        </w:rPr>
        <w:instrText xml:space="preserve"> QUOTE "</w:instrText>
      </w:r>
      <w:r w:rsidRPr="001B4955">
        <w:rPr>
          <w:rStyle w:val="CRMarker"/>
          <w:noProof/>
        </w:rPr>
        <w:instrText>Ö</w:instrText>
      </w:r>
      <w:r w:rsidRPr="001B4955">
        <w:rPr>
          <w:noProof/>
        </w:rPr>
        <w:instrText xml:space="preserve">" </w:instrText>
      </w:r>
      <w:r w:rsidRPr="001B4955">
        <w:rPr>
          <w:noProof/>
        </w:rPr>
        <w:fldChar w:fldCharType="separate"/>
      </w:r>
      <w:r w:rsidRPr="001B4955">
        <w:rPr>
          <w:rStyle w:val="CRMarker"/>
          <w:noProof/>
        </w:rPr>
        <w:t>Ö</w:t>
      </w:r>
      <w:r w:rsidRPr="001B4955">
        <w:rPr>
          <w:noProof/>
        </w:rPr>
        <w:fldChar w:fldCharType="end"/>
      </w:r>
      <w:r w:rsidRPr="001B4955">
        <w:rPr>
          <w:noProof/>
        </w:rPr>
        <w:t> </w:t>
      </w:r>
      <w:r>
        <w:rPr>
          <w:noProof/>
          <w:lang w:val="fr-BE"/>
        </w:rPr>
        <w:t>concernant la modification de</w:t>
      </w:r>
      <w:r w:rsidRPr="001B4955">
        <w:rPr>
          <w:noProof/>
        </w:rPr>
        <w:t> </w:t>
      </w:r>
      <w:r w:rsidRPr="001B4955">
        <w:rPr>
          <w:noProof/>
        </w:rPr>
        <w:fldChar w:fldCharType="begin"/>
      </w:r>
      <w:r w:rsidRPr="001B4955">
        <w:rPr>
          <w:noProof/>
        </w:rPr>
        <w:instrText xml:space="preserve"> QUOTE "</w:instrText>
      </w:r>
      <w:r w:rsidRPr="001B4955">
        <w:rPr>
          <w:rStyle w:val="CRMarker"/>
          <w:noProof/>
        </w:rPr>
        <w:instrText>Õ</w:instrText>
      </w:r>
      <w:r w:rsidRPr="001B4955">
        <w:rPr>
          <w:noProof/>
        </w:rPr>
        <w:instrText xml:space="preserve">" </w:instrText>
      </w:r>
      <w:r w:rsidRPr="001B4955">
        <w:rPr>
          <w:noProof/>
        </w:rPr>
        <w:fldChar w:fldCharType="separate"/>
      </w:r>
      <w:r w:rsidRPr="001B4955">
        <w:rPr>
          <w:rStyle w:val="CRMarker"/>
          <w:noProof/>
        </w:rPr>
        <w:t>Õ</w:t>
      </w:r>
      <w:r w:rsidRPr="001B4955">
        <w:rPr>
          <w:noProof/>
        </w:rPr>
        <w:fldChar w:fldCharType="end"/>
      </w:r>
      <w:r>
        <w:rPr>
          <w:noProof/>
        </w:rPr>
        <w:t xml:space="preserve"> la méthodologie des CEA figurant à l'annexe I. Ces actes délégués se limitent à préciser et améliorer le contenu de l'annexe I aux fins d'assurer une interprétation harmonisée ou une comparabilité internationale.</w:t>
      </w:r>
    </w:p>
    <w:p w14:paraId="23378722" w14:textId="77777777" w:rsidR="001874FD" w:rsidRDefault="001874FD" w:rsidP="001874FD">
      <w:pPr>
        <w:rPr>
          <w:noProof/>
        </w:rPr>
      </w:pPr>
      <w:r>
        <w:rPr>
          <w:noProof/>
        </w:rPr>
        <w:t>Ces actes délégués sont adoptés uniquement lorsqu'ils ne modifient pas les concepts de base de l'annexe I, qu'ils n'exigent pas de ressources supplémentaires de la part des producteurs au sein du système statistique européen pour leur mise en œuvre et qu'ils n'imposent pas de charge supplémentaire importante aux États membres ou aux répondants.</w:t>
      </w:r>
    </w:p>
    <w:p w14:paraId="2447F2C7" w14:textId="6D546616" w:rsidR="001874FD" w:rsidRDefault="001874FD" w:rsidP="001874FD">
      <w:pPr>
        <w:rPr>
          <w:noProof/>
        </w:rPr>
      </w:pPr>
      <w:r>
        <w:rPr>
          <w:noProof/>
        </w:rPr>
        <w:t>La Commission motive dûment les mesures statistiques prévues dans ces actes délégués en faisant appel, le cas échéant, aux contributions que des experts qualifiés auront faites à une analyse de leur efficacité par rapport à leur coût, y compris par une estimation de la charge pour les répondants et des coûts de production, comme prévu à l'article 14, paragraphe 3, point c), du règlement</w:t>
      </w:r>
      <w:r w:rsidR="008E68C6">
        <w:rPr>
          <w:noProof/>
        </w:rPr>
        <w:t> </w:t>
      </w:r>
      <w:r>
        <w:rPr>
          <w:noProof/>
        </w:rPr>
        <w:t>(CE)</w:t>
      </w:r>
      <w:r w:rsidR="008E68C6">
        <w:rPr>
          <w:noProof/>
        </w:rPr>
        <w:t> </w:t>
      </w:r>
      <w:r>
        <w:rPr>
          <w:noProof/>
        </w:rPr>
        <w:t>n</w:t>
      </w:r>
      <w:r>
        <w:rPr>
          <w:noProof/>
          <w:vertAlign w:val="superscript"/>
        </w:rPr>
        <w:t>o</w:t>
      </w:r>
      <w:r w:rsidR="008E68C6">
        <w:rPr>
          <w:noProof/>
        </w:rPr>
        <w:t> </w:t>
      </w:r>
      <w:r>
        <w:rPr>
          <w:noProof/>
        </w:rPr>
        <w:t>223/2009.</w:t>
      </w:r>
    </w:p>
    <w:p w14:paraId="77398472" w14:textId="77777777" w:rsidR="001874FD" w:rsidRDefault="001874FD" w:rsidP="001874FD">
      <w:pPr>
        <w:pStyle w:val="CRSeparator"/>
        <w:rPr>
          <w:noProof/>
        </w:rPr>
      </w:pPr>
    </w:p>
    <w:p w14:paraId="749B068B" w14:textId="77777777" w:rsidR="001874FD" w:rsidRDefault="001874FD" w:rsidP="001874FD">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138/2004</w:t>
      </w:r>
    </w:p>
    <w:p w14:paraId="7A56E985" w14:textId="77777777" w:rsidR="001874FD" w:rsidRDefault="001874FD" w:rsidP="001874FD">
      <w:pPr>
        <w:pStyle w:val="Titrearticle"/>
        <w:rPr>
          <w:noProof/>
        </w:rPr>
      </w:pPr>
      <w:r>
        <w:rPr>
          <w:noProof/>
        </w:rPr>
        <w:t>Article 3</w:t>
      </w:r>
    </w:p>
    <w:p w14:paraId="73498A3A" w14:textId="77777777" w:rsidR="001874FD" w:rsidRDefault="001874FD" w:rsidP="001874FD">
      <w:pPr>
        <w:pStyle w:val="NormalCentered"/>
        <w:keepNext/>
        <w:rPr>
          <w:b/>
          <w:bCs/>
          <w:noProof/>
        </w:rPr>
      </w:pPr>
      <w:r>
        <w:rPr>
          <w:b/>
          <w:bCs/>
          <w:noProof/>
        </w:rPr>
        <w:t>Transmission à la Commission</w:t>
      </w:r>
    </w:p>
    <w:p w14:paraId="6748B719" w14:textId="77777777" w:rsidR="001874FD" w:rsidRDefault="001874FD" w:rsidP="001874FD">
      <w:pPr>
        <w:rPr>
          <w:noProof/>
        </w:rPr>
      </w:pPr>
      <w:r>
        <w:rPr>
          <w:noProof/>
        </w:rPr>
        <w:t>1. Les États membres transmettent à la Commission (Eurostat) les données figurant à l'annexe II dans les délais prescrits pour chacun des tableaux.</w:t>
      </w:r>
    </w:p>
    <w:p w14:paraId="6BA526CD" w14:textId="77777777" w:rsidR="001874FD" w:rsidRDefault="001874FD" w:rsidP="001874FD">
      <w:pPr>
        <w:pStyle w:val="CRSeparator"/>
        <w:rPr>
          <w:noProof/>
        </w:rPr>
      </w:pPr>
    </w:p>
    <w:p w14:paraId="39CE75D1" w14:textId="2C79586A" w:rsidR="001874FD" w:rsidRDefault="001874FD" w:rsidP="001874FD">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2022/590 Art. 1, pt 1</w:t>
      </w:r>
    </w:p>
    <w:p w14:paraId="408AA9C5" w14:textId="69ACB5F5" w:rsidR="001874FD" w:rsidRDefault="001874FD" w:rsidP="001874FD">
      <w:pPr>
        <w:rPr>
          <w:noProof/>
        </w:rPr>
      </w:pPr>
      <w:r>
        <w:rPr>
          <w:noProof/>
        </w:rPr>
        <w:t xml:space="preserve">2. </w:t>
      </w:r>
      <w:r w:rsidRPr="007B4F1E">
        <w:rPr>
          <w:noProof/>
        </w:rPr>
        <w:t>L</w:t>
      </w:r>
      <w:r>
        <w:rPr>
          <w:noProof/>
        </w:rPr>
        <w:t>a première transmission des données pour les comptes économiques régionaux de l’agriculture (CERA) de niveau NUTS 2 au sens du règlement</w:t>
      </w:r>
      <w:r w:rsidR="008E68C6">
        <w:rPr>
          <w:noProof/>
        </w:rPr>
        <w:t> </w:t>
      </w:r>
      <w:r>
        <w:rPr>
          <w:noProof/>
        </w:rPr>
        <w:t>(CE)</w:t>
      </w:r>
      <w:r w:rsidR="008E68C6">
        <w:rPr>
          <w:noProof/>
        </w:rPr>
        <w:t> </w:t>
      </w:r>
      <w:r>
        <w:rPr>
          <w:noProof/>
        </w:rPr>
        <w:t>n</w:t>
      </w:r>
      <w:r>
        <w:rPr>
          <w:noProof/>
          <w:vertAlign w:val="superscript"/>
        </w:rPr>
        <w:t>o</w:t>
      </w:r>
      <w:r>
        <w:rPr>
          <w:noProof/>
        </w:rPr>
        <w:t> 1059/2003 du Parlement européen et du Conseil</w:t>
      </w:r>
      <w:r>
        <w:rPr>
          <w:rStyle w:val="FootnoteReference"/>
          <w:noProof/>
        </w:rPr>
        <w:footnoteReference w:id="11"/>
      </w:r>
      <w:r>
        <w:rPr>
          <w:noProof/>
        </w:rPr>
        <w:t xml:space="preserve"> a lieu au plus tard le 30 septembre 2023.</w:t>
      </w:r>
    </w:p>
    <w:p w14:paraId="229FB20D" w14:textId="77777777" w:rsidR="001874FD" w:rsidRDefault="001874FD" w:rsidP="001874FD">
      <w:pPr>
        <w:pStyle w:val="CRSeparator"/>
        <w:rPr>
          <w:noProof/>
        </w:rPr>
      </w:pPr>
    </w:p>
    <w:p w14:paraId="637E5B23" w14:textId="77777777" w:rsidR="001874FD" w:rsidRDefault="001874FD" w:rsidP="001874FD">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1350/2013 Art. 1 et Annexe, pt</w:t>
      </w:r>
      <w:r w:rsidRPr="00F510C6">
        <w:rPr>
          <w:noProof/>
        </w:rPr>
        <w:t> </w:t>
      </w:r>
      <w:r>
        <w:rPr>
          <w:noProof/>
        </w:rPr>
        <w:t>2 b (adapté)</w:t>
      </w:r>
    </w:p>
    <w:p w14:paraId="017B3352" w14:textId="77777777" w:rsidR="001874FD" w:rsidRDefault="001874FD" w:rsidP="001874FD">
      <w:pPr>
        <w:rPr>
          <w:noProof/>
        </w:rPr>
      </w:pPr>
      <w:r>
        <w:rPr>
          <w:noProof/>
        </w:rPr>
        <w:t xml:space="preserve">3. La Commission est habilitée à adopter des actes délégués en conformité avec </w:t>
      </w:r>
      <w:r w:rsidRPr="007B4F1E">
        <w:rPr>
          <w:noProof/>
        </w:rPr>
        <w:t>l'article 6</w:t>
      </w:r>
      <w:r>
        <w:rPr>
          <w:noProof/>
        </w:rPr>
        <w:t xml:space="preserve"> </w:t>
      </w:r>
      <w:r w:rsidRPr="00EC21EB">
        <w:rPr>
          <w:noProof/>
        </w:rPr>
        <w:fldChar w:fldCharType="begin"/>
      </w:r>
      <w:r w:rsidRPr="00EC21EB">
        <w:rPr>
          <w:noProof/>
        </w:rPr>
        <w:instrText xml:space="preserve"> QUOTE "</w:instrText>
      </w:r>
      <w:r w:rsidRPr="00EC21EB">
        <w:rPr>
          <w:rStyle w:val="CRMarker"/>
          <w:noProof/>
        </w:rPr>
        <w:instrText>Ö</w:instrText>
      </w:r>
      <w:r w:rsidRPr="00EC21EB">
        <w:rPr>
          <w:noProof/>
        </w:rPr>
        <w:instrText xml:space="preserve">" </w:instrText>
      </w:r>
      <w:r w:rsidRPr="00EC21EB">
        <w:rPr>
          <w:noProof/>
        </w:rPr>
        <w:fldChar w:fldCharType="separate"/>
      </w:r>
      <w:r w:rsidRPr="00EC21EB">
        <w:rPr>
          <w:rStyle w:val="CRMarker"/>
          <w:noProof/>
        </w:rPr>
        <w:t>Ö</w:t>
      </w:r>
      <w:r w:rsidRPr="00EC21EB">
        <w:rPr>
          <w:noProof/>
        </w:rPr>
        <w:fldChar w:fldCharType="end"/>
      </w:r>
      <w:r w:rsidRPr="00EC21EB">
        <w:rPr>
          <w:noProof/>
        </w:rPr>
        <w:t> </w:t>
      </w:r>
      <w:r>
        <w:rPr>
          <w:noProof/>
          <w:lang w:val="fr-BE"/>
        </w:rPr>
        <w:t>concernant la modification de </w:t>
      </w:r>
      <w:r w:rsidRPr="00EC21EB">
        <w:rPr>
          <w:noProof/>
        </w:rPr>
        <w:fldChar w:fldCharType="begin"/>
      </w:r>
      <w:r w:rsidRPr="00EC21EB">
        <w:rPr>
          <w:noProof/>
        </w:rPr>
        <w:instrText xml:space="preserve"> QUOTE "</w:instrText>
      </w:r>
      <w:r w:rsidRPr="00EC21EB">
        <w:rPr>
          <w:rStyle w:val="CRMarker"/>
          <w:noProof/>
        </w:rPr>
        <w:instrText>Õ</w:instrText>
      </w:r>
      <w:r w:rsidRPr="00EC21EB">
        <w:rPr>
          <w:noProof/>
        </w:rPr>
        <w:instrText xml:space="preserve">" </w:instrText>
      </w:r>
      <w:r w:rsidRPr="00EC21EB">
        <w:rPr>
          <w:noProof/>
        </w:rPr>
        <w:fldChar w:fldCharType="separate"/>
      </w:r>
      <w:r w:rsidRPr="00EC21EB">
        <w:rPr>
          <w:rStyle w:val="CRMarker"/>
          <w:noProof/>
        </w:rPr>
        <w:t>Õ</w:t>
      </w:r>
      <w:r w:rsidRPr="00EC21EB">
        <w:rPr>
          <w:noProof/>
        </w:rPr>
        <w:fldChar w:fldCharType="end"/>
      </w:r>
      <w:r>
        <w:rPr>
          <w:noProof/>
        </w:rPr>
        <w:t xml:space="preserve"> la liste des variables pour la transmission des données figurant à l'annexe</w:t>
      </w:r>
      <w:r w:rsidRPr="00F510C6">
        <w:rPr>
          <w:noProof/>
        </w:rPr>
        <w:t> </w:t>
      </w:r>
      <w:r>
        <w:rPr>
          <w:noProof/>
        </w:rPr>
        <w:t>II.</w:t>
      </w:r>
    </w:p>
    <w:p w14:paraId="6E6C8FF3" w14:textId="77777777" w:rsidR="001874FD" w:rsidRDefault="001874FD" w:rsidP="001874FD">
      <w:pPr>
        <w:rPr>
          <w:noProof/>
        </w:rPr>
      </w:pPr>
      <w:r>
        <w:rPr>
          <w:noProof/>
        </w:rPr>
        <w:t>Ces actes délégués n'imposent pas de charge supplémentaire importante aux États membres ou aux répondants.</w:t>
      </w:r>
    </w:p>
    <w:p w14:paraId="55DB6233" w14:textId="71ED32E2" w:rsidR="001874FD" w:rsidRDefault="001874FD" w:rsidP="001874FD">
      <w:pPr>
        <w:rPr>
          <w:noProof/>
        </w:rPr>
      </w:pPr>
      <w:r>
        <w:rPr>
          <w:noProof/>
        </w:rPr>
        <w:t>La Commission motive dûment les mesures statistiques prévues dans ces actes délégués en faisant appel, le cas échéant, aux contributions que des experts qualifiés auront faites à une analyse coût-efficacité, y compris par une estimation de la charge pour les répondants et des coûts de production, comme prévu à l'article 14, paragraphe 3, point c), du règlement</w:t>
      </w:r>
      <w:r w:rsidR="008E68C6">
        <w:rPr>
          <w:noProof/>
        </w:rPr>
        <w:t> </w:t>
      </w:r>
      <w:r>
        <w:rPr>
          <w:noProof/>
        </w:rPr>
        <w:t>(CE)</w:t>
      </w:r>
      <w:r w:rsidR="008E68C6">
        <w:rPr>
          <w:noProof/>
        </w:rPr>
        <w:t> </w:t>
      </w:r>
      <w:r>
        <w:rPr>
          <w:noProof/>
        </w:rPr>
        <w:t>n</w:t>
      </w:r>
      <w:r>
        <w:rPr>
          <w:noProof/>
          <w:vertAlign w:val="superscript"/>
        </w:rPr>
        <w:t>o</w:t>
      </w:r>
      <w:r w:rsidRPr="00F510C6">
        <w:rPr>
          <w:noProof/>
        </w:rPr>
        <w:t> </w:t>
      </w:r>
      <w:r>
        <w:rPr>
          <w:noProof/>
        </w:rPr>
        <w:t>223/2009.</w:t>
      </w:r>
    </w:p>
    <w:p w14:paraId="5C532CBF" w14:textId="77777777" w:rsidR="001874FD" w:rsidRDefault="001874FD" w:rsidP="001874FD">
      <w:pPr>
        <w:pStyle w:val="CRSeparator"/>
        <w:rPr>
          <w:noProof/>
        </w:rPr>
      </w:pPr>
    </w:p>
    <w:p w14:paraId="7DE87CA4" w14:textId="77777777" w:rsidR="001874FD" w:rsidRDefault="001874FD" w:rsidP="001874FD">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2022/590 Art. 1, pt 2</w:t>
      </w:r>
    </w:p>
    <w:p w14:paraId="5B0296F0" w14:textId="77777777" w:rsidR="001874FD" w:rsidRPr="007B4F1E" w:rsidRDefault="001874FD" w:rsidP="001874FD">
      <w:pPr>
        <w:pStyle w:val="Titrearticle"/>
        <w:rPr>
          <w:noProof/>
        </w:rPr>
      </w:pPr>
      <w:r w:rsidRPr="007B4F1E">
        <w:rPr>
          <w:noProof/>
        </w:rPr>
        <w:t>Article 4</w:t>
      </w:r>
    </w:p>
    <w:p w14:paraId="0D655CAB" w14:textId="77777777" w:rsidR="001874FD" w:rsidRDefault="001874FD" w:rsidP="001874FD">
      <w:pPr>
        <w:pStyle w:val="NormalCentered"/>
        <w:keepNext/>
        <w:rPr>
          <w:b/>
          <w:bCs/>
          <w:noProof/>
        </w:rPr>
      </w:pPr>
      <w:r>
        <w:rPr>
          <w:b/>
          <w:bCs/>
          <w:noProof/>
        </w:rPr>
        <w:t>Diffusion des statistiques</w:t>
      </w:r>
    </w:p>
    <w:p w14:paraId="04A0B9AE" w14:textId="6B84BAB7" w:rsidR="001874FD" w:rsidRDefault="001874FD" w:rsidP="001874FD">
      <w:pPr>
        <w:rPr>
          <w:noProof/>
        </w:rPr>
      </w:pPr>
      <w:r>
        <w:rPr>
          <w:noProof/>
        </w:rPr>
        <w:t>Sans préjudice du règlement</w:t>
      </w:r>
      <w:r w:rsidR="008E68C6">
        <w:rPr>
          <w:noProof/>
        </w:rPr>
        <w:t> </w:t>
      </w:r>
      <w:r>
        <w:rPr>
          <w:noProof/>
        </w:rPr>
        <w:t>(CE)</w:t>
      </w:r>
      <w:r w:rsidR="008E68C6">
        <w:rPr>
          <w:noProof/>
        </w:rPr>
        <w:t> </w:t>
      </w:r>
      <w:r>
        <w:rPr>
          <w:noProof/>
        </w:rPr>
        <w:t>n</w:t>
      </w:r>
      <w:r>
        <w:rPr>
          <w:noProof/>
          <w:vertAlign w:val="superscript"/>
        </w:rPr>
        <w:t>o</w:t>
      </w:r>
      <w:r>
        <w:rPr>
          <w:noProof/>
        </w:rPr>
        <w:t> 1367/2006 du Parlement européen et du Conseil</w:t>
      </w:r>
      <w:r>
        <w:rPr>
          <w:rStyle w:val="FootnoteReference"/>
          <w:noProof/>
        </w:rPr>
        <w:footnoteReference w:id="12"/>
      </w:r>
      <w:r>
        <w:rPr>
          <w:noProof/>
        </w:rPr>
        <w:t xml:space="preserve"> et du règlement</w:t>
      </w:r>
      <w:r w:rsidR="008E68C6">
        <w:rPr>
          <w:noProof/>
        </w:rPr>
        <w:t> </w:t>
      </w:r>
      <w:r>
        <w:rPr>
          <w:noProof/>
        </w:rPr>
        <w:t>(CE)</w:t>
      </w:r>
      <w:r w:rsidR="008E68C6">
        <w:rPr>
          <w:noProof/>
        </w:rPr>
        <w:t> </w:t>
      </w:r>
      <w:r>
        <w:rPr>
          <w:noProof/>
        </w:rPr>
        <w:t>n</w:t>
      </w:r>
      <w:r>
        <w:rPr>
          <w:noProof/>
          <w:vertAlign w:val="superscript"/>
        </w:rPr>
        <w:t>o</w:t>
      </w:r>
      <w:r>
        <w:rPr>
          <w:noProof/>
        </w:rPr>
        <w:t> 223/2009, la Commission (Eurostat) diffuse en ligne, gratuitement, les données qui lui sont transmises conformément à l’article 3 du présent règlement.</w:t>
      </w:r>
    </w:p>
    <w:p w14:paraId="25000C79" w14:textId="77777777" w:rsidR="001874FD" w:rsidRDefault="001874FD" w:rsidP="001874FD">
      <w:pPr>
        <w:pStyle w:val="Titrearticle"/>
        <w:rPr>
          <w:noProof/>
        </w:rPr>
      </w:pPr>
      <w:r>
        <w:rPr>
          <w:noProof/>
        </w:rPr>
        <w:lastRenderedPageBreak/>
        <w:t xml:space="preserve">Article </w:t>
      </w:r>
      <w:r w:rsidRPr="007B4F1E">
        <w:rPr>
          <w:noProof/>
        </w:rPr>
        <w:t>5</w:t>
      </w:r>
    </w:p>
    <w:p w14:paraId="0DEB43A5" w14:textId="77777777" w:rsidR="001874FD" w:rsidRDefault="001874FD" w:rsidP="001874FD">
      <w:pPr>
        <w:pStyle w:val="NormalCentered"/>
        <w:keepNext/>
        <w:rPr>
          <w:b/>
          <w:bCs/>
          <w:noProof/>
        </w:rPr>
      </w:pPr>
      <w:r>
        <w:rPr>
          <w:b/>
          <w:bCs/>
          <w:noProof/>
        </w:rPr>
        <w:t>Évaluation de la qualité</w:t>
      </w:r>
    </w:p>
    <w:p w14:paraId="158EC193" w14:textId="77777777" w:rsidR="001874FD" w:rsidRDefault="001874FD" w:rsidP="001874FD">
      <w:pPr>
        <w:rPr>
          <w:noProof/>
        </w:rPr>
      </w:pPr>
      <w:r>
        <w:rPr>
          <w:noProof/>
        </w:rPr>
        <w:t>1. Les États membres prennent les mesures nécessaires pour assurer la qualité des données et des métadonnées transmises.</w:t>
      </w:r>
    </w:p>
    <w:p w14:paraId="20A4D376" w14:textId="7941E274" w:rsidR="001874FD" w:rsidRDefault="001874FD" w:rsidP="001874FD">
      <w:pPr>
        <w:rPr>
          <w:noProof/>
        </w:rPr>
      </w:pPr>
      <w:r>
        <w:rPr>
          <w:noProof/>
        </w:rPr>
        <w:t>2. Aux fins du présent règlement, les critères de qualité énoncés à l’article 12, paragraphe 1, du règlement</w:t>
      </w:r>
      <w:r w:rsidR="008E68C6">
        <w:rPr>
          <w:noProof/>
        </w:rPr>
        <w:t> </w:t>
      </w:r>
      <w:r>
        <w:rPr>
          <w:noProof/>
        </w:rPr>
        <w:t>(CE)</w:t>
      </w:r>
      <w:r w:rsidR="008E68C6">
        <w:rPr>
          <w:noProof/>
        </w:rPr>
        <w:t> </w:t>
      </w:r>
      <w:r>
        <w:rPr>
          <w:noProof/>
        </w:rPr>
        <w:t>n</w:t>
      </w:r>
      <w:r>
        <w:rPr>
          <w:noProof/>
          <w:vertAlign w:val="superscript"/>
        </w:rPr>
        <w:t>o</w:t>
      </w:r>
      <w:r>
        <w:rPr>
          <w:noProof/>
        </w:rPr>
        <w:t> 223/2009 s’appliquent aux données à transmettre conformément à l’article 3 du présent règlement.</w:t>
      </w:r>
    </w:p>
    <w:p w14:paraId="6E510C0A" w14:textId="77777777" w:rsidR="001874FD" w:rsidRDefault="001874FD" w:rsidP="001874FD">
      <w:pPr>
        <w:rPr>
          <w:noProof/>
        </w:rPr>
      </w:pPr>
      <w:r>
        <w:rPr>
          <w:noProof/>
        </w:rPr>
        <w:t>3. La Commission (Eurostat) évalue la qualité des données transmises. À cette fin, les États membres transmettent un rapport sur la qualité à la Commission (Eurostat), pour la première fois au plus tard le 31 décembre 2025, et tous les cinq ans par la suite, pour les ensembles de données transmis pendant la période de référence.</w:t>
      </w:r>
    </w:p>
    <w:p w14:paraId="3647C1FC" w14:textId="48B175C8" w:rsidR="001874FD" w:rsidRDefault="001874FD" w:rsidP="001874FD">
      <w:pPr>
        <w:rPr>
          <w:noProof/>
        </w:rPr>
      </w:pPr>
      <w:r>
        <w:rPr>
          <w:noProof/>
        </w:rPr>
        <w:t>4. En appliquant les critères de qualité énoncés à l’article 12, paragraphe 1, du règlement</w:t>
      </w:r>
      <w:r w:rsidR="008E68C6">
        <w:rPr>
          <w:noProof/>
        </w:rPr>
        <w:t> </w:t>
      </w:r>
      <w:r>
        <w:rPr>
          <w:noProof/>
        </w:rPr>
        <w:t>(CE)</w:t>
      </w:r>
      <w:r w:rsidR="008E68C6">
        <w:rPr>
          <w:noProof/>
        </w:rPr>
        <w:t> </w:t>
      </w:r>
      <w:r>
        <w:rPr>
          <w:noProof/>
        </w:rPr>
        <w:t>n</w:t>
      </w:r>
      <w:r>
        <w:rPr>
          <w:noProof/>
          <w:vertAlign w:val="superscript"/>
        </w:rPr>
        <w:t>o</w:t>
      </w:r>
      <w:r>
        <w:rPr>
          <w:noProof/>
        </w:rPr>
        <w:t> 223/2009 aux données à transmettre conformément à l’article 3 du présent règlement, la Commission définit, au moyen d’actes d’exécution, les modalités, la structure et les indicateurs d’évaluation des rapports sur la qualité visés au paragraphe 3 du présent article. Ces actes d’exécution sont adoptés en conformité avec la procédure d’examen visée à l’article </w:t>
      </w:r>
      <w:r w:rsidRPr="007B4F1E">
        <w:rPr>
          <w:noProof/>
        </w:rPr>
        <w:t>7</w:t>
      </w:r>
      <w:r>
        <w:rPr>
          <w:noProof/>
        </w:rPr>
        <w:t>, paragraphe 2, du présent règlement. Ils n’imposent pas de coûts ou une charge supplémentaires importants aux États membres.</w:t>
      </w:r>
    </w:p>
    <w:p w14:paraId="79E9BF2E" w14:textId="77777777" w:rsidR="001874FD" w:rsidRDefault="001874FD" w:rsidP="001874FD">
      <w:pPr>
        <w:rPr>
          <w:noProof/>
        </w:rPr>
      </w:pPr>
      <w:r>
        <w:rPr>
          <w:noProof/>
        </w:rPr>
        <w:t>5. Les États membres fournissent sans tarder à la Commission (Eurostat) toute information ou modification pertinente en ce qui concerne la mise en œuvre du présent règlement susceptible d’influer, d’une manière substantielle, sur la qualité des données transmises.</w:t>
      </w:r>
    </w:p>
    <w:p w14:paraId="1758315D" w14:textId="77777777" w:rsidR="001874FD" w:rsidRDefault="001874FD" w:rsidP="001874FD">
      <w:pPr>
        <w:rPr>
          <w:noProof/>
        </w:rPr>
      </w:pPr>
      <w:r>
        <w:rPr>
          <w:noProof/>
        </w:rPr>
        <w:t>6. Sur demande dûment justifiée de la Commission (Eurostat), les États membres fournissent sans tarder toute clarification complémentaire nécessaire à l’évaluation de la qualité des données statistiques.</w:t>
      </w:r>
    </w:p>
    <w:p w14:paraId="2D6A74C2" w14:textId="77777777" w:rsidR="001874FD" w:rsidRDefault="001874FD" w:rsidP="001874FD">
      <w:pPr>
        <w:pStyle w:val="CRSeparator"/>
        <w:rPr>
          <w:noProof/>
        </w:rPr>
      </w:pPr>
    </w:p>
    <w:p w14:paraId="680E0440" w14:textId="7D023688" w:rsidR="001874FD" w:rsidRDefault="001874FD" w:rsidP="001874FD">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1350/2013 Art. 1 et Annexe, pt</w:t>
      </w:r>
      <w:r w:rsidRPr="00F510C6">
        <w:rPr>
          <w:noProof/>
        </w:rPr>
        <w:t> </w:t>
      </w:r>
      <w:r>
        <w:rPr>
          <w:noProof/>
        </w:rPr>
        <w:t>2 c (adapté)</w:t>
      </w:r>
    </w:p>
    <w:p w14:paraId="7CC5F9EA" w14:textId="77777777" w:rsidR="001874FD" w:rsidRDefault="001874FD" w:rsidP="001874FD">
      <w:pPr>
        <w:pStyle w:val="Titrearticle"/>
        <w:rPr>
          <w:noProof/>
        </w:rPr>
      </w:pPr>
      <w:r>
        <w:rPr>
          <w:noProof/>
        </w:rPr>
        <w:t xml:space="preserve">Article </w:t>
      </w:r>
      <w:r w:rsidRPr="007B4F1E">
        <w:rPr>
          <w:noProof/>
        </w:rPr>
        <w:t>6</w:t>
      </w:r>
    </w:p>
    <w:p w14:paraId="52119113" w14:textId="77777777" w:rsidR="001874FD" w:rsidRDefault="001874FD" w:rsidP="001874FD">
      <w:pPr>
        <w:pStyle w:val="NormalCentered"/>
        <w:keepNext/>
        <w:rPr>
          <w:b/>
          <w:bCs/>
          <w:noProof/>
        </w:rPr>
      </w:pPr>
      <w:r>
        <w:rPr>
          <w:b/>
          <w:bCs/>
          <w:noProof/>
        </w:rPr>
        <w:t>Exercice de la délégation</w:t>
      </w:r>
    </w:p>
    <w:p w14:paraId="06F7648A" w14:textId="77777777" w:rsidR="001874FD" w:rsidRDefault="001874FD" w:rsidP="001874FD">
      <w:pPr>
        <w:rPr>
          <w:noProof/>
        </w:rPr>
      </w:pPr>
      <w:r>
        <w:rPr>
          <w:noProof/>
        </w:rPr>
        <w:t>1. Le pouvoir d'adopter des actes délégués conféré à la Commission est soumis aux conditions fixées au présent article.</w:t>
      </w:r>
    </w:p>
    <w:p w14:paraId="5BD8C56B" w14:textId="77777777" w:rsidR="001874FD" w:rsidRDefault="001874FD" w:rsidP="001874FD">
      <w:pPr>
        <w:rPr>
          <w:noProof/>
        </w:rPr>
      </w:pPr>
      <w:r>
        <w:rPr>
          <w:noProof/>
        </w:rPr>
        <w:t>2. Le pouvoir d'adopter des actes délégués visé à l'article 2, paragraphe 2, et à l'article 3, paragraphe 3, est conféré à la Commission pour une période de cinq ans à compter du 10 janvier 2014.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14:paraId="261A780F" w14:textId="77777777" w:rsidR="001874FD" w:rsidRDefault="001874FD" w:rsidP="001874FD">
      <w:pPr>
        <w:rPr>
          <w:noProof/>
        </w:rPr>
      </w:pPr>
      <w:r>
        <w:rPr>
          <w:noProof/>
        </w:rPr>
        <w:t xml:space="preserve">3. La délégation de pouvoir visée à l'article 2, paragraphe 2, et à l'article 3, paragraphe 3, peut être révoquée à tout moment par le Parlement européen ou le Conseil. La décision de révocation met fin à la délégation du pouvoir qui y est précisée. La révocation prend effet le jour suivant celui de la publication de ladite décision au </w:t>
      </w:r>
      <w:r>
        <w:rPr>
          <w:i/>
          <w:iCs/>
          <w:noProof/>
        </w:rPr>
        <w:t>Journal officiel de l'Union européenne</w:t>
      </w:r>
      <w:r>
        <w:rPr>
          <w:noProof/>
        </w:rPr>
        <w:t xml:space="preserve"> ou à une date ultérieure qui est précisée dans ladite décision. Elle ne porte pas atteinte à la validité des actes délégués déjà en vigueur.</w:t>
      </w:r>
    </w:p>
    <w:p w14:paraId="607C9749" w14:textId="77777777" w:rsidR="001874FD" w:rsidRDefault="001874FD" w:rsidP="001874FD">
      <w:pPr>
        <w:rPr>
          <w:noProof/>
        </w:rPr>
      </w:pPr>
      <w:r>
        <w:rPr>
          <w:noProof/>
        </w:rPr>
        <w:lastRenderedPageBreak/>
        <w:t xml:space="preserve">4. </w:t>
      </w:r>
      <w:r w:rsidRPr="00EC21EB">
        <w:rPr>
          <w:noProof/>
        </w:rPr>
        <w:fldChar w:fldCharType="begin"/>
      </w:r>
      <w:r w:rsidRPr="00EC21EB">
        <w:rPr>
          <w:noProof/>
        </w:rPr>
        <w:instrText xml:space="preserve"> QUOTE "</w:instrText>
      </w:r>
      <w:r w:rsidRPr="00EC21EB">
        <w:rPr>
          <w:rStyle w:val="CRMarker"/>
          <w:noProof/>
        </w:rPr>
        <w:instrText>Ö</w:instrText>
      </w:r>
      <w:r w:rsidRPr="00EC21EB">
        <w:rPr>
          <w:noProof/>
        </w:rPr>
        <w:instrText xml:space="preserve">" </w:instrText>
      </w:r>
      <w:r w:rsidRPr="00EC21EB">
        <w:rPr>
          <w:noProof/>
        </w:rPr>
        <w:fldChar w:fldCharType="separate"/>
      </w:r>
      <w:r w:rsidRPr="00EC21EB">
        <w:rPr>
          <w:rStyle w:val="CRMarker"/>
          <w:noProof/>
        </w:rPr>
        <w:t>Ö</w:t>
      </w:r>
      <w:r w:rsidRPr="00EC21EB">
        <w:rPr>
          <w:noProof/>
        </w:rPr>
        <w:fldChar w:fldCharType="end"/>
      </w:r>
      <w:r w:rsidRPr="00EC21EB">
        <w:rPr>
          <w:noProof/>
        </w:rPr>
        <w:t> </w:t>
      </w:r>
      <w:r>
        <w:rPr>
          <w:noProof/>
          <w:lang w:val="fr-BE"/>
        </w:rPr>
        <w:t>Avant d’adopter un acte délégué, la Commission consulte des experts</w:t>
      </w:r>
      <w:r>
        <w:rPr>
          <w:noProof/>
        </w:rPr>
        <w:t xml:space="preserve"> désignés par chaque État membre conformément aux principes énoncés dans l’Accord interinstitutionnel du 13 avril 2016 Mieux Légiférer. </w:t>
      </w:r>
      <w:r w:rsidRPr="00EC21EB">
        <w:rPr>
          <w:noProof/>
        </w:rPr>
        <w:fldChar w:fldCharType="begin"/>
      </w:r>
      <w:r w:rsidRPr="00EC21EB">
        <w:rPr>
          <w:noProof/>
        </w:rPr>
        <w:instrText xml:space="preserve"> QUOTE "</w:instrText>
      </w:r>
      <w:r w:rsidRPr="00EC21EB">
        <w:rPr>
          <w:rStyle w:val="CRMarker"/>
          <w:noProof/>
        </w:rPr>
        <w:instrText>Õ</w:instrText>
      </w:r>
      <w:r w:rsidRPr="00EC21EB">
        <w:rPr>
          <w:noProof/>
        </w:rPr>
        <w:instrText xml:space="preserve">" </w:instrText>
      </w:r>
      <w:r w:rsidRPr="00EC21EB">
        <w:rPr>
          <w:noProof/>
        </w:rPr>
        <w:fldChar w:fldCharType="separate"/>
      </w:r>
      <w:r w:rsidRPr="00EC21EB">
        <w:rPr>
          <w:rStyle w:val="CRMarker"/>
          <w:noProof/>
        </w:rPr>
        <w:t>Õ</w:t>
      </w:r>
      <w:r w:rsidRPr="00EC21EB">
        <w:rPr>
          <w:noProof/>
        </w:rPr>
        <w:fldChar w:fldCharType="end"/>
      </w:r>
    </w:p>
    <w:p w14:paraId="26C4C26F" w14:textId="77777777" w:rsidR="001874FD" w:rsidRDefault="001874FD" w:rsidP="001874FD">
      <w:pPr>
        <w:rPr>
          <w:noProof/>
        </w:rPr>
      </w:pPr>
      <w:r>
        <w:rPr>
          <w:noProof/>
        </w:rPr>
        <w:t>5. Aussitôt qu'elle adopte un acte délégué, la Commission le notifie au Parlement européen et au Conseil simultanément.</w:t>
      </w:r>
    </w:p>
    <w:p w14:paraId="6563D9EA" w14:textId="77777777" w:rsidR="001874FD" w:rsidRDefault="001874FD" w:rsidP="001874FD">
      <w:pPr>
        <w:rPr>
          <w:noProof/>
        </w:rPr>
      </w:pPr>
      <w:r>
        <w:rPr>
          <w:noProof/>
        </w:rPr>
        <w:t>6. Un acte délégué adopté en vertu de l'article 2, paragraphe 2, ou de l'article 3, paragraphe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14:paraId="42ABCBB0" w14:textId="77777777" w:rsidR="001874FD" w:rsidRDefault="001874FD" w:rsidP="001874FD">
      <w:pPr>
        <w:pStyle w:val="CRSeparator"/>
        <w:rPr>
          <w:noProof/>
        </w:rPr>
      </w:pPr>
    </w:p>
    <w:p w14:paraId="53B1E512" w14:textId="77777777" w:rsidR="001874FD" w:rsidRDefault="001874FD" w:rsidP="001874FD">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2022/590 Art. 1, pt 3</w:t>
      </w:r>
    </w:p>
    <w:p w14:paraId="6AADBDFA" w14:textId="77777777" w:rsidR="001874FD" w:rsidRPr="007B4F1E" w:rsidRDefault="001874FD" w:rsidP="001874FD">
      <w:pPr>
        <w:pStyle w:val="Titrearticle"/>
        <w:rPr>
          <w:noProof/>
        </w:rPr>
      </w:pPr>
      <w:r w:rsidRPr="007B4F1E">
        <w:rPr>
          <w:noProof/>
        </w:rPr>
        <w:t>Article 7</w:t>
      </w:r>
    </w:p>
    <w:p w14:paraId="265E02E1" w14:textId="77777777" w:rsidR="001874FD" w:rsidRDefault="001874FD" w:rsidP="001874FD">
      <w:pPr>
        <w:pStyle w:val="NormalCentered"/>
        <w:keepNext/>
        <w:rPr>
          <w:b/>
          <w:bCs/>
          <w:noProof/>
        </w:rPr>
      </w:pPr>
      <w:r>
        <w:rPr>
          <w:b/>
          <w:bCs/>
          <w:noProof/>
        </w:rPr>
        <w:t>Comité</w:t>
      </w:r>
    </w:p>
    <w:p w14:paraId="7FA12A28" w14:textId="464088DE" w:rsidR="001874FD" w:rsidRDefault="001874FD" w:rsidP="001874FD">
      <w:pPr>
        <w:rPr>
          <w:noProof/>
        </w:rPr>
      </w:pPr>
      <w:r>
        <w:rPr>
          <w:noProof/>
        </w:rPr>
        <w:t>1. La Commission est assistée par le comité du système statistique européen institué par le règlement</w:t>
      </w:r>
      <w:r w:rsidR="00B31EBD">
        <w:rPr>
          <w:noProof/>
        </w:rPr>
        <w:t> </w:t>
      </w:r>
      <w:r>
        <w:rPr>
          <w:noProof/>
        </w:rPr>
        <w:t>(CE)</w:t>
      </w:r>
      <w:r w:rsidR="00B31EBD">
        <w:rPr>
          <w:noProof/>
        </w:rPr>
        <w:t> </w:t>
      </w:r>
      <w:r>
        <w:rPr>
          <w:noProof/>
        </w:rPr>
        <w:t>n</w:t>
      </w:r>
      <w:r>
        <w:rPr>
          <w:noProof/>
          <w:vertAlign w:val="superscript"/>
        </w:rPr>
        <w:t>o</w:t>
      </w:r>
      <w:r>
        <w:rPr>
          <w:noProof/>
        </w:rPr>
        <w:t> 223/2009. Ledit comité est un comité au sens du règlement</w:t>
      </w:r>
      <w:r w:rsidR="00B31EBD">
        <w:rPr>
          <w:noProof/>
        </w:rPr>
        <w:t> </w:t>
      </w:r>
      <w:r>
        <w:rPr>
          <w:noProof/>
        </w:rPr>
        <w:t>(UE)</w:t>
      </w:r>
      <w:r w:rsidR="00B31EBD">
        <w:rPr>
          <w:noProof/>
        </w:rPr>
        <w:t> </w:t>
      </w:r>
      <w:r>
        <w:rPr>
          <w:noProof/>
        </w:rPr>
        <w:t>n</w:t>
      </w:r>
      <w:r>
        <w:rPr>
          <w:noProof/>
          <w:vertAlign w:val="superscript"/>
        </w:rPr>
        <w:t>o</w:t>
      </w:r>
      <w:r>
        <w:rPr>
          <w:noProof/>
        </w:rPr>
        <w:t> 182/2011.</w:t>
      </w:r>
    </w:p>
    <w:p w14:paraId="64DB381D" w14:textId="310733D7" w:rsidR="001874FD" w:rsidRDefault="001874FD" w:rsidP="001874FD">
      <w:pPr>
        <w:rPr>
          <w:noProof/>
        </w:rPr>
      </w:pPr>
      <w:r>
        <w:rPr>
          <w:noProof/>
        </w:rPr>
        <w:t>2. Lorsqu’il est fait référence au présent paragraphe, l’article 5 du règlement</w:t>
      </w:r>
      <w:r w:rsidR="00B31EBD">
        <w:rPr>
          <w:noProof/>
        </w:rPr>
        <w:t> </w:t>
      </w:r>
      <w:r>
        <w:rPr>
          <w:noProof/>
        </w:rPr>
        <w:t>(UE)</w:t>
      </w:r>
      <w:r w:rsidR="00B31EBD">
        <w:rPr>
          <w:noProof/>
        </w:rPr>
        <w:t> </w:t>
      </w:r>
      <w:r>
        <w:rPr>
          <w:noProof/>
        </w:rPr>
        <w:t>n</w:t>
      </w:r>
      <w:r>
        <w:rPr>
          <w:noProof/>
          <w:vertAlign w:val="superscript"/>
        </w:rPr>
        <w:t>o</w:t>
      </w:r>
      <w:r>
        <w:rPr>
          <w:noProof/>
        </w:rPr>
        <w:t> 182/2011 s’applique.</w:t>
      </w:r>
    </w:p>
    <w:p w14:paraId="4904ACD7" w14:textId="77777777" w:rsidR="001874FD" w:rsidRPr="007B4F1E" w:rsidRDefault="001874FD" w:rsidP="001874FD">
      <w:pPr>
        <w:pStyle w:val="Titrearticle"/>
        <w:rPr>
          <w:noProof/>
        </w:rPr>
      </w:pPr>
      <w:r w:rsidRPr="007B4F1E">
        <w:rPr>
          <w:noProof/>
        </w:rPr>
        <w:t>Article 8</w:t>
      </w:r>
    </w:p>
    <w:p w14:paraId="53679B0E" w14:textId="77777777" w:rsidR="001874FD" w:rsidRDefault="001874FD" w:rsidP="001874FD">
      <w:pPr>
        <w:pStyle w:val="NormalCentered"/>
        <w:keepNext/>
        <w:rPr>
          <w:b/>
          <w:bCs/>
          <w:noProof/>
        </w:rPr>
      </w:pPr>
      <w:r>
        <w:rPr>
          <w:b/>
          <w:bCs/>
          <w:noProof/>
        </w:rPr>
        <w:t>Dérogations</w:t>
      </w:r>
    </w:p>
    <w:p w14:paraId="48B457F4" w14:textId="77777777" w:rsidR="001874FD" w:rsidRDefault="001874FD" w:rsidP="001874FD">
      <w:pPr>
        <w:rPr>
          <w:noProof/>
        </w:rPr>
      </w:pPr>
      <w:r>
        <w:rPr>
          <w:noProof/>
        </w:rPr>
        <w:t>1. Lorsque l’application du présent règlement nécessite des adaptations majeures du système statistique national d’un État membre en ce qui concerne la mise en œuvre du chapitre VII de l’annexe I et du programme de transmission des données pour les CERA visé à l’annexe II, la Commission peut adopter des actes d’exécution afin d’accorder des dérogations audit État membre pour une durée maximale de deux ans. La première date de transmission des données pour les CERA ne doit toutefois pas être ultérieure au 30 septembre 2025. Ces actes d’exécution sont adoptés en conformité avec la procédure d’examen visée à l’article </w:t>
      </w:r>
      <w:r w:rsidRPr="007B4F1E">
        <w:rPr>
          <w:noProof/>
        </w:rPr>
        <w:t>7</w:t>
      </w:r>
      <w:r>
        <w:rPr>
          <w:noProof/>
        </w:rPr>
        <w:t>, paragraphe 2.</w:t>
      </w:r>
    </w:p>
    <w:p w14:paraId="499F0CBF" w14:textId="77777777" w:rsidR="001874FD" w:rsidRDefault="001874FD" w:rsidP="001874FD">
      <w:pPr>
        <w:rPr>
          <w:noProof/>
        </w:rPr>
      </w:pPr>
      <w:r>
        <w:rPr>
          <w:noProof/>
        </w:rPr>
        <w:t>2. L’État membre qui décide de demander une dérogation visée au paragraphe 1 présente à la Commission une demande de dérogation dûment motivée au plus tard le 21 août 2022.</w:t>
      </w:r>
    </w:p>
    <w:p w14:paraId="75B8E4CF" w14:textId="31E9FB9C" w:rsidR="001874FD" w:rsidRDefault="001874FD" w:rsidP="001874FD">
      <w:pPr>
        <w:rPr>
          <w:noProof/>
        </w:rPr>
      </w:pPr>
      <w:r>
        <w:rPr>
          <w:noProof/>
        </w:rPr>
        <w:t>3. L’Union peut fournir des contributions financières provenant du budget général de l’Union aux instituts nationaux de statistique et aux autres autorités nationales visées à l’article 5, paragraphe 2, du règlement</w:t>
      </w:r>
      <w:r w:rsidR="00B31EBD">
        <w:rPr>
          <w:noProof/>
        </w:rPr>
        <w:t> </w:t>
      </w:r>
      <w:r>
        <w:rPr>
          <w:noProof/>
        </w:rPr>
        <w:t>(CE)</w:t>
      </w:r>
      <w:r w:rsidR="00B31EBD">
        <w:rPr>
          <w:noProof/>
        </w:rPr>
        <w:t> </w:t>
      </w:r>
      <w:r>
        <w:rPr>
          <w:noProof/>
        </w:rPr>
        <w:t>n</w:t>
      </w:r>
      <w:r>
        <w:rPr>
          <w:noProof/>
          <w:vertAlign w:val="superscript"/>
        </w:rPr>
        <w:t>o</w:t>
      </w:r>
      <w:r>
        <w:rPr>
          <w:noProof/>
        </w:rPr>
        <w:t> 223/2009 afin de couvrir les coûts de mise en œuvre du présent règlement lorsque l’établissement des CERA nécessite des adaptations majeures du système statistique national d’un État membre.</w:t>
      </w:r>
    </w:p>
    <w:p w14:paraId="512EC8D7" w14:textId="77777777" w:rsidR="001874FD" w:rsidRDefault="001874FD" w:rsidP="001874FD">
      <w:pPr>
        <w:pStyle w:val="CRSeparator"/>
        <w:rPr>
          <w:noProof/>
        </w:rPr>
      </w:pPr>
    </w:p>
    <w:p w14:paraId="0ADBD2D3" w14:textId="77777777" w:rsidR="001874FD" w:rsidRPr="00FC570D" w:rsidRDefault="001874FD" w:rsidP="001874FD">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w:t>
      </w:r>
    </w:p>
    <w:p w14:paraId="2E339FA7" w14:textId="77777777" w:rsidR="001874FD" w:rsidRDefault="001874FD" w:rsidP="001874FD">
      <w:pPr>
        <w:pStyle w:val="Titrearticle"/>
        <w:rPr>
          <w:noProof/>
        </w:rPr>
      </w:pPr>
      <w:r>
        <w:rPr>
          <w:noProof/>
        </w:rPr>
        <w:t>Article 9</w:t>
      </w:r>
    </w:p>
    <w:p w14:paraId="0D808996" w14:textId="77777777" w:rsidR="001874FD" w:rsidRDefault="001874FD" w:rsidP="001874FD">
      <w:pPr>
        <w:pStyle w:val="NormalCentered"/>
        <w:keepNext/>
        <w:rPr>
          <w:b/>
          <w:bCs/>
          <w:noProof/>
        </w:rPr>
      </w:pPr>
      <w:r>
        <w:rPr>
          <w:b/>
          <w:bCs/>
          <w:noProof/>
        </w:rPr>
        <w:t>Abrogation</w:t>
      </w:r>
    </w:p>
    <w:p w14:paraId="172AF0A6" w14:textId="4C852BBF" w:rsidR="001874FD" w:rsidRDefault="001874FD" w:rsidP="001874FD">
      <w:pPr>
        <w:rPr>
          <w:noProof/>
        </w:rPr>
      </w:pPr>
      <w:r>
        <w:rPr>
          <w:noProof/>
        </w:rPr>
        <w:t>Le règlement</w:t>
      </w:r>
      <w:r w:rsidR="00B31EBD">
        <w:rPr>
          <w:noProof/>
        </w:rPr>
        <w:t> </w:t>
      </w:r>
      <w:r>
        <w:rPr>
          <w:noProof/>
        </w:rPr>
        <w:t>(CE)</w:t>
      </w:r>
      <w:r w:rsidR="00B31EBD">
        <w:rPr>
          <w:noProof/>
        </w:rPr>
        <w:t> </w:t>
      </w:r>
      <w:r>
        <w:rPr>
          <w:noProof/>
        </w:rPr>
        <w:t>n°138/2004 est abrogé.</w:t>
      </w:r>
    </w:p>
    <w:p w14:paraId="655EC9C6" w14:textId="77777777" w:rsidR="001874FD" w:rsidRDefault="001874FD" w:rsidP="001874FD">
      <w:pPr>
        <w:rPr>
          <w:noProof/>
        </w:rPr>
      </w:pPr>
      <w:r>
        <w:rPr>
          <w:noProof/>
        </w:rPr>
        <w:t>Les références faites au règlement abrogé s’entendent comme faites au présent règlement conformément au tableau de correspondance figurant à l’annexe IV.</w:t>
      </w:r>
    </w:p>
    <w:p w14:paraId="006F96FC" w14:textId="77777777" w:rsidR="001874FD" w:rsidRDefault="001874FD" w:rsidP="001874FD">
      <w:pPr>
        <w:pStyle w:val="CRSeparator"/>
        <w:rPr>
          <w:noProof/>
        </w:rPr>
      </w:pPr>
    </w:p>
    <w:p w14:paraId="54000428" w14:textId="0C564EB1" w:rsidR="001874FD" w:rsidRDefault="001874FD" w:rsidP="001874FD">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138/2004</w:t>
      </w:r>
    </w:p>
    <w:p w14:paraId="1FAC5EBB" w14:textId="77777777" w:rsidR="001874FD" w:rsidRPr="007B4F1E" w:rsidRDefault="001874FD" w:rsidP="001874FD">
      <w:pPr>
        <w:pStyle w:val="Titrearticle"/>
        <w:rPr>
          <w:noProof/>
        </w:rPr>
      </w:pPr>
      <w:r w:rsidRPr="007B4F1E">
        <w:rPr>
          <w:noProof/>
        </w:rPr>
        <w:t>Article 10</w:t>
      </w:r>
    </w:p>
    <w:p w14:paraId="32BAF5F7" w14:textId="77777777" w:rsidR="001874FD" w:rsidRDefault="001874FD" w:rsidP="001874FD">
      <w:pPr>
        <w:pStyle w:val="NormalCentered"/>
        <w:keepNext/>
        <w:rPr>
          <w:b/>
          <w:bCs/>
          <w:noProof/>
        </w:rPr>
      </w:pPr>
      <w:r>
        <w:rPr>
          <w:b/>
          <w:bCs/>
          <w:noProof/>
        </w:rPr>
        <w:t>Entrée en vigueur</w:t>
      </w:r>
    </w:p>
    <w:p w14:paraId="497AC9E4" w14:textId="77777777" w:rsidR="001874FD" w:rsidRDefault="001874FD" w:rsidP="001874FD">
      <w:pPr>
        <w:rPr>
          <w:noProof/>
        </w:rPr>
      </w:pPr>
      <w:r>
        <w:rPr>
          <w:noProof/>
        </w:rPr>
        <w:t xml:space="preserve">Le présent règlement entre en vigueur le vingtième jour suivant celui de sa publication au </w:t>
      </w:r>
      <w:r>
        <w:rPr>
          <w:i/>
          <w:iCs/>
          <w:noProof/>
        </w:rPr>
        <w:t>Journal officiel de l'Union européenne</w:t>
      </w:r>
      <w:r>
        <w:rPr>
          <w:noProof/>
        </w:rPr>
        <w:t>.</w:t>
      </w:r>
    </w:p>
    <w:p w14:paraId="57802EC5" w14:textId="77777777" w:rsidR="00E10A07" w:rsidRDefault="00E10A07" w:rsidP="00E10A07">
      <w:pPr>
        <w:pStyle w:val="CRSeparator"/>
        <w:rPr>
          <w:noProof/>
        </w:rPr>
      </w:pPr>
    </w:p>
    <w:p w14:paraId="6D1512DA" w14:textId="663A265E" w:rsidR="00E10A07" w:rsidRPr="00E10A07" w:rsidRDefault="00E10A07" w:rsidP="004603FD">
      <w:pPr>
        <w:pStyle w:val="CRReference"/>
        <w:rPr>
          <w:noProof/>
        </w:rPr>
      </w:pPr>
      <w:r w:rsidRPr="00E10A07">
        <w:rPr>
          <w:noProof/>
        </w:rPr>
        <w:fldChar w:fldCharType="begin"/>
      </w:r>
      <w:r w:rsidRPr="00E10A07">
        <w:rPr>
          <w:noProof/>
        </w:rPr>
        <w:instrText xml:space="preserve"> QUOTE "</w:instrText>
      </w:r>
      <w:r w:rsidRPr="004603FD">
        <w:rPr>
          <w:rStyle w:val="CRMarker"/>
          <w:noProof/>
        </w:rPr>
        <w:instrText>ê</w:instrText>
      </w:r>
      <w:r w:rsidRPr="00E10A07">
        <w:rPr>
          <w:noProof/>
        </w:rPr>
        <w:instrText xml:space="preserve">" </w:instrText>
      </w:r>
      <w:r w:rsidRPr="00E10A07">
        <w:rPr>
          <w:noProof/>
        </w:rPr>
        <w:fldChar w:fldCharType="separate"/>
      </w:r>
      <w:r w:rsidRPr="004603FD">
        <w:rPr>
          <w:rStyle w:val="CRMarker"/>
          <w:noProof/>
        </w:rPr>
        <w:t>ê</w:t>
      </w:r>
      <w:r w:rsidRPr="00E10A07">
        <w:rPr>
          <w:noProof/>
        </w:rPr>
        <w:fldChar w:fldCharType="end"/>
      </w:r>
      <w:r w:rsidRPr="00E10A07">
        <w:rPr>
          <w:noProof/>
        </w:rPr>
        <w:t> </w:t>
      </w:r>
      <w:r>
        <w:rPr>
          <w:noProof/>
        </w:rPr>
        <w:t>2024/3102 Art. 2</w:t>
      </w:r>
    </w:p>
    <w:p w14:paraId="68D5E51B" w14:textId="40CA8F4B" w:rsidR="00E10A07" w:rsidRDefault="00E10A07" w:rsidP="00E10A07">
      <w:pPr>
        <w:rPr>
          <w:noProof/>
        </w:rPr>
      </w:pPr>
      <w:r w:rsidRPr="00E10A07">
        <w:rPr>
          <w:noProof/>
        </w:rPr>
        <w:t>Il est applicable à partir du 1er janvier 2028 en ce qui concerne les transmissions de données à la Commission (Eurostat) relatives à chaque période de référence commençant à cette date ou après cette date.</w:t>
      </w:r>
    </w:p>
    <w:p w14:paraId="25AE6187" w14:textId="77777777" w:rsidR="00E10A07" w:rsidRDefault="00E10A07" w:rsidP="00E10A07">
      <w:pPr>
        <w:pStyle w:val="CRSeparator"/>
        <w:rPr>
          <w:noProof/>
        </w:rPr>
      </w:pPr>
    </w:p>
    <w:p w14:paraId="114AA16F" w14:textId="0D8DBED5" w:rsidR="00E10A07" w:rsidRPr="00E10A07" w:rsidRDefault="00E10A07" w:rsidP="004603FD">
      <w:pPr>
        <w:pStyle w:val="CRReference"/>
        <w:rPr>
          <w:noProof/>
        </w:rPr>
      </w:pPr>
      <w:r w:rsidRPr="00E10A07">
        <w:rPr>
          <w:noProof/>
        </w:rPr>
        <w:fldChar w:fldCharType="begin"/>
      </w:r>
      <w:r w:rsidRPr="00E10A07">
        <w:rPr>
          <w:noProof/>
        </w:rPr>
        <w:instrText xml:space="preserve"> QUOTE "</w:instrText>
      </w:r>
      <w:r w:rsidRPr="004603FD">
        <w:rPr>
          <w:rStyle w:val="CRMarker"/>
          <w:noProof/>
        </w:rPr>
        <w:instrText>ê</w:instrText>
      </w:r>
      <w:r w:rsidRPr="00E10A07">
        <w:rPr>
          <w:noProof/>
        </w:rPr>
        <w:instrText xml:space="preserve">" </w:instrText>
      </w:r>
      <w:r w:rsidRPr="00E10A07">
        <w:rPr>
          <w:noProof/>
        </w:rPr>
        <w:fldChar w:fldCharType="separate"/>
      </w:r>
      <w:r w:rsidRPr="004603FD">
        <w:rPr>
          <w:rStyle w:val="CRMarker"/>
          <w:noProof/>
        </w:rPr>
        <w:t>ê</w:t>
      </w:r>
      <w:r w:rsidRPr="00E10A07">
        <w:rPr>
          <w:noProof/>
        </w:rPr>
        <w:fldChar w:fldCharType="end"/>
      </w:r>
      <w:r w:rsidRPr="00E10A07">
        <w:rPr>
          <w:noProof/>
        </w:rPr>
        <w:t> </w:t>
      </w:r>
      <w:r>
        <w:rPr>
          <w:noProof/>
        </w:rPr>
        <w:t>138/2004</w:t>
      </w:r>
    </w:p>
    <w:p w14:paraId="069FFC69" w14:textId="37523C09" w:rsidR="001874FD" w:rsidRDefault="001874FD" w:rsidP="001874FD">
      <w:pPr>
        <w:pStyle w:val="Applicationdirecte"/>
        <w:rPr>
          <w:noProof/>
        </w:rPr>
      </w:pPr>
      <w:r>
        <w:rPr>
          <w:noProof/>
        </w:rPr>
        <w:t>Le présent règlement est obligatoire dans tous ses éléments et directement applicable dans tout État membre.</w:t>
      </w:r>
    </w:p>
    <w:p w14:paraId="42A2EDAF" w14:textId="03B51AC6" w:rsidR="001874FD" w:rsidRDefault="002C2E8C" w:rsidP="0094677D">
      <w:pPr>
        <w:pStyle w:val="Fait"/>
        <w:rPr>
          <w:noProof/>
        </w:rPr>
      </w:pPr>
      <w:r>
        <w:rPr>
          <w:noProof/>
        </w:rPr>
        <w:t>Fait à Bruxelles, le</w:t>
      </w:r>
    </w:p>
    <w:p w14:paraId="7F852C7C" w14:textId="77777777" w:rsidR="001874FD" w:rsidRDefault="001874FD" w:rsidP="0094677D">
      <w:pPr>
        <w:pStyle w:val="Institutionquisigne"/>
        <w:rPr>
          <w:noProof/>
        </w:rPr>
      </w:pPr>
      <w:r w:rsidRPr="00E163E9">
        <w:rPr>
          <w:noProof/>
        </w:rPr>
        <w:t>Par le Parlement européen</w:t>
      </w:r>
      <w:r w:rsidRPr="00E163E9">
        <w:rPr>
          <w:noProof/>
        </w:rPr>
        <w:tab/>
        <w:t>Par le Conseil</w:t>
      </w:r>
    </w:p>
    <w:p w14:paraId="3308900D" w14:textId="77777777" w:rsidR="001874FD" w:rsidRPr="00BA02CF" w:rsidRDefault="001874FD" w:rsidP="001874FD">
      <w:pPr>
        <w:pStyle w:val="Personnequisigne"/>
        <w:rPr>
          <w:noProof/>
        </w:rPr>
      </w:pPr>
      <w:r w:rsidRPr="00E163E9">
        <w:rPr>
          <w:noProof/>
        </w:rPr>
        <w:t>Le président</w:t>
      </w:r>
      <w:r w:rsidRPr="00E163E9">
        <w:rPr>
          <w:noProof/>
        </w:rPr>
        <w:tab/>
        <w:t>Le président</w:t>
      </w:r>
    </w:p>
    <w:sectPr w:rsidR="001874FD" w:rsidRPr="00BA02CF" w:rsidSect="00D1598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AE9BA6" w14:textId="77777777" w:rsidR="00A45EE3" w:rsidRDefault="00A45EE3" w:rsidP="001874FD">
      <w:pPr>
        <w:spacing w:before="0" w:after="0"/>
      </w:pPr>
      <w:r>
        <w:separator/>
      </w:r>
    </w:p>
  </w:endnote>
  <w:endnote w:type="continuationSeparator" w:id="0">
    <w:p w14:paraId="1B3F5BB5" w14:textId="77777777" w:rsidR="00A45EE3" w:rsidRDefault="00A45EE3" w:rsidP="001874F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6513E" w14:textId="4334A400" w:rsidR="00D1598B" w:rsidRPr="00D1598B" w:rsidRDefault="00D1598B" w:rsidP="00D1598B">
    <w:pPr>
      <w:pStyle w:val="Footer"/>
      <w:rPr>
        <w:rFonts w:ascii="Arial" w:hAnsi="Arial" w:cs="Arial"/>
        <w:b/>
        <w:sz w:val="48"/>
      </w:rPr>
    </w:pPr>
    <w:r w:rsidRPr="00D1598B">
      <w:rPr>
        <w:rFonts w:ascii="Arial" w:hAnsi="Arial" w:cs="Arial"/>
        <w:b/>
        <w:sz w:val="48"/>
      </w:rPr>
      <w:t>FR</w:t>
    </w:r>
    <w:r w:rsidRPr="00D1598B">
      <w:rPr>
        <w:rFonts w:ascii="Arial" w:hAnsi="Arial" w:cs="Arial"/>
        <w:b/>
        <w:sz w:val="48"/>
      </w:rPr>
      <w:tab/>
    </w:r>
    <w:r w:rsidRPr="00D1598B">
      <w:rPr>
        <w:rFonts w:ascii="Arial" w:hAnsi="Arial" w:cs="Arial"/>
        <w:b/>
        <w:sz w:val="48"/>
      </w:rPr>
      <w:tab/>
    </w:r>
    <w:r w:rsidRPr="00D1598B">
      <w:tab/>
    </w:r>
    <w:r w:rsidRPr="00D1598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2A671" w14:textId="0807688F" w:rsidR="00D1598B" w:rsidRPr="00D1598B" w:rsidRDefault="00D1598B" w:rsidP="00D1598B">
    <w:pPr>
      <w:pStyle w:val="Footer"/>
      <w:rPr>
        <w:rFonts w:ascii="Arial" w:hAnsi="Arial" w:cs="Arial"/>
        <w:b/>
        <w:sz w:val="48"/>
      </w:rPr>
    </w:pPr>
    <w:r w:rsidRPr="00D1598B">
      <w:rPr>
        <w:rFonts w:ascii="Arial" w:hAnsi="Arial" w:cs="Arial"/>
        <w:b/>
        <w:sz w:val="48"/>
      </w:rPr>
      <w:t>FR</w:t>
    </w:r>
    <w:r w:rsidRPr="00D1598B">
      <w:rPr>
        <w:rFonts w:ascii="Arial" w:hAnsi="Arial" w:cs="Arial"/>
        <w:b/>
        <w:sz w:val="48"/>
      </w:rPr>
      <w:tab/>
    </w:r>
    <w:r w:rsidRPr="00D1598B">
      <w:rPr>
        <w:rFonts w:ascii="Arial" w:hAnsi="Arial" w:cs="Arial"/>
        <w:b/>
        <w:sz w:val="48"/>
      </w:rPr>
      <w:tab/>
    </w:r>
    <w:r w:rsidRPr="00D1598B">
      <w:tab/>
    </w:r>
    <w:r w:rsidRPr="00D1598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DEDD9" w14:textId="77777777" w:rsidR="00D1598B" w:rsidRDefault="00D159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451F4" w14:textId="5C10EB31" w:rsidR="00D1598B" w:rsidRPr="00D1598B" w:rsidRDefault="00D1598B" w:rsidP="00D1598B">
    <w:pPr>
      <w:pStyle w:val="Footer"/>
      <w:rPr>
        <w:rFonts w:ascii="Arial" w:hAnsi="Arial" w:cs="Arial"/>
        <w:b/>
        <w:sz w:val="48"/>
      </w:rPr>
    </w:pPr>
    <w:r w:rsidRPr="00D1598B">
      <w:rPr>
        <w:rFonts w:ascii="Arial" w:hAnsi="Arial" w:cs="Arial"/>
        <w:b/>
        <w:sz w:val="48"/>
      </w:rPr>
      <w:t>FR</w:t>
    </w:r>
    <w:r w:rsidRPr="00D1598B">
      <w:rPr>
        <w:rFonts w:ascii="Arial" w:hAnsi="Arial" w:cs="Arial"/>
        <w:b/>
        <w:sz w:val="48"/>
      </w:rPr>
      <w:tab/>
    </w:r>
    <w:r>
      <w:fldChar w:fldCharType="begin"/>
    </w:r>
    <w:r>
      <w:instrText xml:space="preserve"> PAGE  \* MERGEFORMAT </w:instrText>
    </w:r>
    <w:r>
      <w:fldChar w:fldCharType="separate"/>
    </w:r>
    <w:r w:rsidR="0094677D">
      <w:rPr>
        <w:noProof/>
      </w:rPr>
      <w:t>9</w:t>
    </w:r>
    <w:r>
      <w:fldChar w:fldCharType="end"/>
    </w:r>
    <w:r>
      <w:tab/>
    </w:r>
    <w:r w:rsidRPr="00D1598B">
      <w:tab/>
    </w:r>
    <w:r w:rsidRPr="00D1598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974F" w14:textId="77777777" w:rsidR="00D1598B" w:rsidRDefault="00D1598B" w:rsidP="00D15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4CC02" w14:textId="77777777" w:rsidR="00A45EE3" w:rsidRDefault="00A45EE3" w:rsidP="001874FD">
      <w:pPr>
        <w:spacing w:before="0" w:after="0"/>
      </w:pPr>
      <w:r>
        <w:separator/>
      </w:r>
    </w:p>
  </w:footnote>
  <w:footnote w:type="continuationSeparator" w:id="0">
    <w:p w14:paraId="30914859" w14:textId="77777777" w:rsidR="00A45EE3" w:rsidRDefault="00A45EE3" w:rsidP="001874FD">
      <w:pPr>
        <w:spacing w:before="0" w:after="0"/>
      </w:pPr>
      <w:r>
        <w:continuationSeparator/>
      </w:r>
    </w:p>
  </w:footnote>
  <w:footnote w:id="1">
    <w:p w14:paraId="637A5B53" w14:textId="150FE27E" w:rsidR="00A5764C" w:rsidRPr="00A5764C" w:rsidRDefault="00A5764C">
      <w:pPr>
        <w:pStyle w:val="FootnoteText"/>
        <w:rPr>
          <w:lang w:val="pt-PT"/>
        </w:rPr>
      </w:pPr>
      <w:r>
        <w:rPr>
          <w:rStyle w:val="FootnoteReference"/>
        </w:rPr>
        <w:footnoteRef/>
      </w:r>
      <w:r w:rsidRPr="002C2E8C">
        <w:rPr>
          <w:lang w:val="pt-PT"/>
        </w:rPr>
        <w:tab/>
      </w:r>
      <w:r w:rsidRPr="001874FD">
        <w:rPr>
          <w:lang w:val="pt-PT"/>
        </w:rPr>
        <w:t>COM</w:t>
      </w:r>
      <w:r>
        <w:rPr>
          <w:lang w:val="pt-PT"/>
        </w:rPr>
        <w:t>(2024) 255</w:t>
      </w:r>
      <w:r w:rsidRPr="001874FD">
        <w:rPr>
          <w:lang w:val="pt-PT"/>
        </w:rPr>
        <w:t xml:space="preserve"> final du </w:t>
      </w:r>
      <w:r>
        <w:rPr>
          <w:lang w:val="pt-PT"/>
        </w:rPr>
        <w:t>20.06.2024</w:t>
      </w:r>
      <w:r w:rsidRPr="001874FD">
        <w:rPr>
          <w:lang w:val="pt-PT"/>
        </w:rPr>
        <w:t>.</w:t>
      </w:r>
    </w:p>
  </w:footnote>
  <w:footnote w:id="2">
    <w:p w14:paraId="726FF841" w14:textId="404093A0" w:rsidR="00A5764C" w:rsidRPr="00A5764C" w:rsidRDefault="00A5764C">
      <w:pPr>
        <w:pStyle w:val="FootnoteText"/>
        <w:rPr>
          <w:lang w:val="pt-PT"/>
        </w:rPr>
      </w:pPr>
      <w:r>
        <w:rPr>
          <w:rStyle w:val="FootnoteReference"/>
        </w:rPr>
        <w:footnoteRef/>
      </w:r>
      <w:r>
        <w:rPr>
          <w:lang w:val="pt-PT"/>
        </w:rPr>
        <w:tab/>
      </w:r>
      <w:r w:rsidRPr="001874FD">
        <w:rPr>
          <w:lang w:val="pt-PT"/>
        </w:rPr>
        <w:t>JO C 102 du 4.4.1996, p. 2.</w:t>
      </w:r>
    </w:p>
  </w:footnote>
  <w:footnote w:id="3">
    <w:p w14:paraId="57BFC5FC" w14:textId="7775D4B7" w:rsidR="001874FD" w:rsidRPr="001874FD" w:rsidRDefault="001874FD" w:rsidP="001874FD">
      <w:pPr>
        <w:pStyle w:val="FootnoteText"/>
        <w:rPr>
          <w:lang w:val="pt-PT"/>
        </w:rPr>
      </w:pPr>
      <w:r w:rsidRPr="002C7659">
        <w:rPr>
          <w:rStyle w:val="FootnoteReference"/>
          <w:lang w:val="fr-BE"/>
        </w:rPr>
        <w:footnoteRef/>
      </w:r>
      <w:r w:rsidRPr="001874FD">
        <w:rPr>
          <w:lang w:val="pt-PT"/>
        </w:rPr>
        <w:tab/>
        <w:t>JO L</w:t>
      </w:r>
      <w:r w:rsidR="00553884" w:rsidRPr="00076034">
        <w:rPr>
          <w:lang w:val="pt-PT"/>
        </w:rPr>
        <w:t>, 2024/3102, 12.12.2024, ELI: </w:t>
      </w:r>
      <w:hyperlink r:id="rId1" w:tgtFrame="_blank" w:tooltip="Gives access to this document through its ELI URI." w:history="1">
        <w:r w:rsidR="00553884" w:rsidRPr="00076034">
          <w:rPr>
            <w:rStyle w:val="Hyperlink"/>
            <w:lang w:val="pt-PT"/>
          </w:rPr>
          <w:t>http://data.europa.eu/eli/reg_del/2024/3102/oj</w:t>
        </w:r>
      </w:hyperlink>
      <w:r w:rsidRPr="001874FD">
        <w:rPr>
          <w:lang w:val="pt-PT"/>
        </w:rPr>
        <w:t>.</w:t>
      </w:r>
    </w:p>
  </w:footnote>
  <w:footnote w:id="4">
    <w:p w14:paraId="6A8B1810" w14:textId="77777777" w:rsidR="001874FD" w:rsidRPr="001977D2" w:rsidRDefault="001874FD" w:rsidP="001874FD">
      <w:pPr>
        <w:pStyle w:val="FootnoteText"/>
        <w:rPr>
          <w:lang w:val="fr-BE"/>
        </w:rPr>
      </w:pPr>
      <w:r>
        <w:rPr>
          <w:rStyle w:val="FootnoteReference"/>
        </w:rPr>
        <w:footnoteRef/>
      </w:r>
      <w:r>
        <w:rPr>
          <w:lang w:val="fr-BE"/>
        </w:rPr>
        <w:tab/>
      </w:r>
      <w:r w:rsidRPr="001977D2">
        <w:rPr>
          <w:rStyle w:val="normaltextrun"/>
          <w:color w:val="000000"/>
          <w:bdr w:val="none" w:sz="0" w:space="0" w:color="auto" w:frame="1"/>
          <w:lang w:val="fr-BE"/>
        </w:rPr>
        <w:t>JO C […], […], p. […].</w:t>
      </w:r>
    </w:p>
  </w:footnote>
  <w:footnote w:id="5">
    <w:p w14:paraId="752719BE" w14:textId="77777777" w:rsidR="001874FD" w:rsidRPr="000C6748" w:rsidRDefault="001874FD" w:rsidP="001874FD">
      <w:pPr>
        <w:pStyle w:val="FootnoteText"/>
        <w:rPr>
          <w:color w:val="000000"/>
        </w:rPr>
      </w:pPr>
      <w:r w:rsidRPr="00256BAA">
        <w:rPr>
          <w:rStyle w:val="FootnoteReference"/>
        </w:rPr>
        <w:footnoteRef/>
      </w:r>
      <w:r w:rsidRPr="00256BAA">
        <w:rPr>
          <w:lang w:val="fr-BE"/>
        </w:rPr>
        <w:tab/>
      </w:r>
      <w:r w:rsidRPr="001977D2">
        <w:rPr>
          <w:lang w:val="fr-BE"/>
        </w:rPr>
        <w:t>Règlement (CE) n° 138/2004 du Parlement européen et du Conseil du 5 décembre 2003 relatif aux comptes économiques de l'agriculture dans la Communauté (JO</w:t>
      </w:r>
      <w:r w:rsidRPr="00932F1B">
        <w:rPr>
          <w:rFonts w:eastAsia="Calibri"/>
        </w:rPr>
        <w:t> </w:t>
      </w:r>
      <w:r w:rsidRPr="001977D2">
        <w:rPr>
          <w:lang w:val="fr-BE"/>
        </w:rPr>
        <w:t>L</w:t>
      </w:r>
      <w:r w:rsidRPr="00932F1B">
        <w:rPr>
          <w:rFonts w:eastAsia="Calibri"/>
        </w:rPr>
        <w:t> </w:t>
      </w:r>
      <w:r w:rsidRPr="001977D2">
        <w:rPr>
          <w:lang w:val="fr-BE"/>
        </w:rPr>
        <w:t>33 du 5.2.2004, p.</w:t>
      </w:r>
      <w:r>
        <w:rPr>
          <w:lang w:val="fr-BE"/>
        </w:rPr>
        <w:t> </w:t>
      </w:r>
      <w:r w:rsidRPr="001977D2">
        <w:rPr>
          <w:lang w:val="fr-BE"/>
        </w:rPr>
        <w:t xml:space="preserve">1, </w:t>
      </w:r>
      <w:r w:rsidRPr="0010764D">
        <w:t>ELI:</w:t>
      </w:r>
      <w:r w:rsidRPr="0010764D">
        <w:rPr>
          <w:rStyle w:val="normaltextrun"/>
          <w:color w:val="000000"/>
        </w:rPr>
        <w:t> </w:t>
      </w:r>
      <w:hyperlink r:id="rId2" w:history="1">
        <w:r w:rsidRPr="00E22D2D">
          <w:rPr>
            <w:rStyle w:val="Hyperlink"/>
          </w:rPr>
          <w:t>http://data.europa.eu/eli/reg/2004/138/oj</w:t>
        </w:r>
      </w:hyperlink>
      <w:r>
        <w:rPr>
          <w:rStyle w:val="normaltextrun"/>
          <w:color w:val="000000"/>
        </w:rPr>
        <w:t>).</w:t>
      </w:r>
    </w:p>
  </w:footnote>
  <w:footnote w:id="6">
    <w:p w14:paraId="7813787E" w14:textId="77777777" w:rsidR="001874FD" w:rsidRPr="00256BAA" w:rsidRDefault="001874FD" w:rsidP="001874FD">
      <w:pPr>
        <w:pStyle w:val="FootnoteText"/>
        <w:rPr>
          <w:lang w:val="fr-BE"/>
        </w:rPr>
      </w:pPr>
      <w:r w:rsidRPr="00256BAA">
        <w:rPr>
          <w:rStyle w:val="FootnoteReference"/>
        </w:rPr>
        <w:footnoteRef/>
      </w:r>
      <w:r w:rsidRPr="00256BAA">
        <w:tab/>
        <w:t xml:space="preserve">Voir </w:t>
      </w:r>
      <w:r w:rsidRPr="001327F0">
        <w:t xml:space="preserve">Annexe </w:t>
      </w:r>
      <w:r w:rsidRPr="001977D2">
        <w:t>III</w:t>
      </w:r>
      <w:r w:rsidRPr="001327F0">
        <w:t>.</w:t>
      </w:r>
    </w:p>
  </w:footnote>
  <w:footnote w:id="7">
    <w:p w14:paraId="1E027E53" w14:textId="77777777" w:rsidR="001874FD" w:rsidRPr="001977D2" w:rsidRDefault="001874FD" w:rsidP="001874FD">
      <w:pPr>
        <w:pStyle w:val="FootnoteText"/>
        <w:rPr>
          <w:lang w:val="fr-BE"/>
        </w:rPr>
      </w:pPr>
      <w:r>
        <w:rPr>
          <w:rStyle w:val="FootnoteReference"/>
        </w:rPr>
        <w:footnoteRef/>
      </w:r>
      <w:r>
        <w:rPr>
          <w:lang w:val="fr-BE"/>
        </w:rPr>
        <w:tab/>
        <w:t>Système européen des comptes nationaux et régionaux – SEC 2010, Luxembourg 2013.</w:t>
      </w:r>
    </w:p>
  </w:footnote>
  <w:footnote w:id="8">
    <w:p w14:paraId="60B4F611" w14:textId="3A5B4ADB" w:rsidR="001874FD" w:rsidRPr="001637CD" w:rsidRDefault="001874FD" w:rsidP="001874FD">
      <w:pPr>
        <w:pStyle w:val="FootnoteText"/>
      </w:pPr>
      <w:r>
        <w:rPr>
          <w:rStyle w:val="FootnoteReference"/>
        </w:rPr>
        <w:footnoteRef/>
      </w:r>
      <w:r w:rsidRPr="000355CC">
        <w:rPr>
          <w:lang w:val="fr-BE"/>
        </w:rPr>
        <w:tab/>
        <w:t>Règlement (CE) n° 223/2009 du Parlement européen et du Conseil du 11 mars 2009 relatif aux statistiques européennes et abrogeant le règlement (CE, Euratom) n° 1101/2008 relatif à la transmission à l'Office statistique des Communautés européennes d'informations statistiques couvertes par le secret, le règlement (CE) n° 322/97 du Conseil relatif à la statistique communautaire et la décision</w:t>
      </w:r>
      <w:r w:rsidRPr="000355CC">
        <w:t> </w:t>
      </w:r>
      <w:r w:rsidRPr="000355CC">
        <w:rPr>
          <w:lang w:val="fr-BE"/>
        </w:rPr>
        <w:t>89/382/CEE, Euratom du Conseil instituant un comité du programme statistique des</w:t>
      </w:r>
      <w:r>
        <w:rPr>
          <w:lang w:val="fr-BE"/>
        </w:rPr>
        <w:t xml:space="preserve"> </w:t>
      </w:r>
      <w:r w:rsidRPr="000355CC">
        <w:rPr>
          <w:lang w:val="fr-BE"/>
        </w:rPr>
        <w:t>Communautés européennes (JO</w:t>
      </w:r>
      <w:r>
        <w:rPr>
          <w:lang w:val="fr-BE"/>
        </w:rPr>
        <w:t> </w:t>
      </w:r>
      <w:r w:rsidRPr="000355CC">
        <w:rPr>
          <w:lang w:val="fr-BE"/>
        </w:rPr>
        <w:t>L</w:t>
      </w:r>
      <w:r>
        <w:rPr>
          <w:lang w:val="fr-BE"/>
        </w:rPr>
        <w:t> </w:t>
      </w:r>
      <w:r w:rsidRPr="000355CC">
        <w:rPr>
          <w:lang w:val="fr-BE"/>
        </w:rPr>
        <w:t>87 du 31.3.2009, p.</w:t>
      </w:r>
      <w:r>
        <w:rPr>
          <w:lang w:val="fr-BE"/>
        </w:rPr>
        <w:t> </w:t>
      </w:r>
      <w:r w:rsidRPr="000355CC">
        <w:rPr>
          <w:lang w:val="fr-BE"/>
        </w:rPr>
        <w:t>164</w:t>
      </w:r>
      <w:r>
        <w:rPr>
          <w:lang w:val="fr-BE"/>
        </w:rPr>
        <w:t>, ELI: </w:t>
      </w:r>
      <w:hyperlink r:id="rId3" w:history="1">
        <w:r w:rsidRPr="00E22D2D">
          <w:rPr>
            <w:rStyle w:val="Hyperlink"/>
          </w:rPr>
          <w:t>http://data.europa.eu/eli/reg/2009/223/oj</w:t>
        </w:r>
      </w:hyperlink>
      <w:r>
        <w:t>).</w:t>
      </w:r>
    </w:p>
  </w:footnote>
  <w:footnote w:id="9">
    <w:p w14:paraId="1950C1B2" w14:textId="77777777" w:rsidR="001874FD" w:rsidRPr="001B4955" w:rsidRDefault="001874FD" w:rsidP="001874FD">
      <w:pPr>
        <w:pStyle w:val="FootnoteText"/>
        <w:rPr>
          <w:lang w:val="fi-FI"/>
        </w:rPr>
      </w:pPr>
      <w:r>
        <w:rPr>
          <w:rStyle w:val="FootnoteReference"/>
        </w:rPr>
        <w:footnoteRef/>
      </w:r>
      <w:r w:rsidRPr="000C6748">
        <w:rPr>
          <w:lang w:val="fi-FI"/>
        </w:rPr>
        <w:tab/>
        <w:t>JO L 123, 12.5.2016, p. 1, ELI</w:t>
      </w:r>
      <w:r w:rsidRPr="001B4955">
        <w:rPr>
          <w:lang w:val="fi-FI"/>
        </w:rPr>
        <w:t>: </w:t>
      </w:r>
      <w:hyperlink r:id="rId4" w:tooltip="Gives access to this document through its ELI URI." w:history="1">
        <w:r w:rsidRPr="001B4955">
          <w:rPr>
            <w:color w:val="0000FF"/>
            <w:u w:val="single"/>
            <w:lang w:val="pl-PL"/>
          </w:rPr>
          <w:t>http://data.europa.eu/eli/agree_interinstit/2016/512/oj</w:t>
        </w:r>
      </w:hyperlink>
      <w:r>
        <w:rPr>
          <w:color w:val="0000FF"/>
          <w:u w:val="single"/>
          <w:lang w:val="pl-PL"/>
        </w:rPr>
        <w:t>.</w:t>
      </w:r>
    </w:p>
  </w:footnote>
  <w:footnote w:id="10">
    <w:p w14:paraId="4A238322" w14:textId="77777777" w:rsidR="001874FD" w:rsidRPr="00F510C6" w:rsidRDefault="001874FD" w:rsidP="001874FD">
      <w:pPr>
        <w:pStyle w:val="FootnoteText"/>
        <w:rPr>
          <w:lang w:val="fr-BE"/>
        </w:rPr>
      </w:pPr>
      <w:r>
        <w:rPr>
          <w:rStyle w:val="FootnoteReference"/>
        </w:rPr>
        <w:footnoteRef/>
      </w:r>
      <w:r w:rsidRPr="00F510C6">
        <w:rPr>
          <w:lang w:val="fr-BE"/>
        </w:rPr>
        <w:tab/>
        <w:t>Règlement (UE) n° 182/2011 du Parlement européen et du Conseil du 16 février 2011 établissant les règles et principes généraux relatifs aux modalités de contrôle par les États membres de l'exercice des</w:t>
      </w:r>
      <w:r>
        <w:rPr>
          <w:lang w:val="fr-BE"/>
        </w:rPr>
        <w:t> </w:t>
      </w:r>
      <w:r w:rsidRPr="00F510C6">
        <w:rPr>
          <w:lang w:val="fr-BE"/>
        </w:rPr>
        <w:t>compétences d'exécution par la Commission (JO</w:t>
      </w:r>
      <w:r>
        <w:rPr>
          <w:lang w:val="fr-BE"/>
        </w:rPr>
        <w:t> </w:t>
      </w:r>
      <w:r w:rsidRPr="00F510C6">
        <w:rPr>
          <w:lang w:val="fr-BE"/>
        </w:rPr>
        <w:t>L</w:t>
      </w:r>
      <w:r>
        <w:rPr>
          <w:lang w:val="fr-BE"/>
        </w:rPr>
        <w:t> </w:t>
      </w:r>
      <w:r w:rsidRPr="00F510C6">
        <w:rPr>
          <w:lang w:val="fr-BE"/>
        </w:rPr>
        <w:t>55 du 28.2.</w:t>
      </w:r>
      <w:r w:rsidRPr="006372C7">
        <w:rPr>
          <w:lang w:val="fr-BE"/>
        </w:rPr>
        <w:t>2011, p.</w:t>
      </w:r>
      <w:r>
        <w:rPr>
          <w:lang w:val="fr-BE"/>
        </w:rPr>
        <w:t> </w:t>
      </w:r>
      <w:r w:rsidRPr="006372C7">
        <w:rPr>
          <w:lang w:val="fr-BE"/>
        </w:rPr>
        <w:t>13,</w:t>
      </w:r>
      <w:r>
        <w:rPr>
          <w:lang w:val="fr-BE"/>
        </w:rPr>
        <w:t xml:space="preserve"> </w:t>
      </w:r>
      <w:r w:rsidRPr="006372C7">
        <w:rPr>
          <w:lang w:val="fr-BE"/>
        </w:rPr>
        <w:t>ELI: </w:t>
      </w:r>
      <w:hyperlink r:id="rId5" w:tooltip="Umožňuje přístup k tomuto dokumentu prostřednictvím URI podle specifikací ELI." w:history="1">
        <w:r w:rsidRPr="00510A57">
          <w:rPr>
            <w:rStyle w:val="Hyperlink"/>
          </w:rPr>
          <w:t>http://data.europa.eu/eli/reg/2011/182/oj</w:t>
        </w:r>
      </w:hyperlink>
      <w:r w:rsidRPr="006372C7">
        <w:rPr>
          <w:lang w:val="fr-BE"/>
        </w:rPr>
        <w:t>).</w:t>
      </w:r>
    </w:p>
  </w:footnote>
  <w:footnote w:id="11">
    <w:p w14:paraId="4F6A9567" w14:textId="77777777" w:rsidR="001874FD" w:rsidRDefault="001874FD" w:rsidP="001874FD">
      <w:pPr>
        <w:pStyle w:val="FootnoteText"/>
      </w:pPr>
      <w:r>
        <w:rPr>
          <w:rStyle w:val="FootnoteReference"/>
          <w:lang w:val="en-US"/>
        </w:rPr>
        <w:footnoteRef/>
      </w:r>
      <w:r w:rsidRPr="00972238">
        <w:rPr>
          <w:lang w:val="fr-BE"/>
        </w:rPr>
        <w:tab/>
      </w:r>
      <w:r>
        <w:t>Règlement (CE) n</w:t>
      </w:r>
      <w:r>
        <w:rPr>
          <w:vertAlign w:val="superscript"/>
        </w:rPr>
        <w:t>o</w:t>
      </w:r>
      <w:r>
        <w:t> 1059/2003 du Parlement européen et du Conseil du 26 mai 2003 relatif à l’établissement d’une nomenclature commune des unités territoriales statistiques (NUTS) (JO L 154 du 21.6.</w:t>
      </w:r>
      <w:r w:rsidRPr="00205B38">
        <w:t xml:space="preserve">2003, p. 1, ELI: </w:t>
      </w:r>
      <w:hyperlink r:id="rId6" w:history="1">
        <w:r w:rsidRPr="00E22D2D">
          <w:rPr>
            <w:rStyle w:val="Hyperlink"/>
          </w:rPr>
          <w:t>http://data.europa.eu/eli/reg/2003/1059/oj</w:t>
        </w:r>
      </w:hyperlink>
      <w:r>
        <w:t>).</w:t>
      </w:r>
    </w:p>
  </w:footnote>
  <w:footnote w:id="12">
    <w:p w14:paraId="46F27964" w14:textId="5B53908B" w:rsidR="001874FD" w:rsidRDefault="001874FD" w:rsidP="001874FD">
      <w:pPr>
        <w:pStyle w:val="FootnoteText"/>
      </w:pPr>
      <w:r>
        <w:rPr>
          <w:rStyle w:val="FootnoteReference"/>
          <w:lang w:val="en-US"/>
        </w:rPr>
        <w:footnoteRef/>
      </w:r>
      <w:r w:rsidRPr="00972238">
        <w:rPr>
          <w:lang w:val="fr-BE"/>
        </w:rPr>
        <w:tab/>
      </w:r>
      <w:r>
        <w:t>Règlement (CE) n</w:t>
      </w:r>
      <w:r>
        <w:rPr>
          <w:vertAlign w:val="superscript"/>
        </w:rPr>
        <w:t>o</w:t>
      </w:r>
      <w:r>
        <w:t> 1367/2006 du Parlement européen et du Conseil du 6 septembre 2006 concernant l’application aux institutions et organes de l’Union européenne des dispositions de la convention d’Aarhus sur l’accès à l’information, la participation du public au processus décisionnel et l’accès à la justice en matière d’environnement (JO L 264 du 25.</w:t>
      </w:r>
      <w:r w:rsidRPr="00205B38">
        <w:t>9.2006, p.</w:t>
      </w:r>
      <w:r>
        <w:t> </w:t>
      </w:r>
      <w:r w:rsidRPr="00205B38">
        <w:t>13</w:t>
      </w:r>
      <w:r w:rsidRPr="00A72889">
        <w:t>, ELI: </w:t>
      </w:r>
      <w:hyperlink r:id="rId7" w:history="1">
        <w:r w:rsidRPr="00E22D2D">
          <w:rPr>
            <w:rStyle w:val="Hyperlink"/>
          </w:rPr>
          <w:t>http://data.europa.eu/eli/reg/2006/1367/oj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8F04F" w14:textId="77777777" w:rsidR="00D1598B" w:rsidRDefault="00D159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4D16C" w14:textId="77777777" w:rsidR="00D1598B" w:rsidRDefault="00D15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138/2004"/>
    <w:docVar w:name="CR_Ref1" w:val="2024/3102 Art. 2"/>
    <w:docVar w:name="CR_RefCount" w:val="2"/>
    <w:docVar w:name="CR_RefLast" w:val="4"/>
    <w:docVar w:name="DQCDateTime" w:val="2026-04-09 09:13: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C127B56-6EBC-4E75-98B9-43CDFCB75A2B"/>
    <w:docVar w:name="LW_COVERPAGE_TYPE" w:val="1"/>
    <w:docVar w:name="LW_CreatedUtc" w:val="2026-02-17T09:52:36.8314163Z"/>
    <w:docVar w:name="LW_CROSSREFERENCE" w:val="&lt;UNUSED&gt;"/>
    <w:docVar w:name="LW_DocType" w:val="COM"/>
    <w:docVar w:name="LW_EMISSION" w:val="16.4.2026"/>
    <w:docVar w:name="LW_EMISSION_ISODATE" w:val="2026-04-16"/>
    <w:docVar w:name="LW_EMISSION_LOCATION" w:val="BRX"/>
    <w:docVar w:name="LW_EMISSION_PREFIX" w:val="Bruxelles, le "/>
    <w:docVar w:name="LW_EMISSION_SUFFIX" w:val=" "/>
    <w:docVar w:name="LW_ID_DOCMODEL" w:val="SJ-023"/>
    <w:docVar w:name="LW_ID_DOCSIGNATURE" w:val="SJ-023"/>
    <w:docVar w:name="LW_ID_DOCSTRUCTURE" w:val="COM/PL/MOD"/>
    <w:docVar w:name="LW_ID_DOCTYPE" w:val="SG-005"/>
    <w:docVar w:name="LW_ID_STATUT" w:val="SG-005"/>
    <w:docVar w:name="LW_INSERT_EXP.MOTIFS.NEW" w:val="1"/>
    <w:docVar w:name="LW_INTERETEEE.CP" w:val="(Texte présentant de l'intérêt pour l'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44"/>
    <w:docVar w:name="LW_REF.II.NEW.CP_YEAR" w:val="2024"/>
    <w:docVar w:name="LW_REF.INST.NEW" w:val="COM"/>
    <w:docVar w:name="LW_REF.INST.NEW_ADOPTED" w:val="final"/>
    <w:docVar w:name="LW_REF.INST.NEW_TEXT" w:val="(2026) 1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modifiée de"/>
    <w:docVar w:name="LW_SUPERTITRE" w:val="&lt;UNUSED&gt;"/>
    <w:docVar w:name="LW_TITRE.OBJ.CP" w:val="relatif aux comptes économiques de l'agriculture dans l'Union (codification)"/>
    <w:docVar w:name="LW_TYPE.DOC.CP" w:val="RÈGLEMENT DU PARLEMENT EUROPÉEN ET DU CONSEIL"/>
    <w:docVar w:name="LwApiVersions" w:val="LW4CoDe 1.24.5.0; LW 9.2, Build 20251112"/>
  </w:docVars>
  <w:rsids>
    <w:rsidRoot w:val="001874FD"/>
    <w:rsid w:val="00076034"/>
    <w:rsid w:val="000C1EFA"/>
    <w:rsid w:val="000D27E1"/>
    <w:rsid w:val="001065F5"/>
    <w:rsid w:val="001238EF"/>
    <w:rsid w:val="00167CBF"/>
    <w:rsid w:val="001874FD"/>
    <w:rsid w:val="00197613"/>
    <w:rsid w:val="00233DC7"/>
    <w:rsid w:val="00247779"/>
    <w:rsid w:val="00285BEE"/>
    <w:rsid w:val="0029533F"/>
    <w:rsid w:val="002B30AF"/>
    <w:rsid w:val="002C2E8C"/>
    <w:rsid w:val="00312313"/>
    <w:rsid w:val="00320ADD"/>
    <w:rsid w:val="0033344A"/>
    <w:rsid w:val="00343711"/>
    <w:rsid w:val="003B69F7"/>
    <w:rsid w:val="0042648E"/>
    <w:rsid w:val="00431DC9"/>
    <w:rsid w:val="004603FD"/>
    <w:rsid w:val="004706A9"/>
    <w:rsid w:val="004936D2"/>
    <w:rsid w:val="0049459B"/>
    <w:rsid w:val="00501FC9"/>
    <w:rsid w:val="005173D3"/>
    <w:rsid w:val="00553884"/>
    <w:rsid w:val="005B1EB6"/>
    <w:rsid w:val="005D1F90"/>
    <w:rsid w:val="005E55BF"/>
    <w:rsid w:val="00682F79"/>
    <w:rsid w:val="006C3042"/>
    <w:rsid w:val="006F3B30"/>
    <w:rsid w:val="00773331"/>
    <w:rsid w:val="00777C39"/>
    <w:rsid w:val="007932EF"/>
    <w:rsid w:val="007967CC"/>
    <w:rsid w:val="007A2907"/>
    <w:rsid w:val="007D2AF4"/>
    <w:rsid w:val="007E05B0"/>
    <w:rsid w:val="00806BCC"/>
    <w:rsid w:val="00807EA5"/>
    <w:rsid w:val="00874D22"/>
    <w:rsid w:val="008A2914"/>
    <w:rsid w:val="008E4D8E"/>
    <w:rsid w:val="008E68C6"/>
    <w:rsid w:val="0094677D"/>
    <w:rsid w:val="00950AE9"/>
    <w:rsid w:val="00976B9C"/>
    <w:rsid w:val="0099500E"/>
    <w:rsid w:val="009D010A"/>
    <w:rsid w:val="009F7563"/>
    <w:rsid w:val="00A268F2"/>
    <w:rsid w:val="00A45EE3"/>
    <w:rsid w:val="00A5764C"/>
    <w:rsid w:val="00A950F9"/>
    <w:rsid w:val="00AA6E05"/>
    <w:rsid w:val="00AB7C6B"/>
    <w:rsid w:val="00AE0869"/>
    <w:rsid w:val="00AF036B"/>
    <w:rsid w:val="00B31EBD"/>
    <w:rsid w:val="00B4298C"/>
    <w:rsid w:val="00B62627"/>
    <w:rsid w:val="00B65DB7"/>
    <w:rsid w:val="00B8681F"/>
    <w:rsid w:val="00BC2C7E"/>
    <w:rsid w:val="00C03ABD"/>
    <w:rsid w:val="00C10480"/>
    <w:rsid w:val="00C12301"/>
    <w:rsid w:val="00C3064B"/>
    <w:rsid w:val="00C627DA"/>
    <w:rsid w:val="00C806D7"/>
    <w:rsid w:val="00C838FB"/>
    <w:rsid w:val="00D1598B"/>
    <w:rsid w:val="00D20381"/>
    <w:rsid w:val="00D27BB5"/>
    <w:rsid w:val="00DC4F47"/>
    <w:rsid w:val="00E10A07"/>
    <w:rsid w:val="00E12C4D"/>
    <w:rsid w:val="00E5520B"/>
    <w:rsid w:val="00E664ED"/>
    <w:rsid w:val="00FB548E"/>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CF7C9B"/>
  <w15:docId w15:val="{A14695CF-1A34-4407-8F04-B96F16815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874FD"/>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874FD"/>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874FD"/>
    <w:pPr>
      <w:numPr>
        <w:numId w:val="1"/>
      </w:numPr>
      <w:tabs>
        <w:tab w:val="clear" w:pos="1134"/>
      </w:tabs>
      <w:ind w:left="0" w:firstLine="0"/>
    </w:pPr>
    <w:rPr>
      <w:rFonts w:eastAsia="Times New Roman"/>
      <w:lang w:eastAsia="de-DE"/>
    </w:rPr>
  </w:style>
  <w:style w:type="paragraph" w:customStyle="1" w:styleId="ListDash">
    <w:name w:val="List Dash"/>
    <w:basedOn w:val="Normal"/>
    <w:rsid w:val="001874FD"/>
    <w:pPr>
      <w:numPr>
        <w:numId w:val="3"/>
      </w:numPr>
      <w:tabs>
        <w:tab w:val="clear" w:pos="283"/>
      </w:tabs>
      <w:ind w:left="0" w:firstLine="0"/>
    </w:pPr>
    <w:rPr>
      <w:rFonts w:eastAsia="Times New Roman"/>
      <w:lang w:eastAsia="de-DE"/>
    </w:rPr>
  </w:style>
  <w:style w:type="paragraph" w:customStyle="1" w:styleId="ListDash1">
    <w:name w:val="List Dash 1"/>
    <w:basedOn w:val="Normal"/>
    <w:rsid w:val="001874FD"/>
    <w:pPr>
      <w:numPr>
        <w:numId w:val="4"/>
      </w:numPr>
      <w:tabs>
        <w:tab w:val="clear" w:pos="1134"/>
      </w:tabs>
      <w:ind w:left="0" w:firstLine="0"/>
    </w:pPr>
    <w:rPr>
      <w:rFonts w:eastAsia="Times New Roman"/>
      <w:lang w:eastAsia="de-DE"/>
    </w:rPr>
  </w:style>
  <w:style w:type="paragraph" w:customStyle="1" w:styleId="ListDash2">
    <w:name w:val="List Dash 2"/>
    <w:basedOn w:val="Normal"/>
    <w:rsid w:val="001874FD"/>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874FD"/>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874FD"/>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874FD"/>
    <w:pPr>
      <w:numPr>
        <w:ilvl w:val="3"/>
        <w:numId w:val="6"/>
      </w:numPr>
      <w:tabs>
        <w:tab w:val="clear" w:pos="2835"/>
      </w:tabs>
      <w:ind w:left="0" w:firstLine="0"/>
    </w:pPr>
    <w:rPr>
      <w:rFonts w:eastAsia="Times New Roman"/>
      <w:lang w:eastAsia="de-DE"/>
    </w:rPr>
  </w:style>
  <w:style w:type="table" w:styleId="TableGrid">
    <w:name w:val="Table Grid"/>
    <w:basedOn w:val="TableNormal"/>
    <w:rsid w:val="001874FD"/>
    <w:pPr>
      <w:spacing w:before="120" w:after="120" w:line="240" w:lineRule="auto"/>
      <w:jc w:val="both"/>
    </w:pPr>
    <w:rPr>
      <w:rFonts w:ascii="Times New Roman" w:eastAsia="Times New Roman" w:hAnsi="Times New Roman" w:cs="Times New Roman"/>
      <w:sz w:val="20"/>
      <w:szCs w:val="20"/>
      <w:lang w:val="fr-FR"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874FD"/>
    <w:rPr>
      <w:color w:val="0000FF"/>
      <w:u w:val="single"/>
    </w:rPr>
  </w:style>
  <w:style w:type="paragraph" w:styleId="ListBullet">
    <w:name w:val="List Bullet"/>
    <w:basedOn w:val="Normal"/>
    <w:rsid w:val="001874FD"/>
    <w:pPr>
      <w:numPr>
        <w:numId w:val="7"/>
      </w:numPr>
      <w:tabs>
        <w:tab w:val="clear" w:pos="283"/>
      </w:tabs>
      <w:ind w:left="0" w:firstLine="0"/>
    </w:pPr>
    <w:rPr>
      <w:rFonts w:eastAsia="Times New Roman"/>
      <w:lang w:eastAsia="en-GB"/>
    </w:rPr>
  </w:style>
  <w:style w:type="paragraph" w:styleId="ListBullet2">
    <w:name w:val="List Bullet 2"/>
    <w:basedOn w:val="Normal"/>
    <w:rsid w:val="001874FD"/>
    <w:pPr>
      <w:numPr>
        <w:numId w:val="8"/>
      </w:numPr>
      <w:tabs>
        <w:tab w:val="clear" w:pos="1134"/>
      </w:tabs>
      <w:ind w:left="0" w:firstLine="0"/>
    </w:pPr>
    <w:rPr>
      <w:rFonts w:eastAsia="Times New Roman"/>
      <w:lang w:eastAsia="en-GB"/>
    </w:rPr>
  </w:style>
  <w:style w:type="paragraph" w:styleId="ListBullet3">
    <w:name w:val="List Bullet 3"/>
    <w:basedOn w:val="Normal"/>
    <w:rsid w:val="001874FD"/>
    <w:pPr>
      <w:numPr>
        <w:numId w:val="9"/>
      </w:numPr>
      <w:tabs>
        <w:tab w:val="clear" w:pos="1134"/>
      </w:tabs>
      <w:ind w:left="0" w:firstLine="0"/>
    </w:pPr>
    <w:rPr>
      <w:rFonts w:eastAsia="Times New Roman"/>
      <w:lang w:eastAsia="en-GB"/>
    </w:rPr>
  </w:style>
  <w:style w:type="paragraph" w:styleId="ListNumber2">
    <w:name w:val="List Number 2"/>
    <w:basedOn w:val="Normal"/>
    <w:rsid w:val="001874FD"/>
    <w:pPr>
      <w:numPr>
        <w:numId w:val="13"/>
      </w:numPr>
      <w:tabs>
        <w:tab w:val="clear" w:pos="1560"/>
      </w:tabs>
      <w:ind w:left="0" w:firstLine="0"/>
    </w:pPr>
    <w:rPr>
      <w:rFonts w:eastAsia="Times New Roman"/>
      <w:lang w:eastAsia="en-GB"/>
    </w:rPr>
  </w:style>
  <w:style w:type="paragraph" w:styleId="ListNumber3">
    <w:name w:val="List Number 3"/>
    <w:basedOn w:val="Normal"/>
    <w:rsid w:val="001874FD"/>
    <w:pPr>
      <w:numPr>
        <w:numId w:val="14"/>
      </w:numPr>
      <w:tabs>
        <w:tab w:val="clear" w:pos="1560"/>
      </w:tabs>
      <w:ind w:left="0" w:firstLine="0"/>
    </w:pPr>
    <w:rPr>
      <w:rFonts w:eastAsia="Times New Roman"/>
      <w:lang w:eastAsia="en-GB"/>
    </w:rPr>
  </w:style>
  <w:style w:type="paragraph" w:styleId="ListNumber4">
    <w:name w:val="List Number 4"/>
    <w:basedOn w:val="Normal"/>
    <w:rsid w:val="001874FD"/>
    <w:pPr>
      <w:numPr>
        <w:numId w:val="15"/>
      </w:numPr>
      <w:tabs>
        <w:tab w:val="clear" w:pos="1560"/>
      </w:tabs>
      <w:ind w:left="0" w:firstLine="0"/>
    </w:pPr>
    <w:rPr>
      <w:rFonts w:eastAsia="Times New Roman"/>
      <w:lang w:eastAsia="en-GB"/>
    </w:rPr>
  </w:style>
  <w:style w:type="paragraph" w:customStyle="1" w:styleId="ListDash3">
    <w:name w:val="List Dash 3"/>
    <w:basedOn w:val="Normal"/>
    <w:rsid w:val="001874FD"/>
    <w:pPr>
      <w:numPr>
        <w:numId w:val="10"/>
      </w:numPr>
      <w:tabs>
        <w:tab w:val="clear" w:pos="1134"/>
      </w:tabs>
      <w:ind w:left="0" w:firstLine="0"/>
    </w:pPr>
    <w:rPr>
      <w:rFonts w:eastAsia="Times New Roman"/>
      <w:lang w:eastAsia="en-GB"/>
    </w:rPr>
  </w:style>
  <w:style w:type="paragraph" w:customStyle="1" w:styleId="ListDash4">
    <w:name w:val="List Dash 4"/>
    <w:basedOn w:val="Normal"/>
    <w:rsid w:val="001874FD"/>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1874FD"/>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1874FD"/>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1874FD"/>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1874FD"/>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1874FD"/>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1874FD"/>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1874FD"/>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1874FD"/>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1874FD"/>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1874FD"/>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1874FD"/>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1874FD"/>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1874FD"/>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874FD"/>
    <w:pPr>
      <w:jc w:val="center"/>
    </w:pPr>
    <w:rPr>
      <w:rFonts w:eastAsia="Times New Roman"/>
      <w:b/>
      <w:u w:val="single"/>
      <w:lang w:eastAsia="en-GB"/>
    </w:rPr>
  </w:style>
  <w:style w:type="paragraph" w:customStyle="1" w:styleId="Annexetitreexposglobal">
    <w:name w:val="Annexe titre (exposé global)"/>
    <w:basedOn w:val="Normal"/>
    <w:next w:val="Normal"/>
    <w:rsid w:val="001874FD"/>
    <w:pPr>
      <w:jc w:val="center"/>
    </w:pPr>
    <w:rPr>
      <w:rFonts w:eastAsia="Times New Roman"/>
      <w:b/>
      <w:u w:val="single"/>
      <w:lang w:eastAsia="en-GB"/>
    </w:rPr>
  </w:style>
  <w:style w:type="paragraph" w:customStyle="1" w:styleId="Annexetitrefichefinacte">
    <w:name w:val="Annexe titre (fiche fin. acte)"/>
    <w:basedOn w:val="Normal"/>
    <w:next w:val="Normal"/>
    <w:rsid w:val="001874FD"/>
    <w:pPr>
      <w:jc w:val="center"/>
    </w:pPr>
    <w:rPr>
      <w:rFonts w:eastAsia="Times New Roman"/>
      <w:b/>
      <w:u w:val="single"/>
      <w:lang w:eastAsia="en-GB"/>
    </w:rPr>
  </w:style>
  <w:style w:type="paragraph" w:customStyle="1" w:styleId="Annexetitrefichefinglobale">
    <w:name w:val="Annexe titre (fiche fin. globale)"/>
    <w:basedOn w:val="Normal"/>
    <w:next w:val="Normal"/>
    <w:rsid w:val="001874FD"/>
    <w:pPr>
      <w:jc w:val="center"/>
    </w:pPr>
    <w:rPr>
      <w:rFonts w:eastAsia="Times New Roman"/>
      <w:b/>
      <w:u w:val="single"/>
      <w:lang w:eastAsia="en-GB"/>
    </w:rPr>
  </w:style>
  <w:style w:type="paragraph" w:customStyle="1" w:styleId="Annexetitreglobale">
    <w:name w:val="Annexe titre (globale)"/>
    <w:basedOn w:val="Normal"/>
    <w:next w:val="Normal"/>
    <w:rsid w:val="001874FD"/>
    <w:pPr>
      <w:jc w:val="center"/>
    </w:pPr>
    <w:rPr>
      <w:rFonts w:eastAsia="Times New Roman"/>
      <w:b/>
      <w:u w:val="single"/>
      <w:lang w:eastAsia="en-GB"/>
    </w:rPr>
  </w:style>
  <w:style w:type="paragraph" w:customStyle="1" w:styleId="Exposdesmotifstitreglobal">
    <w:name w:val="Exposé des motifs titre (global)"/>
    <w:basedOn w:val="Normal"/>
    <w:next w:val="Normal"/>
    <w:rsid w:val="001874FD"/>
    <w:pPr>
      <w:jc w:val="center"/>
    </w:pPr>
    <w:rPr>
      <w:rFonts w:eastAsia="Times New Roman"/>
      <w:b/>
      <w:u w:val="single"/>
      <w:lang w:eastAsia="en-GB"/>
    </w:rPr>
  </w:style>
  <w:style w:type="paragraph" w:customStyle="1" w:styleId="Langueoriginale">
    <w:name w:val="Langue originale"/>
    <w:basedOn w:val="Normal"/>
    <w:rsid w:val="001874FD"/>
    <w:pPr>
      <w:spacing w:before="360"/>
      <w:jc w:val="center"/>
    </w:pPr>
    <w:rPr>
      <w:rFonts w:eastAsia="Times New Roman"/>
      <w:caps/>
      <w:lang w:eastAsia="en-GB"/>
    </w:rPr>
  </w:style>
  <w:style w:type="paragraph" w:customStyle="1" w:styleId="Phrasefinale">
    <w:name w:val="Phrase finale"/>
    <w:basedOn w:val="Normal"/>
    <w:next w:val="Normal"/>
    <w:rsid w:val="001874FD"/>
    <w:pPr>
      <w:spacing w:before="360" w:after="0"/>
      <w:jc w:val="center"/>
    </w:pPr>
    <w:rPr>
      <w:rFonts w:eastAsia="Times New Roman"/>
      <w:lang w:eastAsia="en-GB"/>
    </w:rPr>
  </w:style>
  <w:style w:type="paragraph" w:customStyle="1" w:styleId="Prliminairetitre">
    <w:name w:val="Préliminaire titre"/>
    <w:basedOn w:val="Normal"/>
    <w:next w:val="Normal"/>
    <w:rsid w:val="001874FD"/>
    <w:pPr>
      <w:spacing w:before="360" w:after="360"/>
      <w:jc w:val="center"/>
    </w:pPr>
    <w:rPr>
      <w:rFonts w:eastAsia="Times New Roman"/>
      <w:b/>
      <w:lang w:eastAsia="en-GB"/>
    </w:rPr>
  </w:style>
  <w:style w:type="paragraph" w:customStyle="1" w:styleId="Prliminairetype">
    <w:name w:val="Préliminaire type"/>
    <w:basedOn w:val="Normal"/>
    <w:next w:val="Normal"/>
    <w:rsid w:val="001874FD"/>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874FD"/>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874FD"/>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874FD"/>
    <w:pPr>
      <w:spacing w:before="0" w:after="0"/>
      <w:ind w:left="5103"/>
      <w:jc w:val="left"/>
    </w:pPr>
    <w:rPr>
      <w:rFonts w:eastAsia="Times New Roman"/>
      <w:lang w:eastAsia="en-GB"/>
    </w:rPr>
  </w:style>
  <w:style w:type="paragraph" w:customStyle="1" w:styleId="Sous-titreobjetprliminaire">
    <w:name w:val="Sous-titre objet (préliminaire)"/>
    <w:basedOn w:val="Normal"/>
    <w:rsid w:val="001874FD"/>
    <w:pPr>
      <w:spacing w:before="0" w:after="0"/>
      <w:jc w:val="center"/>
    </w:pPr>
    <w:rPr>
      <w:rFonts w:eastAsia="Times New Roman"/>
      <w:b/>
      <w:lang w:eastAsia="en-GB"/>
    </w:rPr>
  </w:style>
  <w:style w:type="paragraph" w:customStyle="1" w:styleId="Statutprliminaire">
    <w:name w:val="Statut (préliminaire)"/>
    <w:basedOn w:val="Normal"/>
    <w:next w:val="Normal"/>
    <w:rsid w:val="001874FD"/>
    <w:pPr>
      <w:spacing w:before="360" w:after="0"/>
      <w:jc w:val="center"/>
    </w:pPr>
    <w:rPr>
      <w:rFonts w:eastAsia="Times New Roman"/>
      <w:lang w:eastAsia="en-GB"/>
    </w:rPr>
  </w:style>
  <w:style w:type="paragraph" w:customStyle="1" w:styleId="Titreobjetprliminaire">
    <w:name w:val="Titre objet (préliminaire)"/>
    <w:basedOn w:val="Normal"/>
    <w:next w:val="Normal"/>
    <w:rsid w:val="001874FD"/>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874FD"/>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874FD"/>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874FD"/>
    <w:pPr>
      <w:jc w:val="center"/>
    </w:pPr>
    <w:rPr>
      <w:rFonts w:eastAsia="Times New Roman"/>
      <w:b/>
      <w:u w:val="single"/>
      <w:lang w:eastAsia="en-GB"/>
    </w:rPr>
  </w:style>
  <w:style w:type="paragraph" w:customStyle="1" w:styleId="Fichefinanciretravailtitre">
    <w:name w:val="Fiche financière (travail) titre"/>
    <w:basedOn w:val="Normal"/>
    <w:next w:val="Normal"/>
    <w:rsid w:val="001874FD"/>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874FD"/>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874FD"/>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874FD"/>
    <w:pPr>
      <w:jc w:val="center"/>
    </w:pPr>
    <w:rPr>
      <w:rFonts w:eastAsia="Times New Roman"/>
      <w:b/>
      <w:u w:val="single"/>
      <w:lang w:eastAsia="en-GB"/>
    </w:rPr>
  </w:style>
  <w:style w:type="character" w:styleId="CommentReference">
    <w:name w:val="annotation reference"/>
    <w:rsid w:val="001874FD"/>
    <w:rPr>
      <w:rFonts w:cs="Times New Roman"/>
      <w:sz w:val="16"/>
      <w:szCs w:val="16"/>
    </w:rPr>
  </w:style>
  <w:style w:type="paragraph" w:styleId="CommentText">
    <w:name w:val="annotation text"/>
    <w:basedOn w:val="Normal"/>
    <w:link w:val="CommentTextChar"/>
    <w:rsid w:val="001874FD"/>
    <w:rPr>
      <w:rFonts w:eastAsia="Times New Roman"/>
      <w:sz w:val="20"/>
      <w:szCs w:val="20"/>
      <w:lang w:eastAsia="en-GB"/>
    </w:rPr>
  </w:style>
  <w:style w:type="character" w:customStyle="1" w:styleId="CommentTextChar">
    <w:name w:val="Comment Text Char"/>
    <w:basedOn w:val="DefaultParagraphFont"/>
    <w:link w:val="CommentText"/>
    <w:rsid w:val="001874F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1874FD"/>
    <w:rPr>
      <w:b/>
      <w:bCs/>
    </w:rPr>
  </w:style>
  <w:style w:type="character" w:customStyle="1" w:styleId="CommentSubjectChar">
    <w:name w:val="Comment Subject Char"/>
    <w:basedOn w:val="CommentTextChar"/>
    <w:link w:val="CommentSubject"/>
    <w:rsid w:val="001874FD"/>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1874FD"/>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874FD"/>
    <w:rPr>
      <w:rFonts w:ascii="Tahoma" w:eastAsia="Times New Roman" w:hAnsi="Tahoma" w:cs="Tahoma"/>
      <w:sz w:val="16"/>
      <w:szCs w:val="16"/>
      <w:lang w:val="fr-FR" w:eastAsia="en-GB"/>
    </w:rPr>
  </w:style>
  <w:style w:type="paragraph" w:styleId="Caption">
    <w:name w:val="caption"/>
    <w:basedOn w:val="Normal"/>
    <w:next w:val="Normal"/>
    <w:qFormat/>
    <w:rsid w:val="001874FD"/>
    <w:rPr>
      <w:rFonts w:eastAsia="Times New Roman"/>
      <w:b/>
      <w:bCs/>
      <w:sz w:val="20"/>
      <w:szCs w:val="20"/>
      <w:lang w:eastAsia="en-GB"/>
    </w:rPr>
  </w:style>
  <w:style w:type="paragraph" w:styleId="TableofFigures">
    <w:name w:val="table of figures"/>
    <w:basedOn w:val="Normal"/>
    <w:next w:val="Normal"/>
    <w:rsid w:val="001874FD"/>
    <w:rPr>
      <w:rFonts w:eastAsia="Times New Roman"/>
      <w:lang w:eastAsia="en-GB"/>
    </w:rPr>
  </w:style>
  <w:style w:type="character" w:styleId="PageNumber">
    <w:name w:val="page number"/>
    <w:rsid w:val="001874FD"/>
  </w:style>
  <w:style w:type="character" w:customStyle="1" w:styleId="tw4winMark">
    <w:name w:val="tw4winMark"/>
    <w:rsid w:val="001874FD"/>
    <w:rPr>
      <w:vanish/>
      <w:color w:val="800080"/>
      <w:vertAlign w:val="subscript"/>
    </w:rPr>
  </w:style>
  <w:style w:type="character" w:styleId="FollowedHyperlink">
    <w:name w:val="FollowedHyperlink"/>
    <w:rsid w:val="001874FD"/>
    <w:rPr>
      <w:color w:val="800080"/>
      <w:u w:val="single"/>
    </w:rPr>
  </w:style>
  <w:style w:type="paragraph" w:customStyle="1" w:styleId="Sous-titreobjet">
    <w:name w:val="Sous-titre objet"/>
    <w:basedOn w:val="Normal"/>
    <w:rsid w:val="001874F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874FD"/>
  </w:style>
  <w:style w:type="paragraph" w:styleId="Revision">
    <w:name w:val="Revision"/>
    <w:hidden/>
    <w:uiPriority w:val="99"/>
    <w:semiHidden/>
    <w:rsid w:val="001874FD"/>
    <w:rPr>
      <w:rFonts w:ascii="Calibri" w:eastAsia="Calibri" w:hAnsi="Calibri" w:cs="Times New Roman"/>
      <w:sz w:val="24"/>
      <w:lang w:val="fr-FR" w:eastAsia="en-GB"/>
    </w:rPr>
  </w:style>
  <w:style w:type="paragraph" w:customStyle="1" w:styleId="FooterCoverPage">
    <w:name w:val="Footer Cover Page"/>
    <w:basedOn w:val="Normal"/>
    <w:link w:val="FooterCoverPageChar"/>
    <w:rsid w:val="001874FD"/>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874FD"/>
    <w:rPr>
      <w:rFonts w:ascii="Times New Roman" w:hAnsi="Times New Roman" w:cs="Times New Roman"/>
      <w:b/>
      <w:sz w:val="28"/>
      <w:lang w:val="fr-FR"/>
    </w:rPr>
  </w:style>
  <w:style w:type="character" w:customStyle="1" w:styleId="FooterCoverPageChar">
    <w:name w:val="Footer Cover Page Char"/>
    <w:link w:val="FooterCoverPage"/>
    <w:rsid w:val="001874FD"/>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874FD"/>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874FD"/>
    <w:rPr>
      <w:rFonts w:ascii="Times New Roman" w:eastAsia="Calibri" w:hAnsi="Times New Roman" w:cs="Times New Roman"/>
      <w:sz w:val="24"/>
      <w:lang w:val="fr-FR" w:eastAsia="en-GB"/>
    </w:rPr>
  </w:style>
  <w:style w:type="character" w:customStyle="1" w:styleId="FooterSensitivityChar">
    <w:name w:val="Footer Sensitivity Char"/>
    <w:rsid w:val="001874FD"/>
    <w:rPr>
      <w:rFonts w:ascii="Times New Roman" w:hAnsi="Times New Roman" w:cs="Times New Roman"/>
      <w:b/>
      <w:sz w:val="32"/>
      <w:lang w:val="fr-FR"/>
    </w:rPr>
  </w:style>
  <w:style w:type="character" w:customStyle="1" w:styleId="HeaderSensitivityChar">
    <w:name w:val="Header Sensitivity Char"/>
    <w:rsid w:val="001874FD"/>
    <w:rPr>
      <w:rFonts w:ascii="Times New Roman" w:hAnsi="Times New Roman" w:cs="Times New Roman"/>
      <w:b/>
      <w:sz w:val="32"/>
      <w:lang w:val="fr-FR"/>
    </w:rPr>
  </w:style>
  <w:style w:type="character" w:customStyle="1" w:styleId="HeaderSensitivityRightChar">
    <w:name w:val="Header Sensitivity Right Char"/>
    <w:rsid w:val="001874FD"/>
    <w:rPr>
      <w:rFonts w:ascii="Times New Roman" w:hAnsi="Times New Roman" w:cs="Times New Roman"/>
      <w:sz w:val="28"/>
      <w:lang w:val="fr-FR"/>
    </w:rPr>
  </w:style>
  <w:style w:type="paragraph" w:customStyle="1" w:styleId="LegalNumPar">
    <w:name w:val="LegalNumPar"/>
    <w:basedOn w:val="Normal"/>
    <w:rsid w:val="001874FD"/>
    <w:pPr>
      <w:numPr>
        <w:numId w:val="16"/>
      </w:numPr>
      <w:spacing w:line="360" w:lineRule="auto"/>
      <w:ind w:left="0" w:firstLine="0"/>
    </w:pPr>
    <w:rPr>
      <w:rFonts w:eastAsia="Times New Roman"/>
      <w:lang w:eastAsia="en-GB"/>
    </w:rPr>
  </w:style>
  <w:style w:type="paragraph" w:customStyle="1" w:styleId="LegalNumPar2">
    <w:name w:val="LegalNumPar2"/>
    <w:basedOn w:val="Normal"/>
    <w:rsid w:val="001874FD"/>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874FD"/>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874FD"/>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874FD"/>
    <w:rPr>
      <w:color w:val="605E5C"/>
      <w:shd w:val="clear" w:color="auto" w:fill="E1DFDD"/>
    </w:rPr>
  </w:style>
  <w:style w:type="character" w:styleId="Strong">
    <w:name w:val="Strong"/>
    <w:basedOn w:val="DefaultParagraphFont"/>
    <w:qFormat/>
    <w:rsid w:val="001874FD"/>
    <w:rPr>
      <w:b/>
      <w:bCs/>
    </w:rPr>
  </w:style>
  <w:style w:type="character" w:styleId="Emphasis">
    <w:name w:val="Emphasis"/>
    <w:basedOn w:val="DefaultParagraphFont"/>
    <w:qFormat/>
    <w:rsid w:val="001874FD"/>
    <w:rPr>
      <w:i/>
      <w:iCs/>
    </w:rPr>
  </w:style>
  <w:style w:type="character" w:customStyle="1" w:styleId="Mention">
    <w:name w:val="Mention"/>
    <w:basedOn w:val="DefaultParagraphFont"/>
    <w:uiPriority w:val="99"/>
    <w:unhideWhenUsed/>
    <w:rsid w:val="001874FD"/>
    <w:rPr>
      <w:color w:val="2B579A"/>
      <w:shd w:val="clear" w:color="auto" w:fill="E1DFDD"/>
    </w:rPr>
  </w:style>
  <w:style w:type="character" w:customStyle="1" w:styleId="normaltextrun">
    <w:name w:val="normaltextrun"/>
    <w:basedOn w:val="DefaultParagraphFont"/>
    <w:rsid w:val="001874FD"/>
  </w:style>
  <w:style w:type="character" w:customStyle="1" w:styleId="eop">
    <w:name w:val="eop"/>
    <w:basedOn w:val="DefaultParagraphFont"/>
    <w:rsid w:val="001874FD"/>
  </w:style>
  <w:style w:type="character" w:customStyle="1" w:styleId="CRMarker">
    <w:name w:val="CR Marker"/>
    <w:basedOn w:val="DefaultParagraphFont"/>
    <w:uiPriority w:val="99"/>
    <w:rsid w:val="001874FD"/>
    <w:rPr>
      <w:rFonts w:ascii="Wingdings" w:hAnsi="Wingdings" w:cs="Wingdings"/>
    </w:rPr>
  </w:style>
  <w:style w:type="paragraph" w:customStyle="1" w:styleId="CRSeparator">
    <w:name w:val="CR Separator"/>
    <w:basedOn w:val="Normal"/>
    <w:next w:val="CRReference"/>
    <w:uiPriority w:val="99"/>
    <w:rsid w:val="001874FD"/>
    <w:pPr>
      <w:keepNext/>
      <w:pBdr>
        <w:top w:val="single" w:sz="4" w:space="1" w:color="auto"/>
      </w:pBdr>
      <w:autoSpaceDE w:val="0"/>
      <w:autoSpaceDN w:val="0"/>
      <w:spacing w:before="0" w:after="0"/>
    </w:pPr>
    <w:rPr>
      <w:rFonts w:eastAsiaTheme="minorEastAsia"/>
      <w:szCs w:val="24"/>
      <w:lang w:eastAsia="fr-BE"/>
    </w:rPr>
  </w:style>
  <w:style w:type="paragraph" w:customStyle="1" w:styleId="CRReference">
    <w:name w:val="CR Reference"/>
    <w:basedOn w:val="Normal"/>
    <w:uiPriority w:val="99"/>
    <w:rsid w:val="001874FD"/>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eastAsia="fr-BE"/>
    </w:rPr>
  </w:style>
  <w:style w:type="character" w:customStyle="1" w:styleId="HeaderChar">
    <w:name w:val="Header Char"/>
    <w:basedOn w:val="DefaultParagraphFont"/>
    <w:link w:val="Header"/>
    <w:uiPriority w:val="99"/>
    <w:rsid w:val="00D1598B"/>
    <w:rPr>
      <w:rFonts w:ascii="Times New Roman" w:hAnsi="Times New Roman" w:cs="Times New Roman"/>
      <w:sz w:val="24"/>
      <w:lang w:val="fr-FR"/>
    </w:rPr>
  </w:style>
  <w:style w:type="character" w:customStyle="1" w:styleId="FooterChar">
    <w:name w:val="Footer Char"/>
    <w:basedOn w:val="DefaultParagraphFont"/>
    <w:link w:val="Footer"/>
    <w:uiPriority w:val="99"/>
    <w:rsid w:val="00D1598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1598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1598B"/>
    <w:pPr>
      <w:spacing w:before="0"/>
      <w:jc w:val="right"/>
    </w:pPr>
    <w:rPr>
      <w:sz w:val="28"/>
    </w:rPr>
  </w:style>
  <w:style w:type="paragraph" w:customStyle="1" w:styleId="FooterSensitivity">
    <w:name w:val="Footer Sensitivity"/>
    <w:basedOn w:val="Normal"/>
    <w:rsid w:val="00D1598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1598B"/>
    <w:pPr>
      <w:tabs>
        <w:tab w:val="center" w:pos="4535"/>
        <w:tab w:val="right" w:pos="9071"/>
      </w:tabs>
      <w:spacing w:before="0"/>
    </w:pPr>
  </w:style>
  <w:style w:type="paragraph" w:customStyle="1" w:styleId="HeaderLandscape">
    <w:name w:val="HeaderLandscape"/>
    <w:basedOn w:val="Normal"/>
    <w:rsid w:val="00D1598B"/>
    <w:pPr>
      <w:tabs>
        <w:tab w:val="center" w:pos="7285"/>
        <w:tab w:val="right" w:pos="14003"/>
      </w:tabs>
      <w:spacing w:before="0"/>
    </w:pPr>
  </w:style>
  <w:style w:type="paragraph" w:styleId="Footer">
    <w:name w:val="footer"/>
    <w:basedOn w:val="Normal"/>
    <w:link w:val="FooterChar"/>
    <w:uiPriority w:val="99"/>
    <w:unhideWhenUsed/>
    <w:rsid w:val="00D1598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1598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europa.eu/eli/reg_del/2024/3102/oj"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9/223/oj" TargetMode="External"/><Relationship Id="rId7" Type="http://schemas.openxmlformats.org/officeDocument/2006/relationships/hyperlink" Target="http://data.europa.eu/eli/reg/2006/1367/oj" TargetMode="External"/><Relationship Id="rId2" Type="http://schemas.openxmlformats.org/officeDocument/2006/relationships/hyperlink" Target="http://data.europa.eu/eli/reg/2004/138/oj" TargetMode="External"/><Relationship Id="rId1" Type="http://schemas.openxmlformats.org/officeDocument/2006/relationships/hyperlink" Target="http://data.europa.eu/eli/reg_del/2024/3102/oj" TargetMode="External"/><Relationship Id="rId6" Type="http://schemas.openxmlformats.org/officeDocument/2006/relationships/hyperlink" Target="http://data.europa.eu/eli/reg/2003/1059/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agree_interinstit/2016/5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12D24-C1DB-4A48-B321-EC2952958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2219F4-0AD3-4138-B97B-9376409D64C2}">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06A039EF-5E9B-4045-848E-DFF9CCB592A7}">
  <ds:schemaRefs>
    <ds:schemaRef ds:uri="http://schemas.microsoft.com/sharepoint/v3/contenttype/forms"/>
  </ds:schemaRefs>
</ds:datastoreItem>
</file>

<file path=customXml/itemProps4.xml><?xml version="1.0" encoding="utf-8"?>
<ds:datastoreItem xmlns:ds="http://schemas.openxmlformats.org/officeDocument/2006/customXml" ds:itemID="{98DAE7A8-BF16-439D-8049-D66F5C683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309</TotalTime>
  <Pages>10</Pages>
  <Words>2867</Words>
  <Characters>16346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2026-02-17T09:52:00Z</dcterms:created>
  <dcterms:modified xsi:type="dcterms:W3CDTF">2026-04-09T07:13:00Z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SG-005</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2026-02-17T09:56:29Z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7eb28041-e504-4f1d-aecf-e092cc51c555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LWCR IsRefonte">
    <vt:lpwstr>True</vt:lpwstr>
  </property>
  <property fmtid="{D5CDD505-2E9C-101B-9397-08002B2CF9AE}" pid="21" name="DQCStatus">
    <vt:lpwstr>Green (DQC version 03)</vt:lpwstr>
  </property>
</Properties>
</file>