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12D" w:rsidRDefault="00A26D89" w:rsidP="00A26D8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0ED80C-113F-41F4-B3FB-B8AD5E5A741A" style="width:455.25pt;height:384.75pt">
            <v:imagedata r:id="rId11" o:title=""/>
          </v:shape>
        </w:pict>
      </w:r>
    </w:p>
    <w:p w:rsidR="007936E4" w:rsidRPr="007936E4" w:rsidRDefault="007936E4" w:rsidP="007936E4">
      <w:pPr>
        <w:pStyle w:val="Pagedecouverture"/>
        <w:rPr>
          <w:noProof/>
        </w:rPr>
        <w:sectPr w:rsidR="007936E4" w:rsidRPr="007936E4" w:rsidSect="00A26D89">
          <w:footerReference w:type="even" r:id="rId12"/>
          <w:footerReference w:type="default" r:id="rId13"/>
          <w:pgSz w:w="11907" w:h="16839"/>
          <w:pgMar w:top="1134" w:right="1417" w:bottom="1134" w:left="1417" w:header="709" w:footer="709" w:gutter="0"/>
          <w:pgNumType w:start="0"/>
          <w:cols w:space="720"/>
          <w:docGrid w:linePitch="360"/>
        </w:sectPr>
      </w:pPr>
    </w:p>
    <w:p w:rsidR="00113D69" w:rsidRDefault="00113D69" w:rsidP="00BB6B30">
      <w:pPr>
        <w:pStyle w:val="Exposdesmotifstitre"/>
        <w:rPr>
          <w:noProof/>
        </w:rPr>
      </w:pPr>
      <w:bookmarkStart w:id="0" w:name="_GoBack"/>
      <w:bookmarkEnd w:id="0"/>
      <w:r w:rsidRPr="006F770D">
        <w:rPr>
          <w:noProof/>
        </w:rPr>
        <w:lastRenderedPageBreak/>
        <w:t>EXPLANATORY MEMORANDUM</w:t>
      </w:r>
    </w:p>
    <w:p w:rsidR="00113D69" w:rsidRPr="00E34F04" w:rsidRDefault="0035530E" w:rsidP="0035530E">
      <w:pPr>
        <w:pStyle w:val="ManualHeading1"/>
        <w:rPr>
          <w:noProof/>
        </w:rPr>
      </w:pPr>
      <w:r w:rsidRPr="0035530E">
        <w:rPr>
          <w:noProof/>
        </w:rPr>
        <w:t>1.</w:t>
      </w:r>
      <w:r w:rsidRPr="0035530E">
        <w:rPr>
          <w:noProof/>
        </w:rPr>
        <w:tab/>
      </w:r>
      <w:r w:rsidR="00113D69" w:rsidRPr="00E34F04">
        <w:rPr>
          <w:noProof/>
        </w:rPr>
        <w:t>Subject matter of the proposal</w:t>
      </w:r>
    </w:p>
    <w:p w:rsidR="00113D69" w:rsidRPr="00E34F04" w:rsidRDefault="00113D69" w:rsidP="00736AA9">
      <w:pPr>
        <w:rPr>
          <w:rFonts w:eastAsia="Arial Unicode MS"/>
          <w:noProof/>
        </w:rPr>
      </w:pPr>
      <w:r w:rsidRPr="00E34F04">
        <w:rPr>
          <w:rFonts w:eastAsia="Arial Unicode MS"/>
          <w:noProof/>
        </w:rPr>
        <w:t xml:space="preserve">This proposal concerns the decision establishing the position to be taken on the Union's behalf in the </w:t>
      </w:r>
      <w:r>
        <w:rPr>
          <w:noProof/>
        </w:rPr>
        <w:t>Group of Experts on the European Agreement concerning the work of crews of vehicles engaged in international road transport (AETR) of the United Nations Economic Commission for Europe (UNECE) and in the UNECE Working Party on Road Transport (SC.1), in connection with the envisaged adoption of amendments to the AETR allowing the accession of Mongolia to the AETR.</w:t>
      </w:r>
    </w:p>
    <w:p w:rsidR="00113D69" w:rsidRPr="00E34F04" w:rsidRDefault="0035530E" w:rsidP="0035530E">
      <w:pPr>
        <w:pStyle w:val="ManualHeading1"/>
        <w:rPr>
          <w:noProof/>
        </w:rPr>
      </w:pPr>
      <w:r w:rsidRPr="0035530E">
        <w:rPr>
          <w:noProof/>
        </w:rPr>
        <w:t>2.</w:t>
      </w:r>
      <w:r w:rsidRPr="0035530E">
        <w:rPr>
          <w:noProof/>
        </w:rPr>
        <w:tab/>
      </w:r>
      <w:r w:rsidR="00113D69" w:rsidRPr="00E34F04">
        <w:rPr>
          <w:noProof/>
        </w:rPr>
        <w:t>Context of the proposal</w:t>
      </w:r>
    </w:p>
    <w:p w:rsidR="00113D69" w:rsidRPr="00E34F04" w:rsidRDefault="0035530E" w:rsidP="0035530E">
      <w:pPr>
        <w:pStyle w:val="ManualHeading2"/>
        <w:rPr>
          <w:noProof/>
        </w:rPr>
      </w:pPr>
      <w:r w:rsidRPr="0035530E">
        <w:rPr>
          <w:noProof/>
        </w:rPr>
        <w:t>2.1.</w:t>
      </w:r>
      <w:r w:rsidRPr="0035530E">
        <w:rPr>
          <w:noProof/>
        </w:rPr>
        <w:tab/>
      </w:r>
      <w:r w:rsidR="00113D69" w:rsidRPr="00E34F04">
        <w:rPr>
          <w:noProof/>
        </w:rPr>
        <w:t>The</w:t>
      </w:r>
      <w:r w:rsidR="00113D69">
        <w:rPr>
          <w:noProof/>
        </w:rPr>
        <w:t xml:space="preserve"> European Agreement concerning the work of crews engaged in international road transport</w:t>
      </w:r>
    </w:p>
    <w:p w:rsidR="00113D69" w:rsidRDefault="00113D69" w:rsidP="00113D69">
      <w:pPr>
        <w:rPr>
          <w:rFonts w:eastAsia="Arial Unicode MS"/>
          <w:noProof/>
        </w:rPr>
      </w:pPr>
      <w:r>
        <w:rPr>
          <w:rFonts w:eastAsia="Arial Unicode MS"/>
          <w:noProof/>
        </w:rPr>
        <w:t xml:space="preserve">The AETR aims to harmonise the legislative framework of </w:t>
      </w:r>
      <w:r w:rsidR="00FA6B23">
        <w:rPr>
          <w:rFonts w:eastAsia="Arial Unicode MS"/>
          <w:noProof/>
        </w:rPr>
        <w:t xml:space="preserve">its </w:t>
      </w:r>
      <w:r>
        <w:rPr>
          <w:rFonts w:eastAsia="Arial Unicode MS"/>
          <w:noProof/>
        </w:rPr>
        <w:t xml:space="preserve">Contracting Parties as regards driving and rest times for professional drivers and the corresponding technical requirements for the construction and installation of the recording equipment used in vehicles (the tachograph). The AETR entered into force on </w:t>
      </w:r>
      <w:r>
        <w:rPr>
          <w:noProof/>
        </w:rPr>
        <w:t>5 January 1976</w:t>
      </w:r>
      <w:r w:rsidR="00E307F0">
        <w:rPr>
          <w:noProof/>
        </w:rPr>
        <w:t>,</w:t>
      </w:r>
      <w:r>
        <w:rPr>
          <w:noProof/>
        </w:rPr>
        <w:t xml:space="preserve"> ha</w:t>
      </w:r>
      <w:r w:rsidR="00E307F0">
        <w:rPr>
          <w:noProof/>
        </w:rPr>
        <w:t>ving</w:t>
      </w:r>
      <w:r>
        <w:rPr>
          <w:noProof/>
        </w:rPr>
        <w:t xml:space="preserve"> subsequently been amended</w:t>
      </w:r>
      <w:r w:rsidR="00E307F0">
        <w:rPr>
          <w:noProof/>
        </w:rPr>
        <w:t xml:space="preserve"> several times</w:t>
      </w:r>
      <w:r>
        <w:rPr>
          <w:noProof/>
        </w:rPr>
        <w:t>.</w:t>
      </w:r>
    </w:p>
    <w:p w:rsidR="00113D69" w:rsidRPr="00E34F04" w:rsidRDefault="00113D69" w:rsidP="00736AA9">
      <w:pPr>
        <w:rPr>
          <w:rFonts w:eastAsia="Arial Unicode MS"/>
          <w:noProof/>
        </w:rPr>
      </w:pPr>
      <w:r>
        <w:rPr>
          <w:noProof/>
        </w:rPr>
        <w:t>A</w:t>
      </w:r>
      <w:r>
        <w:rPr>
          <w:rFonts w:eastAsia="Arial Unicode MS"/>
          <w:noProof/>
        </w:rPr>
        <w:t>ll Member States are parties to the AETR</w:t>
      </w:r>
      <w:r>
        <w:rPr>
          <w:rStyle w:val="FootnoteReference"/>
          <w:rFonts w:eastAsia="Arial Unicode MS"/>
          <w:noProof/>
        </w:rPr>
        <w:footnoteReference w:id="2"/>
      </w:r>
      <w:r>
        <w:rPr>
          <w:rFonts w:eastAsia="Arial Unicode MS"/>
          <w:noProof/>
        </w:rPr>
        <w:t>.</w:t>
      </w:r>
    </w:p>
    <w:p w:rsidR="00113D69" w:rsidRPr="00E34F04" w:rsidRDefault="0035530E" w:rsidP="0035530E">
      <w:pPr>
        <w:pStyle w:val="ManualHeading2"/>
        <w:rPr>
          <w:noProof/>
        </w:rPr>
      </w:pPr>
      <w:r w:rsidRPr="0035530E">
        <w:rPr>
          <w:noProof/>
        </w:rPr>
        <w:t>2.2.</w:t>
      </w:r>
      <w:r w:rsidRPr="0035530E">
        <w:rPr>
          <w:noProof/>
        </w:rPr>
        <w:tab/>
      </w:r>
      <w:r w:rsidR="00113D69" w:rsidRPr="00E34F04">
        <w:rPr>
          <w:noProof/>
        </w:rPr>
        <w:t>The</w:t>
      </w:r>
      <w:r w:rsidR="00113D69">
        <w:rPr>
          <w:noProof/>
        </w:rPr>
        <w:t xml:space="preserve"> Group of Experts on the AETR and the Working Party on Road Transport</w:t>
      </w:r>
    </w:p>
    <w:p w:rsidR="00113D69" w:rsidRDefault="00113D69" w:rsidP="00113D69">
      <w:pPr>
        <w:rPr>
          <w:noProof/>
        </w:rPr>
      </w:pPr>
      <w:r w:rsidRPr="00E34F04">
        <w:rPr>
          <w:rFonts w:eastAsia="Arial Unicode MS"/>
          <w:noProof/>
        </w:rPr>
        <w:t>The</w:t>
      </w:r>
      <w:r>
        <w:rPr>
          <w:rFonts w:eastAsia="Arial Unicode MS"/>
          <w:noProof/>
        </w:rPr>
        <w:t xml:space="preserve"> Group of Experts on the AETR</w:t>
      </w:r>
      <w:r>
        <w:rPr>
          <w:noProof/>
        </w:rPr>
        <w:t xml:space="preserve"> is a technical group set up by the Inland Transport Committee of the UNECE whose objective is to develop proposals to amend the AETR. According to the Decision establishing the Group of Experts on AETR, the European Union can participate in the Expert Group</w:t>
      </w:r>
      <w:r>
        <w:rPr>
          <w:rStyle w:val="FootnoteReference"/>
          <w:noProof/>
        </w:rPr>
        <w:footnoteReference w:id="3"/>
      </w:r>
      <w:r>
        <w:rPr>
          <w:noProof/>
        </w:rPr>
        <w:t>. The Commission therefore represents the Union in this Expert Group.</w:t>
      </w:r>
    </w:p>
    <w:p w:rsidR="00113D69" w:rsidRDefault="00113D69" w:rsidP="00113D69">
      <w:pPr>
        <w:rPr>
          <w:noProof/>
        </w:rPr>
      </w:pPr>
      <w:r>
        <w:rPr>
          <w:noProof/>
        </w:rPr>
        <w:t>The Working Party on Road Transport (SC.1) is a group set up by the Inland Transport Committee to promote the development and facilitation of international transport by road. This includes harmonising and simplifying the rules and requirements related to road transport. Only contracting parties to the AETR participate in the Working Party on Road Transport as Members. The European Union is invited as an Observer to the Working Party and is thus represented by the Commission or the Delegation of the European Union to the U</w:t>
      </w:r>
      <w:r w:rsidR="00FA6B23">
        <w:rPr>
          <w:noProof/>
        </w:rPr>
        <w:t xml:space="preserve">nited </w:t>
      </w:r>
      <w:r>
        <w:rPr>
          <w:noProof/>
        </w:rPr>
        <w:t>N</w:t>
      </w:r>
      <w:r w:rsidR="00FA6B23">
        <w:rPr>
          <w:noProof/>
        </w:rPr>
        <w:t>ations</w:t>
      </w:r>
      <w:r>
        <w:rPr>
          <w:noProof/>
        </w:rPr>
        <w:t xml:space="preserve"> and other international organisations in Geneva. </w:t>
      </w:r>
    </w:p>
    <w:p w:rsidR="00113D69" w:rsidRPr="00EC187C" w:rsidRDefault="00113D69" w:rsidP="00113D69">
      <w:pPr>
        <w:spacing w:before="0" w:after="0"/>
        <w:rPr>
          <w:noProof/>
          <w:lang w:val="en-IE" w:eastAsia="en-IE"/>
        </w:rPr>
      </w:pPr>
      <w:r>
        <w:rPr>
          <w:noProof/>
        </w:rPr>
        <w:t xml:space="preserve">Proposals to amend the AETR are generally first tabled, examined, and endorsed in the Expert Group and then, submitted to the UNECE Working Party on Road Transport (SC.1) for endorsement. If consensus on certain amendments to the AETR is reached in both groups, a Contracting Party of the AETR formally tables the amendment to the United Nations Secretary-General, in accordance with Article 21 of the AETR. Once the submission to amend the AETR has been notified to them by the United Nations Secretary-General, Contracting Parties have </w:t>
      </w:r>
      <w:r w:rsidR="00BF403F">
        <w:rPr>
          <w:noProof/>
        </w:rPr>
        <w:t>six</w:t>
      </w:r>
      <w:r>
        <w:rPr>
          <w:noProof/>
        </w:rPr>
        <w:t xml:space="preserve"> months to object to the amendment. The amendment is deemed to be adopted if no Contracting Party objects to the amendment within that deadline.</w:t>
      </w:r>
    </w:p>
    <w:p w:rsidR="00113D69" w:rsidRPr="00E34F04" w:rsidRDefault="00113D69" w:rsidP="00113D69">
      <w:pPr>
        <w:rPr>
          <w:rFonts w:eastAsia="Arial Unicode MS"/>
          <w:noProof/>
        </w:rPr>
      </w:pPr>
      <w:r>
        <w:rPr>
          <w:noProof/>
        </w:rPr>
        <w:t xml:space="preserve">The bodies set up in UNECE (the Expert Group on AETR and the Working Party on Road Transport) provide a forum where amendments of the AETR are tabled, examined and endorsed, so as to prepare the formal </w:t>
      </w:r>
      <w:r w:rsidRPr="007A5045">
        <w:rPr>
          <w:noProof/>
        </w:rPr>
        <w:t xml:space="preserve">submission of an amendment according to the AETR, and to avoid objections once an amendment is formally tabled to the United Nations Secretary-General. It is therefore </w:t>
      </w:r>
      <w:r w:rsidRPr="009D0E81">
        <w:rPr>
          <w:noProof/>
        </w:rPr>
        <w:t xml:space="preserve">appropriate </w:t>
      </w:r>
      <w:r w:rsidRPr="007A5045">
        <w:rPr>
          <w:noProof/>
        </w:rPr>
        <w:t xml:space="preserve">to establish Union positions </w:t>
      </w:r>
      <w:r w:rsidRPr="009D0E81">
        <w:rPr>
          <w:noProof/>
        </w:rPr>
        <w:t>as regards decisions to be taken in the Expert Group and the UNECE Working Party on Road Transport</w:t>
      </w:r>
      <w:r>
        <w:rPr>
          <w:noProof/>
        </w:rPr>
        <w:t>.</w:t>
      </w:r>
    </w:p>
    <w:p w:rsidR="00113D69" w:rsidRPr="00E34F04" w:rsidRDefault="0035530E" w:rsidP="0035530E">
      <w:pPr>
        <w:pStyle w:val="ManualHeading2"/>
        <w:rPr>
          <w:noProof/>
        </w:rPr>
      </w:pPr>
      <w:r w:rsidRPr="0035530E">
        <w:rPr>
          <w:noProof/>
        </w:rPr>
        <w:t>2.3.</w:t>
      </w:r>
      <w:r w:rsidRPr="0035530E">
        <w:rPr>
          <w:noProof/>
        </w:rPr>
        <w:tab/>
      </w:r>
      <w:r w:rsidR="00113D69" w:rsidRPr="00E34F04">
        <w:rPr>
          <w:noProof/>
        </w:rPr>
        <w:t xml:space="preserve">The envisaged act </w:t>
      </w:r>
      <w:r w:rsidR="00113D69">
        <w:rPr>
          <w:noProof/>
        </w:rPr>
        <w:t>to be considered by the Group of Experts on the AETR and the Working Party on Road Transport</w:t>
      </w:r>
    </w:p>
    <w:p w:rsidR="00B1005F" w:rsidRDefault="00D323D2" w:rsidP="00736AA9">
      <w:pPr>
        <w:rPr>
          <w:rFonts w:eastAsia="Arial Unicode MS"/>
          <w:noProof/>
        </w:rPr>
      </w:pPr>
      <w:r>
        <w:rPr>
          <w:rFonts w:eastAsia="Arial Unicode MS"/>
          <w:noProof/>
        </w:rPr>
        <w:t xml:space="preserve">In February 2026, during </w:t>
      </w:r>
      <w:r w:rsidR="00DE43CF">
        <w:rPr>
          <w:rFonts w:eastAsia="Arial Unicode MS"/>
          <w:noProof/>
        </w:rPr>
        <w:t>its 40</w:t>
      </w:r>
      <w:r w:rsidR="00DE43CF" w:rsidRPr="00DE43CF">
        <w:rPr>
          <w:rFonts w:eastAsia="Arial Unicode MS"/>
          <w:noProof/>
          <w:vertAlign w:val="superscript"/>
        </w:rPr>
        <w:t>th</w:t>
      </w:r>
      <w:r w:rsidR="00DE43CF">
        <w:rPr>
          <w:rFonts w:eastAsia="Arial Unicode MS"/>
          <w:noProof/>
        </w:rPr>
        <w:t xml:space="preserve"> planned session, or at subsequent sessions, the Group of Experts on AETR would, based on the Union proposal attached to this proposal, consider and develop proposals for amending </w:t>
      </w:r>
      <w:r w:rsidR="00B1005F">
        <w:rPr>
          <w:rFonts w:eastAsia="Arial Unicode MS"/>
          <w:noProof/>
        </w:rPr>
        <w:t xml:space="preserve">Article 14(1) of </w:t>
      </w:r>
      <w:r w:rsidR="00DE43CF">
        <w:rPr>
          <w:rFonts w:eastAsia="Arial Unicode MS"/>
          <w:noProof/>
        </w:rPr>
        <w:t>the AETR</w:t>
      </w:r>
      <w:r w:rsidR="00BB5765">
        <w:rPr>
          <w:rFonts w:eastAsia="Arial Unicode MS"/>
          <w:noProof/>
        </w:rPr>
        <w:t xml:space="preserve"> to</w:t>
      </w:r>
      <w:r w:rsidR="00475CBF">
        <w:rPr>
          <w:rFonts w:eastAsia="Arial Unicode MS"/>
          <w:noProof/>
        </w:rPr>
        <w:t xml:space="preserve"> allow Mongolia to accede</w:t>
      </w:r>
      <w:r w:rsidR="00BB5765">
        <w:rPr>
          <w:rFonts w:eastAsia="Arial Unicode MS"/>
          <w:noProof/>
        </w:rPr>
        <w:t xml:space="preserve"> to</w:t>
      </w:r>
      <w:r w:rsidR="00475CBF">
        <w:rPr>
          <w:rFonts w:eastAsia="Arial Unicode MS"/>
          <w:noProof/>
        </w:rPr>
        <w:t xml:space="preserve"> th</w:t>
      </w:r>
      <w:r w:rsidR="00B1005F">
        <w:rPr>
          <w:rFonts w:eastAsia="Arial Unicode MS"/>
          <w:noProof/>
        </w:rPr>
        <w:t>is Agreement</w:t>
      </w:r>
      <w:r w:rsidR="00475CBF">
        <w:rPr>
          <w:rFonts w:eastAsia="Arial Unicode MS"/>
          <w:noProof/>
        </w:rPr>
        <w:t>.</w:t>
      </w:r>
    </w:p>
    <w:p w:rsidR="00D87C9E" w:rsidRDefault="005272E7" w:rsidP="00736AA9">
      <w:pPr>
        <w:rPr>
          <w:rFonts w:eastAsia="Arial Unicode MS"/>
          <w:noProof/>
        </w:rPr>
      </w:pPr>
      <w:r>
        <w:rPr>
          <w:rFonts w:eastAsia="Arial Unicode MS"/>
          <w:noProof/>
        </w:rPr>
        <w:t>A similar proposal was initially submitted</w:t>
      </w:r>
      <w:r w:rsidR="004307CA">
        <w:rPr>
          <w:rFonts w:eastAsia="Arial Unicode MS"/>
          <w:noProof/>
        </w:rPr>
        <w:t xml:space="preserve"> to the UNECE working groups by Germany</w:t>
      </w:r>
      <w:r w:rsidR="00B57EC9">
        <w:rPr>
          <w:rFonts w:eastAsia="Arial Unicode MS"/>
          <w:noProof/>
        </w:rPr>
        <w:t xml:space="preserve"> in September 2023</w:t>
      </w:r>
      <w:r w:rsidR="004307CA">
        <w:rPr>
          <w:rFonts w:eastAsia="Arial Unicode MS"/>
          <w:noProof/>
        </w:rPr>
        <w:t>.</w:t>
      </w:r>
    </w:p>
    <w:p w:rsidR="00E307F0" w:rsidRDefault="00CD7378" w:rsidP="00736AA9">
      <w:pPr>
        <w:rPr>
          <w:rFonts w:eastAsia="Arial Unicode MS"/>
          <w:noProof/>
        </w:rPr>
      </w:pPr>
      <w:r w:rsidRPr="00CD7378">
        <w:rPr>
          <w:rFonts w:eastAsia="Arial Unicode MS"/>
          <w:noProof/>
        </w:rPr>
        <w:t>Article 14(1) of the AETR</w:t>
      </w:r>
      <w:r w:rsidR="0054273F">
        <w:rPr>
          <w:rStyle w:val="FootnoteReference"/>
          <w:rFonts w:eastAsia="Arial Unicode MS"/>
          <w:noProof/>
        </w:rPr>
        <w:footnoteReference w:id="4"/>
      </w:r>
      <w:r w:rsidRPr="00CD7378">
        <w:rPr>
          <w:rFonts w:eastAsia="Arial Unicode MS"/>
          <w:noProof/>
        </w:rPr>
        <w:t xml:space="preserve"> determines that this Agreement is open for </w:t>
      </w:r>
      <w:r w:rsidR="00E307F0" w:rsidRPr="00E307F0">
        <w:rPr>
          <w:rFonts w:eastAsia="Arial Unicode MS"/>
          <w:noProof/>
        </w:rPr>
        <w:t xml:space="preserve">accession by States members of the Economic Commission for Europe </w:t>
      </w:r>
      <w:r w:rsidR="00E307F0">
        <w:rPr>
          <w:rFonts w:eastAsia="Arial Unicode MS"/>
          <w:noProof/>
        </w:rPr>
        <w:t xml:space="preserve">(ECE) </w:t>
      </w:r>
      <w:r w:rsidR="00E307F0" w:rsidRPr="00E307F0">
        <w:rPr>
          <w:rFonts w:eastAsia="Arial Unicode MS"/>
          <w:noProof/>
        </w:rPr>
        <w:t xml:space="preserve">and States admitted to </w:t>
      </w:r>
      <w:r w:rsidR="00E307F0">
        <w:rPr>
          <w:rFonts w:eastAsia="Arial Unicode MS"/>
          <w:noProof/>
        </w:rPr>
        <w:t>ECE</w:t>
      </w:r>
      <w:r w:rsidR="00E307F0" w:rsidRPr="00E307F0">
        <w:rPr>
          <w:rFonts w:eastAsia="Arial Unicode MS"/>
          <w:noProof/>
        </w:rPr>
        <w:t xml:space="preserve"> in a consultative capacity under paragraph 8 or 11 of </w:t>
      </w:r>
      <w:r w:rsidR="00E307F0">
        <w:rPr>
          <w:rFonts w:eastAsia="Arial Unicode MS"/>
          <w:noProof/>
        </w:rPr>
        <w:t>ECE’s</w:t>
      </w:r>
      <w:r w:rsidR="00E307F0" w:rsidRPr="00E307F0">
        <w:rPr>
          <w:rFonts w:eastAsia="Arial Unicode MS"/>
          <w:noProof/>
        </w:rPr>
        <w:t xml:space="preserve"> terms of reference.</w:t>
      </w:r>
      <w:r w:rsidR="00E307F0">
        <w:rPr>
          <w:rFonts w:eastAsia="Arial Unicode MS"/>
          <w:noProof/>
        </w:rPr>
        <w:t xml:space="preserve"> It also determines that</w:t>
      </w:r>
      <w:r w:rsidR="00E307F0" w:rsidRPr="00E307F0">
        <w:rPr>
          <w:rFonts w:eastAsia="Arial Unicode MS"/>
          <w:noProof/>
        </w:rPr>
        <w:t xml:space="preserve"> </w:t>
      </w:r>
      <w:r w:rsidR="00E307F0">
        <w:rPr>
          <w:rFonts w:eastAsia="Arial Unicode MS"/>
          <w:noProof/>
        </w:rPr>
        <w:t>a</w:t>
      </w:r>
      <w:r w:rsidR="00E307F0" w:rsidRPr="00E307F0">
        <w:rPr>
          <w:rFonts w:eastAsia="Arial Unicode MS"/>
          <w:noProof/>
        </w:rPr>
        <w:t xml:space="preserve">ccessions under paragraph 11 of </w:t>
      </w:r>
      <w:r w:rsidR="00E307F0">
        <w:rPr>
          <w:rFonts w:eastAsia="Arial Unicode MS"/>
          <w:noProof/>
        </w:rPr>
        <w:t>ECE’</w:t>
      </w:r>
      <w:r w:rsidR="00E307F0" w:rsidRPr="00E307F0">
        <w:rPr>
          <w:rFonts w:eastAsia="Arial Unicode MS"/>
          <w:noProof/>
        </w:rPr>
        <w:t xml:space="preserve">s terms of reference </w:t>
      </w:r>
      <w:r w:rsidR="00E307F0">
        <w:rPr>
          <w:rFonts w:eastAsia="Arial Unicode MS"/>
          <w:noProof/>
        </w:rPr>
        <w:t>are</w:t>
      </w:r>
      <w:r w:rsidR="00E307F0" w:rsidRPr="00E307F0">
        <w:rPr>
          <w:rFonts w:eastAsia="Arial Unicode MS"/>
          <w:noProof/>
        </w:rPr>
        <w:t xml:space="preserve"> limited to Algeria, Egypt, Jordan, Lebanon, Morocco and Tunisia</w:t>
      </w:r>
      <w:r w:rsidRPr="00CD7378">
        <w:rPr>
          <w:rFonts w:eastAsia="Arial Unicode MS"/>
          <w:noProof/>
        </w:rPr>
        <w:t xml:space="preserve">. </w:t>
      </w:r>
    </w:p>
    <w:p w:rsidR="00F5034D" w:rsidRDefault="00CD7378" w:rsidP="00736AA9">
      <w:pPr>
        <w:rPr>
          <w:rFonts w:eastAsia="Arial Unicode MS"/>
          <w:noProof/>
        </w:rPr>
      </w:pPr>
      <w:r w:rsidRPr="00CD7378">
        <w:rPr>
          <w:rFonts w:eastAsia="Arial Unicode MS"/>
          <w:noProof/>
        </w:rPr>
        <w:t>As a result</w:t>
      </w:r>
      <w:r w:rsidR="00E307F0">
        <w:rPr>
          <w:rFonts w:eastAsia="Arial Unicode MS"/>
          <w:noProof/>
        </w:rPr>
        <w:t xml:space="preserve">, apart from non-European </w:t>
      </w:r>
      <w:r w:rsidR="00E307F0" w:rsidRPr="00E307F0">
        <w:rPr>
          <w:rFonts w:eastAsia="Arial Unicode MS"/>
          <w:noProof/>
        </w:rPr>
        <w:t>States</w:t>
      </w:r>
      <w:r w:rsidR="00E307F0">
        <w:rPr>
          <w:rFonts w:eastAsia="Arial Unicode MS"/>
          <w:noProof/>
        </w:rPr>
        <w:t xml:space="preserve"> that are already</w:t>
      </w:r>
      <w:r w:rsidR="00E307F0" w:rsidRPr="00E307F0">
        <w:rPr>
          <w:rFonts w:eastAsia="Arial Unicode MS"/>
          <w:noProof/>
        </w:rPr>
        <w:t xml:space="preserve"> members of ECE</w:t>
      </w:r>
      <w:r w:rsidR="00E307F0">
        <w:rPr>
          <w:rFonts w:eastAsia="Arial Unicode MS"/>
          <w:noProof/>
        </w:rPr>
        <w:t xml:space="preserve">, </w:t>
      </w:r>
      <w:r w:rsidR="00611C53">
        <w:rPr>
          <w:rFonts w:eastAsia="Arial Unicode MS"/>
          <w:noProof/>
        </w:rPr>
        <w:t>Article 14</w:t>
      </w:r>
      <w:r w:rsidR="00BA507B">
        <w:rPr>
          <w:rFonts w:eastAsia="Arial Unicode MS"/>
          <w:noProof/>
        </w:rPr>
        <w:t>(1)</w:t>
      </w:r>
      <w:r w:rsidR="00611C53">
        <w:rPr>
          <w:rFonts w:eastAsia="Arial Unicode MS"/>
          <w:noProof/>
        </w:rPr>
        <w:t xml:space="preserve"> of the AETR currently allows only a closed</w:t>
      </w:r>
      <w:r w:rsidR="00FA6B23">
        <w:rPr>
          <w:rFonts w:eastAsia="Arial Unicode MS"/>
          <w:noProof/>
        </w:rPr>
        <w:t xml:space="preserve"> </w:t>
      </w:r>
      <w:r w:rsidR="00611C53">
        <w:rPr>
          <w:rFonts w:eastAsia="Arial Unicode MS"/>
          <w:noProof/>
        </w:rPr>
        <w:t xml:space="preserve">list of non-European </w:t>
      </w:r>
      <w:r w:rsidR="00BA507B">
        <w:rPr>
          <w:rFonts w:eastAsia="Arial Unicode MS"/>
          <w:noProof/>
        </w:rPr>
        <w:t>State</w:t>
      </w:r>
      <w:r w:rsidR="00CD2701">
        <w:rPr>
          <w:rFonts w:eastAsia="Arial Unicode MS"/>
          <w:noProof/>
        </w:rPr>
        <w:t>s</w:t>
      </w:r>
      <w:r w:rsidR="00611C53">
        <w:rPr>
          <w:rFonts w:eastAsia="Arial Unicode MS"/>
          <w:noProof/>
        </w:rPr>
        <w:t xml:space="preserve"> to accede </w:t>
      </w:r>
      <w:r>
        <w:rPr>
          <w:rFonts w:eastAsia="Arial Unicode MS"/>
          <w:noProof/>
        </w:rPr>
        <w:t xml:space="preserve">to </w:t>
      </w:r>
      <w:r w:rsidR="00611C53">
        <w:rPr>
          <w:rFonts w:eastAsia="Arial Unicode MS"/>
          <w:noProof/>
        </w:rPr>
        <w:t>the AETR</w:t>
      </w:r>
      <w:r w:rsidR="00BA507B">
        <w:rPr>
          <w:rFonts w:eastAsia="Arial Unicode MS"/>
          <w:noProof/>
        </w:rPr>
        <w:t xml:space="preserve">. It is therefore necessary for any </w:t>
      </w:r>
      <w:r w:rsidR="00E307F0">
        <w:rPr>
          <w:rFonts w:eastAsia="Arial Unicode MS"/>
          <w:noProof/>
        </w:rPr>
        <w:t xml:space="preserve">non-European </w:t>
      </w:r>
      <w:r w:rsidR="00BA507B">
        <w:rPr>
          <w:rFonts w:eastAsia="Arial Unicode MS"/>
          <w:noProof/>
        </w:rPr>
        <w:t>State</w:t>
      </w:r>
      <w:r w:rsidR="00E307F0">
        <w:rPr>
          <w:rFonts w:eastAsia="Arial Unicode MS"/>
          <w:noProof/>
        </w:rPr>
        <w:t xml:space="preserve"> that is not a member of ECE and is</w:t>
      </w:r>
      <w:r w:rsidR="00BA507B">
        <w:rPr>
          <w:rFonts w:eastAsia="Arial Unicode MS"/>
          <w:noProof/>
        </w:rPr>
        <w:t xml:space="preserve"> not in the list </w:t>
      </w:r>
      <w:r w:rsidR="00E307F0">
        <w:rPr>
          <w:rFonts w:eastAsia="Arial Unicode MS"/>
          <w:noProof/>
        </w:rPr>
        <w:t>included in</w:t>
      </w:r>
      <w:r w:rsidR="00BA507B">
        <w:rPr>
          <w:rFonts w:eastAsia="Arial Unicode MS"/>
          <w:noProof/>
        </w:rPr>
        <w:t xml:space="preserve"> Article 14(1) </w:t>
      </w:r>
      <w:r w:rsidR="00CC6AE5">
        <w:rPr>
          <w:rFonts w:eastAsia="Arial Unicode MS"/>
          <w:noProof/>
        </w:rPr>
        <w:t xml:space="preserve">of the </w:t>
      </w:r>
      <w:r w:rsidR="00BA507B">
        <w:rPr>
          <w:rFonts w:eastAsia="Arial Unicode MS"/>
          <w:noProof/>
        </w:rPr>
        <w:t>AETR</w:t>
      </w:r>
      <w:r w:rsidR="0098572B">
        <w:rPr>
          <w:rFonts w:eastAsia="Arial Unicode MS"/>
          <w:noProof/>
        </w:rPr>
        <w:t xml:space="preserve"> that wishes to accede to this Agreement</w:t>
      </w:r>
      <w:r w:rsidR="00BA507B">
        <w:rPr>
          <w:rFonts w:eastAsia="Arial Unicode MS"/>
          <w:noProof/>
        </w:rPr>
        <w:t xml:space="preserve"> to find a Contracting Party </w:t>
      </w:r>
      <w:r w:rsidR="00E307F0">
        <w:rPr>
          <w:rFonts w:eastAsia="Arial Unicode MS"/>
          <w:noProof/>
        </w:rPr>
        <w:t>willing to</w:t>
      </w:r>
      <w:r w:rsidR="00F5034D">
        <w:rPr>
          <w:rFonts w:eastAsia="Arial Unicode MS"/>
          <w:noProof/>
        </w:rPr>
        <w:t xml:space="preserve"> submit a proposal to amend Article 14(1)</w:t>
      </w:r>
      <w:r w:rsidR="00CC6AE5">
        <w:rPr>
          <w:rFonts w:eastAsia="Arial Unicode MS"/>
          <w:noProof/>
        </w:rPr>
        <w:t xml:space="preserve"> of the</w:t>
      </w:r>
      <w:r w:rsidR="005D5260">
        <w:rPr>
          <w:rFonts w:eastAsia="Arial Unicode MS"/>
          <w:noProof/>
        </w:rPr>
        <w:t xml:space="preserve"> AETR</w:t>
      </w:r>
      <w:r w:rsidR="00E307F0">
        <w:rPr>
          <w:rFonts w:eastAsia="Arial Unicode MS"/>
          <w:noProof/>
        </w:rPr>
        <w:t>, so as</w:t>
      </w:r>
      <w:r w:rsidR="00F5034D">
        <w:rPr>
          <w:rFonts w:eastAsia="Arial Unicode MS"/>
          <w:noProof/>
        </w:rPr>
        <w:t xml:space="preserve"> to include </w:t>
      </w:r>
      <w:r w:rsidR="005D5260">
        <w:rPr>
          <w:rFonts w:eastAsia="Arial Unicode MS"/>
          <w:noProof/>
        </w:rPr>
        <w:t xml:space="preserve">the </w:t>
      </w:r>
      <w:r w:rsidR="0098572B">
        <w:rPr>
          <w:rFonts w:eastAsia="Arial Unicode MS"/>
          <w:noProof/>
        </w:rPr>
        <w:t>concerned</w:t>
      </w:r>
      <w:r w:rsidR="005D5260">
        <w:rPr>
          <w:rFonts w:eastAsia="Arial Unicode MS"/>
          <w:noProof/>
        </w:rPr>
        <w:t xml:space="preserve"> State in </w:t>
      </w:r>
      <w:r w:rsidR="00F5034D">
        <w:rPr>
          <w:rFonts w:eastAsia="Arial Unicode MS"/>
          <w:noProof/>
        </w:rPr>
        <w:t xml:space="preserve">that list. </w:t>
      </w:r>
    </w:p>
    <w:p w:rsidR="00B1005F" w:rsidRDefault="00DC3566" w:rsidP="0007654A">
      <w:pPr>
        <w:rPr>
          <w:rFonts w:eastAsia="Arial Unicode MS"/>
          <w:noProof/>
        </w:rPr>
      </w:pPr>
      <w:r w:rsidDel="00E307F0">
        <w:rPr>
          <w:rFonts w:eastAsia="Arial Unicode MS"/>
          <w:noProof/>
        </w:rPr>
        <w:t>Given that t</w:t>
      </w:r>
      <w:r w:rsidR="00F5034D" w:rsidDel="00E307F0">
        <w:rPr>
          <w:rFonts w:eastAsia="Arial Unicode MS"/>
          <w:noProof/>
        </w:rPr>
        <w:t xml:space="preserve">he </w:t>
      </w:r>
      <w:r w:rsidR="0069744D" w:rsidDel="00E307F0">
        <w:rPr>
          <w:rFonts w:eastAsia="Arial Unicode MS"/>
          <w:noProof/>
        </w:rPr>
        <w:t xml:space="preserve">subject matter </w:t>
      </w:r>
      <w:r w:rsidR="00F5034D" w:rsidDel="00E307F0">
        <w:rPr>
          <w:rFonts w:eastAsia="Arial Unicode MS"/>
          <w:noProof/>
        </w:rPr>
        <w:t xml:space="preserve">of the AETR </w:t>
      </w:r>
      <w:r w:rsidR="00CC6AE5">
        <w:rPr>
          <w:rFonts w:eastAsia="Arial Unicode MS"/>
          <w:noProof/>
        </w:rPr>
        <w:t>falls under</w:t>
      </w:r>
      <w:r w:rsidR="00317642" w:rsidDel="00E307F0">
        <w:rPr>
          <w:rFonts w:eastAsia="Arial Unicode MS"/>
          <w:noProof/>
        </w:rPr>
        <w:t xml:space="preserve"> the exclusive competence of the Union</w:t>
      </w:r>
      <w:r w:rsidR="003B63ED" w:rsidDel="00E307F0">
        <w:rPr>
          <w:rFonts w:eastAsia="Arial Unicode MS"/>
          <w:noProof/>
        </w:rPr>
        <w:t>,</w:t>
      </w:r>
      <w:r w:rsidR="00FA6B23" w:rsidDel="00E307F0">
        <w:rPr>
          <w:rFonts w:eastAsia="Arial Unicode MS"/>
          <w:noProof/>
        </w:rPr>
        <w:t xml:space="preserve"> </w:t>
      </w:r>
      <w:r w:rsidR="00317642" w:rsidDel="00E307F0">
        <w:rPr>
          <w:rFonts w:eastAsia="Arial Unicode MS"/>
          <w:noProof/>
        </w:rPr>
        <w:t xml:space="preserve">Mongolia has reached out to the Commission to </w:t>
      </w:r>
      <w:r w:rsidR="000F743A" w:rsidDel="00E307F0">
        <w:rPr>
          <w:rFonts w:eastAsia="Arial Unicode MS"/>
          <w:noProof/>
        </w:rPr>
        <w:t>inquire about the possibility for the Union to submit</w:t>
      </w:r>
      <w:r w:rsidR="004F226C" w:rsidDel="00E307F0">
        <w:rPr>
          <w:rFonts w:eastAsia="Arial Unicode MS"/>
          <w:noProof/>
        </w:rPr>
        <w:t xml:space="preserve"> </w:t>
      </w:r>
      <w:r w:rsidR="00CC6AE5">
        <w:rPr>
          <w:rFonts w:eastAsia="Arial Unicode MS"/>
          <w:noProof/>
        </w:rPr>
        <w:t xml:space="preserve">a proposal for </w:t>
      </w:r>
      <w:r w:rsidR="004F226C" w:rsidDel="00E307F0">
        <w:rPr>
          <w:rFonts w:eastAsia="Arial Unicode MS"/>
          <w:noProof/>
        </w:rPr>
        <w:t xml:space="preserve">the amendment </w:t>
      </w:r>
      <w:r w:rsidR="00CC6AE5">
        <w:rPr>
          <w:rFonts w:eastAsia="Arial Unicode MS"/>
          <w:noProof/>
        </w:rPr>
        <w:t>of Article 14(1) of the AETR,</w:t>
      </w:r>
      <w:r w:rsidR="004F226C" w:rsidDel="00E307F0">
        <w:rPr>
          <w:rFonts w:eastAsia="Arial Unicode MS"/>
          <w:noProof/>
        </w:rPr>
        <w:t xml:space="preserve"> </w:t>
      </w:r>
      <w:r w:rsidR="00CC6AE5">
        <w:rPr>
          <w:rFonts w:eastAsia="Arial Unicode MS"/>
          <w:noProof/>
        </w:rPr>
        <w:t>in order to expressly include Mongolia in the list of non-European States that may accede to th</w:t>
      </w:r>
      <w:r w:rsidR="00B1005F">
        <w:rPr>
          <w:rFonts w:eastAsia="Arial Unicode MS"/>
          <w:noProof/>
        </w:rPr>
        <w:t>at Agreement.</w:t>
      </w:r>
    </w:p>
    <w:p w:rsidR="0007654A" w:rsidRDefault="00B1005F" w:rsidP="0007654A">
      <w:pPr>
        <w:rPr>
          <w:noProof/>
        </w:rPr>
      </w:pPr>
      <w:r>
        <w:rPr>
          <w:rFonts w:eastAsia="Arial Unicode MS"/>
          <w:noProof/>
        </w:rPr>
        <w:t>The purpose of the envisaged act is therefore to</w:t>
      </w:r>
      <w:r w:rsidR="004F226C">
        <w:rPr>
          <w:rFonts w:eastAsia="Arial Unicode MS"/>
          <w:noProof/>
        </w:rPr>
        <w:t xml:space="preserve"> allow </w:t>
      </w:r>
      <w:r>
        <w:rPr>
          <w:rFonts w:eastAsia="Arial Unicode MS"/>
          <w:noProof/>
        </w:rPr>
        <w:t>Mongolia</w:t>
      </w:r>
      <w:r w:rsidR="004F226C">
        <w:rPr>
          <w:rFonts w:eastAsia="Arial Unicode MS"/>
          <w:noProof/>
        </w:rPr>
        <w:t xml:space="preserve"> to accede the AETR</w:t>
      </w:r>
      <w:r w:rsidR="004F226C" w:rsidDel="00E307F0">
        <w:rPr>
          <w:rFonts w:eastAsia="Arial Unicode MS"/>
          <w:noProof/>
        </w:rPr>
        <w:t>.</w:t>
      </w:r>
      <w:r w:rsidR="00F5034D" w:rsidDel="00E307F0">
        <w:rPr>
          <w:rFonts w:eastAsia="Arial Unicode MS"/>
          <w:noProof/>
        </w:rPr>
        <w:t xml:space="preserve"> </w:t>
      </w:r>
      <w:r w:rsidR="0007654A" w:rsidRPr="00252D23">
        <w:rPr>
          <w:noProof/>
        </w:rPr>
        <w:t xml:space="preserve">The Group of Experts will be tasked with examining the proposal in view of endorsing </w:t>
      </w:r>
      <w:r w:rsidR="0007654A">
        <w:rPr>
          <w:noProof/>
        </w:rPr>
        <w:t>the proposed</w:t>
      </w:r>
      <w:r w:rsidR="0007654A" w:rsidRPr="00252D23">
        <w:rPr>
          <w:noProof/>
        </w:rPr>
        <w:t xml:space="preserve"> amendment and recommending </w:t>
      </w:r>
      <w:r w:rsidR="0007654A">
        <w:rPr>
          <w:noProof/>
        </w:rPr>
        <w:t>it</w:t>
      </w:r>
      <w:r w:rsidR="0007654A" w:rsidRPr="00252D23">
        <w:rPr>
          <w:noProof/>
        </w:rPr>
        <w:t xml:space="preserve"> for endorsement by the Working Party on Road Transport. The Working Party on Road Transport could also provide guidance and instructions to the Group of Experts in case this is necessary. Once the Working Party on Road Transport has informally endorsed the proposal, a Contracting Party would then need to table </w:t>
      </w:r>
      <w:r w:rsidR="0007654A">
        <w:rPr>
          <w:noProof/>
        </w:rPr>
        <w:t>the</w:t>
      </w:r>
      <w:r w:rsidR="0007654A" w:rsidRPr="00252D23">
        <w:rPr>
          <w:noProof/>
        </w:rPr>
        <w:t xml:space="preserve"> amendment to the United Nations Secretary-General</w:t>
      </w:r>
      <w:r w:rsidR="0007654A">
        <w:rPr>
          <w:noProof/>
        </w:rPr>
        <w:t>.</w:t>
      </w:r>
    </w:p>
    <w:p w:rsidR="0007654A" w:rsidRPr="00783646" w:rsidRDefault="0007654A" w:rsidP="0007654A">
      <w:pPr>
        <w:rPr>
          <w:noProof/>
        </w:rPr>
      </w:pPr>
      <w:r w:rsidRPr="003D1322">
        <w:rPr>
          <w:noProof/>
        </w:rPr>
        <w:t>The envisaged act, if adopted, would become binding on the parties in accordance with Article 21(6) of the Agreement, which provides: ‘Any amendment deemed to be accepted shall enter into force three months after the date on which it was deemed to be accepted.’</w:t>
      </w:r>
      <w:r>
        <w:rPr>
          <w:noProof/>
        </w:rPr>
        <w:t xml:space="preserve"> Mongolia would then be able to accede </w:t>
      </w:r>
      <w:r w:rsidR="00B1005F">
        <w:rPr>
          <w:noProof/>
        </w:rPr>
        <w:t xml:space="preserve">to </w:t>
      </w:r>
      <w:r>
        <w:rPr>
          <w:noProof/>
        </w:rPr>
        <w:t xml:space="preserve">the AETR in accordance with the procedure </w:t>
      </w:r>
      <w:r w:rsidR="00B1005F">
        <w:rPr>
          <w:noProof/>
        </w:rPr>
        <w:t xml:space="preserve">that would be </w:t>
      </w:r>
      <w:r>
        <w:rPr>
          <w:noProof/>
        </w:rPr>
        <w:t>laid out in Article 14</w:t>
      </w:r>
      <w:r w:rsidR="00B1005F">
        <w:rPr>
          <w:noProof/>
        </w:rPr>
        <w:t xml:space="preserve"> of that Agreement</w:t>
      </w:r>
      <w:r>
        <w:rPr>
          <w:noProof/>
        </w:rPr>
        <w:t>.</w:t>
      </w:r>
    </w:p>
    <w:p w:rsidR="0007654A" w:rsidRPr="00E34F04" w:rsidRDefault="0035530E" w:rsidP="0035530E">
      <w:pPr>
        <w:pStyle w:val="ManualHeading1"/>
        <w:rPr>
          <w:noProof/>
        </w:rPr>
      </w:pPr>
      <w:r w:rsidRPr="0035530E">
        <w:rPr>
          <w:noProof/>
        </w:rPr>
        <w:t>3.</w:t>
      </w:r>
      <w:r w:rsidRPr="0035530E">
        <w:rPr>
          <w:noProof/>
        </w:rPr>
        <w:tab/>
      </w:r>
      <w:r w:rsidR="0007654A" w:rsidRPr="00E34F04">
        <w:rPr>
          <w:noProof/>
        </w:rPr>
        <w:t>Position to be taken on the Union's behalf</w:t>
      </w:r>
    </w:p>
    <w:p w:rsidR="00F576F5" w:rsidRDefault="00F576F5" w:rsidP="003D1322">
      <w:pPr>
        <w:rPr>
          <w:noProof/>
        </w:rPr>
      </w:pPr>
      <w:r>
        <w:rPr>
          <w:noProof/>
        </w:rPr>
        <w:t xml:space="preserve">Mongolia </w:t>
      </w:r>
      <w:r w:rsidR="00B57EC9">
        <w:rPr>
          <w:noProof/>
        </w:rPr>
        <w:t xml:space="preserve">first </w:t>
      </w:r>
      <w:r>
        <w:rPr>
          <w:noProof/>
        </w:rPr>
        <w:t xml:space="preserve">informed the Commission </w:t>
      </w:r>
      <w:r w:rsidR="00B57EC9">
        <w:rPr>
          <w:noProof/>
        </w:rPr>
        <w:t xml:space="preserve">in January 2024 </w:t>
      </w:r>
      <w:r>
        <w:rPr>
          <w:noProof/>
        </w:rPr>
        <w:t>that it wishes to further develop its commercial road trade routes</w:t>
      </w:r>
      <w:r w:rsidR="00B57EC9">
        <w:rPr>
          <w:noProof/>
        </w:rPr>
        <w:t>, and hence that it is seeking accession to the AETR</w:t>
      </w:r>
      <w:r>
        <w:rPr>
          <w:noProof/>
        </w:rPr>
        <w:t>. This includes developing its road transport sector and international transport by road beyond its immediate neighbours (China and the Russian Federation).</w:t>
      </w:r>
    </w:p>
    <w:p w:rsidR="00F576F5" w:rsidRPr="003D1322" w:rsidRDefault="00F576F5" w:rsidP="003D1322">
      <w:pPr>
        <w:rPr>
          <w:noProof/>
        </w:rPr>
      </w:pPr>
      <w:r>
        <w:rPr>
          <w:noProof/>
        </w:rPr>
        <w:t xml:space="preserve">In that respect, </w:t>
      </w:r>
      <w:r w:rsidR="00DA1E1E" w:rsidRPr="003D1322">
        <w:rPr>
          <w:noProof/>
        </w:rPr>
        <w:t xml:space="preserve">Mongolia has informed the Commission that it </w:t>
      </w:r>
      <w:r w:rsidR="00FE72D2" w:rsidRPr="003D1322">
        <w:rPr>
          <w:noProof/>
        </w:rPr>
        <w:t xml:space="preserve">currently has bilateral agreements on </w:t>
      </w:r>
      <w:r w:rsidR="00884F6B">
        <w:rPr>
          <w:noProof/>
        </w:rPr>
        <w:t xml:space="preserve">international </w:t>
      </w:r>
      <w:r w:rsidR="00FE72D2" w:rsidRPr="003D1322">
        <w:rPr>
          <w:noProof/>
        </w:rPr>
        <w:t>road transport</w:t>
      </w:r>
      <w:r w:rsidR="00FF6C61" w:rsidRPr="003D1322">
        <w:rPr>
          <w:noProof/>
        </w:rPr>
        <w:t xml:space="preserve"> with several EU and non-AETR countries. These are compiled in</w:t>
      </w:r>
      <w:r w:rsidR="00330851">
        <w:rPr>
          <w:noProof/>
        </w:rPr>
        <w:t xml:space="preserve"> Table 1</w:t>
      </w:r>
      <w:r w:rsidR="00FF6C61" w:rsidRPr="003D1322">
        <w:rPr>
          <w:noProof/>
        </w:rPr>
        <w:t xml:space="preserve"> below. </w:t>
      </w:r>
    </w:p>
    <w:p w:rsidR="00DC0318" w:rsidRDefault="00FF6C61" w:rsidP="00DC0318">
      <w:pPr>
        <w:jc w:val="center"/>
        <w:rPr>
          <w:i/>
          <w:iCs/>
          <w:noProof/>
        </w:rPr>
      </w:pPr>
      <w:r w:rsidRPr="00DC0318">
        <w:rPr>
          <w:i/>
          <w:iCs/>
          <w:noProof/>
        </w:rPr>
        <w:t xml:space="preserve">Table 1: Status of Mongolia’s bilateral agreements in </w:t>
      </w:r>
      <w:r w:rsidR="00F833E9" w:rsidRPr="00DC0318">
        <w:rPr>
          <w:i/>
          <w:iCs/>
          <w:noProof/>
        </w:rPr>
        <w:t xml:space="preserve">international </w:t>
      </w:r>
      <w:r w:rsidRPr="00DC0318">
        <w:rPr>
          <w:i/>
          <w:iCs/>
          <w:noProof/>
        </w:rPr>
        <w:t>road</w:t>
      </w:r>
      <w:r w:rsidR="00F833E9" w:rsidRPr="00DC0318">
        <w:rPr>
          <w:i/>
          <w:iCs/>
          <w:noProof/>
        </w:rPr>
        <w:t xml:space="preserve"> transport</w:t>
      </w:r>
      <w:r w:rsidR="00505A8B" w:rsidRPr="00DC0318">
        <w:rPr>
          <w:i/>
          <w:iCs/>
          <w:noProof/>
        </w:rPr>
        <w:t xml:space="preserve"> </w:t>
      </w:r>
    </w:p>
    <w:p w:rsidR="00FF6C61" w:rsidRPr="00DC0318" w:rsidRDefault="00505A8B" w:rsidP="00DC0318">
      <w:pPr>
        <w:jc w:val="center"/>
        <w:rPr>
          <w:i/>
          <w:iCs/>
          <w:noProof/>
        </w:rPr>
      </w:pPr>
      <w:r w:rsidRPr="00DC0318">
        <w:rPr>
          <w:i/>
          <w:iCs/>
          <w:noProof/>
        </w:rPr>
        <w:t>(source: Government of Mongolia</w:t>
      </w:r>
      <w:r w:rsidR="00601588">
        <w:rPr>
          <w:i/>
          <w:iCs/>
          <w:noProof/>
        </w:rPr>
        <w:t>, February 2025</w:t>
      </w:r>
      <w:r w:rsidRPr="00DC0318">
        <w:rPr>
          <w:i/>
          <w:iCs/>
          <w:noProof/>
        </w:rPr>
        <w:t>)</w:t>
      </w:r>
    </w:p>
    <w:tbl>
      <w:tblPr>
        <w:tblStyle w:val="TableGrid"/>
        <w:tblW w:w="9322" w:type="dxa"/>
        <w:tblLook w:val="04A0" w:firstRow="1" w:lastRow="0" w:firstColumn="1" w:lastColumn="0" w:noHBand="0" w:noVBand="1"/>
      </w:tblPr>
      <w:tblGrid>
        <w:gridCol w:w="2518"/>
        <w:gridCol w:w="2835"/>
        <w:gridCol w:w="3969"/>
      </w:tblGrid>
      <w:tr w:rsidR="008D7C53" w:rsidRPr="00B57EC9" w:rsidTr="00F576F5">
        <w:tc>
          <w:tcPr>
            <w:tcW w:w="2518" w:type="dxa"/>
          </w:tcPr>
          <w:p w:rsidR="008D7C53" w:rsidRPr="003D1322" w:rsidRDefault="008D7C53" w:rsidP="003D1322">
            <w:pPr>
              <w:rPr>
                <w:noProof/>
              </w:rPr>
            </w:pPr>
          </w:p>
        </w:tc>
        <w:tc>
          <w:tcPr>
            <w:tcW w:w="2835" w:type="dxa"/>
          </w:tcPr>
          <w:p w:rsidR="008D7C53" w:rsidRPr="003D1322" w:rsidRDefault="008D7C53" w:rsidP="003D1322">
            <w:pPr>
              <w:rPr>
                <w:noProof/>
              </w:rPr>
            </w:pPr>
            <w:r>
              <w:rPr>
                <w:noProof/>
              </w:rPr>
              <w:t xml:space="preserve">EU </w:t>
            </w:r>
            <w:r w:rsidRPr="003D1322">
              <w:rPr>
                <w:noProof/>
              </w:rPr>
              <w:t>Member States</w:t>
            </w:r>
          </w:p>
        </w:tc>
        <w:tc>
          <w:tcPr>
            <w:tcW w:w="3969" w:type="dxa"/>
          </w:tcPr>
          <w:p w:rsidR="008D7C53" w:rsidRPr="003D1322" w:rsidRDefault="008D7C53" w:rsidP="003D1322">
            <w:pPr>
              <w:rPr>
                <w:noProof/>
                <w:lang w:val="fr-BE"/>
              </w:rPr>
            </w:pPr>
            <w:r w:rsidRPr="003D1322">
              <w:rPr>
                <w:noProof/>
                <w:lang w:val="fr-BE"/>
              </w:rPr>
              <w:t>Non-EU AETR Contracting P</w:t>
            </w:r>
            <w:r w:rsidRPr="008B50B6">
              <w:rPr>
                <w:noProof/>
                <w:lang w:val="fr-BE"/>
              </w:rPr>
              <w:t>arties</w:t>
            </w:r>
          </w:p>
        </w:tc>
      </w:tr>
      <w:tr w:rsidR="008D7C53" w:rsidRPr="003D1322" w:rsidTr="00F576F5">
        <w:tc>
          <w:tcPr>
            <w:tcW w:w="2518" w:type="dxa"/>
          </w:tcPr>
          <w:p w:rsidR="008D7C53" w:rsidRPr="003D1322" w:rsidRDefault="008D7C53" w:rsidP="00E107BE">
            <w:pPr>
              <w:jc w:val="left"/>
              <w:rPr>
                <w:noProof/>
                <w:lang w:val="en-IE"/>
              </w:rPr>
            </w:pPr>
            <w:r w:rsidRPr="003D1322">
              <w:rPr>
                <w:noProof/>
                <w:lang w:val="en-IE"/>
              </w:rPr>
              <w:t>Existing bilateral Agreements</w:t>
            </w:r>
            <w:r w:rsidRPr="003D1322">
              <w:rPr>
                <w:noProof/>
              </w:rPr>
              <w:t xml:space="preserve"> or </w:t>
            </w:r>
            <w:r>
              <w:rPr>
                <w:noProof/>
              </w:rPr>
              <w:t>exchange permits</w:t>
            </w:r>
            <w:r w:rsidRPr="003D1322">
              <w:rPr>
                <w:noProof/>
                <w:lang w:val="en-IE"/>
              </w:rPr>
              <w:t xml:space="preserve"> </w:t>
            </w:r>
            <w:r w:rsidRPr="003D1322">
              <w:rPr>
                <w:noProof/>
              </w:rPr>
              <w:t>in international road transport of Mongolia</w:t>
            </w:r>
          </w:p>
        </w:tc>
        <w:tc>
          <w:tcPr>
            <w:tcW w:w="2835" w:type="dxa"/>
          </w:tcPr>
          <w:p w:rsidR="008D7C53" w:rsidRPr="003D1322" w:rsidRDefault="008D7C53" w:rsidP="00E107BE">
            <w:pPr>
              <w:jc w:val="left"/>
              <w:rPr>
                <w:noProof/>
                <w:lang w:val="en-IE"/>
              </w:rPr>
            </w:pPr>
            <w:r w:rsidRPr="003D1322">
              <w:rPr>
                <w:noProof/>
              </w:rPr>
              <w:t xml:space="preserve">Latvia, Hungary, Lithuania, Slovenia, Poland, Germany, Slovakia, Czechia. </w:t>
            </w:r>
          </w:p>
        </w:tc>
        <w:tc>
          <w:tcPr>
            <w:tcW w:w="3969" w:type="dxa"/>
          </w:tcPr>
          <w:p w:rsidR="008D7C53" w:rsidRPr="003D1322" w:rsidRDefault="008D7C53" w:rsidP="00E107BE">
            <w:pPr>
              <w:jc w:val="left"/>
              <w:rPr>
                <w:noProof/>
                <w:lang w:val="en-IE"/>
              </w:rPr>
            </w:pPr>
            <w:r w:rsidRPr="003D1322">
              <w:rPr>
                <w:noProof/>
              </w:rPr>
              <w:t>Kazakhstan, Ukraine, Russian Federation, Belarus, Kyrgyzstan, Uzbekistan, Turkmenistan, Türkiye, Moldova, Georgia</w:t>
            </w:r>
            <w:r>
              <w:rPr>
                <w:noProof/>
              </w:rPr>
              <w:t>.</w:t>
            </w:r>
          </w:p>
        </w:tc>
      </w:tr>
    </w:tbl>
    <w:p w:rsidR="00FC0D12" w:rsidRDefault="00F576F5" w:rsidP="003D1322">
      <w:pPr>
        <w:rPr>
          <w:noProof/>
        </w:rPr>
      </w:pPr>
      <w:r>
        <w:rPr>
          <w:noProof/>
        </w:rPr>
        <w:t xml:space="preserve">Furthermore, </w:t>
      </w:r>
      <w:r w:rsidR="00FC0D12">
        <w:rPr>
          <w:noProof/>
        </w:rPr>
        <w:t xml:space="preserve">Mongolia </w:t>
      </w:r>
      <w:r w:rsidR="00652B29">
        <w:rPr>
          <w:noProof/>
        </w:rPr>
        <w:t xml:space="preserve">is a Contracting Party </w:t>
      </w:r>
      <w:r w:rsidR="00B32CFF">
        <w:rPr>
          <w:noProof/>
        </w:rPr>
        <w:t>to</w:t>
      </w:r>
      <w:r w:rsidR="00652B29">
        <w:rPr>
          <w:noProof/>
        </w:rPr>
        <w:t xml:space="preserve"> several international conventions </w:t>
      </w:r>
      <w:r w:rsidR="00AD180F">
        <w:rPr>
          <w:noProof/>
        </w:rPr>
        <w:t>related to road transport and</w:t>
      </w:r>
      <w:r w:rsidR="00652B29">
        <w:rPr>
          <w:noProof/>
        </w:rPr>
        <w:t xml:space="preserve"> road safety</w:t>
      </w:r>
      <w:r w:rsidR="002021C6">
        <w:rPr>
          <w:rStyle w:val="FootnoteReference"/>
          <w:noProof/>
        </w:rPr>
        <w:footnoteReference w:id="5"/>
      </w:r>
      <w:r>
        <w:rPr>
          <w:noProof/>
        </w:rPr>
        <w:t xml:space="preserve">, as well as </w:t>
      </w:r>
      <w:r w:rsidR="00CC6AE5">
        <w:rPr>
          <w:noProof/>
        </w:rPr>
        <w:t xml:space="preserve">to </w:t>
      </w:r>
      <w:r>
        <w:rPr>
          <w:noProof/>
        </w:rPr>
        <w:t>the Customs Convention on the International Transport of Goods under Cover of TIR Carnets (TIR Convention)</w:t>
      </w:r>
      <w:r w:rsidR="00AD180F">
        <w:rPr>
          <w:noProof/>
        </w:rPr>
        <w:t>.</w:t>
      </w:r>
      <w:r w:rsidR="007D4AAC">
        <w:rPr>
          <w:noProof/>
        </w:rPr>
        <w:t xml:space="preserve"> </w:t>
      </w:r>
    </w:p>
    <w:p w:rsidR="00DA1E1E" w:rsidRDefault="00B1005F" w:rsidP="003D1322">
      <w:pPr>
        <w:rPr>
          <w:noProof/>
        </w:rPr>
      </w:pPr>
      <w:r>
        <w:rPr>
          <w:noProof/>
        </w:rPr>
        <w:t>Thus</w:t>
      </w:r>
      <w:r w:rsidR="006A417B">
        <w:rPr>
          <w:noProof/>
        </w:rPr>
        <w:t>, w</w:t>
      </w:r>
      <w:r w:rsidR="00BF4574">
        <w:rPr>
          <w:noProof/>
        </w:rPr>
        <w:t xml:space="preserve">hile the main exchanges </w:t>
      </w:r>
      <w:r w:rsidR="006A417B">
        <w:rPr>
          <w:noProof/>
        </w:rPr>
        <w:t xml:space="preserve">of goods </w:t>
      </w:r>
      <w:r w:rsidR="00BF4574">
        <w:rPr>
          <w:noProof/>
        </w:rPr>
        <w:t>by road</w:t>
      </w:r>
      <w:r w:rsidR="00C36D2C">
        <w:rPr>
          <w:noProof/>
        </w:rPr>
        <w:t xml:space="preserve"> </w:t>
      </w:r>
      <w:r w:rsidR="00B32CFF">
        <w:rPr>
          <w:noProof/>
        </w:rPr>
        <w:t xml:space="preserve">from and to </w:t>
      </w:r>
      <w:r w:rsidR="00C36D2C">
        <w:rPr>
          <w:noProof/>
        </w:rPr>
        <w:t xml:space="preserve">Mongolia logically </w:t>
      </w:r>
      <w:r w:rsidR="006A417B">
        <w:rPr>
          <w:noProof/>
        </w:rPr>
        <w:t>take place with its neighbours</w:t>
      </w:r>
      <w:r w:rsidR="00471713">
        <w:rPr>
          <w:rStyle w:val="FootnoteReference"/>
          <w:noProof/>
        </w:rPr>
        <w:footnoteReference w:id="6"/>
      </w:r>
      <w:r w:rsidR="00E523E7">
        <w:rPr>
          <w:noProof/>
        </w:rPr>
        <w:t>, i</w:t>
      </w:r>
      <w:r w:rsidR="000F0DB7" w:rsidRPr="003D1322">
        <w:rPr>
          <w:noProof/>
        </w:rPr>
        <w:t xml:space="preserve">t </w:t>
      </w:r>
      <w:r w:rsidR="00E523E7">
        <w:rPr>
          <w:noProof/>
        </w:rPr>
        <w:t>still</w:t>
      </w:r>
      <w:r w:rsidR="000F0DB7" w:rsidRPr="003D1322">
        <w:rPr>
          <w:noProof/>
        </w:rPr>
        <w:t xml:space="preserve"> </w:t>
      </w:r>
      <w:r w:rsidR="00F85700" w:rsidRPr="003D1322">
        <w:rPr>
          <w:noProof/>
        </w:rPr>
        <w:t>appears</w:t>
      </w:r>
      <w:r w:rsidR="000F0DB7" w:rsidRPr="003D1322">
        <w:rPr>
          <w:noProof/>
        </w:rPr>
        <w:t xml:space="preserve"> </w:t>
      </w:r>
      <w:r w:rsidR="006A417B">
        <w:rPr>
          <w:noProof/>
        </w:rPr>
        <w:t xml:space="preserve">that it is </w:t>
      </w:r>
      <w:r w:rsidR="000F0DB7" w:rsidRPr="003D1322">
        <w:rPr>
          <w:noProof/>
        </w:rPr>
        <w:t xml:space="preserve">in the interest of the Union </w:t>
      </w:r>
      <w:r w:rsidR="009446B3" w:rsidRPr="003D1322">
        <w:rPr>
          <w:noProof/>
        </w:rPr>
        <w:t>and of its Member States that Mongolia accedes</w:t>
      </w:r>
      <w:r w:rsidR="0007654A">
        <w:rPr>
          <w:noProof/>
        </w:rPr>
        <w:t xml:space="preserve"> to</w:t>
      </w:r>
      <w:r w:rsidR="009446B3" w:rsidRPr="003D1322">
        <w:rPr>
          <w:noProof/>
        </w:rPr>
        <w:t xml:space="preserve"> the AET</w:t>
      </w:r>
      <w:r w:rsidR="00845298" w:rsidRPr="003D1322">
        <w:rPr>
          <w:noProof/>
        </w:rPr>
        <w:t>R</w:t>
      </w:r>
      <w:r w:rsidR="00FC10A4" w:rsidRPr="003D1322">
        <w:rPr>
          <w:noProof/>
        </w:rPr>
        <w:t>.</w:t>
      </w:r>
      <w:r w:rsidR="00845298" w:rsidRPr="003D1322">
        <w:rPr>
          <w:noProof/>
        </w:rPr>
        <w:t xml:space="preserve"> </w:t>
      </w:r>
      <w:r w:rsidR="009B6D4F">
        <w:rPr>
          <w:noProof/>
        </w:rPr>
        <w:t>Such an accession</w:t>
      </w:r>
      <w:r w:rsidR="0037108E">
        <w:rPr>
          <w:noProof/>
        </w:rPr>
        <w:t xml:space="preserve"> can pave the way to</w:t>
      </w:r>
      <w:r w:rsidR="00845298" w:rsidRPr="003D1322">
        <w:rPr>
          <w:noProof/>
        </w:rPr>
        <w:t xml:space="preserve"> several benefits, </w:t>
      </w:r>
      <w:r w:rsidR="0037108E">
        <w:rPr>
          <w:noProof/>
        </w:rPr>
        <w:t xml:space="preserve">including </w:t>
      </w:r>
      <w:r w:rsidR="00735FA7">
        <w:rPr>
          <w:noProof/>
        </w:rPr>
        <w:t xml:space="preserve">the </w:t>
      </w:r>
      <w:r w:rsidR="0037108E">
        <w:rPr>
          <w:noProof/>
        </w:rPr>
        <w:t xml:space="preserve">harmonisation of driving times and rest periods </w:t>
      </w:r>
      <w:r w:rsidR="00CC6168">
        <w:rPr>
          <w:noProof/>
        </w:rPr>
        <w:t xml:space="preserve">and the use of the tachograph </w:t>
      </w:r>
      <w:r w:rsidR="0037108E">
        <w:rPr>
          <w:noProof/>
        </w:rPr>
        <w:t xml:space="preserve">for international road transport </w:t>
      </w:r>
      <w:r w:rsidR="00735FA7">
        <w:rPr>
          <w:noProof/>
        </w:rPr>
        <w:t>between the EU and Mongolia, given the</w:t>
      </w:r>
      <w:r w:rsidR="0037108E">
        <w:rPr>
          <w:noProof/>
        </w:rPr>
        <w:t xml:space="preserve"> trend of bilateral agreements </w:t>
      </w:r>
      <w:r w:rsidR="00735FA7">
        <w:rPr>
          <w:noProof/>
        </w:rPr>
        <w:t xml:space="preserve">in force and </w:t>
      </w:r>
      <w:r w:rsidR="0007654A">
        <w:rPr>
          <w:noProof/>
        </w:rPr>
        <w:t>possible future bilateral agreements</w:t>
      </w:r>
      <w:r w:rsidR="000F5C25">
        <w:rPr>
          <w:noProof/>
        </w:rPr>
        <w:t xml:space="preserve"> between Mongolia and Member States. The </w:t>
      </w:r>
      <w:r w:rsidR="005B3B62">
        <w:rPr>
          <w:noProof/>
        </w:rPr>
        <w:t>implementation of the AETR in Mongolia can also pave the way for the training of professional drivers in Mongolia</w:t>
      </w:r>
      <w:r w:rsidR="000D5C9C">
        <w:rPr>
          <w:noProof/>
        </w:rPr>
        <w:t>;</w:t>
      </w:r>
      <w:r w:rsidR="00E75E12">
        <w:rPr>
          <w:noProof/>
        </w:rPr>
        <w:t xml:space="preserve"> </w:t>
      </w:r>
      <w:r w:rsidR="000D5C9C">
        <w:rPr>
          <w:noProof/>
        </w:rPr>
        <w:t>o</w:t>
      </w:r>
      <w:r w:rsidR="008060CD">
        <w:rPr>
          <w:noProof/>
        </w:rPr>
        <w:t>ver the period 2022-2023</w:t>
      </w:r>
      <w:r w:rsidR="00E75E12">
        <w:rPr>
          <w:noProof/>
        </w:rPr>
        <w:t>,</w:t>
      </w:r>
      <w:r w:rsidR="008060CD">
        <w:rPr>
          <w:noProof/>
        </w:rPr>
        <w:t xml:space="preserve"> no temporary driver cards were issued by Member States to drivers with normal residence in Mongolia</w:t>
      </w:r>
      <w:r w:rsidR="003F012D">
        <w:rPr>
          <w:rStyle w:val="FootnoteReference"/>
          <w:noProof/>
        </w:rPr>
        <w:footnoteReference w:id="7"/>
      </w:r>
      <w:r w:rsidR="00BF0760" w:rsidRPr="003D1322">
        <w:rPr>
          <w:noProof/>
        </w:rPr>
        <w:t xml:space="preserve">. </w:t>
      </w:r>
      <w:r w:rsidR="008D7C53">
        <w:rPr>
          <w:noProof/>
        </w:rPr>
        <w:t>The National Road Transport Association of Mongolia (NARTAM) is also a member of the International Road Transport Union (IRU)</w:t>
      </w:r>
      <w:r w:rsidR="008D7C53">
        <w:rPr>
          <w:rStyle w:val="FootnoteReference"/>
          <w:noProof/>
        </w:rPr>
        <w:footnoteReference w:id="8"/>
      </w:r>
      <w:r w:rsidR="008D7C53">
        <w:rPr>
          <w:noProof/>
        </w:rPr>
        <w:t xml:space="preserve"> since 2000.</w:t>
      </w:r>
    </w:p>
    <w:p w:rsidR="0036342A" w:rsidRDefault="00113D69" w:rsidP="00E307F0">
      <w:pPr>
        <w:rPr>
          <w:noProof/>
          <w:lang w:val="en-US" w:bidi="en-US"/>
        </w:rPr>
      </w:pPr>
      <w:r>
        <w:rPr>
          <w:noProof/>
          <w:lang w:val="en-US" w:bidi="en-US"/>
        </w:rPr>
        <w:t>The position of the Union should therefore be to support the possibility for Mongolia to accede</w:t>
      </w:r>
      <w:r w:rsidR="00B1005F">
        <w:rPr>
          <w:noProof/>
          <w:lang w:val="en-US" w:bidi="en-US"/>
        </w:rPr>
        <w:t xml:space="preserve"> to</w:t>
      </w:r>
      <w:r>
        <w:rPr>
          <w:noProof/>
          <w:lang w:val="en-US" w:bidi="en-US"/>
        </w:rPr>
        <w:t xml:space="preserve"> the AETR. </w:t>
      </w:r>
    </w:p>
    <w:p w:rsidR="00113D69" w:rsidRPr="00113D69" w:rsidRDefault="00113D69" w:rsidP="00113D69">
      <w:pPr>
        <w:rPr>
          <w:noProof/>
          <w:color w:val="0000FF"/>
        </w:rPr>
      </w:pPr>
      <w:r w:rsidRPr="00523E34">
        <w:rPr>
          <w:noProof/>
          <w:lang w:val="en-US" w:bidi="en-US"/>
        </w:rPr>
        <w:t xml:space="preserve">In its judgment of 31 March 1971 in Case 22/70 </w:t>
      </w:r>
      <w:r w:rsidRPr="00523E34">
        <w:rPr>
          <w:i/>
          <w:noProof/>
          <w:lang w:val="en-US" w:bidi="en-US"/>
        </w:rPr>
        <w:t>AETR</w:t>
      </w:r>
      <w:r w:rsidRPr="003C7EB1">
        <w:rPr>
          <w:rStyle w:val="FootnoteReference"/>
          <w:noProof/>
        </w:rPr>
        <w:footnoteReference w:id="9"/>
      </w:r>
      <w:r w:rsidRPr="00523E34">
        <w:rPr>
          <w:i/>
          <w:noProof/>
          <w:lang w:val="en-US" w:bidi="en-US"/>
        </w:rPr>
        <w:t xml:space="preserve">, </w:t>
      </w:r>
      <w:r w:rsidRPr="00523E34">
        <w:rPr>
          <w:noProof/>
          <w:lang w:val="en-US" w:bidi="en-US"/>
        </w:rPr>
        <w:t xml:space="preserve">the Court of Justice of the European Union </w:t>
      </w:r>
      <w:r w:rsidRPr="00523E34">
        <w:rPr>
          <w:noProof/>
          <w:lang w:bidi="en-US"/>
        </w:rPr>
        <w:t>recognised</w:t>
      </w:r>
      <w:r w:rsidRPr="00523E34">
        <w:rPr>
          <w:noProof/>
          <w:lang w:val="en-US" w:bidi="en-US"/>
        </w:rPr>
        <w:t xml:space="preserve"> that the area of the work of crews of vehicles engaged in road transport is an exclusive external competence of the Union. This competence has been exercised since then in numerous legislative acts adopted by the Union co-legislators, including Regulations (EC) No </w:t>
      </w:r>
      <w:r w:rsidRPr="00523E34">
        <w:rPr>
          <w:noProof/>
          <w:lang w:val="bg-BG" w:eastAsia="bg-BG" w:bidi="bg-BG"/>
        </w:rPr>
        <w:t>561/2006</w:t>
      </w:r>
      <w:r w:rsidR="00B32CFF">
        <w:rPr>
          <w:rStyle w:val="FootnoteReference"/>
          <w:noProof/>
          <w:lang w:val="bg-BG" w:eastAsia="bg-BG" w:bidi="bg-BG"/>
        </w:rPr>
        <w:footnoteReference w:id="10"/>
      </w:r>
      <w:r w:rsidRPr="00523E34">
        <w:rPr>
          <w:noProof/>
        </w:rPr>
        <w:t xml:space="preserve"> and (EU) No 165/2014</w:t>
      </w:r>
      <w:r w:rsidR="00B32CFF">
        <w:rPr>
          <w:rStyle w:val="FootnoteReference"/>
          <w:noProof/>
        </w:rPr>
        <w:footnoteReference w:id="11"/>
      </w:r>
      <w:r w:rsidRPr="00523E34">
        <w:rPr>
          <w:noProof/>
          <w:lang w:val="en-US" w:bidi="en-US"/>
        </w:rPr>
        <w:t xml:space="preserve">. Since the subject matter of the AETR falls within the scope of </w:t>
      </w:r>
      <w:r w:rsidR="00B1005F">
        <w:rPr>
          <w:noProof/>
          <w:lang w:val="en-US" w:bidi="en-US"/>
        </w:rPr>
        <w:t>these r</w:t>
      </w:r>
      <w:r w:rsidRPr="00523E34">
        <w:rPr>
          <w:noProof/>
          <w:lang w:val="en-US" w:bidi="en-US"/>
        </w:rPr>
        <w:t>egulation</w:t>
      </w:r>
      <w:r w:rsidR="00B1005F">
        <w:rPr>
          <w:noProof/>
          <w:lang w:val="en-US" w:bidi="en-US"/>
        </w:rPr>
        <w:t>s</w:t>
      </w:r>
      <w:r w:rsidRPr="00523E34">
        <w:rPr>
          <w:noProof/>
          <w:lang w:val="bg-BG" w:eastAsia="bg-BG" w:bidi="bg-BG"/>
        </w:rPr>
        <w:t xml:space="preserve">, </w:t>
      </w:r>
      <w:r w:rsidRPr="00523E34">
        <w:rPr>
          <w:noProof/>
          <w:lang w:val="en-US" w:bidi="en-US"/>
        </w:rPr>
        <w:t>the power to negotiate and conclude the AETR and its modifications lies exclusively with the Union</w:t>
      </w:r>
      <w:r w:rsidR="00B1005F">
        <w:rPr>
          <w:noProof/>
          <w:lang w:val="en-US" w:bidi="en-US"/>
        </w:rPr>
        <w:t>,</w:t>
      </w:r>
      <w:r w:rsidRPr="00523E34">
        <w:rPr>
          <w:noProof/>
          <w:lang w:val="en-US" w:bidi="en-US"/>
        </w:rPr>
        <w:t xml:space="preserve"> </w:t>
      </w:r>
      <w:r w:rsidRPr="00523E34">
        <w:rPr>
          <w:noProof/>
        </w:rPr>
        <w:t xml:space="preserve">pursuant to </w:t>
      </w:r>
      <w:r w:rsidR="00B1005F">
        <w:rPr>
          <w:noProof/>
        </w:rPr>
        <w:t>A</w:t>
      </w:r>
      <w:r w:rsidRPr="00523E34">
        <w:rPr>
          <w:noProof/>
        </w:rPr>
        <w:t>rticle 3(2) of Treaty on the Functioning of the European Union</w:t>
      </w:r>
      <w:r>
        <w:rPr>
          <w:noProof/>
        </w:rPr>
        <w:t>.</w:t>
      </w:r>
    </w:p>
    <w:p w:rsidR="00113D69" w:rsidRPr="00E34F04" w:rsidRDefault="0035530E" w:rsidP="0035530E">
      <w:pPr>
        <w:pStyle w:val="ManualHeading1"/>
        <w:rPr>
          <w:noProof/>
        </w:rPr>
      </w:pPr>
      <w:r w:rsidRPr="0035530E">
        <w:rPr>
          <w:noProof/>
        </w:rPr>
        <w:t>4.</w:t>
      </w:r>
      <w:r w:rsidRPr="0035530E">
        <w:rPr>
          <w:noProof/>
        </w:rPr>
        <w:tab/>
      </w:r>
      <w:r w:rsidR="00113D69" w:rsidRPr="00E34F04">
        <w:rPr>
          <w:noProof/>
        </w:rPr>
        <w:t>Legal basis</w:t>
      </w:r>
    </w:p>
    <w:p w:rsidR="00113D69" w:rsidRPr="00E34F04" w:rsidRDefault="0035530E" w:rsidP="0035530E">
      <w:pPr>
        <w:pStyle w:val="ManualHeading2"/>
        <w:rPr>
          <w:noProof/>
        </w:rPr>
      </w:pPr>
      <w:r w:rsidRPr="0035530E">
        <w:rPr>
          <w:noProof/>
        </w:rPr>
        <w:t>4.1.</w:t>
      </w:r>
      <w:r w:rsidRPr="0035530E">
        <w:rPr>
          <w:noProof/>
        </w:rPr>
        <w:tab/>
      </w:r>
      <w:r w:rsidR="00113D69" w:rsidRPr="00E34F04">
        <w:rPr>
          <w:noProof/>
        </w:rPr>
        <w:t>Procedural legal basis</w:t>
      </w:r>
    </w:p>
    <w:p w:rsidR="00113D69" w:rsidRPr="00E34F04" w:rsidRDefault="0035530E" w:rsidP="0035530E">
      <w:pPr>
        <w:pStyle w:val="ManualHeading3"/>
        <w:rPr>
          <w:noProof/>
        </w:rPr>
      </w:pPr>
      <w:r w:rsidRPr="0035530E">
        <w:rPr>
          <w:noProof/>
        </w:rPr>
        <w:t>4.1.1.</w:t>
      </w:r>
      <w:r w:rsidRPr="0035530E">
        <w:rPr>
          <w:noProof/>
        </w:rPr>
        <w:tab/>
      </w:r>
      <w:r w:rsidR="00113D69" w:rsidRPr="00E34F04">
        <w:rPr>
          <w:noProof/>
        </w:rPr>
        <w:t>Principles</w:t>
      </w:r>
    </w:p>
    <w:p w:rsidR="00113D69" w:rsidRPr="00E34F04" w:rsidRDefault="00113D69"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113D69" w:rsidRDefault="00113D69" w:rsidP="00736AA9">
      <w:pPr>
        <w:rPr>
          <w:noProof/>
        </w:rPr>
      </w:pPr>
      <w:r w:rsidRPr="00E34F04">
        <w:rPr>
          <w:noProof/>
        </w:rPr>
        <w:t>Article 218(9) TFEU applies regardless of whether the Union is a member of the body or a party to the agreement</w:t>
      </w:r>
      <w:r w:rsidRPr="00E34F04">
        <w:rPr>
          <w:rStyle w:val="FootnoteReference"/>
          <w:noProof/>
        </w:rPr>
        <w:footnoteReference w:id="12"/>
      </w:r>
      <w:r w:rsidRPr="00E34F04">
        <w:rPr>
          <w:noProof/>
        </w:rPr>
        <w:t>.</w:t>
      </w:r>
    </w:p>
    <w:p w:rsidR="00F04B18" w:rsidRPr="00E34F04" w:rsidRDefault="00F04B18" w:rsidP="00736AA9">
      <w:pPr>
        <w:rPr>
          <w:noProof/>
        </w:rPr>
      </w:pPr>
      <w:r w:rsidRPr="00F04B18">
        <w:rPr>
          <w:noProof/>
        </w:rPr>
        <w:t>Where an area of law falls within a competence of the European Union, the fact that the European Union did not take part in the international agreement in question does not prevent it from exercising that competence by establishing, through its institutions, a position to be adopted on its behalf in the body set up by that agreement, in particular through the Member States which are party to that agreement acting jointly in its interest</w:t>
      </w:r>
      <w:r>
        <w:rPr>
          <w:rStyle w:val="FootnoteReference"/>
          <w:noProof/>
        </w:rPr>
        <w:footnoteReference w:id="13"/>
      </w:r>
      <w:r w:rsidRPr="00F04B18">
        <w:rPr>
          <w:noProof/>
        </w:rPr>
        <w:t>.</w:t>
      </w:r>
    </w:p>
    <w:p w:rsidR="00113D69" w:rsidRPr="00E34F04" w:rsidRDefault="00113D69"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14"/>
      </w:r>
      <w:r w:rsidRPr="00E34F04">
        <w:rPr>
          <w:noProof/>
        </w:rPr>
        <w:t>.</w:t>
      </w:r>
    </w:p>
    <w:p w:rsidR="00113D69" w:rsidRPr="00E34F04" w:rsidRDefault="0035530E" w:rsidP="0035530E">
      <w:pPr>
        <w:pStyle w:val="ManualHeading3"/>
        <w:rPr>
          <w:noProof/>
        </w:rPr>
      </w:pPr>
      <w:r w:rsidRPr="0035530E">
        <w:rPr>
          <w:noProof/>
        </w:rPr>
        <w:t>4.1.2.</w:t>
      </w:r>
      <w:r w:rsidRPr="0035530E">
        <w:rPr>
          <w:noProof/>
        </w:rPr>
        <w:tab/>
      </w:r>
      <w:r w:rsidR="00113D69" w:rsidRPr="00E34F04">
        <w:rPr>
          <w:noProof/>
        </w:rPr>
        <w:t>Application to the present case</w:t>
      </w:r>
    </w:p>
    <w:p w:rsidR="00113D69" w:rsidRDefault="00113D69" w:rsidP="00113D69">
      <w:pPr>
        <w:rPr>
          <w:noProof/>
        </w:rPr>
      </w:pPr>
      <w:r>
        <w:rPr>
          <w:noProof/>
        </w:rPr>
        <w:t>The Group of Experts on the AETR and the Working Party on Road Transport (SC.1) are bodies set up by the Inland Transport Committee of the UNECE.</w:t>
      </w:r>
    </w:p>
    <w:p w:rsidR="00113D69" w:rsidRPr="00E34F04" w:rsidRDefault="00113D69" w:rsidP="00113D69">
      <w:pPr>
        <w:rPr>
          <w:noProof/>
        </w:rPr>
      </w:pPr>
      <w:r>
        <w:rPr>
          <w:noProof/>
        </w:rPr>
        <w:t>The proposed amendment constitute</w:t>
      </w:r>
      <w:r w:rsidR="00024DEB">
        <w:rPr>
          <w:noProof/>
        </w:rPr>
        <w:t>s an</w:t>
      </w:r>
      <w:r>
        <w:rPr>
          <w:noProof/>
        </w:rPr>
        <w:t xml:space="preserve"> act having legal effects. The envisaged amendment, if then adopted, would be binding under international law in accordance with Article 21(6) of the AETR.</w:t>
      </w:r>
    </w:p>
    <w:p w:rsidR="00113D69" w:rsidRPr="00E34F04" w:rsidRDefault="00113D69" w:rsidP="00113D69">
      <w:pPr>
        <w:rPr>
          <w:noProof/>
        </w:rPr>
      </w:pPr>
      <w:r w:rsidRPr="00E34F04">
        <w:rPr>
          <w:noProof/>
        </w:rPr>
        <w:t>The envisaged act does not supplement or amend the institutional framework of the Agreement.</w:t>
      </w:r>
    </w:p>
    <w:p w:rsidR="00113D69" w:rsidRPr="00E34F04" w:rsidRDefault="00113D69" w:rsidP="00736AA9">
      <w:pPr>
        <w:rPr>
          <w:noProof/>
        </w:rPr>
      </w:pPr>
      <w:r w:rsidRPr="00E34F04">
        <w:rPr>
          <w:noProof/>
        </w:rPr>
        <w:t>Therefore, the procedural legal basis for the proposed decision is Article 218(9) TFEU</w:t>
      </w:r>
      <w:r>
        <w:rPr>
          <w:noProof/>
        </w:rPr>
        <w:t>.</w:t>
      </w:r>
    </w:p>
    <w:p w:rsidR="00113D69" w:rsidRPr="00E34F04" w:rsidRDefault="0035530E" w:rsidP="0035530E">
      <w:pPr>
        <w:pStyle w:val="ManualHeading2"/>
        <w:rPr>
          <w:noProof/>
        </w:rPr>
      </w:pPr>
      <w:r w:rsidRPr="0035530E">
        <w:rPr>
          <w:noProof/>
        </w:rPr>
        <w:t>4.2.</w:t>
      </w:r>
      <w:r w:rsidRPr="0035530E">
        <w:rPr>
          <w:noProof/>
        </w:rPr>
        <w:tab/>
      </w:r>
      <w:r w:rsidR="00113D69" w:rsidRPr="00E34F04">
        <w:rPr>
          <w:noProof/>
        </w:rPr>
        <w:t>Substantive legal basis</w:t>
      </w:r>
    </w:p>
    <w:p w:rsidR="00113D69" w:rsidRPr="00E34F04" w:rsidRDefault="0035530E" w:rsidP="0035530E">
      <w:pPr>
        <w:pStyle w:val="ManualHeading3"/>
        <w:rPr>
          <w:noProof/>
        </w:rPr>
      </w:pPr>
      <w:r w:rsidRPr="0035530E">
        <w:rPr>
          <w:noProof/>
        </w:rPr>
        <w:t>4.2.1.</w:t>
      </w:r>
      <w:r w:rsidRPr="0035530E">
        <w:rPr>
          <w:noProof/>
        </w:rPr>
        <w:tab/>
      </w:r>
      <w:r w:rsidR="00113D69" w:rsidRPr="00E34F04">
        <w:rPr>
          <w:noProof/>
        </w:rPr>
        <w:t>Principles</w:t>
      </w:r>
    </w:p>
    <w:p w:rsidR="00113D69" w:rsidRPr="00E34F04" w:rsidRDefault="00113D69"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3D69" w:rsidRPr="00E34F04" w:rsidRDefault="0035530E" w:rsidP="0035530E">
      <w:pPr>
        <w:pStyle w:val="ManualHeading3"/>
        <w:rPr>
          <w:noProof/>
        </w:rPr>
      </w:pPr>
      <w:r w:rsidRPr="0035530E">
        <w:rPr>
          <w:noProof/>
        </w:rPr>
        <w:t>4.2.2.</w:t>
      </w:r>
      <w:r w:rsidRPr="0035530E">
        <w:rPr>
          <w:noProof/>
        </w:rPr>
        <w:tab/>
      </w:r>
      <w:r w:rsidR="00113D69" w:rsidRPr="00E34F04">
        <w:rPr>
          <w:noProof/>
        </w:rPr>
        <w:t>Application to the present case</w:t>
      </w:r>
    </w:p>
    <w:p w:rsidR="00113D69" w:rsidRPr="00E34F04" w:rsidRDefault="00113D69" w:rsidP="00736AA9">
      <w:pPr>
        <w:rPr>
          <w:noProof/>
        </w:rPr>
      </w:pPr>
      <w:r w:rsidRPr="00E34F04">
        <w:rPr>
          <w:noProof/>
        </w:rPr>
        <w:t>The main objective and content of the envisaged act relate</w:t>
      </w:r>
      <w:r w:rsidR="00024DEB">
        <w:rPr>
          <w:noProof/>
        </w:rPr>
        <w:t>s</w:t>
      </w:r>
      <w:r w:rsidRPr="00E34F04">
        <w:rPr>
          <w:noProof/>
        </w:rPr>
        <w:t xml:space="preserve"> to</w:t>
      </w:r>
      <w:r>
        <w:rPr>
          <w:noProof/>
        </w:rPr>
        <w:t xml:space="preserve"> transport policy.</w:t>
      </w:r>
    </w:p>
    <w:p w:rsidR="00113D69" w:rsidRPr="00113D69" w:rsidRDefault="00113D69" w:rsidP="00736AA9">
      <w:pPr>
        <w:rPr>
          <w:i/>
          <w:noProof/>
        </w:rPr>
      </w:pPr>
      <w:r w:rsidRPr="00E34F04">
        <w:rPr>
          <w:noProof/>
        </w:rPr>
        <w:t>Therefore, the substantive legal basis of the proposed decision is</w:t>
      </w:r>
      <w:r>
        <w:rPr>
          <w:noProof/>
        </w:rPr>
        <w:t xml:space="preserve"> Article 91 TFEU.</w:t>
      </w:r>
    </w:p>
    <w:p w:rsidR="00113D69" w:rsidRPr="00E34F04" w:rsidRDefault="0035530E" w:rsidP="0035530E">
      <w:pPr>
        <w:pStyle w:val="ManualHeading2"/>
        <w:rPr>
          <w:noProof/>
        </w:rPr>
      </w:pPr>
      <w:r w:rsidRPr="0035530E">
        <w:rPr>
          <w:noProof/>
        </w:rPr>
        <w:t>4.3.</w:t>
      </w:r>
      <w:r w:rsidRPr="0035530E">
        <w:rPr>
          <w:noProof/>
        </w:rPr>
        <w:tab/>
      </w:r>
      <w:r w:rsidR="00113D69" w:rsidRPr="00E34F04">
        <w:rPr>
          <w:noProof/>
        </w:rPr>
        <w:t>Conclusion</w:t>
      </w:r>
    </w:p>
    <w:p w:rsidR="00113D69" w:rsidRPr="00E34F04" w:rsidRDefault="00113D69" w:rsidP="00736AA9">
      <w:pPr>
        <w:rPr>
          <w:noProof/>
        </w:rPr>
      </w:pPr>
      <w:r w:rsidRPr="00E34F04">
        <w:rPr>
          <w:noProof/>
        </w:rPr>
        <w:t>The legal basis of the proposed decision should be</w:t>
      </w:r>
      <w:r>
        <w:rPr>
          <w:noProof/>
        </w:rPr>
        <w:t xml:space="preserve"> Article 91 TFEU</w:t>
      </w:r>
      <w:r w:rsidRPr="007F30B6">
        <w:rPr>
          <w:noProof/>
        </w:rPr>
        <w:t>,</w:t>
      </w:r>
      <w:r w:rsidRPr="00E34F04">
        <w:rPr>
          <w:noProof/>
        </w:rPr>
        <w:t xml:space="preserve"> in conjunction with Article 218(9) TFEU.</w:t>
      </w:r>
    </w:p>
    <w:p w:rsidR="00113D69" w:rsidRPr="00FD40BA" w:rsidRDefault="00113D69" w:rsidP="00FD40BA">
      <w:pPr>
        <w:rPr>
          <w:noProof/>
        </w:rPr>
        <w:sectPr w:rsidR="00113D69" w:rsidRPr="00FD40BA" w:rsidSect="00A26D8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4B0ECA" w:rsidRDefault="006A4BE8">
      <w:pPr>
        <w:pStyle w:val="Rfrenceinterinstitutionnelle"/>
        <w:rPr>
          <w:noProof/>
        </w:rPr>
      </w:pPr>
      <w:r>
        <w:rPr>
          <w:noProof/>
        </w:rPr>
        <w:t>2026/0007 (NLE)</w:t>
      </w:r>
    </w:p>
    <w:p w:rsidR="00113D69" w:rsidRPr="00E34F04" w:rsidRDefault="007936E4" w:rsidP="007936E4">
      <w:pPr>
        <w:pStyle w:val="Statut"/>
        <w:rPr>
          <w:noProof/>
        </w:rPr>
      </w:pPr>
      <w:r w:rsidRPr="007936E4">
        <w:rPr>
          <w:noProof/>
        </w:rPr>
        <w:t>Proposal for a</w:t>
      </w:r>
    </w:p>
    <w:p w:rsidR="00113D69" w:rsidRPr="00E34F04" w:rsidRDefault="007936E4" w:rsidP="007936E4">
      <w:pPr>
        <w:pStyle w:val="Typedudocument"/>
        <w:rPr>
          <w:noProof/>
        </w:rPr>
      </w:pPr>
      <w:r w:rsidRPr="007936E4">
        <w:rPr>
          <w:noProof/>
        </w:rPr>
        <w:t>COUNCIL DECISION</w:t>
      </w:r>
    </w:p>
    <w:p w:rsidR="00113D69" w:rsidRPr="00E34F04" w:rsidRDefault="007936E4" w:rsidP="007936E4">
      <w:pPr>
        <w:pStyle w:val="Titreobjet"/>
        <w:rPr>
          <w:noProof/>
        </w:rPr>
      </w:pPr>
      <w:r w:rsidRPr="007936E4">
        <w:rPr>
          <w:noProof/>
        </w:rPr>
        <w:t>on the position to be taken on behalf of the European Union in the Group of Experts on the European Agreement concerning the work of crews of vehicles engaged in international road transport (AETR) and in the Working Party on Road Transport of the United Nations Economic Commission for Europe as regards a proposal to allow the accession of Mongolia to the AETR</w:t>
      </w:r>
    </w:p>
    <w:p w:rsidR="00113D69" w:rsidRPr="00AD2A67" w:rsidRDefault="00113D69" w:rsidP="00BE7CB9">
      <w:pPr>
        <w:pStyle w:val="Institutionquiagit"/>
        <w:rPr>
          <w:noProof/>
        </w:rPr>
      </w:pPr>
      <w:r w:rsidRPr="00AD2A67">
        <w:rPr>
          <w:noProof/>
        </w:rPr>
        <w:t>THE COUNCIL OF THE EUROPEAN UNION,</w:t>
      </w:r>
    </w:p>
    <w:p w:rsidR="00113D69" w:rsidRPr="00E34F04" w:rsidRDefault="00113D69" w:rsidP="00BE7CB9">
      <w:pPr>
        <w:rPr>
          <w:noProof/>
        </w:rPr>
      </w:pPr>
      <w:r w:rsidRPr="00E34F04">
        <w:rPr>
          <w:noProof/>
        </w:rPr>
        <w:t>Having regard to the Treaty on the Functioning of the European Union, and in particular Article</w:t>
      </w:r>
      <w:r w:rsidR="0013296C">
        <w:rPr>
          <w:noProof/>
        </w:rPr>
        <w:t xml:space="preserve"> 91</w:t>
      </w:r>
      <w:r w:rsidRPr="007F30B6">
        <w:rPr>
          <w:noProof/>
        </w:rPr>
        <w:t>,</w:t>
      </w:r>
      <w:r w:rsidRPr="00E34F04">
        <w:rPr>
          <w:noProof/>
        </w:rPr>
        <w:t xml:space="preserve"> in conjunction with Article 218(9) thereof,</w:t>
      </w:r>
    </w:p>
    <w:p w:rsidR="00113D69" w:rsidRPr="00E34F04" w:rsidRDefault="00113D69" w:rsidP="00BE7CB9">
      <w:pPr>
        <w:rPr>
          <w:noProof/>
        </w:rPr>
      </w:pPr>
      <w:r w:rsidRPr="00E34F04">
        <w:rPr>
          <w:noProof/>
        </w:rPr>
        <w:t>Having regard to the proposal from the European Commission,</w:t>
      </w:r>
    </w:p>
    <w:p w:rsidR="00113D69" w:rsidRPr="00E34F04" w:rsidRDefault="00113D69" w:rsidP="00BE7CB9">
      <w:pPr>
        <w:rPr>
          <w:noProof/>
        </w:rPr>
      </w:pPr>
      <w:r w:rsidRPr="00E34F04">
        <w:rPr>
          <w:noProof/>
        </w:rPr>
        <w:t>Whereas:</w:t>
      </w:r>
    </w:p>
    <w:p w:rsidR="00113D69" w:rsidRPr="00E34F04" w:rsidRDefault="0035530E" w:rsidP="0035530E">
      <w:pPr>
        <w:pStyle w:val="ManualConsidrant"/>
        <w:rPr>
          <w:noProof/>
        </w:rPr>
      </w:pPr>
      <w:r w:rsidRPr="0035530E">
        <w:rPr>
          <w:noProof/>
        </w:rPr>
        <w:t>(1)</w:t>
      </w:r>
      <w:r w:rsidRPr="0035530E">
        <w:rPr>
          <w:noProof/>
        </w:rPr>
        <w:tab/>
      </w:r>
      <w:r w:rsidR="009347CC" w:rsidRPr="008B4AF4">
        <w:rPr>
          <w:noProof/>
        </w:rPr>
        <w:t>The European Agreement concerning the work of crews of vehicles engaged in international road transport (AETR)</w:t>
      </w:r>
      <w:r w:rsidR="009347CC" w:rsidRPr="008B4AF4">
        <w:rPr>
          <w:rStyle w:val="FootnoteReference"/>
          <w:noProof/>
        </w:rPr>
        <w:footnoteReference w:id="15"/>
      </w:r>
      <w:r w:rsidR="009347CC" w:rsidRPr="008B4AF4">
        <w:rPr>
          <w:noProof/>
        </w:rPr>
        <w:t xml:space="preserve"> entered into force on 5 January 1976.</w:t>
      </w:r>
      <w:r w:rsidR="009347CC">
        <w:rPr>
          <w:noProof/>
        </w:rPr>
        <w:t xml:space="preserve"> The Union has exclusive competence on the subject-matter covered by the AETR</w:t>
      </w:r>
      <w:r w:rsidR="009347CC">
        <w:rPr>
          <w:rStyle w:val="FootnoteReference"/>
          <w:noProof/>
          <w:szCs w:val="24"/>
          <w:lang w:val="en-IE" w:eastAsia="en-IE"/>
        </w:rPr>
        <w:footnoteReference w:id="16"/>
      </w:r>
      <w:r w:rsidR="009347CC">
        <w:rPr>
          <w:noProof/>
          <w:lang w:val="en-IE"/>
        </w:rPr>
        <w:t>.</w:t>
      </w:r>
      <w:r w:rsidR="00113D69" w:rsidRPr="00E34F04">
        <w:rPr>
          <w:noProof/>
        </w:rPr>
        <w:t xml:space="preserve"> </w:t>
      </w:r>
    </w:p>
    <w:p w:rsidR="00113D69" w:rsidRPr="00E34F04" w:rsidRDefault="0035530E" w:rsidP="0035530E">
      <w:pPr>
        <w:pStyle w:val="ManualConsidrant"/>
        <w:rPr>
          <w:noProof/>
        </w:rPr>
      </w:pPr>
      <w:r w:rsidRPr="0035530E">
        <w:rPr>
          <w:noProof/>
        </w:rPr>
        <w:t>(2)</w:t>
      </w:r>
      <w:r w:rsidRPr="0035530E">
        <w:rPr>
          <w:noProof/>
        </w:rPr>
        <w:tab/>
      </w:r>
      <w:r w:rsidR="00113D69" w:rsidRPr="00E34F04">
        <w:rPr>
          <w:noProof/>
        </w:rPr>
        <w:t xml:space="preserve">Pursuant to </w:t>
      </w:r>
      <w:r w:rsidR="00116ABC">
        <w:rPr>
          <w:noProof/>
        </w:rPr>
        <w:t xml:space="preserve">its </w:t>
      </w:r>
      <w:r w:rsidR="00113D69" w:rsidRPr="00E34F04">
        <w:rPr>
          <w:noProof/>
        </w:rPr>
        <w:t>Article</w:t>
      </w:r>
      <w:r w:rsidR="00F67F7E">
        <w:rPr>
          <w:noProof/>
        </w:rPr>
        <w:t> 14</w:t>
      </w:r>
      <w:r w:rsidR="0098572B">
        <w:rPr>
          <w:noProof/>
        </w:rPr>
        <w:t>(1)</w:t>
      </w:r>
      <w:r w:rsidR="00113D69" w:rsidRPr="00E34F04">
        <w:rPr>
          <w:noProof/>
        </w:rPr>
        <w:t xml:space="preserve">, </w:t>
      </w:r>
      <w:r w:rsidR="0098572B" w:rsidRPr="0098572B">
        <w:rPr>
          <w:noProof/>
        </w:rPr>
        <w:t>apart from non-European States that are already members of ECE</w:t>
      </w:r>
      <w:r w:rsidR="0098572B">
        <w:rPr>
          <w:noProof/>
        </w:rPr>
        <w:t xml:space="preserve">, </w:t>
      </w:r>
      <w:r w:rsidR="00113D69" w:rsidRPr="00E34F04">
        <w:rPr>
          <w:noProof/>
        </w:rPr>
        <w:t>the</w:t>
      </w:r>
      <w:r w:rsidR="00AB6CC6">
        <w:rPr>
          <w:noProof/>
        </w:rPr>
        <w:t xml:space="preserve"> </w:t>
      </w:r>
      <w:r w:rsidR="00116ABC">
        <w:rPr>
          <w:noProof/>
        </w:rPr>
        <w:t>AETR</w:t>
      </w:r>
      <w:r w:rsidR="00AB6CC6">
        <w:rPr>
          <w:noProof/>
        </w:rPr>
        <w:t xml:space="preserve"> is open to accession only to a closed</w:t>
      </w:r>
      <w:r w:rsidR="00374063">
        <w:rPr>
          <w:noProof/>
        </w:rPr>
        <w:t xml:space="preserve"> list of </w:t>
      </w:r>
      <w:r w:rsidR="0098572B">
        <w:rPr>
          <w:noProof/>
        </w:rPr>
        <w:t xml:space="preserve">non-European </w:t>
      </w:r>
      <w:r w:rsidR="00374063">
        <w:rPr>
          <w:noProof/>
        </w:rPr>
        <w:t>States</w:t>
      </w:r>
      <w:r w:rsidR="0098572B">
        <w:rPr>
          <w:rStyle w:val="FootnoteReference"/>
          <w:noProof/>
        </w:rPr>
        <w:footnoteReference w:id="17"/>
      </w:r>
      <w:r w:rsidR="00374063">
        <w:rPr>
          <w:noProof/>
        </w:rPr>
        <w:t>. Where a</w:t>
      </w:r>
      <w:r w:rsidR="00372080">
        <w:rPr>
          <w:noProof/>
        </w:rPr>
        <w:t xml:space="preserve"> </w:t>
      </w:r>
      <w:r w:rsidR="0098572B">
        <w:rPr>
          <w:noProof/>
        </w:rPr>
        <w:t>non-European</w:t>
      </w:r>
      <w:r w:rsidR="00372080">
        <w:rPr>
          <w:noProof/>
        </w:rPr>
        <w:t xml:space="preserve"> State </w:t>
      </w:r>
      <w:r w:rsidR="0098572B" w:rsidRPr="0098572B">
        <w:rPr>
          <w:noProof/>
        </w:rPr>
        <w:t xml:space="preserve">that is not a member of ECE and </w:t>
      </w:r>
      <w:r w:rsidR="00372080">
        <w:rPr>
          <w:noProof/>
        </w:rPr>
        <w:t xml:space="preserve">is not </w:t>
      </w:r>
      <w:r w:rsidR="00116ABC">
        <w:rPr>
          <w:noProof/>
        </w:rPr>
        <w:t>i</w:t>
      </w:r>
      <w:r w:rsidR="00372080">
        <w:rPr>
          <w:noProof/>
        </w:rPr>
        <w:t xml:space="preserve">n the list </w:t>
      </w:r>
      <w:r w:rsidR="00116ABC">
        <w:rPr>
          <w:noProof/>
        </w:rPr>
        <w:t>of</w:t>
      </w:r>
      <w:r w:rsidR="00372080">
        <w:rPr>
          <w:noProof/>
        </w:rPr>
        <w:t xml:space="preserve"> Article 14</w:t>
      </w:r>
      <w:r w:rsidR="0098572B">
        <w:rPr>
          <w:noProof/>
        </w:rPr>
        <w:t>(1)</w:t>
      </w:r>
      <w:r w:rsidR="00372080">
        <w:rPr>
          <w:noProof/>
        </w:rPr>
        <w:t xml:space="preserve"> </w:t>
      </w:r>
      <w:r w:rsidR="0098572B">
        <w:rPr>
          <w:noProof/>
        </w:rPr>
        <w:t xml:space="preserve">of the </w:t>
      </w:r>
      <w:r w:rsidR="00372080">
        <w:rPr>
          <w:noProof/>
        </w:rPr>
        <w:t>AETR</w:t>
      </w:r>
      <w:r w:rsidR="0098572B">
        <w:rPr>
          <w:noProof/>
        </w:rPr>
        <w:t xml:space="preserve"> </w:t>
      </w:r>
      <w:r w:rsidR="0098572B" w:rsidRPr="0098572B">
        <w:rPr>
          <w:noProof/>
        </w:rPr>
        <w:t>wishes to accede to this Agreement</w:t>
      </w:r>
      <w:r w:rsidR="00372080">
        <w:rPr>
          <w:noProof/>
        </w:rPr>
        <w:t>,</w:t>
      </w:r>
      <w:r w:rsidR="0098572B">
        <w:rPr>
          <w:noProof/>
        </w:rPr>
        <w:t xml:space="preserve"> it needs to find</w:t>
      </w:r>
      <w:r w:rsidR="00372080">
        <w:rPr>
          <w:noProof/>
        </w:rPr>
        <w:t xml:space="preserve"> a Contracting Party </w:t>
      </w:r>
      <w:r w:rsidR="0098572B">
        <w:rPr>
          <w:noProof/>
        </w:rPr>
        <w:t xml:space="preserve">willing to </w:t>
      </w:r>
      <w:r w:rsidR="00372080">
        <w:rPr>
          <w:noProof/>
        </w:rPr>
        <w:t>submit a proposal to amend Article 14</w:t>
      </w:r>
      <w:r w:rsidR="0098572B">
        <w:rPr>
          <w:noProof/>
        </w:rPr>
        <w:t>(1) of the</w:t>
      </w:r>
      <w:r w:rsidR="00372080">
        <w:rPr>
          <w:noProof/>
        </w:rPr>
        <w:t xml:space="preserve"> AETR</w:t>
      </w:r>
      <w:r w:rsidR="0098572B">
        <w:rPr>
          <w:noProof/>
        </w:rPr>
        <w:t>,</w:t>
      </w:r>
      <w:r w:rsidR="00372080">
        <w:rPr>
          <w:noProof/>
        </w:rPr>
        <w:t xml:space="preserve"> in order to include </w:t>
      </w:r>
      <w:r w:rsidR="0098572B">
        <w:rPr>
          <w:noProof/>
        </w:rPr>
        <w:t>such</w:t>
      </w:r>
      <w:r w:rsidR="00372080">
        <w:rPr>
          <w:noProof/>
        </w:rPr>
        <w:t xml:space="preserve"> State</w:t>
      </w:r>
      <w:r w:rsidR="0098572B">
        <w:rPr>
          <w:noProof/>
        </w:rPr>
        <w:t xml:space="preserve"> in that list</w:t>
      </w:r>
      <w:r w:rsidR="00372080">
        <w:rPr>
          <w:noProof/>
        </w:rPr>
        <w:t>.</w:t>
      </w:r>
      <w:r w:rsidR="00116ABC">
        <w:rPr>
          <w:noProof/>
        </w:rPr>
        <w:t xml:space="preserve"> </w:t>
      </w:r>
    </w:p>
    <w:p w:rsidR="00113D69" w:rsidRPr="00E34F04" w:rsidRDefault="0035530E" w:rsidP="0035530E">
      <w:pPr>
        <w:pStyle w:val="ManualConsidrant"/>
        <w:rPr>
          <w:noProof/>
        </w:rPr>
      </w:pPr>
      <w:r w:rsidRPr="0035530E">
        <w:rPr>
          <w:noProof/>
        </w:rPr>
        <w:t>(3)</w:t>
      </w:r>
      <w:r w:rsidRPr="0035530E">
        <w:rPr>
          <w:noProof/>
        </w:rPr>
        <w:tab/>
      </w:r>
      <w:r w:rsidR="00116ABC" w:rsidRPr="006F525F">
        <w:rPr>
          <w:noProof/>
        </w:rPr>
        <w:t xml:space="preserve">Mongolia </w:t>
      </w:r>
      <w:r w:rsidR="006F525F" w:rsidRPr="006F525F">
        <w:rPr>
          <w:noProof/>
        </w:rPr>
        <w:t xml:space="preserve">wishes to accede </w:t>
      </w:r>
      <w:r w:rsidR="001A4A32">
        <w:rPr>
          <w:noProof/>
        </w:rPr>
        <w:t xml:space="preserve">to </w:t>
      </w:r>
      <w:r w:rsidR="006F525F" w:rsidRPr="006F525F">
        <w:rPr>
          <w:noProof/>
        </w:rPr>
        <w:t xml:space="preserve">the AETR. </w:t>
      </w:r>
      <w:r w:rsidR="00374063" w:rsidRPr="006F525F">
        <w:rPr>
          <w:noProof/>
        </w:rPr>
        <w:t>Mongolia</w:t>
      </w:r>
      <w:r w:rsidR="001A4A32">
        <w:rPr>
          <w:noProof/>
        </w:rPr>
        <w:t xml:space="preserve"> currently</w:t>
      </w:r>
      <w:r w:rsidR="00374063" w:rsidRPr="006F525F">
        <w:rPr>
          <w:noProof/>
        </w:rPr>
        <w:t xml:space="preserve"> has </w:t>
      </w:r>
      <w:r w:rsidR="006F2AE3" w:rsidRPr="006F525F">
        <w:rPr>
          <w:noProof/>
        </w:rPr>
        <w:t>bilateral agreements with several Member States</w:t>
      </w:r>
      <w:r w:rsidR="006F0BC4" w:rsidRPr="006F525F">
        <w:rPr>
          <w:noProof/>
        </w:rPr>
        <w:t xml:space="preserve"> of the Union</w:t>
      </w:r>
      <w:r w:rsidR="006F2AE3" w:rsidRPr="006F525F">
        <w:rPr>
          <w:noProof/>
        </w:rPr>
        <w:t xml:space="preserve">, as well as </w:t>
      </w:r>
      <w:r w:rsidR="006F0BC4" w:rsidRPr="006F525F">
        <w:rPr>
          <w:noProof/>
        </w:rPr>
        <w:t xml:space="preserve">with </w:t>
      </w:r>
      <w:r w:rsidR="006F2AE3" w:rsidRPr="006F525F">
        <w:rPr>
          <w:noProof/>
        </w:rPr>
        <w:t xml:space="preserve">several other non-EU AETR Contracting Parties. </w:t>
      </w:r>
      <w:r w:rsidR="00D968C4" w:rsidRPr="006F525F">
        <w:rPr>
          <w:noProof/>
        </w:rPr>
        <w:t>The accession of Mongolia</w:t>
      </w:r>
      <w:r w:rsidR="006F525F" w:rsidRPr="006F525F">
        <w:rPr>
          <w:noProof/>
        </w:rPr>
        <w:t xml:space="preserve"> </w:t>
      </w:r>
      <w:r w:rsidR="00D968C4" w:rsidRPr="006F525F">
        <w:rPr>
          <w:noProof/>
        </w:rPr>
        <w:t xml:space="preserve">could </w:t>
      </w:r>
      <w:r w:rsidR="006F0BC4" w:rsidRPr="006F525F">
        <w:rPr>
          <w:noProof/>
        </w:rPr>
        <w:t xml:space="preserve">pave the way </w:t>
      </w:r>
      <w:r w:rsidR="00831448" w:rsidRPr="006F525F">
        <w:rPr>
          <w:noProof/>
        </w:rPr>
        <w:t>to</w:t>
      </w:r>
      <w:r w:rsidR="001A4A32">
        <w:rPr>
          <w:noProof/>
        </w:rPr>
        <w:t xml:space="preserve"> several benefits, including</w:t>
      </w:r>
      <w:r w:rsidR="00831448" w:rsidRPr="006F525F">
        <w:rPr>
          <w:noProof/>
        </w:rPr>
        <w:t xml:space="preserve"> more harmonised rules in international road transport to and from Mongolia</w:t>
      </w:r>
      <w:r w:rsidR="006F525F" w:rsidRPr="006F525F">
        <w:rPr>
          <w:noProof/>
        </w:rPr>
        <w:t>.</w:t>
      </w:r>
      <w:r w:rsidR="001E38F9">
        <w:rPr>
          <w:noProof/>
        </w:rPr>
        <w:t xml:space="preserve"> The accession of Mongolia is therefore in the interest of the Union, and it is therefore appropriate that the Union submits a proposal to amend the AETR with this objective.</w:t>
      </w:r>
    </w:p>
    <w:p w:rsidR="00711D9B" w:rsidRDefault="0035530E" w:rsidP="0035530E">
      <w:pPr>
        <w:pStyle w:val="ManualConsidrant"/>
        <w:rPr>
          <w:noProof/>
        </w:rPr>
      </w:pPr>
      <w:r w:rsidRPr="0035530E">
        <w:rPr>
          <w:noProof/>
        </w:rPr>
        <w:t>(4)</w:t>
      </w:r>
      <w:r w:rsidRPr="0035530E">
        <w:rPr>
          <w:noProof/>
        </w:rPr>
        <w:tab/>
      </w:r>
      <w:r w:rsidR="00711D9B" w:rsidRPr="00711D9B">
        <w:rPr>
          <w:noProof/>
        </w:rPr>
        <w:t xml:space="preserve">Pursuant to Article 21 of the AETR, proposals for amendments to the AETR may be submitted by any Contracting Party to the Secretary-General of the United Nations (UN). Before submission to the Secretary-General of the UN, the proposals are generally first tabled, examined and endorsed in the Working Party on Road Transport (SC.1) of the UN Economic Commission for Europe (UNECE). A Group of Experts on the AETR has been established by UNECE in the framework of the AETR. That Group is a body empowered to develop and submit proposals to amend the AETR to </w:t>
      </w:r>
      <w:r w:rsidR="000B0F5C">
        <w:rPr>
          <w:noProof/>
        </w:rPr>
        <w:t>SC.1</w:t>
      </w:r>
      <w:r w:rsidR="00711D9B" w:rsidRPr="00711D9B">
        <w:rPr>
          <w:noProof/>
        </w:rPr>
        <w:t xml:space="preserve">. The Union, on the basis of this decision, will propose that the Group of Experts on the AETR, during its planned </w:t>
      </w:r>
      <w:r w:rsidR="000B0F5C">
        <w:rPr>
          <w:noProof/>
        </w:rPr>
        <w:t>40</w:t>
      </w:r>
      <w:r w:rsidR="000B0F5C" w:rsidRPr="000B0F5C">
        <w:rPr>
          <w:noProof/>
          <w:vertAlign w:val="superscript"/>
        </w:rPr>
        <w:t>th</w:t>
      </w:r>
      <w:r w:rsidR="000B0F5C">
        <w:rPr>
          <w:noProof/>
        </w:rPr>
        <w:t xml:space="preserve"> </w:t>
      </w:r>
      <w:r w:rsidR="00711D9B" w:rsidRPr="00711D9B">
        <w:rPr>
          <w:noProof/>
        </w:rPr>
        <w:t xml:space="preserve">session in </w:t>
      </w:r>
      <w:r w:rsidR="000B0F5C">
        <w:rPr>
          <w:noProof/>
        </w:rPr>
        <w:t>February</w:t>
      </w:r>
      <w:r w:rsidR="00711D9B" w:rsidRPr="00711D9B">
        <w:rPr>
          <w:noProof/>
        </w:rPr>
        <w:t xml:space="preserve"> 202</w:t>
      </w:r>
      <w:r w:rsidR="000B0F5C">
        <w:rPr>
          <w:noProof/>
        </w:rPr>
        <w:t>6</w:t>
      </w:r>
      <w:r w:rsidR="00711D9B" w:rsidRPr="00711D9B">
        <w:rPr>
          <w:noProof/>
        </w:rPr>
        <w:t xml:space="preserve">, and at subsequent sessions, and </w:t>
      </w:r>
      <w:r w:rsidR="008620C3">
        <w:rPr>
          <w:noProof/>
        </w:rPr>
        <w:t>SC.1</w:t>
      </w:r>
      <w:r w:rsidR="00711D9B" w:rsidRPr="00711D9B">
        <w:rPr>
          <w:noProof/>
        </w:rPr>
        <w:t xml:space="preserve">, during its planned </w:t>
      </w:r>
      <w:r w:rsidR="00B1071D">
        <w:rPr>
          <w:noProof/>
        </w:rPr>
        <w:t>121</w:t>
      </w:r>
      <w:r w:rsidR="00107C64" w:rsidRPr="009B42D7">
        <w:rPr>
          <w:noProof/>
          <w:vertAlign w:val="superscript"/>
        </w:rPr>
        <w:t>st</w:t>
      </w:r>
      <w:r w:rsidR="00711D9B" w:rsidRPr="00711D9B">
        <w:rPr>
          <w:noProof/>
        </w:rPr>
        <w:t xml:space="preserve"> session in October 202</w:t>
      </w:r>
      <w:r w:rsidR="00B1071D">
        <w:rPr>
          <w:noProof/>
        </w:rPr>
        <w:t>6</w:t>
      </w:r>
      <w:r w:rsidR="00711D9B" w:rsidRPr="00711D9B">
        <w:rPr>
          <w:noProof/>
        </w:rPr>
        <w:t xml:space="preserve">, and at subsequent sessions, discuss </w:t>
      </w:r>
      <w:r w:rsidR="00B1071D">
        <w:rPr>
          <w:noProof/>
        </w:rPr>
        <w:t xml:space="preserve">an amendment </w:t>
      </w:r>
      <w:r w:rsidR="00711D9B" w:rsidRPr="00711D9B">
        <w:rPr>
          <w:noProof/>
        </w:rPr>
        <w:t xml:space="preserve">to the AETR </w:t>
      </w:r>
      <w:r w:rsidR="00B1071D">
        <w:rPr>
          <w:noProof/>
        </w:rPr>
        <w:t xml:space="preserve">allowing Mongolia to accede the AETR. </w:t>
      </w:r>
    </w:p>
    <w:p w:rsidR="00857A83" w:rsidRDefault="0035530E" w:rsidP="0035530E">
      <w:pPr>
        <w:pStyle w:val="ManualConsidrant"/>
        <w:rPr>
          <w:noProof/>
        </w:rPr>
      </w:pPr>
      <w:r w:rsidRPr="0035530E">
        <w:rPr>
          <w:noProof/>
        </w:rPr>
        <w:t>(5)</w:t>
      </w:r>
      <w:r w:rsidRPr="0035530E">
        <w:rPr>
          <w:noProof/>
        </w:rPr>
        <w:tab/>
      </w:r>
      <w:r w:rsidR="00857A83">
        <w:rPr>
          <w:noProof/>
        </w:rPr>
        <w:t>It is appropriate to establish the position to be taken on the Union’s behalf in the Group</w:t>
      </w:r>
      <w:r w:rsidR="007822B0">
        <w:rPr>
          <w:noProof/>
        </w:rPr>
        <w:t xml:space="preserve"> of Experts on </w:t>
      </w:r>
      <w:r w:rsidR="00B13195">
        <w:rPr>
          <w:noProof/>
        </w:rPr>
        <w:t>the AETR and in the Working Part</w:t>
      </w:r>
      <w:r w:rsidR="004A5AB9">
        <w:rPr>
          <w:noProof/>
        </w:rPr>
        <w:t>y on Road Transport, as</w:t>
      </w:r>
      <w:r w:rsidR="001A4A32">
        <w:rPr>
          <w:noProof/>
        </w:rPr>
        <w:t xml:space="preserve"> the</w:t>
      </w:r>
      <w:r w:rsidR="004A5AB9">
        <w:rPr>
          <w:noProof/>
        </w:rPr>
        <w:t xml:space="preserve"> amendment proposal which </w:t>
      </w:r>
      <w:r w:rsidR="003E7E63">
        <w:rPr>
          <w:noProof/>
        </w:rPr>
        <w:t>they will be called to develop and endorse would be binding under international law in accordance with Article 21(6) of the AETR.</w:t>
      </w:r>
    </w:p>
    <w:p w:rsidR="00046525" w:rsidRDefault="0035530E" w:rsidP="0035530E">
      <w:pPr>
        <w:pStyle w:val="ManualConsidrant"/>
        <w:rPr>
          <w:noProof/>
        </w:rPr>
      </w:pPr>
      <w:r w:rsidRPr="0035530E">
        <w:rPr>
          <w:noProof/>
        </w:rPr>
        <w:t>(6)</w:t>
      </w:r>
      <w:r w:rsidRPr="0035530E">
        <w:rPr>
          <w:noProof/>
        </w:rPr>
        <w:tab/>
      </w:r>
      <w:r w:rsidR="00046525">
        <w:rPr>
          <w:noProof/>
        </w:rPr>
        <w:t>Member States should not object to a notification by the United Nations Secretary-General</w:t>
      </w:r>
      <w:r w:rsidR="00CB3448">
        <w:rPr>
          <w:noProof/>
        </w:rPr>
        <w:t xml:space="preserve"> under Article 21(1) of the AETR of the proposed amendment</w:t>
      </w:r>
      <w:r w:rsidR="001A4A32">
        <w:rPr>
          <w:noProof/>
        </w:rPr>
        <w:t>,</w:t>
      </w:r>
      <w:r w:rsidR="00CB3448">
        <w:rPr>
          <w:noProof/>
        </w:rPr>
        <w:t xml:space="preserve"> contained in the Annex to this Decision.</w:t>
      </w:r>
      <w:r w:rsidR="00CB3448">
        <w:rPr>
          <w:noProof/>
          <w:lang w:val="en-IE"/>
        </w:rPr>
        <w:t xml:space="preserve"> If </w:t>
      </w:r>
      <w:r w:rsidR="00294D5F">
        <w:rPr>
          <w:noProof/>
          <w:lang w:val="en-IE"/>
        </w:rPr>
        <w:t>a notification by the United Nations Secretary-General</w:t>
      </w:r>
      <w:r w:rsidR="005515B6">
        <w:rPr>
          <w:noProof/>
          <w:lang w:val="en-IE"/>
        </w:rPr>
        <w:t xml:space="preserve"> is not limited to the proposed amendment contained in the Annex to this Decision, Member States should not object to the proposed amendment which is contained in the Annex to this Decision. </w:t>
      </w:r>
    </w:p>
    <w:p w:rsidR="00113D69" w:rsidRPr="00E34F04" w:rsidRDefault="0035530E" w:rsidP="0035530E">
      <w:pPr>
        <w:pStyle w:val="ManualConsidrant"/>
        <w:rPr>
          <w:noProof/>
        </w:rPr>
      </w:pPr>
      <w:r w:rsidRPr="0035530E">
        <w:rPr>
          <w:noProof/>
        </w:rPr>
        <w:t>(7)</w:t>
      </w:r>
      <w:r w:rsidRPr="0035530E">
        <w:rPr>
          <w:noProof/>
        </w:rPr>
        <w:tab/>
      </w:r>
      <w:r w:rsidR="00113D69" w:rsidRPr="00E34F04">
        <w:rPr>
          <w:noProof/>
        </w:rPr>
        <w:t xml:space="preserve">The Union's position </w:t>
      </w:r>
      <w:r w:rsidR="008B50B6">
        <w:rPr>
          <w:noProof/>
        </w:rPr>
        <w:t xml:space="preserve">in the Group of Experts on the AETR </w:t>
      </w:r>
      <w:r w:rsidR="00113D69" w:rsidRPr="00E34F04">
        <w:rPr>
          <w:noProof/>
        </w:rPr>
        <w:t xml:space="preserve">is to be expressed by the </w:t>
      </w:r>
      <w:r w:rsidR="008B50B6">
        <w:rPr>
          <w:noProof/>
        </w:rPr>
        <w:t xml:space="preserve">Commission, and the Union’s position in the Working Party on Road Transport </w:t>
      </w:r>
      <w:r w:rsidR="0085741F">
        <w:rPr>
          <w:noProof/>
        </w:rPr>
        <w:t>is to be expressed by the Member States acting jointly in the interest of the Union.</w:t>
      </w:r>
    </w:p>
    <w:p w:rsidR="00113D69" w:rsidRPr="00E34F04" w:rsidRDefault="00113D69" w:rsidP="00BE7CB9">
      <w:pPr>
        <w:pStyle w:val="Formuledadoption"/>
        <w:rPr>
          <w:noProof/>
        </w:rPr>
      </w:pPr>
      <w:r w:rsidRPr="00E34F04">
        <w:rPr>
          <w:noProof/>
        </w:rPr>
        <w:t>HAS ADOPTED THIS DECISION:</w:t>
      </w:r>
    </w:p>
    <w:p w:rsidR="00113D69" w:rsidRPr="00E34F04" w:rsidRDefault="00113D69" w:rsidP="00BE7CB9">
      <w:pPr>
        <w:pStyle w:val="Titrearticle"/>
        <w:rPr>
          <w:noProof/>
        </w:rPr>
      </w:pPr>
      <w:r w:rsidRPr="00E34F04">
        <w:rPr>
          <w:noProof/>
        </w:rPr>
        <w:t>Article 1</w:t>
      </w:r>
    </w:p>
    <w:p w:rsidR="0011660F" w:rsidRPr="00E34F04" w:rsidRDefault="0011660F" w:rsidP="0011660F">
      <w:pPr>
        <w:rPr>
          <w:noProof/>
        </w:rPr>
      </w:pPr>
      <w:r w:rsidRPr="4AACFBB5">
        <w:rPr>
          <w:noProof/>
        </w:rPr>
        <w:t>The position to be taken on the Union</w:t>
      </w:r>
      <w:r w:rsidR="001A4A32">
        <w:rPr>
          <w:noProof/>
        </w:rPr>
        <w:t>’</w:t>
      </w:r>
      <w:r w:rsidRPr="4AACFBB5">
        <w:rPr>
          <w:noProof/>
        </w:rPr>
        <w:t xml:space="preserve">s behalf in </w:t>
      </w:r>
      <w:r>
        <w:rPr>
          <w:noProof/>
        </w:rPr>
        <w:t>subsequent sessions</w:t>
      </w:r>
      <w:r w:rsidRPr="4AACFBB5">
        <w:rPr>
          <w:noProof/>
        </w:rPr>
        <w:t xml:space="preserve"> of the UNECE </w:t>
      </w:r>
      <w:r>
        <w:rPr>
          <w:noProof/>
        </w:rPr>
        <w:t>Group of Experts on the European Agreement concerning the work of crews of vehicles engaged in international road transport (AETR) and of the Working Party on Road Transport (SC.1) in relation to a proposal to</w:t>
      </w:r>
      <w:r w:rsidR="001A4A32">
        <w:rPr>
          <w:noProof/>
        </w:rPr>
        <w:t xml:space="preserve"> amend Article 14(1) of the AETR to</w:t>
      </w:r>
      <w:r>
        <w:rPr>
          <w:noProof/>
        </w:rPr>
        <w:t xml:space="preserve"> allow Mongolia to accede </w:t>
      </w:r>
      <w:r w:rsidR="001A4A32">
        <w:rPr>
          <w:noProof/>
        </w:rPr>
        <w:t xml:space="preserve">to </w:t>
      </w:r>
      <w:r>
        <w:rPr>
          <w:noProof/>
        </w:rPr>
        <w:t>th</w:t>
      </w:r>
      <w:r w:rsidR="001A4A32">
        <w:rPr>
          <w:noProof/>
        </w:rPr>
        <w:t>is</w:t>
      </w:r>
      <w:r>
        <w:rPr>
          <w:noProof/>
        </w:rPr>
        <w:t xml:space="preserve"> A</w:t>
      </w:r>
      <w:r w:rsidR="001A4A32">
        <w:rPr>
          <w:noProof/>
        </w:rPr>
        <w:t>greement</w:t>
      </w:r>
      <w:r w:rsidRPr="4AACFBB5">
        <w:rPr>
          <w:noProof/>
        </w:rPr>
        <w:t xml:space="preserve"> is set out in the </w:t>
      </w:r>
      <w:r>
        <w:rPr>
          <w:noProof/>
        </w:rPr>
        <w:t>Annex to this Decision.</w:t>
      </w:r>
    </w:p>
    <w:p w:rsidR="00113D69" w:rsidRPr="0011660F" w:rsidRDefault="0011660F" w:rsidP="0011660F">
      <w:pPr>
        <w:rPr>
          <w:noProof/>
          <w:color w:val="008000"/>
        </w:rPr>
      </w:pPr>
      <w:r w:rsidRPr="00B01532">
        <w:rPr>
          <w:noProof/>
          <w:szCs w:val="24"/>
          <w:shd w:val="clear" w:color="auto" w:fill="FFFFFF"/>
        </w:rPr>
        <w:t>Formal and minor changes to the position referred to in the first paragraph may be agreed without a further decision of the Council</w:t>
      </w:r>
      <w:r>
        <w:rPr>
          <w:noProof/>
          <w:szCs w:val="24"/>
          <w:shd w:val="clear" w:color="auto" w:fill="FFFFFF"/>
        </w:rPr>
        <w:t>.</w:t>
      </w:r>
    </w:p>
    <w:p w:rsidR="00113D69" w:rsidRPr="00E34F04" w:rsidRDefault="00113D69" w:rsidP="00BE7CB9">
      <w:pPr>
        <w:pStyle w:val="Titrearticle"/>
        <w:rPr>
          <w:noProof/>
        </w:rPr>
      </w:pPr>
      <w:r w:rsidRPr="00E34F04">
        <w:rPr>
          <w:noProof/>
        </w:rPr>
        <w:t>Article</w:t>
      </w:r>
      <w:r w:rsidR="000416CC">
        <w:rPr>
          <w:noProof/>
        </w:rPr>
        <w:t xml:space="preserve"> 2</w:t>
      </w:r>
    </w:p>
    <w:p w:rsidR="00113D69" w:rsidRPr="004C63B8" w:rsidRDefault="000416CC" w:rsidP="00BE7CB9">
      <w:pPr>
        <w:rPr>
          <w:noProof/>
          <w:color w:val="008000"/>
        </w:rPr>
      </w:pPr>
      <w:r w:rsidRPr="00E34F04">
        <w:rPr>
          <w:noProof/>
        </w:rPr>
        <w:t>The position referred to in Article</w:t>
      </w:r>
      <w:r>
        <w:rPr>
          <w:noProof/>
        </w:rPr>
        <w:t> </w:t>
      </w:r>
      <w:r w:rsidRPr="00E34F04">
        <w:rPr>
          <w:noProof/>
        </w:rPr>
        <w:t xml:space="preserve">1 shall be expressed by the </w:t>
      </w:r>
      <w:r>
        <w:rPr>
          <w:noProof/>
        </w:rPr>
        <w:t>Commission in the Group of Experts on the AETR</w:t>
      </w:r>
      <w:r w:rsidR="008B691D">
        <w:rPr>
          <w:noProof/>
        </w:rPr>
        <w:t>,</w:t>
      </w:r>
      <w:r>
        <w:rPr>
          <w:noProof/>
        </w:rPr>
        <w:t xml:space="preserve"> and by the </w:t>
      </w:r>
      <w:r w:rsidRPr="00E34F04">
        <w:rPr>
          <w:noProof/>
        </w:rPr>
        <w:t>Member States</w:t>
      </w:r>
      <w:r w:rsidR="008B691D">
        <w:rPr>
          <w:noProof/>
        </w:rPr>
        <w:t>,</w:t>
      </w:r>
      <w:r w:rsidRPr="00E34F04">
        <w:rPr>
          <w:noProof/>
        </w:rPr>
        <w:t xml:space="preserve"> </w:t>
      </w:r>
      <w:r>
        <w:rPr>
          <w:noProof/>
        </w:rPr>
        <w:t>acting jointly in the interest of the Union, in the UNECE Working Party on Road Transport.</w:t>
      </w:r>
    </w:p>
    <w:p w:rsidR="000416CC" w:rsidRDefault="006B4D15" w:rsidP="00BE7CB9">
      <w:pPr>
        <w:pStyle w:val="Titrearticle"/>
        <w:rPr>
          <w:noProof/>
        </w:rPr>
      </w:pPr>
      <w:r>
        <w:rPr>
          <w:noProof/>
        </w:rPr>
        <w:t>Article 3</w:t>
      </w:r>
    </w:p>
    <w:p w:rsidR="006B4D15" w:rsidRDefault="006B4D15" w:rsidP="006B4D15">
      <w:pPr>
        <w:rPr>
          <w:noProof/>
        </w:rPr>
      </w:pPr>
      <w:r>
        <w:rPr>
          <w:noProof/>
        </w:rPr>
        <w:t xml:space="preserve">Where </w:t>
      </w:r>
      <w:r w:rsidR="008B691D">
        <w:rPr>
          <w:noProof/>
        </w:rPr>
        <w:t>the</w:t>
      </w:r>
      <w:r>
        <w:rPr>
          <w:noProof/>
        </w:rPr>
        <w:t xml:space="preserve"> proposed amendment laid out in the Annex to this Decision has been endorsed by the UNECE</w:t>
      </w:r>
      <w:r w:rsidR="00E54BFD">
        <w:rPr>
          <w:noProof/>
        </w:rPr>
        <w:t xml:space="preserve"> Working Party on Road Transport, the Member States</w:t>
      </w:r>
      <w:r w:rsidR="008B691D">
        <w:rPr>
          <w:noProof/>
        </w:rPr>
        <w:t>,</w:t>
      </w:r>
      <w:r w:rsidR="00E54BFD">
        <w:rPr>
          <w:noProof/>
        </w:rPr>
        <w:t xml:space="preserve"> acting jointly in the interest of the Union</w:t>
      </w:r>
      <w:r w:rsidR="008B691D">
        <w:rPr>
          <w:noProof/>
        </w:rPr>
        <w:t>,</w:t>
      </w:r>
      <w:r w:rsidR="00E54BFD">
        <w:rPr>
          <w:noProof/>
        </w:rPr>
        <w:t xml:space="preserve"> shall submit it to the United Nations Secretary-General, in accordance with Article 21(1) of the AETR.</w:t>
      </w:r>
    </w:p>
    <w:p w:rsidR="00E54BFD" w:rsidRPr="006B4D15" w:rsidRDefault="00E54BFD" w:rsidP="006B4D15">
      <w:pPr>
        <w:rPr>
          <w:noProof/>
        </w:rPr>
      </w:pPr>
      <w:r>
        <w:rPr>
          <w:noProof/>
        </w:rPr>
        <w:t xml:space="preserve">Member States shall not object to a notification by the United Nations Secretary-General under Article 21(1) of the AETR of </w:t>
      </w:r>
      <w:r w:rsidR="008B691D">
        <w:rPr>
          <w:noProof/>
        </w:rPr>
        <w:t>the</w:t>
      </w:r>
      <w:r>
        <w:rPr>
          <w:noProof/>
        </w:rPr>
        <w:t xml:space="preserve"> proposed amendment which </w:t>
      </w:r>
      <w:r w:rsidR="00A53797">
        <w:rPr>
          <w:noProof/>
        </w:rPr>
        <w:t xml:space="preserve">is contained in the Annex to this Decision. </w:t>
      </w:r>
    </w:p>
    <w:p w:rsidR="00113D69" w:rsidRPr="00E34F04" w:rsidRDefault="00113D69" w:rsidP="002A6DA0">
      <w:pPr>
        <w:pStyle w:val="Titrearticle"/>
        <w:rPr>
          <w:noProof/>
        </w:rPr>
      </w:pPr>
      <w:r w:rsidRPr="00E34F04">
        <w:rPr>
          <w:noProof/>
        </w:rPr>
        <w:t>Article</w:t>
      </w:r>
      <w:r w:rsidR="000416CC">
        <w:rPr>
          <w:noProof/>
        </w:rPr>
        <w:t> 4</w:t>
      </w:r>
    </w:p>
    <w:p w:rsidR="00113D69" w:rsidRDefault="00113D69" w:rsidP="002A6DA0">
      <w:pPr>
        <w:keepNext/>
        <w:keepLines/>
        <w:rPr>
          <w:noProof/>
        </w:rPr>
      </w:pPr>
      <w:r w:rsidRPr="00E34F04">
        <w:rPr>
          <w:noProof/>
        </w:rPr>
        <w:t xml:space="preserve">This Decision </w:t>
      </w:r>
      <w:r w:rsidR="008B691D">
        <w:rPr>
          <w:noProof/>
        </w:rPr>
        <w:t>is addressed to the Commission and to the Member States</w:t>
      </w:r>
      <w:r w:rsidRPr="00E34F04">
        <w:rPr>
          <w:i/>
          <w:noProof/>
        </w:rPr>
        <w:t>.</w:t>
      </w:r>
    </w:p>
    <w:p w:rsidR="00113D69" w:rsidRDefault="007936E4" w:rsidP="002A6DA0">
      <w:pPr>
        <w:pStyle w:val="Fait"/>
        <w:rPr>
          <w:noProof/>
        </w:rPr>
      </w:pPr>
      <w:r>
        <w:rPr>
          <w:noProof/>
        </w:rPr>
        <w:t>Done at Brussels,</w:t>
      </w:r>
    </w:p>
    <w:p w:rsidR="00113D69" w:rsidRDefault="00113D69" w:rsidP="002A6DA0">
      <w:pPr>
        <w:pStyle w:val="Institutionquisigne"/>
        <w:rPr>
          <w:noProof/>
        </w:rPr>
      </w:pPr>
      <w:r w:rsidRPr="00113D69">
        <w:rPr>
          <w:noProof/>
        </w:rPr>
        <w:tab/>
        <w:t>For the Council</w:t>
      </w:r>
    </w:p>
    <w:p w:rsidR="00113D69" w:rsidRPr="00113D69" w:rsidRDefault="00113D69" w:rsidP="00113D69">
      <w:pPr>
        <w:pStyle w:val="Personnequisigne"/>
        <w:rPr>
          <w:noProof/>
        </w:rPr>
      </w:pPr>
      <w:r w:rsidRPr="00113D69">
        <w:rPr>
          <w:noProof/>
        </w:rPr>
        <w:tab/>
        <w:t>The President</w:t>
      </w:r>
    </w:p>
    <w:sectPr w:rsidR="00113D69" w:rsidRPr="00113D69" w:rsidSect="00A26D8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3B1" w:rsidRDefault="000E23B1" w:rsidP="00113D69">
      <w:pPr>
        <w:spacing w:before="0" w:after="0"/>
      </w:pPr>
      <w:r>
        <w:separator/>
      </w:r>
    </w:p>
  </w:endnote>
  <w:endnote w:type="continuationSeparator" w:id="0">
    <w:p w:rsidR="000E23B1" w:rsidRDefault="000E23B1" w:rsidP="00113D69">
      <w:pPr>
        <w:spacing w:before="0" w:after="0"/>
      </w:pPr>
      <w:r>
        <w:continuationSeparator/>
      </w:r>
    </w:p>
  </w:endnote>
  <w:endnote w:type="continuationNotice" w:id="1">
    <w:p w:rsidR="000E23B1" w:rsidRDefault="000E23B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Pr="00A26D89" w:rsidRDefault="00A26D89" w:rsidP="00A26D89">
    <w:pPr>
      <w:pStyle w:val="Footer"/>
      <w:rPr>
        <w:rFonts w:ascii="Arial" w:hAnsi="Arial" w:cs="Arial"/>
        <w:b/>
        <w:sz w:val="48"/>
      </w:rPr>
    </w:pPr>
    <w:r w:rsidRPr="00A26D89">
      <w:rPr>
        <w:rFonts w:ascii="Arial" w:hAnsi="Arial" w:cs="Arial"/>
        <w:b/>
        <w:sz w:val="48"/>
      </w:rPr>
      <w:t>EN</w:t>
    </w:r>
    <w:r w:rsidRPr="00A26D89">
      <w:rPr>
        <w:rFonts w:ascii="Arial" w:hAnsi="Arial" w:cs="Arial"/>
        <w:b/>
        <w:sz w:val="48"/>
      </w:rPr>
      <w:tab/>
    </w:r>
    <w:r w:rsidRPr="00A26D89">
      <w:rPr>
        <w:rFonts w:ascii="Arial" w:hAnsi="Arial" w:cs="Arial"/>
        <w:b/>
        <w:sz w:val="48"/>
      </w:rPr>
      <w:tab/>
    </w:r>
    <w:r w:rsidRPr="00A26D89">
      <w:tab/>
    </w:r>
    <w:r w:rsidRPr="00A26D8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Pr="00A26D89" w:rsidRDefault="00A26D89" w:rsidP="00A26D89">
    <w:pPr>
      <w:pStyle w:val="Footer"/>
      <w:rPr>
        <w:rFonts w:ascii="Arial" w:hAnsi="Arial" w:cs="Arial"/>
        <w:b/>
        <w:sz w:val="48"/>
      </w:rPr>
    </w:pPr>
    <w:r w:rsidRPr="00A26D89">
      <w:rPr>
        <w:rFonts w:ascii="Arial" w:hAnsi="Arial" w:cs="Arial"/>
        <w:b/>
        <w:sz w:val="48"/>
      </w:rPr>
      <w:t>EN</w:t>
    </w:r>
    <w:r w:rsidRPr="00A26D89">
      <w:rPr>
        <w:rFonts w:ascii="Arial" w:hAnsi="Arial" w:cs="Arial"/>
        <w:b/>
        <w:sz w:val="48"/>
      </w:rPr>
      <w:tab/>
    </w:r>
    <w:r w:rsidRPr="00A26D89">
      <w:rPr>
        <w:rFonts w:ascii="Arial" w:hAnsi="Arial" w:cs="Arial"/>
        <w:b/>
        <w:sz w:val="48"/>
      </w:rPr>
      <w:tab/>
    </w:r>
    <w:r w:rsidRPr="00A26D89">
      <w:tab/>
    </w:r>
    <w:r w:rsidRPr="00A26D8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Default="00A26D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Pr="00A26D89" w:rsidRDefault="00A26D89" w:rsidP="00A26D89">
    <w:pPr>
      <w:pStyle w:val="Footer"/>
      <w:rPr>
        <w:rFonts w:ascii="Arial" w:hAnsi="Arial" w:cs="Arial"/>
        <w:b/>
        <w:sz w:val="48"/>
      </w:rPr>
    </w:pPr>
    <w:r w:rsidRPr="00A26D89">
      <w:rPr>
        <w:rFonts w:ascii="Arial" w:hAnsi="Arial" w:cs="Arial"/>
        <w:b/>
        <w:sz w:val="48"/>
      </w:rPr>
      <w:t>EN</w:t>
    </w:r>
    <w:r w:rsidRPr="00A26D89">
      <w:rPr>
        <w:rFonts w:ascii="Arial" w:hAnsi="Arial" w:cs="Arial"/>
        <w:b/>
        <w:sz w:val="48"/>
      </w:rPr>
      <w:tab/>
    </w:r>
    <w:r>
      <w:fldChar w:fldCharType="begin"/>
    </w:r>
    <w:r>
      <w:instrText xml:space="preserve"> PAGE  \* MERGEFORMAT </w:instrText>
    </w:r>
    <w:r>
      <w:fldChar w:fldCharType="separate"/>
    </w:r>
    <w:r w:rsidR="002A6DA0">
      <w:rPr>
        <w:noProof/>
      </w:rPr>
      <w:t>8</w:t>
    </w:r>
    <w:r>
      <w:fldChar w:fldCharType="end"/>
    </w:r>
    <w:r>
      <w:tab/>
    </w:r>
    <w:r w:rsidRPr="00A26D89">
      <w:tab/>
    </w:r>
    <w:r w:rsidRPr="00A26D8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Default="00A26D89" w:rsidP="00A26D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3B1" w:rsidRDefault="000E23B1" w:rsidP="00113D69">
      <w:pPr>
        <w:spacing w:before="0" w:after="0"/>
      </w:pPr>
      <w:r>
        <w:separator/>
      </w:r>
    </w:p>
  </w:footnote>
  <w:footnote w:type="continuationSeparator" w:id="0">
    <w:p w:rsidR="000E23B1" w:rsidRDefault="000E23B1" w:rsidP="00113D69">
      <w:pPr>
        <w:spacing w:before="0" w:after="0"/>
      </w:pPr>
      <w:r>
        <w:continuationSeparator/>
      </w:r>
    </w:p>
  </w:footnote>
  <w:footnote w:type="continuationNotice" w:id="1">
    <w:p w:rsidR="000E23B1" w:rsidRDefault="000E23B1">
      <w:pPr>
        <w:spacing w:before="0" w:after="0"/>
      </w:pPr>
    </w:p>
  </w:footnote>
  <w:footnote w:id="2">
    <w:p w:rsidR="00113D69" w:rsidRDefault="00113D69" w:rsidP="005352DA">
      <w:pPr>
        <w:pStyle w:val="FootnoteText"/>
        <w:ind w:left="284" w:hanging="284"/>
      </w:pPr>
      <w:r>
        <w:rPr>
          <w:rStyle w:val="FootnoteReference"/>
        </w:rPr>
        <w:footnoteRef/>
      </w:r>
      <w:r>
        <w:tab/>
        <w:t xml:space="preserve">         Austria (ratified on 11/6/1975), Belgium (ratified on 30/12/1977), Bulgaria (ratified on 12/5/1995),  </w:t>
      </w:r>
    </w:p>
    <w:p w:rsidR="00113D69" w:rsidRDefault="00113D69" w:rsidP="005352DA">
      <w:pPr>
        <w:pStyle w:val="FootnoteText"/>
        <w:ind w:left="284" w:hanging="284"/>
      </w:pPr>
      <w:r>
        <w:t xml:space="preserve">               Croatia (ratified on 3/8/1992), Cyprus (ratified on 5/9/2003), Czechia (ratified on 22/6/1993), Denmark </w:t>
      </w:r>
    </w:p>
    <w:p w:rsidR="00113D69" w:rsidRDefault="00113D69" w:rsidP="005352DA">
      <w:pPr>
        <w:pStyle w:val="FootnoteText"/>
        <w:ind w:left="284" w:hanging="284"/>
      </w:pPr>
      <w:r>
        <w:t xml:space="preserve">               (ratified on 30/12/1977), Estonia (ratified on 3/5/1993), Finland (ratified on 16/2/1999), France (ratified </w:t>
      </w:r>
    </w:p>
    <w:p w:rsidR="00113D69" w:rsidRDefault="00113D69" w:rsidP="005352DA">
      <w:pPr>
        <w:pStyle w:val="FootnoteText"/>
        <w:ind w:left="284" w:hanging="284"/>
      </w:pPr>
      <w:r>
        <w:t xml:space="preserve">               on 9/1/1978), Germany (ratified on 9/7/1975), Greece (ratified on 11/1/1974), Hungary (ratified on </w:t>
      </w:r>
    </w:p>
    <w:p w:rsidR="00113D69" w:rsidRDefault="00113D69" w:rsidP="005352DA">
      <w:pPr>
        <w:pStyle w:val="FootnoteText"/>
        <w:ind w:left="284" w:hanging="284"/>
      </w:pPr>
      <w:r>
        <w:t xml:space="preserve">               22/10/1999), Ireland (ratified on 28/8/1979), Italy (ratified on 28/12/1978), Latvia (ratified on </w:t>
      </w:r>
    </w:p>
    <w:p w:rsidR="00113D69" w:rsidRDefault="00113D69" w:rsidP="005352DA">
      <w:pPr>
        <w:pStyle w:val="FootnoteText"/>
        <w:ind w:left="284" w:hanging="284"/>
      </w:pPr>
      <w:r>
        <w:t xml:space="preserve">               14/1/1994), Lithuania (ratified on 3/6/1998), Luxembourg (ratified on 30/12/1977), Malta (ratified on </w:t>
      </w:r>
    </w:p>
    <w:p w:rsidR="00113D69" w:rsidRDefault="00113D69" w:rsidP="005352DA">
      <w:pPr>
        <w:pStyle w:val="FootnoteText"/>
        <w:ind w:left="284" w:hanging="284"/>
      </w:pPr>
      <w:r>
        <w:t xml:space="preserve">               24/9/2004), Netherlands (ratified on 30/12/1977), Poland (ratified on 14/7/1992), Portugal (ratified on </w:t>
      </w:r>
    </w:p>
    <w:p w:rsidR="00113D69" w:rsidRDefault="00113D69" w:rsidP="005352DA">
      <w:pPr>
        <w:pStyle w:val="FootnoteText"/>
        <w:ind w:left="284" w:hanging="284"/>
      </w:pPr>
      <w:r>
        <w:t xml:space="preserve">               20/9/1973), Romania (ratified on 8/12/1994), Slovakia (ratified on 28/5/1993), Slovenia (ratified on </w:t>
      </w:r>
    </w:p>
    <w:p w:rsidR="00113D69" w:rsidRDefault="00113D69" w:rsidP="005352DA">
      <w:pPr>
        <w:pStyle w:val="FootnoteText"/>
        <w:ind w:left="284" w:hanging="284"/>
      </w:pPr>
      <w:r>
        <w:t xml:space="preserve">               6/8/1993), Spain (ratified on 3/1/1993) and Sweden (ratified on 24/8/1973).</w:t>
      </w:r>
    </w:p>
  </w:footnote>
  <w:footnote w:id="3">
    <w:p w:rsidR="00113D69" w:rsidRDefault="00113D69" w:rsidP="00113D69">
      <w:pPr>
        <w:pStyle w:val="FootnoteText"/>
        <w:rPr>
          <w:lang w:val="en-IE"/>
        </w:rPr>
      </w:pPr>
      <w:r>
        <w:rPr>
          <w:rStyle w:val="FootnoteReference"/>
        </w:rPr>
        <w:footnoteRef/>
      </w:r>
      <w:r>
        <w:tab/>
        <w:t xml:space="preserve">Decision on matters relating to Inland Transport Committee: Establishment of a Group of Experts on European Agreement Concerning Work of Crews of Vehicles Engaged in International Road Transport (AETR), </w:t>
      </w:r>
      <w:r>
        <w:rPr>
          <w:lang w:val="en-US"/>
        </w:rPr>
        <w:t>ECE/EX/2011/L.16, paragraph 3</w:t>
      </w:r>
      <w:r>
        <w:rPr>
          <w:lang w:val="en-IE"/>
        </w:rPr>
        <w:t>: “</w:t>
      </w:r>
      <w:r>
        <w:t>In accordance with the Guidelines, participation in the Expert Group would be open to all ECE member States, all AETR Contracting Parties and the European Union (…)</w:t>
      </w:r>
      <w:r>
        <w:rPr>
          <w:lang w:val="en-IE"/>
        </w:rPr>
        <w:t>”</w:t>
      </w:r>
    </w:p>
  </w:footnote>
  <w:footnote w:id="4">
    <w:p w:rsidR="0054273F" w:rsidRPr="00E307F0" w:rsidRDefault="0054273F">
      <w:pPr>
        <w:pStyle w:val="FootnoteText"/>
        <w:rPr>
          <w:lang w:val="pt-PT"/>
        </w:rPr>
      </w:pPr>
      <w:r w:rsidRPr="007F30B6">
        <w:rPr>
          <w:rStyle w:val="FootnoteReference"/>
        </w:rPr>
        <w:footnoteRef/>
      </w:r>
      <w:r w:rsidR="007F30B6">
        <w:tab/>
      </w:r>
      <w:r>
        <w:rPr>
          <w:lang w:val="pt-PT"/>
        </w:rPr>
        <w:t>I</w:t>
      </w:r>
      <w:r w:rsidRPr="0054273F">
        <w:t>n the version</w:t>
      </w:r>
      <w:r w:rsidR="00E307F0">
        <w:t xml:space="preserve"> </w:t>
      </w:r>
      <w:r w:rsidR="00E307F0" w:rsidRPr="00E307F0">
        <w:t>adopted by the Working Party on Road Transport (SC.1) at its 114</w:t>
      </w:r>
      <w:r w:rsidR="00E307F0" w:rsidRPr="00E307F0">
        <w:rPr>
          <w:vertAlign w:val="superscript"/>
        </w:rPr>
        <w:t>th</w:t>
      </w:r>
      <w:r w:rsidR="00E307F0" w:rsidRPr="00E307F0">
        <w:t xml:space="preserve"> session (ECE/TRANS/SC.1/412, paragraph 16)</w:t>
      </w:r>
      <w:r w:rsidR="00E307F0">
        <w:t>,</w:t>
      </w:r>
      <w:r w:rsidR="00E307F0" w:rsidRPr="00E307F0">
        <w:t xml:space="preserve"> held in Geneva from 16 to 18 October 2019</w:t>
      </w:r>
      <w:r w:rsidR="00E307F0">
        <w:t xml:space="preserve">, </w:t>
      </w:r>
      <w:r w:rsidR="00E307F0" w:rsidRPr="00E307F0">
        <w:t>which entered into force on 23 April 2022</w:t>
      </w:r>
      <w:r>
        <w:t xml:space="preserve">. </w:t>
      </w:r>
    </w:p>
  </w:footnote>
  <w:footnote w:id="5">
    <w:p w:rsidR="002021C6" w:rsidRPr="002021C6" w:rsidRDefault="002021C6">
      <w:pPr>
        <w:pStyle w:val="FootnoteText"/>
        <w:rPr>
          <w:lang w:val="en-IE"/>
        </w:rPr>
      </w:pPr>
      <w:r>
        <w:rPr>
          <w:rStyle w:val="FootnoteReference"/>
        </w:rPr>
        <w:footnoteRef/>
      </w:r>
      <w:r w:rsidRPr="002021C6">
        <w:rPr>
          <w:lang w:val="en-IE"/>
        </w:rPr>
        <w:tab/>
      </w:r>
      <w:r w:rsidR="00C07315">
        <w:rPr>
          <w:lang w:val="en-IE"/>
        </w:rPr>
        <w:t xml:space="preserve">These include the </w:t>
      </w:r>
      <w:r w:rsidRPr="002021C6">
        <w:rPr>
          <w:lang w:val="en-IE"/>
        </w:rPr>
        <w:t>Vienna Convention on Road Tr</w:t>
      </w:r>
      <w:r>
        <w:rPr>
          <w:lang w:val="en-IE"/>
        </w:rPr>
        <w:t>a</w:t>
      </w:r>
      <w:r w:rsidR="006F4633">
        <w:rPr>
          <w:lang w:val="en-IE"/>
        </w:rPr>
        <w:t>ffic</w:t>
      </w:r>
      <w:r w:rsidR="00550759">
        <w:rPr>
          <w:lang w:val="en-IE"/>
        </w:rPr>
        <w:t xml:space="preserve"> (date of accession: </w:t>
      </w:r>
      <w:hyperlink r:id="rId1" w:history="1">
        <w:r w:rsidR="00550759" w:rsidRPr="006F4633">
          <w:rPr>
            <w:rStyle w:val="Hyperlink"/>
            <w:lang w:val="en-IE"/>
          </w:rPr>
          <w:t>19/12/1997</w:t>
        </w:r>
      </w:hyperlink>
      <w:r w:rsidR="00550759">
        <w:rPr>
          <w:lang w:val="en-IE"/>
        </w:rPr>
        <w:t xml:space="preserve">), </w:t>
      </w:r>
      <w:r w:rsidR="00B32CFF">
        <w:rPr>
          <w:lang w:val="en-IE"/>
        </w:rPr>
        <w:t xml:space="preserve">the </w:t>
      </w:r>
      <w:r w:rsidR="007C1241">
        <w:rPr>
          <w:lang w:val="en-IE"/>
        </w:rPr>
        <w:t>Vienna</w:t>
      </w:r>
      <w:r w:rsidR="00550759">
        <w:rPr>
          <w:lang w:val="en-IE"/>
        </w:rPr>
        <w:t xml:space="preserve"> Convention on Road Signs and Signals (date of accession: </w:t>
      </w:r>
      <w:hyperlink r:id="rId2" w:history="1">
        <w:r w:rsidR="00550759" w:rsidRPr="00DF2E49">
          <w:rPr>
            <w:rStyle w:val="Hyperlink"/>
            <w:lang w:val="en-IE"/>
          </w:rPr>
          <w:t>19/12/1997</w:t>
        </w:r>
      </w:hyperlink>
      <w:r w:rsidR="00550759">
        <w:rPr>
          <w:lang w:val="en-IE"/>
        </w:rPr>
        <w:t>)</w:t>
      </w:r>
      <w:r w:rsidR="00CC6AE5">
        <w:rPr>
          <w:lang w:val="en-IE"/>
        </w:rPr>
        <w:t xml:space="preserve"> and</w:t>
      </w:r>
      <w:r w:rsidR="004D735B">
        <w:rPr>
          <w:lang w:val="en-IE"/>
        </w:rPr>
        <w:t xml:space="preserve"> </w:t>
      </w:r>
      <w:r w:rsidR="00B32CFF">
        <w:rPr>
          <w:lang w:val="en-IE"/>
        </w:rPr>
        <w:t xml:space="preserve">the </w:t>
      </w:r>
      <w:r w:rsidR="004D735B">
        <w:rPr>
          <w:lang w:val="en-IE"/>
        </w:rPr>
        <w:t>Convention on the Contract for the International Carriage of Goods by Road (</w:t>
      </w:r>
      <w:r w:rsidR="004A27D1">
        <w:rPr>
          <w:lang w:val="en-IE"/>
        </w:rPr>
        <w:t xml:space="preserve">CMR, </w:t>
      </w:r>
      <w:r w:rsidR="004D735B">
        <w:rPr>
          <w:lang w:val="en-IE"/>
        </w:rPr>
        <w:t>date of accession</w:t>
      </w:r>
      <w:r w:rsidR="00CC6AE5">
        <w:rPr>
          <w:lang w:val="en-IE"/>
        </w:rPr>
        <w:t>:</w:t>
      </w:r>
      <w:r w:rsidR="004A27D1">
        <w:rPr>
          <w:lang w:val="en-IE"/>
        </w:rPr>
        <w:t xml:space="preserve"> </w:t>
      </w:r>
      <w:hyperlink r:id="rId3" w:history="1">
        <w:r w:rsidR="004A27D1" w:rsidRPr="004A27D1">
          <w:rPr>
            <w:rStyle w:val="Hyperlink"/>
            <w:lang w:val="en-IE"/>
          </w:rPr>
          <w:t>18/09/2003</w:t>
        </w:r>
      </w:hyperlink>
      <w:r w:rsidR="004A27D1">
        <w:rPr>
          <w:lang w:val="en-IE"/>
        </w:rPr>
        <w:t>).</w:t>
      </w:r>
    </w:p>
  </w:footnote>
  <w:footnote w:id="6">
    <w:p w:rsidR="00471713" w:rsidRPr="00471713" w:rsidRDefault="00471713">
      <w:pPr>
        <w:pStyle w:val="FootnoteText"/>
        <w:rPr>
          <w:lang w:val="en-IE"/>
        </w:rPr>
      </w:pPr>
      <w:r>
        <w:rPr>
          <w:rStyle w:val="FootnoteReference"/>
        </w:rPr>
        <w:footnoteRef/>
      </w:r>
      <w:r w:rsidRPr="00471713">
        <w:rPr>
          <w:lang w:val="en-IE"/>
        </w:rPr>
        <w:tab/>
        <w:t>In 2022,</w:t>
      </w:r>
      <w:r w:rsidR="00E9003D">
        <w:rPr>
          <w:lang w:val="en-IE"/>
        </w:rPr>
        <w:t xml:space="preserve"> </w:t>
      </w:r>
      <w:r w:rsidRPr="00471713">
        <w:rPr>
          <w:lang w:val="en-IE"/>
        </w:rPr>
        <w:t xml:space="preserve">trade </w:t>
      </w:r>
      <w:r w:rsidR="00E9003D">
        <w:rPr>
          <w:lang w:val="en-IE"/>
        </w:rPr>
        <w:t xml:space="preserve">with China </w:t>
      </w:r>
      <w:r w:rsidR="00517BEB">
        <w:rPr>
          <w:lang w:val="en-IE"/>
        </w:rPr>
        <w:t xml:space="preserve">and </w:t>
      </w:r>
      <w:r w:rsidR="00CC6AE5">
        <w:rPr>
          <w:lang w:val="en-IE"/>
        </w:rPr>
        <w:t xml:space="preserve">the </w:t>
      </w:r>
      <w:r w:rsidR="00517BEB">
        <w:rPr>
          <w:lang w:val="en-IE"/>
        </w:rPr>
        <w:t>Russia</w:t>
      </w:r>
      <w:r w:rsidR="00CC6AE5">
        <w:rPr>
          <w:lang w:val="en-IE"/>
        </w:rPr>
        <w:t>n Federation</w:t>
      </w:r>
      <w:r w:rsidR="00517BEB">
        <w:rPr>
          <w:lang w:val="en-IE"/>
        </w:rPr>
        <w:t xml:space="preserve"> respectively </w:t>
      </w:r>
      <w:r w:rsidR="009E14EA">
        <w:rPr>
          <w:lang w:val="en-IE"/>
        </w:rPr>
        <w:t xml:space="preserve">accounted for 64% </w:t>
      </w:r>
      <w:r w:rsidR="00517BEB">
        <w:rPr>
          <w:lang w:val="en-IE"/>
        </w:rPr>
        <w:t xml:space="preserve">and 13% </w:t>
      </w:r>
      <w:r w:rsidR="009E14EA">
        <w:rPr>
          <w:lang w:val="en-IE"/>
        </w:rPr>
        <w:t>of Mongolia’s total foreign trade</w:t>
      </w:r>
      <w:r w:rsidR="00517BEB">
        <w:rPr>
          <w:lang w:val="en-IE"/>
        </w:rPr>
        <w:t xml:space="preserve"> (source: Government of Mongolia).  </w:t>
      </w:r>
    </w:p>
  </w:footnote>
  <w:footnote w:id="7">
    <w:p w:rsidR="003F012D" w:rsidRPr="003F012D" w:rsidRDefault="003F012D">
      <w:pPr>
        <w:pStyle w:val="FootnoteText"/>
        <w:rPr>
          <w:lang w:val="en-IE"/>
        </w:rPr>
      </w:pPr>
      <w:r>
        <w:rPr>
          <w:rStyle w:val="FootnoteReference"/>
        </w:rPr>
        <w:footnoteRef/>
      </w:r>
      <w:r w:rsidRPr="003F012D">
        <w:rPr>
          <w:lang w:val="en-IE"/>
        </w:rPr>
        <w:tab/>
      </w:r>
      <w:r w:rsidR="00060D9F">
        <w:rPr>
          <w:lang w:val="en-IE"/>
        </w:rPr>
        <w:t>Report from the Commission to the European Parliament and to the Cou</w:t>
      </w:r>
      <w:r w:rsidR="00E74E14">
        <w:rPr>
          <w:lang w:val="en-IE"/>
        </w:rPr>
        <w:t xml:space="preserve">ncil on the issuance by Member States of temporary driver cards in accordance with Article 26(4) of Regulation (EU) No 165/2014, </w:t>
      </w:r>
      <w:r w:rsidR="002B512D" w:rsidRPr="002B512D">
        <w:t>COM(2024)309 final</w:t>
      </w:r>
      <w:r w:rsidR="002B512D">
        <w:t>.</w:t>
      </w:r>
    </w:p>
  </w:footnote>
  <w:footnote w:id="8">
    <w:p w:rsidR="008D7C53" w:rsidRPr="008D7C53" w:rsidRDefault="008D7C53">
      <w:pPr>
        <w:pStyle w:val="FootnoteText"/>
        <w:rPr>
          <w:lang w:val="en-IE"/>
        </w:rPr>
      </w:pPr>
      <w:r>
        <w:rPr>
          <w:rStyle w:val="FootnoteReference"/>
        </w:rPr>
        <w:footnoteRef/>
      </w:r>
      <w:r w:rsidRPr="008D7C53">
        <w:rPr>
          <w:lang w:val="en-IE"/>
        </w:rPr>
        <w:tab/>
        <w:t>Website of the IRU:</w:t>
      </w:r>
      <w:r>
        <w:rPr>
          <w:lang w:val="en-IE"/>
        </w:rPr>
        <w:t xml:space="preserve"> </w:t>
      </w:r>
      <w:hyperlink r:id="rId4" w:history="1">
        <w:r w:rsidRPr="008D7C53">
          <w:rPr>
            <w:rStyle w:val="Hyperlink"/>
          </w:rPr>
          <w:t>NARTAM | IRU | World Road Transport Organisation</w:t>
        </w:r>
      </w:hyperlink>
      <w:r w:rsidRPr="008D7C53">
        <w:rPr>
          <w:lang w:val="en-IE"/>
        </w:rPr>
        <w:t>.</w:t>
      </w:r>
    </w:p>
  </w:footnote>
  <w:footnote w:id="9">
    <w:p w:rsidR="00113D69" w:rsidRPr="00AF49B8" w:rsidRDefault="00113D69" w:rsidP="00113D69">
      <w:pPr>
        <w:pStyle w:val="FootnoteText"/>
        <w:rPr>
          <w:lang w:val="en-IE"/>
        </w:rPr>
      </w:pPr>
      <w:r w:rsidRPr="007B6896">
        <w:rPr>
          <w:rStyle w:val="FootnoteReference"/>
        </w:rPr>
        <w:footnoteRef/>
      </w:r>
      <w:r>
        <w:tab/>
      </w:r>
      <w:r w:rsidRPr="00AF49B8">
        <w:rPr>
          <w:lang w:val="en-IE"/>
        </w:rPr>
        <w:t>Judgment of the Court o</w:t>
      </w:r>
      <w:r>
        <w:rPr>
          <w:lang w:val="en-IE"/>
        </w:rPr>
        <w:t xml:space="preserve">f 31 March 1971, </w:t>
      </w:r>
      <w:r w:rsidRPr="005F7046">
        <w:rPr>
          <w:i/>
          <w:iCs/>
          <w:lang w:val="en-IE"/>
        </w:rPr>
        <w:t>Commission v. Council</w:t>
      </w:r>
      <w:r>
        <w:rPr>
          <w:lang w:val="en-IE"/>
        </w:rPr>
        <w:t xml:space="preserve">, </w:t>
      </w:r>
      <w:r w:rsidR="00024DEB" w:rsidRPr="00024DEB">
        <w:t>Case C-22/70</w:t>
      </w:r>
      <w:r w:rsidR="00024DEB">
        <w:t xml:space="preserve">, </w:t>
      </w:r>
      <w:r w:rsidRPr="00AF49B8">
        <w:rPr>
          <w:lang w:val="en-IE"/>
        </w:rPr>
        <w:t>ECLI:EU:C:1971:32</w:t>
      </w:r>
      <w:r w:rsidR="0098572B">
        <w:rPr>
          <w:lang w:val="en-IE"/>
        </w:rPr>
        <w:t>, paragraphs 30-31</w:t>
      </w:r>
      <w:r>
        <w:rPr>
          <w:lang w:val="en-IE"/>
        </w:rPr>
        <w:t>.</w:t>
      </w:r>
    </w:p>
  </w:footnote>
  <w:footnote w:id="10">
    <w:p w:rsidR="00B32CFF" w:rsidRPr="00F576F5" w:rsidRDefault="00B32CFF">
      <w:pPr>
        <w:pStyle w:val="FootnoteText"/>
        <w:rPr>
          <w:lang w:val="en-IE"/>
        </w:rPr>
      </w:pPr>
      <w:r w:rsidRPr="00EA115A">
        <w:rPr>
          <w:rStyle w:val="FootnoteReference"/>
        </w:rPr>
        <w:footnoteRef/>
      </w:r>
      <w:r w:rsidR="00EA115A">
        <w:rPr>
          <w:lang w:val="en-IE"/>
        </w:rPr>
        <w:tab/>
      </w:r>
      <w:r w:rsidR="00F576F5" w:rsidRPr="00F576F5">
        <w:t xml:space="preserve">Regulation (EC) No 561/2006 of the European Parliament and of the Council of 15 March 2006 on the harmonisation of certain social legislation relating to road transport and amending Council Regulations (EEC) No 3821/85 and (EC) No 2135/98 and repealing Council Regulation (EEC) No 3820/85 </w:t>
      </w:r>
      <w:r w:rsidR="00024DEB">
        <w:t>(</w:t>
      </w:r>
      <w:r w:rsidR="00F576F5" w:rsidRPr="00F576F5">
        <w:t>OJ L 102, 11.4.2006, p. 1</w:t>
      </w:r>
      <w:r w:rsidR="00024DEB">
        <w:t xml:space="preserve">, </w:t>
      </w:r>
      <w:r w:rsidR="00024DEB" w:rsidRPr="00024DEB">
        <w:t>ELI: </w:t>
      </w:r>
      <w:hyperlink r:id="rId5" w:tooltip="Gives access to this document through its ELI URI." w:history="1">
        <w:r w:rsidR="00024DEB" w:rsidRPr="00024DEB">
          <w:rPr>
            <w:rStyle w:val="Hyperlink"/>
          </w:rPr>
          <w:t>http://data.europa.eu/eli/reg/2006/561/oj</w:t>
        </w:r>
      </w:hyperlink>
      <w:r w:rsidR="00024DEB">
        <w:t>)</w:t>
      </w:r>
      <w:r w:rsidR="00F576F5" w:rsidRPr="00F576F5">
        <w:t>.</w:t>
      </w:r>
    </w:p>
  </w:footnote>
  <w:footnote w:id="11">
    <w:p w:rsidR="00B32CFF" w:rsidRPr="00F576F5" w:rsidRDefault="00B32CFF">
      <w:pPr>
        <w:pStyle w:val="FootnoteText"/>
        <w:rPr>
          <w:lang w:val="en-IE"/>
        </w:rPr>
      </w:pPr>
      <w:r w:rsidRPr="00EA115A">
        <w:rPr>
          <w:rStyle w:val="FootnoteReference"/>
        </w:rPr>
        <w:footnoteRef/>
      </w:r>
      <w:r w:rsidR="00EA115A">
        <w:rPr>
          <w:lang w:val="en-IE"/>
        </w:rPr>
        <w:tab/>
      </w:r>
      <w:r w:rsidR="00F576F5" w:rsidRPr="00F576F5">
        <w:t xml:space="preserve">Regulation (EU) No 165/2014 of the European Parliament and of the Council of 4 February 2014 on tachographs in road transport, repealing Council Regulation (EEC) No 3821/85 on recording equipment in road transport and amending Regulation (EC) No 561/2006 of the European Parliament and of the Council on the harmonisation of certain social legislation relating to road transport </w:t>
      </w:r>
      <w:r w:rsidR="00024DEB">
        <w:t>(</w:t>
      </w:r>
      <w:r w:rsidR="00F576F5" w:rsidRPr="00F576F5">
        <w:t>OJ L 60, 28.2.2014, p. 1</w:t>
      </w:r>
      <w:r w:rsidR="00024DEB">
        <w:t xml:space="preserve">, </w:t>
      </w:r>
      <w:r w:rsidR="00024DEB" w:rsidRPr="00024DEB">
        <w:t>ELI: </w:t>
      </w:r>
      <w:hyperlink r:id="rId6" w:tooltip="Gives access to this document through its ELI URI." w:history="1">
        <w:r w:rsidR="00024DEB" w:rsidRPr="00024DEB">
          <w:rPr>
            <w:rStyle w:val="Hyperlink"/>
          </w:rPr>
          <w:t>http://data.europa.eu/eli/reg/2014/165/oj</w:t>
        </w:r>
      </w:hyperlink>
      <w:r w:rsidR="00024DEB">
        <w:t>)</w:t>
      </w:r>
      <w:r w:rsidR="00F576F5" w:rsidRPr="00F576F5">
        <w:t>.</w:t>
      </w:r>
    </w:p>
  </w:footnote>
  <w:footnote w:id="12">
    <w:p w:rsidR="00113D69" w:rsidRPr="00B035F8" w:rsidRDefault="00113D69" w:rsidP="00736AA9">
      <w:pPr>
        <w:pStyle w:val="FootnoteText"/>
      </w:pPr>
      <w:r w:rsidRPr="00B035F8">
        <w:rPr>
          <w:rStyle w:val="FootnoteReference"/>
        </w:rPr>
        <w:footnoteRef/>
      </w:r>
      <w:r w:rsidRPr="00B035F8">
        <w:tab/>
        <w:t xml:space="preserve">Judgment of the Court of Justice of 7 October 2014, Germany v Council, C-399/12, ECLI:EU:C:2014:2258, paragraph 64. </w:t>
      </w:r>
    </w:p>
  </w:footnote>
  <w:footnote w:id="13">
    <w:p w:rsidR="00F04B18" w:rsidRPr="00F04B18" w:rsidRDefault="00F04B18">
      <w:pPr>
        <w:pStyle w:val="FootnoteText"/>
        <w:rPr>
          <w:lang w:val="pt-PT"/>
        </w:rPr>
      </w:pPr>
      <w:r w:rsidRPr="007F30B6">
        <w:rPr>
          <w:rStyle w:val="FootnoteReference"/>
        </w:rPr>
        <w:footnoteRef/>
      </w:r>
      <w:r w:rsidR="007F30B6">
        <w:tab/>
      </w:r>
      <w:r w:rsidRPr="00F04B18">
        <w:t>Judgment of the Court of Justice of 7 October 2014, Germany v Council, C-399/12, ECLI:EU:C:2014:2258, paragraph 52.</w:t>
      </w:r>
    </w:p>
  </w:footnote>
  <w:footnote w:id="14">
    <w:p w:rsidR="00113D69" w:rsidRPr="00B035F8" w:rsidRDefault="00113D69"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15">
    <w:p w:rsidR="009347CC" w:rsidRPr="005F7046" w:rsidRDefault="009347CC" w:rsidP="009347CC">
      <w:pPr>
        <w:pStyle w:val="FootnoteText"/>
        <w:rPr>
          <w:lang w:val="es-ES"/>
        </w:rPr>
      </w:pPr>
      <w:r w:rsidRPr="00356D61">
        <w:rPr>
          <w:rStyle w:val="FootnoteReference"/>
        </w:rPr>
        <w:footnoteRef/>
      </w:r>
      <w:r w:rsidRPr="005F7046">
        <w:rPr>
          <w:lang w:val="es-ES"/>
        </w:rPr>
        <w:tab/>
      </w:r>
      <w:r w:rsidR="00024DEB" w:rsidRPr="005F7046">
        <w:rPr>
          <w:lang w:val="es-ES"/>
        </w:rPr>
        <w:t>OJ L 95, 8.4.1978, p. 1</w:t>
      </w:r>
      <w:r w:rsidR="00024DEB" w:rsidRPr="005F7046">
        <w:rPr>
          <w:sz w:val="19"/>
          <w:szCs w:val="19"/>
          <w:shd w:val="clear" w:color="auto" w:fill="FFFFFF"/>
          <w:lang w:val="es-ES"/>
        </w:rPr>
        <w:t>, ELI: </w:t>
      </w:r>
      <w:hyperlink r:id="rId7" w:tooltip="Gives access to this document through its ELI URI." w:history="1">
        <w:r w:rsidR="00024DEB" w:rsidRPr="005F7046">
          <w:rPr>
            <w:rStyle w:val="Hyperlink"/>
            <w:sz w:val="19"/>
            <w:szCs w:val="19"/>
            <w:shd w:val="clear" w:color="auto" w:fill="FFFFFF"/>
            <w:lang w:val="es-ES"/>
          </w:rPr>
          <w:t>http://data.europa.eu/eli/agree_internation/1977/2829/oj</w:t>
        </w:r>
      </w:hyperlink>
      <w:r w:rsidRPr="005F7046">
        <w:rPr>
          <w:lang w:val="es-ES"/>
        </w:rPr>
        <w:t>.</w:t>
      </w:r>
    </w:p>
  </w:footnote>
  <w:footnote w:id="16">
    <w:p w:rsidR="009347CC" w:rsidRPr="00CA7FB2" w:rsidRDefault="009347CC" w:rsidP="009347CC">
      <w:pPr>
        <w:pStyle w:val="FootnoteText"/>
        <w:rPr>
          <w:lang w:val="en-IE"/>
        </w:rPr>
      </w:pPr>
      <w:r w:rsidRPr="003C7EB1">
        <w:rPr>
          <w:rStyle w:val="FootnoteReference"/>
        </w:rPr>
        <w:footnoteRef/>
      </w:r>
      <w:r>
        <w:tab/>
        <w:t xml:space="preserve">Judgment of the Court of Justice of 31 March 1971, </w:t>
      </w:r>
      <w:r>
        <w:rPr>
          <w:i/>
          <w:iCs/>
        </w:rPr>
        <w:t>Commission v. Council</w:t>
      </w:r>
      <w:r>
        <w:t xml:space="preserve">, </w:t>
      </w:r>
      <w:r w:rsidR="00024DEB">
        <w:t>Case C-</w:t>
      </w:r>
      <w:r>
        <w:t>22/70, ECLI:EU:C:1971:32, para</w:t>
      </w:r>
      <w:r w:rsidR="00024DEB">
        <w:t>graphs</w:t>
      </w:r>
      <w:r>
        <w:t xml:space="preserve"> 30-31.</w:t>
      </w:r>
    </w:p>
  </w:footnote>
  <w:footnote w:id="17">
    <w:p w:rsidR="0098572B" w:rsidRPr="0098572B" w:rsidRDefault="0098572B">
      <w:pPr>
        <w:pStyle w:val="FootnoteText"/>
      </w:pPr>
      <w:r w:rsidRPr="007F30B6">
        <w:rPr>
          <w:rStyle w:val="FootnoteReference"/>
        </w:rPr>
        <w:footnoteRef/>
      </w:r>
      <w:r w:rsidR="007F30B6">
        <w:tab/>
      </w:r>
      <w:r>
        <w:rPr>
          <w:lang w:val="pt-PT"/>
        </w:rPr>
        <w:t xml:space="preserve">Currently </w:t>
      </w:r>
      <w:r w:rsidRPr="0098572B">
        <w:t>limited to Algeria, Egypt, Jordan, Lebanon, Morocco and Tunisia.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Default="00A26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89" w:rsidRDefault="00A26D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232209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8CE2D4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51C502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38685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40: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B0ED80C-113F-41F4-B3FB-B8AD5E5A741A"/>
    <w:docVar w:name="LW_COVERPAGE_TYPE" w:val="1"/>
    <w:docVar w:name="LW_CreatedUtc" w:val="2025-07-23T10:04:14.9570165Z"/>
    <w:docVar w:name="LW_CROSSREFERENCE" w:val="&lt;UNUSED&gt;"/>
    <w:docVar w:name="LW_DocType" w:val="COM"/>
    <w:docVar w:name="LW_EMISSION" w:val="22.1.2026"/>
    <w:docVar w:name="LW_EMISSION_ISODATE" w:val="2026-01-2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7"/>
    <w:docVar w:name="LW_REF.II.NEW.CP_YEAR" w:val="2026"/>
    <w:docVar w:name="LW_REF.INST.NEW" w:val="COM"/>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Group of Experts on the European Agreement concerning the work of crews of vehicles engaged in international road transport (AETR) and in the Working Party on Road Transport of the United Nations Economic Commission for Europe as regards a proposal to allow the accession of Mongolia to the AETR"/>
    <w:docVar w:name="LW_TYPE.DOC.CP" w:val="COUNCIL DECISION"/>
    <w:docVar w:name="LwApiVersions" w:val="LW4CoDe 1.24.5.0; LW 9.2, Build 20251112"/>
  </w:docVars>
  <w:rsids>
    <w:rsidRoot w:val="00113D69"/>
    <w:rsid w:val="00011AB4"/>
    <w:rsid w:val="00015E83"/>
    <w:rsid w:val="00024DEB"/>
    <w:rsid w:val="00032BEF"/>
    <w:rsid w:val="000416CC"/>
    <w:rsid w:val="00046525"/>
    <w:rsid w:val="00060D9F"/>
    <w:rsid w:val="00073F2E"/>
    <w:rsid w:val="0007654A"/>
    <w:rsid w:val="0009701C"/>
    <w:rsid w:val="000B0F5C"/>
    <w:rsid w:val="000B721A"/>
    <w:rsid w:val="000D3025"/>
    <w:rsid w:val="000D5C9C"/>
    <w:rsid w:val="000D63B4"/>
    <w:rsid w:val="000E23B1"/>
    <w:rsid w:val="000E4210"/>
    <w:rsid w:val="000F0DB7"/>
    <w:rsid w:val="000F5ACE"/>
    <w:rsid w:val="000F5C25"/>
    <w:rsid w:val="000F743A"/>
    <w:rsid w:val="001065F5"/>
    <w:rsid w:val="001072F9"/>
    <w:rsid w:val="00107C64"/>
    <w:rsid w:val="00110D82"/>
    <w:rsid w:val="00113D69"/>
    <w:rsid w:val="0011660F"/>
    <w:rsid w:val="00116ABC"/>
    <w:rsid w:val="001238EF"/>
    <w:rsid w:val="0013296C"/>
    <w:rsid w:val="001867F3"/>
    <w:rsid w:val="00197613"/>
    <w:rsid w:val="001A4A32"/>
    <w:rsid w:val="001E38F9"/>
    <w:rsid w:val="001F01F2"/>
    <w:rsid w:val="002021C6"/>
    <w:rsid w:val="00204931"/>
    <w:rsid w:val="00233DC7"/>
    <w:rsid w:val="00240953"/>
    <w:rsid w:val="00247779"/>
    <w:rsid w:val="00252D23"/>
    <w:rsid w:val="0026293D"/>
    <w:rsid w:val="00263BB1"/>
    <w:rsid w:val="00264193"/>
    <w:rsid w:val="00285BEE"/>
    <w:rsid w:val="00292612"/>
    <w:rsid w:val="00294D5F"/>
    <w:rsid w:val="0029533F"/>
    <w:rsid w:val="00295B5C"/>
    <w:rsid w:val="002A1E77"/>
    <w:rsid w:val="002A6DA0"/>
    <w:rsid w:val="002B1720"/>
    <w:rsid w:val="002B30AF"/>
    <w:rsid w:val="002B512D"/>
    <w:rsid w:val="002B7373"/>
    <w:rsid w:val="002C280E"/>
    <w:rsid w:val="002C3D21"/>
    <w:rsid w:val="002E1D55"/>
    <w:rsid w:val="002F57DA"/>
    <w:rsid w:val="0030177F"/>
    <w:rsid w:val="00317642"/>
    <w:rsid w:val="00330851"/>
    <w:rsid w:val="0033344A"/>
    <w:rsid w:val="00340754"/>
    <w:rsid w:val="0035530E"/>
    <w:rsid w:val="00360F6F"/>
    <w:rsid w:val="0036342A"/>
    <w:rsid w:val="003642EC"/>
    <w:rsid w:val="0036556C"/>
    <w:rsid w:val="0037108E"/>
    <w:rsid w:val="00372080"/>
    <w:rsid w:val="00374063"/>
    <w:rsid w:val="00395C11"/>
    <w:rsid w:val="003B63ED"/>
    <w:rsid w:val="003C09DF"/>
    <w:rsid w:val="003D1322"/>
    <w:rsid w:val="003D79F7"/>
    <w:rsid w:val="003E7E63"/>
    <w:rsid w:val="003F012D"/>
    <w:rsid w:val="003F1807"/>
    <w:rsid w:val="003F30EB"/>
    <w:rsid w:val="00402D6C"/>
    <w:rsid w:val="004039B0"/>
    <w:rsid w:val="004079BF"/>
    <w:rsid w:val="0042648E"/>
    <w:rsid w:val="004307CA"/>
    <w:rsid w:val="00440161"/>
    <w:rsid w:val="00453382"/>
    <w:rsid w:val="0045651E"/>
    <w:rsid w:val="00471713"/>
    <w:rsid w:val="00475CBF"/>
    <w:rsid w:val="004936D2"/>
    <w:rsid w:val="004A27D1"/>
    <w:rsid w:val="004A5AB9"/>
    <w:rsid w:val="004B0ECA"/>
    <w:rsid w:val="004C63B8"/>
    <w:rsid w:val="004D735B"/>
    <w:rsid w:val="004F226C"/>
    <w:rsid w:val="00505A8B"/>
    <w:rsid w:val="005139D8"/>
    <w:rsid w:val="00517BEB"/>
    <w:rsid w:val="00523FEC"/>
    <w:rsid w:val="005272E7"/>
    <w:rsid w:val="005352DA"/>
    <w:rsid w:val="0054273F"/>
    <w:rsid w:val="00550759"/>
    <w:rsid w:val="005515B6"/>
    <w:rsid w:val="00556C06"/>
    <w:rsid w:val="00562DF3"/>
    <w:rsid w:val="005648BE"/>
    <w:rsid w:val="00576547"/>
    <w:rsid w:val="00576C33"/>
    <w:rsid w:val="00582D39"/>
    <w:rsid w:val="005B1EB6"/>
    <w:rsid w:val="005B3B62"/>
    <w:rsid w:val="005C5E4D"/>
    <w:rsid w:val="005D5260"/>
    <w:rsid w:val="005D52C2"/>
    <w:rsid w:val="005F7046"/>
    <w:rsid w:val="00601588"/>
    <w:rsid w:val="006100FC"/>
    <w:rsid w:val="00611C53"/>
    <w:rsid w:val="006202E6"/>
    <w:rsid w:val="00652B29"/>
    <w:rsid w:val="00656BD0"/>
    <w:rsid w:val="00665A62"/>
    <w:rsid w:val="00666722"/>
    <w:rsid w:val="0069744D"/>
    <w:rsid w:val="006A417B"/>
    <w:rsid w:val="006A767B"/>
    <w:rsid w:val="006B4D15"/>
    <w:rsid w:val="006C2C1E"/>
    <w:rsid w:val="006D1824"/>
    <w:rsid w:val="006E4517"/>
    <w:rsid w:val="006F0BC4"/>
    <w:rsid w:val="006F2AE3"/>
    <w:rsid w:val="006F4633"/>
    <w:rsid w:val="006F525F"/>
    <w:rsid w:val="00700BF5"/>
    <w:rsid w:val="007032A1"/>
    <w:rsid w:val="00710EAA"/>
    <w:rsid w:val="00711D9B"/>
    <w:rsid w:val="007171E9"/>
    <w:rsid w:val="00735FA7"/>
    <w:rsid w:val="00741B76"/>
    <w:rsid w:val="00746E02"/>
    <w:rsid w:val="00755E48"/>
    <w:rsid w:val="00765BB8"/>
    <w:rsid w:val="00773331"/>
    <w:rsid w:val="007822B0"/>
    <w:rsid w:val="00783646"/>
    <w:rsid w:val="007932EF"/>
    <w:rsid w:val="007936E4"/>
    <w:rsid w:val="0079732C"/>
    <w:rsid w:val="007A34D9"/>
    <w:rsid w:val="007C1241"/>
    <w:rsid w:val="007C4AC9"/>
    <w:rsid w:val="007D4AAC"/>
    <w:rsid w:val="007E05B0"/>
    <w:rsid w:val="007E0B9D"/>
    <w:rsid w:val="007E171C"/>
    <w:rsid w:val="007F19E2"/>
    <w:rsid w:val="007F30B6"/>
    <w:rsid w:val="008060CD"/>
    <w:rsid w:val="00816305"/>
    <w:rsid w:val="0082053B"/>
    <w:rsid w:val="00831448"/>
    <w:rsid w:val="008412DC"/>
    <w:rsid w:val="00845298"/>
    <w:rsid w:val="0085741F"/>
    <w:rsid w:val="00857A83"/>
    <w:rsid w:val="008620C3"/>
    <w:rsid w:val="00874D22"/>
    <w:rsid w:val="00884F6B"/>
    <w:rsid w:val="00896311"/>
    <w:rsid w:val="008A2914"/>
    <w:rsid w:val="008A4014"/>
    <w:rsid w:val="008B50B6"/>
    <w:rsid w:val="008B691D"/>
    <w:rsid w:val="008D43EC"/>
    <w:rsid w:val="008D7C53"/>
    <w:rsid w:val="008E4D8E"/>
    <w:rsid w:val="008F3B4D"/>
    <w:rsid w:val="00905B2C"/>
    <w:rsid w:val="00914747"/>
    <w:rsid w:val="00922F08"/>
    <w:rsid w:val="009347CC"/>
    <w:rsid w:val="00934BA3"/>
    <w:rsid w:val="009446B3"/>
    <w:rsid w:val="00944F3D"/>
    <w:rsid w:val="00956DDE"/>
    <w:rsid w:val="00966F2C"/>
    <w:rsid w:val="0098572B"/>
    <w:rsid w:val="009B42D7"/>
    <w:rsid w:val="009B6D4F"/>
    <w:rsid w:val="009C6583"/>
    <w:rsid w:val="009E14EA"/>
    <w:rsid w:val="009F28F8"/>
    <w:rsid w:val="00A07C74"/>
    <w:rsid w:val="00A12DD4"/>
    <w:rsid w:val="00A26D89"/>
    <w:rsid w:val="00A279DB"/>
    <w:rsid w:val="00A53797"/>
    <w:rsid w:val="00A60D5E"/>
    <w:rsid w:val="00AA512D"/>
    <w:rsid w:val="00AB6CC6"/>
    <w:rsid w:val="00AC4D02"/>
    <w:rsid w:val="00AD126B"/>
    <w:rsid w:val="00AD180F"/>
    <w:rsid w:val="00AE1CF5"/>
    <w:rsid w:val="00AE255B"/>
    <w:rsid w:val="00B1005F"/>
    <w:rsid w:val="00B1071D"/>
    <w:rsid w:val="00B11D4E"/>
    <w:rsid w:val="00B13195"/>
    <w:rsid w:val="00B20B4E"/>
    <w:rsid w:val="00B271FF"/>
    <w:rsid w:val="00B32CFF"/>
    <w:rsid w:val="00B40D94"/>
    <w:rsid w:val="00B41185"/>
    <w:rsid w:val="00B427F1"/>
    <w:rsid w:val="00B557D8"/>
    <w:rsid w:val="00B57EC9"/>
    <w:rsid w:val="00B60F58"/>
    <w:rsid w:val="00B65F79"/>
    <w:rsid w:val="00B85C8A"/>
    <w:rsid w:val="00B95362"/>
    <w:rsid w:val="00BA507B"/>
    <w:rsid w:val="00BA56A3"/>
    <w:rsid w:val="00BB5765"/>
    <w:rsid w:val="00BE10DA"/>
    <w:rsid w:val="00BE4662"/>
    <w:rsid w:val="00BF0760"/>
    <w:rsid w:val="00BF403F"/>
    <w:rsid w:val="00BF4574"/>
    <w:rsid w:val="00C07315"/>
    <w:rsid w:val="00C12301"/>
    <w:rsid w:val="00C36D2C"/>
    <w:rsid w:val="00C37AD2"/>
    <w:rsid w:val="00C57263"/>
    <w:rsid w:val="00C6161B"/>
    <w:rsid w:val="00C9212F"/>
    <w:rsid w:val="00CB3448"/>
    <w:rsid w:val="00CC6168"/>
    <w:rsid w:val="00CC6AE5"/>
    <w:rsid w:val="00CD245C"/>
    <w:rsid w:val="00CD2701"/>
    <w:rsid w:val="00CD7378"/>
    <w:rsid w:val="00CE3EB4"/>
    <w:rsid w:val="00CE43AF"/>
    <w:rsid w:val="00D20381"/>
    <w:rsid w:val="00D323D2"/>
    <w:rsid w:val="00D3292A"/>
    <w:rsid w:val="00D472A5"/>
    <w:rsid w:val="00D75882"/>
    <w:rsid w:val="00D83DE8"/>
    <w:rsid w:val="00D86AFF"/>
    <w:rsid w:val="00D87C9E"/>
    <w:rsid w:val="00D968C4"/>
    <w:rsid w:val="00DA0F60"/>
    <w:rsid w:val="00DA1E1E"/>
    <w:rsid w:val="00DC0318"/>
    <w:rsid w:val="00DC3566"/>
    <w:rsid w:val="00DC777C"/>
    <w:rsid w:val="00DD1ED6"/>
    <w:rsid w:val="00DD3FE0"/>
    <w:rsid w:val="00DE43CF"/>
    <w:rsid w:val="00DE7FDB"/>
    <w:rsid w:val="00DF2728"/>
    <w:rsid w:val="00DF2E49"/>
    <w:rsid w:val="00E04257"/>
    <w:rsid w:val="00E107BE"/>
    <w:rsid w:val="00E278A1"/>
    <w:rsid w:val="00E307F0"/>
    <w:rsid w:val="00E523E7"/>
    <w:rsid w:val="00E54BFD"/>
    <w:rsid w:val="00E640BA"/>
    <w:rsid w:val="00E70FAE"/>
    <w:rsid w:val="00E74E14"/>
    <w:rsid w:val="00E75E12"/>
    <w:rsid w:val="00E8683D"/>
    <w:rsid w:val="00E9003D"/>
    <w:rsid w:val="00EA115A"/>
    <w:rsid w:val="00EA3790"/>
    <w:rsid w:val="00EA4F18"/>
    <w:rsid w:val="00EB4653"/>
    <w:rsid w:val="00ED6BC1"/>
    <w:rsid w:val="00EF062A"/>
    <w:rsid w:val="00F01316"/>
    <w:rsid w:val="00F03D16"/>
    <w:rsid w:val="00F04B18"/>
    <w:rsid w:val="00F46878"/>
    <w:rsid w:val="00F5034D"/>
    <w:rsid w:val="00F576F5"/>
    <w:rsid w:val="00F67F7E"/>
    <w:rsid w:val="00F833E9"/>
    <w:rsid w:val="00F85700"/>
    <w:rsid w:val="00FA6B23"/>
    <w:rsid w:val="00FB0D23"/>
    <w:rsid w:val="00FC0D12"/>
    <w:rsid w:val="00FC10A4"/>
    <w:rsid w:val="00FC38F8"/>
    <w:rsid w:val="00FD4C29"/>
    <w:rsid w:val="00FE72D2"/>
    <w:rsid w:val="00FF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FDD08F1-EA6B-4070-BA38-D0764AC8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13D69"/>
    <w:pPr>
      <w:spacing w:before="0" w:after="160" w:line="240" w:lineRule="exact"/>
      <w:jc w:val="left"/>
    </w:pPr>
    <w:rPr>
      <w:rFonts w:asciiTheme="minorHAnsi" w:hAnsiTheme="minorHAnsi" w:cstheme="minorBidi"/>
      <w:sz w:val="22"/>
      <w:vertAlign w:val="superscript"/>
      <w:lang w:val="en-US"/>
    </w:rPr>
  </w:style>
  <w:style w:type="character" w:styleId="Hyperlink">
    <w:name w:val="Hyperlink"/>
    <w:basedOn w:val="DefaultParagraphFont"/>
    <w:uiPriority w:val="99"/>
    <w:unhideWhenUsed/>
    <w:rsid w:val="009347CC"/>
    <w:rPr>
      <w:color w:val="0000FF" w:themeColor="hyperlink"/>
      <w:u w:val="single"/>
    </w:rPr>
  </w:style>
  <w:style w:type="table" w:styleId="TableGrid">
    <w:name w:val="Table Grid"/>
    <w:basedOn w:val="TableNormal"/>
    <w:uiPriority w:val="59"/>
    <w:rsid w:val="0051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5352DA"/>
    <w:pPr>
      <w:numPr>
        <w:numId w:val="1"/>
      </w:numPr>
      <w:contextualSpacing/>
    </w:pPr>
  </w:style>
  <w:style w:type="paragraph" w:styleId="ListBullet2">
    <w:name w:val="List Bullet 2"/>
    <w:basedOn w:val="Normal"/>
    <w:uiPriority w:val="99"/>
    <w:semiHidden/>
    <w:unhideWhenUsed/>
    <w:rsid w:val="005352DA"/>
    <w:pPr>
      <w:numPr>
        <w:numId w:val="2"/>
      </w:numPr>
      <w:contextualSpacing/>
    </w:pPr>
  </w:style>
  <w:style w:type="paragraph" w:styleId="ListBullet3">
    <w:name w:val="List Bullet 3"/>
    <w:basedOn w:val="Normal"/>
    <w:uiPriority w:val="99"/>
    <w:semiHidden/>
    <w:unhideWhenUsed/>
    <w:rsid w:val="005352DA"/>
    <w:pPr>
      <w:numPr>
        <w:numId w:val="3"/>
      </w:numPr>
      <w:contextualSpacing/>
    </w:pPr>
  </w:style>
  <w:style w:type="paragraph" w:styleId="ListBullet4">
    <w:name w:val="List Bullet 4"/>
    <w:basedOn w:val="Normal"/>
    <w:uiPriority w:val="99"/>
    <w:semiHidden/>
    <w:unhideWhenUsed/>
    <w:rsid w:val="005352DA"/>
    <w:pPr>
      <w:numPr>
        <w:numId w:val="4"/>
      </w:numPr>
      <w:contextualSpacing/>
    </w:pPr>
  </w:style>
  <w:style w:type="character" w:customStyle="1" w:styleId="UnresolvedMention">
    <w:name w:val="Unresolved Mention"/>
    <w:basedOn w:val="DefaultParagraphFont"/>
    <w:uiPriority w:val="99"/>
    <w:semiHidden/>
    <w:unhideWhenUsed/>
    <w:rsid w:val="006F4633"/>
    <w:rPr>
      <w:color w:val="605E5C"/>
      <w:shd w:val="clear" w:color="auto" w:fill="E1DFDD"/>
    </w:rPr>
  </w:style>
  <w:style w:type="paragraph" w:styleId="Revision">
    <w:name w:val="Revision"/>
    <w:hidden/>
    <w:uiPriority w:val="99"/>
    <w:semiHidden/>
    <w:rsid w:val="00FA6B23"/>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C9212F"/>
    <w:rPr>
      <w:sz w:val="16"/>
      <w:szCs w:val="16"/>
    </w:rPr>
  </w:style>
  <w:style w:type="paragraph" w:styleId="CommentText">
    <w:name w:val="annotation text"/>
    <w:basedOn w:val="Normal"/>
    <w:link w:val="CommentTextChar"/>
    <w:uiPriority w:val="99"/>
    <w:unhideWhenUsed/>
    <w:rsid w:val="00C9212F"/>
    <w:rPr>
      <w:sz w:val="20"/>
      <w:szCs w:val="20"/>
    </w:rPr>
  </w:style>
  <w:style w:type="character" w:customStyle="1" w:styleId="CommentTextChar">
    <w:name w:val="Comment Text Char"/>
    <w:basedOn w:val="DefaultParagraphFont"/>
    <w:link w:val="CommentText"/>
    <w:uiPriority w:val="99"/>
    <w:rsid w:val="00C9212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9212F"/>
    <w:rPr>
      <w:b/>
      <w:bCs/>
    </w:rPr>
  </w:style>
  <w:style w:type="character" w:customStyle="1" w:styleId="CommentSubjectChar">
    <w:name w:val="Comment Subject Char"/>
    <w:basedOn w:val="CommentTextChar"/>
    <w:link w:val="CommentSubject"/>
    <w:uiPriority w:val="99"/>
    <w:semiHidden/>
    <w:rsid w:val="00C9212F"/>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sid w:val="00A26D89"/>
    <w:rPr>
      <w:rFonts w:ascii="Times New Roman" w:hAnsi="Times New Roman" w:cs="Times New Roman"/>
      <w:sz w:val="24"/>
      <w:lang w:val="en-GB"/>
    </w:rPr>
  </w:style>
  <w:style w:type="character" w:customStyle="1" w:styleId="FooterChar">
    <w:name w:val="Footer Char"/>
    <w:basedOn w:val="DefaultParagraphFont"/>
    <w:link w:val="Footer"/>
    <w:uiPriority w:val="99"/>
    <w:rsid w:val="00A26D8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A26D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26D89"/>
    <w:pPr>
      <w:spacing w:before="0"/>
      <w:jc w:val="right"/>
    </w:pPr>
    <w:rPr>
      <w:sz w:val="28"/>
    </w:rPr>
  </w:style>
  <w:style w:type="paragraph" w:customStyle="1" w:styleId="FooterSensitivity">
    <w:name w:val="Footer Sensitivity"/>
    <w:basedOn w:val="Normal"/>
    <w:rsid w:val="00A26D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26D89"/>
    <w:pPr>
      <w:tabs>
        <w:tab w:val="center" w:pos="4535"/>
        <w:tab w:val="right" w:pos="9071"/>
      </w:tabs>
      <w:spacing w:before="0"/>
    </w:pPr>
  </w:style>
  <w:style w:type="paragraph" w:customStyle="1" w:styleId="HeaderLandscape">
    <w:name w:val="HeaderLandscape"/>
    <w:basedOn w:val="Normal"/>
    <w:rsid w:val="00A26D89"/>
    <w:pPr>
      <w:tabs>
        <w:tab w:val="center" w:pos="7285"/>
        <w:tab w:val="right" w:pos="14003"/>
      </w:tabs>
      <w:spacing w:before="0"/>
    </w:pPr>
  </w:style>
  <w:style w:type="paragraph" w:styleId="Footer">
    <w:name w:val="footer"/>
    <w:basedOn w:val="Normal"/>
    <w:link w:val="FooterChar"/>
    <w:uiPriority w:val="99"/>
    <w:unhideWhenUsed/>
    <w:rsid w:val="00A26D8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26D8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treaties.un.org/Pages/ViewDetails.aspx?src=TREATY&amp;mtdsg_no=XI-B-11&amp;chapter=11&amp;clang=_en" TargetMode="External"/><Relationship Id="rId7" Type="http://schemas.openxmlformats.org/officeDocument/2006/relationships/hyperlink" Target="http://data.europa.eu/eli/agree_internation/1977/2829/oj" TargetMode="External"/><Relationship Id="rId2" Type="http://schemas.openxmlformats.org/officeDocument/2006/relationships/hyperlink" Target="https://treaties.un.org/pages/ViewDetailsIII.aspx?src=TREATY&amp;mtdsg_no=XI-B-20&amp;chapter=11&amp;Temp=mtdsg3&amp;clang=_en" TargetMode="External"/><Relationship Id="rId1" Type="http://schemas.openxmlformats.org/officeDocument/2006/relationships/hyperlink" Target="https://treaties.un.org/pages/ViewDetailsIII.aspx?src=TREATY&amp;mtdsg_no=XI-B-19&amp;chapter=11&amp;Temp=mtdsg3&amp;clang=_en" TargetMode="External"/><Relationship Id="rId6" Type="http://schemas.openxmlformats.org/officeDocument/2006/relationships/hyperlink" Target="http://data.europa.eu/eli/reg/2014/165/oj" TargetMode="External"/><Relationship Id="rId5" Type="http://schemas.openxmlformats.org/officeDocument/2006/relationships/hyperlink" Target="http://data.europa.eu/eli/reg/2006/561/oj" TargetMode="External"/><Relationship Id="rId4" Type="http://schemas.openxmlformats.org/officeDocument/2006/relationships/hyperlink" Target="https://www.iru.org/membership/members-directory/nart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0AEB0B91E7464E95EBA7AA7632CE11" ma:contentTypeVersion="17" ma:contentTypeDescription="Create a new document." ma:contentTypeScope="" ma:versionID="fdaf0796c4b502cc71f601016b06b1a2">
  <xsd:schema xmlns:xsd="http://www.w3.org/2001/XMLSchema" xmlns:xs="http://www.w3.org/2001/XMLSchema" xmlns:p="http://schemas.microsoft.com/office/2006/metadata/properties" xmlns:ns2="f133f916-ce21-4f98-a771-0bef3058cb3e" xmlns:ns3="237e0e33-a802-4302-8cc8-d84d7732b0d9" targetNamespace="http://schemas.microsoft.com/office/2006/metadata/properties" ma:root="true" ma:fieldsID="bcc5d959101d87b13dab5be624a87bda" ns2:_="" ns3:_="">
    <xsd:import namespace="f133f916-ce21-4f98-a771-0bef3058cb3e"/>
    <xsd:import namespace="237e0e33-a802-4302-8cc8-d84d7732b0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3f916-ce21-4f98-a771-0bef3058c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e0e33-a802-4302-8cc8-d84d7732b0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dfdb3-8c71-4595-9b02-2349378e6ae9}" ma:internalName="TaxCatchAll" ma:showField="CatchAllData" ma:web="237e0e33-a802-4302-8cc8-d84d7732b0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3f916-ce21-4f98-a771-0bef3058cb3e">
      <Terms xmlns="http://schemas.microsoft.com/office/infopath/2007/PartnerControls"/>
    </lcf76f155ced4ddcb4097134ff3c332f>
    <TaxCatchAll xmlns="237e0e33-a802-4302-8cc8-d84d7732b0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20E91-9365-4EB1-996B-10470117B075}">
  <ds:schemaRefs>
    <ds:schemaRef ds:uri="http://schemas.microsoft.com/sharepoint/v3/contenttype/forms"/>
  </ds:schemaRefs>
</ds:datastoreItem>
</file>

<file path=customXml/itemProps2.xml><?xml version="1.0" encoding="utf-8"?>
<ds:datastoreItem xmlns:ds="http://schemas.openxmlformats.org/officeDocument/2006/customXml" ds:itemID="{83CFA6F6-46E4-4111-96E9-EDDDC6F68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3f916-ce21-4f98-a771-0bef3058cb3e"/>
    <ds:schemaRef ds:uri="237e0e33-a802-4302-8cc8-d84d7732b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81182-15AD-47D2-A73A-7AF2ECC199FE}">
  <ds:schemaRefs>
    <ds:schemaRef ds:uri="http://schemas.microsoft.com/office/2006/metadata/properties"/>
    <ds:schemaRef ds:uri="http://schemas.microsoft.com/office/infopath/2007/PartnerControls"/>
    <ds:schemaRef ds:uri="f133f916-ce21-4f98-a771-0bef3058cb3e"/>
    <ds:schemaRef ds:uri="237e0e33-a802-4302-8cc8-d84d7732b0d9"/>
  </ds:schemaRefs>
</ds:datastoreItem>
</file>

<file path=customXml/itemProps4.xml><?xml version="1.0" encoding="utf-8"?>
<ds:datastoreItem xmlns:ds="http://schemas.openxmlformats.org/officeDocument/2006/customXml" ds:itemID="{9D4AC9A4-DE10-4C88-91CE-0BC17D980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47</TotalTime>
  <Pages>9</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55</cp:revision>
  <dcterms:created xsi:type="dcterms:W3CDTF">2025-11-05T15:05:00Z</dcterms:created>
  <dcterms:modified xsi:type="dcterms:W3CDTF">2026-01-15T08:40:00Z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2025-07-23T10:15:40Z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d19d7a3a-1900-4e8e-b227-bb7e6b86255a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0x010100100AEB0B91E7464E95EBA7AA7632CE11</vt:lpwstr>
  </property>
  <property fmtid="{D5CDD505-2E9C-101B-9397-08002B2CF9AE}" pid="19" name="MediaServiceImageTags">
    <vt:lpwstr/>
  </property>
  <property fmtid="{D5CDD505-2E9C-101B-9397-08002B2CF9AE}" pid="20" name="DQCStatus">
    <vt:lpwstr>Green (DQC version 03)</vt:lpwstr>
  </property>
</Properties>
</file>