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C9388" w14:textId="3D2B307A" w:rsidR="00B92ABC" w:rsidRDefault="00BC249B" w:rsidP="00BC249B">
      <w:pPr>
        <w:pStyle w:val="Pagedecouverture"/>
        <w:rPr>
          <w:noProof/>
        </w:rPr>
      </w:pPr>
      <w:bookmarkStart w:id="0" w:name="LW_BM_COVERPAGE"/>
      <w:r>
        <w:rPr>
          <w:noProof/>
        </w:rPr>
        <w:pict w14:anchorId="210D73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103A0B5-CC0F-4623-970B-3D21DCFEAEDE" style="width:455.15pt;height:286.2pt">
            <v:imagedata r:id="rId11" o:title=""/>
          </v:shape>
        </w:pict>
      </w:r>
    </w:p>
    <w:bookmarkEnd w:id="0"/>
    <w:p w14:paraId="1BE4BC9F" w14:textId="77777777" w:rsidR="00B92ABC" w:rsidRDefault="00B92ABC" w:rsidP="004A650E">
      <w:pPr>
        <w:rPr>
          <w:noProof/>
        </w:rPr>
        <w:sectPr w:rsidR="00B92ABC" w:rsidSect="00BC249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76E867" w14:textId="39A515D9" w:rsidR="005E313B" w:rsidRPr="004A0A8E" w:rsidRDefault="005E313B" w:rsidP="005E313B">
      <w:pPr>
        <w:rPr>
          <w:rFonts w:ascii="Times New Roman" w:hAnsi="Times New Roman" w:cs="Times New Roman"/>
          <w:noProof/>
          <w:sz w:val="40"/>
          <w:szCs w:val="40"/>
        </w:rPr>
      </w:pPr>
      <w:bookmarkStart w:id="1" w:name="_GoBack"/>
      <w:bookmarkEnd w:id="1"/>
      <w:r>
        <w:rPr>
          <w:rFonts w:ascii="Times New Roman" w:hAnsi="Times New Roman"/>
          <w:b/>
          <w:noProof/>
          <w:sz w:val="40"/>
        </w:rPr>
        <w:lastRenderedPageBreak/>
        <w:t>Examen</w:t>
      </w:r>
      <w:r>
        <w:rPr>
          <w:rFonts w:ascii="Times New Roman" w:hAnsi="Times New Roman"/>
          <w:noProof/>
          <w:sz w:val="40"/>
        </w:rPr>
        <w:t xml:space="preserve"> des </w:t>
      </w:r>
      <w:r>
        <w:rPr>
          <w:rFonts w:ascii="Times New Roman" w:hAnsi="Times New Roman"/>
          <w:b/>
          <w:noProof/>
          <w:sz w:val="40"/>
        </w:rPr>
        <w:t>données et informations</w:t>
      </w:r>
      <w:r>
        <w:rPr>
          <w:rFonts w:ascii="Times New Roman" w:hAnsi="Times New Roman"/>
          <w:noProof/>
          <w:sz w:val="40"/>
        </w:rPr>
        <w:t xml:space="preserve"> communiquées en application de l’article 13, paragraphe 3, de la </w:t>
      </w:r>
      <w:r>
        <w:rPr>
          <w:rFonts w:ascii="Times New Roman" w:hAnsi="Times New Roman"/>
          <w:b/>
          <w:noProof/>
          <w:sz w:val="40"/>
        </w:rPr>
        <w:t>directive (UE) 2019/904</w:t>
      </w:r>
      <w:r>
        <w:rPr>
          <w:rFonts w:ascii="Times New Roman" w:hAnsi="Times New Roman"/>
          <w:noProof/>
          <w:sz w:val="40"/>
        </w:rPr>
        <w:t xml:space="preserve"> du Parlement européen et du Conseil du 5 juin 2019 relative à la </w:t>
      </w:r>
      <w:r>
        <w:rPr>
          <w:rFonts w:ascii="Times New Roman" w:hAnsi="Times New Roman"/>
          <w:b/>
          <w:noProof/>
          <w:sz w:val="40"/>
        </w:rPr>
        <w:t>réduction de l’incidence de certains produits en plastique sur l’environnement</w:t>
      </w:r>
    </w:p>
    <w:p w14:paraId="2CBE8831" w14:textId="77777777" w:rsidR="005E313B" w:rsidRPr="004A0A8E" w:rsidRDefault="005E313B" w:rsidP="005E313B">
      <w:pPr>
        <w:rPr>
          <w:noProof/>
        </w:rPr>
      </w:pPr>
    </w:p>
    <w:p w14:paraId="247B924D" w14:textId="2CBB8CFD" w:rsidR="005E313B" w:rsidRPr="004A0A8E" w:rsidRDefault="005E313B" w:rsidP="005E313B">
      <w:pPr>
        <w:rPr>
          <w:noProof/>
        </w:rPr>
      </w:pPr>
    </w:p>
    <w:p w14:paraId="59B5B95A" w14:textId="77777777" w:rsidR="005E313B" w:rsidRPr="004A0A8E" w:rsidRDefault="005E313B" w:rsidP="005E313B">
      <w:pPr>
        <w:ind w:firstLine="720"/>
        <w:jc w:val="right"/>
        <w:rPr>
          <w:noProof/>
          <w:sz w:val="28"/>
          <w:szCs w:val="28"/>
        </w:rPr>
        <w:sectPr w:rsidR="005E313B" w:rsidRPr="004A0A8E" w:rsidSect="00D8197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fmt="lowerRoman"/>
          <w:cols w:space="708"/>
          <w:docGrid w:linePitch="360"/>
        </w:sectPr>
      </w:pPr>
    </w:p>
    <w:sdt>
      <w:sdtPr>
        <w:rPr>
          <w:rFonts w:asciiTheme="minorHAnsi" w:eastAsiaTheme="minorEastAsia" w:hAnsiTheme="minorHAnsi" w:cstheme="minorBidi"/>
          <w:noProof/>
          <w:color w:val="auto"/>
          <w:kern w:val="2"/>
          <w:sz w:val="22"/>
          <w:szCs w:val="22"/>
        </w:rPr>
        <w:id w:val="-357434"/>
        <w:docPartObj>
          <w:docPartGallery w:val="Table of Contents"/>
          <w:docPartUnique/>
        </w:docPartObj>
      </w:sdtPr>
      <w:sdtEndPr>
        <w:rPr>
          <w:b/>
          <w:bCs/>
          <w:kern w:val="0"/>
        </w:rPr>
      </w:sdtEndPr>
      <w:sdtContent>
        <w:p w14:paraId="2B94A7EF" w14:textId="5EAA6F3D" w:rsidR="005E313B" w:rsidRPr="004A0A8E" w:rsidRDefault="005E313B" w:rsidP="005E313B">
          <w:pPr>
            <w:pStyle w:val="TOCHeading"/>
            <w:rPr>
              <w:noProof/>
            </w:rPr>
          </w:pPr>
          <w:r>
            <w:rPr>
              <w:noProof/>
            </w:rPr>
            <w:t>Table des matières</w:t>
          </w:r>
        </w:p>
        <w:p w14:paraId="06C86604" w14:textId="76BE9627" w:rsidR="00307686" w:rsidRDefault="005E313B">
          <w:pPr>
            <w:pStyle w:val="TOC2"/>
            <w:tabs>
              <w:tab w:val="left" w:pos="660"/>
              <w:tab w:val="right" w:leader="dot" w:pos="9016"/>
            </w:tabs>
            <w:rPr>
              <w:rFonts w:eastAsiaTheme="minorEastAsia"/>
              <w:noProof/>
              <w:sz w:val="24"/>
              <w:szCs w:val="24"/>
              <w:lang w:val="fr-BE" w:eastAsia="fr-BE"/>
              <w14:ligatures w14:val="standardContextual"/>
            </w:rPr>
          </w:pPr>
          <w:r>
            <w:rPr>
              <w:noProof/>
            </w:rPr>
            <w:fldChar w:fldCharType="begin"/>
          </w:r>
          <w:r>
            <w:rPr>
              <w:noProof/>
            </w:rPr>
            <w:instrText xml:space="preserve"> TOC \o "1-5" \h \z \u </w:instrText>
          </w:r>
          <w:r>
            <w:rPr>
              <w:noProof/>
            </w:rPr>
            <w:fldChar w:fldCharType="separate"/>
          </w:r>
          <w:hyperlink w:anchor="_Toc222394988" w:history="1">
            <w:r w:rsidR="00307686" w:rsidRPr="00B35795">
              <w:rPr>
                <w:rStyle w:val="Hyperlink"/>
                <w:noProof/>
              </w:rPr>
              <w:t>1.</w:t>
            </w:r>
            <w:r w:rsidR="00307686">
              <w:rPr>
                <w:rFonts w:eastAsiaTheme="minorEastAsia"/>
                <w:noProof/>
                <w:sz w:val="24"/>
                <w:szCs w:val="24"/>
                <w:lang w:val="fr-BE" w:eastAsia="fr-BE"/>
                <w14:ligatures w14:val="standardContextual"/>
              </w:rPr>
              <w:tab/>
            </w:r>
            <w:r w:rsidR="00307686" w:rsidRPr="00B35795">
              <w:rPr>
                <w:rStyle w:val="Hyperlink"/>
                <w:noProof/>
              </w:rPr>
              <w:t>Contexte et objectif du rapport</w:t>
            </w:r>
            <w:r w:rsidR="00307686">
              <w:rPr>
                <w:noProof/>
                <w:webHidden/>
              </w:rPr>
              <w:tab/>
            </w:r>
            <w:r w:rsidR="00307686">
              <w:rPr>
                <w:noProof/>
                <w:webHidden/>
              </w:rPr>
              <w:fldChar w:fldCharType="begin"/>
            </w:r>
            <w:r w:rsidR="00307686">
              <w:rPr>
                <w:noProof/>
                <w:webHidden/>
              </w:rPr>
              <w:instrText xml:space="preserve"> PAGEREF _Toc222394988 \h </w:instrText>
            </w:r>
            <w:r w:rsidR="00307686">
              <w:rPr>
                <w:noProof/>
                <w:webHidden/>
              </w:rPr>
            </w:r>
            <w:r w:rsidR="00307686">
              <w:rPr>
                <w:noProof/>
                <w:webHidden/>
              </w:rPr>
              <w:fldChar w:fldCharType="separate"/>
            </w:r>
            <w:r w:rsidR="00307686">
              <w:rPr>
                <w:noProof/>
                <w:webHidden/>
              </w:rPr>
              <w:t>1</w:t>
            </w:r>
            <w:r w:rsidR="00307686">
              <w:rPr>
                <w:noProof/>
                <w:webHidden/>
              </w:rPr>
              <w:fldChar w:fldCharType="end"/>
            </w:r>
          </w:hyperlink>
        </w:p>
        <w:p w14:paraId="50FE5037" w14:textId="17C1481F" w:rsidR="00307686" w:rsidRDefault="00BC249B">
          <w:pPr>
            <w:pStyle w:val="TOC2"/>
            <w:tabs>
              <w:tab w:val="left" w:pos="660"/>
              <w:tab w:val="right" w:leader="dot" w:pos="9016"/>
            </w:tabs>
            <w:rPr>
              <w:rFonts w:eastAsiaTheme="minorEastAsia"/>
              <w:noProof/>
              <w:sz w:val="24"/>
              <w:szCs w:val="24"/>
              <w:lang w:val="fr-BE" w:eastAsia="fr-BE"/>
              <w14:ligatures w14:val="standardContextual"/>
            </w:rPr>
          </w:pPr>
          <w:hyperlink w:anchor="_Toc222394989" w:history="1">
            <w:r w:rsidR="00307686" w:rsidRPr="00B35795">
              <w:rPr>
                <w:rStyle w:val="Hyperlink"/>
                <w:noProof/>
              </w:rPr>
              <w:t>2.</w:t>
            </w:r>
            <w:r w:rsidR="00307686">
              <w:rPr>
                <w:rFonts w:eastAsiaTheme="minorEastAsia"/>
                <w:noProof/>
                <w:sz w:val="24"/>
                <w:szCs w:val="24"/>
                <w:lang w:val="fr-BE" w:eastAsia="fr-BE"/>
                <w14:ligatures w14:val="standardContextual"/>
              </w:rPr>
              <w:tab/>
            </w:r>
            <w:r w:rsidR="00307686" w:rsidRPr="00B35795">
              <w:rPr>
                <w:rStyle w:val="Hyperlink"/>
                <w:noProof/>
              </w:rPr>
              <w:t>Résultats de la communication d’informations</w:t>
            </w:r>
            <w:r w:rsidR="00307686">
              <w:rPr>
                <w:noProof/>
                <w:webHidden/>
              </w:rPr>
              <w:tab/>
            </w:r>
            <w:r w:rsidR="00307686">
              <w:rPr>
                <w:noProof/>
                <w:webHidden/>
              </w:rPr>
              <w:fldChar w:fldCharType="begin"/>
            </w:r>
            <w:r w:rsidR="00307686">
              <w:rPr>
                <w:noProof/>
                <w:webHidden/>
              </w:rPr>
              <w:instrText xml:space="preserve"> PAGEREF _Toc222394989 \h </w:instrText>
            </w:r>
            <w:r w:rsidR="00307686">
              <w:rPr>
                <w:noProof/>
                <w:webHidden/>
              </w:rPr>
            </w:r>
            <w:r w:rsidR="00307686">
              <w:rPr>
                <w:noProof/>
                <w:webHidden/>
              </w:rPr>
              <w:fldChar w:fldCharType="separate"/>
            </w:r>
            <w:r w:rsidR="00307686">
              <w:rPr>
                <w:noProof/>
                <w:webHidden/>
              </w:rPr>
              <w:t>1</w:t>
            </w:r>
            <w:r w:rsidR="00307686">
              <w:rPr>
                <w:noProof/>
                <w:webHidden/>
              </w:rPr>
              <w:fldChar w:fldCharType="end"/>
            </w:r>
          </w:hyperlink>
        </w:p>
        <w:p w14:paraId="475820A0" w14:textId="18A593D6"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0" w:history="1">
            <w:r w:rsidR="00307686" w:rsidRPr="00B35795">
              <w:rPr>
                <w:rStyle w:val="Hyperlink"/>
                <w:noProof/>
              </w:rPr>
              <w:t>Aperçu par point</w:t>
            </w:r>
            <w:r w:rsidR="00307686">
              <w:rPr>
                <w:noProof/>
                <w:webHidden/>
              </w:rPr>
              <w:tab/>
            </w:r>
            <w:r w:rsidR="00307686">
              <w:rPr>
                <w:noProof/>
                <w:webHidden/>
              </w:rPr>
              <w:fldChar w:fldCharType="begin"/>
            </w:r>
            <w:r w:rsidR="00307686">
              <w:rPr>
                <w:noProof/>
                <w:webHidden/>
              </w:rPr>
              <w:instrText xml:space="preserve"> PAGEREF _Toc222394990 \h </w:instrText>
            </w:r>
            <w:r w:rsidR="00307686">
              <w:rPr>
                <w:noProof/>
                <w:webHidden/>
              </w:rPr>
            </w:r>
            <w:r w:rsidR="00307686">
              <w:rPr>
                <w:noProof/>
                <w:webHidden/>
              </w:rPr>
              <w:fldChar w:fldCharType="separate"/>
            </w:r>
            <w:r w:rsidR="00307686">
              <w:rPr>
                <w:noProof/>
                <w:webHidden/>
              </w:rPr>
              <w:t>5</w:t>
            </w:r>
            <w:r w:rsidR="00307686">
              <w:rPr>
                <w:noProof/>
                <w:webHidden/>
              </w:rPr>
              <w:fldChar w:fldCharType="end"/>
            </w:r>
          </w:hyperlink>
        </w:p>
        <w:p w14:paraId="1AE88161" w14:textId="682EC333"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1" w:history="1">
            <w:r w:rsidR="00307686" w:rsidRPr="00B35795">
              <w:rPr>
                <w:rStyle w:val="Hyperlink"/>
                <w:noProof/>
              </w:rPr>
              <w:t>Point a): quantités mises sur le marché de gobelets pour boissons (GB) et récipients pour aliments (RA)</w:t>
            </w:r>
            <w:r w:rsidR="00307686">
              <w:rPr>
                <w:noProof/>
                <w:webHidden/>
              </w:rPr>
              <w:tab/>
            </w:r>
            <w:r w:rsidR="00307686">
              <w:rPr>
                <w:noProof/>
                <w:webHidden/>
              </w:rPr>
              <w:fldChar w:fldCharType="begin"/>
            </w:r>
            <w:r w:rsidR="00307686">
              <w:rPr>
                <w:noProof/>
                <w:webHidden/>
              </w:rPr>
              <w:instrText xml:space="preserve"> PAGEREF _Toc222394991 \h </w:instrText>
            </w:r>
            <w:r w:rsidR="00307686">
              <w:rPr>
                <w:noProof/>
                <w:webHidden/>
              </w:rPr>
            </w:r>
            <w:r w:rsidR="00307686">
              <w:rPr>
                <w:noProof/>
                <w:webHidden/>
              </w:rPr>
              <w:fldChar w:fldCharType="separate"/>
            </w:r>
            <w:r w:rsidR="00307686">
              <w:rPr>
                <w:noProof/>
                <w:webHidden/>
              </w:rPr>
              <w:t>5</w:t>
            </w:r>
            <w:r w:rsidR="00307686">
              <w:rPr>
                <w:noProof/>
                <w:webHidden/>
              </w:rPr>
              <w:fldChar w:fldCharType="end"/>
            </w:r>
          </w:hyperlink>
        </w:p>
        <w:p w14:paraId="64B82540" w14:textId="4C844218"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2" w:history="1">
            <w:r w:rsidR="00307686" w:rsidRPr="00B35795">
              <w:rPr>
                <w:rStyle w:val="Hyperlink"/>
                <w:noProof/>
              </w:rPr>
              <w:t>Point b): mesures visant à réduire la consommation de gobelets pour boissons et de récipients pour aliments</w:t>
            </w:r>
            <w:r w:rsidR="00307686">
              <w:rPr>
                <w:noProof/>
                <w:webHidden/>
              </w:rPr>
              <w:tab/>
            </w:r>
            <w:r w:rsidR="00307686">
              <w:rPr>
                <w:noProof/>
                <w:webHidden/>
              </w:rPr>
              <w:fldChar w:fldCharType="begin"/>
            </w:r>
            <w:r w:rsidR="00307686">
              <w:rPr>
                <w:noProof/>
                <w:webHidden/>
              </w:rPr>
              <w:instrText xml:space="preserve"> PAGEREF _Toc222394992 \h </w:instrText>
            </w:r>
            <w:r w:rsidR="00307686">
              <w:rPr>
                <w:noProof/>
                <w:webHidden/>
              </w:rPr>
            </w:r>
            <w:r w:rsidR="00307686">
              <w:rPr>
                <w:noProof/>
                <w:webHidden/>
              </w:rPr>
              <w:fldChar w:fldCharType="separate"/>
            </w:r>
            <w:r w:rsidR="00307686">
              <w:rPr>
                <w:noProof/>
                <w:webHidden/>
              </w:rPr>
              <w:t>10</w:t>
            </w:r>
            <w:r w:rsidR="00307686">
              <w:rPr>
                <w:noProof/>
                <w:webHidden/>
              </w:rPr>
              <w:fldChar w:fldCharType="end"/>
            </w:r>
          </w:hyperlink>
        </w:p>
        <w:p w14:paraId="0779FF3D" w14:textId="59E9A0FB"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3" w:history="1">
            <w:r w:rsidR="00307686" w:rsidRPr="00B35795">
              <w:rPr>
                <w:rStyle w:val="Hyperlink"/>
                <w:noProof/>
              </w:rPr>
              <w:t>Point c): collecte séparée des bouteilles pour boissons en plastique à usage unique</w:t>
            </w:r>
            <w:r w:rsidR="00307686">
              <w:rPr>
                <w:noProof/>
                <w:webHidden/>
              </w:rPr>
              <w:tab/>
            </w:r>
            <w:r w:rsidR="00307686">
              <w:rPr>
                <w:noProof/>
                <w:webHidden/>
              </w:rPr>
              <w:fldChar w:fldCharType="begin"/>
            </w:r>
            <w:r w:rsidR="00307686">
              <w:rPr>
                <w:noProof/>
                <w:webHidden/>
              </w:rPr>
              <w:instrText xml:space="preserve"> PAGEREF _Toc222394993 \h </w:instrText>
            </w:r>
            <w:r w:rsidR="00307686">
              <w:rPr>
                <w:noProof/>
                <w:webHidden/>
              </w:rPr>
            </w:r>
            <w:r w:rsidR="00307686">
              <w:rPr>
                <w:noProof/>
                <w:webHidden/>
              </w:rPr>
              <w:fldChar w:fldCharType="separate"/>
            </w:r>
            <w:r w:rsidR="00307686">
              <w:rPr>
                <w:noProof/>
                <w:webHidden/>
              </w:rPr>
              <w:t>11</w:t>
            </w:r>
            <w:r w:rsidR="00307686">
              <w:rPr>
                <w:noProof/>
                <w:webHidden/>
              </w:rPr>
              <w:fldChar w:fldCharType="end"/>
            </w:r>
          </w:hyperlink>
        </w:p>
        <w:p w14:paraId="6E418BB8" w14:textId="6CCC9C29"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4" w:history="1">
            <w:r w:rsidR="00307686" w:rsidRPr="00B35795">
              <w:rPr>
                <w:rStyle w:val="Hyperlink"/>
                <w:noProof/>
              </w:rPr>
              <w:t>Point d): quantités d’engins de pêche contenant du plastique mises sur le marché et collectées en tant que déchets</w:t>
            </w:r>
            <w:r w:rsidR="00307686">
              <w:rPr>
                <w:noProof/>
                <w:webHidden/>
              </w:rPr>
              <w:tab/>
            </w:r>
            <w:r w:rsidR="00307686">
              <w:rPr>
                <w:noProof/>
                <w:webHidden/>
              </w:rPr>
              <w:fldChar w:fldCharType="begin"/>
            </w:r>
            <w:r w:rsidR="00307686">
              <w:rPr>
                <w:noProof/>
                <w:webHidden/>
              </w:rPr>
              <w:instrText xml:space="preserve"> PAGEREF _Toc222394994 \h </w:instrText>
            </w:r>
            <w:r w:rsidR="00307686">
              <w:rPr>
                <w:noProof/>
                <w:webHidden/>
              </w:rPr>
            </w:r>
            <w:r w:rsidR="00307686">
              <w:rPr>
                <w:noProof/>
                <w:webHidden/>
              </w:rPr>
              <w:fldChar w:fldCharType="separate"/>
            </w:r>
            <w:r w:rsidR="00307686">
              <w:rPr>
                <w:noProof/>
                <w:webHidden/>
              </w:rPr>
              <w:t>14</w:t>
            </w:r>
            <w:r w:rsidR="00307686">
              <w:rPr>
                <w:noProof/>
                <w:webHidden/>
              </w:rPr>
              <w:fldChar w:fldCharType="end"/>
            </w:r>
          </w:hyperlink>
        </w:p>
        <w:p w14:paraId="6399F366" w14:textId="26C30FF0" w:rsidR="00307686" w:rsidRDefault="00BC249B">
          <w:pPr>
            <w:pStyle w:val="TOC2"/>
            <w:tabs>
              <w:tab w:val="left" w:pos="660"/>
              <w:tab w:val="right" w:leader="dot" w:pos="9016"/>
            </w:tabs>
            <w:rPr>
              <w:rFonts w:eastAsiaTheme="minorEastAsia"/>
              <w:noProof/>
              <w:sz w:val="24"/>
              <w:szCs w:val="24"/>
              <w:lang w:val="fr-BE" w:eastAsia="fr-BE"/>
              <w14:ligatures w14:val="standardContextual"/>
            </w:rPr>
          </w:pPr>
          <w:hyperlink w:anchor="_Toc222394995" w:history="1">
            <w:r w:rsidR="00307686" w:rsidRPr="00B35795">
              <w:rPr>
                <w:rStyle w:val="Hyperlink"/>
                <w:noProof/>
              </w:rPr>
              <w:t>3.</w:t>
            </w:r>
            <w:r w:rsidR="00307686">
              <w:rPr>
                <w:rFonts w:eastAsiaTheme="minorEastAsia"/>
                <w:noProof/>
                <w:sz w:val="24"/>
                <w:szCs w:val="24"/>
                <w:lang w:val="fr-BE" w:eastAsia="fr-BE"/>
                <w14:ligatures w14:val="standardContextual"/>
              </w:rPr>
              <w:tab/>
            </w:r>
            <w:r w:rsidR="00307686" w:rsidRPr="00B35795">
              <w:rPr>
                <w:rStyle w:val="Hyperlink"/>
                <w:noProof/>
              </w:rPr>
              <w:t>Organisation de la collecte des données et qualité des données</w:t>
            </w:r>
            <w:r w:rsidR="00307686">
              <w:rPr>
                <w:noProof/>
                <w:webHidden/>
              </w:rPr>
              <w:tab/>
            </w:r>
            <w:r w:rsidR="00307686">
              <w:rPr>
                <w:noProof/>
                <w:webHidden/>
              </w:rPr>
              <w:fldChar w:fldCharType="begin"/>
            </w:r>
            <w:r w:rsidR="00307686">
              <w:rPr>
                <w:noProof/>
                <w:webHidden/>
              </w:rPr>
              <w:instrText xml:space="preserve"> PAGEREF _Toc222394995 \h </w:instrText>
            </w:r>
            <w:r w:rsidR="00307686">
              <w:rPr>
                <w:noProof/>
                <w:webHidden/>
              </w:rPr>
            </w:r>
            <w:r w:rsidR="00307686">
              <w:rPr>
                <w:noProof/>
                <w:webHidden/>
              </w:rPr>
              <w:fldChar w:fldCharType="separate"/>
            </w:r>
            <w:r w:rsidR="00307686">
              <w:rPr>
                <w:noProof/>
                <w:webHidden/>
              </w:rPr>
              <w:t>17</w:t>
            </w:r>
            <w:r w:rsidR="00307686">
              <w:rPr>
                <w:noProof/>
                <w:webHidden/>
              </w:rPr>
              <w:fldChar w:fldCharType="end"/>
            </w:r>
          </w:hyperlink>
        </w:p>
        <w:p w14:paraId="241B7D14" w14:textId="587D7218"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6" w:history="1">
            <w:r w:rsidR="00307686" w:rsidRPr="00B35795">
              <w:rPr>
                <w:rStyle w:val="Hyperlink"/>
                <w:noProof/>
              </w:rPr>
              <w:t>Organisation de la collecte des données</w:t>
            </w:r>
            <w:r w:rsidR="00307686">
              <w:rPr>
                <w:noProof/>
                <w:webHidden/>
              </w:rPr>
              <w:tab/>
            </w:r>
            <w:r w:rsidR="00307686">
              <w:rPr>
                <w:noProof/>
                <w:webHidden/>
              </w:rPr>
              <w:fldChar w:fldCharType="begin"/>
            </w:r>
            <w:r w:rsidR="00307686">
              <w:rPr>
                <w:noProof/>
                <w:webHidden/>
              </w:rPr>
              <w:instrText xml:space="preserve"> PAGEREF _Toc222394996 \h </w:instrText>
            </w:r>
            <w:r w:rsidR="00307686">
              <w:rPr>
                <w:noProof/>
                <w:webHidden/>
              </w:rPr>
            </w:r>
            <w:r w:rsidR="00307686">
              <w:rPr>
                <w:noProof/>
                <w:webHidden/>
              </w:rPr>
              <w:fldChar w:fldCharType="separate"/>
            </w:r>
            <w:r w:rsidR="00307686">
              <w:rPr>
                <w:noProof/>
                <w:webHidden/>
              </w:rPr>
              <w:t>17</w:t>
            </w:r>
            <w:r w:rsidR="00307686">
              <w:rPr>
                <w:noProof/>
                <w:webHidden/>
              </w:rPr>
              <w:fldChar w:fldCharType="end"/>
            </w:r>
          </w:hyperlink>
        </w:p>
        <w:p w14:paraId="4D9A26C1" w14:textId="05F9A3CD"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4997" w:history="1">
            <w:r w:rsidR="00307686" w:rsidRPr="00B35795">
              <w:rPr>
                <w:rStyle w:val="Hyperlink"/>
                <w:noProof/>
              </w:rPr>
              <w:t>Qualité des données</w:t>
            </w:r>
            <w:r w:rsidR="00307686">
              <w:rPr>
                <w:noProof/>
                <w:webHidden/>
              </w:rPr>
              <w:tab/>
            </w:r>
            <w:r w:rsidR="00307686">
              <w:rPr>
                <w:noProof/>
                <w:webHidden/>
              </w:rPr>
              <w:fldChar w:fldCharType="begin"/>
            </w:r>
            <w:r w:rsidR="00307686">
              <w:rPr>
                <w:noProof/>
                <w:webHidden/>
              </w:rPr>
              <w:instrText xml:space="preserve"> PAGEREF _Toc222394997 \h </w:instrText>
            </w:r>
            <w:r w:rsidR="00307686">
              <w:rPr>
                <w:noProof/>
                <w:webHidden/>
              </w:rPr>
            </w:r>
            <w:r w:rsidR="00307686">
              <w:rPr>
                <w:noProof/>
                <w:webHidden/>
              </w:rPr>
              <w:fldChar w:fldCharType="separate"/>
            </w:r>
            <w:r w:rsidR="00307686">
              <w:rPr>
                <w:noProof/>
                <w:webHidden/>
              </w:rPr>
              <w:t>18</w:t>
            </w:r>
            <w:r w:rsidR="00307686">
              <w:rPr>
                <w:noProof/>
                <w:webHidden/>
              </w:rPr>
              <w:fldChar w:fldCharType="end"/>
            </w:r>
          </w:hyperlink>
        </w:p>
        <w:p w14:paraId="2DCDA6B0" w14:textId="05932893" w:rsidR="00307686" w:rsidRDefault="00BC249B">
          <w:pPr>
            <w:pStyle w:val="TOC4"/>
            <w:tabs>
              <w:tab w:val="right" w:leader="dot" w:pos="9016"/>
            </w:tabs>
            <w:rPr>
              <w:rFonts w:eastAsiaTheme="minorEastAsia"/>
              <w:noProof/>
              <w:sz w:val="24"/>
              <w:szCs w:val="24"/>
              <w:lang w:val="fr-BE" w:eastAsia="fr-BE"/>
              <w14:ligatures w14:val="standardContextual"/>
            </w:rPr>
          </w:pPr>
          <w:hyperlink w:anchor="_Toc222394998" w:history="1">
            <w:r w:rsidR="00307686" w:rsidRPr="00B35795">
              <w:rPr>
                <w:rStyle w:val="Hyperlink"/>
                <w:noProof/>
              </w:rPr>
              <w:t>Sources de données et méthodes</w:t>
            </w:r>
            <w:r w:rsidR="00307686">
              <w:rPr>
                <w:noProof/>
                <w:webHidden/>
              </w:rPr>
              <w:tab/>
            </w:r>
            <w:r w:rsidR="00307686">
              <w:rPr>
                <w:noProof/>
                <w:webHidden/>
              </w:rPr>
              <w:fldChar w:fldCharType="begin"/>
            </w:r>
            <w:r w:rsidR="00307686">
              <w:rPr>
                <w:noProof/>
                <w:webHidden/>
              </w:rPr>
              <w:instrText xml:space="preserve"> PAGEREF _Toc222394998 \h </w:instrText>
            </w:r>
            <w:r w:rsidR="00307686">
              <w:rPr>
                <w:noProof/>
                <w:webHidden/>
              </w:rPr>
            </w:r>
            <w:r w:rsidR="00307686">
              <w:rPr>
                <w:noProof/>
                <w:webHidden/>
              </w:rPr>
              <w:fldChar w:fldCharType="separate"/>
            </w:r>
            <w:r w:rsidR="00307686">
              <w:rPr>
                <w:noProof/>
                <w:webHidden/>
              </w:rPr>
              <w:t>18</w:t>
            </w:r>
            <w:r w:rsidR="00307686">
              <w:rPr>
                <w:noProof/>
                <w:webHidden/>
              </w:rPr>
              <w:fldChar w:fldCharType="end"/>
            </w:r>
          </w:hyperlink>
        </w:p>
        <w:p w14:paraId="458068FB" w14:textId="7E1B2525" w:rsidR="00307686" w:rsidRDefault="00BC249B">
          <w:pPr>
            <w:pStyle w:val="TOC4"/>
            <w:tabs>
              <w:tab w:val="right" w:leader="dot" w:pos="9016"/>
            </w:tabs>
            <w:rPr>
              <w:rFonts w:eastAsiaTheme="minorEastAsia"/>
              <w:noProof/>
              <w:sz w:val="24"/>
              <w:szCs w:val="24"/>
              <w:lang w:val="fr-BE" w:eastAsia="fr-BE"/>
              <w14:ligatures w14:val="standardContextual"/>
            </w:rPr>
          </w:pPr>
          <w:hyperlink w:anchor="_Toc222394999" w:history="1">
            <w:r w:rsidR="00307686" w:rsidRPr="00B35795">
              <w:rPr>
                <w:rStyle w:val="Hyperlink"/>
                <w:noProof/>
              </w:rPr>
              <w:t>Exhaustivité</w:t>
            </w:r>
            <w:r w:rsidR="00307686">
              <w:rPr>
                <w:noProof/>
                <w:webHidden/>
              </w:rPr>
              <w:tab/>
            </w:r>
            <w:r w:rsidR="00307686">
              <w:rPr>
                <w:noProof/>
                <w:webHidden/>
              </w:rPr>
              <w:fldChar w:fldCharType="begin"/>
            </w:r>
            <w:r w:rsidR="00307686">
              <w:rPr>
                <w:noProof/>
                <w:webHidden/>
              </w:rPr>
              <w:instrText xml:space="preserve"> PAGEREF _Toc222394999 \h </w:instrText>
            </w:r>
            <w:r w:rsidR="00307686">
              <w:rPr>
                <w:noProof/>
                <w:webHidden/>
              </w:rPr>
            </w:r>
            <w:r w:rsidR="00307686">
              <w:rPr>
                <w:noProof/>
                <w:webHidden/>
              </w:rPr>
              <w:fldChar w:fldCharType="separate"/>
            </w:r>
            <w:r w:rsidR="00307686">
              <w:rPr>
                <w:noProof/>
                <w:webHidden/>
              </w:rPr>
              <w:t>19</w:t>
            </w:r>
            <w:r w:rsidR="00307686">
              <w:rPr>
                <w:noProof/>
                <w:webHidden/>
              </w:rPr>
              <w:fldChar w:fldCharType="end"/>
            </w:r>
          </w:hyperlink>
        </w:p>
        <w:p w14:paraId="6A48441E" w14:textId="594AA184" w:rsidR="00307686" w:rsidRDefault="00BC249B">
          <w:pPr>
            <w:pStyle w:val="TOC4"/>
            <w:tabs>
              <w:tab w:val="right" w:leader="dot" w:pos="9016"/>
            </w:tabs>
            <w:rPr>
              <w:rFonts w:eastAsiaTheme="minorEastAsia"/>
              <w:noProof/>
              <w:sz w:val="24"/>
              <w:szCs w:val="24"/>
              <w:lang w:val="fr-BE" w:eastAsia="fr-BE"/>
              <w14:ligatures w14:val="standardContextual"/>
            </w:rPr>
          </w:pPr>
          <w:hyperlink w:anchor="_Toc222395000" w:history="1">
            <w:r w:rsidR="00307686" w:rsidRPr="00B35795">
              <w:rPr>
                <w:rStyle w:val="Hyperlink"/>
                <w:noProof/>
              </w:rPr>
              <w:t>Fiabilité</w:t>
            </w:r>
            <w:r w:rsidR="00307686">
              <w:rPr>
                <w:noProof/>
                <w:webHidden/>
              </w:rPr>
              <w:tab/>
            </w:r>
            <w:r w:rsidR="00307686">
              <w:rPr>
                <w:noProof/>
                <w:webHidden/>
              </w:rPr>
              <w:fldChar w:fldCharType="begin"/>
            </w:r>
            <w:r w:rsidR="00307686">
              <w:rPr>
                <w:noProof/>
                <w:webHidden/>
              </w:rPr>
              <w:instrText xml:space="preserve"> PAGEREF _Toc222395000 \h </w:instrText>
            </w:r>
            <w:r w:rsidR="00307686">
              <w:rPr>
                <w:noProof/>
                <w:webHidden/>
              </w:rPr>
            </w:r>
            <w:r w:rsidR="00307686">
              <w:rPr>
                <w:noProof/>
                <w:webHidden/>
              </w:rPr>
              <w:fldChar w:fldCharType="separate"/>
            </w:r>
            <w:r w:rsidR="00307686">
              <w:rPr>
                <w:noProof/>
                <w:webHidden/>
              </w:rPr>
              <w:t>19</w:t>
            </w:r>
            <w:r w:rsidR="00307686">
              <w:rPr>
                <w:noProof/>
                <w:webHidden/>
              </w:rPr>
              <w:fldChar w:fldCharType="end"/>
            </w:r>
          </w:hyperlink>
        </w:p>
        <w:p w14:paraId="716A120E" w14:textId="234F8D2D" w:rsidR="00307686" w:rsidRDefault="00BC249B">
          <w:pPr>
            <w:pStyle w:val="TOC4"/>
            <w:tabs>
              <w:tab w:val="right" w:leader="dot" w:pos="9016"/>
            </w:tabs>
            <w:rPr>
              <w:rFonts w:eastAsiaTheme="minorEastAsia"/>
              <w:noProof/>
              <w:sz w:val="24"/>
              <w:szCs w:val="24"/>
              <w:lang w:val="fr-BE" w:eastAsia="fr-BE"/>
              <w14:ligatures w14:val="standardContextual"/>
            </w:rPr>
          </w:pPr>
          <w:hyperlink w:anchor="_Toc222395001" w:history="1">
            <w:r w:rsidR="00307686" w:rsidRPr="00B35795">
              <w:rPr>
                <w:rStyle w:val="Hyperlink"/>
                <w:noProof/>
              </w:rPr>
              <w:t>Actualité</w:t>
            </w:r>
            <w:r w:rsidR="00307686">
              <w:rPr>
                <w:noProof/>
                <w:webHidden/>
              </w:rPr>
              <w:tab/>
            </w:r>
            <w:r w:rsidR="00307686">
              <w:rPr>
                <w:noProof/>
                <w:webHidden/>
              </w:rPr>
              <w:fldChar w:fldCharType="begin"/>
            </w:r>
            <w:r w:rsidR="00307686">
              <w:rPr>
                <w:noProof/>
                <w:webHidden/>
              </w:rPr>
              <w:instrText xml:space="preserve"> PAGEREF _Toc222395001 \h </w:instrText>
            </w:r>
            <w:r w:rsidR="00307686">
              <w:rPr>
                <w:noProof/>
                <w:webHidden/>
              </w:rPr>
            </w:r>
            <w:r w:rsidR="00307686">
              <w:rPr>
                <w:noProof/>
                <w:webHidden/>
              </w:rPr>
              <w:fldChar w:fldCharType="separate"/>
            </w:r>
            <w:r w:rsidR="00307686">
              <w:rPr>
                <w:noProof/>
                <w:webHidden/>
              </w:rPr>
              <w:t>20</w:t>
            </w:r>
            <w:r w:rsidR="00307686">
              <w:rPr>
                <w:noProof/>
                <w:webHidden/>
              </w:rPr>
              <w:fldChar w:fldCharType="end"/>
            </w:r>
          </w:hyperlink>
        </w:p>
        <w:p w14:paraId="0D439727" w14:textId="7E825070" w:rsidR="00307686" w:rsidRDefault="00BC249B">
          <w:pPr>
            <w:pStyle w:val="TOC4"/>
            <w:tabs>
              <w:tab w:val="right" w:leader="dot" w:pos="9016"/>
            </w:tabs>
            <w:rPr>
              <w:rFonts w:eastAsiaTheme="minorEastAsia"/>
              <w:noProof/>
              <w:sz w:val="24"/>
              <w:szCs w:val="24"/>
              <w:lang w:val="fr-BE" w:eastAsia="fr-BE"/>
              <w14:ligatures w14:val="standardContextual"/>
            </w:rPr>
          </w:pPr>
          <w:hyperlink w:anchor="_Toc222395002" w:history="1">
            <w:r w:rsidR="00307686" w:rsidRPr="00B35795">
              <w:rPr>
                <w:rStyle w:val="Hyperlink"/>
                <w:noProof/>
              </w:rPr>
              <w:t>Cohérence</w:t>
            </w:r>
            <w:r w:rsidR="00307686">
              <w:rPr>
                <w:noProof/>
                <w:webHidden/>
              </w:rPr>
              <w:tab/>
            </w:r>
            <w:r w:rsidR="00307686">
              <w:rPr>
                <w:noProof/>
                <w:webHidden/>
              </w:rPr>
              <w:fldChar w:fldCharType="begin"/>
            </w:r>
            <w:r w:rsidR="00307686">
              <w:rPr>
                <w:noProof/>
                <w:webHidden/>
              </w:rPr>
              <w:instrText xml:space="preserve"> PAGEREF _Toc222395002 \h </w:instrText>
            </w:r>
            <w:r w:rsidR="00307686">
              <w:rPr>
                <w:noProof/>
                <w:webHidden/>
              </w:rPr>
            </w:r>
            <w:r w:rsidR="00307686">
              <w:rPr>
                <w:noProof/>
                <w:webHidden/>
              </w:rPr>
              <w:fldChar w:fldCharType="separate"/>
            </w:r>
            <w:r w:rsidR="00307686">
              <w:rPr>
                <w:noProof/>
                <w:webHidden/>
              </w:rPr>
              <w:t>21</w:t>
            </w:r>
            <w:r w:rsidR="00307686">
              <w:rPr>
                <w:noProof/>
                <w:webHidden/>
              </w:rPr>
              <w:fldChar w:fldCharType="end"/>
            </w:r>
          </w:hyperlink>
        </w:p>
        <w:p w14:paraId="750A7494" w14:textId="192B7EEC" w:rsidR="00307686" w:rsidRDefault="00BC249B">
          <w:pPr>
            <w:pStyle w:val="TOC2"/>
            <w:tabs>
              <w:tab w:val="left" w:pos="660"/>
              <w:tab w:val="right" w:leader="dot" w:pos="9016"/>
            </w:tabs>
            <w:rPr>
              <w:rFonts w:eastAsiaTheme="minorEastAsia"/>
              <w:noProof/>
              <w:sz w:val="24"/>
              <w:szCs w:val="24"/>
              <w:lang w:val="fr-BE" w:eastAsia="fr-BE"/>
              <w14:ligatures w14:val="standardContextual"/>
            </w:rPr>
          </w:pPr>
          <w:hyperlink w:anchor="_Toc222395003" w:history="1">
            <w:r w:rsidR="00307686" w:rsidRPr="00B35795">
              <w:rPr>
                <w:rStyle w:val="Hyperlink"/>
                <w:noProof/>
              </w:rPr>
              <w:t>4.</w:t>
            </w:r>
            <w:r w:rsidR="00307686">
              <w:rPr>
                <w:rFonts w:eastAsiaTheme="minorEastAsia"/>
                <w:noProof/>
                <w:sz w:val="24"/>
                <w:szCs w:val="24"/>
                <w:lang w:val="fr-BE" w:eastAsia="fr-BE"/>
                <w14:ligatures w14:val="standardContextual"/>
              </w:rPr>
              <w:tab/>
            </w:r>
            <w:r w:rsidR="00307686" w:rsidRPr="00B35795">
              <w:rPr>
                <w:rStyle w:val="Hyperlink"/>
                <w:noProof/>
              </w:rPr>
              <w:t>Recommandations d’amélioration</w:t>
            </w:r>
            <w:r w:rsidR="00307686">
              <w:rPr>
                <w:noProof/>
                <w:webHidden/>
              </w:rPr>
              <w:tab/>
            </w:r>
            <w:r w:rsidR="00307686">
              <w:rPr>
                <w:noProof/>
                <w:webHidden/>
              </w:rPr>
              <w:fldChar w:fldCharType="begin"/>
            </w:r>
            <w:r w:rsidR="00307686">
              <w:rPr>
                <w:noProof/>
                <w:webHidden/>
              </w:rPr>
              <w:instrText xml:space="preserve"> PAGEREF _Toc222395003 \h </w:instrText>
            </w:r>
            <w:r w:rsidR="00307686">
              <w:rPr>
                <w:noProof/>
                <w:webHidden/>
              </w:rPr>
            </w:r>
            <w:r w:rsidR="00307686">
              <w:rPr>
                <w:noProof/>
                <w:webHidden/>
              </w:rPr>
              <w:fldChar w:fldCharType="separate"/>
            </w:r>
            <w:r w:rsidR="00307686">
              <w:rPr>
                <w:noProof/>
                <w:webHidden/>
              </w:rPr>
              <w:t>21</w:t>
            </w:r>
            <w:r w:rsidR="00307686">
              <w:rPr>
                <w:noProof/>
                <w:webHidden/>
              </w:rPr>
              <w:fldChar w:fldCharType="end"/>
            </w:r>
          </w:hyperlink>
        </w:p>
        <w:p w14:paraId="2D27418F" w14:textId="03A0F1BA" w:rsidR="00307686" w:rsidRDefault="00BC249B">
          <w:pPr>
            <w:pStyle w:val="TOC2"/>
            <w:tabs>
              <w:tab w:val="left" w:pos="660"/>
              <w:tab w:val="right" w:leader="dot" w:pos="9016"/>
            </w:tabs>
            <w:rPr>
              <w:rFonts w:eastAsiaTheme="minorEastAsia"/>
              <w:noProof/>
              <w:sz w:val="24"/>
              <w:szCs w:val="24"/>
              <w:lang w:val="fr-BE" w:eastAsia="fr-BE"/>
              <w14:ligatures w14:val="standardContextual"/>
            </w:rPr>
          </w:pPr>
          <w:hyperlink w:anchor="_Toc222395004" w:history="1">
            <w:r w:rsidR="00307686" w:rsidRPr="00B35795">
              <w:rPr>
                <w:rStyle w:val="Hyperlink"/>
                <w:noProof/>
              </w:rPr>
              <w:t>5.</w:t>
            </w:r>
            <w:r w:rsidR="00307686">
              <w:rPr>
                <w:rFonts w:eastAsiaTheme="minorEastAsia"/>
                <w:noProof/>
                <w:sz w:val="24"/>
                <w:szCs w:val="24"/>
                <w:lang w:val="fr-BE" w:eastAsia="fr-BE"/>
                <w14:ligatures w14:val="standardContextual"/>
              </w:rPr>
              <w:tab/>
            </w:r>
            <w:r w:rsidR="00307686" w:rsidRPr="00B35795">
              <w:rPr>
                <w:rStyle w:val="Hyperlink"/>
                <w:noProof/>
              </w:rPr>
              <w:t>Conclusions</w:t>
            </w:r>
            <w:r w:rsidR="00307686">
              <w:rPr>
                <w:noProof/>
                <w:webHidden/>
              </w:rPr>
              <w:tab/>
            </w:r>
            <w:r w:rsidR="00307686">
              <w:rPr>
                <w:noProof/>
                <w:webHidden/>
              </w:rPr>
              <w:fldChar w:fldCharType="begin"/>
            </w:r>
            <w:r w:rsidR="00307686">
              <w:rPr>
                <w:noProof/>
                <w:webHidden/>
              </w:rPr>
              <w:instrText xml:space="preserve"> PAGEREF _Toc222395004 \h </w:instrText>
            </w:r>
            <w:r w:rsidR="00307686">
              <w:rPr>
                <w:noProof/>
                <w:webHidden/>
              </w:rPr>
            </w:r>
            <w:r w:rsidR="00307686">
              <w:rPr>
                <w:noProof/>
                <w:webHidden/>
              </w:rPr>
              <w:fldChar w:fldCharType="separate"/>
            </w:r>
            <w:r w:rsidR="00307686">
              <w:rPr>
                <w:noProof/>
                <w:webHidden/>
              </w:rPr>
              <w:t>22</w:t>
            </w:r>
            <w:r w:rsidR="00307686">
              <w:rPr>
                <w:noProof/>
                <w:webHidden/>
              </w:rPr>
              <w:fldChar w:fldCharType="end"/>
            </w:r>
          </w:hyperlink>
        </w:p>
        <w:p w14:paraId="560AE516" w14:textId="78D41EEF" w:rsidR="00307686" w:rsidRDefault="00BC249B">
          <w:pPr>
            <w:pStyle w:val="TOC2"/>
            <w:tabs>
              <w:tab w:val="left" w:pos="660"/>
              <w:tab w:val="right" w:leader="dot" w:pos="9016"/>
            </w:tabs>
            <w:rPr>
              <w:rFonts w:eastAsiaTheme="minorEastAsia"/>
              <w:noProof/>
              <w:sz w:val="24"/>
              <w:szCs w:val="24"/>
              <w:lang w:val="fr-BE" w:eastAsia="fr-BE"/>
              <w14:ligatures w14:val="standardContextual"/>
            </w:rPr>
          </w:pPr>
          <w:hyperlink w:anchor="_Toc222395005" w:history="1">
            <w:r w:rsidR="00307686" w:rsidRPr="00B35795">
              <w:rPr>
                <w:rStyle w:val="Hyperlink"/>
                <w:noProof/>
              </w:rPr>
              <w:t>6.</w:t>
            </w:r>
            <w:r w:rsidR="00307686">
              <w:rPr>
                <w:rFonts w:eastAsiaTheme="minorEastAsia"/>
                <w:noProof/>
                <w:sz w:val="24"/>
                <w:szCs w:val="24"/>
                <w:lang w:val="fr-BE" w:eastAsia="fr-BE"/>
                <w14:ligatures w14:val="standardContextual"/>
              </w:rPr>
              <w:tab/>
            </w:r>
            <w:r w:rsidR="00307686" w:rsidRPr="00B35795">
              <w:rPr>
                <w:rStyle w:val="Hyperlink"/>
                <w:noProof/>
              </w:rPr>
              <w:t>Annexes</w:t>
            </w:r>
            <w:r w:rsidR="00307686">
              <w:rPr>
                <w:noProof/>
                <w:webHidden/>
              </w:rPr>
              <w:tab/>
            </w:r>
            <w:r w:rsidR="00307686">
              <w:rPr>
                <w:noProof/>
                <w:webHidden/>
              </w:rPr>
              <w:fldChar w:fldCharType="begin"/>
            </w:r>
            <w:r w:rsidR="00307686">
              <w:rPr>
                <w:noProof/>
                <w:webHidden/>
              </w:rPr>
              <w:instrText xml:space="preserve"> PAGEREF _Toc222395005 \h </w:instrText>
            </w:r>
            <w:r w:rsidR="00307686">
              <w:rPr>
                <w:noProof/>
                <w:webHidden/>
              </w:rPr>
            </w:r>
            <w:r w:rsidR="00307686">
              <w:rPr>
                <w:noProof/>
                <w:webHidden/>
              </w:rPr>
              <w:fldChar w:fldCharType="separate"/>
            </w:r>
            <w:r w:rsidR="00307686">
              <w:rPr>
                <w:noProof/>
                <w:webHidden/>
              </w:rPr>
              <w:t>23</w:t>
            </w:r>
            <w:r w:rsidR="00307686">
              <w:rPr>
                <w:noProof/>
                <w:webHidden/>
              </w:rPr>
              <w:fldChar w:fldCharType="end"/>
            </w:r>
          </w:hyperlink>
        </w:p>
        <w:p w14:paraId="7B036A89" w14:textId="14030A91"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06" w:history="1">
            <w:r w:rsidR="00307686" w:rsidRPr="00B35795">
              <w:rPr>
                <w:rStyle w:val="Hyperlink"/>
                <w:noProof/>
              </w:rPr>
              <w:t>Annexe 1: mesures visant à réduire la consommation par catégorie et sous-catégorie [point b)]</w:t>
            </w:r>
            <w:r w:rsidR="00307686">
              <w:rPr>
                <w:noProof/>
                <w:webHidden/>
              </w:rPr>
              <w:tab/>
            </w:r>
            <w:r w:rsidR="00307686">
              <w:rPr>
                <w:noProof/>
                <w:webHidden/>
              </w:rPr>
              <w:fldChar w:fldCharType="begin"/>
            </w:r>
            <w:r w:rsidR="00307686">
              <w:rPr>
                <w:noProof/>
                <w:webHidden/>
              </w:rPr>
              <w:instrText xml:space="preserve"> PAGEREF _Toc222395006 \h </w:instrText>
            </w:r>
            <w:r w:rsidR="00307686">
              <w:rPr>
                <w:noProof/>
                <w:webHidden/>
              </w:rPr>
            </w:r>
            <w:r w:rsidR="00307686">
              <w:rPr>
                <w:noProof/>
                <w:webHidden/>
              </w:rPr>
              <w:fldChar w:fldCharType="separate"/>
            </w:r>
            <w:r w:rsidR="00307686">
              <w:rPr>
                <w:noProof/>
                <w:webHidden/>
              </w:rPr>
              <w:t>23</w:t>
            </w:r>
            <w:r w:rsidR="00307686">
              <w:rPr>
                <w:noProof/>
                <w:webHidden/>
              </w:rPr>
              <w:fldChar w:fldCharType="end"/>
            </w:r>
          </w:hyperlink>
        </w:p>
        <w:p w14:paraId="4D1AF90A" w14:textId="015C4F6D"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07" w:history="1">
            <w:r w:rsidR="00307686" w:rsidRPr="00B35795">
              <w:rPr>
                <w:rStyle w:val="Hyperlink"/>
                <w:noProof/>
              </w:rPr>
              <w:t>Annexe 2: mesures fixant des objectifs quantitatifs en vue de réduire la consommation de GB et de RA en plastique à usage unique [point b)]</w:t>
            </w:r>
            <w:r w:rsidR="00307686">
              <w:rPr>
                <w:noProof/>
                <w:webHidden/>
              </w:rPr>
              <w:tab/>
            </w:r>
            <w:r w:rsidR="00307686">
              <w:rPr>
                <w:noProof/>
                <w:webHidden/>
              </w:rPr>
              <w:fldChar w:fldCharType="begin"/>
            </w:r>
            <w:r w:rsidR="00307686">
              <w:rPr>
                <w:noProof/>
                <w:webHidden/>
              </w:rPr>
              <w:instrText xml:space="preserve"> PAGEREF _Toc222395007 \h </w:instrText>
            </w:r>
            <w:r w:rsidR="00307686">
              <w:rPr>
                <w:noProof/>
                <w:webHidden/>
              </w:rPr>
            </w:r>
            <w:r w:rsidR="00307686">
              <w:rPr>
                <w:noProof/>
                <w:webHidden/>
              </w:rPr>
              <w:fldChar w:fldCharType="separate"/>
            </w:r>
            <w:r w:rsidR="00307686">
              <w:rPr>
                <w:noProof/>
                <w:webHidden/>
              </w:rPr>
              <w:t>27</w:t>
            </w:r>
            <w:r w:rsidR="00307686">
              <w:rPr>
                <w:noProof/>
                <w:webHidden/>
              </w:rPr>
              <w:fldChar w:fldCharType="end"/>
            </w:r>
          </w:hyperlink>
        </w:p>
        <w:p w14:paraId="1ED0C46F" w14:textId="6B54C6DE"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08" w:history="1">
            <w:r w:rsidR="00307686" w:rsidRPr="00B35795">
              <w:rPr>
                <w:rStyle w:val="Hyperlink"/>
                <w:noProof/>
              </w:rPr>
              <w:t>Annexe 3: taux de collecte séparée des bouteilles en plastique à usage unique [point c)] et systèmes de consigne en place</w:t>
            </w:r>
            <w:r w:rsidR="00307686">
              <w:rPr>
                <w:noProof/>
                <w:webHidden/>
              </w:rPr>
              <w:tab/>
            </w:r>
            <w:r w:rsidR="00307686">
              <w:rPr>
                <w:noProof/>
                <w:webHidden/>
              </w:rPr>
              <w:fldChar w:fldCharType="begin"/>
            </w:r>
            <w:r w:rsidR="00307686">
              <w:rPr>
                <w:noProof/>
                <w:webHidden/>
              </w:rPr>
              <w:instrText xml:space="preserve"> PAGEREF _Toc222395008 \h </w:instrText>
            </w:r>
            <w:r w:rsidR="00307686">
              <w:rPr>
                <w:noProof/>
                <w:webHidden/>
              </w:rPr>
            </w:r>
            <w:r w:rsidR="00307686">
              <w:rPr>
                <w:noProof/>
                <w:webHidden/>
              </w:rPr>
              <w:fldChar w:fldCharType="separate"/>
            </w:r>
            <w:r w:rsidR="00307686">
              <w:rPr>
                <w:noProof/>
                <w:webHidden/>
              </w:rPr>
              <w:t>29</w:t>
            </w:r>
            <w:r w:rsidR="00307686">
              <w:rPr>
                <w:noProof/>
                <w:webHidden/>
              </w:rPr>
              <w:fldChar w:fldCharType="end"/>
            </w:r>
          </w:hyperlink>
        </w:p>
        <w:p w14:paraId="4A0C9AF5" w14:textId="6DCC12A2"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09" w:history="1">
            <w:r w:rsidR="00307686" w:rsidRPr="00B35795">
              <w:rPr>
                <w:rStyle w:val="Hyperlink"/>
                <w:noProof/>
              </w:rPr>
              <w:t>Annexe 4: bouteilles pour boissons en plastique à usage unique mises sur le marché et collectées séparément, valeurs absolues et par habitant [point c)]</w:t>
            </w:r>
            <w:r w:rsidR="00307686">
              <w:rPr>
                <w:noProof/>
                <w:webHidden/>
              </w:rPr>
              <w:tab/>
            </w:r>
            <w:r w:rsidR="00307686">
              <w:rPr>
                <w:noProof/>
                <w:webHidden/>
              </w:rPr>
              <w:fldChar w:fldCharType="begin"/>
            </w:r>
            <w:r w:rsidR="00307686">
              <w:rPr>
                <w:noProof/>
                <w:webHidden/>
              </w:rPr>
              <w:instrText xml:space="preserve"> PAGEREF _Toc222395009 \h </w:instrText>
            </w:r>
            <w:r w:rsidR="00307686">
              <w:rPr>
                <w:noProof/>
                <w:webHidden/>
              </w:rPr>
            </w:r>
            <w:r w:rsidR="00307686">
              <w:rPr>
                <w:noProof/>
                <w:webHidden/>
              </w:rPr>
              <w:fldChar w:fldCharType="separate"/>
            </w:r>
            <w:r w:rsidR="00307686">
              <w:rPr>
                <w:noProof/>
                <w:webHidden/>
              </w:rPr>
              <w:t>30</w:t>
            </w:r>
            <w:r w:rsidR="00307686">
              <w:rPr>
                <w:noProof/>
                <w:webHidden/>
              </w:rPr>
              <w:fldChar w:fldCharType="end"/>
            </w:r>
          </w:hyperlink>
        </w:p>
        <w:p w14:paraId="60A19187" w14:textId="4B4C078E"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0" w:history="1">
            <w:r w:rsidR="00307686" w:rsidRPr="00B35795">
              <w:rPr>
                <w:rStyle w:val="Hyperlink"/>
                <w:noProof/>
              </w:rPr>
              <w:t>Annexe 5: données déclarées ventilées par matériau et par type d’engin de pêche [point d)]</w:t>
            </w:r>
            <w:r w:rsidR="00307686">
              <w:rPr>
                <w:noProof/>
                <w:webHidden/>
              </w:rPr>
              <w:tab/>
            </w:r>
            <w:r w:rsidR="00307686">
              <w:rPr>
                <w:noProof/>
                <w:webHidden/>
              </w:rPr>
              <w:fldChar w:fldCharType="begin"/>
            </w:r>
            <w:r w:rsidR="00307686">
              <w:rPr>
                <w:noProof/>
                <w:webHidden/>
              </w:rPr>
              <w:instrText xml:space="preserve"> PAGEREF _Toc222395010 \h </w:instrText>
            </w:r>
            <w:r w:rsidR="00307686">
              <w:rPr>
                <w:noProof/>
                <w:webHidden/>
              </w:rPr>
            </w:r>
            <w:r w:rsidR="00307686">
              <w:rPr>
                <w:noProof/>
                <w:webHidden/>
              </w:rPr>
              <w:fldChar w:fldCharType="separate"/>
            </w:r>
            <w:r w:rsidR="00307686">
              <w:rPr>
                <w:noProof/>
                <w:webHidden/>
              </w:rPr>
              <w:t>31</w:t>
            </w:r>
            <w:r w:rsidR="00307686">
              <w:rPr>
                <w:noProof/>
                <w:webHidden/>
              </w:rPr>
              <w:fldChar w:fldCharType="end"/>
            </w:r>
          </w:hyperlink>
        </w:p>
        <w:p w14:paraId="3158D0CB" w14:textId="02482C20"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1" w:history="1">
            <w:r w:rsidR="00307686" w:rsidRPr="00B35795">
              <w:rPr>
                <w:rStyle w:val="Hyperlink"/>
                <w:noProof/>
              </w:rPr>
              <w:t>Annexe 6: engins de pêche mis sur le marché et déchets d’engins de pêche collectés [point d)] par rapport au tonnage de la flotte de pêche par pays</w:t>
            </w:r>
            <w:r w:rsidR="00307686">
              <w:rPr>
                <w:noProof/>
                <w:webHidden/>
              </w:rPr>
              <w:tab/>
            </w:r>
            <w:r w:rsidR="00307686">
              <w:rPr>
                <w:noProof/>
                <w:webHidden/>
              </w:rPr>
              <w:fldChar w:fldCharType="begin"/>
            </w:r>
            <w:r w:rsidR="00307686">
              <w:rPr>
                <w:noProof/>
                <w:webHidden/>
              </w:rPr>
              <w:instrText xml:space="preserve"> PAGEREF _Toc222395011 \h </w:instrText>
            </w:r>
            <w:r w:rsidR="00307686">
              <w:rPr>
                <w:noProof/>
                <w:webHidden/>
              </w:rPr>
            </w:r>
            <w:r w:rsidR="00307686">
              <w:rPr>
                <w:noProof/>
                <w:webHidden/>
              </w:rPr>
              <w:fldChar w:fldCharType="separate"/>
            </w:r>
            <w:r w:rsidR="00307686">
              <w:rPr>
                <w:noProof/>
                <w:webHidden/>
              </w:rPr>
              <w:t>34</w:t>
            </w:r>
            <w:r w:rsidR="00307686">
              <w:rPr>
                <w:noProof/>
                <w:webHidden/>
              </w:rPr>
              <w:fldChar w:fldCharType="end"/>
            </w:r>
          </w:hyperlink>
        </w:p>
        <w:p w14:paraId="374ED30A" w14:textId="6F0AD606"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2" w:history="1">
            <w:r w:rsidR="00307686" w:rsidRPr="00B35795">
              <w:rPr>
                <w:rStyle w:val="Hyperlink"/>
                <w:noProof/>
              </w:rPr>
              <w:t>Annexe 7: institutions responsables de la communication et des dates de déclaration au titre de la directive sur les plastiques à usage unique</w:t>
            </w:r>
            <w:r w:rsidR="00307686">
              <w:rPr>
                <w:noProof/>
                <w:webHidden/>
              </w:rPr>
              <w:tab/>
            </w:r>
            <w:r w:rsidR="00307686">
              <w:rPr>
                <w:noProof/>
                <w:webHidden/>
              </w:rPr>
              <w:fldChar w:fldCharType="begin"/>
            </w:r>
            <w:r w:rsidR="00307686">
              <w:rPr>
                <w:noProof/>
                <w:webHidden/>
              </w:rPr>
              <w:instrText xml:space="preserve"> PAGEREF _Toc222395012 \h </w:instrText>
            </w:r>
            <w:r w:rsidR="00307686">
              <w:rPr>
                <w:noProof/>
                <w:webHidden/>
              </w:rPr>
            </w:r>
            <w:r w:rsidR="00307686">
              <w:rPr>
                <w:noProof/>
                <w:webHidden/>
              </w:rPr>
              <w:fldChar w:fldCharType="separate"/>
            </w:r>
            <w:r w:rsidR="00307686">
              <w:rPr>
                <w:noProof/>
                <w:webHidden/>
              </w:rPr>
              <w:t>35</w:t>
            </w:r>
            <w:r w:rsidR="00307686">
              <w:rPr>
                <w:noProof/>
                <w:webHidden/>
              </w:rPr>
              <w:fldChar w:fldCharType="end"/>
            </w:r>
          </w:hyperlink>
        </w:p>
        <w:p w14:paraId="6602F18F" w14:textId="57A6E28A"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3" w:history="1">
            <w:r w:rsidR="00307686" w:rsidRPr="00B35795">
              <w:rPr>
                <w:rStyle w:val="Hyperlink"/>
                <w:noProof/>
              </w:rPr>
              <w:t>Annexe 8: synthèse des résultats de l’enquête menée auprès des pays déclarants</w:t>
            </w:r>
            <w:r w:rsidR="00307686">
              <w:rPr>
                <w:noProof/>
                <w:webHidden/>
              </w:rPr>
              <w:tab/>
            </w:r>
            <w:r w:rsidR="00307686">
              <w:rPr>
                <w:noProof/>
                <w:webHidden/>
              </w:rPr>
              <w:fldChar w:fldCharType="begin"/>
            </w:r>
            <w:r w:rsidR="00307686">
              <w:rPr>
                <w:noProof/>
                <w:webHidden/>
              </w:rPr>
              <w:instrText xml:space="preserve"> PAGEREF _Toc222395013 \h </w:instrText>
            </w:r>
            <w:r w:rsidR="00307686">
              <w:rPr>
                <w:noProof/>
                <w:webHidden/>
              </w:rPr>
            </w:r>
            <w:r w:rsidR="00307686">
              <w:rPr>
                <w:noProof/>
                <w:webHidden/>
              </w:rPr>
              <w:fldChar w:fldCharType="separate"/>
            </w:r>
            <w:r w:rsidR="00307686">
              <w:rPr>
                <w:noProof/>
                <w:webHidden/>
              </w:rPr>
              <w:t>37</w:t>
            </w:r>
            <w:r w:rsidR="00307686">
              <w:rPr>
                <w:noProof/>
                <w:webHidden/>
              </w:rPr>
              <w:fldChar w:fldCharType="end"/>
            </w:r>
          </w:hyperlink>
        </w:p>
        <w:p w14:paraId="19F9ED5E" w14:textId="160676BA"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4" w:history="1">
            <w:r w:rsidR="00307686" w:rsidRPr="00B35795">
              <w:rPr>
                <w:rStyle w:val="Hyperlink"/>
                <w:noProof/>
              </w:rPr>
              <w:t>Annexe 9: Sources de données et méthodes</w:t>
            </w:r>
            <w:r w:rsidR="00307686">
              <w:rPr>
                <w:noProof/>
                <w:webHidden/>
              </w:rPr>
              <w:tab/>
            </w:r>
            <w:r w:rsidR="00307686">
              <w:rPr>
                <w:noProof/>
                <w:webHidden/>
              </w:rPr>
              <w:fldChar w:fldCharType="begin"/>
            </w:r>
            <w:r w:rsidR="00307686">
              <w:rPr>
                <w:noProof/>
                <w:webHidden/>
              </w:rPr>
              <w:instrText xml:space="preserve"> PAGEREF _Toc222395014 \h </w:instrText>
            </w:r>
            <w:r w:rsidR="00307686">
              <w:rPr>
                <w:noProof/>
                <w:webHidden/>
              </w:rPr>
            </w:r>
            <w:r w:rsidR="00307686">
              <w:rPr>
                <w:noProof/>
                <w:webHidden/>
              </w:rPr>
              <w:fldChar w:fldCharType="separate"/>
            </w:r>
            <w:r w:rsidR="00307686">
              <w:rPr>
                <w:noProof/>
                <w:webHidden/>
              </w:rPr>
              <w:t>40</w:t>
            </w:r>
            <w:r w:rsidR="00307686">
              <w:rPr>
                <w:noProof/>
                <w:webHidden/>
              </w:rPr>
              <w:fldChar w:fldCharType="end"/>
            </w:r>
          </w:hyperlink>
        </w:p>
        <w:p w14:paraId="2413F0A3" w14:textId="18D74AA5" w:rsidR="00307686" w:rsidRDefault="00BC249B">
          <w:pPr>
            <w:pStyle w:val="TOC3"/>
            <w:tabs>
              <w:tab w:val="right" w:leader="dot" w:pos="9016"/>
            </w:tabs>
            <w:rPr>
              <w:rFonts w:eastAsiaTheme="minorEastAsia"/>
              <w:noProof/>
              <w:sz w:val="24"/>
              <w:szCs w:val="24"/>
              <w:lang w:val="fr-BE" w:eastAsia="fr-BE"/>
              <w14:ligatures w14:val="standardContextual"/>
            </w:rPr>
          </w:pPr>
          <w:hyperlink w:anchor="_Toc222395015" w:history="1">
            <w:r w:rsidR="00307686" w:rsidRPr="00B35795">
              <w:rPr>
                <w:rStyle w:val="Hyperlink"/>
                <w:noProof/>
              </w:rPr>
              <w:t>Annexe 10: méthodes de vérification et problèmes d’exactitude recensés</w:t>
            </w:r>
            <w:r w:rsidR="00307686">
              <w:rPr>
                <w:noProof/>
                <w:webHidden/>
              </w:rPr>
              <w:tab/>
            </w:r>
            <w:r w:rsidR="00307686">
              <w:rPr>
                <w:noProof/>
                <w:webHidden/>
              </w:rPr>
              <w:fldChar w:fldCharType="begin"/>
            </w:r>
            <w:r w:rsidR="00307686">
              <w:rPr>
                <w:noProof/>
                <w:webHidden/>
              </w:rPr>
              <w:instrText xml:space="preserve"> PAGEREF _Toc222395015 \h </w:instrText>
            </w:r>
            <w:r w:rsidR="00307686">
              <w:rPr>
                <w:noProof/>
                <w:webHidden/>
              </w:rPr>
            </w:r>
            <w:r w:rsidR="00307686">
              <w:rPr>
                <w:noProof/>
                <w:webHidden/>
              </w:rPr>
              <w:fldChar w:fldCharType="separate"/>
            </w:r>
            <w:r w:rsidR="00307686">
              <w:rPr>
                <w:noProof/>
                <w:webHidden/>
              </w:rPr>
              <w:t>42</w:t>
            </w:r>
            <w:r w:rsidR="00307686">
              <w:rPr>
                <w:noProof/>
                <w:webHidden/>
              </w:rPr>
              <w:fldChar w:fldCharType="end"/>
            </w:r>
          </w:hyperlink>
        </w:p>
        <w:p w14:paraId="55B289C5" w14:textId="2C036D9D" w:rsidR="005E313B" w:rsidRPr="00B97C95" w:rsidRDefault="005E313B" w:rsidP="005E313B">
          <w:pPr>
            <w:rPr>
              <w:b/>
              <w:noProof/>
            </w:rPr>
            <w:sectPr w:rsidR="005E313B" w:rsidRPr="00B97C95" w:rsidSect="00611B4A">
              <w:headerReference w:type="default" r:id="rId24"/>
              <w:footerReference w:type="default" r:id="rId25"/>
              <w:pgSz w:w="11906" w:h="16838"/>
              <w:pgMar w:top="1440" w:right="1440" w:bottom="1440" w:left="1440" w:header="708" w:footer="708" w:gutter="0"/>
              <w:pgNumType w:fmt="lowerRoman" w:start="1"/>
              <w:cols w:space="708"/>
              <w:docGrid w:linePitch="360"/>
            </w:sectPr>
          </w:pPr>
          <w:r>
            <w:rPr>
              <w:noProof/>
            </w:rPr>
            <w:fldChar w:fldCharType="end"/>
          </w:r>
        </w:p>
      </w:sdtContent>
    </w:sdt>
    <w:p w14:paraId="194B9285" w14:textId="0718AD48" w:rsidR="00862309" w:rsidRPr="004A0A8E" w:rsidRDefault="00862309" w:rsidP="00862309">
      <w:pPr>
        <w:pStyle w:val="Heading2"/>
        <w:rPr>
          <w:noProof/>
        </w:rPr>
      </w:pPr>
      <w:bookmarkStart w:id="2" w:name="_Toc185251683"/>
      <w:bookmarkStart w:id="3" w:name="_Toc185499245"/>
      <w:bookmarkStart w:id="4" w:name="_Toc222394988"/>
      <w:r>
        <w:rPr>
          <w:noProof/>
        </w:rPr>
        <w:t>Contexte</w:t>
      </w:r>
      <w:bookmarkEnd w:id="2"/>
      <w:r>
        <w:rPr>
          <w:noProof/>
        </w:rPr>
        <w:t xml:space="preserve"> et objectif du rapport</w:t>
      </w:r>
      <w:bookmarkEnd w:id="3"/>
      <w:bookmarkEnd w:id="4"/>
    </w:p>
    <w:p w14:paraId="6444AE52" w14:textId="24E95811" w:rsidR="00862309" w:rsidRPr="004A0A8E" w:rsidRDefault="00862309" w:rsidP="00862309">
      <w:pPr>
        <w:rPr>
          <w:noProof/>
        </w:rPr>
      </w:pPr>
      <w:r>
        <w:rPr>
          <w:noProof/>
        </w:rPr>
        <w:t>La directive (UE) 2019/904 du Parlement européen et du Conseil du 5 juin 2019 relative à la réduction de l’incidence de certains produits en plastique sur l’environnement (ci-après la «directive sur les plastiques à usage unique») poursuit trois objectifs: i) prévenir et réduire l’incidence de certains produits en plastique sur l’environnement et la santé humaine; ii) promouvoir une économie circulaire; et iii) contribuer au bon fonctionnement du marché intérieur.</w:t>
      </w:r>
    </w:p>
    <w:p w14:paraId="52973AD9" w14:textId="2DACC29F" w:rsidR="00862309" w:rsidRDefault="00722ABF" w:rsidP="00862309">
      <w:pPr>
        <w:rPr>
          <w:noProof/>
        </w:rPr>
      </w:pPr>
      <w:r>
        <w:rPr>
          <w:noProof/>
        </w:rPr>
        <w:t>En vertu de l’article 13 de la directive sur les plastiques à usage unique, les États membres sont tenus de communiquer les informations indiquées au tableau 1 dans un délai de 18 mois à compter de la fin de l’année de référence concernée, ainsi qu’un rapport de contrôle de la qualité décrivant, entre autres, les méthodes utilisées pour les calculs et pour la vérification et le contrôle des données. La Commission a adopté une série de décisions d’exécution établissant les méthodes et les formats tant pour la communication des données que pour les rapports de contrôle de la qualité.</w:t>
      </w:r>
    </w:p>
    <w:p w14:paraId="504D61E5" w14:textId="0A4EA6CF" w:rsidR="00E355AB" w:rsidRPr="004A0A8E" w:rsidRDefault="00E355AB" w:rsidP="00E355AB">
      <w:pPr>
        <w:rPr>
          <w:noProof/>
        </w:rPr>
      </w:pPr>
      <w:r>
        <w:rPr>
          <w:noProof/>
        </w:rPr>
        <w:t>Le présent rapport fournit une évaluation des informations communiquées pour l’année de référence 2022, conformément à l’article 13, paragraphe 3, de la directive sur les plastiques à usage unique, dont le texte figure ci-après.</w:t>
      </w:r>
    </w:p>
    <w:p w14:paraId="43B15BF8" w14:textId="79A40CA5" w:rsidR="00E355AB" w:rsidRPr="004A0A8E" w:rsidRDefault="00E355AB" w:rsidP="00E355AB">
      <w:pPr>
        <w:shd w:val="clear" w:color="auto" w:fill="E7E6E6" w:themeFill="background2"/>
        <w:rPr>
          <w:noProof/>
        </w:rPr>
      </w:pPr>
      <w:r>
        <w:rPr>
          <w:i/>
          <w:noProof/>
        </w:rPr>
        <w:t>La Commission examine les données et les informations communiquées en application du présent article (13) et publie un rapport sur les résultats de cet examen. Ce rapport évalue l’organisation de la collecte des données et des informations, les sources des données et des informations et la méthodologie utilisée dans les États membres, ainsi que l’exhaustivité, la fiabilité, l’actualité et la cohérence des données et des informations. L’évaluation peut comprendre des recommandations d’amélioration spécifiques. Le rapport est établi après la première communication des données et des informations par les États membres, puis selon la périodicité prévue à l’article 12, paragraphe 3 quater, de la directive 94/62/CE.</w:t>
      </w:r>
    </w:p>
    <w:p w14:paraId="06220167" w14:textId="607A6FAC" w:rsidR="00E355AB" w:rsidRPr="004A0A8E" w:rsidRDefault="008220C6" w:rsidP="00E355AB">
      <w:pPr>
        <w:rPr>
          <w:noProof/>
        </w:rPr>
      </w:pPr>
      <w:r>
        <w:rPr>
          <w:noProof/>
        </w:rPr>
        <w:t>En outre, le rapport:</w:t>
      </w:r>
    </w:p>
    <w:p w14:paraId="619C8AC2" w14:textId="541B096D" w:rsidR="00E355AB" w:rsidRPr="004A0A8E" w:rsidRDefault="0074084E" w:rsidP="00E355AB">
      <w:pPr>
        <w:pStyle w:val="ListParagraph"/>
        <w:numPr>
          <w:ilvl w:val="0"/>
          <w:numId w:val="1"/>
        </w:numPr>
        <w:rPr>
          <w:noProof/>
        </w:rPr>
      </w:pPr>
      <w:r>
        <w:rPr>
          <w:noProof/>
        </w:rPr>
        <w:t xml:space="preserve">donne une vue d’ensemble des données et informations communiquées; </w:t>
      </w:r>
    </w:p>
    <w:p w14:paraId="4D84131C" w14:textId="01B2E5CB" w:rsidR="00E355AB" w:rsidRPr="004A0A8E" w:rsidRDefault="0074084E" w:rsidP="00E355AB">
      <w:pPr>
        <w:pStyle w:val="ListParagraph"/>
        <w:numPr>
          <w:ilvl w:val="0"/>
          <w:numId w:val="1"/>
        </w:numPr>
        <w:rPr>
          <w:noProof/>
        </w:rPr>
      </w:pPr>
      <w:r>
        <w:rPr>
          <w:noProof/>
        </w:rPr>
        <w:t>évalue la qualité des données au regard des critères énumérés à l’article 13, paragraphe 3;</w:t>
      </w:r>
    </w:p>
    <w:p w14:paraId="3E939548" w14:textId="68415D3F" w:rsidR="00A91CD2" w:rsidRPr="004A0A8E" w:rsidRDefault="0074084E" w:rsidP="00A91CD2">
      <w:pPr>
        <w:pStyle w:val="ListParagraph"/>
        <w:numPr>
          <w:ilvl w:val="0"/>
          <w:numId w:val="1"/>
        </w:numPr>
        <w:rPr>
          <w:noProof/>
        </w:rPr>
      </w:pPr>
      <w:r>
        <w:rPr>
          <w:noProof/>
        </w:rPr>
        <w:t>formule des recommandations sur la manière d’améliorer la communication d’informations au cours des années suivantes.</w:t>
      </w:r>
    </w:p>
    <w:p w14:paraId="3650BDD8" w14:textId="70F06A6B" w:rsidR="00EB5832" w:rsidRPr="004A0A8E" w:rsidRDefault="00EB5832" w:rsidP="00EB5832">
      <w:pPr>
        <w:rPr>
          <w:noProof/>
        </w:rPr>
      </w:pPr>
      <w:r>
        <w:rPr>
          <w:noProof/>
        </w:rPr>
        <w:t>L’analyse qui sous-tend le présent rapport a été soutenue par l’Agence européenne pour l’environnement (AEE). Des analyses plus approfondies figurent dans le rapport détaillé (AEE, 2025). Outre les États membres de l’UE, le présent rapport couvre également les données et informations communiquées par les États de l’Association européenne de libre-échange (AELE) appartenant à l’Espace économique européen (Islande, Liechtenstein et Norvège).</w:t>
      </w:r>
    </w:p>
    <w:p w14:paraId="6FA6A0F4" w14:textId="3EB8E903" w:rsidR="00A91CD2" w:rsidRPr="004A0A8E" w:rsidRDefault="00A91CD2" w:rsidP="00A91CD2">
      <w:pPr>
        <w:pStyle w:val="Heading2"/>
        <w:rPr>
          <w:noProof/>
        </w:rPr>
      </w:pPr>
      <w:bookmarkStart w:id="5" w:name="_Toc222394989"/>
      <w:r>
        <w:rPr>
          <w:noProof/>
        </w:rPr>
        <w:t>Résultats de la communication d’informations</w:t>
      </w:r>
      <w:bookmarkEnd w:id="5"/>
      <w:r>
        <w:rPr>
          <w:noProof/>
        </w:rPr>
        <w:t xml:space="preserve"> </w:t>
      </w:r>
    </w:p>
    <w:p w14:paraId="18E74780" w14:textId="3DBEADF8" w:rsidR="006306E4" w:rsidRPr="00B43C58" w:rsidRDefault="00A91CD2" w:rsidP="00A91CD2">
      <w:pPr>
        <w:rPr>
          <w:noProof/>
          <w:color w:val="000000" w:themeColor="text1"/>
        </w:rPr>
      </w:pPr>
      <w:r>
        <w:rPr>
          <w:noProof/>
        </w:rPr>
        <w:t xml:space="preserve">Cette section présente les données communiquées par élément à déclarer [du point a) au point d), comme indiqué dans le tableau 1], complétées par des calculs supplémentaires des valeurs par habitant et des valeurs totales.  L’ensemble complet des données et informations communiquées </w:t>
      </w:r>
      <w:hyperlink r:id="rId26" w:history="1">
        <w:r>
          <w:rPr>
            <w:rStyle w:val="Hyperlink"/>
            <w:noProof/>
          </w:rPr>
          <w:t>est disponible ici</w:t>
        </w:r>
      </w:hyperlink>
      <w:r>
        <w:rPr>
          <w:noProof/>
          <w:color w:val="000000" w:themeColor="text1"/>
        </w:rPr>
        <w:t>.</w:t>
      </w:r>
    </w:p>
    <w:p w14:paraId="6679B543" w14:textId="416A8B8D" w:rsidR="00A91CD2" w:rsidRPr="004A0A8E" w:rsidRDefault="006306E4" w:rsidP="00A91CD2">
      <w:pPr>
        <w:rPr>
          <w:noProof/>
        </w:rPr>
      </w:pPr>
      <w:r>
        <w:rPr>
          <w:noProof/>
        </w:rPr>
        <w:t>La prudence est de mise concernant les informations présentées, en raison à la fois de la diversité des méthodes utilisées par les différents pays et de problèmes en matière d’exactitude (voir le chapitre 3 sur la qualité des données). Par conséquent, les comparaisons entre pays (par exemple, des valeurs par habitant) peuvent ne pas être particulièrement significatives. Néanmoins, les valeurs par habitant et les valeurs totales ont été calculées pour les pays qui ont communiqué des informations sur l’élément en question afin de donner une meilleure vue d’ensemble de la situation actuelle.</w:t>
      </w:r>
    </w:p>
    <w:p w14:paraId="0EB97B8A" w14:textId="77777777" w:rsidR="00A91CD2" w:rsidRPr="004A0A8E" w:rsidRDefault="00A91CD2" w:rsidP="00862309">
      <w:pPr>
        <w:rPr>
          <w:i/>
          <w:noProof/>
        </w:rPr>
        <w:sectPr w:rsidR="00A91CD2" w:rsidRPr="004A0A8E" w:rsidSect="00770AFB">
          <w:headerReference w:type="default" r:id="rId27"/>
          <w:footerReference w:type="default" r:id="rId28"/>
          <w:pgSz w:w="11906" w:h="16838"/>
          <w:pgMar w:top="993" w:right="1440" w:bottom="1440" w:left="1440" w:header="708" w:footer="708" w:gutter="0"/>
          <w:pgNumType w:start="1"/>
          <w:cols w:space="708"/>
          <w:docGrid w:linePitch="360"/>
        </w:sectPr>
      </w:pPr>
    </w:p>
    <w:p w14:paraId="7CC51567" w14:textId="2F786AC7" w:rsidR="00862309" w:rsidRDefault="00862309" w:rsidP="00862309">
      <w:pPr>
        <w:pStyle w:val="Caption"/>
        <w:rPr>
          <w:noProof/>
        </w:rPr>
      </w:pPr>
      <w:bookmarkStart w:id="6" w:name="_Ref164348942"/>
      <w:bookmarkStart w:id="7" w:name="_Ref165621768"/>
      <w:r>
        <w:rPr>
          <w:noProof/>
        </w:rPr>
        <w:t>Tableau </w:t>
      </w:r>
      <w:r>
        <w:rPr>
          <w:noProof/>
        </w:rPr>
        <w:fldChar w:fldCharType="begin"/>
      </w:r>
      <w:r>
        <w:rPr>
          <w:noProof/>
        </w:rPr>
        <w:instrText xml:space="preserve"> SEQ Table \* ARABIC </w:instrText>
      </w:r>
      <w:r>
        <w:rPr>
          <w:noProof/>
        </w:rPr>
        <w:fldChar w:fldCharType="separate"/>
      </w:r>
      <w:r>
        <w:rPr>
          <w:noProof/>
        </w:rPr>
        <w:t>1</w:t>
      </w:r>
      <w:r>
        <w:rPr>
          <w:noProof/>
        </w:rPr>
        <w:fldChar w:fldCharType="end"/>
      </w:r>
      <w:bookmarkEnd w:id="6"/>
      <w:r>
        <w:rPr>
          <w:noProof/>
        </w:rPr>
        <w:t xml:space="preserve">: </w:t>
      </w:r>
      <w:bookmarkStart w:id="8" w:name="_Ref165621779"/>
      <w:r>
        <w:rPr>
          <w:noProof/>
        </w:rPr>
        <w:t>obligations en matière de communication d’informations conformément à la directive sur les plastiques à usage unique.</w:t>
      </w:r>
      <w:bookmarkEnd w:id="7"/>
      <w:bookmarkEnd w:id="8"/>
    </w:p>
    <w:tbl>
      <w:tblPr>
        <w:tblStyle w:val="TableGrid"/>
        <w:tblW w:w="16152"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91"/>
        <w:gridCol w:w="1072"/>
        <w:gridCol w:w="6890"/>
        <w:gridCol w:w="909"/>
        <w:gridCol w:w="1342"/>
        <w:gridCol w:w="4348"/>
      </w:tblGrid>
      <w:tr w:rsidR="00A7336D" w:rsidRPr="004A10F0" w14:paraId="1449D6D8" w14:textId="77777777" w:rsidTr="00E15FCF">
        <w:trPr>
          <w:trHeight w:val="149"/>
        </w:trPr>
        <w:tc>
          <w:tcPr>
            <w:tcW w:w="1598" w:type="dxa"/>
            <w:shd w:val="clear" w:color="auto" w:fill="007B6C"/>
            <w:vAlign w:val="center"/>
          </w:tcPr>
          <w:p w14:paraId="4C1F4492" w14:textId="77777777" w:rsidR="00A7336D" w:rsidRPr="00975E08" w:rsidRDefault="00A7336D" w:rsidP="00E15FCF">
            <w:pPr>
              <w:jc w:val="center"/>
              <w:rPr>
                <w:rFonts w:asciiTheme="majorHAnsi" w:hAnsiTheme="majorHAnsi" w:cstheme="majorHAnsi"/>
                <w:noProof/>
                <w:color w:val="FFFFFF" w:themeColor="background1"/>
                <w:sz w:val="18"/>
                <w:szCs w:val="18"/>
              </w:rPr>
            </w:pPr>
            <w:r>
              <w:rPr>
                <w:rFonts w:asciiTheme="majorHAnsi" w:hAnsiTheme="majorHAnsi"/>
                <w:b/>
                <w:noProof/>
                <w:color w:val="FFFFFF" w:themeColor="background1"/>
                <w:sz w:val="18"/>
              </w:rPr>
              <w:t>Données et informations</w:t>
            </w:r>
          </w:p>
        </w:tc>
        <w:tc>
          <w:tcPr>
            <w:tcW w:w="955" w:type="dxa"/>
            <w:shd w:val="clear" w:color="auto" w:fill="007B6C"/>
            <w:vAlign w:val="center"/>
          </w:tcPr>
          <w:p w14:paraId="66967C10" w14:textId="77777777" w:rsidR="00A7336D" w:rsidRPr="00975E08" w:rsidRDefault="00A7336D" w:rsidP="00E15FCF">
            <w:pPr>
              <w:jc w:val="center"/>
              <w:rPr>
                <w:rFonts w:asciiTheme="majorHAnsi" w:hAnsiTheme="majorHAnsi" w:cstheme="majorHAnsi"/>
                <w:b/>
                <w:noProof/>
                <w:color w:val="FFFFFF" w:themeColor="background1"/>
                <w:sz w:val="18"/>
                <w:szCs w:val="18"/>
              </w:rPr>
            </w:pPr>
            <w:r>
              <w:rPr>
                <w:rFonts w:asciiTheme="majorHAnsi" w:hAnsiTheme="majorHAnsi"/>
                <w:b/>
                <w:noProof/>
                <w:color w:val="FFFFFF" w:themeColor="background1"/>
                <w:sz w:val="18"/>
              </w:rPr>
              <w:t>Désignation dans le présent rapport</w:t>
            </w:r>
          </w:p>
        </w:tc>
        <w:tc>
          <w:tcPr>
            <w:tcW w:w="7200" w:type="dxa"/>
            <w:shd w:val="clear" w:color="auto" w:fill="007B6C"/>
            <w:vAlign w:val="center"/>
          </w:tcPr>
          <w:p w14:paraId="362268A6" w14:textId="77777777" w:rsidR="00A7336D" w:rsidRPr="00975E08" w:rsidRDefault="00A7336D" w:rsidP="00E15FCF">
            <w:pPr>
              <w:jc w:val="center"/>
              <w:rPr>
                <w:rFonts w:asciiTheme="majorHAnsi" w:hAnsiTheme="majorHAnsi" w:cstheme="majorHAnsi"/>
                <w:noProof/>
                <w:color w:val="FFFFFF" w:themeColor="background1"/>
                <w:sz w:val="18"/>
                <w:szCs w:val="18"/>
              </w:rPr>
            </w:pPr>
            <w:r>
              <w:rPr>
                <w:rFonts w:asciiTheme="majorHAnsi" w:hAnsiTheme="majorHAnsi"/>
                <w:b/>
                <w:noProof/>
                <w:color w:val="FFFFFF" w:themeColor="background1"/>
                <w:sz w:val="18"/>
              </w:rPr>
              <w:t>Base juridique de la communication d’informations</w:t>
            </w:r>
          </w:p>
        </w:tc>
        <w:tc>
          <w:tcPr>
            <w:tcW w:w="901" w:type="dxa"/>
            <w:shd w:val="clear" w:color="auto" w:fill="007B6C"/>
            <w:vAlign w:val="center"/>
          </w:tcPr>
          <w:p w14:paraId="6115854A" w14:textId="77777777" w:rsidR="00A7336D" w:rsidRPr="00975E08" w:rsidRDefault="00A7336D" w:rsidP="00E15FCF">
            <w:pPr>
              <w:jc w:val="center"/>
              <w:rPr>
                <w:rFonts w:asciiTheme="majorHAnsi" w:hAnsiTheme="majorHAnsi" w:cstheme="majorHAnsi"/>
                <w:noProof/>
                <w:color w:val="FFFFFF" w:themeColor="background1"/>
                <w:sz w:val="18"/>
                <w:szCs w:val="18"/>
              </w:rPr>
            </w:pPr>
            <w:r>
              <w:rPr>
                <w:rFonts w:asciiTheme="majorHAnsi" w:hAnsiTheme="majorHAnsi"/>
                <w:b/>
                <w:noProof/>
                <w:color w:val="FFFFFF" w:themeColor="background1"/>
                <w:sz w:val="18"/>
              </w:rPr>
              <w:t>Année de référence</w:t>
            </w:r>
          </w:p>
        </w:tc>
        <w:tc>
          <w:tcPr>
            <w:tcW w:w="991" w:type="dxa"/>
            <w:shd w:val="clear" w:color="auto" w:fill="007B6C"/>
            <w:vAlign w:val="center"/>
          </w:tcPr>
          <w:p w14:paraId="11A751AF" w14:textId="77777777" w:rsidR="00A7336D" w:rsidRPr="00975E08" w:rsidRDefault="00A7336D" w:rsidP="00E15FCF">
            <w:pPr>
              <w:jc w:val="center"/>
              <w:rPr>
                <w:rFonts w:asciiTheme="majorHAnsi" w:hAnsiTheme="majorHAnsi" w:cstheme="majorHAnsi"/>
                <w:noProof/>
                <w:color w:val="FFFFFF" w:themeColor="background1"/>
                <w:sz w:val="18"/>
                <w:szCs w:val="18"/>
              </w:rPr>
            </w:pPr>
            <w:r>
              <w:rPr>
                <w:rFonts w:asciiTheme="majorHAnsi" w:hAnsiTheme="majorHAnsi"/>
                <w:b/>
                <w:noProof/>
                <w:color w:val="FFFFFF" w:themeColor="background1"/>
                <w:sz w:val="18"/>
              </w:rPr>
              <w:t>Échéance de la première communication à présenter par l’État membre</w:t>
            </w:r>
          </w:p>
        </w:tc>
        <w:tc>
          <w:tcPr>
            <w:tcW w:w="4507" w:type="dxa"/>
            <w:shd w:val="clear" w:color="auto" w:fill="007B6C"/>
            <w:vAlign w:val="center"/>
          </w:tcPr>
          <w:p w14:paraId="5AF56C55" w14:textId="77777777" w:rsidR="00A7336D" w:rsidRPr="00975E08" w:rsidRDefault="00A7336D" w:rsidP="00E15FCF">
            <w:pPr>
              <w:jc w:val="center"/>
              <w:rPr>
                <w:rFonts w:asciiTheme="majorHAnsi" w:hAnsiTheme="majorHAnsi" w:cstheme="majorHAnsi"/>
                <w:b/>
                <w:noProof/>
                <w:color w:val="FFFFFF" w:themeColor="background1"/>
                <w:sz w:val="18"/>
                <w:szCs w:val="18"/>
              </w:rPr>
            </w:pPr>
            <w:r>
              <w:rPr>
                <w:rFonts w:asciiTheme="majorHAnsi" w:hAnsiTheme="majorHAnsi"/>
                <w:b/>
                <w:noProof/>
                <w:color w:val="FFFFFF" w:themeColor="background1"/>
                <w:sz w:val="18"/>
              </w:rPr>
              <w:t>Objectif général/objectifs spécifiques</w:t>
            </w:r>
          </w:p>
        </w:tc>
      </w:tr>
      <w:tr w:rsidR="00A7336D" w:rsidRPr="004A10F0" w14:paraId="64040574" w14:textId="77777777" w:rsidTr="00E15FCF">
        <w:trPr>
          <w:trHeight w:val="857"/>
        </w:trPr>
        <w:tc>
          <w:tcPr>
            <w:tcW w:w="1598" w:type="dxa"/>
            <w:shd w:val="clear" w:color="auto" w:fill="D9D9D9" w:themeFill="background1" w:themeFillShade="D9"/>
            <w:vAlign w:val="center"/>
          </w:tcPr>
          <w:p w14:paraId="6FC3C766" w14:textId="78850D39"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Quantités mises sur le marché pour:</w:t>
            </w:r>
            <w:r>
              <w:rPr>
                <w:noProof/>
              </w:rPr>
              <w:t xml:space="preserve"> </w:t>
            </w:r>
            <w:r>
              <w:rPr>
                <w:noProof/>
              </w:rPr>
              <w:br/>
            </w:r>
            <w:r>
              <w:rPr>
                <w:rFonts w:asciiTheme="majorHAnsi" w:hAnsiTheme="majorHAnsi"/>
                <w:noProof/>
                <w:sz w:val="20"/>
              </w:rPr>
              <w:t>– les gobelets pour boissons</w:t>
            </w:r>
            <w:r>
              <w:rPr>
                <w:noProof/>
              </w:rPr>
              <w:t xml:space="preserve"> </w:t>
            </w:r>
            <w:r>
              <w:rPr>
                <w:noProof/>
              </w:rPr>
              <w:br/>
            </w:r>
            <w:r>
              <w:rPr>
                <w:rFonts w:asciiTheme="majorHAnsi" w:hAnsiTheme="majorHAnsi"/>
                <w:noProof/>
                <w:sz w:val="20"/>
              </w:rPr>
              <w:t>– les récipients pour aliments</w:t>
            </w:r>
          </w:p>
        </w:tc>
        <w:tc>
          <w:tcPr>
            <w:tcW w:w="955" w:type="dxa"/>
            <w:shd w:val="clear" w:color="auto" w:fill="D9D9D9" w:themeFill="background1" w:themeFillShade="D9"/>
          </w:tcPr>
          <w:p w14:paraId="44C59754" w14:textId="3BD8BC2E"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Point a)</w:t>
            </w:r>
          </w:p>
        </w:tc>
        <w:tc>
          <w:tcPr>
            <w:tcW w:w="7200" w:type="dxa"/>
            <w:shd w:val="clear" w:color="auto" w:fill="D9D9D9" w:themeFill="background1" w:themeFillShade="D9"/>
            <w:vAlign w:val="center"/>
          </w:tcPr>
          <w:p w14:paraId="6B4B5458" w14:textId="4B390707" w:rsidR="00A7336D" w:rsidRPr="00975E08" w:rsidRDefault="00A7336D" w:rsidP="00E15FCF">
            <w:pPr>
              <w:spacing w:before="60" w:line="259" w:lineRule="auto"/>
              <w:rPr>
                <w:rFonts w:asciiTheme="majorHAnsi" w:hAnsiTheme="majorHAnsi" w:cstheme="majorHAnsi"/>
                <w:noProof/>
                <w:sz w:val="20"/>
                <w:szCs w:val="20"/>
              </w:rPr>
            </w:pPr>
            <w:r>
              <w:rPr>
                <w:rFonts w:asciiTheme="majorHAnsi" w:hAnsiTheme="majorHAnsi"/>
                <w:b/>
                <w:noProof/>
                <w:sz w:val="20"/>
              </w:rPr>
              <w:t>Article 13, paragraphe 1, point a), de la directive sur les plastiques à usage unique</w:t>
            </w:r>
            <w:r>
              <w:rPr>
                <w:rFonts w:asciiTheme="majorHAnsi" w:hAnsiTheme="majorHAnsi"/>
                <w:noProof/>
                <w:sz w:val="20"/>
              </w:rPr>
              <w:t>:</w:t>
            </w:r>
            <w:r>
              <w:rPr>
                <w:rFonts w:asciiTheme="majorHAnsi" w:hAnsiTheme="majorHAnsi"/>
                <w:b/>
                <w:noProof/>
                <w:sz w:val="20"/>
              </w:rPr>
              <w:t xml:space="preserve"> </w:t>
            </w:r>
            <w:r>
              <w:rPr>
                <w:rFonts w:asciiTheme="majorHAnsi" w:hAnsiTheme="majorHAnsi"/>
                <w:noProof/>
                <w:sz w:val="20"/>
              </w:rPr>
              <w:t>Données relatives aux produits en plastique à usage unique énumérés dans la partie A de l’annexe qui ont été mis sur marché de l’État membre chaque année, afin d’établir la réduction de la consommation conformément à l’article 4, paragraphe 1.</w:t>
            </w:r>
          </w:p>
          <w:p w14:paraId="43EFA436" w14:textId="7705915E" w:rsidR="00A7336D" w:rsidRPr="00975E08" w:rsidRDefault="00BC249B" w:rsidP="00E15FCF">
            <w:pPr>
              <w:spacing w:before="60" w:line="259" w:lineRule="auto"/>
              <w:rPr>
                <w:rFonts w:asciiTheme="majorHAnsi" w:hAnsiTheme="majorHAnsi" w:cstheme="majorHAnsi"/>
                <w:noProof/>
                <w:sz w:val="20"/>
                <w:szCs w:val="20"/>
              </w:rPr>
            </w:pPr>
            <w:hyperlink r:id="rId29" w:history="1">
              <w:r w:rsidR="00A7336D">
                <w:rPr>
                  <w:rStyle w:val="Hyperlink"/>
                  <w:rFonts w:asciiTheme="majorHAnsi" w:hAnsiTheme="majorHAnsi"/>
                  <w:b/>
                  <w:noProof/>
                  <w:color w:val="auto"/>
                  <w:sz w:val="20"/>
                </w:rPr>
                <w:t>Décision d’exécution (UE) 2022/162 de la Commission.</w:t>
              </w:r>
            </w:hyperlink>
            <w:r w:rsidR="00A7336D">
              <w:rPr>
                <w:rFonts w:asciiTheme="majorHAnsi" w:hAnsiTheme="majorHAnsi"/>
                <w:noProof/>
                <w:sz w:val="20"/>
              </w:rPr>
              <w:t xml:space="preserve"> </w:t>
            </w:r>
          </w:p>
        </w:tc>
        <w:tc>
          <w:tcPr>
            <w:tcW w:w="901" w:type="dxa"/>
            <w:shd w:val="clear" w:color="auto" w:fill="D9D9D9" w:themeFill="background1" w:themeFillShade="D9"/>
            <w:vAlign w:val="center"/>
          </w:tcPr>
          <w:p w14:paraId="5B7B895A"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2022</w:t>
            </w:r>
          </w:p>
        </w:tc>
        <w:tc>
          <w:tcPr>
            <w:tcW w:w="991" w:type="dxa"/>
            <w:shd w:val="clear" w:color="auto" w:fill="D9D9D9" w:themeFill="background1" w:themeFillShade="D9"/>
            <w:vAlign w:val="center"/>
          </w:tcPr>
          <w:p w14:paraId="2D512474"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Fin juin 2024</w:t>
            </w:r>
          </w:p>
        </w:tc>
        <w:tc>
          <w:tcPr>
            <w:tcW w:w="4507" w:type="dxa"/>
            <w:shd w:val="clear" w:color="auto" w:fill="D9D9D9" w:themeFill="background1" w:themeFillShade="D9"/>
            <w:vAlign w:val="center"/>
          </w:tcPr>
          <w:p w14:paraId="46C9896E" w14:textId="781A3B9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Réduction ambitieuse et durable (2022-2026).</w:t>
            </w:r>
          </w:p>
          <w:p w14:paraId="3CAA1568" w14:textId="1EEB64E8"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En outre, les données communiquées alimenteront l’évaluation de la directive sur les plastiques à usage unique, qui comprendra une évaluation de la possibilité d’introduire des objectifs contraignants de réduction de la consommation pour les gobelets pour boissons et les récipients pour aliments.</w:t>
            </w:r>
          </w:p>
        </w:tc>
      </w:tr>
      <w:tr w:rsidR="00A7336D" w:rsidRPr="004A10F0" w14:paraId="1CD4A09F" w14:textId="77777777" w:rsidTr="00E15FCF">
        <w:trPr>
          <w:trHeight w:val="38"/>
        </w:trPr>
        <w:tc>
          <w:tcPr>
            <w:tcW w:w="1598" w:type="dxa"/>
            <w:shd w:val="clear" w:color="auto" w:fill="D9D9D9" w:themeFill="background1" w:themeFillShade="D9"/>
            <w:vAlign w:val="center"/>
          </w:tcPr>
          <w:p w14:paraId="095228B5" w14:textId="04A55F67"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Mesures prises pour réduire la consommation:</w:t>
            </w:r>
            <w:r>
              <w:rPr>
                <w:noProof/>
              </w:rPr>
              <w:t xml:space="preserve"> </w:t>
            </w:r>
            <w:r>
              <w:rPr>
                <w:noProof/>
              </w:rPr>
              <w:br/>
            </w:r>
            <w:r>
              <w:rPr>
                <w:rFonts w:asciiTheme="majorHAnsi" w:hAnsiTheme="majorHAnsi"/>
                <w:noProof/>
                <w:sz w:val="20"/>
              </w:rPr>
              <w:t>– des gobelets pour boissons</w:t>
            </w:r>
            <w:r>
              <w:rPr>
                <w:noProof/>
              </w:rPr>
              <w:t xml:space="preserve"> </w:t>
            </w:r>
            <w:r>
              <w:rPr>
                <w:noProof/>
              </w:rPr>
              <w:br/>
            </w:r>
            <w:r>
              <w:rPr>
                <w:rFonts w:asciiTheme="majorHAnsi" w:hAnsiTheme="majorHAnsi"/>
                <w:noProof/>
                <w:sz w:val="20"/>
              </w:rPr>
              <w:t>– des récipients pour aliments</w:t>
            </w:r>
          </w:p>
        </w:tc>
        <w:tc>
          <w:tcPr>
            <w:tcW w:w="955" w:type="dxa"/>
            <w:shd w:val="clear" w:color="auto" w:fill="D9D9D9" w:themeFill="background1" w:themeFillShade="D9"/>
          </w:tcPr>
          <w:p w14:paraId="2FF05B02" w14:textId="02AEF868"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Point b)</w:t>
            </w:r>
          </w:p>
        </w:tc>
        <w:tc>
          <w:tcPr>
            <w:tcW w:w="7200" w:type="dxa"/>
            <w:shd w:val="clear" w:color="auto" w:fill="D9D9D9" w:themeFill="background1" w:themeFillShade="D9"/>
            <w:vAlign w:val="center"/>
          </w:tcPr>
          <w:p w14:paraId="32E0187F" w14:textId="6BB065D1" w:rsidR="00A7336D" w:rsidRPr="00975E08" w:rsidRDefault="00A7336D" w:rsidP="00E15FCF">
            <w:pPr>
              <w:spacing w:before="60" w:line="259" w:lineRule="auto"/>
              <w:rPr>
                <w:rFonts w:asciiTheme="majorHAnsi" w:hAnsiTheme="majorHAnsi" w:cstheme="majorHAnsi"/>
                <w:noProof/>
                <w:sz w:val="20"/>
                <w:szCs w:val="20"/>
              </w:rPr>
            </w:pPr>
            <w:r>
              <w:rPr>
                <w:rFonts w:asciiTheme="majorHAnsi" w:hAnsiTheme="majorHAnsi"/>
                <w:b/>
                <w:noProof/>
                <w:sz w:val="20"/>
              </w:rPr>
              <w:t>Article 13, paragraphe 1, point b), de la directive sur les plastiques à usage unique</w:t>
            </w:r>
            <w:r>
              <w:rPr>
                <w:rFonts w:asciiTheme="majorHAnsi" w:hAnsiTheme="majorHAnsi"/>
                <w:noProof/>
                <w:sz w:val="20"/>
              </w:rPr>
              <w:t>: Informations sur les mesures prises par l’État membre aux fins de l’article 4, paragraphe 1.</w:t>
            </w:r>
          </w:p>
          <w:p w14:paraId="5A187F86" w14:textId="141B8EE3" w:rsidR="00A7336D" w:rsidRPr="00975E08" w:rsidRDefault="00BC249B" w:rsidP="00E15FCF">
            <w:pPr>
              <w:spacing w:before="60" w:line="259" w:lineRule="auto"/>
              <w:rPr>
                <w:rFonts w:asciiTheme="majorHAnsi" w:hAnsiTheme="majorHAnsi" w:cstheme="majorHAnsi"/>
                <w:b/>
                <w:noProof/>
                <w:sz w:val="20"/>
                <w:szCs w:val="20"/>
              </w:rPr>
            </w:pPr>
            <w:hyperlink r:id="rId30" w:history="1">
              <w:r w:rsidR="00A7336D">
                <w:rPr>
                  <w:rStyle w:val="Hyperlink"/>
                  <w:rFonts w:asciiTheme="majorHAnsi" w:hAnsiTheme="majorHAnsi"/>
                  <w:b/>
                  <w:noProof/>
                  <w:color w:val="auto"/>
                  <w:sz w:val="20"/>
                </w:rPr>
                <w:t>Décision d’exécution (UE) 2022/162 de la Commission.</w:t>
              </w:r>
            </w:hyperlink>
          </w:p>
        </w:tc>
        <w:tc>
          <w:tcPr>
            <w:tcW w:w="901" w:type="dxa"/>
            <w:shd w:val="clear" w:color="auto" w:fill="D9D9D9" w:themeFill="background1" w:themeFillShade="D9"/>
            <w:vAlign w:val="center"/>
          </w:tcPr>
          <w:p w14:paraId="78E12B24"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2022</w:t>
            </w:r>
          </w:p>
        </w:tc>
        <w:tc>
          <w:tcPr>
            <w:tcW w:w="991" w:type="dxa"/>
            <w:shd w:val="clear" w:color="auto" w:fill="D9D9D9" w:themeFill="background1" w:themeFillShade="D9"/>
            <w:vAlign w:val="center"/>
          </w:tcPr>
          <w:p w14:paraId="714100C2"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Fin juin 2024</w:t>
            </w:r>
          </w:p>
        </w:tc>
        <w:tc>
          <w:tcPr>
            <w:tcW w:w="4507" w:type="dxa"/>
            <w:shd w:val="clear" w:color="auto" w:fill="D9D9D9" w:themeFill="background1" w:themeFillShade="D9"/>
            <w:vAlign w:val="center"/>
          </w:tcPr>
          <w:p w14:paraId="65C6F5E8" w14:textId="77777777" w:rsidR="00A7336D" w:rsidRPr="00975E08" w:rsidRDefault="00A7336D" w:rsidP="00E15FCF">
            <w:pPr>
              <w:spacing w:before="60"/>
              <w:rPr>
                <w:rFonts w:asciiTheme="majorHAnsi" w:hAnsiTheme="majorHAnsi" w:cstheme="majorHAnsi"/>
                <w:noProof/>
                <w:sz w:val="20"/>
                <w:szCs w:val="20"/>
              </w:rPr>
            </w:pPr>
          </w:p>
        </w:tc>
      </w:tr>
      <w:tr w:rsidR="00A7336D" w:rsidRPr="004A10F0" w14:paraId="364DEFD3" w14:textId="77777777" w:rsidTr="00E15FCF">
        <w:trPr>
          <w:trHeight w:val="92"/>
        </w:trPr>
        <w:tc>
          <w:tcPr>
            <w:tcW w:w="1598" w:type="dxa"/>
            <w:shd w:val="clear" w:color="auto" w:fill="D9D9D9" w:themeFill="background1" w:themeFillShade="D9"/>
            <w:vAlign w:val="center"/>
          </w:tcPr>
          <w:p w14:paraId="2422B759" w14:textId="77777777"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Collecte séparée des bouteilles pour boissons en plastique à usage unique</w:t>
            </w:r>
          </w:p>
        </w:tc>
        <w:tc>
          <w:tcPr>
            <w:tcW w:w="955" w:type="dxa"/>
            <w:shd w:val="clear" w:color="auto" w:fill="D9D9D9" w:themeFill="background1" w:themeFillShade="D9"/>
          </w:tcPr>
          <w:p w14:paraId="62E0A506" w14:textId="74F18CF8"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Point c)</w:t>
            </w:r>
          </w:p>
        </w:tc>
        <w:tc>
          <w:tcPr>
            <w:tcW w:w="7200" w:type="dxa"/>
            <w:shd w:val="clear" w:color="auto" w:fill="D9D9D9" w:themeFill="background1" w:themeFillShade="D9"/>
            <w:vAlign w:val="center"/>
          </w:tcPr>
          <w:p w14:paraId="5F27D342" w14:textId="478AD44C" w:rsidR="00A7336D" w:rsidRPr="00975E08" w:rsidRDefault="00A7336D" w:rsidP="00E15FCF">
            <w:pPr>
              <w:spacing w:before="60" w:line="259" w:lineRule="auto"/>
              <w:rPr>
                <w:rFonts w:asciiTheme="majorHAnsi" w:hAnsiTheme="majorHAnsi" w:cstheme="majorHAnsi"/>
                <w:noProof/>
                <w:sz w:val="20"/>
                <w:szCs w:val="20"/>
              </w:rPr>
            </w:pPr>
            <w:r>
              <w:rPr>
                <w:rFonts w:asciiTheme="majorHAnsi" w:hAnsiTheme="majorHAnsi"/>
                <w:b/>
                <w:noProof/>
                <w:sz w:val="20"/>
              </w:rPr>
              <w:t>Article 13, paragraphe 1, point c), de la directive sur les plastiques à usage unique</w:t>
            </w:r>
            <w:r>
              <w:rPr>
                <w:rFonts w:asciiTheme="majorHAnsi" w:hAnsiTheme="majorHAnsi"/>
                <w:noProof/>
                <w:sz w:val="20"/>
              </w:rPr>
              <w:t>: Données relatives aux produits en plastique à usage unique énumérés dans la partie F de l’annexe qui ont été collectés séparément dans l’État membre chaque année, afin d’établir la réalisation des objectifs de collecte séparée conformément à l’article 9, paragraphe 1.</w:t>
            </w:r>
          </w:p>
          <w:p w14:paraId="15E08364" w14:textId="33FF5468" w:rsidR="00A7336D" w:rsidRPr="00975E08" w:rsidRDefault="00BC249B" w:rsidP="00E15FCF">
            <w:pPr>
              <w:spacing w:before="60" w:line="259" w:lineRule="auto"/>
              <w:rPr>
                <w:rFonts w:asciiTheme="majorHAnsi" w:hAnsiTheme="majorHAnsi" w:cstheme="majorHAnsi"/>
                <w:noProof/>
                <w:sz w:val="20"/>
                <w:szCs w:val="20"/>
              </w:rPr>
            </w:pPr>
            <w:hyperlink r:id="rId31" w:history="1">
              <w:r w:rsidR="00A7336D">
                <w:rPr>
                  <w:rStyle w:val="Hyperlink"/>
                  <w:rFonts w:asciiTheme="majorHAnsi" w:hAnsiTheme="majorHAnsi"/>
                  <w:b/>
                  <w:noProof/>
                  <w:color w:val="auto"/>
                  <w:sz w:val="20"/>
                </w:rPr>
                <w:t>Décision d’exécution (UE) 2021/1752 de la Commission</w:t>
              </w:r>
            </w:hyperlink>
            <w:r w:rsidR="00A7336D">
              <w:rPr>
                <w:noProof/>
              </w:rPr>
              <w:t>.</w:t>
            </w:r>
          </w:p>
        </w:tc>
        <w:tc>
          <w:tcPr>
            <w:tcW w:w="901" w:type="dxa"/>
            <w:shd w:val="clear" w:color="auto" w:fill="D9D9D9" w:themeFill="background1" w:themeFillShade="D9"/>
            <w:vAlign w:val="center"/>
          </w:tcPr>
          <w:p w14:paraId="611D42D5"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2022</w:t>
            </w:r>
          </w:p>
        </w:tc>
        <w:tc>
          <w:tcPr>
            <w:tcW w:w="991" w:type="dxa"/>
            <w:shd w:val="clear" w:color="auto" w:fill="D9D9D9" w:themeFill="background1" w:themeFillShade="D9"/>
            <w:vAlign w:val="center"/>
          </w:tcPr>
          <w:p w14:paraId="3A99C55D"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Fin juin 2024</w:t>
            </w:r>
          </w:p>
        </w:tc>
        <w:tc>
          <w:tcPr>
            <w:tcW w:w="4507" w:type="dxa"/>
            <w:shd w:val="clear" w:color="auto" w:fill="D9D9D9" w:themeFill="background1" w:themeFillShade="D9"/>
            <w:vAlign w:val="center"/>
          </w:tcPr>
          <w:p w14:paraId="38354E69" w14:textId="48F3B708"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77 % d’ici à 2025. </w:t>
            </w:r>
          </w:p>
          <w:p w14:paraId="700DF2E0" w14:textId="12409A40"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90 % d’ici à 2029. </w:t>
            </w:r>
          </w:p>
          <w:p w14:paraId="622B6852"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(en poids)</w:t>
            </w:r>
          </w:p>
        </w:tc>
      </w:tr>
      <w:tr w:rsidR="00A7336D" w:rsidRPr="004A10F0" w14:paraId="1227115C" w14:textId="77777777" w:rsidTr="00E15FCF">
        <w:trPr>
          <w:trHeight w:val="1070"/>
        </w:trPr>
        <w:tc>
          <w:tcPr>
            <w:tcW w:w="1598" w:type="dxa"/>
            <w:shd w:val="clear" w:color="auto" w:fill="D9D9D9" w:themeFill="background1" w:themeFillShade="D9"/>
            <w:vAlign w:val="center"/>
          </w:tcPr>
          <w:p w14:paraId="66F649EA" w14:textId="77777777" w:rsidR="00A7336D" w:rsidRPr="00975E08" w:rsidRDefault="00A7336D" w:rsidP="00E15FCF">
            <w:pPr>
              <w:spacing w:before="60"/>
              <w:jc w:val="left"/>
              <w:rPr>
                <w:rFonts w:asciiTheme="majorHAnsi" w:hAnsiTheme="majorHAnsi" w:cstheme="majorBidi"/>
                <w:noProof/>
                <w:sz w:val="20"/>
                <w:szCs w:val="20"/>
              </w:rPr>
            </w:pPr>
            <w:r>
              <w:rPr>
                <w:rFonts w:asciiTheme="majorHAnsi" w:hAnsiTheme="majorHAnsi"/>
                <w:noProof/>
                <w:sz w:val="20"/>
              </w:rPr>
              <w:t>Engins de pêche contenant du plastique:</w:t>
            </w:r>
            <w:r>
              <w:rPr>
                <w:noProof/>
              </w:rPr>
              <w:t xml:space="preserve"> </w:t>
            </w:r>
            <w:r>
              <w:rPr>
                <w:noProof/>
              </w:rPr>
              <w:br/>
              <w:t>- quantités mises sur le marché</w:t>
            </w:r>
            <w:r>
              <w:rPr>
                <w:noProof/>
              </w:rPr>
              <w:cr/>
            </w:r>
            <w:r>
              <w:rPr>
                <w:noProof/>
              </w:rPr>
              <w:br/>
              <w:t>- quantités collectées en tant que déchets</w:t>
            </w:r>
          </w:p>
        </w:tc>
        <w:tc>
          <w:tcPr>
            <w:tcW w:w="955" w:type="dxa"/>
            <w:shd w:val="clear" w:color="auto" w:fill="D9D9D9" w:themeFill="background1" w:themeFillShade="D9"/>
          </w:tcPr>
          <w:p w14:paraId="117E952A" w14:textId="024927EB"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Point d)</w:t>
            </w:r>
          </w:p>
        </w:tc>
        <w:tc>
          <w:tcPr>
            <w:tcW w:w="7200" w:type="dxa"/>
            <w:shd w:val="clear" w:color="auto" w:fill="D9D9D9" w:themeFill="background1" w:themeFillShade="D9"/>
            <w:vAlign w:val="center"/>
          </w:tcPr>
          <w:p w14:paraId="402D291A" w14:textId="2B156F9B" w:rsidR="00A7336D" w:rsidRPr="00975E08" w:rsidRDefault="00A7336D" w:rsidP="00E15FCF">
            <w:pPr>
              <w:spacing w:before="60" w:line="259" w:lineRule="auto"/>
              <w:rPr>
                <w:rFonts w:asciiTheme="majorHAnsi" w:hAnsiTheme="majorHAnsi" w:cstheme="majorHAnsi"/>
                <w:noProof/>
                <w:sz w:val="20"/>
                <w:szCs w:val="20"/>
              </w:rPr>
            </w:pPr>
            <w:r>
              <w:rPr>
                <w:rFonts w:asciiTheme="majorHAnsi" w:hAnsiTheme="majorHAnsi"/>
                <w:b/>
                <w:noProof/>
                <w:sz w:val="20"/>
              </w:rPr>
              <w:t>Article 13, paragraphe 1, point d), de la directive sur les plastiques à usage unique</w:t>
            </w:r>
            <w:r>
              <w:rPr>
                <w:rFonts w:asciiTheme="majorHAnsi" w:hAnsiTheme="majorHAnsi"/>
                <w:noProof/>
                <w:sz w:val="20"/>
              </w:rPr>
              <w:t>: Données relatives aux engins de pêche contenant du plastique mis sur le marché et aux déchets d’engins de pêche collectés dans l’État membre chaque année.</w:t>
            </w:r>
          </w:p>
          <w:p w14:paraId="1F8E90CE" w14:textId="7006A4D4" w:rsidR="00A7336D" w:rsidRPr="00975E08" w:rsidRDefault="00BC249B" w:rsidP="00E15FCF">
            <w:pPr>
              <w:spacing w:before="60" w:line="259" w:lineRule="auto"/>
              <w:rPr>
                <w:rFonts w:asciiTheme="majorHAnsi" w:hAnsiTheme="majorHAnsi" w:cstheme="majorHAnsi"/>
                <w:noProof/>
                <w:sz w:val="20"/>
                <w:szCs w:val="20"/>
              </w:rPr>
            </w:pPr>
            <w:hyperlink r:id="rId32" w:history="1">
              <w:r w:rsidR="00A7336D">
                <w:rPr>
                  <w:rStyle w:val="Hyperlink"/>
                  <w:rFonts w:asciiTheme="majorHAnsi" w:hAnsiTheme="majorHAnsi"/>
                  <w:b/>
                  <w:noProof/>
                  <w:color w:val="auto"/>
                  <w:sz w:val="20"/>
                </w:rPr>
                <w:t>Décision d’exécution (UE) 2021/958 de la Commission.</w:t>
              </w:r>
            </w:hyperlink>
            <w:r w:rsidR="00A7336D">
              <w:rPr>
                <w:rFonts w:asciiTheme="majorHAnsi" w:hAnsiTheme="majorHAnsi"/>
                <w:noProof/>
                <w:sz w:val="20"/>
              </w:rPr>
              <w:t xml:space="preserve"> </w:t>
            </w:r>
          </w:p>
        </w:tc>
        <w:tc>
          <w:tcPr>
            <w:tcW w:w="901" w:type="dxa"/>
            <w:shd w:val="clear" w:color="auto" w:fill="D9D9D9" w:themeFill="background1" w:themeFillShade="D9"/>
            <w:vAlign w:val="center"/>
          </w:tcPr>
          <w:p w14:paraId="3B55F7D1"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2022</w:t>
            </w:r>
          </w:p>
        </w:tc>
        <w:tc>
          <w:tcPr>
            <w:tcW w:w="991" w:type="dxa"/>
            <w:shd w:val="clear" w:color="auto" w:fill="D9D9D9" w:themeFill="background1" w:themeFillShade="D9"/>
            <w:vAlign w:val="center"/>
          </w:tcPr>
          <w:p w14:paraId="6C10E39E"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Fin juin 2024</w:t>
            </w:r>
          </w:p>
        </w:tc>
        <w:tc>
          <w:tcPr>
            <w:tcW w:w="4507" w:type="dxa"/>
            <w:shd w:val="clear" w:color="auto" w:fill="D9D9D9" w:themeFill="background1" w:themeFillShade="D9"/>
            <w:vAlign w:val="center"/>
          </w:tcPr>
          <w:p w14:paraId="5EF9044E" w14:textId="5D7F9E25" w:rsidR="00A7336D" w:rsidRPr="00975E08" w:rsidRDefault="00A7336D" w:rsidP="00E15FCF">
            <w:pPr>
              <w:spacing w:before="60"/>
              <w:rPr>
                <w:rFonts w:asciiTheme="majorHAnsi" w:hAnsiTheme="majorHAnsi" w:cstheme="majorBidi"/>
                <w:noProof/>
                <w:sz w:val="20"/>
                <w:szCs w:val="20"/>
              </w:rPr>
            </w:pPr>
            <w:r>
              <w:rPr>
                <w:rFonts w:asciiTheme="majorHAnsi" w:hAnsiTheme="majorHAnsi"/>
                <w:noProof/>
                <w:sz w:val="20"/>
              </w:rPr>
              <w:t>Aucun objectif, mais les États membres qui ont des eaux marines sont tenus de fixer leur taux national annuel de collecte des déchets d’engins de pêche contenant du plastique en vue du recyclage à partir du 1</w:t>
            </w:r>
            <w:r>
              <w:rPr>
                <w:rFonts w:asciiTheme="majorHAnsi" w:hAnsiTheme="majorHAnsi"/>
                <w:noProof/>
                <w:sz w:val="20"/>
                <w:vertAlign w:val="superscript"/>
              </w:rPr>
              <w:t>er</w:t>
            </w:r>
            <w:r>
              <w:rPr>
                <w:rFonts w:asciiTheme="majorHAnsi" w:hAnsiTheme="majorHAnsi"/>
                <w:noProof/>
                <w:sz w:val="20"/>
              </w:rPr>
              <w:t xml:space="preserve"> janvier 2025. En outre, les données communiquées en 2024 (pour 2022) serviront de base à l’évaluation d’éventuelles mesures supplémentaires dans le cadre de l’évaluation de la directive sur les plastiques à usage unique, y compris la fixation éventuelle de taux de collecte contraignants pour les déchets d’engins de pêche. </w:t>
            </w:r>
          </w:p>
        </w:tc>
      </w:tr>
      <w:tr w:rsidR="00A7336D" w:rsidRPr="004A10F0" w14:paraId="1BA36283" w14:textId="77777777" w:rsidTr="00E15FCF">
        <w:trPr>
          <w:trHeight w:val="313"/>
        </w:trPr>
        <w:tc>
          <w:tcPr>
            <w:tcW w:w="1598" w:type="dxa"/>
            <w:shd w:val="clear" w:color="auto" w:fill="F2F2F2" w:themeFill="background1" w:themeFillShade="F2"/>
            <w:vAlign w:val="center"/>
          </w:tcPr>
          <w:p w14:paraId="7FD1B4E9" w14:textId="77777777" w:rsidR="00A7336D" w:rsidRPr="00975E08" w:rsidRDefault="00A7336D" w:rsidP="00E15FCF">
            <w:pPr>
              <w:spacing w:before="60"/>
              <w:jc w:val="left"/>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Contenu recyclé dans les bouteilles pour boissons en plastique à usage unique</w:t>
            </w:r>
          </w:p>
        </w:tc>
        <w:tc>
          <w:tcPr>
            <w:tcW w:w="955" w:type="dxa"/>
            <w:shd w:val="clear" w:color="auto" w:fill="F2F2F2" w:themeFill="background1" w:themeFillShade="F2"/>
          </w:tcPr>
          <w:p w14:paraId="2B163B38" w14:textId="7B88F902" w:rsidR="00A7336D" w:rsidRPr="00975E08" w:rsidRDefault="00A7336D" w:rsidP="00E15FCF">
            <w:pPr>
              <w:spacing w:before="60"/>
              <w:rPr>
                <w:rFonts w:asciiTheme="majorHAnsi" w:hAnsiTheme="majorHAnsi" w:cstheme="majorHAnsi"/>
                <w:b/>
                <w:noProof/>
                <w:color w:val="404040" w:themeColor="text1" w:themeTint="BF"/>
                <w:sz w:val="20"/>
                <w:szCs w:val="20"/>
              </w:rPr>
            </w:pPr>
            <w:r>
              <w:rPr>
                <w:rFonts w:asciiTheme="majorHAnsi" w:hAnsiTheme="majorHAnsi"/>
                <w:noProof/>
                <w:color w:val="404040" w:themeColor="text1" w:themeTint="BF"/>
                <w:sz w:val="20"/>
              </w:rPr>
              <w:t>Point e)</w:t>
            </w:r>
          </w:p>
        </w:tc>
        <w:tc>
          <w:tcPr>
            <w:tcW w:w="7200" w:type="dxa"/>
            <w:shd w:val="clear" w:color="auto" w:fill="F2F2F2" w:themeFill="background1" w:themeFillShade="F2"/>
            <w:vAlign w:val="center"/>
          </w:tcPr>
          <w:p w14:paraId="0EEA8E77" w14:textId="76D0F43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b/>
                <w:noProof/>
                <w:color w:val="404040" w:themeColor="text1" w:themeTint="BF"/>
                <w:sz w:val="20"/>
              </w:rPr>
              <w:t>Article 13, paragraphe 1, point e), de la directive sur les plastiques à usage unique</w:t>
            </w:r>
            <w:r>
              <w:rPr>
                <w:rFonts w:asciiTheme="majorHAnsi" w:hAnsiTheme="majorHAnsi"/>
                <w:noProof/>
                <w:color w:val="404040" w:themeColor="text1" w:themeTint="BF"/>
                <w:sz w:val="20"/>
              </w:rPr>
              <w:t>: Informations sur la part de matériaux recyclés dans les bouteilles pour boissons énumérées dans la partie F de l’annexe afin d’établir la réalisation des objectifs définis à l’article 6, paragraphe 5.</w:t>
            </w:r>
          </w:p>
          <w:p w14:paraId="57682AC5" w14:textId="03E2DAF2" w:rsidR="00A7336D" w:rsidRPr="00975E08" w:rsidRDefault="00BC249B" w:rsidP="00E15FCF">
            <w:pPr>
              <w:spacing w:before="60"/>
              <w:rPr>
                <w:rFonts w:asciiTheme="majorHAnsi" w:hAnsiTheme="majorHAnsi" w:cstheme="majorHAnsi"/>
                <w:noProof/>
                <w:color w:val="404040" w:themeColor="text1" w:themeTint="BF"/>
                <w:sz w:val="20"/>
                <w:szCs w:val="20"/>
              </w:rPr>
            </w:pPr>
            <w:hyperlink r:id="rId33" w:history="1">
              <w:r w:rsidR="00A7336D">
                <w:rPr>
                  <w:rStyle w:val="Hyperlink"/>
                  <w:rFonts w:asciiTheme="majorHAnsi" w:hAnsiTheme="majorHAnsi"/>
                  <w:b/>
                  <w:noProof/>
                  <w:color w:val="404040" w:themeColor="text1" w:themeTint="BF"/>
                  <w:sz w:val="20"/>
                </w:rPr>
                <w:t>Décision d’exécution (UE) 2023/2683 de la Commission.</w:t>
              </w:r>
            </w:hyperlink>
            <w:r w:rsidR="00A7336D">
              <w:rPr>
                <w:rFonts w:asciiTheme="majorHAnsi" w:hAnsiTheme="majorHAnsi"/>
                <w:noProof/>
                <w:color w:val="404040" w:themeColor="text1" w:themeTint="BF"/>
                <w:sz w:val="20"/>
              </w:rPr>
              <w:t xml:space="preserve"> </w:t>
            </w:r>
          </w:p>
        </w:tc>
        <w:tc>
          <w:tcPr>
            <w:tcW w:w="901" w:type="dxa"/>
            <w:shd w:val="clear" w:color="auto" w:fill="F2F2F2" w:themeFill="background1" w:themeFillShade="F2"/>
            <w:vAlign w:val="center"/>
          </w:tcPr>
          <w:p w14:paraId="523DA29A"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2023</w:t>
            </w:r>
          </w:p>
        </w:tc>
        <w:tc>
          <w:tcPr>
            <w:tcW w:w="991" w:type="dxa"/>
            <w:shd w:val="clear" w:color="auto" w:fill="F2F2F2" w:themeFill="background1" w:themeFillShade="F2"/>
            <w:vAlign w:val="center"/>
          </w:tcPr>
          <w:p w14:paraId="2193E263"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Fin juin 2025</w:t>
            </w:r>
          </w:p>
        </w:tc>
        <w:tc>
          <w:tcPr>
            <w:tcW w:w="4507" w:type="dxa"/>
            <w:shd w:val="clear" w:color="auto" w:fill="F2F2F2" w:themeFill="background1" w:themeFillShade="F2"/>
            <w:vAlign w:val="center"/>
          </w:tcPr>
          <w:p w14:paraId="231CB937" w14:textId="11BA83E2" w:rsidR="00884C6A" w:rsidRPr="00975E08" w:rsidRDefault="00884C6A" w:rsidP="00884C6A">
            <w:pPr>
              <w:spacing w:before="60"/>
              <w:rPr>
                <w:rFonts w:asciiTheme="majorHAnsi" w:hAnsiTheme="majorHAnsi" w:cstheme="majorHAnsi"/>
                <w:noProof/>
                <w:sz w:val="20"/>
                <w:szCs w:val="20"/>
              </w:rPr>
            </w:pPr>
            <w:r>
              <w:rPr>
                <w:rFonts w:asciiTheme="majorHAnsi" w:hAnsiTheme="majorHAnsi"/>
                <w:noProof/>
                <w:sz w:val="20"/>
              </w:rPr>
              <w:t xml:space="preserve">25 % d’ici à 2025 pour les bouteilles pour boissons en plastique à usage unique en PET. </w:t>
            </w:r>
          </w:p>
          <w:p w14:paraId="1FFA390A" w14:textId="4A027C93" w:rsidR="00884C6A" w:rsidRPr="00975E08" w:rsidRDefault="00884C6A" w:rsidP="00884C6A">
            <w:pPr>
              <w:spacing w:before="60"/>
              <w:rPr>
                <w:rFonts w:asciiTheme="majorHAnsi" w:hAnsiTheme="majorHAnsi" w:cstheme="majorHAnsi"/>
                <w:noProof/>
                <w:sz w:val="20"/>
                <w:szCs w:val="20"/>
              </w:rPr>
            </w:pPr>
            <w:r>
              <w:rPr>
                <w:rFonts w:asciiTheme="majorHAnsi" w:hAnsiTheme="majorHAnsi"/>
                <w:noProof/>
                <w:sz w:val="20"/>
              </w:rPr>
              <w:t xml:space="preserve">30 % d’ici à 2030 pour toutes les bouteilles pour boissons en plastique à usage unique. </w:t>
            </w:r>
          </w:p>
          <w:p w14:paraId="34F7A5E0" w14:textId="54A0BFA1" w:rsidR="00A7336D" w:rsidRPr="00975E08" w:rsidRDefault="00A7336D" w:rsidP="00E15FCF">
            <w:pPr>
              <w:spacing w:before="60"/>
              <w:rPr>
                <w:rFonts w:asciiTheme="majorHAnsi" w:hAnsiTheme="majorHAnsi" w:cstheme="majorHAnsi"/>
                <w:noProof/>
                <w:color w:val="404040" w:themeColor="text1" w:themeTint="BF"/>
                <w:sz w:val="20"/>
                <w:szCs w:val="20"/>
              </w:rPr>
            </w:pPr>
          </w:p>
        </w:tc>
      </w:tr>
      <w:tr w:rsidR="00A7336D" w:rsidRPr="004A10F0" w14:paraId="5C309208" w14:textId="77777777" w:rsidTr="00E15FCF">
        <w:trPr>
          <w:trHeight w:val="687"/>
        </w:trPr>
        <w:tc>
          <w:tcPr>
            <w:tcW w:w="1598" w:type="dxa"/>
            <w:shd w:val="clear" w:color="auto" w:fill="F2F2F2" w:themeFill="background1" w:themeFillShade="F2"/>
            <w:vAlign w:val="center"/>
          </w:tcPr>
          <w:p w14:paraId="6606F0C9" w14:textId="30F61FCD" w:rsidR="00A7336D" w:rsidRPr="00975E08" w:rsidRDefault="00A7336D" w:rsidP="00E15FCF">
            <w:pPr>
              <w:spacing w:before="60"/>
              <w:jc w:val="left"/>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 xml:space="preserve">Déchets consécutifs à la consommation de produits du tabac équipés de filtres </w:t>
            </w:r>
          </w:p>
        </w:tc>
        <w:tc>
          <w:tcPr>
            <w:tcW w:w="955" w:type="dxa"/>
            <w:shd w:val="clear" w:color="auto" w:fill="F2F2F2" w:themeFill="background1" w:themeFillShade="F2"/>
          </w:tcPr>
          <w:p w14:paraId="33504DE0" w14:textId="1A85EB0E" w:rsidR="00A7336D" w:rsidRPr="00975E08" w:rsidRDefault="00A7336D" w:rsidP="00E15FCF">
            <w:pPr>
              <w:spacing w:before="60"/>
              <w:rPr>
                <w:rFonts w:asciiTheme="majorHAnsi" w:hAnsiTheme="majorHAnsi" w:cstheme="majorHAnsi"/>
                <w:b/>
                <w:noProof/>
                <w:color w:val="404040" w:themeColor="text1" w:themeTint="BF"/>
                <w:sz w:val="20"/>
                <w:szCs w:val="20"/>
              </w:rPr>
            </w:pPr>
            <w:r>
              <w:rPr>
                <w:rFonts w:asciiTheme="majorHAnsi" w:hAnsiTheme="majorHAnsi"/>
                <w:noProof/>
                <w:color w:val="404040" w:themeColor="text1" w:themeTint="BF"/>
                <w:sz w:val="20"/>
              </w:rPr>
              <w:t>Point f)</w:t>
            </w:r>
          </w:p>
        </w:tc>
        <w:tc>
          <w:tcPr>
            <w:tcW w:w="7200" w:type="dxa"/>
            <w:shd w:val="clear" w:color="auto" w:fill="F2F2F2" w:themeFill="background1" w:themeFillShade="F2"/>
            <w:vAlign w:val="center"/>
          </w:tcPr>
          <w:p w14:paraId="2AC851B5" w14:textId="38D26686"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b/>
                <w:noProof/>
                <w:color w:val="404040" w:themeColor="text1" w:themeTint="BF"/>
                <w:sz w:val="20"/>
              </w:rPr>
              <w:t>Article 13, paragraphe 1, point f), de la directive sur les plastiques à usage unique</w:t>
            </w:r>
            <w:r>
              <w:rPr>
                <w:rFonts w:asciiTheme="majorHAnsi" w:hAnsiTheme="majorHAnsi"/>
                <w:noProof/>
                <w:color w:val="404040" w:themeColor="text1" w:themeTint="BF"/>
                <w:sz w:val="20"/>
              </w:rPr>
              <w:t>: Données sur les déchets consécutifs à la consommation de produits en plastique à usage unique énumérés dans la partie E, section III, de l’annexe qui ont été collectés conformément à l’article 8, paragraphe 3.</w:t>
            </w:r>
          </w:p>
          <w:p w14:paraId="61F36398" w14:textId="324AA64C" w:rsidR="00A7336D" w:rsidRPr="00975E08" w:rsidRDefault="00BC249B" w:rsidP="00E15FCF">
            <w:pPr>
              <w:spacing w:before="60"/>
              <w:rPr>
                <w:rFonts w:asciiTheme="majorHAnsi" w:hAnsiTheme="majorHAnsi" w:cstheme="majorHAnsi"/>
                <w:noProof/>
                <w:color w:val="404040" w:themeColor="text1" w:themeTint="BF"/>
                <w:sz w:val="20"/>
                <w:szCs w:val="20"/>
              </w:rPr>
            </w:pPr>
            <w:hyperlink r:id="rId34" w:history="1">
              <w:r w:rsidR="00A7336D">
                <w:rPr>
                  <w:rStyle w:val="Hyperlink"/>
                  <w:rFonts w:asciiTheme="majorHAnsi" w:hAnsiTheme="majorHAnsi"/>
                  <w:b/>
                  <w:noProof/>
                  <w:color w:val="404040" w:themeColor="text1" w:themeTint="BF"/>
                  <w:sz w:val="20"/>
                </w:rPr>
                <w:t>Décision d’exécution (UE) 2021/2267 de la Commission.</w:t>
              </w:r>
            </w:hyperlink>
          </w:p>
        </w:tc>
        <w:tc>
          <w:tcPr>
            <w:tcW w:w="901" w:type="dxa"/>
            <w:shd w:val="clear" w:color="auto" w:fill="F2F2F2" w:themeFill="background1" w:themeFillShade="F2"/>
            <w:vAlign w:val="center"/>
          </w:tcPr>
          <w:p w14:paraId="5140AC10"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2023</w:t>
            </w:r>
          </w:p>
        </w:tc>
        <w:tc>
          <w:tcPr>
            <w:tcW w:w="991" w:type="dxa"/>
            <w:shd w:val="clear" w:color="auto" w:fill="F2F2F2" w:themeFill="background1" w:themeFillShade="F2"/>
            <w:vAlign w:val="center"/>
          </w:tcPr>
          <w:p w14:paraId="3915C698"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Fin juin 2025</w:t>
            </w:r>
          </w:p>
        </w:tc>
        <w:tc>
          <w:tcPr>
            <w:tcW w:w="4507" w:type="dxa"/>
            <w:shd w:val="clear" w:color="auto" w:fill="F2F2F2" w:themeFill="background1" w:themeFillShade="F2"/>
            <w:vAlign w:val="center"/>
          </w:tcPr>
          <w:p w14:paraId="13707476"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w:t>
            </w:r>
          </w:p>
        </w:tc>
      </w:tr>
    </w:tbl>
    <w:p w14:paraId="69DDB771" w14:textId="77777777" w:rsidR="00862309" w:rsidRPr="004A0A8E" w:rsidRDefault="00862309" w:rsidP="00862309">
      <w:pPr>
        <w:rPr>
          <w:noProof/>
          <w:color w:val="A6A6A6" w:themeColor="background1" w:themeShade="A6"/>
        </w:rPr>
        <w:sectPr w:rsidR="00862309" w:rsidRPr="004A0A8E" w:rsidSect="00E355AB">
          <w:headerReference w:type="default" r:id="rId35"/>
          <w:footerReference w:type="default" r:id="rId36"/>
          <w:pgSz w:w="16840" w:h="11900" w:orient="landscape"/>
          <w:pgMar w:top="426" w:right="1247" w:bottom="568" w:left="1247" w:header="0" w:footer="505" w:gutter="0"/>
          <w:cols w:space="708"/>
          <w:docGrid w:linePitch="360"/>
        </w:sectPr>
      </w:pPr>
    </w:p>
    <w:p w14:paraId="6CB61E74" w14:textId="6E071263" w:rsidR="00862309" w:rsidRPr="004A0A8E" w:rsidRDefault="00862309" w:rsidP="00862309">
      <w:pPr>
        <w:pStyle w:val="Heading3"/>
        <w:rPr>
          <w:noProof/>
        </w:rPr>
      </w:pPr>
      <w:bookmarkStart w:id="9" w:name="_Toc185251689"/>
      <w:bookmarkStart w:id="10" w:name="_Toc185499247"/>
      <w:bookmarkStart w:id="11" w:name="_Toc222394990"/>
      <w:r>
        <w:rPr>
          <w:noProof/>
        </w:rPr>
        <w:t>Aperçu par point</w:t>
      </w:r>
      <w:bookmarkEnd w:id="9"/>
      <w:bookmarkEnd w:id="10"/>
      <w:bookmarkEnd w:id="11"/>
    </w:p>
    <w:p w14:paraId="610C3F48" w14:textId="6D2EC38D" w:rsidR="00322A76" w:rsidRDefault="00862309" w:rsidP="00862309">
      <w:pPr>
        <w:rPr>
          <w:noProof/>
        </w:rPr>
      </w:pPr>
      <w:r>
        <w:rPr>
          <w:noProof/>
        </w:rPr>
        <w:t>Vingt-neuf pays ont communiqué des données et des informations au titre de la directive sur les plastiques à usage unique pour 2022 (tous les États membres de l’UE et deux pays de l’EEE/AELE). Les principaux résultats sont présentés dans le tableau 2.</w:t>
      </w:r>
      <w:r>
        <w:rPr>
          <w:rFonts w:ascii="Aptos" w:hAnsi="Aptos"/>
          <w:noProof/>
        </w:rPr>
        <w:t xml:space="preserve"> </w:t>
      </w:r>
    </w:p>
    <w:p w14:paraId="4392ED0D" w14:textId="482752E6" w:rsidR="00862309" w:rsidRPr="004A0A8E" w:rsidRDefault="00862309" w:rsidP="00862309">
      <w:pPr>
        <w:pStyle w:val="Caption"/>
        <w:rPr>
          <w:noProof/>
        </w:rPr>
      </w:pPr>
      <w:bookmarkStart w:id="12" w:name="_Ref184303573"/>
      <w:r>
        <w:rPr>
          <w:noProof/>
        </w:rPr>
        <w:t>Tableau </w:t>
      </w:r>
      <w:r>
        <w:rPr>
          <w:noProof/>
        </w:rPr>
        <w:fldChar w:fldCharType="begin"/>
      </w:r>
      <w:r>
        <w:rPr>
          <w:noProof/>
        </w:rPr>
        <w:instrText xml:space="preserve"> SEQ Table \* ARABIC </w:instrText>
      </w:r>
      <w:r>
        <w:rPr>
          <w:noProof/>
        </w:rPr>
        <w:fldChar w:fldCharType="separate"/>
      </w:r>
      <w:r>
        <w:rPr>
          <w:noProof/>
        </w:rPr>
        <w:t>2</w:t>
      </w:r>
      <w:r>
        <w:rPr>
          <w:noProof/>
        </w:rPr>
        <w:fldChar w:fldCharType="end"/>
      </w:r>
      <w:bookmarkEnd w:id="12"/>
      <w:r>
        <w:rPr>
          <w:noProof/>
        </w:rPr>
        <w:t>: synthèse des résultats par élément à déclarer pour les États membres de l’UE pour 2022.</w:t>
      </w:r>
    </w:p>
    <w:tbl>
      <w:tblPr>
        <w:tblW w:w="8957" w:type="dxa"/>
        <w:tblInd w:w="108" w:type="dxa"/>
        <w:tblCellMar>
          <w:left w:w="0" w:type="dxa"/>
          <w:right w:w="0" w:type="dxa"/>
        </w:tblCellMar>
        <w:tblLook w:val="04A0" w:firstRow="1" w:lastRow="0" w:firstColumn="1" w:lastColumn="0" w:noHBand="0" w:noVBand="1"/>
      </w:tblPr>
      <w:tblGrid>
        <w:gridCol w:w="1471"/>
        <w:gridCol w:w="3643"/>
        <w:gridCol w:w="3843"/>
      </w:tblGrid>
      <w:tr w:rsidR="00862309" w:rsidRPr="004A0A8E" w14:paraId="7855741D" w14:textId="77777777" w:rsidTr="009D38BF">
        <w:trPr>
          <w:trHeight w:val="345"/>
        </w:trPr>
        <w:tc>
          <w:tcPr>
            <w:tcW w:w="1471"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69CE6C2" w14:textId="77777777" w:rsidR="00862309" w:rsidRPr="00975E08" w:rsidRDefault="00862309" w:rsidP="00387885">
            <w:pPr>
              <w:pStyle w:val="Caption"/>
              <w:spacing w:before="0" w:after="0"/>
              <w:rPr>
                <w:noProof/>
                <w:sz w:val="20"/>
                <w:szCs w:val="20"/>
              </w:rPr>
            </w:pPr>
            <w:bookmarkStart w:id="13" w:name="_Ref182898468"/>
            <w:r>
              <w:rPr>
                <w:noProof/>
                <w:sz w:val="20"/>
              </w:rPr>
              <w:t xml:space="preserve"> </w:t>
            </w:r>
          </w:p>
        </w:tc>
        <w:tc>
          <w:tcPr>
            <w:tcW w:w="36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C4D94E9" w14:textId="77777777" w:rsidR="00862309" w:rsidRPr="00975E08" w:rsidRDefault="00862309" w:rsidP="00387885">
            <w:pPr>
              <w:pStyle w:val="Caption"/>
              <w:spacing w:before="0" w:after="0"/>
              <w:jc w:val="center"/>
              <w:rPr>
                <w:noProof/>
                <w:color w:val="FFFFFF" w:themeColor="background1"/>
                <w:sz w:val="20"/>
                <w:szCs w:val="20"/>
              </w:rPr>
            </w:pPr>
            <w:r>
              <w:rPr>
                <w:noProof/>
                <w:color w:val="FFFFFF" w:themeColor="background1"/>
                <w:sz w:val="20"/>
              </w:rPr>
              <w:t>Mis sur le marché</w:t>
            </w:r>
          </w:p>
          <w:p w14:paraId="4756B956" w14:textId="43BCB281" w:rsidR="00862309" w:rsidRPr="00975E08" w:rsidRDefault="00862309" w:rsidP="00387885">
            <w:pPr>
              <w:pStyle w:val="Caption"/>
              <w:spacing w:before="0" w:after="0"/>
              <w:jc w:val="center"/>
              <w:rPr>
                <w:noProof/>
                <w:color w:val="FFFFFF" w:themeColor="background1"/>
                <w:sz w:val="20"/>
                <w:szCs w:val="20"/>
              </w:rPr>
            </w:pPr>
            <w:r>
              <w:rPr>
                <w:noProof/>
                <w:color w:val="FFFFFF" w:themeColor="background1"/>
                <w:sz w:val="20"/>
              </w:rPr>
              <w:t>[point a)]</w:t>
            </w:r>
          </w:p>
        </w:tc>
        <w:tc>
          <w:tcPr>
            <w:tcW w:w="38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6510FA79" w14:textId="432DCFD6" w:rsidR="00862309" w:rsidRPr="00975E08" w:rsidRDefault="00862309" w:rsidP="00387885">
            <w:pPr>
              <w:pStyle w:val="Caption"/>
              <w:spacing w:before="0" w:after="0"/>
              <w:jc w:val="center"/>
              <w:rPr>
                <w:noProof/>
                <w:color w:val="FFFFFF" w:themeColor="background1"/>
                <w:sz w:val="20"/>
                <w:szCs w:val="20"/>
              </w:rPr>
            </w:pPr>
            <w:r>
              <w:rPr>
                <w:noProof/>
                <w:color w:val="FFFFFF" w:themeColor="background1"/>
                <w:sz w:val="20"/>
              </w:rPr>
              <w:t>Mesures visant à réduire la consommation</w:t>
            </w:r>
          </w:p>
          <w:p w14:paraId="5765D2D1" w14:textId="73BCCA50" w:rsidR="00862309" w:rsidRPr="00975E08" w:rsidRDefault="00862309" w:rsidP="00387885">
            <w:pPr>
              <w:pStyle w:val="Caption"/>
              <w:spacing w:before="0" w:after="0"/>
              <w:jc w:val="center"/>
              <w:rPr>
                <w:noProof/>
                <w:color w:val="FFFFFF" w:themeColor="background1"/>
                <w:sz w:val="20"/>
                <w:szCs w:val="20"/>
              </w:rPr>
            </w:pPr>
            <w:r>
              <w:rPr>
                <w:noProof/>
                <w:color w:val="FFFFFF" w:themeColor="background1"/>
                <w:sz w:val="20"/>
              </w:rPr>
              <w:t>[point b)]</w:t>
            </w:r>
          </w:p>
        </w:tc>
      </w:tr>
      <w:tr w:rsidR="00862309" w:rsidRPr="004A0A8E" w14:paraId="1290041D" w14:textId="77777777" w:rsidTr="009D38BF">
        <w:trPr>
          <w:trHeight w:val="1508"/>
        </w:trPr>
        <w:tc>
          <w:tcPr>
            <w:tcW w:w="1471" w:type="dxa"/>
            <w:tcBorders>
              <w:top w:val="single" w:sz="24"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1A60C97C" w14:textId="4C715680" w:rsidR="002512AC" w:rsidRPr="00975E08" w:rsidRDefault="00862309" w:rsidP="00975E08">
            <w:pPr>
              <w:pStyle w:val="Caption"/>
              <w:spacing w:before="0" w:after="0"/>
              <w:jc w:val="left"/>
              <w:rPr>
                <w:noProof/>
                <w:color w:val="auto"/>
                <w:sz w:val="20"/>
                <w:szCs w:val="20"/>
              </w:rPr>
            </w:pPr>
            <w:r>
              <w:rPr>
                <w:noProof/>
                <w:color w:val="FFFFFF" w:themeColor="background1"/>
                <w:sz w:val="20"/>
              </w:rPr>
              <w:t>Gobelets pour boissons (GB) et récipients pour aliments (RA)</w:t>
            </w:r>
          </w:p>
          <w:p w14:paraId="015474B9" w14:textId="7E6CA328" w:rsidR="00AD103F" w:rsidRPr="00975E08" w:rsidRDefault="00AD103F" w:rsidP="00975E08">
            <w:pPr>
              <w:pStyle w:val="Caption"/>
              <w:spacing w:before="0" w:after="0"/>
              <w:jc w:val="left"/>
              <w:rPr>
                <w:noProof/>
                <w:sz w:val="20"/>
                <w:szCs w:val="20"/>
              </w:rPr>
            </w:pPr>
            <w:r>
              <w:rPr>
                <w:noProof/>
                <w:color w:val="auto"/>
                <w:sz w:val="20"/>
              </w:rPr>
              <w:t>[points a) et b)]</w:t>
            </w:r>
          </w:p>
        </w:tc>
        <w:tc>
          <w:tcPr>
            <w:tcW w:w="36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D0B5393" w14:textId="55DC4F58" w:rsidR="00BA0B32" w:rsidRPr="00975E08" w:rsidRDefault="00BA0B32" w:rsidP="00614544">
            <w:pPr>
              <w:pStyle w:val="Caption"/>
              <w:spacing w:after="0"/>
              <w:rPr>
                <w:b w:val="0"/>
                <w:noProof/>
                <w:color w:val="auto"/>
                <w:sz w:val="20"/>
                <w:szCs w:val="20"/>
              </w:rPr>
            </w:pPr>
            <w:r>
              <w:rPr>
                <w:b w:val="0"/>
                <w:noProof/>
                <w:color w:val="auto"/>
                <w:sz w:val="20"/>
              </w:rPr>
              <w:t xml:space="preserve">Sur la base du poids (données provenant de 20 États membres de l’UE): </w:t>
            </w:r>
          </w:p>
          <w:p w14:paraId="5D474D1E" w14:textId="5C727F79" w:rsidR="00BA0B32" w:rsidRPr="00975E08" w:rsidRDefault="00862309" w:rsidP="00387885">
            <w:pPr>
              <w:pStyle w:val="Caption"/>
              <w:numPr>
                <w:ilvl w:val="0"/>
                <w:numId w:val="10"/>
              </w:numPr>
              <w:spacing w:after="0"/>
              <w:ind w:left="417"/>
              <w:rPr>
                <w:b w:val="0"/>
                <w:noProof/>
                <w:color w:val="auto"/>
                <w:sz w:val="20"/>
                <w:szCs w:val="20"/>
              </w:rPr>
            </w:pPr>
            <w:r>
              <w:rPr>
                <w:b w:val="0"/>
                <w:noProof/>
                <w:color w:val="auto"/>
                <w:sz w:val="20"/>
              </w:rPr>
              <w:t xml:space="preserve">152 037 tonnes de matières plastiques provenant de GB (0,46 kg par habitant) </w:t>
            </w:r>
          </w:p>
          <w:p w14:paraId="200E9E2C" w14:textId="12EE543D" w:rsidR="00862309" w:rsidRPr="00975E08" w:rsidRDefault="00E749C0" w:rsidP="00387885">
            <w:pPr>
              <w:pStyle w:val="Caption"/>
              <w:numPr>
                <w:ilvl w:val="0"/>
                <w:numId w:val="10"/>
              </w:numPr>
              <w:spacing w:after="0"/>
              <w:ind w:left="417"/>
              <w:rPr>
                <w:b w:val="0"/>
                <w:noProof/>
                <w:color w:val="auto"/>
                <w:sz w:val="20"/>
                <w:szCs w:val="20"/>
              </w:rPr>
            </w:pPr>
            <w:r>
              <w:rPr>
                <w:b w:val="0"/>
                <w:noProof/>
                <w:color w:val="auto"/>
                <w:sz w:val="20"/>
              </w:rPr>
              <w:t xml:space="preserve">524 003 tonnes provenant de RA (1,60 kg par habitant) </w:t>
            </w:r>
          </w:p>
          <w:p w14:paraId="68F55147" w14:textId="62BEDFA0" w:rsidR="00614544" w:rsidRPr="00975E08" w:rsidRDefault="00D23409" w:rsidP="00614544">
            <w:pPr>
              <w:pStyle w:val="Caption"/>
              <w:spacing w:after="0"/>
              <w:rPr>
                <w:b w:val="0"/>
                <w:noProof/>
                <w:color w:val="auto"/>
                <w:sz w:val="20"/>
                <w:szCs w:val="20"/>
              </w:rPr>
            </w:pPr>
            <w:r>
              <w:rPr>
                <w:b w:val="0"/>
                <w:noProof/>
                <w:color w:val="auto"/>
                <w:sz w:val="20"/>
              </w:rPr>
              <w:t>Sur la base du nombre de produits (données provenant de 11 États membres de l’UE):</w:t>
            </w:r>
          </w:p>
          <w:p w14:paraId="3BB4AA67" w14:textId="5D5505C6" w:rsidR="00614544" w:rsidRPr="00975E08" w:rsidRDefault="00862309" w:rsidP="00387885">
            <w:pPr>
              <w:pStyle w:val="Caption"/>
              <w:numPr>
                <w:ilvl w:val="0"/>
                <w:numId w:val="11"/>
              </w:numPr>
              <w:spacing w:after="0"/>
              <w:ind w:left="417"/>
              <w:rPr>
                <w:b w:val="0"/>
                <w:noProof/>
                <w:color w:val="auto"/>
                <w:sz w:val="20"/>
                <w:szCs w:val="20"/>
              </w:rPr>
            </w:pPr>
            <w:r>
              <w:rPr>
                <w:b w:val="0"/>
                <w:noProof/>
                <w:color w:val="auto"/>
                <w:sz w:val="20"/>
              </w:rPr>
              <w:t xml:space="preserve">17 milliards de GB (97 par habitant) </w:t>
            </w:r>
          </w:p>
          <w:p w14:paraId="2928D919" w14:textId="320D335A" w:rsidR="00862309" w:rsidRPr="00975E08" w:rsidRDefault="00862309" w:rsidP="00387885">
            <w:pPr>
              <w:pStyle w:val="Caption"/>
              <w:numPr>
                <w:ilvl w:val="0"/>
                <w:numId w:val="11"/>
              </w:numPr>
              <w:spacing w:after="0"/>
              <w:ind w:left="417"/>
              <w:rPr>
                <w:b w:val="0"/>
                <w:noProof/>
                <w:color w:val="auto"/>
                <w:sz w:val="20"/>
                <w:szCs w:val="20"/>
              </w:rPr>
            </w:pPr>
            <w:r>
              <w:rPr>
                <w:b w:val="0"/>
                <w:noProof/>
                <w:color w:val="auto"/>
                <w:sz w:val="20"/>
              </w:rPr>
              <w:t>111 milliards de RA (636 par habitant)</w:t>
            </w:r>
          </w:p>
        </w:tc>
        <w:tc>
          <w:tcPr>
            <w:tcW w:w="38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F1D67C7" w14:textId="1A1DA9C3"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Instruments économiques (27 États membres de l’UE)</w:t>
            </w:r>
          </w:p>
          <w:p w14:paraId="46231303" w14:textId="15783BE2"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 xml:space="preserve">Mesures de sensibilisation (25 États membres de l’UE) </w:t>
            </w:r>
          </w:p>
          <w:p w14:paraId="4A9D2C23" w14:textId="0910195D"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Promotion de substituts durables (25 États membres de l’UE)</w:t>
            </w:r>
          </w:p>
          <w:p w14:paraId="0AB31096" w14:textId="1F5E8F72" w:rsidR="00862309" w:rsidRPr="00975E08" w:rsidRDefault="00120204" w:rsidP="00387885">
            <w:pPr>
              <w:pStyle w:val="Caption"/>
              <w:numPr>
                <w:ilvl w:val="0"/>
                <w:numId w:val="12"/>
              </w:numPr>
              <w:ind w:left="340"/>
              <w:rPr>
                <w:b w:val="0"/>
                <w:noProof/>
                <w:color w:val="auto"/>
                <w:sz w:val="20"/>
                <w:szCs w:val="20"/>
              </w:rPr>
            </w:pPr>
            <w:r>
              <w:rPr>
                <w:b w:val="0"/>
                <w:noProof/>
                <w:color w:val="auto"/>
                <w:sz w:val="20"/>
              </w:rPr>
              <w:t>Objectifs quantitatifs de réduction des GB et RA mis sur le marché (14 États membres)</w:t>
            </w:r>
          </w:p>
        </w:tc>
      </w:tr>
      <w:tr w:rsidR="00862309" w:rsidRPr="004A0A8E" w14:paraId="51966A6C" w14:textId="77777777" w:rsidTr="009D38BF">
        <w:trPr>
          <w:trHeight w:val="19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39FA9A29" w14:textId="77777777" w:rsidR="00862309" w:rsidRPr="00975E08" w:rsidRDefault="00862309" w:rsidP="00387885">
            <w:pPr>
              <w:pStyle w:val="Caption"/>
              <w:spacing w:before="0" w:after="0"/>
              <w:jc w:val="left"/>
              <w:rPr>
                <w:noProof/>
                <w:color w:val="FFFFFF" w:themeColor="background1"/>
                <w:sz w:val="20"/>
                <w:szCs w:val="20"/>
              </w:rPr>
            </w:pPr>
            <w:r>
              <w:rPr>
                <w:noProof/>
                <w:color w:val="FFFFFF" w:themeColor="background1"/>
                <w:sz w:val="20"/>
              </w:rPr>
              <w:t xml:space="preserve"> </w:t>
            </w:r>
          </w:p>
        </w:tc>
        <w:tc>
          <w:tcPr>
            <w:tcW w:w="36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5DF8F7A0" w14:textId="77777777" w:rsidR="00862309" w:rsidRPr="00975E08" w:rsidRDefault="00862309" w:rsidP="00387885">
            <w:pPr>
              <w:pStyle w:val="Caption"/>
              <w:spacing w:before="0" w:after="0"/>
              <w:jc w:val="center"/>
              <w:rPr>
                <w:noProof/>
                <w:color w:val="FFFFFF" w:themeColor="background1"/>
                <w:sz w:val="20"/>
                <w:szCs w:val="20"/>
              </w:rPr>
            </w:pPr>
            <w:r>
              <w:rPr>
                <w:noProof/>
                <w:color w:val="FFFFFF" w:themeColor="background1"/>
                <w:sz w:val="20"/>
              </w:rPr>
              <w:t>Mis sur le marché</w:t>
            </w:r>
          </w:p>
        </w:tc>
        <w:tc>
          <w:tcPr>
            <w:tcW w:w="38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3340A212" w14:textId="514D8F46" w:rsidR="00862309" w:rsidRPr="00975E08" w:rsidRDefault="00BA2606" w:rsidP="00387885">
            <w:pPr>
              <w:pStyle w:val="Caption"/>
              <w:spacing w:before="0" w:after="0"/>
              <w:jc w:val="center"/>
              <w:rPr>
                <w:noProof/>
                <w:color w:val="FFFFFF" w:themeColor="background1"/>
                <w:sz w:val="20"/>
                <w:szCs w:val="20"/>
              </w:rPr>
            </w:pPr>
            <w:r>
              <w:rPr>
                <w:noProof/>
                <w:color w:val="FFFFFF" w:themeColor="background1"/>
                <w:sz w:val="20"/>
              </w:rPr>
              <w:t>Collecte séparée</w:t>
            </w:r>
          </w:p>
        </w:tc>
      </w:tr>
      <w:tr w:rsidR="00862309" w:rsidRPr="004A0A8E" w14:paraId="554DD57E" w14:textId="77777777" w:rsidTr="009D38BF">
        <w:trPr>
          <w:trHeight w:val="80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2EB722AF" w14:textId="2C3E1194" w:rsidR="002512AC" w:rsidRPr="00010AFC" w:rsidRDefault="00862309" w:rsidP="00975E08">
            <w:pPr>
              <w:pStyle w:val="Caption"/>
              <w:spacing w:before="0" w:after="0"/>
              <w:jc w:val="left"/>
              <w:rPr>
                <w:noProof/>
                <w:color w:val="FFFFFF" w:themeColor="background1"/>
                <w:sz w:val="20"/>
                <w:szCs w:val="20"/>
              </w:rPr>
            </w:pPr>
            <w:r>
              <w:rPr>
                <w:noProof/>
                <w:color w:val="FFFFFF" w:themeColor="background1"/>
                <w:sz w:val="20"/>
              </w:rPr>
              <w:t xml:space="preserve">Bouteilles pour boissons </w:t>
            </w:r>
          </w:p>
          <w:p w14:paraId="78B9E220" w14:textId="1E86A6BB" w:rsidR="00862309" w:rsidRPr="00975E08" w:rsidRDefault="00862309" w:rsidP="00975E08">
            <w:pPr>
              <w:pStyle w:val="Caption"/>
              <w:spacing w:before="0" w:after="0"/>
              <w:jc w:val="left"/>
              <w:rPr>
                <w:noProof/>
                <w:color w:val="auto"/>
                <w:sz w:val="20"/>
                <w:szCs w:val="20"/>
              </w:rPr>
            </w:pPr>
            <w:r>
              <w:rPr>
                <w:noProof/>
                <w:color w:val="auto"/>
                <w:sz w:val="20"/>
              </w:rPr>
              <w:t>(point c)</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0E24EE73" w14:textId="09B1CFD3" w:rsidR="00862309" w:rsidRPr="00975E08" w:rsidRDefault="00862309" w:rsidP="00387885">
            <w:pPr>
              <w:pStyle w:val="Caption"/>
              <w:rPr>
                <w:b w:val="0"/>
                <w:noProof/>
                <w:color w:val="auto"/>
                <w:sz w:val="20"/>
                <w:szCs w:val="20"/>
              </w:rPr>
            </w:pPr>
            <w:r>
              <w:rPr>
                <w:b w:val="0"/>
                <w:noProof/>
                <w:color w:val="auto"/>
                <w:sz w:val="20"/>
              </w:rPr>
              <w:t>2,54 millions de tonnes (5,7 kg par habitant) (données provenant de 27 États membres de l’UE)</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39DC58F7" w14:textId="5BA75CFD" w:rsidR="007B2DCE" w:rsidRPr="00975E08" w:rsidRDefault="00862309" w:rsidP="0016583C">
            <w:pPr>
              <w:pStyle w:val="Caption"/>
              <w:rPr>
                <w:noProof/>
                <w:sz w:val="20"/>
                <w:szCs w:val="20"/>
              </w:rPr>
            </w:pPr>
            <w:r>
              <w:rPr>
                <w:b w:val="0"/>
                <w:noProof/>
                <w:color w:val="auto"/>
                <w:sz w:val="20"/>
              </w:rPr>
              <w:t>1,8 million de tonnes, soit un taux de collecte séparée total de 71 % (données provenant de 26 États membres de l’UE; objectif pour 2025: 77 %)</w:t>
            </w:r>
          </w:p>
        </w:tc>
      </w:tr>
      <w:tr w:rsidR="00862309" w:rsidRPr="004A0A8E" w14:paraId="0FB8C35A" w14:textId="77777777" w:rsidTr="00F96300">
        <w:trPr>
          <w:trHeight w:val="232"/>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0A459C9F" w14:textId="02FE462C" w:rsidR="00862309" w:rsidRPr="00975E08" w:rsidRDefault="00862309" w:rsidP="002512AC">
            <w:pPr>
              <w:pStyle w:val="Caption"/>
              <w:jc w:val="left"/>
              <w:rPr>
                <w:noProof/>
                <w:color w:val="FFFFFF" w:themeColor="background1"/>
                <w:sz w:val="20"/>
                <w:szCs w:val="20"/>
              </w:rPr>
            </w:pPr>
            <w:r>
              <w:rPr>
                <w:noProof/>
                <w:color w:val="FFFFFF" w:themeColor="background1"/>
                <w:sz w:val="20"/>
              </w:rPr>
              <w:t>Engins de pêche (point d)</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3A6C9186" w14:textId="301BDC33" w:rsidR="00862309" w:rsidRPr="005A1A1D" w:rsidRDefault="005B718E" w:rsidP="003D3693">
            <w:pPr>
              <w:pStyle w:val="Caption"/>
              <w:rPr>
                <w:b w:val="0"/>
                <w:noProof/>
                <w:color w:val="auto"/>
                <w:sz w:val="20"/>
                <w:szCs w:val="20"/>
              </w:rPr>
            </w:pPr>
            <w:r>
              <w:rPr>
                <w:b w:val="0"/>
                <w:noProof/>
                <w:color w:val="auto"/>
                <w:sz w:val="20"/>
              </w:rPr>
              <w:t>22 900 tonnes (données provenant de 23 États membres de l’UE)</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7217A242" w14:textId="3C25150A" w:rsidR="00331E4D" w:rsidRPr="00975E08" w:rsidRDefault="002D4DF7" w:rsidP="00331E4D">
            <w:pPr>
              <w:pStyle w:val="Caption"/>
              <w:rPr>
                <w:noProof/>
                <w:sz w:val="20"/>
                <w:szCs w:val="20"/>
              </w:rPr>
            </w:pPr>
            <w:r>
              <w:rPr>
                <w:b w:val="0"/>
                <w:noProof/>
                <w:color w:val="auto"/>
                <w:sz w:val="20"/>
              </w:rPr>
              <w:t>7 500 tonnes, soit un taux de collecte total de 32,7 % (données provenant de 20 États membres de l’UE)</w:t>
            </w:r>
          </w:p>
        </w:tc>
      </w:tr>
    </w:tbl>
    <w:p w14:paraId="3E2B1376" w14:textId="364F1D32" w:rsidR="00862309" w:rsidRPr="004A0A8E" w:rsidRDefault="00862309" w:rsidP="00862309">
      <w:pPr>
        <w:rPr>
          <w:noProof/>
        </w:rPr>
      </w:pPr>
      <w:bookmarkStart w:id="14" w:name="_Ref184049305"/>
      <w:bookmarkEnd w:id="13"/>
    </w:p>
    <w:p w14:paraId="15965F73" w14:textId="75A4E989" w:rsidR="00862309" w:rsidRPr="004A0A8E" w:rsidRDefault="00862309" w:rsidP="00862309">
      <w:pPr>
        <w:pStyle w:val="Heading3"/>
        <w:rPr>
          <w:noProof/>
        </w:rPr>
      </w:pPr>
      <w:bookmarkStart w:id="15" w:name="_Toc185251690"/>
      <w:bookmarkStart w:id="16" w:name="_Toc185499248"/>
      <w:bookmarkStart w:id="17" w:name="_Toc222394991"/>
      <w:r>
        <w:rPr>
          <w:noProof/>
        </w:rPr>
        <w:t xml:space="preserve">Point a): quantités </w:t>
      </w:r>
      <w:bookmarkStart w:id="18" w:name="_Hlk181888603"/>
      <w:r>
        <w:rPr>
          <w:noProof/>
        </w:rPr>
        <w:t xml:space="preserve">mises sur le marché </w:t>
      </w:r>
      <w:bookmarkEnd w:id="18"/>
      <w:r>
        <w:rPr>
          <w:noProof/>
        </w:rPr>
        <w:t>de gobelets pour boissons (GB) et récipients pour aliments</w:t>
      </w:r>
      <w:bookmarkEnd w:id="14"/>
      <w:bookmarkEnd w:id="15"/>
      <w:bookmarkEnd w:id="16"/>
      <w:r>
        <w:rPr>
          <w:noProof/>
        </w:rPr>
        <w:t xml:space="preserve"> (RA)</w:t>
      </w:r>
      <w:bookmarkEnd w:id="17"/>
    </w:p>
    <w:p w14:paraId="44D8807D" w14:textId="3A70DA24" w:rsidR="00862309" w:rsidRPr="004A0A8E" w:rsidRDefault="00D04C8E" w:rsidP="00862309">
      <w:pPr>
        <w:rPr>
          <w:iCs/>
          <w:noProof/>
        </w:rPr>
      </w:pPr>
      <w:r>
        <w:rPr>
          <w:noProof/>
        </w:rPr>
        <w:t xml:space="preserve">Sur les 27 pays (25 États membres de l’UE et deux pays de l’EEE/AELE) qui ont communiqué les quantités de GB et de RA mis sur le marché, 15 n’ont communiqué que le poids, 6 n’ont communiqué que le nombre de produits et 6 ont communiqué les deux. Aucun pays n’a utilisé la possibilité d’ajuster ces quantités pour les mouvements à destination et en provenance d’autres États membres ou de pays tiers. </w:t>
      </w:r>
    </w:p>
    <w:p w14:paraId="72B91F7A" w14:textId="621F007D" w:rsidR="00862309" w:rsidRDefault="00C663B2" w:rsidP="00862309">
      <w:pPr>
        <w:rPr>
          <w:iCs/>
          <w:noProof/>
        </w:rPr>
      </w:pPr>
      <w:r>
        <w:rPr>
          <w:noProof/>
        </w:rPr>
        <w:t>Les valeurs communiquées varient fortement d’un pays à l’autre selon le produit, la mesure (poids du plastique dans les articles et poids total des articles) et la modalité de déclaration (par poids ou par nombre de produits). En ce qui concerne les valeurs fondées sur le poids [figure 1, a)], un total de 526 482 tonnes (dont 524 003 tonnes provenaient d’États membres de l’UE) de plastique issu de RA et de 152 290 tonnes (dont 152 037 tonnes provenaient d’États membres de l’UE) de GB ont été communiquées comme mises sur le marché en 2022. Ces valeurs correspondent à des valeurs par habitant de 1,60 kg de plastique issu de RA et de 0,46 kg issu de GB</w:t>
      </w:r>
      <w:r>
        <w:rPr>
          <w:rStyle w:val="FootnoteReference"/>
          <w:iCs/>
          <w:noProof/>
        </w:rPr>
        <w:footnoteReference w:id="2"/>
      </w:r>
      <w:r>
        <w:rPr>
          <w:noProof/>
        </w:rPr>
        <w:t xml:space="preserve"> (ces valeurs s’appliquent également au sous-ensemble comprenant uniquement les États membres de l’UE). Le poids total, y compris les composants autres que le plastique, était de 637 456 tonnes (dont 634 744 provenaient d’États membres de l’UE) issues de RA et de 218 469 tonnes (dont 218 092 provenaient d’États membres de l’UE) issues de GB. Pour les articles constitués en partie de plastique, la teneur moyenne en plastique (moyenne dans l’ensemble des États membres de l’UE et des pays de l’EEE/AELE) était de 27,8 % du poids total pour les GB et de près de 30 % pour les RA (ces valeurs sont presque les mêmes pour le sous-ensemble comprenant uniquement les États membres de l’UE). Les valeurs concernant les RA ont été fortement influencées par un petit nombre de pays ayant communiqué des chiffres très élevés (voir les figures 2 et 3). Au total, les quantités communiquées représentent 7,9 % du volume de déchets d’emballages en plastique</w:t>
      </w:r>
      <w:r>
        <w:rPr>
          <w:rStyle w:val="FootnoteReference"/>
          <w:noProof/>
          <w:lang w:val="en-GB"/>
        </w:rPr>
        <w:footnoteReference w:id="3"/>
      </w:r>
      <w:r>
        <w:rPr>
          <w:noProof/>
        </w:rPr>
        <w:t xml:space="preserve"> produits dans les mêmes pays.</w:t>
      </w:r>
    </w:p>
    <w:p w14:paraId="0333601F" w14:textId="12C26CE6" w:rsidR="00080A0F" w:rsidRDefault="004E2473" w:rsidP="00010AFC">
      <w:pPr>
        <w:rPr>
          <w:iCs/>
          <w:noProof/>
        </w:rPr>
      </w:pPr>
      <w:r>
        <w:rPr>
          <w:noProof/>
        </w:rPr>
        <w:t xml:space="preserve">En nombre de produits [figure 1, b)], 17,3 milliards (dont 17 milliards provenaient d’États membres de l’UE) de GB et 111,1 milliards (dont 111,06 milliards provenaient d’États membres de l’UE) de RA ont été communiqués comme mis sur le marché en 2022. Ces chiffres totaux correspondent à 95,9 (97 pour les États membres de l’UE) GB et à 616,7 (636 pour les États membres de l’UE) RA par habitant. 88,5 % (88,8 % pour les États membres de l’UE) du nombre total étaient des produits exclusivement constitués de plastique. </w:t>
      </w:r>
      <w:bookmarkStart w:id="19" w:name="_Ref180143188"/>
    </w:p>
    <w:p w14:paraId="332914E6" w14:textId="77777777" w:rsidR="00026E6D" w:rsidRPr="004A0A8E" w:rsidRDefault="00026E6D" w:rsidP="00026E6D">
      <w:pPr>
        <w:pStyle w:val="Caption"/>
        <w:rPr>
          <w:noProof/>
        </w:rPr>
      </w:pPr>
      <w:r>
        <w:rPr>
          <w:noProof/>
        </w:rPr>
        <w:t>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GB et RA en plastique à usage unique mis sur le marché dans l’UE en 2022, valeurs absolues totales sur la base du poids [a)] et du nombre de produits [b)].</w:t>
      </w:r>
    </w:p>
    <w:p w14:paraId="2CE773FE" w14:textId="11A041E5" w:rsidR="007935D1" w:rsidRDefault="00A354EF" w:rsidP="001B4E4A">
      <w:pPr>
        <w:jc w:val="center"/>
        <w:rPr>
          <w:noProof/>
        </w:rPr>
      </w:pPr>
      <w:r>
        <w:rPr>
          <w:noProof/>
          <w:lang w:val="en-GB" w:eastAsia="en-GB"/>
        </w:rPr>
        <mc:AlternateContent>
          <mc:Choice Requires="wps">
            <w:drawing>
              <wp:anchor distT="45720" distB="45720" distL="114300" distR="114300" simplePos="0" relativeHeight="251658240" behindDoc="0" locked="0" layoutInCell="1" allowOverlap="1" wp14:anchorId="379B07FF" wp14:editId="27329AA4">
                <wp:simplePos x="0" y="0"/>
                <wp:positionH relativeFrom="column">
                  <wp:posOffset>2695433</wp:posOffset>
                </wp:positionH>
                <wp:positionV relativeFrom="paragraph">
                  <wp:posOffset>33740</wp:posOffset>
                </wp:positionV>
                <wp:extent cx="349250" cy="416257"/>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416257"/>
                        </a:xfrm>
                        <a:prstGeom prst="rect">
                          <a:avLst/>
                        </a:prstGeom>
                        <a:noFill/>
                        <a:ln w="9525">
                          <a:noFill/>
                          <a:miter lim="800000"/>
                          <a:headEnd/>
                          <a:tailEnd/>
                        </a:ln>
                      </wps:spPr>
                      <wps:txbx>
                        <w:txbxContent>
                          <w:p w14:paraId="42DEC930" w14:textId="77777777" w:rsidR="003967B4" w:rsidRPr="00E444C6" w:rsidRDefault="003967B4" w:rsidP="001B4E4A">
                            <w:r>
                              <w:t>a)</w:t>
                            </w:r>
                          </w:p>
                          <w:p w14:paraId="24CC83EB" w14:textId="16E74F6D" w:rsidR="003967B4" w:rsidRPr="00D74453" w:rsidRDefault="003967B4" w:rsidP="001B4E4A">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9B07FF" id="_x0000_t202" coordsize="21600,21600" o:spt="202" path="m,l,21600r21600,l21600,xe">
                <v:stroke joinstyle="miter"/>
                <v:path gradientshapeok="t" o:connecttype="rect"/>
              </v:shapetype>
              <v:shape id="Text Box 2" o:spid="_x0000_s1026" type="#_x0000_t202" style="position:absolute;left:0;text-align:left;margin-left:212.25pt;margin-top:2.65pt;width:27.5pt;height:32.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" filled="f" stroked="f">
                <v:textbox>
                  <w:txbxContent>
                    <w:p w14:paraId="42DEC930" w14:textId="77777777" w:rsidR="003967B4" w:rsidRPr="00E444C6" w:rsidRDefault="003967B4" w:rsidP="001B4E4A">
                      <w:r>
                        <w:t>a)</w:t>
                      </w:r>
                    </w:p>
                    <w:p w14:paraId="24CC83EB" w14:textId="16E74F6D" w:rsidR="003967B4" w:rsidRPr="00D74453" w:rsidRDefault="003967B4" w:rsidP="001B4E4A">
                      <w:pPr>
                        <w:rPr>
                          <w:lang w:val="en-GB"/>
                        </w:rPr>
                      </w:pPr>
                    </w:p>
                  </w:txbxContent>
                </v:textbox>
              </v:shape>
            </w:pict>
          </mc:Fallback>
        </mc:AlternateContent>
      </w:r>
    </w:p>
    <w:p w14:paraId="386A40FF" w14:textId="1D9F4F6B" w:rsidR="008E2604" w:rsidRPr="00090B2A" w:rsidRDefault="00090B2A" w:rsidP="00AE01E1">
      <w:pPr>
        <w:jc w:val="center"/>
        <w:rPr>
          <w:noProof/>
          <w:lang w:val="fr-BE"/>
        </w:rPr>
      </w:pPr>
      <w:r w:rsidRPr="00090B2A">
        <w:rPr>
          <w:noProof/>
          <w:lang w:val="en-GB" w:eastAsia="en-GB"/>
        </w:rPr>
        <w:drawing>
          <wp:inline distT="0" distB="0" distL="0" distR="0" wp14:anchorId="7EE567B9" wp14:editId="6FC86D91">
            <wp:extent cx="5731510" cy="2846705"/>
            <wp:effectExtent l="0" t="0" r="2540" b="0"/>
            <wp:docPr id="152858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2846705"/>
                    </a:xfrm>
                    <a:prstGeom prst="rect">
                      <a:avLst/>
                    </a:prstGeom>
                    <a:noFill/>
                    <a:ln>
                      <a:noFill/>
                    </a:ln>
                  </pic:spPr>
                </pic:pic>
              </a:graphicData>
            </a:graphic>
          </wp:inline>
        </w:drawing>
      </w:r>
    </w:p>
    <w:p w14:paraId="16ADC93D" w14:textId="787AD6BB" w:rsidR="007935D1" w:rsidRDefault="007935D1" w:rsidP="001B4E4A">
      <w:pPr>
        <w:jc w:val="center"/>
        <w:rPr>
          <w:noProof/>
        </w:rPr>
      </w:pPr>
      <w:r>
        <w:rPr>
          <w:noProof/>
          <w:lang w:val="en-GB" w:eastAsia="en-GB"/>
        </w:rPr>
        <mc:AlternateContent>
          <mc:Choice Requires="wps">
            <w:drawing>
              <wp:anchor distT="45720" distB="45720" distL="114300" distR="114300" simplePos="0" relativeHeight="251658241" behindDoc="0" locked="0" layoutInCell="1" allowOverlap="1" wp14:anchorId="3E3A2867" wp14:editId="1B8CB0CF">
                <wp:simplePos x="0" y="0"/>
                <wp:positionH relativeFrom="column">
                  <wp:posOffset>2681785</wp:posOffset>
                </wp:positionH>
                <wp:positionV relativeFrom="paragraph">
                  <wp:posOffset>138307</wp:posOffset>
                </wp:positionV>
                <wp:extent cx="514350" cy="450376"/>
                <wp:effectExtent l="0" t="0" r="0" b="0"/>
                <wp:wrapNone/>
                <wp:docPr id="1178049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50376"/>
                        </a:xfrm>
                        <a:prstGeom prst="rect">
                          <a:avLst/>
                        </a:prstGeom>
                        <a:noFill/>
                        <a:ln w="9525">
                          <a:noFill/>
                          <a:miter lim="800000"/>
                          <a:headEnd/>
                          <a:tailEnd/>
                        </a:ln>
                      </wps:spPr>
                      <wps:txbx>
                        <w:txbxContent>
                          <w:p w14:paraId="66804EAE" w14:textId="5A676994" w:rsidR="003967B4" w:rsidRPr="00E444C6" w:rsidRDefault="003967B4" w:rsidP="003967B4">
                            <w:r>
                              <w:t>b)</w:t>
                            </w:r>
                          </w:p>
                          <w:p w14:paraId="63575CC0" w14:textId="77777777" w:rsidR="003967B4" w:rsidRPr="00D74453" w:rsidRDefault="003967B4" w:rsidP="003967B4">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A2867" id="_x0000_s1027" type="#_x0000_t202" style="position:absolute;left:0;text-align:left;margin-left:211.15pt;margin-top:10.9pt;width:40.5pt;height:35.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" filled="f" stroked="f">
                <v:textbox>
                  <w:txbxContent>
                    <w:p w14:paraId="66804EAE" w14:textId="5A676994" w:rsidR="003967B4" w:rsidRPr="00E444C6" w:rsidRDefault="003967B4" w:rsidP="003967B4">
                      <w:r>
                        <w:t>b)</w:t>
                      </w:r>
                    </w:p>
                    <w:p w14:paraId="63575CC0" w14:textId="77777777" w:rsidR="003967B4" w:rsidRPr="00D74453" w:rsidRDefault="003967B4" w:rsidP="003967B4">
                      <w:pPr>
                        <w:rPr>
                          <w:lang w:val="en-GB"/>
                        </w:rPr>
                      </w:pPr>
                    </w:p>
                  </w:txbxContent>
                </v:textbox>
              </v:shape>
            </w:pict>
          </mc:Fallback>
        </mc:AlternateContent>
      </w:r>
    </w:p>
    <w:p w14:paraId="502FBD62" w14:textId="287ACDA3" w:rsidR="00EE1E50" w:rsidRDefault="00EE1E50" w:rsidP="001B4E4A">
      <w:pPr>
        <w:jc w:val="center"/>
        <w:rPr>
          <w:noProof/>
        </w:rPr>
      </w:pPr>
    </w:p>
    <w:p w14:paraId="3823B8C8" w14:textId="4978D1FA" w:rsidR="00090B2A" w:rsidRDefault="00090B2A" w:rsidP="00090B2A">
      <w:pPr>
        <w:jc w:val="center"/>
        <w:rPr>
          <w:noProof/>
        </w:rPr>
      </w:pPr>
      <w:r w:rsidRPr="00090B2A">
        <w:rPr>
          <w:noProof/>
          <w:lang w:val="en-GB" w:eastAsia="en-GB"/>
        </w:rPr>
        <w:drawing>
          <wp:inline distT="0" distB="0" distL="0" distR="0" wp14:anchorId="09FC8AA3" wp14:editId="252DD51C">
            <wp:extent cx="5731510" cy="2691130"/>
            <wp:effectExtent l="0" t="0" r="2540" b="0"/>
            <wp:docPr id="1371177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2691130"/>
                    </a:xfrm>
                    <a:prstGeom prst="rect">
                      <a:avLst/>
                    </a:prstGeom>
                    <a:noFill/>
                    <a:ln>
                      <a:noFill/>
                    </a:ln>
                  </pic:spPr>
                </pic:pic>
              </a:graphicData>
            </a:graphic>
          </wp:inline>
        </w:drawing>
      </w:r>
    </w:p>
    <w:p w14:paraId="49DBA37E" w14:textId="136DE4EC" w:rsidR="00FC0CC8" w:rsidRDefault="00FC0CC8" w:rsidP="00010AFC">
      <w:pPr>
        <w:jc w:val="left"/>
        <w:rPr>
          <w:noProof/>
        </w:rPr>
      </w:pPr>
      <w:r>
        <w:rPr>
          <w:noProof/>
        </w:rPr>
        <w:t>Remarque: La figure 1 a) repose sur des données provenant de 20 États membres de l’UE. La figure 1 b) repose sur des données provenant de 11 États membres de l’UE. Voir la ventilation par pays à la figure 2.</w:t>
      </w:r>
    </w:p>
    <w:p w14:paraId="19FD90A0" w14:textId="77777777" w:rsidR="00026E6D" w:rsidRDefault="00026E6D" w:rsidP="00026E6D">
      <w:pPr>
        <w:pStyle w:val="Caption"/>
        <w:rPr>
          <w:noProof/>
        </w:rPr>
      </w:pPr>
      <w:bookmarkStart w:id="20" w:name="_Ref182838090"/>
      <w:r>
        <w:rPr>
          <w:noProof/>
        </w:rPr>
        <w:t>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20"/>
      <w:r>
        <w:rPr>
          <w:noProof/>
        </w:rPr>
        <w:t>: gobelets pour boissons (GB) et récipients pour aliments (RA) en plastique à usage unique mis sur le marché en 2022 (pour les États membres de l’UE et les pays de l’EEE/AELE), valeurs absolues par pays sur la base du poids [a)] et valeurs par habitant [b)]. Les pays manquants dans le graphique n’ont pas communiqué de données fondées sur cette approche.</w:t>
      </w:r>
    </w:p>
    <w:bookmarkEnd w:id="19"/>
    <w:p w14:paraId="6741F73D" w14:textId="5698F12F" w:rsidR="00862309" w:rsidRDefault="007303FB" w:rsidP="00B477D8">
      <w:pPr>
        <w:rPr>
          <w:iCs/>
          <w:noProof/>
        </w:rPr>
      </w:pPr>
      <w:r>
        <w:rPr>
          <w:noProof/>
        </w:rPr>
        <w:t xml:space="preserve">La figure 2 a) montre les données communiquées par les pays et la figure 2 b) les valeurs par habitant, assorties d’importantes variations d’un pays à l’autre. </w:t>
      </w:r>
    </w:p>
    <w:p w14:paraId="4B172C12" w14:textId="77777777" w:rsidR="00BE0B7B" w:rsidRDefault="00BE0B7B" w:rsidP="00B477D8">
      <w:pPr>
        <w:rPr>
          <w:noProof/>
        </w:rPr>
      </w:pPr>
    </w:p>
    <w:p w14:paraId="4B746B49" w14:textId="7BB01953" w:rsidR="00FE2CD3" w:rsidRDefault="00E1029F" w:rsidP="00BE0B7B">
      <w:pPr>
        <w:rPr>
          <w:noProof/>
        </w:rPr>
      </w:pPr>
      <w:r>
        <w:rPr>
          <w:noProof/>
          <w:lang w:val="en-GB" w:eastAsia="en-GB"/>
        </w:rPr>
        <mc:AlternateContent>
          <mc:Choice Requires="wps">
            <w:drawing>
              <wp:anchor distT="45720" distB="45720" distL="114300" distR="114300" simplePos="0" relativeHeight="251658242" behindDoc="0" locked="0" layoutInCell="1" allowOverlap="1" wp14:anchorId="20518A54" wp14:editId="2C468219">
                <wp:simplePos x="0" y="0"/>
                <wp:positionH relativeFrom="column">
                  <wp:posOffset>-908050</wp:posOffset>
                </wp:positionH>
                <wp:positionV relativeFrom="paragraph">
                  <wp:posOffset>-139700</wp:posOffset>
                </wp:positionV>
                <wp:extent cx="7562850" cy="1404620"/>
                <wp:effectExtent l="0" t="0" r="0" b="0"/>
                <wp:wrapNone/>
                <wp:docPr id="43677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7F2963C" w14:textId="16BCD52C" w:rsidR="00E1029F" w:rsidRPr="00E444C6" w:rsidRDefault="00E1029F" w:rsidP="00D74453">
                            <w:pPr>
                              <w:jc w:val="center"/>
                            </w:pPr>
                            <w:r>
                              <w:t>a)</w:t>
                            </w:r>
                          </w:p>
                          <w:p w14:paraId="107A5989" w14:textId="77777777" w:rsidR="00E1029F" w:rsidRPr="00D74453"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518A54" id="_x0000_s1028" type="#_x0000_t202" style="position:absolute;left:0;text-align:left;margin-left:-71.5pt;margin-top:-11pt;width:595.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" filled="f" stroked="f">
                <v:textbox style="mso-fit-shape-to-text:t">
                  <w:txbxContent>
                    <w:p w14:paraId="57F2963C" w14:textId="16BCD52C" w:rsidR="00E1029F" w:rsidRPr="00E444C6" w:rsidRDefault="00E1029F" w:rsidP="00D74453">
                      <w:pPr>
                        <w:jc w:val="center"/>
                      </w:pPr>
                      <w:r>
                        <w:t>a)</w:t>
                      </w:r>
                    </w:p>
                    <w:p w14:paraId="107A5989" w14:textId="77777777" w:rsidR="00E1029F" w:rsidRPr="00D74453" w:rsidRDefault="00E1029F" w:rsidP="00D74453">
                      <w:pPr>
                        <w:jc w:val="center"/>
                        <w:rPr>
                          <w:lang w:val="en-GB"/>
                        </w:rPr>
                      </w:pPr>
                    </w:p>
                  </w:txbxContent>
                </v:textbox>
              </v:shape>
            </w:pict>
          </mc:Fallback>
        </mc:AlternateContent>
      </w:r>
      <w:r w:rsidR="00F46CA0" w:rsidRPr="00F46CA0">
        <w:rPr>
          <w:noProof/>
          <w:lang w:val="en-GB" w:eastAsia="en-GB"/>
        </w:rPr>
        <w:drawing>
          <wp:inline distT="0" distB="0" distL="0" distR="0" wp14:anchorId="2DC8789E" wp14:editId="3380A787">
            <wp:extent cx="5731510" cy="3340735"/>
            <wp:effectExtent l="0" t="0" r="2540" b="0"/>
            <wp:docPr id="1176315342" name="Picture 1" descr="A graph of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15342" name="Picture 1" descr="A graph of blue and green bars&#10;&#10;AI-generated content may be incorrect."/>
                    <pic:cNvPicPr/>
                  </pic:nvPicPr>
                  <pic:blipFill>
                    <a:blip r:embed="rId39"/>
                    <a:stretch>
                      <a:fillRect/>
                    </a:stretch>
                  </pic:blipFill>
                  <pic:spPr>
                    <a:xfrm>
                      <a:off x="0" y="0"/>
                      <a:ext cx="5731510" cy="3340735"/>
                    </a:xfrm>
                    <a:prstGeom prst="rect">
                      <a:avLst/>
                    </a:prstGeom>
                  </pic:spPr>
                </pic:pic>
              </a:graphicData>
            </a:graphic>
          </wp:inline>
        </w:drawing>
      </w:r>
    </w:p>
    <w:p w14:paraId="39F8E7D8" w14:textId="48BB121A" w:rsidR="004742E9" w:rsidRDefault="003E508B" w:rsidP="004742E9">
      <w:pPr>
        <w:rPr>
          <w:noProof/>
          <w:sz w:val="16"/>
          <w:szCs w:val="16"/>
        </w:rPr>
      </w:pPr>
      <w:r>
        <w:rPr>
          <w:noProof/>
          <w:lang w:val="en-GB" w:eastAsia="en-GB"/>
        </w:rPr>
        <mc:AlternateContent>
          <mc:Choice Requires="wps">
            <w:drawing>
              <wp:anchor distT="45720" distB="45720" distL="114300" distR="114300" simplePos="0" relativeHeight="251658243" behindDoc="0" locked="0" layoutInCell="1" allowOverlap="1" wp14:anchorId="1DDF205E" wp14:editId="318E6DEA">
                <wp:simplePos x="0" y="0"/>
                <wp:positionH relativeFrom="column">
                  <wp:posOffset>-812800</wp:posOffset>
                </wp:positionH>
                <wp:positionV relativeFrom="paragraph">
                  <wp:posOffset>246380</wp:posOffset>
                </wp:positionV>
                <wp:extent cx="7562850" cy="1404620"/>
                <wp:effectExtent l="0" t="0" r="0" b="0"/>
                <wp:wrapNone/>
                <wp:docPr id="637113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FA03128" w14:textId="44D3FDB8" w:rsidR="00E1029F" w:rsidRPr="00E444C6" w:rsidRDefault="00E1029F" w:rsidP="00D74453">
                            <w:pPr>
                              <w:jc w:val="center"/>
                            </w:pPr>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DF205E" id="_x0000_s1029" type="#_x0000_t202" style="position:absolute;left:0;text-align:left;margin-left:-64pt;margin-top:19.4pt;width:595.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" filled="f" stroked="f">
                <v:textbox style="mso-fit-shape-to-text:t">
                  <w:txbxContent>
                    <w:p w14:paraId="5FA03128" w14:textId="44D3FDB8" w:rsidR="00E1029F" w:rsidRPr="00E444C6" w:rsidRDefault="00E1029F" w:rsidP="00D74453">
                      <w:pPr>
                        <w:jc w:val="center"/>
                      </w:pPr>
                      <w:r>
                        <w:t>b)</w:t>
                      </w:r>
                    </w:p>
                  </w:txbxContent>
                </v:textbox>
              </v:shape>
            </w:pict>
          </mc:Fallback>
        </mc:AlternateContent>
      </w:r>
    </w:p>
    <w:p w14:paraId="234C9B13" w14:textId="77777777" w:rsidR="004742E9" w:rsidRPr="004742E9" w:rsidRDefault="004742E9" w:rsidP="004742E9">
      <w:pPr>
        <w:rPr>
          <w:noProof/>
          <w:sz w:val="16"/>
          <w:szCs w:val="16"/>
        </w:rPr>
      </w:pPr>
    </w:p>
    <w:p w14:paraId="202CB998" w14:textId="4917820C" w:rsidR="002A6F37" w:rsidRDefault="00F46CA0" w:rsidP="00BE0B7B">
      <w:pPr>
        <w:rPr>
          <w:noProof/>
        </w:rPr>
      </w:pPr>
      <w:r w:rsidRPr="00F46CA0">
        <w:rPr>
          <w:noProof/>
          <w:lang w:val="en-GB" w:eastAsia="en-GB"/>
        </w:rPr>
        <w:drawing>
          <wp:inline distT="0" distB="0" distL="0" distR="0" wp14:anchorId="25E4E808" wp14:editId="66FCDC55">
            <wp:extent cx="5731510" cy="3927475"/>
            <wp:effectExtent l="0" t="0" r="2540" b="0"/>
            <wp:docPr id="359825221" name="Picture 1" descr="A graph of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25221" name="Picture 1" descr="A graph of blue and green bars&#10;&#10;AI-generated content may be incorrect."/>
                    <pic:cNvPicPr/>
                  </pic:nvPicPr>
                  <pic:blipFill>
                    <a:blip r:embed="rId40"/>
                    <a:stretch>
                      <a:fillRect/>
                    </a:stretch>
                  </pic:blipFill>
                  <pic:spPr>
                    <a:xfrm>
                      <a:off x="0" y="0"/>
                      <a:ext cx="5731510" cy="3927475"/>
                    </a:xfrm>
                    <a:prstGeom prst="rect">
                      <a:avLst/>
                    </a:prstGeom>
                  </pic:spPr>
                </pic:pic>
              </a:graphicData>
            </a:graphic>
          </wp:inline>
        </w:drawing>
      </w:r>
    </w:p>
    <w:p w14:paraId="219C5A33" w14:textId="77777777" w:rsidR="004742E9" w:rsidRDefault="004742E9" w:rsidP="004742E9">
      <w:pPr>
        <w:jc w:val="center"/>
        <w:rPr>
          <w:noProof/>
        </w:rPr>
      </w:pPr>
    </w:p>
    <w:p w14:paraId="0A9ACC62" w14:textId="0473DC00" w:rsidR="00920486" w:rsidRPr="004A0A8E" w:rsidRDefault="00920486" w:rsidP="00BE0B7B">
      <w:pPr>
        <w:rPr>
          <w:noProof/>
        </w:rPr>
      </w:pPr>
      <w:r>
        <w:rPr>
          <w:noProof/>
          <w:sz w:val="20"/>
        </w:rPr>
        <w:t>Remarque: * Pays de l’EEE/AELE.</w:t>
      </w:r>
    </w:p>
    <w:p w14:paraId="16FAED65" w14:textId="77777777" w:rsidR="004742E9" w:rsidRDefault="004742E9" w:rsidP="00026E6D">
      <w:pPr>
        <w:pStyle w:val="Caption"/>
        <w:rPr>
          <w:noProof/>
        </w:rPr>
      </w:pPr>
      <w:bookmarkStart w:id="21" w:name="_Ref184305722"/>
    </w:p>
    <w:p w14:paraId="5011351C" w14:textId="6CCD31C3" w:rsidR="00026E6D" w:rsidRPr="00975E08" w:rsidRDefault="00026E6D" w:rsidP="00026E6D">
      <w:pPr>
        <w:pStyle w:val="Caption"/>
        <w:rPr>
          <w:noProof/>
        </w:rPr>
      </w:pPr>
      <w:r>
        <w:rPr>
          <w:noProof/>
        </w:rPr>
        <w:t>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21"/>
      <w:r>
        <w:rPr>
          <w:noProof/>
        </w:rPr>
        <w:t>: gobelets pour boissons (GB) et récipients pour aliments (RA) en plastique à usage unique mis sur le marché en 2022 (États membres de l’UE et pays de l’EEE/AELE), valeurs absolues par pays sur la base du nombre de produits [a)] et valeurs par habitant [b)]. Les pays manquants dans le graphique n’ont pas communiqué de données fondées sur cette approche.</w:t>
      </w:r>
    </w:p>
    <w:p w14:paraId="0686452B" w14:textId="208B1E69" w:rsidR="005F4D45" w:rsidRDefault="00055A84" w:rsidP="005F4D45">
      <w:pPr>
        <w:rPr>
          <w:noProof/>
        </w:rPr>
      </w:pPr>
      <w:r>
        <w:rPr>
          <w:noProof/>
        </w:rPr>
        <w:t>La figure 3</w:t>
      </w:r>
      <w:r>
        <w:rPr>
          <w:noProof/>
          <w:lang w:val="en-GB" w:eastAsia="en-GB"/>
        </w:rPr>
        <mc:AlternateContent>
          <mc:Choice Requires="wps">
            <w:drawing>
              <wp:anchor distT="45720" distB="45720" distL="114300" distR="114300" simplePos="0" relativeHeight="251658244" behindDoc="0" locked="0" layoutInCell="1" allowOverlap="1" wp14:anchorId="553718C5" wp14:editId="0AC96152">
                <wp:simplePos x="0" y="0"/>
                <wp:positionH relativeFrom="column">
                  <wp:posOffset>-920750</wp:posOffset>
                </wp:positionH>
                <wp:positionV relativeFrom="paragraph">
                  <wp:posOffset>622935</wp:posOffset>
                </wp:positionV>
                <wp:extent cx="7562850" cy="1404620"/>
                <wp:effectExtent l="0" t="0" r="0" b="0"/>
                <wp:wrapNone/>
                <wp:docPr id="1627618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290C1E65" w14:textId="6FDC5AB1" w:rsidR="00E1029F" w:rsidRPr="00E444C6" w:rsidRDefault="00E1029F" w:rsidP="00D74453">
                            <w:pPr>
                              <w:jc w:val="center"/>
                            </w:pPr>
                            <w:r>
                              <w:t>a)</w:t>
                            </w:r>
                          </w:p>
                          <w:p w14:paraId="50F6C528" w14:textId="77777777" w:rsidR="00E1029F" w:rsidRPr="00C349FC"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3718C5" id="_x0000_s1030" type="#_x0000_t202" style="position:absolute;left:0;text-align:left;margin-left:-72.5pt;margin-top:49.05pt;width:595.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" filled="f" stroked="f">
                <v:textbox style="mso-fit-shape-to-text:t">
                  <w:txbxContent>
                    <w:p w14:paraId="290C1E65" w14:textId="6FDC5AB1" w:rsidR="00E1029F" w:rsidRPr="00E444C6" w:rsidRDefault="00E1029F" w:rsidP="00D74453">
                      <w:pPr>
                        <w:jc w:val="center"/>
                      </w:pPr>
                      <w:r>
                        <w:t>a)</w:t>
                      </w:r>
                    </w:p>
                    <w:p w14:paraId="50F6C528" w14:textId="77777777" w:rsidR="00E1029F" w:rsidRPr="00C349FC" w:rsidRDefault="00E1029F" w:rsidP="00D74453">
                      <w:pPr>
                        <w:jc w:val="center"/>
                        <w:rPr>
                          <w:lang w:val="en-GB"/>
                        </w:rPr>
                      </w:pPr>
                    </w:p>
                  </w:txbxContent>
                </v:textbox>
              </v:shape>
            </w:pict>
          </mc:Fallback>
        </mc:AlternateContent>
      </w:r>
      <w:r>
        <w:rPr>
          <w:noProof/>
        </w:rPr>
        <w:t xml:space="preserve"> présente les données communiquées sur la base du nombre de produits, en valeurs absolues [a)] et en valeurs par habitant [b)].</w:t>
      </w:r>
    </w:p>
    <w:p w14:paraId="1A2BB859" w14:textId="3A8CDFAD" w:rsidR="003E508B" w:rsidRDefault="003E508B" w:rsidP="005F4D45">
      <w:pPr>
        <w:rPr>
          <w:iCs/>
          <w:noProof/>
        </w:rPr>
      </w:pPr>
    </w:p>
    <w:p w14:paraId="5B74D042" w14:textId="79715626" w:rsidR="00B97C95" w:rsidRDefault="00B97C95" w:rsidP="003E508B">
      <w:pPr>
        <w:jc w:val="center"/>
        <w:rPr>
          <w:iCs/>
          <w:noProof/>
        </w:rPr>
      </w:pPr>
    </w:p>
    <w:p w14:paraId="10C3C595" w14:textId="74A60083" w:rsidR="00B97C95" w:rsidRDefault="00B97C95" w:rsidP="003E508B">
      <w:pPr>
        <w:jc w:val="center"/>
        <w:rPr>
          <w:iCs/>
          <w:noProof/>
        </w:rPr>
      </w:pPr>
      <w:r w:rsidRPr="00A0395F">
        <w:rPr>
          <w:iCs/>
          <w:noProof/>
          <w:lang w:val="en-GB" w:eastAsia="en-GB"/>
        </w:rPr>
        <w:drawing>
          <wp:inline distT="0" distB="0" distL="0" distR="0" wp14:anchorId="1F6E9967" wp14:editId="1092E90C">
            <wp:extent cx="5731510" cy="2846705"/>
            <wp:effectExtent l="0" t="0" r="2540" b="0"/>
            <wp:docPr id="1391388875" name="Picture 1"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88875" name="Picture 1" descr="A graph with blue and green bars&#10;&#10;AI-generated content may be incorrect."/>
                    <pic:cNvPicPr/>
                  </pic:nvPicPr>
                  <pic:blipFill>
                    <a:blip r:embed="rId41"/>
                    <a:stretch>
                      <a:fillRect/>
                    </a:stretch>
                  </pic:blipFill>
                  <pic:spPr>
                    <a:xfrm>
                      <a:off x="0" y="0"/>
                      <a:ext cx="5731510" cy="2846705"/>
                    </a:xfrm>
                    <a:prstGeom prst="rect">
                      <a:avLst/>
                    </a:prstGeom>
                  </pic:spPr>
                </pic:pic>
              </a:graphicData>
            </a:graphic>
          </wp:inline>
        </w:drawing>
      </w:r>
    </w:p>
    <w:p w14:paraId="1A1A6176" w14:textId="2B665B28" w:rsidR="003E508B" w:rsidRPr="004A0A8E" w:rsidRDefault="003E508B" w:rsidP="003E508B">
      <w:pPr>
        <w:jc w:val="center"/>
        <w:rPr>
          <w:iCs/>
          <w:noProof/>
        </w:rPr>
      </w:pPr>
      <w:r>
        <w:rPr>
          <w:iCs/>
          <w:noProof/>
        </w:rPr>
        <w:t>b)</w:t>
      </w:r>
    </w:p>
    <w:p w14:paraId="56DB8583" w14:textId="77C2E432" w:rsidR="003C08B2" w:rsidRDefault="00E1029F" w:rsidP="003C08B2">
      <w:pPr>
        <w:jc w:val="center"/>
        <w:rPr>
          <w:noProof/>
        </w:rPr>
      </w:pPr>
      <w:bookmarkStart w:id="22" w:name="_Ref181953056"/>
      <w:bookmarkStart w:id="23" w:name="_Ref183428808"/>
      <w:r>
        <w:rPr>
          <w:noProof/>
          <w:lang w:val="en-GB" w:eastAsia="en-GB"/>
        </w:rPr>
        <mc:AlternateContent>
          <mc:Choice Requires="wps">
            <w:drawing>
              <wp:anchor distT="45720" distB="45720" distL="114300" distR="114300" simplePos="0" relativeHeight="251658245" behindDoc="0" locked="0" layoutInCell="1" allowOverlap="1" wp14:anchorId="585A87D6" wp14:editId="4C19AA3D">
                <wp:simplePos x="0" y="0"/>
                <wp:positionH relativeFrom="column">
                  <wp:posOffset>-920750</wp:posOffset>
                </wp:positionH>
                <wp:positionV relativeFrom="paragraph">
                  <wp:posOffset>3294380</wp:posOffset>
                </wp:positionV>
                <wp:extent cx="7562850" cy="1404620"/>
                <wp:effectExtent l="0" t="0" r="0" b="0"/>
                <wp:wrapNone/>
                <wp:docPr id="1581657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3093D013" w14:textId="71FE9CD6" w:rsidR="00E1029F" w:rsidRPr="00E444C6" w:rsidRDefault="00E1029F" w:rsidP="003E508B"/>
                          <w:p w14:paraId="31A23076" w14:textId="77777777" w:rsidR="00E1029F" w:rsidRPr="00B55F7A"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5A87D6" id="_x0000_s1031" type="#_x0000_t202" style="position:absolute;left:0;text-align:left;margin-left:-72.5pt;margin-top:259.4pt;width:595.5pt;height:110.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" filled="f" stroked="f">
                <v:textbox style="mso-fit-shape-to-text:t">
                  <w:txbxContent>
                    <w:p w14:paraId="3093D013" w14:textId="71FE9CD6" w:rsidR="00E1029F" w:rsidRPr="00E444C6" w:rsidRDefault="00E1029F" w:rsidP="003E508B"/>
                    <w:p w14:paraId="31A23076" w14:textId="77777777" w:rsidR="00E1029F" w:rsidRPr="00B55F7A" w:rsidRDefault="00E1029F" w:rsidP="00D74453">
                      <w:pPr>
                        <w:jc w:val="center"/>
                        <w:rPr>
                          <w:lang w:val="en-GB"/>
                        </w:rPr>
                      </w:pPr>
                    </w:p>
                  </w:txbxContent>
                </v:textbox>
              </v:shape>
            </w:pict>
          </mc:Fallback>
        </mc:AlternateContent>
      </w:r>
      <w:r w:rsidR="00A0395F" w:rsidRPr="00A0395F">
        <w:rPr>
          <w:noProof/>
          <w:lang w:val="en-GB" w:eastAsia="en-GB"/>
        </w:rPr>
        <w:drawing>
          <wp:inline distT="0" distB="0" distL="0" distR="0" wp14:anchorId="0AB95239" wp14:editId="22D61AC9">
            <wp:extent cx="5731510" cy="2840355"/>
            <wp:effectExtent l="0" t="0" r="2540" b="0"/>
            <wp:docPr id="1403950352" name="Picture 1"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50352" name="Picture 1" descr="A graph with blue and green bars&#10;&#10;AI-generated content may be incorrect."/>
                    <pic:cNvPicPr/>
                  </pic:nvPicPr>
                  <pic:blipFill>
                    <a:blip r:embed="rId42"/>
                    <a:stretch>
                      <a:fillRect/>
                    </a:stretch>
                  </pic:blipFill>
                  <pic:spPr>
                    <a:xfrm>
                      <a:off x="0" y="0"/>
                      <a:ext cx="5731510" cy="2840355"/>
                    </a:xfrm>
                    <a:prstGeom prst="rect">
                      <a:avLst/>
                    </a:prstGeom>
                  </pic:spPr>
                </pic:pic>
              </a:graphicData>
            </a:graphic>
          </wp:inline>
        </w:drawing>
      </w:r>
    </w:p>
    <w:p w14:paraId="58AEA361" w14:textId="7DF3FA04" w:rsidR="009F4946" w:rsidRPr="004A0A8E" w:rsidRDefault="009F4946" w:rsidP="009F4946">
      <w:pPr>
        <w:rPr>
          <w:noProof/>
        </w:rPr>
      </w:pPr>
      <w:r>
        <w:rPr>
          <w:noProof/>
          <w:sz w:val="20"/>
        </w:rPr>
        <w:t>Remarque: * Pays de l’EEE/AELE.</w:t>
      </w:r>
    </w:p>
    <w:p w14:paraId="4D13A09F" w14:textId="034B5E60" w:rsidR="00862309" w:rsidRPr="004A0A8E" w:rsidRDefault="00862309" w:rsidP="00862309">
      <w:pPr>
        <w:pStyle w:val="Heading3"/>
        <w:rPr>
          <w:noProof/>
        </w:rPr>
      </w:pPr>
      <w:bookmarkStart w:id="24" w:name="_Toc185251691"/>
      <w:bookmarkStart w:id="25" w:name="_Toc185499249"/>
      <w:bookmarkStart w:id="26" w:name="_Toc222394992"/>
      <w:bookmarkEnd w:id="22"/>
      <w:bookmarkEnd w:id="23"/>
      <w:r>
        <w:rPr>
          <w:noProof/>
        </w:rPr>
        <w:t>Point b): mesures visant à réduire la consommation de gobelets pour boissons et de récipients pour aliments</w:t>
      </w:r>
      <w:bookmarkEnd w:id="24"/>
      <w:bookmarkEnd w:id="25"/>
      <w:bookmarkEnd w:id="26"/>
    </w:p>
    <w:p w14:paraId="4E05F814" w14:textId="51ACA26C" w:rsidR="00862309" w:rsidRDefault="00160B1D" w:rsidP="00862309">
      <w:pPr>
        <w:rPr>
          <w:iCs/>
          <w:noProof/>
        </w:rPr>
      </w:pPr>
      <w:r>
        <w:rPr>
          <w:noProof/>
        </w:rPr>
        <w:t>Le modèle de déclaration fournissait une liste de mesures classées par catégorie et sous-catégorie, et les pays étaient invités à indiquer lesquelles de ces mesures ils appliquaient. Tous les pays ont déclaré avoir eu recours à des instruments économiques et la plupart ont déclaré avoir pris des mesures de sensibilisation et de promotion de substituts durables (figure 4). Pour la plupart des pays, les mesures communiquées pour les gobelets pour boissons et les récipients pour aliments étaient les mêmes.</w:t>
      </w:r>
    </w:p>
    <w:p w14:paraId="22AA5539" w14:textId="77777777" w:rsidR="00026E6D" w:rsidRPr="004A0A8E" w:rsidRDefault="00026E6D" w:rsidP="00026E6D">
      <w:pPr>
        <w:pStyle w:val="Caption"/>
        <w:rPr>
          <w:b w:val="0"/>
          <w:bCs/>
          <w:iCs/>
          <w:noProof/>
        </w:rPr>
      </w:pPr>
      <w:r>
        <w:rPr>
          <w:noProof/>
        </w:rPr>
        <w:t>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nombre de pays ayant mis en place des mesures visant à réduire la consommation pour les GB et les RA en plastique à usage unique en 2022 (États membres de l’UE et pays de l’EEE/AELE). </w:t>
      </w:r>
    </w:p>
    <w:p w14:paraId="4E4C522D" w14:textId="142222F9" w:rsidR="00F77A82" w:rsidRDefault="00F77A82" w:rsidP="00862309">
      <w:pPr>
        <w:jc w:val="center"/>
        <w:rPr>
          <w:i/>
          <w:noProof/>
        </w:rPr>
      </w:pPr>
    </w:p>
    <w:p w14:paraId="0F0C0E0B" w14:textId="6BBEAEB4" w:rsidR="00B4577F" w:rsidRDefault="00A0395F" w:rsidP="00B4577F">
      <w:pPr>
        <w:jc w:val="center"/>
        <w:rPr>
          <w:noProof/>
        </w:rPr>
      </w:pPr>
      <w:r w:rsidRPr="00A0395F">
        <w:rPr>
          <w:noProof/>
          <w:lang w:val="en-GB" w:eastAsia="en-GB"/>
        </w:rPr>
        <w:drawing>
          <wp:inline distT="0" distB="0" distL="0" distR="0" wp14:anchorId="0D41324B" wp14:editId="27FAE4BA">
            <wp:extent cx="5731510" cy="3685540"/>
            <wp:effectExtent l="0" t="0" r="2540" b="0"/>
            <wp:docPr id="1732571269"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71269" name="Picture 1" descr="A graph of different colored bars&#10;&#10;AI-generated content may be incorrect."/>
                    <pic:cNvPicPr/>
                  </pic:nvPicPr>
                  <pic:blipFill>
                    <a:blip r:embed="rId43"/>
                    <a:stretch>
                      <a:fillRect/>
                    </a:stretch>
                  </pic:blipFill>
                  <pic:spPr>
                    <a:xfrm>
                      <a:off x="0" y="0"/>
                      <a:ext cx="5731510" cy="3685540"/>
                    </a:xfrm>
                    <a:prstGeom prst="rect">
                      <a:avLst/>
                    </a:prstGeom>
                  </pic:spPr>
                </pic:pic>
              </a:graphicData>
            </a:graphic>
          </wp:inline>
        </w:drawing>
      </w:r>
    </w:p>
    <w:p w14:paraId="3744D363" w14:textId="5218734C" w:rsidR="00862309" w:rsidRDefault="00862309" w:rsidP="00862309">
      <w:pPr>
        <w:rPr>
          <w:iCs/>
          <w:noProof/>
        </w:rPr>
      </w:pPr>
      <w:r>
        <w:rPr>
          <w:noProof/>
        </w:rPr>
        <w:t>Les mesures sont souvent liées aux politiques relatives aux emballages ou à la mise en œuvre de la directive sur les plastiques à usage unique. Certaines mesures communiquées entreront en vigueur ultérieurement et ne sont pas encore mises en évidence dans le présent rapport.</w:t>
      </w:r>
    </w:p>
    <w:p w14:paraId="104EE1A9" w14:textId="6366CF32" w:rsidR="00862309" w:rsidRPr="007E01C2" w:rsidRDefault="001423E1" w:rsidP="00AA74EE">
      <w:pPr>
        <w:rPr>
          <w:iCs/>
          <w:noProof/>
        </w:rPr>
      </w:pPr>
      <w:r>
        <w:rPr>
          <w:noProof/>
        </w:rPr>
        <w:t xml:space="preserve">Les sous-catégories de mesures fréquemment communiquées étaient les suivantes: i) obligations en matière de responsabilité élargie du producteur (20 États membres de l’UE); ii) campagnes de sensibilisation relatives aux incidences négatives sur l’environnement (21 États membres de l’UE); iii) promotion de substituts durables de ces produits en plastique à usage unique (récipients alimentaires réutilisables, par exemple) (19 États membres d’UE); iv) mesures obligeant ou incitant les entreprises à fournir, au point de vente, des substituts durables de produits en plastique à usage unique au consommateur final (17 États membres de l’UE); et v) promotion de sources d’approvisionnement en eau potable publiques gratuites incitant les gens à apporter leur propre gobelet ou à boire directement au jet (14 États membres de l’UE). 14 États membres de l’UE ont déclaré avoir introduit des objectifs quantitatifs de réduction de la quantité de GB et de RA en plastique à usage unique mis sur le marché. Voir l’annexe 1 pour l’ensemble des mesures par catégorie et sous-catégorie et l’annexe 2 pour plus de détails sur les objectifs quantitatifs. </w:t>
      </w:r>
    </w:p>
    <w:p w14:paraId="270C403E" w14:textId="2612174E" w:rsidR="00862309" w:rsidRDefault="00862309" w:rsidP="00862309">
      <w:pPr>
        <w:rPr>
          <w:noProof/>
        </w:rPr>
      </w:pPr>
      <w:r>
        <w:rPr>
          <w:noProof/>
        </w:rPr>
        <w:t xml:space="preserve">Le nombre total de mesures en vigueur variait d’un pays à l’autre (figure 5). Il convient de noter que les pays ont très souvent fait référence au même instrument politique dans différentes catégories et sous-catégories de mesures. Certains pays ont cité plusieurs politiques comme références pour une sous-catégorie spécifique. </w:t>
      </w:r>
    </w:p>
    <w:p w14:paraId="3F358644" w14:textId="77777777" w:rsidR="00026E6D" w:rsidRDefault="00026E6D" w:rsidP="00026E6D">
      <w:pPr>
        <w:pStyle w:val="Caption"/>
        <w:rPr>
          <w:b w:val="0"/>
          <w:bCs/>
          <w:iCs/>
          <w:noProof/>
        </w:rPr>
      </w:pPr>
      <w:r>
        <w:rPr>
          <w:noProof/>
        </w:rPr>
        <w:t>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mesures de réduction de la consommation en vigueur pour les GB et les RA en plastique à usage unique en 2022 (États membres de l’UE et pays de l’EEE/AELE).</w:t>
      </w:r>
      <w:r>
        <w:rPr>
          <w:b w:val="0"/>
          <w:noProof/>
        </w:rPr>
        <w:t xml:space="preserve"> </w:t>
      </w:r>
    </w:p>
    <w:p w14:paraId="7E9C1C5D" w14:textId="251FADC2" w:rsidR="004046F0" w:rsidRPr="004046F0" w:rsidRDefault="004046F0" w:rsidP="004046F0">
      <w:pPr>
        <w:rPr>
          <w:noProof/>
          <w:lang w:val="en-IE"/>
        </w:rPr>
      </w:pPr>
      <w:r w:rsidRPr="004046F0">
        <w:rPr>
          <w:noProof/>
          <w:lang w:val="en-GB" w:eastAsia="en-GB"/>
        </w:rPr>
        <w:drawing>
          <wp:inline distT="0" distB="0" distL="0" distR="0" wp14:anchorId="7F912742" wp14:editId="2A4EB2CB">
            <wp:extent cx="5731510" cy="3712210"/>
            <wp:effectExtent l="0" t="0" r="2540" b="2540"/>
            <wp:docPr id="1281783565"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83565" name="Picture 2" descr="A graph of different colored bars&#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3712210"/>
                    </a:xfrm>
                    <a:prstGeom prst="rect">
                      <a:avLst/>
                    </a:prstGeom>
                    <a:noFill/>
                    <a:ln>
                      <a:noFill/>
                    </a:ln>
                  </pic:spPr>
                </pic:pic>
              </a:graphicData>
            </a:graphic>
          </wp:inline>
        </w:drawing>
      </w:r>
    </w:p>
    <w:p w14:paraId="635B6630" w14:textId="77777777" w:rsidR="00B4577F" w:rsidRPr="00B4577F" w:rsidRDefault="00B4577F" w:rsidP="00B4577F">
      <w:pPr>
        <w:tabs>
          <w:tab w:val="left" w:pos="1418"/>
        </w:tabs>
        <w:spacing w:after="0" w:line="240" w:lineRule="auto"/>
        <w:rPr>
          <w:noProof/>
          <w:sz w:val="16"/>
          <w:szCs w:val="16"/>
        </w:rPr>
      </w:pPr>
    </w:p>
    <w:p w14:paraId="1FA083B4" w14:textId="5A0C2C3B" w:rsidR="00920486" w:rsidRPr="004A0A8E" w:rsidRDefault="00920486" w:rsidP="00862309">
      <w:pPr>
        <w:rPr>
          <w:noProof/>
        </w:rPr>
      </w:pPr>
      <w:r>
        <w:rPr>
          <w:noProof/>
          <w:sz w:val="20"/>
        </w:rPr>
        <w:t>Remarque: * Pays de l’EEE/AELE.</w:t>
      </w:r>
    </w:p>
    <w:p w14:paraId="1C820F00" w14:textId="5459C2D5" w:rsidR="00FB1EC8" w:rsidRDefault="00E23101" w:rsidP="00E965E4">
      <w:pPr>
        <w:rPr>
          <w:noProof/>
        </w:rPr>
      </w:pPr>
      <w:r>
        <w:rPr>
          <w:noProof/>
        </w:rPr>
        <w:t xml:space="preserve">Ces chiffres ne donnent aucune indication sur le degré d’application et le niveau de mise en œuvre des mesures visées. En outre, il n’est pas possible d’évaluer si les mesures communiquées sont proportionnées et non discriminatoires. </w:t>
      </w:r>
      <w:bookmarkStart w:id="27" w:name="_Ref182494975"/>
      <w:bookmarkStart w:id="28" w:name="_Toc185251692"/>
      <w:bookmarkStart w:id="29" w:name="_Toc185499250"/>
    </w:p>
    <w:p w14:paraId="1AE4009A" w14:textId="2239BFDC" w:rsidR="00862309" w:rsidRPr="004A0A8E" w:rsidRDefault="00862309" w:rsidP="00862309">
      <w:pPr>
        <w:pStyle w:val="Heading3"/>
        <w:rPr>
          <w:noProof/>
        </w:rPr>
      </w:pPr>
      <w:bookmarkStart w:id="30" w:name="_Toc222394993"/>
      <w:r>
        <w:rPr>
          <w:noProof/>
        </w:rPr>
        <w:t>Point c): collecte séparée des bouteilles pour boissons en plastique à usage unique</w:t>
      </w:r>
      <w:bookmarkEnd w:id="27"/>
      <w:bookmarkEnd w:id="28"/>
      <w:bookmarkEnd w:id="29"/>
      <w:bookmarkEnd w:id="30"/>
    </w:p>
    <w:p w14:paraId="37F7E372" w14:textId="73328B76" w:rsidR="00862309" w:rsidRPr="004A0A8E" w:rsidRDefault="00862309" w:rsidP="00862309">
      <w:pPr>
        <w:rPr>
          <w:noProof/>
        </w:rPr>
      </w:pPr>
      <w:r>
        <w:rPr>
          <w:noProof/>
        </w:rPr>
        <w:t>Les 29 pays (27 États membres de l’UE et 2 pays de l’EEE/AELE) ont communiqué des données sur le poids des bouteilles pour boissons en plastique à usage unique mises sur le marché. Certains pays ont mentionné l’incidence des mouvements de ces bouteilles entre les pays de l’UE et des exportations/importations en provenance de pays tiers dans les données communiquées</w:t>
      </w:r>
      <w:r>
        <w:rPr>
          <w:rStyle w:val="FootnoteReference"/>
          <w:iCs/>
          <w:noProof/>
        </w:rPr>
        <w:footnoteReference w:id="4"/>
      </w:r>
      <w:r>
        <w:rPr>
          <w:noProof/>
        </w:rPr>
        <w:t>, mais ces pays n’ont communiqué aucun chiffre distinct pour l’un ou l’autre de ces phénomènes</w:t>
      </w:r>
      <w:r>
        <w:rPr>
          <w:rStyle w:val="FootnoteReference"/>
          <w:iCs/>
          <w:noProof/>
        </w:rPr>
        <w:footnoteReference w:id="5"/>
      </w:r>
      <w:r>
        <w:rPr>
          <w:noProof/>
        </w:rPr>
        <w:t>. 4 États membres de l’UE ont fait usage de l’option prévue dans la décision d’exécution (UE) 2021/1752 de la Commission pour estimer les quantités de bouteilles mises sur le marché d’après le poids des déchets issus de ce produit. Dans ce cas, les pays étaient tenus de communiquer les quantités sur la base de quatre flux de déchets: i) les déchets collectés séparément conformément aux exigences énoncées dans la directive sur les plastiques à usage unique</w:t>
      </w:r>
      <w:r>
        <w:rPr>
          <w:rStyle w:val="FootnoteReference"/>
          <w:iCs/>
          <w:noProof/>
        </w:rPr>
        <w:footnoteReference w:id="6"/>
      </w:r>
      <w:r>
        <w:rPr>
          <w:noProof/>
        </w:rPr>
        <w:t>; ii) les déchets collectés séparément mais sans se conformer aux exigences de la directive sur les plastiques à usage unique; iii) les déchets municipaux en mélange; et iv) les déchets sauvages. Des données ont été fournies sur tous les flux, à l’exception du point ii).</w:t>
      </w:r>
    </w:p>
    <w:p w14:paraId="755535DF" w14:textId="45834E33" w:rsidR="00862309" w:rsidRDefault="00862309" w:rsidP="00862309">
      <w:pPr>
        <w:rPr>
          <w:iCs/>
          <w:noProof/>
        </w:rPr>
      </w:pPr>
      <w:r>
        <w:rPr>
          <w:noProof/>
        </w:rPr>
        <w:t xml:space="preserve">Un total de 2,56 millions de tonnes (dont 2,54 millions provenaient d’États membres de l’UE) de bouteilles pour boissons en plastique à usage unique ont été déclarées comme mises sur le marché en 2022, ce qui correspond à 5,7 kg par habitant (également applicable au sous-ensemble d’États membres de l’UE). 1,83 million de tonnes (dont 1,8 million provenaient d’États membres de l’UE) ont été déclarées comme collectées séparément conformément aux exigences énoncées dans la directive sur les plastiques à usage unique, ce qui correspond à un taux de collecte séparée total de 71 % pour les États membres de l’UE (71,2 % si l’on tient également compte des pays de l’EEE/AELE). 12 (10 États membres de l’UE) parmi les 26 pays déclarants ont communiqué des taux de collecte séparée supérieurs à l’objectif de 77 % fixé pour 2025 par la directive sur les plastiques à usage unique, tandis que 6 États membres de l’UE ont même communiqué des taux de collecte séparée supérieurs à l’objectif de 90 % fixé pour 2029 (figure 7). </w:t>
      </w:r>
    </w:p>
    <w:p w14:paraId="25B90CC7" w14:textId="77777777" w:rsidR="00B4577F" w:rsidRDefault="00B4577F" w:rsidP="00026E6D">
      <w:pPr>
        <w:pStyle w:val="Caption"/>
        <w:rPr>
          <w:noProof/>
        </w:rPr>
      </w:pPr>
    </w:p>
    <w:p w14:paraId="40BD22D4" w14:textId="77777777" w:rsidR="00B4577F" w:rsidRDefault="00B4577F">
      <w:pPr>
        <w:jc w:val="left"/>
        <w:rPr>
          <w:rFonts w:eastAsia="ヒラギノ角ゴ Pro W3" w:cs="Times New Roman"/>
          <w:b/>
          <w:noProof/>
          <w:color w:val="44546A" w:themeColor="text2"/>
          <w:szCs w:val="18"/>
        </w:rPr>
      </w:pPr>
      <w:r>
        <w:rPr>
          <w:noProof/>
        </w:rPr>
        <w:br w:type="page"/>
      </w:r>
    </w:p>
    <w:p w14:paraId="4EEFD07B" w14:textId="3C0C58F2" w:rsidR="00026E6D" w:rsidRDefault="00026E6D" w:rsidP="00026E6D">
      <w:pPr>
        <w:pStyle w:val="Caption"/>
        <w:rPr>
          <w:noProof/>
        </w:rPr>
      </w:pPr>
      <w:r>
        <w:rPr>
          <w:noProof/>
        </w:rPr>
        <w:t>Figure </w:t>
      </w:r>
      <w:r>
        <w:rPr>
          <w:b w:val="0"/>
          <w:noProof/>
        </w:rPr>
        <w:fldChar w:fldCharType="begin"/>
      </w:r>
      <w:r>
        <w:rPr>
          <w:noProof/>
        </w:rPr>
        <w:instrText xml:space="preserve"> SEQ Figure \* ARABIC </w:instrText>
      </w:r>
      <w:r>
        <w:rPr>
          <w:b w:val="0"/>
          <w:noProof/>
        </w:rPr>
        <w:fldChar w:fldCharType="separate"/>
      </w:r>
      <w:r>
        <w:rPr>
          <w:noProof/>
        </w:rPr>
        <w:t>6</w:t>
      </w:r>
      <w:r>
        <w:rPr>
          <w:b w:val="0"/>
          <w:noProof/>
        </w:rPr>
        <w:fldChar w:fldCharType="end"/>
      </w:r>
      <w:r>
        <w:rPr>
          <w:noProof/>
        </w:rPr>
        <w:t>: bouteilles pour boissons en plastique à usage unique mises sur le marché et collectées séparément (États membres de l’UE), valeurs totales en 2022.</w:t>
      </w:r>
    </w:p>
    <w:p w14:paraId="57A6906F" w14:textId="0B6932C1" w:rsidR="00B4577F" w:rsidRDefault="00943709" w:rsidP="00B4577F">
      <w:pPr>
        <w:pStyle w:val="Caption"/>
        <w:jc w:val="center"/>
        <w:rPr>
          <w:noProof/>
        </w:rPr>
      </w:pPr>
      <w:r w:rsidRPr="00943709">
        <w:rPr>
          <w:noProof/>
          <w:lang w:val="en-GB" w:eastAsia="en-GB"/>
        </w:rPr>
        <w:drawing>
          <wp:inline distT="0" distB="0" distL="0" distR="0" wp14:anchorId="5DCCBCA0" wp14:editId="06844E7D">
            <wp:extent cx="5731510" cy="3580130"/>
            <wp:effectExtent l="0" t="0" r="2540" b="1270"/>
            <wp:docPr id="298825409" name="Picture 1" descr="A graph of sa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25409" name="Picture 1" descr="A graph of sales&#10;&#10;AI-generated content may be incorrect."/>
                    <pic:cNvPicPr/>
                  </pic:nvPicPr>
                  <pic:blipFill>
                    <a:blip r:embed="rId45"/>
                    <a:stretch>
                      <a:fillRect/>
                    </a:stretch>
                  </pic:blipFill>
                  <pic:spPr>
                    <a:xfrm>
                      <a:off x="0" y="0"/>
                      <a:ext cx="5731510" cy="3580130"/>
                    </a:xfrm>
                    <a:prstGeom prst="rect">
                      <a:avLst/>
                    </a:prstGeom>
                  </pic:spPr>
                </pic:pic>
              </a:graphicData>
            </a:graphic>
          </wp:inline>
        </w:drawing>
      </w:r>
    </w:p>
    <w:p w14:paraId="2DCEAB78" w14:textId="407C713E" w:rsidR="00142FB4" w:rsidRDefault="00026E6D" w:rsidP="008421AF">
      <w:pPr>
        <w:pStyle w:val="Caption"/>
        <w:rPr>
          <w:noProof/>
        </w:rPr>
      </w:pPr>
      <w:r>
        <w:rPr>
          <w:noProof/>
        </w:rPr>
        <w:t>Figure </w:t>
      </w:r>
      <w:r>
        <w:rPr>
          <w:b w:val="0"/>
          <w:noProof/>
        </w:rPr>
        <w:fldChar w:fldCharType="begin"/>
      </w:r>
      <w:r>
        <w:rPr>
          <w:noProof/>
        </w:rPr>
        <w:instrText xml:space="preserve"> SEQ Figure \* ARABIC </w:instrText>
      </w:r>
      <w:r>
        <w:rPr>
          <w:b w:val="0"/>
          <w:noProof/>
        </w:rPr>
        <w:fldChar w:fldCharType="separate"/>
      </w:r>
      <w:r>
        <w:rPr>
          <w:noProof/>
        </w:rPr>
        <w:t>7</w:t>
      </w:r>
      <w:r>
        <w:rPr>
          <w:b w:val="0"/>
          <w:noProof/>
        </w:rPr>
        <w:fldChar w:fldCharType="end"/>
      </w:r>
      <w:r>
        <w:rPr>
          <w:noProof/>
        </w:rPr>
        <w:t xml:space="preserve">: taux de collecte séparée des bouteilles pour boissons en plastique à usage unique par pays en 2022 (États membres de l’UE et pays de l’EEE/AELE). </w:t>
      </w:r>
    </w:p>
    <w:p w14:paraId="3095C284" w14:textId="15EDF445" w:rsidR="00B4577F" w:rsidRDefault="00943709" w:rsidP="00B4577F">
      <w:pPr>
        <w:jc w:val="center"/>
        <w:rPr>
          <w:noProof/>
          <w:sz w:val="20"/>
        </w:rPr>
      </w:pPr>
      <w:r w:rsidRPr="00943709">
        <w:rPr>
          <w:noProof/>
          <w:sz w:val="20"/>
          <w:lang w:val="en-GB" w:eastAsia="en-GB"/>
        </w:rPr>
        <w:drawing>
          <wp:inline distT="0" distB="0" distL="0" distR="0" wp14:anchorId="64C0A8EC" wp14:editId="5B7005B4">
            <wp:extent cx="5731510" cy="3623310"/>
            <wp:effectExtent l="0" t="0" r="2540" b="0"/>
            <wp:docPr id="871503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036" name="Picture 1" descr="A graph of different colored lines&#10;&#10;AI-generated content may be incorrect."/>
                    <pic:cNvPicPr/>
                  </pic:nvPicPr>
                  <pic:blipFill>
                    <a:blip r:embed="rId46"/>
                    <a:stretch>
                      <a:fillRect/>
                    </a:stretch>
                  </pic:blipFill>
                  <pic:spPr>
                    <a:xfrm>
                      <a:off x="0" y="0"/>
                      <a:ext cx="5731510" cy="3623310"/>
                    </a:xfrm>
                    <a:prstGeom prst="rect">
                      <a:avLst/>
                    </a:prstGeom>
                  </pic:spPr>
                </pic:pic>
              </a:graphicData>
            </a:graphic>
          </wp:inline>
        </w:drawing>
      </w:r>
    </w:p>
    <w:p w14:paraId="41407636" w14:textId="626750DB" w:rsidR="00862309" w:rsidRPr="004A0A8E" w:rsidRDefault="00862309" w:rsidP="00862309">
      <w:pPr>
        <w:rPr>
          <w:noProof/>
        </w:rPr>
      </w:pPr>
      <w:r>
        <w:rPr>
          <w:noProof/>
          <w:sz w:val="20"/>
        </w:rPr>
        <w:t xml:space="preserve">Remarque: Les pays sont classés en fonction du taux de collecte séparée. La Slovénie n’a pas communiqué de données. </w:t>
      </w:r>
    </w:p>
    <w:p w14:paraId="7BDE5583" w14:textId="53D7E77E" w:rsidR="00862309" w:rsidRPr="00B75F2E" w:rsidRDefault="00652835" w:rsidP="00862309">
      <w:pPr>
        <w:rPr>
          <w:noProof/>
        </w:rPr>
      </w:pPr>
      <w:r>
        <w:rPr>
          <w:noProof/>
        </w:rPr>
        <w:t>En particulier, 10 des 12 pays qui avaient déjà atteint l’objectif de 2025 en 2022 ont mis en place des systèmes de consigne pour les bouteilles pour boissons en plastique à usage unique. Cela montre l’efficacité des systèmes de consigne, que les États membres devront introduire dans le cadre du nouveau règlement relatif aux emballages et aux déchets d’emballages. De nombreux pays mettent déjà en place ces systèmes de consigne ou prévoient de le faire prochainement (voir l’annexe 3 pour plus de détails).</w:t>
      </w:r>
    </w:p>
    <w:p w14:paraId="39E2F04F" w14:textId="5BEC7B6B" w:rsidR="00862309" w:rsidRPr="004A0A8E" w:rsidRDefault="00862309" w:rsidP="00EC0C7F">
      <w:pPr>
        <w:rPr>
          <w:iCs/>
          <w:noProof/>
        </w:rPr>
      </w:pPr>
      <w:r>
        <w:rPr>
          <w:noProof/>
        </w:rPr>
        <w:t xml:space="preserve">Les quantités de bouteilles pour boissons en plastique à usage unique mises sur le marché variaient considérablement d’un pays à l’autre en 2022 (voir les valeurs absolues et par habitant à l’annexe 4). Comme prévu, les pays dont la population est la plus importante ont enregistré les valeurs absolues les plus élevées (Allemagne, Italie, France, Pologne et Espagne). Malte et Chypre ont toutefois communiqué les valeurs par habitant les plus élevées. En ce qui concerne la collecte séparée, 23 pays (22 États membres de l’UE) ont déclaré des bouteilles en plastique à usage unique qui font l’objet d’une collecte séparée ayant été collectées avec d’autres déchets. 18 pays ont communiqué des quantités de bouteilles en plastique à usage unique collectées séparément de tout autre déchet, principalement au moyen de systèmes de consigne. Les autres pays n’ont pas communiqué de valeurs différentes de zéro, en raison: i) de l’absence de systèmes de collecte séparée de tout autre déchet; ii) du fait que la collecte des bouteilles s’effectue en même temps que d’autres déchets secs; ou iii) de l’incertitude de certains pays quant au fait que leurs systèmes permettent de collecter des bouteilles de manière totalement séparée de tout autre déchet. </w:t>
      </w:r>
    </w:p>
    <w:p w14:paraId="4C8A98F2" w14:textId="1A47A857" w:rsidR="00862309" w:rsidRPr="004A0A8E" w:rsidRDefault="00862309" w:rsidP="00862309">
      <w:pPr>
        <w:pStyle w:val="Heading3"/>
        <w:rPr>
          <w:noProof/>
        </w:rPr>
      </w:pPr>
      <w:bookmarkStart w:id="31" w:name="_Toc222394994"/>
      <w:bookmarkStart w:id="32" w:name="_Toc185251693"/>
      <w:bookmarkStart w:id="33" w:name="_Toc185499251"/>
      <w:r>
        <w:rPr>
          <w:noProof/>
        </w:rPr>
        <w:t>Point d): quantités d’engins de pêche contenant du plastique mises sur le marché et collectées en tant que déchets</w:t>
      </w:r>
      <w:bookmarkEnd w:id="31"/>
      <w:r>
        <w:rPr>
          <w:noProof/>
        </w:rPr>
        <w:t xml:space="preserve"> </w:t>
      </w:r>
      <w:bookmarkEnd w:id="32"/>
      <w:bookmarkEnd w:id="33"/>
    </w:p>
    <w:p w14:paraId="7C1A6B1B" w14:textId="082F428C" w:rsidR="00862309" w:rsidRPr="00671AB3" w:rsidRDefault="00862309" w:rsidP="00862309">
      <w:pPr>
        <w:rPr>
          <w:noProof/>
        </w:rPr>
      </w:pPr>
      <w:r>
        <w:rPr>
          <w:noProof/>
        </w:rPr>
        <w:t xml:space="preserve">Au total, 25 pays (23 États membres de l’UE et 2 pays de l’EEE/AELE) ont communiqué des données sur les engins de pêche contenant du plastique mis sur le marché, et 22 de ces pays (20 États membres de l’UE et 2 pays de l’EEE/AELE) ont communiqué des données sur les déchets d’engins de pêche collectés. La plupart des pays n’ont communiqué que les données obligatoires, c’est-à-dire les quantités totales d’engins de pêche, sans ventilation supplémentaire. Toutefois, 6 pays (cinq États membres de l’UE) ont fourni une ventilation supplémentaire des données, soit par type d’engin de pêche, soit par matériau (plastique, métal, caoutchouc) (voir l’annexe 5 pour les données ventilées). </w:t>
      </w:r>
    </w:p>
    <w:p w14:paraId="0A4B2652" w14:textId="646DE54C" w:rsidR="00862309" w:rsidRDefault="007D6AE3" w:rsidP="00862309">
      <w:pPr>
        <w:rPr>
          <w:iCs/>
          <w:noProof/>
        </w:rPr>
      </w:pPr>
      <w:r>
        <w:rPr>
          <w:noProof/>
        </w:rPr>
        <w:t>Pour</w:t>
      </w:r>
      <w:r w:rsidR="0024411E">
        <w:rPr>
          <w:noProof/>
        </w:rPr>
        <w:t xml:space="preserve"> 2022, un total de 67 000 tonnes (dont 22 900 provenaient d’États membres de l’UE) d’engins de pêche ont été déclarés comme mis sur le marché et 24 700 tonnes (dont 7 500 provenaient d’États membres de l’UE) comme déchets d’engins de pêche collectés</w:t>
      </w:r>
      <w:r w:rsidR="0024411E">
        <w:rPr>
          <w:rStyle w:val="FootnoteReference"/>
          <w:iCs/>
          <w:noProof/>
        </w:rPr>
        <w:footnoteReference w:id="7"/>
      </w:r>
      <w:r w:rsidR="0024411E">
        <w:rPr>
          <w:noProof/>
        </w:rPr>
        <w:t>. Cela correspond à un taux de collecte total de 32,7 % pour les États membres de l’UE (36,8 % si l’on inclut également les pays de l’EEE-AELE) (figure 8). Les taux de collecte variaient d’un pays à l’autre, allant de 0 % à des valeurs supérieures à 100 % (figure 9) (ces dernières étant généralement observées dans les pays dont le littoral est étendu). Dans l’ensemble, les pays enclavés ont déclaré des valeurs de 0 % pour les quantités mises sur le marché et collectées, même si les engins de pêche pourraient éventuellement être mis sur leur marché. Bien que la directive sur les plastiques à usage unique ne fixe pas d’objectifs de collecte quantitatifs contraignants, les États membres qui ont des eaux marines sont tenus de fixer des taux de collecte nationaux annuels pour les déchets d’engins de pêche contenant du plastique en vue du recyclage à partir du 1</w:t>
      </w:r>
      <w:r w:rsidR="0024411E">
        <w:rPr>
          <w:noProof/>
          <w:vertAlign w:val="superscript"/>
        </w:rPr>
        <w:t>er</w:t>
      </w:r>
      <w:r w:rsidR="0024411E">
        <w:rPr>
          <w:noProof/>
        </w:rPr>
        <w:t> janvier 2025. Les données communiquées cette année serviront de base à l’évaluation de la faisabilité de la fixation d’objectifs de collecte contraignants à la suite de l’évaluation de la directive sur les plastiques à usage unique en 2027.</w:t>
      </w:r>
    </w:p>
    <w:p w14:paraId="6B14D28A" w14:textId="4653B165" w:rsidR="00F1284D" w:rsidRDefault="00F72DE1" w:rsidP="00010AFC">
      <w:pPr>
        <w:rPr>
          <w:iCs/>
          <w:noProof/>
        </w:rPr>
      </w:pPr>
      <w:r>
        <w:rPr>
          <w:noProof/>
        </w:rPr>
        <w:t>Les quantités d’engins de pêche mis sur le marché et collectés variaient considérablement d’un pays à l’autre (figure 10), avec une forte corrélation entre: i) les quantités mises sur le marché et les quantités collectées; et ii) ces valeurs et le tonnage de la flotte de pêche dans chaque pays (voir l’annexe 6 pour les données relatives à la taille des flottes de pêche). Les valeurs par pays allaient de quelques tonnes à plus de 42 000 tonnes mises sur le marché et jusqu’à 15 000 tonnes de déchets d’engins de pêche collectés. Les quantités les plus élevées mises sur le marché ont été communiquées par la Norvège, la Lituanie, la France et le Portugal. Cela semble refléter en partie des situations différentes selon les pays, mais aussi des écarts dans les efforts de collecte de données (voir la section «Sources de données et méthodes»), étant donné que les pays ont souvent fait part de difficultés à communiquer des données exactes (voir la section «Fiabilité»).</w:t>
      </w:r>
    </w:p>
    <w:p w14:paraId="7D7A7394" w14:textId="77777777" w:rsidR="00026E6D" w:rsidRPr="004A0A8E" w:rsidRDefault="00026E6D" w:rsidP="00026E6D">
      <w:pPr>
        <w:pStyle w:val="Caption"/>
        <w:rPr>
          <w:noProof/>
        </w:rPr>
      </w:pPr>
      <w:bookmarkStart w:id="34" w:name="_Ref181966445"/>
      <w:r>
        <w:rPr>
          <w:noProof/>
        </w:rPr>
        <w:t>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bookmarkEnd w:id="34"/>
      <w:r>
        <w:rPr>
          <w:noProof/>
        </w:rPr>
        <w:t>: engins de pêche mis sur le marché et déchets d’engins de pêche collectés, valeurs totales pour 2022 (États membres de l’UE et pays de l’EEE/AELE).</w:t>
      </w:r>
    </w:p>
    <w:p w14:paraId="3E42AE71" w14:textId="347641B5" w:rsidR="00BC25F7" w:rsidRDefault="00943709" w:rsidP="00862309">
      <w:pPr>
        <w:jc w:val="center"/>
        <w:rPr>
          <w:noProof/>
        </w:rPr>
      </w:pPr>
      <w:r w:rsidRPr="00943709">
        <w:rPr>
          <w:noProof/>
          <w:lang w:val="en-GB" w:eastAsia="en-GB"/>
        </w:rPr>
        <w:drawing>
          <wp:inline distT="0" distB="0" distL="0" distR="0" wp14:anchorId="37C37D58" wp14:editId="2D4A9D11">
            <wp:extent cx="5449060" cy="3439005"/>
            <wp:effectExtent l="0" t="0" r="0" b="9525"/>
            <wp:docPr id="330917732" name="Picture 1" descr="A graph with blu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17732" name="Picture 1" descr="A graph with blue and green squares&#10;&#10;AI-generated content may be incorrect."/>
                    <pic:cNvPicPr/>
                  </pic:nvPicPr>
                  <pic:blipFill>
                    <a:blip r:embed="rId47"/>
                    <a:stretch>
                      <a:fillRect/>
                    </a:stretch>
                  </pic:blipFill>
                  <pic:spPr>
                    <a:xfrm>
                      <a:off x="0" y="0"/>
                      <a:ext cx="5449060" cy="3439005"/>
                    </a:xfrm>
                    <a:prstGeom prst="rect">
                      <a:avLst/>
                    </a:prstGeom>
                  </pic:spPr>
                </pic:pic>
              </a:graphicData>
            </a:graphic>
          </wp:inline>
        </w:drawing>
      </w:r>
    </w:p>
    <w:p w14:paraId="160510B2" w14:textId="08EA9838" w:rsidR="00267F94" w:rsidRPr="004A0A8E" w:rsidRDefault="00267F94" w:rsidP="00267F94">
      <w:pPr>
        <w:rPr>
          <w:noProof/>
        </w:rPr>
      </w:pPr>
      <w:bookmarkStart w:id="35" w:name="_Ref181966518"/>
      <w:r>
        <w:rPr>
          <w:noProof/>
        </w:rPr>
        <w:t>Remarque: Les données dont la confidentialité est demandée sont exclues des chiffres.</w:t>
      </w:r>
    </w:p>
    <w:p w14:paraId="41193FC8" w14:textId="77777777" w:rsidR="00B97C95" w:rsidRDefault="00B97C95">
      <w:pPr>
        <w:jc w:val="left"/>
        <w:rPr>
          <w:rFonts w:eastAsia="ヒラギノ角ゴ Pro W3" w:cs="Times New Roman"/>
          <w:b/>
          <w:noProof/>
          <w:color w:val="44546A" w:themeColor="text2"/>
          <w:szCs w:val="18"/>
        </w:rPr>
      </w:pPr>
      <w:r>
        <w:rPr>
          <w:noProof/>
        </w:rPr>
        <w:br w:type="page"/>
      </w:r>
    </w:p>
    <w:p w14:paraId="47BB7FD9" w14:textId="0C089A6F" w:rsidR="00026E6D" w:rsidRPr="004A0A8E" w:rsidRDefault="00026E6D" w:rsidP="00026E6D">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35"/>
      <w:r>
        <w:rPr>
          <w:noProof/>
        </w:rPr>
        <w:t xml:space="preserve">: taux de collecte des déchets d’engins de pêche par pays, 2022 (États membres de l’UE et pays de l’EEE/AELE). </w:t>
      </w:r>
      <w:r>
        <w:rPr>
          <w:b w:val="0"/>
          <w:noProof/>
        </w:rPr>
        <w:t>Source: propre calcul fondé sur les données communiquées, à savoir les quantités mises sur le marché divisées par les quantités collectées.</w:t>
      </w:r>
    </w:p>
    <w:p w14:paraId="45D0DE2F" w14:textId="28BF8622" w:rsidR="00367476" w:rsidRPr="004A0A8E" w:rsidRDefault="005411A3" w:rsidP="004A65CC">
      <w:pPr>
        <w:spacing w:after="0"/>
        <w:jc w:val="center"/>
        <w:rPr>
          <w:noProof/>
        </w:rPr>
      </w:pPr>
      <w:r w:rsidRPr="005411A3">
        <w:rPr>
          <w:noProof/>
          <w:lang w:val="en-GB" w:eastAsia="en-GB"/>
        </w:rPr>
        <w:drawing>
          <wp:inline distT="0" distB="0" distL="0" distR="0" wp14:anchorId="35CAFB55" wp14:editId="51646251">
            <wp:extent cx="5731510" cy="2673350"/>
            <wp:effectExtent l="0" t="0" r="2540" b="0"/>
            <wp:docPr id="420113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2673350"/>
                    </a:xfrm>
                    <a:prstGeom prst="rect">
                      <a:avLst/>
                    </a:prstGeom>
                    <a:noFill/>
                    <a:ln>
                      <a:noFill/>
                    </a:ln>
                  </pic:spPr>
                </pic:pic>
              </a:graphicData>
            </a:graphic>
          </wp:inline>
        </w:drawing>
      </w:r>
    </w:p>
    <w:p w14:paraId="740FED22" w14:textId="3CEA744D" w:rsidR="000E0FF6" w:rsidRPr="004A0A8E" w:rsidRDefault="00862309" w:rsidP="004A650E">
      <w:pPr>
        <w:rPr>
          <w:iCs/>
          <w:noProof/>
        </w:rPr>
      </w:pPr>
      <w:r>
        <w:rPr>
          <w:noProof/>
          <w:sz w:val="20"/>
        </w:rPr>
        <w:t xml:space="preserve">Remarque: Les pays qui ont communiqué des données sont classés en fonction de leur taux de collecte. </w:t>
      </w:r>
    </w:p>
    <w:p w14:paraId="4C02D521" w14:textId="77777777" w:rsidR="00F81411" w:rsidRDefault="00F81411">
      <w:pPr>
        <w:jc w:val="left"/>
        <w:rPr>
          <w:b/>
          <w:noProof/>
          <w:color w:val="44546A" w:themeColor="text2"/>
        </w:rPr>
      </w:pPr>
      <w:bookmarkStart w:id="36" w:name="_Ref181775049"/>
      <w:r>
        <w:rPr>
          <w:b/>
          <w:noProof/>
          <w:color w:val="44546A" w:themeColor="text2"/>
        </w:rPr>
        <w:br w:type="page"/>
      </w:r>
    </w:p>
    <w:p w14:paraId="479A7877" w14:textId="66865F4C" w:rsidR="00026E6D" w:rsidRPr="004A0A8E" w:rsidRDefault="00026E6D" w:rsidP="00026E6D">
      <w:pPr>
        <w:rPr>
          <w:rFonts w:eastAsia="ヒラギノ角ゴ Pro W3" w:cs="Times New Roman"/>
          <w:b/>
          <w:noProof/>
          <w:color w:val="44546A" w:themeColor="text2"/>
          <w:szCs w:val="18"/>
        </w:rPr>
      </w:pPr>
      <w:r>
        <w:rPr>
          <w:b/>
          <w:noProof/>
          <w:color w:val="44546A" w:themeColor="text2"/>
        </w:rPr>
        <w:t>Figure </w:t>
      </w:r>
      <w:r>
        <w:rPr>
          <w:rFonts w:eastAsia="ヒラギノ角ゴ Pro W3" w:cs="Times New Roman"/>
          <w:b/>
          <w:noProof/>
          <w:color w:val="44546A" w:themeColor="text2"/>
        </w:rPr>
        <w:fldChar w:fldCharType="begin"/>
      </w:r>
      <w:r>
        <w:rPr>
          <w:rFonts w:eastAsia="ヒラギノ角ゴ Pro W3" w:cs="Times New Roman"/>
          <w:b/>
          <w:noProof/>
          <w:color w:val="44546A" w:themeColor="text2"/>
        </w:rPr>
        <w:instrText xml:space="preserve"> SEQ Figure \* ARABIC </w:instrText>
      </w:r>
      <w:r>
        <w:rPr>
          <w:rFonts w:eastAsia="ヒラギノ角ゴ Pro W3" w:cs="Times New Roman"/>
          <w:b/>
          <w:noProof/>
          <w:color w:val="44546A" w:themeColor="text2"/>
        </w:rPr>
        <w:fldChar w:fldCharType="separate"/>
      </w:r>
      <w:r>
        <w:rPr>
          <w:rFonts w:eastAsia="ヒラギノ角ゴ Pro W3" w:cs="Times New Roman"/>
          <w:b/>
          <w:noProof/>
          <w:color w:val="44546A" w:themeColor="text2"/>
        </w:rPr>
        <w:t>10</w:t>
      </w:r>
      <w:r>
        <w:rPr>
          <w:rFonts w:eastAsia="ヒラギノ角ゴ Pro W3" w:cs="Times New Roman"/>
          <w:b/>
          <w:noProof/>
          <w:color w:val="44546A" w:themeColor="text2"/>
        </w:rPr>
        <w:fldChar w:fldCharType="end"/>
      </w:r>
      <w:bookmarkEnd w:id="36"/>
      <w:r>
        <w:rPr>
          <w:b/>
          <w:noProof/>
          <w:color w:val="44546A" w:themeColor="text2"/>
        </w:rPr>
        <w:t>: engins de pêche mis sur le marché et déchets d’engins de pêche collectés indiqués au point d), valeurs absolues par pays, 2022 (États membres de l’UE et pays de l’EEE/AELE).</w:t>
      </w:r>
    </w:p>
    <w:p w14:paraId="24EEED24" w14:textId="0E5546C3" w:rsidR="009A2554" w:rsidRDefault="00F81411" w:rsidP="00862309">
      <w:pPr>
        <w:jc w:val="center"/>
        <w:rPr>
          <w:noProof/>
          <w:sz w:val="20"/>
          <w:szCs w:val="20"/>
        </w:rPr>
      </w:pPr>
      <w:r w:rsidRPr="00F81411">
        <w:rPr>
          <w:noProof/>
          <w:lang w:val="en-GB" w:eastAsia="en-GB"/>
        </w:rPr>
        <w:drawing>
          <wp:inline distT="0" distB="0" distL="0" distR="0" wp14:anchorId="14909D58" wp14:editId="49DCC813">
            <wp:extent cx="5731510" cy="3787140"/>
            <wp:effectExtent l="0" t="0" r="2540" b="3810"/>
            <wp:docPr id="20041865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3787140"/>
                    </a:xfrm>
                    <a:prstGeom prst="rect">
                      <a:avLst/>
                    </a:prstGeom>
                    <a:noFill/>
                    <a:ln>
                      <a:noFill/>
                    </a:ln>
                  </pic:spPr>
                </pic:pic>
              </a:graphicData>
            </a:graphic>
          </wp:inline>
        </w:drawing>
      </w:r>
    </w:p>
    <w:p w14:paraId="652F4503" w14:textId="025AE14E" w:rsidR="00862309" w:rsidRPr="004A0A8E" w:rsidRDefault="00862309" w:rsidP="00382064">
      <w:pPr>
        <w:pStyle w:val="Heading2"/>
        <w:rPr>
          <w:noProof/>
        </w:rPr>
      </w:pPr>
      <w:bookmarkStart w:id="37" w:name="_Ref180135670"/>
      <w:bookmarkStart w:id="38" w:name="_Toc185251695"/>
      <w:bookmarkStart w:id="39" w:name="_Toc185499252"/>
      <w:bookmarkStart w:id="40" w:name="_Toc222394995"/>
      <w:bookmarkStart w:id="41" w:name="_Ref180153716"/>
      <w:bookmarkStart w:id="42" w:name="_Ref182307848"/>
      <w:r>
        <w:rPr>
          <w:noProof/>
        </w:rPr>
        <w:t>Organisation de la collecte des données</w:t>
      </w:r>
      <w:bookmarkEnd w:id="37"/>
      <w:bookmarkEnd w:id="38"/>
      <w:bookmarkEnd w:id="39"/>
      <w:r>
        <w:rPr>
          <w:noProof/>
        </w:rPr>
        <w:t xml:space="preserve"> et qualité des données</w:t>
      </w:r>
      <w:bookmarkEnd w:id="40"/>
    </w:p>
    <w:p w14:paraId="0FFA9F2B" w14:textId="58C49D65" w:rsidR="003555E4" w:rsidRPr="004A0A8E" w:rsidRDefault="003555E4" w:rsidP="003555E4">
      <w:pPr>
        <w:pStyle w:val="Heading3"/>
        <w:rPr>
          <w:noProof/>
        </w:rPr>
      </w:pPr>
      <w:bookmarkStart w:id="43" w:name="_Toc222394996"/>
      <w:bookmarkStart w:id="44" w:name="_Toc185251696"/>
      <w:bookmarkStart w:id="45" w:name="_Toc185499253"/>
      <w:r>
        <w:rPr>
          <w:noProof/>
        </w:rPr>
        <w:t>Organisation de la collecte des données</w:t>
      </w:r>
      <w:bookmarkEnd w:id="43"/>
    </w:p>
    <w:p w14:paraId="21A40B98" w14:textId="2EAEBA35" w:rsidR="004D2647" w:rsidRPr="004A0A8E" w:rsidRDefault="00995512" w:rsidP="004D2647">
      <w:pPr>
        <w:rPr>
          <w:iCs/>
          <w:noProof/>
        </w:rPr>
      </w:pPr>
      <w:r>
        <w:rPr>
          <w:noProof/>
        </w:rPr>
        <w:t>La nomination des principaux notifiants</w:t>
      </w:r>
      <w:bookmarkEnd w:id="44"/>
      <w:bookmarkEnd w:id="45"/>
      <w:r>
        <w:rPr>
          <w:noProof/>
        </w:rPr>
        <w:t xml:space="preserve"> a pris entre un et huit mois, avec des retards dus à des pénuries de personnel ou à une restructuration institutionnelle dans certains pays. Les institutions les plus fréquemment concernées étaient les ministères chargés des responsabilités environnementales et les agences nationales de l’environnement (voir l’annexe 7 pour la liste des institutions de notifiants par pays). </w:t>
      </w:r>
    </w:p>
    <w:p w14:paraId="2BC3EDCC" w14:textId="4E6B1BC2" w:rsidR="00862309" w:rsidRPr="004A0A8E" w:rsidRDefault="00995512" w:rsidP="00862309">
      <w:pPr>
        <w:rPr>
          <w:iCs/>
          <w:noProof/>
        </w:rPr>
      </w:pPr>
      <w:r>
        <w:rPr>
          <w:noProof/>
        </w:rPr>
        <w:t xml:space="preserve">À partir du premier trimestre de 2024, l’AEE a élaboré et testé, au nom de la Commission et en étroite collaboration avec celle-ci, des modèles de déclaration. L’Agence a également créé des documents d’appui, y compris un </w:t>
      </w:r>
      <w:hyperlink r:id="rId50" w:history="1">
        <w:r>
          <w:rPr>
            <w:rStyle w:val="Hyperlink"/>
            <w:noProof/>
          </w:rPr>
          <w:t>manuel à l’intention des notifiants</w:t>
        </w:r>
      </w:hyperlink>
      <w:r>
        <w:rPr>
          <w:noProof/>
        </w:rPr>
        <w:t xml:space="preserve">, et a organisé trois webinaires pour clarifier le processus. L’AEE a élaboré un </w:t>
      </w:r>
      <w:hyperlink r:id="rId51" w:history="1">
        <w:r>
          <w:rPr>
            <w:rStyle w:val="Hyperlink"/>
            <w:noProof/>
          </w:rPr>
          <w:t>site web</w:t>
        </w:r>
      </w:hyperlink>
      <w:r>
        <w:rPr>
          <w:noProof/>
        </w:rPr>
        <w:t xml:space="preserve"> pour informer les pays du cadre juridique et leur donner accès à des documents d’appui sous forme de modèles. Une assistance continue a été apportée par un helpdesk. </w:t>
      </w:r>
    </w:p>
    <w:p w14:paraId="78298D11" w14:textId="6F824A18" w:rsidR="00995512" w:rsidRDefault="00A85D39" w:rsidP="00995512">
      <w:pPr>
        <w:rPr>
          <w:iCs/>
          <w:noProof/>
        </w:rPr>
      </w:pPr>
      <w:r>
        <w:rPr>
          <w:noProof/>
        </w:rPr>
        <w:t xml:space="preserve">L’AEE a révisé en profondeur, au nom de la Commission et en étroite collaboration avec celle-ci, les données et informations communiquées à l’arrivée et les a améliorées conjointement avec les notifiants nationaux afin de s’assurer que les éléments étaient correctement communiqués, que les champs obligatoires étaient remplis et que les explications figurant dans le rapport de contrôle de la qualité étaient parfaitement compréhensibles. Après la phase de collecte des données, les pays ont été invités à donner leur avis au moyen d’un questionnaire. Les réponses ont montré un niveau élevé de satisfaction à l’égard du processus et ont mis en évidence des difficultés en matière de déclaration pour 2025 (voir l’annexe 8 pour plus de détails). </w:t>
      </w:r>
    </w:p>
    <w:p w14:paraId="2DF2B042" w14:textId="2E1A1AC0" w:rsidR="003555E4" w:rsidRPr="004A0A8E" w:rsidRDefault="003555E4" w:rsidP="003555E4">
      <w:pPr>
        <w:pStyle w:val="Heading3"/>
        <w:rPr>
          <w:noProof/>
        </w:rPr>
      </w:pPr>
      <w:bookmarkStart w:id="46" w:name="_Toc222394997"/>
      <w:bookmarkStart w:id="47" w:name="_Toc185251694"/>
      <w:bookmarkStart w:id="48" w:name="_Toc185499257"/>
      <w:r>
        <w:rPr>
          <w:noProof/>
        </w:rPr>
        <w:t>Qualité des données</w:t>
      </w:r>
      <w:bookmarkEnd w:id="46"/>
    </w:p>
    <w:bookmarkEnd w:id="47"/>
    <w:bookmarkEnd w:id="48"/>
    <w:p w14:paraId="59DCC177" w14:textId="6C5B3D61" w:rsidR="005652CD" w:rsidRDefault="001F154B" w:rsidP="00382064">
      <w:pPr>
        <w:rPr>
          <w:noProof/>
        </w:rPr>
      </w:pPr>
      <w:r>
        <w:rPr>
          <w:noProof/>
        </w:rPr>
        <w:t xml:space="preserve">Les pays ont utilisé différentes sources de données et méthodes et ont souvent mis en évidence des problèmes d’exactitude. Le processus d’assurance de la qualité a également permis de détecter de fréquents problèmes de cohérence, qui ont été corrigés dans toute la mesure possible en fournissant des orientations rationalisées aux notifiants. Néanmoins, les notifiants nationaux peuvent avoir interprété les exigences en matière de données et d’informations différemment, par exemple lors du choix des mesures les plus pertinentes pour réduire la consommation de plastiques à usage unique au titre du point b). Étant donné qu’il n’était pas obligatoire de remplir des champs importants qui étaient nécessaires pour comprendre certaines caractéristiques et limitations des données, il se peut que le processus d’assurance de la qualité n’ait pas permis de recenser toutes les limitations des données en question. Par conséquent, la prudence est de mise concernant les résultats de cet exercice de première année de communication. En particulier, il importe de s’abstenir de comparer les données déclarées entre les pays. </w:t>
      </w:r>
    </w:p>
    <w:p w14:paraId="6A72BA7E" w14:textId="125F9DBA" w:rsidR="00BB3077" w:rsidRPr="00BD1D04" w:rsidRDefault="00EC6E65" w:rsidP="00BD1D04">
      <w:pPr>
        <w:pStyle w:val="Heading4"/>
        <w:rPr>
          <w:noProof/>
        </w:rPr>
      </w:pPr>
      <w:bookmarkStart w:id="49" w:name="_Ref185428633"/>
      <w:bookmarkStart w:id="50" w:name="_Toc185499258"/>
      <w:bookmarkStart w:id="51" w:name="_Toc222394998"/>
      <w:r>
        <w:rPr>
          <w:noProof/>
        </w:rPr>
        <w:t>Sources de données et méthodes</w:t>
      </w:r>
      <w:bookmarkEnd w:id="49"/>
      <w:bookmarkEnd w:id="50"/>
      <w:bookmarkEnd w:id="51"/>
    </w:p>
    <w:p w14:paraId="6886C169" w14:textId="15F04136" w:rsidR="00EE5F15" w:rsidRDefault="00EE5F15" w:rsidP="00EE5F15">
      <w:pPr>
        <w:rPr>
          <w:noProof/>
        </w:rPr>
      </w:pPr>
      <w:r>
        <w:rPr>
          <w:noProof/>
        </w:rPr>
        <w:t>Les pays ont fondé leurs données sur diverses sources, souvent plusieurs, et certains pays ont communiqué leurs sources de données en utilisant une classification différente de celle prévue par le format de déclaration</w:t>
      </w:r>
      <w:r>
        <w:rPr>
          <w:rStyle w:val="FootnoteReference"/>
          <w:noProof/>
        </w:rPr>
        <w:footnoteReference w:id="8"/>
      </w:r>
      <w:r>
        <w:rPr>
          <w:noProof/>
        </w:rPr>
        <w:t>. De nombreux pays ont mis en évidence des problèmes de qualité des données et ont déclaré qu’ils devraient fournir de meilleures estimations l’année prochaine. Dans certains cas, les pays ont fourni des chiffres pour des années autres que 2022, en raison du manque de données pour 2022.</w:t>
      </w:r>
    </w:p>
    <w:p w14:paraId="071E3489" w14:textId="0068958F" w:rsidR="003F0597" w:rsidRPr="004A0A8E" w:rsidRDefault="002470BD" w:rsidP="00EE5F15">
      <w:pPr>
        <w:rPr>
          <w:noProof/>
        </w:rPr>
      </w:pPr>
      <w:r>
        <w:rPr>
          <w:noProof/>
        </w:rPr>
        <w:t xml:space="preserve">Pour le </w:t>
      </w:r>
      <w:r>
        <w:rPr>
          <w:b/>
          <w:noProof/>
        </w:rPr>
        <w:t>point a)</w:t>
      </w:r>
      <w:r>
        <w:rPr>
          <w:noProof/>
        </w:rPr>
        <w:t xml:space="preserve">, les systèmes de responsabilité élargie du producteur et les enquêtes spécifiques étaient la principale source (voir l’annexe 9). Un seul pays (la Lituanie) a utilisé les données du système de consigne (pour les gobelets pour boissons). Dans la plupart des cas, les pays ont utilisé les mêmes sources de données et méthodes pour les gobelets pour boissons que pour les récipients pour aliments, et ils se sont souvent appuyés sur des données relatives à la gestion des déchets. La plupart des pays qui ont utilisé des données provenant des systèmes de responsabilité élargie du producteur ont effectué leur déclaration sur la base du poids. Le format de déclaration pour le </w:t>
      </w:r>
      <w:r>
        <w:rPr>
          <w:b/>
          <w:noProof/>
        </w:rPr>
        <w:t>point b)</w:t>
      </w:r>
      <w:r>
        <w:rPr>
          <w:noProof/>
        </w:rPr>
        <w:t xml:space="preserve"> n’imposait pas aux notifiants de préciser la méthode suivie pour la communication d’informations relatives à ce point. La diversité des mesures communiquées</w:t>
      </w:r>
      <w:r>
        <w:rPr>
          <w:rStyle w:val="FootnoteReference"/>
          <w:noProof/>
        </w:rPr>
        <w:footnoteReference w:id="9"/>
      </w:r>
      <w:r>
        <w:rPr>
          <w:noProof/>
        </w:rPr>
        <w:t xml:space="preserve"> indique des méthodes assez variées d’un pays à l’autre. En ce qui concerne le </w:t>
      </w:r>
      <w:r>
        <w:rPr>
          <w:b/>
          <w:noProof/>
        </w:rPr>
        <w:t>point c)</w:t>
      </w:r>
      <w:r>
        <w:rPr>
          <w:noProof/>
        </w:rPr>
        <w:t xml:space="preserve"> (bouteilles pour boissons en plastique à usage unique mises sur le marché et collectées séparément), les systèmes de consigne, les systèmes de responsabilité élargie du producteur et les statistiques sur les déchets étaient les sources de données les plus fréquemment citées (voir l’annexe 9). </w:t>
      </w:r>
    </w:p>
    <w:p w14:paraId="58F449E3" w14:textId="2D9938D4" w:rsidR="00862309" w:rsidRPr="004A0A8E" w:rsidRDefault="00EE5F15" w:rsidP="00862309">
      <w:pPr>
        <w:rPr>
          <w:noProof/>
        </w:rPr>
      </w:pPr>
      <w:r>
        <w:rPr>
          <w:noProof/>
        </w:rPr>
        <w:t xml:space="preserve">Pour ce qui est du </w:t>
      </w:r>
      <w:r>
        <w:rPr>
          <w:b/>
          <w:noProof/>
        </w:rPr>
        <w:t>point d)</w:t>
      </w:r>
      <w:r>
        <w:rPr>
          <w:noProof/>
        </w:rPr>
        <w:t xml:space="preserve"> (engins de pêche mis sur le marché et déchets d’engins de pêche collectés), les sources les plus fréquemment utilisées et les sources utilisées par les pays déclarant les quantités les plus élevées, étaient les enquêtes auprès des producteurs d’engins et des opérateurs portuaires ainsi que les statistiques commerciales (voir l’annexe 9). Quatre pays ont déclaré utiliser des données provenant des régimes de responsabilité élargie du producteur. Aucun pays n’a déclaré avoir utilisé des facteurs de conversion pour obtenir des données.</w:t>
      </w:r>
      <w:bookmarkEnd w:id="41"/>
      <w:bookmarkEnd w:id="42"/>
    </w:p>
    <w:p w14:paraId="2EC35D89" w14:textId="77777777" w:rsidR="00862309" w:rsidRPr="00E30188" w:rsidRDefault="00862309" w:rsidP="00E30188">
      <w:pPr>
        <w:pStyle w:val="Heading4"/>
        <w:rPr>
          <w:noProof/>
        </w:rPr>
      </w:pPr>
      <w:bookmarkStart w:id="52" w:name="_Ref182464605"/>
      <w:bookmarkStart w:id="53" w:name="_Toc185251705"/>
      <w:bookmarkStart w:id="54" w:name="_Toc185499259"/>
      <w:bookmarkStart w:id="55" w:name="_Toc222394999"/>
      <w:r>
        <w:rPr>
          <w:noProof/>
        </w:rPr>
        <w:t>Exhaustivité</w:t>
      </w:r>
      <w:bookmarkEnd w:id="52"/>
      <w:bookmarkEnd w:id="53"/>
      <w:bookmarkEnd w:id="54"/>
      <w:bookmarkEnd w:id="55"/>
    </w:p>
    <w:p w14:paraId="5B53BF60" w14:textId="7188B2AE" w:rsidR="00347394" w:rsidRPr="00544BD6" w:rsidRDefault="00347394" w:rsidP="00347394">
      <w:pPr>
        <w:rPr>
          <w:rFonts w:cstheme="minorHAnsi"/>
          <w:noProof/>
        </w:rPr>
      </w:pPr>
      <w:r>
        <w:rPr>
          <w:noProof/>
        </w:rPr>
        <w:t xml:space="preserve">Au total, 29 pays ont communiqué les données et informations nécessaires pour s’acquitter de leurs obligations en matière de communication d’informations 2024 – tous les États membres de l’UE et deux pays de l’EEE/AELE (Islande et Norvège). Tous ces pays ont communiqué des données pour les points b) et c), tandis que 27 pays ont communiqué des données pour le point a) et 25 des données pour le point d). La plupart des pays n’ont communiqué que les données obligatoires. Dans l’ensemble, aucun pays n’a fourni de données permettant d’évaluer l’incidence des mouvements, des échanges, des non-contributeurs, des ventes en ligne ou des règles </w:t>
      </w:r>
      <w:r>
        <w:rPr>
          <w:i/>
          <w:noProof/>
        </w:rPr>
        <w:t>de minimis</w:t>
      </w:r>
      <w:r>
        <w:rPr>
          <w:noProof/>
        </w:rPr>
        <w:t>.</w:t>
      </w:r>
      <w:r>
        <w:rPr>
          <w:noProof/>
          <w:color w:val="000000" w:themeColor="text1"/>
        </w:rPr>
        <w:t xml:space="preserve"> Pour le point b), les données obligatoires étaient très limitées, ce qui rendait difficiles la connaissance et la compréhension des mesures en vigueur</w:t>
      </w:r>
      <w:r>
        <w:rPr>
          <w:rStyle w:val="FootnoteReference"/>
          <w:rFonts w:eastAsia="Aptos" w:cstheme="minorHAnsi"/>
          <w:noProof/>
          <w:color w:val="000000" w:themeColor="text1"/>
        </w:rPr>
        <w:footnoteReference w:id="10"/>
      </w:r>
      <w:r>
        <w:rPr>
          <w:noProof/>
          <w:color w:val="000000" w:themeColor="text1"/>
        </w:rPr>
        <w:t>. En ce qui concerne la communication des informations relatives au point a),</w:t>
      </w:r>
      <w:r>
        <w:rPr>
          <w:noProof/>
        </w:rPr>
        <w:t xml:space="preserve"> certains champs de données obligatoires faisaient défaut dans les rapports par pays, souvent en raison: i) de données limitées sur les articles constitués en partie de plastique; ou ii) des statistiques qui n’établissaient pas de distinction entre les articles exclusivement constitués de plastique et les articles constitués en partie de plastique. Au point c), les déchets qui ont été collectés séparément d’une manière non conforme aux exigences de la directive sur les plastiques à usage unique ont fait l’objet d’une valeur nulle ou non communiquée. Pour le point d): i) tous les pays n’ont pas communiqué les quantités de déchets d’engins de pêche collectés, et ces quantités sont nécessaires pour calculer le taux de collecte; et ii) seuls quelques pays ont fourni des données volontaires ventilées par matériau et par type d’engin de pêche.</w:t>
      </w:r>
    </w:p>
    <w:p w14:paraId="2732B67D" w14:textId="6A315BCE" w:rsidR="00826F75" w:rsidRDefault="00E553E6" w:rsidP="00826F75">
      <w:pPr>
        <w:rPr>
          <w:noProof/>
        </w:rPr>
      </w:pPr>
      <w:r>
        <w:rPr>
          <w:noProof/>
        </w:rPr>
        <w:t>Les pays ont souvent déclaré qu’ils prévoyaient d’améliorer l’exhaustivité des informations communiquées au cours des années suivantes, en particulier grâce aux systèmes de responsabilité élargie du producteur qui doivent être mis en place à partir du 1</w:t>
      </w:r>
      <w:r>
        <w:rPr>
          <w:noProof/>
          <w:vertAlign w:val="superscript"/>
        </w:rPr>
        <w:t>er</w:t>
      </w:r>
      <w:r>
        <w:rPr>
          <w:noProof/>
        </w:rPr>
        <w:t xml:space="preserve"> janvier 2025. </w:t>
      </w:r>
      <w:bookmarkStart w:id="56" w:name="_Ref181949761"/>
      <w:bookmarkStart w:id="57" w:name="_Ref184981963"/>
      <w:bookmarkStart w:id="58" w:name="_Toc185251710"/>
    </w:p>
    <w:p w14:paraId="148267FD" w14:textId="2084F188" w:rsidR="00862309" w:rsidRPr="00CE192F" w:rsidRDefault="00862309" w:rsidP="00CE192F">
      <w:pPr>
        <w:pStyle w:val="Heading4"/>
        <w:rPr>
          <w:noProof/>
        </w:rPr>
      </w:pPr>
      <w:bookmarkStart w:id="59" w:name="_Ref185428640"/>
      <w:bookmarkStart w:id="60" w:name="_Toc185499260"/>
      <w:bookmarkStart w:id="61" w:name="_Toc222395000"/>
      <w:r>
        <w:rPr>
          <w:noProof/>
        </w:rPr>
        <w:t>Fiabilité</w:t>
      </w:r>
      <w:bookmarkEnd w:id="56"/>
      <w:bookmarkEnd w:id="57"/>
      <w:bookmarkEnd w:id="58"/>
      <w:bookmarkEnd w:id="59"/>
      <w:bookmarkEnd w:id="60"/>
      <w:bookmarkEnd w:id="61"/>
    </w:p>
    <w:p w14:paraId="267EF5F7" w14:textId="4E8CCCAB" w:rsidR="005607EA" w:rsidRPr="00375E31" w:rsidRDefault="00DF3AE9" w:rsidP="005607EA">
      <w:pPr>
        <w:rPr>
          <w:noProof/>
        </w:rPr>
      </w:pPr>
      <w:r>
        <w:rPr>
          <w:noProof/>
        </w:rPr>
        <w:t>Les pays ont souvent fait référence à des problèmes de limitations et d’exactitude des données. Les méthodes de vérification des données n’ont été utilisées que par un nombre limité de pays [17 pour le point a), 22 pour le point b) et 9 pour le point d)], les méthodes les plus fréquemment utilisées étant les contrôles de l’exhaustivité des données et les contrôles croisés. Plusieurs problèmes d’exactitude ont été recensés (voir l’annexe 10), en particulier en ce qui concerne les données relatives aux GB et aux RA, l’échantillonnage et la couverture étant les problèmes les plus fréquemment déclarés. Les problèmes de limitations et d’exactitude des données justifient la prudence dans l’interprétation des données.</w:t>
      </w:r>
    </w:p>
    <w:p w14:paraId="6FAEDA4C" w14:textId="27F9BAD1" w:rsidR="005607EA" w:rsidRPr="005607EA" w:rsidRDefault="005607EA" w:rsidP="005607EA">
      <w:pPr>
        <w:rPr>
          <w:noProof/>
        </w:rPr>
      </w:pPr>
      <w:r>
        <w:rPr>
          <w:noProof/>
        </w:rPr>
        <w:t xml:space="preserve">La comparaison des données communiquées entre les pays permet également d’évaluer la fiabilité des données. Par exemple, les valeurs par habitant variaient considérablement, ce qui suggère: i) une éventuelle sous-déclaration (en raison d’efforts limités de collecte de données, par exemple); ou ii) une surdéclaration par certains pays (par exemple, des données couvrant un champ d’application plus large que celui que la directive sur les plastiques à usage unique vise à surveiller). Les données communiquées sur les engins de pêche ont également montré des valeurs extrêmement différentes d’un pays à l’autre, nombre d’entre eux ayant déclaré des limitations significatives en matière de données pour cette première année de communication. </w:t>
      </w:r>
    </w:p>
    <w:p w14:paraId="7FC36C89" w14:textId="7B07E967" w:rsidR="00201136" w:rsidRDefault="00201136" w:rsidP="00201136">
      <w:pPr>
        <w:rPr>
          <w:noProof/>
        </w:rPr>
      </w:pPr>
      <w:r>
        <w:rPr>
          <w:noProof/>
        </w:rPr>
        <w:t>Bien que le champ d’application de la communication et celui des statistiques sur les emballages en plastique communiquées au titre de la directive sur les plastiques à usage unique diffèrent partiellement</w:t>
      </w:r>
      <w:r>
        <w:rPr>
          <w:rStyle w:val="FootnoteReference"/>
          <w:noProof/>
        </w:rPr>
        <w:footnoteReference w:id="11"/>
      </w:r>
      <w:r>
        <w:rPr>
          <w:noProof/>
        </w:rPr>
        <w:t>, la comparaison des valeurs communiquées avec les statistiques sur les déchets d’emballages en plastique</w:t>
      </w:r>
      <w:r>
        <w:rPr>
          <w:rStyle w:val="FootnoteReference"/>
          <w:noProof/>
        </w:rPr>
        <w:footnoteReference w:id="12"/>
      </w:r>
      <w:r>
        <w:rPr>
          <w:noProof/>
        </w:rPr>
        <w:t xml:space="preserve"> [pour les points a) et c)] peut permettre d’évaluer la fiabilité des chiffres. </w:t>
      </w:r>
    </w:p>
    <w:p w14:paraId="21F98016" w14:textId="5A325038" w:rsidR="005607EA" w:rsidRDefault="00B7322A" w:rsidP="005607EA">
      <w:pPr>
        <w:rPr>
          <w:noProof/>
        </w:rPr>
      </w:pPr>
      <w:r>
        <w:rPr>
          <w:noProof/>
        </w:rPr>
        <w:t>Les différences entre les deux ensembles de données peuvent indiquer des problèmes potentiels d’exactitude. Par exemple, alors que le poids total de plastique</w:t>
      </w:r>
      <w:r>
        <w:rPr>
          <w:rStyle w:val="FootnoteReference"/>
          <w:iCs/>
          <w:noProof/>
        </w:rPr>
        <w:footnoteReference w:id="13"/>
      </w:r>
      <w:r>
        <w:rPr>
          <w:noProof/>
        </w:rPr>
        <w:t xml:space="preserve"> des GB et des RA communiqué au titre du point a) représente en moyenne près de 8 % du volume de déchets d’emballages en plastique produits dans le même ensemble de pays, les valeurs par pays oscillaient entre 2 % et 23 %. De même, les quantités totales de bouteilles en plastique à usage unique mises sur le marché représentent 19 % du volume moyen de déchets d’emballages en plastique produits dans tous les pays (les valeurs pour chaque pays étant généralement plus proches des valeurs pour les emballages en plastique de ce pays mis sur le marché), mais les valeurs pour cette mesure varient toujours de 0 % à 69 %. </w:t>
      </w:r>
    </w:p>
    <w:p w14:paraId="66B4CF24" w14:textId="305E506B" w:rsidR="00E64865" w:rsidRDefault="00C22F03" w:rsidP="005607EA">
      <w:pPr>
        <w:rPr>
          <w:noProof/>
        </w:rPr>
      </w:pPr>
      <w:r>
        <w:rPr>
          <w:noProof/>
        </w:rPr>
        <w:t>En ce qui concerne le point b), les informations communiquées devraient être considérées comme une première tentative d’obtenir un aperçu du type de mesures mises en place par les pays, étant donné que l’approche utilisée variait d’un pays à l’autre, avec des informations limitées qui permettraient d’évaluer les mesures communiquées.</w:t>
      </w:r>
    </w:p>
    <w:p w14:paraId="6EA1B0BA" w14:textId="7C026F04" w:rsidR="00862309" w:rsidRPr="004A0A8E" w:rsidRDefault="00D2335A" w:rsidP="00862309">
      <w:pPr>
        <w:rPr>
          <w:noProof/>
        </w:rPr>
      </w:pPr>
      <w:r>
        <w:rPr>
          <w:noProof/>
        </w:rPr>
        <w:t>Les problèmes d’exactitude déclarés pour le point d), où seuls les grands acteurs/ports étaient généralement ciblés, indiquent une sous-estimation potentielle des valeurs réelles.</w:t>
      </w:r>
    </w:p>
    <w:p w14:paraId="6990A7D1" w14:textId="77777777" w:rsidR="00862309" w:rsidRPr="004A0A8E" w:rsidRDefault="00862309" w:rsidP="00AF13E5">
      <w:pPr>
        <w:pStyle w:val="Heading4"/>
        <w:rPr>
          <w:noProof/>
        </w:rPr>
      </w:pPr>
      <w:bookmarkStart w:id="62" w:name="_Ref183437978"/>
      <w:bookmarkStart w:id="63" w:name="_Toc185251715"/>
      <w:bookmarkStart w:id="64" w:name="_Toc185499261"/>
      <w:bookmarkStart w:id="65" w:name="_Toc222395001"/>
      <w:r>
        <w:rPr>
          <w:noProof/>
        </w:rPr>
        <w:t>Actualité</w:t>
      </w:r>
      <w:bookmarkEnd w:id="62"/>
      <w:bookmarkEnd w:id="63"/>
      <w:bookmarkEnd w:id="64"/>
      <w:bookmarkEnd w:id="65"/>
    </w:p>
    <w:p w14:paraId="582CE915" w14:textId="1443FB69" w:rsidR="00862309" w:rsidRPr="004A0A8E" w:rsidRDefault="00862309" w:rsidP="00862309">
      <w:pPr>
        <w:rPr>
          <w:iCs/>
          <w:noProof/>
        </w:rPr>
      </w:pPr>
      <w:r>
        <w:rPr>
          <w:noProof/>
        </w:rPr>
        <w:t>Le délai de communication des informations était fixé au 30 juin 2024, 18 pays (16 États membres de l’UE et 2 pays de l’EEE/AELE) ayant effectué leur déclaration à cette date (annexe 7). Trois autres pays ont fait état d’un léger retard (moins d’un mois) et les autres rapports sont parvenus plus tard, le dernier pays ayant présenté ses dossiers à la fin du mois de novembre 2024. Un pays n’a pas achevé le processus d’assurance de la qualité.</w:t>
      </w:r>
    </w:p>
    <w:p w14:paraId="4DF69D59" w14:textId="6FEF1D03" w:rsidR="00862309" w:rsidRPr="003D6EFB" w:rsidRDefault="00862309" w:rsidP="00862309">
      <w:pPr>
        <w:rPr>
          <w:noProof/>
        </w:rPr>
      </w:pPr>
      <w:r>
        <w:rPr>
          <w:noProof/>
        </w:rPr>
        <w:t xml:space="preserve">En raison de retards de communication dans certains pays, différentes étapes du processus ont dû être menées en parallèle pour différents sous-ensembles de pays. De nombreux pays ont déclaré que le processus de collecte de données pour des éléments spécifiques, tels que les engins de pêche, avait retardé leur communication. </w:t>
      </w:r>
    </w:p>
    <w:p w14:paraId="08FF4D8E" w14:textId="77777777" w:rsidR="00862309" w:rsidRPr="004A0A8E" w:rsidRDefault="00862309" w:rsidP="00EA4B37">
      <w:pPr>
        <w:pStyle w:val="Heading4"/>
        <w:rPr>
          <w:noProof/>
        </w:rPr>
      </w:pPr>
      <w:bookmarkStart w:id="66" w:name="_Ref184981969"/>
      <w:bookmarkStart w:id="67" w:name="_Toc185251716"/>
      <w:bookmarkStart w:id="68" w:name="_Toc185499262"/>
      <w:bookmarkStart w:id="69" w:name="_Toc222395002"/>
      <w:r>
        <w:rPr>
          <w:noProof/>
        </w:rPr>
        <w:t>Cohérence</w:t>
      </w:r>
      <w:bookmarkEnd w:id="66"/>
      <w:bookmarkEnd w:id="67"/>
      <w:bookmarkEnd w:id="68"/>
      <w:bookmarkEnd w:id="69"/>
      <w:r>
        <w:rPr>
          <w:noProof/>
        </w:rPr>
        <w:t xml:space="preserve"> </w:t>
      </w:r>
    </w:p>
    <w:p w14:paraId="787AD8C3" w14:textId="62963085" w:rsidR="00056DDB" w:rsidRDefault="00862309" w:rsidP="00056DDB">
      <w:pPr>
        <w:rPr>
          <w:noProof/>
        </w:rPr>
      </w:pPr>
      <w:r>
        <w:rPr>
          <w:noProof/>
        </w:rPr>
        <w:t xml:space="preserve">Plusieurs problèmes de cohérence sont apparus au cours du processus de communication, par exemple: i) différentes interprétations du contenu à communiquer; ii) des valeurs déclarées comme nulles qui étaient en réalité des valeurs manquantes; ou iii) l’utilisation d’unités autres que celles indiquées dans les modèles de déclaration. Ces problèmes ont été corrigés dans toute la mesure possible au cours du processus d’assurance de la qualité. Toutefois, les rapports qui en résultent présentent encore un certain degré de variation. </w:t>
      </w:r>
    </w:p>
    <w:p w14:paraId="2CF89224" w14:textId="3BE2DFFC" w:rsidR="003B7894" w:rsidRDefault="003B7894" w:rsidP="00056DDB">
      <w:pPr>
        <w:rPr>
          <w:noProof/>
        </w:rPr>
      </w:pPr>
      <w:r>
        <w:rPr>
          <w:noProof/>
        </w:rPr>
        <w:t>La cohérence dans le temps sera évaluée pour la communication de l’année prochaine. La qualité des données devrait s’améliorer, sur la base de l’expérience acquise cette année.</w:t>
      </w:r>
    </w:p>
    <w:p w14:paraId="1DD72013" w14:textId="77777777" w:rsidR="00862309" w:rsidRPr="005E56F8" w:rsidRDefault="00862309" w:rsidP="003B7894">
      <w:pPr>
        <w:pStyle w:val="Heading2"/>
        <w:rPr>
          <w:noProof/>
        </w:rPr>
      </w:pPr>
      <w:bookmarkStart w:id="70" w:name="_Ref180135809"/>
      <w:bookmarkStart w:id="71" w:name="_Toc185251722"/>
      <w:bookmarkStart w:id="72" w:name="_Toc185499263"/>
      <w:bookmarkStart w:id="73" w:name="_Toc222395003"/>
      <w:r>
        <w:rPr>
          <w:noProof/>
        </w:rPr>
        <w:t>Recommandations d’amélioration</w:t>
      </w:r>
      <w:bookmarkEnd w:id="70"/>
      <w:bookmarkEnd w:id="71"/>
      <w:bookmarkEnd w:id="72"/>
      <w:bookmarkEnd w:id="73"/>
    </w:p>
    <w:p w14:paraId="60F636CB" w14:textId="0F6D204E" w:rsidR="00862309" w:rsidRPr="00AF13E5" w:rsidRDefault="00013E6B" w:rsidP="00862309">
      <w:pPr>
        <w:rPr>
          <w:iCs/>
          <w:noProof/>
        </w:rPr>
      </w:pPr>
      <w:r>
        <w:rPr>
          <w:noProof/>
        </w:rPr>
        <w:t>Les notifiants ont grandement apprécié le soutien apporté par l’AEE au cours du processus de communication, en étroite collaboration avec la Commission (voir l’annexe 8). Néanmoins, quelques aspects pourraient être améliorés pour les futures communications, dont cinq sont exposés aux points ci-dessous.</w:t>
      </w:r>
    </w:p>
    <w:p w14:paraId="41AC4BFF" w14:textId="7594616D" w:rsidR="00041290" w:rsidRPr="00AF13E5" w:rsidRDefault="00B540A3" w:rsidP="00041290">
      <w:pPr>
        <w:pStyle w:val="ListParagraph"/>
        <w:numPr>
          <w:ilvl w:val="0"/>
          <w:numId w:val="9"/>
        </w:numPr>
        <w:ind w:left="426"/>
        <w:rPr>
          <w:iCs/>
          <w:noProof/>
        </w:rPr>
      </w:pPr>
      <w:r>
        <w:rPr>
          <w:b/>
          <w:noProof/>
        </w:rPr>
        <w:t>Nomination des principaux notifiants</w:t>
      </w:r>
      <w:r>
        <w:rPr>
          <w:noProof/>
        </w:rPr>
        <w:t xml:space="preserve">. Les pays devraient assurer la continuité du processus, tenir la Commission informée des changements intervenus dans les équipes chargées de la communication d’informations et veiller à ce que les déclarations soient effectuées en temps utile, compte tenu des retards importants enregistrés cette année. </w:t>
      </w:r>
    </w:p>
    <w:p w14:paraId="6A5E0B5B" w14:textId="6AF45FE1" w:rsidR="000836FF" w:rsidRPr="00041290" w:rsidRDefault="00862309" w:rsidP="00041290">
      <w:pPr>
        <w:pStyle w:val="ListParagraph"/>
        <w:numPr>
          <w:ilvl w:val="0"/>
          <w:numId w:val="9"/>
        </w:numPr>
        <w:ind w:left="426"/>
        <w:rPr>
          <w:iCs/>
          <w:noProof/>
        </w:rPr>
      </w:pPr>
      <w:r>
        <w:rPr>
          <w:b/>
          <w:noProof/>
        </w:rPr>
        <w:t>Collecte de données par pays</w:t>
      </w:r>
      <w:r>
        <w:rPr>
          <w:noProof/>
        </w:rPr>
        <w:t xml:space="preserve">. D’une manière générale, les pays n’ont communiqué que les données obligatoires. Des aspects tels que les mouvements, les flux commerciaux, les non-contributeurs, etc., n’ont pas été communiqués, malgré leur pertinence dans certains pays. La description des mesures prises par les pays pour réduire la consommation [point b)] est également assez médiocre dans l’ensemble, rendant impossible une évaluation correcte. En outre, les résultats de l’enquête réalisée à la fin de la période de référence cette année (voir l’annexe 8) montrent que: i) la plupart des pays ne s’attendent pas à ce que les données provenant des systèmes de responsabilité élargie du producteur mis en place au titre de la directive sur les plastiques à usage unique soient disponibles pour la déclaration de 2025 (année de référence 2023); et ii) seuls quelques pays ont déjà identifié les sources de données pour les deux obligations de déclaration supplémentaires pour 2025 [c’est-à-dire les points e) et f) du tableau 1]. Il est donc recommandé d’améliorer la communication des données obligatoires et facultatives, pour tous les éléments attendus en 2025. Des échanges entre pays sur les bonnes pratiques et une collaboration plus étroite au sein des pays entre les collègues travaillant sur les statistiques de l’industrie et des déchets sont également recommandés. </w:t>
      </w:r>
    </w:p>
    <w:p w14:paraId="250D2978" w14:textId="18327BE6" w:rsidR="000F2C11" w:rsidRPr="00BD3CAB" w:rsidRDefault="00862309" w:rsidP="000F2C11">
      <w:pPr>
        <w:pStyle w:val="ListParagraph"/>
        <w:numPr>
          <w:ilvl w:val="0"/>
          <w:numId w:val="9"/>
        </w:numPr>
        <w:ind w:left="426"/>
        <w:rPr>
          <w:iCs/>
          <w:noProof/>
        </w:rPr>
      </w:pPr>
      <w:r>
        <w:rPr>
          <w:b/>
          <w:noProof/>
        </w:rPr>
        <w:t>Remplissage des modèles de déclaration</w:t>
      </w:r>
      <w:r>
        <w:rPr>
          <w:noProof/>
        </w:rPr>
        <w:t>. Il est vivement recommandé de tirer pleinement parti du soutien apporté par la Commission aux notifiants afin: i) d’accroître la cohérence et la clarté des données et informations communiquées; et ii) de réduire la charge pesant sur le processus d’assurance de la qualité. Il convient d’accorder une attention particulière aux deux domaines qui ont posé davantage de difficultés au cours de la première année de communication</w:t>
      </w:r>
      <w:r>
        <w:rPr>
          <w:rStyle w:val="FootnoteReference"/>
          <w:iCs/>
          <w:noProof/>
        </w:rPr>
        <w:footnoteReference w:id="14"/>
      </w:r>
      <w:r>
        <w:rPr>
          <w:noProof/>
        </w:rPr>
        <w:t xml:space="preserve"> et aux nouvelles obligations de déclaration concernant les points e) et f). </w:t>
      </w:r>
    </w:p>
    <w:p w14:paraId="0E7C86A9" w14:textId="0637C8BE" w:rsidR="000F2C11" w:rsidRPr="000F2C11" w:rsidRDefault="000F2C11" w:rsidP="000F2C11">
      <w:pPr>
        <w:pStyle w:val="ListParagraph"/>
        <w:numPr>
          <w:ilvl w:val="0"/>
          <w:numId w:val="9"/>
        </w:numPr>
        <w:ind w:left="426"/>
        <w:rPr>
          <w:iCs/>
          <w:noProof/>
        </w:rPr>
      </w:pPr>
      <w:r>
        <w:rPr>
          <w:b/>
          <w:noProof/>
        </w:rPr>
        <w:t>Rationalisation du format de déclaration</w:t>
      </w:r>
      <w:r>
        <w:rPr>
          <w:noProof/>
        </w:rPr>
        <w:t xml:space="preserve">. Compte tenu de l’objectif de la Commission de réduire la charge de déclaration, les modèles des rapports de contrôle de la qualité pourraient être simplifiés. L’utilisation de la même structure pour déclarer les sources de données/méthodes, les méthodes de vérification et les problèmes d’exactitude renforcerait la cohérence entre les différents flux de données et les différents pays. </w:t>
      </w:r>
    </w:p>
    <w:p w14:paraId="489C07CD" w14:textId="7DACA566" w:rsidR="00862309" w:rsidRPr="00C50B2D" w:rsidRDefault="00725C95" w:rsidP="00387885">
      <w:pPr>
        <w:pStyle w:val="ListParagraph"/>
        <w:numPr>
          <w:ilvl w:val="0"/>
          <w:numId w:val="9"/>
        </w:numPr>
        <w:ind w:left="426"/>
        <w:rPr>
          <w:iCs/>
          <w:noProof/>
        </w:rPr>
      </w:pPr>
      <w:r>
        <w:rPr>
          <w:b/>
          <w:noProof/>
        </w:rPr>
        <w:t>Comparaison dans le temps</w:t>
      </w:r>
      <w:r>
        <w:rPr>
          <w:noProof/>
        </w:rPr>
        <w:t xml:space="preserve">. Les sources de données et les méthodes utilisées pour communiquer certaines des données couvertes cette année devraient changer à l’avenir. Il importera que les pays signalent les changements dans les sources de données et les méthodes de manière totalement transparente et expliquent les différences dans le détail, en établissant une distinction entre l’incidence potentielle des mesures en vigueur et les changements dans les sources de données et les méthodes sous-jacentes. </w:t>
      </w:r>
    </w:p>
    <w:p w14:paraId="24E42D6C" w14:textId="77777777" w:rsidR="00862309" w:rsidRPr="004A0A8E" w:rsidRDefault="00862309" w:rsidP="00862309">
      <w:pPr>
        <w:pStyle w:val="Heading2"/>
        <w:rPr>
          <w:noProof/>
        </w:rPr>
      </w:pPr>
      <w:bookmarkStart w:id="74" w:name="_Toc185499264"/>
      <w:bookmarkStart w:id="75" w:name="_Toc222395004"/>
      <w:bookmarkStart w:id="76" w:name="_Toc185251723"/>
      <w:r>
        <w:rPr>
          <w:noProof/>
        </w:rPr>
        <w:t>Conclusions</w:t>
      </w:r>
      <w:bookmarkEnd w:id="74"/>
      <w:bookmarkEnd w:id="75"/>
      <w:r>
        <w:rPr>
          <w:noProof/>
        </w:rPr>
        <w:t xml:space="preserve"> </w:t>
      </w:r>
      <w:bookmarkEnd w:id="76"/>
    </w:p>
    <w:p w14:paraId="60AF5BED" w14:textId="395F0174" w:rsidR="00862309" w:rsidRPr="004A0A8E" w:rsidRDefault="00862309" w:rsidP="00862309">
      <w:pPr>
        <w:rPr>
          <w:iCs/>
          <w:noProof/>
        </w:rPr>
      </w:pPr>
      <w:r>
        <w:rPr>
          <w:noProof/>
        </w:rPr>
        <w:t xml:space="preserve">Cette première communication pour l’année de référence 2022 fournit un aperçu initial des niveaux de consommation et des taux de collecte séparée dans les différents pays eu égard aux trois articles en plastique à usage unique concernés (GB, RA et bouteilles pour boissons) et aux engins de pêche contenant du plastique. </w:t>
      </w:r>
    </w:p>
    <w:p w14:paraId="42668F2E" w14:textId="34B105E9" w:rsidR="00862309" w:rsidRPr="004A0A8E" w:rsidRDefault="00862309" w:rsidP="00862309">
      <w:pPr>
        <w:rPr>
          <w:iCs/>
          <w:noProof/>
        </w:rPr>
      </w:pPr>
      <w:r>
        <w:rPr>
          <w:noProof/>
        </w:rPr>
        <w:t xml:space="preserve">Conformément à la directive sur les plastiques à usage unique, ce premier cycle de communication vise à fixer une valeur de référence pour mesurer la consommation des GB et RA en plastique à usage unique, en vue de l’introduction éventuelle d’objectifs contraignants de réduction de la consommation au niveau de l’UE. Ce premier cycle de communication vise également à fournir une base pour l’évaluation d’éventuelles mesures supplémentaires pour les engins de pêche contenant du plastique à la suite de l’évaluation de la directive sur les plastiques à usage unique (en 2027), y compris la fixation éventuelle de taux de collecte contraignants pour les déchets d’engins de pêche. L’évaluation des données et des informations fournies dans le présent rapport montre certains éléments essentiels qui devraient être pris en considération lors de l’examen de ces données de référence, tels que la variabilité considérable des méthodes entre les pays et les problèmes fréquents d’exactitude des données. </w:t>
      </w:r>
    </w:p>
    <w:p w14:paraId="69704D58" w14:textId="1A2B9E09" w:rsidR="00862309" w:rsidRPr="004A0A8E" w:rsidRDefault="003A1A90" w:rsidP="00862309">
      <w:pPr>
        <w:rPr>
          <w:iCs/>
          <w:noProof/>
        </w:rPr>
      </w:pPr>
      <w:r>
        <w:rPr>
          <w:noProof/>
        </w:rPr>
        <w:t>Les données de l’année prochaine fourniront les premiers points de données qui permettront de suivre les tendances. Cela permettra de mieux comprendre si la réduction de la consommation a lieu avec un niveau d’ambition élevé pour les GB et les RA, comme le prévoit la directive sur les plastiques à usage unique. Cela permettra également de suivre les mesures de réduction de la consommation qui sont toujours en vigueur, ainsi que les nouvelles mesures éventuelles, en particulier celles liées à la directive sur les plastiques à usage unique. Une analyse plus spécifique sera nécessaire pour comprendre le lien entre les tendances de la consommation observée et les mesures mises en place, étant donné que ces tendances ne peuvent être évaluées uniquement sur la base des informations fournies par les notifiants dans les formats de déclaration actuels.</w:t>
      </w:r>
    </w:p>
    <w:p w14:paraId="76EE0601" w14:textId="51548BCA" w:rsidR="00862309" w:rsidRPr="004A0A8E" w:rsidRDefault="003A1A90" w:rsidP="00862309">
      <w:pPr>
        <w:rPr>
          <w:iCs/>
          <w:noProof/>
        </w:rPr>
      </w:pPr>
      <w:r>
        <w:rPr>
          <w:noProof/>
        </w:rPr>
        <w:t xml:space="preserve">En ce qui concerne la collecte séparée des bouteilles pour boissons en plastique à usage unique, les résultats montrent que de nombreux pays sont bien placés pour atteindre l’objectif fixé pour 2025. Les données de l’année prochaine permettront de suivre de plus près les progrès réalisés par les pays. Les données permettront également: i) d’évaluer les tendances en matière de collecte des déchets d’engins de pêche; et ii) de mieux comprendre les forces et les défis réels des données provenant des systèmes de responsabilité élargie du producteur nouvellement mis en place. </w:t>
      </w:r>
    </w:p>
    <w:p w14:paraId="135641BF" w14:textId="3D5FD9BE" w:rsidR="00862309" w:rsidRDefault="00A12959" w:rsidP="00862309">
      <w:pPr>
        <w:rPr>
          <w:iCs/>
          <w:noProof/>
        </w:rPr>
      </w:pPr>
      <w:r>
        <w:rPr>
          <w:noProof/>
        </w:rPr>
        <w:t xml:space="preserve">Enfin, les informations tirées de cette première communication et de celles des prochaines années fourniront des informations pertinentes pour l’évaluation de la directive sur les plastiques à usage unique (prévue pour juillet 2027). </w:t>
      </w:r>
    </w:p>
    <w:p w14:paraId="77AA52BF" w14:textId="54A49452" w:rsidR="008A1C8A" w:rsidRPr="004A0A8E" w:rsidRDefault="008A1C8A" w:rsidP="00862309">
      <w:pPr>
        <w:rPr>
          <w:iCs/>
          <w:noProof/>
        </w:rPr>
        <w:sectPr w:rsidR="008A1C8A" w:rsidRPr="004A0A8E" w:rsidSect="00862309">
          <w:headerReference w:type="default" r:id="rId52"/>
          <w:footerReference w:type="default" r:id="rId53"/>
          <w:pgSz w:w="11906" w:h="16838"/>
          <w:pgMar w:top="1440" w:right="1440" w:bottom="1440" w:left="1440" w:header="708" w:footer="708" w:gutter="0"/>
          <w:cols w:space="708"/>
          <w:docGrid w:linePitch="360"/>
        </w:sectPr>
      </w:pPr>
    </w:p>
    <w:p w14:paraId="5C356D8F" w14:textId="77777777" w:rsidR="00862309" w:rsidRDefault="00862309" w:rsidP="00862309">
      <w:pPr>
        <w:pStyle w:val="Heading2"/>
        <w:rPr>
          <w:noProof/>
        </w:rPr>
      </w:pPr>
      <w:bookmarkStart w:id="77" w:name="_Toc185251724"/>
      <w:bookmarkStart w:id="78" w:name="_Toc185499265"/>
      <w:bookmarkStart w:id="79" w:name="_Toc222395005"/>
      <w:r>
        <w:rPr>
          <w:noProof/>
        </w:rPr>
        <w:t>Annexes</w:t>
      </w:r>
      <w:bookmarkStart w:id="80" w:name="_Ref183428519"/>
      <w:bookmarkEnd w:id="77"/>
      <w:bookmarkEnd w:id="78"/>
      <w:bookmarkEnd w:id="79"/>
    </w:p>
    <w:p w14:paraId="1A458493" w14:textId="3383A0B2" w:rsidR="008038D7" w:rsidRPr="00175ED0" w:rsidRDefault="008038D7" w:rsidP="008038D7">
      <w:pPr>
        <w:pStyle w:val="Heading3"/>
        <w:rPr>
          <w:noProof/>
        </w:rPr>
      </w:pPr>
      <w:bookmarkStart w:id="81" w:name="_Toc185251726"/>
      <w:bookmarkStart w:id="82" w:name="_Toc185499266"/>
      <w:bookmarkStart w:id="83" w:name="_Toc222395006"/>
      <w:bookmarkStart w:id="84" w:name="_Hlk204671451"/>
      <w:r>
        <w:rPr>
          <w:noProof/>
        </w:rPr>
        <w:t>Annexe 1: mesures visant à réduire la consommation par catégorie et sous-catégorie</w:t>
      </w:r>
      <w:bookmarkEnd w:id="81"/>
      <w:r>
        <w:rPr>
          <w:noProof/>
        </w:rPr>
        <w:t xml:space="preserve"> [point b)]</w:t>
      </w:r>
      <w:bookmarkEnd w:id="82"/>
      <w:bookmarkEnd w:id="83"/>
    </w:p>
    <w:p w14:paraId="4E26A7EC" w14:textId="5BB89E1C" w:rsidR="008038D7" w:rsidRPr="008152B4" w:rsidRDefault="008038D7" w:rsidP="00476790">
      <w:pPr>
        <w:spacing w:after="0"/>
        <w:rPr>
          <w:iCs/>
          <w:noProof/>
        </w:rPr>
      </w:pPr>
      <w:r>
        <w:rPr>
          <w:noProof/>
        </w:rPr>
        <w:t>Les mesures économiques en vigueur comprenaient les mesures suivantes:</w:t>
      </w:r>
    </w:p>
    <w:p w14:paraId="3C04F216" w14:textId="218590E9" w:rsidR="008038D7" w:rsidRPr="008152B4" w:rsidRDefault="008038D7" w:rsidP="00387885">
      <w:pPr>
        <w:pStyle w:val="ListParagraph"/>
        <w:numPr>
          <w:ilvl w:val="0"/>
          <w:numId w:val="3"/>
        </w:numPr>
        <w:rPr>
          <w:noProof/>
        </w:rPr>
      </w:pPr>
      <w:r>
        <w:rPr>
          <w:noProof/>
        </w:rPr>
        <w:t>obligations en matière de responsabilité élargie du producteur (21 pays), principalement liées à la mise en œuvre des dispositions obligatoires de la directive sur les plastiques à usage unique;</w:t>
      </w:r>
    </w:p>
    <w:p w14:paraId="24C7F84E" w14:textId="7AAD582C" w:rsidR="008038D7" w:rsidRPr="008152B4" w:rsidRDefault="008038D7" w:rsidP="00387885">
      <w:pPr>
        <w:pStyle w:val="ListParagraph"/>
        <w:numPr>
          <w:ilvl w:val="0"/>
          <w:numId w:val="3"/>
        </w:numPr>
        <w:rPr>
          <w:noProof/>
        </w:rPr>
      </w:pPr>
      <w:r>
        <w:rPr>
          <w:noProof/>
        </w:rPr>
        <w:t>marchés publics écologiques (MPE) (14 pays), liés aux systèmes obligatoires, aux systèmes volontaires et aux politiques nationales plus larges en matière de MPE. Dans les rapports par pays, les dispositions spécifiques en matière de MPE pour les GB et les RA n’étaient pas toujours tout à fait claires;</w:t>
      </w:r>
    </w:p>
    <w:p w14:paraId="268D98A9" w14:textId="4AA1181E" w:rsidR="008038D7" w:rsidRPr="008152B4" w:rsidRDefault="008038D7" w:rsidP="00387885">
      <w:pPr>
        <w:pStyle w:val="ListParagraph"/>
        <w:numPr>
          <w:ilvl w:val="0"/>
          <w:numId w:val="3"/>
        </w:numPr>
        <w:rPr>
          <w:noProof/>
        </w:rPr>
      </w:pPr>
      <w:r>
        <w:rPr>
          <w:noProof/>
        </w:rPr>
        <w:t>instruments visant à garantir des réductions pour les consommateurs utilisant des substituts réutilisables (12 instruments pour les GB et 7 instruments pour les RA). Ces mesures étaient souvent volontaires et, dans certains cas, appliquées au niveau infranational;</w:t>
      </w:r>
    </w:p>
    <w:p w14:paraId="21265A72" w14:textId="10323221" w:rsidR="008038D7" w:rsidRPr="008152B4" w:rsidRDefault="008038D7" w:rsidP="00387885">
      <w:pPr>
        <w:pStyle w:val="ListParagraph"/>
        <w:numPr>
          <w:ilvl w:val="0"/>
          <w:numId w:val="3"/>
        </w:numPr>
        <w:rPr>
          <w:noProof/>
        </w:rPr>
      </w:pPr>
      <w:r>
        <w:rPr>
          <w:noProof/>
        </w:rPr>
        <w:t>prélèvements sur les entreprises mettant ce type d’article sur le marché (11 pays), qui étaient généralement obligatoires et appliqués au niveau national;</w:t>
      </w:r>
    </w:p>
    <w:p w14:paraId="57689317" w14:textId="2666B6BA" w:rsidR="008038D7" w:rsidRPr="008152B4" w:rsidRDefault="008038D7" w:rsidP="00387885">
      <w:pPr>
        <w:pStyle w:val="ListParagraph"/>
        <w:numPr>
          <w:ilvl w:val="0"/>
          <w:numId w:val="3"/>
        </w:numPr>
        <w:rPr>
          <w:noProof/>
        </w:rPr>
      </w:pPr>
      <w:r>
        <w:rPr>
          <w:noProof/>
        </w:rPr>
        <w:t>subventions/prélèvements réduits pour les opérateurs disposant de substituts réutilisables (cinq pays en disposaient pour les GB, contre six pour les RA).</w:t>
      </w:r>
    </w:p>
    <w:p w14:paraId="61DFC4BA" w14:textId="77777777" w:rsidR="008038D7" w:rsidRPr="008152B4" w:rsidRDefault="008038D7" w:rsidP="00476790">
      <w:pPr>
        <w:spacing w:after="0"/>
        <w:rPr>
          <w:iCs/>
          <w:noProof/>
        </w:rPr>
      </w:pPr>
      <w:r>
        <w:rPr>
          <w:noProof/>
        </w:rPr>
        <w:t>Les mesures de sensibilisation les plus fréquentes étaient les suivantes:</w:t>
      </w:r>
    </w:p>
    <w:p w14:paraId="608AF892" w14:textId="74E3CD47" w:rsidR="008038D7" w:rsidRPr="008152B4" w:rsidRDefault="003018CC" w:rsidP="00387885">
      <w:pPr>
        <w:pStyle w:val="ListParagraph"/>
        <w:numPr>
          <w:ilvl w:val="0"/>
          <w:numId w:val="6"/>
        </w:numPr>
        <w:rPr>
          <w:iCs/>
          <w:noProof/>
        </w:rPr>
      </w:pPr>
      <w:r>
        <w:rPr>
          <w:noProof/>
        </w:rPr>
        <w:t>campagnes de sensibilisation relatives aux incidences négatives des GB/RA en plastique à usage unique sur l’environnement (2</w:t>
      </w:r>
      <w:r w:rsidR="007D6AE3">
        <w:rPr>
          <w:noProof/>
        </w:rPr>
        <w:t>1</w:t>
      </w:r>
      <w:r>
        <w:rPr>
          <w:noProof/>
        </w:rPr>
        <w:t xml:space="preserve"> et</w:t>
      </w:r>
      <w:r w:rsidR="007D6AE3">
        <w:rPr>
          <w:noProof/>
        </w:rPr>
        <w:t xml:space="preserve"> 20</w:t>
      </w:r>
      <w:r>
        <w:rPr>
          <w:noProof/>
        </w:rPr>
        <w:t xml:space="preserve"> pays, respectivement);</w:t>
      </w:r>
    </w:p>
    <w:p w14:paraId="4E6EF38C" w14:textId="790977C5" w:rsidR="008038D7" w:rsidRPr="008152B4" w:rsidRDefault="008038D7" w:rsidP="00387885">
      <w:pPr>
        <w:pStyle w:val="ListParagraph"/>
        <w:numPr>
          <w:ilvl w:val="0"/>
          <w:numId w:val="6"/>
        </w:numPr>
        <w:rPr>
          <w:iCs/>
          <w:noProof/>
        </w:rPr>
      </w:pPr>
      <w:r>
        <w:rPr>
          <w:noProof/>
        </w:rPr>
        <w:t>promotion de substituts durables de RA en plastique à usage unique (par exemple, récipients alimentaires réutilisables) (20 pays avaient mis en place de tels substituts durables pour les gobelets, contre 18 pays pour les récipients alimentaires).</w:t>
      </w:r>
    </w:p>
    <w:p w14:paraId="11821B07" w14:textId="77777777" w:rsidR="008038D7" w:rsidRPr="008152B4" w:rsidRDefault="008038D7" w:rsidP="00476790">
      <w:pPr>
        <w:spacing w:after="0"/>
        <w:rPr>
          <w:iCs/>
          <w:noProof/>
        </w:rPr>
      </w:pPr>
      <w:r>
        <w:rPr>
          <w:noProof/>
        </w:rPr>
        <w:t xml:space="preserve">Les mesures les plus fréquentes pour la promotion de substituts durables étaient les suivantes: </w:t>
      </w:r>
    </w:p>
    <w:p w14:paraId="475394DD" w14:textId="481337D1" w:rsidR="008038D7" w:rsidRPr="008152B4" w:rsidRDefault="00F8201F" w:rsidP="00387885">
      <w:pPr>
        <w:pStyle w:val="ListParagraph"/>
        <w:numPr>
          <w:ilvl w:val="0"/>
          <w:numId w:val="5"/>
        </w:numPr>
        <w:rPr>
          <w:iCs/>
          <w:noProof/>
        </w:rPr>
      </w:pPr>
      <w:r>
        <w:rPr>
          <w:noProof/>
        </w:rPr>
        <w:t>promotion de sources d’approvisionnement en eau potable publiques gratuites incitant les gens à apporter leur propre gobelet ou à boire directement au jet (16 pays);</w:t>
      </w:r>
    </w:p>
    <w:p w14:paraId="6C82BA66" w14:textId="16A9D39F" w:rsidR="008038D7" w:rsidRPr="008152B4" w:rsidRDefault="003018CC" w:rsidP="00387885">
      <w:pPr>
        <w:pStyle w:val="ListParagraph"/>
        <w:numPr>
          <w:ilvl w:val="0"/>
          <w:numId w:val="5"/>
        </w:numPr>
        <w:rPr>
          <w:iCs/>
          <w:noProof/>
        </w:rPr>
      </w:pPr>
      <w:r>
        <w:rPr>
          <w:noProof/>
        </w:rPr>
        <w:t>mesures visant à promouvoir les substituts réutilisables de GB et de RA en plastique à usage unique dans les administrations publiques (16 pays avaient mis en place de tels substituts pour les GB, contre 15 pour les RA);</w:t>
      </w:r>
    </w:p>
    <w:p w14:paraId="6E35CC45" w14:textId="3E0CE4F1" w:rsidR="008038D7" w:rsidRPr="008152B4" w:rsidRDefault="00F8201F" w:rsidP="00387885">
      <w:pPr>
        <w:pStyle w:val="ListParagraph"/>
        <w:numPr>
          <w:ilvl w:val="0"/>
          <w:numId w:val="5"/>
        </w:numPr>
        <w:rPr>
          <w:iCs/>
          <w:noProof/>
        </w:rPr>
      </w:pPr>
      <w:r>
        <w:rPr>
          <w:noProof/>
        </w:rPr>
        <w:t>promotion de modèles économiques proposant des substituts réutilisables aux GB/RA en plastique à usage unique (14 pays avaient mis en place de tels modèles économiques pour les GB, contre 13 pour les RA);</w:t>
      </w:r>
    </w:p>
    <w:p w14:paraId="20EA5E97" w14:textId="28A9F6AD" w:rsidR="008038D7" w:rsidRPr="008152B4" w:rsidRDefault="003018CC" w:rsidP="00387885">
      <w:pPr>
        <w:pStyle w:val="ListParagraph"/>
        <w:numPr>
          <w:ilvl w:val="0"/>
          <w:numId w:val="5"/>
        </w:numPr>
        <w:rPr>
          <w:iCs/>
          <w:noProof/>
        </w:rPr>
      </w:pPr>
      <w:r>
        <w:rPr>
          <w:noProof/>
        </w:rPr>
        <w:t xml:space="preserve">mesures obligeant ou incitant les entreprises à: i) fournir, au point de vente, des GB/RA de substitution durables au consommateur final (17 pays avaient mis en place des GB de substitution durables et 16 pays avaient mis en place des RA de substitution durables); ou ii) mettre à la disposition des consommateurs, lors de grandes manifestations publiques, des substituts réutilisables de GB/RA en plastique à usage unique (13 pays). </w:t>
      </w:r>
    </w:p>
    <w:p w14:paraId="5A3B9381" w14:textId="77777777" w:rsidR="008038D7" w:rsidRPr="008152B4" w:rsidRDefault="008038D7" w:rsidP="00476790">
      <w:pPr>
        <w:spacing w:after="0"/>
        <w:rPr>
          <w:iCs/>
          <w:noProof/>
        </w:rPr>
      </w:pPr>
      <w:r>
        <w:rPr>
          <w:noProof/>
        </w:rPr>
        <w:t xml:space="preserve">D’autres types de mesures se sont distingués, par exemple: </w:t>
      </w:r>
    </w:p>
    <w:p w14:paraId="3A96B519" w14:textId="2924C2F8" w:rsidR="008038D7" w:rsidRPr="008152B4" w:rsidRDefault="00594C9C" w:rsidP="00387885">
      <w:pPr>
        <w:pStyle w:val="ListParagraph"/>
        <w:numPr>
          <w:ilvl w:val="0"/>
          <w:numId w:val="4"/>
        </w:numPr>
        <w:rPr>
          <w:iCs/>
          <w:noProof/>
        </w:rPr>
      </w:pPr>
      <w:r>
        <w:rPr>
          <w:noProof/>
        </w:rPr>
        <w:t>objectifs quantitatifs de réduction de la part des GB en plastique à usage unique mis sur le marché et mis à la disposition des consommateurs (15 pays avaient mis en place de tels objectifs pour les gobelets et 14 pays les avaient mis en place pour les récipients pour aliments, voir l’encadré 1 pour un aperçu);</w:t>
      </w:r>
    </w:p>
    <w:p w14:paraId="42AE55E0" w14:textId="5C4F19A0" w:rsidR="008038D7" w:rsidRPr="008152B4" w:rsidRDefault="00594C9C" w:rsidP="00387885">
      <w:pPr>
        <w:pStyle w:val="ListParagraph"/>
        <w:numPr>
          <w:ilvl w:val="0"/>
          <w:numId w:val="4"/>
        </w:numPr>
        <w:rPr>
          <w:iCs/>
          <w:noProof/>
        </w:rPr>
      </w:pPr>
      <w:r>
        <w:rPr>
          <w:noProof/>
        </w:rPr>
        <w:t>restrictions applicables à l’utilisation de récipients pour aliments en plastique à usage unique pour la fourniture de boissons ou de denrées alimentaires aux consommateurs (dix pays avaient mis en place de telles restrictions pour les GB et neuf pays les avaient mises en place pour les RA).</w:t>
      </w:r>
    </w:p>
    <w:p w14:paraId="35214B64" w14:textId="77777777" w:rsidR="008038D7" w:rsidRPr="00476790" w:rsidRDefault="008038D7" w:rsidP="00476790">
      <w:pPr>
        <w:spacing w:after="0"/>
        <w:rPr>
          <w:iCs/>
          <w:noProof/>
        </w:rPr>
      </w:pPr>
      <w:r>
        <w:rPr>
          <w:noProof/>
        </w:rPr>
        <w:t>Parmi les autres mesures communiquées, qui ne relevaient pas pleinement de l’une des catégories données, figurent:</w:t>
      </w:r>
    </w:p>
    <w:p w14:paraId="59560D13" w14:textId="7662B2AA" w:rsidR="008038D7" w:rsidRPr="008152B4" w:rsidRDefault="00594C9C" w:rsidP="00387885">
      <w:pPr>
        <w:pStyle w:val="ListParagraph"/>
        <w:numPr>
          <w:ilvl w:val="0"/>
          <w:numId w:val="4"/>
        </w:numPr>
        <w:rPr>
          <w:noProof/>
        </w:rPr>
      </w:pPr>
      <w:r>
        <w:rPr>
          <w:noProof/>
        </w:rPr>
        <w:t xml:space="preserve">le soutien financier du gouvernement à l’amélioration technologique et au renforcement des capacités pour les substituts de produits en plastique à usage unique soumis à des restrictions de commercialisation; </w:t>
      </w:r>
    </w:p>
    <w:p w14:paraId="55407242" w14:textId="436D26BC" w:rsidR="008038D7" w:rsidRPr="008152B4" w:rsidRDefault="00594C9C" w:rsidP="00387885">
      <w:pPr>
        <w:pStyle w:val="ListParagraph"/>
        <w:numPr>
          <w:ilvl w:val="0"/>
          <w:numId w:val="4"/>
        </w:numPr>
        <w:rPr>
          <w:noProof/>
        </w:rPr>
      </w:pPr>
      <w:r>
        <w:rPr>
          <w:noProof/>
        </w:rPr>
        <w:t>les documents de planification stratégique et d’orientation;</w:t>
      </w:r>
    </w:p>
    <w:p w14:paraId="246C3E72" w14:textId="4D73C141" w:rsidR="008038D7" w:rsidRPr="008152B4" w:rsidRDefault="00594C9C" w:rsidP="00387885">
      <w:pPr>
        <w:pStyle w:val="ListParagraph"/>
        <w:numPr>
          <w:ilvl w:val="0"/>
          <w:numId w:val="4"/>
        </w:numPr>
        <w:rPr>
          <w:noProof/>
        </w:rPr>
      </w:pPr>
      <w:r>
        <w:rPr>
          <w:noProof/>
        </w:rPr>
        <w:t>la mise en place de tables rondes.</w:t>
      </w:r>
    </w:p>
    <w:p w14:paraId="7B11EB67" w14:textId="7FAF1CE5" w:rsidR="00467D08" w:rsidRDefault="00B73E6B" w:rsidP="008038D7">
      <w:pPr>
        <w:rPr>
          <w:noProof/>
        </w:rPr>
      </w:pPr>
      <w:r>
        <w:rPr>
          <w:noProof/>
        </w:rPr>
        <w:t>Voir les tableaux ci-dessous pour un aperçu complet des mesures en vigueur par catégorie et sous-catégorie:</w:t>
      </w:r>
    </w:p>
    <w:p w14:paraId="7750605B" w14:textId="77777777" w:rsidR="00467D08" w:rsidRDefault="00467D08" w:rsidP="008038D7">
      <w:pPr>
        <w:rPr>
          <w:noProof/>
        </w:rPr>
      </w:pPr>
    </w:p>
    <w:p w14:paraId="0AAFD3FF" w14:textId="77777777" w:rsidR="00467D08" w:rsidRDefault="00467D08" w:rsidP="008038D7">
      <w:pPr>
        <w:rPr>
          <w:noProof/>
        </w:rPr>
      </w:pPr>
    </w:p>
    <w:p w14:paraId="2D74DF91" w14:textId="713EE236" w:rsidR="00467D08" w:rsidRDefault="00467D08" w:rsidP="008038D7">
      <w:pPr>
        <w:rPr>
          <w:noProof/>
        </w:rPr>
      </w:pPr>
      <w:r w:rsidRPr="00467D08">
        <w:rPr>
          <w:noProof/>
          <w:lang w:val="en-GB" w:eastAsia="en-GB"/>
        </w:rPr>
        <w:drawing>
          <wp:inline distT="0" distB="0" distL="0" distR="0" wp14:anchorId="39BEA755" wp14:editId="2A7E75AC">
            <wp:extent cx="5731510" cy="8651240"/>
            <wp:effectExtent l="0" t="0" r="2540" b="0"/>
            <wp:docPr id="8206393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1510" cy="8651240"/>
                    </a:xfrm>
                    <a:prstGeom prst="rect">
                      <a:avLst/>
                    </a:prstGeom>
                    <a:noFill/>
                    <a:ln>
                      <a:noFill/>
                    </a:ln>
                  </pic:spPr>
                </pic:pic>
              </a:graphicData>
            </a:graphic>
          </wp:inline>
        </w:drawing>
      </w:r>
    </w:p>
    <w:p w14:paraId="43B255E8" w14:textId="44FB5CDD" w:rsidR="00B73E6B" w:rsidRDefault="00B73E6B" w:rsidP="008038D7">
      <w:pPr>
        <w:rPr>
          <w:noProof/>
        </w:rPr>
      </w:pPr>
      <w:r>
        <w:rPr>
          <w:noProof/>
        </w:rPr>
        <w:br w:type="page"/>
      </w:r>
      <w:r w:rsidR="00467D08" w:rsidRPr="00467D08">
        <w:rPr>
          <w:noProof/>
          <w:lang w:val="en-GB" w:eastAsia="en-GB"/>
        </w:rPr>
        <w:drawing>
          <wp:inline distT="0" distB="0" distL="0" distR="0" wp14:anchorId="1C50649A" wp14:editId="24A63898">
            <wp:extent cx="5731510" cy="8483600"/>
            <wp:effectExtent l="0" t="0" r="2540" b="0"/>
            <wp:docPr id="14519184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1510" cy="8483600"/>
                    </a:xfrm>
                    <a:prstGeom prst="rect">
                      <a:avLst/>
                    </a:prstGeom>
                    <a:noFill/>
                    <a:ln>
                      <a:noFill/>
                    </a:ln>
                  </pic:spPr>
                </pic:pic>
              </a:graphicData>
            </a:graphic>
          </wp:inline>
        </w:drawing>
      </w:r>
    </w:p>
    <w:p w14:paraId="2350CF2E" w14:textId="6E6BB1C0" w:rsidR="006C59CD" w:rsidRDefault="006C59CD" w:rsidP="008038D7">
      <w:pPr>
        <w:rPr>
          <w:noProof/>
        </w:rPr>
      </w:pPr>
    </w:p>
    <w:p w14:paraId="6ED4BF1F" w14:textId="55D0A860" w:rsidR="0051613E" w:rsidRDefault="0051613E" w:rsidP="008038D7">
      <w:pPr>
        <w:rPr>
          <w:noProof/>
        </w:rPr>
        <w:sectPr w:rsidR="0051613E" w:rsidSect="008038D7">
          <w:headerReference w:type="default" r:id="rId56"/>
          <w:footerReference w:type="default" r:id="rId57"/>
          <w:pgSz w:w="11906" w:h="16838"/>
          <w:pgMar w:top="1440" w:right="1440" w:bottom="1440" w:left="1440" w:header="708" w:footer="708" w:gutter="0"/>
          <w:cols w:space="708"/>
          <w:docGrid w:linePitch="360"/>
        </w:sectPr>
      </w:pPr>
    </w:p>
    <w:p w14:paraId="4FFA3CBD" w14:textId="5DC79AE0" w:rsidR="00DB50DC" w:rsidRPr="00175874" w:rsidRDefault="00713B2A" w:rsidP="00175874">
      <w:pPr>
        <w:pStyle w:val="Heading3"/>
        <w:rPr>
          <w:noProof/>
        </w:rPr>
      </w:pPr>
      <w:bookmarkStart w:id="85" w:name="_Toc185499267"/>
      <w:bookmarkStart w:id="86" w:name="_Toc222395007"/>
      <w:r>
        <w:rPr>
          <w:noProof/>
        </w:rPr>
        <w:t>Annexe 2: mesures fixant des objectifs quantitatifs en vue de réduire la consommation de GB et de RA en plastique à usage unique [point b)]</w:t>
      </w:r>
      <w:bookmarkEnd w:id="85"/>
      <w:bookmarkEnd w:id="86"/>
    </w:p>
    <w:p w14:paraId="749FEAC6" w14:textId="66DC1F14" w:rsidR="0002668C" w:rsidRPr="004A0A8E" w:rsidRDefault="0002668C" w:rsidP="0002668C">
      <w:pPr>
        <w:rPr>
          <w:noProof/>
        </w:rPr>
      </w:pPr>
      <w:r>
        <w:rPr>
          <w:noProof/>
        </w:rPr>
        <w:t xml:space="preserve">La directive sur les plastiques à usage unique ne prévoit pas d’objectifs quantitatifs pour la réduction de la consommation des GB et des RA en plastique à usage unique, mais elle invite les pays à parvenir à une «réduction ambitieuse et durable» de la consommation de ces catégories entre 2022 et 2026. </w:t>
      </w:r>
    </w:p>
    <w:p w14:paraId="35FE95B5" w14:textId="246F850A" w:rsidR="0002668C" w:rsidRPr="004A0A8E" w:rsidRDefault="0002668C" w:rsidP="0002668C">
      <w:pPr>
        <w:rPr>
          <w:noProof/>
        </w:rPr>
      </w:pPr>
      <w:r>
        <w:rPr>
          <w:noProof/>
        </w:rPr>
        <w:t>Selon les données communiquées cette année, 15 pays ont déjà fixé des objectifs quantitatifs pour la réduction des GB en plastique à usage unique mis sur le marché et 14 pays ont déjà fixé des objectifs quantitatifs pour la réduction des RA en plastique à usage unique mis sur le marché (les objectifs de la Lettonie ne portent que sur les GB). Le tableau suivant donne un aperçu des objectifs quantitatifs et des références stratégiques indiqués par les pays dans les fichiers de communication, qui sont parfois incomplets. En effet, les champs permettant de décrire les mesures (par exemple, description de la mesure, URL de la référence stratégique, année d’entrée en vigueur, niveau géographique, etc.) étaient facultatifs selon le format de déclaration et n’ont donc pas été remplis par tous les pays.</w:t>
      </w:r>
    </w:p>
    <w:tbl>
      <w:tblPr>
        <w:tblStyle w:val="TableGrid"/>
        <w:tblW w:w="8930" w:type="dxa"/>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ayout w:type="fixed"/>
        <w:tblLook w:val="04A0" w:firstRow="1" w:lastRow="0" w:firstColumn="1" w:lastColumn="0" w:noHBand="0" w:noVBand="1"/>
      </w:tblPr>
      <w:tblGrid>
        <w:gridCol w:w="1074"/>
        <w:gridCol w:w="1761"/>
        <w:gridCol w:w="6095"/>
      </w:tblGrid>
      <w:tr w:rsidR="00D70CB7" w:rsidRPr="004A0A8E" w14:paraId="7025A08D" w14:textId="77777777" w:rsidTr="00E15FCF">
        <w:tc>
          <w:tcPr>
            <w:tcW w:w="1074" w:type="dxa"/>
            <w:shd w:val="clear" w:color="auto" w:fill="007B6C"/>
          </w:tcPr>
          <w:p w14:paraId="5B0E8DFA" w14:textId="77777777" w:rsidR="00D70CB7" w:rsidRPr="00A3421A" w:rsidRDefault="00D70CB7" w:rsidP="00E15FCF">
            <w:pPr>
              <w:rPr>
                <w:b/>
                <w:noProof/>
                <w:color w:val="FFFFFF" w:themeColor="background1"/>
                <w:sz w:val="20"/>
                <w:szCs w:val="20"/>
              </w:rPr>
            </w:pPr>
            <w:r>
              <w:rPr>
                <w:b/>
                <w:noProof/>
                <w:color w:val="FFFFFF" w:themeColor="background1"/>
                <w:sz w:val="20"/>
              </w:rPr>
              <w:t xml:space="preserve">Pays </w:t>
            </w:r>
          </w:p>
        </w:tc>
        <w:tc>
          <w:tcPr>
            <w:tcW w:w="1761" w:type="dxa"/>
            <w:shd w:val="clear" w:color="auto" w:fill="007B6C"/>
          </w:tcPr>
          <w:p w14:paraId="58699293" w14:textId="77777777" w:rsidR="00D70CB7" w:rsidRPr="00A3421A" w:rsidRDefault="00D70CB7" w:rsidP="00E15FCF">
            <w:pPr>
              <w:rPr>
                <w:b/>
                <w:noProof/>
                <w:color w:val="FFFFFF" w:themeColor="background1"/>
                <w:sz w:val="20"/>
                <w:szCs w:val="20"/>
              </w:rPr>
            </w:pPr>
            <w:r>
              <w:rPr>
                <w:b/>
                <w:noProof/>
                <w:color w:val="FFFFFF" w:themeColor="background1"/>
                <w:sz w:val="20"/>
              </w:rPr>
              <w:t xml:space="preserve">Objectif </w:t>
            </w:r>
          </w:p>
        </w:tc>
        <w:tc>
          <w:tcPr>
            <w:tcW w:w="6095" w:type="dxa"/>
            <w:shd w:val="clear" w:color="auto" w:fill="007B6C"/>
          </w:tcPr>
          <w:p w14:paraId="6528FAAD" w14:textId="77777777" w:rsidR="00D70CB7" w:rsidRPr="00A3421A" w:rsidRDefault="00D70CB7" w:rsidP="00E15FCF">
            <w:pPr>
              <w:rPr>
                <w:b/>
                <w:noProof/>
                <w:color w:val="FFFFFF" w:themeColor="background1"/>
                <w:sz w:val="20"/>
                <w:szCs w:val="20"/>
              </w:rPr>
            </w:pPr>
            <w:r>
              <w:rPr>
                <w:b/>
                <w:noProof/>
                <w:color w:val="FFFFFF" w:themeColor="background1"/>
                <w:sz w:val="20"/>
              </w:rPr>
              <w:t>Référence/URL</w:t>
            </w:r>
          </w:p>
        </w:tc>
      </w:tr>
      <w:tr w:rsidR="00D70CB7" w:rsidRPr="004A0A8E" w14:paraId="63B665E4" w14:textId="77777777" w:rsidTr="00E15FCF">
        <w:tc>
          <w:tcPr>
            <w:tcW w:w="1074" w:type="dxa"/>
            <w:shd w:val="clear" w:color="auto" w:fill="E7E6E6" w:themeFill="background2"/>
          </w:tcPr>
          <w:p w14:paraId="6E8D3C07" w14:textId="77777777" w:rsidR="00D70CB7" w:rsidRPr="00A3421A" w:rsidRDefault="00D70CB7" w:rsidP="00E15FCF">
            <w:pPr>
              <w:rPr>
                <w:b/>
                <w:noProof/>
                <w:sz w:val="16"/>
                <w:szCs w:val="16"/>
              </w:rPr>
            </w:pPr>
            <w:r>
              <w:rPr>
                <w:b/>
                <w:noProof/>
                <w:sz w:val="16"/>
              </w:rPr>
              <w:t>Autriche</w:t>
            </w:r>
          </w:p>
        </w:tc>
        <w:tc>
          <w:tcPr>
            <w:tcW w:w="1761" w:type="dxa"/>
            <w:shd w:val="clear" w:color="auto" w:fill="E7E6E6" w:themeFill="background2"/>
          </w:tcPr>
          <w:p w14:paraId="3B44CDA8" w14:textId="3C62A485" w:rsidR="00D70CB7" w:rsidRPr="004A0A8E" w:rsidRDefault="00D70CB7" w:rsidP="00E15FCF">
            <w:pPr>
              <w:rPr>
                <w:noProof/>
                <w:sz w:val="16"/>
                <w:szCs w:val="16"/>
              </w:rPr>
            </w:pPr>
            <w:r>
              <w:rPr>
                <w:noProof/>
                <w:sz w:val="16"/>
              </w:rPr>
              <w:t>Réduction de 20 % pour les emballages en plastique à usage unique mis sur le marché en 2025 par rapport à 2018</w:t>
            </w:r>
          </w:p>
        </w:tc>
        <w:tc>
          <w:tcPr>
            <w:tcW w:w="6095" w:type="dxa"/>
            <w:shd w:val="clear" w:color="auto" w:fill="E7E6E6" w:themeFill="background2"/>
          </w:tcPr>
          <w:p w14:paraId="59927C46" w14:textId="379AB79F" w:rsidR="00D70CB7" w:rsidRPr="004A0A8E" w:rsidRDefault="00D70CB7" w:rsidP="00E15FCF">
            <w:pPr>
              <w:rPr>
                <w:noProof/>
                <w:sz w:val="16"/>
                <w:szCs w:val="16"/>
              </w:rPr>
            </w:pPr>
            <w:r>
              <w:rPr>
                <w:noProof/>
                <w:sz w:val="16"/>
              </w:rPr>
              <w:t>https://www.ris.bka.gv.at/GeltendeFassung.wxe?Abfrage=Bundesnormen&amp;Gesetzesnummer=20002086</w:t>
            </w:r>
          </w:p>
        </w:tc>
      </w:tr>
      <w:tr w:rsidR="00D70CB7" w:rsidRPr="004A0A8E" w14:paraId="55498EF2" w14:textId="77777777" w:rsidTr="00E15FCF">
        <w:tc>
          <w:tcPr>
            <w:tcW w:w="1074" w:type="dxa"/>
            <w:shd w:val="clear" w:color="auto" w:fill="E7E6E6" w:themeFill="background2"/>
          </w:tcPr>
          <w:p w14:paraId="676FBB36" w14:textId="77777777" w:rsidR="00D70CB7" w:rsidRPr="00A3421A" w:rsidRDefault="00D70CB7" w:rsidP="00E15FCF">
            <w:pPr>
              <w:rPr>
                <w:b/>
                <w:noProof/>
                <w:sz w:val="16"/>
                <w:szCs w:val="16"/>
              </w:rPr>
            </w:pPr>
            <w:r>
              <w:rPr>
                <w:b/>
                <w:noProof/>
                <w:sz w:val="16"/>
              </w:rPr>
              <w:t>Tchéquie</w:t>
            </w:r>
          </w:p>
        </w:tc>
        <w:tc>
          <w:tcPr>
            <w:tcW w:w="1761" w:type="dxa"/>
            <w:shd w:val="clear" w:color="auto" w:fill="E7E6E6" w:themeFill="background2"/>
          </w:tcPr>
          <w:p w14:paraId="446DE939" w14:textId="77777777" w:rsidR="00D70CB7" w:rsidRPr="004A0A8E" w:rsidRDefault="00D70CB7" w:rsidP="00E15FCF">
            <w:pPr>
              <w:rPr>
                <w:noProof/>
                <w:sz w:val="16"/>
                <w:szCs w:val="16"/>
              </w:rPr>
            </w:pPr>
            <w:r>
              <w:rPr>
                <w:noProof/>
                <w:sz w:val="16"/>
              </w:rPr>
              <w:t>Chiffres inférieurs en 2026</w:t>
            </w:r>
          </w:p>
        </w:tc>
        <w:tc>
          <w:tcPr>
            <w:tcW w:w="6095" w:type="dxa"/>
            <w:shd w:val="clear" w:color="auto" w:fill="E7E6E6" w:themeFill="background2"/>
          </w:tcPr>
          <w:p w14:paraId="47990B0B" w14:textId="77777777" w:rsidR="00D70CB7" w:rsidRPr="004A0A8E" w:rsidRDefault="00D70CB7" w:rsidP="00E15FCF">
            <w:pPr>
              <w:rPr>
                <w:noProof/>
                <w:sz w:val="16"/>
                <w:szCs w:val="16"/>
              </w:rPr>
            </w:pPr>
            <w:r>
              <w:rPr>
                <w:noProof/>
                <w:sz w:val="16"/>
              </w:rPr>
              <w:t>Plan national de gestion des déchets</w:t>
            </w:r>
          </w:p>
        </w:tc>
      </w:tr>
      <w:tr w:rsidR="00D70CB7" w:rsidRPr="004A0A8E" w14:paraId="3A31ECBF" w14:textId="77777777" w:rsidTr="00E15FCF">
        <w:tc>
          <w:tcPr>
            <w:tcW w:w="1074" w:type="dxa"/>
            <w:shd w:val="clear" w:color="auto" w:fill="E7E6E6" w:themeFill="background2"/>
          </w:tcPr>
          <w:p w14:paraId="01FDAD9D" w14:textId="77777777" w:rsidR="00D70CB7" w:rsidRPr="00A3421A" w:rsidRDefault="00D70CB7" w:rsidP="00E15FCF">
            <w:pPr>
              <w:rPr>
                <w:b/>
                <w:noProof/>
                <w:sz w:val="16"/>
                <w:szCs w:val="16"/>
              </w:rPr>
            </w:pPr>
            <w:r>
              <w:rPr>
                <w:b/>
                <w:noProof/>
                <w:sz w:val="16"/>
              </w:rPr>
              <w:t>Danemark</w:t>
            </w:r>
          </w:p>
        </w:tc>
        <w:tc>
          <w:tcPr>
            <w:tcW w:w="1761" w:type="dxa"/>
            <w:shd w:val="clear" w:color="auto" w:fill="E7E6E6" w:themeFill="background2"/>
          </w:tcPr>
          <w:p w14:paraId="7BFA0F63" w14:textId="77777777" w:rsidR="00D70CB7" w:rsidRPr="004A0A8E" w:rsidRDefault="00D70CB7" w:rsidP="00E15FCF">
            <w:pPr>
              <w:rPr>
                <w:noProof/>
                <w:sz w:val="16"/>
                <w:szCs w:val="16"/>
              </w:rPr>
            </w:pPr>
            <w:r>
              <w:rPr>
                <w:noProof/>
                <w:sz w:val="16"/>
              </w:rPr>
              <w:t>Réduction de 50 % d’ici à 2026</w:t>
            </w:r>
          </w:p>
        </w:tc>
        <w:tc>
          <w:tcPr>
            <w:tcW w:w="6095" w:type="dxa"/>
            <w:shd w:val="clear" w:color="auto" w:fill="E7E6E6" w:themeFill="background2"/>
          </w:tcPr>
          <w:p w14:paraId="432D4161" w14:textId="75A8D795" w:rsidR="00D70CB7" w:rsidRPr="004A0A8E" w:rsidRDefault="00D70CB7" w:rsidP="00E15FCF">
            <w:pPr>
              <w:rPr>
                <w:noProof/>
                <w:sz w:val="16"/>
                <w:szCs w:val="16"/>
              </w:rPr>
            </w:pPr>
            <w:r>
              <w:rPr>
                <w:noProof/>
                <w:sz w:val="16"/>
              </w:rPr>
              <w:t>https://mim.dk/media/ouwjnpp5/aftaletekst-ofoelgning-paa-aftale-om-klimaplan-for-en-groen-affaldssektor.pdf</w:t>
            </w:r>
          </w:p>
        </w:tc>
      </w:tr>
      <w:tr w:rsidR="00D70CB7" w:rsidRPr="004A0A8E" w14:paraId="7F955DD2" w14:textId="77777777" w:rsidTr="00E15FCF">
        <w:tc>
          <w:tcPr>
            <w:tcW w:w="1074" w:type="dxa"/>
            <w:shd w:val="clear" w:color="auto" w:fill="E7E6E6" w:themeFill="background2"/>
          </w:tcPr>
          <w:p w14:paraId="2854324E" w14:textId="77777777" w:rsidR="00D70CB7" w:rsidRPr="00A3421A" w:rsidRDefault="00D70CB7" w:rsidP="00E15FCF">
            <w:pPr>
              <w:rPr>
                <w:b/>
                <w:noProof/>
                <w:sz w:val="16"/>
                <w:szCs w:val="16"/>
              </w:rPr>
            </w:pPr>
            <w:r>
              <w:rPr>
                <w:b/>
                <w:noProof/>
                <w:sz w:val="16"/>
              </w:rPr>
              <w:t>France</w:t>
            </w:r>
          </w:p>
        </w:tc>
        <w:tc>
          <w:tcPr>
            <w:tcW w:w="1761" w:type="dxa"/>
            <w:shd w:val="clear" w:color="auto" w:fill="E7E6E6" w:themeFill="background2"/>
          </w:tcPr>
          <w:p w14:paraId="411AA8C9" w14:textId="22BEB5D9" w:rsidR="00D70CB7" w:rsidRPr="004A0A8E" w:rsidRDefault="00D70CB7" w:rsidP="00E15FCF">
            <w:pPr>
              <w:rPr>
                <w:noProof/>
                <w:sz w:val="16"/>
                <w:szCs w:val="16"/>
              </w:rPr>
            </w:pPr>
            <w:r>
              <w:rPr>
                <w:noProof/>
                <w:sz w:val="16"/>
              </w:rPr>
              <w:t>Réduction de 15 % au 1</w:t>
            </w:r>
            <w:r>
              <w:rPr>
                <w:noProof/>
                <w:sz w:val="16"/>
                <w:vertAlign w:val="superscript"/>
              </w:rPr>
              <w:t>er</w:t>
            </w:r>
            <w:r>
              <w:rPr>
                <w:noProof/>
                <w:sz w:val="16"/>
              </w:rPr>
              <w:t> janvier 2022 et de 8 % au 1</w:t>
            </w:r>
            <w:r>
              <w:rPr>
                <w:noProof/>
                <w:sz w:val="16"/>
                <w:vertAlign w:val="superscript"/>
              </w:rPr>
              <w:t>er</w:t>
            </w:r>
            <w:r>
              <w:rPr>
                <w:noProof/>
                <w:sz w:val="16"/>
              </w:rPr>
              <w:t> janvier 2024</w:t>
            </w:r>
          </w:p>
        </w:tc>
        <w:tc>
          <w:tcPr>
            <w:tcW w:w="6095" w:type="dxa"/>
            <w:shd w:val="clear" w:color="auto" w:fill="E7E6E6" w:themeFill="background2"/>
          </w:tcPr>
          <w:p w14:paraId="36CA07AE" w14:textId="34C38C4B" w:rsidR="00D70CB7" w:rsidRPr="004A0A8E" w:rsidRDefault="00D70CB7" w:rsidP="00E15FCF">
            <w:pPr>
              <w:rPr>
                <w:noProof/>
                <w:sz w:val="16"/>
                <w:szCs w:val="16"/>
              </w:rPr>
            </w:pPr>
            <w:r>
              <w:rPr>
                <w:noProof/>
                <w:sz w:val="16"/>
              </w:rPr>
              <w:t>https://www.legifrance.gouv.fr/jorf/id/JORFTEXT000044205692</w:t>
            </w:r>
          </w:p>
        </w:tc>
      </w:tr>
      <w:tr w:rsidR="00D70CB7" w:rsidRPr="004A0A8E" w14:paraId="1CE2192A" w14:textId="77777777" w:rsidTr="00E15FCF">
        <w:tc>
          <w:tcPr>
            <w:tcW w:w="1074" w:type="dxa"/>
            <w:shd w:val="clear" w:color="auto" w:fill="E7E6E6" w:themeFill="background2"/>
          </w:tcPr>
          <w:p w14:paraId="203D49A9" w14:textId="77777777" w:rsidR="00D70CB7" w:rsidRPr="00A3421A" w:rsidRDefault="00D70CB7" w:rsidP="00E15FCF">
            <w:pPr>
              <w:rPr>
                <w:b/>
                <w:noProof/>
                <w:sz w:val="16"/>
                <w:szCs w:val="16"/>
              </w:rPr>
            </w:pPr>
            <w:r>
              <w:rPr>
                <w:b/>
                <w:noProof/>
                <w:sz w:val="16"/>
              </w:rPr>
              <w:t>Grèce</w:t>
            </w:r>
          </w:p>
        </w:tc>
        <w:tc>
          <w:tcPr>
            <w:tcW w:w="1761" w:type="dxa"/>
            <w:shd w:val="clear" w:color="auto" w:fill="E7E6E6" w:themeFill="background2"/>
          </w:tcPr>
          <w:p w14:paraId="6A3FA259" w14:textId="476004C4" w:rsidR="00D70CB7" w:rsidRPr="004A0A8E" w:rsidRDefault="00D70CB7" w:rsidP="00E15FCF">
            <w:pPr>
              <w:rPr>
                <w:noProof/>
                <w:sz w:val="16"/>
                <w:szCs w:val="16"/>
              </w:rPr>
            </w:pPr>
            <w:r>
              <w:rPr>
                <w:noProof/>
                <w:sz w:val="16"/>
              </w:rPr>
              <w:t>Réduction de 30 % en 2024 par rapport à 2022 et de 60 % en 2026 par rapport à 2022</w:t>
            </w:r>
          </w:p>
        </w:tc>
        <w:tc>
          <w:tcPr>
            <w:tcW w:w="6095" w:type="dxa"/>
            <w:shd w:val="clear" w:color="auto" w:fill="E7E6E6" w:themeFill="background2"/>
          </w:tcPr>
          <w:p w14:paraId="264414E3" w14:textId="77777777" w:rsidR="00D70CB7" w:rsidRPr="004A0A8E" w:rsidRDefault="00D70CB7" w:rsidP="00E15FCF">
            <w:pPr>
              <w:rPr>
                <w:noProof/>
                <w:sz w:val="16"/>
                <w:szCs w:val="16"/>
              </w:rPr>
            </w:pPr>
            <w:r>
              <w:rPr>
                <w:noProof/>
                <w:sz w:val="16"/>
              </w:rPr>
              <w:t>Loi 4736/2020</w:t>
            </w:r>
          </w:p>
        </w:tc>
      </w:tr>
      <w:tr w:rsidR="00D70CB7" w:rsidRPr="004A0A8E" w14:paraId="48D90F5C" w14:textId="77777777" w:rsidTr="00E15FCF">
        <w:tc>
          <w:tcPr>
            <w:tcW w:w="1074" w:type="dxa"/>
            <w:shd w:val="clear" w:color="auto" w:fill="E7E6E6" w:themeFill="background2"/>
          </w:tcPr>
          <w:p w14:paraId="28EC2BCA" w14:textId="77777777" w:rsidR="00D70CB7" w:rsidRPr="00A3421A" w:rsidRDefault="00D70CB7" w:rsidP="00E15FCF">
            <w:pPr>
              <w:rPr>
                <w:b/>
                <w:noProof/>
                <w:sz w:val="16"/>
                <w:szCs w:val="16"/>
              </w:rPr>
            </w:pPr>
            <w:r>
              <w:rPr>
                <w:b/>
                <w:noProof/>
                <w:sz w:val="16"/>
              </w:rPr>
              <w:t>Irlande</w:t>
            </w:r>
          </w:p>
        </w:tc>
        <w:tc>
          <w:tcPr>
            <w:tcW w:w="1761" w:type="dxa"/>
            <w:shd w:val="clear" w:color="auto" w:fill="E7E6E6" w:themeFill="background2"/>
          </w:tcPr>
          <w:p w14:paraId="07589B75"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6D509E62" w14:textId="19846E7C" w:rsidR="00D70CB7" w:rsidRPr="004A0A8E" w:rsidRDefault="00D70CB7" w:rsidP="00E15FCF">
            <w:pPr>
              <w:rPr>
                <w:noProof/>
                <w:sz w:val="16"/>
                <w:szCs w:val="16"/>
              </w:rPr>
            </w:pPr>
            <w:r>
              <w:rPr>
                <w:noProof/>
                <w:sz w:val="16"/>
              </w:rPr>
              <w:t>Stratégie en faveur de l’économie circulaire. Comme l’exige l’acte législatif sur l’économie circulaire, la stratégie en faveur de l’économie circulaire doit inclure des objectifs en matière de réutilisation pour différents secteurs, dont celui des emballages. La stratégie est en cours d’actualisation.</w:t>
            </w:r>
          </w:p>
        </w:tc>
      </w:tr>
      <w:tr w:rsidR="00D70CB7" w:rsidRPr="003E0187" w14:paraId="2B58F459" w14:textId="77777777" w:rsidTr="00E15FCF">
        <w:tc>
          <w:tcPr>
            <w:tcW w:w="1074" w:type="dxa"/>
            <w:shd w:val="clear" w:color="auto" w:fill="E7E6E6" w:themeFill="background2"/>
          </w:tcPr>
          <w:p w14:paraId="4A2F1CB4" w14:textId="77777777" w:rsidR="00D70CB7" w:rsidRPr="00A3421A" w:rsidRDefault="00D70CB7" w:rsidP="00E15FCF">
            <w:pPr>
              <w:rPr>
                <w:b/>
                <w:noProof/>
                <w:sz w:val="16"/>
                <w:szCs w:val="16"/>
              </w:rPr>
            </w:pPr>
            <w:r>
              <w:rPr>
                <w:b/>
                <w:noProof/>
                <w:sz w:val="16"/>
              </w:rPr>
              <w:t>Italie</w:t>
            </w:r>
          </w:p>
        </w:tc>
        <w:tc>
          <w:tcPr>
            <w:tcW w:w="1761" w:type="dxa"/>
            <w:shd w:val="clear" w:color="auto" w:fill="E7E6E6" w:themeFill="background2"/>
          </w:tcPr>
          <w:p w14:paraId="0C6D0EE5"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4EE11113" w14:textId="77777777" w:rsidR="00D70CB7" w:rsidRPr="00BE6BA2" w:rsidRDefault="00D70CB7" w:rsidP="00E15FCF">
            <w:pPr>
              <w:rPr>
                <w:noProof/>
                <w:sz w:val="16"/>
                <w:szCs w:val="16"/>
              </w:rPr>
            </w:pPr>
            <w:r>
              <w:rPr>
                <w:noProof/>
                <w:sz w:val="16"/>
              </w:rPr>
              <w:t>Aggiornamento 2021-2026 del Piano regionale di Gestione dei Rifiuti e delle Bonifiche 2015 (Mise à jour 2021-2026 du plan régional de gestion des déchets et de la réhabilitation 2015)</w:t>
            </w:r>
          </w:p>
        </w:tc>
      </w:tr>
      <w:tr w:rsidR="00D70CB7" w:rsidRPr="004A0A8E" w14:paraId="0B6FC54B" w14:textId="77777777" w:rsidTr="00E15FCF">
        <w:tc>
          <w:tcPr>
            <w:tcW w:w="1074" w:type="dxa"/>
            <w:shd w:val="clear" w:color="auto" w:fill="E7E6E6" w:themeFill="background2"/>
          </w:tcPr>
          <w:p w14:paraId="0EA2CA22" w14:textId="77777777" w:rsidR="00D70CB7" w:rsidRPr="00A3421A" w:rsidRDefault="00D70CB7" w:rsidP="00E15FCF">
            <w:pPr>
              <w:rPr>
                <w:b/>
                <w:noProof/>
                <w:sz w:val="16"/>
                <w:szCs w:val="16"/>
              </w:rPr>
            </w:pPr>
            <w:r>
              <w:rPr>
                <w:b/>
                <w:noProof/>
                <w:sz w:val="16"/>
              </w:rPr>
              <w:t>Lettonie</w:t>
            </w:r>
          </w:p>
        </w:tc>
        <w:tc>
          <w:tcPr>
            <w:tcW w:w="1761" w:type="dxa"/>
            <w:shd w:val="clear" w:color="auto" w:fill="E7E6E6" w:themeFill="background2"/>
          </w:tcPr>
          <w:p w14:paraId="16313EFD"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7A4A3212" w14:textId="05A49452" w:rsidR="00D70CB7" w:rsidRPr="004A0A8E" w:rsidRDefault="00D70CB7" w:rsidP="00E15FCF">
            <w:pPr>
              <w:rPr>
                <w:noProof/>
                <w:sz w:val="16"/>
                <w:szCs w:val="16"/>
              </w:rPr>
            </w:pPr>
            <w:r>
              <w:rPr>
                <w:noProof/>
                <w:sz w:val="16"/>
              </w:rPr>
              <w:t>Loi sur la réduction de la consommation de produits contenant du plastique, https://likumi.lv/ta/en/en/id/323733-law-on-the-reduction-of-consumption-of-products-containing-plastic</w:t>
            </w:r>
          </w:p>
        </w:tc>
      </w:tr>
      <w:tr w:rsidR="00D70CB7" w:rsidRPr="004A0A8E" w14:paraId="2B2945CD" w14:textId="77777777" w:rsidTr="00E15FCF">
        <w:tc>
          <w:tcPr>
            <w:tcW w:w="1074" w:type="dxa"/>
            <w:shd w:val="clear" w:color="auto" w:fill="E7E6E6" w:themeFill="background2"/>
          </w:tcPr>
          <w:p w14:paraId="59F07F53" w14:textId="77777777" w:rsidR="00D70CB7" w:rsidRPr="00A3421A" w:rsidRDefault="00D70CB7" w:rsidP="00E15FCF">
            <w:pPr>
              <w:rPr>
                <w:b/>
                <w:noProof/>
                <w:sz w:val="16"/>
                <w:szCs w:val="16"/>
              </w:rPr>
            </w:pPr>
            <w:r>
              <w:rPr>
                <w:b/>
                <w:noProof/>
                <w:sz w:val="16"/>
              </w:rPr>
              <w:t>Pays-Bas</w:t>
            </w:r>
          </w:p>
        </w:tc>
        <w:tc>
          <w:tcPr>
            <w:tcW w:w="1761" w:type="dxa"/>
            <w:shd w:val="clear" w:color="auto" w:fill="E7E6E6" w:themeFill="background2"/>
          </w:tcPr>
          <w:p w14:paraId="7A516C04" w14:textId="09530AB2" w:rsidR="00D70CB7" w:rsidRPr="004A0A8E" w:rsidRDefault="00D70CB7" w:rsidP="00E15FCF">
            <w:pPr>
              <w:rPr>
                <w:noProof/>
                <w:sz w:val="16"/>
                <w:szCs w:val="16"/>
              </w:rPr>
            </w:pPr>
            <w:r>
              <w:rPr>
                <w:noProof/>
                <w:sz w:val="16"/>
              </w:rPr>
              <w:t>Réduction d’au moins 40 % en 2026 par rapport à 2022</w:t>
            </w:r>
          </w:p>
        </w:tc>
        <w:tc>
          <w:tcPr>
            <w:tcW w:w="6095" w:type="dxa"/>
            <w:shd w:val="clear" w:color="auto" w:fill="E7E6E6" w:themeFill="background2"/>
          </w:tcPr>
          <w:p w14:paraId="20A9BFA1" w14:textId="32064D2E" w:rsidR="00D70CB7" w:rsidRPr="004A0A8E" w:rsidRDefault="00D70CB7" w:rsidP="00E15FCF">
            <w:pPr>
              <w:rPr>
                <w:noProof/>
                <w:sz w:val="16"/>
                <w:szCs w:val="16"/>
              </w:rPr>
            </w:pPr>
            <w:r>
              <w:rPr>
                <w:noProof/>
                <w:sz w:val="16"/>
              </w:rPr>
              <w:t>https://open.overheid.nl/documenten/ronl-9b1cda6564e27b4ef7267c9a13aff00e46cba6e1/pdf</w:t>
            </w:r>
          </w:p>
        </w:tc>
      </w:tr>
      <w:tr w:rsidR="00D70CB7" w:rsidRPr="004A0A8E" w14:paraId="14DE226A" w14:textId="77777777" w:rsidTr="00E15FCF">
        <w:tc>
          <w:tcPr>
            <w:tcW w:w="1074" w:type="dxa"/>
            <w:shd w:val="clear" w:color="auto" w:fill="E7E6E6" w:themeFill="background2"/>
          </w:tcPr>
          <w:p w14:paraId="696799CB" w14:textId="77777777" w:rsidR="00D70CB7" w:rsidRPr="00A3421A" w:rsidRDefault="00D70CB7" w:rsidP="00E15FCF">
            <w:pPr>
              <w:rPr>
                <w:b/>
                <w:noProof/>
                <w:sz w:val="16"/>
                <w:szCs w:val="16"/>
              </w:rPr>
            </w:pPr>
            <w:r>
              <w:rPr>
                <w:b/>
                <w:noProof/>
                <w:sz w:val="16"/>
              </w:rPr>
              <w:t>Norvège</w:t>
            </w:r>
          </w:p>
        </w:tc>
        <w:tc>
          <w:tcPr>
            <w:tcW w:w="1761" w:type="dxa"/>
            <w:shd w:val="clear" w:color="auto" w:fill="E7E6E6" w:themeFill="background2"/>
          </w:tcPr>
          <w:p w14:paraId="4683F629" w14:textId="088F3C5A" w:rsidR="00D70CB7" w:rsidRPr="004A0A8E" w:rsidRDefault="00D70CB7" w:rsidP="00E15FCF">
            <w:pPr>
              <w:rPr>
                <w:noProof/>
                <w:sz w:val="16"/>
                <w:szCs w:val="16"/>
              </w:rPr>
            </w:pPr>
            <w:r>
              <w:rPr>
                <w:noProof/>
                <w:sz w:val="16"/>
              </w:rPr>
              <w:t>Réduction de 50 % d’ici à 2026</w:t>
            </w:r>
          </w:p>
        </w:tc>
        <w:tc>
          <w:tcPr>
            <w:tcW w:w="6095" w:type="dxa"/>
            <w:shd w:val="clear" w:color="auto" w:fill="E7E6E6" w:themeFill="background2"/>
          </w:tcPr>
          <w:p w14:paraId="4F874E92" w14:textId="7A0B1019" w:rsidR="00D70CB7" w:rsidRPr="004A0A8E" w:rsidRDefault="00D70CB7" w:rsidP="00E15FCF">
            <w:pPr>
              <w:rPr>
                <w:noProof/>
                <w:sz w:val="16"/>
                <w:szCs w:val="16"/>
              </w:rPr>
            </w:pPr>
            <w:r>
              <w:rPr>
                <w:noProof/>
                <w:sz w:val="16"/>
              </w:rPr>
              <w:t>Objectif national de réduction de la consommation des GB et des RA. Voir le point 4 de l’accord: https://www.regjeringen.no/contentassets/e83f4f1084b740c48bcbe79d8c6de05a/2024-04-02-signert-plastpartnerskap-med-vedlegg.pdf</w:t>
            </w:r>
          </w:p>
        </w:tc>
      </w:tr>
      <w:tr w:rsidR="00D70CB7" w:rsidRPr="004A0A8E" w14:paraId="11A2F625" w14:textId="77777777" w:rsidTr="00E15FCF">
        <w:tc>
          <w:tcPr>
            <w:tcW w:w="1074" w:type="dxa"/>
            <w:shd w:val="clear" w:color="auto" w:fill="E7E6E6" w:themeFill="background2"/>
          </w:tcPr>
          <w:p w14:paraId="28DAFB26" w14:textId="77777777" w:rsidR="00D70CB7" w:rsidRPr="00A3421A" w:rsidRDefault="00D70CB7" w:rsidP="00E15FCF">
            <w:pPr>
              <w:rPr>
                <w:b/>
                <w:noProof/>
                <w:sz w:val="16"/>
                <w:szCs w:val="16"/>
              </w:rPr>
            </w:pPr>
            <w:r>
              <w:rPr>
                <w:b/>
                <w:noProof/>
                <w:sz w:val="16"/>
              </w:rPr>
              <w:t>Portugal</w:t>
            </w:r>
            <w:r>
              <w:rPr>
                <w:rStyle w:val="FootnoteReference"/>
                <w:b/>
                <w:noProof/>
                <w:sz w:val="16"/>
                <w:szCs w:val="16"/>
                <w:lang w:val="en-GB"/>
              </w:rPr>
              <w:footnoteReference w:id="15"/>
            </w:r>
          </w:p>
        </w:tc>
        <w:tc>
          <w:tcPr>
            <w:tcW w:w="1761" w:type="dxa"/>
            <w:shd w:val="clear" w:color="auto" w:fill="E7E6E6" w:themeFill="background2"/>
          </w:tcPr>
          <w:p w14:paraId="73E1B4F2" w14:textId="6EE35848" w:rsidR="00D70CB7" w:rsidRPr="004A0A8E" w:rsidRDefault="00D70CB7" w:rsidP="00E15FCF">
            <w:pPr>
              <w:rPr>
                <w:noProof/>
                <w:sz w:val="16"/>
                <w:szCs w:val="16"/>
              </w:rPr>
            </w:pPr>
            <w:r>
              <w:rPr>
                <w:noProof/>
                <w:sz w:val="16"/>
              </w:rPr>
              <w:t>Réduction de 80 % en 2026 par rapport à 2022</w:t>
            </w:r>
          </w:p>
          <w:p w14:paraId="34E7A771" w14:textId="66CA9588" w:rsidR="00D70CB7" w:rsidRPr="004A0A8E" w:rsidRDefault="007D6AE3" w:rsidP="00E15FCF">
            <w:pPr>
              <w:rPr>
                <w:noProof/>
                <w:sz w:val="16"/>
                <w:szCs w:val="16"/>
              </w:rPr>
            </w:pPr>
            <w:r>
              <w:rPr>
                <w:noProof/>
                <w:sz w:val="16"/>
              </w:rPr>
              <w:t>R</w:t>
            </w:r>
            <w:r w:rsidR="00D70CB7">
              <w:rPr>
                <w:noProof/>
                <w:sz w:val="16"/>
              </w:rPr>
              <w:t xml:space="preserve">éduction de 90 % </w:t>
            </w:r>
            <w:r>
              <w:rPr>
                <w:noProof/>
                <w:sz w:val="16"/>
              </w:rPr>
              <w:t>en</w:t>
            </w:r>
            <w:r w:rsidR="00D70CB7">
              <w:rPr>
                <w:noProof/>
                <w:sz w:val="16"/>
              </w:rPr>
              <w:t xml:space="preserve"> 2030 par rapport à 2022</w:t>
            </w:r>
          </w:p>
        </w:tc>
        <w:tc>
          <w:tcPr>
            <w:tcW w:w="6095" w:type="dxa"/>
            <w:shd w:val="clear" w:color="auto" w:fill="E7E6E6" w:themeFill="background2"/>
          </w:tcPr>
          <w:p w14:paraId="360F79E3" w14:textId="5A9F0E56" w:rsidR="00D70CB7" w:rsidRPr="004A0A8E" w:rsidRDefault="00D70CB7" w:rsidP="00E15FCF">
            <w:pPr>
              <w:rPr>
                <w:noProof/>
                <w:sz w:val="16"/>
                <w:szCs w:val="16"/>
              </w:rPr>
            </w:pPr>
            <w:r>
              <w:rPr>
                <w:noProof/>
                <w:sz w:val="16"/>
              </w:rPr>
              <w:t xml:space="preserve">Objectifs nationaux de réduction de la consommation de produits à usage unique: gobelets pour boissons et récipients pour aliments destinés à la consommation immédiate, </w:t>
            </w:r>
            <w:hyperlink r:id="rId58" w:history="1">
              <w:r>
                <w:rPr>
                  <w:rStyle w:val="Hyperlink"/>
                  <w:noProof/>
                  <w:sz w:val="16"/>
                </w:rPr>
                <w:t>https://diariodarepublica.pt/dr/detalhe/decreto-lei/78-2021-171871496</w:t>
              </w:r>
            </w:hyperlink>
          </w:p>
          <w:p w14:paraId="0AC3B928" w14:textId="22F5DE66" w:rsidR="00D70CB7" w:rsidRPr="004A0A8E" w:rsidRDefault="00D70CB7" w:rsidP="00E15FCF">
            <w:pPr>
              <w:rPr>
                <w:noProof/>
                <w:sz w:val="16"/>
                <w:szCs w:val="16"/>
              </w:rPr>
            </w:pPr>
            <w:r>
              <w:rPr>
                <w:noProof/>
                <w:sz w:val="16"/>
              </w:rPr>
              <w:t>Article 5 du décret-loi nº 78/2021 (dans son libellé actuel)</w:t>
            </w:r>
          </w:p>
        </w:tc>
      </w:tr>
      <w:tr w:rsidR="00D70CB7" w:rsidRPr="004A0A8E" w14:paraId="5D6EA5DE" w14:textId="77777777" w:rsidTr="00E15FCF">
        <w:tc>
          <w:tcPr>
            <w:tcW w:w="1074" w:type="dxa"/>
            <w:shd w:val="clear" w:color="auto" w:fill="E7E6E6" w:themeFill="background2"/>
          </w:tcPr>
          <w:p w14:paraId="33C9AF47" w14:textId="77777777" w:rsidR="00D70CB7" w:rsidRPr="00A3421A" w:rsidRDefault="00D70CB7" w:rsidP="00E15FCF">
            <w:pPr>
              <w:rPr>
                <w:b/>
                <w:noProof/>
                <w:sz w:val="16"/>
                <w:szCs w:val="16"/>
              </w:rPr>
            </w:pPr>
            <w:r>
              <w:rPr>
                <w:b/>
                <w:noProof/>
                <w:sz w:val="16"/>
              </w:rPr>
              <w:t>Roumanie</w:t>
            </w:r>
          </w:p>
        </w:tc>
        <w:tc>
          <w:tcPr>
            <w:tcW w:w="1761" w:type="dxa"/>
            <w:shd w:val="clear" w:color="auto" w:fill="E7E6E6" w:themeFill="background2"/>
          </w:tcPr>
          <w:p w14:paraId="5B55F55B" w14:textId="4D61AAC6" w:rsidR="00D70CB7" w:rsidRPr="004A0A8E" w:rsidRDefault="00D70CB7" w:rsidP="00E15FCF">
            <w:pPr>
              <w:rPr>
                <w:noProof/>
                <w:sz w:val="16"/>
                <w:szCs w:val="16"/>
              </w:rPr>
            </w:pPr>
            <w:r>
              <w:rPr>
                <w:noProof/>
                <w:sz w:val="16"/>
              </w:rPr>
              <w:t>Réduction de 5 % pour 2023, de 10 % pour 2024, de 15 % pour 2025 et de 20 % pour 2026, par rapport à la valeur de référence de 2022</w:t>
            </w:r>
          </w:p>
        </w:tc>
        <w:tc>
          <w:tcPr>
            <w:tcW w:w="6095" w:type="dxa"/>
            <w:shd w:val="clear" w:color="auto" w:fill="E7E6E6" w:themeFill="background2"/>
          </w:tcPr>
          <w:p w14:paraId="0BB2979A" w14:textId="36E13EDA" w:rsidR="00D70CB7" w:rsidRPr="004A0A8E" w:rsidRDefault="00D70CB7" w:rsidP="00E15FCF">
            <w:pPr>
              <w:rPr>
                <w:noProof/>
                <w:sz w:val="16"/>
                <w:szCs w:val="16"/>
              </w:rPr>
            </w:pPr>
            <w:r>
              <w:rPr>
                <w:noProof/>
                <w:sz w:val="16"/>
              </w:rPr>
              <w:t>Ordonnance gouvernementale nº 6/2021 sur la réduction de l’incidence de certains produits en plastique sur l’environnement: https://www.mmediu.ro/articol/ordonanta-6-2021-privind-reducerea-impactului-anumitor-produse-din-plastic-asupra-mediului-directiva-904-2019-a-parlamentului-european-si-a-consiliului-privind-reducerea-impactului-anumitor-produse-din-plastic-asupra-mediului/3122; https://www.afm.ro/legislatie_declaratii_produse_plastic_unica_folosinta.php</w:t>
            </w:r>
          </w:p>
        </w:tc>
      </w:tr>
      <w:tr w:rsidR="00D70CB7" w:rsidRPr="004A0A8E" w14:paraId="3F69EFCA" w14:textId="77777777" w:rsidTr="00E15FCF">
        <w:tc>
          <w:tcPr>
            <w:tcW w:w="1074" w:type="dxa"/>
            <w:shd w:val="clear" w:color="auto" w:fill="E7E6E6" w:themeFill="background2"/>
          </w:tcPr>
          <w:p w14:paraId="78DE14F4" w14:textId="77777777" w:rsidR="00D70CB7" w:rsidRPr="00A3421A" w:rsidRDefault="00D70CB7" w:rsidP="00E15FCF">
            <w:pPr>
              <w:rPr>
                <w:b/>
                <w:noProof/>
                <w:sz w:val="16"/>
                <w:szCs w:val="16"/>
              </w:rPr>
            </w:pPr>
            <w:r>
              <w:rPr>
                <w:b/>
                <w:noProof/>
                <w:sz w:val="16"/>
              </w:rPr>
              <w:t>Slovénie</w:t>
            </w:r>
          </w:p>
        </w:tc>
        <w:tc>
          <w:tcPr>
            <w:tcW w:w="1761" w:type="dxa"/>
            <w:shd w:val="clear" w:color="auto" w:fill="E7E6E6" w:themeFill="background2"/>
          </w:tcPr>
          <w:p w14:paraId="7AD6D6A3" w14:textId="7ACBECB2" w:rsidR="00D70CB7" w:rsidRPr="004A0A8E" w:rsidRDefault="00D70CB7" w:rsidP="00E15FCF">
            <w:pPr>
              <w:rPr>
                <w:noProof/>
                <w:sz w:val="16"/>
                <w:szCs w:val="16"/>
              </w:rPr>
            </w:pPr>
            <w:r>
              <w:rPr>
                <w:noProof/>
                <w:sz w:val="16"/>
              </w:rPr>
              <w:t>Réduction de 20 % en 2026 par rapport à 2022</w:t>
            </w:r>
          </w:p>
        </w:tc>
        <w:tc>
          <w:tcPr>
            <w:tcW w:w="6095" w:type="dxa"/>
            <w:shd w:val="clear" w:color="auto" w:fill="E7E6E6" w:themeFill="background2"/>
          </w:tcPr>
          <w:p w14:paraId="1EF5311D" w14:textId="60F21E8F" w:rsidR="00D70CB7" w:rsidRPr="004A0A8E" w:rsidRDefault="00D70CB7" w:rsidP="00E15FCF">
            <w:pPr>
              <w:rPr>
                <w:noProof/>
                <w:sz w:val="16"/>
                <w:szCs w:val="16"/>
              </w:rPr>
            </w:pPr>
            <w:r>
              <w:rPr>
                <w:noProof/>
                <w:sz w:val="16"/>
              </w:rPr>
              <w:t>Décret sur la réduction de l’incidence de certains produits en plastique sur l’environnement (JO 132/22 et 49/24, article 4, paragraphe 1).</w:t>
            </w:r>
          </w:p>
        </w:tc>
      </w:tr>
      <w:tr w:rsidR="00D70CB7" w:rsidRPr="003E0187" w14:paraId="0A318458" w14:textId="77777777" w:rsidTr="00E15FCF">
        <w:tc>
          <w:tcPr>
            <w:tcW w:w="1074" w:type="dxa"/>
            <w:shd w:val="clear" w:color="auto" w:fill="E7E6E6" w:themeFill="background2"/>
          </w:tcPr>
          <w:p w14:paraId="5E20F272" w14:textId="77777777" w:rsidR="00D70CB7" w:rsidRPr="00A3421A" w:rsidRDefault="00D70CB7" w:rsidP="00E15FCF">
            <w:pPr>
              <w:rPr>
                <w:b/>
                <w:noProof/>
                <w:sz w:val="16"/>
                <w:szCs w:val="16"/>
              </w:rPr>
            </w:pPr>
            <w:r>
              <w:rPr>
                <w:b/>
                <w:noProof/>
                <w:sz w:val="16"/>
              </w:rPr>
              <w:t>Espagne</w:t>
            </w:r>
          </w:p>
        </w:tc>
        <w:tc>
          <w:tcPr>
            <w:tcW w:w="1761" w:type="dxa"/>
            <w:shd w:val="clear" w:color="auto" w:fill="E7E6E6" w:themeFill="background2"/>
          </w:tcPr>
          <w:p w14:paraId="3101E5FE" w14:textId="5081CC5C" w:rsidR="00D70CB7" w:rsidRPr="004A0A8E" w:rsidRDefault="00D70CB7" w:rsidP="00E15FCF">
            <w:pPr>
              <w:rPr>
                <w:noProof/>
                <w:sz w:val="16"/>
                <w:szCs w:val="16"/>
              </w:rPr>
            </w:pPr>
            <w:r>
              <w:rPr>
                <w:noProof/>
                <w:sz w:val="16"/>
              </w:rPr>
              <w:t>Réduction de 50 % en poids en 2026 par rapport à 2022</w:t>
            </w:r>
          </w:p>
          <w:p w14:paraId="30E10E4D" w14:textId="78092874" w:rsidR="00D70CB7" w:rsidRPr="004A0A8E" w:rsidRDefault="00D70CB7" w:rsidP="00E15FCF">
            <w:pPr>
              <w:rPr>
                <w:noProof/>
                <w:sz w:val="16"/>
                <w:szCs w:val="16"/>
              </w:rPr>
            </w:pPr>
            <w:r>
              <w:rPr>
                <w:noProof/>
                <w:sz w:val="16"/>
              </w:rPr>
              <w:t>Réduction de 70 % en poids en 2022 par rapport à 2030</w:t>
            </w:r>
          </w:p>
        </w:tc>
        <w:tc>
          <w:tcPr>
            <w:tcW w:w="6095" w:type="dxa"/>
            <w:shd w:val="clear" w:color="auto" w:fill="E7E6E6" w:themeFill="background2"/>
          </w:tcPr>
          <w:p w14:paraId="44EE6F52" w14:textId="6AC82465" w:rsidR="00D70CB7" w:rsidRPr="005150B4" w:rsidRDefault="00D70CB7" w:rsidP="00E15FCF">
            <w:pPr>
              <w:rPr>
                <w:noProof/>
                <w:sz w:val="16"/>
                <w:szCs w:val="16"/>
              </w:rPr>
            </w:pPr>
            <w:r>
              <w:rPr>
                <w:noProof/>
                <w:sz w:val="16"/>
              </w:rPr>
              <w:t>Article 5, https://www.boe.es/eli/es/l/2022/04/08/7/con</w:t>
            </w:r>
          </w:p>
        </w:tc>
      </w:tr>
      <w:tr w:rsidR="00D70CB7" w:rsidRPr="004A0A8E" w14:paraId="530AE3AA" w14:textId="77777777" w:rsidTr="00E15FCF">
        <w:tc>
          <w:tcPr>
            <w:tcW w:w="1074" w:type="dxa"/>
            <w:shd w:val="clear" w:color="auto" w:fill="E7E6E6" w:themeFill="background2"/>
          </w:tcPr>
          <w:p w14:paraId="28AED87F" w14:textId="77777777" w:rsidR="00D70CB7" w:rsidRPr="00A3421A" w:rsidRDefault="00D70CB7" w:rsidP="00E15FCF">
            <w:pPr>
              <w:rPr>
                <w:b/>
                <w:noProof/>
                <w:sz w:val="16"/>
                <w:szCs w:val="16"/>
              </w:rPr>
            </w:pPr>
            <w:r>
              <w:rPr>
                <w:b/>
                <w:noProof/>
                <w:sz w:val="16"/>
              </w:rPr>
              <w:t>Suède</w:t>
            </w:r>
          </w:p>
        </w:tc>
        <w:tc>
          <w:tcPr>
            <w:tcW w:w="1761" w:type="dxa"/>
            <w:shd w:val="clear" w:color="auto" w:fill="E7E6E6" w:themeFill="background2"/>
          </w:tcPr>
          <w:p w14:paraId="56B44046" w14:textId="05511F35" w:rsidR="00D70CB7" w:rsidRPr="004A0A8E" w:rsidRDefault="00D70CB7" w:rsidP="00E15FCF">
            <w:pPr>
              <w:rPr>
                <w:noProof/>
                <w:sz w:val="16"/>
                <w:szCs w:val="16"/>
              </w:rPr>
            </w:pPr>
            <w:r>
              <w:rPr>
                <w:noProof/>
                <w:sz w:val="16"/>
              </w:rPr>
              <w:t>Réduction de 50 % en 2026 par rapport à 2022</w:t>
            </w:r>
          </w:p>
        </w:tc>
        <w:tc>
          <w:tcPr>
            <w:tcW w:w="6095" w:type="dxa"/>
            <w:shd w:val="clear" w:color="auto" w:fill="E7E6E6" w:themeFill="background2"/>
          </w:tcPr>
          <w:p w14:paraId="5C12A9D9" w14:textId="77777777" w:rsidR="00D70CB7" w:rsidRPr="004A0A8E" w:rsidRDefault="00D70CB7" w:rsidP="00E15FCF">
            <w:pPr>
              <w:rPr>
                <w:noProof/>
                <w:sz w:val="16"/>
                <w:szCs w:val="16"/>
              </w:rPr>
            </w:pPr>
            <w:r>
              <w:rPr>
                <w:noProof/>
                <w:sz w:val="16"/>
              </w:rPr>
              <w:t>–</w:t>
            </w:r>
          </w:p>
        </w:tc>
      </w:tr>
    </w:tbl>
    <w:p w14:paraId="529907E8" w14:textId="77777777" w:rsidR="0002668C" w:rsidRPr="004A0A8E" w:rsidRDefault="0002668C" w:rsidP="0002668C">
      <w:pPr>
        <w:rPr>
          <w:noProof/>
          <w:lang w:val="en-GB"/>
        </w:rPr>
      </w:pPr>
    </w:p>
    <w:p w14:paraId="23D5BEAA" w14:textId="664300EC" w:rsidR="0051613E" w:rsidRDefault="0002668C" w:rsidP="0002668C">
      <w:pPr>
        <w:rPr>
          <w:noProof/>
        </w:rPr>
      </w:pPr>
      <w:r>
        <w:rPr>
          <w:noProof/>
        </w:rPr>
        <w:t>L’année prochaine, la communication mettra en lumière à la fois: i) les progrès accomplis par les pays dans la réalisation de ces objectifs quantitatifs; et ii) l’objectif général de la directive sur les plastiques à usage unique consistant à réduire la consommation de manière significative et durable. Certaines difficultés peuvent déjà être anticipées. Par exemple: i) le fait que certains pays ayant fixé des objectifs pour les dernières années n’ont pas communiqué de données sur les quantités mises sur le marché (France et Slovénie); ii) le fait que certains pays affichant un niveau d’ambition déclaré élevé n’ont pas indiqué avoir mis en place des mesures particulièrement ambitieuses (Danemark, Pays-Bas, Norvège et Portugal); ou iii) le fait que certains pays considéraient comme année de référence une année différente de celle prise en considération par la directive sur les plastiques à usage unique (2022) (Autriche, France).</w:t>
      </w:r>
    </w:p>
    <w:bookmarkEnd w:id="84"/>
    <w:p w14:paraId="2B4F4110" w14:textId="77777777" w:rsidR="0051613E" w:rsidRDefault="0051613E" w:rsidP="0002668C">
      <w:pPr>
        <w:rPr>
          <w:noProof/>
          <w:lang w:val="fr-BE"/>
        </w:rPr>
        <w:sectPr w:rsidR="0051613E" w:rsidSect="005E37B2">
          <w:headerReference w:type="default" r:id="rId59"/>
          <w:footerReference w:type="default" r:id="rId60"/>
          <w:pgSz w:w="11906" w:h="16838"/>
          <w:pgMar w:top="1440" w:right="1440" w:bottom="1440" w:left="1440" w:header="708" w:footer="708" w:gutter="0"/>
          <w:cols w:space="708"/>
          <w:docGrid w:linePitch="360"/>
        </w:sectPr>
      </w:pPr>
    </w:p>
    <w:p w14:paraId="154E9859" w14:textId="338755B2" w:rsidR="00DB50DC" w:rsidRPr="00175874" w:rsidRDefault="00752063" w:rsidP="00175874">
      <w:pPr>
        <w:pStyle w:val="Heading3"/>
        <w:rPr>
          <w:noProof/>
        </w:rPr>
      </w:pPr>
      <w:bookmarkStart w:id="87" w:name="_Toc185499268"/>
      <w:bookmarkStart w:id="88" w:name="_Toc222395008"/>
      <w:r>
        <w:rPr>
          <w:noProof/>
        </w:rPr>
        <w:t>Annexe 3: taux de collecte séparée des bouteilles en plastique à usage unique [point c)] et systèmes de consigne en place</w:t>
      </w:r>
      <w:bookmarkEnd w:id="87"/>
      <w:bookmarkEnd w:id="88"/>
    </w:p>
    <w:tbl>
      <w:tblPr>
        <w:tblStyle w:val="TableGrid"/>
        <w:tblW w:w="8914"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55"/>
        <w:gridCol w:w="1555"/>
        <w:gridCol w:w="2128"/>
        <w:gridCol w:w="3676"/>
      </w:tblGrid>
      <w:tr w:rsidR="00A06F97" w:rsidRPr="004A0A8E" w14:paraId="3CF84FC0" w14:textId="77777777" w:rsidTr="00E15FCF">
        <w:tc>
          <w:tcPr>
            <w:tcW w:w="1555" w:type="dxa"/>
            <w:shd w:val="clear" w:color="auto" w:fill="007B6C"/>
            <w:vAlign w:val="center"/>
          </w:tcPr>
          <w:p w14:paraId="73545BF2" w14:textId="77777777" w:rsidR="00A06F97" w:rsidRPr="00A3421A" w:rsidRDefault="00A06F97" w:rsidP="00E15FCF">
            <w:pPr>
              <w:jc w:val="center"/>
              <w:rPr>
                <w:b/>
                <w:noProof/>
                <w:color w:val="FFFFFF" w:themeColor="background1"/>
                <w:sz w:val="18"/>
                <w:szCs w:val="18"/>
              </w:rPr>
            </w:pPr>
            <w:r>
              <w:rPr>
                <w:b/>
                <w:noProof/>
                <w:color w:val="FFFFFF" w:themeColor="background1"/>
                <w:sz w:val="18"/>
              </w:rPr>
              <w:t>Pays</w:t>
            </w:r>
          </w:p>
        </w:tc>
        <w:tc>
          <w:tcPr>
            <w:tcW w:w="1555" w:type="dxa"/>
            <w:shd w:val="clear" w:color="auto" w:fill="007B6C"/>
            <w:vAlign w:val="center"/>
          </w:tcPr>
          <w:p w14:paraId="06585957" w14:textId="77777777" w:rsidR="00A06F97" w:rsidRPr="00A3421A" w:rsidRDefault="00A06F97" w:rsidP="00E15FCF">
            <w:pPr>
              <w:jc w:val="center"/>
              <w:rPr>
                <w:b/>
                <w:noProof/>
                <w:color w:val="FFFFFF" w:themeColor="background1"/>
                <w:sz w:val="18"/>
                <w:szCs w:val="18"/>
              </w:rPr>
            </w:pPr>
            <w:r>
              <w:rPr>
                <w:b/>
                <w:noProof/>
                <w:color w:val="FFFFFF" w:themeColor="background1"/>
                <w:sz w:val="18"/>
              </w:rPr>
              <w:t>Collecte séparée des bouteilles de boissons en plastique à usage unique</w:t>
            </w:r>
          </w:p>
        </w:tc>
        <w:tc>
          <w:tcPr>
            <w:tcW w:w="2128" w:type="dxa"/>
            <w:shd w:val="clear" w:color="auto" w:fill="007B6C"/>
            <w:vAlign w:val="center"/>
          </w:tcPr>
          <w:p w14:paraId="06680CFD" w14:textId="1F45FE57" w:rsidR="00A06F97" w:rsidRPr="00A3421A" w:rsidRDefault="00A06F97" w:rsidP="00E15FCF">
            <w:pPr>
              <w:jc w:val="center"/>
              <w:rPr>
                <w:b/>
                <w:noProof/>
                <w:color w:val="FFFFFF" w:themeColor="background1"/>
                <w:sz w:val="18"/>
                <w:szCs w:val="18"/>
              </w:rPr>
            </w:pPr>
            <w:r>
              <w:rPr>
                <w:b/>
                <w:noProof/>
                <w:color w:val="FFFFFF" w:themeColor="background1"/>
                <w:sz w:val="18"/>
              </w:rPr>
              <w:t xml:space="preserve">Utilisation des données du système de consigne comme source pour la collecte séparée des bouteilles pour boissons en plastique à usage unique </w:t>
            </w:r>
          </w:p>
          <w:p w14:paraId="60C70A18" w14:textId="0587050D" w:rsidR="00A06F97" w:rsidRPr="00A3421A" w:rsidRDefault="00A06F97" w:rsidP="00E15FCF">
            <w:pPr>
              <w:jc w:val="center"/>
              <w:rPr>
                <w:noProof/>
                <w:color w:val="FFFFFF" w:themeColor="background1"/>
                <w:sz w:val="18"/>
                <w:szCs w:val="18"/>
              </w:rPr>
            </w:pPr>
            <w:r>
              <w:rPr>
                <w:noProof/>
                <w:color w:val="FFFFFF" w:themeColor="background1"/>
                <w:sz w:val="18"/>
              </w:rPr>
              <w:t>(comme indiqué dans le rapport de contrôle de la qualité sur la communication au titre de la directive sur les plastiques à usage unique)</w:t>
            </w:r>
          </w:p>
        </w:tc>
        <w:tc>
          <w:tcPr>
            <w:tcW w:w="3676" w:type="dxa"/>
            <w:shd w:val="clear" w:color="auto" w:fill="007B6C"/>
            <w:vAlign w:val="center"/>
          </w:tcPr>
          <w:p w14:paraId="4EDB1FCC" w14:textId="77777777" w:rsidR="00A06F97" w:rsidRPr="00A3421A" w:rsidRDefault="00A06F97" w:rsidP="00E15FCF">
            <w:pPr>
              <w:jc w:val="center"/>
              <w:rPr>
                <w:b/>
                <w:noProof/>
                <w:color w:val="FFFFFF" w:themeColor="background1"/>
                <w:sz w:val="18"/>
                <w:szCs w:val="18"/>
              </w:rPr>
            </w:pPr>
            <w:r>
              <w:rPr>
                <w:b/>
                <w:noProof/>
                <w:color w:val="FFFFFF" w:themeColor="background1"/>
                <w:sz w:val="18"/>
              </w:rPr>
              <w:t>Existence d’un système de consigne (SDC) pour les bouteilles pour boissons en plastique</w:t>
            </w:r>
          </w:p>
          <w:p w14:paraId="475FB039" w14:textId="22A563B1" w:rsidR="00A06F97" w:rsidRPr="00A3421A" w:rsidRDefault="00A06F97" w:rsidP="00E15FCF">
            <w:pPr>
              <w:jc w:val="center"/>
              <w:rPr>
                <w:noProof/>
                <w:color w:val="FFFFFF" w:themeColor="background1"/>
                <w:sz w:val="18"/>
                <w:szCs w:val="18"/>
              </w:rPr>
            </w:pPr>
            <w:r>
              <w:rPr>
                <w:noProof/>
                <w:color w:val="FFFFFF" w:themeColor="background1"/>
                <w:sz w:val="18"/>
              </w:rPr>
              <w:t>(AEE, 2025 et AEE, 2024)</w:t>
            </w:r>
          </w:p>
        </w:tc>
      </w:tr>
      <w:tr w:rsidR="00A06F97" w:rsidRPr="004A0A8E" w14:paraId="16F050AE" w14:textId="77777777" w:rsidTr="00E15FCF">
        <w:tc>
          <w:tcPr>
            <w:tcW w:w="1555" w:type="dxa"/>
            <w:shd w:val="clear" w:color="auto" w:fill="F2F2F2" w:themeFill="background1" w:themeFillShade="F2"/>
            <w:vAlign w:val="bottom"/>
          </w:tcPr>
          <w:p w14:paraId="1D1858CF"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Estonie</w:t>
            </w:r>
          </w:p>
        </w:tc>
        <w:tc>
          <w:tcPr>
            <w:tcW w:w="1555" w:type="dxa"/>
            <w:shd w:val="clear" w:color="auto" w:fill="F2F2F2" w:themeFill="background1" w:themeFillShade="F2"/>
            <w:vAlign w:val="bottom"/>
          </w:tcPr>
          <w:p w14:paraId="4A13D1CB"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100,66</w:t>
            </w:r>
          </w:p>
        </w:tc>
        <w:tc>
          <w:tcPr>
            <w:tcW w:w="2128" w:type="dxa"/>
            <w:shd w:val="clear" w:color="auto" w:fill="F2F2F2" w:themeFill="background1" w:themeFillShade="F2"/>
            <w:vAlign w:val="bottom"/>
          </w:tcPr>
          <w:p w14:paraId="7564355B"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vAlign w:val="bottom"/>
          </w:tcPr>
          <w:p w14:paraId="205FD162"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596EDEC5" w14:textId="77777777" w:rsidTr="00E15FCF">
        <w:tc>
          <w:tcPr>
            <w:tcW w:w="1555" w:type="dxa"/>
            <w:shd w:val="clear" w:color="auto" w:fill="F2F2F2" w:themeFill="background1" w:themeFillShade="F2"/>
            <w:vAlign w:val="bottom"/>
          </w:tcPr>
          <w:p w14:paraId="1C53DFE8"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Pologne</w:t>
            </w:r>
          </w:p>
        </w:tc>
        <w:tc>
          <w:tcPr>
            <w:tcW w:w="1555" w:type="dxa"/>
            <w:shd w:val="clear" w:color="auto" w:fill="F2F2F2" w:themeFill="background1" w:themeFillShade="F2"/>
            <w:vAlign w:val="bottom"/>
          </w:tcPr>
          <w:p w14:paraId="58C17FB3"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100,00</w:t>
            </w:r>
          </w:p>
        </w:tc>
        <w:tc>
          <w:tcPr>
            <w:tcW w:w="2128" w:type="dxa"/>
            <w:shd w:val="clear" w:color="auto" w:fill="F2F2F2" w:themeFill="background1" w:themeFillShade="F2"/>
            <w:vAlign w:val="bottom"/>
          </w:tcPr>
          <w:p w14:paraId="124CED9E" w14:textId="77777777" w:rsidR="00A06F97" w:rsidRPr="004A0A8E" w:rsidRDefault="00A06F97" w:rsidP="00E15FCF">
            <w:pPr>
              <w:rPr>
                <w:iCs/>
                <w:noProof/>
                <w:sz w:val="18"/>
                <w:szCs w:val="18"/>
              </w:rPr>
            </w:pPr>
            <w:r>
              <w:rPr>
                <w:rFonts w:ascii="Aptos Narrow" w:hAnsi="Aptos Narrow"/>
                <w:noProof/>
                <w:color w:val="000000"/>
                <w:sz w:val="18"/>
              </w:rPr>
              <w:t xml:space="preserve">Non </w:t>
            </w:r>
          </w:p>
        </w:tc>
        <w:tc>
          <w:tcPr>
            <w:tcW w:w="3676" w:type="dxa"/>
            <w:shd w:val="clear" w:color="auto" w:fill="FBE4D5" w:themeFill="accent2" w:themeFillTint="33"/>
            <w:vAlign w:val="bottom"/>
          </w:tcPr>
          <w:p w14:paraId="2C4475FB" w14:textId="77777777" w:rsidR="00A06F97" w:rsidRPr="004A0A8E" w:rsidRDefault="00A06F97" w:rsidP="00E15FCF">
            <w:pPr>
              <w:rPr>
                <w:iCs/>
                <w:noProof/>
                <w:sz w:val="18"/>
                <w:szCs w:val="18"/>
              </w:rPr>
            </w:pPr>
            <w:r>
              <w:rPr>
                <w:rFonts w:ascii="Aptos Narrow" w:hAnsi="Aptos Narrow"/>
                <w:noProof/>
                <w:color w:val="000000"/>
                <w:sz w:val="18"/>
              </w:rPr>
              <w:t>SDC en 2025</w:t>
            </w:r>
          </w:p>
        </w:tc>
      </w:tr>
      <w:tr w:rsidR="00A06F97" w:rsidRPr="004A0A8E" w14:paraId="72B4C6F5" w14:textId="77777777" w:rsidTr="00E15FCF">
        <w:tc>
          <w:tcPr>
            <w:tcW w:w="1555" w:type="dxa"/>
            <w:shd w:val="clear" w:color="auto" w:fill="F2F2F2" w:themeFill="background1" w:themeFillShade="F2"/>
            <w:vAlign w:val="bottom"/>
          </w:tcPr>
          <w:p w14:paraId="0D651B70"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Finlande</w:t>
            </w:r>
          </w:p>
        </w:tc>
        <w:tc>
          <w:tcPr>
            <w:tcW w:w="1555" w:type="dxa"/>
            <w:shd w:val="clear" w:color="auto" w:fill="F2F2F2" w:themeFill="background1" w:themeFillShade="F2"/>
            <w:vAlign w:val="bottom"/>
          </w:tcPr>
          <w:p w14:paraId="7ADA526E"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98,83</w:t>
            </w:r>
          </w:p>
        </w:tc>
        <w:tc>
          <w:tcPr>
            <w:tcW w:w="2128" w:type="dxa"/>
            <w:shd w:val="clear" w:color="auto" w:fill="F2F2F2" w:themeFill="background1" w:themeFillShade="F2"/>
            <w:vAlign w:val="bottom"/>
          </w:tcPr>
          <w:p w14:paraId="24992F63"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tcPr>
          <w:p w14:paraId="23BBB252"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51ED9C96" w14:textId="77777777" w:rsidTr="00E15FCF">
        <w:tc>
          <w:tcPr>
            <w:tcW w:w="1555" w:type="dxa"/>
            <w:shd w:val="clear" w:color="auto" w:fill="F2F2F2" w:themeFill="background1" w:themeFillShade="F2"/>
            <w:vAlign w:val="bottom"/>
          </w:tcPr>
          <w:p w14:paraId="1C4196AC"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Allemagne</w:t>
            </w:r>
          </w:p>
        </w:tc>
        <w:tc>
          <w:tcPr>
            <w:tcW w:w="1555" w:type="dxa"/>
            <w:shd w:val="clear" w:color="auto" w:fill="F2F2F2" w:themeFill="background1" w:themeFillShade="F2"/>
            <w:vAlign w:val="bottom"/>
          </w:tcPr>
          <w:p w14:paraId="1B3E0D18"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97,11</w:t>
            </w:r>
          </w:p>
        </w:tc>
        <w:tc>
          <w:tcPr>
            <w:tcW w:w="2128" w:type="dxa"/>
            <w:shd w:val="clear" w:color="auto" w:fill="F2F2F2" w:themeFill="background1" w:themeFillShade="F2"/>
            <w:vAlign w:val="bottom"/>
          </w:tcPr>
          <w:p w14:paraId="36890592"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tcPr>
          <w:p w14:paraId="41A78031"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2E166920" w14:textId="77777777" w:rsidTr="00E15FCF">
        <w:tc>
          <w:tcPr>
            <w:tcW w:w="1555" w:type="dxa"/>
            <w:shd w:val="clear" w:color="auto" w:fill="F2F2F2" w:themeFill="background1" w:themeFillShade="F2"/>
            <w:vAlign w:val="bottom"/>
          </w:tcPr>
          <w:p w14:paraId="239CF698"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Danemark</w:t>
            </w:r>
          </w:p>
        </w:tc>
        <w:tc>
          <w:tcPr>
            <w:tcW w:w="1555" w:type="dxa"/>
            <w:shd w:val="clear" w:color="auto" w:fill="F2F2F2" w:themeFill="background1" w:themeFillShade="F2"/>
            <w:vAlign w:val="bottom"/>
          </w:tcPr>
          <w:p w14:paraId="57ACDF5D"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91,94</w:t>
            </w:r>
          </w:p>
        </w:tc>
        <w:tc>
          <w:tcPr>
            <w:tcW w:w="2128" w:type="dxa"/>
            <w:shd w:val="clear" w:color="auto" w:fill="F2F2F2" w:themeFill="background1" w:themeFillShade="F2"/>
            <w:vAlign w:val="bottom"/>
          </w:tcPr>
          <w:p w14:paraId="1E01CAD4" w14:textId="77777777" w:rsidR="00A06F97" w:rsidRPr="004A0A8E" w:rsidRDefault="00A06F97" w:rsidP="00E15FCF">
            <w:pPr>
              <w:rPr>
                <w:iCs/>
                <w:noProof/>
                <w:sz w:val="18"/>
                <w:szCs w:val="18"/>
              </w:rPr>
            </w:pPr>
            <w:r>
              <w:rPr>
                <w:noProof/>
                <w:sz w:val="18"/>
              </w:rPr>
              <w:t>Non précisé</w:t>
            </w:r>
          </w:p>
        </w:tc>
        <w:tc>
          <w:tcPr>
            <w:tcW w:w="3676" w:type="dxa"/>
            <w:shd w:val="clear" w:color="auto" w:fill="E2EFD9" w:themeFill="accent6" w:themeFillTint="33"/>
          </w:tcPr>
          <w:p w14:paraId="45CEEAE7"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44C32060" w14:textId="77777777" w:rsidTr="00E15FCF">
        <w:tc>
          <w:tcPr>
            <w:tcW w:w="1555" w:type="dxa"/>
            <w:shd w:val="clear" w:color="auto" w:fill="F2F2F2" w:themeFill="background1" w:themeFillShade="F2"/>
            <w:vAlign w:val="bottom"/>
          </w:tcPr>
          <w:p w14:paraId="2CCBB5DC"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Suède</w:t>
            </w:r>
          </w:p>
        </w:tc>
        <w:tc>
          <w:tcPr>
            <w:tcW w:w="1555" w:type="dxa"/>
            <w:shd w:val="clear" w:color="auto" w:fill="F2F2F2" w:themeFill="background1" w:themeFillShade="F2"/>
            <w:vAlign w:val="bottom"/>
          </w:tcPr>
          <w:p w14:paraId="1E0C8C78"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90,33</w:t>
            </w:r>
          </w:p>
        </w:tc>
        <w:tc>
          <w:tcPr>
            <w:tcW w:w="2128" w:type="dxa"/>
            <w:shd w:val="clear" w:color="auto" w:fill="F2F2F2" w:themeFill="background1" w:themeFillShade="F2"/>
            <w:vAlign w:val="bottom"/>
          </w:tcPr>
          <w:p w14:paraId="62759F60"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tcPr>
          <w:p w14:paraId="5570002A"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141A11EB" w14:textId="77777777" w:rsidTr="00E15FCF">
        <w:tc>
          <w:tcPr>
            <w:tcW w:w="1555" w:type="dxa"/>
            <w:shd w:val="clear" w:color="auto" w:fill="F2F2F2" w:themeFill="background1" w:themeFillShade="F2"/>
            <w:vAlign w:val="bottom"/>
          </w:tcPr>
          <w:p w14:paraId="0CBDE9E8"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Norvège*</w:t>
            </w:r>
          </w:p>
        </w:tc>
        <w:tc>
          <w:tcPr>
            <w:tcW w:w="1555" w:type="dxa"/>
            <w:shd w:val="clear" w:color="auto" w:fill="F2F2F2" w:themeFill="background1" w:themeFillShade="F2"/>
            <w:vAlign w:val="bottom"/>
          </w:tcPr>
          <w:p w14:paraId="6CC31363"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89,74</w:t>
            </w:r>
          </w:p>
        </w:tc>
        <w:tc>
          <w:tcPr>
            <w:tcW w:w="2128" w:type="dxa"/>
            <w:shd w:val="clear" w:color="auto" w:fill="F2F2F2" w:themeFill="background1" w:themeFillShade="F2"/>
            <w:vAlign w:val="bottom"/>
          </w:tcPr>
          <w:p w14:paraId="12CBC051"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vAlign w:val="bottom"/>
          </w:tcPr>
          <w:p w14:paraId="2D9DA6F0" w14:textId="77777777" w:rsidR="00A06F97" w:rsidRPr="004A0A8E" w:rsidRDefault="00A06F97" w:rsidP="00E15FCF">
            <w:pPr>
              <w:rPr>
                <w:iCs/>
                <w:noProof/>
                <w:sz w:val="18"/>
                <w:szCs w:val="18"/>
              </w:rPr>
            </w:pPr>
            <w:r>
              <w:rPr>
                <w:noProof/>
                <w:sz w:val="18"/>
              </w:rPr>
              <w:t>SDC en place</w:t>
            </w:r>
          </w:p>
        </w:tc>
      </w:tr>
      <w:tr w:rsidR="00A06F97" w:rsidRPr="004A0A8E" w14:paraId="082E15DD" w14:textId="77777777" w:rsidTr="00E15FCF">
        <w:tc>
          <w:tcPr>
            <w:tcW w:w="1555" w:type="dxa"/>
            <w:shd w:val="clear" w:color="auto" w:fill="F2F2F2" w:themeFill="background1" w:themeFillShade="F2"/>
            <w:vAlign w:val="bottom"/>
          </w:tcPr>
          <w:p w14:paraId="472E17D9"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Lituanie</w:t>
            </w:r>
          </w:p>
        </w:tc>
        <w:tc>
          <w:tcPr>
            <w:tcW w:w="1555" w:type="dxa"/>
            <w:shd w:val="clear" w:color="auto" w:fill="F2F2F2" w:themeFill="background1" w:themeFillShade="F2"/>
            <w:vAlign w:val="bottom"/>
          </w:tcPr>
          <w:p w14:paraId="4E55B181"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86,94</w:t>
            </w:r>
          </w:p>
        </w:tc>
        <w:tc>
          <w:tcPr>
            <w:tcW w:w="2128" w:type="dxa"/>
            <w:shd w:val="clear" w:color="auto" w:fill="F2F2F2" w:themeFill="background1" w:themeFillShade="F2"/>
          </w:tcPr>
          <w:p w14:paraId="48877B41" w14:textId="77777777" w:rsidR="00A06F97" w:rsidRPr="004A0A8E" w:rsidRDefault="00A06F97" w:rsidP="00E15FCF">
            <w:pPr>
              <w:rPr>
                <w:iCs/>
                <w:noProof/>
                <w:sz w:val="18"/>
                <w:szCs w:val="18"/>
              </w:rPr>
            </w:pPr>
            <w:r>
              <w:rPr>
                <w:noProof/>
                <w:sz w:val="18"/>
              </w:rPr>
              <w:t>Non précisé</w:t>
            </w:r>
          </w:p>
        </w:tc>
        <w:tc>
          <w:tcPr>
            <w:tcW w:w="3676" w:type="dxa"/>
            <w:shd w:val="clear" w:color="auto" w:fill="E2EFD9" w:themeFill="accent6" w:themeFillTint="33"/>
          </w:tcPr>
          <w:p w14:paraId="10903AD7"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76223B85" w14:textId="77777777" w:rsidTr="00E15FCF">
        <w:tc>
          <w:tcPr>
            <w:tcW w:w="1555" w:type="dxa"/>
            <w:shd w:val="clear" w:color="auto" w:fill="F2F2F2" w:themeFill="background1" w:themeFillShade="F2"/>
            <w:vAlign w:val="bottom"/>
          </w:tcPr>
          <w:p w14:paraId="6B0964E6"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Croatie</w:t>
            </w:r>
          </w:p>
        </w:tc>
        <w:tc>
          <w:tcPr>
            <w:tcW w:w="1555" w:type="dxa"/>
            <w:shd w:val="clear" w:color="auto" w:fill="F2F2F2" w:themeFill="background1" w:themeFillShade="F2"/>
            <w:vAlign w:val="bottom"/>
          </w:tcPr>
          <w:p w14:paraId="6270AC6F"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86,62</w:t>
            </w:r>
          </w:p>
        </w:tc>
        <w:tc>
          <w:tcPr>
            <w:tcW w:w="2128" w:type="dxa"/>
            <w:shd w:val="clear" w:color="auto" w:fill="F2F2F2" w:themeFill="background1" w:themeFillShade="F2"/>
          </w:tcPr>
          <w:p w14:paraId="17941949" w14:textId="77777777" w:rsidR="00A06F97" w:rsidRPr="004A0A8E" w:rsidRDefault="00A06F97" w:rsidP="00E15FCF">
            <w:pPr>
              <w:rPr>
                <w:iCs/>
                <w:noProof/>
                <w:sz w:val="18"/>
                <w:szCs w:val="18"/>
              </w:rPr>
            </w:pPr>
            <w:r>
              <w:rPr>
                <w:noProof/>
                <w:sz w:val="18"/>
              </w:rPr>
              <w:t>Non précisé</w:t>
            </w:r>
          </w:p>
        </w:tc>
        <w:tc>
          <w:tcPr>
            <w:tcW w:w="3676" w:type="dxa"/>
            <w:shd w:val="clear" w:color="auto" w:fill="E2EFD9" w:themeFill="accent6" w:themeFillTint="33"/>
          </w:tcPr>
          <w:p w14:paraId="279ABBC5"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6151AF44" w14:textId="77777777" w:rsidTr="00E15FCF">
        <w:tc>
          <w:tcPr>
            <w:tcW w:w="1555" w:type="dxa"/>
            <w:shd w:val="clear" w:color="auto" w:fill="F2F2F2" w:themeFill="background1" w:themeFillShade="F2"/>
            <w:vAlign w:val="bottom"/>
          </w:tcPr>
          <w:p w14:paraId="1A525E0C"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Islande*</w:t>
            </w:r>
          </w:p>
        </w:tc>
        <w:tc>
          <w:tcPr>
            <w:tcW w:w="1555" w:type="dxa"/>
            <w:shd w:val="clear" w:color="auto" w:fill="F2F2F2" w:themeFill="background1" w:themeFillShade="F2"/>
            <w:vAlign w:val="bottom"/>
          </w:tcPr>
          <w:p w14:paraId="64EEA83B"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84,31</w:t>
            </w:r>
          </w:p>
        </w:tc>
        <w:tc>
          <w:tcPr>
            <w:tcW w:w="2128" w:type="dxa"/>
            <w:shd w:val="clear" w:color="auto" w:fill="F2F2F2" w:themeFill="background1" w:themeFillShade="F2"/>
            <w:vAlign w:val="bottom"/>
          </w:tcPr>
          <w:p w14:paraId="32B8D047"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vAlign w:val="bottom"/>
          </w:tcPr>
          <w:p w14:paraId="771AFC65" w14:textId="77777777" w:rsidR="00A06F97" w:rsidRPr="004A0A8E" w:rsidRDefault="00A06F97" w:rsidP="00E15FCF">
            <w:pPr>
              <w:rPr>
                <w:iCs/>
                <w:noProof/>
                <w:sz w:val="18"/>
                <w:szCs w:val="18"/>
              </w:rPr>
            </w:pPr>
            <w:r>
              <w:rPr>
                <w:noProof/>
                <w:sz w:val="18"/>
              </w:rPr>
              <w:t>SDC en place</w:t>
            </w:r>
          </w:p>
        </w:tc>
      </w:tr>
      <w:tr w:rsidR="00A06F97" w:rsidRPr="004A0A8E" w14:paraId="6110598A" w14:textId="77777777" w:rsidTr="00E15FCF">
        <w:tc>
          <w:tcPr>
            <w:tcW w:w="1555" w:type="dxa"/>
            <w:shd w:val="clear" w:color="auto" w:fill="F2F2F2" w:themeFill="background1" w:themeFillShade="F2"/>
            <w:vAlign w:val="bottom"/>
          </w:tcPr>
          <w:p w14:paraId="15BDB838"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Slovaquie</w:t>
            </w:r>
          </w:p>
        </w:tc>
        <w:tc>
          <w:tcPr>
            <w:tcW w:w="1555" w:type="dxa"/>
            <w:shd w:val="clear" w:color="auto" w:fill="F2F2F2" w:themeFill="background1" w:themeFillShade="F2"/>
            <w:vAlign w:val="bottom"/>
          </w:tcPr>
          <w:p w14:paraId="2A510121"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78,98</w:t>
            </w:r>
          </w:p>
        </w:tc>
        <w:tc>
          <w:tcPr>
            <w:tcW w:w="2128" w:type="dxa"/>
            <w:shd w:val="clear" w:color="auto" w:fill="F2F2F2" w:themeFill="background1" w:themeFillShade="F2"/>
            <w:vAlign w:val="bottom"/>
          </w:tcPr>
          <w:p w14:paraId="00A51F17"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vAlign w:val="bottom"/>
          </w:tcPr>
          <w:p w14:paraId="59A66F80"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1540DA41" w14:textId="77777777" w:rsidTr="00E15FCF">
        <w:tc>
          <w:tcPr>
            <w:tcW w:w="1555" w:type="dxa"/>
            <w:shd w:val="clear" w:color="auto" w:fill="F2F2F2" w:themeFill="background1" w:themeFillShade="F2"/>
            <w:vAlign w:val="bottom"/>
          </w:tcPr>
          <w:p w14:paraId="4B47F8D8" w14:textId="77777777" w:rsidR="00A06F97" w:rsidRPr="004A0A8E" w:rsidRDefault="00A06F97" w:rsidP="00E15FCF">
            <w:pPr>
              <w:rPr>
                <w:rFonts w:ascii="Aptos Narrow" w:hAnsi="Aptos Narrow"/>
                <w:b/>
                <w:bCs/>
                <w:iCs/>
                <w:noProof/>
                <w:color w:val="000000"/>
                <w:sz w:val="18"/>
                <w:szCs w:val="18"/>
              </w:rPr>
            </w:pPr>
            <w:r>
              <w:rPr>
                <w:rFonts w:ascii="Aptos Narrow" w:hAnsi="Aptos Narrow"/>
                <w:b/>
                <w:noProof/>
                <w:color w:val="000000"/>
                <w:sz w:val="18"/>
              </w:rPr>
              <w:t>Belgique</w:t>
            </w:r>
          </w:p>
        </w:tc>
        <w:tc>
          <w:tcPr>
            <w:tcW w:w="1555" w:type="dxa"/>
            <w:shd w:val="clear" w:color="auto" w:fill="F2F2F2" w:themeFill="background1" w:themeFillShade="F2"/>
            <w:vAlign w:val="bottom"/>
          </w:tcPr>
          <w:p w14:paraId="23225E06"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78,21</w:t>
            </w:r>
          </w:p>
        </w:tc>
        <w:tc>
          <w:tcPr>
            <w:tcW w:w="2128" w:type="dxa"/>
            <w:shd w:val="clear" w:color="auto" w:fill="F2F2F2" w:themeFill="background1" w:themeFillShade="F2"/>
            <w:vAlign w:val="bottom"/>
          </w:tcPr>
          <w:p w14:paraId="787DC0B4"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4B083" w:themeFill="accent2" w:themeFillTint="99"/>
            <w:vAlign w:val="bottom"/>
          </w:tcPr>
          <w:p w14:paraId="0B569FE5" w14:textId="77777777" w:rsidR="00A06F97" w:rsidRPr="004A0A8E" w:rsidRDefault="00A06F97" w:rsidP="00E15FCF">
            <w:pPr>
              <w:rPr>
                <w:iCs/>
                <w:noProof/>
                <w:sz w:val="18"/>
                <w:szCs w:val="18"/>
              </w:rPr>
            </w:pPr>
            <w:r>
              <w:rPr>
                <w:rFonts w:ascii="Aptos Narrow" w:hAnsi="Aptos Narrow"/>
                <w:noProof/>
                <w:color w:val="000000"/>
                <w:sz w:val="18"/>
              </w:rPr>
              <w:t>Non</w:t>
            </w:r>
          </w:p>
        </w:tc>
      </w:tr>
      <w:tr w:rsidR="00A06F97" w:rsidRPr="004A0A8E" w14:paraId="4F8A7CDF" w14:textId="77777777" w:rsidTr="00E15FCF">
        <w:tc>
          <w:tcPr>
            <w:tcW w:w="1555" w:type="dxa"/>
            <w:shd w:val="clear" w:color="auto" w:fill="F2F2F2" w:themeFill="background1" w:themeFillShade="F2"/>
            <w:vAlign w:val="bottom"/>
          </w:tcPr>
          <w:p w14:paraId="74019CB8"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Autriche</w:t>
            </w:r>
          </w:p>
        </w:tc>
        <w:tc>
          <w:tcPr>
            <w:tcW w:w="1555" w:type="dxa"/>
            <w:shd w:val="clear" w:color="auto" w:fill="F2F2F2" w:themeFill="background1" w:themeFillShade="F2"/>
            <w:vAlign w:val="bottom"/>
          </w:tcPr>
          <w:p w14:paraId="7CE62604"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75,98</w:t>
            </w:r>
          </w:p>
        </w:tc>
        <w:tc>
          <w:tcPr>
            <w:tcW w:w="2128" w:type="dxa"/>
            <w:shd w:val="clear" w:color="auto" w:fill="F2F2F2" w:themeFill="background1" w:themeFillShade="F2"/>
            <w:vAlign w:val="bottom"/>
          </w:tcPr>
          <w:p w14:paraId="244D6C4E" w14:textId="77777777" w:rsidR="00A06F97" w:rsidRPr="004A0A8E" w:rsidRDefault="00A06F97" w:rsidP="00E15FCF">
            <w:pPr>
              <w:rPr>
                <w:iCs/>
                <w:noProof/>
                <w:sz w:val="18"/>
                <w:szCs w:val="18"/>
              </w:rPr>
            </w:pPr>
            <w:r>
              <w:rPr>
                <w:noProof/>
                <w:sz w:val="18"/>
              </w:rPr>
              <w:t>Non précisé</w:t>
            </w:r>
          </w:p>
        </w:tc>
        <w:tc>
          <w:tcPr>
            <w:tcW w:w="3676" w:type="dxa"/>
            <w:shd w:val="clear" w:color="auto" w:fill="FBE4D5" w:themeFill="accent2" w:themeFillTint="33"/>
            <w:vAlign w:val="bottom"/>
          </w:tcPr>
          <w:p w14:paraId="4940A1C2" w14:textId="77777777" w:rsidR="00A06F97" w:rsidRPr="004A0A8E" w:rsidRDefault="00A06F97" w:rsidP="00E15FCF">
            <w:pPr>
              <w:rPr>
                <w:iCs/>
                <w:noProof/>
                <w:sz w:val="18"/>
                <w:szCs w:val="18"/>
              </w:rPr>
            </w:pPr>
            <w:r>
              <w:rPr>
                <w:rFonts w:ascii="Aptos Narrow" w:hAnsi="Aptos Narrow"/>
                <w:noProof/>
                <w:color w:val="000000"/>
                <w:sz w:val="18"/>
              </w:rPr>
              <w:t>SDC à mettre en place en 2025</w:t>
            </w:r>
          </w:p>
        </w:tc>
      </w:tr>
      <w:tr w:rsidR="00A06F97" w:rsidRPr="004A0A8E" w14:paraId="1C272794" w14:textId="77777777" w:rsidTr="00E15FCF">
        <w:tc>
          <w:tcPr>
            <w:tcW w:w="1555" w:type="dxa"/>
            <w:shd w:val="clear" w:color="auto" w:fill="F2F2F2" w:themeFill="background1" w:themeFillShade="F2"/>
            <w:vAlign w:val="bottom"/>
          </w:tcPr>
          <w:p w14:paraId="0EE55859"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Tchéquie</w:t>
            </w:r>
          </w:p>
        </w:tc>
        <w:tc>
          <w:tcPr>
            <w:tcW w:w="1555" w:type="dxa"/>
            <w:shd w:val="clear" w:color="auto" w:fill="F2F2F2" w:themeFill="background1" w:themeFillShade="F2"/>
            <w:vAlign w:val="bottom"/>
          </w:tcPr>
          <w:p w14:paraId="0F7AFFF0"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74,20</w:t>
            </w:r>
          </w:p>
        </w:tc>
        <w:tc>
          <w:tcPr>
            <w:tcW w:w="2128" w:type="dxa"/>
            <w:shd w:val="clear" w:color="auto" w:fill="F2F2F2" w:themeFill="background1" w:themeFillShade="F2"/>
            <w:vAlign w:val="bottom"/>
          </w:tcPr>
          <w:p w14:paraId="7CB9571A"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BE4D5" w:themeFill="accent2" w:themeFillTint="33"/>
            <w:vAlign w:val="bottom"/>
          </w:tcPr>
          <w:p w14:paraId="6D4F7422" w14:textId="77777777" w:rsidR="00A06F97" w:rsidRPr="004A0A8E" w:rsidRDefault="00A06F97" w:rsidP="00E15FCF">
            <w:pPr>
              <w:rPr>
                <w:iCs/>
                <w:noProof/>
                <w:sz w:val="18"/>
                <w:szCs w:val="18"/>
              </w:rPr>
            </w:pPr>
            <w:r>
              <w:rPr>
                <w:rFonts w:ascii="Aptos Narrow" w:hAnsi="Aptos Narrow"/>
                <w:noProof/>
                <w:color w:val="000000"/>
                <w:sz w:val="18"/>
              </w:rPr>
              <w:t>SDC à mettre en place en 2026</w:t>
            </w:r>
          </w:p>
        </w:tc>
      </w:tr>
      <w:tr w:rsidR="00A06F97" w:rsidRPr="004A0A8E" w14:paraId="4B72F608" w14:textId="77777777" w:rsidTr="00E15FCF">
        <w:tc>
          <w:tcPr>
            <w:tcW w:w="1555" w:type="dxa"/>
            <w:shd w:val="clear" w:color="auto" w:fill="F2F2F2" w:themeFill="background1" w:themeFillShade="F2"/>
            <w:vAlign w:val="bottom"/>
          </w:tcPr>
          <w:p w14:paraId="2526098C"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Pays-Bas</w:t>
            </w:r>
          </w:p>
        </w:tc>
        <w:tc>
          <w:tcPr>
            <w:tcW w:w="1555" w:type="dxa"/>
            <w:shd w:val="clear" w:color="auto" w:fill="F2F2F2" w:themeFill="background1" w:themeFillShade="F2"/>
            <w:vAlign w:val="bottom"/>
          </w:tcPr>
          <w:p w14:paraId="3F48FCD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67,73</w:t>
            </w:r>
          </w:p>
        </w:tc>
        <w:tc>
          <w:tcPr>
            <w:tcW w:w="2128" w:type="dxa"/>
            <w:shd w:val="clear" w:color="auto" w:fill="F2F2F2" w:themeFill="background1" w:themeFillShade="F2"/>
            <w:vAlign w:val="bottom"/>
          </w:tcPr>
          <w:p w14:paraId="6E190B7D" w14:textId="77777777" w:rsidR="00A06F97" w:rsidRPr="004A0A8E" w:rsidRDefault="00A06F97" w:rsidP="00E15FCF">
            <w:pPr>
              <w:rPr>
                <w:iCs/>
                <w:noProof/>
                <w:sz w:val="18"/>
                <w:szCs w:val="18"/>
              </w:rPr>
            </w:pPr>
            <w:r>
              <w:rPr>
                <w:rFonts w:ascii="Aptos Narrow" w:hAnsi="Aptos Narrow"/>
                <w:noProof/>
                <w:color w:val="000000"/>
                <w:sz w:val="18"/>
              </w:rPr>
              <w:t>SDC</w:t>
            </w:r>
          </w:p>
        </w:tc>
        <w:tc>
          <w:tcPr>
            <w:tcW w:w="3676" w:type="dxa"/>
            <w:shd w:val="clear" w:color="auto" w:fill="E2EFD9" w:themeFill="accent6" w:themeFillTint="33"/>
            <w:vAlign w:val="bottom"/>
          </w:tcPr>
          <w:p w14:paraId="51DAA183" w14:textId="77777777" w:rsidR="00A06F97" w:rsidRPr="004A0A8E" w:rsidRDefault="00A06F97" w:rsidP="00E15FCF">
            <w:pPr>
              <w:rPr>
                <w:iCs/>
                <w:noProof/>
                <w:sz w:val="18"/>
                <w:szCs w:val="18"/>
              </w:rPr>
            </w:pPr>
            <w:r>
              <w:rPr>
                <w:rFonts w:ascii="Aptos Narrow" w:hAnsi="Aptos Narrow"/>
                <w:noProof/>
                <w:color w:val="000000"/>
                <w:sz w:val="18"/>
              </w:rPr>
              <w:t>SDC en place</w:t>
            </w:r>
          </w:p>
        </w:tc>
      </w:tr>
      <w:tr w:rsidR="00A06F97" w:rsidRPr="004A0A8E" w14:paraId="61385DD5" w14:textId="77777777" w:rsidTr="00E15FCF">
        <w:tc>
          <w:tcPr>
            <w:tcW w:w="1555" w:type="dxa"/>
            <w:shd w:val="clear" w:color="auto" w:fill="F2F2F2" w:themeFill="background1" w:themeFillShade="F2"/>
            <w:vAlign w:val="bottom"/>
          </w:tcPr>
          <w:p w14:paraId="145569C6"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Italie</w:t>
            </w:r>
          </w:p>
        </w:tc>
        <w:tc>
          <w:tcPr>
            <w:tcW w:w="1555" w:type="dxa"/>
            <w:shd w:val="clear" w:color="auto" w:fill="F2F2F2" w:themeFill="background1" w:themeFillShade="F2"/>
            <w:vAlign w:val="bottom"/>
          </w:tcPr>
          <w:p w14:paraId="2BC794BE"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67,03</w:t>
            </w:r>
          </w:p>
        </w:tc>
        <w:tc>
          <w:tcPr>
            <w:tcW w:w="2128" w:type="dxa"/>
            <w:shd w:val="clear" w:color="auto" w:fill="F2F2F2" w:themeFill="background1" w:themeFillShade="F2"/>
            <w:vAlign w:val="bottom"/>
          </w:tcPr>
          <w:p w14:paraId="22A1FF43"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4B083" w:themeFill="accent2" w:themeFillTint="99"/>
            <w:vAlign w:val="bottom"/>
          </w:tcPr>
          <w:p w14:paraId="3BCA76B2" w14:textId="77777777" w:rsidR="00A06F97" w:rsidRPr="004A0A8E" w:rsidRDefault="00A06F97" w:rsidP="00E15FCF">
            <w:pPr>
              <w:rPr>
                <w:iCs/>
                <w:noProof/>
                <w:sz w:val="18"/>
                <w:szCs w:val="18"/>
              </w:rPr>
            </w:pPr>
            <w:r>
              <w:rPr>
                <w:rFonts w:ascii="Aptos Narrow" w:hAnsi="Aptos Narrow"/>
                <w:noProof/>
                <w:color w:val="000000"/>
                <w:sz w:val="18"/>
              </w:rPr>
              <w:t>Non</w:t>
            </w:r>
          </w:p>
        </w:tc>
      </w:tr>
      <w:tr w:rsidR="00A06F97" w:rsidRPr="004A0A8E" w14:paraId="2D8359A1" w14:textId="77777777" w:rsidTr="00E15FCF">
        <w:tc>
          <w:tcPr>
            <w:tcW w:w="1555" w:type="dxa"/>
            <w:shd w:val="clear" w:color="auto" w:fill="F2F2F2" w:themeFill="background1" w:themeFillShade="F2"/>
            <w:vAlign w:val="bottom"/>
          </w:tcPr>
          <w:p w14:paraId="4A74A60B"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Luxembourg</w:t>
            </w:r>
          </w:p>
        </w:tc>
        <w:tc>
          <w:tcPr>
            <w:tcW w:w="1555" w:type="dxa"/>
            <w:shd w:val="clear" w:color="auto" w:fill="F2F2F2" w:themeFill="background1" w:themeFillShade="F2"/>
            <w:vAlign w:val="bottom"/>
          </w:tcPr>
          <w:p w14:paraId="7812E2E3"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61,63</w:t>
            </w:r>
          </w:p>
        </w:tc>
        <w:tc>
          <w:tcPr>
            <w:tcW w:w="2128" w:type="dxa"/>
            <w:shd w:val="clear" w:color="auto" w:fill="F2F2F2" w:themeFill="background1" w:themeFillShade="F2"/>
            <w:vAlign w:val="bottom"/>
          </w:tcPr>
          <w:p w14:paraId="07971814" w14:textId="77777777" w:rsidR="00A06F97" w:rsidRPr="004A0A8E" w:rsidRDefault="00A06F97" w:rsidP="00E15FCF">
            <w:pPr>
              <w:rPr>
                <w:iCs/>
                <w:noProof/>
                <w:sz w:val="18"/>
                <w:szCs w:val="18"/>
              </w:rPr>
            </w:pPr>
            <w:r>
              <w:rPr>
                <w:noProof/>
                <w:sz w:val="18"/>
              </w:rPr>
              <w:t>Non précisé</w:t>
            </w:r>
          </w:p>
        </w:tc>
        <w:tc>
          <w:tcPr>
            <w:tcW w:w="3676" w:type="dxa"/>
            <w:shd w:val="clear" w:color="auto" w:fill="F4B083" w:themeFill="accent2" w:themeFillTint="99"/>
            <w:vAlign w:val="bottom"/>
          </w:tcPr>
          <w:p w14:paraId="4A836340" w14:textId="77777777" w:rsidR="00A06F97" w:rsidRPr="004A0A8E" w:rsidRDefault="00A06F97" w:rsidP="00E15FCF">
            <w:pPr>
              <w:rPr>
                <w:iCs/>
                <w:noProof/>
                <w:sz w:val="18"/>
                <w:szCs w:val="18"/>
              </w:rPr>
            </w:pPr>
            <w:r>
              <w:rPr>
                <w:rFonts w:ascii="Aptos Narrow" w:hAnsi="Aptos Narrow"/>
                <w:noProof/>
                <w:color w:val="000000"/>
                <w:sz w:val="18"/>
              </w:rPr>
              <w:t>Non</w:t>
            </w:r>
          </w:p>
        </w:tc>
      </w:tr>
      <w:tr w:rsidR="00A06F97" w:rsidRPr="004A0A8E" w14:paraId="01FDC55C" w14:textId="77777777" w:rsidTr="00E15FCF">
        <w:tc>
          <w:tcPr>
            <w:tcW w:w="1555" w:type="dxa"/>
            <w:shd w:val="clear" w:color="auto" w:fill="F2F2F2" w:themeFill="background1" w:themeFillShade="F2"/>
            <w:vAlign w:val="bottom"/>
          </w:tcPr>
          <w:p w14:paraId="231244FD"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Roumanie</w:t>
            </w:r>
          </w:p>
        </w:tc>
        <w:tc>
          <w:tcPr>
            <w:tcW w:w="1555" w:type="dxa"/>
            <w:shd w:val="clear" w:color="auto" w:fill="F2F2F2" w:themeFill="background1" w:themeFillShade="F2"/>
            <w:vAlign w:val="bottom"/>
          </w:tcPr>
          <w:p w14:paraId="0EED6D0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60,07</w:t>
            </w:r>
          </w:p>
        </w:tc>
        <w:tc>
          <w:tcPr>
            <w:tcW w:w="2128" w:type="dxa"/>
            <w:shd w:val="clear" w:color="auto" w:fill="F2F2F2" w:themeFill="background1" w:themeFillShade="F2"/>
            <w:vAlign w:val="bottom"/>
          </w:tcPr>
          <w:p w14:paraId="457CC4EA" w14:textId="77777777" w:rsidR="00A06F97" w:rsidRPr="004A0A8E" w:rsidRDefault="00A06F97" w:rsidP="00E15FCF">
            <w:pPr>
              <w:rPr>
                <w:iCs/>
                <w:noProof/>
                <w:sz w:val="18"/>
                <w:szCs w:val="18"/>
              </w:rPr>
            </w:pPr>
            <w:r>
              <w:rPr>
                <w:rFonts w:ascii="Aptos Narrow" w:hAnsi="Aptos Narrow"/>
                <w:noProof/>
                <w:color w:val="000000"/>
                <w:sz w:val="18"/>
              </w:rPr>
              <w:t>Aucune donnée</w:t>
            </w:r>
          </w:p>
        </w:tc>
        <w:tc>
          <w:tcPr>
            <w:tcW w:w="3676" w:type="dxa"/>
            <w:shd w:val="clear" w:color="auto" w:fill="F4B083" w:themeFill="accent2" w:themeFillTint="99"/>
            <w:vAlign w:val="bottom"/>
          </w:tcPr>
          <w:p w14:paraId="5E9B2C42" w14:textId="77777777" w:rsidR="00A06F97" w:rsidRPr="004A0A8E" w:rsidRDefault="00A06F97" w:rsidP="00E15FCF">
            <w:pPr>
              <w:rPr>
                <w:iCs/>
                <w:noProof/>
                <w:sz w:val="18"/>
                <w:szCs w:val="18"/>
              </w:rPr>
            </w:pPr>
            <w:r>
              <w:rPr>
                <w:rFonts w:ascii="Aptos Narrow" w:hAnsi="Aptos Narrow"/>
                <w:noProof/>
                <w:color w:val="000000"/>
                <w:sz w:val="18"/>
              </w:rPr>
              <w:t>Non</w:t>
            </w:r>
          </w:p>
        </w:tc>
      </w:tr>
      <w:tr w:rsidR="00A06F97" w:rsidRPr="004A0A8E" w14:paraId="32B9B385" w14:textId="77777777" w:rsidTr="00E15FCF">
        <w:tc>
          <w:tcPr>
            <w:tcW w:w="1555" w:type="dxa"/>
            <w:shd w:val="clear" w:color="auto" w:fill="F2F2F2" w:themeFill="background1" w:themeFillShade="F2"/>
            <w:vAlign w:val="bottom"/>
          </w:tcPr>
          <w:p w14:paraId="7F8904AE"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Lettonie</w:t>
            </w:r>
          </w:p>
        </w:tc>
        <w:tc>
          <w:tcPr>
            <w:tcW w:w="1555" w:type="dxa"/>
            <w:shd w:val="clear" w:color="auto" w:fill="F2F2F2" w:themeFill="background1" w:themeFillShade="F2"/>
            <w:vAlign w:val="bottom"/>
          </w:tcPr>
          <w:p w14:paraId="46857223"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56,84</w:t>
            </w:r>
          </w:p>
        </w:tc>
        <w:tc>
          <w:tcPr>
            <w:tcW w:w="2128" w:type="dxa"/>
            <w:shd w:val="clear" w:color="auto" w:fill="F2F2F2" w:themeFill="background1" w:themeFillShade="F2"/>
          </w:tcPr>
          <w:p w14:paraId="08787AEA"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BE4D5" w:themeFill="accent2" w:themeFillTint="33"/>
            <w:vAlign w:val="bottom"/>
          </w:tcPr>
          <w:p w14:paraId="11102074" w14:textId="77777777" w:rsidR="00A06F97" w:rsidRPr="004A0A8E" w:rsidRDefault="00A06F97" w:rsidP="00E15FCF">
            <w:pPr>
              <w:rPr>
                <w:iCs/>
                <w:noProof/>
                <w:sz w:val="18"/>
                <w:szCs w:val="18"/>
              </w:rPr>
            </w:pPr>
            <w:r>
              <w:rPr>
                <w:rFonts w:ascii="Aptos Narrow" w:hAnsi="Aptos Narrow"/>
                <w:noProof/>
                <w:color w:val="000000"/>
                <w:sz w:val="18"/>
              </w:rPr>
              <w:t>Extension du système de consigne en 2023</w:t>
            </w:r>
          </w:p>
        </w:tc>
      </w:tr>
      <w:tr w:rsidR="00A06F97" w:rsidRPr="004A0A8E" w14:paraId="58DDCEE6" w14:textId="77777777" w:rsidTr="00E15FCF">
        <w:tc>
          <w:tcPr>
            <w:tcW w:w="1555" w:type="dxa"/>
            <w:shd w:val="clear" w:color="auto" w:fill="F2F2F2" w:themeFill="background1" w:themeFillShade="F2"/>
            <w:vAlign w:val="bottom"/>
          </w:tcPr>
          <w:p w14:paraId="1928C3B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France</w:t>
            </w:r>
          </w:p>
        </w:tc>
        <w:tc>
          <w:tcPr>
            <w:tcW w:w="1555" w:type="dxa"/>
            <w:shd w:val="clear" w:color="auto" w:fill="F2F2F2" w:themeFill="background1" w:themeFillShade="F2"/>
            <w:vAlign w:val="bottom"/>
          </w:tcPr>
          <w:p w14:paraId="4BE836FD"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53,28</w:t>
            </w:r>
          </w:p>
        </w:tc>
        <w:tc>
          <w:tcPr>
            <w:tcW w:w="2128" w:type="dxa"/>
            <w:shd w:val="clear" w:color="auto" w:fill="F2F2F2" w:themeFill="background1" w:themeFillShade="F2"/>
          </w:tcPr>
          <w:p w14:paraId="26927203"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BE4D5" w:themeFill="accent2" w:themeFillTint="33"/>
            <w:vAlign w:val="bottom"/>
          </w:tcPr>
          <w:p w14:paraId="5B2C985B" w14:textId="77777777" w:rsidR="00A06F97" w:rsidRPr="004A0A8E" w:rsidRDefault="00A06F97" w:rsidP="00E15FCF">
            <w:pPr>
              <w:rPr>
                <w:iCs/>
                <w:noProof/>
                <w:sz w:val="18"/>
                <w:szCs w:val="18"/>
              </w:rPr>
            </w:pPr>
            <w:r>
              <w:rPr>
                <w:rFonts w:ascii="Aptos Narrow" w:hAnsi="Aptos Narrow"/>
                <w:noProof/>
                <w:color w:val="000000"/>
                <w:sz w:val="18"/>
              </w:rPr>
              <w:t>SDC en discussion</w:t>
            </w:r>
          </w:p>
        </w:tc>
      </w:tr>
      <w:tr w:rsidR="00A06F97" w:rsidRPr="004A0A8E" w14:paraId="70660677" w14:textId="77777777" w:rsidTr="00E15FCF">
        <w:tc>
          <w:tcPr>
            <w:tcW w:w="1555" w:type="dxa"/>
            <w:shd w:val="clear" w:color="auto" w:fill="F2F2F2" w:themeFill="background1" w:themeFillShade="F2"/>
            <w:vAlign w:val="bottom"/>
          </w:tcPr>
          <w:p w14:paraId="5057205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Irlande</w:t>
            </w:r>
          </w:p>
        </w:tc>
        <w:tc>
          <w:tcPr>
            <w:tcW w:w="1555" w:type="dxa"/>
            <w:shd w:val="clear" w:color="auto" w:fill="F2F2F2" w:themeFill="background1" w:themeFillShade="F2"/>
            <w:vAlign w:val="bottom"/>
          </w:tcPr>
          <w:p w14:paraId="3980EB85"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48,66</w:t>
            </w:r>
          </w:p>
        </w:tc>
        <w:tc>
          <w:tcPr>
            <w:tcW w:w="2128" w:type="dxa"/>
            <w:shd w:val="clear" w:color="auto" w:fill="F2F2F2" w:themeFill="background1" w:themeFillShade="F2"/>
            <w:vAlign w:val="bottom"/>
          </w:tcPr>
          <w:p w14:paraId="21D82A74" w14:textId="77777777" w:rsidR="00A06F97" w:rsidRPr="004A0A8E" w:rsidRDefault="00A06F97" w:rsidP="00E15FCF">
            <w:pPr>
              <w:rPr>
                <w:iCs/>
                <w:noProof/>
                <w:sz w:val="18"/>
                <w:szCs w:val="18"/>
              </w:rPr>
            </w:pPr>
            <w:r>
              <w:rPr>
                <w:rFonts w:ascii="Aptos Narrow" w:hAnsi="Aptos Narrow"/>
                <w:noProof/>
                <w:color w:val="000000"/>
                <w:sz w:val="18"/>
              </w:rPr>
              <w:t>Pas de SDC</w:t>
            </w:r>
          </w:p>
        </w:tc>
        <w:tc>
          <w:tcPr>
            <w:tcW w:w="3676" w:type="dxa"/>
            <w:shd w:val="clear" w:color="auto" w:fill="FBE4D5" w:themeFill="accent2" w:themeFillTint="33"/>
            <w:vAlign w:val="bottom"/>
          </w:tcPr>
          <w:p w14:paraId="7CE17582" w14:textId="77777777" w:rsidR="00A06F97" w:rsidRPr="004A0A8E" w:rsidRDefault="00A06F97" w:rsidP="00E15FCF">
            <w:pPr>
              <w:rPr>
                <w:iCs/>
                <w:noProof/>
                <w:sz w:val="18"/>
                <w:szCs w:val="18"/>
              </w:rPr>
            </w:pPr>
            <w:r>
              <w:rPr>
                <w:rFonts w:ascii="Aptos Narrow" w:hAnsi="Aptos Narrow"/>
                <w:noProof/>
                <w:color w:val="000000"/>
                <w:sz w:val="18"/>
              </w:rPr>
              <w:t>SDC mis en place en 2024</w:t>
            </w:r>
          </w:p>
        </w:tc>
      </w:tr>
      <w:tr w:rsidR="00A06F97" w:rsidRPr="004A0A8E" w14:paraId="415F9BE0" w14:textId="77777777" w:rsidTr="00E15FCF">
        <w:tc>
          <w:tcPr>
            <w:tcW w:w="1555" w:type="dxa"/>
            <w:shd w:val="clear" w:color="auto" w:fill="F2F2F2" w:themeFill="background1" w:themeFillShade="F2"/>
            <w:vAlign w:val="bottom"/>
          </w:tcPr>
          <w:p w14:paraId="1513086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Chypre</w:t>
            </w:r>
          </w:p>
        </w:tc>
        <w:tc>
          <w:tcPr>
            <w:tcW w:w="1555" w:type="dxa"/>
            <w:shd w:val="clear" w:color="auto" w:fill="F2F2F2" w:themeFill="background1" w:themeFillShade="F2"/>
            <w:vAlign w:val="bottom"/>
          </w:tcPr>
          <w:p w14:paraId="1635428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45,62</w:t>
            </w:r>
          </w:p>
        </w:tc>
        <w:tc>
          <w:tcPr>
            <w:tcW w:w="2128" w:type="dxa"/>
            <w:shd w:val="clear" w:color="auto" w:fill="F2F2F2" w:themeFill="background1" w:themeFillShade="F2"/>
            <w:vAlign w:val="bottom"/>
          </w:tcPr>
          <w:p w14:paraId="14465EAF" w14:textId="77777777" w:rsidR="00A06F97" w:rsidRPr="004A0A8E" w:rsidRDefault="00A06F97" w:rsidP="00E15FCF">
            <w:pPr>
              <w:rPr>
                <w:iCs/>
                <w:noProof/>
                <w:sz w:val="18"/>
                <w:szCs w:val="18"/>
              </w:rPr>
            </w:pPr>
            <w:r>
              <w:rPr>
                <w:rFonts w:ascii="Aptos Narrow" w:hAnsi="Aptos Narrow"/>
                <w:noProof/>
                <w:color w:val="000000"/>
                <w:sz w:val="18"/>
              </w:rPr>
              <w:t>Non (responsabilité élargie du producteur)</w:t>
            </w:r>
          </w:p>
        </w:tc>
        <w:tc>
          <w:tcPr>
            <w:tcW w:w="3676" w:type="dxa"/>
            <w:shd w:val="clear" w:color="auto" w:fill="FBE4D5" w:themeFill="accent2" w:themeFillTint="33"/>
            <w:vAlign w:val="bottom"/>
          </w:tcPr>
          <w:p w14:paraId="6AAB1C0A" w14:textId="77777777" w:rsidR="00A06F97" w:rsidRPr="004A0A8E" w:rsidRDefault="00A06F97" w:rsidP="00E15FCF">
            <w:pPr>
              <w:rPr>
                <w:iCs/>
                <w:noProof/>
                <w:sz w:val="18"/>
                <w:szCs w:val="18"/>
              </w:rPr>
            </w:pPr>
            <w:r>
              <w:rPr>
                <w:rFonts w:ascii="Aptos Narrow" w:hAnsi="Aptos Narrow"/>
                <w:noProof/>
                <w:color w:val="000000"/>
                <w:sz w:val="18"/>
              </w:rPr>
              <w:t>SDC en cours de mise en place</w:t>
            </w:r>
          </w:p>
        </w:tc>
      </w:tr>
      <w:tr w:rsidR="00A06F97" w:rsidRPr="004A0A8E" w14:paraId="098066ED" w14:textId="77777777" w:rsidTr="00E15FCF">
        <w:tc>
          <w:tcPr>
            <w:tcW w:w="1555" w:type="dxa"/>
            <w:shd w:val="clear" w:color="auto" w:fill="F2F2F2" w:themeFill="background1" w:themeFillShade="F2"/>
            <w:vAlign w:val="bottom"/>
          </w:tcPr>
          <w:p w14:paraId="0BEBBDF7"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Portugal</w:t>
            </w:r>
          </w:p>
        </w:tc>
        <w:tc>
          <w:tcPr>
            <w:tcW w:w="1555" w:type="dxa"/>
            <w:shd w:val="clear" w:color="auto" w:fill="F2F2F2" w:themeFill="background1" w:themeFillShade="F2"/>
            <w:vAlign w:val="bottom"/>
          </w:tcPr>
          <w:p w14:paraId="6DE35B2F"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43,12</w:t>
            </w:r>
          </w:p>
        </w:tc>
        <w:tc>
          <w:tcPr>
            <w:tcW w:w="2128" w:type="dxa"/>
            <w:shd w:val="clear" w:color="auto" w:fill="F2F2F2" w:themeFill="background1" w:themeFillShade="F2"/>
            <w:vAlign w:val="bottom"/>
          </w:tcPr>
          <w:p w14:paraId="462E0B97" w14:textId="77777777" w:rsidR="00A06F97" w:rsidRPr="004A0A8E" w:rsidRDefault="00A06F97" w:rsidP="00E15FCF">
            <w:pPr>
              <w:rPr>
                <w:iCs/>
                <w:noProof/>
                <w:sz w:val="18"/>
                <w:szCs w:val="18"/>
              </w:rPr>
            </w:pPr>
            <w:r>
              <w:rPr>
                <w:noProof/>
                <w:sz w:val="18"/>
              </w:rPr>
              <w:t>Non précisé</w:t>
            </w:r>
          </w:p>
        </w:tc>
        <w:tc>
          <w:tcPr>
            <w:tcW w:w="3676" w:type="dxa"/>
            <w:shd w:val="clear" w:color="auto" w:fill="FBE4D5" w:themeFill="accent2" w:themeFillTint="33"/>
            <w:vAlign w:val="bottom"/>
          </w:tcPr>
          <w:p w14:paraId="6F7F80E3" w14:textId="77777777" w:rsidR="00A06F97" w:rsidRPr="004A0A8E" w:rsidRDefault="00A06F97" w:rsidP="00E15FCF">
            <w:pPr>
              <w:rPr>
                <w:iCs/>
                <w:noProof/>
                <w:sz w:val="18"/>
                <w:szCs w:val="18"/>
              </w:rPr>
            </w:pPr>
            <w:r>
              <w:rPr>
                <w:rFonts w:ascii="Aptos Narrow" w:hAnsi="Aptos Narrow"/>
                <w:noProof/>
                <w:color w:val="000000"/>
                <w:sz w:val="18"/>
              </w:rPr>
              <w:t>SDC mis en place en 2024</w:t>
            </w:r>
          </w:p>
        </w:tc>
      </w:tr>
      <w:tr w:rsidR="00A06F97" w:rsidRPr="004A0A8E" w14:paraId="68AD2810" w14:textId="77777777" w:rsidTr="00E15FCF">
        <w:tc>
          <w:tcPr>
            <w:tcW w:w="1555" w:type="dxa"/>
            <w:shd w:val="clear" w:color="auto" w:fill="F2F2F2" w:themeFill="background1" w:themeFillShade="F2"/>
            <w:vAlign w:val="bottom"/>
          </w:tcPr>
          <w:p w14:paraId="1DF9394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Espagne</w:t>
            </w:r>
          </w:p>
        </w:tc>
        <w:tc>
          <w:tcPr>
            <w:tcW w:w="1555" w:type="dxa"/>
            <w:shd w:val="clear" w:color="auto" w:fill="F2F2F2" w:themeFill="background1" w:themeFillShade="F2"/>
            <w:vAlign w:val="bottom"/>
          </w:tcPr>
          <w:p w14:paraId="7D177F48"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39,52</w:t>
            </w:r>
          </w:p>
        </w:tc>
        <w:tc>
          <w:tcPr>
            <w:tcW w:w="2128" w:type="dxa"/>
            <w:shd w:val="clear" w:color="auto" w:fill="F2F2F2" w:themeFill="background1" w:themeFillShade="F2"/>
            <w:vAlign w:val="bottom"/>
          </w:tcPr>
          <w:p w14:paraId="097ADE3A" w14:textId="77777777" w:rsidR="00A06F97" w:rsidRPr="004A0A8E" w:rsidRDefault="00A06F97" w:rsidP="00E15FCF">
            <w:pPr>
              <w:rPr>
                <w:iCs/>
                <w:noProof/>
                <w:sz w:val="18"/>
                <w:szCs w:val="18"/>
              </w:rPr>
            </w:pPr>
            <w:r>
              <w:rPr>
                <w:noProof/>
                <w:sz w:val="18"/>
              </w:rPr>
              <w:t>Non</w:t>
            </w:r>
          </w:p>
        </w:tc>
        <w:tc>
          <w:tcPr>
            <w:tcW w:w="3676" w:type="dxa"/>
            <w:shd w:val="clear" w:color="auto" w:fill="F4B083" w:themeFill="accent2" w:themeFillTint="99"/>
            <w:vAlign w:val="bottom"/>
          </w:tcPr>
          <w:p w14:paraId="49AC0E4B" w14:textId="77777777" w:rsidR="00A06F97" w:rsidRPr="004A0A8E" w:rsidRDefault="00A06F97" w:rsidP="00E15FCF">
            <w:pPr>
              <w:rPr>
                <w:iCs/>
                <w:noProof/>
                <w:sz w:val="18"/>
                <w:szCs w:val="18"/>
              </w:rPr>
            </w:pPr>
            <w:r>
              <w:rPr>
                <w:rFonts w:ascii="Aptos Narrow" w:hAnsi="Aptos Narrow"/>
                <w:noProof/>
                <w:color w:val="000000"/>
                <w:sz w:val="18"/>
              </w:rPr>
              <w:t>Non</w:t>
            </w:r>
          </w:p>
        </w:tc>
      </w:tr>
      <w:tr w:rsidR="00A06F97" w:rsidRPr="004A0A8E" w14:paraId="3AFB57A4" w14:textId="77777777" w:rsidTr="00E15FCF">
        <w:tc>
          <w:tcPr>
            <w:tcW w:w="1555" w:type="dxa"/>
            <w:shd w:val="clear" w:color="auto" w:fill="F2F2F2" w:themeFill="background1" w:themeFillShade="F2"/>
            <w:vAlign w:val="bottom"/>
          </w:tcPr>
          <w:p w14:paraId="55E6DF54"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Grèce</w:t>
            </w:r>
          </w:p>
        </w:tc>
        <w:tc>
          <w:tcPr>
            <w:tcW w:w="1555" w:type="dxa"/>
            <w:shd w:val="clear" w:color="auto" w:fill="F2F2F2" w:themeFill="background1" w:themeFillShade="F2"/>
            <w:vAlign w:val="bottom"/>
          </w:tcPr>
          <w:p w14:paraId="15127A7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38,68</w:t>
            </w:r>
          </w:p>
        </w:tc>
        <w:tc>
          <w:tcPr>
            <w:tcW w:w="2128" w:type="dxa"/>
            <w:shd w:val="clear" w:color="auto" w:fill="F2F2F2" w:themeFill="background1" w:themeFillShade="F2"/>
            <w:vAlign w:val="bottom"/>
          </w:tcPr>
          <w:p w14:paraId="00F14F73" w14:textId="77777777" w:rsidR="00A06F97" w:rsidRPr="004A0A8E" w:rsidRDefault="00A06F97" w:rsidP="00E15FCF">
            <w:pPr>
              <w:rPr>
                <w:iCs/>
                <w:noProof/>
                <w:sz w:val="18"/>
                <w:szCs w:val="18"/>
              </w:rPr>
            </w:pPr>
            <w:r>
              <w:rPr>
                <w:rFonts w:ascii="Aptos Narrow" w:hAnsi="Aptos Narrow"/>
                <w:noProof/>
                <w:color w:val="000000"/>
                <w:sz w:val="18"/>
              </w:rPr>
              <w:t>Non</w:t>
            </w:r>
          </w:p>
        </w:tc>
        <w:tc>
          <w:tcPr>
            <w:tcW w:w="3676" w:type="dxa"/>
            <w:shd w:val="clear" w:color="auto" w:fill="FBE4D5" w:themeFill="accent2" w:themeFillTint="33"/>
            <w:vAlign w:val="bottom"/>
          </w:tcPr>
          <w:p w14:paraId="448199F0" w14:textId="77777777" w:rsidR="00A06F97" w:rsidRPr="004A0A8E" w:rsidRDefault="00A06F97" w:rsidP="00E15FCF">
            <w:pPr>
              <w:rPr>
                <w:iCs/>
                <w:noProof/>
                <w:sz w:val="18"/>
                <w:szCs w:val="18"/>
              </w:rPr>
            </w:pPr>
            <w:r>
              <w:rPr>
                <w:rFonts w:ascii="Aptos Narrow" w:hAnsi="Aptos Narrow"/>
                <w:noProof/>
                <w:color w:val="000000"/>
                <w:sz w:val="18"/>
              </w:rPr>
              <w:t>SDC prévu mais reporté à 2025</w:t>
            </w:r>
          </w:p>
        </w:tc>
      </w:tr>
      <w:tr w:rsidR="00A06F97" w:rsidRPr="004A0A8E" w14:paraId="603716E7" w14:textId="77777777" w:rsidTr="00E15FCF">
        <w:tc>
          <w:tcPr>
            <w:tcW w:w="1555" w:type="dxa"/>
            <w:shd w:val="clear" w:color="auto" w:fill="F2F2F2" w:themeFill="background1" w:themeFillShade="F2"/>
            <w:vAlign w:val="bottom"/>
          </w:tcPr>
          <w:p w14:paraId="575E1082"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Bulgarie</w:t>
            </w:r>
          </w:p>
        </w:tc>
        <w:tc>
          <w:tcPr>
            <w:tcW w:w="1555" w:type="dxa"/>
            <w:shd w:val="clear" w:color="auto" w:fill="F2F2F2" w:themeFill="background1" w:themeFillShade="F2"/>
            <w:vAlign w:val="bottom"/>
          </w:tcPr>
          <w:p w14:paraId="4EAC3493"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38,21</w:t>
            </w:r>
          </w:p>
        </w:tc>
        <w:tc>
          <w:tcPr>
            <w:tcW w:w="2128" w:type="dxa"/>
            <w:shd w:val="clear" w:color="auto" w:fill="F2F2F2" w:themeFill="background1" w:themeFillShade="F2"/>
            <w:vAlign w:val="bottom"/>
          </w:tcPr>
          <w:p w14:paraId="3F69D414"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Non précisé</w:t>
            </w:r>
          </w:p>
        </w:tc>
        <w:tc>
          <w:tcPr>
            <w:tcW w:w="3676" w:type="dxa"/>
            <w:shd w:val="clear" w:color="auto" w:fill="F4B083" w:themeFill="accent2" w:themeFillTint="99"/>
            <w:vAlign w:val="bottom"/>
          </w:tcPr>
          <w:p w14:paraId="59F9D396"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 xml:space="preserve">Non </w:t>
            </w:r>
          </w:p>
        </w:tc>
      </w:tr>
      <w:tr w:rsidR="00A06F97" w:rsidRPr="004A0A8E" w14:paraId="4C9B3C44" w14:textId="77777777" w:rsidTr="00E15FCF">
        <w:tc>
          <w:tcPr>
            <w:tcW w:w="1555" w:type="dxa"/>
            <w:shd w:val="clear" w:color="auto" w:fill="F2F2F2" w:themeFill="background1" w:themeFillShade="F2"/>
            <w:vAlign w:val="bottom"/>
          </w:tcPr>
          <w:p w14:paraId="3C768DF6"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Malte</w:t>
            </w:r>
          </w:p>
        </w:tc>
        <w:tc>
          <w:tcPr>
            <w:tcW w:w="1555" w:type="dxa"/>
            <w:shd w:val="clear" w:color="auto" w:fill="F2F2F2" w:themeFill="background1" w:themeFillShade="F2"/>
            <w:vAlign w:val="bottom"/>
          </w:tcPr>
          <w:p w14:paraId="2B30DB61"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24,96</w:t>
            </w:r>
          </w:p>
        </w:tc>
        <w:tc>
          <w:tcPr>
            <w:tcW w:w="2128" w:type="dxa"/>
            <w:shd w:val="clear" w:color="auto" w:fill="F2F2F2" w:themeFill="background1" w:themeFillShade="F2"/>
            <w:vAlign w:val="bottom"/>
          </w:tcPr>
          <w:p w14:paraId="0C5CD6E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Non</w:t>
            </w:r>
          </w:p>
        </w:tc>
        <w:tc>
          <w:tcPr>
            <w:tcW w:w="3676" w:type="dxa"/>
            <w:shd w:val="clear" w:color="auto" w:fill="FBE4D5" w:themeFill="accent2" w:themeFillTint="33"/>
            <w:vAlign w:val="bottom"/>
          </w:tcPr>
          <w:p w14:paraId="60AC49E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SDC prévu</w:t>
            </w:r>
          </w:p>
        </w:tc>
      </w:tr>
      <w:tr w:rsidR="00A06F97" w:rsidRPr="004A0A8E" w14:paraId="5B0A01F5" w14:textId="77777777" w:rsidTr="00E15FCF">
        <w:tc>
          <w:tcPr>
            <w:tcW w:w="1555" w:type="dxa"/>
            <w:shd w:val="clear" w:color="auto" w:fill="F2F2F2" w:themeFill="background1" w:themeFillShade="F2"/>
            <w:vAlign w:val="bottom"/>
          </w:tcPr>
          <w:p w14:paraId="7A63DC62"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Hongrie</w:t>
            </w:r>
          </w:p>
        </w:tc>
        <w:tc>
          <w:tcPr>
            <w:tcW w:w="1555" w:type="dxa"/>
            <w:shd w:val="clear" w:color="auto" w:fill="F2F2F2" w:themeFill="background1" w:themeFillShade="F2"/>
            <w:vAlign w:val="bottom"/>
          </w:tcPr>
          <w:p w14:paraId="640A9A14"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19,17</w:t>
            </w:r>
          </w:p>
        </w:tc>
        <w:tc>
          <w:tcPr>
            <w:tcW w:w="2128" w:type="dxa"/>
            <w:shd w:val="clear" w:color="auto" w:fill="F2F2F2" w:themeFill="background1" w:themeFillShade="F2"/>
            <w:vAlign w:val="bottom"/>
          </w:tcPr>
          <w:p w14:paraId="05C5E27C"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Non</w:t>
            </w:r>
          </w:p>
        </w:tc>
        <w:tc>
          <w:tcPr>
            <w:tcW w:w="3676" w:type="dxa"/>
            <w:shd w:val="clear" w:color="auto" w:fill="FBE4D5" w:themeFill="accent2" w:themeFillTint="33"/>
            <w:vAlign w:val="bottom"/>
          </w:tcPr>
          <w:p w14:paraId="138E742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 xml:space="preserve">Lancement du </w:t>
            </w:r>
            <w:r>
              <w:rPr>
                <w:rFonts w:ascii="Aptos Narrow" w:hAnsi="Aptos Narrow"/>
                <w:noProof/>
                <w:color w:val="000000"/>
                <w:sz w:val="18"/>
                <w:shd w:val="clear" w:color="auto" w:fill="FBE4D5" w:themeFill="accent2" w:themeFillTint="33"/>
              </w:rPr>
              <w:t>SDC</w:t>
            </w:r>
            <w:r>
              <w:rPr>
                <w:rFonts w:ascii="Aptos Narrow" w:hAnsi="Aptos Narrow"/>
                <w:noProof/>
                <w:color w:val="000000"/>
                <w:sz w:val="18"/>
              </w:rPr>
              <w:t xml:space="preserve"> en 2024</w:t>
            </w:r>
          </w:p>
        </w:tc>
      </w:tr>
      <w:tr w:rsidR="00A06F97" w:rsidRPr="004A0A8E" w14:paraId="3877AB5F" w14:textId="77777777" w:rsidTr="00E15FCF">
        <w:tc>
          <w:tcPr>
            <w:tcW w:w="1555" w:type="dxa"/>
            <w:shd w:val="clear" w:color="auto" w:fill="F2F2F2" w:themeFill="background1" w:themeFillShade="F2"/>
            <w:vAlign w:val="bottom"/>
          </w:tcPr>
          <w:p w14:paraId="29FA0A64"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Slovénie</w:t>
            </w:r>
          </w:p>
        </w:tc>
        <w:tc>
          <w:tcPr>
            <w:tcW w:w="1555" w:type="dxa"/>
            <w:shd w:val="clear" w:color="auto" w:fill="F2F2F2" w:themeFill="background1" w:themeFillShade="F2"/>
            <w:vAlign w:val="bottom"/>
          </w:tcPr>
          <w:p w14:paraId="786D77DD"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w:t>
            </w:r>
          </w:p>
        </w:tc>
        <w:tc>
          <w:tcPr>
            <w:tcW w:w="2128" w:type="dxa"/>
            <w:shd w:val="clear" w:color="auto" w:fill="F2F2F2" w:themeFill="background1" w:themeFillShade="F2"/>
            <w:vAlign w:val="bottom"/>
          </w:tcPr>
          <w:p w14:paraId="1A9C5BD0" w14:textId="77777777" w:rsidR="00A06F97" w:rsidRPr="004A0A8E" w:rsidRDefault="00A06F97" w:rsidP="00E15FCF">
            <w:pPr>
              <w:rPr>
                <w:rFonts w:ascii="Aptos Narrow" w:hAnsi="Aptos Narrow"/>
                <w:iCs/>
                <w:noProof/>
                <w:color w:val="000000"/>
                <w:sz w:val="18"/>
                <w:szCs w:val="18"/>
              </w:rPr>
            </w:pPr>
            <w:r>
              <w:rPr>
                <w:noProof/>
                <w:sz w:val="18"/>
              </w:rPr>
              <w:t>Non précisé</w:t>
            </w:r>
          </w:p>
        </w:tc>
        <w:tc>
          <w:tcPr>
            <w:tcW w:w="3676" w:type="dxa"/>
            <w:shd w:val="clear" w:color="auto" w:fill="F4B083" w:themeFill="accent2" w:themeFillTint="99"/>
            <w:vAlign w:val="bottom"/>
          </w:tcPr>
          <w:p w14:paraId="7B7AFE38"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Non</w:t>
            </w:r>
          </w:p>
        </w:tc>
      </w:tr>
    </w:tbl>
    <w:p w14:paraId="05B61385" w14:textId="77777777" w:rsidR="00A06F97" w:rsidRDefault="00A06F97" w:rsidP="00752063">
      <w:pPr>
        <w:rPr>
          <w:iCs/>
          <w:noProof/>
          <w:sz w:val="20"/>
          <w:szCs w:val="20"/>
        </w:rPr>
      </w:pPr>
    </w:p>
    <w:p w14:paraId="3F05B0FF" w14:textId="5B23A3B1" w:rsidR="00752063" w:rsidRDefault="00752063" w:rsidP="00752063">
      <w:pPr>
        <w:rPr>
          <w:iCs/>
          <w:noProof/>
          <w:sz w:val="20"/>
          <w:szCs w:val="20"/>
        </w:rPr>
      </w:pPr>
      <w:r>
        <w:rPr>
          <w:noProof/>
          <w:sz w:val="20"/>
        </w:rPr>
        <w:t xml:space="preserve">Remarques: SDC = système de consigne Les pays sont classés en fonction de leurs valeurs de collecte séparée pour les bouteilles en plastique à usage unique, sur la base des données communiquées. Les pays qui atteignent l’objectif de collecte séparée pour 2025 sont indiqués en caractères gras. </w:t>
      </w:r>
    </w:p>
    <w:p w14:paraId="21245734" w14:textId="777E60B1" w:rsidR="00DD7484" w:rsidRDefault="004500B6" w:rsidP="00752063">
      <w:pPr>
        <w:rPr>
          <w:bCs/>
          <w:iCs/>
          <w:noProof/>
          <w:sz w:val="20"/>
          <w:szCs w:val="20"/>
        </w:rPr>
      </w:pPr>
      <w:r>
        <w:rPr>
          <w:noProof/>
          <w:sz w:val="20"/>
        </w:rPr>
        <w:t xml:space="preserve">Source: propre élaboration sur la base des valeurs communiquées et </w:t>
      </w:r>
      <w:hyperlink r:id="rId61" w:history="1">
        <w:r>
          <w:rPr>
            <w:rStyle w:val="Hyperlink"/>
            <w:noProof/>
            <w:sz w:val="20"/>
          </w:rPr>
          <w:t>AEE (2025)</w:t>
        </w:r>
      </w:hyperlink>
      <w:r>
        <w:rPr>
          <w:noProof/>
          <w:sz w:val="20"/>
        </w:rPr>
        <w:t>; profils nationaux sur la gestion des déchets pour les pays de l’UE et</w:t>
      </w:r>
      <w:hyperlink r:id="rId62" w:history="1">
        <w:r>
          <w:rPr>
            <w:rStyle w:val="Hyperlink"/>
            <w:noProof/>
            <w:sz w:val="20"/>
          </w:rPr>
          <w:t xml:space="preserve"> AEE (2024)</w:t>
        </w:r>
      </w:hyperlink>
      <w:r>
        <w:rPr>
          <w:noProof/>
          <w:sz w:val="20"/>
        </w:rPr>
        <w:t xml:space="preserve"> pour les pays de l’EEE/AELE.  </w:t>
      </w:r>
    </w:p>
    <w:p w14:paraId="01DF6ED0" w14:textId="77777777" w:rsidR="00DD7484" w:rsidRDefault="00DD7484" w:rsidP="00752063">
      <w:pPr>
        <w:rPr>
          <w:bCs/>
          <w:iCs/>
          <w:noProof/>
          <w:sz w:val="20"/>
          <w:szCs w:val="20"/>
        </w:rPr>
        <w:sectPr w:rsidR="00DD7484" w:rsidSect="005E37B2">
          <w:headerReference w:type="default" r:id="rId63"/>
          <w:footerReference w:type="default" r:id="rId64"/>
          <w:pgSz w:w="11906" w:h="16838"/>
          <w:pgMar w:top="1440" w:right="1440" w:bottom="1440" w:left="1440" w:header="708" w:footer="708" w:gutter="0"/>
          <w:cols w:space="708"/>
          <w:docGrid w:linePitch="360"/>
        </w:sectPr>
      </w:pPr>
    </w:p>
    <w:p w14:paraId="18675A29" w14:textId="73A2E96E" w:rsidR="002A71ED" w:rsidRDefault="002A71ED" w:rsidP="00925BD3">
      <w:pPr>
        <w:pStyle w:val="Heading3"/>
        <w:rPr>
          <w:noProof/>
        </w:rPr>
      </w:pPr>
      <w:bookmarkStart w:id="89" w:name="_Toc185499269"/>
      <w:bookmarkStart w:id="90" w:name="_Toc222395009"/>
      <w:bookmarkStart w:id="91" w:name="_Ref185241183"/>
      <w:bookmarkStart w:id="92" w:name="_Toc185251725"/>
      <w:r>
        <w:rPr>
          <w:noProof/>
        </w:rPr>
        <w:t>Annexe 4: bouteilles pour boissons en plastique à usage unique mises sur le marché et collectées séparément, valeurs absolues et par habitant [point c)]</w:t>
      </w:r>
      <w:bookmarkEnd w:id="89"/>
      <w:bookmarkEnd w:id="90"/>
    </w:p>
    <w:p w14:paraId="08B69204" w14:textId="7FC81447" w:rsidR="00026E6D" w:rsidRDefault="00026E6D" w:rsidP="00026E6D">
      <w:pPr>
        <w:pStyle w:val="Caption"/>
        <w:rPr>
          <w:noProof/>
        </w:rPr>
      </w:pPr>
      <w:bookmarkStart w:id="93" w:name="_Ref183428688"/>
      <w:r>
        <w:rPr>
          <w:noProof/>
        </w:rPr>
        <w:t>Figure </w:t>
      </w:r>
      <w:bookmarkEnd w:id="93"/>
      <w:r>
        <w:rPr>
          <w:noProof/>
        </w:rPr>
        <w:t>11: bouteilles pour boissons en plastique à usage unique mises sur le marché et collectées séparément, valeurs absolues par pays.</w:t>
      </w:r>
    </w:p>
    <w:p w14:paraId="50A4EF44" w14:textId="5F8F1584" w:rsidR="00080B52" w:rsidRPr="004A0A8E" w:rsidRDefault="0036096A" w:rsidP="002A71ED">
      <w:pPr>
        <w:rPr>
          <w:iCs/>
          <w:noProof/>
        </w:rPr>
      </w:pPr>
      <w:r w:rsidRPr="0036096A">
        <w:rPr>
          <w:noProof/>
          <w:lang w:val="en-GB" w:eastAsia="en-GB"/>
        </w:rPr>
        <w:drawing>
          <wp:inline distT="0" distB="0" distL="0" distR="0" wp14:anchorId="0183B6D9" wp14:editId="3E34CBB3">
            <wp:extent cx="5731510" cy="2978150"/>
            <wp:effectExtent l="0" t="0" r="2540" b="0"/>
            <wp:docPr id="1937908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1510" cy="2978150"/>
                    </a:xfrm>
                    <a:prstGeom prst="rect">
                      <a:avLst/>
                    </a:prstGeom>
                    <a:noFill/>
                    <a:ln>
                      <a:noFill/>
                    </a:ln>
                  </pic:spPr>
                </pic:pic>
              </a:graphicData>
            </a:graphic>
          </wp:inline>
        </w:drawing>
      </w:r>
    </w:p>
    <w:p w14:paraId="3BC9A28C" w14:textId="609B4A84" w:rsidR="00467D08" w:rsidRDefault="00467D08">
      <w:pPr>
        <w:jc w:val="left"/>
        <w:rPr>
          <w:rFonts w:eastAsia="ヒラギノ角ゴ Pro W3" w:cs="Times New Roman"/>
          <w:b/>
          <w:noProof/>
          <w:color w:val="44546A" w:themeColor="text2"/>
          <w:szCs w:val="18"/>
        </w:rPr>
      </w:pPr>
      <w:bookmarkStart w:id="94" w:name="_Ref183428703"/>
    </w:p>
    <w:p w14:paraId="5152E832" w14:textId="40ACAF30" w:rsidR="00026E6D" w:rsidRDefault="00026E6D" w:rsidP="00026E6D">
      <w:pPr>
        <w:pStyle w:val="Caption"/>
        <w:rPr>
          <w:noProof/>
        </w:rPr>
      </w:pPr>
      <w:r>
        <w:rPr>
          <w:noProof/>
        </w:rPr>
        <w:t>Figure 12</w:t>
      </w:r>
      <w:bookmarkEnd w:id="94"/>
      <w:r>
        <w:rPr>
          <w:noProof/>
        </w:rPr>
        <w:t>: bouteilles pour boissons en plastique à usage unique mises sur le marché et collectées séparément, valeurs par habitant et par pays.</w:t>
      </w:r>
    </w:p>
    <w:p w14:paraId="069DCED4" w14:textId="72006771" w:rsidR="000E2EE5" w:rsidRPr="004A0A8E" w:rsidRDefault="00CA7C91" w:rsidP="002A71ED">
      <w:pPr>
        <w:rPr>
          <w:noProof/>
        </w:rPr>
      </w:pPr>
      <w:r w:rsidRPr="00CA7C91">
        <w:rPr>
          <w:noProof/>
          <w:lang w:val="en-GB" w:eastAsia="en-GB"/>
        </w:rPr>
        <w:drawing>
          <wp:inline distT="0" distB="0" distL="0" distR="0" wp14:anchorId="53F8554C" wp14:editId="0B8DA888">
            <wp:extent cx="5731510" cy="2922905"/>
            <wp:effectExtent l="0" t="0" r="2540" b="0"/>
            <wp:docPr id="1058469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1510" cy="2922905"/>
                    </a:xfrm>
                    <a:prstGeom prst="rect">
                      <a:avLst/>
                    </a:prstGeom>
                    <a:noFill/>
                    <a:ln>
                      <a:noFill/>
                    </a:ln>
                  </pic:spPr>
                </pic:pic>
              </a:graphicData>
            </a:graphic>
          </wp:inline>
        </w:drawing>
      </w:r>
    </w:p>
    <w:p w14:paraId="237E5052" w14:textId="77777777" w:rsidR="002A71ED" w:rsidRPr="004A0A8E" w:rsidRDefault="002A71ED" w:rsidP="002A71ED">
      <w:pPr>
        <w:rPr>
          <w:i/>
          <w:noProof/>
        </w:rPr>
      </w:pPr>
      <w:r>
        <w:rPr>
          <w:noProof/>
          <w:sz w:val="20"/>
        </w:rPr>
        <w:t xml:space="preserve">Remarque: les valeurs par pays et par habitant ont été calculées en divisant les chiffres communiqués par la population du pays [population moyenne du pays pour l’année 2022, </w:t>
      </w:r>
      <w:hyperlink r:id="rId67" w:history="1">
        <w:r>
          <w:rPr>
            <w:rStyle w:val="Hyperlink"/>
            <w:noProof/>
            <w:sz w:val="20"/>
          </w:rPr>
          <w:t>Eurostat (2024a)</w:t>
        </w:r>
      </w:hyperlink>
      <w:r>
        <w:rPr>
          <w:noProof/>
          <w:sz w:val="20"/>
        </w:rPr>
        <w:t>].</w:t>
      </w:r>
    </w:p>
    <w:p w14:paraId="1CD16AE2" w14:textId="77777777" w:rsidR="008623BE" w:rsidRDefault="008623BE" w:rsidP="009352E5">
      <w:pPr>
        <w:rPr>
          <w:noProof/>
          <w:lang w:val="fr-BE"/>
        </w:rPr>
        <w:sectPr w:rsidR="008623BE" w:rsidSect="005E37B2">
          <w:headerReference w:type="default" r:id="rId68"/>
          <w:footerReference w:type="default" r:id="rId69"/>
          <w:pgSz w:w="11906" w:h="16838"/>
          <w:pgMar w:top="1440" w:right="1440" w:bottom="1440" w:left="1440" w:header="708" w:footer="708" w:gutter="0"/>
          <w:cols w:space="708"/>
          <w:docGrid w:linePitch="360"/>
        </w:sectPr>
      </w:pPr>
    </w:p>
    <w:p w14:paraId="779FB3AC" w14:textId="79903365" w:rsidR="005E37B2" w:rsidRPr="00925BD3" w:rsidRDefault="005E37B2" w:rsidP="00925BD3">
      <w:pPr>
        <w:pStyle w:val="Heading3"/>
        <w:rPr>
          <w:noProof/>
        </w:rPr>
      </w:pPr>
      <w:bookmarkStart w:id="95" w:name="_Toc185251727"/>
      <w:bookmarkStart w:id="96" w:name="_Toc185499270"/>
      <w:bookmarkStart w:id="97" w:name="_Toc222395010"/>
      <w:r>
        <w:rPr>
          <w:noProof/>
        </w:rPr>
        <w:t xml:space="preserve">Annexe 5: données déclarées ventilées par matériau et par type d’engin de pêche </w:t>
      </w:r>
      <w:bookmarkEnd w:id="95"/>
      <w:r>
        <w:rPr>
          <w:noProof/>
        </w:rPr>
        <w:t>[point d)]</w:t>
      </w:r>
      <w:bookmarkEnd w:id="96"/>
      <w:bookmarkEnd w:id="97"/>
    </w:p>
    <w:p w14:paraId="690AF935" w14:textId="17317100" w:rsidR="00F12B98" w:rsidRPr="004A0A8E" w:rsidRDefault="00F12B98" w:rsidP="0087601F">
      <w:pPr>
        <w:rPr>
          <w:noProof/>
        </w:rPr>
      </w:pPr>
      <w:r>
        <w:rPr>
          <w:noProof/>
        </w:rPr>
        <w:t xml:space="preserve">Le format de déclaration établi par la décision d’exécution (UE) 2021/958 de la Commission donne aux pays la possibilité de communiquer des données ventilées par matériau et par type d’engin de pêche. Un pays (la France) a fourni une ventilation complète des données, et cinq autres pays ont fourni une ventilation partielle des données, en particulier pour les quantités mises sur le marché et pour la teneur en plastique. Les valeurs déclarées sont présentées dans les tableaux ci-dessous. </w:t>
      </w:r>
    </w:p>
    <w:p w14:paraId="61C25F18" w14:textId="77777777" w:rsidR="0065052C" w:rsidRDefault="005E37B2" w:rsidP="00823FD1">
      <w:pPr>
        <w:keepNext/>
        <w:rPr>
          <w:b/>
          <w:noProof/>
        </w:rPr>
      </w:pPr>
      <w:r>
        <w:rPr>
          <w:b/>
          <w:noProof/>
        </w:rPr>
        <w:t>Engins de pêche mis sur le marché</w:t>
      </w:r>
    </w:p>
    <w:p w14:paraId="29ED5780" w14:textId="77777777" w:rsidR="00972B5C" w:rsidRDefault="00972B5C" w:rsidP="0065052C">
      <w:pPr>
        <w:keepNext/>
        <w:rPr>
          <w:b/>
          <w:noProof/>
        </w:rPr>
      </w:pPr>
      <w:r w:rsidRPr="00972B5C">
        <w:rPr>
          <w:noProof/>
          <w:lang w:val="en-GB" w:eastAsia="en-GB"/>
        </w:rPr>
        <w:drawing>
          <wp:inline distT="0" distB="0" distL="0" distR="0" wp14:anchorId="7B8368B0" wp14:editId="4C83CBA7">
            <wp:extent cx="5490777" cy="8360228"/>
            <wp:effectExtent l="0" t="0" r="0" b="3175"/>
            <wp:docPr id="1787505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14194" cy="8395883"/>
                    </a:xfrm>
                    <a:prstGeom prst="rect">
                      <a:avLst/>
                    </a:prstGeom>
                    <a:noFill/>
                    <a:ln>
                      <a:noFill/>
                    </a:ln>
                  </pic:spPr>
                </pic:pic>
              </a:graphicData>
            </a:graphic>
          </wp:inline>
        </w:drawing>
      </w:r>
    </w:p>
    <w:p w14:paraId="750AE9ED" w14:textId="21288119" w:rsidR="005E37B2" w:rsidRDefault="005E37B2" w:rsidP="0065052C">
      <w:pPr>
        <w:keepNext/>
        <w:rPr>
          <w:b/>
          <w:noProof/>
        </w:rPr>
      </w:pPr>
      <w:r>
        <w:rPr>
          <w:b/>
          <w:noProof/>
        </w:rPr>
        <w:t>Déchets d’engins de pêche collectés</w:t>
      </w:r>
    </w:p>
    <w:p w14:paraId="3EBD0FFA" w14:textId="18E49D15" w:rsidR="005E37B2" w:rsidRPr="004A0A8E" w:rsidRDefault="00124AF0" w:rsidP="005E37B2">
      <w:pPr>
        <w:pStyle w:val="Caption"/>
        <w:rPr>
          <w:noProof/>
        </w:rPr>
      </w:pPr>
      <w:r w:rsidRPr="00124AF0">
        <w:rPr>
          <w:noProof/>
          <w:lang w:val="en-GB" w:eastAsia="en-GB"/>
        </w:rPr>
        <w:drawing>
          <wp:inline distT="0" distB="0" distL="0" distR="0" wp14:anchorId="6FF925C4" wp14:editId="1EF07C06">
            <wp:extent cx="5731510" cy="6731635"/>
            <wp:effectExtent l="0" t="0" r="2540" b="0"/>
            <wp:docPr id="20851632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1510" cy="6731635"/>
                    </a:xfrm>
                    <a:prstGeom prst="rect">
                      <a:avLst/>
                    </a:prstGeom>
                    <a:noFill/>
                    <a:ln>
                      <a:noFill/>
                    </a:ln>
                  </pic:spPr>
                </pic:pic>
              </a:graphicData>
            </a:graphic>
          </wp:inline>
        </w:drawing>
      </w:r>
    </w:p>
    <w:p w14:paraId="43F307DD" w14:textId="77777777" w:rsidR="00D02B96" w:rsidRDefault="00D02B96" w:rsidP="005E37B2">
      <w:pPr>
        <w:rPr>
          <w:noProof/>
          <w:lang w:val="en-GB"/>
        </w:rPr>
        <w:sectPr w:rsidR="00D02B96" w:rsidSect="005E37B2">
          <w:headerReference w:type="default" r:id="rId72"/>
          <w:footerReference w:type="default" r:id="rId73"/>
          <w:pgSz w:w="11906" w:h="16838"/>
          <w:pgMar w:top="1440" w:right="1440" w:bottom="1440" w:left="1440" w:header="708" w:footer="708" w:gutter="0"/>
          <w:cols w:space="708"/>
          <w:docGrid w:linePitch="360"/>
        </w:sectPr>
      </w:pPr>
    </w:p>
    <w:p w14:paraId="560127EC" w14:textId="5EC8DC7F" w:rsidR="00026E6D" w:rsidRPr="00026E6D" w:rsidRDefault="00F02146" w:rsidP="00026E6D">
      <w:pPr>
        <w:pStyle w:val="Heading3"/>
        <w:rPr>
          <w:noProof/>
        </w:rPr>
      </w:pPr>
      <w:bookmarkStart w:id="98" w:name="_Toc185499271"/>
      <w:bookmarkStart w:id="99" w:name="_Toc222395011"/>
      <w:r>
        <w:rPr>
          <w:noProof/>
        </w:rPr>
        <w:t>Annexe 6: engins de pêche mis sur le marché et déchets d’engins de pêche collectés [point d)] par rapport au tonnage de la flotte de pêche par pays</w:t>
      </w:r>
      <w:bookmarkEnd w:id="98"/>
      <w:bookmarkEnd w:id="99"/>
    </w:p>
    <w:p w14:paraId="2B311BD6" w14:textId="66A83CD9" w:rsidR="00026E6D" w:rsidRDefault="00026E6D" w:rsidP="00026E6D">
      <w:pPr>
        <w:rPr>
          <w:rFonts w:eastAsia="ヒラギノ角ゴ Pro W3" w:cs="Times New Roman"/>
          <w:b/>
          <w:noProof/>
          <w:color w:val="44546A" w:themeColor="text2"/>
          <w:szCs w:val="18"/>
        </w:rPr>
      </w:pPr>
      <w:r>
        <w:rPr>
          <w:b/>
          <w:noProof/>
          <w:color w:val="44546A" w:themeColor="text2"/>
        </w:rPr>
        <w:t>Figure 13: engins de pêche mis sur le marché et déchets d’engins de pêche collectés déclarés au point d), valeurs relatives au tonnage de la flotte de pêche par pays.</w:t>
      </w:r>
    </w:p>
    <w:p w14:paraId="3E1E497B" w14:textId="00FFE060" w:rsidR="004726AA" w:rsidRDefault="00F01240" w:rsidP="00540F07">
      <w:pPr>
        <w:jc w:val="center"/>
        <w:rPr>
          <w:rFonts w:eastAsia="ヒラギノ角ゴ Pro W3" w:cs="Times New Roman"/>
          <w:b/>
          <w:noProof/>
          <w:color w:val="44546A" w:themeColor="text2"/>
          <w:szCs w:val="18"/>
        </w:rPr>
      </w:pPr>
      <w:r w:rsidRPr="00F01240">
        <w:rPr>
          <w:rFonts w:eastAsia="ヒラギノ角ゴ Pro W3" w:cs="Times New Roman"/>
          <w:b/>
          <w:noProof/>
          <w:color w:val="44546A" w:themeColor="text2"/>
          <w:szCs w:val="18"/>
          <w:lang w:val="en-GB" w:eastAsia="en-GB"/>
        </w:rPr>
        <w:drawing>
          <wp:inline distT="0" distB="0" distL="0" distR="0" wp14:anchorId="734F6C62" wp14:editId="26166B33">
            <wp:extent cx="5731510" cy="3571240"/>
            <wp:effectExtent l="0" t="0" r="2540" b="0"/>
            <wp:docPr id="112668076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80764" name="Picture 1" descr="A graph of different colored lines&#10;&#10;AI-generated content may be incorrect."/>
                    <pic:cNvPicPr/>
                  </pic:nvPicPr>
                  <pic:blipFill>
                    <a:blip r:embed="rId74"/>
                    <a:stretch>
                      <a:fillRect/>
                    </a:stretch>
                  </pic:blipFill>
                  <pic:spPr>
                    <a:xfrm>
                      <a:off x="0" y="0"/>
                      <a:ext cx="5731510" cy="3571240"/>
                    </a:xfrm>
                    <a:prstGeom prst="rect">
                      <a:avLst/>
                    </a:prstGeom>
                  </pic:spPr>
                </pic:pic>
              </a:graphicData>
            </a:graphic>
          </wp:inline>
        </w:drawing>
      </w:r>
    </w:p>
    <w:p w14:paraId="3F519B23" w14:textId="1183ADEE" w:rsidR="00540F07" w:rsidRPr="00526E6E" w:rsidRDefault="00540F07" w:rsidP="00540F07">
      <w:pPr>
        <w:rPr>
          <w:iCs/>
          <w:noProof/>
          <w:sz w:val="20"/>
          <w:szCs w:val="20"/>
        </w:rPr>
      </w:pPr>
      <w:r>
        <w:rPr>
          <w:noProof/>
          <w:sz w:val="20"/>
        </w:rPr>
        <w:t>Remarque: les données présentées sont le rapport entre, d’une part, les quantités mises sur le marché ou collectées dans chaque pays et, d’autre part, le tonnage de la flotte de pêche de chaque pays en 2022, c’est-à-dire la taille totale de leur flotte de pêche, tiré d’</w:t>
      </w:r>
      <w:hyperlink r:id="rId75" w:history="1">
        <w:r>
          <w:rPr>
            <w:rStyle w:val="Hyperlink"/>
            <w:noProof/>
            <w:sz w:val="20"/>
          </w:rPr>
          <w:t>Eurostat (2024b)</w:t>
        </w:r>
      </w:hyperlink>
      <w:r>
        <w:rPr>
          <w:noProof/>
          <w:sz w:val="20"/>
        </w:rPr>
        <w:t>.</w:t>
      </w:r>
    </w:p>
    <w:p w14:paraId="0C1585C3" w14:textId="77777777" w:rsidR="00540F07" w:rsidRDefault="00540F07" w:rsidP="00540F07">
      <w:pPr>
        <w:rPr>
          <w:rFonts w:eastAsia="ヒラギノ角ゴ Pro W3" w:cs="Times New Roman"/>
          <w:b/>
          <w:noProof/>
          <w:color w:val="44546A" w:themeColor="text2"/>
          <w:szCs w:val="18"/>
          <w:lang w:val="fr-BE"/>
        </w:rPr>
        <w:sectPr w:rsidR="00540F07" w:rsidSect="00862309">
          <w:headerReference w:type="default" r:id="rId76"/>
          <w:footerReference w:type="default" r:id="rId77"/>
          <w:pgSz w:w="11906" w:h="16838"/>
          <w:pgMar w:top="1440" w:right="1440" w:bottom="1440" w:left="1440" w:header="708" w:footer="708" w:gutter="0"/>
          <w:cols w:space="708"/>
          <w:docGrid w:linePitch="360"/>
        </w:sectPr>
      </w:pPr>
    </w:p>
    <w:p w14:paraId="6EC39409" w14:textId="6B7AECD4" w:rsidR="006E55E3" w:rsidRPr="00925BD3" w:rsidRDefault="006E55E3" w:rsidP="00925BD3">
      <w:pPr>
        <w:pStyle w:val="Heading3"/>
        <w:rPr>
          <w:noProof/>
        </w:rPr>
      </w:pPr>
      <w:bookmarkStart w:id="100" w:name="_Toc185499272"/>
      <w:bookmarkStart w:id="101" w:name="_Toc222395012"/>
      <w:r>
        <w:rPr>
          <w:noProof/>
        </w:rPr>
        <w:t>Annexe 7: institutions responsables de la communication et des dates de déclaration au titre de la directive sur les plastiques à usage unique</w:t>
      </w:r>
      <w:bookmarkEnd w:id="100"/>
      <w:bookmarkEnd w:id="101"/>
    </w:p>
    <w:tbl>
      <w:tblPr>
        <w:tblStyle w:val="TableGrid"/>
        <w:tblW w:w="898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66"/>
        <w:gridCol w:w="5847"/>
        <w:gridCol w:w="1475"/>
      </w:tblGrid>
      <w:tr w:rsidR="00BC4B2D" w:rsidRPr="00540F07" w14:paraId="231C4948" w14:textId="77777777" w:rsidTr="00E15FCF">
        <w:trPr>
          <w:trHeight w:val="204"/>
        </w:trPr>
        <w:tc>
          <w:tcPr>
            <w:tcW w:w="1666" w:type="dxa"/>
            <w:shd w:val="clear" w:color="auto" w:fill="007B6C"/>
          </w:tcPr>
          <w:p w14:paraId="13824EEB" w14:textId="77777777" w:rsidR="00BC4B2D" w:rsidRPr="00A3421A" w:rsidRDefault="00BC4B2D" w:rsidP="00E15FCF">
            <w:pPr>
              <w:rPr>
                <w:b/>
                <w:noProof/>
                <w:color w:val="FFFFFF" w:themeColor="background1"/>
                <w:sz w:val="20"/>
                <w:szCs w:val="20"/>
              </w:rPr>
            </w:pPr>
            <w:r>
              <w:rPr>
                <w:b/>
                <w:noProof/>
                <w:color w:val="FFFFFF" w:themeColor="background1"/>
                <w:sz w:val="20"/>
              </w:rPr>
              <w:t xml:space="preserve">Pays </w:t>
            </w:r>
          </w:p>
        </w:tc>
        <w:tc>
          <w:tcPr>
            <w:tcW w:w="5847" w:type="dxa"/>
            <w:shd w:val="clear" w:color="auto" w:fill="007B6C"/>
          </w:tcPr>
          <w:p w14:paraId="091A54B5" w14:textId="77777777" w:rsidR="00BC4B2D" w:rsidRPr="00A3421A" w:rsidRDefault="00BC4B2D" w:rsidP="00E15FCF">
            <w:pPr>
              <w:rPr>
                <w:b/>
                <w:noProof/>
                <w:color w:val="FFFFFF" w:themeColor="background1"/>
                <w:sz w:val="20"/>
                <w:szCs w:val="20"/>
              </w:rPr>
            </w:pPr>
            <w:r>
              <w:rPr>
                <w:b/>
                <w:noProof/>
                <w:color w:val="FFFFFF" w:themeColor="background1"/>
                <w:sz w:val="20"/>
              </w:rPr>
              <w:t>Institution responsable</w:t>
            </w:r>
          </w:p>
        </w:tc>
        <w:tc>
          <w:tcPr>
            <w:tcW w:w="1475" w:type="dxa"/>
            <w:shd w:val="clear" w:color="auto" w:fill="007B6C"/>
          </w:tcPr>
          <w:p w14:paraId="5230543B" w14:textId="77777777" w:rsidR="00BC4B2D" w:rsidRPr="00A3421A" w:rsidRDefault="00BC4B2D" w:rsidP="00E15FCF">
            <w:pPr>
              <w:rPr>
                <w:b/>
                <w:noProof/>
                <w:color w:val="FFFFFF" w:themeColor="background1"/>
                <w:sz w:val="20"/>
                <w:szCs w:val="20"/>
              </w:rPr>
            </w:pPr>
            <w:r>
              <w:rPr>
                <w:b/>
                <w:noProof/>
                <w:color w:val="FFFFFF" w:themeColor="background1"/>
                <w:sz w:val="20"/>
              </w:rPr>
              <w:t>Date de déclaration</w:t>
            </w:r>
          </w:p>
        </w:tc>
      </w:tr>
      <w:tr w:rsidR="00BC4B2D" w:rsidRPr="00540F07" w14:paraId="694B965E" w14:textId="77777777" w:rsidTr="00E15FCF">
        <w:trPr>
          <w:trHeight w:val="213"/>
        </w:trPr>
        <w:tc>
          <w:tcPr>
            <w:tcW w:w="1666" w:type="dxa"/>
            <w:shd w:val="clear" w:color="auto" w:fill="F2F2F2" w:themeFill="background1" w:themeFillShade="F2"/>
            <w:vAlign w:val="center"/>
          </w:tcPr>
          <w:p w14:paraId="0F340D93" w14:textId="77777777" w:rsidR="00BC4B2D" w:rsidRPr="00540F07" w:rsidRDefault="00BC4B2D" w:rsidP="00E15FCF">
            <w:pPr>
              <w:jc w:val="left"/>
              <w:rPr>
                <w:noProof/>
                <w:sz w:val="20"/>
                <w:szCs w:val="20"/>
              </w:rPr>
            </w:pPr>
            <w:r>
              <w:rPr>
                <w:rFonts w:ascii="Aptos Narrow" w:hAnsi="Aptos Narrow"/>
                <w:noProof/>
                <w:color w:val="000000"/>
                <w:sz w:val="20"/>
              </w:rPr>
              <w:t>Autriche</w:t>
            </w:r>
          </w:p>
        </w:tc>
        <w:tc>
          <w:tcPr>
            <w:tcW w:w="5847" w:type="dxa"/>
            <w:shd w:val="clear" w:color="auto" w:fill="F2F2F2" w:themeFill="background1" w:themeFillShade="F2"/>
            <w:vAlign w:val="center"/>
          </w:tcPr>
          <w:p w14:paraId="5AF97FA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fédéral de l’action pour le climat</w:t>
            </w:r>
          </w:p>
        </w:tc>
        <w:tc>
          <w:tcPr>
            <w:tcW w:w="1475" w:type="dxa"/>
            <w:shd w:val="clear" w:color="auto" w:fill="F2F2F2" w:themeFill="background1" w:themeFillShade="F2"/>
            <w:vAlign w:val="bottom"/>
          </w:tcPr>
          <w:p w14:paraId="30A29C1B"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15/07/2024</w:t>
            </w:r>
          </w:p>
        </w:tc>
      </w:tr>
      <w:tr w:rsidR="00BC4B2D" w:rsidRPr="00540F07" w14:paraId="4D462ACA" w14:textId="77777777" w:rsidTr="00E15FCF">
        <w:trPr>
          <w:trHeight w:val="420"/>
        </w:trPr>
        <w:tc>
          <w:tcPr>
            <w:tcW w:w="1666" w:type="dxa"/>
            <w:shd w:val="clear" w:color="auto" w:fill="F2F2F2" w:themeFill="background1" w:themeFillShade="F2"/>
            <w:vAlign w:val="center"/>
          </w:tcPr>
          <w:p w14:paraId="13D476D5" w14:textId="77777777" w:rsidR="00BC4B2D" w:rsidRPr="00540F07" w:rsidRDefault="00BC4B2D" w:rsidP="00E15FCF">
            <w:pPr>
              <w:jc w:val="left"/>
              <w:rPr>
                <w:noProof/>
                <w:sz w:val="20"/>
                <w:szCs w:val="20"/>
              </w:rPr>
            </w:pPr>
            <w:r>
              <w:rPr>
                <w:rFonts w:ascii="Aptos Narrow" w:hAnsi="Aptos Narrow"/>
                <w:noProof/>
                <w:color w:val="000000"/>
                <w:sz w:val="20"/>
              </w:rPr>
              <w:t>Belgique</w:t>
            </w:r>
          </w:p>
        </w:tc>
        <w:tc>
          <w:tcPr>
            <w:tcW w:w="5847" w:type="dxa"/>
            <w:shd w:val="clear" w:color="auto" w:fill="F2F2F2" w:themeFill="background1" w:themeFillShade="F2"/>
            <w:vAlign w:val="center"/>
          </w:tcPr>
          <w:p w14:paraId="58DF8552"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Service public fédéral Santé publique, sécurité de la chaîne alimentaire et environnement (environnement – politique des produits)</w:t>
            </w:r>
          </w:p>
          <w:p w14:paraId="120A809F" w14:textId="77777777" w:rsidR="00BC4B2D" w:rsidRPr="00540F07" w:rsidRDefault="00BC4B2D" w:rsidP="00E15FCF">
            <w:pPr>
              <w:spacing w:before="120"/>
              <w:jc w:val="left"/>
              <w:rPr>
                <w:rFonts w:ascii="Aptos Narrow" w:hAnsi="Aptos Narrow"/>
                <w:noProof/>
                <w:color w:val="000000"/>
                <w:sz w:val="20"/>
                <w:szCs w:val="20"/>
              </w:rPr>
            </w:pPr>
            <w:r>
              <w:rPr>
                <w:rFonts w:ascii="Aptos Narrow" w:hAnsi="Aptos Narrow"/>
                <w:noProof/>
                <w:color w:val="000000"/>
                <w:sz w:val="20"/>
              </w:rPr>
              <w:t>OVAM [entreprise publique flamande de gestion des déchets (Région flamande)] – soutien</w:t>
            </w:r>
          </w:p>
        </w:tc>
        <w:tc>
          <w:tcPr>
            <w:tcW w:w="1475" w:type="dxa"/>
            <w:shd w:val="clear" w:color="auto" w:fill="F2F2F2" w:themeFill="background1" w:themeFillShade="F2"/>
            <w:vAlign w:val="bottom"/>
          </w:tcPr>
          <w:p w14:paraId="37F50178"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03/07/2024</w:t>
            </w:r>
          </w:p>
        </w:tc>
      </w:tr>
      <w:tr w:rsidR="00BC4B2D" w:rsidRPr="00540F07" w14:paraId="3E3854AF" w14:textId="77777777" w:rsidTr="00E15FCF">
        <w:trPr>
          <w:trHeight w:val="204"/>
        </w:trPr>
        <w:tc>
          <w:tcPr>
            <w:tcW w:w="1666" w:type="dxa"/>
            <w:shd w:val="clear" w:color="auto" w:fill="F2F2F2" w:themeFill="background1" w:themeFillShade="F2"/>
            <w:vAlign w:val="center"/>
          </w:tcPr>
          <w:p w14:paraId="17E46B31" w14:textId="77777777" w:rsidR="00BC4B2D" w:rsidRPr="00540F07" w:rsidRDefault="00BC4B2D" w:rsidP="00E15FCF">
            <w:pPr>
              <w:jc w:val="left"/>
              <w:rPr>
                <w:noProof/>
                <w:sz w:val="20"/>
                <w:szCs w:val="20"/>
              </w:rPr>
            </w:pPr>
            <w:r>
              <w:rPr>
                <w:rFonts w:ascii="Aptos Narrow" w:hAnsi="Aptos Narrow"/>
                <w:noProof/>
                <w:color w:val="000000"/>
                <w:sz w:val="20"/>
              </w:rPr>
              <w:t>Bulgarie</w:t>
            </w:r>
          </w:p>
        </w:tc>
        <w:tc>
          <w:tcPr>
            <w:tcW w:w="5847" w:type="dxa"/>
            <w:shd w:val="clear" w:color="auto" w:fill="F2F2F2" w:themeFill="background1" w:themeFillShade="F2"/>
            <w:vAlign w:val="center"/>
          </w:tcPr>
          <w:p w14:paraId="30F0E82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bulgare de l’environnement et des ressources en eau, 2016.</w:t>
            </w:r>
          </w:p>
        </w:tc>
        <w:tc>
          <w:tcPr>
            <w:tcW w:w="1475" w:type="dxa"/>
            <w:shd w:val="clear" w:color="auto" w:fill="F2F2F2" w:themeFill="background1" w:themeFillShade="F2"/>
            <w:vAlign w:val="bottom"/>
          </w:tcPr>
          <w:p w14:paraId="2507FB17" w14:textId="6EE31E70"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28/08/2024 (processus d’assurance de la qualité non achevé)</w:t>
            </w:r>
          </w:p>
        </w:tc>
      </w:tr>
      <w:tr w:rsidR="00BC4B2D" w:rsidRPr="00540F07" w14:paraId="065194DC" w14:textId="77777777" w:rsidTr="00E15FCF">
        <w:trPr>
          <w:trHeight w:val="420"/>
        </w:trPr>
        <w:tc>
          <w:tcPr>
            <w:tcW w:w="1666" w:type="dxa"/>
            <w:shd w:val="clear" w:color="auto" w:fill="F2F2F2" w:themeFill="background1" w:themeFillShade="F2"/>
            <w:vAlign w:val="center"/>
          </w:tcPr>
          <w:p w14:paraId="12158150" w14:textId="77777777" w:rsidR="00BC4B2D" w:rsidRPr="00540F07" w:rsidRDefault="00BC4B2D" w:rsidP="00E15FCF">
            <w:pPr>
              <w:jc w:val="left"/>
              <w:rPr>
                <w:noProof/>
                <w:sz w:val="20"/>
                <w:szCs w:val="20"/>
              </w:rPr>
            </w:pPr>
            <w:r>
              <w:rPr>
                <w:rFonts w:ascii="Aptos Narrow" w:hAnsi="Aptos Narrow"/>
                <w:noProof/>
                <w:color w:val="000000"/>
                <w:sz w:val="20"/>
              </w:rPr>
              <w:t>Croatie</w:t>
            </w:r>
          </w:p>
        </w:tc>
        <w:tc>
          <w:tcPr>
            <w:tcW w:w="5847" w:type="dxa"/>
            <w:shd w:val="clear" w:color="auto" w:fill="F2F2F2" w:themeFill="background1" w:themeFillShade="F2"/>
            <w:vAlign w:val="center"/>
          </w:tcPr>
          <w:p w14:paraId="5E0E955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l’économie et du développement durable, Institut pour l’environnement et la nature</w:t>
            </w:r>
          </w:p>
        </w:tc>
        <w:tc>
          <w:tcPr>
            <w:tcW w:w="1475" w:type="dxa"/>
            <w:shd w:val="clear" w:color="auto" w:fill="F2F2F2" w:themeFill="background1" w:themeFillShade="F2"/>
            <w:vAlign w:val="bottom"/>
          </w:tcPr>
          <w:p w14:paraId="7083AB5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25/06/2024</w:t>
            </w:r>
          </w:p>
        </w:tc>
      </w:tr>
      <w:tr w:rsidR="00BC4B2D" w:rsidRPr="00540F07" w14:paraId="32AB71FE" w14:textId="77777777" w:rsidTr="00E15FCF">
        <w:trPr>
          <w:trHeight w:val="420"/>
        </w:trPr>
        <w:tc>
          <w:tcPr>
            <w:tcW w:w="1666" w:type="dxa"/>
            <w:shd w:val="clear" w:color="auto" w:fill="F2F2F2" w:themeFill="background1" w:themeFillShade="F2"/>
            <w:vAlign w:val="center"/>
          </w:tcPr>
          <w:p w14:paraId="02C86476" w14:textId="77777777" w:rsidR="00BC4B2D" w:rsidRPr="00540F07" w:rsidRDefault="00BC4B2D" w:rsidP="00E15FCF">
            <w:pPr>
              <w:jc w:val="left"/>
              <w:rPr>
                <w:noProof/>
                <w:sz w:val="20"/>
                <w:szCs w:val="20"/>
              </w:rPr>
            </w:pPr>
            <w:r>
              <w:rPr>
                <w:rFonts w:ascii="Aptos Narrow" w:hAnsi="Aptos Narrow"/>
                <w:noProof/>
                <w:color w:val="000000"/>
                <w:sz w:val="20"/>
              </w:rPr>
              <w:t>Chypre</w:t>
            </w:r>
          </w:p>
        </w:tc>
        <w:tc>
          <w:tcPr>
            <w:tcW w:w="5847" w:type="dxa"/>
            <w:shd w:val="clear" w:color="auto" w:fill="F2F2F2" w:themeFill="background1" w:themeFillShade="F2"/>
            <w:vAlign w:val="center"/>
          </w:tcPr>
          <w:p w14:paraId="5CC2C09B"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l’agriculture, du développement rural et de l’environnement – département de l’environnement</w:t>
            </w:r>
          </w:p>
        </w:tc>
        <w:tc>
          <w:tcPr>
            <w:tcW w:w="1475" w:type="dxa"/>
            <w:shd w:val="clear" w:color="auto" w:fill="F2F2F2" w:themeFill="background1" w:themeFillShade="F2"/>
            <w:vAlign w:val="bottom"/>
          </w:tcPr>
          <w:p w14:paraId="3663EDED"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30/09/2024</w:t>
            </w:r>
          </w:p>
        </w:tc>
      </w:tr>
      <w:tr w:rsidR="00BC4B2D" w:rsidRPr="00540F07" w14:paraId="1BB65228" w14:textId="77777777" w:rsidTr="00E15FCF">
        <w:trPr>
          <w:trHeight w:val="204"/>
        </w:trPr>
        <w:tc>
          <w:tcPr>
            <w:tcW w:w="1666" w:type="dxa"/>
            <w:shd w:val="clear" w:color="auto" w:fill="F2F2F2" w:themeFill="background1" w:themeFillShade="F2"/>
            <w:vAlign w:val="center"/>
          </w:tcPr>
          <w:p w14:paraId="7640EF64" w14:textId="77777777" w:rsidR="00BC4B2D" w:rsidRPr="00540F07" w:rsidRDefault="00BC4B2D" w:rsidP="00E15FCF">
            <w:pPr>
              <w:jc w:val="left"/>
              <w:rPr>
                <w:noProof/>
                <w:sz w:val="20"/>
                <w:szCs w:val="20"/>
              </w:rPr>
            </w:pPr>
            <w:r>
              <w:rPr>
                <w:rFonts w:ascii="Aptos Narrow" w:hAnsi="Aptos Narrow"/>
                <w:noProof/>
                <w:color w:val="000000"/>
                <w:sz w:val="20"/>
              </w:rPr>
              <w:t>Tchéquie</w:t>
            </w:r>
          </w:p>
        </w:tc>
        <w:tc>
          <w:tcPr>
            <w:tcW w:w="5847" w:type="dxa"/>
            <w:shd w:val="clear" w:color="auto" w:fill="F2F2F2" w:themeFill="background1" w:themeFillShade="F2"/>
            <w:vAlign w:val="center"/>
          </w:tcPr>
          <w:p w14:paraId="342CD287"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l’environnement</w:t>
            </w:r>
          </w:p>
        </w:tc>
        <w:tc>
          <w:tcPr>
            <w:tcW w:w="1475" w:type="dxa"/>
            <w:shd w:val="clear" w:color="auto" w:fill="F2F2F2" w:themeFill="background1" w:themeFillShade="F2"/>
            <w:vAlign w:val="bottom"/>
          </w:tcPr>
          <w:p w14:paraId="369560FB"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11/09/2024</w:t>
            </w:r>
          </w:p>
        </w:tc>
      </w:tr>
      <w:tr w:rsidR="00BC4B2D" w:rsidRPr="00540F07" w14:paraId="621E159C" w14:textId="77777777" w:rsidTr="00E15FCF">
        <w:trPr>
          <w:trHeight w:val="213"/>
        </w:trPr>
        <w:tc>
          <w:tcPr>
            <w:tcW w:w="1666" w:type="dxa"/>
            <w:shd w:val="clear" w:color="auto" w:fill="F2F2F2" w:themeFill="background1" w:themeFillShade="F2"/>
            <w:vAlign w:val="center"/>
          </w:tcPr>
          <w:p w14:paraId="3C7A7B42" w14:textId="77777777" w:rsidR="00BC4B2D" w:rsidRPr="00540F07" w:rsidRDefault="00BC4B2D" w:rsidP="00E15FCF">
            <w:pPr>
              <w:jc w:val="left"/>
              <w:rPr>
                <w:noProof/>
                <w:sz w:val="20"/>
                <w:szCs w:val="20"/>
              </w:rPr>
            </w:pPr>
            <w:r>
              <w:rPr>
                <w:rFonts w:ascii="Aptos Narrow" w:hAnsi="Aptos Narrow"/>
                <w:noProof/>
                <w:color w:val="000000"/>
                <w:sz w:val="20"/>
              </w:rPr>
              <w:t>Danemark</w:t>
            </w:r>
          </w:p>
        </w:tc>
        <w:tc>
          <w:tcPr>
            <w:tcW w:w="5847" w:type="dxa"/>
            <w:shd w:val="clear" w:color="auto" w:fill="F2F2F2" w:themeFill="background1" w:themeFillShade="F2"/>
            <w:vAlign w:val="center"/>
          </w:tcPr>
          <w:p w14:paraId="41D76BB1"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de protection de l’environnement</w:t>
            </w:r>
          </w:p>
        </w:tc>
        <w:tc>
          <w:tcPr>
            <w:tcW w:w="1475" w:type="dxa"/>
            <w:shd w:val="clear" w:color="auto" w:fill="F2F2F2" w:themeFill="background1" w:themeFillShade="F2"/>
            <w:vAlign w:val="bottom"/>
          </w:tcPr>
          <w:p w14:paraId="004B418B"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3573A159" w14:textId="77777777" w:rsidTr="00E15FCF">
        <w:trPr>
          <w:trHeight w:val="204"/>
        </w:trPr>
        <w:tc>
          <w:tcPr>
            <w:tcW w:w="1666" w:type="dxa"/>
            <w:shd w:val="clear" w:color="auto" w:fill="F2F2F2" w:themeFill="background1" w:themeFillShade="F2"/>
            <w:vAlign w:val="center"/>
          </w:tcPr>
          <w:p w14:paraId="372FF0A5" w14:textId="77777777" w:rsidR="00BC4B2D" w:rsidRPr="00540F07" w:rsidRDefault="00BC4B2D" w:rsidP="00E15FCF">
            <w:pPr>
              <w:jc w:val="left"/>
              <w:rPr>
                <w:noProof/>
                <w:sz w:val="20"/>
                <w:szCs w:val="20"/>
              </w:rPr>
            </w:pPr>
            <w:r>
              <w:rPr>
                <w:rFonts w:ascii="Aptos Narrow" w:hAnsi="Aptos Narrow"/>
                <w:noProof/>
                <w:color w:val="000000"/>
                <w:sz w:val="20"/>
              </w:rPr>
              <w:t>Estonie</w:t>
            </w:r>
          </w:p>
        </w:tc>
        <w:tc>
          <w:tcPr>
            <w:tcW w:w="5847" w:type="dxa"/>
            <w:shd w:val="clear" w:color="auto" w:fill="F2F2F2" w:themeFill="background1" w:themeFillShade="F2"/>
            <w:vAlign w:val="center"/>
          </w:tcPr>
          <w:p w14:paraId="452FAC2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de l’environnement</w:t>
            </w:r>
          </w:p>
        </w:tc>
        <w:tc>
          <w:tcPr>
            <w:tcW w:w="1475" w:type="dxa"/>
            <w:shd w:val="clear" w:color="auto" w:fill="F2F2F2" w:themeFill="background1" w:themeFillShade="F2"/>
            <w:vAlign w:val="bottom"/>
          </w:tcPr>
          <w:p w14:paraId="50ED2A11"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60EF361F" w14:textId="77777777" w:rsidTr="00E15FCF">
        <w:trPr>
          <w:trHeight w:val="420"/>
        </w:trPr>
        <w:tc>
          <w:tcPr>
            <w:tcW w:w="1666" w:type="dxa"/>
            <w:shd w:val="clear" w:color="auto" w:fill="F2F2F2" w:themeFill="background1" w:themeFillShade="F2"/>
            <w:vAlign w:val="center"/>
          </w:tcPr>
          <w:p w14:paraId="30019EA3" w14:textId="77777777" w:rsidR="00BC4B2D" w:rsidRPr="00540F07" w:rsidRDefault="00BC4B2D" w:rsidP="00E15FCF">
            <w:pPr>
              <w:jc w:val="left"/>
              <w:rPr>
                <w:noProof/>
                <w:sz w:val="20"/>
                <w:szCs w:val="20"/>
              </w:rPr>
            </w:pPr>
            <w:r>
              <w:rPr>
                <w:rFonts w:ascii="Aptos Narrow" w:hAnsi="Aptos Narrow"/>
                <w:noProof/>
                <w:color w:val="000000"/>
                <w:sz w:val="20"/>
              </w:rPr>
              <w:t>Finlande</w:t>
            </w:r>
          </w:p>
        </w:tc>
        <w:tc>
          <w:tcPr>
            <w:tcW w:w="5847" w:type="dxa"/>
            <w:shd w:val="clear" w:color="auto" w:fill="F2F2F2" w:themeFill="background1" w:themeFillShade="F2"/>
            <w:vAlign w:val="center"/>
          </w:tcPr>
          <w:p w14:paraId="492F9BBF"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Centre pour le développement économique, les transports et l’environnement de Pirkanmaa</w:t>
            </w:r>
          </w:p>
        </w:tc>
        <w:tc>
          <w:tcPr>
            <w:tcW w:w="1475" w:type="dxa"/>
            <w:shd w:val="clear" w:color="auto" w:fill="F2F2F2" w:themeFill="background1" w:themeFillShade="F2"/>
            <w:vAlign w:val="bottom"/>
          </w:tcPr>
          <w:p w14:paraId="4276C1A2"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27/06/2024</w:t>
            </w:r>
          </w:p>
        </w:tc>
      </w:tr>
      <w:tr w:rsidR="00BC4B2D" w:rsidRPr="00540F07" w14:paraId="0EA2EAF0" w14:textId="77777777" w:rsidTr="00E15FCF">
        <w:trPr>
          <w:trHeight w:val="213"/>
        </w:trPr>
        <w:tc>
          <w:tcPr>
            <w:tcW w:w="1666" w:type="dxa"/>
            <w:shd w:val="clear" w:color="auto" w:fill="F2F2F2" w:themeFill="background1" w:themeFillShade="F2"/>
            <w:vAlign w:val="center"/>
          </w:tcPr>
          <w:p w14:paraId="53FC2E09" w14:textId="77777777" w:rsidR="00BC4B2D" w:rsidRPr="00540F07" w:rsidRDefault="00BC4B2D" w:rsidP="00E15FCF">
            <w:pPr>
              <w:jc w:val="left"/>
              <w:rPr>
                <w:noProof/>
                <w:sz w:val="20"/>
                <w:szCs w:val="20"/>
              </w:rPr>
            </w:pPr>
            <w:r>
              <w:rPr>
                <w:rFonts w:ascii="Aptos Narrow" w:hAnsi="Aptos Narrow"/>
                <w:noProof/>
                <w:color w:val="000000"/>
                <w:sz w:val="20"/>
              </w:rPr>
              <w:t>France</w:t>
            </w:r>
          </w:p>
        </w:tc>
        <w:tc>
          <w:tcPr>
            <w:tcW w:w="5847" w:type="dxa"/>
            <w:shd w:val="clear" w:color="auto" w:fill="F2F2F2" w:themeFill="background1" w:themeFillShade="F2"/>
            <w:vAlign w:val="center"/>
          </w:tcPr>
          <w:p w14:paraId="0C7EE2E5"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la transition écologique et de la cohésion des territoires</w:t>
            </w:r>
          </w:p>
        </w:tc>
        <w:tc>
          <w:tcPr>
            <w:tcW w:w="1475" w:type="dxa"/>
            <w:shd w:val="clear" w:color="auto" w:fill="F2F2F2" w:themeFill="background1" w:themeFillShade="F2"/>
            <w:vAlign w:val="bottom"/>
          </w:tcPr>
          <w:p w14:paraId="7AD3139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4B758ED3" w14:textId="77777777" w:rsidTr="00E15FCF">
        <w:trPr>
          <w:trHeight w:val="204"/>
        </w:trPr>
        <w:tc>
          <w:tcPr>
            <w:tcW w:w="1666" w:type="dxa"/>
            <w:shd w:val="clear" w:color="auto" w:fill="F2F2F2" w:themeFill="background1" w:themeFillShade="F2"/>
            <w:vAlign w:val="center"/>
          </w:tcPr>
          <w:p w14:paraId="1B1BA878" w14:textId="77777777" w:rsidR="00BC4B2D" w:rsidRPr="00540F07" w:rsidRDefault="00BC4B2D" w:rsidP="00E15FCF">
            <w:pPr>
              <w:jc w:val="left"/>
              <w:rPr>
                <w:noProof/>
                <w:sz w:val="20"/>
                <w:szCs w:val="20"/>
              </w:rPr>
            </w:pPr>
            <w:r>
              <w:rPr>
                <w:rFonts w:ascii="Aptos Narrow" w:hAnsi="Aptos Narrow"/>
                <w:noProof/>
                <w:color w:val="000000"/>
                <w:sz w:val="20"/>
              </w:rPr>
              <w:t>Allemagne</w:t>
            </w:r>
          </w:p>
        </w:tc>
        <w:tc>
          <w:tcPr>
            <w:tcW w:w="5847" w:type="dxa"/>
            <w:shd w:val="clear" w:color="auto" w:fill="F2F2F2" w:themeFill="background1" w:themeFillShade="F2"/>
            <w:vAlign w:val="center"/>
          </w:tcPr>
          <w:p w14:paraId="0F1ACEAD"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Agence de l’environnement (Umweltbundesamt, UBA)</w:t>
            </w:r>
          </w:p>
          <w:p w14:paraId="1277767A" w14:textId="77777777" w:rsidR="00BC4B2D" w:rsidRPr="00540F07" w:rsidRDefault="00BC4B2D" w:rsidP="00E15FCF">
            <w:pPr>
              <w:spacing w:before="120"/>
              <w:jc w:val="left"/>
              <w:rPr>
                <w:rFonts w:ascii="Aptos Narrow" w:hAnsi="Aptos Narrow"/>
                <w:noProof/>
                <w:sz w:val="20"/>
                <w:szCs w:val="20"/>
              </w:rPr>
            </w:pPr>
            <w:r>
              <w:rPr>
                <w:rFonts w:ascii="Aptos Narrow" w:hAnsi="Aptos Narrow"/>
                <w:noProof/>
                <w:sz w:val="20"/>
              </w:rPr>
              <w:t>Office fédéral allemand des statistiques (Statistisches Bundesamt, Destatis) – soutien</w:t>
            </w:r>
          </w:p>
        </w:tc>
        <w:tc>
          <w:tcPr>
            <w:tcW w:w="1475" w:type="dxa"/>
            <w:shd w:val="clear" w:color="auto" w:fill="F2F2F2" w:themeFill="background1" w:themeFillShade="F2"/>
            <w:vAlign w:val="bottom"/>
          </w:tcPr>
          <w:p w14:paraId="0C08DF92"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342642F4" w14:textId="77777777" w:rsidTr="00E15FCF">
        <w:trPr>
          <w:trHeight w:val="840"/>
        </w:trPr>
        <w:tc>
          <w:tcPr>
            <w:tcW w:w="1666" w:type="dxa"/>
            <w:shd w:val="clear" w:color="auto" w:fill="F2F2F2" w:themeFill="background1" w:themeFillShade="F2"/>
            <w:vAlign w:val="center"/>
          </w:tcPr>
          <w:p w14:paraId="77F503A0" w14:textId="77777777" w:rsidR="00BC4B2D" w:rsidRPr="00540F07" w:rsidRDefault="00BC4B2D" w:rsidP="00E15FCF">
            <w:pPr>
              <w:jc w:val="left"/>
              <w:rPr>
                <w:noProof/>
                <w:sz w:val="20"/>
                <w:szCs w:val="20"/>
              </w:rPr>
            </w:pPr>
            <w:r>
              <w:rPr>
                <w:rFonts w:ascii="Aptos Narrow" w:hAnsi="Aptos Narrow"/>
                <w:noProof/>
                <w:color w:val="000000"/>
                <w:sz w:val="20"/>
              </w:rPr>
              <w:t>Grèce</w:t>
            </w:r>
          </w:p>
        </w:tc>
        <w:tc>
          <w:tcPr>
            <w:tcW w:w="5847" w:type="dxa"/>
            <w:shd w:val="clear" w:color="auto" w:fill="F2F2F2" w:themeFill="background1" w:themeFillShade="F2"/>
            <w:vAlign w:val="center"/>
          </w:tcPr>
          <w:p w14:paraId="0D98FC3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l’environnement et de l’énergie, secrétariat général de la coordination de la gestion des déchets, direction de la gestion des déchets, département du registre des déchets, des autorisations et des statistiques</w:t>
            </w:r>
          </w:p>
          <w:p w14:paraId="410FF9BC" w14:textId="77777777" w:rsidR="00BC4B2D" w:rsidRPr="00540F07" w:rsidRDefault="00BC4B2D" w:rsidP="00E15FCF">
            <w:pPr>
              <w:spacing w:before="120"/>
              <w:jc w:val="left"/>
              <w:rPr>
                <w:rFonts w:ascii="Aptos Narrow" w:hAnsi="Aptos Narrow"/>
                <w:noProof/>
                <w:color w:val="000000"/>
                <w:sz w:val="20"/>
                <w:szCs w:val="20"/>
              </w:rPr>
            </w:pPr>
            <w:r>
              <w:rPr>
                <w:rFonts w:ascii="Aptos Narrow" w:hAnsi="Aptos Narrow"/>
                <w:noProof/>
                <w:color w:val="000000"/>
                <w:sz w:val="20"/>
              </w:rPr>
              <w:t>Agence grecque chargée de la gestion du recyclage – soutien</w:t>
            </w:r>
          </w:p>
        </w:tc>
        <w:tc>
          <w:tcPr>
            <w:tcW w:w="1475" w:type="dxa"/>
            <w:shd w:val="clear" w:color="auto" w:fill="F2F2F2" w:themeFill="background1" w:themeFillShade="F2"/>
            <w:vAlign w:val="bottom"/>
          </w:tcPr>
          <w:p w14:paraId="1CEC6688"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01/10/2024</w:t>
            </w:r>
          </w:p>
        </w:tc>
      </w:tr>
      <w:tr w:rsidR="00BC4B2D" w:rsidRPr="00540F07" w14:paraId="1DA7C923" w14:textId="77777777" w:rsidTr="00E15FCF">
        <w:trPr>
          <w:trHeight w:val="204"/>
        </w:trPr>
        <w:tc>
          <w:tcPr>
            <w:tcW w:w="1666" w:type="dxa"/>
            <w:shd w:val="clear" w:color="auto" w:fill="F2F2F2" w:themeFill="background1" w:themeFillShade="F2"/>
            <w:vAlign w:val="center"/>
          </w:tcPr>
          <w:p w14:paraId="3AE3526C" w14:textId="77777777" w:rsidR="00BC4B2D" w:rsidRPr="00540F07" w:rsidRDefault="00BC4B2D" w:rsidP="00E15FCF">
            <w:pPr>
              <w:jc w:val="left"/>
              <w:rPr>
                <w:noProof/>
                <w:sz w:val="20"/>
                <w:szCs w:val="20"/>
              </w:rPr>
            </w:pPr>
            <w:r>
              <w:rPr>
                <w:rFonts w:ascii="Aptos Narrow" w:hAnsi="Aptos Narrow"/>
                <w:noProof/>
                <w:color w:val="000000"/>
                <w:sz w:val="20"/>
              </w:rPr>
              <w:t>Hongrie</w:t>
            </w:r>
          </w:p>
        </w:tc>
        <w:tc>
          <w:tcPr>
            <w:tcW w:w="5847" w:type="dxa"/>
            <w:shd w:val="clear" w:color="auto" w:fill="F2F2F2" w:themeFill="background1" w:themeFillShade="F2"/>
            <w:vAlign w:val="center"/>
          </w:tcPr>
          <w:p w14:paraId="3DDDD386"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Ministère de l'énergie</w:t>
            </w:r>
          </w:p>
        </w:tc>
        <w:tc>
          <w:tcPr>
            <w:tcW w:w="1475" w:type="dxa"/>
            <w:shd w:val="clear" w:color="auto" w:fill="F2F2F2" w:themeFill="background1" w:themeFillShade="F2"/>
            <w:vAlign w:val="bottom"/>
          </w:tcPr>
          <w:p w14:paraId="020890CD"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2CA796C1" w14:textId="77777777" w:rsidTr="00E15FCF">
        <w:trPr>
          <w:trHeight w:val="213"/>
        </w:trPr>
        <w:tc>
          <w:tcPr>
            <w:tcW w:w="1666" w:type="dxa"/>
            <w:shd w:val="clear" w:color="auto" w:fill="F2F2F2" w:themeFill="background1" w:themeFillShade="F2"/>
            <w:vAlign w:val="center"/>
          </w:tcPr>
          <w:p w14:paraId="48DC1431" w14:textId="77777777" w:rsidR="00BC4B2D" w:rsidRPr="00540F07" w:rsidRDefault="00BC4B2D" w:rsidP="00E15FCF">
            <w:pPr>
              <w:jc w:val="left"/>
              <w:rPr>
                <w:noProof/>
                <w:sz w:val="20"/>
                <w:szCs w:val="20"/>
              </w:rPr>
            </w:pPr>
            <w:r>
              <w:rPr>
                <w:rFonts w:ascii="Aptos Narrow" w:hAnsi="Aptos Narrow"/>
                <w:noProof/>
                <w:color w:val="000000"/>
                <w:sz w:val="20"/>
              </w:rPr>
              <w:t>Islande*</w:t>
            </w:r>
          </w:p>
        </w:tc>
        <w:tc>
          <w:tcPr>
            <w:tcW w:w="5847" w:type="dxa"/>
            <w:shd w:val="clear" w:color="auto" w:fill="F2F2F2" w:themeFill="background1" w:themeFillShade="F2"/>
            <w:vAlign w:val="center"/>
          </w:tcPr>
          <w:p w14:paraId="3DFF696D"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Fonds islandais de recyclage</w:t>
            </w:r>
          </w:p>
          <w:p w14:paraId="0A7C5B55" w14:textId="77777777" w:rsidR="00BC4B2D" w:rsidRPr="00540F07" w:rsidRDefault="00BC4B2D" w:rsidP="00E15FCF">
            <w:pPr>
              <w:spacing w:before="120"/>
              <w:jc w:val="left"/>
              <w:rPr>
                <w:rFonts w:ascii="Aptos Narrow" w:hAnsi="Aptos Narrow"/>
                <w:noProof/>
                <w:sz w:val="20"/>
                <w:szCs w:val="20"/>
              </w:rPr>
            </w:pPr>
            <w:r>
              <w:rPr>
                <w:rFonts w:ascii="Aptos Narrow" w:hAnsi="Aptos Narrow"/>
                <w:noProof/>
                <w:sz w:val="20"/>
              </w:rPr>
              <w:t>Agence de l’environnement – soutien</w:t>
            </w:r>
          </w:p>
        </w:tc>
        <w:tc>
          <w:tcPr>
            <w:tcW w:w="1475" w:type="dxa"/>
            <w:shd w:val="clear" w:color="auto" w:fill="F2F2F2" w:themeFill="background1" w:themeFillShade="F2"/>
          </w:tcPr>
          <w:p w14:paraId="5FC89276"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10375565" w14:textId="77777777" w:rsidTr="00E15FCF">
        <w:trPr>
          <w:trHeight w:val="213"/>
        </w:trPr>
        <w:tc>
          <w:tcPr>
            <w:tcW w:w="1666" w:type="dxa"/>
            <w:shd w:val="clear" w:color="auto" w:fill="F2F2F2" w:themeFill="background1" w:themeFillShade="F2"/>
            <w:vAlign w:val="center"/>
          </w:tcPr>
          <w:p w14:paraId="344F3471" w14:textId="77777777" w:rsidR="00BC4B2D" w:rsidRPr="00540F07" w:rsidRDefault="00BC4B2D" w:rsidP="00E15FCF">
            <w:pPr>
              <w:jc w:val="left"/>
              <w:rPr>
                <w:noProof/>
                <w:sz w:val="20"/>
                <w:szCs w:val="20"/>
              </w:rPr>
            </w:pPr>
            <w:r>
              <w:rPr>
                <w:rFonts w:ascii="Aptos Narrow" w:hAnsi="Aptos Narrow"/>
                <w:noProof/>
                <w:color w:val="000000"/>
                <w:sz w:val="20"/>
              </w:rPr>
              <w:t>Irlande</w:t>
            </w:r>
          </w:p>
        </w:tc>
        <w:tc>
          <w:tcPr>
            <w:tcW w:w="5847" w:type="dxa"/>
            <w:shd w:val="clear" w:color="auto" w:fill="F2F2F2" w:themeFill="background1" w:themeFillShade="F2"/>
            <w:vAlign w:val="center"/>
          </w:tcPr>
          <w:p w14:paraId="5D9BB415"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Agence de protection de l’environnement</w:t>
            </w:r>
          </w:p>
        </w:tc>
        <w:tc>
          <w:tcPr>
            <w:tcW w:w="1475" w:type="dxa"/>
            <w:shd w:val="clear" w:color="auto" w:fill="F2F2F2" w:themeFill="background1" w:themeFillShade="F2"/>
            <w:vAlign w:val="bottom"/>
          </w:tcPr>
          <w:p w14:paraId="39586C16"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76BC3956" w14:textId="77777777" w:rsidTr="00E15FCF">
        <w:trPr>
          <w:trHeight w:val="204"/>
        </w:trPr>
        <w:tc>
          <w:tcPr>
            <w:tcW w:w="1666" w:type="dxa"/>
            <w:shd w:val="clear" w:color="auto" w:fill="F2F2F2" w:themeFill="background1" w:themeFillShade="F2"/>
            <w:vAlign w:val="center"/>
          </w:tcPr>
          <w:p w14:paraId="35D3CF85" w14:textId="77777777" w:rsidR="00BC4B2D" w:rsidRPr="00540F07" w:rsidRDefault="00BC4B2D" w:rsidP="00E15FCF">
            <w:pPr>
              <w:jc w:val="left"/>
              <w:rPr>
                <w:noProof/>
                <w:sz w:val="20"/>
                <w:szCs w:val="20"/>
              </w:rPr>
            </w:pPr>
            <w:r>
              <w:rPr>
                <w:rFonts w:ascii="Aptos Narrow" w:hAnsi="Aptos Narrow"/>
                <w:noProof/>
                <w:color w:val="000000"/>
                <w:sz w:val="20"/>
              </w:rPr>
              <w:t>Italie</w:t>
            </w:r>
          </w:p>
        </w:tc>
        <w:tc>
          <w:tcPr>
            <w:tcW w:w="5847" w:type="dxa"/>
            <w:shd w:val="clear" w:color="auto" w:fill="F2F2F2" w:themeFill="background1" w:themeFillShade="F2"/>
            <w:vAlign w:val="center"/>
          </w:tcPr>
          <w:p w14:paraId="19CCF444"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Institut supérieur pour la protection et la recherche scientifique pour l’environnement (ISPRA)</w:t>
            </w:r>
          </w:p>
        </w:tc>
        <w:tc>
          <w:tcPr>
            <w:tcW w:w="1475" w:type="dxa"/>
            <w:shd w:val="clear" w:color="auto" w:fill="F2F2F2" w:themeFill="background1" w:themeFillShade="F2"/>
            <w:vAlign w:val="bottom"/>
          </w:tcPr>
          <w:p w14:paraId="66C38B19"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5D3B00F1" w14:textId="77777777" w:rsidTr="00E15FCF">
        <w:trPr>
          <w:trHeight w:val="204"/>
        </w:trPr>
        <w:tc>
          <w:tcPr>
            <w:tcW w:w="1666" w:type="dxa"/>
            <w:shd w:val="clear" w:color="auto" w:fill="F2F2F2" w:themeFill="background1" w:themeFillShade="F2"/>
            <w:vAlign w:val="center"/>
          </w:tcPr>
          <w:p w14:paraId="2DF090BA" w14:textId="77777777" w:rsidR="00BC4B2D" w:rsidRPr="00540F07" w:rsidRDefault="00BC4B2D" w:rsidP="00E15FCF">
            <w:pPr>
              <w:jc w:val="left"/>
              <w:rPr>
                <w:noProof/>
                <w:sz w:val="20"/>
                <w:szCs w:val="20"/>
              </w:rPr>
            </w:pPr>
            <w:r>
              <w:rPr>
                <w:rFonts w:ascii="Aptos Narrow" w:hAnsi="Aptos Narrow"/>
                <w:noProof/>
                <w:color w:val="000000"/>
                <w:sz w:val="20"/>
              </w:rPr>
              <w:t>Lettonie</w:t>
            </w:r>
          </w:p>
        </w:tc>
        <w:tc>
          <w:tcPr>
            <w:tcW w:w="5847" w:type="dxa"/>
            <w:shd w:val="clear" w:color="auto" w:fill="F2F2F2" w:themeFill="background1" w:themeFillShade="F2"/>
            <w:vAlign w:val="center"/>
          </w:tcPr>
          <w:p w14:paraId="00ED0C69"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Ministère de la protection de l’environnement et du développement régional</w:t>
            </w:r>
          </w:p>
        </w:tc>
        <w:tc>
          <w:tcPr>
            <w:tcW w:w="1475" w:type="dxa"/>
            <w:shd w:val="clear" w:color="auto" w:fill="F2F2F2" w:themeFill="background1" w:themeFillShade="F2"/>
            <w:vAlign w:val="bottom"/>
          </w:tcPr>
          <w:p w14:paraId="2101CDA5"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28/06</w:t>
            </w:r>
            <w:r>
              <w:rPr>
                <w:rFonts w:ascii="Aptos Narrow" w:hAnsi="Aptos Narrow"/>
                <w:noProof/>
                <w:color w:val="000000"/>
                <w:sz w:val="20"/>
              </w:rPr>
              <w:t>/2024</w:t>
            </w:r>
          </w:p>
        </w:tc>
      </w:tr>
      <w:tr w:rsidR="00BC4B2D" w:rsidRPr="00540F07" w14:paraId="28882BDC" w14:textId="77777777" w:rsidTr="00E15FCF">
        <w:trPr>
          <w:trHeight w:val="213"/>
        </w:trPr>
        <w:tc>
          <w:tcPr>
            <w:tcW w:w="1666" w:type="dxa"/>
            <w:shd w:val="clear" w:color="auto" w:fill="F2F2F2" w:themeFill="background1" w:themeFillShade="F2"/>
            <w:vAlign w:val="center"/>
          </w:tcPr>
          <w:p w14:paraId="3BA00643" w14:textId="77777777" w:rsidR="00BC4B2D" w:rsidRPr="00540F07" w:rsidRDefault="00BC4B2D" w:rsidP="00E15FCF">
            <w:pPr>
              <w:jc w:val="left"/>
              <w:rPr>
                <w:noProof/>
                <w:sz w:val="20"/>
                <w:szCs w:val="20"/>
              </w:rPr>
            </w:pPr>
            <w:r>
              <w:rPr>
                <w:rFonts w:ascii="Aptos Narrow" w:hAnsi="Aptos Narrow"/>
                <w:noProof/>
                <w:color w:val="000000"/>
                <w:sz w:val="20"/>
              </w:rPr>
              <w:t>Lituanie</w:t>
            </w:r>
          </w:p>
        </w:tc>
        <w:tc>
          <w:tcPr>
            <w:tcW w:w="5847" w:type="dxa"/>
            <w:shd w:val="clear" w:color="auto" w:fill="F2F2F2" w:themeFill="background1" w:themeFillShade="F2"/>
            <w:vAlign w:val="center"/>
          </w:tcPr>
          <w:p w14:paraId="051D1F4C"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pour la protection de l’environnement, division des permis de déchets</w:t>
            </w:r>
          </w:p>
        </w:tc>
        <w:tc>
          <w:tcPr>
            <w:tcW w:w="1475" w:type="dxa"/>
            <w:shd w:val="clear" w:color="auto" w:fill="F2F2F2" w:themeFill="background1" w:themeFillShade="F2"/>
            <w:vAlign w:val="bottom"/>
          </w:tcPr>
          <w:p w14:paraId="494649C0"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30/06/2024</w:t>
            </w:r>
          </w:p>
        </w:tc>
      </w:tr>
      <w:tr w:rsidR="00BC4B2D" w:rsidRPr="00540F07" w14:paraId="078489C6" w14:textId="77777777" w:rsidTr="00E15FCF">
        <w:trPr>
          <w:trHeight w:val="204"/>
        </w:trPr>
        <w:tc>
          <w:tcPr>
            <w:tcW w:w="1666" w:type="dxa"/>
            <w:shd w:val="clear" w:color="auto" w:fill="F2F2F2" w:themeFill="background1" w:themeFillShade="F2"/>
            <w:vAlign w:val="center"/>
          </w:tcPr>
          <w:p w14:paraId="0B0759FC" w14:textId="77777777" w:rsidR="00BC4B2D" w:rsidRPr="00540F07" w:rsidRDefault="00BC4B2D" w:rsidP="00E15FCF">
            <w:pPr>
              <w:jc w:val="left"/>
              <w:rPr>
                <w:noProof/>
                <w:sz w:val="20"/>
                <w:szCs w:val="20"/>
              </w:rPr>
            </w:pPr>
            <w:r>
              <w:rPr>
                <w:rFonts w:ascii="Aptos Narrow" w:hAnsi="Aptos Narrow"/>
                <w:noProof/>
                <w:color w:val="000000"/>
                <w:sz w:val="20"/>
              </w:rPr>
              <w:t>Luxembourg</w:t>
            </w:r>
          </w:p>
        </w:tc>
        <w:tc>
          <w:tcPr>
            <w:tcW w:w="5847" w:type="dxa"/>
            <w:shd w:val="clear" w:color="auto" w:fill="F2F2F2" w:themeFill="background1" w:themeFillShade="F2"/>
            <w:vAlign w:val="center"/>
          </w:tcPr>
          <w:p w14:paraId="3413E1D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de l’environnement</w:t>
            </w:r>
          </w:p>
        </w:tc>
        <w:tc>
          <w:tcPr>
            <w:tcW w:w="1475" w:type="dxa"/>
            <w:shd w:val="clear" w:color="auto" w:fill="F2F2F2" w:themeFill="background1" w:themeFillShade="F2"/>
            <w:vAlign w:val="bottom"/>
          </w:tcPr>
          <w:p w14:paraId="79CB4E37"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27/06/2024</w:t>
            </w:r>
          </w:p>
        </w:tc>
      </w:tr>
      <w:tr w:rsidR="00BC4B2D" w:rsidRPr="00540F07" w14:paraId="073B58C9" w14:textId="77777777" w:rsidTr="00E15FCF">
        <w:trPr>
          <w:trHeight w:val="213"/>
        </w:trPr>
        <w:tc>
          <w:tcPr>
            <w:tcW w:w="1666" w:type="dxa"/>
            <w:shd w:val="clear" w:color="auto" w:fill="F2F2F2" w:themeFill="background1" w:themeFillShade="F2"/>
            <w:vAlign w:val="center"/>
          </w:tcPr>
          <w:p w14:paraId="02A612BA" w14:textId="77777777" w:rsidR="00BC4B2D" w:rsidRPr="00540F07" w:rsidRDefault="00BC4B2D" w:rsidP="00E15FCF">
            <w:pPr>
              <w:jc w:val="left"/>
              <w:rPr>
                <w:noProof/>
                <w:sz w:val="20"/>
                <w:szCs w:val="20"/>
              </w:rPr>
            </w:pPr>
            <w:r>
              <w:rPr>
                <w:rFonts w:ascii="Aptos Narrow" w:hAnsi="Aptos Narrow"/>
                <w:noProof/>
                <w:color w:val="000000"/>
                <w:sz w:val="20"/>
              </w:rPr>
              <w:t>Malte</w:t>
            </w:r>
          </w:p>
        </w:tc>
        <w:tc>
          <w:tcPr>
            <w:tcW w:w="5847" w:type="dxa"/>
            <w:shd w:val="clear" w:color="auto" w:fill="F2F2F2" w:themeFill="background1" w:themeFillShade="F2"/>
            <w:vAlign w:val="center"/>
          </w:tcPr>
          <w:p w14:paraId="382919F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Autorité pour l’environnement et les ressources</w:t>
            </w:r>
          </w:p>
        </w:tc>
        <w:tc>
          <w:tcPr>
            <w:tcW w:w="1475" w:type="dxa"/>
            <w:shd w:val="clear" w:color="auto" w:fill="F2F2F2" w:themeFill="background1" w:themeFillShade="F2"/>
          </w:tcPr>
          <w:p w14:paraId="1BD64C57"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28/10/2024</w:t>
            </w:r>
          </w:p>
        </w:tc>
      </w:tr>
      <w:tr w:rsidR="00BC4B2D" w:rsidRPr="00540F07" w14:paraId="733C1E5D" w14:textId="77777777" w:rsidTr="00E15FCF">
        <w:trPr>
          <w:trHeight w:val="204"/>
        </w:trPr>
        <w:tc>
          <w:tcPr>
            <w:tcW w:w="1666" w:type="dxa"/>
            <w:shd w:val="clear" w:color="auto" w:fill="F2F2F2" w:themeFill="background1" w:themeFillShade="F2"/>
            <w:vAlign w:val="center"/>
          </w:tcPr>
          <w:p w14:paraId="0AC9CCD2" w14:textId="77777777" w:rsidR="00BC4B2D" w:rsidRPr="00540F07" w:rsidRDefault="00BC4B2D" w:rsidP="00E15FCF">
            <w:pPr>
              <w:jc w:val="left"/>
              <w:rPr>
                <w:noProof/>
                <w:sz w:val="20"/>
                <w:szCs w:val="20"/>
              </w:rPr>
            </w:pPr>
            <w:r>
              <w:rPr>
                <w:rFonts w:ascii="Aptos Narrow" w:hAnsi="Aptos Narrow"/>
                <w:noProof/>
                <w:color w:val="000000"/>
                <w:sz w:val="20"/>
              </w:rPr>
              <w:t>Pays-Bas</w:t>
            </w:r>
          </w:p>
        </w:tc>
        <w:tc>
          <w:tcPr>
            <w:tcW w:w="5847" w:type="dxa"/>
            <w:shd w:val="clear" w:color="auto" w:fill="F2F2F2" w:themeFill="background1" w:themeFillShade="F2"/>
            <w:vAlign w:val="center"/>
          </w:tcPr>
          <w:p w14:paraId="7AC357CC" w14:textId="65DC72E8"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Direction générale des travaux publics et de la gestion de l’eau</w:t>
            </w:r>
          </w:p>
        </w:tc>
        <w:tc>
          <w:tcPr>
            <w:tcW w:w="1475" w:type="dxa"/>
            <w:shd w:val="clear" w:color="auto" w:fill="F2F2F2" w:themeFill="background1" w:themeFillShade="F2"/>
          </w:tcPr>
          <w:p w14:paraId="330C203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0BEDBF3A" w14:textId="77777777" w:rsidTr="00E15FCF">
        <w:trPr>
          <w:trHeight w:val="204"/>
        </w:trPr>
        <w:tc>
          <w:tcPr>
            <w:tcW w:w="1666" w:type="dxa"/>
            <w:shd w:val="clear" w:color="auto" w:fill="F2F2F2" w:themeFill="background1" w:themeFillShade="F2"/>
            <w:vAlign w:val="center"/>
          </w:tcPr>
          <w:p w14:paraId="6465CDD2" w14:textId="77777777" w:rsidR="00BC4B2D" w:rsidRPr="00540F07" w:rsidRDefault="00BC4B2D" w:rsidP="00E15FCF">
            <w:pPr>
              <w:jc w:val="left"/>
              <w:rPr>
                <w:noProof/>
                <w:sz w:val="20"/>
                <w:szCs w:val="20"/>
              </w:rPr>
            </w:pPr>
            <w:r>
              <w:rPr>
                <w:rFonts w:ascii="Aptos Narrow" w:hAnsi="Aptos Narrow"/>
                <w:noProof/>
                <w:color w:val="000000"/>
                <w:sz w:val="20"/>
              </w:rPr>
              <w:t>Norvège*</w:t>
            </w:r>
          </w:p>
        </w:tc>
        <w:tc>
          <w:tcPr>
            <w:tcW w:w="5847" w:type="dxa"/>
            <w:shd w:val="clear" w:color="auto" w:fill="F2F2F2" w:themeFill="background1" w:themeFillShade="F2"/>
            <w:vAlign w:val="center"/>
          </w:tcPr>
          <w:p w14:paraId="3095CAD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norvégienne pour l’environnement</w:t>
            </w:r>
          </w:p>
        </w:tc>
        <w:tc>
          <w:tcPr>
            <w:tcW w:w="1475" w:type="dxa"/>
            <w:shd w:val="clear" w:color="auto" w:fill="F2F2F2" w:themeFill="background1" w:themeFillShade="F2"/>
          </w:tcPr>
          <w:p w14:paraId="7D93032D"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25/06/2024</w:t>
            </w:r>
          </w:p>
        </w:tc>
      </w:tr>
      <w:tr w:rsidR="00BC4B2D" w:rsidRPr="00540F07" w14:paraId="0A9CFE0F" w14:textId="77777777" w:rsidTr="00E15FCF">
        <w:trPr>
          <w:trHeight w:val="420"/>
        </w:trPr>
        <w:tc>
          <w:tcPr>
            <w:tcW w:w="1666" w:type="dxa"/>
            <w:shd w:val="clear" w:color="auto" w:fill="F2F2F2" w:themeFill="background1" w:themeFillShade="F2"/>
            <w:vAlign w:val="center"/>
          </w:tcPr>
          <w:p w14:paraId="3ACDBA82" w14:textId="77777777" w:rsidR="00BC4B2D" w:rsidRPr="00540F07" w:rsidRDefault="00BC4B2D" w:rsidP="00E15FCF">
            <w:pPr>
              <w:jc w:val="left"/>
              <w:rPr>
                <w:noProof/>
                <w:sz w:val="20"/>
                <w:szCs w:val="20"/>
              </w:rPr>
            </w:pPr>
            <w:r>
              <w:rPr>
                <w:rFonts w:ascii="Aptos Narrow" w:hAnsi="Aptos Narrow"/>
                <w:noProof/>
                <w:color w:val="000000"/>
                <w:sz w:val="20"/>
              </w:rPr>
              <w:t>Pologne</w:t>
            </w:r>
          </w:p>
        </w:tc>
        <w:tc>
          <w:tcPr>
            <w:tcW w:w="5847" w:type="dxa"/>
            <w:shd w:val="clear" w:color="auto" w:fill="F2F2F2" w:themeFill="background1" w:themeFillShade="F2"/>
            <w:vAlign w:val="center"/>
          </w:tcPr>
          <w:p w14:paraId="0178EE0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du climat et de l’environnement, département de la gestion des déchets</w:t>
            </w:r>
          </w:p>
        </w:tc>
        <w:tc>
          <w:tcPr>
            <w:tcW w:w="1475" w:type="dxa"/>
            <w:shd w:val="clear" w:color="auto" w:fill="F2F2F2" w:themeFill="background1" w:themeFillShade="F2"/>
            <w:vAlign w:val="bottom"/>
          </w:tcPr>
          <w:p w14:paraId="17509CD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25/07/2024</w:t>
            </w:r>
          </w:p>
        </w:tc>
      </w:tr>
      <w:tr w:rsidR="00BC4B2D" w:rsidRPr="00540F07" w14:paraId="14FEDE76" w14:textId="77777777" w:rsidTr="00E15FCF">
        <w:trPr>
          <w:trHeight w:val="204"/>
        </w:trPr>
        <w:tc>
          <w:tcPr>
            <w:tcW w:w="1666" w:type="dxa"/>
            <w:shd w:val="clear" w:color="auto" w:fill="F2F2F2" w:themeFill="background1" w:themeFillShade="F2"/>
            <w:vAlign w:val="center"/>
          </w:tcPr>
          <w:p w14:paraId="43CB354B" w14:textId="77777777" w:rsidR="00BC4B2D" w:rsidRPr="00540F07" w:rsidRDefault="00BC4B2D" w:rsidP="00E15FCF">
            <w:pPr>
              <w:jc w:val="left"/>
              <w:rPr>
                <w:noProof/>
                <w:sz w:val="20"/>
                <w:szCs w:val="20"/>
              </w:rPr>
            </w:pPr>
            <w:r>
              <w:rPr>
                <w:rFonts w:ascii="Aptos Narrow" w:hAnsi="Aptos Narrow"/>
                <w:noProof/>
                <w:color w:val="000000"/>
                <w:sz w:val="20"/>
              </w:rPr>
              <w:t>Portugal</w:t>
            </w:r>
          </w:p>
        </w:tc>
        <w:tc>
          <w:tcPr>
            <w:tcW w:w="5847" w:type="dxa"/>
            <w:shd w:val="clear" w:color="auto" w:fill="F2F2F2" w:themeFill="background1" w:themeFillShade="F2"/>
            <w:vAlign w:val="center"/>
          </w:tcPr>
          <w:p w14:paraId="65C8440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de l’environnement</w:t>
            </w:r>
          </w:p>
        </w:tc>
        <w:tc>
          <w:tcPr>
            <w:tcW w:w="1475" w:type="dxa"/>
            <w:shd w:val="clear" w:color="auto" w:fill="F2F2F2" w:themeFill="background1" w:themeFillShade="F2"/>
            <w:vAlign w:val="bottom"/>
          </w:tcPr>
          <w:p w14:paraId="4EE72838"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6A68DBF5" w14:textId="77777777" w:rsidTr="00E15FCF">
        <w:trPr>
          <w:trHeight w:val="420"/>
        </w:trPr>
        <w:tc>
          <w:tcPr>
            <w:tcW w:w="1666" w:type="dxa"/>
            <w:shd w:val="clear" w:color="auto" w:fill="F2F2F2" w:themeFill="background1" w:themeFillShade="F2"/>
            <w:vAlign w:val="center"/>
          </w:tcPr>
          <w:p w14:paraId="10A920D9" w14:textId="77777777" w:rsidR="00BC4B2D" w:rsidRPr="00540F07" w:rsidRDefault="00BC4B2D" w:rsidP="00E15FCF">
            <w:pPr>
              <w:jc w:val="left"/>
              <w:rPr>
                <w:noProof/>
                <w:sz w:val="20"/>
                <w:szCs w:val="20"/>
              </w:rPr>
            </w:pPr>
            <w:r>
              <w:rPr>
                <w:rFonts w:ascii="Aptos Narrow" w:hAnsi="Aptos Narrow"/>
                <w:noProof/>
                <w:color w:val="000000"/>
                <w:sz w:val="20"/>
              </w:rPr>
              <w:t>Roumanie</w:t>
            </w:r>
          </w:p>
        </w:tc>
        <w:tc>
          <w:tcPr>
            <w:tcW w:w="5847" w:type="dxa"/>
            <w:shd w:val="clear" w:color="auto" w:fill="F2F2F2" w:themeFill="background1" w:themeFillShade="F2"/>
            <w:vAlign w:val="center"/>
          </w:tcPr>
          <w:p w14:paraId="435DDF5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l’environnement, des eaux et des forêts</w:t>
            </w:r>
          </w:p>
          <w:p w14:paraId="034E5438"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l’économie, de l’entrepreneuriat et du tourisme</w:t>
            </w:r>
          </w:p>
          <w:p w14:paraId="6F01979F" w14:textId="59A62C5E"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nationale pour la pêche et l’aquaculture – déclaration relative au point d) (engins de pêche)</w:t>
            </w:r>
          </w:p>
        </w:tc>
        <w:tc>
          <w:tcPr>
            <w:tcW w:w="1475" w:type="dxa"/>
            <w:shd w:val="clear" w:color="auto" w:fill="F2F2F2" w:themeFill="background1" w:themeFillShade="F2"/>
            <w:vAlign w:val="bottom"/>
          </w:tcPr>
          <w:p w14:paraId="2B22A035"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28/06/2024</w:t>
            </w:r>
          </w:p>
        </w:tc>
      </w:tr>
      <w:tr w:rsidR="00BC4B2D" w:rsidRPr="00540F07" w14:paraId="2AA8F4C2" w14:textId="77777777" w:rsidTr="00E15FCF">
        <w:trPr>
          <w:trHeight w:val="213"/>
        </w:trPr>
        <w:tc>
          <w:tcPr>
            <w:tcW w:w="1666" w:type="dxa"/>
            <w:shd w:val="clear" w:color="auto" w:fill="F2F2F2" w:themeFill="background1" w:themeFillShade="F2"/>
            <w:vAlign w:val="center"/>
          </w:tcPr>
          <w:p w14:paraId="53CB2383" w14:textId="77777777" w:rsidR="00BC4B2D" w:rsidRPr="00540F07" w:rsidRDefault="00BC4B2D" w:rsidP="00E15FCF">
            <w:pPr>
              <w:jc w:val="left"/>
              <w:rPr>
                <w:noProof/>
                <w:sz w:val="20"/>
                <w:szCs w:val="20"/>
              </w:rPr>
            </w:pPr>
            <w:r>
              <w:rPr>
                <w:rFonts w:ascii="Aptos Narrow" w:hAnsi="Aptos Narrow"/>
                <w:noProof/>
                <w:color w:val="000000"/>
                <w:sz w:val="20"/>
              </w:rPr>
              <w:t>Slovaquie</w:t>
            </w:r>
          </w:p>
        </w:tc>
        <w:tc>
          <w:tcPr>
            <w:tcW w:w="5847" w:type="dxa"/>
            <w:shd w:val="clear" w:color="auto" w:fill="F2F2F2" w:themeFill="background1" w:themeFillShade="F2"/>
            <w:vAlign w:val="center"/>
          </w:tcPr>
          <w:p w14:paraId="331E4CC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de l’environnement</w:t>
            </w:r>
          </w:p>
        </w:tc>
        <w:tc>
          <w:tcPr>
            <w:tcW w:w="1475" w:type="dxa"/>
            <w:shd w:val="clear" w:color="auto" w:fill="F2F2F2" w:themeFill="background1" w:themeFillShade="F2"/>
            <w:vAlign w:val="bottom"/>
          </w:tcPr>
          <w:p w14:paraId="2C754A1D"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10/10/2024</w:t>
            </w:r>
          </w:p>
        </w:tc>
      </w:tr>
      <w:tr w:rsidR="00BC4B2D" w:rsidRPr="00540F07" w14:paraId="4A6D8B82" w14:textId="77777777" w:rsidTr="00E15FCF">
        <w:trPr>
          <w:trHeight w:val="204"/>
        </w:trPr>
        <w:tc>
          <w:tcPr>
            <w:tcW w:w="1666" w:type="dxa"/>
            <w:shd w:val="clear" w:color="auto" w:fill="F2F2F2" w:themeFill="background1" w:themeFillShade="F2"/>
            <w:vAlign w:val="center"/>
          </w:tcPr>
          <w:p w14:paraId="2EC26F20" w14:textId="77777777" w:rsidR="00BC4B2D" w:rsidRPr="00540F07" w:rsidRDefault="00BC4B2D" w:rsidP="00E15FCF">
            <w:pPr>
              <w:jc w:val="left"/>
              <w:rPr>
                <w:noProof/>
                <w:sz w:val="20"/>
                <w:szCs w:val="20"/>
              </w:rPr>
            </w:pPr>
            <w:r>
              <w:rPr>
                <w:rFonts w:ascii="Aptos Narrow" w:hAnsi="Aptos Narrow"/>
                <w:noProof/>
                <w:color w:val="000000"/>
                <w:sz w:val="20"/>
              </w:rPr>
              <w:t>Slovénie</w:t>
            </w:r>
          </w:p>
        </w:tc>
        <w:tc>
          <w:tcPr>
            <w:tcW w:w="5847" w:type="dxa"/>
            <w:shd w:val="clear" w:color="auto" w:fill="F2F2F2" w:themeFill="background1" w:themeFillShade="F2"/>
            <w:vAlign w:val="center"/>
          </w:tcPr>
          <w:p w14:paraId="742DDE6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pour l’environnement (ARSO)</w:t>
            </w:r>
          </w:p>
        </w:tc>
        <w:tc>
          <w:tcPr>
            <w:tcW w:w="1475" w:type="dxa"/>
            <w:shd w:val="clear" w:color="auto" w:fill="F2F2F2" w:themeFill="background1" w:themeFillShade="F2"/>
            <w:vAlign w:val="bottom"/>
          </w:tcPr>
          <w:p w14:paraId="1EB96BE9"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14/08/2024</w:t>
            </w:r>
          </w:p>
        </w:tc>
      </w:tr>
      <w:tr w:rsidR="00BC4B2D" w:rsidRPr="00540F07" w14:paraId="051074DC" w14:textId="77777777" w:rsidTr="00E15FCF">
        <w:trPr>
          <w:trHeight w:val="420"/>
        </w:trPr>
        <w:tc>
          <w:tcPr>
            <w:tcW w:w="1666" w:type="dxa"/>
            <w:shd w:val="clear" w:color="auto" w:fill="F2F2F2" w:themeFill="background1" w:themeFillShade="F2"/>
            <w:vAlign w:val="center"/>
          </w:tcPr>
          <w:p w14:paraId="678DC71A" w14:textId="77777777" w:rsidR="00BC4B2D" w:rsidRPr="00540F07" w:rsidRDefault="00BC4B2D" w:rsidP="00E15FCF">
            <w:pPr>
              <w:jc w:val="left"/>
              <w:rPr>
                <w:noProof/>
                <w:sz w:val="20"/>
                <w:szCs w:val="20"/>
              </w:rPr>
            </w:pPr>
            <w:r>
              <w:rPr>
                <w:rFonts w:ascii="Aptos Narrow" w:hAnsi="Aptos Narrow"/>
                <w:noProof/>
                <w:color w:val="000000"/>
                <w:sz w:val="20"/>
              </w:rPr>
              <w:t>Espagne</w:t>
            </w:r>
          </w:p>
        </w:tc>
        <w:tc>
          <w:tcPr>
            <w:tcW w:w="5847" w:type="dxa"/>
            <w:shd w:val="clear" w:color="auto" w:fill="F2F2F2" w:themeFill="background1" w:themeFillShade="F2"/>
            <w:vAlign w:val="center"/>
          </w:tcPr>
          <w:p w14:paraId="451C1839"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Ministère de la transition écologique et du défi démographique</w:t>
            </w:r>
          </w:p>
        </w:tc>
        <w:tc>
          <w:tcPr>
            <w:tcW w:w="1475" w:type="dxa"/>
            <w:shd w:val="clear" w:color="auto" w:fill="F2F2F2" w:themeFill="background1" w:themeFillShade="F2"/>
            <w:vAlign w:val="bottom"/>
          </w:tcPr>
          <w:p w14:paraId="61DA0C2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sz w:val="20"/>
              </w:rPr>
              <w:t>21/11/2024</w:t>
            </w:r>
          </w:p>
        </w:tc>
      </w:tr>
      <w:tr w:rsidR="00BC4B2D" w:rsidRPr="00540F07" w14:paraId="24EBF61B" w14:textId="77777777" w:rsidTr="00E15FCF">
        <w:trPr>
          <w:trHeight w:val="204"/>
        </w:trPr>
        <w:tc>
          <w:tcPr>
            <w:tcW w:w="1666" w:type="dxa"/>
            <w:shd w:val="clear" w:color="auto" w:fill="F2F2F2" w:themeFill="background1" w:themeFillShade="F2"/>
            <w:vAlign w:val="center"/>
          </w:tcPr>
          <w:p w14:paraId="635FBCBD" w14:textId="77777777" w:rsidR="00BC4B2D" w:rsidRPr="00540F07" w:rsidRDefault="00BC4B2D" w:rsidP="00E15FCF">
            <w:pPr>
              <w:jc w:val="left"/>
              <w:rPr>
                <w:noProof/>
                <w:sz w:val="20"/>
                <w:szCs w:val="20"/>
              </w:rPr>
            </w:pPr>
            <w:r>
              <w:rPr>
                <w:rFonts w:ascii="Aptos Narrow" w:hAnsi="Aptos Narrow"/>
                <w:noProof/>
                <w:color w:val="000000"/>
                <w:sz w:val="20"/>
              </w:rPr>
              <w:t>Suède</w:t>
            </w:r>
          </w:p>
        </w:tc>
        <w:tc>
          <w:tcPr>
            <w:tcW w:w="5847" w:type="dxa"/>
            <w:shd w:val="clear" w:color="auto" w:fill="F2F2F2" w:themeFill="background1" w:themeFillShade="F2"/>
            <w:vAlign w:val="center"/>
          </w:tcPr>
          <w:p w14:paraId="6AD88DED"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Agence suédoise pour la protection de la nature</w:t>
            </w:r>
          </w:p>
        </w:tc>
        <w:tc>
          <w:tcPr>
            <w:tcW w:w="1475" w:type="dxa"/>
            <w:shd w:val="clear" w:color="auto" w:fill="F2F2F2" w:themeFill="background1" w:themeFillShade="F2"/>
            <w:vAlign w:val="bottom"/>
          </w:tcPr>
          <w:p w14:paraId="10C9B330"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27/06/2024</w:t>
            </w:r>
          </w:p>
        </w:tc>
      </w:tr>
    </w:tbl>
    <w:p w14:paraId="555AA292" w14:textId="4D050613" w:rsidR="00540F07" w:rsidRDefault="006E55E3" w:rsidP="002A71ED">
      <w:pPr>
        <w:rPr>
          <w:noProof/>
          <w:sz w:val="20"/>
          <w:szCs w:val="20"/>
        </w:rPr>
      </w:pPr>
      <w:r>
        <w:rPr>
          <w:noProof/>
          <w:sz w:val="20"/>
        </w:rPr>
        <w:t>* Pays de l’EEE/AELE.</w:t>
      </w:r>
    </w:p>
    <w:p w14:paraId="0D6E488E" w14:textId="13BB28C8" w:rsidR="00540F07" w:rsidRDefault="00540F07" w:rsidP="002A71ED">
      <w:pPr>
        <w:rPr>
          <w:noProof/>
          <w:sz w:val="20"/>
          <w:szCs w:val="20"/>
        </w:rPr>
        <w:sectPr w:rsidR="00540F07" w:rsidSect="00862309">
          <w:headerReference w:type="default" r:id="rId78"/>
          <w:footerReference w:type="default" r:id="rId79"/>
          <w:pgSz w:w="11906" w:h="16838"/>
          <w:pgMar w:top="1440" w:right="1440" w:bottom="1440" w:left="1440" w:header="708" w:footer="708" w:gutter="0"/>
          <w:cols w:space="708"/>
          <w:docGrid w:linePitch="360"/>
        </w:sectPr>
      </w:pPr>
    </w:p>
    <w:p w14:paraId="16F014BF" w14:textId="77777777" w:rsidR="008E253E" w:rsidRPr="00925BD3" w:rsidRDefault="008E253E" w:rsidP="00925BD3">
      <w:pPr>
        <w:pStyle w:val="Heading3"/>
        <w:rPr>
          <w:noProof/>
        </w:rPr>
      </w:pPr>
      <w:bookmarkStart w:id="102" w:name="_Ref185250152"/>
      <w:bookmarkStart w:id="103" w:name="_Toc185251730"/>
      <w:bookmarkStart w:id="104" w:name="_Toc185499273"/>
      <w:bookmarkStart w:id="105" w:name="_Toc222395013"/>
      <w:r>
        <w:rPr>
          <w:noProof/>
        </w:rPr>
        <w:t>Annexe 8: synthèse des résultats de l’enquête menée auprès des pays déclarants</w:t>
      </w:r>
      <w:bookmarkEnd w:id="102"/>
      <w:bookmarkEnd w:id="103"/>
      <w:bookmarkEnd w:id="104"/>
      <w:bookmarkEnd w:id="105"/>
    </w:p>
    <w:p w14:paraId="7F4278A5" w14:textId="77777777" w:rsidR="008E253E" w:rsidRPr="004A0A8E" w:rsidRDefault="008E253E" w:rsidP="008E253E">
      <w:pPr>
        <w:rPr>
          <w:noProof/>
        </w:rPr>
      </w:pPr>
      <w:r>
        <w:rPr>
          <w:b/>
          <w:noProof/>
        </w:rPr>
        <w:t>Aperçu</w:t>
      </w:r>
      <w:r>
        <w:rPr>
          <w:noProof/>
        </w:rPr>
        <w:t xml:space="preserve"> </w:t>
      </w:r>
    </w:p>
    <w:p w14:paraId="341B5824" w14:textId="4BC29C22" w:rsidR="008E253E" w:rsidRPr="004A0A8E" w:rsidRDefault="008E253E" w:rsidP="008E253E">
      <w:pPr>
        <w:rPr>
          <w:noProof/>
        </w:rPr>
      </w:pPr>
      <w:r>
        <w:rPr>
          <w:noProof/>
        </w:rPr>
        <w:t>L’enquête a permis de recueillir les avis de 12 pays sur leur expérience du processus de communication au titre de la directive sur les plastiques à usage unique en 2024 et leurs avis en vue du prochain cycle de communication. Les notifiants ont noté la satisfaction des pays à l’égard du processus, fait part des difficultés auxquelles ils étaient confrontés et formulé des suggestions pour améliorer le processus. Les principales conclusions sont exposées ci-dessous.</w:t>
      </w:r>
    </w:p>
    <w:p w14:paraId="18111CD8" w14:textId="0A4EA827" w:rsidR="008E253E" w:rsidRPr="004A0A8E" w:rsidRDefault="008E253E" w:rsidP="008E253E">
      <w:pPr>
        <w:rPr>
          <w:noProof/>
        </w:rPr>
      </w:pPr>
      <w:r>
        <w:rPr>
          <w:b/>
          <w:noProof/>
        </w:rPr>
        <w:t>Satisfaction à l’égard du processus de communication</w:t>
      </w:r>
    </w:p>
    <w:p w14:paraId="638C540C" w14:textId="77777777" w:rsidR="00665291" w:rsidRDefault="00665291" w:rsidP="00665291">
      <w:pPr>
        <w:rPr>
          <w:noProof/>
        </w:rPr>
      </w:pPr>
      <w:r>
        <w:rPr>
          <w:noProof/>
        </w:rPr>
        <w:t>Les notes de satisfaction allaient de 4 à 10, la majorité des notes étant comprises entre 7 et 9. La note moyenne de satisfaction était d’environ 7,7, ce qui indique des avis globalement positifs avec une marge d’amélioration.</w:t>
      </w:r>
    </w:p>
    <w:p w14:paraId="19813870" w14:textId="5435D847" w:rsidR="00665291" w:rsidRPr="00C77EEA" w:rsidRDefault="00FD4D3A" w:rsidP="00665291">
      <w:pPr>
        <w:jc w:val="center"/>
        <w:rPr>
          <w:noProof/>
        </w:rPr>
      </w:pPr>
      <w:r w:rsidRPr="00FD4D3A">
        <w:rPr>
          <w:noProof/>
          <w:lang w:val="en-GB" w:eastAsia="en-GB"/>
        </w:rPr>
        <w:drawing>
          <wp:inline distT="0" distB="0" distL="0" distR="0" wp14:anchorId="67D8E164" wp14:editId="0F7FC716">
            <wp:extent cx="3235569" cy="1969477"/>
            <wp:effectExtent l="0" t="0" r="3175" b="0"/>
            <wp:docPr id="16409292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49168" cy="1977754"/>
                    </a:xfrm>
                    <a:prstGeom prst="rect">
                      <a:avLst/>
                    </a:prstGeom>
                    <a:noFill/>
                    <a:ln>
                      <a:noFill/>
                    </a:ln>
                  </pic:spPr>
                </pic:pic>
              </a:graphicData>
            </a:graphic>
          </wp:inline>
        </w:drawing>
      </w:r>
    </w:p>
    <w:p w14:paraId="0D5EDFA1" w14:textId="40407C89" w:rsidR="008E253E" w:rsidRPr="004A0A8E" w:rsidRDefault="004A4AFC" w:rsidP="008E253E">
      <w:pPr>
        <w:rPr>
          <w:noProof/>
        </w:rPr>
      </w:pPr>
      <w:r>
        <w:rPr>
          <w:b/>
          <w:noProof/>
        </w:rPr>
        <w:t>Éléments de soutien les plus utiles</w:t>
      </w:r>
      <w:r>
        <w:rPr>
          <w:noProof/>
        </w:rPr>
        <w:t xml:space="preserve"> </w:t>
      </w:r>
    </w:p>
    <w:p w14:paraId="0BB5ED25" w14:textId="77777777" w:rsidR="008E253E" w:rsidRPr="004A0A8E" w:rsidRDefault="008E253E" w:rsidP="008E253E">
      <w:pPr>
        <w:rPr>
          <w:noProof/>
        </w:rPr>
      </w:pPr>
      <w:r>
        <w:rPr>
          <w:noProof/>
        </w:rPr>
        <w:t>Les notifiants ont estimé que les éléments de soutien suivants étaient les plus utiles:</w:t>
      </w:r>
    </w:p>
    <w:p w14:paraId="5D576D1F" w14:textId="1289A38A" w:rsidR="008E253E" w:rsidRPr="004A0A8E" w:rsidRDefault="003B2D24" w:rsidP="00474F5C">
      <w:pPr>
        <w:numPr>
          <w:ilvl w:val="0"/>
          <w:numId w:val="7"/>
        </w:numPr>
        <w:spacing w:before="120" w:after="0"/>
        <w:ind w:left="714" w:hanging="357"/>
        <w:rPr>
          <w:noProof/>
        </w:rPr>
      </w:pPr>
      <w:r>
        <w:rPr>
          <w:noProof/>
        </w:rPr>
        <w:t xml:space="preserve">le </w:t>
      </w:r>
      <w:r>
        <w:rPr>
          <w:b/>
          <w:noProof/>
        </w:rPr>
        <w:t>manuel à l’intention des notifiants</w:t>
      </w:r>
      <w:r>
        <w:rPr>
          <w:noProof/>
        </w:rPr>
        <w:t>: souvent mentionné comme une ressource essentielle d’orientation;</w:t>
      </w:r>
    </w:p>
    <w:p w14:paraId="7E021F71" w14:textId="06DF15D2" w:rsidR="008E253E" w:rsidRPr="004A0A8E" w:rsidRDefault="003B2D24" w:rsidP="00474F5C">
      <w:pPr>
        <w:numPr>
          <w:ilvl w:val="0"/>
          <w:numId w:val="7"/>
        </w:numPr>
        <w:spacing w:before="120" w:after="0"/>
        <w:ind w:left="714" w:hanging="357"/>
        <w:rPr>
          <w:noProof/>
        </w:rPr>
      </w:pPr>
      <w:r>
        <w:rPr>
          <w:noProof/>
        </w:rPr>
        <w:t>l’</w:t>
      </w:r>
      <w:r>
        <w:rPr>
          <w:b/>
          <w:noProof/>
        </w:rPr>
        <w:t>assistance apportée par un helpdesk</w:t>
      </w:r>
      <w:r>
        <w:rPr>
          <w:noProof/>
        </w:rPr>
        <w:t>: a été saluée pour sa réactivité;</w:t>
      </w:r>
    </w:p>
    <w:p w14:paraId="327D2272" w14:textId="0E4D62AA" w:rsidR="008E253E" w:rsidRPr="004A0A8E" w:rsidRDefault="003B2D24" w:rsidP="00474F5C">
      <w:pPr>
        <w:numPr>
          <w:ilvl w:val="0"/>
          <w:numId w:val="7"/>
        </w:numPr>
        <w:spacing w:before="120" w:after="0"/>
        <w:ind w:left="714" w:hanging="357"/>
        <w:rPr>
          <w:noProof/>
        </w:rPr>
      </w:pPr>
      <w:r>
        <w:rPr>
          <w:noProof/>
        </w:rPr>
        <w:t xml:space="preserve">les </w:t>
      </w:r>
      <w:r>
        <w:rPr>
          <w:b/>
          <w:noProof/>
        </w:rPr>
        <w:t>webinaires</w:t>
      </w:r>
      <w:r>
        <w:rPr>
          <w:noProof/>
        </w:rPr>
        <w:t>: appréciés pour la clarification d’exigences complexes et le partage de bonnes pratiques;</w:t>
      </w:r>
    </w:p>
    <w:p w14:paraId="178F9B16" w14:textId="77777777" w:rsidR="00C65CF8" w:rsidRDefault="00C65CF8" w:rsidP="00F8007D">
      <w:pPr>
        <w:ind w:left="1701"/>
        <w:rPr>
          <w:b/>
          <w:noProof/>
        </w:rPr>
      </w:pPr>
      <w:r w:rsidRPr="00C65CF8">
        <w:rPr>
          <w:noProof/>
          <w:lang w:val="en-GB" w:eastAsia="en-GB"/>
        </w:rPr>
        <w:drawing>
          <wp:inline distT="0" distB="0" distL="0" distR="0" wp14:anchorId="3A08D18C" wp14:editId="5B2A5EA7">
            <wp:extent cx="4030980" cy="2010130"/>
            <wp:effectExtent l="0" t="0" r="7620" b="9525"/>
            <wp:docPr id="42353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048460" cy="2018847"/>
                    </a:xfrm>
                    <a:prstGeom prst="rect">
                      <a:avLst/>
                    </a:prstGeom>
                    <a:noFill/>
                    <a:ln>
                      <a:noFill/>
                    </a:ln>
                  </pic:spPr>
                </pic:pic>
              </a:graphicData>
            </a:graphic>
          </wp:inline>
        </w:drawing>
      </w:r>
    </w:p>
    <w:p w14:paraId="618EE416" w14:textId="037E18F2" w:rsidR="008E253E" w:rsidRPr="004A0A8E" w:rsidRDefault="004A4AFC" w:rsidP="008E253E">
      <w:pPr>
        <w:rPr>
          <w:noProof/>
        </w:rPr>
      </w:pPr>
      <w:r>
        <w:rPr>
          <w:b/>
          <w:noProof/>
        </w:rPr>
        <w:t>Principales difficultés rencontrées</w:t>
      </w:r>
      <w:r>
        <w:rPr>
          <w:noProof/>
        </w:rPr>
        <w:t xml:space="preserve"> </w:t>
      </w:r>
    </w:p>
    <w:p w14:paraId="41D0F9E8" w14:textId="77777777" w:rsidR="008E253E" w:rsidRPr="004A0A8E" w:rsidRDefault="008E253E" w:rsidP="008E253E">
      <w:pPr>
        <w:rPr>
          <w:noProof/>
        </w:rPr>
      </w:pPr>
      <w:r>
        <w:rPr>
          <w:noProof/>
        </w:rPr>
        <w:t>Les pays ont mis en évidence plusieurs difficultés:</w:t>
      </w:r>
    </w:p>
    <w:p w14:paraId="7E67C3F2" w14:textId="49FD2D63" w:rsidR="004A4AFC" w:rsidRPr="00C77EEA" w:rsidRDefault="003B2D24" w:rsidP="00474F5C">
      <w:pPr>
        <w:numPr>
          <w:ilvl w:val="0"/>
          <w:numId w:val="8"/>
        </w:numPr>
        <w:spacing w:before="120" w:after="0"/>
        <w:ind w:left="714" w:hanging="357"/>
        <w:rPr>
          <w:noProof/>
        </w:rPr>
      </w:pPr>
      <w:r>
        <w:rPr>
          <w:b/>
          <w:noProof/>
        </w:rPr>
        <w:t>problèmes relatifs à la collecte des données</w:t>
      </w:r>
      <w:r>
        <w:rPr>
          <w:noProof/>
        </w:rPr>
        <w:t xml:space="preserve">: de nombreux pays ont peiné à recueillir des données complètes et exactes; </w:t>
      </w:r>
    </w:p>
    <w:p w14:paraId="6DD5174B" w14:textId="2148B9B6" w:rsidR="004A4AFC" w:rsidRPr="00C77EEA" w:rsidRDefault="003B2D24" w:rsidP="00474F5C">
      <w:pPr>
        <w:numPr>
          <w:ilvl w:val="0"/>
          <w:numId w:val="8"/>
        </w:numPr>
        <w:spacing w:before="120" w:after="0"/>
        <w:ind w:left="714" w:hanging="357"/>
        <w:rPr>
          <w:noProof/>
        </w:rPr>
      </w:pPr>
      <w:r>
        <w:rPr>
          <w:b/>
          <w:noProof/>
        </w:rPr>
        <w:t>formats de déclaration complexes</w:t>
      </w:r>
      <w:r>
        <w:rPr>
          <w:noProof/>
        </w:rPr>
        <w:t>: quelques pays ont estimé que le format de déclaration basé sur Excel était fastidieux;</w:t>
      </w:r>
    </w:p>
    <w:p w14:paraId="22EB862B" w14:textId="3E196041" w:rsidR="004A4AFC" w:rsidRPr="00C77EEA" w:rsidRDefault="003B2D24" w:rsidP="00474F5C">
      <w:pPr>
        <w:numPr>
          <w:ilvl w:val="0"/>
          <w:numId w:val="8"/>
        </w:numPr>
        <w:spacing w:before="120" w:after="0"/>
        <w:ind w:left="714" w:hanging="357"/>
        <w:rPr>
          <w:noProof/>
        </w:rPr>
      </w:pPr>
      <w:r>
        <w:rPr>
          <w:b/>
          <w:noProof/>
        </w:rPr>
        <w:t>contraintes de calendrier</w:t>
      </w:r>
      <w:r>
        <w:rPr>
          <w:noProof/>
        </w:rPr>
        <w:t>: la publication des actes d’exécution, qui étaient essentiels pour la collecte de données, a accusé du retard et, partant, a retardé l’élaboration d’une législation nationale visant à rendre possible la collecte de données spécifiques.</w:t>
      </w:r>
    </w:p>
    <w:p w14:paraId="444117BE" w14:textId="77777777" w:rsidR="003B2D24" w:rsidRDefault="003B2D24" w:rsidP="008E253E">
      <w:pPr>
        <w:rPr>
          <w:b/>
          <w:noProof/>
        </w:rPr>
      </w:pPr>
    </w:p>
    <w:p w14:paraId="1435CFF7" w14:textId="00C297AA" w:rsidR="008E253E" w:rsidRPr="004A0A8E" w:rsidRDefault="008E253E" w:rsidP="008E253E">
      <w:pPr>
        <w:rPr>
          <w:noProof/>
        </w:rPr>
      </w:pPr>
      <w:r>
        <w:rPr>
          <w:b/>
          <w:noProof/>
        </w:rPr>
        <w:t>Suggestions d’amélioration</w:t>
      </w:r>
      <w:r>
        <w:rPr>
          <w:noProof/>
        </w:rPr>
        <w:t xml:space="preserve"> </w:t>
      </w:r>
    </w:p>
    <w:p w14:paraId="6F77EE1A" w14:textId="6BFF1DFF" w:rsidR="008E253E" w:rsidRPr="004A0A8E" w:rsidRDefault="008E253E" w:rsidP="008E253E">
      <w:pPr>
        <w:rPr>
          <w:noProof/>
        </w:rPr>
      </w:pPr>
      <w:r>
        <w:rPr>
          <w:noProof/>
        </w:rPr>
        <w:t>Les notifiants ont proposé certaines améliorations, telles que: i) la simplification des modèles de déclaration et l’alignement sur les capacités pratiques de collecte des données; ii) l’introduction de formulaires modulaires qui se développent en fonction des saisies initiales afin de réduire la complexité; et iii) la fourniture d’orientations et d’exemples supplémentaires, éventuellement en remplaçant les webinaires par des manuels plus complets pour les personnes qui ne peuvent pas y assister.</w:t>
      </w:r>
    </w:p>
    <w:p w14:paraId="68340642" w14:textId="77777777" w:rsidR="004A4AFC" w:rsidRPr="00C77EEA" w:rsidRDefault="004A4AFC" w:rsidP="004A4AFC">
      <w:pPr>
        <w:rPr>
          <w:noProof/>
        </w:rPr>
      </w:pPr>
      <w:r>
        <w:rPr>
          <w:b/>
          <w:noProof/>
        </w:rPr>
        <w:t>Prévisions</w:t>
      </w:r>
    </w:p>
    <w:p w14:paraId="0FBD13F4" w14:textId="6236B7EA" w:rsidR="00665291" w:rsidRPr="00C77EEA" w:rsidRDefault="008E253E" w:rsidP="00665291">
      <w:pPr>
        <w:rPr>
          <w:noProof/>
        </w:rPr>
      </w:pPr>
      <w:r>
        <w:rPr>
          <w:noProof/>
        </w:rPr>
        <w:t xml:space="preserve">La plupart des pays ont indiqué qu’ils prévoyaient de remplir des champs obligatoires et facultatifs qui ont été omis cette année. </w:t>
      </w:r>
    </w:p>
    <w:p w14:paraId="63B340EB" w14:textId="5590CD9C" w:rsidR="00665291" w:rsidRDefault="00FD4D3A" w:rsidP="00665291">
      <w:pPr>
        <w:jc w:val="center"/>
        <w:rPr>
          <w:noProof/>
        </w:rPr>
      </w:pPr>
      <w:r w:rsidRPr="00FD4D3A">
        <w:rPr>
          <w:noProof/>
          <w:lang w:val="en-GB" w:eastAsia="en-GB"/>
        </w:rPr>
        <w:drawing>
          <wp:inline distT="0" distB="0" distL="0" distR="0" wp14:anchorId="0F658510" wp14:editId="7C1C3C3D">
            <wp:extent cx="3322320" cy="2022001"/>
            <wp:effectExtent l="0" t="0" r="0" b="0"/>
            <wp:docPr id="16257456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329498" cy="2026369"/>
                    </a:xfrm>
                    <a:prstGeom prst="rect">
                      <a:avLst/>
                    </a:prstGeom>
                    <a:noFill/>
                    <a:ln>
                      <a:noFill/>
                    </a:ln>
                  </pic:spPr>
                </pic:pic>
              </a:graphicData>
            </a:graphic>
          </wp:inline>
        </w:drawing>
      </w:r>
    </w:p>
    <w:p w14:paraId="6ECE69EF" w14:textId="77777777" w:rsidR="008E253E" w:rsidRPr="004A0A8E" w:rsidRDefault="008E253E" w:rsidP="008E253E">
      <w:pPr>
        <w:rPr>
          <w:noProof/>
        </w:rPr>
      </w:pPr>
      <w:r>
        <w:rPr>
          <w:noProof/>
        </w:rPr>
        <w:t>L’intérêt pour un webinaire de 2025 visant à examiner les résultats de cette première année de communication et à discuter des améliorations a été vif, plus de la moitié d’entre eux ayant exprimé leur soutien.</w:t>
      </w:r>
    </w:p>
    <w:p w14:paraId="7FC2EB9C" w14:textId="26828C72" w:rsidR="00665291" w:rsidRPr="00C77EEA" w:rsidRDefault="00665291" w:rsidP="00665291">
      <w:pPr>
        <w:rPr>
          <w:noProof/>
        </w:rPr>
      </w:pPr>
      <w:r>
        <w:rPr>
          <w:b/>
          <w:noProof/>
        </w:rPr>
        <w:t>Données pour 2025: communications d’informations relatives aux points a), b), c) et d) et état de préparation du régime de responsabilité élargie du producteur</w:t>
      </w:r>
    </w:p>
    <w:p w14:paraId="73D5AE30" w14:textId="55136D4B" w:rsidR="00665291" w:rsidRDefault="00665291" w:rsidP="00665291">
      <w:pPr>
        <w:rPr>
          <w:noProof/>
        </w:rPr>
      </w:pPr>
      <w:r>
        <w:rPr>
          <w:noProof/>
        </w:rPr>
        <w:t xml:space="preserve">Parmi les sources de données identifiées pour la communication de l’année prochaine figurent les actes réglementaires nationaux, les rapports des producteurs et les régimes de responsabilité élargie du producteur, bien que certaines sources de données restent incomplètes. Plusieurs pays ont fait part de retards dans la mise en œuvre des régimes de responsabilité élargie du producteur, ce qui a eu une incidence sur la disponibilité des données pour la communication au titre de la directive sur les plastiques à usage unique l’année prochaine. </w:t>
      </w:r>
    </w:p>
    <w:p w14:paraId="7689D57F" w14:textId="022CF300" w:rsidR="00665291" w:rsidRDefault="00FD4D3A" w:rsidP="00665291">
      <w:pPr>
        <w:rPr>
          <w:noProof/>
        </w:rPr>
      </w:pPr>
      <w:r w:rsidRPr="00FD4D3A">
        <w:rPr>
          <w:noProof/>
          <w:lang w:val="en-GB" w:eastAsia="en-GB"/>
        </w:rPr>
        <w:drawing>
          <wp:inline distT="0" distB="0" distL="0" distR="0" wp14:anchorId="1C939D8C" wp14:editId="4A1BEAC5">
            <wp:extent cx="2772834" cy="1778000"/>
            <wp:effectExtent l="0" t="0" r="8890" b="0"/>
            <wp:docPr id="20157970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82970" cy="1784499"/>
                    </a:xfrm>
                    <a:prstGeom prst="rect">
                      <a:avLst/>
                    </a:prstGeom>
                    <a:noFill/>
                    <a:ln>
                      <a:noFill/>
                    </a:ln>
                  </pic:spPr>
                </pic:pic>
              </a:graphicData>
            </a:graphic>
          </wp:inline>
        </w:drawing>
      </w:r>
      <w:r w:rsidR="00337BEB" w:rsidRPr="00FD4D3A">
        <w:rPr>
          <w:noProof/>
          <w:lang w:val="en-GB" w:eastAsia="en-GB"/>
        </w:rPr>
        <w:drawing>
          <wp:inline distT="0" distB="0" distL="0" distR="0" wp14:anchorId="1172F370" wp14:editId="01F1B828">
            <wp:extent cx="2265703" cy="1821180"/>
            <wp:effectExtent l="0" t="0" r="1270" b="7620"/>
            <wp:docPr id="4545423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75320" cy="1828910"/>
                    </a:xfrm>
                    <a:prstGeom prst="rect">
                      <a:avLst/>
                    </a:prstGeom>
                    <a:noFill/>
                    <a:ln>
                      <a:noFill/>
                    </a:ln>
                  </pic:spPr>
                </pic:pic>
              </a:graphicData>
            </a:graphic>
          </wp:inline>
        </w:drawing>
      </w:r>
    </w:p>
    <w:p w14:paraId="4CB74BFA" w14:textId="77777777" w:rsidR="00337BEB" w:rsidRPr="00C77EEA" w:rsidRDefault="00337BEB" w:rsidP="00665291">
      <w:pPr>
        <w:rPr>
          <w:noProof/>
        </w:rPr>
      </w:pPr>
    </w:p>
    <w:p w14:paraId="20D054E3" w14:textId="77777777" w:rsidR="008E253E" w:rsidRPr="004A0A8E" w:rsidRDefault="008E253E" w:rsidP="008E253E">
      <w:pPr>
        <w:tabs>
          <w:tab w:val="left" w:pos="6125"/>
        </w:tabs>
        <w:rPr>
          <w:b/>
          <w:noProof/>
        </w:rPr>
      </w:pPr>
      <w:r>
        <w:rPr>
          <w:b/>
          <w:noProof/>
        </w:rPr>
        <w:t>Données relatives aux deux obligations de déclaration supplémentaires en 2025</w:t>
      </w:r>
      <w:r>
        <w:rPr>
          <w:noProof/>
        </w:rPr>
        <w:tab/>
      </w:r>
    </w:p>
    <w:p w14:paraId="735543BB" w14:textId="77777777" w:rsidR="00665291" w:rsidRPr="004B5039" w:rsidRDefault="00665291" w:rsidP="00665291">
      <w:pPr>
        <w:rPr>
          <w:bCs/>
          <w:noProof/>
        </w:rPr>
      </w:pPr>
      <w:r>
        <w:rPr>
          <w:noProof/>
        </w:rPr>
        <w:t xml:space="preserve">Concernant l’identification des sources de données pour les deux obligations de déclaration supplémentaires pour l’année prochaine (filtres pour les produits du tabac et contenu recyclé dans les bouteilles pour boissons en plastique à usage unique), les réponses indiquent des états de préparation divers, avec une certaine incertitude parmi les rapporteurs. </w:t>
      </w:r>
    </w:p>
    <w:p w14:paraId="0B6B8EE1" w14:textId="4FA051C0" w:rsidR="00665291" w:rsidRDefault="00163910" w:rsidP="00665291">
      <w:pPr>
        <w:rPr>
          <w:b/>
          <w:noProof/>
        </w:rPr>
      </w:pPr>
      <w:r w:rsidRPr="00163910">
        <w:rPr>
          <w:noProof/>
          <w:lang w:val="en-GB" w:eastAsia="en-GB"/>
        </w:rPr>
        <w:drawing>
          <wp:inline distT="0" distB="0" distL="0" distR="0" wp14:anchorId="0786792F" wp14:editId="5DEDA5CA">
            <wp:extent cx="5731510" cy="1636395"/>
            <wp:effectExtent l="0" t="0" r="2540" b="1905"/>
            <wp:docPr id="1880629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31510" cy="1636395"/>
                    </a:xfrm>
                    <a:prstGeom prst="rect">
                      <a:avLst/>
                    </a:prstGeom>
                    <a:noFill/>
                    <a:ln>
                      <a:noFill/>
                    </a:ln>
                  </pic:spPr>
                </pic:pic>
              </a:graphicData>
            </a:graphic>
          </wp:inline>
        </w:drawing>
      </w:r>
    </w:p>
    <w:p w14:paraId="38550423" w14:textId="77777777" w:rsidR="008E253E" w:rsidRPr="004A0A8E" w:rsidRDefault="008E253E" w:rsidP="008E253E">
      <w:pPr>
        <w:rPr>
          <w:noProof/>
        </w:rPr>
      </w:pPr>
      <w:r>
        <w:rPr>
          <w:b/>
          <w:noProof/>
        </w:rPr>
        <w:t>Conclusion</w:t>
      </w:r>
      <w:r>
        <w:rPr>
          <w:noProof/>
        </w:rPr>
        <w:t xml:space="preserve"> </w:t>
      </w:r>
    </w:p>
    <w:p w14:paraId="308C879C" w14:textId="6554B900" w:rsidR="00665291" w:rsidRPr="00C77EEA" w:rsidRDefault="008E253E" w:rsidP="00665291">
      <w:pPr>
        <w:rPr>
          <w:noProof/>
        </w:rPr>
      </w:pPr>
      <w:r>
        <w:rPr>
          <w:noProof/>
        </w:rPr>
        <w:t>Si la satisfaction à l’égard du processus de déclaration a été globalement positive, il existe des possibilités évidentes de rationaliser la collecte des données et les formats de déclaration. De meilleures orientations et des formulaires simplifiés sont des recommandations essentielles pour améliorer le processus pour le prochain cycle de communication.</w:t>
      </w:r>
    </w:p>
    <w:p w14:paraId="7CDF10AF" w14:textId="77777777" w:rsidR="004A4AFC" w:rsidRDefault="004A4AFC" w:rsidP="004A4AFC">
      <w:pPr>
        <w:rPr>
          <w:noProof/>
        </w:rPr>
        <w:sectPr w:rsidR="004A4AFC" w:rsidSect="00862309">
          <w:headerReference w:type="default" r:id="rId86"/>
          <w:footerReference w:type="default" r:id="rId87"/>
          <w:pgSz w:w="11906" w:h="16838"/>
          <w:pgMar w:top="1440" w:right="1440" w:bottom="1440" w:left="1440" w:header="708" w:footer="708" w:gutter="0"/>
          <w:cols w:space="708"/>
          <w:docGrid w:linePitch="360"/>
        </w:sectPr>
      </w:pPr>
    </w:p>
    <w:p w14:paraId="07CB3AD4" w14:textId="252930C3" w:rsidR="00BE38A5" w:rsidRPr="00925BD3" w:rsidRDefault="00BE38A5" w:rsidP="00925BD3">
      <w:pPr>
        <w:pStyle w:val="Heading3"/>
        <w:rPr>
          <w:noProof/>
        </w:rPr>
      </w:pPr>
      <w:bookmarkStart w:id="106" w:name="_Toc185499274"/>
      <w:bookmarkStart w:id="107" w:name="_Toc222395014"/>
      <w:r>
        <w:rPr>
          <w:noProof/>
        </w:rPr>
        <w:t>Annexe 9: Sources de données et méthodes</w:t>
      </w:r>
      <w:bookmarkEnd w:id="106"/>
      <w:bookmarkEnd w:id="107"/>
    </w:p>
    <w:p w14:paraId="1A9C93EF" w14:textId="4C22C248" w:rsidR="00BE38A5" w:rsidRPr="004A0A8E" w:rsidRDefault="00BE38A5" w:rsidP="00BE38A5">
      <w:pPr>
        <w:rPr>
          <w:noProof/>
        </w:rPr>
      </w:pPr>
      <w:r>
        <w:rPr>
          <w:noProof/>
        </w:rPr>
        <w:t>Les lignes directrices de la Commission sur les produits en plastique à usage unique, conformément à la directive sur les plastiques à usage unique (2021/C 216/01), apportent des précisions sur les articles relevant du champ d’application de ladite directive, y compris les articles couverts par les obligations de déclaration. Les lignes directrices précisent, entre autres, ce qui peut être considéré comme un usage unique et ce qui est considéré comme du plastique au titre de la directive sur les plastiques à usage unique. Les lignes directrices fournissent également des spécifications visant à mieux identifier les produits et leurs bouchons/couvercles. En ce qui concerne les engins de pêche, de plus amples détails à l’appui de la communication des données sont fournis dans l’étude de 2020 intitulée «</w:t>
      </w:r>
      <w:hyperlink r:id="rId88" w:history="1">
        <w:r>
          <w:rPr>
            <w:rStyle w:val="Hyperlink"/>
            <w:noProof/>
          </w:rPr>
          <w:t>Study to support the implementation of obligations set out in the Single Use Plastics and Port Reception Facilities Directives</w:t>
        </w:r>
      </w:hyperlink>
      <w:r>
        <w:rPr>
          <w:noProof/>
        </w:rPr>
        <w:t>», qui donne des précisions sur le champ d’application de la déclaration, les sources de données possibles, les types d’engins de pêche, etc.</w:t>
      </w:r>
    </w:p>
    <w:p w14:paraId="24E8888C" w14:textId="6561D51F" w:rsidR="00BE38A5" w:rsidRDefault="00BE38A5" w:rsidP="00BE38A5">
      <w:pPr>
        <w:rPr>
          <w:noProof/>
        </w:rPr>
      </w:pPr>
      <w:r>
        <w:rPr>
          <w:noProof/>
        </w:rPr>
        <w:t>Outre ces documents d’orientation, chaque décision d’exécution de la Commission fournit des détails sur le format de déclaration pour tous les éléments soumis à l’obligation de déclaration. Cela inclut également le format de déclaration des sources de données et des méthodes utilisées. Pour le point a), la décision d’exécution (UE) 2022/162 de la Commission et, pour le point d), la décision d’exécution (UE) 2021/958 de la Commission, demandent aux pays de déclarer les sources de données/méthodes utilisées pour la communication, avec une liste des sources et méthodes possibles figurant dans leurs annexes. En ce qui concerne le point b), la communication repose sur la connaissance qu’ont les pays des mesures, et la décision d’exécution (UE) 2022/162 de la Commission ne fixe aucun critère que les mesures doivent remplir pour être communiquées. Pour le point c), les pays sont invités dans les lignes directrices à fournir des détails, certains sur une base facultative et d’autres sur une base obligatoire, sur des éléments spécifiques des données, mais les lignes directrices ne fournissent pas de liste de référence spécifique des sources de données parmi lesquelles les pays opérer un choix. Dans les figures ci-dessous, les détails couvrent les sources de données/méthodes utilisées par les pays pour chaque élément à déclarer au titre de la directive sur les plastiques à usage unique. Nous nous référons conjointement aux sources de données et aux méthodes, étant donné que ces informations sont mentionnées de la sorte dans les décisions d’exécution de la Commission.</w:t>
      </w:r>
    </w:p>
    <w:p w14:paraId="5762D8D0" w14:textId="7539E8F0" w:rsidR="00BD5721" w:rsidRDefault="00BD5721" w:rsidP="00BE38A5">
      <w:pPr>
        <w:rPr>
          <w:noProof/>
        </w:rPr>
      </w:pPr>
      <w:r>
        <w:rPr>
          <w:noProof/>
        </w:rPr>
        <w:t>Les chiffres ci-dessous donnent un aperçu des sources de données/méthodes communiquées par les pays, pour les éléments pour lesquels le format de déclaration fournit des catégories intégrées que les notifiants pourraient indiquer [point a) et point d)]:</w:t>
      </w:r>
    </w:p>
    <w:p w14:paraId="690D7BD0" w14:textId="77777777" w:rsidR="00FD4D3A" w:rsidRDefault="00FD4D3A">
      <w:pPr>
        <w:jc w:val="left"/>
        <w:rPr>
          <w:rFonts w:eastAsia="ヒラギノ角ゴ Pro W3" w:cs="Times New Roman"/>
          <w:b/>
          <w:noProof/>
          <w:color w:val="44546A" w:themeColor="text2"/>
          <w:szCs w:val="18"/>
        </w:rPr>
      </w:pPr>
      <w:r>
        <w:rPr>
          <w:noProof/>
        </w:rPr>
        <w:br w:type="page"/>
      </w:r>
    </w:p>
    <w:p w14:paraId="40DAD8D4" w14:textId="247CF69C" w:rsidR="00026E6D" w:rsidRDefault="00026E6D" w:rsidP="00026E6D">
      <w:pPr>
        <w:pStyle w:val="Caption"/>
        <w:rPr>
          <w:b w:val="0"/>
          <w:bCs/>
          <w:noProof/>
        </w:rPr>
      </w:pPr>
      <w:r>
        <w:rPr>
          <w:noProof/>
        </w:rPr>
        <w:t>Figure 14: sources de données/méthodes utilisées par les pays pour communiquer les données relatives au point a).</w:t>
      </w:r>
      <w:r>
        <w:rPr>
          <w:b w:val="0"/>
          <w:noProof/>
        </w:rPr>
        <w:t xml:space="preserve"> Source: rapports de contrôle de la qualité.</w:t>
      </w:r>
    </w:p>
    <w:p w14:paraId="3156953C" w14:textId="13D543C1" w:rsidR="00867C35" w:rsidRDefault="00F01240" w:rsidP="00867C35">
      <w:pPr>
        <w:jc w:val="center"/>
        <w:rPr>
          <w:i/>
          <w:noProof/>
        </w:rPr>
      </w:pPr>
      <w:r w:rsidRPr="00F01240">
        <w:rPr>
          <w:i/>
          <w:noProof/>
          <w:lang w:val="en-GB" w:eastAsia="en-GB"/>
        </w:rPr>
        <w:drawing>
          <wp:inline distT="0" distB="0" distL="0" distR="0" wp14:anchorId="7794F324" wp14:editId="669D1D19">
            <wp:extent cx="5731510" cy="2933065"/>
            <wp:effectExtent l="0" t="0" r="2540" b="635"/>
            <wp:docPr id="88715223" name="Picture 1" descr="A graph of a number of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5223" name="Picture 1" descr="A graph of a number of bars&#10;&#10;AI-generated content may be incorrect."/>
                    <pic:cNvPicPr/>
                  </pic:nvPicPr>
                  <pic:blipFill>
                    <a:blip r:embed="rId89"/>
                    <a:stretch>
                      <a:fillRect/>
                    </a:stretch>
                  </pic:blipFill>
                  <pic:spPr>
                    <a:xfrm>
                      <a:off x="0" y="0"/>
                      <a:ext cx="5731510" cy="2933065"/>
                    </a:xfrm>
                    <a:prstGeom prst="rect">
                      <a:avLst/>
                    </a:prstGeom>
                  </pic:spPr>
                </pic:pic>
              </a:graphicData>
            </a:graphic>
          </wp:inline>
        </w:drawing>
      </w:r>
    </w:p>
    <w:p w14:paraId="0F0CCF34" w14:textId="0343FB0E" w:rsidR="00026E6D" w:rsidRDefault="00026E6D" w:rsidP="00026E6D">
      <w:pPr>
        <w:pStyle w:val="Caption"/>
        <w:rPr>
          <w:b w:val="0"/>
          <w:bCs/>
          <w:noProof/>
        </w:rPr>
      </w:pPr>
      <w:r>
        <w:rPr>
          <w:noProof/>
        </w:rPr>
        <w:t>Figure 15: sources de données/méthodes utilisées par les pays pour communiquer les données relatives au point d).</w:t>
      </w:r>
      <w:r>
        <w:rPr>
          <w:b w:val="0"/>
          <w:noProof/>
        </w:rPr>
        <w:t xml:space="preserve"> Source: rapports de contrôle de la qualité.</w:t>
      </w:r>
    </w:p>
    <w:p w14:paraId="33D6F6C9" w14:textId="2DADC2AE" w:rsidR="00C509E2" w:rsidRDefault="00FD4D3A" w:rsidP="00C509E2">
      <w:pPr>
        <w:rPr>
          <w:noProof/>
        </w:rPr>
      </w:pPr>
      <w:r w:rsidRPr="00FD4D3A">
        <w:rPr>
          <w:noProof/>
          <w:lang w:val="en-GB" w:eastAsia="en-GB"/>
        </w:rPr>
        <w:drawing>
          <wp:inline distT="0" distB="0" distL="0" distR="0" wp14:anchorId="0C828D7E" wp14:editId="2FFEAFBA">
            <wp:extent cx="5731510" cy="2681605"/>
            <wp:effectExtent l="0" t="0" r="2540" b="4445"/>
            <wp:docPr id="15186635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31510" cy="2681605"/>
                    </a:xfrm>
                    <a:prstGeom prst="rect">
                      <a:avLst/>
                    </a:prstGeom>
                    <a:noFill/>
                    <a:ln>
                      <a:noFill/>
                    </a:ln>
                  </pic:spPr>
                </pic:pic>
              </a:graphicData>
            </a:graphic>
          </wp:inline>
        </w:drawing>
      </w:r>
    </w:p>
    <w:p w14:paraId="4A40DE9D" w14:textId="169FA6FE" w:rsidR="00E82DFE" w:rsidRPr="00E97BA9" w:rsidRDefault="00E82DFE" w:rsidP="00E97BA9">
      <w:pPr>
        <w:rPr>
          <w:noProof/>
          <w:lang w:val="en-GB"/>
        </w:rPr>
        <w:sectPr w:rsidR="00E82DFE" w:rsidRPr="00E97BA9" w:rsidSect="00862309">
          <w:headerReference w:type="default" r:id="rId91"/>
          <w:footerReference w:type="default" r:id="rId92"/>
          <w:pgSz w:w="11906" w:h="16838"/>
          <w:pgMar w:top="1440" w:right="1440" w:bottom="1440" w:left="1440" w:header="708" w:footer="708" w:gutter="0"/>
          <w:cols w:space="708"/>
          <w:docGrid w:linePitch="360"/>
        </w:sectPr>
      </w:pPr>
    </w:p>
    <w:p w14:paraId="462BBBB4" w14:textId="232B7518" w:rsidR="008E253E" w:rsidRPr="00925BD3" w:rsidRDefault="006C2915" w:rsidP="00925BD3">
      <w:pPr>
        <w:pStyle w:val="Heading3"/>
        <w:rPr>
          <w:noProof/>
        </w:rPr>
      </w:pPr>
      <w:bookmarkStart w:id="108" w:name="_Toc185499275"/>
      <w:bookmarkStart w:id="109" w:name="_Toc222395015"/>
      <w:r>
        <w:rPr>
          <w:noProof/>
        </w:rPr>
        <w:t>Annexe 10: méthodes de vérification et problèmes d’exactitude recensés</w:t>
      </w:r>
      <w:bookmarkEnd w:id="108"/>
      <w:bookmarkEnd w:id="109"/>
    </w:p>
    <w:p w14:paraId="7B6DBAA0" w14:textId="53D9B323" w:rsidR="006C2915" w:rsidRPr="00026E6D" w:rsidRDefault="00026E6D" w:rsidP="004A650E">
      <w:pPr>
        <w:pStyle w:val="Caption"/>
        <w:rPr>
          <w:noProof/>
        </w:rPr>
      </w:pPr>
      <w:r>
        <w:rPr>
          <w:noProof/>
        </w:rPr>
        <w:t xml:space="preserve">Figure 16: </w:t>
      </w:r>
      <w:r>
        <w:rPr>
          <w:noProof/>
        </w:rPr>
        <w:fldChar w:fldCharType="begin"/>
      </w:r>
      <w:r>
        <w:rPr>
          <w:noProof/>
        </w:rPr>
        <w:instrText xml:space="preserve"> SEQ Figure \* ARABIC </w:instrText>
      </w:r>
      <w:r>
        <w:rPr>
          <w:noProof/>
        </w:rPr>
        <w:fldChar w:fldCharType="end"/>
      </w:r>
      <w:r>
        <w:rPr>
          <w:noProof/>
        </w:rPr>
        <w:t>méthodes de vérification (à gauche) et problèmes d’exactitude (à droite) relevés pour la communication des données relatives au point a).</w:t>
      </w:r>
      <w:r>
        <w:rPr>
          <w:b w:val="0"/>
          <w:noProof/>
        </w:rPr>
        <w:t xml:space="preserve"> Source: rapports de contrôle de la qualité.</w:t>
      </w:r>
    </w:p>
    <w:p w14:paraId="244019BC" w14:textId="4C1749A7" w:rsidR="006C2915" w:rsidRDefault="00FD4D3A" w:rsidP="008011EA">
      <w:pPr>
        <w:rPr>
          <w:i/>
          <w:iCs/>
          <w:noProof/>
        </w:rPr>
      </w:pPr>
      <w:r w:rsidRPr="00FD4D3A">
        <w:rPr>
          <w:noProof/>
          <w:lang w:val="en-GB" w:eastAsia="en-GB"/>
        </w:rPr>
        <w:drawing>
          <wp:inline distT="0" distB="0" distL="0" distR="0" wp14:anchorId="153C3AC2" wp14:editId="1B0CCA17">
            <wp:extent cx="2341880" cy="1485571"/>
            <wp:effectExtent l="0" t="0" r="1270" b="635"/>
            <wp:docPr id="20055764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49918" cy="1490670"/>
                    </a:xfrm>
                    <a:prstGeom prst="rect">
                      <a:avLst/>
                    </a:prstGeom>
                    <a:noFill/>
                    <a:ln>
                      <a:noFill/>
                    </a:ln>
                  </pic:spPr>
                </pic:pic>
              </a:graphicData>
            </a:graphic>
          </wp:inline>
        </w:drawing>
      </w:r>
      <w:r w:rsidRPr="00FD4D3A">
        <w:rPr>
          <w:noProof/>
          <w:lang w:val="en-GB" w:eastAsia="en-GB"/>
        </w:rPr>
        <w:drawing>
          <wp:inline distT="0" distB="0" distL="0" distR="0" wp14:anchorId="6FB67E30" wp14:editId="4A4ECCE5">
            <wp:extent cx="2758440" cy="1444621"/>
            <wp:effectExtent l="0" t="0" r="3810" b="3810"/>
            <wp:docPr id="15853944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76678" cy="1454172"/>
                    </a:xfrm>
                    <a:prstGeom prst="rect">
                      <a:avLst/>
                    </a:prstGeom>
                    <a:noFill/>
                    <a:ln>
                      <a:noFill/>
                    </a:ln>
                  </pic:spPr>
                </pic:pic>
              </a:graphicData>
            </a:graphic>
          </wp:inline>
        </w:drawing>
      </w:r>
    </w:p>
    <w:p w14:paraId="59F36EAF" w14:textId="77777777" w:rsidR="008011EA" w:rsidRPr="004A0A8E" w:rsidRDefault="008011EA" w:rsidP="006C2915">
      <w:pPr>
        <w:jc w:val="center"/>
        <w:rPr>
          <w:i/>
          <w:iCs/>
          <w:noProof/>
        </w:rPr>
      </w:pPr>
    </w:p>
    <w:p w14:paraId="18350388" w14:textId="77777777" w:rsidR="00B97C95" w:rsidRDefault="00B97C95">
      <w:pPr>
        <w:jc w:val="left"/>
        <w:rPr>
          <w:rFonts w:eastAsia="ヒラギノ角ゴ Pro W3" w:cs="Times New Roman"/>
          <w:b/>
          <w:noProof/>
          <w:color w:val="44546A" w:themeColor="text2"/>
          <w:szCs w:val="18"/>
        </w:rPr>
      </w:pPr>
      <w:r>
        <w:rPr>
          <w:noProof/>
        </w:rPr>
        <w:br w:type="page"/>
      </w:r>
    </w:p>
    <w:p w14:paraId="79E90178" w14:textId="00B0C2FD" w:rsidR="006C2915" w:rsidRPr="004910CE" w:rsidRDefault="00026E6D" w:rsidP="004A650E">
      <w:pPr>
        <w:pStyle w:val="Caption"/>
        <w:rPr>
          <w:noProof/>
        </w:rPr>
      </w:pPr>
      <w:r>
        <w:rPr>
          <w:noProof/>
        </w:rPr>
        <w:fldChar w:fldCharType="begin"/>
      </w:r>
      <w:r>
        <w:rPr>
          <w:noProof/>
        </w:rPr>
        <w:instrText xml:space="preserve"> SEQ Figure \* ARABIC </w:instrText>
      </w:r>
      <w:r>
        <w:rPr>
          <w:noProof/>
        </w:rPr>
        <w:fldChar w:fldCharType="end"/>
      </w:r>
      <w:r>
        <w:rPr>
          <w:noProof/>
        </w:rPr>
        <w:t xml:space="preserve">Figure 17: méthodes de vérification et problèmes d’exactitude recensés pour la communication des données relatives au point c). </w:t>
      </w:r>
      <w:r>
        <w:rPr>
          <w:b w:val="0"/>
          <w:noProof/>
        </w:rPr>
        <w:t>Source: rapports de contrôle de la qualité.</w:t>
      </w:r>
    </w:p>
    <w:p w14:paraId="7AEA5439" w14:textId="5D39FF64" w:rsidR="006C2915" w:rsidRDefault="00F01240" w:rsidP="0012575D">
      <w:pPr>
        <w:jc w:val="left"/>
        <w:rPr>
          <w:i/>
          <w:noProof/>
        </w:rPr>
      </w:pPr>
      <w:r w:rsidRPr="00F01240">
        <w:rPr>
          <w:i/>
          <w:noProof/>
          <w:lang w:val="en-GB" w:eastAsia="en-GB"/>
        </w:rPr>
        <w:drawing>
          <wp:inline distT="0" distB="0" distL="0" distR="0" wp14:anchorId="2135E835" wp14:editId="31E20D31">
            <wp:extent cx="5731510" cy="4046855"/>
            <wp:effectExtent l="0" t="0" r="2540" b="0"/>
            <wp:docPr id="454574830" name="Picture 1" descr="A graph with blue and white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74830" name="Picture 1" descr="A graph with blue and white stripes&#10;&#10;AI-generated content may be incorrect."/>
                    <pic:cNvPicPr/>
                  </pic:nvPicPr>
                  <pic:blipFill>
                    <a:blip r:embed="rId95"/>
                    <a:stretch>
                      <a:fillRect/>
                    </a:stretch>
                  </pic:blipFill>
                  <pic:spPr>
                    <a:xfrm>
                      <a:off x="0" y="0"/>
                      <a:ext cx="5731510" cy="4046855"/>
                    </a:xfrm>
                    <a:prstGeom prst="rect">
                      <a:avLst/>
                    </a:prstGeom>
                  </pic:spPr>
                </pic:pic>
              </a:graphicData>
            </a:graphic>
          </wp:inline>
        </w:drawing>
      </w:r>
      <w:r w:rsidRPr="00F01240">
        <w:rPr>
          <w:i/>
          <w:noProof/>
          <w:lang w:val="en-GB" w:eastAsia="en-GB"/>
        </w:rPr>
        <w:drawing>
          <wp:inline distT="0" distB="0" distL="0" distR="0" wp14:anchorId="15077546" wp14:editId="63B71EAD">
            <wp:extent cx="5731510" cy="3545205"/>
            <wp:effectExtent l="0" t="0" r="2540" b="0"/>
            <wp:docPr id="683826106"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26106" name="Picture 1" descr="A graph of a number of people&#10;&#10;AI-generated content may be incorrect."/>
                    <pic:cNvPicPr/>
                  </pic:nvPicPr>
                  <pic:blipFill>
                    <a:blip r:embed="rId96"/>
                    <a:stretch>
                      <a:fillRect/>
                    </a:stretch>
                  </pic:blipFill>
                  <pic:spPr>
                    <a:xfrm>
                      <a:off x="0" y="0"/>
                      <a:ext cx="5731510" cy="3545205"/>
                    </a:xfrm>
                    <a:prstGeom prst="rect">
                      <a:avLst/>
                    </a:prstGeom>
                  </pic:spPr>
                </pic:pic>
              </a:graphicData>
            </a:graphic>
          </wp:inline>
        </w:drawing>
      </w:r>
    </w:p>
    <w:p w14:paraId="19A18385" w14:textId="77777777" w:rsidR="0012575D" w:rsidRPr="004A0A8E" w:rsidRDefault="0012575D" w:rsidP="006C2915">
      <w:pPr>
        <w:jc w:val="center"/>
        <w:rPr>
          <w:i/>
          <w:noProof/>
        </w:rPr>
      </w:pPr>
    </w:p>
    <w:p w14:paraId="44C16F15" w14:textId="77777777" w:rsidR="00B97C95" w:rsidRDefault="00B97C95">
      <w:pPr>
        <w:jc w:val="left"/>
        <w:rPr>
          <w:rFonts w:eastAsia="ヒラギノ角ゴ Pro W3" w:cs="Times New Roman"/>
          <w:b/>
          <w:noProof/>
          <w:color w:val="44546A" w:themeColor="text2"/>
          <w:szCs w:val="18"/>
        </w:rPr>
      </w:pPr>
      <w:r>
        <w:rPr>
          <w:noProof/>
        </w:rPr>
        <w:br w:type="page"/>
      </w:r>
    </w:p>
    <w:p w14:paraId="50D56588" w14:textId="44D544E9" w:rsidR="006C2915" w:rsidRPr="004910CE" w:rsidRDefault="00026E6D" w:rsidP="004A650E">
      <w:pPr>
        <w:pStyle w:val="Caption"/>
        <w:rPr>
          <w:noProof/>
        </w:rPr>
      </w:pPr>
      <w:r>
        <w:rPr>
          <w:noProof/>
        </w:rPr>
        <w:t xml:space="preserve">Figure 18: méthodes de vérification et problèmes d’exactitude recensés pour la communication des données relatives au point d). </w:t>
      </w:r>
      <w:r>
        <w:rPr>
          <w:b w:val="0"/>
          <w:noProof/>
        </w:rPr>
        <w:t>Source: rapports de contrôle de la qualité.</w:t>
      </w:r>
    </w:p>
    <w:p w14:paraId="25A4EEDF" w14:textId="462AF208" w:rsidR="006C2915" w:rsidRDefault="00A935B9" w:rsidP="002E2EBA">
      <w:pPr>
        <w:jc w:val="left"/>
        <w:rPr>
          <w:noProof/>
        </w:rPr>
      </w:pPr>
      <w:r w:rsidRPr="00A935B9">
        <w:rPr>
          <w:noProof/>
          <w:lang w:val="en-GB" w:eastAsia="en-GB"/>
        </w:rPr>
        <w:drawing>
          <wp:inline distT="0" distB="0" distL="0" distR="0" wp14:anchorId="65417E13" wp14:editId="6CBBB962">
            <wp:extent cx="2421245" cy="1709058"/>
            <wp:effectExtent l="0" t="0" r="0" b="5715"/>
            <wp:docPr id="81836014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35004" cy="1718770"/>
                    </a:xfrm>
                    <a:prstGeom prst="rect">
                      <a:avLst/>
                    </a:prstGeom>
                    <a:noFill/>
                    <a:ln>
                      <a:noFill/>
                    </a:ln>
                  </pic:spPr>
                </pic:pic>
              </a:graphicData>
            </a:graphic>
          </wp:inline>
        </w:drawing>
      </w:r>
      <w:r w:rsidRPr="00A935B9">
        <w:rPr>
          <w:noProof/>
          <w:lang w:val="en-GB" w:eastAsia="en-GB"/>
        </w:rPr>
        <w:drawing>
          <wp:inline distT="0" distB="0" distL="0" distR="0" wp14:anchorId="2934DB77" wp14:editId="0F84D755">
            <wp:extent cx="3249386" cy="1850390"/>
            <wp:effectExtent l="0" t="0" r="8255" b="0"/>
            <wp:docPr id="134697280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83413" cy="1869767"/>
                    </a:xfrm>
                    <a:prstGeom prst="rect">
                      <a:avLst/>
                    </a:prstGeom>
                    <a:noFill/>
                    <a:ln>
                      <a:noFill/>
                    </a:ln>
                  </pic:spPr>
                </pic:pic>
              </a:graphicData>
            </a:graphic>
          </wp:inline>
        </w:drawing>
      </w:r>
    </w:p>
    <w:p w14:paraId="29BFD798" w14:textId="77777777" w:rsidR="002E2EBA" w:rsidRPr="004A0A8E" w:rsidRDefault="002E2EBA" w:rsidP="006C2915">
      <w:pPr>
        <w:jc w:val="center"/>
        <w:rPr>
          <w:noProof/>
        </w:rPr>
      </w:pPr>
    </w:p>
    <w:bookmarkEnd w:id="80"/>
    <w:bookmarkEnd w:id="91"/>
    <w:bookmarkEnd w:id="92"/>
    <w:p w14:paraId="16F87E6B" w14:textId="77777777" w:rsidR="005E313B" w:rsidRPr="00867C35" w:rsidRDefault="005E313B" w:rsidP="002A71ED">
      <w:pPr>
        <w:rPr>
          <w:rFonts w:eastAsiaTheme="majorEastAsia" w:cstheme="majorBidi"/>
          <w:b/>
          <w:noProof/>
          <w:color w:val="4472C4" w:themeColor="accent1"/>
          <w:kern w:val="2"/>
          <w:sz w:val="26"/>
          <w:szCs w:val="28"/>
          <w:lang w:val="en-GB"/>
        </w:rPr>
      </w:pPr>
    </w:p>
    <w:sectPr w:rsidR="005E313B" w:rsidRPr="00867C35" w:rsidSect="00862309">
      <w:headerReference w:type="even" r:id="rId99"/>
      <w:headerReference w:type="default" r:id="rId100"/>
      <w:footerReference w:type="even" r:id="rId101"/>
      <w:footerReference w:type="default" r:id="rId102"/>
      <w:headerReference w:type="first" r:id="rId103"/>
      <w:footerReference w:type="first" r:id="rId1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E2E43" w14:textId="77777777" w:rsidR="00173E50" w:rsidRDefault="00173E50" w:rsidP="00C50D40">
      <w:pPr>
        <w:spacing w:after="0" w:line="240" w:lineRule="auto"/>
      </w:pPr>
      <w:r>
        <w:separator/>
      </w:r>
    </w:p>
  </w:endnote>
  <w:endnote w:type="continuationSeparator" w:id="0">
    <w:p w14:paraId="166F188E" w14:textId="77777777" w:rsidR="00173E50" w:rsidRDefault="00173E50" w:rsidP="00C50D40">
      <w:pPr>
        <w:spacing w:after="0" w:line="240" w:lineRule="auto"/>
      </w:pPr>
      <w:r>
        <w:continuationSeparator/>
      </w:r>
    </w:p>
  </w:endnote>
  <w:endnote w:type="continuationNotice" w:id="1">
    <w:p w14:paraId="0E783D82" w14:textId="77777777" w:rsidR="00173E50" w:rsidRDefault="00173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Yu Gothic"/>
    <w:charset w:val="80"/>
    <w:family w:val="swiss"/>
    <w:pitch w:val="variable"/>
    <w:sig w:usb0="E00002FF" w:usb1="7AC7FFFF" w:usb2="00000012" w:usb3="00000000" w:csb0="0002000D" w:csb1="00000000"/>
  </w:font>
  <w:font w:name="EUAlbertina">
    <w:altName w:val="Times New Roman"/>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29AE" w14:textId="595521DA" w:rsidR="00BC249B" w:rsidRPr="00BC249B" w:rsidRDefault="00BC249B" w:rsidP="00BC249B">
    <w:pPr>
      <w:pStyle w:val="FooterCoverPage"/>
      <w:rPr>
        <w:rFonts w:ascii="Arial" w:hAnsi="Arial" w:cs="Arial"/>
        <w:b/>
        <w:sz w:val="48"/>
      </w:rPr>
    </w:pPr>
    <w:r w:rsidRPr="00BC249B">
      <w:rPr>
        <w:rFonts w:ascii="Arial" w:hAnsi="Arial" w:cs="Arial"/>
        <w:b/>
        <w:sz w:val="48"/>
      </w:rPr>
      <w:t>FR</w:t>
    </w:r>
    <w:r w:rsidRPr="00BC249B">
      <w:rPr>
        <w:rFonts w:ascii="Arial" w:hAnsi="Arial" w:cs="Arial"/>
        <w:b/>
        <w:sz w:val="48"/>
      </w:rPr>
      <w:tab/>
    </w:r>
    <w:r w:rsidRPr="00BC249B">
      <w:rPr>
        <w:rFonts w:ascii="Arial" w:hAnsi="Arial" w:cs="Arial"/>
        <w:b/>
        <w:sz w:val="48"/>
      </w:rPr>
      <w:tab/>
    </w:r>
    <w:r w:rsidRPr="00BC249B">
      <w:tab/>
    </w:r>
    <w:r w:rsidRPr="00BC249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0D88A" w14:textId="27324B5D" w:rsidR="00BC249B" w:rsidRPr="00BC249B" w:rsidRDefault="00BC249B" w:rsidP="00BC249B">
    <w:pPr>
      <w:pStyle w:val="FooterCoverPage"/>
      <w:rPr>
        <w:rFonts w:ascii="Arial" w:hAnsi="Arial" w:cs="Arial"/>
        <w:b/>
        <w:sz w:val="48"/>
      </w:rPr>
    </w:pPr>
    <w:r w:rsidRPr="00BC249B">
      <w:rPr>
        <w:rFonts w:ascii="Arial" w:hAnsi="Arial" w:cs="Arial"/>
        <w:b/>
        <w:sz w:val="48"/>
      </w:rPr>
      <w:t>FR</w:t>
    </w:r>
    <w:r w:rsidRPr="00BC249B">
      <w:rPr>
        <w:rFonts w:ascii="Arial" w:hAnsi="Arial" w:cs="Arial"/>
        <w:b/>
        <w:sz w:val="48"/>
      </w:rPr>
      <w:tab/>
    </w:r>
    <w:r w:rsidRPr="00BC249B">
      <w:rPr>
        <w:rFonts w:ascii="Arial" w:hAnsi="Arial" w:cs="Arial"/>
        <w:b/>
        <w:sz w:val="48"/>
      </w:rPr>
      <w:tab/>
    </w:r>
    <w:r w:rsidRPr="00BC249B">
      <w:tab/>
    </w:r>
    <w:r w:rsidRPr="00BC249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F021A" w14:textId="77777777" w:rsidR="00BC249B" w:rsidRPr="00BC249B" w:rsidRDefault="00BC249B" w:rsidP="00BC249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CE4A1" w14:textId="77777777" w:rsidR="00BE6BA2" w:rsidRPr="00C50D40" w:rsidRDefault="00BE6BA2" w:rsidP="00C50D40">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5DF4" w14:textId="082DBBE2" w:rsidR="005E313B" w:rsidRDefault="005E313B">
    <w:pPr>
      <w:pStyle w:val="Footer"/>
      <w:jc w:val="right"/>
    </w:pPr>
  </w:p>
  <w:p w14:paraId="4A4061DC" w14:textId="77777777" w:rsidR="005E313B" w:rsidRDefault="005E31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A02EA" w14:textId="77777777" w:rsidR="00BE6BA2" w:rsidRDefault="00BE6B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8884"/>
      <w:docPartObj>
        <w:docPartGallery w:val="Page Numbers (Bottom of Page)"/>
        <w:docPartUnique/>
      </w:docPartObj>
    </w:sdtPr>
    <w:sdtEndPr>
      <w:rPr>
        <w:noProof/>
      </w:rPr>
    </w:sdtEndPr>
    <w:sdtContent>
      <w:p w14:paraId="54053C37" w14:textId="42F1F568" w:rsidR="00611B4A" w:rsidRDefault="00611B4A">
        <w:pPr>
          <w:pStyle w:val="Footer"/>
          <w:jc w:val="right"/>
        </w:pPr>
        <w:r>
          <w:fldChar w:fldCharType="begin"/>
        </w:r>
        <w:r>
          <w:instrText xml:space="preserve"> PAGE   \* MERGEFORMAT </w:instrText>
        </w:r>
        <w:r>
          <w:fldChar w:fldCharType="separate"/>
        </w:r>
        <w:r w:rsidR="00BC249B">
          <w:rPr>
            <w:noProof/>
          </w:rPr>
          <w:t>i</w:t>
        </w:r>
        <w:r>
          <w:fldChar w:fldCharType="end"/>
        </w:r>
      </w:p>
    </w:sdtContent>
  </w:sdt>
  <w:p w14:paraId="67E3F56D" w14:textId="77777777" w:rsidR="00387885" w:rsidRDefault="003878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44271" w14:textId="29ED6E0B" w:rsidR="00D8197A" w:rsidRDefault="00BC249B">
    <w:pPr>
      <w:pStyle w:val="Footer"/>
      <w:jc w:val="right"/>
    </w:pPr>
    <w:sdt>
      <w:sdtPr>
        <w:id w:val="1350067635"/>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Pr>
            <w:noProof/>
          </w:rPr>
          <w:t>2</w:t>
        </w:r>
        <w:r w:rsidR="003E0187">
          <w:fldChar w:fldCharType="end"/>
        </w:r>
      </w:sdtContent>
    </w:sdt>
  </w:p>
  <w:p w14:paraId="6EB5D971" w14:textId="77777777" w:rsidR="00D8197A" w:rsidRDefault="00D819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9ABD4" w14:textId="4BE602BF" w:rsidR="00BE6BA2" w:rsidRDefault="00BC249B">
    <w:pPr>
      <w:pStyle w:val="Footer"/>
      <w:jc w:val="right"/>
    </w:pPr>
    <w:sdt>
      <w:sdtPr>
        <w:id w:val="1500768076"/>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AD6392">
          <w:rPr>
            <w:noProof/>
          </w:rPr>
          <w:t>4</w:t>
        </w:r>
        <w:r w:rsidR="003E0187">
          <w:fldChar w:fldCharType="end"/>
        </w:r>
      </w:sdtContent>
    </w:sdt>
  </w:p>
  <w:p w14:paraId="27D1C832" w14:textId="77777777" w:rsidR="00BE6BA2" w:rsidRDefault="00BE6B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BAE9" w14:textId="5E088C7E" w:rsidR="00BE6BA2" w:rsidRDefault="00BC249B">
    <w:pPr>
      <w:pStyle w:val="Footer"/>
      <w:jc w:val="right"/>
    </w:pPr>
    <w:sdt>
      <w:sdtPr>
        <w:id w:val="-1582523303"/>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AD6392">
          <w:rPr>
            <w:noProof/>
          </w:rPr>
          <w:t>13</w:t>
        </w:r>
        <w:r w:rsidR="003E0187">
          <w:fldChar w:fldCharType="end"/>
        </w:r>
      </w:sdtContent>
    </w:sdt>
  </w:p>
  <w:p w14:paraId="1BCB4674" w14:textId="77777777" w:rsidR="00BE6BA2" w:rsidRDefault="00BE6B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013A" w14:textId="77777777" w:rsidR="00BE6BA2" w:rsidRDefault="00BC249B">
    <w:pPr>
      <w:pStyle w:val="Footer"/>
      <w:jc w:val="right"/>
    </w:pPr>
    <w:sdt>
      <w:sdtPr>
        <w:id w:val="2020041392"/>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5B61E429" w14:textId="77777777" w:rsidR="00BE6BA2" w:rsidRDefault="00BE6B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71F9" w14:textId="77777777" w:rsidR="00BE6BA2" w:rsidRDefault="00BC249B">
    <w:pPr>
      <w:pStyle w:val="Footer"/>
      <w:jc w:val="right"/>
    </w:pPr>
    <w:sdt>
      <w:sdtPr>
        <w:id w:val="1475489356"/>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1EAF2E88" w14:textId="77777777" w:rsidR="00BE6BA2" w:rsidRDefault="00BE6B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76CA" w14:textId="77777777" w:rsidR="00BE6BA2" w:rsidRDefault="00BC249B">
    <w:pPr>
      <w:pStyle w:val="Footer"/>
      <w:jc w:val="right"/>
    </w:pPr>
    <w:sdt>
      <w:sdtPr>
        <w:id w:val="2019801778"/>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38410371" w14:textId="77777777" w:rsidR="00BE6BA2" w:rsidRDefault="00BE6B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66D2B" w14:textId="77777777" w:rsidR="00BE6BA2" w:rsidRDefault="00BC249B">
    <w:pPr>
      <w:pStyle w:val="Footer"/>
      <w:jc w:val="right"/>
    </w:pPr>
    <w:sdt>
      <w:sdtPr>
        <w:id w:val="839045519"/>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74C6F517" w14:textId="77777777" w:rsidR="00BE6BA2" w:rsidRDefault="00BE6B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F43D5" w14:textId="77777777" w:rsidR="00BE6BA2" w:rsidRDefault="00BC249B">
    <w:pPr>
      <w:pStyle w:val="Footer"/>
      <w:jc w:val="right"/>
    </w:pPr>
    <w:sdt>
      <w:sdtPr>
        <w:id w:val="246550258"/>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BAA309A" w14:textId="77777777" w:rsidR="00BE6BA2" w:rsidRDefault="00BE6B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9D55" w14:textId="77777777" w:rsidR="00BE6BA2" w:rsidRDefault="00BC249B">
    <w:pPr>
      <w:pStyle w:val="Footer"/>
      <w:jc w:val="right"/>
    </w:pPr>
    <w:sdt>
      <w:sdtPr>
        <w:id w:val="1149406211"/>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E00977B" w14:textId="77777777" w:rsidR="00BE6BA2" w:rsidRDefault="00BE6B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8C98" w14:textId="77777777" w:rsidR="00BE6BA2" w:rsidRDefault="00BC249B">
    <w:pPr>
      <w:pStyle w:val="Footer"/>
      <w:jc w:val="right"/>
    </w:pPr>
    <w:sdt>
      <w:sdtPr>
        <w:id w:val="1705065239"/>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016798A" w14:textId="77777777" w:rsidR="00BE6BA2" w:rsidRDefault="00BE6B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DF13" w14:textId="77777777" w:rsidR="00BE6BA2" w:rsidRDefault="00BC249B">
    <w:pPr>
      <w:pStyle w:val="Footer"/>
      <w:jc w:val="right"/>
    </w:pPr>
    <w:sdt>
      <w:sdtPr>
        <w:id w:val="1832100537"/>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7950C58C" w14:textId="77777777" w:rsidR="00BE6BA2" w:rsidRDefault="00BE6B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2D0B" w14:textId="77777777" w:rsidR="00BE6BA2" w:rsidRDefault="00BC249B">
    <w:pPr>
      <w:pStyle w:val="Footer"/>
      <w:jc w:val="right"/>
    </w:pPr>
    <w:sdt>
      <w:sdtPr>
        <w:id w:val="1044337655"/>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170AC4E8" w14:textId="77777777" w:rsidR="00BE6BA2" w:rsidRDefault="00BE6B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7818A" w14:textId="77777777" w:rsidR="00C50D40" w:rsidRDefault="00C50D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E55B" w14:textId="77777777" w:rsidR="00C50D40" w:rsidRDefault="00C50D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DA19C" w14:textId="77777777" w:rsidR="00C50D40" w:rsidRDefault="00C50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D13A3" w14:textId="77777777" w:rsidR="00173E50" w:rsidRDefault="00173E50" w:rsidP="00C50D40">
      <w:pPr>
        <w:spacing w:after="0" w:line="240" w:lineRule="auto"/>
      </w:pPr>
      <w:r>
        <w:separator/>
      </w:r>
    </w:p>
  </w:footnote>
  <w:footnote w:type="continuationSeparator" w:id="0">
    <w:p w14:paraId="6289F4BB" w14:textId="77777777" w:rsidR="00173E50" w:rsidRDefault="00173E50" w:rsidP="00C50D40">
      <w:pPr>
        <w:spacing w:after="0" w:line="240" w:lineRule="auto"/>
      </w:pPr>
      <w:r>
        <w:continuationSeparator/>
      </w:r>
    </w:p>
  </w:footnote>
  <w:footnote w:type="continuationNotice" w:id="1">
    <w:p w14:paraId="4D8F34BB" w14:textId="77777777" w:rsidR="00173E50" w:rsidRDefault="00173E50">
      <w:pPr>
        <w:spacing w:after="0" w:line="240" w:lineRule="auto"/>
      </w:pPr>
    </w:p>
  </w:footnote>
  <w:footnote w:id="2">
    <w:p w14:paraId="3EE56B3E" w14:textId="268299F7" w:rsidR="007E1222" w:rsidRDefault="007E1222" w:rsidP="007E1222">
      <w:pPr>
        <w:pStyle w:val="FootnoteText"/>
      </w:pPr>
      <w:r>
        <w:rPr>
          <w:rStyle w:val="FootnoteReference"/>
        </w:rPr>
        <w:footnoteRef/>
      </w:r>
      <w:r>
        <w:t xml:space="preserve"> Tout au long du rapport, les valeurs par habitant ont été calculées comme le ratio entre la somme du poids divisée par la population totale dans les pays déclarants. Les données démographiques proviennent d’Eurostat [population nationale moyenne pour l’année 2022, </w:t>
      </w:r>
      <w:hyperlink r:id="rId1" w:history="1">
        <w:r>
          <w:rPr>
            <w:rStyle w:val="Hyperlink"/>
          </w:rPr>
          <w:t>Eurostat (2024a)</w:t>
        </w:r>
      </w:hyperlink>
      <w:r>
        <w:t>].</w:t>
      </w:r>
    </w:p>
  </w:footnote>
  <w:footnote w:id="3">
    <w:p w14:paraId="10C16018" w14:textId="3A7564B2" w:rsidR="00EA7171" w:rsidRPr="00311A91" w:rsidRDefault="00EA7171" w:rsidP="00EA7171">
      <w:pPr>
        <w:pStyle w:val="FootnoteText"/>
      </w:pPr>
      <w:r>
        <w:rPr>
          <w:rStyle w:val="FootnoteReference"/>
        </w:rPr>
        <w:footnoteRef/>
      </w:r>
      <w:r>
        <w:t xml:space="preserve"> Calculé ad hoc pour cette évaluation, en divisant le poids du plastique des produits couverts par le point a) par le poids des déchets d’emballages produits, en tenant compte du sous-ensemble de pays ayant communiqué cet élément. Le poids de plastique du produit tient compte du poids des articles exclusivement constitués de plastique et de la teneur en plastique des articles constitués en partie de plastique. Les déchets d’emballages en plastique produits sont tirés des statistiques d’Eurostat «</w:t>
      </w:r>
      <w:hyperlink r:id="rId2" w:history="1">
        <w:r>
          <w:rPr>
            <w:rStyle w:val="Hyperlink"/>
          </w:rPr>
          <w:t>Déchets d’emballages par opérations de gestion des déchets</w:t>
        </w:r>
      </w:hyperlink>
      <w:r>
        <w:t>». Cette comparaison ne doit être considérée que comme un indicateur limité. Les déchets d’emballages en plastique pourraient encore être sous-estimés dans certains pays, comme l’ont révélé les évaluations d’alerte précoce (</w:t>
      </w:r>
      <w:hyperlink r:id="rId3" w:history="1">
        <w:r>
          <w:rPr>
            <w:rStyle w:val="Hyperlink"/>
          </w:rPr>
          <w:t>AEE, 2022</w:t>
        </w:r>
      </w:hyperlink>
      <w:r>
        <w:t xml:space="preserve">). </w:t>
      </w:r>
    </w:p>
    <w:p w14:paraId="65903F39" w14:textId="77777777" w:rsidR="00EA7171" w:rsidRDefault="00EA7171" w:rsidP="00EA7171">
      <w:pPr>
        <w:pStyle w:val="FootnoteText"/>
      </w:pPr>
    </w:p>
  </w:footnote>
  <w:footnote w:id="4">
    <w:p w14:paraId="5D1F34D8" w14:textId="44A4CA05" w:rsidR="00862309" w:rsidRDefault="00862309" w:rsidP="00862309">
      <w:pPr>
        <w:pStyle w:val="FootnoteText"/>
      </w:pPr>
      <w:r>
        <w:rPr>
          <w:rStyle w:val="FootnoteReference"/>
        </w:rPr>
        <w:footnoteRef/>
      </w:r>
      <w:r>
        <w:t xml:space="preserve"> Par exemple, l’Estonie a mentionné les entrées en provenance de pays voisins pour justifier des chiffres plus élevés pour la collecte séparée que pour la mise sur le marché, et Malte a souligné l’importance de comptabiliser les entrées en provenance d’autres pays au cours de la saison estivale.</w:t>
      </w:r>
    </w:p>
  </w:footnote>
  <w:footnote w:id="5">
    <w:p w14:paraId="48FC2307" w14:textId="5A58E847" w:rsidR="00992333" w:rsidRPr="00992333" w:rsidRDefault="00992333">
      <w:pPr>
        <w:pStyle w:val="FootnoteText"/>
      </w:pPr>
      <w:r>
        <w:rPr>
          <w:rStyle w:val="FootnoteReference"/>
        </w:rPr>
        <w:footnoteRef/>
      </w:r>
      <w:r>
        <w:t xml:space="preserve"> Seule l’Espagne a déclaré des valeurs nulles, en partant de l’hypothèse selon laquelle les flux entrants et sortants s’équilibraient.</w:t>
      </w:r>
    </w:p>
  </w:footnote>
  <w:footnote w:id="6">
    <w:p w14:paraId="113B290C" w14:textId="5CF6BA89" w:rsidR="00862309" w:rsidRDefault="00862309" w:rsidP="00862309">
      <w:pPr>
        <w:pStyle w:val="FootnoteText"/>
      </w:pPr>
      <w:r>
        <w:rPr>
          <w:rStyle w:val="FootnoteReference"/>
        </w:rPr>
        <w:footnoteRef/>
      </w:r>
      <w:r>
        <w:t xml:space="preserve"> Lorsque l’une des conditions suivantes est remplie: </w:t>
      </w:r>
    </w:p>
    <w:p w14:paraId="25A27E63" w14:textId="77777777" w:rsidR="00862309" w:rsidRDefault="00862309" w:rsidP="00862309">
      <w:pPr>
        <w:pStyle w:val="FootnoteText"/>
      </w:pPr>
      <w:r>
        <w:t xml:space="preserve">a) les déchets de bouteilles à usage unique ont été collectés séparément de tout autre déchet en vue de leur recyclage; </w:t>
      </w:r>
    </w:p>
    <w:p w14:paraId="1A799C3D" w14:textId="2327A013" w:rsidR="00862309" w:rsidRDefault="00862309" w:rsidP="00356967">
      <w:pPr>
        <w:pStyle w:val="FootnoteText"/>
      </w:pPr>
      <w:r>
        <w:t>b) les déchets de bouteilles à usage unique ont été collectés avec d’autres fractions d’emballages de déchets municipaux ou avec d’autres fractions de déchets municipaux en plastique, métal, papier ou verre autres que des déchets d’emballages, collectés séparément en vue du recyclage, et: i) le système de collecte ne collecte pas les déchets susceptibles de contenir des substances dangereuses; ii) la collecte des déchets et le tri subséquent sont pensés et mis en œuvre de manière à réduire au minimum la contamination des déchets de bouteilles à usage unique collectés par des déchets de matières plastiques non issus de telles bouteilles et par d’autres déchets; et iii) des systèmes d’assurance de la qualité sont mis en place par les organismes de gestion des déchets afin de vérifier que les conditions énoncées aux points i) et ii) sont remplies.</w:t>
      </w:r>
    </w:p>
  </w:footnote>
  <w:footnote w:id="7">
    <w:p w14:paraId="0A658A0B" w14:textId="3F1BB344" w:rsidR="00267F94" w:rsidRPr="00267F94" w:rsidRDefault="00267F94">
      <w:pPr>
        <w:pStyle w:val="FootnoteText"/>
      </w:pPr>
      <w:r>
        <w:rPr>
          <w:rStyle w:val="FootnoteReference"/>
        </w:rPr>
        <w:footnoteRef/>
      </w:r>
      <w:r>
        <w:tab/>
        <w:t>Les données dont la confidentialité est demandée sont exclues des chiffres et des valeurs totales.</w:t>
      </w:r>
    </w:p>
  </w:footnote>
  <w:footnote w:id="8">
    <w:p w14:paraId="72BA7343" w14:textId="46D85B83" w:rsidR="00EE5F15" w:rsidRDefault="00EE5F15" w:rsidP="00EE5F15">
      <w:pPr>
        <w:pStyle w:val="FootnoteText"/>
      </w:pPr>
      <w:r>
        <w:rPr>
          <w:rStyle w:val="FootnoteReference"/>
        </w:rPr>
        <w:footnoteRef/>
      </w:r>
      <w:r>
        <w:t xml:space="preserve"> À titre d’exemple, la Hongrie a fait référence à des problèmes concernant les données relatives à la responsabilité élargie du producteur dans son rapport de contrôle de la qualité pour le point a), même si les systèmes de responsabilité élargie du producteur n’étaient pas indiqués comme sources de données sous-tendant la communication.</w:t>
      </w:r>
    </w:p>
  </w:footnote>
  <w:footnote w:id="9">
    <w:p w14:paraId="01E9B7A0" w14:textId="70DBA43C" w:rsidR="009451FA" w:rsidRDefault="009451FA">
      <w:pPr>
        <w:pStyle w:val="FootnoteText"/>
      </w:pPr>
      <w:r>
        <w:rPr>
          <w:rStyle w:val="FootnoteReference"/>
        </w:rPr>
        <w:footnoteRef/>
      </w:r>
      <w:r>
        <w:t xml:space="preserve"> Par exemple, avec différents niveaux d’ambition, les acteurs et les secteurs ciblés ainsi que l’échelle géographique.</w:t>
      </w:r>
    </w:p>
  </w:footnote>
  <w:footnote w:id="10">
    <w:p w14:paraId="36E1A02A" w14:textId="03EBA557" w:rsidR="00347394" w:rsidRDefault="00347394" w:rsidP="00347394">
      <w:pPr>
        <w:pStyle w:val="FootnoteText"/>
      </w:pPr>
      <w:r>
        <w:rPr>
          <w:rStyle w:val="FootnoteReference"/>
        </w:rPr>
        <w:footnoteRef/>
      </w:r>
      <w:r>
        <w:t xml:space="preserve"> Quatre pays ont uniquement rempli les informations obligatoires, c’est-à-dire en précisant (oui/non) s’ils disposaient de chaque type de mesure en vigueur dans le pays. Les autres pays ont également fourni au moins quelques informations facultatives, qui ont permis de déterminer la mesure spécifique (URL/référence au document stratégique) ou l’année d’entrée en vigueur. 20 pays ont également complété des champs d’information supplémentaires facultatifs, à savoir la portée géographique de la mesure, les acteurs ciblés, le caractère obligatoire/facultatif de la mesure, etc. Néanmoins, les informations ont généralement été fournies avec de fréquentes lacunes.</w:t>
      </w:r>
    </w:p>
  </w:footnote>
  <w:footnote w:id="11">
    <w:p w14:paraId="16734239" w14:textId="6F7AD435" w:rsidR="001C277F" w:rsidRDefault="001C277F" w:rsidP="001C277F">
      <w:pPr>
        <w:pStyle w:val="FootnoteText"/>
      </w:pPr>
      <w:r>
        <w:rPr>
          <w:rStyle w:val="FootnoteReference"/>
        </w:rPr>
        <w:footnoteRef/>
      </w:r>
      <w:r>
        <w:t xml:space="preserve"> Les articles qui ne sont pas à usage unique relèvent du champ d’application des données relatives aux déchets d’emballages, mais ne sont donc pas couverts par la directive sur les plastiques à usage unique, et inversement. Par exemple, les emballages réutilisables ne sont pas couverts par la directive sur les plastiques à usage unique, mais sont considérés comme des emballages. De même, les gobelets pour boissons en plastique à usage unique et les récipients pour aliments en plastique à usage unique vendus vides et non conçus pour être remplis au point de vente sont des produits en plastique à usage unique, mais ils ne sont pas considérés comme des emballages.</w:t>
      </w:r>
    </w:p>
  </w:footnote>
  <w:footnote w:id="12">
    <w:p w14:paraId="380FD5F8" w14:textId="56571073" w:rsidR="006C72A8" w:rsidRDefault="006C72A8">
      <w:pPr>
        <w:pStyle w:val="FootnoteText"/>
      </w:pPr>
      <w:r>
        <w:rPr>
          <w:rStyle w:val="FootnoteReference"/>
        </w:rPr>
        <w:footnoteRef/>
      </w:r>
      <w:r>
        <w:t xml:space="preserve"> Statistiques d’Eurostat «</w:t>
      </w:r>
      <w:hyperlink r:id="rId4" w:history="1">
        <w:r>
          <w:rPr>
            <w:rStyle w:val="Hyperlink"/>
          </w:rPr>
          <w:t>Déchets d’emballages par opérations de gestion des déchets</w:t>
        </w:r>
      </w:hyperlink>
      <w:r>
        <w:t>». Il convient également de noter que: i) les déchets d’emballages en plastique pourraient encore être sous-estimés dans certains pays, comme l’ont révélé les évaluations d’alerte précoce (</w:t>
      </w:r>
      <w:hyperlink r:id="rId5" w:history="1">
        <w:r>
          <w:rPr>
            <w:rStyle w:val="Hyperlink"/>
          </w:rPr>
          <w:t>AEE, 2022</w:t>
        </w:r>
      </w:hyperlink>
      <w:r>
        <w:t>), sur la base de données allant jusqu’en 2019; et ii) les déchets d’emballages en plastique n’ont cessé d’augmenter depuis 2009.</w:t>
      </w:r>
    </w:p>
  </w:footnote>
  <w:footnote w:id="13">
    <w:p w14:paraId="30D4A8C4" w14:textId="77777777" w:rsidR="005607EA" w:rsidRDefault="005607EA" w:rsidP="005607EA">
      <w:pPr>
        <w:pStyle w:val="FootnoteText"/>
      </w:pPr>
      <w:r>
        <w:rPr>
          <w:rStyle w:val="FootnoteReference"/>
        </w:rPr>
        <w:footnoteRef/>
      </w:r>
      <w:r>
        <w:t xml:space="preserve"> La somme du poids des articles exclusivement constitués de plastique et de la teneur en plastique des articles constitués en partie de plastique.</w:t>
      </w:r>
    </w:p>
  </w:footnote>
  <w:footnote w:id="14">
    <w:p w14:paraId="103C924E" w14:textId="5603CE31" w:rsidR="00480456" w:rsidRDefault="00480456">
      <w:pPr>
        <w:pStyle w:val="FootnoteText"/>
      </w:pPr>
      <w:r>
        <w:rPr>
          <w:rStyle w:val="FootnoteReference"/>
        </w:rPr>
        <w:footnoteRef/>
      </w:r>
      <w:r>
        <w:t xml:space="preserve"> Par exemple, les différents champs de données pour la communication des informations relatives au point a), la classification des mesures pour le point b), la déclaration des sources de données/méthodes pour le point c) ou la ventilation et les facteurs de conversion pour la déclaration concernant le point d).</w:t>
      </w:r>
    </w:p>
  </w:footnote>
  <w:footnote w:id="15">
    <w:p w14:paraId="63CCD7EF" w14:textId="651EDCEC" w:rsidR="00D70CB7" w:rsidRDefault="00D70CB7" w:rsidP="00D70CB7">
      <w:pPr>
        <w:pStyle w:val="FootnoteText"/>
      </w:pPr>
      <w:r>
        <w:rPr>
          <w:rStyle w:val="FootnoteReference"/>
        </w:rPr>
        <w:footnoteRef/>
      </w:r>
      <w:r>
        <w:t xml:space="preserve"> Sur la base de la masse de plastique contenue dans le produit.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A02E" w14:textId="77777777" w:rsidR="00BC249B" w:rsidRPr="00BC249B" w:rsidRDefault="00BC249B" w:rsidP="00BC249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B0F03" w14:textId="77777777" w:rsidR="00BC249B" w:rsidRPr="00BC249B" w:rsidRDefault="00BC249B" w:rsidP="00BC249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77020" w14:textId="77777777" w:rsidR="00BC249B" w:rsidRPr="00BC249B" w:rsidRDefault="00BC249B" w:rsidP="00BC249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B7EE" w14:textId="77777777" w:rsidR="00BE6BA2" w:rsidRDefault="00BE6B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95E38" w14:textId="77777777" w:rsidR="00BE6BA2" w:rsidRDefault="00BE6B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085A" w14:textId="77777777" w:rsidR="00BE6BA2" w:rsidRDefault="00BE6B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593D5" w14:textId="77777777" w:rsidR="00BE6BA2" w:rsidRDefault="00BE6B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885D" w14:textId="77777777" w:rsidR="00BE6BA2" w:rsidRDefault="00BE6BA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6D201" w14:textId="77777777" w:rsidR="00BE6BA2" w:rsidRDefault="00BE6B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D44DD" w14:textId="77777777" w:rsidR="00BE6BA2" w:rsidRDefault="00BE6B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FC0A2" w14:textId="77777777" w:rsidR="00BE6BA2" w:rsidRDefault="00BE6BA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2104" w14:textId="77777777" w:rsidR="00BE6BA2" w:rsidRDefault="00BE6B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0085C" w14:textId="77777777" w:rsidR="00BE6BA2" w:rsidRDefault="00BE6B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FB68B" w14:textId="77777777" w:rsidR="00BE6BA2" w:rsidRDefault="00BE6BA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6EEC" w14:textId="77777777" w:rsidR="00BE6BA2" w:rsidRDefault="00BE6B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8BFD8" w14:textId="77777777" w:rsidR="00BE6BA2" w:rsidRDefault="00BE6B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5A3E3" w14:textId="77777777" w:rsidR="00BE6BA2" w:rsidRDefault="00BE6BA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B927" w14:textId="77777777" w:rsidR="00BE6BA2" w:rsidRDefault="00BE6B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06C0" w14:textId="77777777" w:rsidR="00BE6BA2" w:rsidRDefault="00BE6B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8904D" w14:textId="77777777" w:rsidR="00C50D40" w:rsidRDefault="00C50D4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15BD" w14:textId="77777777" w:rsidR="00C50D40" w:rsidRDefault="00C50D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BEA40" w14:textId="77777777" w:rsidR="00C50D40" w:rsidRDefault="00C50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39A5"/>
    <w:multiLevelType w:val="hybridMultilevel"/>
    <w:tmpl w:val="5A364E12"/>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 w15:restartNumberingAfterBreak="0">
    <w:nsid w:val="13402604"/>
    <w:multiLevelType w:val="hybridMultilevel"/>
    <w:tmpl w:val="37FE6F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D8E4D3F"/>
    <w:multiLevelType w:val="multilevel"/>
    <w:tmpl w:val="5DBA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C7203"/>
    <w:multiLevelType w:val="hybridMultilevel"/>
    <w:tmpl w:val="44D2BF68"/>
    <w:lvl w:ilvl="0" w:tplc="7D8AA4EE">
      <w:start w:val="1"/>
      <w:numFmt w:val="lowerRoman"/>
      <w:lvlText w:val="%1)"/>
      <w:lvlJc w:val="right"/>
      <w:pPr>
        <w:ind w:left="1020" w:hanging="360"/>
      </w:pPr>
    </w:lvl>
    <w:lvl w:ilvl="1" w:tplc="BCFE008A">
      <w:start w:val="1"/>
      <w:numFmt w:val="lowerRoman"/>
      <w:lvlText w:val="%2)"/>
      <w:lvlJc w:val="right"/>
      <w:pPr>
        <w:ind w:left="1020" w:hanging="360"/>
      </w:pPr>
    </w:lvl>
    <w:lvl w:ilvl="2" w:tplc="22266534">
      <w:start w:val="1"/>
      <w:numFmt w:val="lowerRoman"/>
      <w:lvlText w:val="%3)"/>
      <w:lvlJc w:val="right"/>
      <w:pPr>
        <w:ind w:left="1020" w:hanging="360"/>
      </w:pPr>
    </w:lvl>
    <w:lvl w:ilvl="3" w:tplc="D30C000A">
      <w:start w:val="1"/>
      <w:numFmt w:val="lowerRoman"/>
      <w:lvlText w:val="%4)"/>
      <w:lvlJc w:val="right"/>
      <w:pPr>
        <w:ind w:left="1020" w:hanging="360"/>
      </w:pPr>
    </w:lvl>
    <w:lvl w:ilvl="4" w:tplc="C01EB062">
      <w:start w:val="1"/>
      <w:numFmt w:val="lowerRoman"/>
      <w:lvlText w:val="%5)"/>
      <w:lvlJc w:val="right"/>
      <w:pPr>
        <w:ind w:left="1020" w:hanging="360"/>
      </w:pPr>
    </w:lvl>
    <w:lvl w:ilvl="5" w:tplc="4358E61E">
      <w:start w:val="1"/>
      <w:numFmt w:val="lowerRoman"/>
      <w:lvlText w:val="%6)"/>
      <w:lvlJc w:val="right"/>
      <w:pPr>
        <w:ind w:left="1020" w:hanging="360"/>
      </w:pPr>
    </w:lvl>
    <w:lvl w:ilvl="6" w:tplc="C51E970A">
      <w:start w:val="1"/>
      <w:numFmt w:val="lowerRoman"/>
      <w:lvlText w:val="%7)"/>
      <w:lvlJc w:val="right"/>
      <w:pPr>
        <w:ind w:left="1020" w:hanging="360"/>
      </w:pPr>
    </w:lvl>
    <w:lvl w:ilvl="7" w:tplc="C76ABA8C">
      <w:start w:val="1"/>
      <w:numFmt w:val="lowerRoman"/>
      <w:lvlText w:val="%8)"/>
      <w:lvlJc w:val="right"/>
      <w:pPr>
        <w:ind w:left="1020" w:hanging="360"/>
      </w:pPr>
    </w:lvl>
    <w:lvl w:ilvl="8" w:tplc="392C9C3A">
      <w:start w:val="1"/>
      <w:numFmt w:val="lowerRoman"/>
      <w:lvlText w:val="%9)"/>
      <w:lvlJc w:val="right"/>
      <w:pPr>
        <w:ind w:left="1020" w:hanging="360"/>
      </w:pPr>
    </w:lvl>
  </w:abstractNum>
  <w:abstractNum w:abstractNumId="4" w15:restartNumberingAfterBreak="0">
    <w:nsid w:val="399005CA"/>
    <w:multiLevelType w:val="multilevel"/>
    <w:tmpl w:val="99B6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206C5"/>
    <w:multiLevelType w:val="hybridMultilevel"/>
    <w:tmpl w:val="B8622B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C1D2FD2"/>
    <w:multiLevelType w:val="hybridMultilevel"/>
    <w:tmpl w:val="84C888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FBE62D3"/>
    <w:multiLevelType w:val="hybridMultilevel"/>
    <w:tmpl w:val="E690B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156515"/>
    <w:multiLevelType w:val="hybridMultilevel"/>
    <w:tmpl w:val="26CA90C8"/>
    <w:lvl w:ilvl="0" w:tplc="B3F2E932">
      <w:start w:val="1"/>
      <w:numFmt w:val="lowerRoman"/>
      <w:lvlText w:val="%1)"/>
      <w:lvlJc w:val="right"/>
      <w:pPr>
        <w:ind w:left="1020" w:hanging="360"/>
      </w:pPr>
    </w:lvl>
    <w:lvl w:ilvl="1" w:tplc="B4CA54F6">
      <w:start w:val="1"/>
      <w:numFmt w:val="lowerRoman"/>
      <w:lvlText w:val="%2)"/>
      <w:lvlJc w:val="right"/>
      <w:pPr>
        <w:ind w:left="1020" w:hanging="360"/>
      </w:pPr>
    </w:lvl>
    <w:lvl w:ilvl="2" w:tplc="F264917C">
      <w:start w:val="1"/>
      <w:numFmt w:val="lowerRoman"/>
      <w:lvlText w:val="%3)"/>
      <w:lvlJc w:val="right"/>
      <w:pPr>
        <w:ind w:left="1020" w:hanging="360"/>
      </w:pPr>
    </w:lvl>
    <w:lvl w:ilvl="3" w:tplc="D5D27C2C">
      <w:start w:val="1"/>
      <w:numFmt w:val="lowerRoman"/>
      <w:lvlText w:val="%4)"/>
      <w:lvlJc w:val="right"/>
      <w:pPr>
        <w:ind w:left="1020" w:hanging="360"/>
      </w:pPr>
    </w:lvl>
    <w:lvl w:ilvl="4" w:tplc="4BC41B10">
      <w:start w:val="1"/>
      <w:numFmt w:val="lowerRoman"/>
      <w:lvlText w:val="%5)"/>
      <w:lvlJc w:val="right"/>
      <w:pPr>
        <w:ind w:left="1020" w:hanging="360"/>
      </w:pPr>
    </w:lvl>
    <w:lvl w:ilvl="5" w:tplc="961EA06C">
      <w:start w:val="1"/>
      <w:numFmt w:val="lowerRoman"/>
      <w:lvlText w:val="%6)"/>
      <w:lvlJc w:val="right"/>
      <w:pPr>
        <w:ind w:left="1020" w:hanging="360"/>
      </w:pPr>
    </w:lvl>
    <w:lvl w:ilvl="6" w:tplc="B6FC6A8A">
      <w:start w:val="1"/>
      <w:numFmt w:val="lowerRoman"/>
      <w:lvlText w:val="%7)"/>
      <w:lvlJc w:val="right"/>
      <w:pPr>
        <w:ind w:left="1020" w:hanging="360"/>
      </w:pPr>
    </w:lvl>
    <w:lvl w:ilvl="7" w:tplc="B69E7DB8">
      <w:start w:val="1"/>
      <w:numFmt w:val="lowerRoman"/>
      <w:lvlText w:val="%8)"/>
      <w:lvlJc w:val="right"/>
      <w:pPr>
        <w:ind w:left="1020" w:hanging="360"/>
      </w:pPr>
    </w:lvl>
    <w:lvl w:ilvl="8" w:tplc="6F84B308">
      <w:start w:val="1"/>
      <w:numFmt w:val="lowerRoman"/>
      <w:lvlText w:val="%9)"/>
      <w:lvlJc w:val="right"/>
      <w:pPr>
        <w:ind w:left="1020" w:hanging="360"/>
      </w:pPr>
    </w:lvl>
  </w:abstractNum>
  <w:abstractNum w:abstractNumId="9" w15:restartNumberingAfterBreak="0">
    <w:nsid w:val="541032A1"/>
    <w:multiLevelType w:val="hybridMultilevel"/>
    <w:tmpl w:val="22DCA4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B2E2DEB"/>
    <w:multiLevelType w:val="hybridMultilevel"/>
    <w:tmpl w:val="70BC39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F1E3DA1"/>
    <w:multiLevelType w:val="hybridMultilevel"/>
    <w:tmpl w:val="9A7617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0CA7A1B"/>
    <w:multiLevelType w:val="hybridMultilevel"/>
    <w:tmpl w:val="43207A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4787C34"/>
    <w:multiLevelType w:val="hybridMultilevel"/>
    <w:tmpl w:val="519EB4B8"/>
    <w:lvl w:ilvl="0" w:tplc="DF20846C">
      <w:start w:val="1"/>
      <w:numFmt w:val="decimal"/>
      <w:pStyle w:val="Heading2"/>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13"/>
  </w:num>
  <w:num w:numId="3">
    <w:abstractNumId w:val="0"/>
  </w:num>
  <w:num w:numId="4">
    <w:abstractNumId w:val="10"/>
  </w:num>
  <w:num w:numId="5">
    <w:abstractNumId w:val="5"/>
  </w:num>
  <w:num w:numId="6">
    <w:abstractNumId w:val="7"/>
  </w:num>
  <w:num w:numId="7">
    <w:abstractNumId w:val="2"/>
  </w:num>
  <w:num w:numId="8">
    <w:abstractNumId w:val="4"/>
  </w:num>
  <w:num w:numId="9">
    <w:abstractNumId w:val="11"/>
  </w:num>
  <w:num w:numId="10">
    <w:abstractNumId w:val="1"/>
  </w:num>
  <w:num w:numId="11">
    <w:abstractNumId w:val="9"/>
  </w:num>
  <w:num w:numId="12">
    <w:abstractNumId w:val="12"/>
  </w:num>
  <w:num w:numId="13">
    <w:abstractNumId w:val="8"/>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103A0B5-CC0F-4623-970B-3D21DCFEAEDE"/>
    <w:docVar w:name="LW_COVERPAGE_TYPE" w:val="1"/>
    <w:docVar w:name="LW_CROSSREFERENCE" w:val="&lt;UNUSED&gt;"/>
    <w:docVar w:name="LW_DocType" w:val="NORMAL"/>
    <w:docVar w:name="LW_EMISSION" w:val="16.4.2026"/>
    <w:docVar w:name="LW_EMISSION_ISODATE" w:val="2026-04-16"/>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communication d\u8217?informations par les États membres concernant les articles en plastique à usage unique et les engins de pêche au titre de la directive (UE) 2019/904&lt;/FMT&gt;"/>
    <w:docVar w:name="LW_TYPE.DOC.CP" w:val="RAPPORT DE LA COMMISSION AU PARLEMENT EUROPÉEN ET AU CONSEIL"/>
    <w:docVar w:name="LwApiVersions" w:val="LW4CoDe 1.24.5.0; LW 9.2, Build 20251112"/>
  </w:docVars>
  <w:rsids>
    <w:rsidRoot w:val="00C50D40"/>
    <w:rsid w:val="00001965"/>
    <w:rsid w:val="0000241D"/>
    <w:rsid w:val="000024C7"/>
    <w:rsid w:val="0000285C"/>
    <w:rsid w:val="00002938"/>
    <w:rsid w:val="000049D2"/>
    <w:rsid w:val="0000525B"/>
    <w:rsid w:val="000054BD"/>
    <w:rsid w:val="00006748"/>
    <w:rsid w:val="00006F42"/>
    <w:rsid w:val="00010AFC"/>
    <w:rsid w:val="00010B87"/>
    <w:rsid w:val="000114F2"/>
    <w:rsid w:val="00011BA7"/>
    <w:rsid w:val="00012A1B"/>
    <w:rsid w:val="00013E6B"/>
    <w:rsid w:val="00013F61"/>
    <w:rsid w:val="000143D8"/>
    <w:rsid w:val="00014D88"/>
    <w:rsid w:val="0001516F"/>
    <w:rsid w:val="00015DA3"/>
    <w:rsid w:val="000176C3"/>
    <w:rsid w:val="00017C6E"/>
    <w:rsid w:val="00021469"/>
    <w:rsid w:val="000221C7"/>
    <w:rsid w:val="000231A0"/>
    <w:rsid w:val="000253E4"/>
    <w:rsid w:val="00025545"/>
    <w:rsid w:val="00025729"/>
    <w:rsid w:val="0002668C"/>
    <w:rsid w:val="00026A58"/>
    <w:rsid w:val="00026AA8"/>
    <w:rsid w:val="00026E6D"/>
    <w:rsid w:val="000271E3"/>
    <w:rsid w:val="00030A4E"/>
    <w:rsid w:val="0003187C"/>
    <w:rsid w:val="000342CC"/>
    <w:rsid w:val="00035437"/>
    <w:rsid w:val="00036E68"/>
    <w:rsid w:val="00041290"/>
    <w:rsid w:val="000441D3"/>
    <w:rsid w:val="00044616"/>
    <w:rsid w:val="000456BE"/>
    <w:rsid w:val="0004594A"/>
    <w:rsid w:val="00045DEE"/>
    <w:rsid w:val="000513AB"/>
    <w:rsid w:val="00051B41"/>
    <w:rsid w:val="000522E3"/>
    <w:rsid w:val="000528B8"/>
    <w:rsid w:val="000530DC"/>
    <w:rsid w:val="000534F3"/>
    <w:rsid w:val="00054369"/>
    <w:rsid w:val="00055A84"/>
    <w:rsid w:val="00056955"/>
    <w:rsid w:val="00056DDB"/>
    <w:rsid w:val="00056E14"/>
    <w:rsid w:val="00057474"/>
    <w:rsid w:val="00057483"/>
    <w:rsid w:val="000609C2"/>
    <w:rsid w:val="00060A5A"/>
    <w:rsid w:val="00061036"/>
    <w:rsid w:val="00063010"/>
    <w:rsid w:val="0006554B"/>
    <w:rsid w:val="00065A74"/>
    <w:rsid w:val="00066050"/>
    <w:rsid w:val="00070481"/>
    <w:rsid w:val="00070946"/>
    <w:rsid w:val="00071114"/>
    <w:rsid w:val="00072AAD"/>
    <w:rsid w:val="0007438D"/>
    <w:rsid w:val="00076FDB"/>
    <w:rsid w:val="00080A0F"/>
    <w:rsid w:val="00080B52"/>
    <w:rsid w:val="00080D08"/>
    <w:rsid w:val="000822AE"/>
    <w:rsid w:val="000835A5"/>
    <w:rsid w:val="000836FF"/>
    <w:rsid w:val="00084EDE"/>
    <w:rsid w:val="00085703"/>
    <w:rsid w:val="000865D9"/>
    <w:rsid w:val="000907D1"/>
    <w:rsid w:val="00090B2A"/>
    <w:rsid w:val="000914C7"/>
    <w:rsid w:val="00092BEF"/>
    <w:rsid w:val="00093E00"/>
    <w:rsid w:val="000951D6"/>
    <w:rsid w:val="0009634B"/>
    <w:rsid w:val="0009638A"/>
    <w:rsid w:val="00096CE1"/>
    <w:rsid w:val="000A0702"/>
    <w:rsid w:val="000A3617"/>
    <w:rsid w:val="000A3754"/>
    <w:rsid w:val="000A4965"/>
    <w:rsid w:val="000A528D"/>
    <w:rsid w:val="000A5F1A"/>
    <w:rsid w:val="000A7281"/>
    <w:rsid w:val="000A7BAE"/>
    <w:rsid w:val="000B1993"/>
    <w:rsid w:val="000B3AA8"/>
    <w:rsid w:val="000B4AB1"/>
    <w:rsid w:val="000B5865"/>
    <w:rsid w:val="000B58C6"/>
    <w:rsid w:val="000B5BD0"/>
    <w:rsid w:val="000B649C"/>
    <w:rsid w:val="000B6D49"/>
    <w:rsid w:val="000B6FEF"/>
    <w:rsid w:val="000B7D35"/>
    <w:rsid w:val="000C03A5"/>
    <w:rsid w:val="000C06EA"/>
    <w:rsid w:val="000C126D"/>
    <w:rsid w:val="000C13D1"/>
    <w:rsid w:val="000C28FC"/>
    <w:rsid w:val="000C3323"/>
    <w:rsid w:val="000C351D"/>
    <w:rsid w:val="000C3ABD"/>
    <w:rsid w:val="000C599E"/>
    <w:rsid w:val="000C5A2A"/>
    <w:rsid w:val="000D08E5"/>
    <w:rsid w:val="000D27A8"/>
    <w:rsid w:val="000D56A8"/>
    <w:rsid w:val="000D5C12"/>
    <w:rsid w:val="000E0A9A"/>
    <w:rsid w:val="000E0FF6"/>
    <w:rsid w:val="000E1116"/>
    <w:rsid w:val="000E2EE5"/>
    <w:rsid w:val="000E448F"/>
    <w:rsid w:val="000F02CC"/>
    <w:rsid w:val="000F2C11"/>
    <w:rsid w:val="000F2E45"/>
    <w:rsid w:val="000F648D"/>
    <w:rsid w:val="000F7315"/>
    <w:rsid w:val="00100746"/>
    <w:rsid w:val="00100F6D"/>
    <w:rsid w:val="001012D0"/>
    <w:rsid w:val="00101A63"/>
    <w:rsid w:val="00103EFA"/>
    <w:rsid w:val="00104D7E"/>
    <w:rsid w:val="00105FB4"/>
    <w:rsid w:val="00107ACA"/>
    <w:rsid w:val="00107C9F"/>
    <w:rsid w:val="00110ED2"/>
    <w:rsid w:val="00111715"/>
    <w:rsid w:val="00111A9C"/>
    <w:rsid w:val="00111D85"/>
    <w:rsid w:val="00112503"/>
    <w:rsid w:val="00113DCC"/>
    <w:rsid w:val="00114B1D"/>
    <w:rsid w:val="00115144"/>
    <w:rsid w:val="001165F3"/>
    <w:rsid w:val="00120204"/>
    <w:rsid w:val="00120D56"/>
    <w:rsid w:val="00122E25"/>
    <w:rsid w:val="001237A0"/>
    <w:rsid w:val="00123B49"/>
    <w:rsid w:val="00124284"/>
    <w:rsid w:val="00124AF0"/>
    <w:rsid w:val="0012575D"/>
    <w:rsid w:val="00126C2C"/>
    <w:rsid w:val="00130591"/>
    <w:rsid w:val="001309B8"/>
    <w:rsid w:val="00130E9A"/>
    <w:rsid w:val="00130FB2"/>
    <w:rsid w:val="00131CC7"/>
    <w:rsid w:val="00132DE8"/>
    <w:rsid w:val="00133887"/>
    <w:rsid w:val="0013401E"/>
    <w:rsid w:val="00135361"/>
    <w:rsid w:val="00135DA0"/>
    <w:rsid w:val="00135DE8"/>
    <w:rsid w:val="00140729"/>
    <w:rsid w:val="00140810"/>
    <w:rsid w:val="00141B95"/>
    <w:rsid w:val="001423E1"/>
    <w:rsid w:val="00142FB4"/>
    <w:rsid w:val="00144098"/>
    <w:rsid w:val="0014429A"/>
    <w:rsid w:val="00144C56"/>
    <w:rsid w:val="00144C88"/>
    <w:rsid w:val="00144F61"/>
    <w:rsid w:val="001469DF"/>
    <w:rsid w:val="00146E8B"/>
    <w:rsid w:val="00147D19"/>
    <w:rsid w:val="001527AB"/>
    <w:rsid w:val="00153F81"/>
    <w:rsid w:val="001569D5"/>
    <w:rsid w:val="00160B1D"/>
    <w:rsid w:val="00160E01"/>
    <w:rsid w:val="00161A2E"/>
    <w:rsid w:val="00161F39"/>
    <w:rsid w:val="00162E56"/>
    <w:rsid w:val="00163910"/>
    <w:rsid w:val="0016583C"/>
    <w:rsid w:val="00166A55"/>
    <w:rsid w:val="0017197D"/>
    <w:rsid w:val="0017274D"/>
    <w:rsid w:val="00172B51"/>
    <w:rsid w:val="00172D6C"/>
    <w:rsid w:val="00173E50"/>
    <w:rsid w:val="0017408D"/>
    <w:rsid w:val="00175376"/>
    <w:rsid w:val="00175579"/>
    <w:rsid w:val="00175874"/>
    <w:rsid w:val="00175ED0"/>
    <w:rsid w:val="00175F7D"/>
    <w:rsid w:val="00177008"/>
    <w:rsid w:val="00181DF3"/>
    <w:rsid w:val="00182128"/>
    <w:rsid w:val="00183123"/>
    <w:rsid w:val="00183A42"/>
    <w:rsid w:val="001840EE"/>
    <w:rsid w:val="00184284"/>
    <w:rsid w:val="0018486C"/>
    <w:rsid w:val="00184E1C"/>
    <w:rsid w:val="0018572E"/>
    <w:rsid w:val="00186ACF"/>
    <w:rsid w:val="0018724C"/>
    <w:rsid w:val="001909E0"/>
    <w:rsid w:val="00193B25"/>
    <w:rsid w:val="00194390"/>
    <w:rsid w:val="00194ED2"/>
    <w:rsid w:val="00194F50"/>
    <w:rsid w:val="00196419"/>
    <w:rsid w:val="001A07C5"/>
    <w:rsid w:val="001A0E99"/>
    <w:rsid w:val="001A126E"/>
    <w:rsid w:val="001A223B"/>
    <w:rsid w:val="001A6688"/>
    <w:rsid w:val="001B1D24"/>
    <w:rsid w:val="001B2C28"/>
    <w:rsid w:val="001B3333"/>
    <w:rsid w:val="001B3C26"/>
    <w:rsid w:val="001B4E4A"/>
    <w:rsid w:val="001B4F9A"/>
    <w:rsid w:val="001B5AA9"/>
    <w:rsid w:val="001B6016"/>
    <w:rsid w:val="001B6D0F"/>
    <w:rsid w:val="001C03B3"/>
    <w:rsid w:val="001C1D8C"/>
    <w:rsid w:val="001C233C"/>
    <w:rsid w:val="001C277F"/>
    <w:rsid w:val="001C4840"/>
    <w:rsid w:val="001C696C"/>
    <w:rsid w:val="001D3D02"/>
    <w:rsid w:val="001D3E41"/>
    <w:rsid w:val="001D4582"/>
    <w:rsid w:val="001D66DB"/>
    <w:rsid w:val="001E23B6"/>
    <w:rsid w:val="001E5B2C"/>
    <w:rsid w:val="001E6350"/>
    <w:rsid w:val="001E75B1"/>
    <w:rsid w:val="001F078A"/>
    <w:rsid w:val="001F154B"/>
    <w:rsid w:val="001F15B5"/>
    <w:rsid w:val="001F1D85"/>
    <w:rsid w:val="001F4AAE"/>
    <w:rsid w:val="001F5889"/>
    <w:rsid w:val="001F66E1"/>
    <w:rsid w:val="001F6881"/>
    <w:rsid w:val="001F7DA9"/>
    <w:rsid w:val="001F7EBF"/>
    <w:rsid w:val="00200A17"/>
    <w:rsid w:val="00201136"/>
    <w:rsid w:val="00202D79"/>
    <w:rsid w:val="0020370C"/>
    <w:rsid w:val="002038BA"/>
    <w:rsid w:val="00206CD9"/>
    <w:rsid w:val="00207EA1"/>
    <w:rsid w:val="00212500"/>
    <w:rsid w:val="00212A3B"/>
    <w:rsid w:val="00213115"/>
    <w:rsid w:val="00213816"/>
    <w:rsid w:val="00214FEA"/>
    <w:rsid w:val="00216B30"/>
    <w:rsid w:val="00217A1E"/>
    <w:rsid w:val="00217BEC"/>
    <w:rsid w:val="00221252"/>
    <w:rsid w:val="00222C1C"/>
    <w:rsid w:val="00222EAB"/>
    <w:rsid w:val="00225E3F"/>
    <w:rsid w:val="002265E7"/>
    <w:rsid w:val="002271DE"/>
    <w:rsid w:val="0023155A"/>
    <w:rsid w:val="00232231"/>
    <w:rsid w:val="002329C3"/>
    <w:rsid w:val="0024052C"/>
    <w:rsid w:val="00242C0F"/>
    <w:rsid w:val="0024411E"/>
    <w:rsid w:val="0024639B"/>
    <w:rsid w:val="002465B7"/>
    <w:rsid w:val="00246DF1"/>
    <w:rsid w:val="002470BD"/>
    <w:rsid w:val="002472DC"/>
    <w:rsid w:val="00247872"/>
    <w:rsid w:val="00247C55"/>
    <w:rsid w:val="00250C36"/>
    <w:rsid w:val="002512AC"/>
    <w:rsid w:val="00253114"/>
    <w:rsid w:val="00253821"/>
    <w:rsid w:val="00254412"/>
    <w:rsid w:val="00255B18"/>
    <w:rsid w:val="002566AD"/>
    <w:rsid w:val="0025688B"/>
    <w:rsid w:val="00257D11"/>
    <w:rsid w:val="00260C3F"/>
    <w:rsid w:val="00262796"/>
    <w:rsid w:val="00263F9E"/>
    <w:rsid w:val="00264599"/>
    <w:rsid w:val="00265B27"/>
    <w:rsid w:val="002665AC"/>
    <w:rsid w:val="00266BEC"/>
    <w:rsid w:val="00267900"/>
    <w:rsid w:val="00267D19"/>
    <w:rsid w:val="00267F94"/>
    <w:rsid w:val="00274494"/>
    <w:rsid w:val="0027611C"/>
    <w:rsid w:val="00276905"/>
    <w:rsid w:val="002823B5"/>
    <w:rsid w:val="00283CC2"/>
    <w:rsid w:val="00285795"/>
    <w:rsid w:val="00285C7F"/>
    <w:rsid w:val="002878A2"/>
    <w:rsid w:val="0028794B"/>
    <w:rsid w:val="00287C63"/>
    <w:rsid w:val="00291D7E"/>
    <w:rsid w:val="00292BE3"/>
    <w:rsid w:val="00293656"/>
    <w:rsid w:val="002940F4"/>
    <w:rsid w:val="00295810"/>
    <w:rsid w:val="002964D7"/>
    <w:rsid w:val="00296652"/>
    <w:rsid w:val="002966E4"/>
    <w:rsid w:val="002975B5"/>
    <w:rsid w:val="002A0F83"/>
    <w:rsid w:val="002A26DD"/>
    <w:rsid w:val="002A2AB1"/>
    <w:rsid w:val="002A3F5A"/>
    <w:rsid w:val="002A3FA5"/>
    <w:rsid w:val="002A4E9D"/>
    <w:rsid w:val="002A6879"/>
    <w:rsid w:val="002A6A33"/>
    <w:rsid w:val="002A6F37"/>
    <w:rsid w:val="002A713D"/>
    <w:rsid w:val="002A71ED"/>
    <w:rsid w:val="002A7FA8"/>
    <w:rsid w:val="002B082B"/>
    <w:rsid w:val="002B0E4C"/>
    <w:rsid w:val="002B10C0"/>
    <w:rsid w:val="002B1394"/>
    <w:rsid w:val="002B15EB"/>
    <w:rsid w:val="002B1D01"/>
    <w:rsid w:val="002B4390"/>
    <w:rsid w:val="002B4721"/>
    <w:rsid w:val="002B656D"/>
    <w:rsid w:val="002B6E2A"/>
    <w:rsid w:val="002C1092"/>
    <w:rsid w:val="002C2041"/>
    <w:rsid w:val="002C40A0"/>
    <w:rsid w:val="002C4BD5"/>
    <w:rsid w:val="002C507F"/>
    <w:rsid w:val="002C5FA8"/>
    <w:rsid w:val="002C6787"/>
    <w:rsid w:val="002C7F4F"/>
    <w:rsid w:val="002D249D"/>
    <w:rsid w:val="002D4C22"/>
    <w:rsid w:val="002D4DF7"/>
    <w:rsid w:val="002D5EE9"/>
    <w:rsid w:val="002D605D"/>
    <w:rsid w:val="002D7946"/>
    <w:rsid w:val="002E24CB"/>
    <w:rsid w:val="002E285E"/>
    <w:rsid w:val="002E2874"/>
    <w:rsid w:val="002E2EBA"/>
    <w:rsid w:val="002E3799"/>
    <w:rsid w:val="002E56BC"/>
    <w:rsid w:val="002E7DFF"/>
    <w:rsid w:val="002F27BD"/>
    <w:rsid w:val="002F2827"/>
    <w:rsid w:val="002F6C18"/>
    <w:rsid w:val="003018CC"/>
    <w:rsid w:val="00304C00"/>
    <w:rsid w:val="00305FBA"/>
    <w:rsid w:val="00307418"/>
    <w:rsid w:val="00307686"/>
    <w:rsid w:val="00310E6B"/>
    <w:rsid w:val="00311868"/>
    <w:rsid w:val="00311D3E"/>
    <w:rsid w:val="00313086"/>
    <w:rsid w:val="00313BF2"/>
    <w:rsid w:val="0031623F"/>
    <w:rsid w:val="00320C37"/>
    <w:rsid w:val="003219CC"/>
    <w:rsid w:val="0032258C"/>
    <w:rsid w:val="00322743"/>
    <w:rsid w:val="00322A76"/>
    <w:rsid w:val="0032353C"/>
    <w:rsid w:val="003244D1"/>
    <w:rsid w:val="00324E2E"/>
    <w:rsid w:val="00324EC1"/>
    <w:rsid w:val="003267D6"/>
    <w:rsid w:val="003279AD"/>
    <w:rsid w:val="00331E4D"/>
    <w:rsid w:val="00332E65"/>
    <w:rsid w:val="00334744"/>
    <w:rsid w:val="00335D07"/>
    <w:rsid w:val="00336316"/>
    <w:rsid w:val="003367F9"/>
    <w:rsid w:val="00337BEB"/>
    <w:rsid w:val="003400F5"/>
    <w:rsid w:val="003405E4"/>
    <w:rsid w:val="00340677"/>
    <w:rsid w:val="00340C92"/>
    <w:rsid w:val="00340ED1"/>
    <w:rsid w:val="00341076"/>
    <w:rsid w:val="00341107"/>
    <w:rsid w:val="0034143B"/>
    <w:rsid w:val="0034178D"/>
    <w:rsid w:val="00342CBB"/>
    <w:rsid w:val="00343107"/>
    <w:rsid w:val="003437E0"/>
    <w:rsid w:val="00345589"/>
    <w:rsid w:val="00345D94"/>
    <w:rsid w:val="00346FC9"/>
    <w:rsid w:val="00347394"/>
    <w:rsid w:val="00350D7F"/>
    <w:rsid w:val="00351063"/>
    <w:rsid w:val="00351DD0"/>
    <w:rsid w:val="00354477"/>
    <w:rsid w:val="00354ACE"/>
    <w:rsid w:val="00354CDD"/>
    <w:rsid w:val="0035503B"/>
    <w:rsid w:val="003555E4"/>
    <w:rsid w:val="00356317"/>
    <w:rsid w:val="00356967"/>
    <w:rsid w:val="00357859"/>
    <w:rsid w:val="00357CDB"/>
    <w:rsid w:val="00360574"/>
    <w:rsid w:val="0036096A"/>
    <w:rsid w:val="00361264"/>
    <w:rsid w:val="00361886"/>
    <w:rsid w:val="00361FAF"/>
    <w:rsid w:val="00365217"/>
    <w:rsid w:val="00367476"/>
    <w:rsid w:val="00367F0F"/>
    <w:rsid w:val="00370AAF"/>
    <w:rsid w:val="0037119B"/>
    <w:rsid w:val="00371CAA"/>
    <w:rsid w:val="0037248D"/>
    <w:rsid w:val="00373818"/>
    <w:rsid w:val="00373BB3"/>
    <w:rsid w:val="003751C0"/>
    <w:rsid w:val="00375558"/>
    <w:rsid w:val="003758E2"/>
    <w:rsid w:val="00375E31"/>
    <w:rsid w:val="003769F3"/>
    <w:rsid w:val="00382038"/>
    <w:rsid w:val="00382064"/>
    <w:rsid w:val="003820CE"/>
    <w:rsid w:val="00382EBB"/>
    <w:rsid w:val="00383E8F"/>
    <w:rsid w:val="00384D21"/>
    <w:rsid w:val="0038526D"/>
    <w:rsid w:val="00385517"/>
    <w:rsid w:val="00386B88"/>
    <w:rsid w:val="00386BE8"/>
    <w:rsid w:val="00387885"/>
    <w:rsid w:val="003879F2"/>
    <w:rsid w:val="00390825"/>
    <w:rsid w:val="00390EB3"/>
    <w:rsid w:val="00392CBB"/>
    <w:rsid w:val="00393E4F"/>
    <w:rsid w:val="00395C60"/>
    <w:rsid w:val="003967B4"/>
    <w:rsid w:val="00397D02"/>
    <w:rsid w:val="00397DE7"/>
    <w:rsid w:val="003A0AD1"/>
    <w:rsid w:val="003A1535"/>
    <w:rsid w:val="003A1A15"/>
    <w:rsid w:val="003A1A90"/>
    <w:rsid w:val="003A2E73"/>
    <w:rsid w:val="003A401D"/>
    <w:rsid w:val="003B0256"/>
    <w:rsid w:val="003B232F"/>
    <w:rsid w:val="003B2539"/>
    <w:rsid w:val="003B2576"/>
    <w:rsid w:val="003B2D24"/>
    <w:rsid w:val="003B4185"/>
    <w:rsid w:val="003B7894"/>
    <w:rsid w:val="003B7DD8"/>
    <w:rsid w:val="003B7EFB"/>
    <w:rsid w:val="003C08B2"/>
    <w:rsid w:val="003C1D73"/>
    <w:rsid w:val="003C2204"/>
    <w:rsid w:val="003C35E2"/>
    <w:rsid w:val="003C65DA"/>
    <w:rsid w:val="003C7A4E"/>
    <w:rsid w:val="003D0F33"/>
    <w:rsid w:val="003D286F"/>
    <w:rsid w:val="003D3197"/>
    <w:rsid w:val="003D31D6"/>
    <w:rsid w:val="003D3693"/>
    <w:rsid w:val="003D3F77"/>
    <w:rsid w:val="003D4A1A"/>
    <w:rsid w:val="003D4D62"/>
    <w:rsid w:val="003D5F4F"/>
    <w:rsid w:val="003D60FB"/>
    <w:rsid w:val="003D6EFB"/>
    <w:rsid w:val="003D71C5"/>
    <w:rsid w:val="003E0187"/>
    <w:rsid w:val="003E0497"/>
    <w:rsid w:val="003E1AD2"/>
    <w:rsid w:val="003E24BE"/>
    <w:rsid w:val="003E2769"/>
    <w:rsid w:val="003E3F68"/>
    <w:rsid w:val="003E4030"/>
    <w:rsid w:val="003E433C"/>
    <w:rsid w:val="003E4403"/>
    <w:rsid w:val="003E508B"/>
    <w:rsid w:val="003E694E"/>
    <w:rsid w:val="003E6B73"/>
    <w:rsid w:val="003F0597"/>
    <w:rsid w:val="003F159F"/>
    <w:rsid w:val="003F2CF0"/>
    <w:rsid w:val="003F3B12"/>
    <w:rsid w:val="003F4091"/>
    <w:rsid w:val="003F4F59"/>
    <w:rsid w:val="003F5EC7"/>
    <w:rsid w:val="003F72BE"/>
    <w:rsid w:val="003F7AF6"/>
    <w:rsid w:val="00401944"/>
    <w:rsid w:val="00403FF6"/>
    <w:rsid w:val="004043A9"/>
    <w:rsid w:val="004046F0"/>
    <w:rsid w:val="00407DA7"/>
    <w:rsid w:val="00410CAE"/>
    <w:rsid w:val="004126A1"/>
    <w:rsid w:val="004142D2"/>
    <w:rsid w:val="00414DE4"/>
    <w:rsid w:val="00415D62"/>
    <w:rsid w:val="0041642E"/>
    <w:rsid w:val="004164A4"/>
    <w:rsid w:val="00423823"/>
    <w:rsid w:val="004252D6"/>
    <w:rsid w:val="00425D18"/>
    <w:rsid w:val="00427C93"/>
    <w:rsid w:val="00430516"/>
    <w:rsid w:val="00430F47"/>
    <w:rsid w:val="0043319B"/>
    <w:rsid w:val="00434051"/>
    <w:rsid w:val="0043713B"/>
    <w:rsid w:val="004371BD"/>
    <w:rsid w:val="004418E1"/>
    <w:rsid w:val="004434C4"/>
    <w:rsid w:val="004438C3"/>
    <w:rsid w:val="00443A28"/>
    <w:rsid w:val="00443AD7"/>
    <w:rsid w:val="00446A71"/>
    <w:rsid w:val="00446C47"/>
    <w:rsid w:val="0044743D"/>
    <w:rsid w:val="004500B6"/>
    <w:rsid w:val="004509D2"/>
    <w:rsid w:val="00450F11"/>
    <w:rsid w:val="00453581"/>
    <w:rsid w:val="00453A43"/>
    <w:rsid w:val="00457DFB"/>
    <w:rsid w:val="00460A16"/>
    <w:rsid w:val="00460D00"/>
    <w:rsid w:val="00461773"/>
    <w:rsid w:val="00461E4C"/>
    <w:rsid w:val="00461FC0"/>
    <w:rsid w:val="00463DAC"/>
    <w:rsid w:val="00463F80"/>
    <w:rsid w:val="00464B84"/>
    <w:rsid w:val="00465D4E"/>
    <w:rsid w:val="00467D08"/>
    <w:rsid w:val="0047113E"/>
    <w:rsid w:val="004726AA"/>
    <w:rsid w:val="004742E9"/>
    <w:rsid w:val="00474F5C"/>
    <w:rsid w:val="00476790"/>
    <w:rsid w:val="00477271"/>
    <w:rsid w:val="00477A90"/>
    <w:rsid w:val="00480456"/>
    <w:rsid w:val="004805EB"/>
    <w:rsid w:val="00481207"/>
    <w:rsid w:val="00483027"/>
    <w:rsid w:val="00483246"/>
    <w:rsid w:val="0048404F"/>
    <w:rsid w:val="004841C2"/>
    <w:rsid w:val="00485301"/>
    <w:rsid w:val="00486754"/>
    <w:rsid w:val="00487BC3"/>
    <w:rsid w:val="00487FE8"/>
    <w:rsid w:val="0049031C"/>
    <w:rsid w:val="00492B55"/>
    <w:rsid w:val="0049354C"/>
    <w:rsid w:val="004949ED"/>
    <w:rsid w:val="00495874"/>
    <w:rsid w:val="00495E1E"/>
    <w:rsid w:val="00496017"/>
    <w:rsid w:val="004960E2"/>
    <w:rsid w:val="00496948"/>
    <w:rsid w:val="004A09ED"/>
    <w:rsid w:val="004A0A8E"/>
    <w:rsid w:val="004A10F0"/>
    <w:rsid w:val="004A1648"/>
    <w:rsid w:val="004A1ED1"/>
    <w:rsid w:val="004A3C30"/>
    <w:rsid w:val="004A4443"/>
    <w:rsid w:val="004A492E"/>
    <w:rsid w:val="004A4AFC"/>
    <w:rsid w:val="004A650E"/>
    <w:rsid w:val="004A65CC"/>
    <w:rsid w:val="004A7A0C"/>
    <w:rsid w:val="004B24AA"/>
    <w:rsid w:val="004B62D7"/>
    <w:rsid w:val="004B7B3B"/>
    <w:rsid w:val="004C0414"/>
    <w:rsid w:val="004C19CF"/>
    <w:rsid w:val="004C20AD"/>
    <w:rsid w:val="004C2F44"/>
    <w:rsid w:val="004C37D7"/>
    <w:rsid w:val="004C5E3E"/>
    <w:rsid w:val="004C64D2"/>
    <w:rsid w:val="004D0C4E"/>
    <w:rsid w:val="004D0E4E"/>
    <w:rsid w:val="004D2647"/>
    <w:rsid w:val="004D2AB3"/>
    <w:rsid w:val="004D3244"/>
    <w:rsid w:val="004D4B95"/>
    <w:rsid w:val="004D5124"/>
    <w:rsid w:val="004D6E00"/>
    <w:rsid w:val="004D76E8"/>
    <w:rsid w:val="004E09B4"/>
    <w:rsid w:val="004E104D"/>
    <w:rsid w:val="004E2473"/>
    <w:rsid w:val="004E3AC7"/>
    <w:rsid w:val="004E3EDD"/>
    <w:rsid w:val="004E4616"/>
    <w:rsid w:val="004E5026"/>
    <w:rsid w:val="004E67D0"/>
    <w:rsid w:val="004E69C8"/>
    <w:rsid w:val="004E6F74"/>
    <w:rsid w:val="004E7FC6"/>
    <w:rsid w:val="004F327E"/>
    <w:rsid w:val="004F4C17"/>
    <w:rsid w:val="004F5EF7"/>
    <w:rsid w:val="004F670A"/>
    <w:rsid w:val="004F76A1"/>
    <w:rsid w:val="00500932"/>
    <w:rsid w:val="005039C2"/>
    <w:rsid w:val="0050452E"/>
    <w:rsid w:val="00504679"/>
    <w:rsid w:val="0050532A"/>
    <w:rsid w:val="0050545A"/>
    <w:rsid w:val="00505BBE"/>
    <w:rsid w:val="00506E22"/>
    <w:rsid w:val="00507AEC"/>
    <w:rsid w:val="00513375"/>
    <w:rsid w:val="00514F11"/>
    <w:rsid w:val="005150B4"/>
    <w:rsid w:val="0051613E"/>
    <w:rsid w:val="00524F3A"/>
    <w:rsid w:val="00525229"/>
    <w:rsid w:val="005253A7"/>
    <w:rsid w:val="005256CA"/>
    <w:rsid w:val="00527322"/>
    <w:rsid w:val="005323ED"/>
    <w:rsid w:val="005328BC"/>
    <w:rsid w:val="00532F4D"/>
    <w:rsid w:val="00536023"/>
    <w:rsid w:val="00536B2B"/>
    <w:rsid w:val="00540F07"/>
    <w:rsid w:val="005411A3"/>
    <w:rsid w:val="005425FA"/>
    <w:rsid w:val="00542758"/>
    <w:rsid w:val="00544646"/>
    <w:rsid w:val="00544BD6"/>
    <w:rsid w:val="0054737E"/>
    <w:rsid w:val="0055012B"/>
    <w:rsid w:val="00550A4F"/>
    <w:rsid w:val="00551EBC"/>
    <w:rsid w:val="005545C0"/>
    <w:rsid w:val="00560739"/>
    <w:rsid w:val="005607EA"/>
    <w:rsid w:val="005617A7"/>
    <w:rsid w:val="00561B02"/>
    <w:rsid w:val="00563EC7"/>
    <w:rsid w:val="005642D2"/>
    <w:rsid w:val="005652CD"/>
    <w:rsid w:val="00567105"/>
    <w:rsid w:val="005719A4"/>
    <w:rsid w:val="00571CB6"/>
    <w:rsid w:val="00571D5C"/>
    <w:rsid w:val="00572B97"/>
    <w:rsid w:val="00573588"/>
    <w:rsid w:val="0057369D"/>
    <w:rsid w:val="005741BC"/>
    <w:rsid w:val="005744A1"/>
    <w:rsid w:val="005757D0"/>
    <w:rsid w:val="00577A5D"/>
    <w:rsid w:val="00577F67"/>
    <w:rsid w:val="00582DE9"/>
    <w:rsid w:val="00584E4A"/>
    <w:rsid w:val="00584EF2"/>
    <w:rsid w:val="00585CE4"/>
    <w:rsid w:val="00585D53"/>
    <w:rsid w:val="00587493"/>
    <w:rsid w:val="00590AB1"/>
    <w:rsid w:val="00590C76"/>
    <w:rsid w:val="00591547"/>
    <w:rsid w:val="0059171A"/>
    <w:rsid w:val="00594C9C"/>
    <w:rsid w:val="00595493"/>
    <w:rsid w:val="00595D09"/>
    <w:rsid w:val="005961BD"/>
    <w:rsid w:val="0059678D"/>
    <w:rsid w:val="0059712D"/>
    <w:rsid w:val="005A1A1D"/>
    <w:rsid w:val="005A1C58"/>
    <w:rsid w:val="005A272F"/>
    <w:rsid w:val="005A2C4A"/>
    <w:rsid w:val="005A4928"/>
    <w:rsid w:val="005B06D5"/>
    <w:rsid w:val="005B0C06"/>
    <w:rsid w:val="005B233F"/>
    <w:rsid w:val="005B2C38"/>
    <w:rsid w:val="005B32C3"/>
    <w:rsid w:val="005B366D"/>
    <w:rsid w:val="005B4540"/>
    <w:rsid w:val="005B491A"/>
    <w:rsid w:val="005B4A1E"/>
    <w:rsid w:val="005B627B"/>
    <w:rsid w:val="005B6EA5"/>
    <w:rsid w:val="005B7031"/>
    <w:rsid w:val="005B718E"/>
    <w:rsid w:val="005C0047"/>
    <w:rsid w:val="005C0CE8"/>
    <w:rsid w:val="005C185A"/>
    <w:rsid w:val="005C41B1"/>
    <w:rsid w:val="005C75F5"/>
    <w:rsid w:val="005D0463"/>
    <w:rsid w:val="005D1958"/>
    <w:rsid w:val="005D1F97"/>
    <w:rsid w:val="005D5EA6"/>
    <w:rsid w:val="005D666E"/>
    <w:rsid w:val="005D66C6"/>
    <w:rsid w:val="005E1C2D"/>
    <w:rsid w:val="005E1D0A"/>
    <w:rsid w:val="005E313B"/>
    <w:rsid w:val="005E37B2"/>
    <w:rsid w:val="005E3830"/>
    <w:rsid w:val="005E4554"/>
    <w:rsid w:val="005E462D"/>
    <w:rsid w:val="005E56F8"/>
    <w:rsid w:val="005E6146"/>
    <w:rsid w:val="005E63CD"/>
    <w:rsid w:val="005F0257"/>
    <w:rsid w:val="005F197B"/>
    <w:rsid w:val="005F297D"/>
    <w:rsid w:val="005F4D45"/>
    <w:rsid w:val="005F5CA6"/>
    <w:rsid w:val="005F61A8"/>
    <w:rsid w:val="005F6DFA"/>
    <w:rsid w:val="005F7DB3"/>
    <w:rsid w:val="00602A0C"/>
    <w:rsid w:val="00602B14"/>
    <w:rsid w:val="00603123"/>
    <w:rsid w:val="00604C53"/>
    <w:rsid w:val="00604E5A"/>
    <w:rsid w:val="00605CF9"/>
    <w:rsid w:val="00606A48"/>
    <w:rsid w:val="00610693"/>
    <w:rsid w:val="0061103E"/>
    <w:rsid w:val="00611842"/>
    <w:rsid w:val="00611B4A"/>
    <w:rsid w:val="00612F83"/>
    <w:rsid w:val="0061344F"/>
    <w:rsid w:val="00614544"/>
    <w:rsid w:val="0061721B"/>
    <w:rsid w:val="006204EC"/>
    <w:rsid w:val="00620654"/>
    <w:rsid w:val="00621561"/>
    <w:rsid w:val="0062247A"/>
    <w:rsid w:val="00622781"/>
    <w:rsid w:val="0062312A"/>
    <w:rsid w:val="00625A43"/>
    <w:rsid w:val="006306E4"/>
    <w:rsid w:val="00634A80"/>
    <w:rsid w:val="006408D0"/>
    <w:rsid w:val="00642F06"/>
    <w:rsid w:val="0064413E"/>
    <w:rsid w:val="00646043"/>
    <w:rsid w:val="00646310"/>
    <w:rsid w:val="00646CCC"/>
    <w:rsid w:val="0065052C"/>
    <w:rsid w:val="00651131"/>
    <w:rsid w:val="0065254B"/>
    <w:rsid w:val="00652670"/>
    <w:rsid w:val="00652835"/>
    <w:rsid w:val="006528E4"/>
    <w:rsid w:val="00653641"/>
    <w:rsid w:val="00653FAD"/>
    <w:rsid w:val="006542F7"/>
    <w:rsid w:val="00655733"/>
    <w:rsid w:val="00655B6B"/>
    <w:rsid w:val="00660474"/>
    <w:rsid w:val="006620C7"/>
    <w:rsid w:val="00664824"/>
    <w:rsid w:val="00664FF4"/>
    <w:rsid w:val="006651BF"/>
    <w:rsid w:val="00665291"/>
    <w:rsid w:val="00666714"/>
    <w:rsid w:val="00667897"/>
    <w:rsid w:val="006703F0"/>
    <w:rsid w:val="00671067"/>
    <w:rsid w:val="00671AB3"/>
    <w:rsid w:val="006725A1"/>
    <w:rsid w:val="0067264D"/>
    <w:rsid w:val="00672837"/>
    <w:rsid w:val="00672E5F"/>
    <w:rsid w:val="00673C0A"/>
    <w:rsid w:val="00676C6B"/>
    <w:rsid w:val="0067770B"/>
    <w:rsid w:val="006823ED"/>
    <w:rsid w:val="00684E1E"/>
    <w:rsid w:val="00685DDD"/>
    <w:rsid w:val="00687935"/>
    <w:rsid w:val="0069079A"/>
    <w:rsid w:val="00693BF1"/>
    <w:rsid w:val="00693DFC"/>
    <w:rsid w:val="006944D2"/>
    <w:rsid w:val="006954D2"/>
    <w:rsid w:val="00695E22"/>
    <w:rsid w:val="00697634"/>
    <w:rsid w:val="006A162D"/>
    <w:rsid w:val="006A31DF"/>
    <w:rsid w:val="006A5575"/>
    <w:rsid w:val="006A60F6"/>
    <w:rsid w:val="006A693E"/>
    <w:rsid w:val="006A6EFC"/>
    <w:rsid w:val="006B1344"/>
    <w:rsid w:val="006B1CB9"/>
    <w:rsid w:val="006B3C21"/>
    <w:rsid w:val="006B5FF0"/>
    <w:rsid w:val="006B600F"/>
    <w:rsid w:val="006C0F53"/>
    <w:rsid w:val="006C122E"/>
    <w:rsid w:val="006C2915"/>
    <w:rsid w:val="006C39E5"/>
    <w:rsid w:val="006C4370"/>
    <w:rsid w:val="006C471F"/>
    <w:rsid w:val="006C490D"/>
    <w:rsid w:val="006C59CD"/>
    <w:rsid w:val="006C6246"/>
    <w:rsid w:val="006C72A8"/>
    <w:rsid w:val="006C7E06"/>
    <w:rsid w:val="006D09A1"/>
    <w:rsid w:val="006D118A"/>
    <w:rsid w:val="006D25EB"/>
    <w:rsid w:val="006D2841"/>
    <w:rsid w:val="006D28F1"/>
    <w:rsid w:val="006D64B5"/>
    <w:rsid w:val="006D7FA1"/>
    <w:rsid w:val="006E1370"/>
    <w:rsid w:val="006E1507"/>
    <w:rsid w:val="006E36D1"/>
    <w:rsid w:val="006E3FCE"/>
    <w:rsid w:val="006E4067"/>
    <w:rsid w:val="006E451D"/>
    <w:rsid w:val="006E55E3"/>
    <w:rsid w:val="006E73E9"/>
    <w:rsid w:val="006E7BD1"/>
    <w:rsid w:val="006E7BEC"/>
    <w:rsid w:val="006F06D6"/>
    <w:rsid w:val="006F29A8"/>
    <w:rsid w:val="006F355E"/>
    <w:rsid w:val="006F4FB5"/>
    <w:rsid w:val="006F5B22"/>
    <w:rsid w:val="006F6E99"/>
    <w:rsid w:val="00703124"/>
    <w:rsid w:val="007031BD"/>
    <w:rsid w:val="0070470F"/>
    <w:rsid w:val="00710E77"/>
    <w:rsid w:val="00711308"/>
    <w:rsid w:val="0071284D"/>
    <w:rsid w:val="00713B2A"/>
    <w:rsid w:val="00713E58"/>
    <w:rsid w:val="00713FA6"/>
    <w:rsid w:val="00714227"/>
    <w:rsid w:val="00716EE0"/>
    <w:rsid w:val="00717368"/>
    <w:rsid w:val="00720A0C"/>
    <w:rsid w:val="00722ABF"/>
    <w:rsid w:val="0072347E"/>
    <w:rsid w:val="007235F4"/>
    <w:rsid w:val="00723976"/>
    <w:rsid w:val="00723BDA"/>
    <w:rsid w:val="00724C7F"/>
    <w:rsid w:val="00725C95"/>
    <w:rsid w:val="007303FB"/>
    <w:rsid w:val="00736F75"/>
    <w:rsid w:val="00736F85"/>
    <w:rsid w:val="00737A34"/>
    <w:rsid w:val="0074084E"/>
    <w:rsid w:val="007409D9"/>
    <w:rsid w:val="00742186"/>
    <w:rsid w:val="00742187"/>
    <w:rsid w:val="00745597"/>
    <w:rsid w:val="00746FFF"/>
    <w:rsid w:val="00747459"/>
    <w:rsid w:val="00752063"/>
    <w:rsid w:val="00752D6E"/>
    <w:rsid w:val="007532E7"/>
    <w:rsid w:val="0075441F"/>
    <w:rsid w:val="00754F41"/>
    <w:rsid w:val="007553A2"/>
    <w:rsid w:val="0075572D"/>
    <w:rsid w:val="00755C2E"/>
    <w:rsid w:val="00756060"/>
    <w:rsid w:val="00757882"/>
    <w:rsid w:val="0076064F"/>
    <w:rsid w:val="00761490"/>
    <w:rsid w:val="00761D2E"/>
    <w:rsid w:val="00762A48"/>
    <w:rsid w:val="0076321F"/>
    <w:rsid w:val="00763AC6"/>
    <w:rsid w:val="00764ECF"/>
    <w:rsid w:val="007677A6"/>
    <w:rsid w:val="00767FA4"/>
    <w:rsid w:val="00770055"/>
    <w:rsid w:val="007700F5"/>
    <w:rsid w:val="00770AFB"/>
    <w:rsid w:val="00770BEE"/>
    <w:rsid w:val="007714A7"/>
    <w:rsid w:val="00773389"/>
    <w:rsid w:val="0077481B"/>
    <w:rsid w:val="00774D5A"/>
    <w:rsid w:val="00776465"/>
    <w:rsid w:val="007765CF"/>
    <w:rsid w:val="007766CA"/>
    <w:rsid w:val="00776EF3"/>
    <w:rsid w:val="00776F78"/>
    <w:rsid w:val="00777669"/>
    <w:rsid w:val="007808F9"/>
    <w:rsid w:val="007818F0"/>
    <w:rsid w:val="007830D1"/>
    <w:rsid w:val="007850D2"/>
    <w:rsid w:val="0078713B"/>
    <w:rsid w:val="007903A7"/>
    <w:rsid w:val="00790504"/>
    <w:rsid w:val="007916C8"/>
    <w:rsid w:val="00791D67"/>
    <w:rsid w:val="007935D1"/>
    <w:rsid w:val="00793B51"/>
    <w:rsid w:val="0079576D"/>
    <w:rsid w:val="00795B3E"/>
    <w:rsid w:val="007965E9"/>
    <w:rsid w:val="00796A57"/>
    <w:rsid w:val="007970A5"/>
    <w:rsid w:val="007A006E"/>
    <w:rsid w:val="007A42CB"/>
    <w:rsid w:val="007A4F9A"/>
    <w:rsid w:val="007A651D"/>
    <w:rsid w:val="007A67D5"/>
    <w:rsid w:val="007A6970"/>
    <w:rsid w:val="007A7415"/>
    <w:rsid w:val="007B25B1"/>
    <w:rsid w:val="007B2DCE"/>
    <w:rsid w:val="007B3A53"/>
    <w:rsid w:val="007B66DD"/>
    <w:rsid w:val="007B683C"/>
    <w:rsid w:val="007B6CE8"/>
    <w:rsid w:val="007B72A1"/>
    <w:rsid w:val="007B755C"/>
    <w:rsid w:val="007C2A13"/>
    <w:rsid w:val="007C3CC5"/>
    <w:rsid w:val="007C4BA8"/>
    <w:rsid w:val="007C634D"/>
    <w:rsid w:val="007C6AE9"/>
    <w:rsid w:val="007D2DD2"/>
    <w:rsid w:val="007D4856"/>
    <w:rsid w:val="007D4BDE"/>
    <w:rsid w:val="007D61C6"/>
    <w:rsid w:val="007D6602"/>
    <w:rsid w:val="007D6AE3"/>
    <w:rsid w:val="007D6C49"/>
    <w:rsid w:val="007E01C2"/>
    <w:rsid w:val="007E0AB2"/>
    <w:rsid w:val="007E1222"/>
    <w:rsid w:val="007E2104"/>
    <w:rsid w:val="007E23AC"/>
    <w:rsid w:val="007E2DF6"/>
    <w:rsid w:val="007E6127"/>
    <w:rsid w:val="007E64D1"/>
    <w:rsid w:val="007E6ECA"/>
    <w:rsid w:val="007E74C0"/>
    <w:rsid w:val="007F061F"/>
    <w:rsid w:val="007F17C3"/>
    <w:rsid w:val="007F25FD"/>
    <w:rsid w:val="007F4D85"/>
    <w:rsid w:val="007F534C"/>
    <w:rsid w:val="007F59E6"/>
    <w:rsid w:val="007F5FC8"/>
    <w:rsid w:val="007F6A39"/>
    <w:rsid w:val="00800975"/>
    <w:rsid w:val="008011EA"/>
    <w:rsid w:val="008020CB"/>
    <w:rsid w:val="008038D7"/>
    <w:rsid w:val="00803A3B"/>
    <w:rsid w:val="00810C72"/>
    <w:rsid w:val="00814D97"/>
    <w:rsid w:val="00814E2C"/>
    <w:rsid w:val="008152B4"/>
    <w:rsid w:val="008155C1"/>
    <w:rsid w:val="00817977"/>
    <w:rsid w:val="008220C6"/>
    <w:rsid w:val="0082373D"/>
    <w:rsid w:val="008239F9"/>
    <w:rsid w:val="00823FD1"/>
    <w:rsid w:val="00826771"/>
    <w:rsid w:val="00826F75"/>
    <w:rsid w:val="00831C30"/>
    <w:rsid w:val="008340DF"/>
    <w:rsid w:val="0083612A"/>
    <w:rsid w:val="008363F3"/>
    <w:rsid w:val="00840116"/>
    <w:rsid w:val="008419B1"/>
    <w:rsid w:val="008421AF"/>
    <w:rsid w:val="00842AB4"/>
    <w:rsid w:val="00844FC3"/>
    <w:rsid w:val="00846743"/>
    <w:rsid w:val="00847403"/>
    <w:rsid w:val="008533E5"/>
    <w:rsid w:val="00853442"/>
    <w:rsid w:val="0085353C"/>
    <w:rsid w:val="00854EED"/>
    <w:rsid w:val="008564FA"/>
    <w:rsid w:val="00856B0E"/>
    <w:rsid w:val="008576D7"/>
    <w:rsid w:val="00857924"/>
    <w:rsid w:val="008579B4"/>
    <w:rsid w:val="00857EDA"/>
    <w:rsid w:val="00860206"/>
    <w:rsid w:val="00860FEE"/>
    <w:rsid w:val="0086119C"/>
    <w:rsid w:val="00862309"/>
    <w:rsid w:val="008623BE"/>
    <w:rsid w:val="00863010"/>
    <w:rsid w:val="008643D4"/>
    <w:rsid w:val="00864573"/>
    <w:rsid w:val="00867C35"/>
    <w:rsid w:val="008700E9"/>
    <w:rsid w:val="00872564"/>
    <w:rsid w:val="00874317"/>
    <w:rsid w:val="00874EAA"/>
    <w:rsid w:val="0087601F"/>
    <w:rsid w:val="00876B78"/>
    <w:rsid w:val="00877972"/>
    <w:rsid w:val="00880056"/>
    <w:rsid w:val="00882B6F"/>
    <w:rsid w:val="00884891"/>
    <w:rsid w:val="00884C6A"/>
    <w:rsid w:val="008912D2"/>
    <w:rsid w:val="00891A94"/>
    <w:rsid w:val="00891FCC"/>
    <w:rsid w:val="008933D0"/>
    <w:rsid w:val="0089537F"/>
    <w:rsid w:val="00895A5D"/>
    <w:rsid w:val="00897689"/>
    <w:rsid w:val="008A060F"/>
    <w:rsid w:val="008A1C8A"/>
    <w:rsid w:val="008A2B8F"/>
    <w:rsid w:val="008A4C28"/>
    <w:rsid w:val="008A64CE"/>
    <w:rsid w:val="008B12B1"/>
    <w:rsid w:val="008B1836"/>
    <w:rsid w:val="008B5DDC"/>
    <w:rsid w:val="008C042D"/>
    <w:rsid w:val="008C08EC"/>
    <w:rsid w:val="008C4894"/>
    <w:rsid w:val="008C64EF"/>
    <w:rsid w:val="008C7BAA"/>
    <w:rsid w:val="008D25F0"/>
    <w:rsid w:val="008D54E9"/>
    <w:rsid w:val="008E253E"/>
    <w:rsid w:val="008E2604"/>
    <w:rsid w:val="008E3350"/>
    <w:rsid w:val="008E33D7"/>
    <w:rsid w:val="008E3CD4"/>
    <w:rsid w:val="008E4197"/>
    <w:rsid w:val="008E448F"/>
    <w:rsid w:val="008E61A8"/>
    <w:rsid w:val="008E64C3"/>
    <w:rsid w:val="008E7611"/>
    <w:rsid w:val="008F0559"/>
    <w:rsid w:val="008F1BED"/>
    <w:rsid w:val="008F3C48"/>
    <w:rsid w:val="008F4D20"/>
    <w:rsid w:val="008F733B"/>
    <w:rsid w:val="008F77DC"/>
    <w:rsid w:val="008F791D"/>
    <w:rsid w:val="008F7FA3"/>
    <w:rsid w:val="00901E94"/>
    <w:rsid w:val="00902D9C"/>
    <w:rsid w:val="00903278"/>
    <w:rsid w:val="0090334D"/>
    <w:rsid w:val="0090538C"/>
    <w:rsid w:val="00906387"/>
    <w:rsid w:val="00906CEE"/>
    <w:rsid w:val="0090781E"/>
    <w:rsid w:val="00910D7F"/>
    <w:rsid w:val="00913522"/>
    <w:rsid w:val="00913529"/>
    <w:rsid w:val="00915FAF"/>
    <w:rsid w:val="009162AB"/>
    <w:rsid w:val="00916818"/>
    <w:rsid w:val="00916A18"/>
    <w:rsid w:val="00916DAC"/>
    <w:rsid w:val="0091764C"/>
    <w:rsid w:val="00917F14"/>
    <w:rsid w:val="00920486"/>
    <w:rsid w:val="0092133A"/>
    <w:rsid w:val="0092313C"/>
    <w:rsid w:val="009232CC"/>
    <w:rsid w:val="00923A6A"/>
    <w:rsid w:val="00923CE1"/>
    <w:rsid w:val="00924809"/>
    <w:rsid w:val="009254E3"/>
    <w:rsid w:val="00925BD3"/>
    <w:rsid w:val="00926257"/>
    <w:rsid w:val="00927B91"/>
    <w:rsid w:val="009335D6"/>
    <w:rsid w:val="009339F2"/>
    <w:rsid w:val="009352E5"/>
    <w:rsid w:val="009424C1"/>
    <w:rsid w:val="0094260E"/>
    <w:rsid w:val="00943709"/>
    <w:rsid w:val="009449FC"/>
    <w:rsid w:val="009451FA"/>
    <w:rsid w:val="00945720"/>
    <w:rsid w:val="00947B38"/>
    <w:rsid w:val="00947C2B"/>
    <w:rsid w:val="0095006F"/>
    <w:rsid w:val="009534F3"/>
    <w:rsid w:val="00953AD1"/>
    <w:rsid w:val="00953F8D"/>
    <w:rsid w:val="00954DAF"/>
    <w:rsid w:val="00955F5B"/>
    <w:rsid w:val="00955FF0"/>
    <w:rsid w:val="00957ADE"/>
    <w:rsid w:val="00963F0E"/>
    <w:rsid w:val="00964BF7"/>
    <w:rsid w:val="00965615"/>
    <w:rsid w:val="009656C0"/>
    <w:rsid w:val="00965CB0"/>
    <w:rsid w:val="00966F45"/>
    <w:rsid w:val="00971409"/>
    <w:rsid w:val="00971F59"/>
    <w:rsid w:val="00972B5C"/>
    <w:rsid w:val="00973F8C"/>
    <w:rsid w:val="00975E08"/>
    <w:rsid w:val="00976F4A"/>
    <w:rsid w:val="0097706D"/>
    <w:rsid w:val="00981620"/>
    <w:rsid w:val="009818DC"/>
    <w:rsid w:val="00981F2A"/>
    <w:rsid w:val="0098579B"/>
    <w:rsid w:val="00986457"/>
    <w:rsid w:val="00986AF6"/>
    <w:rsid w:val="00987EED"/>
    <w:rsid w:val="00990CAC"/>
    <w:rsid w:val="0099184A"/>
    <w:rsid w:val="00991917"/>
    <w:rsid w:val="00992333"/>
    <w:rsid w:val="00992998"/>
    <w:rsid w:val="0099470F"/>
    <w:rsid w:val="00995512"/>
    <w:rsid w:val="00996FAF"/>
    <w:rsid w:val="00997336"/>
    <w:rsid w:val="009A108C"/>
    <w:rsid w:val="009A2554"/>
    <w:rsid w:val="009A4689"/>
    <w:rsid w:val="009A4979"/>
    <w:rsid w:val="009A5669"/>
    <w:rsid w:val="009A69C5"/>
    <w:rsid w:val="009B15B7"/>
    <w:rsid w:val="009B18EF"/>
    <w:rsid w:val="009B2B04"/>
    <w:rsid w:val="009B3E49"/>
    <w:rsid w:val="009B4EA4"/>
    <w:rsid w:val="009B52C6"/>
    <w:rsid w:val="009B54FD"/>
    <w:rsid w:val="009B5D4D"/>
    <w:rsid w:val="009B67CD"/>
    <w:rsid w:val="009B68C4"/>
    <w:rsid w:val="009B7330"/>
    <w:rsid w:val="009B7757"/>
    <w:rsid w:val="009B7E61"/>
    <w:rsid w:val="009C03E1"/>
    <w:rsid w:val="009C1AB6"/>
    <w:rsid w:val="009C1F64"/>
    <w:rsid w:val="009C3C61"/>
    <w:rsid w:val="009C5A30"/>
    <w:rsid w:val="009C60A1"/>
    <w:rsid w:val="009C6BF3"/>
    <w:rsid w:val="009C7C87"/>
    <w:rsid w:val="009C7E50"/>
    <w:rsid w:val="009D102E"/>
    <w:rsid w:val="009D142C"/>
    <w:rsid w:val="009D2B1E"/>
    <w:rsid w:val="009D32C0"/>
    <w:rsid w:val="009D381E"/>
    <w:rsid w:val="009D38BF"/>
    <w:rsid w:val="009D3BA6"/>
    <w:rsid w:val="009D5322"/>
    <w:rsid w:val="009D5490"/>
    <w:rsid w:val="009D58D0"/>
    <w:rsid w:val="009D6D82"/>
    <w:rsid w:val="009D7707"/>
    <w:rsid w:val="009D7E52"/>
    <w:rsid w:val="009E0AB5"/>
    <w:rsid w:val="009E1870"/>
    <w:rsid w:val="009E18E8"/>
    <w:rsid w:val="009E2676"/>
    <w:rsid w:val="009E2FE6"/>
    <w:rsid w:val="009E37E9"/>
    <w:rsid w:val="009E4BD3"/>
    <w:rsid w:val="009E5DC3"/>
    <w:rsid w:val="009E5FE1"/>
    <w:rsid w:val="009F0EE7"/>
    <w:rsid w:val="009F1656"/>
    <w:rsid w:val="009F1C6C"/>
    <w:rsid w:val="009F1E77"/>
    <w:rsid w:val="009F2B73"/>
    <w:rsid w:val="009F36CB"/>
    <w:rsid w:val="009F3F0E"/>
    <w:rsid w:val="009F45B2"/>
    <w:rsid w:val="009F4946"/>
    <w:rsid w:val="009F6A51"/>
    <w:rsid w:val="00A0395F"/>
    <w:rsid w:val="00A041FF"/>
    <w:rsid w:val="00A06F97"/>
    <w:rsid w:val="00A0737E"/>
    <w:rsid w:val="00A12959"/>
    <w:rsid w:val="00A12A37"/>
    <w:rsid w:val="00A13015"/>
    <w:rsid w:val="00A1303E"/>
    <w:rsid w:val="00A138F1"/>
    <w:rsid w:val="00A13AAE"/>
    <w:rsid w:val="00A13B21"/>
    <w:rsid w:val="00A15A4E"/>
    <w:rsid w:val="00A15FAA"/>
    <w:rsid w:val="00A16F23"/>
    <w:rsid w:val="00A22EAD"/>
    <w:rsid w:val="00A23704"/>
    <w:rsid w:val="00A237A5"/>
    <w:rsid w:val="00A23838"/>
    <w:rsid w:val="00A243D2"/>
    <w:rsid w:val="00A248D1"/>
    <w:rsid w:val="00A2639A"/>
    <w:rsid w:val="00A2647A"/>
    <w:rsid w:val="00A2733F"/>
    <w:rsid w:val="00A2747F"/>
    <w:rsid w:val="00A30E9D"/>
    <w:rsid w:val="00A31760"/>
    <w:rsid w:val="00A3349F"/>
    <w:rsid w:val="00A33890"/>
    <w:rsid w:val="00A33F73"/>
    <w:rsid w:val="00A34F59"/>
    <w:rsid w:val="00A354EF"/>
    <w:rsid w:val="00A35F1A"/>
    <w:rsid w:val="00A366BB"/>
    <w:rsid w:val="00A36AB0"/>
    <w:rsid w:val="00A37653"/>
    <w:rsid w:val="00A40757"/>
    <w:rsid w:val="00A420A0"/>
    <w:rsid w:val="00A422AC"/>
    <w:rsid w:val="00A43C29"/>
    <w:rsid w:val="00A4458C"/>
    <w:rsid w:val="00A45BBC"/>
    <w:rsid w:val="00A46015"/>
    <w:rsid w:val="00A46182"/>
    <w:rsid w:val="00A51011"/>
    <w:rsid w:val="00A53E5A"/>
    <w:rsid w:val="00A5526A"/>
    <w:rsid w:val="00A55440"/>
    <w:rsid w:val="00A559E1"/>
    <w:rsid w:val="00A603C6"/>
    <w:rsid w:val="00A63DDE"/>
    <w:rsid w:val="00A64F3E"/>
    <w:rsid w:val="00A64FA6"/>
    <w:rsid w:val="00A6553A"/>
    <w:rsid w:val="00A66161"/>
    <w:rsid w:val="00A67A99"/>
    <w:rsid w:val="00A70D00"/>
    <w:rsid w:val="00A70EB3"/>
    <w:rsid w:val="00A71DCE"/>
    <w:rsid w:val="00A7336D"/>
    <w:rsid w:val="00A7388A"/>
    <w:rsid w:val="00A75B55"/>
    <w:rsid w:val="00A763B3"/>
    <w:rsid w:val="00A768AA"/>
    <w:rsid w:val="00A7764D"/>
    <w:rsid w:val="00A80E5F"/>
    <w:rsid w:val="00A847FD"/>
    <w:rsid w:val="00A85110"/>
    <w:rsid w:val="00A85D39"/>
    <w:rsid w:val="00A85DCA"/>
    <w:rsid w:val="00A877F8"/>
    <w:rsid w:val="00A91CD2"/>
    <w:rsid w:val="00A92A7A"/>
    <w:rsid w:val="00A935B9"/>
    <w:rsid w:val="00A946B3"/>
    <w:rsid w:val="00A95AF1"/>
    <w:rsid w:val="00A95FBC"/>
    <w:rsid w:val="00AA4C15"/>
    <w:rsid w:val="00AA4EEA"/>
    <w:rsid w:val="00AA5206"/>
    <w:rsid w:val="00AA6100"/>
    <w:rsid w:val="00AA64E9"/>
    <w:rsid w:val="00AA7365"/>
    <w:rsid w:val="00AA74EE"/>
    <w:rsid w:val="00AA79BD"/>
    <w:rsid w:val="00AA7B66"/>
    <w:rsid w:val="00AB09D4"/>
    <w:rsid w:val="00AB0C68"/>
    <w:rsid w:val="00AB0E33"/>
    <w:rsid w:val="00AB2EF5"/>
    <w:rsid w:val="00AB40B6"/>
    <w:rsid w:val="00AB67ED"/>
    <w:rsid w:val="00AB686A"/>
    <w:rsid w:val="00AB6E5D"/>
    <w:rsid w:val="00AB77A6"/>
    <w:rsid w:val="00AB7C37"/>
    <w:rsid w:val="00AC03F2"/>
    <w:rsid w:val="00AC0552"/>
    <w:rsid w:val="00AC173C"/>
    <w:rsid w:val="00AC17AA"/>
    <w:rsid w:val="00AC4BF1"/>
    <w:rsid w:val="00AC5B25"/>
    <w:rsid w:val="00AC76C3"/>
    <w:rsid w:val="00AD103F"/>
    <w:rsid w:val="00AD15E3"/>
    <w:rsid w:val="00AD2547"/>
    <w:rsid w:val="00AD6392"/>
    <w:rsid w:val="00AD7786"/>
    <w:rsid w:val="00AE01E1"/>
    <w:rsid w:val="00AE0C0C"/>
    <w:rsid w:val="00AE20E7"/>
    <w:rsid w:val="00AE2E22"/>
    <w:rsid w:val="00AE42DE"/>
    <w:rsid w:val="00AE47D2"/>
    <w:rsid w:val="00AE5FA3"/>
    <w:rsid w:val="00AF0D0B"/>
    <w:rsid w:val="00AF1343"/>
    <w:rsid w:val="00AF13E5"/>
    <w:rsid w:val="00AF1F63"/>
    <w:rsid w:val="00AF3D24"/>
    <w:rsid w:val="00AF3FFE"/>
    <w:rsid w:val="00AF40DA"/>
    <w:rsid w:val="00AF4182"/>
    <w:rsid w:val="00AF6CC0"/>
    <w:rsid w:val="00AF72EB"/>
    <w:rsid w:val="00B02154"/>
    <w:rsid w:val="00B033C2"/>
    <w:rsid w:val="00B033E6"/>
    <w:rsid w:val="00B051B6"/>
    <w:rsid w:val="00B064AA"/>
    <w:rsid w:val="00B06BF8"/>
    <w:rsid w:val="00B113C6"/>
    <w:rsid w:val="00B118F4"/>
    <w:rsid w:val="00B13BD5"/>
    <w:rsid w:val="00B13FAC"/>
    <w:rsid w:val="00B14E8E"/>
    <w:rsid w:val="00B15819"/>
    <w:rsid w:val="00B21212"/>
    <w:rsid w:val="00B26E0F"/>
    <w:rsid w:val="00B30A3C"/>
    <w:rsid w:val="00B30ACF"/>
    <w:rsid w:val="00B322E5"/>
    <w:rsid w:val="00B3270C"/>
    <w:rsid w:val="00B32E56"/>
    <w:rsid w:val="00B356BF"/>
    <w:rsid w:val="00B3581F"/>
    <w:rsid w:val="00B35E65"/>
    <w:rsid w:val="00B36080"/>
    <w:rsid w:val="00B37CAC"/>
    <w:rsid w:val="00B37D0A"/>
    <w:rsid w:val="00B37D95"/>
    <w:rsid w:val="00B37EA5"/>
    <w:rsid w:val="00B406FE"/>
    <w:rsid w:val="00B40E33"/>
    <w:rsid w:val="00B41ACD"/>
    <w:rsid w:val="00B42145"/>
    <w:rsid w:val="00B42385"/>
    <w:rsid w:val="00B43762"/>
    <w:rsid w:val="00B43C58"/>
    <w:rsid w:val="00B441DE"/>
    <w:rsid w:val="00B4472D"/>
    <w:rsid w:val="00B44AFB"/>
    <w:rsid w:val="00B4577F"/>
    <w:rsid w:val="00B45BCA"/>
    <w:rsid w:val="00B46E51"/>
    <w:rsid w:val="00B477D8"/>
    <w:rsid w:val="00B478E7"/>
    <w:rsid w:val="00B52273"/>
    <w:rsid w:val="00B523C3"/>
    <w:rsid w:val="00B52C5A"/>
    <w:rsid w:val="00B538A9"/>
    <w:rsid w:val="00B53D17"/>
    <w:rsid w:val="00B540A3"/>
    <w:rsid w:val="00B54127"/>
    <w:rsid w:val="00B558D9"/>
    <w:rsid w:val="00B55C06"/>
    <w:rsid w:val="00B55F7A"/>
    <w:rsid w:val="00B56970"/>
    <w:rsid w:val="00B57DD6"/>
    <w:rsid w:val="00B60879"/>
    <w:rsid w:val="00B616AF"/>
    <w:rsid w:val="00B631B4"/>
    <w:rsid w:val="00B63521"/>
    <w:rsid w:val="00B644D3"/>
    <w:rsid w:val="00B67186"/>
    <w:rsid w:val="00B7084C"/>
    <w:rsid w:val="00B7231B"/>
    <w:rsid w:val="00B725CF"/>
    <w:rsid w:val="00B72698"/>
    <w:rsid w:val="00B72E2D"/>
    <w:rsid w:val="00B7322A"/>
    <w:rsid w:val="00B73E6B"/>
    <w:rsid w:val="00B740DB"/>
    <w:rsid w:val="00B75F2E"/>
    <w:rsid w:val="00B76326"/>
    <w:rsid w:val="00B778FB"/>
    <w:rsid w:val="00B8008A"/>
    <w:rsid w:val="00B81FAA"/>
    <w:rsid w:val="00B83791"/>
    <w:rsid w:val="00B86504"/>
    <w:rsid w:val="00B92ABC"/>
    <w:rsid w:val="00B9371F"/>
    <w:rsid w:val="00B95390"/>
    <w:rsid w:val="00B95871"/>
    <w:rsid w:val="00B96C2C"/>
    <w:rsid w:val="00B97607"/>
    <w:rsid w:val="00B97C95"/>
    <w:rsid w:val="00B97EB6"/>
    <w:rsid w:val="00B97FC2"/>
    <w:rsid w:val="00BA0B32"/>
    <w:rsid w:val="00BA0EB1"/>
    <w:rsid w:val="00BA1D29"/>
    <w:rsid w:val="00BA2606"/>
    <w:rsid w:val="00BA3455"/>
    <w:rsid w:val="00BA53D3"/>
    <w:rsid w:val="00BA6380"/>
    <w:rsid w:val="00BB1E17"/>
    <w:rsid w:val="00BB2417"/>
    <w:rsid w:val="00BB3077"/>
    <w:rsid w:val="00BB338E"/>
    <w:rsid w:val="00BB3662"/>
    <w:rsid w:val="00BB3904"/>
    <w:rsid w:val="00BB3B96"/>
    <w:rsid w:val="00BB57D8"/>
    <w:rsid w:val="00BB62BA"/>
    <w:rsid w:val="00BC02A2"/>
    <w:rsid w:val="00BC0736"/>
    <w:rsid w:val="00BC08F2"/>
    <w:rsid w:val="00BC10FC"/>
    <w:rsid w:val="00BC249B"/>
    <w:rsid w:val="00BC25F7"/>
    <w:rsid w:val="00BC47DB"/>
    <w:rsid w:val="00BC4B2D"/>
    <w:rsid w:val="00BC53F3"/>
    <w:rsid w:val="00BD1D04"/>
    <w:rsid w:val="00BD35B6"/>
    <w:rsid w:val="00BD3A45"/>
    <w:rsid w:val="00BD3CAB"/>
    <w:rsid w:val="00BD52F4"/>
    <w:rsid w:val="00BD5721"/>
    <w:rsid w:val="00BD7C92"/>
    <w:rsid w:val="00BE0B7B"/>
    <w:rsid w:val="00BE0F21"/>
    <w:rsid w:val="00BE1E2D"/>
    <w:rsid w:val="00BE3183"/>
    <w:rsid w:val="00BE38A5"/>
    <w:rsid w:val="00BE4290"/>
    <w:rsid w:val="00BE4680"/>
    <w:rsid w:val="00BE6BA2"/>
    <w:rsid w:val="00BF28FE"/>
    <w:rsid w:val="00BF327B"/>
    <w:rsid w:val="00BF3D0E"/>
    <w:rsid w:val="00BF6E6C"/>
    <w:rsid w:val="00C00007"/>
    <w:rsid w:val="00C00BF4"/>
    <w:rsid w:val="00C00E63"/>
    <w:rsid w:val="00C013E8"/>
    <w:rsid w:val="00C01B05"/>
    <w:rsid w:val="00C01D8B"/>
    <w:rsid w:val="00C02886"/>
    <w:rsid w:val="00C04CE9"/>
    <w:rsid w:val="00C05416"/>
    <w:rsid w:val="00C05D20"/>
    <w:rsid w:val="00C07CEB"/>
    <w:rsid w:val="00C10600"/>
    <w:rsid w:val="00C10F5B"/>
    <w:rsid w:val="00C1523B"/>
    <w:rsid w:val="00C1634C"/>
    <w:rsid w:val="00C21FDA"/>
    <w:rsid w:val="00C22F03"/>
    <w:rsid w:val="00C23A98"/>
    <w:rsid w:val="00C241AE"/>
    <w:rsid w:val="00C27B5D"/>
    <w:rsid w:val="00C30346"/>
    <w:rsid w:val="00C30FAB"/>
    <w:rsid w:val="00C31559"/>
    <w:rsid w:val="00C34514"/>
    <w:rsid w:val="00C349FC"/>
    <w:rsid w:val="00C35C37"/>
    <w:rsid w:val="00C3769E"/>
    <w:rsid w:val="00C40C7D"/>
    <w:rsid w:val="00C43056"/>
    <w:rsid w:val="00C4474C"/>
    <w:rsid w:val="00C45F7C"/>
    <w:rsid w:val="00C46EE6"/>
    <w:rsid w:val="00C47289"/>
    <w:rsid w:val="00C47A86"/>
    <w:rsid w:val="00C47C75"/>
    <w:rsid w:val="00C50276"/>
    <w:rsid w:val="00C509E2"/>
    <w:rsid w:val="00C50B2D"/>
    <w:rsid w:val="00C50D40"/>
    <w:rsid w:val="00C53672"/>
    <w:rsid w:val="00C53B48"/>
    <w:rsid w:val="00C54F0A"/>
    <w:rsid w:val="00C54FF8"/>
    <w:rsid w:val="00C555A9"/>
    <w:rsid w:val="00C574E8"/>
    <w:rsid w:val="00C57D28"/>
    <w:rsid w:val="00C60FD7"/>
    <w:rsid w:val="00C61309"/>
    <w:rsid w:val="00C61531"/>
    <w:rsid w:val="00C61B35"/>
    <w:rsid w:val="00C62A31"/>
    <w:rsid w:val="00C62A9F"/>
    <w:rsid w:val="00C65BB4"/>
    <w:rsid w:val="00C65CF8"/>
    <w:rsid w:val="00C663B2"/>
    <w:rsid w:val="00C66CF3"/>
    <w:rsid w:val="00C6754B"/>
    <w:rsid w:val="00C715A1"/>
    <w:rsid w:val="00C717C1"/>
    <w:rsid w:val="00C7198F"/>
    <w:rsid w:val="00C71C1F"/>
    <w:rsid w:val="00C72B08"/>
    <w:rsid w:val="00C72F66"/>
    <w:rsid w:val="00C73616"/>
    <w:rsid w:val="00C73FFA"/>
    <w:rsid w:val="00C7583D"/>
    <w:rsid w:val="00C81E96"/>
    <w:rsid w:val="00C820FA"/>
    <w:rsid w:val="00C849FB"/>
    <w:rsid w:val="00C85844"/>
    <w:rsid w:val="00C85AB9"/>
    <w:rsid w:val="00C8665C"/>
    <w:rsid w:val="00C90787"/>
    <w:rsid w:val="00C90DA7"/>
    <w:rsid w:val="00C9105A"/>
    <w:rsid w:val="00C9144E"/>
    <w:rsid w:val="00C91720"/>
    <w:rsid w:val="00C91850"/>
    <w:rsid w:val="00C92E6E"/>
    <w:rsid w:val="00C936F6"/>
    <w:rsid w:val="00C9441B"/>
    <w:rsid w:val="00C95A6D"/>
    <w:rsid w:val="00C97D73"/>
    <w:rsid w:val="00CA02D5"/>
    <w:rsid w:val="00CA3170"/>
    <w:rsid w:val="00CA376A"/>
    <w:rsid w:val="00CA417B"/>
    <w:rsid w:val="00CA676A"/>
    <w:rsid w:val="00CA7965"/>
    <w:rsid w:val="00CA7C91"/>
    <w:rsid w:val="00CB0251"/>
    <w:rsid w:val="00CB119A"/>
    <w:rsid w:val="00CB5C4A"/>
    <w:rsid w:val="00CB5E3B"/>
    <w:rsid w:val="00CB6325"/>
    <w:rsid w:val="00CB6B5B"/>
    <w:rsid w:val="00CB7B59"/>
    <w:rsid w:val="00CC13FE"/>
    <w:rsid w:val="00CC1DD9"/>
    <w:rsid w:val="00CC2809"/>
    <w:rsid w:val="00CC2A84"/>
    <w:rsid w:val="00CC32A8"/>
    <w:rsid w:val="00CC3464"/>
    <w:rsid w:val="00CC48B4"/>
    <w:rsid w:val="00CC6CC5"/>
    <w:rsid w:val="00CD037B"/>
    <w:rsid w:val="00CD3A04"/>
    <w:rsid w:val="00CD4351"/>
    <w:rsid w:val="00CD48F2"/>
    <w:rsid w:val="00CD5EEA"/>
    <w:rsid w:val="00CD60EE"/>
    <w:rsid w:val="00CD6DA1"/>
    <w:rsid w:val="00CD70EC"/>
    <w:rsid w:val="00CD7521"/>
    <w:rsid w:val="00CD75FA"/>
    <w:rsid w:val="00CD7B3C"/>
    <w:rsid w:val="00CE0375"/>
    <w:rsid w:val="00CE13FF"/>
    <w:rsid w:val="00CE192F"/>
    <w:rsid w:val="00CE243E"/>
    <w:rsid w:val="00CE25D5"/>
    <w:rsid w:val="00CE3A67"/>
    <w:rsid w:val="00CE4D11"/>
    <w:rsid w:val="00CE52B1"/>
    <w:rsid w:val="00CE5925"/>
    <w:rsid w:val="00CF02EA"/>
    <w:rsid w:val="00CF3289"/>
    <w:rsid w:val="00CF3A0E"/>
    <w:rsid w:val="00CF4350"/>
    <w:rsid w:val="00CF4797"/>
    <w:rsid w:val="00CF6200"/>
    <w:rsid w:val="00D0083A"/>
    <w:rsid w:val="00D01418"/>
    <w:rsid w:val="00D02B96"/>
    <w:rsid w:val="00D02F5E"/>
    <w:rsid w:val="00D03BFC"/>
    <w:rsid w:val="00D041DD"/>
    <w:rsid w:val="00D04671"/>
    <w:rsid w:val="00D04C8E"/>
    <w:rsid w:val="00D059E0"/>
    <w:rsid w:val="00D06665"/>
    <w:rsid w:val="00D073AD"/>
    <w:rsid w:val="00D076B6"/>
    <w:rsid w:val="00D07C50"/>
    <w:rsid w:val="00D11584"/>
    <w:rsid w:val="00D127AF"/>
    <w:rsid w:val="00D13968"/>
    <w:rsid w:val="00D139DB"/>
    <w:rsid w:val="00D1406E"/>
    <w:rsid w:val="00D15E1B"/>
    <w:rsid w:val="00D17614"/>
    <w:rsid w:val="00D17805"/>
    <w:rsid w:val="00D17866"/>
    <w:rsid w:val="00D21B71"/>
    <w:rsid w:val="00D21ED8"/>
    <w:rsid w:val="00D2335A"/>
    <w:rsid w:val="00D23409"/>
    <w:rsid w:val="00D26B98"/>
    <w:rsid w:val="00D276DB"/>
    <w:rsid w:val="00D27B4D"/>
    <w:rsid w:val="00D305A8"/>
    <w:rsid w:val="00D32582"/>
    <w:rsid w:val="00D361AD"/>
    <w:rsid w:val="00D369FC"/>
    <w:rsid w:val="00D3732A"/>
    <w:rsid w:val="00D3758B"/>
    <w:rsid w:val="00D43636"/>
    <w:rsid w:val="00D43793"/>
    <w:rsid w:val="00D45D59"/>
    <w:rsid w:val="00D50F4E"/>
    <w:rsid w:val="00D51E47"/>
    <w:rsid w:val="00D5289B"/>
    <w:rsid w:val="00D52F81"/>
    <w:rsid w:val="00D530DA"/>
    <w:rsid w:val="00D5403A"/>
    <w:rsid w:val="00D54526"/>
    <w:rsid w:val="00D571DE"/>
    <w:rsid w:val="00D57E41"/>
    <w:rsid w:val="00D606AE"/>
    <w:rsid w:val="00D60BE8"/>
    <w:rsid w:val="00D60D68"/>
    <w:rsid w:val="00D62869"/>
    <w:rsid w:val="00D63D57"/>
    <w:rsid w:val="00D63DFA"/>
    <w:rsid w:val="00D671C9"/>
    <w:rsid w:val="00D70BD1"/>
    <w:rsid w:val="00D70CB7"/>
    <w:rsid w:val="00D71022"/>
    <w:rsid w:val="00D74453"/>
    <w:rsid w:val="00D744DF"/>
    <w:rsid w:val="00D75238"/>
    <w:rsid w:val="00D75CCE"/>
    <w:rsid w:val="00D7654C"/>
    <w:rsid w:val="00D76F50"/>
    <w:rsid w:val="00D76F81"/>
    <w:rsid w:val="00D773E8"/>
    <w:rsid w:val="00D8197A"/>
    <w:rsid w:val="00D824DA"/>
    <w:rsid w:val="00D824EA"/>
    <w:rsid w:val="00D83C19"/>
    <w:rsid w:val="00D87886"/>
    <w:rsid w:val="00D9152C"/>
    <w:rsid w:val="00D92012"/>
    <w:rsid w:val="00D924DD"/>
    <w:rsid w:val="00D9271D"/>
    <w:rsid w:val="00D96B29"/>
    <w:rsid w:val="00D96F19"/>
    <w:rsid w:val="00D97E8E"/>
    <w:rsid w:val="00D97EF6"/>
    <w:rsid w:val="00DA15BF"/>
    <w:rsid w:val="00DA293E"/>
    <w:rsid w:val="00DA3F07"/>
    <w:rsid w:val="00DA5520"/>
    <w:rsid w:val="00DA5B48"/>
    <w:rsid w:val="00DA6FC0"/>
    <w:rsid w:val="00DA7CAC"/>
    <w:rsid w:val="00DB192A"/>
    <w:rsid w:val="00DB1C68"/>
    <w:rsid w:val="00DB50DC"/>
    <w:rsid w:val="00DB5AB9"/>
    <w:rsid w:val="00DB6DA3"/>
    <w:rsid w:val="00DB72CD"/>
    <w:rsid w:val="00DC17C3"/>
    <w:rsid w:val="00DC2674"/>
    <w:rsid w:val="00DC3705"/>
    <w:rsid w:val="00DC39E8"/>
    <w:rsid w:val="00DC3EDD"/>
    <w:rsid w:val="00DC41A1"/>
    <w:rsid w:val="00DC43BA"/>
    <w:rsid w:val="00DC4DE8"/>
    <w:rsid w:val="00DC5565"/>
    <w:rsid w:val="00DC5F1F"/>
    <w:rsid w:val="00DC6A77"/>
    <w:rsid w:val="00DC6C38"/>
    <w:rsid w:val="00DC7538"/>
    <w:rsid w:val="00DD01B0"/>
    <w:rsid w:val="00DD23AF"/>
    <w:rsid w:val="00DD2623"/>
    <w:rsid w:val="00DD4B71"/>
    <w:rsid w:val="00DD5AD4"/>
    <w:rsid w:val="00DD5F9A"/>
    <w:rsid w:val="00DD7116"/>
    <w:rsid w:val="00DD7484"/>
    <w:rsid w:val="00DD7966"/>
    <w:rsid w:val="00DD7C06"/>
    <w:rsid w:val="00DE06DF"/>
    <w:rsid w:val="00DE278E"/>
    <w:rsid w:val="00DE3DBC"/>
    <w:rsid w:val="00DE464E"/>
    <w:rsid w:val="00DE4AF7"/>
    <w:rsid w:val="00DF072E"/>
    <w:rsid w:val="00DF1980"/>
    <w:rsid w:val="00DF25BB"/>
    <w:rsid w:val="00DF3066"/>
    <w:rsid w:val="00DF3AE9"/>
    <w:rsid w:val="00DF46AC"/>
    <w:rsid w:val="00DF733D"/>
    <w:rsid w:val="00DF75F2"/>
    <w:rsid w:val="00DF7A87"/>
    <w:rsid w:val="00E00E70"/>
    <w:rsid w:val="00E02711"/>
    <w:rsid w:val="00E0288D"/>
    <w:rsid w:val="00E03095"/>
    <w:rsid w:val="00E04403"/>
    <w:rsid w:val="00E05CF6"/>
    <w:rsid w:val="00E06157"/>
    <w:rsid w:val="00E100EE"/>
    <w:rsid w:val="00E1029F"/>
    <w:rsid w:val="00E10CC9"/>
    <w:rsid w:val="00E10D2E"/>
    <w:rsid w:val="00E114BA"/>
    <w:rsid w:val="00E127EE"/>
    <w:rsid w:val="00E14B6A"/>
    <w:rsid w:val="00E15FCF"/>
    <w:rsid w:val="00E1619E"/>
    <w:rsid w:val="00E1725A"/>
    <w:rsid w:val="00E21D97"/>
    <w:rsid w:val="00E2252C"/>
    <w:rsid w:val="00E228B2"/>
    <w:rsid w:val="00E23101"/>
    <w:rsid w:val="00E26559"/>
    <w:rsid w:val="00E2692B"/>
    <w:rsid w:val="00E30188"/>
    <w:rsid w:val="00E308D1"/>
    <w:rsid w:val="00E311FB"/>
    <w:rsid w:val="00E3362D"/>
    <w:rsid w:val="00E34942"/>
    <w:rsid w:val="00E34FB5"/>
    <w:rsid w:val="00E355AB"/>
    <w:rsid w:val="00E36BC9"/>
    <w:rsid w:val="00E40060"/>
    <w:rsid w:val="00E41EE6"/>
    <w:rsid w:val="00E42BEB"/>
    <w:rsid w:val="00E467D1"/>
    <w:rsid w:val="00E52780"/>
    <w:rsid w:val="00E54C6A"/>
    <w:rsid w:val="00E54F3E"/>
    <w:rsid w:val="00E551AF"/>
    <w:rsid w:val="00E553E6"/>
    <w:rsid w:val="00E554FF"/>
    <w:rsid w:val="00E55551"/>
    <w:rsid w:val="00E633BB"/>
    <w:rsid w:val="00E63E67"/>
    <w:rsid w:val="00E64435"/>
    <w:rsid w:val="00E64865"/>
    <w:rsid w:val="00E64C71"/>
    <w:rsid w:val="00E67001"/>
    <w:rsid w:val="00E67BAC"/>
    <w:rsid w:val="00E67F2D"/>
    <w:rsid w:val="00E67FB8"/>
    <w:rsid w:val="00E703ED"/>
    <w:rsid w:val="00E70D3C"/>
    <w:rsid w:val="00E7149A"/>
    <w:rsid w:val="00E7189C"/>
    <w:rsid w:val="00E737DC"/>
    <w:rsid w:val="00E749C0"/>
    <w:rsid w:val="00E768EF"/>
    <w:rsid w:val="00E76EAC"/>
    <w:rsid w:val="00E7774F"/>
    <w:rsid w:val="00E8001B"/>
    <w:rsid w:val="00E81E8B"/>
    <w:rsid w:val="00E8211C"/>
    <w:rsid w:val="00E8279E"/>
    <w:rsid w:val="00E82DFE"/>
    <w:rsid w:val="00E83F0B"/>
    <w:rsid w:val="00E84612"/>
    <w:rsid w:val="00E8500D"/>
    <w:rsid w:val="00E86103"/>
    <w:rsid w:val="00E86F7F"/>
    <w:rsid w:val="00E87429"/>
    <w:rsid w:val="00E90FDF"/>
    <w:rsid w:val="00E91356"/>
    <w:rsid w:val="00E92472"/>
    <w:rsid w:val="00E93DC2"/>
    <w:rsid w:val="00E94A80"/>
    <w:rsid w:val="00E956E0"/>
    <w:rsid w:val="00E95A67"/>
    <w:rsid w:val="00E95B7F"/>
    <w:rsid w:val="00E965E4"/>
    <w:rsid w:val="00E968AF"/>
    <w:rsid w:val="00E97BA9"/>
    <w:rsid w:val="00EA09B2"/>
    <w:rsid w:val="00EA0B82"/>
    <w:rsid w:val="00EA0FC8"/>
    <w:rsid w:val="00EA104B"/>
    <w:rsid w:val="00EA15E3"/>
    <w:rsid w:val="00EA24AB"/>
    <w:rsid w:val="00EA2B11"/>
    <w:rsid w:val="00EA40A2"/>
    <w:rsid w:val="00EA4B37"/>
    <w:rsid w:val="00EA7171"/>
    <w:rsid w:val="00EB1CC6"/>
    <w:rsid w:val="00EB23F5"/>
    <w:rsid w:val="00EB37FA"/>
    <w:rsid w:val="00EB5832"/>
    <w:rsid w:val="00EB7EAC"/>
    <w:rsid w:val="00EC0C7F"/>
    <w:rsid w:val="00EC0F40"/>
    <w:rsid w:val="00EC136D"/>
    <w:rsid w:val="00EC1DCF"/>
    <w:rsid w:val="00EC1F73"/>
    <w:rsid w:val="00EC1FBE"/>
    <w:rsid w:val="00EC5A63"/>
    <w:rsid w:val="00EC6E65"/>
    <w:rsid w:val="00ED039E"/>
    <w:rsid w:val="00ED2F5E"/>
    <w:rsid w:val="00ED4C01"/>
    <w:rsid w:val="00ED4E3C"/>
    <w:rsid w:val="00ED52C6"/>
    <w:rsid w:val="00ED54D4"/>
    <w:rsid w:val="00ED6408"/>
    <w:rsid w:val="00ED7035"/>
    <w:rsid w:val="00EE1E50"/>
    <w:rsid w:val="00EE2D0D"/>
    <w:rsid w:val="00EE3839"/>
    <w:rsid w:val="00EE4C5B"/>
    <w:rsid w:val="00EE5F15"/>
    <w:rsid w:val="00EE735D"/>
    <w:rsid w:val="00EE77BA"/>
    <w:rsid w:val="00EF08D6"/>
    <w:rsid w:val="00EF1CCD"/>
    <w:rsid w:val="00EF1FFA"/>
    <w:rsid w:val="00EF3721"/>
    <w:rsid w:val="00EF3B06"/>
    <w:rsid w:val="00F01240"/>
    <w:rsid w:val="00F02146"/>
    <w:rsid w:val="00F0242D"/>
    <w:rsid w:val="00F0355E"/>
    <w:rsid w:val="00F04AC7"/>
    <w:rsid w:val="00F05257"/>
    <w:rsid w:val="00F0560E"/>
    <w:rsid w:val="00F07AD7"/>
    <w:rsid w:val="00F12113"/>
    <w:rsid w:val="00F1284D"/>
    <w:rsid w:val="00F12B98"/>
    <w:rsid w:val="00F12DA3"/>
    <w:rsid w:val="00F13357"/>
    <w:rsid w:val="00F13729"/>
    <w:rsid w:val="00F13797"/>
    <w:rsid w:val="00F14BBA"/>
    <w:rsid w:val="00F15EAE"/>
    <w:rsid w:val="00F17BF3"/>
    <w:rsid w:val="00F2029D"/>
    <w:rsid w:val="00F25B3E"/>
    <w:rsid w:val="00F260FC"/>
    <w:rsid w:val="00F27170"/>
    <w:rsid w:val="00F27E7F"/>
    <w:rsid w:val="00F307BF"/>
    <w:rsid w:val="00F315C3"/>
    <w:rsid w:val="00F315D9"/>
    <w:rsid w:val="00F31EC3"/>
    <w:rsid w:val="00F323D5"/>
    <w:rsid w:val="00F33321"/>
    <w:rsid w:val="00F36D62"/>
    <w:rsid w:val="00F37760"/>
    <w:rsid w:val="00F41C0D"/>
    <w:rsid w:val="00F42133"/>
    <w:rsid w:val="00F431A9"/>
    <w:rsid w:val="00F43954"/>
    <w:rsid w:val="00F45FAD"/>
    <w:rsid w:val="00F46CA0"/>
    <w:rsid w:val="00F518EF"/>
    <w:rsid w:val="00F52AD8"/>
    <w:rsid w:val="00F52B93"/>
    <w:rsid w:val="00F52F9B"/>
    <w:rsid w:val="00F5337A"/>
    <w:rsid w:val="00F537C1"/>
    <w:rsid w:val="00F55776"/>
    <w:rsid w:val="00F557A3"/>
    <w:rsid w:val="00F55FD7"/>
    <w:rsid w:val="00F56921"/>
    <w:rsid w:val="00F56A63"/>
    <w:rsid w:val="00F61A37"/>
    <w:rsid w:val="00F62A7F"/>
    <w:rsid w:val="00F62DD4"/>
    <w:rsid w:val="00F6339F"/>
    <w:rsid w:val="00F636BB"/>
    <w:rsid w:val="00F637BE"/>
    <w:rsid w:val="00F6423E"/>
    <w:rsid w:val="00F6566D"/>
    <w:rsid w:val="00F657F6"/>
    <w:rsid w:val="00F66334"/>
    <w:rsid w:val="00F67300"/>
    <w:rsid w:val="00F712B4"/>
    <w:rsid w:val="00F72062"/>
    <w:rsid w:val="00F72DE1"/>
    <w:rsid w:val="00F74641"/>
    <w:rsid w:val="00F76793"/>
    <w:rsid w:val="00F77A82"/>
    <w:rsid w:val="00F8007D"/>
    <w:rsid w:val="00F81411"/>
    <w:rsid w:val="00F818D5"/>
    <w:rsid w:val="00F8201F"/>
    <w:rsid w:val="00F87523"/>
    <w:rsid w:val="00F87DAE"/>
    <w:rsid w:val="00F90E20"/>
    <w:rsid w:val="00F91DD4"/>
    <w:rsid w:val="00F92238"/>
    <w:rsid w:val="00F92D85"/>
    <w:rsid w:val="00F930E1"/>
    <w:rsid w:val="00F93469"/>
    <w:rsid w:val="00F93BCA"/>
    <w:rsid w:val="00F953A0"/>
    <w:rsid w:val="00F95770"/>
    <w:rsid w:val="00F95EAF"/>
    <w:rsid w:val="00F96300"/>
    <w:rsid w:val="00F965AB"/>
    <w:rsid w:val="00FA029C"/>
    <w:rsid w:val="00FA09E9"/>
    <w:rsid w:val="00FA11FC"/>
    <w:rsid w:val="00FA2567"/>
    <w:rsid w:val="00FA2D57"/>
    <w:rsid w:val="00FA3E8F"/>
    <w:rsid w:val="00FA5BD9"/>
    <w:rsid w:val="00FA682A"/>
    <w:rsid w:val="00FA6C4E"/>
    <w:rsid w:val="00FA7E29"/>
    <w:rsid w:val="00FB1EC8"/>
    <w:rsid w:val="00FB3C1D"/>
    <w:rsid w:val="00FB3D0F"/>
    <w:rsid w:val="00FB537A"/>
    <w:rsid w:val="00FB5786"/>
    <w:rsid w:val="00FB5AA2"/>
    <w:rsid w:val="00FB622E"/>
    <w:rsid w:val="00FB63B7"/>
    <w:rsid w:val="00FB6CBC"/>
    <w:rsid w:val="00FC02B4"/>
    <w:rsid w:val="00FC0895"/>
    <w:rsid w:val="00FC0CC8"/>
    <w:rsid w:val="00FC1B2F"/>
    <w:rsid w:val="00FC4747"/>
    <w:rsid w:val="00FC4C71"/>
    <w:rsid w:val="00FC6302"/>
    <w:rsid w:val="00FC7399"/>
    <w:rsid w:val="00FC739D"/>
    <w:rsid w:val="00FD056D"/>
    <w:rsid w:val="00FD0DC6"/>
    <w:rsid w:val="00FD3AB3"/>
    <w:rsid w:val="00FD4D3A"/>
    <w:rsid w:val="00FD5B76"/>
    <w:rsid w:val="00FD5DA1"/>
    <w:rsid w:val="00FD7520"/>
    <w:rsid w:val="00FD79E4"/>
    <w:rsid w:val="00FD7C33"/>
    <w:rsid w:val="00FE040F"/>
    <w:rsid w:val="00FE0458"/>
    <w:rsid w:val="00FE0482"/>
    <w:rsid w:val="00FE0625"/>
    <w:rsid w:val="00FE0A4A"/>
    <w:rsid w:val="00FE1479"/>
    <w:rsid w:val="00FE2CD3"/>
    <w:rsid w:val="00FE2F32"/>
    <w:rsid w:val="00FE300A"/>
    <w:rsid w:val="00FE3A1B"/>
    <w:rsid w:val="00FE3BC9"/>
    <w:rsid w:val="00FE52CC"/>
    <w:rsid w:val="00FE76D3"/>
    <w:rsid w:val="00FF030B"/>
    <w:rsid w:val="00FF0459"/>
    <w:rsid w:val="00FF0FE0"/>
    <w:rsid w:val="00FF21E6"/>
    <w:rsid w:val="00FF2B2B"/>
    <w:rsid w:val="00FF41F6"/>
    <w:rsid w:val="00FF55C9"/>
    <w:rsid w:val="00FF6421"/>
    <w:rsid w:val="199856AE"/>
    <w:rsid w:val="1B6721D8"/>
    <w:rsid w:val="5B9AA057"/>
    <w:rsid w:val="78BEF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67882F"/>
  <w15:docId w15:val="{612B213B-89BB-4022-BBB0-D89C523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F07"/>
    <w:pPr>
      <w:jc w:val="both"/>
    </w:pPr>
  </w:style>
  <w:style w:type="paragraph" w:styleId="Heading1">
    <w:name w:val="heading 1"/>
    <w:basedOn w:val="Normal"/>
    <w:next w:val="Normal"/>
    <w:link w:val="Heading1Char"/>
    <w:qFormat/>
    <w:rsid w:val="005E313B"/>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unhideWhenUsed/>
    <w:qFormat/>
    <w:rsid w:val="005E313B"/>
    <w:pPr>
      <w:keepNext/>
      <w:keepLines/>
      <w:numPr>
        <w:numId w:val="2"/>
      </w:numPr>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unhideWhenUsed/>
    <w:qFormat/>
    <w:rsid w:val="005E313B"/>
    <w:pPr>
      <w:keepNext/>
      <w:keepLines/>
      <w:spacing w:before="160" w:after="80"/>
      <w:outlineLvl w:val="2"/>
    </w:pPr>
    <w:rPr>
      <w:rFonts w:eastAsiaTheme="majorEastAsia" w:cstheme="majorBidi"/>
      <w:b/>
      <w:color w:val="2F5496" w:themeColor="accent1" w:themeShade="BF"/>
      <w:kern w:val="2"/>
      <w:sz w:val="26"/>
      <w:szCs w:val="28"/>
    </w:rPr>
  </w:style>
  <w:style w:type="paragraph" w:styleId="Heading4">
    <w:name w:val="heading 4"/>
    <w:basedOn w:val="Normal"/>
    <w:next w:val="Normal"/>
    <w:link w:val="Heading4Char"/>
    <w:uiPriority w:val="9"/>
    <w:unhideWhenUsed/>
    <w:qFormat/>
    <w:rsid w:val="005E313B"/>
    <w:pPr>
      <w:keepNext/>
      <w:keepLines/>
      <w:spacing w:before="80" w:after="40"/>
      <w:outlineLvl w:val="3"/>
    </w:pPr>
    <w:rPr>
      <w:rFonts w:eastAsiaTheme="majorEastAsia" w:cstheme="majorBidi"/>
      <w:i/>
      <w:iCs/>
      <w:color w:val="2F5496" w:themeColor="accent1" w:themeShade="BF"/>
      <w:kern w:val="2"/>
      <w:sz w:val="24"/>
    </w:rPr>
  </w:style>
  <w:style w:type="paragraph" w:styleId="Heading5">
    <w:name w:val="heading 5"/>
    <w:basedOn w:val="Normal"/>
    <w:next w:val="Normal"/>
    <w:link w:val="Heading5Char"/>
    <w:uiPriority w:val="9"/>
    <w:unhideWhenUsed/>
    <w:qFormat/>
    <w:rsid w:val="005E313B"/>
    <w:pPr>
      <w:keepNext/>
      <w:keepLines/>
      <w:spacing w:before="80" w:after="40"/>
      <w:outlineLvl w:val="4"/>
    </w:pPr>
    <w:rPr>
      <w:rFonts w:eastAsiaTheme="majorEastAsia" w:cstheme="majorBidi"/>
      <w:b/>
      <w:kern w:val="2"/>
      <w:sz w:val="24"/>
    </w:rPr>
  </w:style>
  <w:style w:type="paragraph" w:styleId="Heading6">
    <w:name w:val="heading 6"/>
    <w:basedOn w:val="Normal"/>
    <w:next w:val="Normal"/>
    <w:link w:val="Heading6Char"/>
    <w:uiPriority w:val="9"/>
    <w:semiHidden/>
    <w:unhideWhenUsed/>
    <w:qFormat/>
    <w:rsid w:val="005E313B"/>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5E313B"/>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5E313B"/>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5E313B"/>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50D40"/>
    <w:rPr>
      <w:color w:val="0000FF"/>
      <w:shd w:val="clear" w:color="auto" w:fill="auto"/>
    </w:rPr>
  </w:style>
  <w:style w:type="paragraph" w:styleId="Header">
    <w:name w:val="header"/>
    <w:basedOn w:val="Normal"/>
    <w:link w:val="HeaderChar"/>
    <w:uiPriority w:val="99"/>
    <w:unhideWhenUsed/>
    <w:rsid w:val="00C50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D40"/>
  </w:style>
  <w:style w:type="paragraph" w:styleId="Footer">
    <w:name w:val="footer"/>
    <w:basedOn w:val="Normal"/>
    <w:link w:val="FooterChar"/>
    <w:uiPriority w:val="99"/>
    <w:unhideWhenUsed/>
    <w:rsid w:val="00C50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D40"/>
  </w:style>
  <w:style w:type="paragraph" w:customStyle="1" w:styleId="Pagedecouverture">
    <w:name w:val="Page de couverture"/>
    <w:basedOn w:val="Normal"/>
    <w:next w:val="Normal"/>
    <w:rsid w:val="00C50D40"/>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C50D40"/>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C50D40"/>
    <w:rPr>
      <w:rFonts w:ascii="Times New Roman" w:hAnsi="Times New Roman" w:cs="Times New Roman"/>
      <w:sz w:val="24"/>
    </w:rPr>
  </w:style>
  <w:style w:type="paragraph" w:customStyle="1" w:styleId="FooterSensitivity">
    <w:name w:val="Footer Sensitivity"/>
    <w:basedOn w:val="Normal"/>
    <w:link w:val="FooterSensitivityChar"/>
    <w:rsid w:val="00C50D4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50D40"/>
    <w:rPr>
      <w:rFonts w:ascii="Times New Roman" w:hAnsi="Times New Roman" w:cs="Times New Roman"/>
      <w:b/>
      <w:sz w:val="32"/>
    </w:rPr>
  </w:style>
  <w:style w:type="paragraph" w:customStyle="1" w:styleId="HeaderCoverPage">
    <w:name w:val="Header Cover Page"/>
    <w:basedOn w:val="Normal"/>
    <w:link w:val="HeaderCoverPageChar"/>
    <w:rsid w:val="00C50D40"/>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C50D40"/>
    <w:rPr>
      <w:rFonts w:ascii="Times New Roman" w:hAnsi="Times New Roman" w:cs="Times New Roman"/>
      <w:sz w:val="24"/>
    </w:rPr>
  </w:style>
  <w:style w:type="paragraph" w:customStyle="1" w:styleId="HeaderSensitivity">
    <w:name w:val="Header Sensitivity"/>
    <w:basedOn w:val="Normal"/>
    <w:link w:val="HeaderSensitivityChar"/>
    <w:rsid w:val="00C50D4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50D40"/>
    <w:rPr>
      <w:rFonts w:ascii="Times New Roman" w:hAnsi="Times New Roman" w:cs="Times New Roman"/>
      <w:b/>
      <w:sz w:val="32"/>
    </w:rPr>
  </w:style>
  <w:style w:type="paragraph" w:customStyle="1" w:styleId="HeaderSensitivityRight">
    <w:name w:val="Header Sensitivity Right"/>
    <w:basedOn w:val="Normal"/>
    <w:link w:val="HeaderSensitivityRightChar"/>
    <w:rsid w:val="004C2F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50D40"/>
    <w:rPr>
      <w:rFonts w:ascii="Times New Roman" w:hAnsi="Times New Roman" w:cs="Times New Roman"/>
      <w:sz w:val="28"/>
    </w:rPr>
  </w:style>
  <w:style w:type="paragraph" w:styleId="Title">
    <w:name w:val="Title"/>
    <w:basedOn w:val="Normal"/>
    <w:next w:val="Normal"/>
    <w:link w:val="TitleChar"/>
    <w:uiPriority w:val="10"/>
    <w:qFormat/>
    <w:rsid w:val="000214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46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E313B"/>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rsid w:val="005E313B"/>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rsid w:val="005E313B"/>
    <w:rPr>
      <w:rFonts w:eastAsiaTheme="majorEastAsia" w:cstheme="majorBidi"/>
      <w:b/>
      <w:color w:val="2F5496" w:themeColor="accent1" w:themeShade="BF"/>
      <w:kern w:val="2"/>
      <w:sz w:val="26"/>
      <w:szCs w:val="28"/>
    </w:rPr>
  </w:style>
  <w:style w:type="character" w:customStyle="1" w:styleId="Heading4Char">
    <w:name w:val="Heading 4 Char"/>
    <w:basedOn w:val="DefaultParagraphFont"/>
    <w:link w:val="Heading4"/>
    <w:uiPriority w:val="9"/>
    <w:rsid w:val="005E313B"/>
    <w:rPr>
      <w:rFonts w:eastAsiaTheme="majorEastAsia" w:cstheme="majorBidi"/>
      <w:i/>
      <w:iCs/>
      <w:color w:val="2F5496" w:themeColor="accent1" w:themeShade="BF"/>
      <w:kern w:val="2"/>
      <w:sz w:val="24"/>
    </w:rPr>
  </w:style>
  <w:style w:type="character" w:customStyle="1" w:styleId="Heading5Char">
    <w:name w:val="Heading 5 Char"/>
    <w:basedOn w:val="DefaultParagraphFont"/>
    <w:link w:val="Heading5"/>
    <w:uiPriority w:val="9"/>
    <w:rsid w:val="005E313B"/>
    <w:rPr>
      <w:rFonts w:eastAsiaTheme="majorEastAsia" w:cstheme="majorBidi"/>
      <w:b/>
      <w:kern w:val="2"/>
      <w:sz w:val="24"/>
    </w:rPr>
  </w:style>
  <w:style w:type="character" w:customStyle="1" w:styleId="Heading6Char">
    <w:name w:val="Heading 6 Char"/>
    <w:basedOn w:val="DefaultParagraphFont"/>
    <w:link w:val="Heading6"/>
    <w:uiPriority w:val="9"/>
    <w:semiHidden/>
    <w:rsid w:val="005E313B"/>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5E313B"/>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5E313B"/>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5E313B"/>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5E313B"/>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E313B"/>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5E313B"/>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5E313B"/>
    <w:rPr>
      <w:i/>
      <w:iCs/>
      <w:color w:val="404040" w:themeColor="text1" w:themeTint="BF"/>
      <w:kern w:val="2"/>
    </w:rPr>
  </w:style>
  <w:style w:type="paragraph" w:styleId="ListParagraph">
    <w:name w:val="List Paragraph"/>
    <w:basedOn w:val="Normal"/>
    <w:uiPriority w:val="34"/>
    <w:qFormat/>
    <w:rsid w:val="005E313B"/>
    <w:pPr>
      <w:ind w:left="720"/>
      <w:contextualSpacing/>
    </w:pPr>
    <w:rPr>
      <w:kern w:val="2"/>
    </w:rPr>
  </w:style>
  <w:style w:type="character" w:styleId="IntenseEmphasis">
    <w:name w:val="Intense Emphasis"/>
    <w:basedOn w:val="DefaultParagraphFont"/>
    <w:uiPriority w:val="21"/>
    <w:qFormat/>
    <w:rsid w:val="005E313B"/>
    <w:rPr>
      <w:i/>
      <w:iCs/>
      <w:color w:val="2F5496" w:themeColor="accent1" w:themeShade="BF"/>
    </w:rPr>
  </w:style>
  <w:style w:type="paragraph" w:styleId="IntenseQuote">
    <w:name w:val="Intense Quote"/>
    <w:basedOn w:val="Normal"/>
    <w:next w:val="Normal"/>
    <w:link w:val="IntenseQuoteChar"/>
    <w:uiPriority w:val="30"/>
    <w:qFormat/>
    <w:rsid w:val="005E31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5E313B"/>
    <w:rPr>
      <w:i/>
      <w:iCs/>
      <w:color w:val="2F5496" w:themeColor="accent1" w:themeShade="BF"/>
      <w:kern w:val="2"/>
    </w:rPr>
  </w:style>
  <w:style w:type="character" w:styleId="IntenseReference">
    <w:name w:val="Intense Reference"/>
    <w:basedOn w:val="DefaultParagraphFont"/>
    <w:uiPriority w:val="32"/>
    <w:qFormat/>
    <w:rsid w:val="005E313B"/>
    <w:rPr>
      <w:b/>
      <w:bCs/>
      <w:smallCaps/>
      <w:color w:val="2F5496" w:themeColor="accent1" w:themeShade="BF"/>
      <w:spacing w:val="5"/>
    </w:rPr>
  </w:style>
  <w:style w:type="table" w:styleId="TableGrid">
    <w:name w:val="Table Grid"/>
    <w:basedOn w:val="TableNormal"/>
    <w:uiPriority w:val="39"/>
    <w:rsid w:val="005E313B"/>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313B"/>
    <w:rPr>
      <w:sz w:val="16"/>
      <w:szCs w:val="16"/>
    </w:rPr>
  </w:style>
  <w:style w:type="paragraph" w:styleId="CommentText">
    <w:name w:val="annotation text"/>
    <w:basedOn w:val="Normal"/>
    <w:link w:val="CommentTextChar"/>
    <w:uiPriority w:val="99"/>
    <w:unhideWhenUsed/>
    <w:rsid w:val="005E313B"/>
    <w:pPr>
      <w:spacing w:line="240" w:lineRule="auto"/>
    </w:pPr>
    <w:rPr>
      <w:kern w:val="2"/>
      <w:sz w:val="20"/>
      <w:szCs w:val="20"/>
    </w:rPr>
  </w:style>
  <w:style w:type="character" w:customStyle="1" w:styleId="CommentTextChar">
    <w:name w:val="Comment Text Char"/>
    <w:basedOn w:val="DefaultParagraphFont"/>
    <w:link w:val="CommentText"/>
    <w:uiPriority w:val="99"/>
    <w:rsid w:val="005E313B"/>
    <w:rPr>
      <w:kern w:val="2"/>
      <w:sz w:val="20"/>
      <w:szCs w:val="20"/>
    </w:rPr>
  </w:style>
  <w:style w:type="paragraph" w:styleId="CommentSubject">
    <w:name w:val="annotation subject"/>
    <w:basedOn w:val="CommentText"/>
    <w:next w:val="CommentText"/>
    <w:link w:val="CommentSubjectChar"/>
    <w:uiPriority w:val="99"/>
    <w:semiHidden/>
    <w:unhideWhenUsed/>
    <w:rsid w:val="005E313B"/>
    <w:rPr>
      <w:b/>
      <w:bCs/>
    </w:rPr>
  </w:style>
  <w:style w:type="character" w:customStyle="1" w:styleId="CommentSubjectChar">
    <w:name w:val="Comment Subject Char"/>
    <w:basedOn w:val="CommentTextChar"/>
    <w:link w:val="CommentSubject"/>
    <w:uiPriority w:val="99"/>
    <w:semiHidden/>
    <w:rsid w:val="005E313B"/>
    <w:rPr>
      <w:b/>
      <w:bCs/>
      <w:kern w:val="2"/>
      <w:sz w:val="20"/>
      <w:szCs w:val="20"/>
    </w:rPr>
  </w:style>
  <w:style w:type="character" w:styleId="Hyperlink">
    <w:name w:val="Hyperlink"/>
    <w:basedOn w:val="DefaultParagraphFont"/>
    <w:uiPriority w:val="99"/>
    <w:unhideWhenUsed/>
    <w:rsid w:val="005E313B"/>
    <w:rPr>
      <w:color w:val="0563C1" w:themeColor="hyperlink"/>
      <w:u w:val="single"/>
    </w:rPr>
  </w:style>
  <w:style w:type="paragraph" w:styleId="Caption">
    <w:name w:val="caption"/>
    <w:basedOn w:val="Normal"/>
    <w:next w:val="Normal"/>
    <w:unhideWhenUsed/>
    <w:qFormat/>
    <w:rsid w:val="005E313B"/>
    <w:pPr>
      <w:spacing w:before="120" w:after="200" w:line="240" w:lineRule="auto"/>
    </w:pPr>
    <w:rPr>
      <w:rFonts w:eastAsia="ヒラギノ角ゴ Pro W3" w:cs="Times New Roman"/>
      <w:b/>
      <w:color w:val="44546A" w:themeColor="text2"/>
      <w:szCs w:val="18"/>
    </w:rPr>
  </w:style>
  <w:style w:type="character" w:customStyle="1" w:styleId="UnresolvedMention">
    <w:name w:val="Unresolved Mention"/>
    <w:basedOn w:val="DefaultParagraphFont"/>
    <w:uiPriority w:val="99"/>
    <w:semiHidden/>
    <w:unhideWhenUsed/>
    <w:rsid w:val="005E313B"/>
    <w:rPr>
      <w:color w:val="605E5C"/>
      <w:shd w:val="clear" w:color="auto" w:fill="E1DFDD"/>
    </w:rPr>
  </w:style>
  <w:style w:type="paragraph" w:styleId="TOCHeading">
    <w:name w:val="TOC Heading"/>
    <w:basedOn w:val="Heading1"/>
    <w:next w:val="Normal"/>
    <w:uiPriority w:val="39"/>
    <w:unhideWhenUsed/>
    <w:qFormat/>
    <w:rsid w:val="005E313B"/>
    <w:pPr>
      <w:spacing w:before="240" w:after="0"/>
      <w:jc w:val="left"/>
      <w:outlineLvl w:val="9"/>
    </w:pPr>
    <w:rPr>
      <w:kern w:val="0"/>
      <w:sz w:val="32"/>
      <w:szCs w:val="32"/>
    </w:rPr>
  </w:style>
  <w:style w:type="paragraph" w:styleId="TOC2">
    <w:name w:val="toc 2"/>
    <w:basedOn w:val="Normal"/>
    <w:next w:val="Normal"/>
    <w:autoRedefine/>
    <w:uiPriority w:val="39"/>
    <w:unhideWhenUsed/>
    <w:rsid w:val="005E313B"/>
    <w:pPr>
      <w:spacing w:after="100"/>
      <w:ind w:left="220"/>
    </w:pPr>
    <w:rPr>
      <w:kern w:val="2"/>
    </w:rPr>
  </w:style>
  <w:style w:type="paragraph" w:styleId="TOC3">
    <w:name w:val="toc 3"/>
    <w:basedOn w:val="Normal"/>
    <w:next w:val="Normal"/>
    <w:autoRedefine/>
    <w:uiPriority w:val="39"/>
    <w:unhideWhenUsed/>
    <w:rsid w:val="005E313B"/>
    <w:pPr>
      <w:spacing w:after="100"/>
      <w:ind w:left="440"/>
    </w:pPr>
    <w:rPr>
      <w:kern w:val="2"/>
    </w:rPr>
  </w:style>
  <w:style w:type="paragraph" w:styleId="NormalWeb">
    <w:name w:val="Normal (Web)"/>
    <w:basedOn w:val="Normal"/>
    <w:uiPriority w:val="99"/>
    <w:semiHidden/>
    <w:unhideWhenUsed/>
    <w:rsid w:val="005E313B"/>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5E313B"/>
    <w:pPr>
      <w:spacing w:after="100"/>
      <w:ind w:left="660"/>
    </w:pPr>
    <w:rPr>
      <w:kern w:val="2"/>
    </w:rPr>
  </w:style>
  <w:style w:type="paragraph" w:styleId="TOC5">
    <w:name w:val="toc 5"/>
    <w:basedOn w:val="Normal"/>
    <w:next w:val="Normal"/>
    <w:autoRedefine/>
    <w:uiPriority w:val="39"/>
    <w:unhideWhenUsed/>
    <w:rsid w:val="005E313B"/>
    <w:pPr>
      <w:spacing w:after="100"/>
      <w:ind w:left="880"/>
    </w:pPr>
    <w:rPr>
      <w:kern w:val="2"/>
    </w:rPr>
  </w:style>
  <w:style w:type="paragraph" w:styleId="TOC1">
    <w:name w:val="toc 1"/>
    <w:basedOn w:val="Normal"/>
    <w:next w:val="Normal"/>
    <w:autoRedefine/>
    <w:uiPriority w:val="39"/>
    <w:unhideWhenUsed/>
    <w:rsid w:val="005E313B"/>
    <w:pPr>
      <w:spacing w:after="100"/>
    </w:pPr>
    <w:rPr>
      <w:kern w:val="2"/>
    </w:rPr>
  </w:style>
  <w:style w:type="character" w:styleId="FollowedHyperlink">
    <w:name w:val="FollowedHyperlink"/>
    <w:basedOn w:val="DefaultParagraphFont"/>
    <w:uiPriority w:val="99"/>
    <w:semiHidden/>
    <w:unhideWhenUsed/>
    <w:rsid w:val="005E313B"/>
    <w:rPr>
      <w:color w:val="954F72" w:themeColor="followedHyperlink"/>
      <w:u w:val="single"/>
    </w:rPr>
  </w:style>
  <w:style w:type="paragraph" w:styleId="Revision">
    <w:name w:val="Revision"/>
    <w:hidden/>
    <w:uiPriority w:val="99"/>
    <w:semiHidden/>
    <w:rsid w:val="005E313B"/>
    <w:pPr>
      <w:spacing w:after="0" w:line="240" w:lineRule="auto"/>
    </w:pPr>
    <w:rPr>
      <w:kern w:val="2"/>
    </w:rPr>
  </w:style>
  <w:style w:type="character" w:customStyle="1" w:styleId="Mention">
    <w:name w:val="Mention"/>
    <w:basedOn w:val="DefaultParagraphFont"/>
    <w:uiPriority w:val="99"/>
    <w:unhideWhenUsed/>
    <w:rsid w:val="005E313B"/>
    <w:rPr>
      <w:color w:val="2B579A"/>
      <w:shd w:val="clear" w:color="auto" w:fill="E1DFDD"/>
    </w:rPr>
  </w:style>
  <w:style w:type="table" w:styleId="PlainTable2">
    <w:name w:val="Plain Table 2"/>
    <w:basedOn w:val="TableNormal"/>
    <w:uiPriority w:val="42"/>
    <w:rsid w:val="005E313B"/>
    <w:pPr>
      <w:spacing w:after="0" w:line="240" w:lineRule="auto"/>
    </w:pPr>
    <w:rPr>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5E313B"/>
    <w:pPr>
      <w:spacing w:after="0" w:line="240" w:lineRule="auto"/>
    </w:pPr>
    <w:rPr>
      <w:kern w:val="2"/>
      <w:sz w:val="20"/>
      <w:szCs w:val="20"/>
    </w:rPr>
  </w:style>
  <w:style w:type="character" w:customStyle="1" w:styleId="FootnoteTextChar">
    <w:name w:val="Footnote Text Char"/>
    <w:basedOn w:val="DefaultParagraphFont"/>
    <w:link w:val="FootnoteText"/>
    <w:uiPriority w:val="99"/>
    <w:rsid w:val="005E313B"/>
    <w:rPr>
      <w:kern w:val="2"/>
      <w:sz w:val="20"/>
      <w:szCs w:val="20"/>
    </w:rPr>
  </w:style>
  <w:style w:type="character" w:styleId="FootnoteReference">
    <w:name w:val="footnote reference"/>
    <w:basedOn w:val="DefaultParagraphFont"/>
    <w:uiPriority w:val="99"/>
    <w:semiHidden/>
    <w:unhideWhenUsed/>
    <w:rsid w:val="005E313B"/>
    <w:rPr>
      <w:vertAlign w:val="superscript"/>
    </w:rPr>
  </w:style>
  <w:style w:type="paragraph" w:customStyle="1" w:styleId="Default">
    <w:name w:val="Default"/>
    <w:rsid w:val="00140729"/>
    <w:pPr>
      <w:autoSpaceDE w:val="0"/>
      <w:autoSpaceDN w:val="0"/>
      <w:adjustRightInd w:val="0"/>
      <w:spacing w:after="0" w:line="240" w:lineRule="auto"/>
    </w:pPr>
    <w:rPr>
      <w:rFonts w:ascii="EUAlbertina" w:hAnsi="EUAlbertina" w:cs="EUAlbertina"/>
      <w:color w:val="000000"/>
      <w:sz w:val="24"/>
      <w:szCs w:val="24"/>
    </w:rPr>
  </w:style>
  <w:style w:type="paragraph" w:customStyle="1" w:styleId="Disclaimer">
    <w:name w:val="Disclaimer"/>
    <w:basedOn w:val="Normal"/>
    <w:rsid w:val="004C2F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ascii="Times New Roman" w:hAnsi="Times New Roman" w:cs="Times New Roman"/>
      <w:sz w:val="24"/>
    </w:rPr>
  </w:style>
  <w:style w:type="paragraph" w:customStyle="1" w:styleId="SecurityMarking">
    <w:name w:val="SecurityMarking"/>
    <w:basedOn w:val="Normal"/>
    <w:rsid w:val="004C2F44"/>
    <w:pPr>
      <w:spacing w:after="0" w:line="276" w:lineRule="auto"/>
      <w:ind w:left="5103"/>
      <w:jc w:val="left"/>
    </w:pPr>
    <w:rPr>
      <w:rFonts w:ascii="Times New Roman" w:hAnsi="Times New Roman" w:cs="Times New Roman"/>
      <w:sz w:val="28"/>
    </w:rPr>
  </w:style>
  <w:style w:type="paragraph" w:customStyle="1" w:styleId="DateMarking">
    <w:name w:val="DateMarking"/>
    <w:basedOn w:val="Normal"/>
    <w:rsid w:val="004C2F44"/>
    <w:pPr>
      <w:spacing w:after="0" w:line="276" w:lineRule="auto"/>
      <w:ind w:left="5103"/>
      <w:jc w:val="left"/>
    </w:pPr>
    <w:rPr>
      <w:rFonts w:ascii="Times New Roman" w:hAnsi="Times New Roman" w:cs="Times New Roman"/>
      <w:i/>
      <w:sz w:val="28"/>
    </w:rPr>
  </w:style>
  <w:style w:type="paragraph" w:customStyle="1" w:styleId="ReleasableTo">
    <w:name w:val="ReleasableTo"/>
    <w:basedOn w:val="Normal"/>
    <w:rsid w:val="004C2F44"/>
    <w:pPr>
      <w:spacing w:after="0" w:line="276" w:lineRule="auto"/>
      <w:ind w:left="5103"/>
      <w:jc w:val="left"/>
    </w:pPr>
    <w:rPr>
      <w:rFonts w:ascii="Times New Roman" w:hAnsi="Times New Roman" w:cs="Times New Roman"/>
      <w:i/>
      <w:sz w:val="28"/>
    </w:rPr>
  </w:style>
  <w:style w:type="paragraph" w:customStyle="1" w:styleId="Languesfaisantfoi">
    <w:name w:val="Langues faisant foi"/>
    <w:basedOn w:val="Normal"/>
    <w:next w:val="Normal"/>
    <w:rsid w:val="00B92ABC"/>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92ABC"/>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92ABC"/>
    <w:pPr>
      <w:spacing w:after="0"/>
    </w:pPr>
  </w:style>
  <w:style w:type="paragraph" w:customStyle="1" w:styleId="IntrtEEEPagedecouverture">
    <w:name w:val="Intérêt EEE (Page de couverture)"/>
    <w:basedOn w:val="IntrtEEE"/>
    <w:next w:val="Normal"/>
    <w:rsid w:val="00B92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75431">
      <w:bodyDiv w:val="1"/>
      <w:marLeft w:val="0"/>
      <w:marRight w:val="0"/>
      <w:marTop w:val="0"/>
      <w:marBottom w:val="0"/>
      <w:divBdr>
        <w:top w:val="none" w:sz="0" w:space="0" w:color="auto"/>
        <w:left w:val="none" w:sz="0" w:space="0" w:color="auto"/>
        <w:bottom w:val="none" w:sz="0" w:space="0" w:color="auto"/>
        <w:right w:val="none" w:sz="0" w:space="0" w:color="auto"/>
      </w:divBdr>
      <w:divsChild>
        <w:div w:id="1557273692">
          <w:marLeft w:val="0"/>
          <w:marRight w:val="0"/>
          <w:marTop w:val="0"/>
          <w:marBottom w:val="0"/>
          <w:divBdr>
            <w:top w:val="none" w:sz="0" w:space="0" w:color="auto"/>
            <w:left w:val="none" w:sz="0" w:space="0" w:color="auto"/>
            <w:bottom w:val="none" w:sz="0" w:space="0" w:color="auto"/>
            <w:right w:val="none" w:sz="0" w:space="0" w:color="auto"/>
          </w:divBdr>
          <w:divsChild>
            <w:div w:id="1962373474">
              <w:marLeft w:val="0"/>
              <w:marRight w:val="0"/>
              <w:marTop w:val="0"/>
              <w:marBottom w:val="0"/>
              <w:divBdr>
                <w:top w:val="none" w:sz="0" w:space="0" w:color="auto"/>
                <w:left w:val="none" w:sz="0" w:space="0" w:color="auto"/>
                <w:bottom w:val="none" w:sz="0" w:space="0" w:color="auto"/>
                <w:right w:val="none" w:sz="0" w:space="0" w:color="auto"/>
              </w:divBdr>
              <w:divsChild>
                <w:div w:id="1185904805">
                  <w:marLeft w:val="0"/>
                  <w:marRight w:val="0"/>
                  <w:marTop w:val="0"/>
                  <w:marBottom w:val="0"/>
                  <w:divBdr>
                    <w:top w:val="none" w:sz="0" w:space="0" w:color="auto"/>
                    <w:left w:val="none" w:sz="0" w:space="0" w:color="auto"/>
                    <w:bottom w:val="none" w:sz="0" w:space="0" w:color="auto"/>
                    <w:right w:val="none" w:sz="0" w:space="0" w:color="auto"/>
                  </w:divBdr>
                  <w:divsChild>
                    <w:div w:id="1139689202">
                      <w:marLeft w:val="0"/>
                      <w:marRight w:val="0"/>
                      <w:marTop w:val="0"/>
                      <w:marBottom w:val="0"/>
                      <w:divBdr>
                        <w:top w:val="none" w:sz="0" w:space="0" w:color="auto"/>
                        <w:left w:val="none" w:sz="0" w:space="0" w:color="auto"/>
                        <w:bottom w:val="none" w:sz="0" w:space="0" w:color="auto"/>
                        <w:right w:val="none" w:sz="0" w:space="0" w:color="auto"/>
                      </w:divBdr>
                      <w:divsChild>
                        <w:div w:id="670453043">
                          <w:marLeft w:val="0"/>
                          <w:marRight w:val="0"/>
                          <w:marTop w:val="0"/>
                          <w:marBottom w:val="0"/>
                          <w:divBdr>
                            <w:top w:val="none" w:sz="0" w:space="0" w:color="auto"/>
                            <w:left w:val="none" w:sz="0" w:space="0" w:color="auto"/>
                            <w:bottom w:val="none" w:sz="0" w:space="0" w:color="auto"/>
                            <w:right w:val="none" w:sz="0" w:space="0" w:color="auto"/>
                          </w:divBdr>
                          <w:divsChild>
                            <w:div w:id="130682311">
                              <w:marLeft w:val="0"/>
                              <w:marRight w:val="0"/>
                              <w:marTop w:val="0"/>
                              <w:marBottom w:val="0"/>
                              <w:divBdr>
                                <w:top w:val="none" w:sz="0" w:space="0" w:color="auto"/>
                                <w:left w:val="none" w:sz="0" w:space="0" w:color="auto"/>
                                <w:bottom w:val="none" w:sz="0" w:space="0" w:color="auto"/>
                                <w:right w:val="none" w:sz="0" w:space="0" w:color="auto"/>
                              </w:divBdr>
                              <w:divsChild>
                                <w:div w:id="1117144736">
                                  <w:marLeft w:val="0"/>
                                  <w:marRight w:val="0"/>
                                  <w:marTop w:val="0"/>
                                  <w:marBottom w:val="0"/>
                                  <w:divBdr>
                                    <w:top w:val="none" w:sz="0" w:space="0" w:color="auto"/>
                                    <w:left w:val="none" w:sz="0" w:space="0" w:color="auto"/>
                                    <w:bottom w:val="none" w:sz="0" w:space="0" w:color="auto"/>
                                    <w:right w:val="none" w:sz="0" w:space="0" w:color="auto"/>
                                  </w:divBdr>
                                  <w:divsChild>
                                    <w:div w:id="1096169761">
                                      <w:marLeft w:val="0"/>
                                      <w:marRight w:val="0"/>
                                      <w:marTop w:val="0"/>
                                      <w:marBottom w:val="0"/>
                                      <w:divBdr>
                                        <w:top w:val="none" w:sz="0" w:space="0" w:color="auto"/>
                                        <w:left w:val="none" w:sz="0" w:space="0" w:color="auto"/>
                                        <w:bottom w:val="none" w:sz="0" w:space="0" w:color="auto"/>
                                        <w:right w:val="none" w:sz="0" w:space="0" w:color="auto"/>
                                      </w:divBdr>
                                      <w:divsChild>
                                        <w:div w:id="667514556">
                                          <w:marLeft w:val="0"/>
                                          <w:marRight w:val="0"/>
                                          <w:marTop w:val="0"/>
                                          <w:marBottom w:val="0"/>
                                          <w:divBdr>
                                            <w:top w:val="none" w:sz="0" w:space="0" w:color="auto"/>
                                            <w:left w:val="none" w:sz="0" w:space="0" w:color="auto"/>
                                            <w:bottom w:val="none" w:sz="0" w:space="0" w:color="auto"/>
                                            <w:right w:val="none" w:sz="0" w:space="0" w:color="auto"/>
                                          </w:divBdr>
                                          <w:divsChild>
                                            <w:div w:id="435633577">
                                              <w:marLeft w:val="0"/>
                                              <w:marRight w:val="0"/>
                                              <w:marTop w:val="0"/>
                                              <w:marBottom w:val="0"/>
                                              <w:divBdr>
                                                <w:top w:val="none" w:sz="0" w:space="0" w:color="auto"/>
                                                <w:left w:val="none" w:sz="0" w:space="0" w:color="auto"/>
                                                <w:bottom w:val="none" w:sz="0" w:space="0" w:color="auto"/>
                                                <w:right w:val="none" w:sz="0" w:space="0" w:color="auto"/>
                                              </w:divBdr>
                                              <w:divsChild>
                                                <w:div w:id="237640423">
                                                  <w:marLeft w:val="0"/>
                                                  <w:marRight w:val="0"/>
                                                  <w:marTop w:val="0"/>
                                                  <w:marBottom w:val="0"/>
                                                  <w:divBdr>
                                                    <w:top w:val="none" w:sz="0" w:space="0" w:color="auto"/>
                                                    <w:left w:val="none" w:sz="0" w:space="0" w:color="auto"/>
                                                    <w:bottom w:val="none" w:sz="0" w:space="0" w:color="auto"/>
                                                    <w:right w:val="none" w:sz="0" w:space="0" w:color="auto"/>
                                                  </w:divBdr>
                                                  <w:divsChild>
                                                    <w:div w:id="1412697920">
                                                      <w:marLeft w:val="0"/>
                                                      <w:marRight w:val="0"/>
                                                      <w:marTop w:val="0"/>
                                                      <w:marBottom w:val="0"/>
                                                      <w:divBdr>
                                                        <w:top w:val="none" w:sz="0" w:space="0" w:color="auto"/>
                                                        <w:left w:val="none" w:sz="0" w:space="0" w:color="auto"/>
                                                        <w:bottom w:val="none" w:sz="0" w:space="0" w:color="auto"/>
                                                        <w:right w:val="none" w:sz="0" w:space="0" w:color="auto"/>
                                                      </w:divBdr>
                                                      <w:divsChild>
                                                        <w:div w:id="19707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120883">
      <w:bodyDiv w:val="1"/>
      <w:marLeft w:val="0"/>
      <w:marRight w:val="0"/>
      <w:marTop w:val="0"/>
      <w:marBottom w:val="0"/>
      <w:divBdr>
        <w:top w:val="none" w:sz="0" w:space="0" w:color="auto"/>
        <w:left w:val="none" w:sz="0" w:space="0" w:color="auto"/>
        <w:bottom w:val="none" w:sz="0" w:space="0" w:color="auto"/>
        <w:right w:val="none" w:sz="0" w:space="0" w:color="auto"/>
      </w:divBdr>
      <w:divsChild>
        <w:div w:id="254754180">
          <w:marLeft w:val="0"/>
          <w:marRight w:val="0"/>
          <w:marTop w:val="0"/>
          <w:marBottom w:val="0"/>
          <w:divBdr>
            <w:top w:val="none" w:sz="0" w:space="0" w:color="auto"/>
            <w:left w:val="none" w:sz="0" w:space="0" w:color="auto"/>
            <w:bottom w:val="none" w:sz="0" w:space="0" w:color="auto"/>
            <w:right w:val="none" w:sz="0" w:space="0" w:color="auto"/>
          </w:divBdr>
          <w:divsChild>
            <w:div w:id="401757654">
              <w:marLeft w:val="0"/>
              <w:marRight w:val="0"/>
              <w:marTop w:val="0"/>
              <w:marBottom w:val="0"/>
              <w:divBdr>
                <w:top w:val="none" w:sz="0" w:space="0" w:color="auto"/>
                <w:left w:val="none" w:sz="0" w:space="0" w:color="auto"/>
                <w:bottom w:val="none" w:sz="0" w:space="0" w:color="auto"/>
                <w:right w:val="none" w:sz="0" w:space="0" w:color="auto"/>
              </w:divBdr>
              <w:divsChild>
                <w:div w:id="67314167">
                  <w:marLeft w:val="0"/>
                  <w:marRight w:val="0"/>
                  <w:marTop w:val="0"/>
                  <w:marBottom w:val="0"/>
                  <w:divBdr>
                    <w:top w:val="none" w:sz="0" w:space="0" w:color="auto"/>
                    <w:left w:val="none" w:sz="0" w:space="0" w:color="auto"/>
                    <w:bottom w:val="none" w:sz="0" w:space="0" w:color="auto"/>
                    <w:right w:val="none" w:sz="0" w:space="0" w:color="auto"/>
                  </w:divBdr>
                  <w:divsChild>
                    <w:div w:id="619723904">
                      <w:marLeft w:val="0"/>
                      <w:marRight w:val="0"/>
                      <w:marTop w:val="0"/>
                      <w:marBottom w:val="0"/>
                      <w:divBdr>
                        <w:top w:val="none" w:sz="0" w:space="0" w:color="auto"/>
                        <w:left w:val="none" w:sz="0" w:space="0" w:color="auto"/>
                        <w:bottom w:val="none" w:sz="0" w:space="0" w:color="auto"/>
                        <w:right w:val="none" w:sz="0" w:space="0" w:color="auto"/>
                      </w:divBdr>
                      <w:divsChild>
                        <w:div w:id="199634197">
                          <w:marLeft w:val="0"/>
                          <w:marRight w:val="0"/>
                          <w:marTop w:val="0"/>
                          <w:marBottom w:val="0"/>
                          <w:divBdr>
                            <w:top w:val="none" w:sz="0" w:space="0" w:color="auto"/>
                            <w:left w:val="none" w:sz="0" w:space="0" w:color="auto"/>
                            <w:bottom w:val="none" w:sz="0" w:space="0" w:color="auto"/>
                            <w:right w:val="none" w:sz="0" w:space="0" w:color="auto"/>
                          </w:divBdr>
                          <w:divsChild>
                            <w:div w:id="1468933536">
                              <w:marLeft w:val="0"/>
                              <w:marRight w:val="0"/>
                              <w:marTop w:val="0"/>
                              <w:marBottom w:val="0"/>
                              <w:divBdr>
                                <w:top w:val="none" w:sz="0" w:space="0" w:color="auto"/>
                                <w:left w:val="none" w:sz="0" w:space="0" w:color="auto"/>
                                <w:bottom w:val="none" w:sz="0" w:space="0" w:color="auto"/>
                                <w:right w:val="none" w:sz="0" w:space="0" w:color="auto"/>
                              </w:divBdr>
                              <w:divsChild>
                                <w:div w:id="1937788826">
                                  <w:marLeft w:val="0"/>
                                  <w:marRight w:val="0"/>
                                  <w:marTop w:val="0"/>
                                  <w:marBottom w:val="0"/>
                                  <w:divBdr>
                                    <w:top w:val="none" w:sz="0" w:space="0" w:color="auto"/>
                                    <w:left w:val="none" w:sz="0" w:space="0" w:color="auto"/>
                                    <w:bottom w:val="none" w:sz="0" w:space="0" w:color="auto"/>
                                    <w:right w:val="none" w:sz="0" w:space="0" w:color="auto"/>
                                  </w:divBdr>
                                  <w:divsChild>
                                    <w:div w:id="742486871">
                                      <w:marLeft w:val="0"/>
                                      <w:marRight w:val="0"/>
                                      <w:marTop w:val="0"/>
                                      <w:marBottom w:val="0"/>
                                      <w:divBdr>
                                        <w:top w:val="none" w:sz="0" w:space="0" w:color="auto"/>
                                        <w:left w:val="none" w:sz="0" w:space="0" w:color="auto"/>
                                        <w:bottom w:val="none" w:sz="0" w:space="0" w:color="auto"/>
                                        <w:right w:val="none" w:sz="0" w:space="0" w:color="auto"/>
                                      </w:divBdr>
                                      <w:divsChild>
                                        <w:div w:id="2040662438">
                                          <w:marLeft w:val="0"/>
                                          <w:marRight w:val="0"/>
                                          <w:marTop w:val="0"/>
                                          <w:marBottom w:val="0"/>
                                          <w:divBdr>
                                            <w:top w:val="none" w:sz="0" w:space="0" w:color="auto"/>
                                            <w:left w:val="none" w:sz="0" w:space="0" w:color="auto"/>
                                            <w:bottom w:val="none" w:sz="0" w:space="0" w:color="auto"/>
                                            <w:right w:val="none" w:sz="0" w:space="0" w:color="auto"/>
                                          </w:divBdr>
                                          <w:divsChild>
                                            <w:div w:id="194851076">
                                              <w:marLeft w:val="0"/>
                                              <w:marRight w:val="0"/>
                                              <w:marTop w:val="0"/>
                                              <w:marBottom w:val="0"/>
                                              <w:divBdr>
                                                <w:top w:val="none" w:sz="0" w:space="0" w:color="auto"/>
                                                <w:left w:val="none" w:sz="0" w:space="0" w:color="auto"/>
                                                <w:bottom w:val="none" w:sz="0" w:space="0" w:color="auto"/>
                                                <w:right w:val="none" w:sz="0" w:space="0" w:color="auto"/>
                                              </w:divBdr>
                                              <w:divsChild>
                                                <w:div w:id="602538785">
                                                  <w:marLeft w:val="0"/>
                                                  <w:marRight w:val="0"/>
                                                  <w:marTop w:val="0"/>
                                                  <w:marBottom w:val="0"/>
                                                  <w:divBdr>
                                                    <w:top w:val="none" w:sz="0" w:space="0" w:color="auto"/>
                                                    <w:left w:val="none" w:sz="0" w:space="0" w:color="auto"/>
                                                    <w:bottom w:val="none" w:sz="0" w:space="0" w:color="auto"/>
                                                    <w:right w:val="none" w:sz="0" w:space="0" w:color="auto"/>
                                                  </w:divBdr>
                                                  <w:divsChild>
                                                    <w:div w:id="1977560939">
                                                      <w:marLeft w:val="0"/>
                                                      <w:marRight w:val="0"/>
                                                      <w:marTop w:val="0"/>
                                                      <w:marBottom w:val="0"/>
                                                      <w:divBdr>
                                                        <w:top w:val="none" w:sz="0" w:space="0" w:color="auto"/>
                                                        <w:left w:val="none" w:sz="0" w:space="0" w:color="auto"/>
                                                        <w:bottom w:val="none" w:sz="0" w:space="0" w:color="auto"/>
                                                        <w:right w:val="none" w:sz="0" w:space="0" w:color="auto"/>
                                                      </w:divBdr>
                                                      <w:divsChild>
                                                        <w:div w:id="17863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7387011">
      <w:bodyDiv w:val="1"/>
      <w:marLeft w:val="0"/>
      <w:marRight w:val="0"/>
      <w:marTop w:val="0"/>
      <w:marBottom w:val="0"/>
      <w:divBdr>
        <w:top w:val="none" w:sz="0" w:space="0" w:color="auto"/>
        <w:left w:val="none" w:sz="0" w:space="0" w:color="auto"/>
        <w:bottom w:val="none" w:sz="0" w:space="0" w:color="auto"/>
        <w:right w:val="none" w:sz="0" w:space="0" w:color="auto"/>
      </w:divBdr>
    </w:div>
    <w:div w:id="766466602">
      <w:bodyDiv w:val="1"/>
      <w:marLeft w:val="0"/>
      <w:marRight w:val="0"/>
      <w:marTop w:val="0"/>
      <w:marBottom w:val="0"/>
      <w:divBdr>
        <w:top w:val="none" w:sz="0" w:space="0" w:color="auto"/>
        <w:left w:val="none" w:sz="0" w:space="0" w:color="auto"/>
        <w:bottom w:val="none" w:sz="0" w:space="0" w:color="auto"/>
        <w:right w:val="none" w:sz="0" w:space="0" w:color="auto"/>
      </w:divBdr>
      <w:divsChild>
        <w:div w:id="1104614329">
          <w:marLeft w:val="0"/>
          <w:marRight w:val="0"/>
          <w:marTop w:val="0"/>
          <w:marBottom w:val="0"/>
          <w:divBdr>
            <w:top w:val="none" w:sz="0" w:space="0" w:color="auto"/>
            <w:left w:val="none" w:sz="0" w:space="0" w:color="auto"/>
            <w:bottom w:val="none" w:sz="0" w:space="0" w:color="auto"/>
            <w:right w:val="none" w:sz="0" w:space="0" w:color="auto"/>
          </w:divBdr>
          <w:divsChild>
            <w:div w:id="543560533">
              <w:marLeft w:val="0"/>
              <w:marRight w:val="0"/>
              <w:marTop w:val="0"/>
              <w:marBottom w:val="0"/>
              <w:divBdr>
                <w:top w:val="none" w:sz="0" w:space="0" w:color="auto"/>
                <w:left w:val="none" w:sz="0" w:space="0" w:color="auto"/>
                <w:bottom w:val="none" w:sz="0" w:space="0" w:color="auto"/>
                <w:right w:val="none" w:sz="0" w:space="0" w:color="auto"/>
              </w:divBdr>
              <w:divsChild>
                <w:div w:id="1700811439">
                  <w:marLeft w:val="0"/>
                  <w:marRight w:val="0"/>
                  <w:marTop w:val="0"/>
                  <w:marBottom w:val="0"/>
                  <w:divBdr>
                    <w:top w:val="none" w:sz="0" w:space="0" w:color="auto"/>
                    <w:left w:val="none" w:sz="0" w:space="0" w:color="auto"/>
                    <w:bottom w:val="none" w:sz="0" w:space="0" w:color="auto"/>
                    <w:right w:val="none" w:sz="0" w:space="0" w:color="auto"/>
                  </w:divBdr>
                  <w:divsChild>
                    <w:div w:id="1955021341">
                      <w:marLeft w:val="0"/>
                      <w:marRight w:val="0"/>
                      <w:marTop w:val="0"/>
                      <w:marBottom w:val="0"/>
                      <w:divBdr>
                        <w:top w:val="none" w:sz="0" w:space="0" w:color="auto"/>
                        <w:left w:val="none" w:sz="0" w:space="0" w:color="auto"/>
                        <w:bottom w:val="none" w:sz="0" w:space="0" w:color="auto"/>
                        <w:right w:val="none" w:sz="0" w:space="0" w:color="auto"/>
                      </w:divBdr>
                      <w:divsChild>
                        <w:div w:id="1887329269">
                          <w:marLeft w:val="0"/>
                          <w:marRight w:val="0"/>
                          <w:marTop w:val="0"/>
                          <w:marBottom w:val="0"/>
                          <w:divBdr>
                            <w:top w:val="none" w:sz="0" w:space="0" w:color="auto"/>
                            <w:left w:val="none" w:sz="0" w:space="0" w:color="auto"/>
                            <w:bottom w:val="none" w:sz="0" w:space="0" w:color="auto"/>
                            <w:right w:val="none" w:sz="0" w:space="0" w:color="auto"/>
                          </w:divBdr>
                          <w:divsChild>
                            <w:div w:id="1803185032">
                              <w:marLeft w:val="0"/>
                              <w:marRight w:val="0"/>
                              <w:marTop w:val="0"/>
                              <w:marBottom w:val="0"/>
                              <w:divBdr>
                                <w:top w:val="none" w:sz="0" w:space="0" w:color="auto"/>
                                <w:left w:val="none" w:sz="0" w:space="0" w:color="auto"/>
                                <w:bottom w:val="none" w:sz="0" w:space="0" w:color="auto"/>
                                <w:right w:val="none" w:sz="0" w:space="0" w:color="auto"/>
                              </w:divBdr>
                              <w:divsChild>
                                <w:div w:id="1662347537">
                                  <w:marLeft w:val="0"/>
                                  <w:marRight w:val="0"/>
                                  <w:marTop w:val="0"/>
                                  <w:marBottom w:val="0"/>
                                  <w:divBdr>
                                    <w:top w:val="none" w:sz="0" w:space="0" w:color="auto"/>
                                    <w:left w:val="none" w:sz="0" w:space="0" w:color="auto"/>
                                    <w:bottom w:val="none" w:sz="0" w:space="0" w:color="auto"/>
                                    <w:right w:val="none" w:sz="0" w:space="0" w:color="auto"/>
                                  </w:divBdr>
                                  <w:divsChild>
                                    <w:div w:id="558637328">
                                      <w:marLeft w:val="0"/>
                                      <w:marRight w:val="0"/>
                                      <w:marTop w:val="0"/>
                                      <w:marBottom w:val="0"/>
                                      <w:divBdr>
                                        <w:top w:val="none" w:sz="0" w:space="0" w:color="auto"/>
                                        <w:left w:val="none" w:sz="0" w:space="0" w:color="auto"/>
                                        <w:bottom w:val="none" w:sz="0" w:space="0" w:color="auto"/>
                                        <w:right w:val="none" w:sz="0" w:space="0" w:color="auto"/>
                                      </w:divBdr>
                                      <w:divsChild>
                                        <w:div w:id="1296912220">
                                          <w:marLeft w:val="0"/>
                                          <w:marRight w:val="0"/>
                                          <w:marTop w:val="0"/>
                                          <w:marBottom w:val="0"/>
                                          <w:divBdr>
                                            <w:top w:val="none" w:sz="0" w:space="0" w:color="auto"/>
                                            <w:left w:val="none" w:sz="0" w:space="0" w:color="auto"/>
                                            <w:bottom w:val="none" w:sz="0" w:space="0" w:color="auto"/>
                                            <w:right w:val="none" w:sz="0" w:space="0" w:color="auto"/>
                                          </w:divBdr>
                                          <w:divsChild>
                                            <w:div w:id="929701702">
                                              <w:marLeft w:val="0"/>
                                              <w:marRight w:val="0"/>
                                              <w:marTop w:val="0"/>
                                              <w:marBottom w:val="0"/>
                                              <w:divBdr>
                                                <w:top w:val="none" w:sz="0" w:space="0" w:color="auto"/>
                                                <w:left w:val="none" w:sz="0" w:space="0" w:color="auto"/>
                                                <w:bottom w:val="none" w:sz="0" w:space="0" w:color="auto"/>
                                                <w:right w:val="none" w:sz="0" w:space="0" w:color="auto"/>
                                              </w:divBdr>
                                              <w:divsChild>
                                                <w:div w:id="14697485">
                                                  <w:marLeft w:val="0"/>
                                                  <w:marRight w:val="0"/>
                                                  <w:marTop w:val="0"/>
                                                  <w:marBottom w:val="0"/>
                                                  <w:divBdr>
                                                    <w:top w:val="none" w:sz="0" w:space="0" w:color="auto"/>
                                                    <w:left w:val="none" w:sz="0" w:space="0" w:color="auto"/>
                                                    <w:bottom w:val="none" w:sz="0" w:space="0" w:color="auto"/>
                                                    <w:right w:val="none" w:sz="0" w:space="0" w:color="auto"/>
                                                  </w:divBdr>
                                                  <w:divsChild>
                                                    <w:div w:id="1606768249">
                                                      <w:marLeft w:val="0"/>
                                                      <w:marRight w:val="0"/>
                                                      <w:marTop w:val="0"/>
                                                      <w:marBottom w:val="0"/>
                                                      <w:divBdr>
                                                        <w:top w:val="none" w:sz="0" w:space="0" w:color="auto"/>
                                                        <w:left w:val="none" w:sz="0" w:space="0" w:color="auto"/>
                                                        <w:bottom w:val="none" w:sz="0" w:space="0" w:color="auto"/>
                                                        <w:right w:val="none" w:sz="0" w:space="0" w:color="auto"/>
                                                      </w:divBdr>
                                                      <w:divsChild>
                                                        <w:div w:id="1565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2459239">
      <w:bodyDiv w:val="1"/>
      <w:marLeft w:val="0"/>
      <w:marRight w:val="0"/>
      <w:marTop w:val="0"/>
      <w:marBottom w:val="0"/>
      <w:divBdr>
        <w:top w:val="none" w:sz="0" w:space="0" w:color="auto"/>
        <w:left w:val="none" w:sz="0" w:space="0" w:color="auto"/>
        <w:bottom w:val="none" w:sz="0" w:space="0" w:color="auto"/>
        <w:right w:val="none" w:sz="0" w:space="0" w:color="auto"/>
      </w:divBdr>
      <w:divsChild>
        <w:div w:id="346757463">
          <w:marLeft w:val="0"/>
          <w:marRight w:val="0"/>
          <w:marTop w:val="0"/>
          <w:marBottom w:val="0"/>
          <w:divBdr>
            <w:top w:val="none" w:sz="0" w:space="0" w:color="auto"/>
            <w:left w:val="none" w:sz="0" w:space="0" w:color="auto"/>
            <w:bottom w:val="none" w:sz="0" w:space="0" w:color="auto"/>
            <w:right w:val="none" w:sz="0" w:space="0" w:color="auto"/>
          </w:divBdr>
          <w:divsChild>
            <w:div w:id="1465657014">
              <w:marLeft w:val="0"/>
              <w:marRight w:val="0"/>
              <w:marTop w:val="0"/>
              <w:marBottom w:val="0"/>
              <w:divBdr>
                <w:top w:val="none" w:sz="0" w:space="0" w:color="auto"/>
                <w:left w:val="none" w:sz="0" w:space="0" w:color="auto"/>
                <w:bottom w:val="none" w:sz="0" w:space="0" w:color="auto"/>
                <w:right w:val="none" w:sz="0" w:space="0" w:color="auto"/>
              </w:divBdr>
              <w:divsChild>
                <w:div w:id="129789482">
                  <w:marLeft w:val="0"/>
                  <w:marRight w:val="0"/>
                  <w:marTop w:val="0"/>
                  <w:marBottom w:val="0"/>
                  <w:divBdr>
                    <w:top w:val="none" w:sz="0" w:space="0" w:color="auto"/>
                    <w:left w:val="none" w:sz="0" w:space="0" w:color="auto"/>
                    <w:bottom w:val="none" w:sz="0" w:space="0" w:color="auto"/>
                    <w:right w:val="none" w:sz="0" w:space="0" w:color="auto"/>
                  </w:divBdr>
                  <w:divsChild>
                    <w:div w:id="624392691">
                      <w:marLeft w:val="0"/>
                      <w:marRight w:val="0"/>
                      <w:marTop w:val="0"/>
                      <w:marBottom w:val="0"/>
                      <w:divBdr>
                        <w:top w:val="none" w:sz="0" w:space="0" w:color="auto"/>
                        <w:left w:val="none" w:sz="0" w:space="0" w:color="auto"/>
                        <w:bottom w:val="none" w:sz="0" w:space="0" w:color="auto"/>
                        <w:right w:val="none" w:sz="0" w:space="0" w:color="auto"/>
                      </w:divBdr>
                      <w:divsChild>
                        <w:div w:id="143815602">
                          <w:marLeft w:val="0"/>
                          <w:marRight w:val="0"/>
                          <w:marTop w:val="0"/>
                          <w:marBottom w:val="0"/>
                          <w:divBdr>
                            <w:top w:val="none" w:sz="0" w:space="0" w:color="auto"/>
                            <w:left w:val="none" w:sz="0" w:space="0" w:color="auto"/>
                            <w:bottom w:val="none" w:sz="0" w:space="0" w:color="auto"/>
                            <w:right w:val="none" w:sz="0" w:space="0" w:color="auto"/>
                          </w:divBdr>
                          <w:divsChild>
                            <w:div w:id="847477021">
                              <w:marLeft w:val="0"/>
                              <w:marRight w:val="0"/>
                              <w:marTop w:val="0"/>
                              <w:marBottom w:val="0"/>
                              <w:divBdr>
                                <w:top w:val="none" w:sz="0" w:space="0" w:color="auto"/>
                                <w:left w:val="none" w:sz="0" w:space="0" w:color="auto"/>
                                <w:bottom w:val="none" w:sz="0" w:space="0" w:color="auto"/>
                                <w:right w:val="none" w:sz="0" w:space="0" w:color="auto"/>
                              </w:divBdr>
                              <w:divsChild>
                                <w:div w:id="1112867408">
                                  <w:marLeft w:val="0"/>
                                  <w:marRight w:val="0"/>
                                  <w:marTop w:val="0"/>
                                  <w:marBottom w:val="0"/>
                                  <w:divBdr>
                                    <w:top w:val="none" w:sz="0" w:space="0" w:color="auto"/>
                                    <w:left w:val="none" w:sz="0" w:space="0" w:color="auto"/>
                                    <w:bottom w:val="none" w:sz="0" w:space="0" w:color="auto"/>
                                    <w:right w:val="none" w:sz="0" w:space="0" w:color="auto"/>
                                  </w:divBdr>
                                  <w:divsChild>
                                    <w:div w:id="1370494038">
                                      <w:marLeft w:val="0"/>
                                      <w:marRight w:val="0"/>
                                      <w:marTop w:val="0"/>
                                      <w:marBottom w:val="0"/>
                                      <w:divBdr>
                                        <w:top w:val="none" w:sz="0" w:space="0" w:color="auto"/>
                                        <w:left w:val="none" w:sz="0" w:space="0" w:color="auto"/>
                                        <w:bottom w:val="none" w:sz="0" w:space="0" w:color="auto"/>
                                        <w:right w:val="none" w:sz="0" w:space="0" w:color="auto"/>
                                      </w:divBdr>
                                      <w:divsChild>
                                        <w:div w:id="1279798998">
                                          <w:marLeft w:val="0"/>
                                          <w:marRight w:val="0"/>
                                          <w:marTop w:val="0"/>
                                          <w:marBottom w:val="0"/>
                                          <w:divBdr>
                                            <w:top w:val="none" w:sz="0" w:space="0" w:color="auto"/>
                                            <w:left w:val="none" w:sz="0" w:space="0" w:color="auto"/>
                                            <w:bottom w:val="none" w:sz="0" w:space="0" w:color="auto"/>
                                            <w:right w:val="none" w:sz="0" w:space="0" w:color="auto"/>
                                          </w:divBdr>
                                          <w:divsChild>
                                            <w:div w:id="766728273">
                                              <w:marLeft w:val="0"/>
                                              <w:marRight w:val="0"/>
                                              <w:marTop w:val="0"/>
                                              <w:marBottom w:val="0"/>
                                              <w:divBdr>
                                                <w:top w:val="none" w:sz="0" w:space="0" w:color="auto"/>
                                                <w:left w:val="none" w:sz="0" w:space="0" w:color="auto"/>
                                                <w:bottom w:val="none" w:sz="0" w:space="0" w:color="auto"/>
                                                <w:right w:val="none" w:sz="0" w:space="0" w:color="auto"/>
                                              </w:divBdr>
                                              <w:divsChild>
                                                <w:div w:id="1857690010">
                                                  <w:marLeft w:val="0"/>
                                                  <w:marRight w:val="0"/>
                                                  <w:marTop w:val="0"/>
                                                  <w:marBottom w:val="0"/>
                                                  <w:divBdr>
                                                    <w:top w:val="none" w:sz="0" w:space="0" w:color="auto"/>
                                                    <w:left w:val="none" w:sz="0" w:space="0" w:color="auto"/>
                                                    <w:bottom w:val="none" w:sz="0" w:space="0" w:color="auto"/>
                                                    <w:right w:val="none" w:sz="0" w:space="0" w:color="auto"/>
                                                  </w:divBdr>
                                                  <w:divsChild>
                                                    <w:div w:id="1780833152">
                                                      <w:marLeft w:val="0"/>
                                                      <w:marRight w:val="0"/>
                                                      <w:marTop w:val="0"/>
                                                      <w:marBottom w:val="0"/>
                                                      <w:divBdr>
                                                        <w:top w:val="none" w:sz="0" w:space="0" w:color="auto"/>
                                                        <w:left w:val="none" w:sz="0" w:space="0" w:color="auto"/>
                                                        <w:bottom w:val="none" w:sz="0" w:space="0" w:color="auto"/>
                                                        <w:right w:val="none" w:sz="0" w:space="0" w:color="auto"/>
                                                      </w:divBdr>
                                                      <w:divsChild>
                                                        <w:div w:id="19280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7652944">
      <w:bodyDiv w:val="1"/>
      <w:marLeft w:val="0"/>
      <w:marRight w:val="0"/>
      <w:marTop w:val="0"/>
      <w:marBottom w:val="0"/>
      <w:divBdr>
        <w:top w:val="none" w:sz="0" w:space="0" w:color="auto"/>
        <w:left w:val="none" w:sz="0" w:space="0" w:color="auto"/>
        <w:bottom w:val="none" w:sz="0" w:space="0" w:color="auto"/>
        <w:right w:val="none" w:sz="0" w:space="0" w:color="auto"/>
      </w:divBdr>
      <w:divsChild>
        <w:div w:id="1146318807">
          <w:marLeft w:val="0"/>
          <w:marRight w:val="0"/>
          <w:marTop w:val="0"/>
          <w:marBottom w:val="0"/>
          <w:divBdr>
            <w:top w:val="none" w:sz="0" w:space="0" w:color="auto"/>
            <w:left w:val="none" w:sz="0" w:space="0" w:color="auto"/>
            <w:bottom w:val="none" w:sz="0" w:space="0" w:color="auto"/>
            <w:right w:val="none" w:sz="0" w:space="0" w:color="auto"/>
          </w:divBdr>
          <w:divsChild>
            <w:div w:id="934752988">
              <w:marLeft w:val="0"/>
              <w:marRight w:val="0"/>
              <w:marTop w:val="0"/>
              <w:marBottom w:val="0"/>
              <w:divBdr>
                <w:top w:val="none" w:sz="0" w:space="0" w:color="auto"/>
                <w:left w:val="none" w:sz="0" w:space="0" w:color="auto"/>
                <w:bottom w:val="none" w:sz="0" w:space="0" w:color="auto"/>
                <w:right w:val="none" w:sz="0" w:space="0" w:color="auto"/>
              </w:divBdr>
              <w:divsChild>
                <w:div w:id="960454661">
                  <w:marLeft w:val="0"/>
                  <w:marRight w:val="0"/>
                  <w:marTop w:val="0"/>
                  <w:marBottom w:val="0"/>
                  <w:divBdr>
                    <w:top w:val="none" w:sz="0" w:space="0" w:color="auto"/>
                    <w:left w:val="none" w:sz="0" w:space="0" w:color="auto"/>
                    <w:bottom w:val="none" w:sz="0" w:space="0" w:color="auto"/>
                    <w:right w:val="none" w:sz="0" w:space="0" w:color="auto"/>
                  </w:divBdr>
                  <w:divsChild>
                    <w:div w:id="616916307">
                      <w:marLeft w:val="0"/>
                      <w:marRight w:val="0"/>
                      <w:marTop w:val="0"/>
                      <w:marBottom w:val="0"/>
                      <w:divBdr>
                        <w:top w:val="none" w:sz="0" w:space="0" w:color="auto"/>
                        <w:left w:val="none" w:sz="0" w:space="0" w:color="auto"/>
                        <w:bottom w:val="none" w:sz="0" w:space="0" w:color="auto"/>
                        <w:right w:val="none" w:sz="0" w:space="0" w:color="auto"/>
                      </w:divBdr>
                      <w:divsChild>
                        <w:div w:id="1437747656">
                          <w:marLeft w:val="0"/>
                          <w:marRight w:val="0"/>
                          <w:marTop w:val="0"/>
                          <w:marBottom w:val="0"/>
                          <w:divBdr>
                            <w:top w:val="none" w:sz="0" w:space="0" w:color="auto"/>
                            <w:left w:val="none" w:sz="0" w:space="0" w:color="auto"/>
                            <w:bottom w:val="none" w:sz="0" w:space="0" w:color="auto"/>
                            <w:right w:val="none" w:sz="0" w:space="0" w:color="auto"/>
                          </w:divBdr>
                          <w:divsChild>
                            <w:div w:id="1313757606">
                              <w:marLeft w:val="0"/>
                              <w:marRight w:val="0"/>
                              <w:marTop w:val="0"/>
                              <w:marBottom w:val="0"/>
                              <w:divBdr>
                                <w:top w:val="none" w:sz="0" w:space="0" w:color="auto"/>
                                <w:left w:val="none" w:sz="0" w:space="0" w:color="auto"/>
                                <w:bottom w:val="none" w:sz="0" w:space="0" w:color="auto"/>
                                <w:right w:val="none" w:sz="0" w:space="0" w:color="auto"/>
                              </w:divBdr>
                              <w:divsChild>
                                <w:div w:id="1148285735">
                                  <w:marLeft w:val="0"/>
                                  <w:marRight w:val="0"/>
                                  <w:marTop w:val="0"/>
                                  <w:marBottom w:val="0"/>
                                  <w:divBdr>
                                    <w:top w:val="none" w:sz="0" w:space="0" w:color="auto"/>
                                    <w:left w:val="none" w:sz="0" w:space="0" w:color="auto"/>
                                    <w:bottom w:val="none" w:sz="0" w:space="0" w:color="auto"/>
                                    <w:right w:val="none" w:sz="0" w:space="0" w:color="auto"/>
                                  </w:divBdr>
                                  <w:divsChild>
                                    <w:div w:id="1105424444">
                                      <w:marLeft w:val="0"/>
                                      <w:marRight w:val="0"/>
                                      <w:marTop w:val="0"/>
                                      <w:marBottom w:val="0"/>
                                      <w:divBdr>
                                        <w:top w:val="none" w:sz="0" w:space="0" w:color="auto"/>
                                        <w:left w:val="none" w:sz="0" w:space="0" w:color="auto"/>
                                        <w:bottom w:val="none" w:sz="0" w:space="0" w:color="auto"/>
                                        <w:right w:val="none" w:sz="0" w:space="0" w:color="auto"/>
                                      </w:divBdr>
                                      <w:divsChild>
                                        <w:div w:id="450824715">
                                          <w:marLeft w:val="0"/>
                                          <w:marRight w:val="0"/>
                                          <w:marTop w:val="0"/>
                                          <w:marBottom w:val="0"/>
                                          <w:divBdr>
                                            <w:top w:val="none" w:sz="0" w:space="0" w:color="auto"/>
                                            <w:left w:val="none" w:sz="0" w:space="0" w:color="auto"/>
                                            <w:bottom w:val="none" w:sz="0" w:space="0" w:color="auto"/>
                                            <w:right w:val="none" w:sz="0" w:space="0" w:color="auto"/>
                                          </w:divBdr>
                                          <w:divsChild>
                                            <w:div w:id="761342039">
                                              <w:marLeft w:val="0"/>
                                              <w:marRight w:val="0"/>
                                              <w:marTop w:val="0"/>
                                              <w:marBottom w:val="0"/>
                                              <w:divBdr>
                                                <w:top w:val="none" w:sz="0" w:space="0" w:color="auto"/>
                                                <w:left w:val="none" w:sz="0" w:space="0" w:color="auto"/>
                                                <w:bottom w:val="none" w:sz="0" w:space="0" w:color="auto"/>
                                                <w:right w:val="none" w:sz="0" w:space="0" w:color="auto"/>
                                              </w:divBdr>
                                              <w:divsChild>
                                                <w:div w:id="826046150">
                                                  <w:marLeft w:val="0"/>
                                                  <w:marRight w:val="0"/>
                                                  <w:marTop w:val="0"/>
                                                  <w:marBottom w:val="0"/>
                                                  <w:divBdr>
                                                    <w:top w:val="none" w:sz="0" w:space="0" w:color="auto"/>
                                                    <w:left w:val="none" w:sz="0" w:space="0" w:color="auto"/>
                                                    <w:bottom w:val="none" w:sz="0" w:space="0" w:color="auto"/>
                                                    <w:right w:val="none" w:sz="0" w:space="0" w:color="auto"/>
                                                  </w:divBdr>
                                                  <w:divsChild>
                                                    <w:div w:id="373703439">
                                                      <w:marLeft w:val="0"/>
                                                      <w:marRight w:val="0"/>
                                                      <w:marTop w:val="0"/>
                                                      <w:marBottom w:val="0"/>
                                                      <w:divBdr>
                                                        <w:top w:val="none" w:sz="0" w:space="0" w:color="auto"/>
                                                        <w:left w:val="none" w:sz="0" w:space="0" w:color="auto"/>
                                                        <w:bottom w:val="none" w:sz="0" w:space="0" w:color="auto"/>
                                                        <w:right w:val="none" w:sz="0" w:space="0" w:color="auto"/>
                                                      </w:divBdr>
                                                      <w:divsChild>
                                                        <w:div w:id="70760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1921136">
      <w:bodyDiv w:val="1"/>
      <w:marLeft w:val="0"/>
      <w:marRight w:val="0"/>
      <w:marTop w:val="0"/>
      <w:marBottom w:val="0"/>
      <w:divBdr>
        <w:top w:val="none" w:sz="0" w:space="0" w:color="auto"/>
        <w:left w:val="none" w:sz="0" w:space="0" w:color="auto"/>
        <w:bottom w:val="none" w:sz="0" w:space="0" w:color="auto"/>
        <w:right w:val="none" w:sz="0" w:space="0" w:color="auto"/>
      </w:divBdr>
      <w:divsChild>
        <w:div w:id="541597944">
          <w:marLeft w:val="0"/>
          <w:marRight w:val="0"/>
          <w:marTop w:val="0"/>
          <w:marBottom w:val="0"/>
          <w:divBdr>
            <w:top w:val="none" w:sz="0" w:space="0" w:color="auto"/>
            <w:left w:val="none" w:sz="0" w:space="0" w:color="auto"/>
            <w:bottom w:val="none" w:sz="0" w:space="0" w:color="auto"/>
            <w:right w:val="none" w:sz="0" w:space="0" w:color="auto"/>
          </w:divBdr>
          <w:divsChild>
            <w:div w:id="1744911191">
              <w:marLeft w:val="0"/>
              <w:marRight w:val="0"/>
              <w:marTop w:val="0"/>
              <w:marBottom w:val="0"/>
              <w:divBdr>
                <w:top w:val="none" w:sz="0" w:space="0" w:color="auto"/>
                <w:left w:val="none" w:sz="0" w:space="0" w:color="auto"/>
                <w:bottom w:val="none" w:sz="0" w:space="0" w:color="auto"/>
                <w:right w:val="none" w:sz="0" w:space="0" w:color="auto"/>
              </w:divBdr>
              <w:divsChild>
                <w:div w:id="2010519736">
                  <w:marLeft w:val="0"/>
                  <w:marRight w:val="0"/>
                  <w:marTop w:val="0"/>
                  <w:marBottom w:val="0"/>
                  <w:divBdr>
                    <w:top w:val="none" w:sz="0" w:space="0" w:color="auto"/>
                    <w:left w:val="none" w:sz="0" w:space="0" w:color="auto"/>
                    <w:bottom w:val="none" w:sz="0" w:space="0" w:color="auto"/>
                    <w:right w:val="none" w:sz="0" w:space="0" w:color="auto"/>
                  </w:divBdr>
                  <w:divsChild>
                    <w:div w:id="268583176">
                      <w:marLeft w:val="0"/>
                      <w:marRight w:val="0"/>
                      <w:marTop w:val="0"/>
                      <w:marBottom w:val="0"/>
                      <w:divBdr>
                        <w:top w:val="none" w:sz="0" w:space="0" w:color="auto"/>
                        <w:left w:val="none" w:sz="0" w:space="0" w:color="auto"/>
                        <w:bottom w:val="none" w:sz="0" w:space="0" w:color="auto"/>
                        <w:right w:val="none" w:sz="0" w:space="0" w:color="auto"/>
                      </w:divBdr>
                      <w:divsChild>
                        <w:div w:id="2032684004">
                          <w:marLeft w:val="0"/>
                          <w:marRight w:val="0"/>
                          <w:marTop w:val="0"/>
                          <w:marBottom w:val="0"/>
                          <w:divBdr>
                            <w:top w:val="none" w:sz="0" w:space="0" w:color="auto"/>
                            <w:left w:val="none" w:sz="0" w:space="0" w:color="auto"/>
                            <w:bottom w:val="none" w:sz="0" w:space="0" w:color="auto"/>
                            <w:right w:val="none" w:sz="0" w:space="0" w:color="auto"/>
                          </w:divBdr>
                          <w:divsChild>
                            <w:div w:id="2001805627">
                              <w:marLeft w:val="0"/>
                              <w:marRight w:val="0"/>
                              <w:marTop w:val="0"/>
                              <w:marBottom w:val="0"/>
                              <w:divBdr>
                                <w:top w:val="none" w:sz="0" w:space="0" w:color="auto"/>
                                <w:left w:val="none" w:sz="0" w:space="0" w:color="auto"/>
                                <w:bottom w:val="none" w:sz="0" w:space="0" w:color="auto"/>
                                <w:right w:val="none" w:sz="0" w:space="0" w:color="auto"/>
                              </w:divBdr>
                              <w:divsChild>
                                <w:div w:id="2101635292">
                                  <w:marLeft w:val="0"/>
                                  <w:marRight w:val="0"/>
                                  <w:marTop w:val="0"/>
                                  <w:marBottom w:val="0"/>
                                  <w:divBdr>
                                    <w:top w:val="none" w:sz="0" w:space="0" w:color="auto"/>
                                    <w:left w:val="none" w:sz="0" w:space="0" w:color="auto"/>
                                    <w:bottom w:val="none" w:sz="0" w:space="0" w:color="auto"/>
                                    <w:right w:val="none" w:sz="0" w:space="0" w:color="auto"/>
                                  </w:divBdr>
                                  <w:divsChild>
                                    <w:div w:id="26764271">
                                      <w:marLeft w:val="0"/>
                                      <w:marRight w:val="0"/>
                                      <w:marTop w:val="0"/>
                                      <w:marBottom w:val="0"/>
                                      <w:divBdr>
                                        <w:top w:val="none" w:sz="0" w:space="0" w:color="auto"/>
                                        <w:left w:val="none" w:sz="0" w:space="0" w:color="auto"/>
                                        <w:bottom w:val="none" w:sz="0" w:space="0" w:color="auto"/>
                                        <w:right w:val="none" w:sz="0" w:space="0" w:color="auto"/>
                                      </w:divBdr>
                                      <w:divsChild>
                                        <w:div w:id="1942445329">
                                          <w:marLeft w:val="0"/>
                                          <w:marRight w:val="0"/>
                                          <w:marTop w:val="0"/>
                                          <w:marBottom w:val="0"/>
                                          <w:divBdr>
                                            <w:top w:val="none" w:sz="0" w:space="0" w:color="auto"/>
                                            <w:left w:val="none" w:sz="0" w:space="0" w:color="auto"/>
                                            <w:bottom w:val="none" w:sz="0" w:space="0" w:color="auto"/>
                                            <w:right w:val="none" w:sz="0" w:space="0" w:color="auto"/>
                                          </w:divBdr>
                                          <w:divsChild>
                                            <w:div w:id="23943194">
                                              <w:marLeft w:val="0"/>
                                              <w:marRight w:val="0"/>
                                              <w:marTop w:val="0"/>
                                              <w:marBottom w:val="0"/>
                                              <w:divBdr>
                                                <w:top w:val="none" w:sz="0" w:space="0" w:color="auto"/>
                                                <w:left w:val="none" w:sz="0" w:space="0" w:color="auto"/>
                                                <w:bottom w:val="none" w:sz="0" w:space="0" w:color="auto"/>
                                                <w:right w:val="none" w:sz="0" w:space="0" w:color="auto"/>
                                              </w:divBdr>
                                              <w:divsChild>
                                                <w:div w:id="159808494">
                                                  <w:marLeft w:val="0"/>
                                                  <w:marRight w:val="0"/>
                                                  <w:marTop w:val="0"/>
                                                  <w:marBottom w:val="0"/>
                                                  <w:divBdr>
                                                    <w:top w:val="none" w:sz="0" w:space="0" w:color="auto"/>
                                                    <w:left w:val="none" w:sz="0" w:space="0" w:color="auto"/>
                                                    <w:bottom w:val="none" w:sz="0" w:space="0" w:color="auto"/>
                                                    <w:right w:val="none" w:sz="0" w:space="0" w:color="auto"/>
                                                  </w:divBdr>
                                                  <w:divsChild>
                                                    <w:div w:id="406533094">
                                                      <w:marLeft w:val="0"/>
                                                      <w:marRight w:val="0"/>
                                                      <w:marTop w:val="0"/>
                                                      <w:marBottom w:val="0"/>
                                                      <w:divBdr>
                                                        <w:top w:val="none" w:sz="0" w:space="0" w:color="auto"/>
                                                        <w:left w:val="none" w:sz="0" w:space="0" w:color="auto"/>
                                                        <w:bottom w:val="none" w:sz="0" w:space="0" w:color="auto"/>
                                                        <w:right w:val="none" w:sz="0" w:space="0" w:color="auto"/>
                                                      </w:divBdr>
                                                      <w:divsChild>
                                                        <w:div w:id="116505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1446559">
      <w:bodyDiv w:val="1"/>
      <w:marLeft w:val="0"/>
      <w:marRight w:val="0"/>
      <w:marTop w:val="0"/>
      <w:marBottom w:val="0"/>
      <w:divBdr>
        <w:top w:val="none" w:sz="0" w:space="0" w:color="auto"/>
        <w:left w:val="none" w:sz="0" w:space="0" w:color="auto"/>
        <w:bottom w:val="none" w:sz="0" w:space="0" w:color="auto"/>
        <w:right w:val="none" w:sz="0" w:space="0" w:color="auto"/>
      </w:divBdr>
      <w:divsChild>
        <w:div w:id="245039620">
          <w:marLeft w:val="0"/>
          <w:marRight w:val="0"/>
          <w:marTop w:val="0"/>
          <w:marBottom w:val="0"/>
          <w:divBdr>
            <w:top w:val="none" w:sz="0" w:space="0" w:color="auto"/>
            <w:left w:val="none" w:sz="0" w:space="0" w:color="auto"/>
            <w:bottom w:val="none" w:sz="0" w:space="0" w:color="auto"/>
            <w:right w:val="none" w:sz="0" w:space="0" w:color="auto"/>
          </w:divBdr>
          <w:divsChild>
            <w:div w:id="1646741022">
              <w:marLeft w:val="0"/>
              <w:marRight w:val="0"/>
              <w:marTop w:val="0"/>
              <w:marBottom w:val="0"/>
              <w:divBdr>
                <w:top w:val="none" w:sz="0" w:space="0" w:color="auto"/>
                <w:left w:val="none" w:sz="0" w:space="0" w:color="auto"/>
                <w:bottom w:val="none" w:sz="0" w:space="0" w:color="auto"/>
                <w:right w:val="none" w:sz="0" w:space="0" w:color="auto"/>
              </w:divBdr>
              <w:divsChild>
                <w:div w:id="1885406384">
                  <w:marLeft w:val="0"/>
                  <w:marRight w:val="0"/>
                  <w:marTop w:val="0"/>
                  <w:marBottom w:val="0"/>
                  <w:divBdr>
                    <w:top w:val="none" w:sz="0" w:space="0" w:color="auto"/>
                    <w:left w:val="none" w:sz="0" w:space="0" w:color="auto"/>
                    <w:bottom w:val="none" w:sz="0" w:space="0" w:color="auto"/>
                    <w:right w:val="none" w:sz="0" w:space="0" w:color="auto"/>
                  </w:divBdr>
                  <w:divsChild>
                    <w:div w:id="1643466927">
                      <w:marLeft w:val="0"/>
                      <w:marRight w:val="0"/>
                      <w:marTop w:val="0"/>
                      <w:marBottom w:val="0"/>
                      <w:divBdr>
                        <w:top w:val="none" w:sz="0" w:space="0" w:color="auto"/>
                        <w:left w:val="none" w:sz="0" w:space="0" w:color="auto"/>
                        <w:bottom w:val="none" w:sz="0" w:space="0" w:color="auto"/>
                        <w:right w:val="none" w:sz="0" w:space="0" w:color="auto"/>
                      </w:divBdr>
                      <w:divsChild>
                        <w:div w:id="1838693296">
                          <w:marLeft w:val="0"/>
                          <w:marRight w:val="0"/>
                          <w:marTop w:val="0"/>
                          <w:marBottom w:val="0"/>
                          <w:divBdr>
                            <w:top w:val="none" w:sz="0" w:space="0" w:color="auto"/>
                            <w:left w:val="none" w:sz="0" w:space="0" w:color="auto"/>
                            <w:bottom w:val="none" w:sz="0" w:space="0" w:color="auto"/>
                            <w:right w:val="none" w:sz="0" w:space="0" w:color="auto"/>
                          </w:divBdr>
                          <w:divsChild>
                            <w:div w:id="2124226141">
                              <w:marLeft w:val="0"/>
                              <w:marRight w:val="0"/>
                              <w:marTop w:val="0"/>
                              <w:marBottom w:val="0"/>
                              <w:divBdr>
                                <w:top w:val="none" w:sz="0" w:space="0" w:color="auto"/>
                                <w:left w:val="none" w:sz="0" w:space="0" w:color="auto"/>
                                <w:bottom w:val="none" w:sz="0" w:space="0" w:color="auto"/>
                                <w:right w:val="none" w:sz="0" w:space="0" w:color="auto"/>
                              </w:divBdr>
                              <w:divsChild>
                                <w:div w:id="1927373477">
                                  <w:marLeft w:val="0"/>
                                  <w:marRight w:val="0"/>
                                  <w:marTop w:val="0"/>
                                  <w:marBottom w:val="0"/>
                                  <w:divBdr>
                                    <w:top w:val="none" w:sz="0" w:space="0" w:color="auto"/>
                                    <w:left w:val="none" w:sz="0" w:space="0" w:color="auto"/>
                                    <w:bottom w:val="none" w:sz="0" w:space="0" w:color="auto"/>
                                    <w:right w:val="none" w:sz="0" w:space="0" w:color="auto"/>
                                  </w:divBdr>
                                  <w:divsChild>
                                    <w:div w:id="256836534">
                                      <w:marLeft w:val="0"/>
                                      <w:marRight w:val="0"/>
                                      <w:marTop w:val="0"/>
                                      <w:marBottom w:val="0"/>
                                      <w:divBdr>
                                        <w:top w:val="none" w:sz="0" w:space="0" w:color="auto"/>
                                        <w:left w:val="none" w:sz="0" w:space="0" w:color="auto"/>
                                        <w:bottom w:val="none" w:sz="0" w:space="0" w:color="auto"/>
                                        <w:right w:val="none" w:sz="0" w:space="0" w:color="auto"/>
                                      </w:divBdr>
                                      <w:divsChild>
                                        <w:div w:id="209920046">
                                          <w:marLeft w:val="0"/>
                                          <w:marRight w:val="0"/>
                                          <w:marTop w:val="0"/>
                                          <w:marBottom w:val="0"/>
                                          <w:divBdr>
                                            <w:top w:val="none" w:sz="0" w:space="0" w:color="auto"/>
                                            <w:left w:val="none" w:sz="0" w:space="0" w:color="auto"/>
                                            <w:bottom w:val="none" w:sz="0" w:space="0" w:color="auto"/>
                                            <w:right w:val="none" w:sz="0" w:space="0" w:color="auto"/>
                                          </w:divBdr>
                                          <w:divsChild>
                                            <w:div w:id="1146508764">
                                              <w:marLeft w:val="0"/>
                                              <w:marRight w:val="0"/>
                                              <w:marTop w:val="0"/>
                                              <w:marBottom w:val="0"/>
                                              <w:divBdr>
                                                <w:top w:val="none" w:sz="0" w:space="0" w:color="auto"/>
                                                <w:left w:val="none" w:sz="0" w:space="0" w:color="auto"/>
                                                <w:bottom w:val="none" w:sz="0" w:space="0" w:color="auto"/>
                                                <w:right w:val="none" w:sz="0" w:space="0" w:color="auto"/>
                                              </w:divBdr>
                                              <w:divsChild>
                                                <w:div w:id="977685484">
                                                  <w:marLeft w:val="0"/>
                                                  <w:marRight w:val="0"/>
                                                  <w:marTop w:val="0"/>
                                                  <w:marBottom w:val="0"/>
                                                  <w:divBdr>
                                                    <w:top w:val="none" w:sz="0" w:space="0" w:color="auto"/>
                                                    <w:left w:val="none" w:sz="0" w:space="0" w:color="auto"/>
                                                    <w:bottom w:val="none" w:sz="0" w:space="0" w:color="auto"/>
                                                    <w:right w:val="none" w:sz="0" w:space="0" w:color="auto"/>
                                                  </w:divBdr>
                                                  <w:divsChild>
                                                    <w:div w:id="1799101810">
                                                      <w:marLeft w:val="0"/>
                                                      <w:marRight w:val="0"/>
                                                      <w:marTop w:val="0"/>
                                                      <w:marBottom w:val="0"/>
                                                      <w:divBdr>
                                                        <w:top w:val="none" w:sz="0" w:space="0" w:color="auto"/>
                                                        <w:left w:val="none" w:sz="0" w:space="0" w:color="auto"/>
                                                        <w:bottom w:val="none" w:sz="0" w:space="0" w:color="auto"/>
                                                        <w:right w:val="none" w:sz="0" w:space="0" w:color="auto"/>
                                                      </w:divBdr>
                                                      <w:divsChild>
                                                        <w:div w:id="166292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8991936">
      <w:bodyDiv w:val="1"/>
      <w:marLeft w:val="0"/>
      <w:marRight w:val="0"/>
      <w:marTop w:val="0"/>
      <w:marBottom w:val="0"/>
      <w:divBdr>
        <w:top w:val="none" w:sz="0" w:space="0" w:color="auto"/>
        <w:left w:val="none" w:sz="0" w:space="0" w:color="auto"/>
        <w:bottom w:val="none" w:sz="0" w:space="0" w:color="auto"/>
        <w:right w:val="none" w:sz="0" w:space="0" w:color="auto"/>
      </w:divBdr>
      <w:divsChild>
        <w:div w:id="1298493714">
          <w:marLeft w:val="0"/>
          <w:marRight w:val="0"/>
          <w:marTop w:val="0"/>
          <w:marBottom w:val="0"/>
          <w:divBdr>
            <w:top w:val="none" w:sz="0" w:space="0" w:color="auto"/>
            <w:left w:val="none" w:sz="0" w:space="0" w:color="auto"/>
            <w:bottom w:val="none" w:sz="0" w:space="0" w:color="auto"/>
            <w:right w:val="none" w:sz="0" w:space="0" w:color="auto"/>
          </w:divBdr>
          <w:divsChild>
            <w:div w:id="605819497">
              <w:marLeft w:val="0"/>
              <w:marRight w:val="0"/>
              <w:marTop w:val="0"/>
              <w:marBottom w:val="0"/>
              <w:divBdr>
                <w:top w:val="none" w:sz="0" w:space="0" w:color="auto"/>
                <w:left w:val="none" w:sz="0" w:space="0" w:color="auto"/>
                <w:bottom w:val="none" w:sz="0" w:space="0" w:color="auto"/>
                <w:right w:val="none" w:sz="0" w:space="0" w:color="auto"/>
              </w:divBdr>
              <w:divsChild>
                <w:div w:id="1628512419">
                  <w:marLeft w:val="0"/>
                  <w:marRight w:val="0"/>
                  <w:marTop w:val="0"/>
                  <w:marBottom w:val="0"/>
                  <w:divBdr>
                    <w:top w:val="none" w:sz="0" w:space="0" w:color="auto"/>
                    <w:left w:val="none" w:sz="0" w:space="0" w:color="auto"/>
                    <w:bottom w:val="none" w:sz="0" w:space="0" w:color="auto"/>
                    <w:right w:val="none" w:sz="0" w:space="0" w:color="auto"/>
                  </w:divBdr>
                  <w:divsChild>
                    <w:div w:id="15355281">
                      <w:marLeft w:val="0"/>
                      <w:marRight w:val="0"/>
                      <w:marTop w:val="0"/>
                      <w:marBottom w:val="0"/>
                      <w:divBdr>
                        <w:top w:val="none" w:sz="0" w:space="0" w:color="auto"/>
                        <w:left w:val="none" w:sz="0" w:space="0" w:color="auto"/>
                        <w:bottom w:val="none" w:sz="0" w:space="0" w:color="auto"/>
                        <w:right w:val="none" w:sz="0" w:space="0" w:color="auto"/>
                      </w:divBdr>
                      <w:divsChild>
                        <w:div w:id="894975657">
                          <w:marLeft w:val="0"/>
                          <w:marRight w:val="0"/>
                          <w:marTop w:val="0"/>
                          <w:marBottom w:val="0"/>
                          <w:divBdr>
                            <w:top w:val="none" w:sz="0" w:space="0" w:color="auto"/>
                            <w:left w:val="none" w:sz="0" w:space="0" w:color="auto"/>
                            <w:bottom w:val="none" w:sz="0" w:space="0" w:color="auto"/>
                            <w:right w:val="none" w:sz="0" w:space="0" w:color="auto"/>
                          </w:divBdr>
                          <w:divsChild>
                            <w:div w:id="962539535">
                              <w:marLeft w:val="0"/>
                              <w:marRight w:val="0"/>
                              <w:marTop w:val="0"/>
                              <w:marBottom w:val="0"/>
                              <w:divBdr>
                                <w:top w:val="none" w:sz="0" w:space="0" w:color="auto"/>
                                <w:left w:val="none" w:sz="0" w:space="0" w:color="auto"/>
                                <w:bottom w:val="none" w:sz="0" w:space="0" w:color="auto"/>
                                <w:right w:val="none" w:sz="0" w:space="0" w:color="auto"/>
                              </w:divBdr>
                              <w:divsChild>
                                <w:div w:id="1033845852">
                                  <w:marLeft w:val="0"/>
                                  <w:marRight w:val="0"/>
                                  <w:marTop w:val="0"/>
                                  <w:marBottom w:val="0"/>
                                  <w:divBdr>
                                    <w:top w:val="none" w:sz="0" w:space="0" w:color="auto"/>
                                    <w:left w:val="none" w:sz="0" w:space="0" w:color="auto"/>
                                    <w:bottom w:val="none" w:sz="0" w:space="0" w:color="auto"/>
                                    <w:right w:val="none" w:sz="0" w:space="0" w:color="auto"/>
                                  </w:divBdr>
                                  <w:divsChild>
                                    <w:div w:id="1980914432">
                                      <w:marLeft w:val="0"/>
                                      <w:marRight w:val="0"/>
                                      <w:marTop w:val="0"/>
                                      <w:marBottom w:val="0"/>
                                      <w:divBdr>
                                        <w:top w:val="none" w:sz="0" w:space="0" w:color="auto"/>
                                        <w:left w:val="none" w:sz="0" w:space="0" w:color="auto"/>
                                        <w:bottom w:val="none" w:sz="0" w:space="0" w:color="auto"/>
                                        <w:right w:val="none" w:sz="0" w:space="0" w:color="auto"/>
                                      </w:divBdr>
                                      <w:divsChild>
                                        <w:div w:id="2084182528">
                                          <w:marLeft w:val="0"/>
                                          <w:marRight w:val="0"/>
                                          <w:marTop w:val="0"/>
                                          <w:marBottom w:val="0"/>
                                          <w:divBdr>
                                            <w:top w:val="none" w:sz="0" w:space="0" w:color="auto"/>
                                            <w:left w:val="none" w:sz="0" w:space="0" w:color="auto"/>
                                            <w:bottom w:val="none" w:sz="0" w:space="0" w:color="auto"/>
                                            <w:right w:val="none" w:sz="0" w:space="0" w:color="auto"/>
                                          </w:divBdr>
                                          <w:divsChild>
                                            <w:div w:id="396784288">
                                              <w:marLeft w:val="0"/>
                                              <w:marRight w:val="0"/>
                                              <w:marTop w:val="0"/>
                                              <w:marBottom w:val="0"/>
                                              <w:divBdr>
                                                <w:top w:val="none" w:sz="0" w:space="0" w:color="auto"/>
                                                <w:left w:val="none" w:sz="0" w:space="0" w:color="auto"/>
                                                <w:bottom w:val="none" w:sz="0" w:space="0" w:color="auto"/>
                                                <w:right w:val="none" w:sz="0" w:space="0" w:color="auto"/>
                                              </w:divBdr>
                                              <w:divsChild>
                                                <w:div w:id="587154818">
                                                  <w:marLeft w:val="0"/>
                                                  <w:marRight w:val="0"/>
                                                  <w:marTop w:val="0"/>
                                                  <w:marBottom w:val="0"/>
                                                  <w:divBdr>
                                                    <w:top w:val="none" w:sz="0" w:space="0" w:color="auto"/>
                                                    <w:left w:val="none" w:sz="0" w:space="0" w:color="auto"/>
                                                    <w:bottom w:val="none" w:sz="0" w:space="0" w:color="auto"/>
                                                    <w:right w:val="none" w:sz="0" w:space="0" w:color="auto"/>
                                                  </w:divBdr>
                                                  <w:divsChild>
                                                    <w:div w:id="1150831625">
                                                      <w:marLeft w:val="0"/>
                                                      <w:marRight w:val="0"/>
                                                      <w:marTop w:val="0"/>
                                                      <w:marBottom w:val="0"/>
                                                      <w:divBdr>
                                                        <w:top w:val="none" w:sz="0" w:space="0" w:color="auto"/>
                                                        <w:left w:val="none" w:sz="0" w:space="0" w:color="auto"/>
                                                        <w:bottom w:val="none" w:sz="0" w:space="0" w:color="auto"/>
                                                        <w:right w:val="none" w:sz="0" w:space="0" w:color="auto"/>
                                                      </w:divBdr>
                                                      <w:divsChild>
                                                        <w:div w:id="4727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721592">
      <w:bodyDiv w:val="1"/>
      <w:marLeft w:val="0"/>
      <w:marRight w:val="0"/>
      <w:marTop w:val="0"/>
      <w:marBottom w:val="0"/>
      <w:divBdr>
        <w:top w:val="none" w:sz="0" w:space="0" w:color="auto"/>
        <w:left w:val="none" w:sz="0" w:space="0" w:color="auto"/>
        <w:bottom w:val="none" w:sz="0" w:space="0" w:color="auto"/>
        <w:right w:val="none" w:sz="0" w:space="0" w:color="auto"/>
      </w:divBdr>
    </w:div>
    <w:div w:id="2046981791">
      <w:bodyDiv w:val="1"/>
      <w:marLeft w:val="0"/>
      <w:marRight w:val="0"/>
      <w:marTop w:val="0"/>
      <w:marBottom w:val="0"/>
      <w:divBdr>
        <w:top w:val="none" w:sz="0" w:space="0" w:color="auto"/>
        <w:left w:val="none" w:sz="0" w:space="0" w:color="auto"/>
        <w:bottom w:val="none" w:sz="0" w:space="0" w:color="auto"/>
        <w:right w:val="none" w:sz="0" w:space="0" w:color="auto"/>
      </w:divBdr>
      <w:divsChild>
        <w:div w:id="770855027">
          <w:marLeft w:val="0"/>
          <w:marRight w:val="0"/>
          <w:marTop w:val="0"/>
          <w:marBottom w:val="0"/>
          <w:divBdr>
            <w:top w:val="none" w:sz="0" w:space="0" w:color="auto"/>
            <w:left w:val="none" w:sz="0" w:space="0" w:color="auto"/>
            <w:bottom w:val="none" w:sz="0" w:space="0" w:color="auto"/>
            <w:right w:val="none" w:sz="0" w:space="0" w:color="auto"/>
          </w:divBdr>
          <w:divsChild>
            <w:div w:id="1973705689">
              <w:marLeft w:val="0"/>
              <w:marRight w:val="0"/>
              <w:marTop w:val="0"/>
              <w:marBottom w:val="0"/>
              <w:divBdr>
                <w:top w:val="none" w:sz="0" w:space="0" w:color="auto"/>
                <w:left w:val="none" w:sz="0" w:space="0" w:color="auto"/>
                <w:bottom w:val="none" w:sz="0" w:space="0" w:color="auto"/>
                <w:right w:val="none" w:sz="0" w:space="0" w:color="auto"/>
              </w:divBdr>
              <w:divsChild>
                <w:div w:id="195386444">
                  <w:marLeft w:val="0"/>
                  <w:marRight w:val="0"/>
                  <w:marTop w:val="0"/>
                  <w:marBottom w:val="0"/>
                  <w:divBdr>
                    <w:top w:val="none" w:sz="0" w:space="0" w:color="auto"/>
                    <w:left w:val="none" w:sz="0" w:space="0" w:color="auto"/>
                    <w:bottom w:val="none" w:sz="0" w:space="0" w:color="auto"/>
                    <w:right w:val="none" w:sz="0" w:space="0" w:color="auto"/>
                  </w:divBdr>
                  <w:divsChild>
                    <w:div w:id="1051344333">
                      <w:marLeft w:val="0"/>
                      <w:marRight w:val="0"/>
                      <w:marTop w:val="0"/>
                      <w:marBottom w:val="0"/>
                      <w:divBdr>
                        <w:top w:val="none" w:sz="0" w:space="0" w:color="auto"/>
                        <w:left w:val="none" w:sz="0" w:space="0" w:color="auto"/>
                        <w:bottom w:val="none" w:sz="0" w:space="0" w:color="auto"/>
                        <w:right w:val="none" w:sz="0" w:space="0" w:color="auto"/>
                      </w:divBdr>
                      <w:divsChild>
                        <w:div w:id="127432040">
                          <w:marLeft w:val="0"/>
                          <w:marRight w:val="0"/>
                          <w:marTop w:val="0"/>
                          <w:marBottom w:val="0"/>
                          <w:divBdr>
                            <w:top w:val="none" w:sz="0" w:space="0" w:color="auto"/>
                            <w:left w:val="none" w:sz="0" w:space="0" w:color="auto"/>
                            <w:bottom w:val="none" w:sz="0" w:space="0" w:color="auto"/>
                            <w:right w:val="none" w:sz="0" w:space="0" w:color="auto"/>
                          </w:divBdr>
                          <w:divsChild>
                            <w:div w:id="1859543831">
                              <w:marLeft w:val="0"/>
                              <w:marRight w:val="0"/>
                              <w:marTop w:val="0"/>
                              <w:marBottom w:val="0"/>
                              <w:divBdr>
                                <w:top w:val="none" w:sz="0" w:space="0" w:color="auto"/>
                                <w:left w:val="none" w:sz="0" w:space="0" w:color="auto"/>
                                <w:bottom w:val="none" w:sz="0" w:space="0" w:color="auto"/>
                                <w:right w:val="none" w:sz="0" w:space="0" w:color="auto"/>
                              </w:divBdr>
                              <w:divsChild>
                                <w:div w:id="2105029642">
                                  <w:marLeft w:val="0"/>
                                  <w:marRight w:val="0"/>
                                  <w:marTop w:val="0"/>
                                  <w:marBottom w:val="0"/>
                                  <w:divBdr>
                                    <w:top w:val="none" w:sz="0" w:space="0" w:color="auto"/>
                                    <w:left w:val="none" w:sz="0" w:space="0" w:color="auto"/>
                                    <w:bottom w:val="none" w:sz="0" w:space="0" w:color="auto"/>
                                    <w:right w:val="none" w:sz="0" w:space="0" w:color="auto"/>
                                  </w:divBdr>
                                  <w:divsChild>
                                    <w:div w:id="1786846607">
                                      <w:marLeft w:val="0"/>
                                      <w:marRight w:val="0"/>
                                      <w:marTop w:val="0"/>
                                      <w:marBottom w:val="0"/>
                                      <w:divBdr>
                                        <w:top w:val="none" w:sz="0" w:space="0" w:color="auto"/>
                                        <w:left w:val="none" w:sz="0" w:space="0" w:color="auto"/>
                                        <w:bottom w:val="none" w:sz="0" w:space="0" w:color="auto"/>
                                        <w:right w:val="none" w:sz="0" w:space="0" w:color="auto"/>
                                      </w:divBdr>
                                      <w:divsChild>
                                        <w:div w:id="1472676001">
                                          <w:marLeft w:val="0"/>
                                          <w:marRight w:val="0"/>
                                          <w:marTop w:val="0"/>
                                          <w:marBottom w:val="0"/>
                                          <w:divBdr>
                                            <w:top w:val="none" w:sz="0" w:space="0" w:color="auto"/>
                                            <w:left w:val="none" w:sz="0" w:space="0" w:color="auto"/>
                                            <w:bottom w:val="none" w:sz="0" w:space="0" w:color="auto"/>
                                            <w:right w:val="none" w:sz="0" w:space="0" w:color="auto"/>
                                          </w:divBdr>
                                          <w:divsChild>
                                            <w:div w:id="542988373">
                                              <w:marLeft w:val="0"/>
                                              <w:marRight w:val="0"/>
                                              <w:marTop w:val="0"/>
                                              <w:marBottom w:val="0"/>
                                              <w:divBdr>
                                                <w:top w:val="none" w:sz="0" w:space="0" w:color="auto"/>
                                                <w:left w:val="none" w:sz="0" w:space="0" w:color="auto"/>
                                                <w:bottom w:val="none" w:sz="0" w:space="0" w:color="auto"/>
                                                <w:right w:val="none" w:sz="0" w:space="0" w:color="auto"/>
                                              </w:divBdr>
                                              <w:divsChild>
                                                <w:div w:id="2130707457">
                                                  <w:marLeft w:val="0"/>
                                                  <w:marRight w:val="0"/>
                                                  <w:marTop w:val="0"/>
                                                  <w:marBottom w:val="0"/>
                                                  <w:divBdr>
                                                    <w:top w:val="none" w:sz="0" w:space="0" w:color="auto"/>
                                                    <w:left w:val="none" w:sz="0" w:space="0" w:color="auto"/>
                                                    <w:bottom w:val="none" w:sz="0" w:space="0" w:color="auto"/>
                                                    <w:right w:val="none" w:sz="0" w:space="0" w:color="auto"/>
                                                  </w:divBdr>
                                                  <w:divsChild>
                                                    <w:div w:id="479078503">
                                                      <w:marLeft w:val="0"/>
                                                      <w:marRight w:val="0"/>
                                                      <w:marTop w:val="0"/>
                                                      <w:marBottom w:val="0"/>
                                                      <w:divBdr>
                                                        <w:top w:val="none" w:sz="0" w:space="0" w:color="auto"/>
                                                        <w:left w:val="none" w:sz="0" w:space="0" w:color="auto"/>
                                                        <w:bottom w:val="none" w:sz="0" w:space="0" w:color="auto"/>
                                                        <w:right w:val="none" w:sz="0" w:space="0" w:color="auto"/>
                                                      </w:divBdr>
                                                      <w:divsChild>
                                                        <w:div w:id="2586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4115962">
      <w:bodyDiv w:val="1"/>
      <w:marLeft w:val="0"/>
      <w:marRight w:val="0"/>
      <w:marTop w:val="0"/>
      <w:marBottom w:val="0"/>
      <w:divBdr>
        <w:top w:val="none" w:sz="0" w:space="0" w:color="auto"/>
        <w:left w:val="none" w:sz="0" w:space="0" w:color="auto"/>
        <w:bottom w:val="none" w:sz="0" w:space="0" w:color="auto"/>
        <w:right w:val="none" w:sz="0" w:space="0" w:color="auto"/>
      </w:divBdr>
    </w:div>
    <w:div w:id="2063022413">
      <w:bodyDiv w:val="1"/>
      <w:marLeft w:val="0"/>
      <w:marRight w:val="0"/>
      <w:marTop w:val="0"/>
      <w:marBottom w:val="0"/>
      <w:divBdr>
        <w:top w:val="none" w:sz="0" w:space="0" w:color="auto"/>
        <w:left w:val="none" w:sz="0" w:space="0" w:color="auto"/>
        <w:bottom w:val="none" w:sz="0" w:space="0" w:color="auto"/>
        <w:right w:val="none" w:sz="0" w:space="0" w:color="auto"/>
      </w:divBdr>
      <w:divsChild>
        <w:div w:id="2029485695">
          <w:marLeft w:val="0"/>
          <w:marRight w:val="0"/>
          <w:marTop w:val="0"/>
          <w:marBottom w:val="0"/>
          <w:divBdr>
            <w:top w:val="none" w:sz="0" w:space="0" w:color="auto"/>
            <w:left w:val="none" w:sz="0" w:space="0" w:color="auto"/>
            <w:bottom w:val="none" w:sz="0" w:space="0" w:color="auto"/>
            <w:right w:val="none" w:sz="0" w:space="0" w:color="auto"/>
          </w:divBdr>
          <w:divsChild>
            <w:div w:id="2024431065">
              <w:marLeft w:val="0"/>
              <w:marRight w:val="0"/>
              <w:marTop w:val="0"/>
              <w:marBottom w:val="0"/>
              <w:divBdr>
                <w:top w:val="none" w:sz="0" w:space="0" w:color="auto"/>
                <w:left w:val="none" w:sz="0" w:space="0" w:color="auto"/>
                <w:bottom w:val="none" w:sz="0" w:space="0" w:color="auto"/>
                <w:right w:val="none" w:sz="0" w:space="0" w:color="auto"/>
              </w:divBdr>
              <w:divsChild>
                <w:div w:id="1521890968">
                  <w:marLeft w:val="0"/>
                  <w:marRight w:val="0"/>
                  <w:marTop w:val="0"/>
                  <w:marBottom w:val="0"/>
                  <w:divBdr>
                    <w:top w:val="none" w:sz="0" w:space="0" w:color="auto"/>
                    <w:left w:val="none" w:sz="0" w:space="0" w:color="auto"/>
                    <w:bottom w:val="none" w:sz="0" w:space="0" w:color="auto"/>
                    <w:right w:val="none" w:sz="0" w:space="0" w:color="auto"/>
                  </w:divBdr>
                  <w:divsChild>
                    <w:div w:id="1032658388">
                      <w:marLeft w:val="0"/>
                      <w:marRight w:val="0"/>
                      <w:marTop w:val="0"/>
                      <w:marBottom w:val="0"/>
                      <w:divBdr>
                        <w:top w:val="none" w:sz="0" w:space="0" w:color="auto"/>
                        <w:left w:val="none" w:sz="0" w:space="0" w:color="auto"/>
                        <w:bottom w:val="none" w:sz="0" w:space="0" w:color="auto"/>
                        <w:right w:val="none" w:sz="0" w:space="0" w:color="auto"/>
                      </w:divBdr>
                      <w:divsChild>
                        <w:div w:id="1002775219">
                          <w:marLeft w:val="0"/>
                          <w:marRight w:val="0"/>
                          <w:marTop w:val="0"/>
                          <w:marBottom w:val="0"/>
                          <w:divBdr>
                            <w:top w:val="none" w:sz="0" w:space="0" w:color="auto"/>
                            <w:left w:val="none" w:sz="0" w:space="0" w:color="auto"/>
                            <w:bottom w:val="none" w:sz="0" w:space="0" w:color="auto"/>
                            <w:right w:val="none" w:sz="0" w:space="0" w:color="auto"/>
                          </w:divBdr>
                          <w:divsChild>
                            <w:div w:id="1039278424">
                              <w:marLeft w:val="0"/>
                              <w:marRight w:val="0"/>
                              <w:marTop w:val="0"/>
                              <w:marBottom w:val="0"/>
                              <w:divBdr>
                                <w:top w:val="none" w:sz="0" w:space="0" w:color="auto"/>
                                <w:left w:val="none" w:sz="0" w:space="0" w:color="auto"/>
                                <w:bottom w:val="none" w:sz="0" w:space="0" w:color="auto"/>
                                <w:right w:val="none" w:sz="0" w:space="0" w:color="auto"/>
                              </w:divBdr>
                              <w:divsChild>
                                <w:div w:id="441536019">
                                  <w:marLeft w:val="0"/>
                                  <w:marRight w:val="0"/>
                                  <w:marTop w:val="0"/>
                                  <w:marBottom w:val="0"/>
                                  <w:divBdr>
                                    <w:top w:val="none" w:sz="0" w:space="0" w:color="auto"/>
                                    <w:left w:val="none" w:sz="0" w:space="0" w:color="auto"/>
                                    <w:bottom w:val="none" w:sz="0" w:space="0" w:color="auto"/>
                                    <w:right w:val="none" w:sz="0" w:space="0" w:color="auto"/>
                                  </w:divBdr>
                                  <w:divsChild>
                                    <w:div w:id="1626736668">
                                      <w:marLeft w:val="0"/>
                                      <w:marRight w:val="0"/>
                                      <w:marTop w:val="0"/>
                                      <w:marBottom w:val="0"/>
                                      <w:divBdr>
                                        <w:top w:val="none" w:sz="0" w:space="0" w:color="auto"/>
                                        <w:left w:val="none" w:sz="0" w:space="0" w:color="auto"/>
                                        <w:bottom w:val="none" w:sz="0" w:space="0" w:color="auto"/>
                                        <w:right w:val="none" w:sz="0" w:space="0" w:color="auto"/>
                                      </w:divBdr>
                                      <w:divsChild>
                                        <w:div w:id="1931624985">
                                          <w:marLeft w:val="0"/>
                                          <w:marRight w:val="0"/>
                                          <w:marTop w:val="0"/>
                                          <w:marBottom w:val="0"/>
                                          <w:divBdr>
                                            <w:top w:val="none" w:sz="0" w:space="0" w:color="auto"/>
                                            <w:left w:val="none" w:sz="0" w:space="0" w:color="auto"/>
                                            <w:bottom w:val="none" w:sz="0" w:space="0" w:color="auto"/>
                                            <w:right w:val="none" w:sz="0" w:space="0" w:color="auto"/>
                                          </w:divBdr>
                                          <w:divsChild>
                                            <w:div w:id="2138526976">
                                              <w:marLeft w:val="0"/>
                                              <w:marRight w:val="0"/>
                                              <w:marTop w:val="0"/>
                                              <w:marBottom w:val="0"/>
                                              <w:divBdr>
                                                <w:top w:val="none" w:sz="0" w:space="0" w:color="auto"/>
                                                <w:left w:val="none" w:sz="0" w:space="0" w:color="auto"/>
                                                <w:bottom w:val="none" w:sz="0" w:space="0" w:color="auto"/>
                                                <w:right w:val="none" w:sz="0" w:space="0" w:color="auto"/>
                                              </w:divBdr>
                                              <w:divsChild>
                                                <w:div w:id="1483503731">
                                                  <w:marLeft w:val="0"/>
                                                  <w:marRight w:val="0"/>
                                                  <w:marTop w:val="0"/>
                                                  <w:marBottom w:val="0"/>
                                                  <w:divBdr>
                                                    <w:top w:val="none" w:sz="0" w:space="0" w:color="auto"/>
                                                    <w:left w:val="none" w:sz="0" w:space="0" w:color="auto"/>
                                                    <w:bottom w:val="none" w:sz="0" w:space="0" w:color="auto"/>
                                                    <w:right w:val="none" w:sz="0" w:space="0" w:color="auto"/>
                                                  </w:divBdr>
                                                  <w:divsChild>
                                                    <w:div w:id="1174537482">
                                                      <w:marLeft w:val="0"/>
                                                      <w:marRight w:val="0"/>
                                                      <w:marTop w:val="0"/>
                                                      <w:marBottom w:val="0"/>
                                                      <w:divBdr>
                                                        <w:top w:val="none" w:sz="0" w:space="0" w:color="auto"/>
                                                        <w:left w:val="none" w:sz="0" w:space="0" w:color="auto"/>
                                                        <w:bottom w:val="none" w:sz="0" w:space="0" w:color="auto"/>
                                                        <w:right w:val="none" w:sz="0" w:space="0" w:color="auto"/>
                                                      </w:divBdr>
                                                      <w:divsChild>
                                                        <w:div w:id="14557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ea.europa.eu/fr/datahub/datahubitem-view/236e91f9-1809-4562-bbd4-5d813f661f35" TargetMode="External"/><Relationship Id="rId21" Type="http://schemas.openxmlformats.org/officeDocument/2006/relationships/footer" Target="footer5.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header" Target="header13.xml"/><Relationship Id="rId68" Type="http://schemas.openxmlformats.org/officeDocument/2006/relationships/header" Target="header14.xml"/><Relationship Id="rId84" Type="http://schemas.openxmlformats.org/officeDocument/2006/relationships/image" Target="media/image26.emf"/><Relationship Id="rId89" Type="http://schemas.openxmlformats.org/officeDocument/2006/relationships/image" Target="media/image28.png"/><Relationship Id="rId7" Type="http://schemas.openxmlformats.org/officeDocument/2006/relationships/settings" Target="settings.xml"/><Relationship Id="rId71" Type="http://schemas.openxmlformats.org/officeDocument/2006/relationships/image" Target="media/image20.emf"/><Relationship Id="rId92" Type="http://schemas.openxmlformats.org/officeDocument/2006/relationships/footer" Target="footer19.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eur-lex.europa.eu/legal-content/FR/TXT/?uri=CELEX%3A32022D0162%23:~:text=Commission%20Implementing%20Decision%20%28EU%29%202022%2F162%20of%204%20February,to%20achieve%20such%20reduction%20%28Text%20with%20EEA%20relevance%29" TargetMode="Externa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yperlink" Target="https://eur-lex.europa.eu/legal-content/FR/TXT/?uri=uriserv%3AOJ.L_.2021.211.01.0051.01.FRA&amp;toc=OJ%3AL%3A2021%3A211%3ATOC" TargetMode="External"/><Relationship Id="rId37" Type="http://schemas.openxmlformats.org/officeDocument/2006/relationships/image" Target="media/image2.emf"/><Relationship Id="rId40" Type="http://schemas.openxmlformats.org/officeDocument/2006/relationships/image" Target="media/image5.png"/><Relationship Id="rId45" Type="http://schemas.openxmlformats.org/officeDocument/2006/relationships/image" Target="media/image10.png"/><Relationship Id="rId53" Type="http://schemas.openxmlformats.org/officeDocument/2006/relationships/footer" Target="footer10.xml"/><Relationship Id="rId58" Type="http://schemas.openxmlformats.org/officeDocument/2006/relationships/hyperlink" Target="https://diariodarepublica.pt/dr/detalhe/decreto-lei/78-2021-171871496" TargetMode="External"/><Relationship Id="rId66" Type="http://schemas.openxmlformats.org/officeDocument/2006/relationships/image" Target="media/image18.emf"/><Relationship Id="rId74" Type="http://schemas.openxmlformats.org/officeDocument/2006/relationships/image" Target="media/image21.png"/><Relationship Id="rId79" Type="http://schemas.openxmlformats.org/officeDocument/2006/relationships/footer" Target="footer17.xml"/><Relationship Id="rId87" Type="http://schemas.openxmlformats.org/officeDocument/2006/relationships/footer" Target="footer18.xml"/><Relationship Id="rId102" Type="http://schemas.openxmlformats.org/officeDocument/2006/relationships/footer" Target="footer21.xml"/><Relationship Id="rId5" Type="http://schemas.openxmlformats.org/officeDocument/2006/relationships/numbering" Target="numbering.xml"/><Relationship Id="rId61" Type="http://schemas.openxmlformats.org/officeDocument/2006/relationships/hyperlink" Target="https://www.eea.europa.eu/en/topics/in-depth/waste-and-recycling/municipal-and-packaging-waste-management-country-profiles-2025" TargetMode="External"/><Relationship Id="rId82" Type="http://schemas.openxmlformats.org/officeDocument/2006/relationships/image" Target="media/image24.emf"/><Relationship Id="rId90" Type="http://schemas.openxmlformats.org/officeDocument/2006/relationships/image" Target="media/image29.emf"/><Relationship Id="rId95" Type="http://schemas.openxmlformats.org/officeDocument/2006/relationships/image" Target="media/image32.pn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yperlink" Target="https://eur-lex.europa.eu/legal-content/FR/TXT/?uri=CELEX%3A32022D0162%23:~:text=Commission%20Implementing%20Decision%20%28EU%29%202022%2F162%20of%204%20February,to%20achieve%20such%20reduction%20%28Text%20with%20EEA%20relevance%29" TargetMode="External"/><Relationship Id="rId35" Type="http://schemas.openxmlformats.org/officeDocument/2006/relationships/header" Target="header9.xml"/><Relationship Id="rId43" Type="http://schemas.openxmlformats.org/officeDocument/2006/relationships/image" Target="media/image8.png"/><Relationship Id="rId48" Type="http://schemas.openxmlformats.org/officeDocument/2006/relationships/image" Target="media/image13.emf"/><Relationship Id="rId56" Type="http://schemas.openxmlformats.org/officeDocument/2006/relationships/header" Target="header11.xml"/><Relationship Id="rId64" Type="http://schemas.openxmlformats.org/officeDocument/2006/relationships/footer" Target="footer13.xml"/><Relationship Id="rId69" Type="http://schemas.openxmlformats.org/officeDocument/2006/relationships/footer" Target="footer14.xml"/><Relationship Id="rId77" Type="http://schemas.openxmlformats.org/officeDocument/2006/relationships/footer" Target="footer16.xml"/><Relationship Id="rId100" Type="http://schemas.openxmlformats.org/officeDocument/2006/relationships/header" Target="header21.xm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eionet.europa.eu/reportnet/single-use-plastic" TargetMode="External"/><Relationship Id="rId72" Type="http://schemas.openxmlformats.org/officeDocument/2006/relationships/header" Target="header15.xml"/><Relationship Id="rId80" Type="http://schemas.openxmlformats.org/officeDocument/2006/relationships/image" Target="media/image22.emf"/><Relationship Id="rId85" Type="http://schemas.openxmlformats.org/officeDocument/2006/relationships/image" Target="media/image27.emf"/><Relationship Id="rId93" Type="http://schemas.openxmlformats.org/officeDocument/2006/relationships/image" Target="media/image30.emf"/><Relationship Id="rId98" Type="http://schemas.openxmlformats.org/officeDocument/2006/relationships/image" Target="media/image35.e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eur-lex.europa.eu/eli/dec_impl/2023/2683/oj" TargetMode="External"/><Relationship Id="rId38" Type="http://schemas.openxmlformats.org/officeDocument/2006/relationships/image" Target="media/image3.emf"/><Relationship Id="rId46" Type="http://schemas.openxmlformats.org/officeDocument/2006/relationships/image" Target="media/image11.png"/><Relationship Id="rId59" Type="http://schemas.openxmlformats.org/officeDocument/2006/relationships/header" Target="header12.xml"/><Relationship Id="rId67" Type="http://schemas.openxmlformats.org/officeDocument/2006/relationships/hyperlink" Target="https://ec.europa.eu/eurostat/databrowser/view/demo_gind__custom_13672054/default/table" TargetMode="External"/><Relationship Id="rId103" Type="http://schemas.openxmlformats.org/officeDocument/2006/relationships/header" Target="header22.xml"/><Relationship Id="rId20" Type="http://schemas.openxmlformats.org/officeDocument/2006/relationships/footer" Target="footer4.xml"/><Relationship Id="rId41" Type="http://schemas.openxmlformats.org/officeDocument/2006/relationships/image" Target="media/image6.png"/><Relationship Id="rId54" Type="http://schemas.openxmlformats.org/officeDocument/2006/relationships/image" Target="media/image15.emf"/><Relationship Id="rId62" Type="http://schemas.openxmlformats.org/officeDocument/2006/relationships/hyperlink" Target="https://www.eea.europa.eu/publications/many-eu-member-states/early-warning-assessment-related-to" TargetMode="External"/><Relationship Id="rId70" Type="http://schemas.openxmlformats.org/officeDocument/2006/relationships/image" Target="media/image19.emf"/><Relationship Id="rId75" Type="http://schemas.openxmlformats.org/officeDocument/2006/relationships/hyperlink" Target="https://doi.org/10.2908/FISH_FLEET_GP" TargetMode="External"/><Relationship Id="rId83" Type="http://schemas.openxmlformats.org/officeDocument/2006/relationships/image" Target="media/image25.emf"/><Relationship Id="rId88" Type="http://schemas.openxmlformats.org/officeDocument/2006/relationships/hyperlink" Target="https://op.europa.eu/fr/publication-detail/-/publication/529ef643-173f-11eb-b57e-01aa75ed71a1" TargetMode="External"/><Relationship Id="rId91" Type="http://schemas.openxmlformats.org/officeDocument/2006/relationships/header" Target="header19.xml"/><Relationship Id="rId96"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9.xml"/><Relationship Id="rId49" Type="http://schemas.openxmlformats.org/officeDocument/2006/relationships/image" Target="media/image14.emf"/><Relationship Id="rId57" Type="http://schemas.openxmlformats.org/officeDocument/2006/relationships/footer" Target="footer11.xm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eur-lex.europa.eu/legal-content/FR/ALL/?uri=CELEX%3A32021D1752" TargetMode="External"/><Relationship Id="rId44" Type="http://schemas.openxmlformats.org/officeDocument/2006/relationships/image" Target="media/image9.png"/><Relationship Id="rId52" Type="http://schemas.openxmlformats.org/officeDocument/2006/relationships/header" Target="header10.xml"/><Relationship Id="rId60" Type="http://schemas.openxmlformats.org/officeDocument/2006/relationships/footer" Target="footer12.xml"/><Relationship Id="rId65" Type="http://schemas.openxmlformats.org/officeDocument/2006/relationships/image" Target="media/image17.emf"/><Relationship Id="rId73" Type="http://schemas.openxmlformats.org/officeDocument/2006/relationships/footer" Target="footer15.xml"/><Relationship Id="rId78" Type="http://schemas.openxmlformats.org/officeDocument/2006/relationships/header" Target="header17.xml"/><Relationship Id="rId81" Type="http://schemas.openxmlformats.org/officeDocument/2006/relationships/image" Target="media/image23.emf"/><Relationship Id="rId86" Type="http://schemas.openxmlformats.org/officeDocument/2006/relationships/header" Target="header18.xml"/><Relationship Id="rId94" Type="http://schemas.openxmlformats.org/officeDocument/2006/relationships/image" Target="media/image31.emf"/><Relationship Id="rId99" Type="http://schemas.openxmlformats.org/officeDocument/2006/relationships/header" Target="header20.xml"/><Relationship Id="rId101" Type="http://schemas.openxmlformats.org/officeDocument/2006/relationships/footer" Target="footer2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4.png"/><Relationship Id="rId34" Type="http://schemas.openxmlformats.org/officeDocument/2006/relationships/hyperlink" Target="https://eur-lex.europa.eu/legal-content/FR/TXT/?uri=CELEX:32021D2267" TargetMode="External"/><Relationship Id="rId50" Type="http://schemas.openxmlformats.org/officeDocument/2006/relationships/hyperlink" Target="https://www.eionet.europa.eu/reportnet/single-use-plastic/supd_manual-for-reporters_v1-1_26_06_2024.pdf" TargetMode="External"/><Relationship Id="rId55" Type="http://schemas.openxmlformats.org/officeDocument/2006/relationships/image" Target="media/image16.emf"/><Relationship Id="rId76" Type="http://schemas.openxmlformats.org/officeDocument/2006/relationships/header" Target="header16.xml"/><Relationship Id="rId97" Type="http://schemas.openxmlformats.org/officeDocument/2006/relationships/image" Target="media/image34.emf"/><Relationship Id="rId104" Type="http://schemas.openxmlformats.org/officeDocument/2006/relationships/footer" Target="footer22.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publications/many-eu-member-states/early-warning-assessment-related-to" TargetMode="External"/><Relationship Id="rId2" Type="http://schemas.openxmlformats.org/officeDocument/2006/relationships/hyperlink" Target="https://doi.org/10.2908/ENV_WASPAC" TargetMode="External"/><Relationship Id="rId1" Type="http://schemas.openxmlformats.org/officeDocument/2006/relationships/hyperlink" Target="https://ec.europa.eu/eurostat/databrowser/view/demo_gind__custom_13672054/default/table" TargetMode="External"/><Relationship Id="rId5" Type="http://schemas.openxmlformats.org/officeDocument/2006/relationships/hyperlink" Target="https://www.eea.europa.eu/publications/many-eu-member-states/early-warning-assessment-related-to" TargetMode="External"/><Relationship Id="rId4" Type="http://schemas.openxmlformats.org/officeDocument/2006/relationships/hyperlink" Target="https://doi.org/10.2908/ENV_WAS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75B7BFAFDF64C9394BFB5DCA3161C" ma:contentTypeVersion="20" ma:contentTypeDescription="Create a new document." ma:contentTypeScope="" ma:versionID="230164b182b5f9d72cf269ca91687f99">
  <xsd:schema xmlns:xsd="http://www.w3.org/2001/XMLSchema" xmlns:xs="http://www.w3.org/2001/XMLSchema" xmlns:p="http://schemas.microsoft.com/office/2006/metadata/properties" xmlns:ns2="0ab27300-963f-4f8d-9bae-e9aa98dabc2e" xmlns:ns3="bde7d478-d854-492c-97f6-92fba056400e" targetNamespace="http://schemas.microsoft.com/office/2006/metadata/properties" ma:root="true" ma:fieldsID="951b8000351a1a603bf815ff77674e7b" ns2:_="" ns3:_="">
    <xsd:import namespace="0ab27300-963f-4f8d-9bae-e9aa98dabc2e"/>
    <xsd:import namespace="bde7d478-d854-492c-97f6-92fba05640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7300-963f-4f8d-9bae-e9aa98da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de42cbc-566b-46c9-aea5-a71cdcd36d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7d478-d854-492c-97f6-92fba05640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5f6c9d-0c55-43d2-b1e8-201ab2589f6d}" ma:internalName="TaxCatchAll" ma:showField="CatchAllData" ma:web="bde7d478-d854-492c-97f6-92fba05640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e7d478-d854-492c-97f6-92fba056400e" xsi:nil="true"/>
    <lcf76f155ced4ddcb4097134ff3c332f xmlns="0ab27300-963f-4f8d-9bae-e9aa98dabc2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0420D-3E02-4199-B1A9-EFEDBF60B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7300-963f-4f8d-9bae-e9aa98dabc2e"/>
    <ds:schemaRef ds:uri="bde7d478-d854-492c-97f6-92fba0564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C0F4E-43D7-4A16-8A00-8C399800D516}">
  <ds:schemaRefs>
    <ds:schemaRef ds:uri="http://schemas.microsoft.com/sharepoint/v3/contenttype/forms"/>
  </ds:schemaRefs>
</ds:datastoreItem>
</file>

<file path=customXml/itemProps3.xml><?xml version="1.0" encoding="utf-8"?>
<ds:datastoreItem xmlns:ds="http://schemas.openxmlformats.org/officeDocument/2006/customXml" ds:itemID="{1AC812C5-8AF9-4F3D-B9C5-CEDA99B49122}">
  <ds:schemaRefs>
    <ds:schemaRef ds:uri="http://schemas.microsoft.com/office/2006/metadata/properties"/>
    <ds:schemaRef ds:uri="http://schemas.microsoft.com/office/infopath/2007/PartnerControls"/>
    <ds:schemaRef ds:uri="bde7d478-d854-492c-97f6-92fba056400e"/>
    <ds:schemaRef ds:uri="0ab27300-963f-4f8d-9bae-e9aa98dabc2e"/>
  </ds:schemaRefs>
</ds:datastoreItem>
</file>

<file path=customXml/itemProps4.xml><?xml version="1.0" encoding="utf-8"?>
<ds:datastoreItem xmlns:ds="http://schemas.openxmlformats.org/officeDocument/2006/customXml" ds:itemID="{57AB4C93-E011-4F2E-92CB-2F0F383B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17</Pages>
  <Words>11184</Words>
  <Characters>63751</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2026-02-09T14:40:00Z</dcterms:created>
  <dcterms:modified xsi:type="dcterms:W3CDTF">2026-04-09T07:47:00Z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2025-08-25T11:24:11Z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960e1317-e653-49d4-bf4d-ac5dcfdace5a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MediaServiceImageTags">
    <vt:lpwstr/>
  </property>
  <property fmtid="{D5CDD505-2E9C-101B-9397-08002B2CF9AE}" pid="14" name="ContentTypeId">
    <vt:lpwstr>0x01010083875B7BFAFDF64C9394BFB5DCA3161C</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